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header3.xml" ContentType="application/vnd.openxmlformats-officedocument.wordprocessingml.header+xml"/>
  <Override PartName="/word/footer5.xml" ContentType="application/vnd.openxmlformats-officedocument.wordprocessingml.footer+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8.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9.xml" ContentType="application/vnd.openxmlformats-officedocument.themeOverrid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30.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1.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2.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theme/themeOverride41.xml" ContentType="application/vnd.openxmlformats-officedocument.themeOverride+xml"/>
  <Override PartName="/word/charts/chart42.xml" ContentType="application/vnd.openxmlformats-officedocument.drawingml.chart+xml"/>
  <Override PartName="/word/theme/themeOverride42.xml" ContentType="application/vnd.openxmlformats-officedocument.themeOverride+xml"/>
  <Override PartName="/word/charts/chart43.xml" ContentType="application/vnd.openxmlformats-officedocument.drawingml.chart+xml"/>
  <Override PartName="/word/theme/themeOverride43.xml" ContentType="application/vnd.openxmlformats-officedocument.themeOverride+xml"/>
  <Override PartName="/word/charts/chart44.xml" ContentType="application/vnd.openxmlformats-officedocument.drawingml.chart+xml"/>
  <Override PartName="/word/theme/themeOverride44.xml" ContentType="application/vnd.openxmlformats-officedocument.themeOverride+xml"/>
  <Override PartName="/word/charts/chart45.xml" ContentType="application/vnd.openxmlformats-officedocument.drawingml.chart+xml"/>
  <Override PartName="/word/theme/themeOverride45.xml" ContentType="application/vnd.openxmlformats-officedocument.themeOverride+xml"/>
  <Override PartName="/word/charts/chart46.xml" ContentType="application/vnd.openxmlformats-officedocument.drawingml.chart+xml"/>
  <Override PartName="/word/theme/themeOverride46.xml" ContentType="application/vnd.openxmlformats-officedocument.themeOverride+xml"/>
  <Override PartName="/word/charts/chart47.xml" ContentType="application/vnd.openxmlformats-officedocument.drawingml.chart+xml"/>
  <Override PartName="/word/theme/themeOverride47.xml" ContentType="application/vnd.openxmlformats-officedocument.themeOverride+xml"/>
  <Override PartName="/word/charts/chart48.xml" ContentType="application/vnd.openxmlformats-officedocument.drawingml.chart+xml"/>
  <Override PartName="/word/theme/themeOverride48.xml" ContentType="application/vnd.openxmlformats-officedocument.themeOverride+xml"/>
  <Override PartName="/word/charts/chart49.xml" ContentType="application/vnd.openxmlformats-officedocument.drawingml.chart+xml"/>
  <Override PartName="/word/theme/themeOverride49.xml" ContentType="application/vnd.openxmlformats-officedocument.themeOverride+xml"/>
  <Override PartName="/word/charts/chart50.xml" ContentType="application/vnd.openxmlformats-officedocument.drawingml.chart+xml"/>
  <Override PartName="/word/theme/themeOverride50.xml" ContentType="application/vnd.openxmlformats-officedocument.themeOverride+xml"/>
  <Override PartName="/word/charts/chart51.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51.xml" ContentType="application/vnd.openxmlformats-officedocument.themeOverride+xml"/>
  <Override PartName="/word/charts/chart52.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52.xml" ContentType="application/vnd.openxmlformats-officedocument.themeOverride+xml"/>
  <Override PartName="/word/charts/chart53.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53.xml" ContentType="application/vnd.openxmlformats-officedocument.themeOverride+xml"/>
  <Override PartName="/word/charts/chart54.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54.xml" ContentType="application/vnd.openxmlformats-officedocument.themeOverride+xml"/>
  <Override PartName="/word/charts/chart55.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55.xml" ContentType="application/vnd.openxmlformats-officedocument.themeOverride+xml"/>
  <Override PartName="/word/charts/chart56.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56.xml" ContentType="application/vnd.openxmlformats-officedocument.themeOverride+xml"/>
  <Override PartName="/word/charts/chart57.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57.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F755377" w14:textId="77777777" w:rsidR="00857104" w:rsidRPr="00B11BAF" w:rsidRDefault="00857104" w:rsidP="008E0D9B">
      <w:pPr>
        <w:tabs>
          <w:tab w:val="left" w:pos="3156"/>
        </w:tabs>
        <w:spacing w:after="0" w:line="360" w:lineRule="auto"/>
        <w:rPr>
          <w:rFonts w:ascii="Times New Roman" w:hAnsi="Times New Roman"/>
          <w:sz w:val="24"/>
          <w:szCs w:val="24"/>
        </w:rPr>
      </w:pPr>
      <w:bookmarkStart w:id="0" w:name="_Hlk183005362"/>
      <w:bookmarkEnd w:id="0"/>
    </w:p>
    <w:tbl>
      <w:tblPr>
        <w:tblW w:w="9146" w:type="dxa"/>
        <w:jc w:val="center"/>
        <w:tblBorders>
          <w:top w:val="single" w:sz="4" w:space="0" w:color="auto"/>
          <w:bottom w:val="single" w:sz="4" w:space="0" w:color="auto"/>
        </w:tblBorders>
        <w:tblLayout w:type="fixed"/>
        <w:tblLook w:val="00A0" w:firstRow="1" w:lastRow="0" w:firstColumn="1" w:lastColumn="0" w:noHBand="0" w:noVBand="0"/>
      </w:tblPr>
      <w:tblGrid>
        <w:gridCol w:w="1717"/>
        <w:gridCol w:w="5571"/>
        <w:gridCol w:w="1858"/>
      </w:tblGrid>
      <w:tr w:rsidR="00857104" w:rsidRPr="007C5A6E" w14:paraId="1EA83FD6" w14:textId="77777777" w:rsidTr="00457BED">
        <w:trPr>
          <w:trHeight w:val="1746"/>
          <w:jc w:val="center"/>
        </w:trPr>
        <w:tc>
          <w:tcPr>
            <w:tcW w:w="1717" w:type="dxa"/>
            <w:shd w:val="clear" w:color="auto" w:fill="auto"/>
            <w:vAlign w:val="center"/>
          </w:tcPr>
          <w:p w14:paraId="33110C8D" w14:textId="77777777" w:rsidR="00857104" w:rsidRPr="007C5A6E" w:rsidRDefault="00857104" w:rsidP="00457BED">
            <w:pPr>
              <w:spacing w:before="120" w:after="120"/>
              <w:jc w:val="center"/>
              <w:rPr>
                <w:rFonts w:eastAsia="MS Mincho"/>
                <w:b/>
                <w:sz w:val="20"/>
                <w:szCs w:val="20"/>
                <w:lang w:eastAsia="ja-JP" w:bidi="x-none"/>
              </w:rPr>
            </w:pPr>
            <w:r w:rsidRPr="007C5A6E">
              <w:rPr>
                <w:rFonts w:eastAsia="MS Mincho"/>
                <w:noProof/>
                <w:sz w:val="20"/>
                <w:szCs w:val="20"/>
                <w:lang w:eastAsia="ja-JP"/>
              </w:rPr>
              <w:drawing>
                <wp:inline distT="0" distB="0" distL="0" distR="0" wp14:anchorId="1E6E5F02" wp14:editId="591B3A0E">
                  <wp:extent cx="1008377" cy="872010"/>
                  <wp:effectExtent l="0" t="0" r="0" b="4445"/>
                  <wp:docPr id="1511236646" name="Picture 1511236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email">
                            <a:extLst>
                              <a:ext uri="{28A0092B-C50C-407E-A947-70E740481C1C}">
                                <a14:useLocalDpi xmlns:a14="http://schemas.microsoft.com/office/drawing/2010/main"/>
                              </a:ext>
                            </a:extLst>
                          </a:blip>
                          <a:stretch>
                            <a:fillRect/>
                          </a:stretch>
                        </pic:blipFill>
                        <pic:spPr>
                          <a:xfrm>
                            <a:off x="0" y="0"/>
                            <a:ext cx="1035627" cy="895575"/>
                          </a:xfrm>
                          <a:prstGeom prst="rect">
                            <a:avLst/>
                          </a:prstGeom>
                        </pic:spPr>
                      </pic:pic>
                    </a:graphicData>
                  </a:graphic>
                </wp:inline>
              </w:drawing>
            </w:r>
          </w:p>
        </w:tc>
        <w:tc>
          <w:tcPr>
            <w:tcW w:w="5571" w:type="dxa"/>
            <w:shd w:val="clear" w:color="auto" w:fill="auto"/>
            <w:vAlign w:val="center"/>
          </w:tcPr>
          <w:p w14:paraId="301B39D7" w14:textId="77777777" w:rsidR="00857104" w:rsidRPr="007C5A6E" w:rsidRDefault="00857104" w:rsidP="00457BED">
            <w:pPr>
              <w:spacing w:before="120" w:after="120"/>
              <w:jc w:val="center"/>
              <w:rPr>
                <w:rFonts w:ascii="Arial" w:eastAsia="MS Mincho" w:hAnsi="Arial" w:cs="Arial"/>
                <w:b/>
                <w:lang w:eastAsia="ja-JP" w:bidi="x-none"/>
              </w:rPr>
            </w:pPr>
            <w:r w:rsidRPr="007C5A6E">
              <w:rPr>
                <w:rFonts w:ascii="Arial" w:eastAsia="MS Mincho" w:hAnsi="Arial" w:cs="Arial"/>
                <w:b/>
                <w:lang w:eastAsia="ja-JP" w:bidi="x-none"/>
              </w:rPr>
              <w:t>Programme BKF/023</w:t>
            </w:r>
          </w:p>
          <w:p w14:paraId="1F86C4EC" w14:textId="77777777" w:rsidR="00857104" w:rsidRPr="007C5A6E" w:rsidRDefault="00857104" w:rsidP="00457BED">
            <w:pPr>
              <w:spacing w:before="120" w:after="120"/>
              <w:jc w:val="center"/>
              <w:rPr>
                <w:rFonts w:eastAsia="MS Mincho"/>
                <w:b/>
                <w:sz w:val="20"/>
                <w:szCs w:val="20"/>
                <w:lang w:eastAsia="ja-JP" w:bidi="x-none"/>
              </w:rPr>
            </w:pPr>
            <w:r w:rsidRPr="007C5A6E">
              <w:rPr>
                <w:rFonts w:ascii="Arial" w:eastAsia="MS Mincho" w:hAnsi="Arial" w:cs="Arial"/>
                <w:b/>
                <w:lang w:eastAsia="ja-JP"/>
              </w:rPr>
              <w:t xml:space="preserve">Appui à la gestion durable des ressources </w:t>
            </w:r>
            <w:r w:rsidRPr="007C5A6E">
              <w:rPr>
                <w:rFonts w:ascii="Arial" w:eastAsia="MS Mincho" w:hAnsi="Arial" w:cs="Arial"/>
                <w:b/>
                <w:bCs/>
                <w:lang w:eastAsia="ja-JP"/>
              </w:rPr>
              <w:t>forestières</w:t>
            </w:r>
          </w:p>
        </w:tc>
        <w:tc>
          <w:tcPr>
            <w:tcW w:w="1858" w:type="dxa"/>
            <w:shd w:val="clear" w:color="auto" w:fill="auto"/>
            <w:vAlign w:val="center"/>
          </w:tcPr>
          <w:p w14:paraId="103D6715" w14:textId="77777777" w:rsidR="00857104" w:rsidRPr="007C5A6E" w:rsidRDefault="00857104" w:rsidP="00457BED">
            <w:pPr>
              <w:spacing w:before="120" w:after="120"/>
              <w:ind w:left="39"/>
              <w:jc w:val="center"/>
              <w:rPr>
                <w:rFonts w:eastAsia="MS Mincho"/>
                <w:b/>
                <w:sz w:val="20"/>
                <w:szCs w:val="20"/>
                <w:lang w:eastAsia="ja-JP" w:bidi="x-none"/>
              </w:rPr>
            </w:pPr>
            <w:r w:rsidRPr="007C5A6E">
              <w:rPr>
                <w:rFonts w:eastAsia="MS Mincho"/>
                <w:noProof/>
                <w:sz w:val="20"/>
                <w:szCs w:val="20"/>
                <w:lang w:eastAsia="ja-JP"/>
              </w:rPr>
              <w:drawing>
                <wp:inline distT="0" distB="0" distL="0" distR="0" wp14:anchorId="22480925" wp14:editId="03B1DA95">
                  <wp:extent cx="1016508" cy="895985"/>
                  <wp:effectExtent l="0" t="0" r="0" b="5715"/>
                  <wp:docPr id="1059285863" name="Picture 105928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email">
                            <a:extLst>
                              <a:ext uri="{28A0092B-C50C-407E-A947-70E740481C1C}">
                                <a14:useLocalDpi xmlns:a14="http://schemas.microsoft.com/office/drawing/2010/main"/>
                              </a:ext>
                            </a:extLst>
                          </a:blip>
                          <a:stretch>
                            <a:fillRect/>
                          </a:stretch>
                        </pic:blipFill>
                        <pic:spPr>
                          <a:xfrm>
                            <a:off x="0" y="0"/>
                            <a:ext cx="1047743" cy="923516"/>
                          </a:xfrm>
                          <a:prstGeom prst="rect">
                            <a:avLst/>
                          </a:prstGeom>
                        </pic:spPr>
                      </pic:pic>
                    </a:graphicData>
                  </a:graphic>
                </wp:inline>
              </w:drawing>
            </w:r>
          </w:p>
        </w:tc>
      </w:tr>
    </w:tbl>
    <w:p w14:paraId="37A5B8DA" w14:textId="77777777" w:rsidR="00857104" w:rsidRPr="007C5A6E" w:rsidRDefault="00857104" w:rsidP="00857104">
      <w:pPr>
        <w:spacing w:after="120"/>
        <w:jc w:val="both"/>
        <w:rPr>
          <w:rFonts w:eastAsia="MS Mincho"/>
          <w:sz w:val="20"/>
          <w:szCs w:val="20"/>
          <w:lang w:eastAsia="ja-JP"/>
        </w:rPr>
      </w:pPr>
    </w:p>
    <w:p w14:paraId="7A2AD1C8" w14:textId="7223B47C" w:rsidR="00857104" w:rsidRPr="007C5A6E" w:rsidRDefault="00857104" w:rsidP="00857104">
      <w:pPr>
        <w:jc w:val="both"/>
        <w:rPr>
          <w:b/>
          <w:bCs/>
          <w:color w:val="FF0000"/>
          <w:szCs w:val="24"/>
          <w:lang w:bidi="en-US"/>
        </w:rPr>
      </w:pPr>
      <w:r w:rsidRPr="007C5A6E">
        <w:rPr>
          <w:b/>
          <w:bCs/>
          <w:color w:val="FF0000"/>
          <w:szCs w:val="24"/>
          <w:lang w:bidi="en-US"/>
        </w:rPr>
        <w:tab/>
      </w:r>
    </w:p>
    <w:p w14:paraId="678F0C8D" w14:textId="77777777" w:rsidR="00857104" w:rsidRPr="007C5A6E" w:rsidRDefault="00857104" w:rsidP="00857104">
      <w:pPr>
        <w:jc w:val="both"/>
        <w:rPr>
          <w:b/>
          <w:bCs/>
          <w:color w:val="FF0000"/>
          <w:szCs w:val="24"/>
          <w:lang w:bidi="en-US"/>
        </w:rPr>
      </w:pPr>
    </w:p>
    <w:p w14:paraId="1835E215" w14:textId="5ECFDE46" w:rsidR="00857104" w:rsidRPr="007C5A6E" w:rsidRDefault="00857104" w:rsidP="00857104">
      <w:pPr>
        <w:jc w:val="both"/>
        <w:rPr>
          <w:b/>
          <w:bCs/>
          <w:color w:val="FF0000"/>
          <w:szCs w:val="24"/>
          <w:lang w:bidi="en-US"/>
        </w:rPr>
      </w:pPr>
      <w:r w:rsidRPr="007C5A6E">
        <w:rPr>
          <w:b/>
          <w:bCs/>
          <w:noProof/>
          <w:color w:val="FF0000"/>
          <w:szCs w:val="24"/>
        </w:rPr>
        <mc:AlternateContent>
          <mc:Choice Requires="wps">
            <w:drawing>
              <wp:anchor distT="0" distB="0" distL="114300" distR="114300" simplePos="0" relativeHeight="251600384" behindDoc="0" locked="0" layoutInCell="1" allowOverlap="1" wp14:anchorId="7A8E2E1F" wp14:editId="71E984C4">
                <wp:simplePos x="0" y="0"/>
                <wp:positionH relativeFrom="column">
                  <wp:posOffset>433705</wp:posOffset>
                </wp:positionH>
                <wp:positionV relativeFrom="paragraph">
                  <wp:posOffset>37465</wp:posOffset>
                </wp:positionV>
                <wp:extent cx="5895975" cy="1905000"/>
                <wp:effectExtent l="19050" t="19050" r="47625" b="38100"/>
                <wp:wrapNone/>
                <wp:docPr id="48" name="Rectangle : coins arrondis 48"/>
                <wp:cNvGraphicFramePr/>
                <a:graphic xmlns:a="http://schemas.openxmlformats.org/drawingml/2006/main">
                  <a:graphicData uri="http://schemas.microsoft.com/office/word/2010/wordprocessingShape">
                    <wps:wsp>
                      <wps:cNvSpPr/>
                      <wps:spPr>
                        <a:xfrm>
                          <a:off x="0" y="0"/>
                          <a:ext cx="5895975" cy="1905000"/>
                        </a:xfrm>
                        <a:prstGeom prst="roundRect">
                          <a:avLst/>
                        </a:prstGeom>
                        <a:solidFill>
                          <a:srgbClr val="E7E6E6">
                            <a:lumMod val="50000"/>
                          </a:srgbClr>
                        </a:solidFill>
                        <a:ln w="50800" cap="flat" cmpd="sng" algn="ctr">
                          <a:solidFill>
                            <a:srgbClr val="E7E6E6">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E90739" id="Rectangle : coins arrondis 48" o:spid="_x0000_s1026" style="position:absolute;margin-left:34.15pt;margin-top:2.95pt;width:464.25pt;height:150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" fillcolor="#767171" strokecolor="#767171" strokeweight="4pt">
                <v:stroke joinstyle="miter"/>
              </v:roundrect>
            </w:pict>
          </mc:Fallback>
        </mc:AlternateContent>
      </w:r>
      <w:r w:rsidRPr="007C5A6E">
        <w:rPr>
          <w:b/>
          <w:bCs/>
          <w:noProof/>
          <w:color w:val="FF0000"/>
          <w:szCs w:val="24"/>
        </w:rPr>
        <mc:AlternateContent>
          <mc:Choice Requires="wps">
            <w:drawing>
              <wp:anchor distT="0" distB="0" distL="114300" distR="114300" simplePos="0" relativeHeight="251601408" behindDoc="0" locked="0" layoutInCell="1" allowOverlap="1" wp14:anchorId="0FE05589" wp14:editId="3B68C9B3">
                <wp:simplePos x="0" y="0"/>
                <wp:positionH relativeFrom="column">
                  <wp:posOffset>243205</wp:posOffset>
                </wp:positionH>
                <wp:positionV relativeFrom="paragraph">
                  <wp:posOffset>142240</wp:posOffset>
                </wp:positionV>
                <wp:extent cx="6143625" cy="1704975"/>
                <wp:effectExtent l="19050" t="19050" r="47625" b="47625"/>
                <wp:wrapNone/>
                <wp:docPr id="47" name="Rectangle : coins arrondis 47"/>
                <wp:cNvGraphicFramePr/>
                <a:graphic xmlns:a="http://schemas.openxmlformats.org/drawingml/2006/main">
                  <a:graphicData uri="http://schemas.microsoft.com/office/word/2010/wordprocessingShape">
                    <wps:wsp>
                      <wps:cNvSpPr/>
                      <wps:spPr>
                        <a:xfrm>
                          <a:off x="0" y="0"/>
                          <a:ext cx="6143625" cy="1704975"/>
                        </a:xfrm>
                        <a:prstGeom prst="roundRect">
                          <a:avLst/>
                        </a:prstGeom>
                        <a:solidFill>
                          <a:sysClr val="window" lastClr="FFFFFF"/>
                        </a:solidFill>
                        <a:ln w="57150" cap="flat" cmpd="sng" algn="ctr">
                          <a:solidFill>
                            <a:srgbClr val="E7E6E6">
                              <a:lumMod val="50000"/>
                            </a:srgbClr>
                          </a:solidFill>
                          <a:prstDash val="solid"/>
                          <a:miter lim="800000"/>
                        </a:ln>
                        <a:effectLst/>
                      </wps:spPr>
                      <wps:txbx>
                        <w:txbxContent>
                          <w:p w14:paraId="5BCB8D0F" w14:textId="55DA9907" w:rsidR="00857104" w:rsidRPr="00857104" w:rsidRDefault="00857104" w:rsidP="00857104">
                            <w:pPr>
                              <w:spacing w:after="0" w:line="240" w:lineRule="auto"/>
                              <w:jc w:val="center"/>
                              <w:rPr>
                                <w:rFonts w:ascii="Times New Roman" w:hAnsi="Times New Roman"/>
                                <w:b/>
                                <w:color w:val="008000"/>
                                <w:sz w:val="46"/>
                                <w:szCs w:val="46"/>
                              </w:rPr>
                            </w:pPr>
                            <w:r w:rsidRPr="00857104">
                              <w:rPr>
                                <w:rFonts w:ascii="Times New Roman" w:hAnsi="Times New Roman"/>
                                <w:b/>
                                <w:color w:val="008000"/>
                                <w:sz w:val="46"/>
                                <w:szCs w:val="46"/>
                              </w:rPr>
                              <w:t xml:space="preserve">CINQUIEME </w:t>
                            </w:r>
                          </w:p>
                          <w:p w14:paraId="4E176BC5" w14:textId="3E2D8DAA" w:rsidR="00857104" w:rsidRPr="00857104" w:rsidRDefault="00857104" w:rsidP="00857104">
                            <w:pPr>
                              <w:spacing w:after="0" w:line="240" w:lineRule="auto"/>
                              <w:jc w:val="center"/>
                              <w:rPr>
                                <w:rFonts w:ascii="Times New Roman" w:hAnsi="Times New Roman"/>
                                <w:b/>
                                <w:color w:val="008000"/>
                                <w:sz w:val="46"/>
                                <w:szCs w:val="46"/>
                              </w:rPr>
                            </w:pPr>
                            <w:r w:rsidRPr="00857104">
                              <w:rPr>
                                <w:rFonts w:ascii="Times New Roman" w:hAnsi="Times New Roman"/>
                                <w:b/>
                                <w:color w:val="008000"/>
                                <w:sz w:val="46"/>
                                <w:szCs w:val="46"/>
                              </w:rPr>
                              <w:t xml:space="preserve">RAPPORT SUR L’ETAT DE L’ENVIRONNEMENTAU BURKINA FASO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E05589" id="Rectangle : coins arrondis 47" o:spid="_x0000_s1026" style="position:absolute;left:0;text-align:left;margin-left:19.15pt;margin-top:11.2pt;width:483.75pt;height:134.2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" fillcolor="window" strokecolor="#767171" strokeweight="4.5pt">
                <v:stroke joinstyle="miter"/>
                <v:textbox>
                  <w:txbxContent>
                    <w:p w14:paraId="5BCB8D0F" w14:textId="55DA9907" w:rsidR="00857104" w:rsidRPr="00857104" w:rsidRDefault="00857104" w:rsidP="00857104">
                      <w:pPr>
                        <w:spacing w:after="0" w:line="240" w:lineRule="auto"/>
                        <w:jc w:val="center"/>
                        <w:rPr>
                          <w:rFonts w:ascii="Times New Roman" w:hAnsi="Times New Roman"/>
                          <w:b/>
                          <w:color w:val="008000"/>
                          <w:sz w:val="46"/>
                          <w:szCs w:val="46"/>
                        </w:rPr>
                      </w:pPr>
                      <w:r w:rsidRPr="00857104">
                        <w:rPr>
                          <w:rFonts w:ascii="Times New Roman" w:hAnsi="Times New Roman"/>
                          <w:b/>
                          <w:color w:val="008000"/>
                          <w:sz w:val="46"/>
                          <w:szCs w:val="46"/>
                        </w:rPr>
                        <w:t xml:space="preserve">CINQUIEME </w:t>
                      </w:r>
                    </w:p>
                    <w:p w14:paraId="4E176BC5" w14:textId="3E2D8DAA" w:rsidR="00857104" w:rsidRPr="00857104" w:rsidRDefault="00857104" w:rsidP="00857104">
                      <w:pPr>
                        <w:spacing w:after="0" w:line="240" w:lineRule="auto"/>
                        <w:jc w:val="center"/>
                        <w:rPr>
                          <w:rFonts w:ascii="Times New Roman" w:hAnsi="Times New Roman"/>
                          <w:b/>
                          <w:color w:val="008000"/>
                          <w:sz w:val="46"/>
                          <w:szCs w:val="46"/>
                        </w:rPr>
                      </w:pPr>
                      <w:r w:rsidRPr="00857104">
                        <w:rPr>
                          <w:rFonts w:ascii="Times New Roman" w:hAnsi="Times New Roman"/>
                          <w:b/>
                          <w:color w:val="008000"/>
                          <w:sz w:val="46"/>
                          <w:szCs w:val="46"/>
                        </w:rPr>
                        <w:t xml:space="preserve">RAPPORT SUR L’ETAT DE L’ENVIRONNEMENTAU BURKINA FASO </w:t>
                      </w:r>
                    </w:p>
                  </w:txbxContent>
                </v:textbox>
              </v:roundrect>
            </w:pict>
          </mc:Fallback>
        </mc:AlternateContent>
      </w:r>
    </w:p>
    <w:p w14:paraId="662EFA25" w14:textId="77777777" w:rsidR="00857104" w:rsidRPr="007C5A6E" w:rsidRDefault="00857104" w:rsidP="00857104">
      <w:pPr>
        <w:jc w:val="both"/>
        <w:rPr>
          <w:b/>
          <w:bCs/>
          <w:color w:val="FF0000"/>
          <w:szCs w:val="24"/>
          <w:lang w:bidi="en-US"/>
        </w:rPr>
      </w:pPr>
    </w:p>
    <w:p w14:paraId="333F5853" w14:textId="77777777" w:rsidR="00857104" w:rsidRPr="007C5A6E" w:rsidRDefault="00857104" w:rsidP="00857104">
      <w:pPr>
        <w:jc w:val="both"/>
        <w:rPr>
          <w:b/>
          <w:bCs/>
          <w:color w:val="FF0000"/>
          <w:szCs w:val="24"/>
          <w:lang w:bidi="en-US"/>
        </w:rPr>
      </w:pPr>
    </w:p>
    <w:p w14:paraId="202C3DCC" w14:textId="77777777" w:rsidR="00857104" w:rsidRPr="007C5A6E" w:rsidRDefault="00857104" w:rsidP="00857104">
      <w:pPr>
        <w:jc w:val="both"/>
        <w:rPr>
          <w:b/>
          <w:bCs/>
          <w:color w:val="FF0000"/>
          <w:szCs w:val="24"/>
          <w:lang w:bidi="en-US"/>
        </w:rPr>
      </w:pPr>
    </w:p>
    <w:p w14:paraId="5C4B8630" w14:textId="77777777" w:rsidR="00857104" w:rsidRPr="007C5A6E" w:rsidRDefault="00857104" w:rsidP="00857104">
      <w:pPr>
        <w:jc w:val="both"/>
        <w:rPr>
          <w:b/>
          <w:bCs/>
          <w:color w:val="FF0000"/>
          <w:szCs w:val="24"/>
          <w:lang w:bidi="en-US"/>
        </w:rPr>
      </w:pPr>
    </w:p>
    <w:p w14:paraId="5867B96D" w14:textId="77777777" w:rsidR="00857104" w:rsidRPr="007C5A6E" w:rsidRDefault="00857104" w:rsidP="00857104">
      <w:pPr>
        <w:jc w:val="both"/>
        <w:rPr>
          <w:b/>
          <w:bCs/>
          <w:color w:val="FF0000"/>
          <w:szCs w:val="24"/>
          <w:lang w:bidi="en-US"/>
        </w:rPr>
      </w:pPr>
    </w:p>
    <w:p w14:paraId="1E416A35" w14:textId="77777777" w:rsidR="00857104" w:rsidRPr="007C5A6E" w:rsidRDefault="00857104" w:rsidP="00857104">
      <w:pPr>
        <w:jc w:val="both"/>
        <w:rPr>
          <w:b/>
          <w:bCs/>
          <w:color w:val="FF0000"/>
          <w:szCs w:val="24"/>
          <w:lang w:bidi="en-US"/>
        </w:rPr>
      </w:pPr>
    </w:p>
    <w:p w14:paraId="4E944467" w14:textId="77777777" w:rsidR="00857104" w:rsidRPr="007C5A6E" w:rsidRDefault="00857104" w:rsidP="00857104">
      <w:pPr>
        <w:jc w:val="both"/>
        <w:rPr>
          <w:b/>
          <w:bCs/>
          <w:color w:val="FF0000"/>
          <w:szCs w:val="24"/>
          <w:lang w:bidi="en-US"/>
        </w:rPr>
      </w:pPr>
    </w:p>
    <w:p w14:paraId="2910F265" w14:textId="77777777" w:rsidR="00857104" w:rsidRPr="007C5A6E" w:rsidRDefault="00857104" w:rsidP="00857104">
      <w:pPr>
        <w:jc w:val="both"/>
        <w:rPr>
          <w:b/>
          <w:bCs/>
          <w:color w:val="FF0000"/>
          <w:szCs w:val="24"/>
          <w:lang w:bidi="en-US"/>
        </w:rPr>
      </w:pPr>
    </w:p>
    <w:p w14:paraId="3F02FDAC" w14:textId="5503EFD8" w:rsidR="00857104" w:rsidRPr="007C5A6E" w:rsidRDefault="00857104" w:rsidP="00857104">
      <w:pPr>
        <w:jc w:val="center"/>
        <w:rPr>
          <w:color w:val="FF0000"/>
          <w:szCs w:val="24"/>
          <w:lang w:bidi="en-US"/>
        </w:rPr>
      </w:pPr>
      <w:r w:rsidRPr="007C5A6E">
        <w:rPr>
          <w:i/>
          <w:iCs/>
          <w:noProof/>
          <w:color w:val="FF0000"/>
          <w:szCs w:val="24"/>
        </w:rPr>
        <mc:AlternateContent>
          <mc:Choice Requires="wpg">
            <w:drawing>
              <wp:anchor distT="0" distB="0" distL="114300" distR="114300" simplePos="0" relativeHeight="251599360" behindDoc="0" locked="0" layoutInCell="1" allowOverlap="1" wp14:anchorId="67FEF557" wp14:editId="3B16E605">
                <wp:simplePos x="0" y="0"/>
                <mc:AlternateContent>
                  <mc:Choice Requires="wp14">
                    <wp:positionH relativeFrom="page">
                      <wp14:pctPosHOffset>4500</wp14:pctPosHOffset>
                    </wp:positionH>
                  </mc:Choice>
                  <mc:Fallback>
                    <wp:positionH relativeFrom="page">
                      <wp:posOffset>339725</wp:posOffset>
                    </wp:positionH>
                  </mc:Fallback>
                </mc:AlternateContent>
                <wp:positionV relativeFrom="page">
                  <wp:align>center</wp:align>
                </wp:positionV>
                <wp:extent cx="228600" cy="9144000"/>
                <wp:effectExtent l="0" t="0" r="0" b="0"/>
                <wp:wrapNone/>
                <wp:docPr id="9" name="Groupe 9"/>
                <wp:cNvGraphicFramePr/>
                <a:graphic xmlns:a="http://schemas.openxmlformats.org/drawingml/2006/main">
                  <a:graphicData uri="http://schemas.microsoft.com/office/word/2010/wordprocessingGroup">
                    <wpg:wgp>
                      <wpg:cNvGrpSpPr/>
                      <wpg:grpSpPr>
                        <a:xfrm>
                          <a:off x="0" y="0"/>
                          <a:ext cx="228600" cy="9144000"/>
                          <a:chOff x="0" y="0"/>
                          <a:chExt cx="228600" cy="9144000"/>
                        </a:xfrm>
                        <a:solidFill>
                          <a:srgbClr val="E7E6E6">
                            <a:lumMod val="50000"/>
                          </a:srgbClr>
                        </a:solidFill>
                      </wpg:grpSpPr>
                      <wps:wsp>
                        <wps:cNvPr id="13" name="Rectangle 13"/>
                        <wps:cNvSpPr/>
                        <wps:spPr>
                          <a:xfrm>
                            <a:off x="0" y="0"/>
                            <a:ext cx="228600" cy="8782050"/>
                          </a:xfrm>
                          <a:prstGeom prst="rect">
                            <a:avLst/>
                          </a:prstGeom>
                          <a:gr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ectangle 22"/>
                        <wps:cNvSpPr>
                          <a:spLocks noChangeAspect="1"/>
                        </wps:cNvSpPr>
                        <wps:spPr>
                          <a:xfrm>
                            <a:off x="0" y="8915400"/>
                            <a:ext cx="228600" cy="228600"/>
                          </a:xfrm>
                          <a:prstGeom prst="rect">
                            <a:avLst/>
                          </a:prstGeom>
                          <a:gr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1415C736" id="Groupe 9" o:spid="_x0000_s1026" style="position:absolute;margin-left:0;margin-top:0;width:18pt;height:10in;z-index:251599360;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">
                <v:rect id="Rectangle 13"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" filled="f" stroked="f" strokeweight="1pt"/>
                <v:rect id="Rectangle 22"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" filled="f" stroked="f" strokeweight="1pt">
                  <o:lock v:ext="edit" aspectratio="t"/>
                </v:rect>
                <w10:wrap anchorx="page" anchory="page"/>
              </v:group>
            </w:pict>
          </mc:Fallback>
        </mc:AlternateContent>
      </w:r>
    </w:p>
    <w:p w14:paraId="70CA8D4B" w14:textId="58C71F34" w:rsidR="00857104" w:rsidRPr="007C5A6E" w:rsidRDefault="00857104" w:rsidP="00857104">
      <w:pPr>
        <w:shd w:val="clear" w:color="auto" w:fill="9CC2E5"/>
        <w:spacing w:after="120"/>
        <w:jc w:val="center"/>
        <w:rPr>
          <w:rFonts w:eastAsia="MS Mincho"/>
          <w:b/>
          <w:bCs/>
          <w:sz w:val="40"/>
          <w:szCs w:val="40"/>
          <w:lang w:eastAsia="ja-JP"/>
        </w:rPr>
      </w:pPr>
      <w:r w:rsidRPr="007C5A6E">
        <w:rPr>
          <w:rFonts w:eastAsia="MS Mincho"/>
          <w:b/>
          <w:bCs/>
          <w:sz w:val="40"/>
          <w:szCs w:val="40"/>
          <w:lang w:eastAsia="ja-JP"/>
        </w:rPr>
        <w:t xml:space="preserve">Version Provisoire  </w:t>
      </w:r>
    </w:p>
    <w:p w14:paraId="259B5FF9" w14:textId="77777777" w:rsidR="00857104" w:rsidRPr="007C5A6E" w:rsidRDefault="00857104" w:rsidP="00857104">
      <w:pPr>
        <w:jc w:val="both"/>
        <w:rPr>
          <w:color w:val="FF0000"/>
          <w:szCs w:val="24"/>
          <w:lang w:bidi="en-US"/>
        </w:rPr>
      </w:pPr>
    </w:p>
    <w:p w14:paraId="5B32BEC9" w14:textId="77777777" w:rsidR="00857104" w:rsidRPr="007C5A6E" w:rsidRDefault="00857104" w:rsidP="00857104">
      <w:pPr>
        <w:tabs>
          <w:tab w:val="left" w:pos="1747"/>
        </w:tabs>
        <w:jc w:val="both"/>
        <w:rPr>
          <w:b/>
          <w:bCs/>
          <w:color w:val="FF0000"/>
          <w:sz w:val="36"/>
          <w:szCs w:val="36"/>
          <w:lang w:bidi="en-US"/>
        </w:rPr>
      </w:pPr>
    </w:p>
    <w:p w14:paraId="31322781" w14:textId="3FEFC219" w:rsidR="00857104" w:rsidRPr="007C5A6E" w:rsidRDefault="00857104" w:rsidP="00857104">
      <w:pPr>
        <w:tabs>
          <w:tab w:val="left" w:pos="1747"/>
        </w:tabs>
        <w:jc w:val="both"/>
        <w:rPr>
          <w:b/>
          <w:bCs/>
          <w:color w:val="FF0000"/>
          <w:sz w:val="36"/>
          <w:szCs w:val="36"/>
          <w:lang w:bidi="en-US"/>
        </w:rPr>
      </w:pPr>
      <w:r w:rsidRPr="007C5A6E">
        <w:rPr>
          <w:rFonts w:ascii="Arial" w:hAnsi="Arial" w:cs="Arial"/>
          <w:noProof/>
          <w:color w:val="FF0000"/>
          <w:szCs w:val="24"/>
        </w:rPr>
        <w:drawing>
          <wp:anchor distT="0" distB="0" distL="114300" distR="114300" simplePos="0" relativeHeight="251602432" behindDoc="0" locked="0" layoutInCell="1" allowOverlap="1" wp14:anchorId="7883185E" wp14:editId="5081193B">
            <wp:simplePos x="0" y="0"/>
            <wp:positionH relativeFrom="column">
              <wp:posOffset>238760</wp:posOffset>
            </wp:positionH>
            <wp:positionV relativeFrom="paragraph">
              <wp:posOffset>414655</wp:posOffset>
            </wp:positionV>
            <wp:extent cx="1290955" cy="800735"/>
            <wp:effectExtent l="0" t="0" r="4445" b="0"/>
            <wp:wrapNone/>
            <wp:docPr id="54"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23"/>
                    <pic:cNvPicPr>
                      <a:picLocks noChangeAspect="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290955" cy="80073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Grilledutableau"/>
        <w:tblpPr w:leftFromText="141" w:rightFromText="141" w:vertAnchor="text" w:horzAnchor="page" w:tblpX="1941" w:tblpY="6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0"/>
        <w:gridCol w:w="4109"/>
      </w:tblGrid>
      <w:tr w:rsidR="00857104" w:rsidRPr="007C5A6E" w14:paraId="77A20A34" w14:textId="77777777" w:rsidTr="00457BED">
        <w:trPr>
          <w:trHeight w:val="808"/>
        </w:trPr>
        <w:tc>
          <w:tcPr>
            <w:tcW w:w="4650" w:type="dxa"/>
          </w:tcPr>
          <w:p w14:paraId="3D3980E8" w14:textId="729B03DA" w:rsidR="00857104" w:rsidRPr="007C5A6E" w:rsidRDefault="00857104" w:rsidP="00457BED">
            <w:pPr>
              <w:tabs>
                <w:tab w:val="left" w:pos="1747"/>
              </w:tabs>
              <w:spacing w:after="120"/>
              <w:jc w:val="both"/>
              <w:rPr>
                <w:b/>
                <w:bCs/>
                <w:sz w:val="36"/>
                <w:szCs w:val="36"/>
                <w:lang w:bidi="en-US"/>
              </w:rPr>
            </w:pPr>
          </w:p>
        </w:tc>
        <w:tc>
          <w:tcPr>
            <w:tcW w:w="4109" w:type="dxa"/>
          </w:tcPr>
          <w:p w14:paraId="08351638" w14:textId="77777777" w:rsidR="00857104" w:rsidRPr="007C5A6E" w:rsidRDefault="00857104" w:rsidP="00857104">
            <w:pPr>
              <w:tabs>
                <w:tab w:val="left" w:pos="1747"/>
              </w:tabs>
              <w:spacing w:after="0" w:line="240" w:lineRule="auto"/>
              <w:jc w:val="right"/>
              <w:rPr>
                <w:rFonts w:ascii="Times New Roman" w:hAnsi="Times New Roman"/>
                <w:b/>
                <w:bCs/>
                <w:sz w:val="32"/>
                <w:szCs w:val="32"/>
                <w:lang w:bidi="en-US"/>
              </w:rPr>
            </w:pPr>
            <w:r w:rsidRPr="007C5A6E">
              <w:rPr>
                <w:rFonts w:ascii="Times New Roman" w:hAnsi="Times New Roman"/>
                <w:b/>
                <w:bCs/>
                <w:sz w:val="32"/>
                <w:szCs w:val="32"/>
                <w:lang w:bidi="en-US"/>
              </w:rPr>
              <w:t>Novembre 2024</w:t>
            </w:r>
          </w:p>
        </w:tc>
      </w:tr>
    </w:tbl>
    <w:p w14:paraId="42CE1466" w14:textId="7494C6B7" w:rsidR="00857104" w:rsidRPr="007C5A6E" w:rsidRDefault="00857104" w:rsidP="008E0D9B">
      <w:pPr>
        <w:tabs>
          <w:tab w:val="left" w:pos="3156"/>
        </w:tabs>
        <w:spacing w:after="0" w:line="360" w:lineRule="auto"/>
        <w:rPr>
          <w:rFonts w:ascii="Times New Roman" w:hAnsi="Times New Roman"/>
          <w:sz w:val="24"/>
          <w:szCs w:val="24"/>
        </w:rPr>
        <w:sectPr w:rsidR="00857104" w:rsidRPr="007C5A6E" w:rsidSect="006514BA">
          <w:headerReference w:type="default" r:id="rId11"/>
          <w:footerReference w:type="default" r:id="rId12"/>
          <w:headerReference w:type="first" r:id="rId13"/>
          <w:footerReference w:type="first" r:id="rId14"/>
          <w:pgSz w:w="11907" w:h="16840" w:code="9"/>
          <w:pgMar w:top="1191" w:right="1361" w:bottom="1191" w:left="1361" w:header="709" w:footer="709" w:gutter="0"/>
          <w:cols w:space="708"/>
          <w:titlePg/>
          <w:docGrid w:linePitch="360"/>
        </w:sectPr>
      </w:pPr>
    </w:p>
    <w:p w14:paraId="14604A7F" w14:textId="75AD4523" w:rsidR="005E7B17" w:rsidRPr="007C5A6E" w:rsidRDefault="005E7B17" w:rsidP="00857104">
      <w:pPr>
        <w:pStyle w:val="Titre1"/>
        <w:numPr>
          <w:ilvl w:val="0"/>
          <w:numId w:val="0"/>
        </w:numPr>
        <w:spacing w:before="0"/>
        <w:rPr>
          <w:sz w:val="32"/>
        </w:rPr>
      </w:pPr>
      <w:bookmarkStart w:id="1" w:name="_Toc183339994"/>
      <w:r w:rsidRPr="007C5A6E">
        <w:rPr>
          <w:sz w:val="32"/>
        </w:rPr>
        <w:lastRenderedPageBreak/>
        <w:t>AVANT PROPOS</w:t>
      </w:r>
      <w:bookmarkEnd w:id="1"/>
    </w:p>
    <w:p w14:paraId="42D7C071" w14:textId="77777777" w:rsidR="00857104" w:rsidRPr="007C5A6E" w:rsidRDefault="00857104" w:rsidP="00857104">
      <w:pPr>
        <w:spacing w:after="0" w:line="240" w:lineRule="auto"/>
        <w:rPr>
          <w:rFonts w:ascii="Times New Roman" w:hAnsi="Times New Roman"/>
          <w:sz w:val="24"/>
          <w:szCs w:val="24"/>
        </w:rPr>
      </w:pPr>
    </w:p>
    <w:p w14:paraId="36C49BC1" w14:textId="510DF100" w:rsidR="00733428" w:rsidRPr="007C5A6E" w:rsidRDefault="00733428" w:rsidP="000068AD">
      <w:pPr>
        <w:spacing w:after="0"/>
        <w:jc w:val="both"/>
        <w:rPr>
          <w:rFonts w:ascii="Times New Roman" w:hAnsi="Times New Roman"/>
          <w:sz w:val="24"/>
          <w:szCs w:val="24"/>
        </w:rPr>
      </w:pPr>
      <w:r w:rsidRPr="007C5A6E">
        <w:rPr>
          <w:rFonts w:ascii="Times New Roman" w:hAnsi="Times New Roman"/>
          <w:sz w:val="24"/>
          <w:szCs w:val="24"/>
        </w:rPr>
        <w:t>Le cinquième rapport sur l’état de l’environnement au Burkina Faso (REEB -5) a été élaboré selon une démarche participative en mettant à contribution l’expertise nationale et tous les principaux acteurs du domaine de l’environnement.</w:t>
      </w:r>
    </w:p>
    <w:p w14:paraId="2F98084A" w14:textId="77777777" w:rsidR="00733428" w:rsidRPr="007C5A6E" w:rsidRDefault="00733428" w:rsidP="000068AD">
      <w:pPr>
        <w:spacing w:after="0"/>
        <w:rPr>
          <w:rFonts w:ascii="Times New Roman" w:hAnsi="Times New Roman"/>
          <w:sz w:val="24"/>
          <w:szCs w:val="24"/>
        </w:rPr>
      </w:pPr>
    </w:p>
    <w:p w14:paraId="7682DC2A" w14:textId="3853EBB3" w:rsidR="00733428" w:rsidRPr="007C5A6E" w:rsidRDefault="00733428" w:rsidP="000068AD">
      <w:pPr>
        <w:spacing w:after="0"/>
        <w:rPr>
          <w:rFonts w:ascii="Times New Roman" w:hAnsi="Times New Roman"/>
          <w:sz w:val="24"/>
          <w:szCs w:val="24"/>
        </w:rPr>
      </w:pPr>
      <w:r w:rsidRPr="007C5A6E">
        <w:rPr>
          <w:rFonts w:ascii="Times New Roman" w:hAnsi="Times New Roman"/>
          <w:sz w:val="24"/>
          <w:szCs w:val="24"/>
        </w:rPr>
        <w:t>Le projet de rapport a été élaboré par le Cabinet « Environment &amp; Development Consultants</w:t>
      </w:r>
      <w:r w:rsidR="000068AD" w:rsidRPr="007C5A6E">
        <w:rPr>
          <w:rFonts w:ascii="Times New Roman" w:hAnsi="Times New Roman"/>
          <w:sz w:val="24"/>
          <w:szCs w:val="24"/>
        </w:rPr>
        <w:t> » (E&amp;D Consult), qui a mobilisé l’</w:t>
      </w:r>
      <w:r w:rsidRPr="007C5A6E">
        <w:rPr>
          <w:rFonts w:ascii="Times New Roman" w:hAnsi="Times New Roman"/>
          <w:sz w:val="24"/>
          <w:szCs w:val="24"/>
        </w:rPr>
        <w:t>équipe de consultants nationaux suivants</w:t>
      </w:r>
      <w:r w:rsidR="000068AD" w:rsidRPr="007C5A6E">
        <w:rPr>
          <w:rFonts w:ascii="Times New Roman" w:hAnsi="Times New Roman"/>
          <w:sz w:val="24"/>
          <w:szCs w:val="24"/>
        </w:rPr>
        <w:t xml:space="preserve"> </w:t>
      </w:r>
      <w:r w:rsidRPr="007C5A6E">
        <w:rPr>
          <w:rFonts w:ascii="Times New Roman" w:hAnsi="Times New Roman"/>
          <w:sz w:val="24"/>
          <w:szCs w:val="24"/>
        </w:rPr>
        <w:t>:</w:t>
      </w:r>
    </w:p>
    <w:p w14:paraId="46E639A8" w14:textId="77777777" w:rsidR="000068AD" w:rsidRPr="007C5A6E" w:rsidRDefault="000068AD" w:rsidP="000068AD">
      <w:pPr>
        <w:spacing w:after="0"/>
        <w:rPr>
          <w:rFonts w:ascii="Times New Roman" w:hAnsi="Times New Roman"/>
          <w:sz w:val="24"/>
          <w:szCs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0"/>
        <w:gridCol w:w="3655"/>
      </w:tblGrid>
      <w:tr w:rsidR="000068AD" w:rsidRPr="007C5A6E" w14:paraId="7D553029" w14:textId="77777777" w:rsidTr="008A6B37">
        <w:tc>
          <w:tcPr>
            <w:tcW w:w="5670" w:type="dxa"/>
          </w:tcPr>
          <w:p w14:paraId="66914DD9" w14:textId="118ED4A5" w:rsidR="000068AD" w:rsidRPr="007C5A6E" w:rsidRDefault="000068AD" w:rsidP="000068AD">
            <w:pPr>
              <w:spacing w:after="0"/>
              <w:rPr>
                <w:rFonts w:ascii="Times New Roman" w:hAnsi="Times New Roman"/>
                <w:sz w:val="24"/>
                <w:szCs w:val="24"/>
              </w:rPr>
            </w:pPr>
            <w:r w:rsidRPr="007C5A6E">
              <w:rPr>
                <w:rFonts w:ascii="Times New Roman" w:eastAsia="MS Mincho" w:hAnsi="Times New Roman"/>
                <w:sz w:val="24"/>
                <w:szCs w:val="24"/>
                <w:lang w:eastAsia="ja-JP"/>
              </w:rPr>
              <w:t xml:space="preserve">Expert thématique </w:t>
            </w:r>
            <w:r w:rsidR="009D1E01" w:rsidRPr="007C5A6E">
              <w:rPr>
                <w:rFonts w:ascii="Times New Roman" w:eastAsia="MS Mincho" w:hAnsi="Times New Roman"/>
                <w:sz w:val="24"/>
                <w:szCs w:val="24"/>
                <w:lang w:eastAsia="ja-JP"/>
              </w:rPr>
              <w:t xml:space="preserve">changement climatique &amp; </w:t>
            </w:r>
            <w:r w:rsidRPr="007C5A6E">
              <w:rPr>
                <w:rFonts w:ascii="Times New Roman" w:eastAsia="MS Mincho" w:hAnsi="Times New Roman"/>
                <w:sz w:val="24"/>
                <w:szCs w:val="24"/>
                <w:lang w:eastAsia="ja-JP"/>
              </w:rPr>
              <w:t>catastrophes naturelles</w:t>
            </w:r>
          </w:p>
        </w:tc>
        <w:tc>
          <w:tcPr>
            <w:tcW w:w="3726" w:type="dxa"/>
          </w:tcPr>
          <w:p w14:paraId="6F647E7B" w14:textId="5C2596A0" w:rsidR="000068AD" w:rsidRPr="007C5A6E" w:rsidRDefault="000068AD" w:rsidP="000068AD">
            <w:pPr>
              <w:spacing w:after="0"/>
              <w:rPr>
                <w:rFonts w:ascii="Times New Roman" w:hAnsi="Times New Roman"/>
                <w:sz w:val="24"/>
                <w:szCs w:val="24"/>
              </w:rPr>
            </w:pPr>
            <w:r w:rsidRPr="007C5A6E">
              <w:rPr>
                <w:rFonts w:ascii="Times New Roman" w:hAnsi="Times New Roman"/>
                <w:sz w:val="24"/>
                <w:szCs w:val="24"/>
              </w:rPr>
              <w:t>Dr Eric TRAORE</w:t>
            </w:r>
          </w:p>
        </w:tc>
      </w:tr>
      <w:tr w:rsidR="000068AD" w:rsidRPr="007C5A6E" w14:paraId="457CBF21" w14:textId="77777777" w:rsidTr="008A6B37">
        <w:tc>
          <w:tcPr>
            <w:tcW w:w="5670" w:type="dxa"/>
          </w:tcPr>
          <w:p w14:paraId="4825A249" w14:textId="6F6ED1D0" w:rsidR="000068AD" w:rsidRPr="007C5A6E" w:rsidRDefault="000068AD" w:rsidP="000068AD">
            <w:pPr>
              <w:spacing w:after="0"/>
              <w:rPr>
                <w:rFonts w:ascii="Times New Roman" w:hAnsi="Times New Roman"/>
                <w:sz w:val="24"/>
                <w:szCs w:val="24"/>
              </w:rPr>
            </w:pPr>
            <w:r w:rsidRPr="007C5A6E">
              <w:rPr>
                <w:rFonts w:ascii="Times New Roman" w:eastAsia="MS Mincho" w:hAnsi="Times New Roman"/>
                <w:sz w:val="24"/>
                <w:szCs w:val="24"/>
                <w:lang w:eastAsia="ja-JP"/>
              </w:rPr>
              <w:t xml:space="preserve">Expert thématique </w:t>
            </w:r>
            <w:r w:rsidR="009D1E01" w:rsidRPr="007C5A6E">
              <w:rPr>
                <w:rFonts w:ascii="Times New Roman" w:eastAsia="MS Mincho" w:hAnsi="Times New Roman"/>
                <w:sz w:val="24"/>
                <w:szCs w:val="24"/>
                <w:lang w:eastAsia="ja-JP"/>
              </w:rPr>
              <w:t xml:space="preserve">ressources en </w:t>
            </w:r>
            <w:r w:rsidRPr="007C5A6E">
              <w:rPr>
                <w:rFonts w:ascii="Times New Roman" w:eastAsia="MS Mincho" w:hAnsi="Times New Roman"/>
                <w:sz w:val="24"/>
                <w:szCs w:val="24"/>
                <w:lang w:eastAsia="ja-JP"/>
              </w:rPr>
              <w:t>eau</w:t>
            </w:r>
          </w:p>
        </w:tc>
        <w:tc>
          <w:tcPr>
            <w:tcW w:w="3726" w:type="dxa"/>
          </w:tcPr>
          <w:p w14:paraId="66CF9B11" w14:textId="5D96AFBA" w:rsidR="000068AD" w:rsidRPr="007C5A6E" w:rsidRDefault="000068AD" w:rsidP="000068AD">
            <w:pPr>
              <w:spacing w:after="0"/>
              <w:rPr>
                <w:rFonts w:ascii="Times New Roman" w:hAnsi="Times New Roman"/>
                <w:sz w:val="24"/>
                <w:szCs w:val="24"/>
              </w:rPr>
            </w:pPr>
            <w:r w:rsidRPr="007C5A6E">
              <w:rPr>
                <w:rFonts w:ascii="Times New Roman" w:hAnsi="Times New Roman"/>
                <w:sz w:val="24"/>
                <w:szCs w:val="24"/>
              </w:rPr>
              <w:t xml:space="preserve">M. </w:t>
            </w:r>
            <w:proofErr w:type="spellStart"/>
            <w:r w:rsidRPr="007C5A6E">
              <w:rPr>
                <w:rFonts w:ascii="Times New Roman" w:hAnsi="Times New Roman"/>
                <w:sz w:val="24"/>
                <w:szCs w:val="24"/>
              </w:rPr>
              <w:t>Kete</w:t>
            </w:r>
            <w:r w:rsidR="00003A5C" w:rsidRPr="007C5A6E">
              <w:rPr>
                <w:rFonts w:ascii="Times New Roman" w:hAnsi="Times New Roman"/>
                <w:sz w:val="24"/>
                <w:szCs w:val="24"/>
              </w:rPr>
              <w:t>s</w:t>
            </w:r>
            <w:r w:rsidRPr="007C5A6E">
              <w:rPr>
                <w:rFonts w:ascii="Times New Roman" w:hAnsi="Times New Roman"/>
                <w:sz w:val="24"/>
                <w:szCs w:val="24"/>
              </w:rPr>
              <w:t>saoba</w:t>
            </w:r>
            <w:proofErr w:type="spellEnd"/>
            <w:r w:rsidRPr="007C5A6E">
              <w:rPr>
                <w:rFonts w:ascii="Times New Roman" w:hAnsi="Times New Roman"/>
                <w:sz w:val="24"/>
                <w:szCs w:val="24"/>
              </w:rPr>
              <w:t xml:space="preserve"> OUEDRAOGO</w:t>
            </w:r>
          </w:p>
        </w:tc>
      </w:tr>
      <w:tr w:rsidR="000068AD" w:rsidRPr="007C5A6E" w14:paraId="3E92300D" w14:textId="77777777" w:rsidTr="008A6B37">
        <w:tc>
          <w:tcPr>
            <w:tcW w:w="5670" w:type="dxa"/>
          </w:tcPr>
          <w:p w14:paraId="5DBD3AAA" w14:textId="359BBDBB" w:rsidR="000068AD" w:rsidRPr="007C5A6E" w:rsidRDefault="000068AD" w:rsidP="000068AD">
            <w:pPr>
              <w:spacing w:after="0"/>
              <w:rPr>
                <w:rFonts w:ascii="Times New Roman" w:hAnsi="Times New Roman"/>
                <w:sz w:val="24"/>
                <w:szCs w:val="24"/>
              </w:rPr>
            </w:pPr>
            <w:r w:rsidRPr="007C5A6E">
              <w:rPr>
                <w:rFonts w:ascii="Times New Roman" w:eastAsia="MS Mincho" w:hAnsi="Times New Roman"/>
                <w:sz w:val="24"/>
                <w:szCs w:val="24"/>
                <w:lang w:eastAsia="ja-JP"/>
              </w:rPr>
              <w:t>Expert thématique sol</w:t>
            </w:r>
          </w:p>
        </w:tc>
        <w:tc>
          <w:tcPr>
            <w:tcW w:w="3726" w:type="dxa"/>
          </w:tcPr>
          <w:p w14:paraId="3F807841" w14:textId="25D97333" w:rsidR="000068AD" w:rsidRPr="007C5A6E" w:rsidRDefault="000068AD" w:rsidP="000068AD">
            <w:pPr>
              <w:spacing w:after="0"/>
              <w:rPr>
                <w:rFonts w:ascii="Times New Roman" w:hAnsi="Times New Roman"/>
                <w:sz w:val="24"/>
                <w:szCs w:val="24"/>
              </w:rPr>
            </w:pPr>
            <w:r w:rsidRPr="007C5A6E">
              <w:rPr>
                <w:rFonts w:ascii="Times New Roman" w:hAnsi="Times New Roman"/>
                <w:sz w:val="24"/>
                <w:szCs w:val="24"/>
              </w:rPr>
              <w:t>Dr Roger KISSOU</w:t>
            </w:r>
          </w:p>
        </w:tc>
      </w:tr>
      <w:tr w:rsidR="000068AD" w:rsidRPr="007C5A6E" w14:paraId="6B194A7C" w14:textId="77777777" w:rsidTr="008A6B37">
        <w:tc>
          <w:tcPr>
            <w:tcW w:w="5670" w:type="dxa"/>
          </w:tcPr>
          <w:p w14:paraId="094A45C8" w14:textId="2D5B4309" w:rsidR="000068AD" w:rsidRPr="007C5A6E" w:rsidRDefault="000068AD" w:rsidP="000068AD">
            <w:pPr>
              <w:spacing w:after="0"/>
              <w:rPr>
                <w:rFonts w:ascii="Times New Roman" w:hAnsi="Times New Roman"/>
                <w:sz w:val="24"/>
                <w:szCs w:val="24"/>
              </w:rPr>
            </w:pPr>
            <w:r w:rsidRPr="007C5A6E">
              <w:rPr>
                <w:rFonts w:ascii="Times New Roman" w:eastAsia="MS Mincho" w:hAnsi="Times New Roman"/>
                <w:sz w:val="24"/>
                <w:szCs w:val="24"/>
                <w:lang w:eastAsia="ja-JP"/>
              </w:rPr>
              <w:t>Expert thématique climat et biodiversité</w:t>
            </w:r>
          </w:p>
        </w:tc>
        <w:tc>
          <w:tcPr>
            <w:tcW w:w="3726" w:type="dxa"/>
          </w:tcPr>
          <w:p w14:paraId="0163C215" w14:textId="6E4D148D" w:rsidR="000068AD" w:rsidRPr="007C5A6E" w:rsidRDefault="000068AD" w:rsidP="000068AD">
            <w:pPr>
              <w:spacing w:after="0"/>
              <w:rPr>
                <w:rFonts w:ascii="Times New Roman" w:hAnsi="Times New Roman"/>
                <w:sz w:val="24"/>
                <w:szCs w:val="24"/>
              </w:rPr>
            </w:pPr>
            <w:r w:rsidRPr="007C5A6E">
              <w:rPr>
                <w:rFonts w:ascii="Times New Roman" w:hAnsi="Times New Roman"/>
                <w:sz w:val="24"/>
                <w:szCs w:val="24"/>
              </w:rPr>
              <w:t>Prof. Emmanuel M. HEMA</w:t>
            </w:r>
          </w:p>
        </w:tc>
      </w:tr>
      <w:tr w:rsidR="000068AD" w:rsidRPr="007C5A6E" w14:paraId="004F77C5" w14:textId="77777777" w:rsidTr="008A6B37">
        <w:tc>
          <w:tcPr>
            <w:tcW w:w="5670" w:type="dxa"/>
          </w:tcPr>
          <w:p w14:paraId="444B735B" w14:textId="250675D9" w:rsidR="000068AD" w:rsidRPr="007C5A6E" w:rsidRDefault="000068AD" w:rsidP="000068AD">
            <w:pPr>
              <w:spacing w:after="0"/>
              <w:rPr>
                <w:rFonts w:ascii="Times New Roman" w:hAnsi="Times New Roman"/>
                <w:sz w:val="24"/>
                <w:szCs w:val="24"/>
              </w:rPr>
            </w:pPr>
            <w:r w:rsidRPr="007C5A6E">
              <w:rPr>
                <w:rFonts w:ascii="Times New Roman" w:eastAsia="MS Mincho" w:hAnsi="Times New Roman"/>
                <w:sz w:val="24"/>
                <w:szCs w:val="24"/>
                <w:lang w:eastAsia="ja-JP"/>
              </w:rPr>
              <w:t xml:space="preserve">Expert thématique </w:t>
            </w:r>
            <w:r w:rsidR="009D1E01" w:rsidRPr="007C5A6E">
              <w:rPr>
                <w:rFonts w:ascii="Times New Roman" w:eastAsia="MS Mincho" w:hAnsi="Times New Roman"/>
                <w:sz w:val="24"/>
                <w:szCs w:val="24"/>
                <w:lang w:eastAsia="ja-JP"/>
              </w:rPr>
              <w:t>urbanisation, pauvreté et environnement</w:t>
            </w:r>
          </w:p>
        </w:tc>
        <w:tc>
          <w:tcPr>
            <w:tcW w:w="3726" w:type="dxa"/>
          </w:tcPr>
          <w:p w14:paraId="1D953643" w14:textId="68F7B58C" w:rsidR="000068AD" w:rsidRPr="007C5A6E" w:rsidRDefault="000068AD" w:rsidP="000068AD">
            <w:pPr>
              <w:spacing w:after="0"/>
              <w:rPr>
                <w:rFonts w:ascii="Times New Roman" w:hAnsi="Times New Roman"/>
                <w:sz w:val="24"/>
                <w:szCs w:val="24"/>
              </w:rPr>
            </w:pPr>
            <w:r w:rsidRPr="007C5A6E">
              <w:rPr>
                <w:rFonts w:ascii="Times New Roman" w:hAnsi="Times New Roman"/>
                <w:sz w:val="24"/>
                <w:szCs w:val="24"/>
              </w:rPr>
              <w:t>Dr G</w:t>
            </w:r>
            <w:r w:rsidR="00FF58B5" w:rsidRPr="007C5A6E">
              <w:rPr>
                <w:rFonts w:ascii="Times New Roman" w:hAnsi="Times New Roman"/>
                <w:sz w:val="24"/>
                <w:szCs w:val="24"/>
              </w:rPr>
              <w:t>ountiéni</w:t>
            </w:r>
            <w:r w:rsidRPr="007C5A6E">
              <w:rPr>
                <w:rFonts w:ascii="Times New Roman" w:hAnsi="Times New Roman"/>
                <w:sz w:val="24"/>
                <w:szCs w:val="24"/>
              </w:rPr>
              <w:t xml:space="preserve"> D</w:t>
            </w:r>
            <w:r w:rsidR="00FF58B5" w:rsidRPr="007C5A6E">
              <w:rPr>
                <w:rFonts w:ascii="Times New Roman" w:hAnsi="Times New Roman"/>
                <w:sz w:val="24"/>
                <w:szCs w:val="24"/>
              </w:rPr>
              <w:t>.</w:t>
            </w:r>
            <w:r w:rsidRPr="007C5A6E">
              <w:rPr>
                <w:rFonts w:ascii="Times New Roman" w:hAnsi="Times New Roman"/>
                <w:sz w:val="24"/>
                <w:szCs w:val="24"/>
              </w:rPr>
              <w:t xml:space="preserve"> LANKOANDE</w:t>
            </w:r>
          </w:p>
        </w:tc>
      </w:tr>
      <w:tr w:rsidR="000068AD" w:rsidRPr="007C5A6E" w14:paraId="1EE938B0" w14:textId="77777777" w:rsidTr="008A6B37">
        <w:tc>
          <w:tcPr>
            <w:tcW w:w="5670" w:type="dxa"/>
          </w:tcPr>
          <w:p w14:paraId="03B2625D" w14:textId="3F1DC229" w:rsidR="000068AD" w:rsidRPr="007C5A6E" w:rsidRDefault="000068AD" w:rsidP="000068AD">
            <w:pPr>
              <w:spacing w:after="0"/>
              <w:rPr>
                <w:rFonts w:ascii="Times New Roman" w:hAnsi="Times New Roman"/>
                <w:sz w:val="24"/>
                <w:szCs w:val="24"/>
              </w:rPr>
            </w:pPr>
            <w:r w:rsidRPr="007C5A6E">
              <w:rPr>
                <w:rFonts w:ascii="Times New Roman" w:eastAsia="MS Mincho" w:hAnsi="Times New Roman"/>
                <w:sz w:val="24"/>
                <w:szCs w:val="24"/>
                <w:lang w:eastAsia="ja-JP"/>
              </w:rPr>
              <w:t>Expert thématique environnement-santé</w:t>
            </w:r>
          </w:p>
        </w:tc>
        <w:tc>
          <w:tcPr>
            <w:tcW w:w="3726" w:type="dxa"/>
            <w:vAlign w:val="center"/>
          </w:tcPr>
          <w:p w14:paraId="6D743A30" w14:textId="1E4042F7" w:rsidR="000068AD" w:rsidRPr="007C5A6E" w:rsidRDefault="000068AD" w:rsidP="000068AD">
            <w:pPr>
              <w:spacing w:after="0"/>
              <w:rPr>
                <w:rFonts w:ascii="Times New Roman" w:hAnsi="Times New Roman"/>
                <w:sz w:val="24"/>
                <w:szCs w:val="24"/>
              </w:rPr>
            </w:pPr>
            <w:r w:rsidRPr="007C5A6E">
              <w:rPr>
                <w:rFonts w:ascii="Times New Roman" w:hAnsi="Times New Roman"/>
                <w:sz w:val="24"/>
                <w:szCs w:val="24"/>
              </w:rPr>
              <w:t xml:space="preserve">Dr Sylvain ILBOUDO </w:t>
            </w:r>
          </w:p>
        </w:tc>
      </w:tr>
      <w:tr w:rsidR="000068AD" w:rsidRPr="007C5A6E" w14:paraId="09CE102A" w14:textId="77777777" w:rsidTr="008A6B37">
        <w:tc>
          <w:tcPr>
            <w:tcW w:w="5670" w:type="dxa"/>
          </w:tcPr>
          <w:p w14:paraId="70D35BD0" w14:textId="67C140AF" w:rsidR="000068AD" w:rsidRPr="007C5A6E" w:rsidRDefault="000068AD" w:rsidP="000068AD">
            <w:pPr>
              <w:spacing w:after="0"/>
              <w:rPr>
                <w:rFonts w:ascii="Times New Roman" w:hAnsi="Times New Roman"/>
                <w:sz w:val="24"/>
                <w:szCs w:val="24"/>
              </w:rPr>
            </w:pPr>
            <w:r w:rsidRPr="007C5A6E">
              <w:rPr>
                <w:rFonts w:ascii="Times New Roman" w:hAnsi="Times New Roman"/>
                <w:sz w:val="24"/>
                <w:szCs w:val="24"/>
              </w:rPr>
              <w:t>Chef de mission, Coordonnateur de l’équipe </w:t>
            </w:r>
          </w:p>
        </w:tc>
        <w:tc>
          <w:tcPr>
            <w:tcW w:w="3726" w:type="dxa"/>
          </w:tcPr>
          <w:p w14:paraId="7776209D" w14:textId="25113188" w:rsidR="000068AD" w:rsidRPr="007C5A6E" w:rsidRDefault="000068AD" w:rsidP="000068AD">
            <w:pPr>
              <w:spacing w:after="0"/>
              <w:rPr>
                <w:rFonts w:ascii="Times New Roman" w:hAnsi="Times New Roman"/>
                <w:sz w:val="24"/>
                <w:szCs w:val="24"/>
              </w:rPr>
            </w:pPr>
            <w:r w:rsidRPr="007C5A6E">
              <w:rPr>
                <w:rFonts w:ascii="Times New Roman" w:hAnsi="Times New Roman"/>
                <w:sz w:val="24"/>
                <w:szCs w:val="24"/>
              </w:rPr>
              <w:t>Dr Fidèle HIEN</w:t>
            </w:r>
          </w:p>
        </w:tc>
      </w:tr>
    </w:tbl>
    <w:p w14:paraId="5C5A59A9" w14:textId="77777777" w:rsidR="000068AD" w:rsidRPr="007C5A6E" w:rsidRDefault="000068AD" w:rsidP="00733428">
      <w:pPr>
        <w:spacing w:after="0"/>
        <w:rPr>
          <w:rFonts w:ascii="Times New Roman" w:hAnsi="Times New Roman"/>
          <w:sz w:val="24"/>
          <w:szCs w:val="24"/>
        </w:rPr>
      </w:pPr>
    </w:p>
    <w:p w14:paraId="6E3D8FD1" w14:textId="77777777" w:rsidR="00003A5C" w:rsidRPr="007C5A6E" w:rsidRDefault="00003A5C" w:rsidP="00A7432C">
      <w:pPr>
        <w:spacing w:after="0"/>
        <w:jc w:val="both"/>
        <w:rPr>
          <w:rFonts w:ascii="Times New Roman" w:hAnsi="Times New Roman"/>
          <w:sz w:val="24"/>
          <w:szCs w:val="24"/>
        </w:rPr>
      </w:pPr>
      <w:r w:rsidRPr="007C5A6E">
        <w:rPr>
          <w:rFonts w:ascii="Times New Roman" w:hAnsi="Times New Roman"/>
          <w:sz w:val="24"/>
          <w:szCs w:val="24"/>
        </w:rPr>
        <w:t>La revue technique a été assurée par : M. François Xavier BAHIRE, Directeur de l’Observatoire National du Développement Durable (ONDD) au sein du SP-CNDD</w:t>
      </w:r>
    </w:p>
    <w:p w14:paraId="45B991ED" w14:textId="77777777" w:rsidR="00733428" w:rsidRPr="007C5A6E" w:rsidRDefault="00733428" w:rsidP="00733428">
      <w:pPr>
        <w:spacing w:after="0"/>
        <w:rPr>
          <w:rFonts w:ascii="Times New Roman" w:hAnsi="Times New Roman"/>
          <w:sz w:val="24"/>
          <w:szCs w:val="24"/>
        </w:rPr>
      </w:pPr>
    </w:p>
    <w:p w14:paraId="7B2017AC" w14:textId="11861AC9" w:rsidR="00733428" w:rsidRPr="007C5A6E" w:rsidRDefault="00733428" w:rsidP="00A7432C">
      <w:pPr>
        <w:spacing w:after="0"/>
        <w:jc w:val="both"/>
        <w:rPr>
          <w:rFonts w:ascii="Times New Roman" w:hAnsi="Times New Roman"/>
          <w:sz w:val="24"/>
          <w:szCs w:val="24"/>
        </w:rPr>
      </w:pPr>
      <w:r w:rsidRPr="007C5A6E">
        <w:rPr>
          <w:rFonts w:ascii="Times New Roman" w:hAnsi="Times New Roman"/>
          <w:sz w:val="24"/>
          <w:szCs w:val="24"/>
        </w:rPr>
        <w:t>Six rapports thématiques ont été produits pour les besoins du REEB</w:t>
      </w:r>
      <w:r w:rsidR="005A4A90" w:rsidRPr="007C5A6E">
        <w:rPr>
          <w:rFonts w:ascii="Times New Roman" w:hAnsi="Times New Roman"/>
          <w:sz w:val="24"/>
          <w:szCs w:val="24"/>
        </w:rPr>
        <w:t>-5</w:t>
      </w:r>
      <w:r w:rsidRPr="007C5A6E">
        <w:rPr>
          <w:rFonts w:ascii="Times New Roman" w:hAnsi="Times New Roman"/>
          <w:sz w:val="24"/>
          <w:szCs w:val="24"/>
        </w:rPr>
        <w:t xml:space="preserve"> et </w:t>
      </w:r>
      <w:r w:rsidR="00A7432C">
        <w:rPr>
          <w:rFonts w:ascii="Times New Roman" w:hAnsi="Times New Roman"/>
          <w:sz w:val="24"/>
          <w:szCs w:val="24"/>
        </w:rPr>
        <w:t>peuvent</w:t>
      </w:r>
      <w:r w:rsidRPr="007C5A6E">
        <w:rPr>
          <w:rFonts w:ascii="Times New Roman" w:hAnsi="Times New Roman"/>
          <w:sz w:val="24"/>
          <w:szCs w:val="24"/>
        </w:rPr>
        <w:t xml:space="preserve"> être consultés pour plus de détails. Ils portent sur :</w:t>
      </w:r>
    </w:p>
    <w:p w14:paraId="193914E0" w14:textId="1FB03FC5" w:rsidR="00733428" w:rsidRPr="007C5A6E" w:rsidRDefault="005A4A90" w:rsidP="003F3821">
      <w:pPr>
        <w:numPr>
          <w:ilvl w:val="0"/>
          <w:numId w:val="44"/>
        </w:numPr>
        <w:spacing w:after="0"/>
        <w:contextualSpacing/>
        <w:rPr>
          <w:rFonts w:ascii="Times New Roman" w:hAnsi="Times New Roman"/>
          <w:sz w:val="24"/>
          <w:szCs w:val="24"/>
        </w:rPr>
      </w:pPr>
      <w:r w:rsidRPr="007C5A6E">
        <w:rPr>
          <w:rFonts w:ascii="Times New Roman" w:hAnsi="Times New Roman"/>
          <w:sz w:val="24"/>
          <w:szCs w:val="24"/>
        </w:rPr>
        <w:t xml:space="preserve">Changements climatiques et Catastrophes naturelles </w:t>
      </w:r>
    </w:p>
    <w:p w14:paraId="3DE2A4B9" w14:textId="6692A78E" w:rsidR="00733428" w:rsidRPr="007C5A6E" w:rsidRDefault="005A4A90" w:rsidP="003F3821">
      <w:pPr>
        <w:numPr>
          <w:ilvl w:val="0"/>
          <w:numId w:val="44"/>
        </w:numPr>
        <w:spacing w:after="0"/>
        <w:contextualSpacing/>
        <w:rPr>
          <w:rFonts w:ascii="Times New Roman" w:hAnsi="Times New Roman"/>
          <w:sz w:val="24"/>
          <w:szCs w:val="24"/>
        </w:rPr>
      </w:pPr>
      <w:r w:rsidRPr="007C5A6E">
        <w:rPr>
          <w:rFonts w:ascii="Times New Roman" w:hAnsi="Times New Roman"/>
          <w:sz w:val="24"/>
          <w:szCs w:val="24"/>
        </w:rPr>
        <w:t>E</w:t>
      </w:r>
      <w:r w:rsidR="00733428" w:rsidRPr="007C5A6E">
        <w:rPr>
          <w:rFonts w:ascii="Times New Roman" w:hAnsi="Times New Roman"/>
          <w:sz w:val="24"/>
          <w:szCs w:val="24"/>
        </w:rPr>
        <w:t>tat des ressources en eau ;</w:t>
      </w:r>
    </w:p>
    <w:p w14:paraId="3AD634C2" w14:textId="39084F58" w:rsidR="00733428" w:rsidRPr="007C5A6E" w:rsidRDefault="005A4A90" w:rsidP="003F3821">
      <w:pPr>
        <w:numPr>
          <w:ilvl w:val="0"/>
          <w:numId w:val="44"/>
        </w:numPr>
        <w:spacing w:after="0"/>
        <w:contextualSpacing/>
        <w:rPr>
          <w:rFonts w:ascii="Times New Roman" w:hAnsi="Times New Roman"/>
          <w:sz w:val="24"/>
          <w:szCs w:val="24"/>
        </w:rPr>
      </w:pPr>
      <w:r w:rsidRPr="007C5A6E">
        <w:rPr>
          <w:rFonts w:ascii="Times New Roman" w:hAnsi="Times New Roman"/>
          <w:sz w:val="24"/>
          <w:szCs w:val="24"/>
        </w:rPr>
        <w:t>Et</w:t>
      </w:r>
      <w:r w:rsidR="00733428" w:rsidRPr="007C5A6E">
        <w:rPr>
          <w:rFonts w:ascii="Times New Roman" w:hAnsi="Times New Roman"/>
          <w:sz w:val="24"/>
          <w:szCs w:val="24"/>
        </w:rPr>
        <w:t xml:space="preserve">at et dynamique des sols ; </w:t>
      </w:r>
    </w:p>
    <w:p w14:paraId="46B2D15D" w14:textId="07D04208" w:rsidR="00733428" w:rsidRPr="007C5A6E" w:rsidRDefault="005A4A90" w:rsidP="003F3821">
      <w:pPr>
        <w:numPr>
          <w:ilvl w:val="0"/>
          <w:numId w:val="44"/>
        </w:numPr>
        <w:spacing w:after="0"/>
        <w:contextualSpacing/>
        <w:rPr>
          <w:rFonts w:ascii="Times New Roman" w:hAnsi="Times New Roman"/>
          <w:sz w:val="24"/>
          <w:szCs w:val="24"/>
        </w:rPr>
      </w:pPr>
      <w:r w:rsidRPr="007C5A6E">
        <w:rPr>
          <w:rFonts w:ascii="Times New Roman" w:hAnsi="Times New Roman"/>
          <w:sz w:val="24"/>
          <w:szCs w:val="24"/>
        </w:rPr>
        <w:t>B</w:t>
      </w:r>
      <w:r w:rsidR="00733428" w:rsidRPr="007C5A6E">
        <w:rPr>
          <w:rFonts w:ascii="Times New Roman" w:hAnsi="Times New Roman"/>
          <w:sz w:val="24"/>
          <w:szCs w:val="24"/>
        </w:rPr>
        <w:t>iodiversité </w:t>
      </w:r>
      <w:r w:rsidRPr="007C5A6E">
        <w:rPr>
          <w:rFonts w:ascii="Times New Roman" w:hAnsi="Times New Roman"/>
          <w:sz w:val="24"/>
          <w:szCs w:val="24"/>
        </w:rPr>
        <w:t>et Climat ;</w:t>
      </w:r>
      <w:r w:rsidR="00733428" w:rsidRPr="007C5A6E">
        <w:rPr>
          <w:rFonts w:ascii="Times New Roman" w:hAnsi="Times New Roman"/>
          <w:sz w:val="24"/>
          <w:szCs w:val="24"/>
        </w:rPr>
        <w:t xml:space="preserve"> </w:t>
      </w:r>
    </w:p>
    <w:p w14:paraId="6EB6BAFD" w14:textId="0A931D33" w:rsidR="005A4A90" w:rsidRPr="007C5A6E" w:rsidRDefault="005A4A90" w:rsidP="003F3821">
      <w:pPr>
        <w:numPr>
          <w:ilvl w:val="0"/>
          <w:numId w:val="44"/>
        </w:numPr>
        <w:spacing w:after="0"/>
        <w:contextualSpacing/>
        <w:rPr>
          <w:rFonts w:ascii="Times New Roman" w:hAnsi="Times New Roman"/>
          <w:sz w:val="24"/>
          <w:szCs w:val="24"/>
        </w:rPr>
      </w:pPr>
      <w:r w:rsidRPr="007C5A6E">
        <w:rPr>
          <w:rFonts w:ascii="Times New Roman" w:hAnsi="Times New Roman"/>
          <w:sz w:val="24"/>
          <w:szCs w:val="24"/>
        </w:rPr>
        <w:t xml:space="preserve">Urbanisation, pauvreté et environnement </w:t>
      </w:r>
    </w:p>
    <w:p w14:paraId="654EB3F0" w14:textId="0944C452" w:rsidR="00733428" w:rsidRPr="007C5A6E" w:rsidRDefault="005A4A90" w:rsidP="003F3821">
      <w:pPr>
        <w:numPr>
          <w:ilvl w:val="0"/>
          <w:numId w:val="44"/>
        </w:numPr>
        <w:spacing w:after="0"/>
        <w:contextualSpacing/>
        <w:rPr>
          <w:rFonts w:ascii="Times New Roman" w:hAnsi="Times New Roman"/>
          <w:sz w:val="24"/>
          <w:szCs w:val="24"/>
        </w:rPr>
      </w:pPr>
      <w:r w:rsidRPr="007C5A6E">
        <w:rPr>
          <w:rFonts w:ascii="Times New Roman" w:hAnsi="Times New Roman"/>
          <w:sz w:val="24"/>
          <w:szCs w:val="24"/>
        </w:rPr>
        <w:t>E</w:t>
      </w:r>
      <w:r w:rsidR="00733428" w:rsidRPr="007C5A6E">
        <w:rPr>
          <w:rFonts w:ascii="Times New Roman" w:hAnsi="Times New Roman"/>
          <w:sz w:val="24"/>
          <w:szCs w:val="24"/>
        </w:rPr>
        <w:t>nvironnement et santé.</w:t>
      </w:r>
    </w:p>
    <w:p w14:paraId="1759F806" w14:textId="77777777" w:rsidR="00733428" w:rsidRPr="007C5A6E" w:rsidRDefault="00733428" w:rsidP="00733428">
      <w:pPr>
        <w:spacing w:after="0"/>
        <w:rPr>
          <w:rFonts w:ascii="Times New Roman" w:hAnsi="Times New Roman"/>
          <w:sz w:val="24"/>
          <w:szCs w:val="24"/>
        </w:rPr>
      </w:pPr>
    </w:p>
    <w:p w14:paraId="718CBEFD" w14:textId="77777777" w:rsidR="00733428" w:rsidRPr="007C5A6E" w:rsidRDefault="00733428" w:rsidP="00733428">
      <w:pPr>
        <w:spacing w:after="0"/>
        <w:rPr>
          <w:rFonts w:ascii="Times New Roman" w:hAnsi="Times New Roman"/>
          <w:sz w:val="24"/>
          <w:szCs w:val="24"/>
        </w:rPr>
      </w:pPr>
      <w:r w:rsidRPr="007C5A6E">
        <w:rPr>
          <w:rFonts w:ascii="Times New Roman" w:hAnsi="Times New Roman"/>
          <w:sz w:val="24"/>
          <w:szCs w:val="24"/>
        </w:rPr>
        <w:t xml:space="preserve"> </w:t>
      </w:r>
    </w:p>
    <w:p w14:paraId="61D9C6E6" w14:textId="77777777" w:rsidR="00857104" w:rsidRPr="007C5A6E" w:rsidRDefault="00857104" w:rsidP="00857104">
      <w:pPr>
        <w:spacing w:after="0" w:line="240" w:lineRule="auto"/>
        <w:rPr>
          <w:rFonts w:ascii="Times New Roman" w:hAnsi="Times New Roman"/>
          <w:sz w:val="24"/>
          <w:szCs w:val="24"/>
        </w:rPr>
      </w:pPr>
    </w:p>
    <w:p w14:paraId="59B8B21E" w14:textId="77777777" w:rsidR="00857104" w:rsidRPr="007C5A6E" w:rsidRDefault="00857104" w:rsidP="00857104">
      <w:pPr>
        <w:spacing w:after="0" w:line="240" w:lineRule="auto"/>
        <w:rPr>
          <w:rFonts w:ascii="Times New Roman" w:hAnsi="Times New Roman"/>
          <w:sz w:val="24"/>
          <w:szCs w:val="24"/>
        </w:rPr>
      </w:pPr>
    </w:p>
    <w:p w14:paraId="1F445AB7" w14:textId="77777777" w:rsidR="00857104" w:rsidRPr="007C5A6E" w:rsidRDefault="00857104" w:rsidP="00857104">
      <w:pPr>
        <w:spacing w:after="0" w:line="240" w:lineRule="auto"/>
        <w:rPr>
          <w:rFonts w:ascii="Times New Roman" w:hAnsi="Times New Roman"/>
          <w:sz w:val="24"/>
          <w:szCs w:val="24"/>
        </w:rPr>
      </w:pPr>
    </w:p>
    <w:p w14:paraId="68764749" w14:textId="77777777" w:rsidR="00857104" w:rsidRPr="007C5A6E" w:rsidRDefault="00857104" w:rsidP="00857104">
      <w:pPr>
        <w:spacing w:after="0" w:line="240" w:lineRule="auto"/>
        <w:rPr>
          <w:rFonts w:ascii="Times New Roman" w:hAnsi="Times New Roman"/>
          <w:sz w:val="24"/>
          <w:szCs w:val="24"/>
        </w:rPr>
      </w:pPr>
    </w:p>
    <w:p w14:paraId="4EBB3149" w14:textId="77777777" w:rsidR="00A340F1" w:rsidRPr="007C5A6E" w:rsidRDefault="00A340F1" w:rsidP="00857104">
      <w:pPr>
        <w:spacing w:after="0" w:line="240" w:lineRule="auto"/>
        <w:rPr>
          <w:rFonts w:ascii="Times New Roman" w:hAnsi="Times New Roman"/>
          <w:sz w:val="24"/>
          <w:szCs w:val="24"/>
        </w:rPr>
      </w:pPr>
    </w:p>
    <w:p w14:paraId="105CB984" w14:textId="77777777" w:rsidR="00A340F1" w:rsidRPr="007C5A6E" w:rsidRDefault="00A340F1" w:rsidP="00857104">
      <w:pPr>
        <w:spacing w:after="0" w:line="240" w:lineRule="auto"/>
        <w:rPr>
          <w:rFonts w:ascii="Times New Roman" w:hAnsi="Times New Roman"/>
          <w:sz w:val="24"/>
          <w:szCs w:val="24"/>
        </w:rPr>
      </w:pPr>
    </w:p>
    <w:p w14:paraId="1DFE2D15" w14:textId="77777777" w:rsidR="00A340F1" w:rsidRPr="007C5A6E" w:rsidRDefault="00A340F1" w:rsidP="00857104">
      <w:pPr>
        <w:spacing w:after="0" w:line="240" w:lineRule="auto"/>
        <w:rPr>
          <w:rFonts w:ascii="Times New Roman" w:hAnsi="Times New Roman"/>
          <w:sz w:val="24"/>
          <w:szCs w:val="24"/>
        </w:rPr>
      </w:pPr>
    </w:p>
    <w:p w14:paraId="1231B7B5" w14:textId="77777777" w:rsidR="00A340F1" w:rsidRPr="007C5A6E" w:rsidRDefault="00A340F1" w:rsidP="00857104">
      <w:pPr>
        <w:spacing w:after="0" w:line="240" w:lineRule="auto"/>
        <w:rPr>
          <w:rFonts w:ascii="Times New Roman" w:hAnsi="Times New Roman"/>
          <w:sz w:val="24"/>
          <w:szCs w:val="24"/>
        </w:rPr>
      </w:pPr>
    </w:p>
    <w:p w14:paraId="675686DD" w14:textId="77777777" w:rsidR="00A340F1" w:rsidRPr="007C5A6E" w:rsidRDefault="00A340F1" w:rsidP="00857104">
      <w:pPr>
        <w:spacing w:after="0" w:line="240" w:lineRule="auto"/>
        <w:rPr>
          <w:rFonts w:ascii="Times New Roman" w:hAnsi="Times New Roman"/>
          <w:sz w:val="24"/>
          <w:szCs w:val="24"/>
        </w:rPr>
      </w:pPr>
    </w:p>
    <w:p w14:paraId="4DF00E96" w14:textId="77777777" w:rsidR="00A340F1" w:rsidRPr="007C5A6E" w:rsidRDefault="00A340F1" w:rsidP="00857104">
      <w:pPr>
        <w:spacing w:after="0" w:line="240" w:lineRule="auto"/>
        <w:rPr>
          <w:rFonts w:ascii="Times New Roman" w:hAnsi="Times New Roman"/>
          <w:sz w:val="24"/>
          <w:szCs w:val="24"/>
        </w:rPr>
      </w:pPr>
    </w:p>
    <w:p w14:paraId="1407073E" w14:textId="77777777" w:rsidR="00A340F1" w:rsidRPr="007C5A6E" w:rsidRDefault="00A340F1" w:rsidP="00857104">
      <w:pPr>
        <w:spacing w:after="0" w:line="240" w:lineRule="auto"/>
        <w:rPr>
          <w:rFonts w:ascii="Times New Roman" w:hAnsi="Times New Roman"/>
          <w:sz w:val="24"/>
          <w:szCs w:val="24"/>
        </w:rPr>
      </w:pPr>
    </w:p>
    <w:p w14:paraId="6CAD92BD" w14:textId="77777777" w:rsidR="00A340F1" w:rsidRPr="007C5A6E" w:rsidRDefault="00A340F1" w:rsidP="00857104">
      <w:pPr>
        <w:spacing w:after="0" w:line="240" w:lineRule="auto"/>
        <w:rPr>
          <w:rFonts w:ascii="Times New Roman" w:hAnsi="Times New Roman"/>
          <w:sz w:val="24"/>
          <w:szCs w:val="24"/>
        </w:rPr>
        <w:sectPr w:rsidR="00A340F1" w:rsidRPr="007C5A6E" w:rsidSect="006514BA">
          <w:pgSz w:w="11907" w:h="16840" w:code="9"/>
          <w:pgMar w:top="1191" w:right="1361" w:bottom="1191" w:left="1361" w:header="709" w:footer="709" w:gutter="0"/>
          <w:pgNumType w:fmt="lowerRoman" w:start="1"/>
          <w:cols w:space="708"/>
          <w:docGrid w:linePitch="360"/>
        </w:sectPr>
      </w:pPr>
    </w:p>
    <w:p w14:paraId="319C955E" w14:textId="77777777" w:rsidR="00A340F1" w:rsidRPr="007C5A6E" w:rsidRDefault="00A340F1" w:rsidP="00A340F1">
      <w:pPr>
        <w:pStyle w:val="Titre1"/>
        <w:numPr>
          <w:ilvl w:val="0"/>
          <w:numId w:val="0"/>
        </w:numPr>
        <w:spacing w:before="0"/>
        <w:rPr>
          <w:sz w:val="32"/>
        </w:rPr>
      </w:pPr>
      <w:bookmarkStart w:id="2" w:name="_Toc183339995"/>
      <w:r w:rsidRPr="007C5A6E">
        <w:rPr>
          <w:sz w:val="32"/>
        </w:rPr>
        <w:t>RESUME</w:t>
      </w:r>
      <w:bookmarkEnd w:id="2"/>
      <w:r w:rsidRPr="007C5A6E">
        <w:rPr>
          <w:sz w:val="32"/>
        </w:rPr>
        <w:t xml:space="preserve"> </w:t>
      </w:r>
    </w:p>
    <w:p w14:paraId="2C142F56" w14:textId="77777777" w:rsidR="00A340F1" w:rsidRPr="007C5A6E" w:rsidRDefault="00A340F1" w:rsidP="00857104">
      <w:pPr>
        <w:spacing w:after="0" w:line="240" w:lineRule="auto"/>
        <w:rPr>
          <w:rFonts w:ascii="Times New Roman" w:hAnsi="Times New Roman"/>
          <w:sz w:val="24"/>
          <w:szCs w:val="24"/>
        </w:rPr>
      </w:pPr>
    </w:p>
    <w:p w14:paraId="53DC22A9" w14:textId="6BEE7397" w:rsidR="00A340F1" w:rsidRPr="007C5A6E" w:rsidRDefault="00A7432C" w:rsidP="00857104">
      <w:pPr>
        <w:spacing w:after="0" w:line="240" w:lineRule="auto"/>
        <w:rPr>
          <w:rFonts w:ascii="Times New Roman" w:hAnsi="Times New Roman"/>
          <w:sz w:val="24"/>
          <w:szCs w:val="24"/>
        </w:rPr>
      </w:pPr>
      <w:r w:rsidRPr="00A7432C">
        <w:rPr>
          <w:rFonts w:ascii="Times New Roman" w:hAnsi="Times New Roman"/>
          <w:sz w:val="24"/>
          <w:szCs w:val="24"/>
          <w:highlight w:val="yellow"/>
        </w:rPr>
        <w:t>A compléter</w:t>
      </w:r>
      <w:r>
        <w:rPr>
          <w:rFonts w:ascii="Times New Roman" w:hAnsi="Times New Roman"/>
          <w:sz w:val="24"/>
          <w:szCs w:val="24"/>
        </w:rPr>
        <w:t xml:space="preserve"> </w:t>
      </w:r>
    </w:p>
    <w:p w14:paraId="5F44E6F0" w14:textId="77777777" w:rsidR="00A340F1" w:rsidRPr="007C5A6E" w:rsidRDefault="00A340F1" w:rsidP="00857104">
      <w:pPr>
        <w:spacing w:after="0" w:line="240" w:lineRule="auto"/>
        <w:rPr>
          <w:rFonts w:ascii="Times New Roman" w:hAnsi="Times New Roman"/>
          <w:sz w:val="24"/>
          <w:szCs w:val="24"/>
        </w:rPr>
      </w:pPr>
    </w:p>
    <w:p w14:paraId="1E24A6E1" w14:textId="7601DAD0" w:rsidR="00A340F1" w:rsidRPr="007C5A6E" w:rsidRDefault="00A340F1" w:rsidP="00857104">
      <w:pPr>
        <w:spacing w:after="0" w:line="240" w:lineRule="auto"/>
        <w:rPr>
          <w:rFonts w:ascii="Times New Roman" w:hAnsi="Times New Roman"/>
          <w:sz w:val="24"/>
          <w:szCs w:val="24"/>
        </w:rPr>
        <w:sectPr w:rsidR="00A340F1" w:rsidRPr="007C5A6E" w:rsidSect="006514BA">
          <w:pgSz w:w="11907" w:h="16840" w:code="9"/>
          <w:pgMar w:top="1191" w:right="1361" w:bottom="1191" w:left="1361" w:header="709" w:footer="709" w:gutter="0"/>
          <w:pgNumType w:fmt="lowerRoman"/>
          <w:cols w:space="708"/>
          <w:docGrid w:linePitch="360"/>
        </w:sectPr>
      </w:pPr>
    </w:p>
    <w:p w14:paraId="4C83E5D8" w14:textId="711B8CA1" w:rsidR="005E7B17" w:rsidRPr="007C5A6E" w:rsidRDefault="00A340F1" w:rsidP="00857104">
      <w:pPr>
        <w:pStyle w:val="Titre1"/>
        <w:numPr>
          <w:ilvl w:val="0"/>
          <w:numId w:val="0"/>
        </w:numPr>
        <w:spacing w:before="0"/>
        <w:rPr>
          <w:kern w:val="2"/>
          <w:sz w:val="32"/>
          <w:lang w:eastAsia="en-US"/>
          <w14:ligatures w14:val="standardContextual"/>
        </w:rPr>
      </w:pPr>
      <w:bookmarkStart w:id="3" w:name="_Toc183339996"/>
      <w:r w:rsidRPr="007C5A6E">
        <w:rPr>
          <w:kern w:val="2"/>
          <w:sz w:val="32"/>
          <w:lang w:eastAsia="en-US"/>
          <w14:ligatures w14:val="standardContextual"/>
        </w:rPr>
        <w:t>TABLE DES MATIERES</w:t>
      </w:r>
      <w:bookmarkEnd w:id="3"/>
    </w:p>
    <w:p w14:paraId="28A1620E" w14:textId="77777777" w:rsidR="00857104" w:rsidRPr="00A7432C" w:rsidRDefault="00857104" w:rsidP="00A7432C">
      <w:pPr>
        <w:spacing w:after="0"/>
        <w:rPr>
          <w:rFonts w:ascii="Times New Roman" w:hAnsi="Times New Roman"/>
        </w:rPr>
      </w:pPr>
    </w:p>
    <w:p w14:paraId="4569C4A0" w14:textId="136F0611" w:rsidR="00A7432C" w:rsidRPr="00A7432C" w:rsidRDefault="000E1BA6" w:rsidP="00A7432C">
      <w:pPr>
        <w:pStyle w:val="TM1"/>
        <w:tabs>
          <w:tab w:val="right" w:leader="dot" w:pos="9175"/>
        </w:tabs>
        <w:spacing w:before="0" w:after="0"/>
        <w:rPr>
          <w:rFonts w:ascii="Times New Roman" w:eastAsiaTheme="minorEastAsia" w:hAnsi="Times New Roman" w:cs="Times New Roman"/>
          <w:b w:val="0"/>
          <w:bCs w:val="0"/>
          <w:caps w:val="0"/>
          <w:noProof/>
          <w:kern w:val="2"/>
          <w:sz w:val="22"/>
          <w:szCs w:val="22"/>
          <w:lang w:val="fr-BF" w:eastAsia="fr-BF"/>
          <w14:ligatures w14:val="standardContextual"/>
        </w:rPr>
      </w:pPr>
      <w:r w:rsidRPr="00A7432C">
        <w:rPr>
          <w:rFonts w:ascii="Times New Roman" w:hAnsi="Times New Roman" w:cs="Times New Roman"/>
          <w:b w:val="0"/>
          <w:bCs w:val="0"/>
          <w:caps w:val="0"/>
          <w:sz w:val="22"/>
          <w:szCs w:val="22"/>
        </w:rPr>
        <w:fldChar w:fldCharType="begin"/>
      </w:r>
      <w:r w:rsidRPr="00A7432C">
        <w:rPr>
          <w:rFonts w:ascii="Times New Roman" w:hAnsi="Times New Roman" w:cs="Times New Roman"/>
          <w:b w:val="0"/>
          <w:bCs w:val="0"/>
          <w:caps w:val="0"/>
          <w:sz w:val="22"/>
          <w:szCs w:val="22"/>
        </w:rPr>
        <w:instrText xml:space="preserve"> TOC \o "1-5" \h \z \u </w:instrText>
      </w:r>
      <w:r w:rsidRPr="00A7432C">
        <w:rPr>
          <w:rFonts w:ascii="Times New Roman" w:hAnsi="Times New Roman" w:cs="Times New Roman"/>
          <w:b w:val="0"/>
          <w:bCs w:val="0"/>
          <w:caps w:val="0"/>
          <w:sz w:val="22"/>
          <w:szCs w:val="22"/>
        </w:rPr>
        <w:fldChar w:fldCharType="separate"/>
      </w:r>
      <w:hyperlink w:anchor="_Toc183339994" w:history="1">
        <w:r w:rsidR="00A7432C" w:rsidRPr="00A7432C">
          <w:rPr>
            <w:rStyle w:val="Lienhypertexte"/>
            <w:rFonts w:ascii="Times New Roman" w:eastAsiaTheme="majorEastAsia" w:hAnsi="Times New Roman" w:cs="Times New Roman"/>
            <w:noProof/>
            <w:sz w:val="22"/>
            <w:szCs w:val="22"/>
          </w:rPr>
          <w:t>AVANT PROPOS</w:t>
        </w:r>
        <w:r w:rsidR="00A7432C" w:rsidRPr="00A7432C">
          <w:rPr>
            <w:rFonts w:ascii="Times New Roman" w:hAnsi="Times New Roman" w:cs="Times New Roman"/>
            <w:noProof/>
            <w:webHidden/>
            <w:sz w:val="22"/>
            <w:szCs w:val="22"/>
          </w:rPr>
          <w:tab/>
        </w:r>
        <w:r w:rsidR="00A7432C" w:rsidRPr="00A7432C">
          <w:rPr>
            <w:rFonts w:ascii="Times New Roman" w:hAnsi="Times New Roman" w:cs="Times New Roman"/>
            <w:noProof/>
            <w:webHidden/>
            <w:sz w:val="22"/>
            <w:szCs w:val="22"/>
          </w:rPr>
          <w:fldChar w:fldCharType="begin"/>
        </w:r>
        <w:r w:rsidR="00A7432C" w:rsidRPr="00A7432C">
          <w:rPr>
            <w:rFonts w:ascii="Times New Roman" w:hAnsi="Times New Roman" w:cs="Times New Roman"/>
            <w:noProof/>
            <w:webHidden/>
            <w:sz w:val="22"/>
            <w:szCs w:val="22"/>
          </w:rPr>
          <w:instrText xml:space="preserve"> PAGEREF _Toc183339994 \h </w:instrText>
        </w:r>
        <w:r w:rsidR="00A7432C" w:rsidRPr="00A7432C">
          <w:rPr>
            <w:rFonts w:ascii="Times New Roman" w:hAnsi="Times New Roman" w:cs="Times New Roman"/>
            <w:noProof/>
            <w:webHidden/>
            <w:sz w:val="22"/>
            <w:szCs w:val="22"/>
          </w:rPr>
        </w:r>
        <w:r w:rsidR="00A7432C"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i</w:t>
        </w:r>
        <w:r w:rsidR="00A7432C" w:rsidRPr="00A7432C">
          <w:rPr>
            <w:rFonts w:ascii="Times New Roman" w:hAnsi="Times New Roman" w:cs="Times New Roman"/>
            <w:noProof/>
            <w:webHidden/>
            <w:sz w:val="22"/>
            <w:szCs w:val="22"/>
          </w:rPr>
          <w:fldChar w:fldCharType="end"/>
        </w:r>
      </w:hyperlink>
    </w:p>
    <w:p w14:paraId="05A90FE9" w14:textId="7FA34955" w:rsidR="00A7432C" w:rsidRPr="00A7432C" w:rsidRDefault="00A7432C" w:rsidP="00A7432C">
      <w:pPr>
        <w:pStyle w:val="TM1"/>
        <w:tabs>
          <w:tab w:val="right" w:leader="dot" w:pos="9175"/>
        </w:tabs>
        <w:spacing w:before="0" w:after="0"/>
        <w:rPr>
          <w:rFonts w:ascii="Times New Roman" w:eastAsiaTheme="minorEastAsia" w:hAnsi="Times New Roman" w:cs="Times New Roman"/>
          <w:b w:val="0"/>
          <w:bCs w:val="0"/>
          <w:caps w:val="0"/>
          <w:noProof/>
          <w:kern w:val="2"/>
          <w:sz w:val="22"/>
          <w:szCs w:val="22"/>
          <w:lang w:val="fr-BF" w:eastAsia="fr-BF"/>
          <w14:ligatures w14:val="standardContextual"/>
        </w:rPr>
      </w:pPr>
      <w:hyperlink w:anchor="_Toc183339995" w:history="1">
        <w:r w:rsidRPr="00A7432C">
          <w:rPr>
            <w:rStyle w:val="Lienhypertexte"/>
            <w:rFonts w:ascii="Times New Roman" w:eastAsiaTheme="majorEastAsia" w:hAnsi="Times New Roman" w:cs="Times New Roman"/>
            <w:noProof/>
            <w:sz w:val="22"/>
            <w:szCs w:val="22"/>
          </w:rPr>
          <w:t>RESUME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_Toc183339995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ii</w:t>
        </w:r>
        <w:r w:rsidRPr="00A7432C">
          <w:rPr>
            <w:rFonts w:ascii="Times New Roman" w:hAnsi="Times New Roman" w:cs="Times New Roman"/>
            <w:noProof/>
            <w:webHidden/>
            <w:sz w:val="22"/>
            <w:szCs w:val="22"/>
          </w:rPr>
          <w:fldChar w:fldCharType="end"/>
        </w:r>
      </w:hyperlink>
    </w:p>
    <w:p w14:paraId="41D412B2" w14:textId="4E6EF03C" w:rsidR="00A7432C" w:rsidRPr="00A7432C" w:rsidRDefault="00A7432C" w:rsidP="00A7432C">
      <w:pPr>
        <w:pStyle w:val="TM1"/>
        <w:tabs>
          <w:tab w:val="right" w:leader="dot" w:pos="9175"/>
        </w:tabs>
        <w:spacing w:before="0" w:after="0"/>
        <w:rPr>
          <w:rFonts w:ascii="Times New Roman" w:eastAsiaTheme="minorEastAsia" w:hAnsi="Times New Roman" w:cs="Times New Roman"/>
          <w:b w:val="0"/>
          <w:bCs w:val="0"/>
          <w:caps w:val="0"/>
          <w:noProof/>
          <w:kern w:val="2"/>
          <w:sz w:val="22"/>
          <w:szCs w:val="22"/>
          <w:lang w:val="fr-BF" w:eastAsia="fr-BF"/>
          <w14:ligatures w14:val="standardContextual"/>
        </w:rPr>
      </w:pPr>
      <w:hyperlink w:anchor="_Toc183339996" w:history="1">
        <w:r w:rsidRPr="00A7432C">
          <w:rPr>
            <w:rStyle w:val="Lienhypertexte"/>
            <w:rFonts w:ascii="Times New Roman" w:eastAsiaTheme="majorEastAsia" w:hAnsi="Times New Roman" w:cs="Times New Roman"/>
            <w:noProof/>
            <w:sz w:val="22"/>
            <w:szCs w:val="22"/>
            <w:lang w:eastAsia="en-US"/>
          </w:rPr>
          <w:t>TABLE DES MATIERES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_Toc183339996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iii</w:t>
        </w:r>
        <w:r w:rsidRPr="00A7432C">
          <w:rPr>
            <w:rFonts w:ascii="Times New Roman" w:hAnsi="Times New Roman" w:cs="Times New Roman"/>
            <w:noProof/>
            <w:webHidden/>
            <w:sz w:val="22"/>
            <w:szCs w:val="22"/>
          </w:rPr>
          <w:fldChar w:fldCharType="end"/>
        </w:r>
      </w:hyperlink>
    </w:p>
    <w:p w14:paraId="7FDE0137" w14:textId="7D5D1F91" w:rsidR="00A7432C" w:rsidRPr="00A7432C" w:rsidRDefault="00A7432C" w:rsidP="00A7432C">
      <w:pPr>
        <w:pStyle w:val="TM1"/>
        <w:tabs>
          <w:tab w:val="right" w:leader="dot" w:pos="9175"/>
        </w:tabs>
        <w:spacing w:before="0" w:after="0"/>
        <w:rPr>
          <w:rFonts w:ascii="Times New Roman" w:eastAsiaTheme="minorEastAsia" w:hAnsi="Times New Roman" w:cs="Times New Roman"/>
          <w:b w:val="0"/>
          <w:bCs w:val="0"/>
          <w:caps w:val="0"/>
          <w:noProof/>
          <w:kern w:val="2"/>
          <w:sz w:val="22"/>
          <w:szCs w:val="22"/>
          <w:lang w:val="fr-BF" w:eastAsia="fr-BF"/>
          <w14:ligatures w14:val="standardContextual"/>
        </w:rPr>
      </w:pPr>
      <w:hyperlink w:anchor="_Toc183339997" w:history="1">
        <w:r w:rsidRPr="00A7432C">
          <w:rPr>
            <w:rStyle w:val="Lienhypertexte"/>
            <w:rFonts w:ascii="Times New Roman" w:eastAsiaTheme="majorEastAsia" w:hAnsi="Times New Roman" w:cs="Times New Roman"/>
            <w:noProof/>
            <w:sz w:val="22"/>
            <w:szCs w:val="22"/>
            <w:lang w:eastAsia="en-US"/>
          </w:rPr>
          <w:t>Liste des tableaux</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_Toc183339997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xi</w:t>
        </w:r>
        <w:r w:rsidRPr="00A7432C">
          <w:rPr>
            <w:rFonts w:ascii="Times New Roman" w:hAnsi="Times New Roman" w:cs="Times New Roman"/>
            <w:noProof/>
            <w:webHidden/>
            <w:sz w:val="22"/>
            <w:szCs w:val="22"/>
          </w:rPr>
          <w:fldChar w:fldCharType="end"/>
        </w:r>
      </w:hyperlink>
    </w:p>
    <w:p w14:paraId="02E190EC" w14:textId="24E50206" w:rsidR="00A7432C" w:rsidRPr="00A7432C" w:rsidRDefault="00A7432C" w:rsidP="00A7432C">
      <w:pPr>
        <w:pStyle w:val="TM1"/>
        <w:tabs>
          <w:tab w:val="right" w:leader="dot" w:pos="9175"/>
        </w:tabs>
        <w:spacing w:before="0" w:after="0"/>
        <w:rPr>
          <w:rFonts w:ascii="Times New Roman" w:eastAsiaTheme="minorEastAsia" w:hAnsi="Times New Roman" w:cs="Times New Roman"/>
          <w:b w:val="0"/>
          <w:bCs w:val="0"/>
          <w:caps w:val="0"/>
          <w:noProof/>
          <w:kern w:val="2"/>
          <w:sz w:val="22"/>
          <w:szCs w:val="22"/>
          <w:lang w:val="fr-BF" w:eastAsia="fr-BF"/>
          <w14:ligatures w14:val="standardContextual"/>
        </w:rPr>
      </w:pPr>
      <w:hyperlink w:anchor="_Toc183339998" w:history="1">
        <w:r w:rsidRPr="00A7432C">
          <w:rPr>
            <w:rStyle w:val="Lienhypertexte"/>
            <w:rFonts w:ascii="Times New Roman" w:eastAsiaTheme="majorEastAsia" w:hAnsi="Times New Roman" w:cs="Times New Roman"/>
            <w:noProof/>
            <w:sz w:val="22"/>
            <w:szCs w:val="22"/>
            <w:lang w:eastAsia="en-US"/>
          </w:rPr>
          <w:t>Liste des figures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_Toc183339998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xv</w:t>
        </w:r>
        <w:r w:rsidRPr="00A7432C">
          <w:rPr>
            <w:rFonts w:ascii="Times New Roman" w:hAnsi="Times New Roman" w:cs="Times New Roman"/>
            <w:noProof/>
            <w:webHidden/>
            <w:sz w:val="22"/>
            <w:szCs w:val="22"/>
          </w:rPr>
          <w:fldChar w:fldCharType="end"/>
        </w:r>
      </w:hyperlink>
    </w:p>
    <w:p w14:paraId="22815D9E" w14:textId="138AA224" w:rsidR="00A7432C" w:rsidRPr="00A7432C" w:rsidRDefault="00A7432C" w:rsidP="00A7432C">
      <w:pPr>
        <w:pStyle w:val="TM1"/>
        <w:tabs>
          <w:tab w:val="right" w:leader="dot" w:pos="9175"/>
        </w:tabs>
        <w:spacing w:before="0" w:after="0"/>
        <w:rPr>
          <w:rFonts w:ascii="Times New Roman" w:eastAsiaTheme="minorEastAsia" w:hAnsi="Times New Roman" w:cs="Times New Roman"/>
          <w:b w:val="0"/>
          <w:bCs w:val="0"/>
          <w:caps w:val="0"/>
          <w:noProof/>
          <w:kern w:val="2"/>
          <w:sz w:val="22"/>
          <w:szCs w:val="22"/>
          <w:lang w:val="fr-BF" w:eastAsia="fr-BF"/>
          <w14:ligatures w14:val="standardContextual"/>
        </w:rPr>
      </w:pPr>
      <w:hyperlink w:anchor="_Toc183339999" w:history="1">
        <w:r w:rsidRPr="00A7432C">
          <w:rPr>
            <w:rStyle w:val="Lienhypertexte"/>
            <w:rFonts w:ascii="Times New Roman" w:eastAsiaTheme="majorEastAsia" w:hAnsi="Times New Roman" w:cs="Times New Roman"/>
            <w:noProof/>
            <w:sz w:val="22"/>
            <w:szCs w:val="22"/>
            <w:lang w:eastAsia="en-US"/>
          </w:rPr>
          <w:t>Liste des photos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_Toc183339999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xviii</w:t>
        </w:r>
        <w:r w:rsidRPr="00A7432C">
          <w:rPr>
            <w:rFonts w:ascii="Times New Roman" w:hAnsi="Times New Roman" w:cs="Times New Roman"/>
            <w:noProof/>
            <w:webHidden/>
            <w:sz w:val="22"/>
            <w:szCs w:val="22"/>
          </w:rPr>
          <w:fldChar w:fldCharType="end"/>
        </w:r>
      </w:hyperlink>
    </w:p>
    <w:p w14:paraId="57F12C7F" w14:textId="38927CB5" w:rsidR="00A7432C" w:rsidRPr="00A7432C" w:rsidRDefault="00A7432C" w:rsidP="00A7432C">
      <w:pPr>
        <w:pStyle w:val="TM1"/>
        <w:tabs>
          <w:tab w:val="right" w:leader="dot" w:pos="9175"/>
        </w:tabs>
        <w:spacing w:before="0" w:after="0"/>
        <w:rPr>
          <w:rFonts w:ascii="Times New Roman" w:eastAsiaTheme="minorEastAsia" w:hAnsi="Times New Roman" w:cs="Times New Roman"/>
          <w:b w:val="0"/>
          <w:bCs w:val="0"/>
          <w:caps w:val="0"/>
          <w:noProof/>
          <w:kern w:val="2"/>
          <w:sz w:val="22"/>
          <w:szCs w:val="22"/>
          <w:lang w:val="fr-BF" w:eastAsia="fr-BF"/>
          <w14:ligatures w14:val="standardContextual"/>
        </w:rPr>
      </w:pPr>
      <w:hyperlink w:anchor="_Toc183340000" w:history="1">
        <w:r w:rsidRPr="00A7432C">
          <w:rPr>
            <w:rStyle w:val="Lienhypertexte"/>
            <w:rFonts w:ascii="Times New Roman" w:eastAsiaTheme="majorEastAsia" w:hAnsi="Times New Roman" w:cs="Times New Roman"/>
            <w:noProof/>
            <w:sz w:val="22"/>
            <w:szCs w:val="22"/>
            <w:lang w:eastAsia="en-US"/>
          </w:rPr>
          <w:t>Sigles et abréviations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_Toc183340000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xix</w:t>
        </w:r>
        <w:r w:rsidRPr="00A7432C">
          <w:rPr>
            <w:rFonts w:ascii="Times New Roman" w:hAnsi="Times New Roman" w:cs="Times New Roman"/>
            <w:noProof/>
            <w:webHidden/>
            <w:sz w:val="22"/>
            <w:szCs w:val="22"/>
          </w:rPr>
          <w:fldChar w:fldCharType="end"/>
        </w:r>
      </w:hyperlink>
    </w:p>
    <w:p w14:paraId="5A44FA86" w14:textId="14CED86C" w:rsidR="00A7432C" w:rsidRPr="00A7432C" w:rsidRDefault="00A7432C" w:rsidP="00A7432C">
      <w:pPr>
        <w:pStyle w:val="TM1"/>
        <w:tabs>
          <w:tab w:val="right" w:leader="dot" w:pos="9175"/>
        </w:tabs>
        <w:spacing w:before="0" w:after="0"/>
        <w:rPr>
          <w:rFonts w:ascii="Times New Roman" w:eastAsiaTheme="minorEastAsia" w:hAnsi="Times New Roman" w:cs="Times New Roman"/>
          <w:b w:val="0"/>
          <w:bCs w:val="0"/>
          <w:caps w:val="0"/>
          <w:noProof/>
          <w:kern w:val="2"/>
          <w:sz w:val="22"/>
          <w:szCs w:val="22"/>
          <w:lang w:val="fr-BF" w:eastAsia="fr-BF"/>
          <w14:ligatures w14:val="standardContextual"/>
        </w:rPr>
      </w:pPr>
      <w:hyperlink w:anchor="_Toc183340001" w:history="1">
        <w:r w:rsidRPr="00A7432C">
          <w:rPr>
            <w:rStyle w:val="Lienhypertexte"/>
            <w:rFonts w:ascii="Times New Roman" w:eastAsiaTheme="majorEastAsia" w:hAnsi="Times New Roman" w:cs="Times New Roman"/>
            <w:noProof/>
            <w:sz w:val="22"/>
            <w:szCs w:val="22"/>
            <w:lang w:eastAsia="en-US"/>
          </w:rPr>
          <w:t>INTRODUCTION</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_Toc183340001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w:t>
        </w:r>
        <w:r w:rsidRPr="00A7432C">
          <w:rPr>
            <w:rFonts w:ascii="Times New Roman" w:hAnsi="Times New Roman" w:cs="Times New Roman"/>
            <w:noProof/>
            <w:webHidden/>
            <w:sz w:val="22"/>
            <w:szCs w:val="22"/>
          </w:rPr>
          <w:fldChar w:fldCharType="end"/>
        </w:r>
      </w:hyperlink>
    </w:p>
    <w:p w14:paraId="234BC039" w14:textId="36305C16" w:rsidR="00A7432C" w:rsidRPr="00A7432C" w:rsidRDefault="00A7432C" w:rsidP="00A7432C">
      <w:pPr>
        <w:pStyle w:val="TM1"/>
        <w:tabs>
          <w:tab w:val="left" w:pos="440"/>
          <w:tab w:val="right" w:leader="dot" w:pos="9175"/>
        </w:tabs>
        <w:spacing w:before="0" w:after="0"/>
        <w:rPr>
          <w:rFonts w:ascii="Times New Roman" w:eastAsiaTheme="minorEastAsia" w:hAnsi="Times New Roman" w:cs="Times New Roman"/>
          <w:b w:val="0"/>
          <w:bCs w:val="0"/>
          <w:caps w:val="0"/>
          <w:noProof/>
          <w:kern w:val="2"/>
          <w:sz w:val="22"/>
          <w:szCs w:val="22"/>
          <w:lang w:val="fr-BF" w:eastAsia="fr-BF"/>
          <w14:ligatures w14:val="standardContextual"/>
        </w:rPr>
      </w:pPr>
      <w:hyperlink w:anchor="_Toc183340002" w:history="1">
        <w:r w:rsidRPr="00A7432C">
          <w:rPr>
            <w:rStyle w:val="Lienhypertexte"/>
            <w:rFonts w:ascii="Times New Roman" w:eastAsiaTheme="majorEastAsia" w:hAnsi="Times New Roman" w:cs="Times New Roman"/>
            <w:noProof/>
            <w:sz w:val="22"/>
            <w:szCs w:val="22"/>
          </w:rPr>
          <w:t>I.</w:t>
        </w:r>
        <w:r w:rsidRPr="00A7432C">
          <w:rPr>
            <w:rFonts w:ascii="Times New Roman" w:eastAsiaTheme="minorEastAsia" w:hAnsi="Times New Roman" w:cs="Times New Roman"/>
            <w:b w:val="0"/>
            <w:bCs w:val="0"/>
            <w: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 CONTEXTE D’ELABORATION DU RAPPORT</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_Toc183340002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w:t>
        </w:r>
        <w:r w:rsidRPr="00A7432C">
          <w:rPr>
            <w:rFonts w:ascii="Times New Roman" w:hAnsi="Times New Roman" w:cs="Times New Roman"/>
            <w:noProof/>
            <w:webHidden/>
            <w:sz w:val="22"/>
            <w:szCs w:val="22"/>
          </w:rPr>
          <w:fldChar w:fldCharType="end"/>
        </w:r>
      </w:hyperlink>
    </w:p>
    <w:p w14:paraId="2C1A0082" w14:textId="5E15C521"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003" w:history="1">
        <w:r w:rsidRPr="00A7432C">
          <w:rPr>
            <w:rStyle w:val="Lienhypertexte"/>
            <w:rFonts w:ascii="Times New Roman" w:eastAsiaTheme="majorEastAsia" w:hAnsi="Times New Roman" w:cs="Times New Roman"/>
            <w:noProof/>
            <w:sz w:val="22"/>
            <w:szCs w:val="22"/>
          </w:rPr>
          <w:t>2.1</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enjeux socio-démographiques de la gestion de l’environnement</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_Toc183340003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w:t>
        </w:r>
        <w:r w:rsidRPr="00A7432C">
          <w:rPr>
            <w:rFonts w:ascii="Times New Roman" w:hAnsi="Times New Roman" w:cs="Times New Roman"/>
            <w:noProof/>
            <w:webHidden/>
            <w:sz w:val="22"/>
            <w:szCs w:val="22"/>
          </w:rPr>
          <w:fldChar w:fldCharType="end"/>
        </w:r>
      </w:hyperlink>
    </w:p>
    <w:p w14:paraId="7C923EBC" w14:textId="629C23A1"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004" w:history="1">
        <w:r w:rsidRPr="00A7432C">
          <w:rPr>
            <w:rStyle w:val="Lienhypertexte"/>
            <w:rFonts w:ascii="Times New Roman" w:eastAsiaTheme="majorEastAsia" w:hAnsi="Times New Roman" w:cs="Times New Roman"/>
            <w:noProof/>
            <w:sz w:val="22"/>
            <w:szCs w:val="22"/>
          </w:rPr>
          <w:t>2.2</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 contexte particulier d’élaboration du 5e REEB</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_Toc183340004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w:t>
        </w:r>
        <w:r w:rsidRPr="00A7432C">
          <w:rPr>
            <w:rFonts w:ascii="Times New Roman" w:hAnsi="Times New Roman" w:cs="Times New Roman"/>
            <w:noProof/>
            <w:webHidden/>
            <w:sz w:val="22"/>
            <w:szCs w:val="22"/>
          </w:rPr>
          <w:fldChar w:fldCharType="end"/>
        </w:r>
      </w:hyperlink>
    </w:p>
    <w:p w14:paraId="117DA564" w14:textId="36AA7119" w:rsidR="00A7432C" w:rsidRPr="00A7432C" w:rsidRDefault="00A7432C" w:rsidP="00A7432C">
      <w:pPr>
        <w:pStyle w:val="TM1"/>
        <w:tabs>
          <w:tab w:val="left" w:pos="440"/>
          <w:tab w:val="right" w:leader="dot" w:pos="9175"/>
        </w:tabs>
        <w:spacing w:before="0" w:after="0"/>
        <w:rPr>
          <w:rFonts w:ascii="Times New Roman" w:eastAsiaTheme="minorEastAsia" w:hAnsi="Times New Roman" w:cs="Times New Roman"/>
          <w:b w:val="0"/>
          <w:bCs w:val="0"/>
          <w:caps w:val="0"/>
          <w:noProof/>
          <w:kern w:val="2"/>
          <w:sz w:val="22"/>
          <w:szCs w:val="22"/>
          <w:lang w:val="fr-BF" w:eastAsia="fr-BF"/>
          <w14:ligatures w14:val="standardContextual"/>
        </w:rPr>
      </w:pPr>
      <w:hyperlink w:anchor="_Toc183340005" w:history="1">
        <w:r w:rsidRPr="00A7432C">
          <w:rPr>
            <w:rStyle w:val="Lienhypertexte"/>
            <w:rFonts w:ascii="Times New Roman" w:eastAsiaTheme="majorEastAsia" w:hAnsi="Times New Roman" w:cs="Times New Roman"/>
            <w:noProof/>
            <w:sz w:val="22"/>
            <w:szCs w:val="22"/>
          </w:rPr>
          <w:t>II.</w:t>
        </w:r>
        <w:r w:rsidRPr="00A7432C">
          <w:rPr>
            <w:rFonts w:ascii="Times New Roman" w:eastAsiaTheme="minorEastAsia" w:hAnsi="Times New Roman" w:cs="Times New Roman"/>
            <w:b w:val="0"/>
            <w:bCs w:val="0"/>
            <w: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 BURKINA FASO FACE AU CHANGEMENT CLIMATIQUE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_Toc183340005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5</w:t>
        </w:r>
        <w:r w:rsidRPr="00A7432C">
          <w:rPr>
            <w:rFonts w:ascii="Times New Roman" w:hAnsi="Times New Roman" w:cs="Times New Roman"/>
            <w:noProof/>
            <w:webHidden/>
            <w:sz w:val="22"/>
            <w:szCs w:val="22"/>
          </w:rPr>
          <w:fldChar w:fldCharType="end"/>
        </w:r>
      </w:hyperlink>
    </w:p>
    <w:p w14:paraId="1C3EA0CE" w14:textId="6CEE0B88"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007" w:history="1">
        <w:r w:rsidRPr="00A7432C">
          <w:rPr>
            <w:rStyle w:val="Lienhypertexte"/>
            <w:rFonts w:ascii="Times New Roman" w:eastAsiaTheme="majorEastAsia" w:hAnsi="Times New Roman" w:cs="Times New Roman"/>
            <w:noProof/>
            <w:sz w:val="22"/>
            <w:szCs w:val="22"/>
          </w:rPr>
          <w:t>2.3</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tendances observées des trois dernières décennies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_Toc183340007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5</w:t>
        </w:r>
        <w:r w:rsidRPr="00A7432C">
          <w:rPr>
            <w:rFonts w:ascii="Times New Roman" w:hAnsi="Times New Roman" w:cs="Times New Roman"/>
            <w:noProof/>
            <w:webHidden/>
            <w:sz w:val="22"/>
            <w:szCs w:val="22"/>
          </w:rPr>
          <w:fldChar w:fldCharType="end"/>
        </w:r>
      </w:hyperlink>
    </w:p>
    <w:p w14:paraId="29ABD082" w14:textId="33B72B00"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008" w:history="1">
        <w:r w:rsidRPr="00A7432C">
          <w:rPr>
            <w:rStyle w:val="Lienhypertexte"/>
            <w:rFonts w:ascii="Times New Roman" w:eastAsiaTheme="majorEastAsia" w:hAnsi="Times New Roman" w:cs="Times New Roman"/>
            <w:noProof/>
            <w:sz w:val="22"/>
            <w:szCs w:val="22"/>
          </w:rPr>
          <w:t>2.3.1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zones climatiques au Burkina</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_Toc183340008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5</w:t>
        </w:r>
        <w:r w:rsidRPr="00A7432C">
          <w:rPr>
            <w:rFonts w:ascii="Times New Roman" w:hAnsi="Times New Roman" w:cs="Times New Roman"/>
            <w:noProof/>
            <w:webHidden/>
            <w:sz w:val="22"/>
            <w:szCs w:val="22"/>
          </w:rPr>
          <w:fldChar w:fldCharType="end"/>
        </w:r>
      </w:hyperlink>
    </w:p>
    <w:p w14:paraId="3F6AE49E" w14:textId="1CCF5568"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09" w:history="1">
        <w:r w:rsidRPr="00A7432C">
          <w:rPr>
            <w:rStyle w:val="Lienhypertexte"/>
            <w:rFonts w:ascii="Times New Roman" w:eastAsiaTheme="majorEastAsia" w:hAnsi="Times New Roman" w:cs="Times New Roman"/>
            <w:noProof/>
            <w:sz w:val="22"/>
            <w:szCs w:val="22"/>
          </w:rPr>
          <w:t>2.3.1.1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zone sahélienne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_Toc183340009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5</w:t>
        </w:r>
        <w:r w:rsidRPr="00A7432C">
          <w:rPr>
            <w:rFonts w:ascii="Times New Roman" w:hAnsi="Times New Roman" w:cs="Times New Roman"/>
            <w:noProof/>
            <w:webHidden/>
            <w:sz w:val="22"/>
            <w:szCs w:val="22"/>
          </w:rPr>
          <w:fldChar w:fldCharType="end"/>
        </w:r>
      </w:hyperlink>
    </w:p>
    <w:p w14:paraId="02D14FA1" w14:textId="778EE630"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10" w:history="1">
        <w:r w:rsidRPr="00A7432C">
          <w:rPr>
            <w:rStyle w:val="Lienhypertexte"/>
            <w:rFonts w:ascii="Times New Roman" w:eastAsiaTheme="majorEastAsia" w:hAnsi="Times New Roman" w:cs="Times New Roman"/>
            <w:noProof/>
            <w:sz w:val="22"/>
            <w:szCs w:val="22"/>
          </w:rPr>
          <w:t>2.3.1.2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zone soudano-sahélienne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_Toc183340010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6</w:t>
        </w:r>
        <w:r w:rsidRPr="00A7432C">
          <w:rPr>
            <w:rFonts w:ascii="Times New Roman" w:hAnsi="Times New Roman" w:cs="Times New Roman"/>
            <w:noProof/>
            <w:webHidden/>
            <w:sz w:val="22"/>
            <w:szCs w:val="22"/>
          </w:rPr>
          <w:fldChar w:fldCharType="end"/>
        </w:r>
      </w:hyperlink>
    </w:p>
    <w:p w14:paraId="32E878E1" w14:textId="1874BDF2"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11" w:history="1">
        <w:r w:rsidRPr="00A7432C">
          <w:rPr>
            <w:rStyle w:val="Lienhypertexte"/>
            <w:rFonts w:ascii="Times New Roman" w:eastAsiaTheme="majorEastAsia" w:hAnsi="Times New Roman" w:cs="Times New Roman"/>
            <w:noProof/>
            <w:sz w:val="22"/>
            <w:szCs w:val="22"/>
          </w:rPr>
          <w:t>2.3.1.3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zone soudanienne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_Toc183340011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6</w:t>
        </w:r>
        <w:r w:rsidRPr="00A7432C">
          <w:rPr>
            <w:rFonts w:ascii="Times New Roman" w:hAnsi="Times New Roman" w:cs="Times New Roman"/>
            <w:noProof/>
            <w:webHidden/>
            <w:sz w:val="22"/>
            <w:szCs w:val="22"/>
          </w:rPr>
          <w:fldChar w:fldCharType="end"/>
        </w:r>
      </w:hyperlink>
    </w:p>
    <w:p w14:paraId="1B721BB8" w14:textId="3ADCE477"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012" w:history="1">
        <w:r w:rsidRPr="00A7432C">
          <w:rPr>
            <w:rStyle w:val="Lienhypertexte"/>
            <w:rFonts w:ascii="Times New Roman" w:eastAsiaTheme="majorEastAsia" w:hAnsi="Times New Roman" w:cs="Times New Roman"/>
            <w:noProof/>
            <w:sz w:val="22"/>
            <w:szCs w:val="22"/>
          </w:rPr>
          <w:t>2.3.2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Variables climatiques critiques pour l’économie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_Toc183340012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7</w:t>
        </w:r>
        <w:r w:rsidRPr="00A7432C">
          <w:rPr>
            <w:rFonts w:ascii="Times New Roman" w:hAnsi="Times New Roman" w:cs="Times New Roman"/>
            <w:noProof/>
            <w:webHidden/>
            <w:sz w:val="22"/>
            <w:szCs w:val="22"/>
          </w:rPr>
          <w:fldChar w:fldCharType="end"/>
        </w:r>
      </w:hyperlink>
    </w:p>
    <w:p w14:paraId="039E335F" w14:textId="2266D633"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13" w:history="1">
        <w:r w:rsidRPr="00A7432C">
          <w:rPr>
            <w:rStyle w:val="Lienhypertexte"/>
            <w:rFonts w:ascii="Times New Roman" w:eastAsiaTheme="majorEastAsia" w:hAnsi="Times New Roman" w:cs="Times New Roman"/>
            <w:noProof/>
            <w:sz w:val="22"/>
            <w:szCs w:val="22"/>
          </w:rPr>
          <w:t>2.3.2.1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pluviométrie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_Toc183340013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7</w:t>
        </w:r>
        <w:r w:rsidRPr="00A7432C">
          <w:rPr>
            <w:rFonts w:ascii="Times New Roman" w:hAnsi="Times New Roman" w:cs="Times New Roman"/>
            <w:noProof/>
            <w:webHidden/>
            <w:sz w:val="22"/>
            <w:szCs w:val="22"/>
          </w:rPr>
          <w:fldChar w:fldCharType="end"/>
        </w:r>
      </w:hyperlink>
    </w:p>
    <w:p w14:paraId="67256899" w14:textId="709BD6F2"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14" w:history="1">
        <w:r w:rsidRPr="00A7432C">
          <w:rPr>
            <w:rStyle w:val="Lienhypertexte"/>
            <w:rFonts w:ascii="Times New Roman" w:eastAsiaTheme="majorEastAsia" w:hAnsi="Times New Roman" w:cs="Times New Roman"/>
            <w:noProof/>
            <w:sz w:val="22"/>
            <w:szCs w:val="22"/>
            <w:lang w:eastAsia="en-US"/>
          </w:rPr>
          <w:t>2.3.2.1.1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La pluie annuelle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_Toc183340014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7</w:t>
        </w:r>
        <w:r w:rsidRPr="00A7432C">
          <w:rPr>
            <w:rFonts w:ascii="Times New Roman" w:hAnsi="Times New Roman" w:cs="Times New Roman"/>
            <w:noProof/>
            <w:webHidden/>
            <w:sz w:val="22"/>
            <w:szCs w:val="22"/>
          </w:rPr>
          <w:fldChar w:fldCharType="end"/>
        </w:r>
      </w:hyperlink>
    </w:p>
    <w:p w14:paraId="212AB26A" w14:textId="5F2DAB5B"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15" w:history="1">
        <w:r w:rsidRPr="00A7432C">
          <w:rPr>
            <w:rStyle w:val="Lienhypertexte"/>
            <w:rFonts w:ascii="Times New Roman" w:eastAsiaTheme="majorEastAsia" w:hAnsi="Times New Roman" w:cs="Times New Roman"/>
            <w:noProof/>
            <w:sz w:val="22"/>
            <w:szCs w:val="22"/>
            <w:lang w:eastAsia="en-US"/>
          </w:rPr>
          <w:t>2.3.2.1.2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Le nombre total annuel de jours de pluie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_Toc183340015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7</w:t>
        </w:r>
        <w:r w:rsidRPr="00A7432C">
          <w:rPr>
            <w:rFonts w:ascii="Times New Roman" w:hAnsi="Times New Roman" w:cs="Times New Roman"/>
            <w:noProof/>
            <w:webHidden/>
            <w:sz w:val="22"/>
            <w:szCs w:val="22"/>
          </w:rPr>
          <w:fldChar w:fldCharType="end"/>
        </w:r>
      </w:hyperlink>
    </w:p>
    <w:p w14:paraId="7E0B5782" w14:textId="19BD9BF6"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16" w:history="1">
        <w:r w:rsidRPr="00A7432C">
          <w:rPr>
            <w:rStyle w:val="Lienhypertexte"/>
            <w:rFonts w:ascii="Times New Roman" w:eastAsiaTheme="majorEastAsia" w:hAnsi="Times New Roman" w:cs="Times New Roman"/>
            <w:noProof/>
            <w:sz w:val="22"/>
            <w:szCs w:val="22"/>
            <w:lang w:eastAsia="en-US"/>
          </w:rPr>
          <w:t>2.3.2.1.3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Le nombre de jours de pluie &gt; 10 mm</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_Toc183340016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7</w:t>
        </w:r>
        <w:r w:rsidRPr="00A7432C">
          <w:rPr>
            <w:rFonts w:ascii="Times New Roman" w:hAnsi="Times New Roman" w:cs="Times New Roman"/>
            <w:noProof/>
            <w:webHidden/>
            <w:sz w:val="22"/>
            <w:szCs w:val="22"/>
          </w:rPr>
          <w:fldChar w:fldCharType="end"/>
        </w:r>
      </w:hyperlink>
    </w:p>
    <w:p w14:paraId="14290F9D" w14:textId="35AA587B"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17" w:history="1">
        <w:r w:rsidRPr="00A7432C">
          <w:rPr>
            <w:rStyle w:val="Lienhypertexte"/>
            <w:rFonts w:ascii="Times New Roman" w:eastAsiaTheme="majorEastAsia" w:hAnsi="Times New Roman" w:cs="Times New Roman"/>
            <w:noProof/>
            <w:sz w:val="22"/>
            <w:szCs w:val="22"/>
            <w:lang w:eastAsia="en-US"/>
          </w:rPr>
          <w:t>2.3.2.1.4</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Le nombre de jours de pluie &gt;50 mm</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_Toc183340017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7</w:t>
        </w:r>
        <w:r w:rsidRPr="00A7432C">
          <w:rPr>
            <w:rFonts w:ascii="Times New Roman" w:hAnsi="Times New Roman" w:cs="Times New Roman"/>
            <w:noProof/>
            <w:webHidden/>
            <w:sz w:val="22"/>
            <w:szCs w:val="22"/>
          </w:rPr>
          <w:fldChar w:fldCharType="end"/>
        </w:r>
      </w:hyperlink>
    </w:p>
    <w:p w14:paraId="0648B768" w14:textId="427A37E0"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18" w:history="1">
        <w:r w:rsidRPr="00A7432C">
          <w:rPr>
            <w:rStyle w:val="Lienhypertexte"/>
            <w:rFonts w:ascii="Times New Roman" w:eastAsiaTheme="majorEastAsia" w:hAnsi="Times New Roman" w:cs="Times New Roman"/>
            <w:noProof/>
            <w:sz w:val="22"/>
            <w:szCs w:val="22"/>
            <w:lang w:eastAsia="en-US"/>
          </w:rPr>
          <w:t>2.3.2.1.5</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Le début de la saison humide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_Toc183340018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7</w:t>
        </w:r>
        <w:r w:rsidRPr="00A7432C">
          <w:rPr>
            <w:rFonts w:ascii="Times New Roman" w:hAnsi="Times New Roman" w:cs="Times New Roman"/>
            <w:noProof/>
            <w:webHidden/>
            <w:sz w:val="22"/>
            <w:szCs w:val="22"/>
          </w:rPr>
          <w:fldChar w:fldCharType="end"/>
        </w:r>
      </w:hyperlink>
    </w:p>
    <w:p w14:paraId="2EB0BB31" w14:textId="71DACB01"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19" w:history="1">
        <w:r w:rsidRPr="00A7432C">
          <w:rPr>
            <w:rStyle w:val="Lienhypertexte"/>
            <w:rFonts w:ascii="Times New Roman" w:eastAsiaTheme="majorEastAsia" w:hAnsi="Times New Roman" w:cs="Times New Roman"/>
            <w:noProof/>
            <w:sz w:val="22"/>
            <w:szCs w:val="22"/>
            <w:lang w:eastAsia="en-US"/>
          </w:rPr>
          <w:t>2.3.2.1.6</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La fin de la saison humide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_Toc183340019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7</w:t>
        </w:r>
        <w:r w:rsidRPr="00A7432C">
          <w:rPr>
            <w:rFonts w:ascii="Times New Roman" w:hAnsi="Times New Roman" w:cs="Times New Roman"/>
            <w:noProof/>
            <w:webHidden/>
            <w:sz w:val="22"/>
            <w:szCs w:val="22"/>
          </w:rPr>
          <w:fldChar w:fldCharType="end"/>
        </w:r>
      </w:hyperlink>
    </w:p>
    <w:p w14:paraId="4D0A194C" w14:textId="7C3BE173"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20" w:history="1">
        <w:r w:rsidRPr="00A7432C">
          <w:rPr>
            <w:rStyle w:val="Lienhypertexte"/>
            <w:rFonts w:ascii="Times New Roman" w:eastAsiaTheme="majorEastAsia" w:hAnsi="Times New Roman" w:cs="Times New Roman"/>
            <w:noProof/>
            <w:sz w:val="22"/>
            <w:szCs w:val="22"/>
            <w:lang w:eastAsia="en-US"/>
          </w:rPr>
          <w:t>2.3.2.1.7</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La durée de la saison humide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_Toc183340020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7</w:t>
        </w:r>
        <w:r w:rsidRPr="00A7432C">
          <w:rPr>
            <w:rFonts w:ascii="Times New Roman" w:hAnsi="Times New Roman" w:cs="Times New Roman"/>
            <w:noProof/>
            <w:webHidden/>
            <w:sz w:val="22"/>
            <w:szCs w:val="22"/>
          </w:rPr>
          <w:fldChar w:fldCharType="end"/>
        </w:r>
      </w:hyperlink>
    </w:p>
    <w:p w14:paraId="177951ED" w14:textId="2BA669BB"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21" w:history="1">
        <w:r w:rsidRPr="00A7432C">
          <w:rPr>
            <w:rStyle w:val="Lienhypertexte"/>
            <w:rFonts w:ascii="Times New Roman" w:eastAsiaTheme="majorEastAsia" w:hAnsi="Times New Roman" w:cs="Times New Roman"/>
            <w:noProof/>
            <w:sz w:val="22"/>
            <w:szCs w:val="22"/>
            <w:lang w:eastAsia="en-US"/>
          </w:rPr>
          <w:t>2.3.2.1.8</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La séquence sèche en début de saison</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_Toc183340021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w:t>
        </w:r>
        <w:r w:rsidRPr="00A7432C">
          <w:rPr>
            <w:rFonts w:ascii="Times New Roman" w:hAnsi="Times New Roman" w:cs="Times New Roman"/>
            <w:noProof/>
            <w:webHidden/>
            <w:sz w:val="22"/>
            <w:szCs w:val="22"/>
          </w:rPr>
          <w:fldChar w:fldCharType="end"/>
        </w:r>
      </w:hyperlink>
    </w:p>
    <w:p w14:paraId="2448B85B" w14:textId="1550B19C"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22" w:history="1">
        <w:r w:rsidRPr="00A7432C">
          <w:rPr>
            <w:rStyle w:val="Lienhypertexte"/>
            <w:rFonts w:ascii="Times New Roman" w:eastAsiaTheme="majorEastAsia" w:hAnsi="Times New Roman" w:cs="Times New Roman"/>
            <w:noProof/>
            <w:sz w:val="22"/>
            <w:szCs w:val="22"/>
            <w:lang w:eastAsia="en-US"/>
          </w:rPr>
          <w:t>2.3.2.1.9</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Les séquences sèches en fin de saison</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_Toc183340022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w:t>
        </w:r>
        <w:r w:rsidRPr="00A7432C">
          <w:rPr>
            <w:rFonts w:ascii="Times New Roman" w:hAnsi="Times New Roman" w:cs="Times New Roman"/>
            <w:noProof/>
            <w:webHidden/>
            <w:sz w:val="22"/>
            <w:szCs w:val="22"/>
          </w:rPr>
          <w:fldChar w:fldCharType="end"/>
        </w:r>
      </w:hyperlink>
    </w:p>
    <w:p w14:paraId="14D54AEF" w14:textId="6AA2648C"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23" w:history="1">
        <w:r w:rsidRPr="00A7432C">
          <w:rPr>
            <w:rStyle w:val="Lienhypertexte"/>
            <w:rFonts w:ascii="Times New Roman" w:eastAsiaTheme="majorEastAsia" w:hAnsi="Times New Roman" w:cs="Times New Roman"/>
            <w:noProof/>
            <w:sz w:val="22"/>
            <w:szCs w:val="22"/>
          </w:rPr>
          <w:t>2.3.2.2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température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_Toc183340023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w:t>
        </w:r>
        <w:r w:rsidRPr="00A7432C">
          <w:rPr>
            <w:rFonts w:ascii="Times New Roman" w:hAnsi="Times New Roman" w:cs="Times New Roman"/>
            <w:noProof/>
            <w:webHidden/>
            <w:sz w:val="22"/>
            <w:szCs w:val="22"/>
          </w:rPr>
          <w:fldChar w:fldCharType="end"/>
        </w:r>
      </w:hyperlink>
    </w:p>
    <w:p w14:paraId="55A87E6D" w14:textId="39273B01"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24" w:history="1">
        <w:r w:rsidRPr="00A7432C">
          <w:rPr>
            <w:rStyle w:val="Lienhypertexte"/>
            <w:rFonts w:ascii="Times New Roman" w:eastAsiaTheme="majorEastAsia" w:hAnsi="Times New Roman" w:cs="Times New Roman"/>
            <w:noProof/>
            <w:sz w:val="22"/>
            <w:szCs w:val="22"/>
            <w:lang w:eastAsia="en-US"/>
          </w:rPr>
          <w:t>2.3.2.2.1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Les températures moyennes mensuelles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_Toc183340024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w:t>
        </w:r>
        <w:r w:rsidRPr="00A7432C">
          <w:rPr>
            <w:rFonts w:ascii="Times New Roman" w:hAnsi="Times New Roman" w:cs="Times New Roman"/>
            <w:noProof/>
            <w:webHidden/>
            <w:sz w:val="22"/>
            <w:szCs w:val="22"/>
          </w:rPr>
          <w:fldChar w:fldCharType="end"/>
        </w:r>
      </w:hyperlink>
    </w:p>
    <w:p w14:paraId="3C070001" w14:textId="1DB75229"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25" w:history="1">
        <w:r w:rsidRPr="00A7432C">
          <w:rPr>
            <w:rStyle w:val="Lienhypertexte"/>
            <w:rFonts w:ascii="Times New Roman" w:eastAsiaTheme="majorEastAsia" w:hAnsi="Times New Roman" w:cs="Times New Roman"/>
            <w:noProof/>
            <w:sz w:val="22"/>
            <w:szCs w:val="22"/>
            <w:lang w:eastAsia="en-US"/>
          </w:rPr>
          <w:t>2.3.2.2.2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La température moyenne annuelle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_Toc183340025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w:t>
        </w:r>
        <w:r w:rsidRPr="00A7432C">
          <w:rPr>
            <w:rFonts w:ascii="Times New Roman" w:hAnsi="Times New Roman" w:cs="Times New Roman"/>
            <w:noProof/>
            <w:webHidden/>
            <w:sz w:val="22"/>
            <w:szCs w:val="22"/>
          </w:rPr>
          <w:fldChar w:fldCharType="end"/>
        </w:r>
      </w:hyperlink>
    </w:p>
    <w:p w14:paraId="7397E91F" w14:textId="50B478AC"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26" w:history="1">
        <w:r w:rsidRPr="00A7432C">
          <w:rPr>
            <w:rStyle w:val="Lienhypertexte"/>
            <w:rFonts w:ascii="Times New Roman" w:eastAsiaTheme="majorEastAsia" w:hAnsi="Times New Roman" w:cs="Times New Roman"/>
            <w:noProof/>
            <w:sz w:val="22"/>
            <w:szCs w:val="22"/>
            <w:lang w:eastAsia="en-US"/>
          </w:rPr>
          <w:t>2.3.2.2.3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La température minimale annuelle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_Toc183340026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w:t>
        </w:r>
        <w:r w:rsidRPr="00A7432C">
          <w:rPr>
            <w:rFonts w:ascii="Times New Roman" w:hAnsi="Times New Roman" w:cs="Times New Roman"/>
            <w:noProof/>
            <w:webHidden/>
            <w:sz w:val="22"/>
            <w:szCs w:val="22"/>
          </w:rPr>
          <w:fldChar w:fldCharType="end"/>
        </w:r>
      </w:hyperlink>
    </w:p>
    <w:p w14:paraId="25D74466" w14:textId="2C2D065E"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27" w:history="1">
        <w:r w:rsidRPr="00A7432C">
          <w:rPr>
            <w:rStyle w:val="Lienhypertexte"/>
            <w:rFonts w:ascii="Times New Roman" w:eastAsiaTheme="majorEastAsia" w:hAnsi="Times New Roman" w:cs="Times New Roman"/>
            <w:noProof/>
            <w:sz w:val="22"/>
            <w:szCs w:val="22"/>
            <w:lang w:eastAsia="en-US"/>
          </w:rPr>
          <w:t>2.3.2.2.4</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La température maximale annuelle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_Toc183340027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w:t>
        </w:r>
        <w:r w:rsidRPr="00A7432C">
          <w:rPr>
            <w:rFonts w:ascii="Times New Roman" w:hAnsi="Times New Roman" w:cs="Times New Roman"/>
            <w:noProof/>
            <w:webHidden/>
            <w:sz w:val="22"/>
            <w:szCs w:val="22"/>
          </w:rPr>
          <w:fldChar w:fldCharType="end"/>
        </w:r>
      </w:hyperlink>
    </w:p>
    <w:p w14:paraId="4E67B387" w14:textId="0E6C2BAF"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28" w:history="1">
        <w:r w:rsidRPr="00A7432C">
          <w:rPr>
            <w:rStyle w:val="Lienhypertexte"/>
            <w:rFonts w:ascii="Times New Roman" w:eastAsiaTheme="majorEastAsia" w:hAnsi="Times New Roman" w:cs="Times New Roman"/>
            <w:noProof/>
            <w:sz w:val="22"/>
            <w:szCs w:val="22"/>
            <w:lang w:eastAsia="en-US"/>
          </w:rPr>
          <w:t>2.3.2.2.5</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Le nombre de jours par an où la température T° &gt;= 40 °C</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_Toc183340028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w:t>
        </w:r>
        <w:r w:rsidRPr="00A7432C">
          <w:rPr>
            <w:rFonts w:ascii="Times New Roman" w:hAnsi="Times New Roman" w:cs="Times New Roman"/>
            <w:noProof/>
            <w:webHidden/>
            <w:sz w:val="22"/>
            <w:szCs w:val="22"/>
          </w:rPr>
          <w:fldChar w:fldCharType="end"/>
        </w:r>
      </w:hyperlink>
    </w:p>
    <w:p w14:paraId="7B5F1DE7" w14:textId="2A9253B1"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029" w:history="1">
        <w:r w:rsidRPr="00A7432C">
          <w:rPr>
            <w:rStyle w:val="Lienhypertexte"/>
            <w:rFonts w:ascii="Times New Roman" w:eastAsiaTheme="majorEastAsia" w:hAnsi="Times New Roman" w:cs="Times New Roman"/>
            <w:noProof/>
            <w:sz w:val="22"/>
            <w:szCs w:val="22"/>
          </w:rPr>
          <w:t>2.3.3</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Évolution des variables climatiques sur la période 1990-2023</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_Toc183340029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w:t>
        </w:r>
        <w:r w:rsidRPr="00A7432C">
          <w:rPr>
            <w:rFonts w:ascii="Times New Roman" w:hAnsi="Times New Roman" w:cs="Times New Roman"/>
            <w:noProof/>
            <w:webHidden/>
            <w:sz w:val="22"/>
            <w:szCs w:val="22"/>
          </w:rPr>
          <w:fldChar w:fldCharType="end"/>
        </w:r>
      </w:hyperlink>
    </w:p>
    <w:p w14:paraId="0B0B1B49" w14:textId="58EF5456"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30" w:history="1">
        <w:r w:rsidRPr="00A7432C">
          <w:rPr>
            <w:rStyle w:val="Lienhypertexte"/>
            <w:rFonts w:ascii="Times New Roman" w:eastAsiaTheme="majorEastAsia" w:hAnsi="Times New Roman" w:cs="Times New Roman"/>
            <w:noProof/>
            <w:sz w:val="22"/>
            <w:szCs w:val="22"/>
          </w:rPr>
          <w:t>2.3.3.1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En zone sahélienne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_Toc183340030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w:t>
        </w:r>
        <w:r w:rsidRPr="00A7432C">
          <w:rPr>
            <w:rFonts w:ascii="Times New Roman" w:hAnsi="Times New Roman" w:cs="Times New Roman"/>
            <w:noProof/>
            <w:webHidden/>
            <w:sz w:val="22"/>
            <w:szCs w:val="22"/>
          </w:rPr>
          <w:fldChar w:fldCharType="end"/>
        </w:r>
      </w:hyperlink>
    </w:p>
    <w:p w14:paraId="44227671" w14:textId="2C11989B"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31" w:history="1">
        <w:r w:rsidRPr="00A7432C">
          <w:rPr>
            <w:rStyle w:val="Lienhypertexte"/>
            <w:rFonts w:ascii="Times New Roman" w:eastAsiaTheme="majorEastAsia" w:hAnsi="Times New Roman" w:cs="Times New Roman"/>
            <w:noProof/>
            <w:sz w:val="22"/>
            <w:szCs w:val="22"/>
            <w:lang w:eastAsia="en-US"/>
          </w:rPr>
          <w:t>2.3.3.1.1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La pluviométrie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_Toc183340031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w:t>
        </w:r>
        <w:r w:rsidRPr="00A7432C">
          <w:rPr>
            <w:rFonts w:ascii="Times New Roman" w:hAnsi="Times New Roman" w:cs="Times New Roman"/>
            <w:noProof/>
            <w:webHidden/>
            <w:sz w:val="22"/>
            <w:szCs w:val="22"/>
          </w:rPr>
          <w:fldChar w:fldCharType="end"/>
        </w:r>
      </w:hyperlink>
    </w:p>
    <w:p w14:paraId="7926AC5B" w14:textId="1FD15277"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32" w:history="1">
        <w:r w:rsidRPr="00A7432C">
          <w:rPr>
            <w:rStyle w:val="Lienhypertexte"/>
            <w:rFonts w:ascii="Times New Roman" w:eastAsiaTheme="majorEastAsia" w:hAnsi="Times New Roman" w:cs="Times New Roman"/>
            <w:noProof/>
            <w:sz w:val="22"/>
            <w:szCs w:val="22"/>
            <w:lang w:eastAsia="en-US"/>
          </w:rPr>
          <w:t>2.3.3.1.2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La température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_Toc183340032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10</w:t>
        </w:r>
        <w:r w:rsidRPr="00A7432C">
          <w:rPr>
            <w:rFonts w:ascii="Times New Roman" w:hAnsi="Times New Roman" w:cs="Times New Roman"/>
            <w:noProof/>
            <w:webHidden/>
            <w:sz w:val="22"/>
            <w:szCs w:val="22"/>
          </w:rPr>
          <w:fldChar w:fldCharType="end"/>
        </w:r>
      </w:hyperlink>
    </w:p>
    <w:p w14:paraId="5BAF210F" w14:textId="48F3DFF5"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33" w:history="1">
        <w:r w:rsidRPr="00A7432C">
          <w:rPr>
            <w:rStyle w:val="Lienhypertexte"/>
            <w:rFonts w:ascii="Times New Roman" w:eastAsiaTheme="majorEastAsia" w:hAnsi="Times New Roman" w:cs="Times New Roman"/>
            <w:noProof/>
            <w:sz w:val="22"/>
            <w:szCs w:val="22"/>
          </w:rPr>
          <w:t>2.3.3.2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En zone soudano-sahélienne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_Toc183340033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11</w:t>
        </w:r>
        <w:r w:rsidRPr="00A7432C">
          <w:rPr>
            <w:rFonts w:ascii="Times New Roman" w:hAnsi="Times New Roman" w:cs="Times New Roman"/>
            <w:noProof/>
            <w:webHidden/>
            <w:sz w:val="22"/>
            <w:szCs w:val="22"/>
          </w:rPr>
          <w:fldChar w:fldCharType="end"/>
        </w:r>
      </w:hyperlink>
    </w:p>
    <w:p w14:paraId="68941BFB" w14:textId="0A447D92"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34" w:history="1">
        <w:r w:rsidRPr="00A7432C">
          <w:rPr>
            <w:rStyle w:val="Lienhypertexte"/>
            <w:rFonts w:ascii="Times New Roman" w:eastAsiaTheme="majorEastAsia" w:hAnsi="Times New Roman" w:cs="Times New Roman"/>
            <w:noProof/>
            <w:sz w:val="22"/>
            <w:szCs w:val="22"/>
            <w:lang w:eastAsia="en-US"/>
          </w:rPr>
          <w:t>2.3.3.2.1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La pluviométrie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_Toc183340034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11</w:t>
        </w:r>
        <w:r w:rsidRPr="00A7432C">
          <w:rPr>
            <w:rFonts w:ascii="Times New Roman" w:hAnsi="Times New Roman" w:cs="Times New Roman"/>
            <w:noProof/>
            <w:webHidden/>
            <w:sz w:val="22"/>
            <w:szCs w:val="22"/>
          </w:rPr>
          <w:fldChar w:fldCharType="end"/>
        </w:r>
      </w:hyperlink>
    </w:p>
    <w:p w14:paraId="15025CBB" w14:textId="7B303A59"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35" w:history="1">
        <w:r w:rsidRPr="00A7432C">
          <w:rPr>
            <w:rStyle w:val="Lienhypertexte"/>
            <w:rFonts w:ascii="Times New Roman" w:eastAsiaTheme="majorEastAsia" w:hAnsi="Times New Roman" w:cs="Times New Roman"/>
            <w:noProof/>
            <w:sz w:val="22"/>
            <w:szCs w:val="22"/>
            <w:lang w:eastAsia="en-US"/>
          </w:rPr>
          <w:t>2.3.3.2.2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La température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_Toc183340035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13</w:t>
        </w:r>
        <w:r w:rsidRPr="00A7432C">
          <w:rPr>
            <w:rFonts w:ascii="Times New Roman" w:hAnsi="Times New Roman" w:cs="Times New Roman"/>
            <w:noProof/>
            <w:webHidden/>
            <w:sz w:val="22"/>
            <w:szCs w:val="22"/>
          </w:rPr>
          <w:fldChar w:fldCharType="end"/>
        </w:r>
      </w:hyperlink>
    </w:p>
    <w:p w14:paraId="16AC1EAB" w14:textId="4F48DBAA"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36" w:history="1">
        <w:r w:rsidRPr="00A7432C">
          <w:rPr>
            <w:rStyle w:val="Lienhypertexte"/>
            <w:rFonts w:ascii="Times New Roman" w:eastAsiaTheme="majorEastAsia" w:hAnsi="Times New Roman" w:cs="Times New Roman"/>
            <w:noProof/>
            <w:sz w:val="22"/>
            <w:szCs w:val="22"/>
          </w:rPr>
          <w:t>2.3.3.3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En zone soudanienne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_Toc183340036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14</w:t>
        </w:r>
        <w:r w:rsidRPr="00A7432C">
          <w:rPr>
            <w:rFonts w:ascii="Times New Roman" w:hAnsi="Times New Roman" w:cs="Times New Roman"/>
            <w:noProof/>
            <w:webHidden/>
            <w:sz w:val="22"/>
            <w:szCs w:val="22"/>
          </w:rPr>
          <w:fldChar w:fldCharType="end"/>
        </w:r>
      </w:hyperlink>
    </w:p>
    <w:p w14:paraId="64214A74" w14:textId="61848260"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37" w:history="1">
        <w:r w:rsidRPr="00A7432C">
          <w:rPr>
            <w:rStyle w:val="Lienhypertexte"/>
            <w:rFonts w:ascii="Times New Roman" w:eastAsiaTheme="majorEastAsia" w:hAnsi="Times New Roman" w:cs="Times New Roman"/>
            <w:noProof/>
            <w:sz w:val="22"/>
            <w:szCs w:val="22"/>
            <w:lang w:eastAsia="en-US"/>
          </w:rPr>
          <w:t>2.3.3.3.1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La pluviométrie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_Toc183340037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14</w:t>
        </w:r>
        <w:r w:rsidRPr="00A7432C">
          <w:rPr>
            <w:rFonts w:ascii="Times New Roman" w:hAnsi="Times New Roman" w:cs="Times New Roman"/>
            <w:noProof/>
            <w:webHidden/>
            <w:sz w:val="22"/>
            <w:szCs w:val="22"/>
          </w:rPr>
          <w:fldChar w:fldCharType="end"/>
        </w:r>
      </w:hyperlink>
    </w:p>
    <w:p w14:paraId="6C323727" w14:textId="7DDB5569"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38" w:history="1">
        <w:r w:rsidRPr="00A7432C">
          <w:rPr>
            <w:rStyle w:val="Lienhypertexte"/>
            <w:rFonts w:ascii="Times New Roman" w:eastAsiaTheme="majorEastAsia" w:hAnsi="Times New Roman" w:cs="Times New Roman"/>
            <w:noProof/>
            <w:sz w:val="22"/>
            <w:szCs w:val="22"/>
            <w:lang w:eastAsia="en-US"/>
          </w:rPr>
          <w:t>2.3.3.3.2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La température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_Toc183340038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w:t>
        </w:r>
        <w:r w:rsidRPr="00A7432C">
          <w:rPr>
            <w:rFonts w:ascii="Times New Roman" w:hAnsi="Times New Roman" w:cs="Times New Roman"/>
            <w:noProof/>
            <w:webHidden/>
            <w:sz w:val="22"/>
            <w:szCs w:val="22"/>
          </w:rPr>
          <w:fldChar w:fldCharType="end"/>
        </w:r>
      </w:hyperlink>
    </w:p>
    <w:p w14:paraId="5D7ACC67" w14:textId="74B79DF8"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039" w:history="1">
        <w:r w:rsidRPr="00A7432C">
          <w:rPr>
            <w:rStyle w:val="Lienhypertexte"/>
            <w:rFonts w:ascii="Times New Roman" w:eastAsiaTheme="majorEastAsia" w:hAnsi="Times New Roman" w:cs="Times New Roman"/>
            <w:noProof/>
            <w:sz w:val="22"/>
            <w:szCs w:val="22"/>
          </w:rPr>
          <w:t>2.3.4</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Évolution à long terme des isohyètes et isothermes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_Toc183340039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17</w:t>
        </w:r>
        <w:r w:rsidRPr="00A7432C">
          <w:rPr>
            <w:rFonts w:ascii="Times New Roman" w:hAnsi="Times New Roman" w:cs="Times New Roman"/>
            <w:noProof/>
            <w:webHidden/>
            <w:sz w:val="22"/>
            <w:szCs w:val="22"/>
          </w:rPr>
          <w:fldChar w:fldCharType="end"/>
        </w:r>
      </w:hyperlink>
    </w:p>
    <w:p w14:paraId="4B00615C" w14:textId="2AE6E28E"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40" w:history="1">
        <w:r w:rsidRPr="00A7432C">
          <w:rPr>
            <w:rStyle w:val="Lienhypertexte"/>
            <w:rFonts w:ascii="Times New Roman" w:eastAsiaTheme="majorEastAsia" w:hAnsi="Times New Roman" w:cs="Times New Roman"/>
            <w:noProof/>
            <w:sz w:val="22"/>
            <w:szCs w:val="22"/>
          </w:rPr>
          <w:t>2.3.4.1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migration des isohyètes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_Toc183340040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17</w:t>
        </w:r>
        <w:r w:rsidRPr="00A7432C">
          <w:rPr>
            <w:rFonts w:ascii="Times New Roman" w:hAnsi="Times New Roman" w:cs="Times New Roman"/>
            <w:noProof/>
            <w:webHidden/>
            <w:sz w:val="22"/>
            <w:szCs w:val="22"/>
          </w:rPr>
          <w:fldChar w:fldCharType="end"/>
        </w:r>
      </w:hyperlink>
    </w:p>
    <w:p w14:paraId="68A3ED5F" w14:textId="032EF721"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41" w:history="1">
        <w:r w:rsidRPr="00A7432C">
          <w:rPr>
            <w:rStyle w:val="Lienhypertexte"/>
            <w:rFonts w:ascii="Times New Roman" w:eastAsiaTheme="majorEastAsia" w:hAnsi="Times New Roman" w:cs="Times New Roman"/>
            <w:noProof/>
            <w:sz w:val="22"/>
            <w:szCs w:val="22"/>
          </w:rPr>
          <w:t>2.3.4.2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migration des isothermes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_Toc183340041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18</w:t>
        </w:r>
        <w:r w:rsidRPr="00A7432C">
          <w:rPr>
            <w:rFonts w:ascii="Times New Roman" w:hAnsi="Times New Roman" w:cs="Times New Roman"/>
            <w:noProof/>
            <w:webHidden/>
            <w:sz w:val="22"/>
            <w:szCs w:val="22"/>
          </w:rPr>
          <w:fldChar w:fldCharType="end"/>
        </w:r>
      </w:hyperlink>
    </w:p>
    <w:p w14:paraId="73D64560" w14:textId="04A32EA1"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042" w:history="1">
        <w:r w:rsidRPr="00A7432C">
          <w:rPr>
            <w:rStyle w:val="Lienhypertexte"/>
            <w:rFonts w:ascii="Times New Roman" w:eastAsiaTheme="majorEastAsia" w:hAnsi="Times New Roman" w:cs="Times New Roman"/>
            <w:noProof/>
            <w:sz w:val="22"/>
            <w:szCs w:val="22"/>
          </w:rPr>
          <w:t>2.3.5</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Évènements climatiques extrêmes au cours des 33 dernières années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_Toc183340042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18</w:t>
        </w:r>
        <w:r w:rsidRPr="00A7432C">
          <w:rPr>
            <w:rFonts w:ascii="Times New Roman" w:hAnsi="Times New Roman" w:cs="Times New Roman"/>
            <w:noProof/>
            <w:webHidden/>
            <w:sz w:val="22"/>
            <w:szCs w:val="22"/>
          </w:rPr>
          <w:fldChar w:fldCharType="end"/>
        </w:r>
      </w:hyperlink>
    </w:p>
    <w:p w14:paraId="7E307B58" w14:textId="37A57D4B"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43" w:history="1">
        <w:r w:rsidRPr="00A7432C">
          <w:rPr>
            <w:rStyle w:val="Lienhypertexte"/>
            <w:rFonts w:ascii="Times New Roman" w:eastAsiaTheme="majorEastAsia" w:hAnsi="Times New Roman" w:cs="Times New Roman"/>
            <w:noProof/>
            <w:sz w:val="22"/>
            <w:szCs w:val="22"/>
          </w:rPr>
          <w:t>2.3.5.1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pluies maximales journalières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_Toc183340043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18</w:t>
        </w:r>
        <w:r w:rsidRPr="00A7432C">
          <w:rPr>
            <w:rFonts w:ascii="Times New Roman" w:hAnsi="Times New Roman" w:cs="Times New Roman"/>
            <w:noProof/>
            <w:webHidden/>
            <w:sz w:val="22"/>
            <w:szCs w:val="22"/>
          </w:rPr>
          <w:fldChar w:fldCharType="end"/>
        </w:r>
      </w:hyperlink>
    </w:p>
    <w:p w14:paraId="24F8C865" w14:textId="2FF2C86B"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44" w:history="1">
        <w:r w:rsidRPr="00A7432C">
          <w:rPr>
            <w:rStyle w:val="Lienhypertexte"/>
            <w:rFonts w:ascii="Times New Roman" w:eastAsiaTheme="majorEastAsia" w:hAnsi="Times New Roman" w:cs="Times New Roman"/>
            <w:noProof/>
            <w:sz w:val="22"/>
            <w:szCs w:val="22"/>
          </w:rPr>
          <w:t>2.3.5.2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vagues de chaleur</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_Toc183340044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19</w:t>
        </w:r>
        <w:r w:rsidRPr="00A7432C">
          <w:rPr>
            <w:rFonts w:ascii="Times New Roman" w:hAnsi="Times New Roman" w:cs="Times New Roman"/>
            <w:noProof/>
            <w:webHidden/>
            <w:sz w:val="22"/>
            <w:szCs w:val="22"/>
          </w:rPr>
          <w:fldChar w:fldCharType="end"/>
        </w:r>
      </w:hyperlink>
    </w:p>
    <w:p w14:paraId="772C940B" w14:textId="35280A72"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45" w:history="1">
        <w:r w:rsidRPr="00A7432C">
          <w:rPr>
            <w:rStyle w:val="Lienhypertexte"/>
            <w:rFonts w:ascii="Times New Roman" w:eastAsiaTheme="majorEastAsia" w:hAnsi="Times New Roman" w:cs="Times New Roman"/>
            <w:noProof/>
            <w:sz w:val="22"/>
            <w:szCs w:val="22"/>
          </w:rPr>
          <w:t>2.3.5.3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températures maximales absolues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_Toc183340045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20</w:t>
        </w:r>
        <w:r w:rsidRPr="00A7432C">
          <w:rPr>
            <w:rFonts w:ascii="Times New Roman" w:hAnsi="Times New Roman" w:cs="Times New Roman"/>
            <w:noProof/>
            <w:webHidden/>
            <w:sz w:val="22"/>
            <w:szCs w:val="22"/>
          </w:rPr>
          <w:fldChar w:fldCharType="end"/>
        </w:r>
      </w:hyperlink>
    </w:p>
    <w:p w14:paraId="04386389" w14:textId="2FD910F3"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46" w:history="1">
        <w:r w:rsidRPr="00A7432C">
          <w:rPr>
            <w:rStyle w:val="Lienhypertexte"/>
            <w:rFonts w:ascii="Times New Roman" w:eastAsiaTheme="majorEastAsia" w:hAnsi="Times New Roman" w:cs="Times New Roman"/>
            <w:noProof/>
            <w:sz w:val="22"/>
            <w:szCs w:val="22"/>
          </w:rPr>
          <w:t>2.3.5.4</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durée maximale des vagues de chaleur</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_Toc183340046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21</w:t>
        </w:r>
        <w:r w:rsidRPr="00A7432C">
          <w:rPr>
            <w:rFonts w:ascii="Times New Roman" w:hAnsi="Times New Roman" w:cs="Times New Roman"/>
            <w:noProof/>
            <w:webHidden/>
            <w:sz w:val="22"/>
            <w:szCs w:val="22"/>
          </w:rPr>
          <w:fldChar w:fldCharType="end"/>
        </w:r>
      </w:hyperlink>
    </w:p>
    <w:p w14:paraId="024F23DD" w14:textId="23A66E20"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047" w:history="1">
        <w:r w:rsidRPr="00A7432C">
          <w:rPr>
            <w:rStyle w:val="Lienhypertexte"/>
            <w:rFonts w:ascii="Times New Roman" w:eastAsiaTheme="majorEastAsia" w:hAnsi="Times New Roman" w:cs="Times New Roman"/>
            <w:noProof/>
            <w:sz w:val="22"/>
            <w:szCs w:val="22"/>
          </w:rPr>
          <w:t>2.4</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projections climatiques futures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_Toc183340047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22</w:t>
        </w:r>
        <w:r w:rsidRPr="00A7432C">
          <w:rPr>
            <w:rFonts w:ascii="Times New Roman" w:hAnsi="Times New Roman" w:cs="Times New Roman"/>
            <w:noProof/>
            <w:webHidden/>
            <w:sz w:val="22"/>
            <w:szCs w:val="22"/>
          </w:rPr>
          <w:fldChar w:fldCharType="end"/>
        </w:r>
      </w:hyperlink>
    </w:p>
    <w:p w14:paraId="311F8564" w14:textId="30B99ADD"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048" w:history="1">
        <w:r w:rsidRPr="00A7432C">
          <w:rPr>
            <w:rStyle w:val="Lienhypertexte"/>
            <w:rFonts w:ascii="Times New Roman" w:eastAsiaTheme="majorEastAsia" w:hAnsi="Times New Roman" w:cs="Times New Roman"/>
            <w:noProof/>
            <w:sz w:val="22"/>
            <w:szCs w:val="22"/>
          </w:rPr>
          <w:t>2.4.1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modèles et scénarios utilisés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_Toc183340048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22</w:t>
        </w:r>
        <w:r w:rsidRPr="00A7432C">
          <w:rPr>
            <w:rFonts w:ascii="Times New Roman" w:hAnsi="Times New Roman" w:cs="Times New Roman"/>
            <w:noProof/>
            <w:webHidden/>
            <w:sz w:val="22"/>
            <w:szCs w:val="22"/>
          </w:rPr>
          <w:fldChar w:fldCharType="end"/>
        </w:r>
      </w:hyperlink>
    </w:p>
    <w:p w14:paraId="214D1856" w14:textId="026B8FE9"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49" w:history="1">
        <w:r w:rsidRPr="00A7432C">
          <w:rPr>
            <w:rStyle w:val="Lienhypertexte"/>
            <w:rFonts w:ascii="Times New Roman" w:eastAsiaTheme="majorEastAsia" w:hAnsi="Times New Roman" w:cs="Times New Roman"/>
            <w:noProof/>
            <w:sz w:val="22"/>
            <w:szCs w:val="22"/>
          </w:rPr>
          <w:t>2.4.1.1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modèles CMIP6</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_Toc183340049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22</w:t>
        </w:r>
        <w:r w:rsidRPr="00A7432C">
          <w:rPr>
            <w:rFonts w:ascii="Times New Roman" w:hAnsi="Times New Roman" w:cs="Times New Roman"/>
            <w:noProof/>
            <w:webHidden/>
            <w:sz w:val="22"/>
            <w:szCs w:val="22"/>
          </w:rPr>
          <w:fldChar w:fldCharType="end"/>
        </w:r>
      </w:hyperlink>
    </w:p>
    <w:p w14:paraId="25AB5EE8" w14:textId="54F2FFD3"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50" w:history="1">
        <w:r w:rsidRPr="00A7432C">
          <w:rPr>
            <w:rStyle w:val="Lienhypertexte"/>
            <w:rFonts w:ascii="Times New Roman" w:eastAsiaTheme="majorEastAsia" w:hAnsi="Times New Roman" w:cs="Times New Roman"/>
            <w:noProof/>
            <w:sz w:val="22"/>
            <w:szCs w:val="22"/>
          </w:rPr>
          <w:t>2.4.1.2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scénarios SSP</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_Toc183340050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22</w:t>
        </w:r>
        <w:r w:rsidRPr="00A7432C">
          <w:rPr>
            <w:rFonts w:ascii="Times New Roman" w:hAnsi="Times New Roman" w:cs="Times New Roman"/>
            <w:noProof/>
            <w:webHidden/>
            <w:sz w:val="22"/>
            <w:szCs w:val="22"/>
          </w:rPr>
          <w:fldChar w:fldCharType="end"/>
        </w:r>
      </w:hyperlink>
    </w:p>
    <w:p w14:paraId="3A649E95" w14:textId="47126424"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051" w:history="1">
        <w:r w:rsidRPr="00A7432C">
          <w:rPr>
            <w:rStyle w:val="Lienhypertexte"/>
            <w:rFonts w:ascii="Times New Roman" w:eastAsiaTheme="majorEastAsia" w:hAnsi="Times New Roman" w:cs="Times New Roman"/>
            <w:noProof/>
            <w:sz w:val="22"/>
            <w:szCs w:val="22"/>
          </w:rPr>
          <w:t>2.4.2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Projections climatiques à l’horizon 2100</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_Toc183340051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23</w:t>
        </w:r>
        <w:r w:rsidRPr="00A7432C">
          <w:rPr>
            <w:rFonts w:ascii="Times New Roman" w:hAnsi="Times New Roman" w:cs="Times New Roman"/>
            <w:noProof/>
            <w:webHidden/>
            <w:sz w:val="22"/>
            <w:szCs w:val="22"/>
          </w:rPr>
          <w:fldChar w:fldCharType="end"/>
        </w:r>
      </w:hyperlink>
    </w:p>
    <w:p w14:paraId="41248BBA" w14:textId="0EE8246C"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52" w:history="1">
        <w:r w:rsidRPr="00A7432C">
          <w:rPr>
            <w:rStyle w:val="Lienhypertexte"/>
            <w:rFonts w:ascii="Times New Roman" w:eastAsiaTheme="majorEastAsia" w:hAnsi="Times New Roman" w:cs="Times New Roman"/>
            <w:noProof/>
            <w:sz w:val="22"/>
            <w:szCs w:val="22"/>
          </w:rPr>
          <w:t>2.4.2.1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pluviométrie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_Toc183340052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23</w:t>
        </w:r>
        <w:r w:rsidRPr="00A7432C">
          <w:rPr>
            <w:rFonts w:ascii="Times New Roman" w:hAnsi="Times New Roman" w:cs="Times New Roman"/>
            <w:noProof/>
            <w:webHidden/>
            <w:sz w:val="22"/>
            <w:szCs w:val="22"/>
          </w:rPr>
          <w:fldChar w:fldCharType="end"/>
        </w:r>
      </w:hyperlink>
    </w:p>
    <w:p w14:paraId="321130FE" w14:textId="3F682A45"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53" w:history="1">
        <w:r w:rsidRPr="00A7432C">
          <w:rPr>
            <w:rStyle w:val="Lienhypertexte"/>
            <w:rFonts w:ascii="Times New Roman" w:eastAsiaTheme="majorEastAsia" w:hAnsi="Times New Roman" w:cs="Times New Roman"/>
            <w:noProof/>
            <w:sz w:val="22"/>
            <w:szCs w:val="22"/>
            <w:lang w:eastAsia="en-US"/>
          </w:rPr>
          <w:t>2.4.2.1.1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En zone sahélienne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_Toc183340053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25</w:t>
        </w:r>
        <w:r w:rsidRPr="00A7432C">
          <w:rPr>
            <w:rFonts w:ascii="Times New Roman" w:hAnsi="Times New Roman" w:cs="Times New Roman"/>
            <w:noProof/>
            <w:webHidden/>
            <w:sz w:val="22"/>
            <w:szCs w:val="22"/>
          </w:rPr>
          <w:fldChar w:fldCharType="end"/>
        </w:r>
      </w:hyperlink>
    </w:p>
    <w:p w14:paraId="5891529E" w14:textId="630E7E4C"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54" w:history="1">
        <w:r w:rsidRPr="00A7432C">
          <w:rPr>
            <w:rStyle w:val="Lienhypertexte"/>
            <w:rFonts w:ascii="Times New Roman" w:eastAsiaTheme="majorEastAsia" w:hAnsi="Times New Roman" w:cs="Times New Roman"/>
            <w:noProof/>
            <w:sz w:val="22"/>
            <w:szCs w:val="22"/>
            <w:lang w:eastAsia="en-US"/>
          </w:rPr>
          <w:t>2.4.2.1.2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En zone soudano-sahélienne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_Toc183340054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25</w:t>
        </w:r>
        <w:r w:rsidRPr="00A7432C">
          <w:rPr>
            <w:rFonts w:ascii="Times New Roman" w:hAnsi="Times New Roman" w:cs="Times New Roman"/>
            <w:noProof/>
            <w:webHidden/>
            <w:sz w:val="22"/>
            <w:szCs w:val="22"/>
          </w:rPr>
          <w:fldChar w:fldCharType="end"/>
        </w:r>
      </w:hyperlink>
    </w:p>
    <w:p w14:paraId="5A1B6923" w14:textId="6C68461E"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55" w:history="1">
        <w:r w:rsidRPr="00A7432C">
          <w:rPr>
            <w:rStyle w:val="Lienhypertexte"/>
            <w:rFonts w:ascii="Times New Roman" w:eastAsiaTheme="majorEastAsia" w:hAnsi="Times New Roman" w:cs="Times New Roman"/>
            <w:noProof/>
            <w:sz w:val="22"/>
            <w:szCs w:val="22"/>
            <w:lang w:eastAsia="en-US"/>
          </w:rPr>
          <w:t>2.4.2.1.3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En zone soudanienne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_Toc183340055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26</w:t>
        </w:r>
        <w:r w:rsidRPr="00A7432C">
          <w:rPr>
            <w:rFonts w:ascii="Times New Roman" w:hAnsi="Times New Roman" w:cs="Times New Roman"/>
            <w:noProof/>
            <w:webHidden/>
            <w:sz w:val="22"/>
            <w:szCs w:val="22"/>
          </w:rPr>
          <w:fldChar w:fldCharType="end"/>
        </w:r>
      </w:hyperlink>
    </w:p>
    <w:p w14:paraId="689D5993" w14:textId="2341CACF"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56" w:history="1">
        <w:r w:rsidRPr="00A7432C">
          <w:rPr>
            <w:rStyle w:val="Lienhypertexte"/>
            <w:rFonts w:ascii="Times New Roman" w:eastAsiaTheme="majorEastAsia" w:hAnsi="Times New Roman" w:cs="Times New Roman"/>
            <w:noProof/>
            <w:sz w:val="22"/>
            <w:szCs w:val="22"/>
          </w:rPr>
          <w:t>2.4.2.2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température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_Toc183340056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27</w:t>
        </w:r>
        <w:r w:rsidRPr="00A7432C">
          <w:rPr>
            <w:rFonts w:ascii="Times New Roman" w:hAnsi="Times New Roman" w:cs="Times New Roman"/>
            <w:noProof/>
            <w:webHidden/>
            <w:sz w:val="22"/>
            <w:szCs w:val="22"/>
          </w:rPr>
          <w:fldChar w:fldCharType="end"/>
        </w:r>
      </w:hyperlink>
    </w:p>
    <w:p w14:paraId="778251E3" w14:textId="63E4DD9C"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57" w:history="1">
        <w:r w:rsidRPr="00A7432C">
          <w:rPr>
            <w:rStyle w:val="Lienhypertexte"/>
            <w:rFonts w:ascii="Times New Roman" w:eastAsiaTheme="majorEastAsia" w:hAnsi="Times New Roman" w:cs="Times New Roman"/>
            <w:noProof/>
            <w:sz w:val="22"/>
            <w:szCs w:val="22"/>
            <w:lang w:eastAsia="en-US"/>
          </w:rPr>
          <w:t>2.4.2.2.1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Les températures minimales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_Toc183340057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28</w:t>
        </w:r>
        <w:r w:rsidRPr="00A7432C">
          <w:rPr>
            <w:rFonts w:ascii="Times New Roman" w:hAnsi="Times New Roman" w:cs="Times New Roman"/>
            <w:noProof/>
            <w:webHidden/>
            <w:sz w:val="22"/>
            <w:szCs w:val="22"/>
          </w:rPr>
          <w:fldChar w:fldCharType="end"/>
        </w:r>
      </w:hyperlink>
    </w:p>
    <w:p w14:paraId="5D8C6A79" w14:textId="1E7288E7"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58" w:history="1">
        <w:r w:rsidRPr="00A7432C">
          <w:rPr>
            <w:rStyle w:val="Lienhypertexte"/>
            <w:rFonts w:ascii="Times New Roman" w:eastAsiaTheme="majorEastAsia" w:hAnsi="Times New Roman" w:cs="Times New Roman"/>
            <w:noProof/>
            <w:sz w:val="22"/>
            <w:szCs w:val="22"/>
            <w:lang w:eastAsia="en-US"/>
          </w:rPr>
          <w:t>2.4.2.2.2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Les températures maximales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_Toc183340058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30</w:t>
        </w:r>
        <w:r w:rsidRPr="00A7432C">
          <w:rPr>
            <w:rFonts w:ascii="Times New Roman" w:hAnsi="Times New Roman" w:cs="Times New Roman"/>
            <w:noProof/>
            <w:webHidden/>
            <w:sz w:val="22"/>
            <w:szCs w:val="22"/>
          </w:rPr>
          <w:fldChar w:fldCharType="end"/>
        </w:r>
      </w:hyperlink>
    </w:p>
    <w:p w14:paraId="6EDD8B48" w14:textId="59285D8B"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59" w:history="1">
        <w:r w:rsidRPr="00A7432C">
          <w:rPr>
            <w:rStyle w:val="Lienhypertexte"/>
            <w:rFonts w:ascii="Times New Roman" w:eastAsiaTheme="majorEastAsia" w:hAnsi="Times New Roman" w:cs="Times New Roman"/>
            <w:noProof/>
            <w:sz w:val="22"/>
            <w:szCs w:val="22"/>
            <w:lang w:eastAsia="en-US"/>
          </w:rPr>
          <w:t>2.4.2.2.3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Les nombres de jours où T &gt; 40°C</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_Toc183340059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30</w:t>
        </w:r>
        <w:r w:rsidRPr="00A7432C">
          <w:rPr>
            <w:rFonts w:ascii="Times New Roman" w:hAnsi="Times New Roman" w:cs="Times New Roman"/>
            <w:noProof/>
            <w:webHidden/>
            <w:sz w:val="22"/>
            <w:szCs w:val="22"/>
          </w:rPr>
          <w:fldChar w:fldCharType="end"/>
        </w:r>
      </w:hyperlink>
    </w:p>
    <w:p w14:paraId="44353581" w14:textId="61638CFF" w:rsidR="00A7432C" w:rsidRPr="00A7432C" w:rsidRDefault="00A7432C" w:rsidP="00A7432C">
      <w:pPr>
        <w:pStyle w:val="TM1"/>
        <w:tabs>
          <w:tab w:val="left" w:pos="440"/>
          <w:tab w:val="right" w:leader="dot" w:pos="9175"/>
        </w:tabs>
        <w:spacing w:before="0" w:after="0"/>
        <w:rPr>
          <w:rFonts w:ascii="Times New Roman" w:eastAsiaTheme="minorEastAsia" w:hAnsi="Times New Roman" w:cs="Times New Roman"/>
          <w:b w:val="0"/>
          <w:bCs w:val="0"/>
          <w:caps w:val="0"/>
          <w:noProof/>
          <w:kern w:val="2"/>
          <w:sz w:val="22"/>
          <w:szCs w:val="22"/>
          <w:lang w:val="fr-BF" w:eastAsia="fr-BF"/>
          <w14:ligatures w14:val="standardContextual"/>
        </w:rPr>
      </w:pPr>
      <w:hyperlink w:anchor="_Toc183340060" w:history="1">
        <w:r w:rsidRPr="00A7432C">
          <w:rPr>
            <w:rStyle w:val="Lienhypertexte"/>
            <w:rFonts w:ascii="Times New Roman" w:eastAsiaTheme="majorEastAsia" w:hAnsi="Times New Roman" w:cs="Times New Roman"/>
            <w:noProof/>
            <w:sz w:val="22"/>
            <w:szCs w:val="22"/>
          </w:rPr>
          <w:t>III.</w:t>
        </w:r>
        <w:r w:rsidRPr="00A7432C">
          <w:rPr>
            <w:rFonts w:ascii="Times New Roman" w:eastAsiaTheme="minorEastAsia" w:hAnsi="Times New Roman" w:cs="Times New Roman"/>
            <w:b w:val="0"/>
            <w:bCs w:val="0"/>
            <w: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ETAT ET DYNAMIQUES DES RESSOURCES EN EAU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_Toc183340060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34</w:t>
        </w:r>
        <w:r w:rsidRPr="00A7432C">
          <w:rPr>
            <w:rFonts w:ascii="Times New Roman" w:hAnsi="Times New Roman" w:cs="Times New Roman"/>
            <w:noProof/>
            <w:webHidden/>
            <w:sz w:val="22"/>
            <w:szCs w:val="22"/>
          </w:rPr>
          <w:fldChar w:fldCharType="end"/>
        </w:r>
      </w:hyperlink>
    </w:p>
    <w:p w14:paraId="48526284" w14:textId="3412426E"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062" w:history="1">
        <w:r w:rsidRPr="00A7432C">
          <w:rPr>
            <w:rStyle w:val="Lienhypertexte"/>
            <w:rFonts w:ascii="Times New Roman" w:eastAsiaTheme="majorEastAsia" w:hAnsi="Times New Roman" w:cs="Times New Roman"/>
            <w:noProof/>
            <w:sz w:val="22"/>
            <w:szCs w:val="22"/>
          </w:rPr>
          <w:t>3.1</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pressions sur les ressources en eau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_Toc183340062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34</w:t>
        </w:r>
        <w:r w:rsidRPr="00A7432C">
          <w:rPr>
            <w:rFonts w:ascii="Times New Roman" w:hAnsi="Times New Roman" w:cs="Times New Roman"/>
            <w:noProof/>
            <w:webHidden/>
            <w:sz w:val="22"/>
            <w:szCs w:val="22"/>
          </w:rPr>
          <w:fldChar w:fldCharType="end"/>
        </w:r>
      </w:hyperlink>
    </w:p>
    <w:p w14:paraId="1B9A34D4" w14:textId="1197D969"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063" w:history="1">
        <w:r w:rsidRPr="00A7432C">
          <w:rPr>
            <w:rStyle w:val="Lienhypertexte"/>
            <w:rFonts w:ascii="Times New Roman" w:eastAsiaTheme="majorEastAsia" w:hAnsi="Times New Roman" w:cs="Times New Roman"/>
            <w:noProof/>
            <w:sz w:val="22"/>
            <w:szCs w:val="22"/>
          </w:rPr>
          <w:t>3.1.1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pollution des ressources en eau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_Toc183340063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34</w:t>
        </w:r>
        <w:r w:rsidRPr="00A7432C">
          <w:rPr>
            <w:rFonts w:ascii="Times New Roman" w:hAnsi="Times New Roman" w:cs="Times New Roman"/>
            <w:noProof/>
            <w:webHidden/>
            <w:sz w:val="22"/>
            <w:szCs w:val="22"/>
          </w:rPr>
          <w:fldChar w:fldCharType="end"/>
        </w:r>
      </w:hyperlink>
    </w:p>
    <w:p w14:paraId="05E95873" w14:textId="1FAF7343"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64" w:history="1">
        <w:r w:rsidRPr="00A7432C">
          <w:rPr>
            <w:rStyle w:val="Lienhypertexte"/>
            <w:rFonts w:ascii="Times New Roman" w:eastAsiaTheme="majorEastAsia" w:hAnsi="Times New Roman" w:cs="Times New Roman"/>
            <w:noProof/>
            <w:sz w:val="22"/>
            <w:szCs w:val="22"/>
          </w:rPr>
          <w:t>3.1.1.1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types et formes de pollution des ressources en eau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_Toc183340064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34</w:t>
        </w:r>
        <w:r w:rsidRPr="00A7432C">
          <w:rPr>
            <w:rFonts w:ascii="Times New Roman" w:hAnsi="Times New Roman" w:cs="Times New Roman"/>
            <w:noProof/>
            <w:webHidden/>
            <w:sz w:val="22"/>
            <w:szCs w:val="22"/>
          </w:rPr>
          <w:fldChar w:fldCharType="end"/>
        </w:r>
      </w:hyperlink>
    </w:p>
    <w:p w14:paraId="63F2E66D" w14:textId="44555BBD"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65" w:history="1">
        <w:r w:rsidRPr="00A7432C">
          <w:rPr>
            <w:rStyle w:val="Lienhypertexte"/>
            <w:rFonts w:ascii="Times New Roman" w:eastAsiaTheme="majorEastAsia" w:hAnsi="Times New Roman" w:cs="Times New Roman"/>
            <w:noProof/>
            <w:sz w:val="22"/>
            <w:szCs w:val="22"/>
          </w:rPr>
          <w:t>3.1.1.2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indicateurs et les sites de pollution des ressources en eau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_Toc183340065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35</w:t>
        </w:r>
        <w:r w:rsidRPr="00A7432C">
          <w:rPr>
            <w:rFonts w:ascii="Times New Roman" w:hAnsi="Times New Roman" w:cs="Times New Roman"/>
            <w:noProof/>
            <w:webHidden/>
            <w:sz w:val="22"/>
            <w:szCs w:val="22"/>
          </w:rPr>
          <w:fldChar w:fldCharType="end"/>
        </w:r>
      </w:hyperlink>
    </w:p>
    <w:p w14:paraId="787EDBB4" w14:textId="67C3A853"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66" w:history="1">
        <w:r w:rsidRPr="00A7432C">
          <w:rPr>
            <w:rStyle w:val="Lienhypertexte"/>
            <w:rFonts w:ascii="Times New Roman" w:eastAsiaTheme="majorEastAsia" w:hAnsi="Times New Roman" w:cs="Times New Roman"/>
            <w:noProof/>
            <w:sz w:val="22"/>
            <w:szCs w:val="22"/>
          </w:rPr>
          <w:t>3.1.1.3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facteurs de pollution des ressources en eau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_Toc183340066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36</w:t>
        </w:r>
        <w:r w:rsidRPr="00A7432C">
          <w:rPr>
            <w:rFonts w:ascii="Times New Roman" w:hAnsi="Times New Roman" w:cs="Times New Roman"/>
            <w:noProof/>
            <w:webHidden/>
            <w:sz w:val="22"/>
            <w:szCs w:val="22"/>
          </w:rPr>
          <w:fldChar w:fldCharType="end"/>
        </w:r>
      </w:hyperlink>
    </w:p>
    <w:p w14:paraId="35BF8F1D" w14:textId="31A700E7"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67" w:history="1">
        <w:r w:rsidRPr="00A7432C">
          <w:rPr>
            <w:rStyle w:val="Lienhypertexte"/>
            <w:rFonts w:ascii="Times New Roman" w:eastAsiaTheme="majorEastAsia" w:hAnsi="Times New Roman" w:cs="Times New Roman"/>
            <w:noProof/>
            <w:sz w:val="22"/>
            <w:szCs w:val="22"/>
            <w:lang w:eastAsia="en-US"/>
          </w:rPr>
          <w:t>3.1.1.3.1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Les facteurs de pollution d’ordre climatique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_Toc183340067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36</w:t>
        </w:r>
        <w:r w:rsidRPr="00A7432C">
          <w:rPr>
            <w:rFonts w:ascii="Times New Roman" w:hAnsi="Times New Roman" w:cs="Times New Roman"/>
            <w:noProof/>
            <w:webHidden/>
            <w:sz w:val="22"/>
            <w:szCs w:val="22"/>
          </w:rPr>
          <w:fldChar w:fldCharType="end"/>
        </w:r>
      </w:hyperlink>
    </w:p>
    <w:p w14:paraId="10E215CB" w14:textId="4EF4B879"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68" w:history="1">
        <w:r w:rsidRPr="00A7432C">
          <w:rPr>
            <w:rStyle w:val="Lienhypertexte"/>
            <w:rFonts w:ascii="Times New Roman" w:eastAsiaTheme="majorEastAsia" w:hAnsi="Times New Roman" w:cs="Times New Roman"/>
            <w:noProof/>
            <w:sz w:val="22"/>
            <w:szCs w:val="22"/>
            <w:lang w:eastAsia="en-US"/>
          </w:rPr>
          <w:t>3.1.1.3.2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Les facteurs de pollution d’ordre anthropique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_Toc183340068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37</w:t>
        </w:r>
        <w:r w:rsidRPr="00A7432C">
          <w:rPr>
            <w:rFonts w:ascii="Times New Roman" w:hAnsi="Times New Roman" w:cs="Times New Roman"/>
            <w:noProof/>
            <w:webHidden/>
            <w:sz w:val="22"/>
            <w:szCs w:val="22"/>
          </w:rPr>
          <w:fldChar w:fldCharType="end"/>
        </w:r>
      </w:hyperlink>
    </w:p>
    <w:p w14:paraId="4C6AC072" w14:textId="07C39E38"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069" w:history="1">
        <w:r w:rsidRPr="00A7432C">
          <w:rPr>
            <w:rStyle w:val="Lienhypertexte"/>
            <w:rFonts w:ascii="Times New Roman" w:eastAsiaTheme="majorEastAsia" w:hAnsi="Times New Roman" w:cs="Times New Roman"/>
            <w:noProof/>
            <w:sz w:val="22"/>
            <w:szCs w:val="22"/>
          </w:rPr>
          <w:t>3.1.2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déficits pluviométriques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_Toc183340069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38</w:t>
        </w:r>
        <w:r w:rsidRPr="00A7432C">
          <w:rPr>
            <w:rFonts w:ascii="Times New Roman" w:hAnsi="Times New Roman" w:cs="Times New Roman"/>
            <w:noProof/>
            <w:webHidden/>
            <w:sz w:val="22"/>
            <w:szCs w:val="22"/>
          </w:rPr>
          <w:fldChar w:fldCharType="end"/>
        </w:r>
      </w:hyperlink>
    </w:p>
    <w:p w14:paraId="3665BBFE" w14:textId="6D2E24C1"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070" w:history="1">
        <w:r w:rsidRPr="00A7432C">
          <w:rPr>
            <w:rStyle w:val="Lienhypertexte"/>
            <w:rFonts w:ascii="Times New Roman" w:eastAsiaTheme="majorEastAsia" w:hAnsi="Times New Roman" w:cs="Times New Roman"/>
            <w:noProof/>
            <w:sz w:val="22"/>
            <w:szCs w:val="22"/>
          </w:rPr>
          <w:t>3.1.3</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prélèvements des ressources en eau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_Toc183340070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38</w:t>
        </w:r>
        <w:r w:rsidRPr="00A7432C">
          <w:rPr>
            <w:rFonts w:ascii="Times New Roman" w:hAnsi="Times New Roman" w:cs="Times New Roman"/>
            <w:noProof/>
            <w:webHidden/>
            <w:sz w:val="22"/>
            <w:szCs w:val="22"/>
          </w:rPr>
          <w:fldChar w:fldCharType="end"/>
        </w:r>
      </w:hyperlink>
    </w:p>
    <w:p w14:paraId="77E9CC4C" w14:textId="18B1BB3E"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72" w:history="1">
        <w:r w:rsidRPr="00A7432C">
          <w:rPr>
            <w:rStyle w:val="Lienhypertexte"/>
            <w:rFonts w:ascii="Times New Roman" w:eastAsiaTheme="majorEastAsia" w:hAnsi="Times New Roman" w:cs="Times New Roman"/>
            <w:noProof/>
            <w:sz w:val="22"/>
            <w:szCs w:val="22"/>
          </w:rPr>
          <w:t>3.1.3.1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modes de prélèvement des ressources en eau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_Toc183340072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38</w:t>
        </w:r>
        <w:r w:rsidRPr="00A7432C">
          <w:rPr>
            <w:rFonts w:ascii="Times New Roman" w:hAnsi="Times New Roman" w:cs="Times New Roman"/>
            <w:noProof/>
            <w:webHidden/>
            <w:sz w:val="22"/>
            <w:szCs w:val="22"/>
          </w:rPr>
          <w:fldChar w:fldCharType="end"/>
        </w:r>
      </w:hyperlink>
    </w:p>
    <w:p w14:paraId="5F4F7552" w14:textId="54F65A76"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73" w:history="1">
        <w:r w:rsidRPr="00A7432C">
          <w:rPr>
            <w:rStyle w:val="Lienhypertexte"/>
            <w:rFonts w:ascii="Times New Roman" w:eastAsiaTheme="majorEastAsia" w:hAnsi="Times New Roman" w:cs="Times New Roman"/>
            <w:noProof/>
            <w:sz w:val="22"/>
            <w:szCs w:val="22"/>
          </w:rPr>
          <w:t>3.1.3.2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principaux facteurs de prélèvement des ressources en eau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_Toc183340073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38</w:t>
        </w:r>
        <w:r w:rsidRPr="00A7432C">
          <w:rPr>
            <w:rFonts w:ascii="Times New Roman" w:hAnsi="Times New Roman" w:cs="Times New Roman"/>
            <w:noProof/>
            <w:webHidden/>
            <w:sz w:val="22"/>
            <w:szCs w:val="22"/>
          </w:rPr>
          <w:fldChar w:fldCharType="end"/>
        </w:r>
      </w:hyperlink>
    </w:p>
    <w:p w14:paraId="0654B26B" w14:textId="604E7D01"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74" w:history="1">
        <w:r w:rsidRPr="00A7432C">
          <w:rPr>
            <w:rStyle w:val="Lienhypertexte"/>
            <w:rFonts w:ascii="Times New Roman" w:eastAsiaTheme="majorEastAsia" w:hAnsi="Times New Roman" w:cs="Times New Roman"/>
            <w:noProof/>
            <w:sz w:val="22"/>
            <w:szCs w:val="22"/>
            <w:lang w:eastAsia="en-US"/>
          </w:rPr>
          <w:t>3.1.3.2.1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Les facteurs de prélèvement d’ordre climatique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_Toc183340074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38</w:t>
        </w:r>
        <w:r w:rsidRPr="00A7432C">
          <w:rPr>
            <w:rFonts w:ascii="Times New Roman" w:hAnsi="Times New Roman" w:cs="Times New Roman"/>
            <w:noProof/>
            <w:webHidden/>
            <w:sz w:val="22"/>
            <w:szCs w:val="22"/>
          </w:rPr>
          <w:fldChar w:fldCharType="end"/>
        </w:r>
      </w:hyperlink>
    </w:p>
    <w:p w14:paraId="7A4D6E5C" w14:textId="28000BB8"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75" w:history="1">
        <w:r w:rsidRPr="00A7432C">
          <w:rPr>
            <w:rStyle w:val="Lienhypertexte"/>
            <w:rFonts w:ascii="Times New Roman" w:eastAsiaTheme="majorEastAsia" w:hAnsi="Times New Roman" w:cs="Times New Roman"/>
            <w:noProof/>
            <w:sz w:val="22"/>
            <w:szCs w:val="22"/>
            <w:lang w:eastAsia="en-US"/>
          </w:rPr>
          <w:t>3.1.3.2.2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Les facteurs de prélèvement d’ordre anthropique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_Toc183340075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39</w:t>
        </w:r>
        <w:r w:rsidRPr="00A7432C">
          <w:rPr>
            <w:rFonts w:ascii="Times New Roman" w:hAnsi="Times New Roman" w:cs="Times New Roman"/>
            <w:noProof/>
            <w:webHidden/>
            <w:sz w:val="22"/>
            <w:szCs w:val="22"/>
          </w:rPr>
          <w:fldChar w:fldCharType="end"/>
        </w:r>
      </w:hyperlink>
    </w:p>
    <w:p w14:paraId="078FC82B" w14:textId="5F74B002"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078" w:history="1">
        <w:r w:rsidRPr="00A7432C">
          <w:rPr>
            <w:rStyle w:val="Lienhypertexte"/>
            <w:rFonts w:ascii="Times New Roman" w:eastAsiaTheme="majorEastAsia" w:hAnsi="Times New Roman" w:cs="Times New Roman"/>
            <w:noProof/>
            <w:sz w:val="22"/>
            <w:szCs w:val="22"/>
          </w:rPr>
          <w:t>3.1.4</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mécanismes de pression sur les ressources en eau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_Toc183340078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40</w:t>
        </w:r>
        <w:r w:rsidRPr="00A7432C">
          <w:rPr>
            <w:rFonts w:ascii="Times New Roman" w:hAnsi="Times New Roman" w:cs="Times New Roman"/>
            <w:noProof/>
            <w:webHidden/>
            <w:sz w:val="22"/>
            <w:szCs w:val="22"/>
          </w:rPr>
          <w:fldChar w:fldCharType="end"/>
        </w:r>
      </w:hyperlink>
    </w:p>
    <w:p w14:paraId="31FEE021" w14:textId="0B8A0B25"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080" w:history="1">
        <w:r w:rsidRPr="00A7432C">
          <w:rPr>
            <w:rStyle w:val="Lienhypertexte"/>
            <w:rFonts w:ascii="Times New Roman" w:eastAsiaTheme="majorEastAsia" w:hAnsi="Times New Roman" w:cs="Times New Roman"/>
            <w:noProof/>
            <w:sz w:val="22"/>
            <w:szCs w:val="22"/>
          </w:rPr>
          <w:t>3.2</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L’état des ressources en eau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_Toc183340080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42</w:t>
        </w:r>
        <w:r w:rsidRPr="00A7432C">
          <w:rPr>
            <w:rFonts w:ascii="Times New Roman" w:hAnsi="Times New Roman" w:cs="Times New Roman"/>
            <w:noProof/>
            <w:webHidden/>
            <w:sz w:val="22"/>
            <w:szCs w:val="22"/>
          </w:rPr>
          <w:fldChar w:fldCharType="end"/>
        </w:r>
      </w:hyperlink>
    </w:p>
    <w:p w14:paraId="19E928E8" w14:textId="26296DB1"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083" w:history="1">
        <w:r w:rsidRPr="00A7432C">
          <w:rPr>
            <w:rStyle w:val="Lienhypertexte"/>
            <w:rFonts w:ascii="Times New Roman" w:eastAsiaTheme="majorEastAsia" w:hAnsi="Times New Roman" w:cs="Times New Roman"/>
            <w:noProof/>
            <w:sz w:val="22"/>
            <w:szCs w:val="22"/>
          </w:rPr>
          <w:t>3.2.1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État de la qualité des ressources en eau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_Toc183340083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42</w:t>
        </w:r>
        <w:r w:rsidRPr="00A7432C">
          <w:rPr>
            <w:rFonts w:ascii="Times New Roman" w:hAnsi="Times New Roman" w:cs="Times New Roman"/>
            <w:noProof/>
            <w:webHidden/>
            <w:sz w:val="22"/>
            <w:szCs w:val="22"/>
          </w:rPr>
          <w:fldChar w:fldCharType="end"/>
        </w:r>
      </w:hyperlink>
    </w:p>
    <w:p w14:paraId="20D31ABC" w14:textId="21785CD8"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87" w:history="1">
        <w:r w:rsidRPr="00A7432C">
          <w:rPr>
            <w:rStyle w:val="Lienhypertexte"/>
            <w:rFonts w:ascii="Times New Roman" w:eastAsiaTheme="majorEastAsia" w:hAnsi="Times New Roman" w:cs="Times New Roman"/>
            <w:noProof/>
            <w:sz w:val="22"/>
            <w:szCs w:val="22"/>
          </w:rPr>
          <w:t>3.2.1.1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Qualité des ressources en eau souterraine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_Toc183340087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42</w:t>
        </w:r>
        <w:r w:rsidRPr="00A7432C">
          <w:rPr>
            <w:rFonts w:ascii="Times New Roman" w:hAnsi="Times New Roman" w:cs="Times New Roman"/>
            <w:noProof/>
            <w:webHidden/>
            <w:sz w:val="22"/>
            <w:szCs w:val="22"/>
          </w:rPr>
          <w:fldChar w:fldCharType="end"/>
        </w:r>
      </w:hyperlink>
    </w:p>
    <w:p w14:paraId="5DB55897" w14:textId="35EFB480"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88" w:history="1">
        <w:r w:rsidRPr="00A7432C">
          <w:rPr>
            <w:rStyle w:val="Lienhypertexte"/>
            <w:rFonts w:ascii="Times New Roman" w:eastAsiaTheme="majorEastAsia" w:hAnsi="Times New Roman" w:cs="Times New Roman"/>
            <w:noProof/>
            <w:sz w:val="22"/>
            <w:szCs w:val="22"/>
            <w:lang w:eastAsia="en-US"/>
          </w:rPr>
          <w:t>3.2.1.1.1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Qualité des ressources en eau souterraine du bassin national de la Comoé</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_Toc183340088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42</w:t>
        </w:r>
        <w:r w:rsidRPr="00A7432C">
          <w:rPr>
            <w:rFonts w:ascii="Times New Roman" w:hAnsi="Times New Roman" w:cs="Times New Roman"/>
            <w:noProof/>
            <w:webHidden/>
            <w:sz w:val="22"/>
            <w:szCs w:val="22"/>
          </w:rPr>
          <w:fldChar w:fldCharType="end"/>
        </w:r>
      </w:hyperlink>
    </w:p>
    <w:p w14:paraId="11147ED6" w14:textId="388D4040"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89" w:history="1">
        <w:r w:rsidRPr="00A7432C">
          <w:rPr>
            <w:rStyle w:val="Lienhypertexte"/>
            <w:rFonts w:ascii="Times New Roman" w:eastAsiaTheme="majorEastAsia" w:hAnsi="Times New Roman" w:cs="Times New Roman"/>
            <w:noProof/>
            <w:sz w:val="22"/>
            <w:szCs w:val="22"/>
            <w:lang w:eastAsia="en-US"/>
          </w:rPr>
          <w:t>3.2.1.1.2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Qualité des ressources en eau souterraine du bassin du Mouhoun</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_Toc183340089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43</w:t>
        </w:r>
        <w:r w:rsidRPr="00A7432C">
          <w:rPr>
            <w:rFonts w:ascii="Times New Roman" w:hAnsi="Times New Roman" w:cs="Times New Roman"/>
            <w:noProof/>
            <w:webHidden/>
            <w:sz w:val="22"/>
            <w:szCs w:val="22"/>
          </w:rPr>
          <w:fldChar w:fldCharType="end"/>
        </w:r>
      </w:hyperlink>
    </w:p>
    <w:p w14:paraId="5A529362" w14:textId="0548CF15"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90" w:history="1">
        <w:r w:rsidRPr="00A7432C">
          <w:rPr>
            <w:rStyle w:val="Lienhypertexte"/>
            <w:rFonts w:ascii="Times New Roman" w:eastAsiaTheme="majorEastAsia" w:hAnsi="Times New Roman" w:cs="Times New Roman"/>
            <w:noProof/>
            <w:sz w:val="22"/>
            <w:szCs w:val="22"/>
          </w:rPr>
          <w:t>3.2.1.2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Qualité des ressources en eau de surface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_Toc183340090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43</w:t>
        </w:r>
        <w:r w:rsidRPr="00A7432C">
          <w:rPr>
            <w:rFonts w:ascii="Times New Roman" w:hAnsi="Times New Roman" w:cs="Times New Roman"/>
            <w:noProof/>
            <w:webHidden/>
            <w:sz w:val="22"/>
            <w:szCs w:val="22"/>
          </w:rPr>
          <w:fldChar w:fldCharType="end"/>
        </w:r>
      </w:hyperlink>
    </w:p>
    <w:p w14:paraId="2CED06EC" w14:textId="0755FA37"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91" w:history="1">
        <w:r w:rsidRPr="00A7432C">
          <w:rPr>
            <w:rStyle w:val="Lienhypertexte"/>
            <w:rFonts w:ascii="Times New Roman" w:eastAsiaTheme="majorEastAsia" w:hAnsi="Times New Roman" w:cs="Times New Roman"/>
            <w:noProof/>
            <w:sz w:val="22"/>
            <w:szCs w:val="22"/>
            <w:lang w:eastAsia="en-US"/>
          </w:rPr>
          <w:t>3.2.1.2.1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Qualité des ressources en eau de surface des bassins nationaux de la Comoé et du Niger</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_Toc183340091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43</w:t>
        </w:r>
        <w:r w:rsidRPr="00A7432C">
          <w:rPr>
            <w:rFonts w:ascii="Times New Roman" w:hAnsi="Times New Roman" w:cs="Times New Roman"/>
            <w:noProof/>
            <w:webHidden/>
            <w:sz w:val="22"/>
            <w:szCs w:val="22"/>
          </w:rPr>
          <w:fldChar w:fldCharType="end"/>
        </w:r>
      </w:hyperlink>
    </w:p>
    <w:p w14:paraId="1C2F49ED" w14:textId="3ABB3000"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92" w:history="1">
        <w:r w:rsidRPr="00A7432C">
          <w:rPr>
            <w:rStyle w:val="Lienhypertexte"/>
            <w:rFonts w:ascii="Times New Roman" w:eastAsiaTheme="majorEastAsia" w:hAnsi="Times New Roman" w:cs="Times New Roman"/>
            <w:noProof/>
            <w:sz w:val="22"/>
            <w:szCs w:val="22"/>
            <w:lang w:eastAsia="en-US"/>
          </w:rPr>
          <w:t>3.2.1.2.2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Qualité des ressources en eau de surface du bassin du Nakanbé</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_Toc183340092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43</w:t>
        </w:r>
        <w:r w:rsidRPr="00A7432C">
          <w:rPr>
            <w:rFonts w:ascii="Times New Roman" w:hAnsi="Times New Roman" w:cs="Times New Roman"/>
            <w:noProof/>
            <w:webHidden/>
            <w:sz w:val="22"/>
            <w:szCs w:val="22"/>
          </w:rPr>
          <w:fldChar w:fldCharType="end"/>
        </w:r>
      </w:hyperlink>
    </w:p>
    <w:p w14:paraId="5D33D9CB" w14:textId="62AB0E33"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93" w:history="1">
        <w:r w:rsidRPr="00A7432C">
          <w:rPr>
            <w:rStyle w:val="Lienhypertexte"/>
            <w:rFonts w:ascii="Times New Roman" w:eastAsiaTheme="majorEastAsia" w:hAnsi="Times New Roman" w:cs="Times New Roman"/>
            <w:noProof/>
            <w:sz w:val="22"/>
            <w:szCs w:val="22"/>
            <w:lang w:eastAsia="en-US"/>
          </w:rPr>
          <w:t>3.2.1.2.3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Qualité des ressources en eau de surface du fleuve Mouhoun</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_Toc183340093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45</w:t>
        </w:r>
        <w:r w:rsidRPr="00A7432C">
          <w:rPr>
            <w:rFonts w:ascii="Times New Roman" w:hAnsi="Times New Roman" w:cs="Times New Roman"/>
            <w:noProof/>
            <w:webHidden/>
            <w:sz w:val="22"/>
            <w:szCs w:val="22"/>
          </w:rPr>
          <w:fldChar w:fldCharType="end"/>
        </w:r>
      </w:hyperlink>
    </w:p>
    <w:p w14:paraId="293732A4" w14:textId="77627EDF"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094" w:history="1">
        <w:r w:rsidRPr="00A7432C">
          <w:rPr>
            <w:rStyle w:val="Lienhypertexte"/>
            <w:rFonts w:ascii="Times New Roman" w:eastAsiaTheme="majorEastAsia" w:hAnsi="Times New Roman" w:cs="Times New Roman"/>
            <w:noProof/>
            <w:sz w:val="22"/>
            <w:szCs w:val="22"/>
          </w:rPr>
          <w:t>3.2.2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État des déficits pluviométriques et des ressources en eau renouvelables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_Toc183340094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48</w:t>
        </w:r>
        <w:r w:rsidRPr="00A7432C">
          <w:rPr>
            <w:rFonts w:ascii="Times New Roman" w:hAnsi="Times New Roman" w:cs="Times New Roman"/>
            <w:noProof/>
            <w:webHidden/>
            <w:sz w:val="22"/>
            <w:szCs w:val="22"/>
          </w:rPr>
          <w:fldChar w:fldCharType="end"/>
        </w:r>
      </w:hyperlink>
    </w:p>
    <w:p w14:paraId="459E74A7" w14:textId="2B21C0E9"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95" w:history="1">
        <w:r w:rsidRPr="00A7432C">
          <w:rPr>
            <w:rStyle w:val="Lienhypertexte"/>
            <w:rFonts w:ascii="Times New Roman" w:eastAsiaTheme="majorEastAsia" w:hAnsi="Times New Roman" w:cs="Times New Roman"/>
            <w:noProof/>
            <w:sz w:val="22"/>
            <w:szCs w:val="22"/>
          </w:rPr>
          <w:t>3.2.2.1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Etat des déficits pluviométriques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_Toc183340095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48</w:t>
        </w:r>
        <w:r w:rsidRPr="00A7432C">
          <w:rPr>
            <w:rFonts w:ascii="Times New Roman" w:hAnsi="Times New Roman" w:cs="Times New Roman"/>
            <w:noProof/>
            <w:webHidden/>
            <w:sz w:val="22"/>
            <w:szCs w:val="22"/>
          </w:rPr>
          <w:fldChar w:fldCharType="end"/>
        </w:r>
      </w:hyperlink>
    </w:p>
    <w:p w14:paraId="6AEDF18C" w14:textId="5108CB25"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96" w:history="1">
        <w:r w:rsidRPr="00A7432C">
          <w:rPr>
            <w:rStyle w:val="Lienhypertexte"/>
            <w:rFonts w:ascii="Times New Roman" w:eastAsiaTheme="majorEastAsia" w:hAnsi="Times New Roman" w:cs="Times New Roman"/>
            <w:noProof/>
            <w:sz w:val="22"/>
            <w:szCs w:val="22"/>
          </w:rPr>
          <w:t>3.2.2.2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Etat des ressources en eau renouvelables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_Toc183340096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49</w:t>
        </w:r>
        <w:r w:rsidRPr="00A7432C">
          <w:rPr>
            <w:rFonts w:ascii="Times New Roman" w:hAnsi="Times New Roman" w:cs="Times New Roman"/>
            <w:noProof/>
            <w:webHidden/>
            <w:sz w:val="22"/>
            <w:szCs w:val="22"/>
          </w:rPr>
          <w:fldChar w:fldCharType="end"/>
        </w:r>
      </w:hyperlink>
    </w:p>
    <w:p w14:paraId="4558819E" w14:textId="7878B51D"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097" w:history="1">
        <w:r w:rsidRPr="00A7432C">
          <w:rPr>
            <w:rStyle w:val="Lienhypertexte"/>
            <w:rFonts w:ascii="Times New Roman" w:eastAsiaTheme="majorEastAsia" w:hAnsi="Times New Roman" w:cs="Times New Roman"/>
            <w:noProof/>
            <w:sz w:val="22"/>
            <w:szCs w:val="22"/>
          </w:rPr>
          <w:t>3.2.3</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État de prélèvement des ressources en eau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_Toc183340097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49</w:t>
        </w:r>
        <w:r w:rsidRPr="00A7432C">
          <w:rPr>
            <w:rFonts w:ascii="Times New Roman" w:hAnsi="Times New Roman" w:cs="Times New Roman"/>
            <w:noProof/>
            <w:webHidden/>
            <w:sz w:val="22"/>
            <w:szCs w:val="22"/>
          </w:rPr>
          <w:fldChar w:fldCharType="end"/>
        </w:r>
      </w:hyperlink>
    </w:p>
    <w:p w14:paraId="6F716AAE" w14:textId="3B3FF88D"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98" w:history="1">
        <w:r w:rsidRPr="00A7432C">
          <w:rPr>
            <w:rStyle w:val="Lienhypertexte"/>
            <w:rFonts w:ascii="Times New Roman" w:eastAsiaTheme="majorEastAsia" w:hAnsi="Times New Roman" w:cs="Times New Roman"/>
            <w:noProof/>
            <w:sz w:val="22"/>
            <w:szCs w:val="22"/>
          </w:rPr>
          <w:t>3.2.3.1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Etat de prélèvement des ressources en eau souterraine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_Toc183340098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49</w:t>
        </w:r>
        <w:r w:rsidRPr="00A7432C">
          <w:rPr>
            <w:rFonts w:ascii="Times New Roman" w:hAnsi="Times New Roman" w:cs="Times New Roman"/>
            <w:noProof/>
            <w:webHidden/>
            <w:sz w:val="22"/>
            <w:szCs w:val="22"/>
          </w:rPr>
          <w:fldChar w:fldCharType="end"/>
        </w:r>
      </w:hyperlink>
    </w:p>
    <w:p w14:paraId="6D167EB5" w14:textId="4229CC4C"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099" w:history="1">
        <w:r w:rsidRPr="00A7432C">
          <w:rPr>
            <w:rStyle w:val="Lienhypertexte"/>
            <w:rFonts w:ascii="Times New Roman" w:eastAsiaTheme="majorEastAsia" w:hAnsi="Times New Roman" w:cs="Times New Roman"/>
            <w:noProof/>
            <w:sz w:val="22"/>
            <w:szCs w:val="22"/>
          </w:rPr>
          <w:t>3.2.3.2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Etat de prélèvement des ressources en eau de surface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_Toc183340099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52</w:t>
        </w:r>
        <w:r w:rsidRPr="00A7432C">
          <w:rPr>
            <w:rFonts w:ascii="Times New Roman" w:hAnsi="Times New Roman" w:cs="Times New Roman"/>
            <w:noProof/>
            <w:webHidden/>
            <w:sz w:val="22"/>
            <w:szCs w:val="22"/>
          </w:rPr>
          <w:fldChar w:fldCharType="end"/>
        </w:r>
      </w:hyperlink>
    </w:p>
    <w:p w14:paraId="1307DC5E" w14:textId="566FAE54"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00" w:history="1">
        <w:r w:rsidRPr="00A7432C">
          <w:rPr>
            <w:rStyle w:val="Lienhypertexte"/>
            <w:rFonts w:ascii="Times New Roman" w:eastAsiaTheme="majorEastAsia" w:hAnsi="Times New Roman" w:cs="Times New Roman"/>
            <w:noProof/>
            <w:sz w:val="22"/>
            <w:szCs w:val="22"/>
            <w:lang w:eastAsia="en-US"/>
          </w:rPr>
          <w:t>3.2.3.2.1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Prélèvement par évaporation des plans d’eau de surface en 2021</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_Toc183340100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52</w:t>
        </w:r>
        <w:r w:rsidRPr="00A7432C">
          <w:rPr>
            <w:rFonts w:ascii="Times New Roman" w:hAnsi="Times New Roman" w:cs="Times New Roman"/>
            <w:noProof/>
            <w:webHidden/>
            <w:sz w:val="22"/>
            <w:szCs w:val="22"/>
          </w:rPr>
          <w:fldChar w:fldCharType="end"/>
        </w:r>
      </w:hyperlink>
    </w:p>
    <w:p w14:paraId="2F9DCA4E" w14:textId="0DF10DC2"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01" w:history="1">
        <w:r w:rsidRPr="00A7432C">
          <w:rPr>
            <w:rStyle w:val="Lienhypertexte"/>
            <w:rFonts w:ascii="Times New Roman" w:eastAsiaTheme="majorEastAsia" w:hAnsi="Times New Roman" w:cs="Times New Roman"/>
            <w:noProof/>
            <w:sz w:val="22"/>
            <w:szCs w:val="22"/>
            <w:lang w:eastAsia="en-US"/>
          </w:rPr>
          <w:t>3.2.3.2.2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Prélèvement pour les activités socioéconomiques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_Toc183340101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52</w:t>
        </w:r>
        <w:r w:rsidRPr="00A7432C">
          <w:rPr>
            <w:rFonts w:ascii="Times New Roman" w:hAnsi="Times New Roman" w:cs="Times New Roman"/>
            <w:noProof/>
            <w:webHidden/>
            <w:sz w:val="22"/>
            <w:szCs w:val="22"/>
          </w:rPr>
          <w:fldChar w:fldCharType="end"/>
        </w:r>
      </w:hyperlink>
    </w:p>
    <w:p w14:paraId="5366E91A" w14:textId="0A0DF4AC"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102" w:history="1">
        <w:r w:rsidRPr="00A7432C">
          <w:rPr>
            <w:rStyle w:val="Lienhypertexte"/>
            <w:rFonts w:ascii="Times New Roman" w:eastAsiaTheme="majorEastAsia" w:hAnsi="Times New Roman" w:cs="Times New Roman"/>
            <w:noProof/>
            <w:sz w:val="22"/>
            <w:szCs w:val="22"/>
          </w:rPr>
          <w:t>3.3</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Impacts des pressions et dynamiques des ressources en eau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_Toc183340102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57</w:t>
        </w:r>
        <w:r w:rsidRPr="00A7432C">
          <w:rPr>
            <w:rFonts w:ascii="Times New Roman" w:hAnsi="Times New Roman" w:cs="Times New Roman"/>
            <w:noProof/>
            <w:webHidden/>
            <w:sz w:val="22"/>
            <w:szCs w:val="22"/>
          </w:rPr>
          <w:fldChar w:fldCharType="end"/>
        </w:r>
      </w:hyperlink>
    </w:p>
    <w:p w14:paraId="2E097153" w14:textId="2070D5CC"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103" w:history="1">
        <w:r w:rsidRPr="00A7432C">
          <w:rPr>
            <w:rStyle w:val="Lienhypertexte"/>
            <w:rFonts w:ascii="Times New Roman" w:eastAsiaTheme="majorEastAsia" w:hAnsi="Times New Roman" w:cs="Times New Roman"/>
            <w:noProof/>
            <w:sz w:val="22"/>
            <w:szCs w:val="22"/>
          </w:rPr>
          <w:t>3.3.1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 de la pollution sur les ressources en eau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_Toc183340103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57</w:t>
        </w:r>
        <w:r w:rsidRPr="00A7432C">
          <w:rPr>
            <w:rFonts w:ascii="Times New Roman" w:hAnsi="Times New Roman" w:cs="Times New Roman"/>
            <w:noProof/>
            <w:webHidden/>
            <w:sz w:val="22"/>
            <w:szCs w:val="22"/>
          </w:rPr>
          <w:fldChar w:fldCharType="end"/>
        </w:r>
      </w:hyperlink>
    </w:p>
    <w:p w14:paraId="3B4D3FB0" w14:textId="6DCEAA1D"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06" w:history="1">
        <w:r w:rsidRPr="00A7432C">
          <w:rPr>
            <w:rStyle w:val="Lienhypertexte"/>
            <w:rFonts w:ascii="Times New Roman" w:eastAsiaTheme="majorEastAsia" w:hAnsi="Times New Roman" w:cs="Times New Roman"/>
            <w:noProof/>
            <w:sz w:val="22"/>
            <w:szCs w:val="22"/>
          </w:rPr>
          <w:t>3.3.1.1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 de la pollution sur les ressources en eau souterraine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_Toc183340106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57</w:t>
        </w:r>
        <w:r w:rsidRPr="00A7432C">
          <w:rPr>
            <w:rFonts w:ascii="Times New Roman" w:hAnsi="Times New Roman" w:cs="Times New Roman"/>
            <w:noProof/>
            <w:webHidden/>
            <w:sz w:val="22"/>
            <w:szCs w:val="22"/>
          </w:rPr>
          <w:fldChar w:fldCharType="end"/>
        </w:r>
      </w:hyperlink>
    </w:p>
    <w:p w14:paraId="1D91282B" w14:textId="694B3756"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07" w:history="1">
        <w:r w:rsidRPr="00A7432C">
          <w:rPr>
            <w:rStyle w:val="Lienhypertexte"/>
            <w:rFonts w:ascii="Times New Roman" w:eastAsiaTheme="majorEastAsia" w:hAnsi="Times New Roman" w:cs="Times New Roman"/>
            <w:noProof/>
            <w:sz w:val="22"/>
            <w:szCs w:val="22"/>
            <w:lang w:eastAsia="en-US"/>
          </w:rPr>
          <w:t>3.3.1.1.1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Impact de la pollution sur les ressources en eau souterraine du bassin de la Comoé</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_Toc183340107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57</w:t>
        </w:r>
        <w:r w:rsidRPr="00A7432C">
          <w:rPr>
            <w:rFonts w:ascii="Times New Roman" w:hAnsi="Times New Roman" w:cs="Times New Roman"/>
            <w:noProof/>
            <w:webHidden/>
            <w:sz w:val="22"/>
            <w:szCs w:val="22"/>
          </w:rPr>
          <w:fldChar w:fldCharType="end"/>
        </w:r>
      </w:hyperlink>
    </w:p>
    <w:p w14:paraId="64BEBC4E" w14:textId="5B973198"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08" w:history="1">
        <w:r w:rsidRPr="00A7432C">
          <w:rPr>
            <w:rStyle w:val="Lienhypertexte"/>
            <w:rFonts w:ascii="Times New Roman" w:eastAsiaTheme="majorEastAsia" w:hAnsi="Times New Roman" w:cs="Times New Roman"/>
            <w:noProof/>
            <w:sz w:val="22"/>
            <w:szCs w:val="22"/>
            <w:lang w:eastAsia="en-US"/>
          </w:rPr>
          <w:t>3.3.1.1.2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Impact de la pollution sur les ressources en eau souterraine du bassin du Mouhoun</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_Toc183340108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57</w:t>
        </w:r>
        <w:r w:rsidRPr="00A7432C">
          <w:rPr>
            <w:rFonts w:ascii="Times New Roman" w:hAnsi="Times New Roman" w:cs="Times New Roman"/>
            <w:noProof/>
            <w:webHidden/>
            <w:sz w:val="22"/>
            <w:szCs w:val="22"/>
          </w:rPr>
          <w:fldChar w:fldCharType="end"/>
        </w:r>
      </w:hyperlink>
    </w:p>
    <w:p w14:paraId="044AEF81" w14:textId="1F492C9B"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09" w:history="1">
        <w:r w:rsidRPr="00A7432C">
          <w:rPr>
            <w:rStyle w:val="Lienhypertexte"/>
            <w:rFonts w:ascii="Times New Roman" w:eastAsiaTheme="majorEastAsia" w:hAnsi="Times New Roman" w:cs="Times New Roman"/>
            <w:noProof/>
            <w:sz w:val="22"/>
            <w:szCs w:val="22"/>
            <w:lang w:eastAsia="en-US"/>
          </w:rPr>
          <w:t>3.3.1.1.3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Impacts de la pollution sur les ressources en eau souterraine du bassin du Nakanbé</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_Toc183340109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58</w:t>
        </w:r>
        <w:r w:rsidRPr="00A7432C">
          <w:rPr>
            <w:rFonts w:ascii="Times New Roman" w:hAnsi="Times New Roman" w:cs="Times New Roman"/>
            <w:noProof/>
            <w:webHidden/>
            <w:sz w:val="22"/>
            <w:szCs w:val="22"/>
          </w:rPr>
          <w:fldChar w:fldCharType="end"/>
        </w:r>
      </w:hyperlink>
    </w:p>
    <w:p w14:paraId="49D2E24F" w14:textId="2FEF618B"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10" w:history="1">
        <w:r w:rsidRPr="00A7432C">
          <w:rPr>
            <w:rStyle w:val="Lienhypertexte"/>
            <w:rFonts w:ascii="Times New Roman" w:eastAsiaTheme="majorEastAsia" w:hAnsi="Times New Roman" w:cs="Times New Roman"/>
            <w:noProof/>
            <w:sz w:val="22"/>
            <w:szCs w:val="22"/>
            <w:lang w:eastAsia="en-US"/>
          </w:rPr>
          <w:t>3.3.1.1.4</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Impact de la pollution sur les ressources en eau souterraine du bassin national du fleuve Niger</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_Toc183340110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58</w:t>
        </w:r>
        <w:r w:rsidRPr="00A7432C">
          <w:rPr>
            <w:rFonts w:ascii="Times New Roman" w:hAnsi="Times New Roman" w:cs="Times New Roman"/>
            <w:noProof/>
            <w:webHidden/>
            <w:sz w:val="22"/>
            <w:szCs w:val="22"/>
          </w:rPr>
          <w:fldChar w:fldCharType="end"/>
        </w:r>
      </w:hyperlink>
    </w:p>
    <w:p w14:paraId="3A40BE40" w14:textId="0D8056D4"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11" w:history="1">
        <w:r w:rsidRPr="00A7432C">
          <w:rPr>
            <w:rStyle w:val="Lienhypertexte"/>
            <w:rFonts w:ascii="Times New Roman" w:eastAsiaTheme="majorEastAsia" w:hAnsi="Times New Roman" w:cs="Times New Roman"/>
            <w:noProof/>
            <w:sz w:val="22"/>
            <w:szCs w:val="22"/>
          </w:rPr>
          <w:t>3.3.1.2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 de la pollution sur les ressources en eau de surface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_Toc183340111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59</w:t>
        </w:r>
        <w:r w:rsidRPr="00A7432C">
          <w:rPr>
            <w:rFonts w:ascii="Times New Roman" w:hAnsi="Times New Roman" w:cs="Times New Roman"/>
            <w:noProof/>
            <w:webHidden/>
            <w:sz w:val="22"/>
            <w:szCs w:val="22"/>
          </w:rPr>
          <w:fldChar w:fldCharType="end"/>
        </w:r>
      </w:hyperlink>
    </w:p>
    <w:p w14:paraId="60CF7703" w14:textId="407FFCD6"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12" w:history="1">
        <w:r w:rsidRPr="00A7432C">
          <w:rPr>
            <w:rStyle w:val="Lienhypertexte"/>
            <w:rFonts w:ascii="Times New Roman" w:eastAsiaTheme="majorEastAsia" w:hAnsi="Times New Roman" w:cs="Times New Roman"/>
            <w:noProof/>
            <w:sz w:val="22"/>
            <w:szCs w:val="22"/>
            <w:lang w:eastAsia="en-US"/>
          </w:rPr>
          <w:t>3.3.1.2.1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Impact de la pollution sur les ressources en eau de surface du bassin du Mouhoun</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_Toc183340112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59</w:t>
        </w:r>
        <w:r w:rsidRPr="00A7432C">
          <w:rPr>
            <w:rFonts w:ascii="Times New Roman" w:hAnsi="Times New Roman" w:cs="Times New Roman"/>
            <w:noProof/>
            <w:webHidden/>
            <w:sz w:val="22"/>
            <w:szCs w:val="22"/>
          </w:rPr>
          <w:fldChar w:fldCharType="end"/>
        </w:r>
      </w:hyperlink>
    </w:p>
    <w:p w14:paraId="12159F29" w14:textId="4635A1FD"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13" w:history="1">
        <w:r w:rsidRPr="00A7432C">
          <w:rPr>
            <w:rStyle w:val="Lienhypertexte"/>
            <w:rFonts w:ascii="Times New Roman" w:eastAsiaTheme="majorEastAsia" w:hAnsi="Times New Roman" w:cs="Times New Roman"/>
            <w:noProof/>
            <w:sz w:val="22"/>
            <w:szCs w:val="22"/>
            <w:lang w:eastAsia="en-US"/>
          </w:rPr>
          <w:t>3.3.1.2.2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Impact de la pollution sur les ressources en eau de surface du bassin du Nakanbé</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_Toc183340113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59</w:t>
        </w:r>
        <w:r w:rsidRPr="00A7432C">
          <w:rPr>
            <w:rFonts w:ascii="Times New Roman" w:hAnsi="Times New Roman" w:cs="Times New Roman"/>
            <w:noProof/>
            <w:webHidden/>
            <w:sz w:val="22"/>
            <w:szCs w:val="22"/>
          </w:rPr>
          <w:fldChar w:fldCharType="end"/>
        </w:r>
      </w:hyperlink>
    </w:p>
    <w:p w14:paraId="62879F0A" w14:textId="3ED59C8D"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114" w:history="1">
        <w:r w:rsidRPr="00A7432C">
          <w:rPr>
            <w:rStyle w:val="Lienhypertexte"/>
            <w:rFonts w:ascii="Times New Roman" w:eastAsiaTheme="majorEastAsia" w:hAnsi="Times New Roman" w:cs="Times New Roman"/>
            <w:noProof/>
            <w:sz w:val="22"/>
            <w:szCs w:val="22"/>
          </w:rPr>
          <w:t>3.3.2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 des déficits pluviométriques sur les ressources en eau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_Toc183340114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59</w:t>
        </w:r>
        <w:r w:rsidRPr="00A7432C">
          <w:rPr>
            <w:rFonts w:ascii="Times New Roman" w:hAnsi="Times New Roman" w:cs="Times New Roman"/>
            <w:noProof/>
            <w:webHidden/>
            <w:sz w:val="22"/>
            <w:szCs w:val="22"/>
          </w:rPr>
          <w:fldChar w:fldCharType="end"/>
        </w:r>
      </w:hyperlink>
    </w:p>
    <w:p w14:paraId="07ED36DA" w14:textId="78E60228"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115" w:history="1">
        <w:r w:rsidRPr="00A7432C">
          <w:rPr>
            <w:rStyle w:val="Lienhypertexte"/>
            <w:rFonts w:ascii="Times New Roman" w:eastAsiaTheme="majorEastAsia" w:hAnsi="Times New Roman" w:cs="Times New Roman"/>
            <w:noProof/>
            <w:sz w:val="22"/>
            <w:szCs w:val="22"/>
          </w:rPr>
          <w:t>3.3.3</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 des prélèvements sur les ressources en eau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_Toc183340115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59</w:t>
        </w:r>
        <w:r w:rsidRPr="00A7432C">
          <w:rPr>
            <w:rFonts w:ascii="Times New Roman" w:hAnsi="Times New Roman" w:cs="Times New Roman"/>
            <w:noProof/>
            <w:webHidden/>
            <w:sz w:val="22"/>
            <w:szCs w:val="22"/>
          </w:rPr>
          <w:fldChar w:fldCharType="end"/>
        </w:r>
      </w:hyperlink>
    </w:p>
    <w:p w14:paraId="325DF21B" w14:textId="346D044F"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116" w:history="1">
        <w:r w:rsidRPr="00A7432C">
          <w:rPr>
            <w:rStyle w:val="Lienhypertexte"/>
            <w:rFonts w:ascii="Times New Roman" w:eastAsiaTheme="majorEastAsia" w:hAnsi="Times New Roman" w:cs="Times New Roman"/>
            <w:noProof/>
            <w:sz w:val="22"/>
            <w:szCs w:val="22"/>
          </w:rPr>
          <w:t>3.3.4</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Dynamique de l’évolution des pressions (pollution et prélèvement) sur les ressources en eau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_Toc183340116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60</w:t>
        </w:r>
        <w:r w:rsidRPr="00A7432C">
          <w:rPr>
            <w:rFonts w:ascii="Times New Roman" w:hAnsi="Times New Roman" w:cs="Times New Roman"/>
            <w:noProof/>
            <w:webHidden/>
            <w:sz w:val="22"/>
            <w:szCs w:val="22"/>
          </w:rPr>
          <w:fldChar w:fldCharType="end"/>
        </w:r>
      </w:hyperlink>
    </w:p>
    <w:p w14:paraId="591DD664" w14:textId="38BBC239"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17" w:history="1">
        <w:r w:rsidRPr="00A7432C">
          <w:rPr>
            <w:rStyle w:val="Lienhypertexte"/>
            <w:rFonts w:ascii="Times New Roman" w:eastAsiaTheme="majorEastAsia" w:hAnsi="Times New Roman" w:cs="Times New Roman"/>
            <w:noProof/>
            <w:sz w:val="22"/>
            <w:szCs w:val="22"/>
          </w:rPr>
          <w:t>3.3.4.1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Dynamique d’évolution des pressions sur les ressources en eau en raison du développement croissant des activités économiques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_Toc183340117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60</w:t>
        </w:r>
        <w:r w:rsidRPr="00A7432C">
          <w:rPr>
            <w:rFonts w:ascii="Times New Roman" w:hAnsi="Times New Roman" w:cs="Times New Roman"/>
            <w:noProof/>
            <w:webHidden/>
            <w:sz w:val="22"/>
            <w:szCs w:val="22"/>
          </w:rPr>
          <w:fldChar w:fldCharType="end"/>
        </w:r>
      </w:hyperlink>
    </w:p>
    <w:p w14:paraId="68B69956" w14:textId="41074F07"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18" w:history="1">
        <w:r w:rsidRPr="00A7432C">
          <w:rPr>
            <w:rStyle w:val="Lienhypertexte"/>
            <w:rFonts w:ascii="Times New Roman" w:eastAsiaTheme="majorEastAsia" w:hAnsi="Times New Roman" w:cs="Times New Roman"/>
            <w:noProof/>
            <w:sz w:val="22"/>
            <w:szCs w:val="22"/>
          </w:rPr>
          <w:t>3.3.4.2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Dynamique de l’évolution des pressions sur les ressources en eau en raison de l’accès à l’eau potable et des taux de fonctionnement des équipements d’AEP</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_Toc183340118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61</w:t>
        </w:r>
        <w:r w:rsidRPr="00A7432C">
          <w:rPr>
            <w:rFonts w:ascii="Times New Roman" w:hAnsi="Times New Roman" w:cs="Times New Roman"/>
            <w:noProof/>
            <w:webHidden/>
            <w:sz w:val="22"/>
            <w:szCs w:val="22"/>
          </w:rPr>
          <w:fldChar w:fldCharType="end"/>
        </w:r>
      </w:hyperlink>
    </w:p>
    <w:p w14:paraId="40255E5F" w14:textId="77395909"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19" w:history="1">
        <w:r w:rsidRPr="00A7432C">
          <w:rPr>
            <w:rStyle w:val="Lienhypertexte"/>
            <w:rFonts w:ascii="Times New Roman" w:eastAsiaTheme="majorEastAsia" w:hAnsi="Times New Roman" w:cs="Times New Roman"/>
            <w:noProof/>
            <w:sz w:val="22"/>
            <w:szCs w:val="22"/>
            <w:lang w:eastAsia="en-US"/>
          </w:rPr>
          <w:t>3.3.4.2.1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Evolution des pressions en raison du taux d’accès à l’eau potable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_Toc183340119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61</w:t>
        </w:r>
        <w:r w:rsidRPr="00A7432C">
          <w:rPr>
            <w:rFonts w:ascii="Times New Roman" w:hAnsi="Times New Roman" w:cs="Times New Roman"/>
            <w:noProof/>
            <w:webHidden/>
            <w:sz w:val="22"/>
            <w:szCs w:val="22"/>
          </w:rPr>
          <w:fldChar w:fldCharType="end"/>
        </w:r>
      </w:hyperlink>
    </w:p>
    <w:p w14:paraId="74A22C17" w14:textId="29C578F8"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20" w:history="1">
        <w:r w:rsidRPr="00A7432C">
          <w:rPr>
            <w:rStyle w:val="Lienhypertexte"/>
            <w:rFonts w:ascii="Times New Roman" w:eastAsiaTheme="majorEastAsia" w:hAnsi="Times New Roman" w:cs="Times New Roman"/>
            <w:noProof/>
            <w:sz w:val="22"/>
            <w:szCs w:val="22"/>
            <w:lang w:eastAsia="en-US"/>
          </w:rPr>
          <w:t>3.3.4.2.2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Evolution des pressions en raison du taux de fonctionnement des équipements d’AEP</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_Toc183340120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62</w:t>
        </w:r>
        <w:r w:rsidRPr="00A7432C">
          <w:rPr>
            <w:rFonts w:ascii="Times New Roman" w:hAnsi="Times New Roman" w:cs="Times New Roman"/>
            <w:noProof/>
            <w:webHidden/>
            <w:sz w:val="22"/>
            <w:szCs w:val="22"/>
          </w:rPr>
          <w:fldChar w:fldCharType="end"/>
        </w:r>
      </w:hyperlink>
    </w:p>
    <w:p w14:paraId="0C82566F" w14:textId="60D8A629"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21" w:history="1">
        <w:r w:rsidRPr="00A7432C">
          <w:rPr>
            <w:rStyle w:val="Lienhypertexte"/>
            <w:rFonts w:ascii="Times New Roman" w:eastAsiaTheme="majorEastAsia" w:hAnsi="Times New Roman" w:cs="Times New Roman"/>
            <w:noProof/>
            <w:sz w:val="22"/>
            <w:szCs w:val="22"/>
          </w:rPr>
          <w:t>3.3.4.3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Dynamique de l’évolution des pressions sur les ressources en eau en raison du taux fonctionnement des PMH et AEPS et du taux d’accès à l’assainissement « eaux usées et excrétas »</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_Toc183340121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63</w:t>
        </w:r>
        <w:r w:rsidRPr="00A7432C">
          <w:rPr>
            <w:rFonts w:ascii="Times New Roman" w:hAnsi="Times New Roman" w:cs="Times New Roman"/>
            <w:noProof/>
            <w:webHidden/>
            <w:sz w:val="22"/>
            <w:szCs w:val="22"/>
          </w:rPr>
          <w:fldChar w:fldCharType="end"/>
        </w:r>
      </w:hyperlink>
    </w:p>
    <w:p w14:paraId="7F3A9F56" w14:textId="5546B065"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22" w:history="1">
        <w:r w:rsidRPr="00A7432C">
          <w:rPr>
            <w:rStyle w:val="Lienhypertexte"/>
            <w:rFonts w:ascii="Times New Roman" w:eastAsiaTheme="majorEastAsia" w:hAnsi="Times New Roman" w:cs="Times New Roman"/>
            <w:noProof/>
            <w:sz w:val="22"/>
            <w:szCs w:val="22"/>
            <w:lang w:eastAsia="en-US"/>
          </w:rPr>
          <w:t>3.3.4.3.1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Evolution des pressions en raison du taux d’accès à l’assainissement « eaux usées et excrétas »</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_Toc183340122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63</w:t>
        </w:r>
        <w:r w:rsidRPr="00A7432C">
          <w:rPr>
            <w:rFonts w:ascii="Times New Roman" w:hAnsi="Times New Roman" w:cs="Times New Roman"/>
            <w:noProof/>
            <w:webHidden/>
            <w:sz w:val="22"/>
            <w:szCs w:val="22"/>
          </w:rPr>
          <w:fldChar w:fldCharType="end"/>
        </w:r>
      </w:hyperlink>
    </w:p>
    <w:p w14:paraId="06FF9D3B" w14:textId="257676AF"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23" w:history="1">
        <w:r w:rsidRPr="00A7432C">
          <w:rPr>
            <w:rStyle w:val="Lienhypertexte"/>
            <w:rFonts w:ascii="Times New Roman" w:eastAsiaTheme="majorEastAsia" w:hAnsi="Times New Roman" w:cs="Times New Roman"/>
            <w:noProof/>
            <w:sz w:val="22"/>
            <w:szCs w:val="22"/>
          </w:rPr>
          <w:t>3.3.4.4</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Dynamique de l’évolution de la pollution en raison de la dégradation physique des sols des bassins hydrographiques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_Toc183340123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65</w:t>
        </w:r>
        <w:r w:rsidRPr="00A7432C">
          <w:rPr>
            <w:rFonts w:ascii="Times New Roman" w:hAnsi="Times New Roman" w:cs="Times New Roman"/>
            <w:noProof/>
            <w:webHidden/>
            <w:sz w:val="22"/>
            <w:szCs w:val="22"/>
          </w:rPr>
          <w:fldChar w:fldCharType="end"/>
        </w:r>
      </w:hyperlink>
    </w:p>
    <w:p w14:paraId="173FA4FF" w14:textId="185DD7A6"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24" w:history="1">
        <w:r w:rsidRPr="00A7432C">
          <w:rPr>
            <w:rStyle w:val="Lienhypertexte"/>
            <w:rFonts w:ascii="Times New Roman" w:eastAsiaTheme="majorEastAsia" w:hAnsi="Times New Roman" w:cs="Times New Roman"/>
            <w:noProof/>
            <w:sz w:val="22"/>
            <w:szCs w:val="22"/>
          </w:rPr>
          <w:t>3.3.4.5</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Dynamique d’évolution de la pluviométrie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_Toc183340124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65</w:t>
        </w:r>
        <w:r w:rsidRPr="00A7432C">
          <w:rPr>
            <w:rFonts w:ascii="Times New Roman" w:hAnsi="Times New Roman" w:cs="Times New Roman"/>
            <w:noProof/>
            <w:webHidden/>
            <w:sz w:val="22"/>
            <w:szCs w:val="22"/>
          </w:rPr>
          <w:fldChar w:fldCharType="end"/>
        </w:r>
      </w:hyperlink>
    </w:p>
    <w:p w14:paraId="7FA985D4" w14:textId="5E8AC38D"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25" w:history="1">
        <w:r w:rsidRPr="00A7432C">
          <w:rPr>
            <w:rStyle w:val="Lienhypertexte"/>
            <w:rFonts w:ascii="Times New Roman" w:eastAsiaTheme="majorEastAsia" w:hAnsi="Times New Roman" w:cs="Times New Roman"/>
            <w:noProof/>
            <w:sz w:val="22"/>
            <w:szCs w:val="22"/>
          </w:rPr>
          <w:t>3.3.4.6</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Dynamique de l’évolution des pertes par évaporation des plans d’eau de surface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_Toc183340125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65</w:t>
        </w:r>
        <w:r w:rsidRPr="00A7432C">
          <w:rPr>
            <w:rFonts w:ascii="Times New Roman" w:hAnsi="Times New Roman" w:cs="Times New Roman"/>
            <w:noProof/>
            <w:webHidden/>
            <w:sz w:val="22"/>
            <w:szCs w:val="22"/>
          </w:rPr>
          <w:fldChar w:fldCharType="end"/>
        </w:r>
      </w:hyperlink>
    </w:p>
    <w:p w14:paraId="258002E3" w14:textId="10C8EE49"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126" w:history="1">
        <w:r w:rsidRPr="00A7432C">
          <w:rPr>
            <w:rStyle w:val="Lienhypertexte"/>
            <w:rFonts w:ascii="Times New Roman" w:eastAsiaTheme="majorEastAsia" w:hAnsi="Times New Roman" w:cs="Times New Roman"/>
            <w:noProof/>
            <w:sz w:val="22"/>
            <w:szCs w:val="22"/>
          </w:rPr>
          <w:t>3.4</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réponses aux pressions et impacts sur les ressources en eau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_Toc183340126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65</w:t>
        </w:r>
        <w:r w:rsidRPr="00A7432C">
          <w:rPr>
            <w:rFonts w:ascii="Times New Roman" w:hAnsi="Times New Roman" w:cs="Times New Roman"/>
            <w:noProof/>
            <w:webHidden/>
            <w:sz w:val="22"/>
            <w:szCs w:val="22"/>
          </w:rPr>
          <w:fldChar w:fldCharType="end"/>
        </w:r>
      </w:hyperlink>
    </w:p>
    <w:p w14:paraId="3AFB9575" w14:textId="00062158"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127" w:history="1">
        <w:r w:rsidRPr="00A7432C">
          <w:rPr>
            <w:rStyle w:val="Lienhypertexte"/>
            <w:rFonts w:ascii="Times New Roman" w:eastAsiaTheme="majorEastAsia" w:hAnsi="Times New Roman" w:cs="Times New Roman"/>
            <w:noProof/>
            <w:sz w:val="22"/>
            <w:szCs w:val="22"/>
          </w:rPr>
          <w:t>3.5</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Ressources en eau et changements climatiques : enjeux et risques du futur</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_Toc183340127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67</w:t>
        </w:r>
        <w:r w:rsidRPr="00A7432C">
          <w:rPr>
            <w:rFonts w:ascii="Times New Roman" w:hAnsi="Times New Roman" w:cs="Times New Roman"/>
            <w:noProof/>
            <w:webHidden/>
            <w:sz w:val="22"/>
            <w:szCs w:val="22"/>
          </w:rPr>
          <w:fldChar w:fldCharType="end"/>
        </w:r>
      </w:hyperlink>
    </w:p>
    <w:p w14:paraId="60A17EEC" w14:textId="0DC30E6E" w:rsidR="00A7432C" w:rsidRPr="00A7432C" w:rsidRDefault="00A7432C" w:rsidP="00A7432C">
      <w:pPr>
        <w:pStyle w:val="TM1"/>
        <w:tabs>
          <w:tab w:val="left" w:pos="660"/>
          <w:tab w:val="right" w:leader="dot" w:pos="9175"/>
        </w:tabs>
        <w:spacing w:before="0" w:after="0"/>
        <w:rPr>
          <w:rFonts w:ascii="Times New Roman" w:eastAsiaTheme="minorEastAsia" w:hAnsi="Times New Roman" w:cs="Times New Roman"/>
          <w:b w:val="0"/>
          <w:bCs w:val="0"/>
          <w:caps w:val="0"/>
          <w:noProof/>
          <w:kern w:val="2"/>
          <w:sz w:val="22"/>
          <w:szCs w:val="22"/>
          <w:lang w:val="fr-BF" w:eastAsia="fr-BF"/>
          <w14:ligatures w14:val="standardContextual"/>
        </w:rPr>
      </w:pPr>
      <w:hyperlink w:anchor="_Toc183340128" w:history="1">
        <w:r w:rsidRPr="00A7432C">
          <w:rPr>
            <w:rStyle w:val="Lienhypertexte"/>
            <w:rFonts w:ascii="Times New Roman" w:eastAsiaTheme="majorEastAsia" w:hAnsi="Times New Roman" w:cs="Times New Roman"/>
            <w:noProof/>
            <w:sz w:val="22"/>
            <w:szCs w:val="22"/>
          </w:rPr>
          <w:t>IV.</w:t>
        </w:r>
        <w:r w:rsidRPr="00A7432C">
          <w:rPr>
            <w:rFonts w:ascii="Times New Roman" w:eastAsiaTheme="minorEastAsia" w:hAnsi="Times New Roman" w:cs="Times New Roman"/>
            <w:b w:val="0"/>
            <w:bCs w:val="0"/>
            <w: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ETAT ET DYNAMIQUES DES SOLS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_Toc183340128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69</w:t>
        </w:r>
        <w:r w:rsidRPr="00A7432C">
          <w:rPr>
            <w:rFonts w:ascii="Times New Roman" w:hAnsi="Times New Roman" w:cs="Times New Roman"/>
            <w:noProof/>
            <w:webHidden/>
            <w:sz w:val="22"/>
            <w:szCs w:val="22"/>
          </w:rPr>
          <w:fldChar w:fldCharType="end"/>
        </w:r>
      </w:hyperlink>
    </w:p>
    <w:p w14:paraId="2E8F0046" w14:textId="1E061934"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130" w:history="1">
        <w:r w:rsidRPr="00A7432C">
          <w:rPr>
            <w:rStyle w:val="Lienhypertexte"/>
            <w:rFonts w:ascii="Times New Roman" w:eastAsiaTheme="majorEastAsia" w:hAnsi="Times New Roman" w:cs="Times New Roman"/>
            <w:noProof/>
            <w:sz w:val="22"/>
            <w:szCs w:val="22"/>
          </w:rPr>
          <w:t>3.6</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pressions sur les sols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_Toc183340130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69</w:t>
        </w:r>
        <w:r w:rsidRPr="00A7432C">
          <w:rPr>
            <w:rFonts w:ascii="Times New Roman" w:hAnsi="Times New Roman" w:cs="Times New Roman"/>
            <w:noProof/>
            <w:webHidden/>
            <w:sz w:val="22"/>
            <w:szCs w:val="22"/>
          </w:rPr>
          <w:fldChar w:fldCharType="end"/>
        </w:r>
      </w:hyperlink>
    </w:p>
    <w:p w14:paraId="3F0A3D6B" w14:textId="315D0D9E"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133" w:history="1">
        <w:r w:rsidRPr="00A7432C">
          <w:rPr>
            <w:rStyle w:val="Lienhypertexte"/>
            <w:rFonts w:ascii="Times New Roman" w:eastAsiaTheme="majorEastAsia" w:hAnsi="Times New Roman" w:cs="Times New Roman"/>
            <w:noProof/>
            <w:sz w:val="22"/>
            <w:szCs w:val="22"/>
          </w:rPr>
          <w:t>4.1.1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Pressions anthropiques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_Toc183340133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69</w:t>
        </w:r>
        <w:r w:rsidRPr="00A7432C">
          <w:rPr>
            <w:rFonts w:ascii="Times New Roman" w:hAnsi="Times New Roman" w:cs="Times New Roman"/>
            <w:noProof/>
            <w:webHidden/>
            <w:sz w:val="22"/>
            <w:szCs w:val="22"/>
          </w:rPr>
          <w:fldChar w:fldCharType="end"/>
        </w:r>
      </w:hyperlink>
    </w:p>
    <w:p w14:paraId="06E3105C" w14:textId="367F6730"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34" w:history="1">
        <w:r w:rsidRPr="00A7432C">
          <w:rPr>
            <w:rStyle w:val="Lienhypertexte"/>
            <w:rFonts w:ascii="Times New Roman" w:eastAsiaTheme="majorEastAsia" w:hAnsi="Times New Roman" w:cs="Times New Roman"/>
            <w:noProof/>
            <w:sz w:val="22"/>
            <w:szCs w:val="22"/>
          </w:rPr>
          <w:t>4.1.1.1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 surpâturage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_Toc183340134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69</w:t>
        </w:r>
        <w:r w:rsidRPr="00A7432C">
          <w:rPr>
            <w:rFonts w:ascii="Times New Roman" w:hAnsi="Times New Roman" w:cs="Times New Roman"/>
            <w:noProof/>
            <w:webHidden/>
            <w:sz w:val="22"/>
            <w:szCs w:val="22"/>
          </w:rPr>
          <w:fldChar w:fldCharType="end"/>
        </w:r>
      </w:hyperlink>
    </w:p>
    <w:p w14:paraId="4FF74EC5" w14:textId="01B7A6A4"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35" w:history="1">
        <w:r w:rsidRPr="00A7432C">
          <w:rPr>
            <w:rStyle w:val="Lienhypertexte"/>
            <w:rFonts w:ascii="Times New Roman" w:eastAsiaTheme="majorEastAsia" w:hAnsi="Times New Roman" w:cs="Times New Roman"/>
            <w:noProof/>
            <w:sz w:val="22"/>
            <w:szCs w:val="22"/>
          </w:rPr>
          <w:t>4.1.1.2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feux de brousse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_Toc183340135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71</w:t>
        </w:r>
        <w:r w:rsidRPr="00A7432C">
          <w:rPr>
            <w:rFonts w:ascii="Times New Roman" w:hAnsi="Times New Roman" w:cs="Times New Roman"/>
            <w:noProof/>
            <w:webHidden/>
            <w:sz w:val="22"/>
            <w:szCs w:val="22"/>
          </w:rPr>
          <w:fldChar w:fldCharType="end"/>
        </w:r>
      </w:hyperlink>
    </w:p>
    <w:p w14:paraId="5D95C1FE" w14:textId="29BFEB6C"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36" w:history="1">
        <w:r w:rsidRPr="00A7432C">
          <w:rPr>
            <w:rStyle w:val="Lienhypertexte"/>
            <w:rFonts w:ascii="Times New Roman" w:eastAsiaTheme="majorEastAsia" w:hAnsi="Times New Roman" w:cs="Times New Roman"/>
            <w:noProof/>
            <w:sz w:val="22"/>
            <w:szCs w:val="22"/>
          </w:rPr>
          <w:t>4.1.1.3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L’exploitation artisanale de l’or ou orpaillage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_Toc183340136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72</w:t>
        </w:r>
        <w:r w:rsidRPr="00A7432C">
          <w:rPr>
            <w:rFonts w:ascii="Times New Roman" w:hAnsi="Times New Roman" w:cs="Times New Roman"/>
            <w:noProof/>
            <w:webHidden/>
            <w:sz w:val="22"/>
            <w:szCs w:val="22"/>
          </w:rPr>
          <w:fldChar w:fldCharType="end"/>
        </w:r>
      </w:hyperlink>
    </w:p>
    <w:p w14:paraId="554012BA" w14:textId="5B06D15A"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37" w:history="1">
        <w:r w:rsidRPr="00A7432C">
          <w:rPr>
            <w:rStyle w:val="Lienhypertexte"/>
            <w:rFonts w:ascii="Times New Roman" w:eastAsiaTheme="majorEastAsia" w:hAnsi="Times New Roman" w:cs="Times New Roman"/>
            <w:noProof/>
            <w:sz w:val="22"/>
            <w:szCs w:val="22"/>
          </w:rPr>
          <w:t>4.1.1.4</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L’exploitation industrielle de l’or</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_Toc183340137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72</w:t>
        </w:r>
        <w:r w:rsidRPr="00A7432C">
          <w:rPr>
            <w:rFonts w:ascii="Times New Roman" w:hAnsi="Times New Roman" w:cs="Times New Roman"/>
            <w:noProof/>
            <w:webHidden/>
            <w:sz w:val="22"/>
            <w:szCs w:val="22"/>
          </w:rPr>
          <w:fldChar w:fldCharType="end"/>
        </w:r>
      </w:hyperlink>
    </w:p>
    <w:p w14:paraId="161B412A" w14:textId="1A110044"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38" w:history="1">
        <w:r w:rsidRPr="00A7432C">
          <w:rPr>
            <w:rStyle w:val="Lienhypertexte"/>
            <w:rFonts w:ascii="Times New Roman" w:eastAsiaTheme="majorEastAsia" w:hAnsi="Times New Roman" w:cs="Times New Roman"/>
            <w:noProof/>
            <w:sz w:val="22"/>
            <w:szCs w:val="22"/>
          </w:rPr>
          <w:t>4.1.1.5</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L’agriculture pluviale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_Toc183340138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74</w:t>
        </w:r>
        <w:r w:rsidRPr="00A7432C">
          <w:rPr>
            <w:rFonts w:ascii="Times New Roman" w:hAnsi="Times New Roman" w:cs="Times New Roman"/>
            <w:noProof/>
            <w:webHidden/>
            <w:sz w:val="22"/>
            <w:szCs w:val="22"/>
          </w:rPr>
          <w:fldChar w:fldCharType="end"/>
        </w:r>
      </w:hyperlink>
    </w:p>
    <w:p w14:paraId="2E9FA8B3" w14:textId="3AEA3258"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39" w:history="1">
        <w:r w:rsidRPr="00A7432C">
          <w:rPr>
            <w:rStyle w:val="Lienhypertexte"/>
            <w:rFonts w:ascii="Times New Roman" w:eastAsiaTheme="majorEastAsia" w:hAnsi="Times New Roman" w:cs="Times New Roman"/>
            <w:noProof/>
            <w:sz w:val="22"/>
            <w:szCs w:val="22"/>
          </w:rPr>
          <w:t>4.1.1.6</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L’utilisation des engrais et pesticides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_Toc183340139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74</w:t>
        </w:r>
        <w:r w:rsidRPr="00A7432C">
          <w:rPr>
            <w:rFonts w:ascii="Times New Roman" w:hAnsi="Times New Roman" w:cs="Times New Roman"/>
            <w:noProof/>
            <w:webHidden/>
            <w:sz w:val="22"/>
            <w:szCs w:val="22"/>
          </w:rPr>
          <w:fldChar w:fldCharType="end"/>
        </w:r>
      </w:hyperlink>
    </w:p>
    <w:p w14:paraId="3E179699" w14:textId="224F886A"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40" w:history="1">
        <w:r w:rsidRPr="00A7432C">
          <w:rPr>
            <w:rStyle w:val="Lienhypertexte"/>
            <w:rFonts w:ascii="Times New Roman" w:eastAsiaTheme="majorEastAsia" w:hAnsi="Times New Roman" w:cs="Times New Roman"/>
            <w:noProof/>
            <w:sz w:val="22"/>
            <w:szCs w:val="22"/>
          </w:rPr>
          <w:t>4.1.1.7</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migration internes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_Toc183340140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75</w:t>
        </w:r>
        <w:r w:rsidRPr="00A7432C">
          <w:rPr>
            <w:rFonts w:ascii="Times New Roman" w:hAnsi="Times New Roman" w:cs="Times New Roman"/>
            <w:noProof/>
            <w:webHidden/>
            <w:sz w:val="22"/>
            <w:szCs w:val="22"/>
          </w:rPr>
          <w:fldChar w:fldCharType="end"/>
        </w:r>
      </w:hyperlink>
    </w:p>
    <w:p w14:paraId="29F92E92" w14:textId="5A1D4BEB"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41" w:history="1">
        <w:r w:rsidRPr="00A7432C">
          <w:rPr>
            <w:rStyle w:val="Lienhypertexte"/>
            <w:rFonts w:ascii="Times New Roman" w:eastAsiaTheme="majorEastAsia" w:hAnsi="Times New Roman" w:cs="Times New Roman"/>
            <w:noProof/>
            <w:sz w:val="22"/>
            <w:szCs w:val="22"/>
          </w:rPr>
          <w:t>4.1.1.8</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L’acquisition massive des terres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_Toc183340141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75</w:t>
        </w:r>
        <w:r w:rsidRPr="00A7432C">
          <w:rPr>
            <w:rFonts w:ascii="Times New Roman" w:hAnsi="Times New Roman" w:cs="Times New Roman"/>
            <w:noProof/>
            <w:webHidden/>
            <w:sz w:val="22"/>
            <w:szCs w:val="22"/>
          </w:rPr>
          <w:fldChar w:fldCharType="end"/>
        </w:r>
      </w:hyperlink>
    </w:p>
    <w:p w14:paraId="577C5959" w14:textId="66694D5D"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42" w:history="1">
        <w:r w:rsidRPr="00A7432C">
          <w:rPr>
            <w:rStyle w:val="Lienhypertexte"/>
            <w:rFonts w:ascii="Times New Roman" w:eastAsiaTheme="majorEastAsia" w:hAnsi="Times New Roman" w:cs="Times New Roman"/>
            <w:noProof/>
            <w:sz w:val="22"/>
            <w:szCs w:val="22"/>
          </w:rPr>
          <w:t>4.1.1.9</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L’agriculture irriguée et de bas-fond</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_Toc183340142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76</w:t>
        </w:r>
        <w:r w:rsidRPr="00A7432C">
          <w:rPr>
            <w:rFonts w:ascii="Times New Roman" w:hAnsi="Times New Roman" w:cs="Times New Roman"/>
            <w:noProof/>
            <w:webHidden/>
            <w:sz w:val="22"/>
            <w:szCs w:val="22"/>
          </w:rPr>
          <w:fldChar w:fldCharType="end"/>
        </w:r>
      </w:hyperlink>
    </w:p>
    <w:p w14:paraId="587CA204" w14:textId="0DEA4770"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43" w:history="1">
        <w:r w:rsidRPr="00A7432C">
          <w:rPr>
            <w:rStyle w:val="Lienhypertexte"/>
            <w:rFonts w:ascii="Times New Roman" w:eastAsiaTheme="majorEastAsia" w:hAnsi="Times New Roman" w:cs="Times New Roman"/>
            <w:noProof/>
            <w:sz w:val="22"/>
            <w:szCs w:val="22"/>
          </w:rPr>
          <w:t>4.1.1.10</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consommation des sachets plastiques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_Toc183340143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77</w:t>
        </w:r>
        <w:r w:rsidRPr="00A7432C">
          <w:rPr>
            <w:rFonts w:ascii="Times New Roman" w:hAnsi="Times New Roman" w:cs="Times New Roman"/>
            <w:noProof/>
            <w:webHidden/>
            <w:sz w:val="22"/>
            <w:szCs w:val="22"/>
          </w:rPr>
          <w:fldChar w:fldCharType="end"/>
        </w:r>
      </w:hyperlink>
    </w:p>
    <w:p w14:paraId="406068DE" w14:textId="511D906A"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44" w:history="1">
        <w:r w:rsidRPr="00A7432C">
          <w:rPr>
            <w:rStyle w:val="Lienhypertexte"/>
            <w:rFonts w:ascii="Times New Roman" w:eastAsiaTheme="majorEastAsia" w:hAnsi="Times New Roman" w:cs="Times New Roman"/>
            <w:noProof/>
            <w:sz w:val="22"/>
            <w:szCs w:val="22"/>
          </w:rPr>
          <w:t>4.1.1.11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Evolution de la dégradation des terres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_Toc183340144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77</w:t>
        </w:r>
        <w:r w:rsidRPr="00A7432C">
          <w:rPr>
            <w:rFonts w:ascii="Times New Roman" w:hAnsi="Times New Roman" w:cs="Times New Roman"/>
            <w:noProof/>
            <w:webHidden/>
            <w:sz w:val="22"/>
            <w:szCs w:val="22"/>
          </w:rPr>
          <w:fldChar w:fldCharType="end"/>
        </w:r>
      </w:hyperlink>
    </w:p>
    <w:p w14:paraId="4DA3D853" w14:textId="3DC2470E"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145" w:history="1">
        <w:r w:rsidRPr="00A7432C">
          <w:rPr>
            <w:rStyle w:val="Lienhypertexte"/>
            <w:rFonts w:ascii="Times New Roman" w:eastAsiaTheme="majorEastAsia" w:hAnsi="Times New Roman" w:cs="Times New Roman"/>
            <w:noProof/>
            <w:sz w:val="22"/>
            <w:szCs w:val="22"/>
          </w:rPr>
          <w:t>4.1.2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pressions liées au climat</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_Toc183340145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79</w:t>
        </w:r>
        <w:r w:rsidRPr="00A7432C">
          <w:rPr>
            <w:rFonts w:ascii="Times New Roman" w:hAnsi="Times New Roman" w:cs="Times New Roman"/>
            <w:noProof/>
            <w:webHidden/>
            <w:sz w:val="22"/>
            <w:szCs w:val="22"/>
          </w:rPr>
          <w:fldChar w:fldCharType="end"/>
        </w:r>
      </w:hyperlink>
    </w:p>
    <w:p w14:paraId="21AED387" w14:textId="6D664B67"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46" w:history="1">
        <w:r w:rsidRPr="00A7432C">
          <w:rPr>
            <w:rStyle w:val="Lienhypertexte"/>
            <w:rFonts w:ascii="Times New Roman" w:eastAsiaTheme="majorEastAsia" w:hAnsi="Times New Roman" w:cs="Times New Roman"/>
            <w:noProof/>
            <w:sz w:val="22"/>
            <w:szCs w:val="22"/>
          </w:rPr>
          <w:t>4.1.2.1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fortes pluies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_Toc183340146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79</w:t>
        </w:r>
        <w:r w:rsidRPr="00A7432C">
          <w:rPr>
            <w:rFonts w:ascii="Times New Roman" w:hAnsi="Times New Roman" w:cs="Times New Roman"/>
            <w:noProof/>
            <w:webHidden/>
            <w:sz w:val="22"/>
            <w:szCs w:val="22"/>
          </w:rPr>
          <w:fldChar w:fldCharType="end"/>
        </w:r>
      </w:hyperlink>
    </w:p>
    <w:p w14:paraId="4AF5A0AF" w14:textId="3727A61E"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47" w:history="1">
        <w:r w:rsidRPr="00A7432C">
          <w:rPr>
            <w:rStyle w:val="Lienhypertexte"/>
            <w:rFonts w:ascii="Times New Roman" w:eastAsiaTheme="majorEastAsia" w:hAnsi="Times New Roman" w:cs="Times New Roman"/>
            <w:noProof/>
            <w:sz w:val="22"/>
            <w:szCs w:val="22"/>
          </w:rPr>
          <w:t>4.1.2.2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fortes températures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_Toc183340147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80</w:t>
        </w:r>
        <w:r w:rsidRPr="00A7432C">
          <w:rPr>
            <w:rFonts w:ascii="Times New Roman" w:hAnsi="Times New Roman" w:cs="Times New Roman"/>
            <w:noProof/>
            <w:webHidden/>
            <w:sz w:val="22"/>
            <w:szCs w:val="22"/>
          </w:rPr>
          <w:fldChar w:fldCharType="end"/>
        </w:r>
      </w:hyperlink>
    </w:p>
    <w:p w14:paraId="4C222DB8" w14:textId="0D70840F"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48" w:history="1">
        <w:r w:rsidRPr="00A7432C">
          <w:rPr>
            <w:rStyle w:val="Lienhypertexte"/>
            <w:rFonts w:ascii="Times New Roman" w:eastAsiaTheme="majorEastAsia" w:hAnsi="Times New Roman" w:cs="Times New Roman"/>
            <w:noProof/>
            <w:sz w:val="22"/>
            <w:szCs w:val="22"/>
          </w:rPr>
          <w:t>4.1.2.3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vents violents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_Toc183340148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80</w:t>
        </w:r>
        <w:r w:rsidRPr="00A7432C">
          <w:rPr>
            <w:rFonts w:ascii="Times New Roman" w:hAnsi="Times New Roman" w:cs="Times New Roman"/>
            <w:noProof/>
            <w:webHidden/>
            <w:sz w:val="22"/>
            <w:szCs w:val="22"/>
          </w:rPr>
          <w:fldChar w:fldCharType="end"/>
        </w:r>
      </w:hyperlink>
    </w:p>
    <w:p w14:paraId="5640C502" w14:textId="7E09C371"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149" w:history="1">
        <w:r w:rsidRPr="00A7432C">
          <w:rPr>
            <w:rStyle w:val="Lienhypertexte"/>
            <w:rFonts w:ascii="Times New Roman" w:eastAsiaTheme="majorEastAsia" w:hAnsi="Times New Roman" w:cs="Times New Roman"/>
            <w:noProof/>
            <w:sz w:val="22"/>
            <w:szCs w:val="22"/>
          </w:rPr>
          <w:t>4.2</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État et dynamique des sols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_Toc183340149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82</w:t>
        </w:r>
        <w:r w:rsidRPr="00A7432C">
          <w:rPr>
            <w:rFonts w:ascii="Times New Roman" w:hAnsi="Times New Roman" w:cs="Times New Roman"/>
            <w:noProof/>
            <w:webHidden/>
            <w:sz w:val="22"/>
            <w:szCs w:val="22"/>
          </w:rPr>
          <w:fldChar w:fldCharType="end"/>
        </w:r>
      </w:hyperlink>
    </w:p>
    <w:p w14:paraId="0DD2BD6A" w14:textId="20F8B77C"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154" w:history="1">
        <w:r w:rsidRPr="00A7432C">
          <w:rPr>
            <w:rStyle w:val="Lienhypertexte"/>
            <w:rFonts w:ascii="Times New Roman" w:eastAsiaTheme="majorEastAsia" w:hAnsi="Times New Roman" w:cs="Times New Roman"/>
            <w:noProof/>
            <w:sz w:val="22"/>
            <w:szCs w:val="22"/>
          </w:rPr>
          <w:t>4.3.1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Caractéristiques des sols du Burkina Faso</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_Toc183340154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82</w:t>
        </w:r>
        <w:r w:rsidRPr="00A7432C">
          <w:rPr>
            <w:rFonts w:ascii="Times New Roman" w:hAnsi="Times New Roman" w:cs="Times New Roman"/>
            <w:noProof/>
            <w:webHidden/>
            <w:sz w:val="22"/>
            <w:szCs w:val="22"/>
          </w:rPr>
          <w:fldChar w:fldCharType="end"/>
        </w:r>
      </w:hyperlink>
    </w:p>
    <w:p w14:paraId="68B93D42" w14:textId="71A41C2A"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55" w:history="1">
        <w:r w:rsidRPr="00A7432C">
          <w:rPr>
            <w:rStyle w:val="Lienhypertexte"/>
            <w:rFonts w:ascii="Times New Roman" w:eastAsiaTheme="majorEastAsia" w:hAnsi="Times New Roman" w:cs="Times New Roman"/>
            <w:noProof/>
            <w:sz w:val="22"/>
            <w:szCs w:val="22"/>
          </w:rPr>
          <w:t>4.3.1.1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Classe des sols minéraux bruts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_Toc183340155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82</w:t>
        </w:r>
        <w:r w:rsidRPr="00A7432C">
          <w:rPr>
            <w:rFonts w:ascii="Times New Roman" w:hAnsi="Times New Roman" w:cs="Times New Roman"/>
            <w:noProof/>
            <w:webHidden/>
            <w:sz w:val="22"/>
            <w:szCs w:val="22"/>
          </w:rPr>
          <w:fldChar w:fldCharType="end"/>
        </w:r>
      </w:hyperlink>
    </w:p>
    <w:p w14:paraId="256FFE32" w14:textId="5654652D"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56" w:history="1">
        <w:r w:rsidRPr="00A7432C">
          <w:rPr>
            <w:rStyle w:val="Lienhypertexte"/>
            <w:rFonts w:ascii="Times New Roman" w:eastAsiaTheme="majorEastAsia" w:hAnsi="Times New Roman" w:cs="Times New Roman"/>
            <w:noProof/>
            <w:sz w:val="22"/>
            <w:szCs w:val="22"/>
          </w:rPr>
          <w:t>4.3.1.2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Classe des sols peu évolués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_Toc183340156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82</w:t>
        </w:r>
        <w:r w:rsidRPr="00A7432C">
          <w:rPr>
            <w:rFonts w:ascii="Times New Roman" w:hAnsi="Times New Roman" w:cs="Times New Roman"/>
            <w:noProof/>
            <w:webHidden/>
            <w:sz w:val="22"/>
            <w:szCs w:val="22"/>
          </w:rPr>
          <w:fldChar w:fldCharType="end"/>
        </w:r>
      </w:hyperlink>
    </w:p>
    <w:p w14:paraId="5477893F" w14:textId="5D945806"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57" w:history="1">
        <w:r w:rsidRPr="00A7432C">
          <w:rPr>
            <w:rStyle w:val="Lienhypertexte"/>
            <w:rFonts w:ascii="Times New Roman" w:eastAsiaTheme="majorEastAsia" w:hAnsi="Times New Roman" w:cs="Times New Roman"/>
            <w:noProof/>
            <w:sz w:val="22"/>
            <w:szCs w:val="22"/>
          </w:rPr>
          <w:t>4.3.1.3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Classe des vertisols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_Toc183340157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82</w:t>
        </w:r>
        <w:r w:rsidRPr="00A7432C">
          <w:rPr>
            <w:rFonts w:ascii="Times New Roman" w:hAnsi="Times New Roman" w:cs="Times New Roman"/>
            <w:noProof/>
            <w:webHidden/>
            <w:sz w:val="22"/>
            <w:szCs w:val="22"/>
          </w:rPr>
          <w:fldChar w:fldCharType="end"/>
        </w:r>
      </w:hyperlink>
    </w:p>
    <w:p w14:paraId="08D921DD" w14:textId="127340A4"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58" w:history="1">
        <w:r w:rsidRPr="00A7432C">
          <w:rPr>
            <w:rStyle w:val="Lienhypertexte"/>
            <w:rFonts w:ascii="Times New Roman" w:eastAsiaTheme="majorEastAsia" w:hAnsi="Times New Roman" w:cs="Times New Roman"/>
            <w:noProof/>
            <w:sz w:val="22"/>
            <w:szCs w:val="22"/>
          </w:rPr>
          <w:t>4.3.1.4</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Classe des sols isohumiques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_Toc183340158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82</w:t>
        </w:r>
        <w:r w:rsidRPr="00A7432C">
          <w:rPr>
            <w:rFonts w:ascii="Times New Roman" w:hAnsi="Times New Roman" w:cs="Times New Roman"/>
            <w:noProof/>
            <w:webHidden/>
            <w:sz w:val="22"/>
            <w:szCs w:val="22"/>
          </w:rPr>
          <w:fldChar w:fldCharType="end"/>
        </w:r>
      </w:hyperlink>
    </w:p>
    <w:p w14:paraId="0CF4C4F3" w14:textId="6D2F7AAB"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59" w:history="1">
        <w:r w:rsidRPr="00A7432C">
          <w:rPr>
            <w:rStyle w:val="Lienhypertexte"/>
            <w:rFonts w:ascii="Times New Roman" w:eastAsiaTheme="majorEastAsia" w:hAnsi="Times New Roman" w:cs="Times New Roman"/>
            <w:noProof/>
            <w:sz w:val="22"/>
            <w:szCs w:val="22"/>
          </w:rPr>
          <w:t>4.3.1.5</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Classe des sols brunifiés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_Toc183340159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82</w:t>
        </w:r>
        <w:r w:rsidRPr="00A7432C">
          <w:rPr>
            <w:rFonts w:ascii="Times New Roman" w:hAnsi="Times New Roman" w:cs="Times New Roman"/>
            <w:noProof/>
            <w:webHidden/>
            <w:sz w:val="22"/>
            <w:szCs w:val="22"/>
          </w:rPr>
          <w:fldChar w:fldCharType="end"/>
        </w:r>
      </w:hyperlink>
    </w:p>
    <w:p w14:paraId="25345175" w14:textId="35E7E4D6"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60" w:history="1">
        <w:r w:rsidRPr="00A7432C">
          <w:rPr>
            <w:rStyle w:val="Lienhypertexte"/>
            <w:rFonts w:ascii="Times New Roman" w:eastAsiaTheme="majorEastAsia" w:hAnsi="Times New Roman" w:cs="Times New Roman"/>
            <w:noProof/>
            <w:sz w:val="22"/>
            <w:szCs w:val="22"/>
          </w:rPr>
          <w:t>4.3.1.6</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Classe des sols à sesquioxydes de fer et de manganèse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_Toc183340160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82</w:t>
        </w:r>
        <w:r w:rsidRPr="00A7432C">
          <w:rPr>
            <w:rFonts w:ascii="Times New Roman" w:hAnsi="Times New Roman" w:cs="Times New Roman"/>
            <w:noProof/>
            <w:webHidden/>
            <w:sz w:val="22"/>
            <w:szCs w:val="22"/>
          </w:rPr>
          <w:fldChar w:fldCharType="end"/>
        </w:r>
      </w:hyperlink>
    </w:p>
    <w:p w14:paraId="6325AB4D" w14:textId="3A1205FE"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61" w:history="1">
        <w:r w:rsidRPr="00A7432C">
          <w:rPr>
            <w:rStyle w:val="Lienhypertexte"/>
            <w:rFonts w:ascii="Times New Roman" w:eastAsiaTheme="majorEastAsia" w:hAnsi="Times New Roman" w:cs="Times New Roman"/>
            <w:noProof/>
            <w:sz w:val="22"/>
            <w:szCs w:val="22"/>
          </w:rPr>
          <w:t>4.3.1.7</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Classe des sols ferrallitiques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_Toc183340161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83</w:t>
        </w:r>
        <w:r w:rsidRPr="00A7432C">
          <w:rPr>
            <w:rFonts w:ascii="Times New Roman" w:hAnsi="Times New Roman" w:cs="Times New Roman"/>
            <w:noProof/>
            <w:webHidden/>
            <w:sz w:val="22"/>
            <w:szCs w:val="22"/>
          </w:rPr>
          <w:fldChar w:fldCharType="end"/>
        </w:r>
      </w:hyperlink>
    </w:p>
    <w:p w14:paraId="372992D9" w14:textId="093818DE"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62" w:history="1">
        <w:r w:rsidRPr="00A7432C">
          <w:rPr>
            <w:rStyle w:val="Lienhypertexte"/>
            <w:rFonts w:ascii="Times New Roman" w:eastAsiaTheme="majorEastAsia" w:hAnsi="Times New Roman" w:cs="Times New Roman"/>
            <w:noProof/>
            <w:sz w:val="22"/>
            <w:szCs w:val="22"/>
          </w:rPr>
          <w:t>4.3.1.8</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Classe des sols hydromorphes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_Toc183340162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83</w:t>
        </w:r>
        <w:r w:rsidRPr="00A7432C">
          <w:rPr>
            <w:rFonts w:ascii="Times New Roman" w:hAnsi="Times New Roman" w:cs="Times New Roman"/>
            <w:noProof/>
            <w:webHidden/>
            <w:sz w:val="22"/>
            <w:szCs w:val="22"/>
          </w:rPr>
          <w:fldChar w:fldCharType="end"/>
        </w:r>
      </w:hyperlink>
    </w:p>
    <w:p w14:paraId="50F35B8F" w14:textId="17AFE823"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63" w:history="1">
        <w:r w:rsidRPr="00A7432C">
          <w:rPr>
            <w:rStyle w:val="Lienhypertexte"/>
            <w:rFonts w:ascii="Times New Roman" w:eastAsiaTheme="majorEastAsia" w:hAnsi="Times New Roman" w:cs="Times New Roman"/>
            <w:noProof/>
            <w:sz w:val="22"/>
            <w:szCs w:val="22"/>
          </w:rPr>
          <w:t>4.3.1.9</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Classe des sols sodiques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_Toc183340163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83</w:t>
        </w:r>
        <w:r w:rsidRPr="00A7432C">
          <w:rPr>
            <w:rFonts w:ascii="Times New Roman" w:hAnsi="Times New Roman" w:cs="Times New Roman"/>
            <w:noProof/>
            <w:webHidden/>
            <w:sz w:val="22"/>
            <w:szCs w:val="22"/>
          </w:rPr>
          <w:fldChar w:fldCharType="end"/>
        </w:r>
      </w:hyperlink>
    </w:p>
    <w:p w14:paraId="230C56CA" w14:textId="4280E420"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164" w:history="1">
        <w:r w:rsidRPr="00A7432C">
          <w:rPr>
            <w:rStyle w:val="Lienhypertexte"/>
            <w:rFonts w:ascii="Times New Roman" w:eastAsiaTheme="majorEastAsia" w:hAnsi="Times New Roman" w:cs="Times New Roman"/>
            <w:noProof/>
            <w:sz w:val="22"/>
            <w:szCs w:val="22"/>
          </w:rPr>
          <w:t>4.4</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Impacts des pressions sur les sols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_Toc183340164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84</w:t>
        </w:r>
        <w:r w:rsidRPr="00A7432C">
          <w:rPr>
            <w:rFonts w:ascii="Times New Roman" w:hAnsi="Times New Roman" w:cs="Times New Roman"/>
            <w:noProof/>
            <w:webHidden/>
            <w:sz w:val="22"/>
            <w:szCs w:val="22"/>
          </w:rPr>
          <w:fldChar w:fldCharType="end"/>
        </w:r>
      </w:hyperlink>
    </w:p>
    <w:p w14:paraId="2B6A550E" w14:textId="024AF75A"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165" w:history="1">
        <w:r w:rsidRPr="00A7432C">
          <w:rPr>
            <w:rStyle w:val="Lienhypertexte"/>
            <w:rFonts w:ascii="Times New Roman" w:eastAsiaTheme="majorEastAsia" w:hAnsi="Times New Roman" w:cs="Times New Roman"/>
            <w:noProof/>
            <w:sz w:val="22"/>
            <w:szCs w:val="22"/>
          </w:rPr>
          <w:t>4.4.1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Impacts anthropiques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_Toc183340165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84</w:t>
        </w:r>
        <w:r w:rsidRPr="00A7432C">
          <w:rPr>
            <w:rFonts w:ascii="Times New Roman" w:hAnsi="Times New Roman" w:cs="Times New Roman"/>
            <w:noProof/>
            <w:webHidden/>
            <w:sz w:val="22"/>
            <w:szCs w:val="22"/>
          </w:rPr>
          <w:fldChar w:fldCharType="end"/>
        </w:r>
      </w:hyperlink>
    </w:p>
    <w:p w14:paraId="294DD37A" w14:textId="498077EC"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66" w:history="1">
        <w:r w:rsidRPr="00A7432C">
          <w:rPr>
            <w:rStyle w:val="Lienhypertexte"/>
            <w:rFonts w:ascii="Times New Roman" w:eastAsiaTheme="majorEastAsia" w:hAnsi="Times New Roman" w:cs="Times New Roman"/>
            <w:noProof/>
            <w:sz w:val="22"/>
            <w:szCs w:val="22"/>
          </w:rPr>
          <w:t>4.4.1.1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Impacts du surpâturage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_Toc183340166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84</w:t>
        </w:r>
        <w:r w:rsidRPr="00A7432C">
          <w:rPr>
            <w:rFonts w:ascii="Times New Roman" w:hAnsi="Times New Roman" w:cs="Times New Roman"/>
            <w:noProof/>
            <w:webHidden/>
            <w:sz w:val="22"/>
            <w:szCs w:val="22"/>
          </w:rPr>
          <w:fldChar w:fldCharType="end"/>
        </w:r>
      </w:hyperlink>
    </w:p>
    <w:p w14:paraId="29B6BD8C" w14:textId="44CFCFAE"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67" w:history="1">
        <w:r w:rsidRPr="00A7432C">
          <w:rPr>
            <w:rStyle w:val="Lienhypertexte"/>
            <w:rFonts w:ascii="Times New Roman" w:eastAsiaTheme="majorEastAsia" w:hAnsi="Times New Roman" w:cs="Times New Roman"/>
            <w:noProof/>
            <w:sz w:val="22"/>
            <w:szCs w:val="22"/>
          </w:rPr>
          <w:t>4.4.1.2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Impacts des feux de brousse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_Toc183340167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84</w:t>
        </w:r>
        <w:r w:rsidRPr="00A7432C">
          <w:rPr>
            <w:rFonts w:ascii="Times New Roman" w:hAnsi="Times New Roman" w:cs="Times New Roman"/>
            <w:noProof/>
            <w:webHidden/>
            <w:sz w:val="22"/>
            <w:szCs w:val="22"/>
          </w:rPr>
          <w:fldChar w:fldCharType="end"/>
        </w:r>
      </w:hyperlink>
    </w:p>
    <w:p w14:paraId="62926F9C" w14:textId="45587991"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68" w:history="1">
        <w:r w:rsidRPr="00A7432C">
          <w:rPr>
            <w:rStyle w:val="Lienhypertexte"/>
            <w:rFonts w:ascii="Times New Roman" w:eastAsiaTheme="majorEastAsia" w:hAnsi="Times New Roman" w:cs="Times New Roman"/>
            <w:noProof/>
            <w:sz w:val="22"/>
            <w:szCs w:val="22"/>
          </w:rPr>
          <w:t>4.4.1.3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Impacts de l’orpaillage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_Toc183340168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85</w:t>
        </w:r>
        <w:r w:rsidRPr="00A7432C">
          <w:rPr>
            <w:rFonts w:ascii="Times New Roman" w:hAnsi="Times New Roman" w:cs="Times New Roman"/>
            <w:noProof/>
            <w:webHidden/>
            <w:sz w:val="22"/>
            <w:szCs w:val="22"/>
          </w:rPr>
          <w:fldChar w:fldCharType="end"/>
        </w:r>
      </w:hyperlink>
    </w:p>
    <w:p w14:paraId="26D0A604" w14:textId="3CA7B10A"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69" w:history="1">
        <w:r w:rsidRPr="00A7432C">
          <w:rPr>
            <w:rStyle w:val="Lienhypertexte"/>
            <w:rFonts w:ascii="Times New Roman" w:eastAsiaTheme="majorEastAsia" w:hAnsi="Times New Roman" w:cs="Times New Roman"/>
            <w:noProof/>
            <w:sz w:val="22"/>
            <w:szCs w:val="22"/>
          </w:rPr>
          <w:t>4.4.1.4</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Impacts des mines industrielles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_Toc183340169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86</w:t>
        </w:r>
        <w:r w:rsidRPr="00A7432C">
          <w:rPr>
            <w:rFonts w:ascii="Times New Roman" w:hAnsi="Times New Roman" w:cs="Times New Roman"/>
            <w:noProof/>
            <w:webHidden/>
            <w:sz w:val="22"/>
            <w:szCs w:val="22"/>
          </w:rPr>
          <w:fldChar w:fldCharType="end"/>
        </w:r>
      </w:hyperlink>
    </w:p>
    <w:p w14:paraId="2D7DA1F9" w14:textId="29A6B498"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70" w:history="1">
        <w:r w:rsidRPr="00A7432C">
          <w:rPr>
            <w:rStyle w:val="Lienhypertexte"/>
            <w:rFonts w:ascii="Times New Roman" w:eastAsiaTheme="majorEastAsia" w:hAnsi="Times New Roman" w:cs="Times New Roman"/>
            <w:noProof/>
            <w:sz w:val="22"/>
            <w:szCs w:val="22"/>
          </w:rPr>
          <w:t>4.4.1.5</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Impacts des migrations internes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_Toc183340170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86</w:t>
        </w:r>
        <w:r w:rsidRPr="00A7432C">
          <w:rPr>
            <w:rFonts w:ascii="Times New Roman" w:hAnsi="Times New Roman" w:cs="Times New Roman"/>
            <w:noProof/>
            <w:webHidden/>
            <w:sz w:val="22"/>
            <w:szCs w:val="22"/>
          </w:rPr>
          <w:fldChar w:fldCharType="end"/>
        </w:r>
      </w:hyperlink>
    </w:p>
    <w:p w14:paraId="47BBA1FA" w14:textId="540D9006"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71" w:history="1">
        <w:r w:rsidRPr="00A7432C">
          <w:rPr>
            <w:rStyle w:val="Lienhypertexte"/>
            <w:rFonts w:ascii="Times New Roman" w:eastAsiaTheme="majorEastAsia" w:hAnsi="Times New Roman" w:cs="Times New Roman"/>
            <w:noProof/>
            <w:sz w:val="22"/>
            <w:szCs w:val="22"/>
          </w:rPr>
          <w:t>4.4.1.6</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Impacts des acquisitions massives des terres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_Toc183340171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86</w:t>
        </w:r>
        <w:r w:rsidRPr="00A7432C">
          <w:rPr>
            <w:rFonts w:ascii="Times New Roman" w:hAnsi="Times New Roman" w:cs="Times New Roman"/>
            <w:noProof/>
            <w:webHidden/>
            <w:sz w:val="22"/>
            <w:szCs w:val="22"/>
          </w:rPr>
          <w:fldChar w:fldCharType="end"/>
        </w:r>
      </w:hyperlink>
    </w:p>
    <w:p w14:paraId="0441C978" w14:textId="24BBD9EF"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72" w:history="1">
        <w:r w:rsidRPr="00A7432C">
          <w:rPr>
            <w:rStyle w:val="Lienhypertexte"/>
            <w:rFonts w:ascii="Times New Roman" w:eastAsiaTheme="majorEastAsia" w:hAnsi="Times New Roman" w:cs="Times New Roman"/>
            <w:noProof/>
            <w:sz w:val="22"/>
            <w:szCs w:val="22"/>
          </w:rPr>
          <w:t>4.4.1.7</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Impacts de l’agriculture pluviale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_Toc183340172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87</w:t>
        </w:r>
        <w:r w:rsidRPr="00A7432C">
          <w:rPr>
            <w:rFonts w:ascii="Times New Roman" w:hAnsi="Times New Roman" w:cs="Times New Roman"/>
            <w:noProof/>
            <w:webHidden/>
            <w:sz w:val="22"/>
            <w:szCs w:val="22"/>
          </w:rPr>
          <w:fldChar w:fldCharType="end"/>
        </w:r>
      </w:hyperlink>
    </w:p>
    <w:p w14:paraId="6ADAA54E" w14:textId="77AA9793"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73" w:history="1">
        <w:r w:rsidRPr="00A7432C">
          <w:rPr>
            <w:rStyle w:val="Lienhypertexte"/>
            <w:rFonts w:ascii="Times New Roman" w:eastAsiaTheme="majorEastAsia" w:hAnsi="Times New Roman" w:cs="Times New Roman"/>
            <w:noProof/>
            <w:sz w:val="22"/>
            <w:szCs w:val="22"/>
          </w:rPr>
          <w:t>4.4.1.8</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Impacts des périmètres irrigués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_Toc183340173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87</w:t>
        </w:r>
        <w:r w:rsidRPr="00A7432C">
          <w:rPr>
            <w:rFonts w:ascii="Times New Roman" w:hAnsi="Times New Roman" w:cs="Times New Roman"/>
            <w:noProof/>
            <w:webHidden/>
            <w:sz w:val="22"/>
            <w:szCs w:val="22"/>
          </w:rPr>
          <w:fldChar w:fldCharType="end"/>
        </w:r>
      </w:hyperlink>
    </w:p>
    <w:p w14:paraId="6104A1B0" w14:textId="5AAE546D"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74" w:history="1">
        <w:r w:rsidRPr="00A7432C">
          <w:rPr>
            <w:rStyle w:val="Lienhypertexte"/>
            <w:rFonts w:ascii="Times New Roman" w:eastAsiaTheme="majorEastAsia" w:hAnsi="Times New Roman" w:cs="Times New Roman"/>
            <w:noProof/>
            <w:sz w:val="22"/>
            <w:szCs w:val="22"/>
          </w:rPr>
          <w:t>4.4.1.9</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Impacts des engrais et des pesticides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_Toc183340174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87</w:t>
        </w:r>
        <w:r w:rsidRPr="00A7432C">
          <w:rPr>
            <w:rFonts w:ascii="Times New Roman" w:hAnsi="Times New Roman" w:cs="Times New Roman"/>
            <w:noProof/>
            <w:webHidden/>
            <w:sz w:val="22"/>
            <w:szCs w:val="22"/>
          </w:rPr>
          <w:fldChar w:fldCharType="end"/>
        </w:r>
      </w:hyperlink>
    </w:p>
    <w:p w14:paraId="09BBBCA0" w14:textId="545C5639"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75" w:history="1">
        <w:r w:rsidRPr="00A7432C">
          <w:rPr>
            <w:rStyle w:val="Lienhypertexte"/>
            <w:rFonts w:ascii="Times New Roman" w:eastAsiaTheme="majorEastAsia" w:hAnsi="Times New Roman" w:cs="Times New Roman"/>
            <w:noProof/>
            <w:sz w:val="22"/>
            <w:szCs w:val="22"/>
          </w:rPr>
          <w:t>4.4.1.10</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Impacts des déchets urbains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_Toc183340175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88</w:t>
        </w:r>
        <w:r w:rsidRPr="00A7432C">
          <w:rPr>
            <w:rFonts w:ascii="Times New Roman" w:hAnsi="Times New Roman" w:cs="Times New Roman"/>
            <w:noProof/>
            <w:webHidden/>
            <w:sz w:val="22"/>
            <w:szCs w:val="22"/>
          </w:rPr>
          <w:fldChar w:fldCharType="end"/>
        </w:r>
      </w:hyperlink>
    </w:p>
    <w:p w14:paraId="023FF7E2" w14:textId="736F31BC"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176" w:history="1">
        <w:r w:rsidRPr="00A7432C">
          <w:rPr>
            <w:rStyle w:val="Lienhypertexte"/>
            <w:rFonts w:ascii="Times New Roman" w:eastAsiaTheme="majorEastAsia" w:hAnsi="Times New Roman" w:cs="Times New Roman"/>
            <w:noProof/>
            <w:sz w:val="22"/>
            <w:szCs w:val="22"/>
          </w:rPr>
          <w:t>4.4.2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Impacts climatiques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_Toc183340176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88</w:t>
        </w:r>
        <w:r w:rsidRPr="00A7432C">
          <w:rPr>
            <w:rFonts w:ascii="Times New Roman" w:hAnsi="Times New Roman" w:cs="Times New Roman"/>
            <w:noProof/>
            <w:webHidden/>
            <w:sz w:val="22"/>
            <w:szCs w:val="22"/>
          </w:rPr>
          <w:fldChar w:fldCharType="end"/>
        </w:r>
      </w:hyperlink>
    </w:p>
    <w:p w14:paraId="6B153D97" w14:textId="4DCBA6F2"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77" w:history="1">
        <w:r w:rsidRPr="00A7432C">
          <w:rPr>
            <w:rStyle w:val="Lienhypertexte"/>
            <w:rFonts w:ascii="Times New Roman" w:eastAsiaTheme="majorEastAsia" w:hAnsi="Times New Roman" w:cs="Times New Roman"/>
            <w:noProof/>
            <w:sz w:val="22"/>
            <w:szCs w:val="22"/>
          </w:rPr>
          <w:t>4.4.2.1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Impacts des inondations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_Toc183340177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88</w:t>
        </w:r>
        <w:r w:rsidRPr="00A7432C">
          <w:rPr>
            <w:rFonts w:ascii="Times New Roman" w:hAnsi="Times New Roman" w:cs="Times New Roman"/>
            <w:noProof/>
            <w:webHidden/>
            <w:sz w:val="22"/>
            <w:szCs w:val="22"/>
          </w:rPr>
          <w:fldChar w:fldCharType="end"/>
        </w:r>
      </w:hyperlink>
    </w:p>
    <w:p w14:paraId="28E8B54F" w14:textId="41F682CB"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78" w:history="1">
        <w:r w:rsidRPr="00A7432C">
          <w:rPr>
            <w:rStyle w:val="Lienhypertexte"/>
            <w:rFonts w:ascii="Times New Roman" w:eastAsiaTheme="majorEastAsia" w:hAnsi="Times New Roman" w:cs="Times New Roman"/>
            <w:noProof/>
            <w:sz w:val="22"/>
            <w:szCs w:val="22"/>
          </w:rPr>
          <w:t>4.4.2.2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Impacts de l’intensité des pluies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_Toc183340178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88</w:t>
        </w:r>
        <w:r w:rsidRPr="00A7432C">
          <w:rPr>
            <w:rFonts w:ascii="Times New Roman" w:hAnsi="Times New Roman" w:cs="Times New Roman"/>
            <w:noProof/>
            <w:webHidden/>
            <w:sz w:val="22"/>
            <w:szCs w:val="22"/>
          </w:rPr>
          <w:fldChar w:fldCharType="end"/>
        </w:r>
      </w:hyperlink>
    </w:p>
    <w:p w14:paraId="02804E07" w14:textId="1D75B5B3"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79" w:history="1">
        <w:r w:rsidRPr="00A7432C">
          <w:rPr>
            <w:rStyle w:val="Lienhypertexte"/>
            <w:rFonts w:ascii="Times New Roman" w:eastAsiaTheme="majorEastAsia" w:hAnsi="Times New Roman" w:cs="Times New Roman"/>
            <w:noProof/>
            <w:sz w:val="22"/>
            <w:szCs w:val="22"/>
          </w:rPr>
          <w:t>4.4.2.3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Impacts de la température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_Toc183340179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88</w:t>
        </w:r>
        <w:r w:rsidRPr="00A7432C">
          <w:rPr>
            <w:rFonts w:ascii="Times New Roman" w:hAnsi="Times New Roman" w:cs="Times New Roman"/>
            <w:noProof/>
            <w:webHidden/>
            <w:sz w:val="22"/>
            <w:szCs w:val="22"/>
          </w:rPr>
          <w:fldChar w:fldCharType="end"/>
        </w:r>
      </w:hyperlink>
    </w:p>
    <w:p w14:paraId="0F3E0A1C" w14:textId="035A761A"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80" w:history="1">
        <w:r w:rsidRPr="00A7432C">
          <w:rPr>
            <w:rStyle w:val="Lienhypertexte"/>
            <w:rFonts w:ascii="Times New Roman" w:eastAsiaTheme="majorEastAsia" w:hAnsi="Times New Roman" w:cs="Times New Roman"/>
            <w:noProof/>
            <w:sz w:val="22"/>
            <w:szCs w:val="22"/>
          </w:rPr>
          <w:t>4.4.2.4</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Impacts du vent</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_Toc183340180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89</w:t>
        </w:r>
        <w:r w:rsidRPr="00A7432C">
          <w:rPr>
            <w:rFonts w:ascii="Times New Roman" w:hAnsi="Times New Roman" w:cs="Times New Roman"/>
            <w:noProof/>
            <w:webHidden/>
            <w:sz w:val="22"/>
            <w:szCs w:val="22"/>
          </w:rPr>
          <w:fldChar w:fldCharType="end"/>
        </w:r>
      </w:hyperlink>
    </w:p>
    <w:p w14:paraId="5A16840D" w14:textId="38DA1511"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181" w:history="1">
        <w:r w:rsidRPr="00A7432C">
          <w:rPr>
            <w:rStyle w:val="Lienhypertexte"/>
            <w:rFonts w:ascii="Times New Roman" w:eastAsiaTheme="majorEastAsia" w:hAnsi="Times New Roman" w:cs="Times New Roman"/>
            <w:noProof/>
            <w:sz w:val="22"/>
            <w:szCs w:val="22"/>
          </w:rPr>
          <w:t>4.5</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réponses aux pressions et impacts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_Toc183340181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89</w:t>
        </w:r>
        <w:r w:rsidRPr="00A7432C">
          <w:rPr>
            <w:rFonts w:ascii="Times New Roman" w:hAnsi="Times New Roman" w:cs="Times New Roman"/>
            <w:noProof/>
            <w:webHidden/>
            <w:sz w:val="22"/>
            <w:szCs w:val="22"/>
          </w:rPr>
          <w:fldChar w:fldCharType="end"/>
        </w:r>
      </w:hyperlink>
    </w:p>
    <w:p w14:paraId="2CD4DA30" w14:textId="0D5A004E"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182" w:history="1">
        <w:r w:rsidRPr="00A7432C">
          <w:rPr>
            <w:rStyle w:val="Lienhypertexte"/>
            <w:rFonts w:ascii="Times New Roman" w:eastAsiaTheme="majorEastAsia" w:hAnsi="Times New Roman" w:cs="Times New Roman"/>
            <w:noProof/>
            <w:sz w:val="22"/>
            <w:szCs w:val="22"/>
          </w:rPr>
          <w:t>4.5.1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L’utilisation des déchets urbains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_Toc183340182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89</w:t>
        </w:r>
        <w:r w:rsidRPr="00A7432C">
          <w:rPr>
            <w:rFonts w:ascii="Times New Roman" w:hAnsi="Times New Roman" w:cs="Times New Roman"/>
            <w:noProof/>
            <w:webHidden/>
            <w:sz w:val="22"/>
            <w:szCs w:val="22"/>
          </w:rPr>
          <w:fldChar w:fldCharType="end"/>
        </w:r>
      </w:hyperlink>
    </w:p>
    <w:p w14:paraId="7CC339C0" w14:textId="610B6431"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183" w:history="1">
        <w:r w:rsidRPr="00A7432C">
          <w:rPr>
            <w:rStyle w:val="Lienhypertexte"/>
            <w:rFonts w:ascii="Times New Roman" w:eastAsiaTheme="majorEastAsia" w:hAnsi="Times New Roman" w:cs="Times New Roman"/>
            <w:noProof/>
            <w:sz w:val="22"/>
            <w:szCs w:val="22"/>
          </w:rPr>
          <w:t>4.5.2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savoirs endogènes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_Toc183340183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89</w:t>
        </w:r>
        <w:r w:rsidRPr="00A7432C">
          <w:rPr>
            <w:rFonts w:ascii="Times New Roman" w:hAnsi="Times New Roman" w:cs="Times New Roman"/>
            <w:noProof/>
            <w:webHidden/>
            <w:sz w:val="22"/>
            <w:szCs w:val="22"/>
          </w:rPr>
          <w:fldChar w:fldCharType="end"/>
        </w:r>
      </w:hyperlink>
    </w:p>
    <w:p w14:paraId="688B848A" w14:textId="6EC944D5"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84" w:history="1">
        <w:r w:rsidRPr="00A7432C">
          <w:rPr>
            <w:rStyle w:val="Lienhypertexte"/>
            <w:rFonts w:ascii="Times New Roman" w:eastAsiaTheme="majorEastAsia" w:hAnsi="Times New Roman" w:cs="Times New Roman"/>
            <w:noProof/>
            <w:sz w:val="22"/>
            <w:szCs w:val="22"/>
          </w:rPr>
          <w:t>4.5.2.1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Cordons pierreux</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_Toc183340184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90</w:t>
        </w:r>
        <w:r w:rsidRPr="00A7432C">
          <w:rPr>
            <w:rFonts w:ascii="Times New Roman" w:hAnsi="Times New Roman" w:cs="Times New Roman"/>
            <w:noProof/>
            <w:webHidden/>
            <w:sz w:val="22"/>
            <w:szCs w:val="22"/>
          </w:rPr>
          <w:fldChar w:fldCharType="end"/>
        </w:r>
      </w:hyperlink>
    </w:p>
    <w:p w14:paraId="4B68A3D5" w14:textId="0DE211DE"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85" w:history="1">
        <w:r w:rsidRPr="00A7432C">
          <w:rPr>
            <w:rStyle w:val="Lienhypertexte"/>
            <w:rFonts w:ascii="Times New Roman" w:eastAsiaTheme="majorEastAsia" w:hAnsi="Times New Roman" w:cs="Times New Roman"/>
            <w:noProof/>
            <w:sz w:val="22"/>
            <w:szCs w:val="22"/>
          </w:rPr>
          <w:t>4.5.2.2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Diguettes filtrantes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_Toc183340185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91</w:t>
        </w:r>
        <w:r w:rsidRPr="00A7432C">
          <w:rPr>
            <w:rFonts w:ascii="Times New Roman" w:hAnsi="Times New Roman" w:cs="Times New Roman"/>
            <w:noProof/>
            <w:webHidden/>
            <w:sz w:val="22"/>
            <w:szCs w:val="22"/>
          </w:rPr>
          <w:fldChar w:fldCharType="end"/>
        </w:r>
      </w:hyperlink>
    </w:p>
    <w:p w14:paraId="08620C55" w14:textId="13179B4B"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86" w:history="1">
        <w:r w:rsidRPr="00A7432C">
          <w:rPr>
            <w:rStyle w:val="Lienhypertexte"/>
            <w:rFonts w:ascii="Times New Roman" w:eastAsiaTheme="majorEastAsia" w:hAnsi="Times New Roman" w:cs="Times New Roman"/>
            <w:noProof/>
            <w:sz w:val="22"/>
            <w:szCs w:val="22"/>
          </w:rPr>
          <w:t>4.5.2.3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Bandes enherbées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_Toc183340186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91</w:t>
        </w:r>
        <w:r w:rsidRPr="00A7432C">
          <w:rPr>
            <w:rFonts w:ascii="Times New Roman" w:hAnsi="Times New Roman" w:cs="Times New Roman"/>
            <w:noProof/>
            <w:webHidden/>
            <w:sz w:val="22"/>
            <w:szCs w:val="22"/>
          </w:rPr>
          <w:fldChar w:fldCharType="end"/>
        </w:r>
      </w:hyperlink>
    </w:p>
    <w:p w14:paraId="347FC636" w14:textId="78CBFFCC"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87" w:history="1">
        <w:r w:rsidRPr="00A7432C">
          <w:rPr>
            <w:rStyle w:val="Lienhypertexte"/>
            <w:rFonts w:ascii="Times New Roman" w:eastAsiaTheme="majorEastAsia" w:hAnsi="Times New Roman" w:cs="Times New Roman"/>
            <w:noProof/>
            <w:sz w:val="22"/>
            <w:szCs w:val="22"/>
          </w:rPr>
          <w:t>4.5.2.4</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Zaï</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_Toc183340187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91</w:t>
        </w:r>
        <w:r w:rsidRPr="00A7432C">
          <w:rPr>
            <w:rFonts w:ascii="Times New Roman" w:hAnsi="Times New Roman" w:cs="Times New Roman"/>
            <w:noProof/>
            <w:webHidden/>
            <w:sz w:val="22"/>
            <w:szCs w:val="22"/>
          </w:rPr>
          <w:fldChar w:fldCharType="end"/>
        </w:r>
      </w:hyperlink>
    </w:p>
    <w:p w14:paraId="24E3DB56" w14:textId="59FD7A86"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88" w:history="1">
        <w:r w:rsidRPr="00A7432C">
          <w:rPr>
            <w:rStyle w:val="Lienhypertexte"/>
            <w:rFonts w:ascii="Times New Roman" w:eastAsiaTheme="majorEastAsia" w:hAnsi="Times New Roman" w:cs="Times New Roman"/>
            <w:noProof/>
            <w:sz w:val="22"/>
            <w:szCs w:val="22"/>
          </w:rPr>
          <w:t>4.5.2.5</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Demi-lune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_Toc183340188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92</w:t>
        </w:r>
        <w:r w:rsidRPr="00A7432C">
          <w:rPr>
            <w:rFonts w:ascii="Times New Roman" w:hAnsi="Times New Roman" w:cs="Times New Roman"/>
            <w:noProof/>
            <w:webHidden/>
            <w:sz w:val="22"/>
            <w:szCs w:val="22"/>
          </w:rPr>
          <w:fldChar w:fldCharType="end"/>
        </w:r>
      </w:hyperlink>
    </w:p>
    <w:p w14:paraId="5462444A" w14:textId="500A894B"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89" w:history="1">
        <w:r w:rsidRPr="00A7432C">
          <w:rPr>
            <w:rStyle w:val="Lienhypertexte"/>
            <w:rFonts w:ascii="Times New Roman" w:eastAsiaTheme="majorEastAsia" w:hAnsi="Times New Roman" w:cs="Times New Roman"/>
            <w:noProof/>
            <w:sz w:val="22"/>
            <w:szCs w:val="22"/>
          </w:rPr>
          <w:t>4.5.2.6</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Paillage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_Toc183340189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92</w:t>
        </w:r>
        <w:r w:rsidRPr="00A7432C">
          <w:rPr>
            <w:rFonts w:ascii="Times New Roman" w:hAnsi="Times New Roman" w:cs="Times New Roman"/>
            <w:noProof/>
            <w:webHidden/>
            <w:sz w:val="22"/>
            <w:szCs w:val="22"/>
          </w:rPr>
          <w:fldChar w:fldCharType="end"/>
        </w:r>
      </w:hyperlink>
    </w:p>
    <w:p w14:paraId="58E2A0C0" w14:textId="7DA33810"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90" w:history="1">
        <w:r w:rsidRPr="00A7432C">
          <w:rPr>
            <w:rStyle w:val="Lienhypertexte"/>
            <w:rFonts w:ascii="Times New Roman" w:eastAsiaTheme="majorEastAsia" w:hAnsi="Times New Roman" w:cs="Times New Roman"/>
            <w:noProof/>
            <w:sz w:val="22"/>
            <w:szCs w:val="22"/>
          </w:rPr>
          <w:t>4.5.2.7</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Régénération Naturelle Assistée (RNA)</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_Toc183340190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93</w:t>
        </w:r>
        <w:r w:rsidRPr="00A7432C">
          <w:rPr>
            <w:rFonts w:ascii="Times New Roman" w:hAnsi="Times New Roman" w:cs="Times New Roman"/>
            <w:noProof/>
            <w:webHidden/>
            <w:sz w:val="22"/>
            <w:szCs w:val="22"/>
          </w:rPr>
          <w:fldChar w:fldCharType="end"/>
        </w:r>
      </w:hyperlink>
    </w:p>
    <w:p w14:paraId="093DC5BD" w14:textId="303808D3"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191" w:history="1">
        <w:r w:rsidRPr="00A7432C">
          <w:rPr>
            <w:rStyle w:val="Lienhypertexte"/>
            <w:rFonts w:ascii="Times New Roman" w:eastAsiaTheme="majorEastAsia" w:hAnsi="Times New Roman" w:cs="Times New Roman"/>
            <w:noProof/>
            <w:sz w:val="22"/>
            <w:szCs w:val="22"/>
          </w:rPr>
          <w:t>4.5.3</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Programmes et stratégies publics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_Toc183340191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93</w:t>
        </w:r>
        <w:r w:rsidRPr="00A7432C">
          <w:rPr>
            <w:rFonts w:ascii="Times New Roman" w:hAnsi="Times New Roman" w:cs="Times New Roman"/>
            <w:noProof/>
            <w:webHidden/>
            <w:sz w:val="22"/>
            <w:szCs w:val="22"/>
          </w:rPr>
          <w:fldChar w:fldCharType="end"/>
        </w:r>
      </w:hyperlink>
    </w:p>
    <w:p w14:paraId="21D78AED" w14:textId="49205776"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92" w:history="1">
        <w:r w:rsidRPr="00A7432C">
          <w:rPr>
            <w:rStyle w:val="Lienhypertexte"/>
            <w:rFonts w:ascii="Times New Roman" w:eastAsiaTheme="majorEastAsia" w:hAnsi="Times New Roman" w:cs="Times New Roman"/>
            <w:noProof/>
            <w:sz w:val="22"/>
            <w:szCs w:val="22"/>
          </w:rPr>
          <w:t>4.5.3.1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Stratégie Nationale de Restauration, Conservation et Récupération des Sols (SNRCRS)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_Toc183340192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93</w:t>
        </w:r>
        <w:r w:rsidRPr="00A7432C">
          <w:rPr>
            <w:rFonts w:ascii="Times New Roman" w:hAnsi="Times New Roman" w:cs="Times New Roman"/>
            <w:noProof/>
            <w:webHidden/>
            <w:sz w:val="22"/>
            <w:szCs w:val="22"/>
          </w:rPr>
          <w:fldChar w:fldCharType="end"/>
        </w:r>
      </w:hyperlink>
    </w:p>
    <w:p w14:paraId="64F96077" w14:textId="1925782A"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93" w:history="1">
        <w:r w:rsidRPr="00A7432C">
          <w:rPr>
            <w:rStyle w:val="Lienhypertexte"/>
            <w:rFonts w:ascii="Times New Roman" w:eastAsiaTheme="majorEastAsia" w:hAnsi="Times New Roman" w:cs="Times New Roman"/>
            <w:noProof/>
            <w:sz w:val="22"/>
            <w:szCs w:val="22"/>
          </w:rPr>
          <w:t>4.5.3.2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Stratégie Nationale de Développement de l’Agroécologie (SND-AE) 2023-2027</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_Toc183340193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94</w:t>
        </w:r>
        <w:r w:rsidRPr="00A7432C">
          <w:rPr>
            <w:rFonts w:ascii="Times New Roman" w:hAnsi="Times New Roman" w:cs="Times New Roman"/>
            <w:noProof/>
            <w:webHidden/>
            <w:sz w:val="22"/>
            <w:szCs w:val="22"/>
          </w:rPr>
          <w:fldChar w:fldCharType="end"/>
        </w:r>
      </w:hyperlink>
    </w:p>
    <w:p w14:paraId="4DF6A22D" w14:textId="4B7CB77C"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94" w:history="1">
        <w:r w:rsidRPr="00A7432C">
          <w:rPr>
            <w:rStyle w:val="Lienhypertexte"/>
            <w:rFonts w:ascii="Times New Roman" w:eastAsiaTheme="majorEastAsia" w:hAnsi="Times New Roman" w:cs="Times New Roman"/>
            <w:noProof/>
            <w:sz w:val="22"/>
            <w:szCs w:val="22"/>
          </w:rPr>
          <w:t>4.5.3.3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Stratégie de Développement Rural à l’horizon 2016-2025 du Burkina Faso (SDR)</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_Toc183340194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94</w:t>
        </w:r>
        <w:r w:rsidRPr="00A7432C">
          <w:rPr>
            <w:rFonts w:ascii="Times New Roman" w:hAnsi="Times New Roman" w:cs="Times New Roman"/>
            <w:noProof/>
            <w:webHidden/>
            <w:sz w:val="22"/>
            <w:szCs w:val="22"/>
          </w:rPr>
          <w:fldChar w:fldCharType="end"/>
        </w:r>
      </w:hyperlink>
    </w:p>
    <w:p w14:paraId="09B8763D" w14:textId="5F54C8AF"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95" w:history="1">
        <w:r w:rsidRPr="00A7432C">
          <w:rPr>
            <w:rStyle w:val="Lienhypertexte"/>
            <w:rFonts w:ascii="Times New Roman" w:eastAsiaTheme="majorEastAsia" w:hAnsi="Times New Roman" w:cs="Times New Roman"/>
            <w:noProof/>
            <w:sz w:val="22"/>
            <w:szCs w:val="22"/>
          </w:rPr>
          <w:t>4.5.3.4</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Terres dégradées : le Burkina Faso veut restaurer 5,16 millions d’hectares d’ici à 2030</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_Toc183340195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94</w:t>
        </w:r>
        <w:r w:rsidRPr="00A7432C">
          <w:rPr>
            <w:rFonts w:ascii="Times New Roman" w:hAnsi="Times New Roman" w:cs="Times New Roman"/>
            <w:noProof/>
            <w:webHidden/>
            <w:sz w:val="22"/>
            <w:szCs w:val="22"/>
          </w:rPr>
          <w:fldChar w:fldCharType="end"/>
        </w:r>
      </w:hyperlink>
    </w:p>
    <w:p w14:paraId="049CA621" w14:textId="2915D1F2"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96" w:history="1">
        <w:r w:rsidRPr="00A7432C">
          <w:rPr>
            <w:rStyle w:val="Lienhypertexte"/>
            <w:rFonts w:ascii="Times New Roman" w:eastAsiaTheme="majorEastAsia" w:hAnsi="Times New Roman" w:cs="Times New Roman"/>
            <w:noProof/>
            <w:sz w:val="22"/>
            <w:szCs w:val="22"/>
          </w:rPr>
          <w:t>4.5.3.5</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Programme de Définition des Cibles de la Neutralité en Matière de Dégradation des Terres (PDC/NDT)</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_Toc183340196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95</w:t>
        </w:r>
        <w:r w:rsidRPr="00A7432C">
          <w:rPr>
            <w:rFonts w:ascii="Times New Roman" w:hAnsi="Times New Roman" w:cs="Times New Roman"/>
            <w:noProof/>
            <w:webHidden/>
            <w:sz w:val="22"/>
            <w:szCs w:val="22"/>
          </w:rPr>
          <w:fldChar w:fldCharType="end"/>
        </w:r>
      </w:hyperlink>
    </w:p>
    <w:p w14:paraId="089DFAA9" w14:textId="16A65F66"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197" w:history="1">
        <w:r w:rsidRPr="00A7432C">
          <w:rPr>
            <w:rStyle w:val="Lienhypertexte"/>
            <w:rFonts w:ascii="Times New Roman" w:eastAsiaTheme="majorEastAsia" w:hAnsi="Times New Roman" w:cs="Times New Roman"/>
            <w:noProof/>
            <w:sz w:val="22"/>
            <w:szCs w:val="22"/>
          </w:rPr>
          <w:t>4.5.4</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lois et règlements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_Toc183340197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96</w:t>
        </w:r>
        <w:r w:rsidRPr="00A7432C">
          <w:rPr>
            <w:rFonts w:ascii="Times New Roman" w:hAnsi="Times New Roman" w:cs="Times New Roman"/>
            <w:noProof/>
            <w:webHidden/>
            <w:sz w:val="22"/>
            <w:szCs w:val="22"/>
          </w:rPr>
          <w:fldChar w:fldCharType="end"/>
        </w:r>
      </w:hyperlink>
    </w:p>
    <w:p w14:paraId="2FA5E17D" w14:textId="3D09CB28"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98" w:history="1">
        <w:r w:rsidRPr="00A7432C">
          <w:rPr>
            <w:rStyle w:val="Lienhypertexte"/>
            <w:rFonts w:ascii="Times New Roman" w:eastAsiaTheme="majorEastAsia" w:hAnsi="Times New Roman" w:cs="Times New Roman"/>
            <w:noProof/>
            <w:sz w:val="22"/>
            <w:szCs w:val="22"/>
          </w:rPr>
          <w:t>4.5.4.1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Loi sur le contrôle des engrais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_Toc183340198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96</w:t>
        </w:r>
        <w:r w:rsidRPr="00A7432C">
          <w:rPr>
            <w:rFonts w:ascii="Times New Roman" w:hAnsi="Times New Roman" w:cs="Times New Roman"/>
            <w:noProof/>
            <w:webHidden/>
            <w:sz w:val="22"/>
            <w:szCs w:val="22"/>
          </w:rPr>
          <w:fldChar w:fldCharType="end"/>
        </w:r>
      </w:hyperlink>
    </w:p>
    <w:p w14:paraId="09C845D1" w14:textId="32DA2392"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199" w:history="1">
        <w:r w:rsidRPr="00A7432C">
          <w:rPr>
            <w:rStyle w:val="Lienhypertexte"/>
            <w:rFonts w:ascii="Times New Roman" w:eastAsiaTheme="majorEastAsia" w:hAnsi="Times New Roman" w:cs="Times New Roman"/>
            <w:noProof/>
            <w:sz w:val="22"/>
            <w:szCs w:val="22"/>
          </w:rPr>
          <w:t>4.5.4.2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Loi sur le contrôle de la gestion les pesticides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_Toc183340199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96</w:t>
        </w:r>
        <w:r w:rsidRPr="00A7432C">
          <w:rPr>
            <w:rFonts w:ascii="Times New Roman" w:hAnsi="Times New Roman" w:cs="Times New Roman"/>
            <w:noProof/>
            <w:webHidden/>
            <w:sz w:val="22"/>
            <w:szCs w:val="22"/>
          </w:rPr>
          <w:fldChar w:fldCharType="end"/>
        </w:r>
      </w:hyperlink>
    </w:p>
    <w:p w14:paraId="632B0863" w14:textId="4FE635FD"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00" w:history="1">
        <w:r w:rsidRPr="00A7432C">
          <w:rPr>
            <w:rStyle w:val="Lienhypertexte"/>
            <w:rFonts w:ascii="Times New Roman" w:eastAsiaTheme="majorEastAsia" w:hAnsi="Times New Roman" w:cs="Times New Roman"/>
            <w:noProof/>
            <w:sz w:val="22"/>
            <w:szCs w:val="22"/>
          </w:rPr>
          <w:t>4.5.4.3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Règlementation des défrichements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_Toc183340200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96</w:t>
        </w:r>
        <w:r w:rsidRPr="00A7432C">
          <w:rPr>
            <w:rFonts w:ascii="Times New Roman" w:hAnsi="Times New Roman" w:cs="Times New Roman"/>
            <w:noProof/>
            <w:webHidden/>
            <w:sz w:val="22"/>
            <w:szCs w:val="22"/>
          </w:rPr>
          <w:fldChar w:fldCharType="end"/>
        </w:r>
      </w:hyperlink>
    </w:p>
    <w:p w14:paraId="04EDB747" w14:textId="72D49C4E"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01" w:history="1">
        <w:r w:rsidRPr="00A7432C">
          <w:rPr>
            <w:rStyle w:val="Lienhypertexte"/>
            <w:rFonts w:ascii="Times New Roman" w:eastAsiaTheme="majorEastAsia" w:hAnsi="Times New Roman" w:cs="Times New Roman"/>
            <w:noProof/>
            <w:sz w:val="22"/>
            <w:szCs w:val="22"/>
          </w:rPr>
          <w:t>4.5.4.4</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Loi portant régime foncier rural</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_Toc183340201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97</w:t>
        </w:r>
        <w:r w:rsidRPr="00A7432C">
          <w:rPr>
            <w:rFonts w:ascii="Times New Roman" w:hAnsi="Times New Roman" w:cs="Times New Roman"/>
            <w:noProof/>
            <w:webHidden/>
            <w:sz w:val="22"/>
            <w:szCs w:val="22"/>
          </w:rPr>
          <w:fldChar w:fldCharType="end"/>
        </w:r>
      </w:hyperlink>
    </w:p>
    <w:p w14:paraId="2E9CD531" w14:textId="71A6AD83"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202" w:history="1">
        <w:r w:rsidRPr="00A7432C">
          <w:rPr>
            <w:rStyle w:val="Lienhypertexte"/>
            <w:rFonts w:ascii="Times New Roman" w:eastAsiaTheme="majorEastAsia" w:hAnsi="Times New Roman" w:cs="Times New Roman"/>
            <w:noProof/>
            <w:sz w:val="22"/>
            <w:szCs w:val="22"/>
          </w:rPr>
          <w:t>4.6</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Changements climatiques et dynamique des sols : enjeux et risques du futur</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_Toc183340202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97</w:t>
        </w:r>
        <w:r w:rsidRPr="00A7432C">
          <w:rPr>
            <w:rFonts w:ascii="Times New Roman" w:hAnsi="Times New Roman" w:cs="Times New Roman"/>
            <w:noProof/>
            <w:webHidden/>
            <w:sz w:val="22"/>
            <w:szCs w:val="22"/>
          </w:rPr>
          <w:fldChar w:fldCharType="end"/>
        </w:r>
      </w:hyperlink>
    </w:p>
    <w:p w14:paraId="51AB8DB2" w14:textId="513FE770" w:rsidR="00A7432C" w:rsidRPr="00A7432C" w:rsidRDefault="00A7432C" w:rsidP="00A7432C">
      <w:pPr>
        <w:pStyle w:val="TM1"/>
        <w:tabs>
          <w:tab w:val="left" w:pos="440"/>
          <w:tab w:val="right" w:leader="dot" w:pos="9175"/>
        </w:tabs>
        <w:spacing w:before="0" w:after="0"/>
        <w:rPr>
          <w:rFonts w:ascii="Times New Roman" w:eastAsiaTheme="minorEastAsia" w:hAnsi="Times New Roman" w:cs="Times New Roman"/>
          <w:b w:val="0"/>
          <w:bCs w:val="0"/>
          <w:caps w:val="0"/>
          <w:noProof/>
          <w:kern w:val="2"/>
          <w:sz w:val="22"/>
          <w:szCs w:val="22"/>
          <w:lang w:val="fr-BF" w:eastAsia="fr-BF"/>
          <w14:ligatures w14:val="standardContextual"/>
        </w:rPr>
      </w:pPr>
      <w:hyperlink w:anchor="_Toc183340203" w:history="1">
        <w:r w:rsidRPr="00A7432C">
          <w:rPr>
            <w:rStyle w:val="Lienhypertexte"/>
            <w:rFonts w:ascii="Times New Roman" w:eastAsiaTheme="majorEastAsia" w:hAnsi="Times New Roman" w:cs="Times New Roman"/>
            <w:noProof/>
            <w:sz w:val="22"/>
            <w:szCs w:val="22"/>
          </w:rPr>
          <w:t>V.</w:t>
        </w:r>
        <w:r w:rsidRPr="00A7432C">
          <w:rPr>
            <w:rFonts w:ascii="Times New Roman" w:eastAsiaTheme="minorEastAsia" w:hAnsi="Times New Roman" w:cs="Times New Roman"/>
            <w:b w:val="0"/>
            <w:bCs w:val="0"/>
            <w: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ETAT ET DYNAMIQUES DE LA DIVERSITÉ BIOLOGIQUE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_Toc183340203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99</w:t>
        </w:r>
        <w:r w:rsidRPr="00A7432C">
          <w:rPr>
            <w:rFonts w:ascii="Times New Roman" w:hAnsi="Times New Roman" w:cs="Times New Roman"/>
            <w:noProof/>
            <w:webHidden/>
            <w:sz w:val="22"/>
            <w:szCs w:val="22"/>
          </w:rPr>
          <w:fldChar w:fldCharType="end"/>
        </w:r>
      </w:hyperlink>
    </w:p>
    <w:p w14:paraId="3D67B7C9" w14:textId="0317042E"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205" w:history="1">
        <w:r w:rsidRPr="00A7432C">
          <w:rPr>
            <w:rStyle w:val="Lienhypertexte"/>
            <w:rFonts w:ascii="Times New Roman" w:eastAsiaTheme="majorEastAsia" w:hAnsi="Times New Roman" w:cs="Times New Roman"/>
            <w:noProof/>
            <w:sz w:val="22"/>
            <w:szCs w:val="22"/>
          </w:rPr>
          <w:t>5.1</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pressions sur les ressources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_Toc183340205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99</w:t>
        </w:r>
        <w:r w:rsidRPr="00A7432C">
          <w:rPr>
            <w:rFonts w:ascii="Times New Roman" w:hAnsi="Times New Roman" w:cs="Times New Roman"/>
            <w:noProof/>
            <w:webHidden/>
            <w:sz w:val="22"/>
            <w:szCs w:val="22"/>
          </w:rPr>
          <w:fldChar w:fldCharType="end"/>
        </w:r>
      </w:hyperlink>
    </w:p>
    <w:p w14:paraId="4F0276DB" w14:textId="61CF6C01"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06" w:history="1">
        <w:r w:rsidRPr="00A7432C">
          <w:rPr>
            <w:rStyle w:val="Lienhypertexte"/>
            <w:rFonts w:ascii="Times New Roman" w:eastAsiaTheme="majorEastAsia" w:hAnsi="Times New Roman" w:cs="Times New Roman"/>
            <w:noProof/>
            <w:sz w:val="22"/>
            <w:szCs w:val="22"/>
          </w:rPr>
          <w:t>5.1.1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sources des pressions sur la diversité biologique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_Toc183340206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99</w:t>
        </w:r>
        <w:r w:rsidRPr="00A7432C">
          <w:rPr>
            <w:rFonts w:ascii="Times New Roman" w:hAnsi="Times New Roman" w:cs="Times New Roman"/>
            <w:noProof/>
            <w:webHidden/>
            <w:sz w:val="22"/>
            <w:szCs w:val="22"/>
          </w:rPr>
          <w:fldChar w:fldCharType="end"/>
        </w:r>
      </w:hyperlink>
    </w:p>
    <w:p w14:paraId="2C968B6C" w14:textId="44359D30"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07" w:history="1">
        <w:r w:rsidRPr="00A7432C">
          <w:rPr>
            <w:rStyle w:val="Lienhypertexte"/>
            <w:rFonts w:ascii="Times New Roman" w:eastAsiaTheme="majorEastAsia" w:hAnsi="Times New Roman" w:cs="Times New Roman"/>
            <w:noProof/>
            <w:sz w:val="22"/>
            <w:szCs w:val="22"/>
          </w:rPr>
          <w:t>5.1.1.1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croissance démographique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_Toc183340207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99</w:t>
        </w:r>
        <w:r w:rsidRPr="00A7432C">
          <w:rPr>
            <w:rFonts w:ascii="Times New Roman" w:hAnsi="Times New Roman" w:cs="Times New Roman"/>
            <w:noProof/>
            <w:webHidden/>
            <w:sz w:val="22"/>
            <w:szCs w:val="22"/>
          </w:rPr>
          <w:fldChar w:fldCharType="end"/>
        </w:r>
      </w:hyperlink>
    </w:p>
    <w:p w14:paraId="266F7C3D" w14:textId="701FAFA8"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08" w:history="1">
        <w:r w:rsidRPr="00A7432C">
          <w:rPr>
            <w:rStyle w:val="Lienhypertexte"/>
            <w:rFonts w:ascii="Times New Roman" w:eastAsiaTheme="majorEastAsia" w:hAnsi="Times New Roman" w:cs="Times New Roman"/>
            <w:noProof/>
            <w:sz w:val="22"/>
            <w:szCs w:val="22"/>
          </w:rPr>
          <w:t>5.1.1.2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L’insuffisance ou la mauvaise gouvernance des ressources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_Toc183340208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100</w:t>
        </w:r>
        <w:r w:rsidRPr="00A7432C">
          <w:rPr>
            <w:rFonts w:ascii="Times New Roman" w:hAnsi="Times New Roman" w:cs="Times New Roman"/>
            <w:noProof/>
            <w:webHidden/>
            <w:sz w:val="22"/>
            <w:szCs w:val="22"/>
          </w:rPr>
          <w:fldChar w:fldCharType="end"/>
        </w:r>
      </w:hyperlink>
    </w:p>
    <w:p w14:paraId="1DFDE703" w14:textId="73CDB810"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09" w:history="1">
        <w:r w:rsidRPr="00A7432C">
          <w:rPr>
            <w:rStyle w:val="Lienhypertexte"/>
            <w:rFonts w:ascii="Times New Roman" w:eastAsiaTheme="majorEastAsia" w:hAnsi="Times New Roman" w:cs="Times New Roman"/>
            <w:noProof/>
            <w:sz w:val="22"/>
            <w:szCs w:val="22"/>
          </w:rPr>
          <w:t>5.1.1.3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L’instabilité socio-politique, un facteur aggravant les pressions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_Toc183340209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101</w:t>
        </w:r>
        <w:r w:rsidRPr="00A7432C">
          <w:rPr>
            <w:rFonts w:ascii="Times New Roman" w:hAnsi="Times New Roman" w:cs="Times New Roman"/>
            <w:noProof/>
            <w:webHidden/>
            <w:sz w:val="22"/>
            <w:szCs w:val="22"/>
          </w:rPr>
          <w:fldChar w:fldCharType="end"/>
        </w:r>
      </w:hyperlink>
    </w:p>
    <w:p w14:paraId="30941011" w14:textId="7CDB4E1C"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10" w:history="1">
        <w:r w:rsidRPr="00A7432C">
          <w:rPr>
            <w:rStyle w:val="Lienhypertexte"/>
            <w:rFonts w:ascii="Times New Roman" w:eastAsiaTheme="majorEastAsia" w:hAnsi="Times New Roman" w:cs="Times New Roman"/>
            <w:noProof/>
            <w:sz w:val="22"/>
            <w:szCs w:val="22"/>
          </w:rPr>
          <w:t>5.1.1.4</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péjoration climatique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_Toc183340210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102</w:t>
        </w:r>
        <w:r w:rsidRPr="00A7432C">
          <w:rPr>
            <w:rFonts w:ascii="Times New Roman" w:hAnsi="Times New Roman" w:cs="Times New Roman"/>
            <w:noProof/>
            <w:webHidden/>
            <w:sz w:val="22"/>
            <w:szCs w:val="22"/>
          </w:rPr>
          <w:fldChar w:fldCharType="end"/>
        </w:r>
      </w:hyperlink>
    </w:p>
    <w:p w14:paraId="3B393BEF" w14:textId="2E8D0B0C"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11" w:history="1">
        <w:r w:rsidRPr="00A7432C">
          <w:rPr>
            <w:rStyle w:val="Lienhypertexte"/>
            <w:rFonts w:ascii="Times New Roman" w:eastAsiaTheme="majorEastAsia" w:hAnsi="Times New Roman" w:cs="Times New Roman"/>
            <w:noProof/>
            <w:sz w:val="22"/>
            <w:szCs w:val="22"/>
          </w:rPr>
          <w:t>5.1.2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pressions sur les ressources forestières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_Toc183340211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103</w:t>
        </w:r>
        <w:r w:rsidRPr="00A7432C">
          <w:rPr>
            <w:rFonts w:ascii="Times New Roman" w:hAnsi="Times New Roman" w:cs="Times New Roman"/>
            <w:noProof/>
            <w:webHidden/>
            <w:sz w:val="22"/>
            <w:szCs w:val="22"/>
          </w:rPr>
          <w:fldChar w:fldCharType="end"/>
        </w:r>
      </w:hyperlink>
    </w:p>
    <w:p w14:paraId="1DBD1EE9" w14:textId="64ADB7FE"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12" w:history="1">
        <w:r w:rsidRPr="00A7432C">
          <w:rPr>
            <w:rStyle w:val="Lienhypertexte"/>
            <w:rFonts w:ascii="Times New Roman" w:eastAsiaTheme="majorEastAsia" w:hAnsi="Times New Roman" w:cs="Times New Roman"/>
            <w:noProof/>
            <w:sz w:val="22"/>
            <w:szCs w:val="22"/>
          </w:rPr>
          <w:t>5.1.2.1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défrichements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_Toc183340212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103</w:t>
        </w:r>
        <w:r w:rsidRPr="00A7432C">
          <w:rPr>
            <w:rFonts w:ascii="Times New Roman" w:hAnsi="Times New Roman" w:cs="Times New Roman"/>
            <w:noProof/>
            <w:webHidden/>
            <w:sz w:val="22"/>
            <w:szCs w:val="22"/>
          </w:rPr>
          <w:fldChar w:fldCharType="end"/>
        </w:r>
      </w:hyperlink>
    </w:p>
    <w:p w14:paraId="7B579760" w14:textId="33F2C11D"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13" w:history="1">
        <w:r w:rsidRPr="00A7432C">
          <w:rPr>
            <w:rStyle w:val="Lienhypertexte"/>
            <w:rFonts w:ascii="Times New Roman" w:eastAsiaTheme="majorEastAsia" w:hAnsi="Times New Roman" w:cs="Times New Roman"/>
            <w:noProof/>
            <w:sz w:val="22"/>
            <w:szCs w:val="22"/>
          </w:rPr>
          <w:t>5.1.2.2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surexploitation et les mauvaises pratiques d’exploitation et de récolte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_Toc183340213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106</w:t>
        </w:r>
        <w:r w:rsidRPr="00A7432C">
          <w:rPr>
            <w:rFonts w:ascii="Times New Roman" w:hAnsi="Times New Roman" w:cs="Times New Roman"/>
            <w:noProof/>
            <w:webHidden/>
            <w:sz w:val="22"/>
            <w:szCs w:val="22"/>
          </w:rPr>
          <w:fldChar w:fldCharType="end"/>
        </w:r>
      </w:hyperlink>
    </w:p>
    <w:p w14:paraId="6A5729B2" w14:textId="50FAA515"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14" w:history="1">
        <w:r w:rsidRPr="00A7432C">
          <w:rPr>
            <w:rStyle w:val="Lienhypertexte"/>
            <w:rFonts w:ascii="Times New Roman" w:eastAsiaTheme="majorEastAsia" w:hAnsi="Times New Roman" w:cs="Times New Roman"/>
            <w:noProof/>
            <w:sz w:val="22"/>
            <w:szCs w:val="22"/>
          </w:rPr>
          <w:t>5.1.2.3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surcharge pastorale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_Toc183340214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107</w:t>
        </w:r>
        <w:r w:rsidRPr="00A7432C">
          <w:rPr>
            <w:rFonts w:ascii="Times New Roman" w:hAnsi="Times New Roman" w:cs="Times New Roman"/>
            <w:noProof/>
            <w:webHidden/>
            <w:sz w:val="22"/>
            <w:szCs w:val="22"/>
          </w:rPr>
          <w:fldChar w:fldCharType="end"/>
        </w:r>
      </w:hyperlink>
    </w:p>
    <w:p w14:paraId="2CE77A31" w14:textId="0CF45CEA"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15" w:history="1">
        <w:r w:rsidRPr="00A7432C">
          <w:rPr>
            <w:rStyle w:val="Lienhypertexte"/>
            <w:rFonts w:ascii="Times New Roman" w:eastAsiaTheme="majorEastAsia" w:hAnsi="Times New Roman" w:cs="Times New Roman"/>
            <w:noProof/>
            <w:sz w:val="22"/>
            <w:szCs w:val="22"/>
          </w:rPr>
          <w:t>5.1.2.4</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feux de brousse incontrôlés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_Toc183340215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109</w:t>
        </w:r>
        <w:r w:rsidRPr="00A7432C">
          <w:rPr>
            <w:rFonts w:ascii="Times New Roman" w:hAnsi="Times New Roman" w:cs="Times New Roman"/>
            <w:noProof/>
            <w:webHidden/>
            <w:sz w:val="22"/>
            <w:szCs w:val="22"/>
          </w:rPr>
          <w:fldChar w:fldCharType="end"/>
        </w:r>
      </w:hyperlink>
    </w:p>
    <w:p w14:paraId="47476C30" w14:textId="1ACB31B6"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16" w:history="1">
        <w:r w:rsidRPr="00A7432C">
          <w:rPr>
            <w:rStyle w:val="Lienhypertexte"/>
            <w:rFonts w:ascii="Times New Roman" w:eastAsiaTheme="majorEastAsia" w:hAnsi="Times New Roman" w:cs="Times New Roman"/>
            <w:noProof/>
            <w:sz w:val="22"/>
            <w:szCs w:val="22"/>
          </w:rPr>
          <w:t>5.1.3</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Pression sur les ressources fauniques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_Toc183340216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110</w:t>
        </w:r>
        <w:r w:rsidRPr="00A7432C">
          <w:rPr>
            <w:rFonts w:ascii="Times New Roman" w:hAnsi="Times New Roman" w:cs="Times New Roman"/>
            <w:noProof/>
            <w:webHidden/>
            <w:sz w:val="22"/>
            <w:szCs w:val="22"/>
          </w:rPr>
          <w:fldChar w:fldCharType="end"/>
        </w:r>
      </w:hyperlink>
    </w:p>
    <w:p w14:paraId="1A0E44BB" w14:textId="56925C6A"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17" w:history="1">
        <w:r w:rsidRPr="00A7432C">
          <w:rPr>
            <w:rStyle w:val="Lienhypertexte"/>
            <w:rFonts w:ascii="Times New Roman" w:eastAsiaTheme="majorEastAsia" w:hAnsi="Times New Roman" w:cs="Times New Roman"/>
            <w:noProof/>
            <w:sz w:val="22"/>
            <w:szCs w:val="22"/>
          </w:rPr>
          <w:t>5.1.3.1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dégradation de l’habitat des espèces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_Toc183340217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110</w:t>
        </w:r>
        <w:r w:rsidRPr="00A7432C">
          <w:rPr>
            <w:rFonts w:ascii="Times New Roman" w:hAnsi="Times New Roman" w:cs="Times New Roman"/>
            <w:noProof/>
            <w:webHidden/>
            <w:sz w:val="22"/>
            <w:szCs w:val="22"/>
          </w:rPr>
          <w:fldChar w:fldCharType="end"/>
        </w:r>
      </w:hyperlink>
    </w:p>
    <w:p w14:paraId="306F84DD" w14:textId="355B959F"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18" w:history="1">
        <w:r w:rsidRPr="00A7432C">
          <w:rPr>
            <w:rStyle w:val="Lienhypertexte"/>
            <w:rFonts w:ascii="Times New Roman" w:eastAsiaTheme="majorEastAsia" w:hAnsi="Times New Roman" w:cs="Times New Roman"/>
            <w:noProof/>
            <w:sz w:val="22"/>
            <w:szCs w:val="22"/>
          </w:rPr>
          <w:t>5.1.3.2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 braconnage et le non-respect des exigences d’exploitation de la faune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_Toc183340218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111</w:t>
        </w:r>
        <w:r w:rsidRPr="00A7432C">
          <w:rPr>
            <w:rFonts w:ascii="Times New Roman" w:hAnsi="Times New Roman" w:cs="Times New Roman"/>
            <w:noProof/>
            <w:webHidden/>
            <w:sz w:val="22"/>
            <w:szCs w:val="22"/>
          </w:rPr>
          <w:fldChar w:fldCharType="end"/>
        </w:r>
      </w:hyperlink>
    </w:p>
    <w:p w14:paraId="4148DE56" w14:textId="449F63F2"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19" w:history="1">
        <w:r w:rsidRPr="00A7432C">
          <w:rPr>
            <w:rStyle w:val="Lienhypertexte"/>
            <w:rFonts w:ascii="Times New Roman" w:eastAsiaTheme="majorEastAsia" w:hAnsi="Times New Roman" w:cs="Times New Roman"/>
            <w:noProof/>
            <w:sz w:val="22"/>
            <w:szCs w:val="22"/>
          </w:rPr>
          <w:t>5.1.3.3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pollutions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_Toc183340219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112</w:t>
        </w:r>
        <w:r w:rsidRPr="00A7432C">
          <w:rPr>
            <w:rFonts w:ascii="Times New Roman" w:hAnsi="Times New Roman" w:cs="Times New Roman"/>
            <w:noProof/>
            <w:webHidden/>
            <w:sz w:val="22"/>
            <w:szCs w:val="22"/>
          </w:rPr>
          <w:fldChar w:fldCharType="end"/>
        </w:r>
      </w:hyperlink>
    </w:p>
    <w:p w14:paraId="23867118" w14:textId="1F23887F"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20" w:history="1">
        <w:r w:rsidRPr="00A7432C">
          <w:rPr>
            <w:rStyle w:val="Lienhypertexte"/>
            <w:rFonts w:ascii="Times New Roman" w:eastAsiaTheme="majorEastAsia" w:hAnsi="Times New Roman" w:cs="Times New Roman"/>
            <w:noProof/>
            <w:sz w:val="22"/>
            <w:szCs w:val="22"/>
          </w:rPr>
          <w:t>5.1.3.4</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conflits Hommes-Faune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_Toc183340220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114</w:t>
        </w:r>
        <w:r w:rsidRPr="00A7432C">
          <w:rPr>
            <w:rFonts w:ascii="Times New Roman" w:hAnsi="Times New Roman" w:cs="Times New Roman"/>
            <w:noProof/>
            <w:webHidden/>
            <w:sz w:val="22"/>
            <w:szCs w:val="22"/>
          </w:rPr>
          <w:fldChar w:fldCharType="end"/>
        </w:r>
      </w:hyperlink>
    </w:p>
    <w:p w14:paraId="77AD761D" w14:textId="26E34177"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221" w:history="1">
        <w:r w:rsidRPr="00A7432C">
          <w:rPr>
            <w:rStyle w:val="Lienhypertexte"/>
            <w:rFonts w:ascii="Times New Roman" w:eastAsiaTheme="majorEastAsia" w:hAnsi="Times New Roman" w:cs="Times New Roman"/>
            <w:noProof/>
            <w:sz w:val="22"/>
            <w:szCs w:val="22"/>
          </w:rPr>
          <w:t>5.2</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L’état des ressources biologiques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_Toc183340221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115</w:t>
        </w:r>
        <w:r w:rsidRPr="00A7432C">
          <w:rPr>
            <w:rFonts w:ascii="Times New Roman" w:hAnsi="Times New Roman" w:cs="Times New Roman"/>
            <w:noProof/>
            <w:webHidden/>
            <w:sz w:val="22"/>
            <w:szCs w:val="22"/>
          </w:rPr>
          <w:fldChar w:fldCharType="end"/>
        </w:r>
      </w:hyperlink>
    </w:p>
    <w:p w14:paraId="549932EA" w14:textId="7F48336A"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22" w:history="1">
        <w:r w:rsidRPr="00A7432C">
          <w:rPr>
            <w:rStyle w:val="Lienhypertexte"/>
            <w:rFonts w:ascii="Times New Roman" w:eastAsiaTheme="majorEastAsia" w:hAnsi="Times New Roman" w:cs="Times New Roman"/>
            <w:noProof/>
            <w:sz w:val="22"/>
            <w:szCs w:val="22"/>
          </w:rPr>
          <w:t>5.2.1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diversité biologique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_Toc183340222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115</w:t>
        </w:r>
        <w:r w:rsidRPr="00A7432C">
          <w:rPr>
            <w:rFonts w:ascii="Times New Roman" w:hAnsi="Times New Roman" w:cs="Times New Roman"/>
            <w:noProof/>
            <w:webHidden/>
            <w:sz w:val="22"/>
            <w:szCs w:val="22"/>
          </w:rPr>
          <w:fldChar w:fldCharType="end"/>
        </w:r>
      </w:hyperlink>
    </w:p>
    <w:p w14:paraId="144328EE" w14:textId="70325C46"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23" w:history="1">
        <w:r w:rsidRPr="00A7432C">
          <w:rPr>
            <w:rStyle w:val="Lienhypertexte"/>
            <w:rFonts w:ascii="Times New Roman" w:eastAsiaTheme="majorEastAsia" w:hAnsi="Times New Roman" w:cs="Times New Roman"/>
            <w:noProof/>
            <w:sz w:val="22"/>
            <w:szCs w:val="22"/>
          </w:rPr>
          <w:t>5.2.1.1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Etat des lieux</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_Toc183340223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115</w:t>
        </w:r>
        <w:r w:rsidRPr="00A7432C">
          <w:rPr>
            <w:rFonts w:ascii="Times New Roman" w:hAnsi="Times New Roman" w:cs="Times New Roman"/>
            <w:noProof/>
            <w:webHidden/>
            <w:sz w:val="22"/>
            <w:szCs w:val="22"/>
          </w:rPr>
          <w:fldChar w:fldCharType="end"/>
        </w:r>
      </w:hyperlink>
    </w:p>
    <w:p w14:paraId="6F85F7D8" w14:textId="21B9711D"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24" w:history="1">
        <w:r w:rsidRPr="00A7432C">
          <w:rPr>
            <w:rStyle w:val="Lienhypertexte"/>
            <w:rFonts w:ascii="Times New Roman" w:eastAsiaTheme="majorEastAsia" w:hAnsi="Times New Roman" w:cs="Times New Roman"/>
            <w:noProof/>
            <w:sz w:val="22"/>
            <w:szCs w:val="22"/>
            <w:lang w:eastAsia="en-US"/>
          </w:rPr>
          <w:t>5.2.1.1.1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Microorganismes et plantes inferieures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_Toc183340224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115</w:t>
        </w:r>
        <w:r w:rsidRPr="00A7432C">
          <w:rPr>
            <w:rFonts w:ascii="Times New Roman" w:hAnsi="Times New Roman" w:cs="Times New Roman"/>
            <w:noProof/>
            <w:webHidden/>
            <w:sz w:val="22"/>
            <w:szCs w:val="22"/>
          </w:rPr>
          <w:fldChar w:fldCharType="end"/>
        </w:r>
      </w:hyperlink>
    </w:p>
    <w:p w14:paraId="0181FAF4" w14:textId="7012269C"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25" w:history="1">
        <w:r w:rsidRPr="00A7432C">
          <w:rPr>
            <w:rStyle w:val="Lienhypertexte"/>
            <w:rFonts w:ascii="Times New Roman" w:eastAsiaTheme="majorEastAsia" w:hAnsi="Times New Roman" w:cs="Times New Roman"/>
            <w:noProof/>
            <w:sz w:val="22"/>
            <w:szCs w:val="22"/>
            <w:lang w:eastAsia="en-US"/>
          </w:rPr>
          <w:t>5.2.1.1.2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Plantes supérieures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_Toc183340225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115</w:t>
        </w:r>
        <w:r w:rsidRPr="00A7432C">
          <w:rPr>
            <w:rFonts w:ascii="Times New Roman" w:hAnsi="Times New Roman" w:cs="Times New Roman"/>
            <w:noProof/>
            <w:webHidden/>
            <w:sz w:val="22"/>
            <w:szCs w:val="22"/>
          </w:rPr>
          <w:fldChar w:fldCharType="end"/>
        </w:r>
      </w:hyperlink>
    </w:p>
    <w:p w14:paraId="72852241" w14:textId="6135EC37"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26" w:history="1">
        <w:r w:rsidRPr="00A7432C">
          <w:rPr>
            <w:rStyle w:val="Lienhypertexte"/>
            <w:rFonts w:ascii="Times New Roman" w:eastAsiaTheme="majorEastAsia" w:hAnsi="Times New Roman" w:cs="Times New Roman"/>
            <w:noProof/>
            <w:sz w:val="22"/>
            <w:szCs w:val="22"/>
            <w:lang w:eastAsia="en-US"/>
          </w:rPr>
          <w:t>5.2.1.1.3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Plantes cultivées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_Toc183340226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116</w:t>
        </w:r>
        <w:r w:rsidRPr="00A7432C">
          <w:rPr>
            <w:rFonts w:ascii="Times New Roman" w:hAnsi="Times New Roman" w:cs="Times New Roman"/>
            <w:noProof/>
            <w:webHidden/>
            <w:sz w:val="22"/>
            <w:szCs w:val="22"/>
          </w:rPr>
          <w:fldChar w:fldCharType="end"/>
        </w:r>
      </w:hyperlink>
    </w:p>
    <w:p w14:paraId="787FF99E" w14:textId="53489D30"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27" w:history="1">
        <w:r w:rsidRPr="00A7432C">
          <w:rPr>
            <w:rStyle w:val="Lienhypertexte"/>
            <w:rFonts w:ascii="Times New Roman" w:eastAsiaTheme="majorEastAsia" w:hAnsi="Times New Roman" w:cs="Times New Roman"/>
            <w:noProof/>
            <w:sz w:val="22"/>
            <w:szCs w:val="22"/>
            <w:lang w:eastAsia="en-US"/>
          </w:rPr>
          <w:t>5.2.1.1.4</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Invertébrés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_Toc183340227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116</w:t>
        </w:r>
        <w:r w:rsidRPr="00A7432C">
          <w:rPr>
            <w:rFonts w:ascii="Times New Roman" w:hAnsi="Times New Roman" w:cs="Times New Roman"/>
            <w:noProof/>
            <w:webHidden/>
            <w:sz w:val="22"/>
            <w:szCs w:val="22"/>
          </w:rPr>
          <w:fldChar w:fldCharType="end"/>
        </w:r>
      </w:hyperlink>
    </w:p>
    <w:p w14:paraId="60981E41" w14:textId="5CB39DED"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28" w:history="1">
        <w:r w:rsidRPr="00A7432C">
          <w:rPr>
            <w:rStyle w:val="Lienhypertexte"/>
            <w:rFonts w:ascii="Times New Roman" w:eastAsiaTheme="majorEastAsia" w:hAnsi="Times New Roman" w:cs="Times New Roman"/>
            <w:noProof/>
            <w:sz w:val="22"/>
            <w:szCs w:val="22"/>
            <w:lang w:eastAsia="en-US"/>
          </w:rPr>
          <w:t>5.2.1.1.5</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Vertébrés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_Toc183340228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116</w:t>
        </w:r>
        <w:r w:rsidRPr="00A7432C">
          <w:rPr>
            <w:rFonts w:ascii="Times New Roman" w:hAnsi="Times New Roman" w:cs="Times New Roman"/>
            <w:noProof/>
            <w:webHidden/>
            <w:sz w:val="22"/>
            <w:szCs w:val="22"/>
          </w:rPr>
          <w:fldChar w:fldCharType="end"/>
        </w:r>
      </w:hyperlink>
    </w:p>
    <w:p w14:paraId="46CD8731" w14:textId="2F8A29D4"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29" w:history="1">
        <w:r w:rsidRPr="00A7432C">
          <w:rPr>
            <w:rStyle w:val="Lienhypertexte"/>
            <w:rFonts w:ascii="Times New Roman" w:eastAsiaTheme="majorEastAsia" w:hAnsi="Times New Roman" w:cs="Times New Roman"/>
            <w:noProof/>
            <w:sz w:val="22"/>
            <w:szCs w:val="22"/>
            <w:lang w:eastAsia="en-US"/>
          </w:rPr>
          <w:t>5.2.1.1.6</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Espèces de plantes vasculaires introduites au Burkina Faso</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_Toc183340229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117</w:t>
        </w:r>
        <w:r w:rsidRPr="00A7432C">
          <w:rPr>
            <w:rFonts w:ascii="Times New Roman" w:hAnsi="Times New Roman" w:cs="Times New Roman"/>
            <w:noProof/>
            <w:webHidden/>
            <w:sz w:val="22"/>
            <w:szCs w:val="22"/>
          </w:rPr>
          <w:fldChar w:fldCharType="end"/>
        </w:r>
      </w:hyperlink>
    </w:p>
    <w:p w14:paraId="55C84C00" w14:textId="3E591C4D"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30" w:history="1">
        <w:r w:rsidRPr="00A7432C">
          <w:rPr>
            <w:rStyle w:val="Lienhypertexte"/>
            <w:rFonts w:ascii="Times New Roman" w:eastAsiaTheme="majorEastAsia" w:hAnsi="Times New Roman" w:cs="Times New Roman"/>
            <w:noProof/>
            <w:sz w:val="22"/>
            <w:szCs w:val="22"/>
            <w:lang w:eastAsia="en-US"/>
          </w:rPr>
          <w:t>5.2.1.1.7</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Distribution générale des espèces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_Toc183340230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117</w:t>
        </w:r>
        <w:r w:rsidRPr="00A7432C">
          <w:rPr>
            <w:rFonts w:ascii="Times New Roman" w:hAnsi="Times New Roman" w:cs="Times New Roman"/>
            <w:noProof/>
            <w:webHidden/>
            <w:sz w:val="22"/>
            <w:szCs w:val="22"/>
          </w:rPr>
          <w:fldChar w:fldCharType="end"/>
        </w:r>
      </w:hyperlink>
    </w:p>
    <w:p w14:paraId="001876BE" w14:textId="7545C7A3"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31" w:history="1">
        <w:r w:rsidRPr="00A7432C">
          <w:rPr>
            <w:rStyle w:val="Lienhypertexte"/>
            <w:rFonts w:ascii="Times New Roman" w:eastAsiaTheme="majorEastAsia" w:hAnsi="Times New Roman" w:cs="Times New Roman"/>
            <w:noProof/>
            <w:sz w:val="22"/>
            <w:szCs w:val="22"/>
          </w:rPr>
          <w:t>5.2.1.2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Analyse des tendances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_Toc183340231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119</w:t>
        </w:r>
        <w:r w:rsidRPr="00A7432C">
          <w:rPr>
            <w:rFonts w:ascii="Times New Roman" w:hAnsi="Times New Roman" w:cs="Times New Roman"/>
            <w:noProof/>
            <w:webHidden/>
            <w:sz w:val="22"/>
            <w:szCs w:val="22"/>
          </w:rPr>
          <w:fldChar w:fldCharType="end"/>
        </w:r>
      </w:hyperlink>
    </w:p>
    <w:p w14:paraId="4590093A" w14:textId="184EEAFA"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32" w:history="1">
        <w:r w:rsidRPr="00A7432C">
          <w:rPr>
            <w:rStyle w:val="Lienhypertexte"/>
            <w:rFonts w:ascii="Times New Roman" w:eastAsiaTheme="majorEastAsia" w:hAnsi="Times New Roman" w:cs="Times New Roman"/>
            <w:noProof/>
            <w:sz w:val="22"/>
            <w:szCs w:val="22"/>
            <w:lang w:eastAsia="en-US"/>
          </w:rPr>
          <w:t>5.2.1.2.1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Espèces végétales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_Toc183340232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119</w:t>
        </w:r>
        <w:r w:rsidRPr="00A7432C">
          <w:rPr>
            <w:rFonts w:ascii="Times New Roman" w:hAnsi="Times New Roman" w:cs="Times New Roman"/>
            <w:noProof/>
            <w:webHidden/>
            <w:sz w:val="22"/>
            <w:szCs w:val="22"/>
          </w:rPr>
          <w:fldChar w:fldCharType="end"/>
        </w:r>
      </w:hyperlink>
    </w:p>
    <w:p w14:paraId="41BEC45F" w14:textId="42AC7841"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33" w:history="1">
        <w:r w:rsidRPr="00A7432C">
          <w:rPr>
            <w:rStyle w:val="Lienhypertexte"/>
            <w:rFonts w:ascii="Times New Roman" w:eastAsiaTheme="majorEastAsia" w:hAnsi="Times New Roman" w:cs="Times New Roman"/>
            <w:noProof/>
            <w:sz w:val="22"/>
            <w:szCs w:val="22"/>
            <w:lang w:eastAsia="en-US"/>
          </w:rPr>
          <w:t>5.2.1.2.2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Cas spécifique des plantes cultivées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_Toc183340233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119</w:t>
        </w:r>
        <w:r w:rsidRPr="00A7432C">
          <w:rPr>
            <w:rFonts w:ascii="Times New Roman" w:hAnsi="Times New Roman" w:cs="Times New Roman"/>
            <w:noProof/>
            <w:webHidden/>
            <w:sz w:val="22"/>
            <w:szCs w:val="22"/>
          </w:rPr>
          <w:fldChar w:fldCharType="end"/>
        </w:r>
      </w:hyperlink>
    </w:p>
    <w:p w14:paraId="4E8050DE" w14:textId="038DEF34"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34" w:history="1">
        <w:r w:rsidRPr="00A7432C">
          <w:rPr>
            <w:rStyle w:val="Lienhypertexte"/>
            <w:rFonts w:ascii="Times New Roman" w:eastAsiaTheme="majorEastAsia" w:hAnsi="Times New Roman" w:cs="Times New Roman"/>
            <w:noProof/>
            <w:sz w:val="22"/>
            <w:szCs w:val="22"/>
            <w:lang w:eastAsia="en-US"/>
          </w:rPr>
          <w:t>5.2.1.2.3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Cas spécifique des plantes envahissantes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_Toc183340234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120</w:t>
        </w:r>
        <w:r w:rsidRPr="00A7432C">
          <w:rPr>
            <w:rFonts w:ascii="Times New Roman" w:hAnsi="Times New Roman" w:cs="Times New Roman"/>
            <w:noProof/>
            <w:webHidden/>
            <w:sz w:val="22"/>
            <w:szCs w:val="22"/>
          </w:rPr>
          <w:fldChar w:fldCharType="end"/>
        </w:r>
      </w:hyperlink>
    </w:p>
    <w:p w14:paraId="2BAB451E" w14:textId="02D3F63D" w:rsidR="00A7432C" w:rsidRPr="00A7432C" w:rsidRDefault="00A7432C" w:rsidP="00A7432C">
      <w:pPr>
        <w:pStyle w:val="TM5"/>
        <w:tabs>
          <w:tab w:val="left" w:pos="176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35" w:history="1">
        <w:r w:rsidRPr="00A7432C">
          <w:rPr>
            <w:rStyle w:val="Lienhypertexte"/>
            <w:rFonts w:ascii="Times New Roman" w:eastAsiaTheme="majorEastAsia" w:hAnsi="Times New Roman" w:cs="Times New Roman"/>
            <w:noProof/>
            <w:sz w:val="22"/>
            <w:szCs w:val="22"/>
            <w:lang w:eastAsia="en-US"/>
          </w:rPr>
          <w:t>5.2.1.2.4</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lang w:eastAsia="en-US"/>
          </w:rPr>
          <w:t>Espèces animales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_Toc183340235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120</w:t>
        </w:r>
        <w:r w:rsidRPr="00A7432C">
          <w:rPr>
            <w:rFonts w:ascii="Times New Roman" w:hAnsi="Times New Roman" w:cs="Times New Roman"/>
            <w:noProof/>
            <w:webHidden/>
            <w:sz w:val="22"/>
            <w:szCs w:val="22"/>
          </w:rPr>
          <w:fldChar w:fldCharType="end"/>
        </w:r>
      </w:hyperlink>
    </w:p>
    <w:p w14:paraId="64875C06" w14:textId="4FA21354"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36" w:history="1">
        <w:r w:rsidRPr="00A7432C">
          <w:rPr>
            <w:rStyle w:val="Lienhypertexte"/>
            <w:rFonts w:ascii="Times New Roman" w:eastAsiaTheme="majorEastAsia" w:hAnsi="Times New Roman" w:cs="Times New Roman"/>
            <w:noProof/>
            <w:sz w:val="22"/>
            <w:szCs w:val="22"/>
          </w:rPr>
          <w:t>5.2.2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grandes entités écologiques du Burkina Faso</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_Toc183340236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122</w:t>
        </w:r>
        <w:r w:rsidRPr="00A7432C">
          <w:rPr>
            <w:rFonts w:ascii="Times New Roman" w:hAnsi="Times New Roman" w:cs="Times New Roman"/>
            <w:noProof/>
            <w:webHidden/>
            <w:sz w:val="22"/>
            <w:szCs w:val="22"/>
          </w:rPr>
          <w:fldChar w:fldCharType="end"/>
        </w:r>
      </w:hyperlink>
    </w:p>
    <w:p w14:paraId="37E24100" w14:textId="6462DBC9"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37" w:history="1">
        <w:r w:rsidRPr="00A7432C">
          <w:rPr>
            <w:rStyle w:val="Lienhypertexte"/>
            <w:rFonts w:ascii="Times New Roman" w:eastAsiaTheme="majorEastAsia" w:hAnsi="Times New Roman" w:cs="Times New Roman"/>
            <w:noProof/>
            <w:sz w:val="22"/>
            <w:szCs w:val="22"/>
          </w:rPr>
          <w:t>5.2.2.1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zones phytogéographiques et formations végétales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_Toc183340237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122</w:t>
        </w:r>
        <w:r w:rsidRPr="00A7432C">
          <w:rPr>
            <w:rFonts w:ascii="Times New Roman" w:hAnsi="Times New Roman" w:cs="Times New Roman"/>
            <w:noProof/>
            <w:webHidden/>
            <w:sz w:val="22"/>
            <w:szCs w:val="22"/>
          </w:rPr>
          <w:fldChar w:fldCharType="end"/>
        </w:r>
      </w:hyperlink>
    </w:p>
    <w:p w14:paraId="7DE46946" w14:textId="45862EB7"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38" w:history="1">
        <w:r w:rsidRPr="00A7432C">
          <w:rPr>
            <w:rStyle w:val="Lienhypertexte"/>
            <w:rFonts w:ascii="Times New Roman" w:eastAsiaTheme="majorEastAsia" w:hAnsi="Times New Roman" w:cs="Times New Roman"/>
            <w:noProof/>
            <w:sz w:val="22"/>
            <w:szCs w:val="22"/>
          </w:rPr>
          <w:t>5.2.2.2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écosystèmes spécifiques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_Toc183340238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124</w:t>
        </w:r>
        <w:r w:rsidRPr="00A7432C">
          <w:rPr>
            <w:rFonts w:ascii="Times New Roman" w:hAnsi="Times New Roman" w:cs="Times New Roman"/>
            <w:noProof/>
            <w:webHidden/>
            <w:sz w:val="22"/>
            <w:szCs w:val="22"/>
          </w:rPr>
          <w:fldChar w:fldCharType="end"/>
        </w:r>
      </w:hyperlink>
    </w:p>
    <w:p w14:paraId="3EA79F30" w14:textId="2E467AC5"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239" w:history="1">
        <w:r w:rsidRPr="00A7432C">
          <w:rPr>
            <w:rStyle w:val="Lienhypertexte"/>
            <w:rFonts w:ascii="Times New Roman" w:eastAsiaTheme="majorEastAsia" w:hAnsi="Times New Roman" w:cs="Times New Roman"/>
            <w:noProof/>
            <w:sz w:val="22"/>
            <w:szCs w:val="22"/>
          </w:rPr>
          <w:t>5.3</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impacts des pressions sur les ressources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_Toc183340239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131</w:t>
        </w:r>
        <w:r w:rsidRPr="00A7432C">
          <w:rPr>
            <w:rFonts w:ascii="Times New Roman" w:hAnsi="Times New Roman" w:cs="Times New Roman"/>
            <w:noProof/>
            <w:webHidden/>
            <w:sz w:val="22"/>
            <w:szCs w:val="22"/>
          </w:rPr>
          <w:fldChar w:fldCharType="end"/>
        </w:r>
      </w:hyperlink>
    </w:p>
    <w:p w14:paraId="3F92B88C" w14:textId="161E7EBF"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40" w:history="1">
        <w:r w:rsidRPr="00A7432C">
          <w:rPr>
            <w:rStyle w:val="Lienhypertexte"/>
            <w:rFonts w:ascii="Times New Roman" w:eastAsiaTheme="majorEastAsia" w:hAnsi="Times New Roman" w:cs="Times New Roman"/>
            <w:noProof/>
            <w:sz w:val="22"/>
            <w:szCs w:val="22"/>
          </w:rPr>
          <w:t>5.3.1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Modification des habitats/écosystèmes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_Toc183340240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131</w:t>
        </w:r>
        <w:r w:rsidRPr="00A7432C">
          <w:rPr>
            <w:rFonts w:ascii="Times New Roman" w:hAnsi="Times New Roman" w:cs="Times New Roman"/>
            <w:noProof/>
            <w:webHidden/>
            <w:sz w:val="22"/>
            <w:szCs w:val="22"/>
          </w:rPr>
          <w:fldChar w:fldCharType="end"/>
        </w:r>
      </w:hyperlink>
    </w:p>
    <w:p w14:paraId="7ABEB0F7" w14:textId="1C9393D4"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41" w:history="1">
        <w:r w:rsidRPr="00A7432C">
          <w:rPr>
            <w:rStyle w:val="Lienhypertexte"/>
            <w:rFonts w:ascii="Times New Roman" w:eastAsiaTheme="majorEastAsia" w:hAnsi="Times New Roman" w:cs="Times New Roman"/>
            <w:noProof/>
            <w:sz w:val="22"/>
            <w:szCs w:val="22"/>
          </w:rPr>
          <w:t>5.3.1.1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domaines phytogéographiques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_Toc183340241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131</w:t>
        </w:r>
        <w:r w:rsidRPr="00A7432C">
          <w:rPr>
            <w:rFonts w:ascii="Times New Roman" w:hAnsi="Times New Roman" w:cs="Times New Roman"/>
            <w:noProof/>
            <w:webHidden/>
            <w:sz w:val="22"/>
            <w:szCs w:val="22"/>
          </w:rPr>
          <w:fldChar w:fldCharType="end"/>
        </w:r>
      </w:hyperlink>
    </w:p>
    <w:p w14:paraId="0097F955" w14:textId="08D7BA85"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42" w:history="1">
        <w:r w:rsidRPr="00A7432C">
          <w:rPr>
            <w:rStyle w:val="Lienhypertexte"/>
            <w:rFonts w:ascii="Times New Roman" w:eastAsiaTheme="majorEastAsia" w:hAnsi="Times New Roman" w:cs="Times New Roman"/>
            <w:noProof/>
            <w:sz w:val="22"/>
            <w:szCs w:val="22"/>
          </w:rPr>
          <w:t>5.3.1.2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écosystèmes spécifiques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_Toc183340242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132</w:t>
        </w:r>
        <w:r w:rsidRPr="00A7432C">
          <w:rPr>
            <w:rFonts w:ascii="Times New Roman" w:hAnsi="Times New Roman" w:cs="Times New Roman"/>
            <w:noProof/>
            <w:webHidden/>
            <w:sz w:val="22"/>
            <w:szCs w:val="22"/>
          </w:rPr>
          <w:fldChar w:fldCharType="end"/>
        </w:r>
      </w:hyperlink>
    </w:p>
    <w:p w14:paraId="6144E042" w14:textId="37032942"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43" w:history="1">
        <w:r w:rsidRPr="00A7432C">
          <w:rPr>
            <w:rStyle w:val="Lienhypertexte"/>
            <w:rFonts w:ascii="Times New Roman" w:eastAsiaTheme="majorEastAsia" w:hAnsi="Times New Roman" w:cs="Times New Roman"/>
            <w:noProof/>
            <w:sz w:val="22"/>
            <w:szCs w:val="22"/>
          </w:rPr>
          <w:t>5.3.2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Modification de la diversité spécifique et de la structure des populations des espèces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_Toc183340243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136</w:t>
        </w:r>
        <w:r w:rsidRPr="00A7432C">
          <w:rPr>
            <w:rFonts w:ascii="Times New Roman" w:hAnsi="Times New Roman" w:cs="Times New Roman"/>
            <w:noProof/>
            <w:webHidden/>
            <w:sz w:val="22"/>
            <w:szCs w:val="22"/>
          </w:rPr>
          <w:fldChar w:fldCharType="end"/>
        </w:r>
      </w:hyperlink>
    </w:p>
    <w:p w14:paraId="2A5C2E87" w14:textId="19F5F0E9"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44" w:history="1">
        <w:r w:rsidRPr="00A7432C">
          <w:rPr>
            <w:rStyle w:val="Lienhypertexte"/>
            <w:rFonts w:ascii="Times New Roman" w:eastAsiaTheme="majorEastAsia" w:hAnsi="Times New Roman" w:cs="Times New Roman"/>
            <w:noProof/>
            <w:sz w:val="22"/>
            <w:szCs w:val="22"/>
          </w:rPr>
          <w:t>5.3.2.1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Au plan des ressources forestières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_Toc183340244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136</w:t>
        </w:r>
        <w:r w:rsidRPr="00A7432C">
          <w:rPr>
            <w:rFonts w:ascii="Times New Roman" w:hAnsi="Times New Roman" w:cs="Times New Roman"/>
            <w:noProof/>
            <w:webHidden/>
            <w:sz w:val="22"/>
            <w:szCs w:val="22"/>
          </w:rPr>
          <w:fldChar w:fldCharType="end"/>
        </w:r>
      </w:hyperlink>
    </w:p>
    <w:p w14:paraId="2D71BB39" w14:textId="042B7161"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45" w:history="1">
        <w:r w:rsidRPr="00A7432C">
          <w:rPr>
            <w:rStyle w:val="Lienhypertexte"/>
            <w:rFonts w:ascii="Times New Roman" w:eastAsiaTheme="majorEastAsia" w:hAnsi="Times New Roman" w:cs="Times New Roman"/>
            <w:noProof/>
            <w:sz w:val="22"/>
            <w:szCs w:val="22"/>
          </w:rPr>
          <w:t>5.3.2.2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Au plan des ressources fauniques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_Toc183340245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137</w:t>
        </w:r>
        <w:r w:rsidRPr="00A7432C">
          <w:rPr>
            <w:rFonts w:ascii="Times New Roman" w:hAnsi="Times New Roman" w:cs="Times New Roman"/>
            <w:noProof/>
            <w:webHidden/>
            <w:sz w:val="22"/>
            <w:szCs w:val="22"/>
          </w:rPr>
          <w:fldChar w:fldCharType="end"/>
        </w:r>
      </w:hyperlink>
    </w:p>
    <w:p w14:paraId="7F284CCD" w14:textId="7DCDBEF4"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46" w:history="1">
        <w:r w:rsidRPr="00A7432C">
          <w:rPr>
            <w:rStyle w:val="Lienhypertexte"/>
            <w:rFonts w:ascii="Times New Roman" w:eastAsiaTheme="majorEastAsia" w:hAnsi="Times New Roman" w:cs="Times New Roman"/>
            <w:noProof/>
            <w:sz w:val="22"/>
            <w:szCs w:val="22"/>
          </w:rPr>
          <w:t>5.3.3</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 sur le climat</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_Toc183340246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147</w:t>
        </w:r>
        <w:r w:rsidRPr="00A7432C">
          <w:rPr>
            <w:rFonts w:ascii="Times New Roman" w:hAnsi="Times New Roman" w:cs="Times New Roman"/>
            <w:noProof/>
            <w:webHidden/>
            <w:sz w:val="22"/>
            <w:szCs w:val="22"/>
          </w:rPr>
          <w:fldChar w:fldCharType="end"/>
        </w:r>
      </w:hyperlink>
    </w:p>
    <w:p w14:paraId="48173F2C" w14:textId="6F8B0CF9"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247" w:history="1">
        <w:r w:rsidRPr="00A7432C">
          <w:rPr>
            <w:rStyle w:val="Lienhypertexte"/>
            <w:rFonts w:ascii="Times New Roman" w:eastAsiaTheme="majorEastAsia" w:hAnsi="Times New Roman" w:cs="Times New Roman"/>
            <w:noProof/>
            <w:sz w:val="22"/>
            <w:szCs w:val="22"/>
          </w:rPr>
          <w:t>5.4</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réponses aux pressions et impacts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_Toc183340247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149</w:t>
        </w:r>
        <w:r w:rsidRPr="00A7432C">
          <w:rPr>
            <w:rFonts w:ascii="Times New Roman" w:hAnsi="Times New Roman" w:cs="Times New Roman"/>
            <w:noProof/>
            <w:webHidden/>
            <w:sz w:val="22"/>
            <w:szCs w:val="22"/>
          </w:rPr>
          <w:fldChar w:fldCharType="end"/>
        </w:r>
      </w:hyperlink>
    </w:p>
    <w:p w14:paraId="3EDF47A3" w14:textId="34D5E60E"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48" w:history="1">
        <w:r w:rsidRPr="00A7432C">
          <w:rPr>
            <w:rStyle w:val="Lienhypertexte"/>
            <w:rFonts w:ascii="Times New Roman" w:eastAsiaTheme="majorEastAsia" w:hAnsi="Times New Roman" w:cs="Times New Roman"/>
            <w:noProof/>
            <w:sz w:val="22"/>
            <w:szCs w:val="22"/>
          </w:rPr>
          <w:t>5.4.1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Cadre institutionnel</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_Toc183340248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149</w:t>
        </w:r>
        <w:r w:rsidRPr="00A7432C">
          <w:rPr>
            <w:rFonts w:ascii="Times New Roman" w:hAnsi="Times New Roman" w:cs="Times New Roman"/>
            <w:noProof/>
            <w:webHidden/>
            <w:sz w:val="22"/>
            <w:szCs w:val="22"/>
          </w:rPr>
          <w:fldChar w:fldCharType="end"/>
        </w:r>
      </w:hyperlink>
    </w:p>
    <w:p w14:paraId="16CC0B17" w14:textId="05D27C6B"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49" w:history="1">
        <w:r w:rsidRPr="00A7432C">
          <w:rPr>
            <w:rStyle w:val="Lienhypertexte"/>
            <w:rFonts w:ascii="Times New Roman" w:eastAsiaTheme="majorEastAsia" w:hAnsi="Times New Roman" w:cs="Times New Roman"/>
            <w:noProof/>
            <w:sz w:val="22"/>
            <w:szCs w:val="22"/>
          </w:rPr>
          <w:t>5.4.2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Cadres stratégiques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_Toc183340249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149</w:t>
        </w:r>
        <w:r w:rsidRPr="00A7432C">
          <w:rPr>
            <w:rFonts w:ascii="Times New Roman" w:hAnsi="Times New Roman" w:cs="Times New Roman"/>
            <w:noProof/>
            <w:webHidden/>
            <w:sz w:val="22"/>
            <w:szCs w:val="22"/>
          </w:rPr>
          <w:fldChar w:fldCharType="end"/>
        </w:r>
      </w:hyperlink>
    </w:p>
    <w:p w14:paraId="2CD220C9" w14:textId="46297F67"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50" w:history="1">
        <w:r w:rsidRPr="00A7432C">
          <w:rPr>
            <w:rStyle w:val="Lienhypertexte"/>
            <w:rFonts w:ascii="Times New Roman" w:eastAsiaTheme="majorEastAsia" w:hAnsi="Times New Roman" w:cs="Times New Roman"/>
            <w:noProof/>
            <w:sz w:val="22"/>
            <w:szCs w:val="22"/>
          </w:rPr>
          <w:t>5.4.3</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Quelques résultats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_Toc183340250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153</w:t>
        </w:r>
        <w:r w:rsidRPr="00A7432C">
          <w:rPr>
            <w:rFonts w:ascii="Times New Roman" w:hAnsi="Times New Roman" w:cs="Times New Roman"/>
            <w:noProof/>
            <w:webHidden/>
            <w:sz w:val="22"/>
            <w:szCs w:val="22"/>
          </w:rPr>
          <w:fldChar w:fldCharType="end"/>
        </w:r>
      </w:hyperlink>
    </w:p>
    <w:p w14:paraId="1440980A" w14:textId="6B510AEA"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51" w:history="1">
        <w:r w:rsidRPr="00A7432C">
          <w:rPr>
            <w:rStyle w:val="Lienhypertexte"/>
            <w:rFonts w:ascii="Times New Roman" w:eastAsiaTheme="majorEastAsia" w:hAnsi="Times New Roman" w:cs="Times New Roman"/>
            <w:noProof/>
            <w:sz w:val="22"/>
            <w:szCs w:val="22"/>
          </w:rPr>
          <w:t>5.4.3.1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En matière de conservation des ressources biologiques in situ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_Toc183340251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153</w:t>
        </w:r>
        <w:r w:rsidRPr="00A7432C">
          <w:rPr>
            <w:rFonts w:ascii="Times New Roman" w:hAnsi="Times New Roman" w:cs="Times New Roman"/>
            <w:noProof/>
            <w:webHidden/>
            <w:sz w:val="22"/>
            <w:szCs w:val="22"/>
          </w:rPr>
          <w:fldChar w:fldCharType="end"/>
        </w:r>
      </w:hyperlink>
    </w:p>
    <w:p w14:paraId="0D156305" w14:textId="280197F2"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52" w:history="1">
        <w:r w:rsidRPr="00A7432C">
          <w:rPr>
            <w:rStyle w:val="Lienhypertexte"/>
            <w:rFonts w:ascii="Times New Roman" w:eastAsiaTheme="majorEastAsia" w:hAnsi="Times New Roman" w:cs="Times New Roman"/>
            <w:noProof/>
            <w:sz w:val="22"/>
            <w:szCs w:val="22"/>
          </w:rPr>
          <w:t>5.4.3.2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En matière de conservation des ressources biologiques ex situ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_Toc183340252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155</w:t>
        </w:r>
        <w:r w:rsidRPr="00A7432C">
          <w:rPr>
            <w:rFonts w:ascii="Times New Roman" w:hAnsi="Times New Roman" w:cs="Times New Roman"/>
            <w:noProof/>
            <w:webHidden/>
            <w:sz w:val="22"/>
            <w:szCs w:val="22"/>
          </w:rPr>
          <w:fldChar w:fldCharType="end"/>
        </w:r>
      </w:hyperlink>
    </w:p>
    <w:p w14:paraId="088470D1" w14:textId="2FBCAC38"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53" w:history="1">
        <w:r w:rsidRPr="00A7432C">
          <w:rPr>
            <w:rStyle w:val="Lienhypertexte"/>
            <w:rFonts w:ascii="Times New Roman" w:eastAsiaTheme="majorEastAsia" w:hAnsi="Times New Roman" w:cs="Times New Roman"/>
            <w:noProof/>
            <w:sz w:val="22"/>
            <w:szCs w:val="22"/>
          </w:rPr>
          <w:t>5.4.3.3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En matière de connaissance et d’utilisation rationnelle de la biodiversité</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_Toc183340253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155</w:t>
        </w:r>
        <w:r w:rsidRPr="00A7432C">
          <w:rPr>
            <w:rFonts w:ascii="Times New Roman" w:hAnsi="Times New Roman" w:cs="Times New Roman"/>
            <w:noProof/>
            <w:webHidden/>
            <w:sz w:val="22"/>
            <w:szCs w:val="22"/>
          </w:rPr>
          <w:fldChar w:fldCharType="end"/>
        </w:r>
      </w:hyperlink>
    </w:p>
    <w:p w14:paraId="5BE8A5AA" w14:textId="251FB4B7"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54" w:history="1">
        <w:r w:rsidRPr="00A7432C">
          <w:rPr>
            <w:rStyle w:val="Lienhypertexte"/>
            <w:rFonts w:ascii="Times New Roman" w:eastAsiaTheme="majorEastAsia" w:hAnsi="Times New Roman" w:cs="Times New Roman"/>
            <w:noProof/>
            <w:sz w:val="22"/>
            <w:szCs w:val="22"/>
          </w:rPr>
          <w:t>5.4.3.4</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En matière d’atténuation des émissions de GES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_Toc183340254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156</w:t>
        </w:r>
        <w:r w:rsidRPr="00A7432C">
          <w:rPr>
            <w:rFonts w:ascii="Times New Roman" w:hAnsi="Times New Roman" w:cs="Times New Roman"/>
            <w:noProof/>
            <w:webHidden/>
            <w:sz w:val="22"/>
            <w:szCs w:val="22"/>
          </w:rPr>
          <w:fldChar w:fldCharType="end"/>
        </w:r>
      </w:hyperlink>
    </w:p>
    <w:p w14:paraId="07285D41" w14:textId="348CB902"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55" w:history="1">
        <w:r w:rsidRPr="00A7432C">
          <w:rPr>
            <w:rStyle w:val="Lienhypertexte"/>
            <w:rFonts w:ascii="Times New Roman" w:eastAsiaTheme="majorEastAsia" w:hAnsi="Times New Roman" w:cs="Times New Roman"/>
            <w:noProof/>
            <w:sz w:val="22"/>
            <w:szCs w:val="22"/>
          </w:rPr>
          <w:t>5.4.3.5</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En matière de contrôle des espèces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_Toc183340255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157</w:t>
        </w:r>
        <w:r w:rsidRPr="00A7432C">
          <w:rPr>
            <w:rFonts w:ascii="Times New Roman" w:hAnsi="Times New Roman" w:cs="Times New Roman"/>
            <w:noProof/>
            <w:webHidden/>
            <w:sz w:val="22"/>
            <w:szCs w:val="22"/>
          </w:rPr>
          <w:fldChar w:fldCharType="end"/>
        </w:r>
      </w:hyperlink>
    </w:p>
    <w:p w14:paraId="328E28B5" w14:textId="32E502E4"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56" w:history="1">
        <w:r w:rsidRPr="00A7432C">
          <w:rPr>
            <w:rStyle w:val="Lienhypertexte"/>
            <w:rFonts w:ascii="Times New Roman" w:eastAsiaTheme="majorEastAsia" w:hAnsi="Times New Roman" w:cs="Times New Roman"/>
            <w:noProof/>
            <w:sz w:val="22"/>
            <w:szCs w:val="22"/>
          </w:rPr>
          <w:t>5.4.3.6</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En matière de prise en compte de la dimension transfrontière dans la gestion des ressources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_Toc183340256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157</w:t>
        </w:r>
        <w:r w:rsidRPr="00A7432C">
          <w:rPr>
            <w:rFonts w:ascii="Times New Roman" w:hAnsi="Times New Roman" w:cs="Times New Roman"/>
            <w:noProof/>
            <w:webHidden/>
            <w:sz w:val="22"/>
            <w:szCs w:val="22"/>
          </w:rPr>
          <w:fldChar w:fldCharType="end"/>
        </w:r>
      </w:hyperlink>
    </w:p>
    <w:p w14:paraId="12BC7409" w14:textId="7CD44F5F"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57" w:history="1">
        <w:r w:rsidRPr="00A7432C">
          <w:rPr>
            <w:rStyle w:val="Lienhypertexte"/>
            <w:rFonts w:ascii="Times New Roman" w:eastAsiaTheme="majorEastAsia" w:hAnsi="Times New Roman" w:cs="Times New Roman"/>
            <w:noProof/>
            <w:sz w:val="22"/>
            <w:szCs w:val="22"/>
          </w:rPr>
          <w:t>5.4.3.7</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En matière de développement d’approches innovantes de développement fondées sur la nature y compris l’approche NDT et atténuation des conflits communautaires.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_Toc183340257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157</w:t>
        </w:r>
        <w:r w:rsidRPr="00A7432C">
          <w:rPr>
            <w:rFonts w:ascii="Times New Roman" w:hAnsi="Times New Roman" w:cs="Times New Roman"/>
            <w:noProof/>
            <w:webHidden/>
            <w:sz w:val="22"/>
            <w:szCs w:val="22"/>
          </w:rPr>
          <w:fldChar w:fldCharType="end"/>
        </w:r>
      </w:hyperlink>
    </w:p>
    <w:p w14:paraId="62BC2D4C" w14:textId="2178F50D"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58" w:history="1">
        <w:r w:rsidRPr="00A7432C">
          <w:rPr>
            <w:rStyle w:val="Lienhypertexte"/>
            <w:rFonts w:ascii="Times New Roman" w:eastAsiaTheme="majorEastAsia" w:hAnsi="Times New Roman" w:cs="Times New Roman"/>
            <w:noProof/>
            <w:sz w:val="22"/>
            <w:szCs w:val="22"/>
          </w:rPr>
          <w:t>5.4.3.8</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En matière d’amélioration du financement de la biodiversité</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_Toc183340258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158</w:t>
        </w:r>
        <w:r w:rsidRPr="00A7432C">
          <w:rPr>
            <w:rFonts w:ascii="Times New Roman" w:hAnsi="Times New Roman" w:cs="Times New Roman"/>
            <w:noProof/>
            <w:webHidden/>
            <w:sz w:val="22"/>
            <w:szCs w:val="22"/>
          </w:rPr>
          <w:fldChar w:fldCharType="end"/>
        </w:r>
      </w:hyperlink>
    </w:p>
    <w:p w14:paraId="6822A701" w14:textId="21D39BCE"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59" w:history="1">
        <w:r w:rsidRPr="00A7432C">
          <w:rPr>
            <w:rStyle w:val="Lienhypertexte"/>
            <w:rFonts w:ascii="Times New Roman" w:eastAsiaTheme="majorEastAsia" w:hAnsi="Times New Roman" w:cs="Times New Roman"/>
            <w:noProof/>
            <w:sz w:val="22"/>
            <w:szCs w:val="22"/>
          </w:rPr>
          <w:t>5.4.4</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Analyse des principales contraintes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_Toc183340259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159</w:t>
        </w:r>
        <w:r w:rsidRPr="00A7432C">
          <w:rPr>
            <w:rFonts w:ascii="Times New Roman" w:hAnsi="Times New Roman" w:cs="Times New Roman"/>
            <w:noProof/>
            <w:webHidden/>
            <w:sz w:val="22"/>
            <w:szCs w:val="22"/>
          </w:rPr>
          <w:fldChar w:fldCharType="end"/>
        </w:r>
      </w:hyperlink>
    </w:p>
    <w:p w14:paraId="146DCEDF" w14:textId="2FEB6F1F"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260" w:history="1">
        <w:r w:rsidRPr="00A7432C">
          <w:rPr>
            <w:rStyle w:val="Lienhypertexte"/>
            <w:rFonts w:ascii="Times New Roman" w:eastAsiaTheme="majorEastAsia" w:hAnsi="Times New Roman" w:cs="Times New Roman"/>
            <w:noProof/>
            <w:sz w:val="22"/>
            <w:szCs w:val="22"/>
          </w:rPr>
          <w:t>5.5</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Changements climatiques et diversité biologique : enjeux et risques du futur</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_Toc183340260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160</w:t>
        </w:r>
        <w:r w:rsidRPr="00A7432C">
          <w:rPr>
            <w:rFonts w:ascii="Times New Roman" w:hAnsi="Times New Roman" w:cs="Times New Roman"/>
            <w:noProof/>
            <w:webHidden/>
            <w:sz w:val="22"/>
            <w:szCs w:val="22"/>
          </w:rPr>
          <w:fldChar w:fldCharType="end"/>
        </w:r>
      </w:hyperlink>
    </w:p>
    <w:p w14:paraId="53A5FE01" w14:textId="4C9E16FE" w:rsidR="00A7432C" w:rsidRPr="00A7432C" w:rsidRDefault="00A7432C" w:rsidP="00A7432C">
      <w:pPr>
        <w:pStyle w:val="TM1"/>
        <w:tabs>
          <w:tab w:val="left" w:pos="660"/>
          <w:tab w:val="right" w:leader="dot" w:pos="9175"/>
        </w:tabs>
        <w:spacing w:before="0" w:after="0"/>
        <w:rPr>
          <w:rFonts w:ascii="Times New Roman" w:eastAsiaTheme="minorEastAsia" w:hAnsi="Times New Roman" w:cs="Times New Roman"/>
          <w:b w:val="0"/>
          <w:bCs w:val="0"/>
          <w:caps w:val="0"/>
          <w:noProof/>
          <w:kern w:val="2"/>
          <w:sz w:val="22"/>
          <w:szCs w:val="22"/>
          <w:lang w:val="fr-BF" w:eastAsia="fr-BF"/>
          <w14:ligatures w14:val="standardContextual"/>
        </w:rPr>
      </w:pPr>
      <w:hyperlink w:anchor="_Toc183340261" w:history="1">
        <w:r w:rsidRPr="00A7432C">
          <w:rPr>
            <w:rStyle w:val="Lienhypertexte"/>
            <w:rFonts w:ascii="Times New Roman" w:eastAsiaTheme="majorEastAsia" w:hAnsi="Times New Roman" w:cs="Times New Roman"/>
            <w:noProof/>
            <w:sz w:val="22"/>
            <w:szCs w:val="22"/>
          </w:rPr>
          <w:t>VI.</w:t>
        </w:r>
        <w:r w:rsidRPr="00A7432C">
          <w:rPr>
            <w:rFonts w:ascii="Times New Roman" w:eastAsiaTheme="minorEastAsia" w:hAnsi="Times New Roman" w:cs="Times New Roman"/>
            <w:b w:val="0"/>
            <w:bCs w:val="0"/>
            <w: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CHANGEMENTS CLIMATIQUES ET CATASTROPHES NATURELLES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_Toc183340261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161</w:t>
        </w:r>
        <w:r w:rsidRPr="00A7432C">
          <w:rPr>
            <w:rFonts w:ascii="Times New Roman" w:hAnsi="Times New Roman" w:cs="Times New Roman"/>
            <w:noProof/>
            <w:webHidden/>
            <w:sz w:val="22"/>
            <w:szCs w:val="22"/>
          </w:rPr>
          <w:fldChar w:fldCharType="end"/>
        </w:r>
      </w:hyperlink>
    </w:p>
    <w:p w14:paraId="220E40A9" w14:textId="4F06130F"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264" w:history="1">
        <w:r w:rsidRPr="00A7432C">
          <w:rPr>
            <w:rStyle w:val="Lienhypertexte"/>
            <w:rFonts w:ascii="Times New Roman" w:eastAsiaTheme="majorEastAsia" w:hAnsi="Times New Roman" w:cs="Times New Roman"/>
            <w:noProof/>
            <w:sz w:val="22"/>
            <w:szCs w:val="22"/>
          </w:rPr>
          <w:t>6.1</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Évènements climatiques extrêmes et catastrophes naturelles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_Toc183340264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161</w:t>
        </w:r>
        <w:r w:rsidRPr="00A7432C">
          <w:rPr>
            <w:rFonts w:ascii="Times New Roman" w:hAnsi="Times New Roman" w:cs="Times New Roman"/>
            <w:noProof/>
            <w:webHidden/>
            <w:sz w:val="22"/>
            <w:szCs w:val="22"/>
          </w:rPr>
          <w:fldChar w:fldCharType="end"/>
        </w:r>
      </w:hyperlink>
    </w:p>
    <w:p w14:paraId="17D35423" w14:textId="2EED222C"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65" w:history="1">
        <w:r w:rsidRPr="00A7432C">
          <w:rPr>
            <w:rStyle w:val="Lienhypertexte"/>
            <w:rFonts w:ascii="Times New Roman" w:eastAsiaTheme="majorEastAsia" w:hAnsi="Times New Roman" w:cs="Times New Roman"/>
            <w:noProof/>
            <w:sz w:val="22"/>
            <w:szCs w:val="22"/>
          </w:rPr>
          <w:t>6.1.1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catastrophes naturelles déclarées et documentées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_Toc183340265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161</w:t>
        </w:r>
        <w:r w:rsidRPr="00A7432C">
          <w:rPr>
            <w:rFonts w:ascii="Times New Roman" w:hAnsi="Times New Roman" w:cs="Times New Roman"/>
            <w:noProof/>
            <w:webHidden/>
            <w:sz w:val="22"/>
            <w:szCs w:val="22"/>
          </w:rPr>
          <w:fldChar w:fldCharType="end"/>
        </w:r>
      </w:hyperlink>
    </w:p>
    <w:p w14:paraId="214F73CC" w14:textId="79E00353"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66" w:history="1">
        <w:r w:rsidRPr="00A7432C">
          <w:rPr>
            <w:rStyle w:val="Lienhypertexte"/>
            <w:rFonts w:ascii="Times New Roman" w:eastAsiaTheme="majorEastAsia" w:hAnsi="Times New Roman" w:cs="Times New Roman"/>
            <w:noProof/>
            <w:sz w:val="22"/>
            <w:szCs w:val="22"/>
          </w:rPr>
          <w:t>6.1.1.1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inondations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_Toc183340266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161</w:t>
        </w:r>
        <w:r w:rsidRPr="00A7432C">
          <w:rPr>
            <w:rFonts w:ascii="Times New Roman" w:hAnsi="Times New Roman" w:cs="Times New Roman"/>
            <w:noProof/>
            <w:webHidden/>
            <w:sz w:val="22"/>
            <w:szCs w:val="22"/>
          </w:rPr>
          <w:fldChar w:fldCharType="end"/>
        </w:r>
      </w:hyperlink>
    </w:p>
    <w:p w14:paraId="001A0B9E" w14:textId="3051719B"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67" w:history="1">
        <w:r w:rsidRPr="00A7432C">
          <w:rPr>
            <w:rStyle w:val="Lienhypertexte"/>
            <w:rFonts w:ascii="Times New Roman" w:eastAsiaTheme="majorEastAsia" w:hAnsi="Times New Roman" w:cs="Times New Roman"/>
            <w:noProof/>
            <w:sz w:val="22"/>
            <w:szCs w:val="22"/>
          </w:rPr>
          <w:t>6.1.1.2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sécheresses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_Toc183340267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162</w:t>
        </w:r>
        <w:r w:rsidRPr="00A7432C">
          <w:rPr>
            <w:rFonts w:ascii="Times New Roman" w:hAnsi="Times New Roman" w:cs="Times New Roman"/>
            <w:noProof/>
            <w:webHidden/>
            <w:sz w:val="22"/>
            <w:szCs w:val="22"/>
          </w:rPr>
          <w:fldChar w:fldCharType="end"/>
        </w:r>
      </w:hyperlink>
    </w:p>
    <w:p w14:paraId="023C49D9" w14:textId="1D30B75F"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68" w:history="1">
        <w:r w:rsidRPr="00A7432C">
          <w:rPr>
            <w:rStyle w:val="Lienhypertexte"/>
            <w:rFonts w:ascii="Times New Roman" w:eastAsiaTheme="majorEastAsia" w:hAnsi="Times New Roman" w:cs="Times New Roman"/>
            <w:noProof/>
            <w:sz w:val="22"/>
            <w:szCs w:val="22"/>
          </w:rPr>
          <w:t>6.1.1.3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Autres catastrophes naturelles liés au climat</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_Toc183340268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163</w:t>
        </w:r>
        <w:r w:rsidRPr="00A7432C">
          <w:rPr>
            <w:rFonts w:ascii="Times New Roman" w:hAnsi="Times New Roman" w:cs="Times New Roman"/>
            <w:noProof/>
            <w:webHidden/>
            <w:sz w:val="22"/>
            <w:szCs w:val="22"/>
          </w:rPr>
          <w:fldChar w:fldCharType="end"/>
        </w:r>
      </w:hyperlink>
    </w:p>
    <w:p w14:paraId="5DE9CC12" w14:textId="1103AC51"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69" w:history="1">
        <w:r w:rsidRPr="00A7432C">
          <w:rPr>
            <w:rStyle w:val="Lienhypertexte"/>
            <w:rFonts w:ascii="Times New Roman" w:eastAsiaTheme="majorEastAsia" w:hAnsi="Times New Roman" w:cs="Times New Roman"/>
            <w:noProof/>
            <w:sz w:val="22"/>
            <w:szCs w:val="22"/>
          </w:rPr>
          <w:t>6.1.2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Liens entre catastrophes naturelles déclarées et évènements climatiques extrêmes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_Toc183340269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163</w:t>
        </w:r>
        <w:r w:rsidRPr="00A7432C">
          <w:rPr>
            <w:rFonts w:ascii="Times New Roman" w:hAnsi="Times New Roman" w:cs="Times New Roman"/>
            <w:noProof/>
            <w:webHidden/>
            <w:sz w:val="22"/>
            <w:szCs w:val="22"/>
          </w:rPr>
          <w:fldChar w:fldCharType="end"/>
        </w:r>
      </w:hyperlink>
    </w:p>
    <w:p w14:paraId="6D46A644" w14:textId="15A5727C"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70" w:history="1">
        <w:r w:rsidRPr="00A7432C">
          <w:rPr>
            <w:rStyle w:val="Lienhypertexte"/>
            <w:rFonts w:ascii="Times New Roman" w:eastAsiaTheme="majorEastAsia" w:hAnsi="Times New Roman" w:cs="Times New Roman"/>
            <w:noProof/>
            <w:sz w:val="22"/>
            <w:szCs w:val="22"/>
          </w:rPr>
          <w:t>6.1.2.1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inondations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_Toc183340270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163</w:t>
        </w:r>
        <w:r w:rsidRPr="00A7432C">
          <w:rPr>
            <w:rFonts w:ascii="Times New Roman" w:hAnsi="Times New Roman" w:cs="Times New Roman"/>
            <w:noProof/>
            <w:webHidden/>
            <w:sz w:val="22"/>
            <w:szCs w:val="22"/>
          </w:rPr>
          <w:fldChar w:fldCharType="end"/>
        </w:r>
      </w:hyperlink>
    </w:p>
    <w:p w14:paraId="4A657384" w14:textId="0AACE35B"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71" w:history="1">
        <w:r w:rsidRPr="00A7432C">
          <w:rPr>
            <w:rStyle w:val="Lienhypertexte"/>
            <w:rFonts w:ascii="Times New Roman" w:eastAsiaTheme="majorEastAsia" w:hAnsi="Times New Roman" w:cs="Times New Roman"/>
            <w:noProof/>
            <w:sz w:val="22"/>
            <w:szCs w:val="22"/>
          </w:rPr>
          <w:t>6.1.2.2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sécheresses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_Toc183340271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164</w:t>
        </w:r>
        <w:r w:rsidRPr="00A7432C">
          <w:rPr>
            <w:rFonts w:ascii="Times New Roman" w:hAnsi="Times New Roman" w:cs="Times New Roman"/>
            <w:noProof/>
            <w:webHidden/>
            <w:sz w:val="22"/>
            <w:szCs w:val="22"/>
          </w:rPr>
          <w:fldChar w:fldCharType="end"/>
        </w:r>
      </w:hyperlink>
    </w:p>
    <w:p w14:paraId="310D6FB0" w14:textId="41A6F63E"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272" w:history="1">
        <w:r w:rsidRPr="00A7432C">
          <w:rPr>
            <w:rStyle w:val="Lienhypertexte"/>
            <w:rFonts w:ascii="Times New Roman" w:eastAsiaTheme="majorEastAsia" w:hAnsi="Times New Roman" w:cs="Times New Roman"/>
            <w:noProof/>
            <w:sz w:val="22"/>
            <w:szCs w:val="22"/>
          </w:rPr>
          <w:t>6.2</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Impacts des catastrophes naturelles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_Toc183340272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165</w:t>
        </w:r>
        <w:r w:rsidRPr="00A7432C">
          <w:rPr>
            <w:rFonts w:ascii="Times New Roman" w:hAnsi="Times New Roman" w:cs="Times New Roman"/>
            <w:noProof/>
            <w:webHidden/>
            <w:sz w:val="22"/>
            <w:szCs w:val="22"/>
          </w:rPr>
          <w:fldChar w:fldCharType="end"/>
        </w:r>
      </w:hyperlink>
    </w:p>
    <w:p w14:paraId="6B827985" w14:textId="496B931A"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73" w:history="1">
        <w:r w:rsidRPr="00A7432C">
          <w:rPr>
            <w:rStyle w:val="Lienhypertexte"/>
            <w:rFonts w:ascii="Times New Roman" w:eastAsiaTheme="majorEastAsia" w:hAnsi="Times New Roman" w:cs="Times New Roman"/>
            <w:noProof/>
            <w:sz w:val="22"/>
            <w:szCs w:val="22"/>
          </w:rPr>
          <w:t>6.2.1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impacts à caractère social</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_Toc183340273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165</w:t>
        </w:r>
        <w:r w:rsidRPr="00A7432C">
          <w:rPr>
            <w:rFonts w:ascii="Times New Roman" w:hAnsi="Times New Roman" w:cs="Times New Roman"/>
            <w:noProof/>
            <w:webHidden/>
            <w:sz w:val="22"/>
            <w:szCs w:val="22"/>
          </w:rPr>
          <w:fldChar w:fldCharType="end"/>
        </w:r>
      </w:hyperlink>
    </w:p>
    <w:p w14:paraId="077CC135" w14:textId="45D17480"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74" w:history="1">
        <w:r w:rsidRPr="00A7432C">
          <w:rPr>
            <w:rStyle w:val="Lienhypertexte"/>
            <w:rFonts w:ascii="Times New Roman" w:eastAsiaTheme="majorEastAsia" w:hAnsi="Times New Roman" w:cs="Times New Roman"/>
            <w:noProof/>
            <w:sz w:val="22"/>
            <w:szCs w:val="22"/>
          </w:rPr>
          <w:t>6.2.2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impacts à caractère économique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_Toc183340274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165</w:t>
        </w:r>
        <w:r w:rsidRPr="00A7432C">
          <w:rPr>
            <w:rFonts w:ascii="Times New Roman" w:hAnsi="Times New Roman" w:cs="Times New Roman"/>
            <w:noProof/>
            <w:webHidden/>
            <w:sz w:val="22"/>
            <w:szCs w:val="22"/>
          </w:rPr>
          <w:fldChar w:fldCharType="end"/>
        </w:r>
      </w:hyperlink>
    </w:p>
    <w:p w14:paraId="580CB24B" w14:textId="2977A9A2"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275" w:history="1">
        <w:r w:rsidRPr="00A7432C">
          <w:rPr>
            <w:rStyle w:val="Lienhypertexte"/>
            <w:rFonts w:ascii="Times New Roman" w:eastAsiaTheme="majorEastAsia" w:hAnsi="Times New Roman" w:cs="Times New Roman"/>
            <w:noProof/>
            <w:sz w:val="22"/>
            <w:szCs w:val="22"/>
          </w:rPr>
          <w:t>6.3</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réponses aux catastrophes naturelles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_Toc183340275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166</w:t>
        </w:r>
        <w:r w:rsidRPr="00A7432C">
          <w:rPr>
            <w:rFonts w:ascii="Times New Roman" w:hAnsi="Times New Roman" w:cs="Times New Roman"/>
            <w:noProof/>
            <w:webHidden/>
            <w:sz w:val="22"/>
            <w:szCs w:val="22"/>
          </w:rPr>
          <w:fldChar w:fldCharType="end"/>
        </w:r>
      </w:hyperlink>
    </w:p>
    <w:p w14:paraId="7A20CF3E" w14:textId="55D0A68A"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76" w:history="1">
        <w:r w:rsidRPr="00A7432C">
          <w:rPr>
            <w:rStyle w:val="Lienhypertexte"/>
            <w:rFonts w:ascii="Times New Roman" w:eastAsiaTheme="majorEastAsia" w:hAnsi="Times New Roman" w:cs="Times New Roman"/>
            <w:noProof/>
            <w:sz w:val="22"/>
            <w:szCs w:val="22"/>
          </w:rPr>
          <w:t>6.3.1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réponses liées à la gouvernance institutionnelle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_Toc183340276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166</w:t>
        </w:r>
        <w:r w:rsidRPr="00A7432C">
          <w:rPr>
            <w:rFonts w:ascii="Times New Roman" w:hAnsi="Times New Roman" w:cs="Times New Roman"/>
            <w:noProof/>
            <w:webHidden/>
            <w:sz w:val="22"/>
            <w:szCs w:val="22"/>
          </w:rPr>
          <w:fldChar w:fldCharType="end"/>
        </w:r>
      </w:hyperlink>
    </w:p>
    <w:p w14:paraId="57BB8238" w14:textId="06308F88"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77" w:history="1">
        <w:r w:rsidRPr="00A7432C">
          <w:rPr>
            <w:rStyle w:val="Lienhypertexte"/>
            <w:rFonts w:ascii="Times New Roman" w:eastAsiaTheme="majorEastAsia" w:hAnsi="Times New Roman" w:cs="Times New Roman"/>
            <w:noProof/>
            <w:sz w:val="22"/>
            <w:szCs w:val="22"/>
          </w:rPr>
          <w:t>6.3.1.1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 CONASUR</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_Toc183340277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166</w:t>
        </w:r>
        <w:r w:rsidRPr="00A7432C">
          <w:rPr>
            <w:rFonts w:ascii="Times New Roman" w:hAnsi="Times New Roman" w:cs="Times New Roman"/>
            <w:noProof/>
            <w:webHidden/>
            <w:sz w:val="22"/>
            <w:szCs w:val="22"/>
          </w:rPr>
          <w:fldChar w:fldCharType="end"/>
        </w:r>
      </w:hyperlink>
    </w:p>
    <w:p w14:paraId="4F7F928F" w14:textId="6701A139"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78" w:history="1">
        <w:r w:rsidRPr="00A7432C">
          <w:rPr>
            <w:rStyle w:val="Lienhypertexte"/>
            <w:rFonts w:ascii="Times New Roman" w:eastAsiaTheme="majorEastAsia" w:hAnsi="Times New Roman" w:cs="Times New Roman"/>
            <w:noProof/>
            <w:sz w:val="22"/>
            <w:szCs w:val="22"/>
          </w:rPr>
          <w:t>6.3.1.2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partenaires Techniques et Financiers nationaux du CONASUR</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_Toc183340278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166</w:t>
        </w:r>
        <w:r w:rsidRPr="00A7432C">
          <w:rPr>
            <w:rFonts w:ascii="Times New Roman" w:hAnsi="Times New Roman" w:cs="Times New Roman"/>
            <w:noProof/>
            <w:webHidden/>
            <w:sz w:val="22"/>
            <w:szCs w:val="22"/>
          </w:rPr>
          <w:fldChar w:fldCharType="end"/>
        </w:r>
      </w:hyperlink>
    </w:p>
    <w:p w14:paraId="6C264739" w14:textId="306A367D"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79" w:history="1">
        <w:r w:rsidRPr="00A7432C">
          <w:rPr>
            <w:rStyle w:val="Lienhypertexte"/>
            <w:rFonts w:ascii="Times New Roman" w:eastAsiaTheme="majorEastAsia" w:hAnsi="Times New Roman" w:cs="Times New Roman"/>
            <w:noProof/>
            <w:sz w:val="22"/>
            <w:szCs w:val="22"/>
          </w:rPr>
          <w:t>6.3.1.3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législation relative à la gestion des catastrophes naturelles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_Toc183340279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167</w:t>
        </w:r>
        <w:r w:rsidRPr="00A7432C">
          <w:rPr>
            <w:rFonts w:ascii="Times New Roman" w:hAnsi="Times New Roman" w:cs="Times New Roman"/>
            <w:noProof/>
            <w:webHidden/>
            <w:sz w:val="22"/>
            <w:szCs w:val="22"/>
          </w:rPr>
          <w:fldChar w:fldCharType="end"/>
        </w:r>
      </w:hyperlink>
    </w:p>
    <w:p w14:paraId="1387364B" w14:textId="608B1128"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80" w:history="1">
        <w:r w:rsidRPr="00A7432C">
          <w:rPr>
            <w:rStyle w:val="Lienhypertexte"/>
            <w:rFonts w:ascii="Times New Roman" w:eastAsiaTheme="majorEastAsia" w:hAnsi="Times New Roman" w:cs="Times New Roman"/>
            <w:noProof/>
            <w:sz w:val="22"/>
            <w:szCs w:val="22"/>
          </w:rPr>
          <w:t>6.3.2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réponses aux effets immédiats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_Toc183340280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167</w:t>
        </w:r>
        <w:r w:rsidRPr="00A7432C">
          <w:rPr>
            <w:rFonts w:ascii="Times New Roman" w:hAnsi="Times New Roman" w:cs="Times New Roman"/>
            <w:noProof/>
            <w:webHidden/>
            <w:sz w:val="22"/>
            <w:szCs w:val="22"/>
          </w:rPr>
          <w:fldChar w:fldCharType="end"/>
        </w:r>
      </w:hyperlink>
    </w:p>
    <w:p w14:paraId="453A93F8" w14:textId="6852E7A2"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81" w:history="1">
        <w:r w:rsidRPr="00A7432C">
          <w:rPr>
            <w:rStyle w:val="Lienhypertexte"/>
            <w:rFonts w:ascii="Times New Roman" w:eastAsiaTheme="majorEastAsia" w:hAnsi="Times New Roman" w:cs="Times New Roman"/>
            <w:noProof/>
            <w:sz w:val="22"/>
            <w:szCs w:val="22"/>
          </w:rPr>
          <w:t>6.3.2.1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 pré-positionnement des besoins de premières nécessité et la décentralisation</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_Toc183340281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167</w:t>
        </w:r>
        <w:r w:rsidRPr="00A7432C">
          <w:rPr>
            <w:rFonts w:ascii="Times New Roman" w:hAnsi="Times New Roman" w:cs="Times New Roman"/>
            <w:noProof/>
            <w:webHidden/>
            <w:sz w:val="22"/>
            <w:szCs w:val="22"/>
          </w:rPr>
          <w:fldChar w:fldCharType="end"/>
        </w:r>
      </w:hyperlink>
    </w:p>
    <w:p w14:paraId="734B57D3" w14:textId="6FD36B96"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82" w:history="1">
        <w:r w:rsidRPr="00A7432C">
          <w:rPr>
            <w:rStyle w:val="Lienhypertexte"/>
            <w:rFonts w:ascii="Times New Roman" w:eastAsiaTheme="majorEastAsia" w:hAnsi="Times New Roman" w:cs="Times New Roman"/>
            <w:noProof/>
            <w:sz w:val="22"/>
            <w:szCs w:val="22"/>
          </w:rPr>
          <w:t>6.3.2.2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mécanismes d’intervention rapides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_Toc183340282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167</w:t>
        </w:r>
        <w:r w:rsidRPr="00A7432C">
          <w:rPr>
            <w:rFonts w:ascii="Times New Roman" w:hAnsi="Times New Roman" w:cs="Times New Roman"/>
            <w:noProof/>
            <w:webHidden/>
            <w:sz w:val="22"/>
            <w:szCs w:val="22"/>
          </w:rPr>
          <w:fldChar w:fldCharType="end"/>
        </w:r>
      </w:hyperlink>
    </w:p>
    <w:p w14:paraId="2C75257A" w14:textId="7D2F75D9"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83" w:history="1">
        <w:r w:rsidRPr="00A7432C">
          <w:rPr>
            <w:rStyle w:val="Lienhypertexte"/>
            <w:rFonts w:ascii="Times New Roman" w:eastAsiaTheme="majorEastAsia" w:hAnsi="Times New Roman" w:cs="Times New Roman"/>
            <w:noProof/>
            <w:sz w:val="22"/>
            <w:szCs w:val="22"/>
          </w:rPr>
          <w:t>6.3.3</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réponses à visée préventive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_Toc183340283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168</w:t>
        </w:r>
        <w:r w:rsidRPr="00A7432C">
          <w:rPr>
            <w:rFonts w:ascii="Times New Roman" w:hAnsi="Times New Roman" w:cs="Times New Roman"/>
            <w:noProof/>
            <w:webHidden/>
            <w:sz w:val="22"/>
            <w:szCs w:val="22"/>
          </w:rPr>
          <w:fldChar w:fldCharType="end"/>
        </w:r>
      </w:hyperlink>
    </w:p>
    <w:p w14:paraId="252B7B7C" w14:textId="580656C1"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84" w:history="1">
        <w:r w:rsidRPr="00A7432C">
          <w:rPr>
            <w:rStyle w:val="Lienhypertexte"/>
            <w:rFonts w:ascii="Times New Roman" w:eastAsiaTheme="majorEastAsia" w:hAnsi="Times New Roman" w:cs="Times New Roman"/>
            <w:noProof/>
            <w:sz w:val="22"/>
            <w:szCs w:val="22"/>
          </w:rPr>
          <w:t>6.3.3.1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plans d’action</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_Toc183340284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168</w:t>
        </w:r>
        <w:r w:rsidRPr="00A7432C">
          <w:rPr>
            <w:rFonts w:ascii="Times New Roman" w:hAnsi="Times New Roman" w:cs="Times New Roman"/>
            <w:noProof/>
            <w:webHidden/>
            <w:sz w:val="22"/>
            <w:szCs w:val="22"/>
          </w:rPr>
          <w:fldChar w:fldCharType="end"/>
        </w:r>
      </w:hyperlink>
    </w:p>
    <w:p w14:paraId="102D0670" w14:textId="177BA412"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85" w:history="1">
        <w:r w:rsidRPr="00A7432C">
          <w:rPr>
            <w:rStyle w:val="Lienhypertexte"/>
            <w:rFonts w:ascii="Times New Roman" w:eastAsiaTheme="majorEastAsia" w:hAnsi="Times New Roman" w:cs="Times New Roman"/>
            <w:noProof/>
            <w:sz w:val="22"/>
            <w:szCs w:val="22"/>
          </w:rPr>
          <w:t>6.3.3.2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systèmes d’alerte précoce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_Toc183340285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168</w:t>
        </w:r>
        <w:r w:rsidRPr="00A7432C">
          <w:rPr>
            <w:rFonts w:ascii="Times New Roman" w:hAnsi="Times New Roman" w:cs="Times New Roman"/>
            <w:noProof/>
            <w:webHidden/>
            <w:sz w:val="22"/>
            <w:szCs w:val="22"/>
          </w:rPr>
          <w:fldChar w:fldCharType="end"/>
        </w:r>
      </w:hyperlink>
    </w:p>
    <w:p w14:paraId="2A5CA79E" w14:textId="36615FB5"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286" w:history="1">
        <w:r w:rsidRPr="00A7432C">
          <w:rPr>
            <w:rStyle w:val="Lienhypertexte"/>
            <w:rFonts w:ascii="Times New Roman" w:eastAsiaTheme="majorEastAsia" w:hAnsi="Times New Roman" w:cs="Times New Roman"/>
            <w:noProof/>
            <w:sz w:val="22"/>
            <w:szCs w:val="22"/>
          </w:rPr>
          <w:t>6.4</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Projections climatiques et catastrophes naturelles : enjeux et risques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_Toc183340286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169</w:t>
        </w:r>
        <w:r w:rsidRPr="00A7432C">
          <w:rPr>
            <w:rFonts w:ascii="Times New Roman" w:hAnsi="Times New Roman" w:cs="Times New Roman"/>
            <w:noProof/>
            <w:webHidden/>
            <w:sz w:val="22"/>
            <w:szCs w:val="22"/>
          </w:rPr>
          <w:fldChar w:fldCharType="end"/>
        </w:r>
      </w:hyperlink>
    </w:p>
    <w:p w14:paraId="3F972354" w14:textId="026DACF8"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87" w:history="1">
        <w:r w:rsidRPr="00A7432C">
          <w:rPr>
            <w:rStyle w:val="Lienhypertexte"/>
            <w:rFonts w:ascii="Times New Roman" w:eastAsiaTheme="majorEastAsia" w:hAnsi="Times New Roman" w:cs="Times New Roman"/>
            <w:noProof/>
            <w:sz w:val="22"/>
            <w:szCs w:val="22"/>
          </w:rPr>
          <w:t>6.4.1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Pour les inondations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_Toc183340287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169</w:t>
        </w:r>
        <w:r w:rsidRPr="00A7432C">
          <w:rPr>
            <w:rFonts w:ascii="Times New Roman" w:hAnsi="Times New Roman" w:cs="Times New Roman"/>
            <w:noProof/>
            <w:webHidden/>
            <w:sz w:val="22"/>
            <w:szCs w:val="22"/>
          </w:rPr>
          <w:fldChar w:fldCharType="end"/>
        </w:r>
      </w:hyperlink>
    </w:p>
    <w:p w14:paraId="24331992" w14:textId="25242767"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88" w:history="1">
        <w:r w:rsidRPr="00A7432C">
          <w:rPr>
            <w:rStyle w:val="Lienhypertexte"/>
            <w:rFonts w:ascii="Times New Roman" w:eastAsiaTheme="majorEastAsia" w:hAnsi="Times New Roman" w:cs="Times New Roman"/>
            <w:noProof/>
            <w:sz w:val="22"/>
            <w:szCs w:val="22"/>
          </w:rPr>
          <w:t>6.4.2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Pour les sécheresses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_Toc183340288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169</w:t>
        </w:r>
        <w:r w:rsidRPr="00A7432C">
          <w:rPr>
            <w:rFonts w:ascii="Times New Roman" w:hAnsi="Times New Roman" w:cs="Times New Roman"/>
            <w:noProof/>
            <w:webHidden/>
            <w:sz w:val="22"/>
            <w:szCs w:val="22"/>
          </w:rPr>
          <w:fldChar w:fldCharType="end"/>
        </w:r>
      </w:hyperlink>
    </w:p>
    <w:p w14:paraId="5768B786" w14:textId="193FD926" w:rsidR="00A7432C" w:rsidRPr="00A7432C" w:rsidRDefault="00A7432C" w:rsidP="00A7432C">
      <w:pPr>
        <w:pStyle w:val="TM1"/>
        <w:tabs>
          <w:tab w:val="left" w:pos="660"/>
          <w:tab w:val="right" w:leader="dot" w:pos="9175"/>
        </w:tabs>
        <w:spacing w:before="0" w:after="0"/>
        <w:rPr>
          <w:rFonts w:ascii="Times New Roman" w:eastAsiaTheme="minorEastAsia" w:hAnsi="Times New Roman" w:cs="Times New Roman"/>
          <w:b w:val="0"/>
          <w:bCs w:val="0"/>
          <w:caps w:val="0"/>
          <w:noProof/>
          <w:kern w:val="2"/>
          <w:sz w:val="22"/>
          <w:szCs w:val="22"/>
          <w:lang w:val="fr-BF" w:eastAsia="fr-BF"/>
          <w14:ligatures w14:val="standardContextual"/>
        </w:rPr>
      </w:pPr>
      <w:hyperlink w:anchor="_Toc183340289" w:history="1">
        <w:r w:rsidRPr="00A7432C">
          <w:rPr>
            <w:rStyle w:val="Lienhypertexte"/>
            <w:rFonts w:ascii="Times New Roman" w:eastAsiaTheme="majorEastAsia" w:hAnsi="Times New Roman" w:cs="Times New Roman"/>
            <w:noProof/>
            <w:sz w:val="22"/>
            <w:szCs w:val="22"/>
          </w:rPr>
          <w:t>VII.</w:t>
        </w:r>
        <w:r w:rsidRPr="00A7432C">
          <w:rPr>
            <w:rFonts w:ascii="Times New Roman" w:eastAsiaTheme="minorEastAsia" w:hAnsi="Times New Roman" w:cs="Times New Roman"/>
            <w:b w:val="0"/>
            <w:bCs w:val="0"/>
            <w: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URBANISATION, PAUVRETÉ ET ENVIRONNEMENT</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_Toc183340289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170</w:t>
        </w:r>
        <w:r w:rsidRPr="00A7432C">
          <w:rPr>
            <w:rFonts w:ascii="Times New Roman" w:hAnsi="Times New Roman" w:cs="Times New Roman"/>
            <w:noProof/>
            <w:webHidden/>
            <w:sz w:val="22"/>
            <w:szCs w:val="22"/>
          </w:rPr>
          <w:fldChar w:fldCharType="end"/>
        </w:r>
      </w:hyperlink>
    </w:p>
    <w:p w14:paraId="67558670" w14:textId="6736CC6D"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291" w:history="1">
        <w:r w:rsidRPr="00A7432C">
          <w:rPr>
            <w:rStyle w:val="Lienhypertexte"/>
            <w:rFonts w:ascii="Times New Roman" w:eastAsiaTheme="majorEastAsia" w:hAnsi="Times New Roman" w:cs="Times New Roman"/>
            <w:noProof/>
            <w:sz w:val="22"/>
            <w:szCs w:val="22"/>
          </w:rPr>
          <w:t>7.1</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Urbanisation, pauvreté et environnement au Burkina Faso</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_Toc183340291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170</w:t>
        </w:r>
        <w:r w:rsidRPr="00A7432C">
          <w:rPr>
            <w:rFonts w:ascii="Times New Roman" w:hAnsi="Times New Roman" w:cs="Times New Roman"/>
            <w:noProof/>
            <w:webHidden/>
            <w:sz w:val="22"/>
            <w:szCs w:val="22"/>
          </w:rPr>
          <w:fldChar w:fldCharType="end"/>
        </w:r>
      </w:hyperlink>
    </w:p>
    <w:p w14:paraId="57137311" w14:textId="4AAA7C29"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92" w:history="1">
        <w:r w:rsidRPr="00A7432C">
          <w:rPr>
            <w:rStyle w:val="Lienhypertexte"/>
            <w:rFonts w:ascii="Times New Roman" w:eastAsiaTheme="majorEastAsia" w:hAnsi="Times New Roman" w:cs="Times New Roman"/>
            <w:noProof/>
            <w:sz w:val="22"/>
            <w:szCs w:val="22"/>
          </w:rPr>
          <w:t>7.1.1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Contexte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_Toc183340292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170</w:t>
        </w:r>
        <w:r w:rsidRPr="00A7432C">
          <w:rPr>
            <w:rFonts w:ascii="Times New Roman" w:hAnsi="Times New Roman" w:cs="Times New Roman"/>
            <w:noProof/>
            <w:webHidden/>
            <w:sz w:val="22"/>
            <w:szCs w:val="22"/>
          </w:rPr>
          <w:fldChar w:fldCharType="end"/>
        </w:r>
      </w:hyperlink>
    </w:p>
    <w:p w14:paraId="20324119" w14:textId="63641631"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93" w:history="1">
        <w:r w:rsidRPr="00A7432C">
          <w:rPr>
            <w:rStyle w:val="Lienhypertexte"/>
            <w:rFonts w:ascii="Times New Roman" w:eastAsiaTheme="majorEastAsia" w:hAnsi="Times New Roman" w:cs="Times New Roman"/>
            <w:noProof/>
            <w:sz w:val="22"/>
            <w:szCs w:val="22"/>
          </w:rPr>
          <w:t>7.1.2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Approche conceptuelle PEIR : définition et pertinence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_Toc183340293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171</w:t>
        </w:r>
        <w:r w:rsidRPr="00A7432C">
          <w:rPr>
            <w:rFonts w:ascii="Times New Roman" w:hAnsi="Times New Roman" w:cs="Times New Roman"/>
            <w:noProof/>
            <w:webHidden/>
            <w:sz w:val="22"/>
            <w:szCs w:val="22"/>
          </w:rPr>
          <w:fldChar w:fldCharType="end"/>
        </w:r>
      </w:hyperlink>
    </w:p>
    <w:p w14:paraId="42F82177" w14:textId="59EE5FC2"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294" w:history="1">
        <w:r w:rsidRPr="00A7432C">
          <w:rPr>
            <w:rStyle w:val="Lienhypertexte"/>
            <w:rFonts w:ascii="Times New Roman" w:eastAsiaTheme="majorEastAsia" w:hAnsi="Times New Roman" w:cs="Times New Roman"/>
            <w:noProof/>
            <w:sz w:val="22"/>
            <w:szCs w:val="22"/>
          </w:rPr>
          <w:t>7.2</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forces motrices de l’urbanisation et de la pauvreté</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_Toc183340294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173</w:t>
        </w:r>
        <w:r w:rsidRPr="00A7432C">
          <w:rPr>
            <w:rFonts w:ascii="Times New Roman" w:hAnsi="Times New Roman" w:cs="Times New Roman"/>
            <w:noProof/>
            <w:webHidden/>
            <w:sz w:val="22"/>
            <w:szCs w:val="22"/>
          </w:rPr>
          <w:fldChar w:fldCharType="end"/>
        </w:r>
      </w:hyperlink>
    </w:p>
    <w:p w14:paraId="4428B3B6" w14:textId="268BBC55"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295" w:history="1">
        <w:r w:rsidRPr="00A7432C">
          <w:rPr>
            <w:rStyle w:val="Lienhypertexte"/>
            <w:rFonts w:ascii="Times New Roman" w:eastAsiaTheme="majorEastAsia" w:hAnsi="Times New Roman" w:cs="Times New Roman"/>
            <w:noProof/>
            <w:sz w:val="22"/>
            <w:szCs w:val="22"/>
          </w:rPr>
          <w:t>7.2.1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Moteurs de l’urbanisation</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_Toc183340295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173</w:t>
        </w:r>
        <w:r w:rsidRPr="00A7432C">
          <w:rPr>
            <w:rFonts w:ascii="Times New Roman" w:hAnsi="Times New Roman" w:cs="Times New Roman"/>
            <w:noProof/>
            <w:webHidden/>
            <w:sz w:val="22"/>
            <w:szCs w:val="22"/>
          </w:rPr>
          <w:fldChar w:fldCharType="end"/>
        </w:r>
      </w:hyperlink>
    </w:p>
    <w:p w14:paraId="68833304" w14:textId="49B578A9"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96" w:history="1">
        <w:r w:rsidRPr="00A7432C">
          <w:rPr>
            <w:rStyle w:val="Lienhypertexte"/>
            <w:rFonts w:ascii="Times New Roman" w:eastAsiaTheme="majorEastAsia" w:hAnsi="Times New Roman" w:cs="Times New Roman"/>
            <w:noProof/>
            <w:sz w:val="22"/>
            <w:szCs w:val="22"/>
          </w:rPr>
          <w:t>7.2.1.1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Déconnexion entre politiques, actions et pratiques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_Toc183340296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173</w:t>
        </w:r>
        <w:r w:rsidRPr="00A7432C">
          <w:rPr>
            <w:rFonts w:ascii="Times New Roman" w:hAnsi="Times New Roman" w:cs="Times New Roman"/>
            <w:noProof/>
            <w:webHidden/>
            <w:sz w:val="22"/>
            <w:szCs w:val="22"/>
          </w:rPr>
          <w:fldChar w:fldCharType="end"/>
        </w:r>
      </w:hyperlink>
    </w:p>
    <w:p w14:paraId="0C4921DC" w14:textId="1037BF34"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97" w:history="1">
        <w:r w:rsidRPr="00A7432C">
          <w:rPr>
            <w:rStyle w:val="Lienhypertexte"/>
            <w:rFonts w:ascii="Times New Roman" w:eastAsiaTheme="majorEastAsia" w:hAnsi="Times New Roman" w:cs="Times New Roman"/>
            <w:noProof/>
            <w:sz w:val="22"/>
            <w:szCs w:val="22"/>
          </w:rPr>
          <w:t>7.2.1.2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Croissance démographique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_Toc183340297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175</w:t>
        </w:r>
        <w:r w:rsidRPr="00A7432C">
          <w:rPr>
            <w:rFonts w:ascii="Times New Roman" w:hAnsi="Times New Roman" w:cs="Times New Roman"/>
            <w:noProof/>
            <w:webHidden/>
            <w:sz w:val="22"/>
            <w:szCs w:val="22"/>
          </w:rPr>
          <w:fldChar w:fldCharType="end"/>
        </w:r>
      </w:hyperlink>
    </w:p>
    <w:p w14:paraId="6CA49CA2" w14:textId="54A48728"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98" w:history="1">
        <w:r w:rsidRPr="00A7432C">
          <w:rPr>
            <w:rStyle w:val="Lienhypertexte"/>
            <w:rFonts w:ascii="Times New Roman" w:eastAsiaTheme="majorEastAsia" w:hAnsi="Times New Roman" w:cs="Times New Roman"/>
            <w:noProof/>
            <w:sz w:val="22"/>
            <w:szCs w:val="22"/>
          </w:rPr>
          <w:t>7.2.1.3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Migration rurale - urbaine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_Toc183340298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175</w:t>
        </w:r>
        <w:r w:rsidRPr="00A7432C">
          <w:rPr>
            <w:rFonts w:ascii="Times New Roman" w:hAnsi="Times New Roman" w:cs="Times New Roman"/>
            <w:noProof/>
            <w:webHidden/>
            <w:sz w:val="22"/>
            <w:szCs w:val="22"/>
          </w:rPr>
          <w:fldChar w:fldCharType="end"/>
        </w:r>
      </w:hyperlink>
    </w:p>
    <w:p w14:paraId="0219D709" w14:textId="01C04C21"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299" w:history="1">
        <w:r w:rsidRPr="00A7432C">
          <w:rPr>
            <w:rStyle w:val="Lienhypertexte"/>
            <w:rFonts w:ascii="Times New Roman" w:eastAsiaTheme="majorEastAsia" w:hAnsi="Times New Roman" w:cs="Times New Roman"/>
            <w:noProof/>
            <w:sz w:val="22"/>
            <w:szCs w:val="22"/>
          </w:rPr>
          <w:t>7.2.1.4</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Insécurité et déplacements internes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_Toc183340299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176</w:t>
        </w:r>
        <w:r w:rsidRPr="00A7432C">
          <w:rPr>
            <w:rFonts w:ascii="Times New Roman" w:hAnsi="Times New Roman" w:cs="Times New Roman"/>
            <w:noProof/>
            <w:webHidden/>
            <w:sz w:val="22"/>
            <w:szCs w:val="22"/>
          </w:rPr>
          <w:fldChar w:fldCharType="end"/>
        </w:r>
      </w:hyperlink>
    </w:p>
    <w:p w14:paraId="345B2234" w14:textId="1A3B8EBA"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00" w:history="1">
        <w:r w:rsidRPr="00A7432C">
          <w:rPr>
            <w:rStyle w:val="Lienhypertexte"/>
            <w:rFonts w:ascii="Times New Roman" w:eastAsiaTheme="majorEastAsia" w:hAnsi="Times New Roman" w:cs="Times New Roman"/>
            <w:noProof/>
            <w:sz w:val="22"/>
            <w:szCs w:val="22"/>
          </w:rPr>
          <w:t>7.2.1.5</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Spéculation foncière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_Toc183340300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177</w:t>
        </w:r>
        <w:r w:rsidRPr="00A7432C">
          <w:rPr>
            <w:rFonts w:ascii="Times New Roman" w:hAnsi="Times New Roman" w:cs="Times New Roman"/>
            <w:noProof/>
            <w:webHidden/>
            <w:sz w:val="22"/>
            <w:szCs w:val="22"/>
          </w:rPr>
          <w:fldChar w:fldCharType="end"/>
        </w:r>
      </w:hyperlink>
    </w:p>
    <w:p w14:paraId="273BE5A2" w14:textId="20A1CB29"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01" w:history="1">
        <w:r w:rsidRPr="00A7432C">
          <w:rPr>
            <w:rStyle w:val="Lienhypertexte"/>
            <w:rFonts w:ascii="Times New Roman" w:eastAsiaTheme="majorEastAsia" w:hAnsi="Times New Roman" w:cs="Times New Roman"/>
            <w:noProof/>
            <w:sz w:val="22"/>
            <w:szCs w:val="22"/>
          </w:rPr>
          <w:t>7.2.1.6</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L’individualisation historique de la possession foncière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_Toc183340301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177</w:t>
        </w:r>
        <w:r w:rsidRPr="00A7432C">
          <w:rPr>
            <w:rFonts w:ascii="Times New Roman" w:hAnsi="Times New Roman" w:cs="Times New Roman"/>
            <w:noProof/>
            <w:webHidden/>
            <w:sz w:val="22"/>
            <w:szCs w:val="22"/>
          </w:rPr>
          <w:fldChar w:fldCharType="end"/>
        </w:r>
      </w:hyperlink>
    </w:p>
    <w:p w14:paraId="3FE53FEF" w14:textId="1469086C"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02" w:history="1">
        <w:r w:rsidRPr="00A7432C">
          <w:rPr>
            <w:rStyle w:val="Lienhypertexte"/>
            <w:rFonts w:ascii="Times New Roman" w:eastAsiaTheme="majorEastAsia" w:hAnsi="Times New Roman" w:cs="Times New Roman"/>
            <w:noProof/>
            <w:sz w:val="22"/>
            <w:szCs w:val="22"/>
          </w:rPr>
          <w:t>7.2.2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Principaux facteurs de la pauvreté urbaine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_Toc183340302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178</w:t>
        </w:r>
        <w:r w:rsidRPr="00A7432C">
          <w:rPr>
            <w:rFonts w:ascii="Times New Roman" w:hAnsi="Times New Roman" w:cs="Times New Roman"/>
            <w:noProof/>
            <w:webHidden/>
            <w:sz w:val="22"/>
            <w:szCs w:val="22"/>
          </w:rPr>
          <w:fldChar w:fldCharType="end"/>
        </w:r>
      </w:hyperlink>
    </w:p>
    <w:p w14:paraId="58D2839F" w14:textId="7F5FFCBA"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03" w:history="1">
        <w:r w:rsidRPr="00A7432C">
          <w:rPr>
            <w:rStyle w:val="Lienhypertexte"/>
            <w:rFonts w:ascii="Times New Roman" w:eastAsiaTheme="majorEastAsia" w:hAnsi="Times New Roman" w:cs="Times New Roman"/>
            <w:noProof/>
            <w:sz w:val="22"/>
            <w:szCs w:val="22"/>
          </w:rPr>
          <w:t>7.2.2.1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Précarité de l’emploi et des revenus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_Toc183340303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178</w:t>
        </w:r>
        <w:r w:rsidRPr="00A7432C">
          <w:rPr>
            <w:rFonts w:ascii="Times New Roman" w:hAnsi="Times New Roman" w:cs="Times New Roman"/>
            <w:noProof/>
            <w:webHidden/>
            <w:sz w:val="22"/>
            <w:szCs w:val="22"/>
          </w:rPr>
          <w:fldChar w:fldCharType="end"/>
        </w:r>
      </w:hyperlink>
    </w:p>
    <w:p w14:paraId="1F1055C3" w14:textId="09AD3FEC"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04" w:history="1">
        <w:r w:rsidRPr="00A7432C">
          <w:rPr>
            <w:rStyle w:val="Lienhypertexte"/>
            <w:rFonts w:ascii="Times New Roman" w:eastAsiaTheme="majorEastAsia" w:hAnsi="Times New Roman" w:cs="Times New Roman"/>
            <w:noProof/>
            <w:sz w:val="22"/>
            <w:szCs w:val="22"/>
          </w:rPr>
          <w:t>7.2.2.2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Faible accès aux services de base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_Toc183340304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178</w:t>
        </w:r>
        <w:r w:rsidRPr="00A7432C">
          <w:rPr>
            <w:rFonts w:ascii="Times New Roman" w:hAnsi="Times New Roman" w:cs="Times New Roman"/>
            <w:noProof/>
            <w:webHidden/>
            <w:sz w:val="22"/>
            <w:szCs w:val="22"/>
          </w:rPr>
          <w:fldChar w:fldCharType="end"/>
        </w:r>
      </w:hyperlink>
    </w:p>
    <w:p w14:paraId="50B6DC00" w14:textId="4F53E3B2"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05" w:history="1">
        <w:r w:rsidRPr="00A7432C">
          <w:rPr>
            <w:rStyle w:val="Lienhypertexte"/>
            <w:rFonts w:ascii="Times New Roman" w:eastAsiaTheme="majorEastAsia" w:hAnsi="Times New Roman" w:cs="Times New Roman"/>
            <w:noProof/>
            <w:sz w:val="22"/>
            <w:szCs w:val="22"/>
          </w:rPr>
          <w:t>7.2.2.3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Inégalités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_Toc183340305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179</w:t>
        </w:r>
        <w:r w:rsidRPr="00A7432C">
          <w:rPr>
            <w:rFonts w:ascii="Times New Roman" w:hAnsi="Times New Roman" w:cs="Times New Roman"/>
            <w:noProof/>
            <w:webHidden/>
            <w:sz w:val="22"/>
            <w:szCs w:val="22"/>
          </w:rPr>
          <w:fldChar w:fldCharType="end"/>
        </w:r>
      </w:hyperlink>
    </w:p>
    <w:p w14:paraId="1222D4C1" w14:textId="3E8551F6"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06" w:history="1">
        <w:r w:rsidRPr="00A7432C">
          <w:rPr>
            <w:rStyle w:val="Lienhypertexte"/>
            <w:rFonts w:ascii="Times New Roman" w:eastAsiaTheme="majorEastAsia" w:hAnsi="Times New Roman" w:cs="Times New Roman"/>
            <w:noProof/>
            <w:sz w:val="22"/>
            <w:szCs w:val="22"/>
          </w:rPr>
          <w:t>7.2.2.4</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Coût élevé de la vie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_Toc183340306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180</w:t>
        </w:r>
        <w:r w:rsidRPr="00A7432C">
          <w:rPr>
            <w:rFonts w:ascii="Times New Roman" w:hAnsi="Times New Roman" w:cs="Times New Roman"/>
            <w:noProof/>
            <w:webHidden/>
            <w:sz w:val="22"/>
            <w:szCs w:val="22"/>
          </w:rPr>
          <w:fldChar w:fldCharType="end"/>
        </w:r>
      </w:hyperlink>
    </w:p>
    <w:p w14:paraId="5D48A10A" w14:textId="012FC936"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07" w:history="1">
        <w:r w:rsidRPr="00A7432C">
          <w:rPr>
            <w:rStyle w:val="Lienhypertexte"/>
            <w:rFonts w:ascii="Times New Roman" w:eastAsiaTheme="majorEastAsia" w:hAnsi="Times New Roman" w:cs="Times New Roman"/>
            <w:noProof/>
            <w:sz w:val="22"/>
            <w:szCs w:val="22"/>
          </w:rPr>
          <w:t>7.2.2.5</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Vulnérabilité environnementale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_Toc183340307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181</w:t>
        </w:r>
        <w:r w:rsidRPr="00A7432C">
          <w:rPr>
            <w:rFonts w:ascii="Times New Roman" w:hAnsi="Times New Roman" w:cs="Times New Roman"/>
            <w:noProof/>
            <w:webHidden/>
            <w:sz w:val="22"/>
            <w:szCs w:val="22"/>
          </w:rPr>
          <w:fldChar w:fldCharType="end"/>
        </w:r>
      </w:hyperlink>
    </w:p>
    <w:p w14:paraId="4656EDED" w14:textId="0DC55A07"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308" w:history="1">
        <w:r w:rsidRPr="00A7432C">
          <w:rPr>
            <w:rStyle w:val="Lienhypertexte"/>
            <w:rFonts w:ascii="Times New Roman" w:eastAsiaTheme="majorEastAsia" w:hAnsi="Times New Roman" w:cs="Times New Roman"/>
            <w:noProof/>
            <w:sz w:val="22"/>
            <w:szCs w:val="22"/>
          </w:rPr>
          <w:t>7.3</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État et dynamique de l’urbanisation et de la pauvreté</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_Toc183340308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181</w:t>
        </w:r>
        <w:r w:rsidRPr="00A7432C">
          <w:rPr>
            <w:rFonts w:ascii="Times New Roman" w:hAnsi="Times New Roman" w:cs="Times New Roman"/>
            <w:noProof/>
            <w:webHidden/>
            <w:sz w:val="22"/>
            <w:szCs w:val="22"/>
          </w:rPr>
          <w:fldChar w:fldCharType="end"/>
        </w:r>
      </w:hyperlink>
    </w:p>
    <w:p w14:paraId="0FF26927" w14:textId="745854CB"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09" w:history="1">
        <w:r w:rsidRPr="00A7432C">
          <w:rPr>
            <w:rStyle w:val="Lienhypertexte"/>
            <w:rFonts w:ascii="Times New Roman" w:eastAsiaTheme="majorEastAsia" w:hAnsi="Times New Roman" w:cs="Times New Roman"/>
            <w:noProof/>
            <w:sz w:val="22"/>
            <w:szCs w:val="22"/>
          </w:rPr>
          <w:t>7.3.1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Urbanisation</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_Toc183340309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181</w:t>
        </w:r>
        <w:r w:rsidRPr="00A7432C">
          <w:rPr>
            <w:rFonts w:ascii="Times New Roman" w:hAnsi="Times New Roman" w:cs="Times New Roman"/>
            <w:noProof/>
            <w:webHidden/>
            <w:sz w:val="22"/>
            <w:szCs w:val="22"/>
          </w:rPr>
          <w:fldChar w:fldCharType="end"/>
        </w:r>
      </w:hyperlink>
    </w:p>
    <w:p w14:paraId="61B8BEA7" w14:textId="36946AC7"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10" w:history="1">
        <w:r w:rsidRPr="00A7432C">
          <w:rPr>
            <w:rStyle w:val="Lienhypertexte"/>
            <w:rFonts w:ascii="Times New Roman" w:eastAsiaTheme="majorEastAsia" w:hAnsi="Times New Roman" w:cs="Times New Roman"/>
            <w:noProof/>
            <w:sz w:val="22"/>
            <w:szCs w:val="22"/>
          </w:rPr>
          <w:t>7.3.1.1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Croissance de la population urbaine et urbanisation</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_Toc183340310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181</w:t>
        </w:r>
        <w:r w:rsidRPr="00A7432C">
          <w:rPr>
            <w:rFonts w:ascii="Times New Roman" w:hAnsi="Times New Roman" w:cs="Times New Roman"/>
            <w:noProof/>
            <w:webHidden/>
            <w:sz w:val="22"/>
            <w:szCs w:val="22"/>
          </w:rPr>
          <w:fldChar w:fldCharType="end"/>
        </w:r>
      </w:hyperlink>
    </w:p>
    <w:p w14:paraId="0777036F" w14:textId="6F1CFE64"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11" w:history="1">
        <w:r w:rsidRPr="00A7432C">
          <w:rPr>
            <w:rStyle w:val="Lienhypertexte"/>
            <w:rFonts w:ascii="Times New Roman" w:eastAsiaTheme="majorEastAsia" w:hAnsi="Times New Roman" w:cs="Times New Roman"/>
            <w:noProof/>
            <w:sz w:val="22"/>
            <w:szCs w:val="22"/>
          </w:rPr>
          <w:t>7.3.1.2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Expansion des villes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_Toc183340311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185</w:t>
        </w:r>
        <w:r w:rsidRPr="00A7432C">
          <w:rPr>
            <w:rFonts w:ascii="Times New Roman" w:hAnsi="Times New Roman" w:cs="Times New Roman"/>
            <w:noProof/>
            <w:webHidden/>
            <w:sz w:val="22"/>
            <w:szCs w:val="22"/>
          </w:rPr>
          <w:fldChar w:fldCharType="end"/>
        </w:r>
      </w:hyperlink>
    </w:p>
    <w:p w14:paraId="7BCB68FA" w14:textId="62344C06"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12" w:history="1">
        <w:r w:rsidRPr="00A7432C">
          <w:rPr>
            <w:rStyle w:val="Lienhypertexte"/>
            <w:rFonts w:ascii="Times New Roman" w:eastAsiaTheme="majorEastAsia" w:hAnsi="Times New Roman" w:cs="Times New Roman"/>
            <w:noProof/>
            <w:sz w:val="22"/>
            <w:szCs w:val="22"/>
          </w:rPr>
          <w:t>7.3.1.3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Mobilité urbaine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_Toc183340312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188</w:t>
        </w:r>
        <w:r w:rsidRPr="00A7432C">
          <w:rPr>
            <w:rFonts w:ascii="Times New Roman" w:hAnsi="Times New Roman" w:cs="Times New Roman"/>
            <w:noProof/>
            <w:webHidden/>
            <w:sz w:val="22"/>
            <w:szCs w:val="22"/>
          </w:rPr>
          <w:fldChar w:fldCharType="end"/>
        </w:r>
      </w:hyperlink>
    </w:p>
    <w:p w14:paraId="45872CBD" w14:textId="43475D2C"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13" w:history="1">
        <w:r w:rsidRPr="00A7432C">
          <w:rPr>
            <w:rStyle w:val="Lienhypertexte"/>
            <w:rFonts w:ascii="Times New Roman" w:eastAsiaTheme="majorEastAsia" w:hAnsi="Times New Roman" w:cs="Times New Roman"/>
            <w:noProof/>
            <w:sz w:val="22"/>
            <w:szCs w:val="22"/>
          </w:rPr>
          <w:t>7.3.2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Cartographie et évolution de la pauvreté urbaine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_Toc183340313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189</w:t>
        </w:r>
        <w:r w:rsidRPr="00A7432C">
          <w:rPr>
            <w:rFonts w:ascii="Times New Roman" w:hAnsi="Times New Roman" w:cs="Times New Roman"/>
            <w:noProof/>
            <w:webHidden/>
            <w:sz w:val="22"/>
            <w:szCs w:val="22"/>
          </w:rPr>
          <w:fldChar w:fldCharType="end"/>
        </w:r>
      </w:hyperlink>
    </w:p>
    <w:p w14:paraId="6DCC3A7B" w14:textId="1A10AA5F"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14" w:history="1">
        <w:r w:rsidRPr="00A7432C">
          <w:rPr>
            <w:rStyle w:val="Lienhypertexte"/>
            <w:rFonts w:ascii="Times New Roman" w:eastAsiaTheme="majorEastAsia" w:hAnsi="Times New Roman" w:cs="Times New Roman"/>
            <w:noProof/>
            <w:sz w:val="22"/>
            <w:szCs w:val="22"/>
          </w:rPr>
          <w:t>7.3.2.1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Accès aux services sociaux de base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_Toc183340314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190</w:t>
        </w:r>
        <w:r w:rsidRPr="00A7432C">
          <w:rPr>
            <w:rFonts w:ascii="Times New Roman" w:hAnsi="Times New Roman" w:cs="Times New Roman"/>
            <w:noProof/>
            <w:webHidden/>
            <w:sz w:val="22"/>
            <w:szCs w:val="22"/>
          </w:rPr>
          <w:fldChar w:fldCharType="end"/>
        </w:r>
      </w:hyperlink>
    </w:p>
    <w:p w14:paraId="4EEC6922" w14:textId="575DDE55"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15" w:history="1">
        <w:r w:rsidRPr="00A7432C">
          <w:rPr>
            <w:rStyle w:val="Lienhypertexte"/>
            <w:rFonts w:ascii="Times New Roman" w:eastAsiaTheme="majorEastAsia" w:hAnsi="Times New Roman" w:cs="Times New Roman"/>
            <w:noProof/>
            <w:sz w:val="22"/>
            <w:szCs w:val="22"/>
          </w:rPr>
          <w:t>7.3.2.2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Problèmes de logement</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_Toc183340315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195</w:t>
        </w:r>
        <w:r w:rsidRPr="00A7432C">
          <w:rPr>
            <w:rFonts w:ascii="Times New Roman" w:hAnsi="Times New Roman" w:cs="Times New Roman"/>
            <w:noProof/>
            <w:webHidden/>
            <w:sz w:val="22"/>
            <w:szCs w:val="22"/>
          </w:rPr>
          <w:fldChar w:fldCharType="end"/>
        </w:r>
      </w:hyperlink>
    </w:p>
    <w:p w14:paraId="5E8A1F48" w14:textId="770830ED"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316" w:history="1">
        <w:r w:rsidRPr="00A7432C">
          <w:rPr>
            <w:rStyle w:val="Lienhypertexte"/>
            <w:rFonts w:ascii="Times New Roman" w:eastAsiaTheme="majorEastAsia" w:hAnsi="Times New Roman" w:cs="Times New Roman"/>
            <w:noProof/>
            <w:sz w:val="22"/>
            <w:szCs w:val="22"/>
          </w:rPr>
          <w:t>7.4</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Urbanisation et pauvreté : Impacts environnementaux et implications climatiques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_Toc183340316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195</w:t>
        </w:r>
        <w:r w:rsidRPr="00A7432C">
          <w:rPr>
            <w:rFonts w:ascii="Times New Roman" w:hAnsi="Times New Roman" w:cs="Times New Roman"/>
            <w:noProof/>
            <w:webHidden/>
            <w:sz w:val="22"/>
            <w:szCs w:val="22"/>
          </w:rPr>
          <w:fldChar w:fldCharType="end"/>
        </w:r>
      </w:hyperlink>
    </w:p>
    <w:p w14:paraId="73DEF681" w14:textId="531EF145"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17" w:history="1">
        <w:r w:rsidRPr="00A7432C">
          <w:rPr>
            <w:rStyle w:val="Lienhypertexte"/>
            <w:rFonts w:ascii="Times New Roman" w:eastAsiaTheme="majorEastAsia" w:hAnsi="Times New Roman" w:cs="Times New Roman"/>
            <w:noProof/>
            <w:sz w:val="22"/>
            <w:szCs w:val="22"/>
          </w:rPr>
          <w:t>7.4.1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Dégradation du cadre de vie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_Toc183340317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196</w:t>
        </w:r>
        <w:r w:rsidRPr="00A7432C">
          <w:rPr>
            <w:rFonts w:ascii="Times New Roman" w:hAnsi="Times New Roman" w:cs="Times New Roman"/>
            <w:noProof/>
            <w:webHidden/>
            <w:sz w:val="22"/>
            <w:szCs w:val="22"/>
          </w:rPr>
          <w:fldChar w:fldCharType="end"/>
        </w:r>
      </w:hyperlink>
    </w:p>
    <w:p w14:paraId="4BA39B8A" w14:textId="7469DDC1"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18" w:history="1">
        <w:r w:rsidRPr="00A7432C">
          <w:rPr>
            <w:rStyle w:val="Lienhypertexte"/>
            <w:rFonts w:ascii="Times New Roman" w:eastAsiaTheme="majorEastAsia" w:hAnsi="Times New Roman" w:cs="Times New Roman"/>
            <w:noProof/>
            <w:sz w:val="22"/>
            <w:szCs w:val="22"/>
          </w:rPr>
          <w:t>7.4.2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Dégradation de conditions de mobilité</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_Toc183340318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197</w:t>
        </w:r>
        <w:r w:rsidRPr="00A7432C">
          <w:rPr>
            <w:rFonts w:ascii="Times New Roman" w:hAnsi="Times New Roman" w:cs="Times New Roman"/>
            <w:noProof/>
            <w:webHidden/>
            <w:sz w:val="22"/>
            <w:szCs w:val="22"/>
          </w:rPr>
          <w:fldChar w:fldCharType="end"/>
        </w:r>
      </w:hyperlink>
    </w:p>
    <w:p w14:paraId="5E92CD88" w14:textId="1E9E0B8A"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19" w:history="1">
        <w:r w:rsidRPr="00A7432C">
          <w:rPr>
            <w:rStyle w:val="Lienhypertexte"/>
            <w:rFonts w:ascii="Times New Roman" w:eastAsiaTheme="majorEastAsia" w:hAnsi="Times New Roman" w:cs="Times New Roman"/>
            <w:noProof/>
            <w:sz w:val="22"/>
            <w:szCs w:val="22"/>
          </w:rPr>
          <w:t>7.4.3</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Dégradation des ressources naturelles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_Toc183340319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198</w:t>
        </w:r>
        <w:r w:rsidRPr="00A7432C">
          <w:rPr>
            <w:rFonts w:ascii="Times New Roman" w:hAnsi="Times New Roman" w:cs="Times New Roman"/>
            <w:noProof/>
            <w:webHidden/>
            <w:sz w:val="22"/>
            <w:szCs w:val="22"/>
          </w:rPr>
          <w:fldChar w:fldCharType="end"/>
        </w:r>
      </w:hyperlink>
    </w:p>
    <w:p w14:paraId="40E3B06D" w14:textId="281B7507"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320" w:history="1">
        <w:r w:rsidRPr="00A7432C">
          <w:rPr>
            <w:rStyle w:val="Lienhypertexte"/>
            <w:rFonts w:ascii="Times New Roman" w:eastAsiaTheme="majorEastAsia" w:hAnsi="Times New Roman" w:cs="Times New Roman"/>
            <w:noProof/>
            <w:sz w:val="22"/>
            <w:szCs w:val="22"/>
          </w:rPr>
          <w:t>7.5</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politiques et stratégies de développement urbain</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_Toc183340320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200</w:t>
        </w:r>
        <w:r w:rsidRPr="00A7432C">
          <w:rPr>
            <w:rFonts w:ascii="Times New Roman" w:hAnsi="Times New Roman" w:cs="Times New Roman"/>
            <w:noProof/>
            <w:webHidden/>
            <w:sz w:val="22"/>
            <w:szCs w:val="22"/>
          </w:rPr>
          <w:fldChar w:fldCharType="end"/>
        </w:r>
      </w:hyperlink>
    </w:p>
    <w:p w14:paraId="79F40D27" w14:textId="008EFF73"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21" w:history="1">
        <w:r w:rsidRPr="00A7432C">
          <w:rPr>
            <w:rStyle w:val="Lienhypertexte"/>
            <w:rFonts w:ascii="Times New Roman" w:eastAsiaTheme="majorEastAsia" w:hAnsi="Times New Roman" w:cs="Times New Roman"/>
            <w:noProof/>
            <w:sz w:val="22"/>
            <w:szCs w:val="22"/>
          </w:rPr>
          <w:t>7.5.1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Politiques actuelles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_Toc183340321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200</w:t>
        </w:r>
        <w:r w:rsidRPr="00A7432C">
          <w:rPr>
            <w:rFonts w:ascii="Times New Roman" w:hAnsi="Times New Roman" w:cs="Times New Roman"/>
            <w:noProof/>
            <w:webHidden/>
            <w:sz w:val="22"/>
            <w:szCs w:val="22"/>
          </w:rPr>
          <w:fldChar w:fldCharType="end"/>
        </w:r>
      </w:hyperlink>
    </w:p>
    <w:p w14:paraId="22A97CEB" w14:textId="5D10AB33"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22" w:history="1">
        <w:r w:rsidRPr="00A7432C">
          <w:rPr>
            <w:rStyle w:val="Lienhypertexte"/>
            <w:rFonts w:ascii="Times New Roman" w:eastAsiaTheme="majorEastAsia" w:hAnsi="Times New Roman" w:cs="Times New Roman"/>
            <w:noProof/>
            <w:sz w:val="22"/>
            <w:szCs w:val="22"/>
          </w:rPr>
          <w:t>7.5.1.1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Politiques d’urbanisation</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_Toc183340322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200</w:t>
        </w:r>
        <w:r w:rsidRPr="00A7432C">
          <w:rPr>
            <w:rFonts w:ascii="Times New Roman" w:hAnsi="Times New Roman" w:cs="Times New Roman"/>
            <w:noProof/>
            <w:webHidden/>
            <w:sz w:val="22"/>
            <w:szCs w:val="22"/>
          </w:rPr>
          <w:fldChar w:fldCharType="end"/>
        </w:r>
      </w:hyperlink>
    </w:p>
    <w:p w14:paraId="5B29FEA3" w14:textId="4AB481C6"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23" w:history="1">
        <w:r w:rsidRPr="00A7432C">
          <w:rPr>
            <w:rStyle w:val="Lienhypertexte"/>
            <w:rFonts w:ascii="Times New Roman" w:eastAsiaTheme="majorEastAsia" w:hAnsi="Times New Roman" w:cs="Times New Roman"/>
            <w:noProof/>
            <w:sz w:val="22"/>
            <w:szCs w:val="22"/>
          </w:rPr>
          <w:t>7.5.1.2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Politiques environnementales en milieu urbain</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_Toc183340323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201</w:t>
        </w:r>
        <w:r w:rsidRPr="00A7432C">
          <w:rPr>
            <w:rFonts w:ascii="Times New Roman" w:hAnsi="Times New Roman" w:cs="Times New Roman"/>
            <w:noProof/>
            <w:webHidden/>
            <w:sz w:val="22"/>
            <w:szCs w:val="22"/>
          </w:rPr>
          <w:fldChar w:fldCharType="end"/>
        </w:r>
      </w:hyperlink>
    </w:p>
    <w:p w14:paraId="751AA70D" w14:textId="2F8BB783"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24" w:history="1">
        <w:r w:rsidRPr="00A7432C">
          <w:rPr>
            <w:rStyle w:val="Lienhypertexte"/>
            <w:rFonts w:ascii="Times New Roman" w:eastAsiaTheme="majorEastAsia" w:hAnsi="Times New Roman" w:cs="Times New Roman"/>
            <w:noProof/>
            <w:sz w:val="22"/>
            <w:szCs w:val="22"/>
          </w:rPr>
          <w:t>7.5.1.3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Politique de réduction de la pauvreté en milieu urbain</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_Toc183340324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203</w:t>
        </w:r>
        <w:r w:rsidRPr="00A7432C">
          <w:rPr>
            <w:rFonts w:ascii="Times New Roman" w:hAnsi="Times New Roman" w:cs="Times New Roman"/>
            <w:noProof/>
            <w:webHidden/>
            <w:sz w:val="22"/>
            <w:szCs w:val="22"/>
          </w:rPr>
          <w:fldChar w:fldCharType="end"/>
        </w:r>
      </w:hyperlink>
    </w:p>
    <w:p w14:paraId="1A8796E2" w14:textId="6691F955"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25" w:history="1">
        <w:r w:rsidRPr="00A7432C">
          <w:rPr>
            <w:rStyle w:val="Lienhypertexte"/>
            <w:rFonts w:ascii="Times New Roman" w:eastAsiaTheme="majorEastAsia" w:hAnsi="Times New Roman" w:cs="Times New Roman"/>
            <w:noProof/>
            <w:sz w:val="22"/>
            <w:szCs w:val="22"/>
          </w:rPr>
          <w:t>7.5.2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Initiatives et actions des partenaires au développement</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_Toc183340325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203</w:t>
        </w:r>
        <w:r w:rsidRPr="00A7432C">
          <w:rPr>
            <w:rFonts w:ascii="Times New Roman" w:hAnsi="Times New Roman" w:cs="Times New Roman"/>
            <w:noProof/>
            <w:webHidden/>
            <w:sz w:val="22"/>
            <w:szCs w:val="22"/>
          </w:rPr>
          <w:fldChar w:fldCharType="end"/>
        </w:r>
      </w:hyperlink>
    </w:p>
    <w:p w14:paraId="5EB42B00" w14:textId="7C119846"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26" w:history="1">
        <w:r w:rsidRPr="00A7432C">
          <w:rPr>
            <w:rStyle w:val="Lienhypertexte"/>
            <w:rFonts w:ascii="Times New Roman" w:eastAsiaTheme="majorEastAsia" w:hAnsi="Times New Roman" w:cs="Times New Roman"/>
            <w:noProof/>
            <w:sz w:val="22"/>
            <w:szCs w:val="22"/>
          </w:rPr>
          <w:t>7.5.2.1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Initiatives et actions des institutions/secteur privé</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_Toc183340326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203</w:t>
        </w:r>
        <w:r w:rsidRPr="00A7432C">
          <w:rPr>
            <w:rFonts w:ascii="Times New Roman" w:hAnsi="Times New Roman" w:cs="Times New Roman"/>
            <w:noProof/>
            <w:webHidden/>
            <w:sz w:val="22"/>
            <w:szCs w:val="22"/>
          </w:rPr>
          <w:fldChar w:fldCharType="end"/>
        </w:r>
      </w:hyperlink>
    </w:p>
    <w:p w14:paraId="40E2831B" w14:textId="521E9749"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27" w:history="1">
        <w:r w:rsidRPr="00A7432C">
          <w:rPr>
            <w:rStyle w:val="Lienhypertexte"/>
            <w:rFonts w:ascii="Times New Roman" w:eastAsiaTheme="majorEastAsia" w:hAnsi="Times New Roman" w:cs="Times New Roman"/>
            <w:noProof/>
            <w:sz w:val="22"/>
            <w:szCs w:val="22"/>
          </w:rPr>
          <w:t>7.5.2.2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Initiatives et actions des organisations de la société civile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_Toc183340327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204</w:t>
        </w:r>
        <w:r w:rsidRPr="00A7432C">
          <w:rPr>
            <w:rFonts w:ascii="Times New Roman" w:hAnsi="Times New Roman" w:cs="Times New Roman"/>
            <w:noProof/>
            <w:webHidden/>
            <w:sz w:val="22"/>
            <w:szCs w:val="22"/>
          </w:rPr>
          <w:fldChar w:fldCharType="end"/>
        </w:r>
      </w:hyperlink>
    </w:p>
    <w:p w14:paraId="4CCC700F" w14:textId="1AD6427E"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328" w:history="1">
        <w:r w:rsidRPr="00A7432C">
          <w:rPr>
            <w:rStyle w:val="Lienhypertexte"/>
            <w:rFonts w:ascii="Times New Roman" w:eastAsiaTheme="majorEastAsia" w:hAnsi="Times New Roman" w:cs="Times New Roman"/>
            <w:noProof/>
            <w:sz w:val="22"/>
            <w:szCs w:val="22"/>
          </w:rPr>
          <w:t>7.6</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Climat et dynamique d’urbanisation au Burkina Faso : défis actuels et futurs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_Toc183340328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205</w:t>
        </w:r>
        <w:r w:rsidRPr="00A7432C">
          <w:rPr>
            <w:rFonts w:ascii="Times New Roman" w:hAnsi="Times New Roman" w:cs="Times New Roman"/>
            <w:noProof/>
            <w:webHidden/>
            <w:sz w:val="22"/>
            <w:szCs w:val="22"/>
          </w:rPr>
          <w:fldChar w:fldCharType="end"/>
        </w:r>
      </w:hyperlink>
    </w:p>
    <w:p w14:paraId="59F3D3B4" w14:textId="25910306"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29" w:history="1">
        <w:r w:rsidRPr="00A7432C">
          <w:rPr>
            <w:rStyle w:val="Lienhypertexte"/>
            <w:rFonts w:ascii="Times New Roman" w:eastAsiaTheme="majorEastAsia" w:hAnsi="Times New Roman" w:cs="Times New Roman"/>
            <w:noProof/>
            <w:sz w:val="22"/>
            <w:szCs w:val="22"/>
          </w:rPr>
          <w:t>7.6.1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Projections climatiques à l’horizon 2100</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_Toc183340329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205</w:t>
        </w:r>
        <w:r w:rsidRPr="00A7432C">
          <w:rPr>
            <w:rFonts w:ascii="Times New Roman" w:hAnsi="Times New Roman" w:cs="Times New Roman"/>
            <w:noProof/>
            <w:webHidden/>
            <w:sz w:val="22"/>
            <w:szCs w:val="22"/>
          </w:rPr>
          <w:fldChar w:fldCharType="end"/>
        </w:r>
      </w:hyperlink>
    </w:p>
    <w:p w14:paraId="7A0D7B93" w14:textId="173A315B"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30" w:history="1">
        <w:r w:rsidRPr="00A7432C">
          <w:rPr>
            <w:rStyle w:val="Lienhypertexte"/>
            <w:rFonts w:ascii="Times New Roman" w:eastAsiaTheme="majorEastAsia" w:hAnsi="Times New Roman" w:cs="Times New Roman"/>
            <w:noProof/>
            <w:sz w:val="22"/>
            <w:szCs w:val="22"/>
          </w:rPr>
          <w:t>7.6.2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Implications du changement climatique pour l’urbanisation</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_Toc183340330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205</w:t>
        </w:r>
        <w:r w:rsidRPr="00A7432C">
          <w:rPr>
            <w:rFonts w:ascii="Times New Roman" w:hAnsi="Times New Roman" w:cs="Times New Roman"/>
            <w:noProof/>
            <w:webHidden/>
            <w:sz w:val="22"/>
            <w:szCs w:val="22"/>
          </w:rPr>
          <w:fldChar w:fldCharType="end"/>
        </w:r>
      </w:hyperlink>
    </w:p>
    <w:p w14:paraId="724AB8C6" w14:textId="5E9C581D"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31" w:history="1">
        <w:r w:rsidRPr="00A7432C">
          <w:rPr>
            <w:rStyle w:val="Lienhypertexte"/>
            <w:rFonts w:ascii="Times New Roman" w:eastAsiaTheme="majorEastAsia" w:hAnsi="Times New Roman" w:cs="Times New Roman"/>
            <w:noProof/>
            <w:sz w:val="22"/>
            <w:szCs w:val="22"/>
          </w:rPr>
          <w:t>7.6.3</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Grands défis actuels et futurs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_Toc183340331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206</w:t>
        </w:r>
        <w:r w:rsidRPr="00A7432C">
          <w:rPr>
            <w:rFonts w:ascii="Times New Roman" w:hAnsi="Times New Roman" w:cs="Times New Roman"/>
            <w:noProof/>
            <w:webHidden/>
            <w:sz w:val="22"/>
            <w:szCs w:val="22"/>
          </w:rPr>
          <w:fldChar w:fldCharType="end"/>
        </w:r>
      </w:hyperlink>
    </w:p>
    <w:p w14:paraId="379F863B" w14:textId="4219D391" w:rsidR="00A7432C" w:rsidRPr="00A7432C" w:rsidRDefault="00A7432C" w:rsidP="00A7432C">
      <w:pPr>
        <w:pStyle w:val="TM1"/>
        <w:tabs>
          <w:tab w:val="left" w:pos="660"/>
          <w:tab w:val="right" w:leader="dot" w:pos="9175"/>
        </w:tabs>
        <w:spacing w:before="0" w:after="0"/>
        <w:rPr>
          <w:rFonts w:ascii="Times New Roman" w:eastAsiaTheme="minorEastAsia" w:hAnsi="Times New Roman" w:cs="Times New Roman"/>
          <w:b w:val="0"/>
          <w:bCs w:val="0"/>
          <w:caps w:val="0"/>
          <w:noProof/>
          <w:kern w:val="2"/>
          <w:sz w:val="22"/>
          <w:szCs w:val="22"/>
          <w:lang w:val="fr-BF" w:eastAsia="fr-BF"/>
          <w14:ligatures w14:val="standardContextual"/>
        </w:rPr>
      </w:pPr>
      <w:hyperlink w:anchor="_Toc183340332" w:history="1">
        <w:r w:rsidRPr="00A7432C">
          <w:rPr>
            <w:rStyle w:val="Lienhypertexte"/>
            <w:rFonts w:ascii="Times New Roman" w:eastAsiaTheme="majorEastAsia" w:hAnsi="Times New Roman" w:cs="Times New Roman"/>
            <w:noProof/>
            <w:sz w:val="22"/>
            <w:szCs w:val="22"/>
          </w:rPr>
          <w:t>VIII.</w:t>
        </w:r>
        <w:r w:rsidRPr="00A7432C">
          <w:rPr>
            <w:rFonts w:ascii="Times New Roman" w:eastAsiaTheme="minorEastAsia" w:hAnsi="Times New Roman" w:cs="Times New Roman"/>
            <w:b w:val="0"/>
            <w:bCs w:val="0"/>
            <w: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ENVIRONNEMENT ET SANTÉ</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_Toc183340332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208</w:t>
        </w:r>
        <w:r w:rsidRPr="00A7432C">
          <w:rPr>
            <w:rFonts w:ascii="Times New Roman" w:hAnsi="Times New Roman" w:cs="Times New Roman"/>
            <w:noProof/>
            <w:webHidden/>
            <w:sz w:val="22"/>
            <w:szCs w:val="22"/>
          </w:rPr>
          <w:fldChar w:fldCharType="end"/>
        </w:r>
      </w:hyperlink>
    </w:p>
    <w:p w14:paraId="7DED5A79" w14:textId="2AFCE3D1"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334" w:history="1">
        <w:r w:rsidRPr="00A7432C">
          <w:rPr>
            <w:rStyle w:val="Lienhypertexte"/>
            <w:rFonts w:ascii="Times New Roman" w:eastAsiaTheme="majorEastAsia" w:hAnsi="Times New Roman" w:cs="Times New Roman"/>
            <w:noProof/>
            <w:sz w:val="22"/>
            <w:szCs w:val="22"/>
          </w:rPr>
          <w:t>8.1</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État des lieux des déterminants environnementaux de la santé au Burkina Faso</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_Toc183340334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208</w:t>
        </w:r>
        <w:r w:rsidRPr="00A7432C">
          <w:rPr>
            <w:rFonts w:ascii="Times New Roman" w:hAnsi="Times New Roman" w:cs="Times New Roman"/>
            <w:noProof/>
            <w:webHidden/>
            <w:sz w:val="22"/>
            <w:szCs w:val="22"/>
          </w:rPr>
          <w:fldChar w:fldCharType="end"/>
        </w:r>
      </w:hyperlink>
    </w:p>
    <w:p w14:paraId="15B4DA62" w14:textId="059CD4BB"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35" w:history="1">
        <w:r w:rsidRPr="00A7432C">
          <w:rPr>
            <w:rStyle w:val="Lienhypertexte"/>
            <w:rFonts w:ascii="Times New Roman" w:eastAsiaTheme="majorEastAsia" w:hAnsi="Times New Roman" w:cs="Times New Roman"/>
            <w:noProof/>
            <w:sz w:val="22"/>
            <w:szCs w:val="22"/>
          </w:rPr>
          <w:t>8.1.1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Pollution de l’air</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_Toc183340335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208</w:t>
        </w:r>
        <w:r w:rsidRPr="00A7432C">
          <w:rPr>
            <w:rFonts w:ascii="Times New Roman" w:hAnsi="Times New Roman" w:cs="Times New Roman"/>
            <w:noProof/>
            <w:webHidden/>
            <w:sz w:val="22"/>
            <w:szCs w:val="22"/>
          </w:rPr>
          <w:fldChar w:fldCharType="end"/>
        </w:r>
      </w:hyperlink>
    </w:p>
    <w:p w14:paraId="562A8FFB" w14:textId="3D91A046"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36" w:history="1">
        <w:r w:rsidRPr="00A7432C">
          <w:rPr>
            <w:rStyle w:val="Lienhypertexte"/>
            <w:rFonts w:ascii="Times New Roman" w:eastAsiaTheme="majorEastAsia" w:hAnsi="Times New Roman" w:cs="Times New Roman"/>
            <w:noProof/>
            <w:sz w:val="22"/>
            <w:szCs w:val="22"/>
          </w:rPr>
          <w:t>8.1.1.1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Pollution de l’air extérieur</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_Toc183340336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208</w:t>
        </w:r>
        <w:r w:rsidRPr="00A7432C">
          <w:rPr>
            <w:rFonts w:ascii="Times New Roman" w:hAnsi="Times New Roman" w:cs="Times New Roman"/>
            <w:noProof/>
            <w:webHidden/>
            <w:sz w:val="22"/>
            <w:szCs w:val="22"/>
          </w:rPr>
          <w:fldChar w:fldCharType="end"/>
        </w:r>
      </w:hyperlink>
    </w:p>
    <w:p w14:paraId="39E27ABB" w14:textId="3EAD2A29"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37" w:history="1">
        <w:r w:rsidRPr="00A7432C">
          <w:rPr>
            <w:rStyle w:val="Lienhypertexte"/>
            <w:rFonts w:ascii="Times New Roman" w:eastAsiaTheme="majorEastAsia" w:hAnsi="Times New Roman" w:cs="Times New Roman"/>
            <w:noProof/>
            <w:sz w:val="22"/>
            <w:szCs w:val="22"/>
          </w:rPr>
          <w:t>8.1.1.2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Pollution de l’air intérieur</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_Toc183340337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209</w:t>
        </w:r>
        <w:r w:rsidRPr="00A7432C">
          <w:rPr>
            <w:rFonts w:ascii="Times New Roman" w:hAnsi="Times New Roman" w:cs="Times New Roman"/>
            <w:noProof/>
            <w:webHidden/>
            <w:sz w:val="22"/>
            <w:szCs w:val="22"/>
          </w:rPr>
          <w:fldChar w:fldCharType="end"/>
        </w:r>
      </w:hyperlink>
    </w:p>
    <w:p w14:paraId="408B3D03" w14:textId="3DB4524C"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38" w:history="1">
        <w:r w:rsidRPr="00A7432C">
          <w:rPr>
            <w:rStyle w:val="Lienhypertexte"/>
            <w:rFonts w:ascii="Times New Roman" w:eastAsiaTheme="majorEastAsia" w:hAnsi="Times New Roman" w:cs="Times New Roman"/>
            <w:noProof/>
            <w:sz w:val="22"/>
            <w:szCs w:val="22"/>
          </w:rPr>
          <w:t>8.1.2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Pollution de l’eau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_Toc183340338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210</w:t>
        </w:r>
        <w:r w:rsidRPr="00A7432C">
          <w:rPr>
            <w:rFonts w:ascii="Times New Roman" w:hAnsi="Times New Roman" w:cs="Times New Roman"/>
            <w:noProof/>
            <w:webHidden/>
            <w:sz w:val="22"/>
            <w:szCs w:val="22"/>
          </w:rPr>
          <w:fldChar w:fldCharType="end"/>
        </w:r>
      </w:hyperlink>
    </w:p>
    <w:p w14:paraId="38B07734" w14:textId="458745C0"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39" w:history="1">
        <w:r w:rsidRPr="00A7432C">
          <w:rPr>
            <w:rStyle w:val="Lienhypertexte"/>
            <w:rFonts w:ascii="Times New Roman" w:eastAsiaTheme="majorEastAsia" w:hAnsi="Times New Roman" w:cs="Times New Roman"/>
            <w:noProof/>
            <w:sz w:val="22"/>
            <w:szCs w:val="22"/>
          </w:rPr>
          <w:t>8.1.2.1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Pollution des eaux de surface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_Toc183340339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210</w:t>
        </w:r>
        <w:r w:rsidRPr="00A7432C">
          <w:rPr>
            <w:rFonts w:ascii="Times New Roman" w:hAnsi="Times New Roman" w:cs="Times New Roman"/>
            <w:noProof/>
            <w:webHidden/>
            <w:sz w:val="22"/>
            <w:szCs w:val="22"/>
          </w:rPr>
          <w:fldChar w:fldCharType="end"/>
        </w:r>
      </w:hyperlink>
    </w:p>
    <w:p w14:paraId="64D9DAEF" w14:textId="4492CDF5"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40" w:history="1">
        <w:r w:rsidRPr="00A7432C">
          <w:rPr>
            <w:rStyle w:val="Lienhypertexte"/>
            <w:rFonts w:ascii="Times New Roman" w:eastAsiaTheme="majorEastAsia" w:hAnsi="Times New Roman" w:cs="Times New Roman"/>
            <w:noProof/>
            <w:sz w:val="22"/>
            <w:szCs w:val="22"/>
          </w:rPr>
          <w:t>8.1.2.2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Pollution des eaux souterraines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_Toc183340340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213</w:t>
        </w:r>
        <w:r w:rsidRPr="00A7432C">
          <w:rPr>
            <w:rFonts w:ascii="Times New Roman" w:hAnsi="Times New Roman" w:cs="Times New Roman"/>
            <w:noProof/>
            <w:webHidden/>
            <w:sz w:val="22"/>
            <w:szCs w:val="22"/>
          </w:rPr>
          <w:fldChar w:fldCharType="end"/>
        </w:r>
      </w:hyperlink>
    </w:p>
    <w:p w14:paraId="14B0E2E3" w14:textId="21D7B9D6"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41" w:history="1">
        <w:r w:rsidRPr="00A7432C">
          <w:rPr>
            <w:rStyle w:val="Lienhypertexte"/>
            <w:rFonts w:ascii="Times New Roman" w:eastAsiaTheme="majorEastAsia" w:hAnsi="Times New Roman" w:cs="Times New Roman"/>
            <w:noProof/>
            <w:sz w:val="22"/>
            <w:szCs w:val="22"/>
          </w:rPr>
          <w:t>8.1.3</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Pollution du sol</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_Toc183340341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216</w:t>
        </w:r>
        <w:r w:rsidRPr="00A7432C">
          <w:rPr>
            <w:rFonts w:ascii="Times New Roman" w:hAnsi="Times New Roman" w:cs="Times New Roman"/>
            <w:noProof/>
            <w:webHidden/>
            <w:sz w:val="22"/>
            <w:szCs w:val="22"/>
          </w:rPr>
          <w:fldChar w:fldCharType="end"/>
        </w:r>
      </w:hyperlink>
    </w:p>
    <w:p w14:paraId="60FCCCB2" w14:textId="3E969921"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42" w:history="1">
        <w:r w:rsidRPr="00A7432C">
          <w:rPr>
            <w:rStyle w:val="Lienhypertexte"/>
            <w:rFonts w:ascii="Times New Roman" w:eastAsiaTheme="majorEastAsia" w:hAnsi="Times New Roman" w:cs="Times New Roman"/>
            <w:noProof/>
            <w:sz w:val="22"/>
            <w:szCs w:val="22"/>
          </w:rPr>
          <w:t>8.1.4</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Pollutions sonores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_Toc183340342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221</w:t>
        </w:r>
        <w:r w:rsidRPr="00A7432C">
          <w:rPr>
            <w:rFonts w:ascii="Times New Roman" w:hAnsi="Times New Roman" w:cs="Times New Roman"/>
            <w:noProof/>
            <w:webHidden/>
            <w:sz w:val="22"/>
            <w:szCs w:val="22"/>
          </w:rPr>
          <w:fldChar w:fldCharType="end"/>
        </w:r>
      </w:hyperlink>
    </w:p>
    <w:p w14:paraId="5D45A546" w14:textId="3BD2A35F"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343" w:history="1">
        <w:r w:rsidRPr="00A7432C">
          <w:rPr>
            <w:rStyle w:val="Lienhypertexte"/>
            <w:rFonts w:ascii="Times New Roman" w:eastAsiaTheme="majorEastAsia" w:hAnsi="Times New Roman" w:cs="Times New Roman"/>
            <w:noProof/>
            <w:sz w:val="22"/>
            <w:szCs w:val="22"/>
          </w:rPr>
          <w:t>8.2</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Épidémiologie des maladies liées à l’environnement au Burkina Faso</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_Toc183340343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221</w:t>
        </w:r>
        <w:r w:rsidRPr="00A7432C">
          <w:rPr>
            <w:rFonts w:ascii="Times New Roman" w:hAnsi="Times New Roman" w:cs="Times New Roman"/>
            <w:noProof/>
            <w:webHidden/>
            <w:sz w:val="22"/>
            <w:szCs w:val="22"/>
          </w:rPr>
          <w:fldChar w:fldCharType="end"/>
        </w:r>
      </w:hyperlink>
    </w:p>
    <w:p w14:paraId="53E25BC0" w14:textId="2A5E567D"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44" w:history="1">
        <w:r w:rsidRPr="00A7432C">
          <w:rPr>
            <w:rStyle w:val="Lienhypertexte"/>
            <w:rFonts w:ascii="Times New Roman" w:eastAsiaTheme="majorEastAsia" w:hAnsi="Times New Roman" w:cs="Times New Roman"/>
            <w:noProof/>
            <w:sz w:val="22"/>
            <w:szCs w:val="22"/>
          </w:rPr>
          <w:t>8.2.1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Maladies infectieuses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_Toc183340344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222</w:t>
        </w:r>
        <w:r w:rsidRPr="00A7432C">
          <w:rPr>
            <w:rFonts w:ascii="Times New Roman" w:hAnsi="Times New Roman" w:cs="Times New Roman"/>
            <w:noProof/>
            <w:webHidden/>
            <w:sz w:val="22"/>
            <w:szCs w:val="22"/>
          </w:rPr>
          <w:fldChar w:fldCharType="end"/>
        </w:r>
      </w:hyperlink>
    </w:p>
    <w:p w14:paraId="2DE6AF1D" w14:textId="6E58BC06"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45" w:history="1">
        <w:r w:rsidRPr="00A7432C">
          <w:rPr>
            <w:rStyle w:val="Lienhypertexte"/>
            <w:rFonts w:ascii="Times New Roman" w:eastAsiaTheme="majorEastAsia" w:hAnsi="Times New Roman" w:cs="Times New Roman"/>
            <w:noProof/>
            <w:sz w:val="22"/>
            <w:szCs w:val="22"/>
          </w:rPr>
          <w:t>8.2.1.1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 Paludisme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_Toc183340345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222</w:t>
        </w:r>
        <w:r w:rsidRPr="00A7432C">
          <w:rPr>
            <w:rFonts w:ascii="Times New Roman" w:hAnsi="Times New Roman" w:cs="Times New Roman"/>
            <w:noProof/>
            <w:webHidden/>
            <w:sz w:val="22"/>
            <w:szCs w:val="22"/>
          </w:rPr>
          <w:fldChar w:fldCharType="end"/>
        </w:r>
      </w:hyperlink>
    </w:p>
    <w:p w14:paraId="05D8C7A0" w14:textId="7B88F6BD"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46" w:history="1">
        <w:r w:rsidRPr="00A7432C">
          <w:rPr>
            <w:rStyle w:val="Lienhypertexte"/>
            <w:rFonts w:ascii="Times New Roman" w:eastAsiaTheme="majorEastAsia" w:hAnsi="Times New Roman" w:cs="Times New Roman"/>
            <w:noProof/>
            <w:sz w:val="22"/>
            <w:szCs w:val="22"/>
          </w:rPr>
          <w:t>8.2.1.2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Dengue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_Toc183340346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222</w:t>
        </w:r>
        <w:r w:rsidRPr="00A7432C">
          <w:rPr>
            <w:rFonts w:ascii="Times New Roman" w:hAnsi="Times New Roman" w:cs="Times New Roman"/>
            <w:noProof/>
            <w:webHidden/>
            <w:sz w:val="22"/>
            <w:szCs w:val="22"/>
          </w:rPr>
          <w:fldChar w:fldCharType="end"/>
        </w:r>
      </w:hyperlink>
    </w:p>
    <w:p w14:paraId="686F01AA" w14:textId="02CE1AEB"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47" w:history="1">
        <w:r w:rsidRPr="00A7432C">
          <w:rPr>
            <w:rStyle w:val="Lienhypertexte"/>
            <w:rFonts w:ascii="Times New Roman" w:eastAsiaTheme="majorEastAsia" w:hAnsi="Times New Roman" w:cs="Times New Roman"/>
            <w:noProof/>
            <w:sz w:val="22"/>
            <w:szCs w:val="22"/>
          </w:rPr>
          <w:t>8.2.1.3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Méningite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_Toc183340347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223</w:t>
        </w:r>
        <w:r w:rsidRPr="00A7432C">
          <w:rPr>
            <w:rFonts w:ascii="Times New Roman" w:hAnsi="Times New Roman" w:cs="Times New Roman"/>
            <w:noProof/>
            <w:webHidden/>
            <w:sz w:val="22"/>
            <w:szCs w:val="22"/>
          </w:rPr>
          <w:fldChar w:fldCharType="end"/>
        </w:r>
      </w:hyperlink>
    </w:p>
    <w:p w14:paraId="059FCDF9" w14:textId="758B2399"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48" w:history="1">
        <w:r w:rsidRPr="00A7432C">
          <w:rPr>
            <w:rStyle w:val="Lienhypertexte"/>
            <w:rFonts w:ascii="Times New Roman" w:eastAsiaTheme="majorEastAsia" w:hAnsi="Times New Roman" w:cs="Times New Roman"/>
            <w:noProof/>
            <w:sz w:val="22"/>
            <w:szCs w:val="22"/>
          </w:rPr>
          <w:t>8.2.1.4</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COVID-19</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_Toc183340348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224</w:t>
        </w:r>
        <w:r w:rsidRPr="00A7432C">
          <w:rPr>
            <w:rFonts w:ascii="Times New Roman" w:hAnsi="Times New Roman" w:cs="Times New Roman"/>
            <w:noProof/>
            <w:webHidden/>
            <w:sz w:val="22"/>
            <w:szCs w:val="22"/>
          </w:rPr>
          <w:fldChar w:fldCharType="end"/>
        </w:r>
      </w:hyperlink>
    </w:p>
    <w:p w14:paraId="5EAD7C8E" w14:textId="05E88CA1"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49" w:history="1">
        <w:r w:rsidRPr="00A7432C">
          <w:rPr>
            <w:rStyle w:val="Lienhypertexte"/>
            <w:rFonts w:ascii="Times New Roman" w:eastAsiaTheme="majorEastAsia" w:hAnsi="Times New Roman" w:cs="Times New Roman"/>
            <w:noProof/>
            <w:sz w:val="22"/>
            <w:szCs w:val="22"/>
          </w:rPr>
          <w:t>8.2.1.5</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autres maladies infectieuses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_Toc183340349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225</w:t>
        </w:r>
        <w:r w:rsidRPr="00A7432C">
          <w:rPr>
            <w:rFonts w:ascii="Times New Roman" w:hAnsi="Times New Roman" w:cs="Times New Roman"/>
            <w:noProof/>
            <w:webHidden/>
            <w:sz w:val="22"/>
            <w:szCs w:val="22"/>
          </w:rPr>
          <w:fldChar w:fldCharType="end"/>
        </w:r>
      </w:hyperlink>
    </w:p>
    <w:p w14:paraId="40904F25" w14:textId="41702AB5"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350" w:history="1">
        <w:r w:rsidRPr="00A7432C">
          <w:rPr>
            <w:rStyle w:val="Lienhypertexte"/>
            <w:rFonts w:ascii="Times New Roman" w:eastAsiaTheme="majorEastAsia" w:hAnsi="Times New Roman" w:cs="Times New Roman"/>
            <w:noProof/>
            <w:sz w:val="22"/>
            <w:szCs w:val="22"/>
          </w:rPr>
          <w:t>8.3</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Impacts socioéconomiques des maladies liées à l’environnement</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_Toc183340350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225</w:t>
        </w:r>
        <w:r w:rsidRPr="00A7432C">
          <w:rPr>
            <w:rFonts w:ascii="Times New Roman" w:hAnsi="Times New Roman" w:cs="Times New Roman"/>
            <w:noProof/>
            <w:webHidden/>
            <w:sz w:val="22"/>
            <w:szCs w:val="22"/>
          </w:rPr>
          <w:fldChar w:fldCharType="end"/>
        </w:r>
      </w:hyperlink>
    </w:p>
    <w:p w14:paraId="7B390612" w14:textId="7CE91A40"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351" w:history="1">
        <w:r w:rsidRPr="00A7432C">
          <w:rPr>
            <w:rStyle w:val="Lienhypertexte"/>
            <w:rFonts w:ascii="Times New Roman" w:eastAsiaTheme="majorEastAsia" w:hAnsi="Times New Roman" w:cs="Times New Roman"/>
            <w:noProof/>
            <w:sz w:val="22"/>
            <w:szCs w:val="22"/>
          </w:rPr>
          <w:t>8.4</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La lutte contre les maladies liées à l’environnement</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_Toc183340351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228</w:t>
        </w:r>
        <w:r w:rsidRPr="00A7432C">
          <w:rPr>
            <w:rFonts w:ascii="Times New Roman" w:hAnsi="Times New Roman" w:cs="Times New Roman"/>
            <w:noProof/>
            <w:webHidden/>
            <w:sz w:val="22"/>
            <w:szCs w:val="22"/>
          </w:rPr>
          <w:fldChar w:fldCharType="end"/>
        </w:r>
      </w:hyperlink>
    </w:p>
    <w:p w14:paraId="55AAD341" w14:textId="174B167C"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52" w:history="1">
        <w:r w:rsidRPr="00A7432C">
          <w:rPr>
            <w:rStyle w:val="Lienhypertexte"/>
            <w:rFonts w:ascii="Times New Roman" w:eastAsiaTheme="majorEastAsia" w:hAnsi="Times New Roman" w:cs="Times New Roman"/>
            <w:noProof/>
            <w:sz w:val="22"/>
            <w:szCs w:val="22"/>
          </w:rPr>
          <w:t>8.4.1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 Cadre institutionnel</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_Toc183340352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229</w:t>
        </w:r>
        <w:r w:rsidRPr="00A7432C">
          <w:rPr>
            <w:rFonts w:ascii="Times New Roman" w:hAnsi="Times New Roman" w:cs="Times New Roman"/>
            <w:noProof/>
            <w:webHidden/>
            <w:sz w:val="22"/>
            <w:szCs w:val="22"/>
          </w:rPr>
          <w:fldChar w:fldCharType="end"/>
        </w:r>
      </w:hyperlink>
    </w:p>
    <w:p w14:paraId="1577420D" w14:textId="5E442487"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53" w:history="1">
        <w:r w:rsidRPr="00A7432C">
          <w:rPr>
            <w:rStyle w:val="Lienhypertexte"/>
            <w:rFonts w:ascii="Times New Roman" w:eastAsiaTheme="majorEastAsia" w:hAnsi="Times New Roman" w:cs="Times New Roman"/>
            <w:noProof/>
            <w:sz w:val="22"/>
            <w:szCs w:val="22"/>
          </w:rPr>
          <w:t>8.4.1.1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Organisation administrative du système de santé</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_Toc183340353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229</w:t>
        </w:r>
        <w:r w:rsidRPr="00A7432C">
          <w:rPr>
            <w:rFonts w:ascii="Times New Roman" w:hAnsi="Times New Roman" w:cs="Times New Roman"/>
            <w:noProof/>
            <w:webHidden/>
            <w:sz w:val="22"/>
            <w:szCs w:val="22"/>
          </w:rPr>
          <w:fldChar w:fldCharType="end"/>
        </w:r>
      </w:hyperlink>
    </w:p>
    <w:p w14:paraId="1B2DB39B" w14:textId="2030E21E"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54" w:history="1">
        <w:r w:rsidRPr="00A7432C">
          <w:rPr>
            <w:rStyle w:val="Lienhypertexte"/>
            <w:rFonts w:ascii="Times New Roman" w:eastAsiaTheme="majorEastAsia" w:hAnsi="Times New Roman" w:cs="Times New Roman"/>
            <w:noProof/>
            <w:sz w:val="22"/>
            <w:szCs w:val="22"/>
          </w:rPr>
          <w:t>8.4.1.2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Organisation de l’offre de soins dans le système de santé</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_Toc183340354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229</w:t>
        </w:r>
        <w:r w:rsidRPr="00A7432C">
          <w:rPr>
            <w:rFonts w:ascii="Times New Roman" w:hAnsi="Times New Roman" w:cs="Times New Roman"/>
            <w:noProof/>
            <w:webHidden/>
            <w:sz w:val="22"/>
            <w:szCs w:val="22"/>
          </w:rPr>
          <w:fldChar w:fldCharType="end"/>
        </w:r>
      </w:hyperlink>
    </w:p>
    <w:p w14:paraId="435014B4" w14:textId="0091C01E"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55" w:history="1">
        <w:r w:rsidRPr="00A7432C">
          <w:rPr>
            <w:rStyle w:val="Lienhypertexte"/>
            <w:rFonts w:ascii="Times New Roman" w:eastAsiaTheme="majorEastAsia" w:hAnsi="Times New Roman" w:cs="Times New Roman"/>
            <w:noProof/>
            <w:sz w:val="22"/>
            <w:szCs w:val="22"/>
          </w:rPr>
          <w:t>8.4.2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 Cadre juridique et réglementaire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_Toc183340355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230</w:t>
        </w:r>
        <w:r w:rsidRPr="00A7432C">
          <w:rPr>
            <w:rFonts w:ascii="Times New Roman" w:hAnsi="Times New Roman" w:cs="Times New Roman"/>
            <w:noProof/>
            <w:webHidden/>
            <w:sz w:val="22"/>
            <w:szCs w:val="22"/>
          </w:rPr>
          <w:fldChar w:fldCharType="end"/>
        </w:r>
      </w:hyperlink>
    </w:p>
    <w:p w14:paraId="72371D99" w14:textId="120085D9"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56" w:history="1">
        <w:r w:rsidRPr="00A7432C">
          <w:rPr>
            <w:rStyle w:val="Lienhypertexte"/>
            <w:rFonts w:ascii="Times New Roman" w:eastAsiaTheme="majorEastAsia" w:hAnsi="Times New Roman" w:cs="Times New Roman"/>
            <w:noProof/>
            <w:sz w:val="22"/>
            <w:szCs w:val="22"/>
          </w:rPr>
          <w:t>8.4.2.1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A l’échelle internationale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_Toc183340356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230</w:t>
        </w:r>
        <w:r w:rsidRPr="00A7432C">
          <w:rPr>
            <w:rFonts w:ascii="Times New Roman" w:hAnsi="Times New Roman" w:cs="Times New Roman"/>
            <w:noProof/>
            <w:webHidden/>
            <w:sz w:val="22"/>
            <w:szCs w:val="22"/>
          </w:rPr>
          <w:fldChar w:fldCharType="end"/>
        </w:r>
      </w:hyperlink>
    </w:p>
    <w:p w14:paraId="4777591D" w14:textId="75CFEC5D"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57" w:history="1">
        <w:r w:rsidRPr="00A7432C">
          <w:rPr>
            <w:rStyle w:val="Lienhypertexte"/>
            <w:rFonts w:ascii="Times New Roman" w:eastAsiaTheme="majorEastAsia" w:hAnsi="Times New Roman" w:cs="Times New Roman"/>
            <w:noProof/>
            <w:sz w:val="22"/>
            <w:szCs w:val="22"/>
          </w:rPr>
          <w:t>8.4.2.2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A l’échelle régionale et sous-régionale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_Toc183340357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231</w:t>
        </w:r>
        <w:r w:rsidRPr="00A7432C">
          <w:rPr>
            <w:rFonts w:ascii="Times New Roman" w:hAnsi="Times New Roman" w:cs="Times New Roman"/>
            <w:noProof/>
            <w:webHidden/>
            <w:sz w:val="22"/>
            <w:szCs w:val="22"/>
          </w:rPr>
          <w:fldChar w:fldCharType="end"/>
        </w:r>
      </w:hyperlink>
    </w:p>
    <w:p w14:paraId="48A281FB" w14:textId="3DAB03DC"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58" w:history="1">
        <w:r w:rsidRPr="00A7432C">
          <w:rPr>
            <w:rStyle w:val="Lienhypertexte"/>
            <w:rFonts w:ascii="Times New Roman" w:eastAsiaTheme="majorEastAsia" w:hAnsi="Times New Roman" w:cs="Times New Roman"/>
            <w:noProof/>
            <w:sz w:val="22"/>
            <w:szCs w:val="22"/>
          </w:rPr>
          <w:t>8.4.2.3</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A l’échelle nationale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_Toc183340358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231</w:t>
        </w:r>
        <w:r w:rsidRPr="00A7432C">
          <w:rPr>
            <w:rFonts w:ascii="Times New Roman" w:hAnsi="Times New Roman" w:cs="Times New Roman"/>
            <w:noProof/>
            <w:webHidden/>
            <w:sz w:val="22"/>
            <w:szCs w:val="22"/>
          </w:rPr>
          <w:fldChar w:fldCharType="end"/>
        </w:r>
      </w:hyperlink>
    </w:p>
    <w:p w14:paraId="1D6148DC" w14:textId="2CE3BFBE"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59" w:history="1">
        <w:r w:rsidRPr="00A7432C">
          <w:rPr>
            <w:rStyle w:val="Lienhypertexte"/>
            <w:rFonts w:ascii="Times New Roman" w:eastAsiaTheme="majorEastAsia" w:hAnsi="Times New Roman" w:cs="Times New Roman"/>
            <w:noProof/>
            <w:sz w:val="22"/>
            <w:szCs w:val="22"/>
          </w:rPr>
          <w:t>8.4.3</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Interventions préventives contre les maladies liées à l’environnement</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_Toc183340359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231</w:t>
        </w:r>
        <w:r w:rsidRPr="00A7432C">
          <w:rPr>
            <w:rFonts w:ascii="Times New Roman" w:hAnsi="Times New Roman" w:cs="Times New Roman"/>
            <w:noProof/>
            <w:webHidden/>
            <w:sz w:val="22"/>
            <w:szCs w:val="22"/>
          </w:rPr>
          <w:fldChar w:fldCharType="end"/>
        </w:r>
      </w:hyperlink>
    </w:p>
    <w:p w14:paraId="3834EF1F" w14:textId="61C8589F"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60" w:history="1">
        <w:r w:rsidRPr="00A7432C">
          <w:rPr>
            <w:rStyle w:val="Lienhypertexte"/>
            <w:rFonts w:ascii="Times New Roman" w:eastAsiaTheme="majorEastAsia" w:hAnsi="Times New Roman" w:cs="Times New Roman"/>
            <w:noProof/>
            <w:sz w:val="22"/>
            <w:szCs w:val="22"/>
          </w:rPr>
          <w:t>8.4.3.1</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Les vaccinations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_Toc183340360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231</w:t>
        </w:r>
        <w:r w:rsidRPr="00A7432C">
          <w:rPr>
            <w:rFonts w:ascii="Times New Roman" w:hAnsi="Times New Roman" w:cs="Times New Roman"/>
            <w:noProof/>
            <w:webHidden/>
            <w:sz w:val="22"/>
            <w:szCs w:val="22"/>
          </w:rPr>
          <w:fldChar w:fldCharType="end"/>
        </w:r>
      </w:hyperlink>
    </w:p>
    <w:p w14:paraId="61C651E0" w14:textId="77645A47" w:rsidR="00A7432C" w:rsidRPr="00A7432C" w:rsidRDefault="00A7432C" w:rsidP="00A7432C">
      <w:pPr>
        <w:pStyle w:val="TM4"/>
        <w:tabs>
          <w:tab w:val="left" w:pos="1540"/>
          <w:tab w:val="right" w:leader="dot" w:pos="9175"/>
        </w:tabs>
        <w:rPr>
          <w:rFonts w:ascii="Times New Roman" w:eastAsiaTheme="minorEastAsia" w:hAnsi="Times New Roman" w:cs="Times New Roman"/>
          <w:noProof/>
          <w:kern w:val="2"/>
          <w:sz w:val="22"/>
          <w:szCs w:val="22"/>
          <w:lang w:val="fr-BF" w:eastAsia="fr-BF"/>
          <w14:ligatures w14:val="standardContextual"/>
        </w:rPr>
      </w:pPr>
      <w:hyperlink w:anchor="_Toc183340361" w:history="1">
        <w:r w:rsidRPr="00A7432C">
          <w:rPr>
            <w:rStyle w:val="Lienhypertexte"/>
            <w:rFonts w:ascii="Times New Roman" w:eastAsiaTheme="majorEastAsia" w:hAnsi="Times New Roman" w:cs="Times New Roman"/>
            <w:noProof/>
            <w:sz w:val="22"/>
            <w:szCs w:val="22"/>
          </w:rPr>
          <w:t>8.4.3.2</w:t>
        </w:r>
        <w:r w:rsidRPr="00A7432C">
          <w:rPr>
            <w:rFonts w:ascii="Times New Roman" w:eastAsiaTheme="minorEastAsia" w:hAnsi="Times New Roman" w:cs="Times New Roman"/>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Autres mesures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_Toc183340361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232</w:t>
        </w:r>
        <w:r w:rsidRPr="00A7432C">
          <w:rPr>
            <w:rFonts w:ascii="Times New Roman" w:hAnsi="Times New Roman" w:cs="Times New Roman"/>
            <w:noProof/>
            <w:webHidden/>
            <w:sz w:val="22"/>
            <w:szCs w:val="22"/>
          </w:rPr>
          <w:fldChar w:fldCharType="end"/>
        </w:r>
      </w:hyperlink>
    </w:p>
    <w:p w14:paraId="103FE182" w14:textId="7DC99ED1" w:rsidR="00A7432C" w:rsidRPr="00A7432C" w:rsidRDefault="00A7432C" w:rsidP="00A7432C">
      <w:pPr>
        <w:pStyle w:val="TM3"/>
        <w:tabs>
          <w:tab w:val="left" w:pos="110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62" w:history="1">
        <w:r w:rsidRPr="00A7432C">
          <w:rPr>
            <w:rStyle w:val="Lienhypertexte"/>
            <w:rFonts w:ascii="Times New Roman" w:eastAsiaTheme="majorEastAsia" w:hAnsi="Times New Roman" w:cs="Times New Roman"/>
            <w:noProof/>
            <w:sz w:val="22"/>
            <w:szCs w:val="22"/>
          </w:rPr>
          <w:t>8.4.4</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Prise en charge des maladies liées à l’environnement</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_Toc183340362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232</w:t>
        </w:r>
        <w:r w:rsidRPr="00A7432C">
          <w:rPr>
            <w:rFonts w:ascii="Times New Roman" w:hAnsi="Times New Roman" w:cs="Times New Roman"/>
            <w:noProof/>
            <w:webHidden/>
            <w:sz w:val="22"/>
            <w:szCs w:val="22"/>
          </w:rPr>
          <w:fldChar w:fldCharType="end"/>
        </w:r>
      </w:hyperlink>
    </w:p>
    <w:p w14:paraId="7DBAF79D" w14:textId="73FBA4B0"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363" w:history="1">
        <w:r w:rsidRPr="00A7432C">
          <w:rPr>
            <w:rStyle w:val="Lienhypertexte"/>
            <w:rFonts w:ascii="Times New Roman" w:eastAsiaTheme="majorEastAsia" w:hAnsi="Times New Roman" w:cs="Times New Roman"/>
            <w:noProof/>
            <w:sz w:val="22"/>
            <w:szCs w:val="22"/>
          </w:rPr>
          <w:t>8.5</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Changement climatique et santé : enjeux et risques du futur</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_Toc183340363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232</w:t>
        </w:r>
        <w:r w:rsidRPr="00A7432C">
          <w:rPr>
            <w:rFonts w:ascii="Times New Roman" w:hAnsi="Times New Roman" w:cs="Times New Roman"/>
            <w:noProof/>
            <w:webHidden/>
            <w:sz w:val="22"/>
            <w:szCs w:val="22"/>
          </w:rPr>
          <w:fldChar w:fldCharType="end"/>
        </w:r>
      </w:hyperlink>
    </w:p>
    <w:p w14:paraId="08BA3581" w14:textId="771980A7" w:rsidR="00A7432C" w:rsidRPr="00A7432C" w:rsidRDefault="00A7432C" w:rsidP="00A7432C">
      <w:pPr>
        <w:pStyle w:val="TM1"/>
        <w:tabs>
          <w:tab w:val="left" w:pos="440"/>
          <w:tab w:val="right" w:leader="dot" w:pos="9175"/>
        </w:tabs>
        <w:spacing w:before="0" w:after="0"/>
        <w:rPr>
          <w:rFonts w:ascii="Times New Roman" w:eastAsiaTheme="minorEastAsia" w:hAnsi="Times New Roman" w:cs="Times New Roman"/>
          <w:b w:val="0"/>
          <w:bCs w:val="0"/>
          <w:caps w:val="0"/>
          <w:noProof/>
          <w:kern w:val="2"/>
          <w:sz w:val="22"/>
          <w:szCs w:val="22"/>
          <w:lang w:val="fr-BF" w:eastAsia="fr-BF"/>
          <w14:ligatures w14:val="standardContextual"/>
        </w:rPr>
      </w:pPr>
      <w:hyperlink w:anchor="_Toc183340364" w:history="1">
        <w:r w:rsidRPr="00A7432C">
          <w:rPr>
            <w:rStyle w:val="Lienhypertexte"/>
            <w:rFonts w:ascii="Times New Roman" w:eastAsiaTheme="majorEastAsia" w:hAnsi="Times New Roman" w:cs="Times New Roman"/>
            <w:noProof/>
            <w:sz w:val="22"/>
            <w:szCs w:val="22"/>
          </w:rPr>
          <w:t>IX.</w:t>
        </w:r>
        <w:r w:rsidRPr="00A7432C">
          <w:rPr>
            <w:rFonts w:ascii="Times New Roman" w:eastAsiaTheme="minorEastAsia" w:hAnsi="Times New Roman" w:cs="Times New Roman"/>
            <w:b w:val="0"/>
            <w:bCs w:val="0"/>
            <w: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CONCLUSIONS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_Toc183340364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234</w:t>
        </w:r>
        <w:r w:rsidRPr="00A7432C">
          <w:rPr>
            <w:rFonts w:ascii="Times New Roman" w:hAnsi="Times New Roman" w:cs="Times New Roman"/>
            <w:noProof/>
            <w:webHidden/>
            <w:sz w:val="22"/>
            <w:szCs w:val="22"/>
          </w:rPr>
          <w:fldChar w:fldCharType="end"/>
        </w:r>
      </w:hyperlink>
    </w:p>
    <w:p w14:paraId="6AA345E4" w14:textId="53DF2BB8" w:rsidR="00A7432C" w:rsidRPr="00A7432C" w:rsidRDefault="00A7432C" w:rsidP="00A7432C">
      <w:pPr>
        <w:pStyle w:val="TM1"/>
        <w:tabs>
          <w:tab w:val="left" w:pos="440"/>
          <w:tab w:val="right" w:leader="dot" w:pos="9175"/>
        </w:tabs>
        <w:spacing w:before="0" w:after="0"/>
        <w:rPr>
          <w:rFonts w:ascii="Times New Roman" w:eastAsiaTheme="minorEastAsia" w:hAnsi="Times New Roman" w:cs="Times New Roman"/>
          <w:b w:val="0"/>
          <w:bCs w:val="0"/>
          <w:caps w:val="0"/>
          <w:noProof/>
          <w:kern w:val="2"/>
          <w:sz w:val="22"/>
          <w:szCs w:val="22"/>
          <w:lang w:val="fr-BF" w:eastAsia="fr-BF"/>
          <w14:ligatures w14:val="standardContextual"/>
        </w:rPr>
      </w:pPr>
      <w:hyperlink w:anchor="_Toc183340365" w:history="1">
        <w:r w:rsidRPr="00A7432C">
          <w:rPr>
            <w:rStyle w:val="Lienhypertexte"/>
            <w:rFonts w:ascii="Times New Roman" w:eastAsiaTheme="majorEastAsia" w:hAnsi="Times New Roman" w:cs="Times New Roman"/>
            <w:noProof/>
            <w:sz w:val="22"/>
            <w:szCs w:val="22"/>
          </w:rPr>
          <w:t>X.</w:t>
        </w:r>
        <w:r w:rsidRPr="00A7432C">
          <w:rPr>
            <w:rFonts w:ascii="Times New Roman" w:eastAsiaTheme="minorEastAsia" w:hAnsi="Times New Roman" w:cs="Times New Roman"/>
            <w:b w:val="0"/>
            <w:bCs w:val="0"/>
            <w: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RECOMMANDATIONS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_Toc183340365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238</w:t>
        </w:r>
        <w:r w:rsidRPr="00A7432C">
          <w:rPr>
            <w:rFonts w:ascii="Times New Roman" w:hAnsi="Times New Roman" w:cs="Times New Roman"/>
            <w:noProof/>
            <w:webHidden/>
            <w:sz w:val="22"/>
            <w:szCs w:val="22"/>
          </w:rPr>
          <w:fldChar w:fldCharType="end"/>
        </w:r>
      </w:hyperlink>
    </w:p>
    <w:p w14:paraId="14BD263B" w14:textId="17EDF149"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368" w:history="1">
        <w:r w:rsidRPr="00A7432C">
          <w:rPr>
            <w:rStyle w:val="Lienhypertexte"/>
            <w:rFonts w:ascii="Times New Roman" w:eastAsiaTheme="majorEastAsia" w:hAnsi="Times New Roman" w:cs="Times New Roman"/>
            <w:noProof/>
            <w:sz w:val="22"/>
            <w:szCs w:val="22"/>
          </w:rPr>
          <w:t>10.1</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Recommandations de portée générale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_Toc183340368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238</w:t>
        </w:r>
        <w:r w:rsidRPr="00A7432C">
          <w:rPr>
            <w:rFonts w:ascii="Times New Roman" w:hAnsi="Times New Roman" w:cs="Times New Roman"/>
            <w:noProof/>
            <w:webHidden/>
            <w:sz w:val="22"/>
            <w:szCs w:val="22"/>
          </w:rPr>
          <w:fldChar w:fldCharType="end"/>
        </w:r>
      </w:hyperlink>
    </w:p>
    <w:p w14:paraId="37705636" w14:textId="45BE4F75" w:rsidR="00A7432C" w:rsidRPr="00A7432C" w:rsidRDefault="00A7432C" w:rsidP="00A7432C">
      <w:pPr>
        <w:pStyle w:val="TM3"/>
        <w:tabs>
          <w:tab w:val="left" w:pos="132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69" w:history="1">
        <w:r w:rsidRPr="00A7432C">
          <w:rPr>
            <w:rStyle w:val="Lienhypertexte"/>
            <w:rFonts w:ascii="Times New Roman" w:eastAsiaTheme="minorHAnsi" w:hAnsi="Times New Roman" w:cs="Times New Roman"/>
            <w:b/>
            <w:noProof/>
            <w:sz w:val="22"/>
            <w:szCs w:val="22"/>
            <w:lang w:val="fr-BF" w:eastAsia="en-US"/>
          </w:rPr>
          <w:t>10.1.1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inorHAnsi" w:hAnsi="Times New Roman" w:cs="Times New Roman"/>
            <w:b/>
            <w:noProof/>
            <w:sz w:val="22"/>
            <w:szCs w:val="22"/>
            <w:lang w:val="fr-BF" w:eastAsia="en-US"/>
          </w:rPr>
          <w:t>Sur l’élaboration régulière du REEB</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_Toc183340369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238</w:t>
        </w:r>
        <w:r w:rsidRPr="00A7432C">
          <w:rPr>
            <w:rFonts w:ascii="Times New Roman" w:hAnsi="Times New Roman" w:cs="Times New Roman"/>
            <w:noProof/>
            <w:webHidden/>
            <w:sz w:val="22"/>
            <w:szCs w:val="22"/>
          </w:rPr>
          <w:fldChar w:fldCharType="end"/>
        </w:r>
      </w:hyperlink>
    </w:p>
    <w:p w14:paraId="6BA838F8" w14:textId="5AA87A37" w:rsidR="00A7432C" w:rsidRPr="00A7432C" w:rsidRDefault="00A7432C" w:rsidP="00A7432C">
      <w:pPr>
        <w:pStyle w:val="TM3"/>
        <w:tabs>
          <w:tab w:val="left" w:pos="132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70" w:history="1">
        <w:r w:rsidRPr="00A7432C">
          <w:rPr>
            <w:rStyle w:val="Lienhypertexte"/>
            <w:rFonts w:ascii="Times New Roman" w:eastAsiaTheme="minorHAnsi" w:hAnsi="Times New Roman" w:cs="Times New Roman"/>
            <w:b/>
            <w:noProof/>
            <w:sz w:val="22"/>
            <w:szCs w:val="22"/>
            <w:lang w:val="fr-BF" w:eastAsia="en-US"/>
          </w:rPr>
          <w:t>10.1.2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inorHAnsi" w:hAnsi="Times New Roman" w:cs="Times New Roman"/>
            <w:b/>
            <w:noProof/>
            <w:sz w:val="22"/>
            <w:szCs w:val="22"/>
            <w:lang w:val="fr-BF" w:eastAsia="en-US"/>
          </w:rPr>
          <w:t>De l’anticipation des effets des changements climatiques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_Toc183340370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238</w:t>
        </w:r>
        <w:r w:rsidRPr="00A7432C">
          <w:rPr>
            <w:rFonts w:ascii="Times New Roman" w:hAnsi="Times New Roman" w:cs="Times New Roman"/>
            <w:noProof/>
            <w:webHidden/>
            <w:sz w:val="22"/>
            <w:szCs w:val="22"/>
          </w:rPr>
          <w:fldChar w:fldCharType="end"/>
        </w:r>
      </w:hyperlink>
    </w:p>
    <w:p w14:paraId="2F9E7CC1" w14:textId="3D98C959" w:rsidR="00A7432C" w:rsidRPr="00A7432C" w:rsidRDefault="00A7432C" w:rsidP="00A7432C">
      <w:pPr>
        <w:pStyle w:val="TM2"/>
        <w:tabs>
          <w:tab w:val="left" w:pos="880"/>
          <w:tab w:val="right" w:leader="dot" w:pos="9175"/>
        </w:tabs>
        <w:rPr>
          <w:rFonts w:ascii="Times New Roman" w:eastAsiaTheme="minorEastAsia" w:hAnsi="Times New Roman" w:cs="Times New Roman"/>
          <w:smallCaps w:val="0"/>
          <w:noProof/>
          <w:kern w:val="2"/>
          <w:sz w:val="22"/>
          <w:szCs w:val="22"/>
          <w:lang w:val="fr-BF" w:eastAsia="fr-BF"/>
          <w14:ligatures w14:val="standardContextual"/>
        </w:rPr>
      </w:pPr>
      <w:hyperlink w:anchor="_Toc183340371" w:history="1">
        <w:r w:rsidRPr="00A7432C">
          <w:rPr>
            <w:rStyle w:val="Lienhypertexte"/>
            <w:rFonts w:ascii="Times New Roman" w:eastAsiaTheme="majorEastAsia" w:hAnsi="Times New Roman" w:cs="Times New Roman"/>
            <w:noProof/>
            <w:sz w:val="22"/>
            <w:szCs w:val="22"/>
          </w:rPr>
          <w:t>10.2</w:t>
        </w:r>
        <w:r w:rsidRPr="00A7432C">
          <w:rPr>
            <w:rFonts w:ascii="Times New Roman" w:eastAsiaTheme="minorEastAsia" w:hAnsi="Times New Roman" w:cs="Times New Roman"/>
            <w:smallCaps w:val="0"/>
            <w:noProof/>
            <w:kern w:val="2"/>
            <w:sz w:val="22"/>
            <w:szCs w:val="22"/>
            <w:lang w:val="fr-BF" w:eastAsia="fr-BF"/>
            <w14:ligatures w14:val="standardContextual"/>
          </w:rPr>
          <w:tab/>
        </w:r>
        <w:r w:rsidRPr="00A7432C">
          <w:rPr>
            <w:rStyle w:val="Lienhypertexte"/>
            <w:rFonts w:ascii="Times New Roman" w:eastAsiaTheme="majorEastAsia" w:hAnsi="Times New Roman" w:cs="Times New Roman"/>
            <w:noProof/>
            <w:sz w:val="22"/>
            <w:szCs w:val="22"/>
          </w:rPr>
          <w:t>Recommandations à caractère sectoriel</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_Toc183340371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239</w:t>
        </w:r>
        <w:r w:rsidRPr="00A7432C">
          <w:rPr>
            <w:rFonts w:ascii="Times New Roman" w:hAnsi="Times New Roman" w:cs="Times New Roman"/>
            <w:noProof/>
            <w:webHidden/>
            <w:sz w:val="22"/>
            <w:szCs w:val="22"/>
          </w:rPr>
          <w:fldChar w:fldCharType="end"/>
        </w:r>
      </w:hyperlink>
    </w:p>
    <w:p w14:paraId="6E24B8EC" w14:textId="0A0EFEA5" w:rsidR="00A7432C" w:rsidRPr="00A7432C" w:rsidRDefault="00A7432C" w:rsidP="00A7432C">
      <w:pPr>
        <w:pStyle w:val="TM3"/>
        <w:tabs>
          <w:tab w:val="left" w:pos="132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72" w:history="1">
        <w:r w:rsidRPr="00A7432C">
          <w:rPr>
            <w:rStyle w:val="Lienhypertexte"/>
            <w:rFonts w:ascii="Times New Roman" w:eastAsiaTheme="minorHAnsi" w:hAnsi="Times New Roman" w:cs="Times New Roman"/>
            <w:b/>
            <w:noProof/>
            <w:sz w:val="22"/>
            <w:szCs w:val="22"/>
            <w:lang w:val="fr-BF" w:eastAsia="en-US"/>
          </w:rPr>
          <w:t>10.2.1</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inorHAnsi" w:hAnsi="Times New Roman" w:cs="Times New Roman"/>
            <w:b/>
            <w:noProof/>
            <w:sz w:val="22"/>
            <w:szCs w:val="22"/>
            <w:lang w:val="fr-BF" w:eastAsia="en-US"/>
          </w:rPr>
          <w:t>Dans le domaine de la gestion des ressources en eau</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_Toc183340372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239</w:t>
        </w:r>
        <w:r w:rsidRPr="00A7432C">
          <w:rPr>
            <w:rFonts w:ascii="Times New Roman" w:hAnsi="Times New Roman" w:cs="Times New Roman"/>
            <w:noProof/>
            <w:webHidden/>
            <w:sz w:val="22"/>
            <w:szCs w:val="22"/>
          </w:rPr>
          <w:fldChar w:fldCharType="end"/>
        </w:r>
      </w:hyperlink>
    </w:p>
    <w:p w14:paraId="11D73A83" w14:textId="6030DDF1" w:rsidR="00A7432C" w:rsidRPr="00A7432C" w:rsidRDefault="00A7432C" w:rsidP="00A7432C">
      <w:pPr>
        <w:pStyle w:val="TM3"/>
        <w:tabs>
          <w:tab w:val="left" w:pos="132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73" w:history="1">
        <w:r w:rsidRPr="00A7432C">
          <w:rPr>
            <w:rStyle w:val="Lienhypertexte"/>
            <w:rFonts w:ascii="Times New Roman" w:eastAsiaTheme="minorHAnsi" w:hAnsi="Times New Roman" w:cs="Times New Roman"/>
            <w:b/>
            <w:noProof/>
            <w:sz w:val="22"/>
            <w:szCs w:val="22"/>
            <w:lang w:val="fr-BF" w:eastAsia="en-US"/>
          </w:rPr>
          <w:t>10.2.2</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inorHAnsi" w:hAnsi="Times New Roman" w:cs="Times New Roman"/>
            <w:b/>
            <w:noProof/>
            <w:sz w:val="22"/>
            <w:szCs w:val="22"/>
            <w:lang w:val="fr-BF" w:eastAsia="en-US"/>
          </w:rPr>
          <w:t>Pour une gestion durable des terres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_Toc183340373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240</w:t>
        </w:r>
        <w:r w:rsidRPr="00A7432C">
          <w:rPr>
            <w:rFonts w:ascii="Times New Roman" w:hAnsi="Times New Roman" w:cs="Times New Roman"/>
            <w:noProof/>
            <w:webHidden/>
            <w:sz w:val="22"/>
            <w:szCs w:val="22"/>
          </w:rPr>
          <w:fldChar w:fldCharType="end"/>
        </w:r>
      </w:hyperlink>
    </w:p>
    <w:p w14:paraId="08EC61F9" w14:textId="6305B9FF" w:rsidR="00A7432C" w:rsidRPr="00A7432C" w:rsidRDefault="00A7432C" w:rsidP="00A7432C">
      <w:pPr>
        <w:pStyle w:val="TM3"/>
        <w:tabs>
          <w:tab w:val="left" w:pos="132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74" w:history="1">
        <w:r w:rsidRPr="00A7432C">
          <w:rPr>
            <w:rStyle w:val="Lienhypertexte"/>
            <w:rFonts w:ascii="Times New Roman" w:eastAsiaTheme="minorHAnsi" w:hAnsi="Times New Roman" w:cs="Times New Roman"/>
            <w:b/>
            <w:noProof/>
            <w:sz w:val="22"/>
            <w:szCs w:val="22"/>
            <w:lang w:val="fr-BF" w:eastAsia="en-US"/>
          </w:rPr>
          <w:t>10.2.3</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inorHAnsi" w:hAnsi="Times New Roman" w:cs="Times New Roman"/>
            <w:b/>
            <w:noProof/>
            <w:sz w:val="22"/>
            <w:szCs w:val="22"/>
            <w:lang w:val="fr-BF" w:eastAsia="en-US"/>
          </w:rPr>
          <w:t>En matière de conservation de la diversité biologique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_Toc183340374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242</w:t>
        </w:r>
        <w:r w:rsidRPr="00A7432C">
          <w:rPr>
            <w:rFonts w:ascii="Times New Roman" w:hAnsi="Times New Roman" w:cs="Times New Roman"/>
            <w:noProof/>
            <w:webHidden/>
            <w:sz w:val="22"/>
            <w:szCs w:val="22"/>
          </w:rPr>
          <w:fldChar w:fldCharType="end"/>
        </w:r>
      </w:hyperlink>
    </w:p>
    <w:p w14:paraId="6F7751A4" w14:textId="02E149D3" w:rsidR="00A7432C" w:rsidRPr="00A7432C" w:rsidRDefault="00A7432C" w:rsidP="00A7432C">
      <w:pPr>
        <w:pStyle w:val="TM3"/>
        <w:tabs>
          <w:tab w:val="left" w:pos="132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75" w:history="1">
        <w:r w:rsidRPr="00A7432C">
          <w:rPr>
            <w:rStyle w:val="Lienhypertexte"/>
            <w:rFonts w:ascii="Times New Roman" w:eastAsiaTheme="minorHAnsi" w:hAnsi="Times New Roman" w:cs="Times New Roman"/>
            <w:b/>
            <w:noProof/>
            <w:sz w:val="22"/>
            <w:szCs w:val="22"/>
            <w:lang w:val="fr-BF" w:eastAsia="en-US"/>
          </w:rPr>
          <w:t>10.2.4</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inorHAnsi" w:hAnsi="Times New Roman" w:cs="Times New Roman"/>
            <w:b/>
            <w:noProof/>
            <w:sz w:val="22"/>
            <w:szCs w:val="22"/>
            <w:lang w:val="fr-BF" w:eastAsia="en-US"/>
          </w:rPr>
          <w:t>En matière de gestion des catastrophes naturelles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_Toc183340375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243</w:t>
        </w:r>
        <w:r w:rsidRPr="00A7432C">
          <w:rPr>
            <w:rFonts w:ascii="Times New Roman" w:hAnsi="Times New Roman" w:cs="Times New Roman"/>
            <w:noProof/>
            <w:webHidden/>
            <w:sz w:val="22"/>
            <w:szCs w:val="22"/>
          </w:rPr>
          <w:fldChar w:fldCharType="end"/>
        </w:r>
      </w:hyperlink>
    </w:p>
    <w:p w14:paraId="4F83E5A8" w14:textId="2ECE140A" w:rsidR="00A7432C" w:rsidRPr="00A7432C" w:rsidRDefault="00A7432C" w:rsidP="00A7432C">
      <w:pPr>
        <w:pStyle w:val="TM3"/>
        <w:tabs>
          <w:tab w:val="left" w:pos="132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76" w:history="1">
        <w:r w:rsidRPr="00A7432C">
          <w:rPr>
            <w:rStyle w:val="Lienhypertexte"/>
            <w:rFonts w:ascii="Times New Roman" w:eastAsiaTheme="minorHAnsi" w:hAnsi="Times New Roman" w:cs="Times New Roman"/>
            <w:b/>
            <w:noProof/>
            <w:sz w:val="22"/>
            <w:szCs w:val="22"/>
            <w:lang w:val="fr-BF" w:eastAsia="en-US"/>
          </w:rPr>
          <w:t>10.2.5</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inorHAnsi" w:hAnsi="Times New Roman" w:cs="Times New Roman"/>
            <w:b/>
            <w:noProof/>
            <w:sz w:val="22"/>
            <w:szCs w:val="22"/>
            <w:lang w:val="fr-BF" w:eastAsia="en-US"/>
          </w:rPr>
          <w:t>En ce qui concerne l’urbanisation</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_Toc183340376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243</w:t>
        </w:r>
        <w:r w:rsidRPr="00A7432C">
          <w:rPr>
            <w:rFonts w:ascii="Times New Roman" w:hAnsi="Times New Roman" w:cs="Times New Roman"/>
            <w:noProof/>
            <w:webHidden/>
            <w:sz w:val="22"/>
            <w:szCs w:val="22"/>
          </w:rPr>
          <w:fldChar w:fldCharType="end"/>
        </w:r>
      </w:hyperlink>
    </w:p>
    <w:p w14:paraId="120E3939" w14:textId="7B59D48C" w:rsidR="00A7432C" w:rsidRPr="00A7432C" w:rsidRDefault="00A7432C" w:rsidP="00A7432C">
      <w:pPr>
        <w:pStyle w:val="TM3"/>
        <w:tabs>
          <w:tab w:val="left" w:pos="1320"/>
          <w:tab w:val="right" w:leader="dot" w:pos="9175"/>
        </w:tabs>
        <w:rPr>
          <w:rFonts w:ascii="Times New Roman" w:eastAsiaTheme="minorEastAsia" w:hAnsi="Times New Roman" w:cs="Times New Roman"/>
          <w:i w:val="0"/>
          <w:iCs w:val="0"/>
          <w:noProof/>
          <w:kern w:val="2"/>
          <w:sz w:val="22"/>
          <w:szCs w:val="22"/>
          <w:lang w:val="fr-BF" w:eastAsia="fr-BF"/>
          <w14:ligatures w14:val="standardContextual"/>
        </w:rPr>
      </w:pPr>
      <w:hyperlink w:anchor="_Toc183340377" w:history="1">
        <w:r w:rsidRPr="00A7432C">
          <w:rPr>
            <w:rStyle w:val="Lienhypertexte"/>
            <w:rFonts w:ascii="Times New Roman" w:eastAsiaTheme="minorHAnsi" w:hAnsi="Times New Roman" w:cs="Times New Roman"/>
            <w:b/>
            <w:noProof/>
            <w:sz w:val="22"/>
            <w:szCs w:val="22"/>
            <w:lang w:val="fr-BF" w:eastAsia="en-US"/>
          </w:rPr>
          <w:t>10.2.6</w:t>
        </w:r>
        <w:r w:rsidRPr="00A7432C">
          <w:rPr>
            <w:rFonts w:ascii="Times New Roman" w:eastAsiaTheme="minorEastAsia" w:hAnsi="Times New Roman" w:cs="Times New Roman"/>
            <w:i w:val="0"/>
            <w:iCs w:val="0"/>
            <w:noProof/>
            <w:kern w:val="2"/>
            <w:sz w:val="22"/>
            <w:szCs w:val="22"/>
            <w:lang w:val="fr-BF" w:eastAsia="fr-BF"/>
            <w14:ligatures w14:val="standardContextual"/>
          </w:rPr>
          <w:tab/>
        </w:r>
        <w:r w:rsidRPr="00A7432C">
          <w:rPr>
            <w:rStyle w:val="Lienhypertexte"/>
            <w:rFonts w:ascii="Times New Roman" w:eastAsiaTheme="minorHAnsi" w:hAnsi="Times New Roman" w:cs="Times New Roman"/>
            <w:b/>
            <w:noProof/>
            <w:sz w:val="22"/>
            <w:szCs w:val="22"/>
            <w:lang w:val="fr-BF" w:eastAsia="en-US"/>
          </w:rPr>
          <w:t>Dans le domaine de la santé publique</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_Toc183340377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244</w:t>
        </w:r>
        <w:r w:rsidRPr="00A7432C">
          <w:rPr>
            <w:rFonts w:ascii="Times New Roman" w:hAnsi="Times New Roman" w:cs="Times New Roman"/>
            <w:noProof/>
            <w:webHidden/>
            <w:sz w:val="22"/>
            <w:szCs w:val="22"/>
          </w:rPr>
          <w:fldChar w:fldCharType="end"/>
        </w:r>
      </w:hyperlink>
    </w:p>
    <w:p w14:paraId="46B5F55B" w14:textId="635B84F6" w:rsidR="00A7432C" w:rsidRPr="00A7432C" w:rsidRDefault="00A7432C" w:rsidP="00A7432C">
      <w:pPr>
        <w:pStyle w:val="TM1"/>
        <w:tabs>
          <w:tab w:val="right" w:leader="dot" w:pos="9175"/>
        </w:tabs>
        <w:spacing w:before="0" w:after="0"/>
        <w:rPr>
          <w:rFonts w:ascii="Times New Roman" w:eastAsiaTheme="minorEastAsia" w:hAnsi="Times New Roman" w:cs="Times New Roman"/>
          <w:b w:val="0"/>
          <w:bCs w:val="0"/>
          <w:caps w:val="0"/>
          <w:noProof/>
          <w:kern w:val="2"/>
          <w:sz w:val="22"/>
          <w:szCs w:val="22"/>
          <w:lang w:val="fr-BF" w:eastAsia="fr-BF"/>
          <w14:ligatures w14:val="standardContextual"/>
        </w:rPr>
      </w:pPr>
      <w:hyperlink w:anchor="_Toc183340378" w:history="1">
        <w:r w:rsidRPr="00A7432C">
          <w:rPr>
            <w:rStyle w:val="Lienhypertexte"/>
            <w:rFonts w:ascii="Times New Roman" w:eastAsiaTheme="majorEastAsia" w:hAnsi="Times New Roman" w:cs="Times New Roman"/>
            <w:noProof/>
            <w:sz w:val="22"/>
            <w:szCs w:val="22"/>
          </w:rPr>
          <w:t>REFERENCES DOCUMENTAIRES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_Toc183340378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246</w:t>
        </w:r>
        <w:r w:rsidRPr="00A7432C">
          <w:rPr>
            <w:rFonts w:ascii="Times New Roman" w:hAnsi="Times New Roman" w:cs="Times New Roman"/>
            <w:noProof/>
            <w:webHidden/>
            <w:sz w:val="22"/>
            <w:szCs w:val="22"/>
          </w:rPr>
          <w:fldChar w:fldCharType="end"/>
        </w:r>
      </w:hyperlink>
    </w:p>
    <w:p w14:paraId="4D927FFF" w14:textId="7D81898D" w:rsidR="00A7432C" w:rsidRPr="00A7432C" w:rsidRDefault="00A7432C" w:rsidP="00A7432C">
      <w:pPr>
        <w:pStyle w:val="TM1"/>
        <w:tabs>
          <w:tab w:val="right" w:leader="dot" w:pos="9175"/>
        </w:tabs>
        <w:spacing w:before="0" w:after="0"/>
        <w:rPr>
          <w:rFonts w:ascii="Times New Roman" w:eastAsiaTheme="minorEastAsia" w:hAnsi="Times New Roman" w:cs="Times New Roman"/>
          <w:b w:val="0"/>
          <w:bCs w:val="0"/>
          <w:caps w:val="0"/>
          <w:noProof/>
          <w:kern w:val="2"/>
          <w:sz w:val="22"/>
          <w:szCs w:val="22"/>
          <w:lang w:val="fr-BF" w:eastAsia="fr-BF"/>
          <w14:ligatures w14:val="standardContextual"/>
        </w:rPr>
      </w:pPr>
      <w:hyperlink w:anchor="_Toc183340379" w:history="1">
        <w:r w:rsidRPr="00A7432C">
          <w:rPr>
            <w:rStyle w:val="Lienhypertexte"/>
            <w:rFonts w:ascii="Times New Roman" w:eastAsiaTheme="majorEastAsia" w:hAnsi="Times New Roman" w:cs="Times New Roman"/>
            <w:noProof/>
            <w:sz w:val="22"/>
            <w:szCs w:val="22"/>
          </w:rPr>
          <w:t>ANNEXES</w:t>
        </w:r>
        <w:r w:rsidRPr="00A7432C">
          <w:rPr>
            <w:rFonts w:ascii="Times New Roman" w:hAnsi="Times New Roman" w:cs="Times New Roman"/>
            <w:noProof/>
            <w:webHidden/>
            <w:sz w:val="22"/>
            <w:szCs w:val="22"/>
          </w:rPr>
          <w:tab/>
        </w:r>
        <w:r w:rsidRPr="00A7432C">
          <w:rPr>
            <w:rFonts w:ascii="Times New Roman" w:hAnsi="Times New Roman" w:cs="Times New Roman"/>
            <w:noProof/>
            <w:webHidden/>
            <w:sz w:val="22"/>
            <w:szCs w:val="22"/>
          </w:rPr>
          <w:fldChar w:fldCharType="begin"/>
        </w:r>
        <w:r w:rsidRPr="00A7432C">
          <w:rPr>
            <w:rFonts w:ascii="Times New Roman" w:hAnsi="Times New Roman" w:cs="Times New Roman"/>
            <w:noProof/>
            <w:webHidden/>
            <w:sz w:val="22"/>
            <w:szCs w:val="22"/>
          </w:rPr>
          <w:instrText xml:space="preserve"> PAGEREF _Toc183340379 \h </w:instrText>
        </w:r>
        <w:r w:rsidRPr="00A7432C">
          <w:rPr>
            <w:rFonts w:ascii="Times New Roman" w:hAnsi="Times New Roman" w:cs="Times New Roman"/>
            <w:noProof/>
            <w:webHidden/>
            <w:sz w:val="22"/>
            <w:szCs w:val="22"/>
          </w:rPr>
        </w:r>
        <w:r w:rsidRPr="00A7432C">
          <w:rPr>
            <w:rFonts w:ascii="Times New Roman" w:hAnsi="Times New Roman" w:cs="Times New Roman"/>
            <w:noProof/>
            <w:webHidden/>
            <w:sz w:val="22"/>
            <w:szCs w:val="22"/>
          </w:rPr>
          <w:fldChar w:fldCharType="separate"/>
        </w:r>
        <w:r w:rsidR="00C25291">
          <w:rPr>
            <w:rFonts w:ascii="Times New Roman" w:hAnsi="Times New Roman" w:cs="Times New Roman"/>
            <w:noProof/>
            <w:webHidden/>
            <w:sz w:val="22"/>
            <w:szCs w:val="22"/>
          </w:rPr>
          <w:t>267</w:t>
        </w:r>
        <w:r w:rsidRPr="00A7432C">
          <w:rPr>
            <w:rFonts w:ascii="Times New Roman" w:hAnsi="Times New Roman" w:cs="Times New Roman"/>
            <w:noProof/>
            <w:webHidden/>
            <w:sz w:val="22"/>
            <w:szCs w:val="22"/>
          </w:rPr>
          <w:fldChar w:fldCharType="end"/>
        </w:r>
      </w:hyperlink>
    </w:p>
    <w:p w14:paraId="7296852C" w14:textId="08452E9C" w:rsidR="00DA1BD7" w:rsidRPr="007C5A6E" w:rsidRDefault="000E1BA6" w:rsidP="00A7432C">
      <w:pPr>
        <w:spacing w:after="0"/>
        <w:rPr>
          <w:rFonts w:ascii="Times New Roman" w:hAnsi="Times New Roman"/>
        </w:rPr>
      </w:pPr>
      <w:r w:rsidRPr="00A7432C">
        <w:rPr>
          <w:rFonts w:ascii="Times New Roman" w:hAnsi="Times New Roman"/>
          <w:b/>
          <w:bCs/>
          <w:caps/>
        </w:rPr>
        <w:fldChar w:fldCharType="end"/>
      </w:r>
    </w:p>
    <w:p w14:paraId="4C6A2D85" w14:textId="77777777" w:rsidR="00857104" w:rsidRPr="007C5A6E" w:rsidRDefault="00857104" w:rsidP="000E1BA6">
      <w:pPr>
        <w:spacing w:after="0"/>
        <w:rPr>
          <w:rFonts w:ascii="Times New Roman" w:hAnsi="Times New Roman"/>
        </w:rPr>
      </w:pPr>
    </w:p>
    <w:p w14:paraId="08D19944" w14:textId="77777777" w:rsidR="00857104" w:rsidRPr="007C5A6E" w:rsidRDefault="00857104" w:rsidP="000E1BA6">
      <w:pPr>
        <w:spacing w:after="0"/>
        <w:rPr>
          <w:rFonts w:ascii="Times New Roman" w:hAnsi="Times New Roman"/>
        </w:rPr>
        <w:sectPr w:rsidR="00857104" w:rsidRPr="007C5A6E" w:rsidSect="006514BA">
          <w:pgSz w:w="11907" w:h="16840" w:code="9"/>
          <w:pgMar w:top="1191" w:right="1361" w:bottom="1191" w:left="1361" w:header="709" w:footer="709" w:gutter="0"/>
          <w:pgNumType w:fmt="lowerRoman"/>
          <w:cols w:space="708"/>
          <w:docGrid w:linePitch="360"/>
        </w:sectPr>
      </w:pPr>
    </w:p>
    <w:p w14:paraId="19B5C1C5" w14:textId="1055E706" w:rsidR="005E7B17" w:rsidRPr="007C5A6E" w:rsidRDefault="00A340F1" w:rsidP="00857104">
      <w:pPr>
        <w:pStyle w:val="Titre1"/>
        <w:numPr>
          <w:ilvl w:val="0"/>
          <w:numId w:val="0"/>
        </w:numPr>
        <w:spacing w:before="0"/>
        <w:rPr>
          <w:kern w:val="2"/>
          <w:sz w:val="32"/>
          <w:lang w:eastAsia="en-US"/>
          <w14:ligatures w14:val="standardContextual"/>
        </w:rPr>
      </w:pPr>
      <w:bookmarkStart w:id="4" w:name="_Toc183339997"/>
      <w:r w:rsidRPr="007C5A6E">
        <w:rPr>
          <w:kern w:val="2"/>
          <w:sz w:val="32"/>
          <w:lang w:eastAsia="en-US"/>
          <w14:ligatures w14:val="standardContextual"/>
        </w:rPr>
        <w:t>Liste des tableaux</w:t>
      </w:r>
      <w:bookmarkEnd w:id="4"/>
    </w:p>
    <w:p w14:paraId="6C9ED6C5" w14:textId="77777777" w:rsidR="00DA1BD7" w:rsidRPr="007C5A6E" w:rsidRDefault="00DA1BD7" w:rsidP="00DA1BD7">
      <w:pPr>
        <w:pStyle w:val="Tabledesillustrations"/>
        <w:tabs>
          <w:tab w:val="right" w:leader="dot" w:pos="9175"/>
        </w:tabs>
        <w:spacing w:line="276" w:lineRule="auto"/>
        <w:rPr>
          <w:rFonts w:cs="Times New Roman"/>
          <w:sz w:val="22"/>
        </w:rPr>
      </w:pPr>
    </w:p>
    <w:p w14:paraId="07DF44DA" w14:textId="77948576" w:rsidR="000E1BA6" w:rsidRPr="007C5A6E" w:rsidRDefault="00DA1BD7" w:rsidP="00BF3932">
      <w:pPr>
        <w:pStyle w:val="Tabledesillustrations"/>
        <w:tabs>
          <w:tab w:val="right" w:leader="dot" w:pos="9175"/>
        </w:tabs>
        <w:spacing w:line="276" w:lineRule="auto"/>
        <w:rPr>
          <w:rFonts w:eastAsiaTheme="minorEastAsia" w:cs="Times New Roman"/>
          <w:noProof/>
          <w:sz w:val="22"/>
          <w:lang w:val="fr-BF" w:eastAsia="fr-BF"/>
        </w:rPr>
      </w:pPr>
      <w:r w:rsidRPr="007C5A6E">
        <w:rPr>
          <w:rFonts w:cs="Times New Roman"/>
          <w:sz w:val="22"/>
        </w:rPr>
        <w:fldChar w:fldCharType="begin"/>
      </w:r>
      <w:r w:rsidRPr="007C5A6E">
        <w:rPr>
          <w:rFonts w:cs="Times New Roman"/>
          <w:sz w:val="22"/>
        </w:rPr>
        <w:instrText xml:space="preserve"> TOC \h \z \c "Tableau" </w:instrText>
      </w:r>
      <w:r w:rsidRPr="007C5A6E">
        <w:rPr>
          <w:rFonts w:cs="Times New Roman"/>
          <w:sz w:val="22"/>
        </w:rPr>
        <w:fldChar w:fldCharType="separate"/>
      </w:r>
      <w:hyperlink w:anchor="_Toc183292205" w:history="1">
        <w:r w:rsidR="000E1BA6" w:rsidRPr="007C5A6E">
          <w:rPr>
            <w:rStyle w:val="Lienhypertexte"/>
            <w:rFonts w:cs="Times New Roman"/>
            <w:noProof/>
            <w:sz w:val="22"/>
          </w:rPr>
          <w:t>Tableau 1</w:t>
        </w:r>
        <w:r w:rsidR="000E1BA6" w:rsidRPr="007C5A6E">
          <w:rPr>
            <w:rStyle w:val="Lienhypertexte"/>
            <w:rFonts w:eastAsia="Calibri" w:cs="Times New Roman"/>
            <w:noProof/>
            <w:sz w:val="22"/>
          </w:rPr>
          <w:t> : Principaux indicateurs socio-démographiques du Burkina Faso</w:t>
        </w:r>
        <w:r w:rsidR="000E1BA6" w:rsidRPr="007C5A6E">
          <w:rPr>
            <w:rFonts w:cs="Times New Roman"/>
            <w:noProof/>
            <w:webHidden/>
            <w:sz w:val="22"/>
          </w:rPr>
          <w:tab/>
        </w:r>
        <w:r w:rsidR="000E1BA6" w:rsidRPr="007C5A6E">
          <w:rPr>
            <w:rFonts w:cs="Times New Roman"/>
            <w:noProof/>
            <w:webHidden/>
            <w:sz w:val="22"/>
          </w:rPr>
          <w:fldChar w:fldCharType="begin"/>
        </w:r>
        <w:r w:rsidR="000E1BA6" w:rsidRPr="007C5A6E">
          <w:rPr>
            <w:rFonts w:cs="Times New Roman"/>
            <w:noProof/>
            <w:webHidden/>
            <w:sz w:val="22"/>
          </w:rPr>
          <w:instrText xml:space="preserve"> PAGEREF _Toc183292205 \h </w:instrText>
        </w:r>
        <w:r w:rsidR="000E1BA6" w:rsidRPr="007C5A6E">
          <w:rPr>
            <w:rFonts w:cs="Times New Roman"/>
            <w:noProof/>
            <w:webHidden/>
            <w:sz w:val="22"/>
          </w:rPr>
        </w:r>
        <w:r w:rsidR="000E1BA6" w:rsidRPr="007C5A6E">
          <w:rPr>
            <w:rFonts w:cs="Times New Roman"/>
            <w:noProof/>
            <w:webHidden/>
            <w:sz w:val="22"/>
          </w:rPr>
          <w:fldChar w:fldCharType="separate"/>
        </w:r>
        <w:r w:rsidR="00C25291">
          <w:rPr>
            <w:rFonts w:cs="Times New Roman"/>
            <w:noProof/>
            <w:webHidden/>
            <w:sz w:val="22"/>
          </w:rPr>
          <w:t>2</w:t>
        </w:r>
        <w:r w:rsidR="000E1BA6" w:rsidRPr="007C5A6E">
          <w:rPr>
            <w:rFonts w:cs="Times New Roman"/>
            <w:noProof/>
            <w:webHidden/>
            <w:sz w:val="22"/>
          </w:rPr>
          <w:fldChar w:fldCharType="end"/>
        </w:r>
      </w:hyperlink>
    </w:p>
    <w:p w14:paraId="1B61239C" w14:textId="21AE2E00"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06" w:history="1">
        <w:r w:rsidRPr="007C5A6E">
          <w:rPr>
            <w:rStyle w:val="Lienhypertexte"/>
            <w:rFonts w:cs="Times New Roman"/>
            <w:noProof/>
            <w:sz w:val="22"/>
          </w:rPr>
          <w:t>Tableau 2 : Caractéristiques de la zone sahélienne</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_Toc183292206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5</w:t>
        </w:r>
        <w:r w:rsidRPr="007C5A6E">
          <w:rPr>
            <w:rFonts w:cs="Times New Roman"/>
            <w:noProof/>
            <w:webHidden/>
            <w:sz w:val="22"/>
          </w:rPr>
          <w:fldChar w:fldCharType="end"/>
        </w:r>
      </w:hyperlink>
    </w:p>
    <w:p w14:paraId="789FDBEB" w14:textId="508DDB0A"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07" w:history="1">
        <w:r w:rsidRPr="007C5A6E">
          <w:rPr>
            <w:rStyle w:val="Lienhypertexte"/>
            <w:rFonts w:cs="Times New Roman"/>
            <w:noProof/>
            <w:sz w:val="22"/>
          </w:rPr>
          <w:t>Tableau 3 : Caractéristiques de la zone soudano-sahélienne</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_Toc183292207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6</w:t>
        </w:r>
        <w:r w:rsidRPr="007C5A6E">
          <w:rPr>
            <w:rFonts w:cs="Times New Roman"/>
            <w:noProof/>
            <w:webHidden/>
            <w:sz w:val="22"/>
          </w:rPr>
          <w:fldChar w:fldCharType="end"/>
        </w:r>
      </w:hyperlink>
    </w:p>
    <w:p w14:paraId="27C4C989" w14:textId="6887E177"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08" w:history="1">
        <w:r w:rsidRPr="007C5A6E">
          <w:rPr>
            <w:rStyle w:val="Lienhypertexte"/>
            <w:rFonts w:cs="Times New Roman"/>
            <w:noProof/>
            <w:sz w:val="22"/>
          </w:rPr>
          <w:t>Tableau 4 : Caractéristiques de la zone soudanienne</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_Toc183292208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6</w:t>
        </w:r>
        <w:r w:rsidRPr="007C5A6E">
          <w:rPr>
            <w:rFonts w:cs="Times New Roman"/>
            <w:noProof/>
            <w:webHidden/>
            <w:sz w:val="22"/>
          </w:rPr>
          <w:fldChar w:fldCharType="end"/>
        </w:r>
      </w:hyperlink>
    </w:p>
    <w:p w14:paraId="43745214" w14:textId="7659DCAB"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09" w:history="1">
        <w:r w:rsidRPr="007C5A6E">
          <w:rPr>
            <w:rStyle w:val="Lienhypertexte"/>
            <w:rFonts w:cs="Times New Roman"/>
            <w:noProof/>
            <w:sz w:val="22"/>
          </w:rPr>
          <w:t>Tableau 5 : Variables pluviométriques projetées en 2050 et 2100 suivant les scénarios SSP245, SSP370 et SSP585</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_Toc183292209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24</w:t>
        </w:r>
        <w:r w:rsidRPr="007C5A6E">
          <w:rPr>
            <w:rFonts w:cs="Times New Roman"/>
            <w:noProof/>
            <w:webHidden/>
            <w:sz w:val="22"/>
          </w:rPr>
          <w:fldChar w:fldCharType="end"/>
        </w:r>
      </w:hyperlink>
    </w:p>
    <w:p w14:paraId="607DA3C7" w14:textId="3CFC82A7"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10" w:history="1">
        <w:r w:rsidRPr="007C5A6E">
          <w:rPr>
            <w:rStyle w:val="Lienhypertexte"/>
            <w:rFonts w:cs="Times New Roman"/>
            <w:noProof/>
            <w:sz w:val="22"/>
          </w:rPr>
          <w:t>Tableau 6 : projection de variables de températures en 2050 et 2100 au regard des valeurs de 2000</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_Toc183292210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28</w:t>
        </w:r>
        <w:r w:rsidRPr="007C5A6E">
          <w:rPr>
            <w:rFonts w:cs="Times New Roman"/>
            <w:noProof/>
            <w:webHidden/>
            <w:sz w:val="22"/>
          </w:rPr>
          <w:fldChar w:fldCharType="end"/>
        </w:r>
      </w:hyperlink>
    </w:p>
    <w:p w14:paraId="4F00F351" w14:textId="445A4181"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11" w:history="1">
        <w:r w:rsidRPr="007C5A6E">
          <w:rPr>
            <w:rStyle w:val="Lienhypertexte"/>
            <w:rFonts w:cs="Times New Roman"/>
            <w:noProof/>
            <w:sz w:val="22"/>
          </w:rPr>
          <w:t>Tableau 7</w:t>
        </w:r>
        <w:r w:rsidRPr="007C5A6E">
          <w:rPr>
            <w:rStyle w:val="Lienhypertexte"/>
            <w:rFonts w:cs="Times New Roman"/>
            <w:noProof/>
            <w:sz w:val="22"/>
            <w:lang w:eastAsia="da-DK"/>
          </w:rPr>
          <w:t xml:space="preserve"> : Aperçu des indicateurs généralement mesurés</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_Toc183292211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35</w:t>
        </w:r>
        <w:r w:rsidRPr="007C5A6E">
          <w:rPr>
            <w:rFonts w:cs="Times New Roman"/>
            <w:noProof/>
            <w:webHidden/>
            <w:sz w:val="22"/>
          </w:rPr>
          <w:fldChar w:fldCharType="end"/>
        </w:r>
      </w:hyperlink>
    </w:p>
    <w:p w14:paraId="72834516" w14:textId="01BC1BC3"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12" w:history="1">
        <w:r w:rsidRPr="007C5A6E">
          <w:rPr>
            <w:rStyle w:val="Lienhypertexte"/>
            <w:rFonts w:cs="Times New Roman"/>
            <w:iCs/>
            <w:noProof/>
            <w:sz w:val="22"/>
            <w:lang w:eastAsia="da-DK"/>
          </w:rPr>
          <w:t>Tableau 8 : types de substances polluantes déversées par les industries et les transports</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_Toc183292212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36</w:t>
        </w:r>
        <w:r w:rsidRPr="007C5A6E">
          <w:rPr>
            <w:rFonts w:cs="Times New Roman"/>
            <w:noProof/>
            <w:webHidden/>
            <w:sz w:val="22"/>
          </w:rPr>
          <w:fldChar w:fldCharType="end"/>
        </w:r>
      </w:hyperlink>
    </w:p>
    <w:p w14:paraId="30FE54F4" w14:textId="52151777"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13" w:history="1">
        <w:r w:rsidRPr="007C5A6E">
          <w:rPr>
            <w:rStyle w:val="Lienhypertexte"/>
            <w:rFonts w:cs="Times New Roman"/>
            <w:iCs/>
            <w:noProof/>
            <w:sz w:val="22"/>
            <w:lang w:eastAsia="da-DK"/>
          </w:rPr>
          <w:t>Tableau 9 : Evolution interannuelle de l'évaporation dans les principales stations (en mm)</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_Toc183292213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38</w:t>
        </w:r>
        <w:r w:rsidRPr="007C5A6E">
          <w:rPr>
            <w:rFonts w:cs="Times New Roman"/>
            <w:noProof/>
            <w:webHidden/>
            <w:sz w:val="22"/>
          </w:rPr>
          <w:fldChar w:fldCharType="end"/>
        </w:r>
      </w:hyperlink>
    </w:p>
    <w:p w14:paraId="280DE723" w14:textId="11ECD167"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14" w:history="1">
        <w:r w:rsidRPr="007C5A6E">
          <w:rPr>
            <w:rStyle w:val="Lienhypertexte"/>
            <w:rFonts w:cs="Times New Roman"/>
            <w:noProof/>
            <w:sz w:val="22"/>
          </w:rPr>
          <w:t>Tableau 10 : Aperçu indicatif de l’importance des demandes en eau</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_Toc183292214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39</w:t>
        </w:r>
        <w:r w:rsidRPr="007C5A6E">
          <w:rPr>
            <w:rFonts w:cs="Times New Roman"/>
            <w:noProof/>
            <w:webHidden/>
            <w:sz w:val="22"/>
          </w:rPr>
          <w:fldChar w:fldCharType="end"/>
        </w:r>
      </w:hyperlink>
    </w:p>
    <w:p w14:paraId="38690308" w14:textId="5C310AB9"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15" w:history="1">
        <w:r w:rsidRPr="007C5A6E">
          <w:rPr>
            <w:rStyle w:val="Lienhypertexte"/>
            <w:rFonts w:cs="Times New Roman"/>
            <w:iCs/>
            <w:noProof/>
            <w:sz w:val="22"/>
            <w:lang w:eastAsia="da-DK"/>
          </w:rPr>
          <w:t>Tableau 11 : Etat de la qualité des eaux souterraines</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_Toc183292215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42</w:t>
        </w:r>
        <w:r w:rsidRPr="007C5A6E">
          <w:rPr>
            <w:rFonts w:cs="Times New Roman"/>
            <w:noProof/>
            <w:webHidden/>
            <w:sz w:val="22"/>
          </w:rPr>
          <w:fldChar w:fldCharType="end"/>
        </w:r>
      </w:hyperlink>
    </w:p>
    <w:p w14:paraId="2FA6112A" w14:textId="0A9D234A"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16" w:history="1">
        <w:r w:rsidRPr="007C5A6E">
          <w:rPr>
            <w:rStyle w:val="Lienhypertexte"/>
            <w:rFonts w:cs="Times New Roman"/>
            <w:iCs/>
            <w:noProof/>
            <w:sz w:val="22"/>
            <w:lang w:eastAsia="da-DK"/>
          </w:rPr>
          <w:t>Tableau 12 : Etat des risques liés à la qualité des eaux souterraines</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_Toc183292216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42</w:t>
        </w:r>
        <w:r w:rsidRPr="007C5A6E">
          <w:rPr>
            <w:rFonts w:cs="Times New Roman"/>
            <w:noProof/>
            <w:webHidden/>
            <w:sz w:val="22"/>
          </w:rPr>
          <w:fldChar w:fldCharType="end"/>
        </w:r>
      </w:hyperlink>
    </w:p>
    <w:p w14:paraId="10ED4822" w14:textId="2FC847C8"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17" w:history="1">
        <w:r w:rsidRPr="007C5A6E">
          <w:rPr>
            <w:rStyle w:val="Lienhypertexte"/>
            <w:rFonts w:cs="Times New Roman"/>
            <w:iCs/>
            <w:noProof/>
            <w:sz w:val="22"/>
            <w:lang w:eastAsia="da-DK"/>
          </w:rPr>
          <w:t>Tableau 13 : Etat des ressources en eau renouvelables du Burkina Faso en 2022</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_Toc183292217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49</w:t>
        </w:r>
        <w:r w:rsidRPr="007C5A6E">
          <w:rPr>
            <w:rFonts w:cs="Times New Roman"/>
            <w:noProof/>
            <w:webHidden/>
            <w:sz w:val="22"/>
          </w:rPr>
          <w:fldChar w:fldCharType="end"/>
        </w:r>
      </w:hyperlink>
    </w:p>
    <w:p w14:paraId="79F50BF3" w14:textId="3B964F2C"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18" w:history="1">
        <w:r w:rsidRPr="007C5A6E">
          <w:rPr>
            <w:rStyle w:val="Lienhypertexte"/>
            <w:rFonts w:cs="Times New Roman"/>
            <w:iCs/>
            <w:noProof/>
            <w:sz w:val="22"/>
            <w:lang w:eastAsia="da-DK"/>
          </w:rPr>
          <w:t>Tableau 14 : Réalisations et volumes d’eau prélevables par les PEM équipés de PMH de 2016 à 2023</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_Toc183292218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50</w:t>
        </w:r>
        <w:r w:rsidRPr="007C5A6E">
          <w:rPr>
            <w:rFonts w:cs="Times New Roman"/>
            <w:noProof/>
            <w:webHidden/>
            <w:sz w:val="22"/>
          </w:rPr>
          <w:fldChar w:fldCharType="end"/>
        </w:r>
      </w:hyperlink>
    </w:p>
    <w:p w14:paraId="48D8740B" w14:textId="2DAE4207"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19" w:history="1">
        <w:r w:rsidRPr="007C5A6E">
          <w:rPr>
            <w:rStyle w:val="Lienhypertexte"/>
            <w:rFonts w:cs="Times New Roman"/>
            <w:iCs/>
            <w:noProof/>
            <w:sz w:val="22"/>
            <w:lang w:eastAsia="da-DK"/>
          </w:rPr>
          <w:t>Tableau 15 : Réalisations et volumes d’eau prélevables par les systèmes d’Adduction d’Eau Potable Simplifié (AEPS) et de Poste d’Eau Autonome (PEA) en 2022</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_Toc183292219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51</w:t>
        </w:r>
        <w:r w:rsidRPr="007C5A6E">
          <w:rPr>
            <w:rFonts w:cs="Times New Roman"/>
            <w:noProof/>
            <w:webHidden/>
            <w:sz w:val="22"/>
          </w:rPr>
          <w:fldChar w:fldCharType="end"/>
        </w:r>
      </w:hyperlink>
    </w:p>
    <w:p w14:paraId="32E8B31F" w14:textId="4B149D41"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20" w:history="1">
        <w:r w:rsidRPr="007C5A6E">
          <w:rPr>
            <w:rStyle w:val="Lienhypertexte"/>
            <w:rFonts w:cs="Times New Roman"/>
            <w:iCs/>
            <w:noProof/>
            <w:sz w:val="22"/>
            <w:lang w:eastAsia="da-DK"/>
          </w:rPr>
          <w:t>Tableau 16 : Aperçu des prélèvements d’eau par évaporation dans les principales stations en 2021</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_Toc183292220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52</w:t>
        </w:r>
        <w:r w:rsidRPr="007C5A6E">
          <w:rPr>
            <w:rFonts w:cs="Times New Roman"/>
            <w:noProof/>
            <w:webHidden/>
            <w:sz w:val="22"/>
          </w:rPr>
          <w:fldChar w:fldCharType="end"/>
        </w:r>
      </w:hyperlink>
    </w:p>
    <w:p w14:paraId="242C8009" w14:textId="2AE10FBF"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21" w:history="1">
        <w:r w:rsidRPr="007C5A6E">
          <w:rPr>
            <w:rStyle w:val="Lienhypertexte"/>
            <w:rFonts w:cs="Times New Roman"/>
            <w:iCs/>
            <w:noProof/>
            <w:sz w:val="22"/>
            <w:lang w:eastAsia="da-DK"/>
          </w:rPr>
          <w:t>Tableau 17 : Répartition des retenues d’eau par sous bassin versant selon le type</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_Toc183292221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53</w:t>
        </w:r>
        <w:r w:rsidRPr="007C5A6E">
          <w:rPr>
            <w:rFonts w:cs="Times New Roman"/>
            <w:noProof/>
            <w:webHidden/>
            <w:sz w:val="22"/>
          </w:rPr>
          <w:fldChar w:fldCharType="end"/>
        </w:r>
      </w:hyperlink>
    </w:p>
    <w:p w14:paraId="5A388F97" w14:textId="329EEE69"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22" w:history="1">
        <w:r w:rsidRPr="007C5A6E">
          <w:rPr>
            <w:rStyle w:val="Lienhypertexte"/>
            <w:rFonts w:cs="Times New Roman"/>
            <w:iCs/>
            <w:noProof/>
            <w:sz w:val="22"/>
            <w:lang w:eastAsia="da-DK"/>
          </w:rPr>
          <w:t>Tableau 18 : Etat du nombre des ouvrages de mobilisation des ressources en eau de surface</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_Toc183292222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54</w:t>
        </w:r>
        <w:r w:rsidRPr="007C5A6E">
          <w:rPr>
            <w:rFonts w:cs="Times New Roman"/>
            <w:noProof/>
            <w:webHidden/>
            <w:sz w:val="22"/>
          </w:rPr>
          <w:fldChar w:fldCharType="end"/>
        </w:r>
      </w:hyperlink>
    </w:p>
    <w:p w14:paraId="46E98825" w14:textId="10A95E04"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23" w:history="1">
        <w:r w:rsidRPr="007C5A6E">
          <w:rPr>
            <w:rStyle w:val="Lienhypertexte"/>
            <w:rFonts w:cs="Times New Roman"/>
            <w:iCs/>
            <w:noProof/>
            <w:sz w:val="22"/>
            <w:lang w:eastAsia="da-DK"/>
          </w:rPr>
          <w:t>Tableau 19 : Capacités (en m3) des retenues d’eau par région et par type</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_Toc183292223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55</w:t>
        </w:r>
        <w:r w:rsidRPr="007C5A6E">
          <w:rPr>
            <w:rFonts w:cs="Times New Roman"/>
            <w:noProof/>
            <w:webHidden/>
            <w:sz w:val="22"/>
          </w:rPr>
          <w:fldChar w:fldCharType="end"/>
        </w:r>
      </w:hyperlink>
    </w:p>
    <w:p w14:paraId="0818C9B0" w14:textId="4E4A8A9E"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24" w:history="1">
        <w:r w:rsidRPr="007C5A6E">
          <w:rPr>
            <w:rStyle w:val="Lienhypertexte"/>
            <w:rFonts w:cs="Times New Roman"/>
            <w:iCs/>
            <w:noProof/>
            <w:sz w:val="22"/>
            <w:lang w:eastAsia="da-DK"/>
          </w:rPr>
          <w:t>Tableau 20 : barrages d’importance régionale ou nationale pour leurs vocations</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_Toc183292224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56</w:t>
        </w:r>
        <w:r w:rsidRPr="007C5A6E">
          <w:rPr>
            <w:rFonts w:cs="Times New Roman"/>
            <w:noProof/>
            <w:webHidden/>
            <w:sz w:val="22"/>
          </w:rPr>
          <w:fldChar w:fldCharType="end"/>
        </w:r>
      </w:hyperlink>
    </w:p>
    <w:p w14:paraId="39FE1B09" w14:textId="140BACEE"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25" w:history="1">
        <w:r w:rsidRPr="007C5A6E">
          <w:rPr>
            <w:rStyle w:val="Lienhypertexte"/>
            <w:rFonts w:cs="Times New Roman"/>
            <w:iCs/>
            <w:noProof/>
            <w:sz w:val="22"/>
            <w:lang w:eastAsia="da-DK"/>
          </w:rPr>
          <w:t>Tableau 21 : Evaluation de la qualité des ressources en eau souterraines du bassin de la Comoé en 2012</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_Toc183292225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57</w:t>
        </w:r>
        <w:r w:rsidRPr="007C5A6E">
          <w:rPr>
            <w:rFonts w:cs="Times New Roman"/>
            <w:noProof/>
            <w:webHidden/>
            <w:sz w:val="22"/>
          </w:rPr>
          <w:fldChar w:fldCharType="end"/>
        </w:r>
      </w:hyperlink>
    </w:p>
    <w:p w14:paraId="646007A7" w14:textId="4F03AC41"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26" w:history="1">
        <w:r w:rsidRPr="007C5A6E">
          <w:rPr>
            <w:rStyle w:val="Lienhypertexte"/>
            <w:rFonts w:cs="Times New Roman"/>
            <w:iCs/>
            <w:noProof/>
            <w:sz w:val="22"/>
            <w:lang w:eastAsia="da-DK"/>
          </w:rPr>
          <w:t>Tableau 22 : Dépassement des teneurs en arsenic des eaux de forage sur quelques sites d’exploitation minière (or) en 2012</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_Toc183292226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58</w:t>
        </w:r>
        <w:r w:rsidRPr="007C5A6E">
          <w:rPr>
            <w:rFonts w:cs="Times New Roman"/>
            <w:noProof/>
            <w:webHidden/>
            <w:sz w:val="22"/>
          </w:rPr>
          <w:fldChar w:fldCharType="end"/>
        </w:r>
      </w:hyperlink>
    </w:p>
    <w:p w14:paraId="53127446" w14:textId="0937608E"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27" w:history="1">
        <w:r w:rsidRPr="007C5A6E">
          <w:rPr>
            <w:rStyle w:val="Lienhypertexte"/>
            <w:rFonts w:cs="Times New Roman"/>
            <w:iCs/>
            <w:noProof/>
            <w:sz w:val="22"/>
            <w:lang w:eastAsia="da-DK"/>
          </w:rPr>
          <w:t>Tableau 23 : Teneur en arsenic des eaux dans les communes Falangountou et Markoye</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_Toc183292227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58</w:t>
        </w:r>
        <w:r w:rsidRPr="007C5A6E">
          <w:rPr>
            <w:rFonts w:cs="Times New Roman"/>
            <w:noProof/>
            <w:webHidden/>
            <w:sz w:val="22"/>
          </w:rPr>
          <w:fldChar w:fldCharType="end"/>
        </w:r>
      </w:hyperlink>
    </w:p>
    <w:p w14:paraId="06037CC5" w14:textId="0ABD7464"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28" w:history="1">
        <w:r w:rsidRPr="007C5A6E">
          <w:rPr>
            <w:rStyle w:val="Lienhypertexte"/>
            <w:rFonts w:cs="Times New Roman"/>
            <w:iCs/>
            <w:noProof/>
            <w:sz w:val="22"/>
            <w:lang w:eastAsia="da-DK"/>
          </w:rPr>
          <w:t>Tableau 24 : Tendance d’évolution de l’évaporation des lacs d’eau naturels ou artificiels et des cours d’eau</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_Toc183292228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65</w:t>
        </w:r>
        <w:r w:rsidRPr="007C5A6E">
          <w:rPr>
            <w:rFonts w:cs="Times New Roman"/>
            <w:noProof/>
            <w:webHidden/>
            <w:sz w:val="22"/>
          </w:rPr>
          <w:fldChar w:fldCharType="end"/>
        </w:r>
      </w:hyperlink>
    </w:p>
    <w:p w14:paraId="4ED65527" w14:textId="17F7E709"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29" w:history="1">
        <w:r w:rsidRPr="007C5A6E">
          <w:rPr>
            <w:rStyle w:val="Lienhypertexte"/>
            <w:rFonts w:cs="Times New Roman"/>
            <w:noProof/>
            <w:sz w:val="22"/>
          </w:rPr>
          <w:t xml:space="preserve">Tableau 25 </w:t>
        </w:r>
        <w:r w:rsidRPr="007C5A6E">
          <w:rPr>
            <w:rStyle w:val="Lienhypertexte"/>
            <w:rFonts w:eastAsia="Calibri" w:cs="Times New Roman"/>
            <w:b/>
            <w:noProof/>
            <w:sz w:val="22"/>
            <w:shd w:val="clear" w:color="auto" w:fill="FFFFFF"/>
          </w:rPr>
          <w:t xml:space="preserve">: </w:t>
        </w:r>
        <w:r w:rsidRPr="007C5A6E">
          <w:rPr>
            <w:rStyle w:val="Lienhypertexte"/>
            <w:rFonts w:eastAsia="Calibri" w:cs="Times New Roman"/>
            <w:bCs/>
            <w:noProof/>
            <w:sz w:val="22"/>
            <w:shd w:val="clear" w:color="auto" w:fill="FFFFFF"/>
          </w:rPr>
          <w:t>Evolution de l’effectif potentiel des bovins de 2016 à 2021 (en pourcentage)</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_Toc183292229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70</w:t>
        </w:r>
        <w:r w:rsidRPr="007C5A6E">
          <w:rPr>
            <w:rFonts w:cs="Times New Roman"/>
            <w:noProof/>
            <w:webHidden/>
            <w:sz w:val="22"/>
          </w:rPr>
          <w:fldChar w:fldCharType="end"/>
        </w:r>
      </w:hyperlink>
    </w:p>
    <w:p w14:paraId="0F8D8CDE" w14:textId="28760573"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30" w:history="1">
        <w:r w:rsidRPr="007C5A6E">
          <w:rPr>
            <w:rStyle w:val="Lienhypertexte"/>
            <w:rFonts w:cs="Times New Roman"/>
            <w:noProof/>
            <w:sz w:val="22"/>
          </w:rPr>
          <w:t>Tableau 26 : Evolution de l'effectif potentiel des ovins de 2026 à 2021 (en pourcentage)</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_Toc183292230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70</w:t>
        </w:r>
        <w:r w:rsidRPr="007C5A6E">
          <w:rPr>
            <w:rFonts w:cs="Times New Roman"/>
            <w:noProof/>
            <w:webHidden/>
            <w:sz w:val="22"/>
          </w:rPr>
          <w:fldChar w:fldCharType="end"/>
        </w:r>
      </w:hyperlink>
    </w:p>
    <w:p w14:paraId="4461D001" w14:textId="3807DDFF"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31" w:history="1">
        <w:r w:rsidRPr="007C5A6E">
          <w:rPr>
            <w:rStyle w:val="Lienhypertexte"/>
            <w:rFonts w:cs="Times New Roman"/>
            <w:noProof/>
            <w:sz w:val="22"/>
          </w:rPr>
          <w:t>Tableau 27 : Evolution de l’effectif potentiel des caprins de 2016 à 2021 (en pourcentage)</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_Toc183292231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71</w:t>
        </w:r>
        <w:r w:rsidRPr="007C5A6E">
          <w:rPr>
            <w:rFonts w:cs="Times New Roman"/>
            <w:noProof/>
            <w:webHidden/>
            <w:sz w:val="22"/>
          </w:rPr>
          <w:fldChar w:fldCharType="end"/>
        </w:r>
      </w:hyperlink>
    </w:p>
    <w:p w14:paraId="77758868" w14:textId="34FBAF61"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32" w:history="1">
        <w:r w:rsidRPr="007C5A6E">
          <w:rPr>
            <w:rStyle w:val="Lienhypertexte"/>
            <w:rFonts w:cs="Times New Roman"/>
            <w:noProof/>
            <w:spacing w:val="10"/>
            <w:sz w:val="22"/>
          </w:rPr>
          <w:t>Tableau 28 : Liste et superficie des permis d’exploitation industrielle valides</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_Toc183292232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73</w:t>
        </w:r>
        <w:r w:rsidRPr="007C5A6E">
          <w:rPr>
            <w:rFonts w:cs="Times New Roman"/>
            <w:noProof/>
            <w:webHidden/>
            <w:sz w:val="22"/>
          </w:rPr>
          <w:fldChar w:fldCharType="end"/>
        </w:r>
      </w:hyperlink>
    </w:p>
    <w:p w14:paraId="72FEFA02" w14:textId="0EC38723"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33" w:history="1">
        <w:r w:rsidRPr="007C5A6E">
          <w:rPr>
            <w:rStyle w:val="Lienhypertexte"/>
            <w:rFonts w:cs="Times New Roman"/>
            <w:noProof/>
            <w:spacing w:val="10"/>
            <w:sz w:val="22"/>
          </w:rPr>
          <w:t>Tableau 29 : Evolution des superficies des nouveaux périmètres irrigués de 2016 à 2021 (en ha)</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_Toc183292233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76</w:t>
        </w:r>
        <w:r w:rsidRPr="007C5A6E">
          <w:rPr>
            <w:rFonts w:cs="Times New Roman"/>
            <w:noProof/>
            <w:webHidden/>
            <w:sz w:val="22"/>
          </w:rPr>
          <w:fldChar w:fldCharType="end"/>
        </w:r>
      </w:hyperlink>
    </w:p>
    <w:p w14:paraId="3ACA2539" w14:textId="0853C725"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34" w:history="1">
        <w:r w:rsidRPr="007C5A6E">
          <w:rPr>
            <w:rStyle w:val="Lienhypertexte"/>
            <w:rFonts w:cs="Times New Roman"/>
            <w:noProof/>
            <w:spacing w:val="10"/>
            <w:sz w:val="22"/>
          </w:rPr>
          <w:t>Tableau 30 : Evolution des superficies des nouveaux bas-fonds aménagés de 2016 à 2021 (en ha)</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_Toc183292234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77</w:t>
        </w:r>
        <w:r w:rsidRPr="007C5A6E">
          <w:rPr>
            <w:rFonts w:cs="Times New Roman"/>
            <w:noProof/>
            <w:webHidden/>
            <w:sz w:val="22"/>
          </w:rPr>
          <w:fldChar w:fldCharType="end"/>
        </w:r>
      </w:hyperlink>
    </w:p>
    <w:p w14:paraId="7802D757" w14:textId="1DB60879"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35" w:history="1">
        <w:r w:rsidRPr="007C5A6E">
          <w:rPr>
            <w:rStyle w:val="Lienhypertexte"/>
            <w:rFonts w:cs="Times New Roman"/>
            <w:noProof/>
            <w:spacing w:val="10"/>
            <w:sz w:val="22"/>
          </w:rPr>
          <w:t>Tableau 31 : Evolution du taux de dégradation des sols de 2012 à 2023 (%)</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_Toc183292235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78</w:t>
        </w:r>
        <w:r w:rsidRPr="007C5A6E">
          <w:rPr>
            <w:rFonts w:cs="Times New Roman"/>
            <w:noProof/>
            <w:webHidden/>
            <w:sz w:val="22"/>
          </w:rPr>
          <w:fldChar w:fldCharType="end"/>
        </w:r>
      </w:hyperlink>
    </w:p>
    <w:p w14:paraId="200C2A6E" w14:textId="6C998B4D"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36" w:history="1">
        <w:r w:rsidRPr="007C5A6E">
          <w:rPr>
            <w:rStyle w:val="Lienhypertexte"/>
            <w:rFonts w:cs="Times New Roman"/>
            <w:noProof/>
            <w:spacing w:val="10"/>
            <w:sz w:val="22"/>
          </w:rPr>
          <w:t>Tableau 32 : Intensité simple des pluies dans les principales stations de 2016 à 2023 (mm/h)</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_Toc183292236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80</w:t>
        </w:r>
        <w:r w:rsidRPr="007C5A6E">
          <w:rPr>
            <w:rFonts w:cs="Times New Roman"/>
            <w:noProof/>
            <w:webHidden/>
            <w:sz w:val="22"/>
          </w:rPr>
          <w:fldChar w:fldCharType="end"/>
        </w:r>
      </w:hyperlink>
    </w:p>
    <w:p w14:paraId="0DC48153" w14:textId="2D08B26A"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37" w:history="1">
        <w:r w:rsidRPr="007C5A6E">
          <w:rPr>
            <w:rStyle w:val="Lienhypertexte"/>
            <w:rFonts w:cs="Times New Roman"/>
            <w:noProof/>
            <w:spacing w:val="10"/>
            <w:sz w:val="22"/>
          </w:rPr>
          <w:t>Tableau 33 : Températures maximales dans les principales stations de 2016 à 2023</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_Toc183292237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80</w:t>
        </w:r>
        <w:r w:rsidRPr="007C5A6E">
          <w:rPr>
            <w:rFonts w:cs="Times New Roman"/>
            <w:noProof/>
            <w:webHidden/>
            <w:sz w:val="22"/>
          </w:rPr>
          <w:fldChar w:fldCharType="end"/>
        </w:r>
      </w:hyperlink>
    </w:p>
    <w:p w14:paraId="46A20BF1" w14:textId="5EA61EC9"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38" w:history="1">
        <w:r w:rsidRPr="007C5A6E">
          <w:rPr>
            <w:rStyle w:val="Lienhypertexte"/>
            <w:rFonts w:cs="Times New Roman"/>
            <w:noProof/>
            <w:spacing w:val="10"/>
            <w:sz w:val="22"/>
          </w:rPr>
          <w:t>Tableau 34 : Evolution de la vitesse moyenne du vent dans les principales stations (m/s)</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_Toc183292238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80</w:t>
        </w:r>
        <w:r w:rsidRPr="007C5A6E">
          <w:rPr>
            <w:rFonts w:cs="Times New Roman"/>
            <w:noProof/>
            <w:webHidden/>
            <w:sz w:val="22"/>
          </w:rPr>
          <w:fldChar w:fldCharType="end"/>
        </w:r>
      </w:hyperlink>
    </w:p>
    <w:p w14:paraId="51B0FEA2" w14:textId="250A5CC6"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39" w:history="1">
        <w:r w:rsidRPr="007C5A6E">
          <w:rPr>
            <w:rStyle w:val="Lienhypertexte"/>
            <w:rFonts w:cs="Times New Roman"/>
            <w:noProof/>
            <w:spacing w:val="10"/>
            <w:sz w:val="22"/>
          </w:rPr>
          <w:t>Tableau 35 : Part de la superficie sous cordons pierreux de 2016 à 2021 (en %)</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_Toc183292239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90</w:t>
        </w:r>
        <w:r w:rsidRPr="007C5A6E">
          <w:rPr>
            <w:rFonts w:cs="Times New Roman"/>
            <w:noProof/>
            <w:webHidden/>
            <w:sz w:val="22"/>
          </w:rPr>
          <w:fldChar w:fldCharType="end"/>
        </w:r>
      </w:hyperlink>
    </w:p>
    <w:p w14:paraId="0E255DC7" w14:textId="6D49F3E9"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40" w:history="1">
        <w:r w:rsidRPr="007C5A6E">
          <w:rPr>
            <w:rStyle w:val="Lienhypertexte"/>
            <w:rFonts w:cs="Times New Roman"/>
            <w:noProof/>
            <w:spacing w:val="10"/>
            <w:sz w:val="22"/>
          </w:rPr>
          <w:t>Tableau 36 : Part de la superficie sous diguettes filtrantes de 2016 à 2021 (en %)</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_Toc183292240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91</w:t>
        </w:r>
        <w:r w:rsidRPr="007C5A6E">
          <w:rPr>
            <w:rFonts w:cs="Times New Roman"/>
            <w:noProof/>
            <w:webHidden/>
            <w:sz w:val="22"/>
          </w:rPr>
          <w:fldChar w:fldCharType="end"/>
        </w:r>
      </w:hyperlink>
    </w:p>
    <w:p w14:paraId="4A8B555D" w14:textId="0A7CE5A8"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41" w:history="1">
        <w:r w:rsidRPr="007C5A6E">
          <w:rPr>
            <w:rStyle w:val="Lienhypertexte"/>
            <w:rFonts w:cs="Times New Roman"/>
            <w:noProof/>
            <w:spacing w:val="10"/>
            <w:sz w:val="22"/>
          </w:rPr>
          <w:t>Tableau 37 : Part de la superficie sous bandes enherbées de 2016 à 2021 (en %)</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_Toc183292241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91</w:t>
        </w:r>
        <w:r w:rsidRPr="007C5A6E">
          <w:rPr>
            <w:rFonts w:cs="Times New Roman"/>
            <w:noProof/>
            <w:webHidden/>
            <w:sz w:val="22"/>
          </w:rPr>
          <w:fldChar w:fldCharType="end"/>
        </w:r>
      </w:hyperlink>
    </w:p>
    <w:p w14:paraId="5E56A1DB" w14:textId="1E68C49E"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42" w:history="1">
        <w:r w:rsidRPr="007C5A6E">
          <w:rPr>
            <w:rStyle w:val="Lienhypertexte"/>
            <w:rFonts w:cs="Times New Roman"/>
            <w:noProof/>
            <w:spacing w:val="10"/>
            <w:sz w:val="22"/>
          </w:rPr>
          <w:t>Tableau 38 : Part de la superficie sous zaï de 2016 à 2021 (en %)</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_Toc183292242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92</w:t>
        </w:r>
        <w:r w:rsidRPr="007C5A6E">
          <w:rPr>
            <w:rFonts w:cs="Times New Roman"/>
            <w:noProof/>
            <w:webHidden/>
            <w:sz w:val="22"/>
          </w:rPr>
          <w:fldChar w:fldCharType="end"/>
        </w:r>
      </w:hyperlink>
    </w:p>
    <w:p w14:paraId="3C8C3CEE" w14:textId="6525086F"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43" w:history="1">
        <w:r w:rsidRPr="007C5A6E">
          <w:rPr>
            <w:rStyle w:val="Lienhypertexte"/>
            <w:rFonts w:cs="Times New Roman"/>
            <w:noProof/>
            <w:spacing w:val="10"/>
            <w:sz w:val="22"/>
          </w:rPr>
          <w:t>Tableau 39 : Part de la superficie sous demi-lune de 2016 à 2021 (en %)</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_Toc183292243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92</w:t>
        </w:r>
        <w:r w:rsidRPr="007C5A6E">
          <w:rPr>
            <w:rFonts w:cs="Times New Roman"/>
            <w:noProof/>
            <w:webHidden/>
            <w:sz w:val="22"/>
          </w:rPr>
          <w:fldChar w:fldCharType="end"/>
        </w:r>
      </w:hyperlink>
    </w:p>
    <w:p w14:paraId="6B0A3F4A" w14:textId="3A6D6017"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44" w:history="1">
        <w:r w:rsidRPr="007C5A6E">
          <w:rPr>
            <w:rStyle w:val="Lienhypertexte"/>
            <w:rFonts w:cs="Times New Roman"/>
            <w:noProof/>
            <w:sz w:val="22"/>
          </w:rPr>
          <w:t xml:space="preserve">Tableau 40 </w:t>
        </w:r>
        <w:r w:rsidRPr="007C5A6E">
          <w:rPr>
            <w:rStyle w:val="Lienhypertexte"/>
            <w:rFonts w:eastAsia="Calibri" w:cs="Times New Roman"/>
            <w:noProof/>
            <w:sz w:val="22"/>
          </w:rPr>
          <w:t>: Evolution des effectifs du cheptel par espèce (en milliers de têtes)</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_Toc183292244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107</w:t>
        </w:r>
        <w:r w:rsidRPr="007C5A6E">
          <w:rPr>
            <w:rFonts w:cs="Times New Roman"/>
            <w:noProof/>
            <w:webHidden/>
            <w:sz w:val="22"/>
          </w:rPr>
          <w:fldChar w:fldCharType="end"/>
        </w:r>
      </w:hyperlink>
    </w:p>
    <w:p w14:paraId="032AE901" w14:textId="2FF074B5"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45" w:history="1">
        <w:r w:rsidRPr="007C5A6E">
          <w:rPr>
            <w:rStyle w:val="Lienhypertexte"/>
            <w:rFonts w:cs="Times New Roman"/>
            <w:noProof/>
            <w:sz w:val="22"/>
          </w:rPr>
          <w:t>Tableau 41 : Evolution des effectifs des bovins par région</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_Toc183292245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108</w:t>
        </w:r>
        <w:r w:rsidRPr="007C5A6E">
          <w:rPr>
            <w:rFonts w:cs="Times New Roman"/>
            <w:noProof/>
            <w:webHidden/>
            <w:sz w:val="22"/>
          </w:rPr>
          <w:fldChar w:fldCharType="end"/>
        </w:r>
      </w:hyperlink>
    </w:p>
    <w:p w14:paraId="20398D3A" w14:textId="672BA972"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46" w:history="1">
        <w:r w:rsidRPr="007C5A6E">
          <w:rPr>
            <w:rStyle w:val="Lienhypertexte"/>
            <w:rFonts w:cs="Times New Roman"/>
            <w:noProof/>
            <w:sz w:val="22"/>
          </w:rPr>
          <w:t>Tableau 42 : Evolution des superficies brûlées, en ha</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_Toc183292246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110</w:t>
        </w:r>
        <w:r w:rsidRPr="007C5A6E">
          <w:rPr>
            <w:rFonts w:cs="Times New Roman"/>
            <w:noProof/>
            <w:webHidden/>
            <w:sz w:val="22"/>
          </w:rPr>
          <w:fldChar w:fldCharType="end"/>
        </w:r>
      </w:hyperlink>
    </w:p>
    <w:p w14:paraId="5AEBB6F3" w14:textId="4AD38555"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47" w:history="1">
        <w:r w:rsidRPr="007C5A6E">
          <w:rPr>
            <w:rStyle w:val="Lienhypertexte"/>
            <w:rFonts w:cs="Times New Roman"/>
            <w:noProof/>
            <w:sz w:val="22"/>
          </w:rPr>
          <w:t xml:space="preserve">Tableau 43 </w:t>
        </w:r>
        <w:r w:rsidRPr="007C5A6E">
          <w:rPr>
            <w:rStyle w:val="Lienhypertexte"/>
            <w:rFonts w:eastAsia="Calibri" w:cs="Times New Roman"/>
            <w:noProof/>
            <w:sz w:val="22"/>
          </w:rPr>
          <w:t>: Les 20 premières espèces ligneuses dominantes rencontrées sur quatre sites le long des zones climatiques et des types d’utilisation des terres en fonction de l’indice de valeur d’importance</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_Toc183292247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118</w:t>
        </w:r>
        <w:r w:rsidRPr="007C5A6E">
          <w:rPr>
            <w:rFonts w:cs="Times New Roman"/>
            <w:noProof/>
            <w:webHidden/>
            <w:sz w:val="22"/>
          </w:rPr>
          <w:fldChar w:fldCharType="end"/>
        </w:r>
      </w:hyperlink>
    </w:p>
    <w:p w14:paraId="1FD660B2" w14:textId="07B32AAD"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48" w:history="1">
        <w:r w:rsidRPr="007C5A6E">
          <w:rPr>
            <w:rStyle w:val="Lienhypertexte"/>
            <w:rFonts w:cs="Times New Roman"/>
            <w:noProof/>
            <w:sz w:val="22"/>
          </w:rPr>
          <w:t>Tableau 44</w:t>
        </w:r>
        <w:r w:rsidRPr="007C5A6E">
          <w:rPr>
            <w:rStyle w:val="Lienhypertexte"/>
            <w:rFonts w:eastAsia="Calibri" w:cs="Times New Roman"/>
            <w:noProof/>
            <w:sz w:val="22"/>
          </w:rPr>
          <w:t xml:space="preserve"> : Nombre d’espèces envahissantes du Burkina Faso classées par catégorie de potentiel d’envahissement hiérarchisée de l’ICRAF</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_Toc183292248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120</w:t>
        </w:r>
        <w:r w:rsidRPr="007C5A6E">
          <w:rPr>
            <w:rFonts w:cs="Times New Roman"/>
            <w:noProof/>
            <w:webHidden/>
            <w:sz w:val="22"/>
          </w:rPr>
          <w:fldChar w:fldCharType="end"/>
        </w:r>
      </w:hyperlink>
    </w:p>
    <w:p w14:paraId="7E484D06" w14:textId="0DB65C2A"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49" w:history="1">
        <w:r w:rsidRPr="007C5A6E">
          <w:rPr>
            <w:rStyle w:val="Lienhypertexte"/>
            <w:rFonts w:cs="Times New Roman"/>
            <w:noProof/>
            <w:sz w:val="22"/>
          </w:rPr>
          <w:t xml:space="preserve">Tableau 45 </w:t>
        </w:r>
        <w:r w:rsidRPr="007C5A6E">
          <w:rPr>
            <w:rStyle w:val="Lienhypertexte"/>
            <w:rFonts w:eastAsia="Calibri" w:cs="Times New Roman"/>
            <w:noProof/>
            <w:sz w:val="22"/>
          </w:rPr>
          <w:t>: Formations végétales du Burkina Faso et leurs caractéristiques</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_Toc183292249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123</w:t>
        </w:r>
        <w:r w:rsidRPr="007C5A6E">
          <w:rPr>
            <w:rFonts w:cs="Times New Roman"/>
            <w:noProof/>
            <w:webHidden/>
            <w:sz w:val="22"/>
          </w:rPr>
          <w:fldChar w:fldCharType="end"/>
        </w:r>
      </w:hyperlink>
    </w:p>
    <w:p w14:paraId="36BFE082" w14:textId="5AD025F4"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50" w:history="1">
        <w:r w:rsidRPr="007C5A6E">
          <w:rPr>
            <w:rStyle w:val="Lienhypertexte"/>
            <w:rFonts w:cs="Times New Roman"/>
            <w:noProof/>
            <w:sz w:val="22"/>
          </w:rPr>
          <w:t xml:space="preserve">Tableau 46 </w:t>
        </w:r>
        <w:r w:rsidRPr="007C5A6E">
          <w:rPr>
            <w:rStyle w:val="Lienhypertexte"/>
            <w:rFonts w:eastAsia="Calibri" w:cs="Times New Roman"/>
            <w:noProof/>
            <w:sz w:val="22"/>
          </w:rPr>
          <w:t>: Evolution des indicateurs de reboisement</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_Toc183292250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128</w:t>
        </w:r>
        <w:r w:rsidRPr="007C5A6E">
          <w:rPr>
            <w:rFonts w:cs="Times New Roman"/>
            <w:noProof/>
            <w:webHidden/>
            <w:sz w:val="22"/>
          </w:rPr>
          <w:fldChar w:fldCharType="end"/>
        </w:r>
      </w:hyperlink>
    </w:p>
    <w:p w14:paraId="7A14A27B" w14:textId="4AA9D8FC"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51" w:history="1">
        <w:r w:rsidRPr="007C5A6E">
          <w:rPr>
            <w:rStyle w:val="Lienhypertexte"/>
            <w:rFonts w:cs="Times New Roman"/>
            <w:noProof/>
            <w:sz w:val="22"/>
          </w:rPr>
          <w:t>Tableau 47 : Liste des chantiers d’aménagement forestiers (CAF) au Burkina Faso</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_Toc183292251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129</w:t>
        </w:r>
        <w:r w:rsidRPr="007C5A6E">
          <w:rPr>
            <w:rFonts w:cs="Times New Roman"/>
            <w:noProof/>
            <w:webHidden/>
            <w:sz w:val="22"/>
          </w:rPr>
          <w:fldChar w:fldCharType="end"/>
        </w:r>
      </w:hyperlink>
    </w:p>
    <w:p w14:paraId="04AA3EED" w14:textId="54EC5AE2"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52" w:history="1">
        <w:r w:rsidRPr="007C5A6E">
          <w:rPr>
            <w:rStyle w:val="Lienhypertexte"/>
            <w:rFonts w:cs="Times New Roman"/>
            <w:noProof/>
            <w:sz w:val="22"/>
          </w:rPr>
          <w:t xml:space="preserve">Tableau 48 </w:t>
        </w:r>
        <w:r w:rsidRPr="007C5A6E">
          <w:rPr>
            <w:rStyle w:val="Lienhypertexte"/>
            <w:rFonts w:eastAsia="Calibri" w:cs="Times New Roman"/>
            <w:noProof/>
            <w:sz w:val="22"/>
          </w:rPr>
          <w:t>: liste des sites Ramsar du Burkina Faso</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_Toc183292252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131</w:t>
        </w:r>
        <w:r w:rsidRPr="007C5A6E">
          <w:rPr>
            <w:rFonts w:cs="Times New Roman"/>
            <w:noProof/>
            <w:webHidden/>
            <w:sz w:val="22"/>
          </w:rPr>
          <w:fldChar w:fldCharType="end"/>
        </w:r>
      </w:hyperlink>
    </w:p>
    <w:p w14:paraId="123CAF7D" w14:textId="541F52E9"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53" w:history="1">
        <w:r w:rsidRPr="007C5A6E">
          <w:rPr>
            <w:rStyle w:val="Lienhypertexte"/>
            <w:rFonts w:cs="Times New Roman"/>
            <w:noProof/>
            <w:sz w:val="22"/>
          </w:rPr>
          <w:t>Tableau 49</w:t>
        </w:r>
        <w:r w:rsidRPr="007C5A6E">
          <w:rPr>
            <w:rStyle w:val="Lienhypertexte"/>
            <w:rFonts w:eastAsia="Calibri" w:cs="Times New Roman"/>
            <w:noProof/>
            <w:sz w:val="22"/>
          </w:rPr>
          <w:t xml:space="preserve"> : Liste des espèces probablement disparues au Burkina Faso</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_Toc183292253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146</w:t>
        </w:r>
        <w:r w:rsidRPr="007C5A6E">
          <w:rPr>
            <w:rFonts w:cs="Times New Roman"/>
            <w:noProof/>
            <w:webHidden/>
            <w:sz w:val="22"/>
          </w:rPr>
          <w:fldChar w:fldCharType="end"/>
        </w:r>
      </w:hyperlink>
    </w:p>
    <w:p w14:paraId="3D251A63" w14:textId="05267C6F"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54" w:history="1">
        <w:r w:rsidRPr="007C5A6E">
          <w:rPr>
            <w:rStyle w:val="Lienhypertexte"/>
            <w:rFonts w:cs="Times New Roman"/>
            <w:noProof/>
            <w:sz w:val="22"/>
          </w:rPr>
          <w:t>Tableau 50 : Liste des oiseaux menaces au Burkina Faso</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_Toc183292254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146</w:t>
        </w:r>
        <w:r w:rsidRPr="007C5A6E">
          <w:rPr>
            <w:rFonts w:cs="Times New Roman"/>
            <w:noProof/>
            <w:webHidden/>
            <w:sz w:val="22"/>
          </w:rPr>
          <w:fldChar w:fldCharType="end"/>
        </w:r>
      </w:hyperlink>
    </w:p>
    <w:p w14:paraId="537228D9" w14:textId="795A07B7"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55" w:history="1">
        <w:r w:rsidRPr="007C5A6E">
          <w:rPr>
            <w:rStyle w:val="Lienhypertexte"/>
            <w:rFonts w:cs="Times New Roman"/>
            <w:noProof/>
            <w:sz w:val="22"/>
          </w:rPr>
          <w:t>Tableau 51</w:t>
        </w:r>
        <w:r w:rsidRPr="007C5A6E">
          <w:rPr>
            <w:rStyle w:val="Lienhypertexte"/>
            <w:rFonts w:eastAsia="Calibri" w:cs="Times New Roman"/>
            <w:noProof/>
            <w:sz w:val="22"/>
          </w:rPr>
          <w:t xml:space="preserve"> : Dégradation des forêts et renforcement de stock de carbone</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_Toc183292255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148</w:t>
        </w:r>
        <w:r w:rsidRPr="007C5A6E">
          <w:rPr>
            <w:rFonts w:cs="Times New Roman"/>
            <w:noProof/>
            <w:webHidden/>
            <w:sz w:val="22"/>
          </w:rPr>
          <w:fldChar w:fldCharType="end"/>
        </w:r>
      </w:hyperlink>
    </w:p>
    <w:p w14:paraId="5D95E15A" w14:textId="7AD7E34A"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56" w:history="1">
        <w:r w:rsidRPr="007C5A6E">
          <w:rPr>
            <w:rStyle w:val="Lienhypertexte"/>
            <w:rFonts w:cs="Times New Roman"/>
            <w:noProof/>
            <w:sz w:val="22"/>
          </w:rPr>
          <w:t>Tableau 52 : Contribution du secteur AFAT dans la réduction des émissions de GES</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_Toc183292256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148</w:t>
        </w:r>
        <w:r w:rsidRPr="007C5A6E">
          <w:rPr>
            <w:rFonts w:cs="Times New Roman"/>
            <w:noProof/>
            <w:webHidden/>
            <w:sz w:val="22"/>
          </w:rPr>
          <w:fldChar w:fldCharType="end"/>
        </w:r>
      </w:hyperlink>
    </w:p>
    <w:p w14:paraId="59F30F56" w14:textId="3E6167D2"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57" w:history="1">
        <w:r w:rsidRPr="007C5A6E">
          <w:rPr>
            <w:rStyle w:val="Lienhypertexte"/>
            <w:rFonts w:cs="Times New Roman"/>
            <w:noProof/>
            <w:sz w:val="22"/>
          </w:rPr>
          <w:t>Tableau 53 : liste des conventions, traités et protocoles relatifs à la diversité biologique</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_Toc183292257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150</w:t>
        </w:r>
        <w:r w:rsidRPr="007C5A6E">
          <w:rPr>
            <w:rFonts w:cs="Times New Roman"/>
            <w:noProof/>
            <w:webHidden/>
            <w:sz w:val="22"/>
          </w:rPr>
          <w:fldChar w:fldCharType="end"/>
        </w:r>
      </w:hyperlink>
    </w:p>
    <w:p w14:paraId="5CA047AF" w14:textId="2593D408"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58" w:history="1">
        <w:r w:rsidRPr="007C5A6E">
          <w:rPr>
            <w:rStyle w:val="Lienhypertexte"/>
            <w:rFonts w:cs="Times New Roman"/>
            <w:noProof/>
            <w:sz w:val="22"/>
          </w:rPr>
          <w:t>Tableau 54 : Liste synthétique des instruments régionaux, sous régionaux et transfrontaliers africains de gestion de la diversité biologique</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_Toc183292258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151</w:t>
        </w:r>
        <w:r w:rsidRPr="007C5A6E">
          <w:rPr>
            <w:rFonts w:cs="Times New Roman"/>
            <w:noProof/>
            <w:webHidden/>
            <w:sz w:val="22"/>
          </w:rPr>
          <w:fldChar w:fldCharType="end"/>
        </w:r>
      </w:hyperlink>
    </w:p>
    <w:p w14:paraId="0BEADE91" w14:textId="18CF72FC"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59" w:history="1">
        <w:r w:rsidRPr="007C5A6E">
          <w:rPr>
            <w:rStyle w:val="Lienhypertexte"/>
            <w:rFonts w:cs="Times New Roman"/>
            <w:noProof/>
            <w:sz w:val="22"/>
          </w:rPr>
          <w:t>Tableau 55 : Liste de quelques projets et programmes majeurs en lien avec la diversité biologique au Burkina Faso</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_Toc183292259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152</w:t>
        </w:r>
        <w:r w:rsidRPr="007C5A6E">
          <w:rPr>
            <w:rFonts w:cs="Times New Roman"/>
            <w:noProof/>
            <w:webHidden/>
            <w:sz w:val="22"/>
          </w:rPr>
          <w:fldChar w:fldCharType="end"/>
        </w:r>
      </w:hyperlink>
    </w:p>
    <w:p w14:paraId="4C6919EC" w14:textId="75E57E0F"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60" w:history="1">
        <w:r w:rsidRPr="007C5A6E">
          <w:rPr>
            <w:rStyle w:val="Lienhypertexte"/>
            <w:rFonts w:cs="Times New Roman"/>
            <w:noProof/>
            <w:sz w:val="22"/>
          </w:rPr>
          <w:t>Tableau 56 : Liste des actions d’atténuation</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_Toc183292260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156</w:t>
        </w:r>
        <w:r w:rsidRPr="007C5A6E">
          <w:rPr>
            <w:rFonts w:cs="Times New Roman"/>
            <w:noProof/>
            <w:webHidden/>
            <w:sz w:val="22"/>
          </w:rPr>
          <w:fldChar w:fldCharType="end"/>
        </w:r>
      </w:hyperlink>
    </w:p>
    <w:p w14:paraId="771443E1" w14:textId="5A19D040"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61" w:history="1">
        <w:r w:rsidRPr="007C5A6E">
          <w:rPr>
            <w:rStyle w:val="Lienhypertexte"/>
            <w:rFonts w:cs="Times New Roman"/>
            <w:noProof/>
            <w:sz w:val="22"/>
          </w:rPr>
          <w:t>Tableau 57 : Concordances entre inondations et pluies maximales journalières et sur 5 jours</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_Toc183292261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164</w:t>
        </w:r>
        <w:r w:rsidRPr="007C5A6E">
          <w:rPr>
            <w:rFonts w:cs="Times New Roman"/>
            <w:noProof/>
            <w:webHidden/>
            <w:sz w:val="22"/>
          </w:rPr>
          <w:fldChar w:fldCharType="end"/>
        </w:r>
      </w:hyperlink>
    </w:p>
    <w:p w14:paraId="5F7D0413" w14:textId="1D227909"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62" w:history="1">
        <w:r w:rsidRPr="007C5A6E">
          <w:rPr>
            <w:rStyle w:val="Lienhypertexte"/>
            <w:rFonts w:cs="Times New Roman"/>
            <w:noProof/>
            <w:sz w:val="22"/>
          </w:rPr>
          <w:t>Tableau 58 : Déficits pluviométriques des années de sécheresse</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_Toc183292262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164</w:t>
        </w:r>
        <w:r w:rsidRPr="007C5A6E">
          <w:rPr>
            <w:rFonts w:cs="Times New Roman"/>
            <w:noProof/>
            <w:webHidden/>
            <w:sz w:val="22"/>
          </w:rPr>
          <w:fldChar w:fldCharType="end"/>
        </w:r>
      </w:hyperlink>
    </w:p>
    <w:p w14:paraId="5A123820" w14:textId="5213005E"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63" w:history="1">
        <w:r w:rsidRPr="007C5A6E">
          <w:rPr>
            <w:rStyle w:val="Lienhypertexte"/>
            <w:rFonts w:cs="Times New Roman"/>
            <w:noProof/>
            <w:sz w:val="22"/>
          </w:rPr>
          <w:t>Tableau 59 : Impacts sociaux des inondations et des sécheresses documentés entre 1988 et 2021</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_Toc183292263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165</w:t>
        </w:r>
        <w:r w:rsidRPr="007C5A6E">
          <w:rPr>
            <w:rFonts w:cs="Times New Roman"/>
            <w:noProof/>
            <w:webHidden/>
            <w:sz w:val="22"/>
          </w:rPr>
          <w:fldChar w:fldCharType="end"/>
        </w:r>
      </w:hyperlink>
    </w:p>
    <w:p w14:paraId="07FFFAB2" w14:textId="4A20651E"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64" w:history="1">
        <w:r w:rsidRPr="007C5A6E">
          <w:rPr>
            <w:rStyle w:val="Lienhypertexte"/>
            <w:rFonts w:cs="Times New Roman"/>
            <w:noProof/>
            <w:sz w:val="22"/>
          </w:rPr>
          <w:t>Tableau 60 : Impacts économiques des inondations et des sécheresses documentés entre 1988 et 2021</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_Toc183292264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165</w:t>
        </w:r>
        <w:r w:rsidRPr="007C5A6E">
          <w:rPr>
            <w:rFonts w:cs="Times New Roman"/>
            <w:noProof/>
            <w:webHidden/>
            <w:sz w:val="22"/>
          </w:rPr>
          <w:fldChar w:fldCharType="end"/>
        </w:r>
      </w:hyperlink>
    </w:p>
    <w:p w14:paraId="024134B1" w14:textId="01B31A2E"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65" w:history="1">
        <w:r w:rsidRPr="007C5A6E">
          <w:rPr>
            <w:rStyle w:val="Lienhypertexte"/>
            <w:rFonts w:cs="Times New Roman"/>
            <w:noProof/>
            <w:sz w:val="22"/>
          </w:rPr>
          <w:t>Tableau 61 : Statut migratoire selon le milieu de résidence</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_Toc183292265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176</w:t>
        </w:r>
        <w:r w:rsidRPr="007C5A6E">
          <w:rPr>
            <w:rFonts w:cs="Times New Roman"/>
            <w:noProof/>
            <w:webHidden/>
            <w:sz w:val="22"/>
          </w:rPr>
          <w:fldChar w:fldCharType="end"/>
        </w:r>
      </w:hyperlink>
    </w:p>
    <w:p w14:paraId="1A8F1C5B" w14:textId="6810C4C5"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66" w:history="1">
        <w:r w:rsidRPr="007C5A6E">
          <w:rPr>
            <w:rStyle w:val="Lienhypertexte"/>
            <w:rFonts w:cs="Times New Roman"/>
            <w:noProof/>
            <w:sz w:val="22"/>
          </w:rPr>
          <w:t>Tableau 62 : Évolution de la population par ville</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_Toc183292266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182</w:t>
        </w:r>
        <w:r w:rsidRPr="007C5A6E">
          <w:rPr>
            <w:rFonts w:cs="Times New Roman"/>
            <w:noProof/>
            <w:webHidden/>
            <w:sz w:val="22"/>
          </w:rPr>
          <w:fldChar w:fldCharType="end"/>
        </w:r>
      </w:hyperlink>
    </w:p>
    <w:p w14:paraId="7F3F8F6C" w14:textId="306E948A"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67" w:history="1">
        <w:r w:rsidRPr="007C5A6E">
          <w:rPr>
            <w:rStyle w:val="Lienhypertexte"/>
            <w:rFonts w:cs="Times New Roman"/>
            <w:noProof/>
            <w:sz w:val="22"/>
          </w:rPr>
          <w:t>Tableau 63 : Évolution de la population et urbanisation</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_Toc183292267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184</w:t>
        </w:r>
        <w:r w:rsidRPr="007C5A6E">
          <w:rPr>
            <w:rFonts w:cs="Times New Roman"/>
            <w:noProof/>
            <w:webHidden/>
            <w:sz w:val="22"/>
          </w:rPr>
          <w:fldChar w:fldCharType="end"/>
        </w:r>
      </w:hyperlink>
    </w:p>
    <w:p w14:paraId="446E1433" w14:textId="2F29B4F1" w:rsidR="000E1BA6" w:rsidRPr="007C5A6E" w:rsidRDefault="000E1BA6" w:rsidP="00BF3932">
      <w:pPr>
        <w:pStyle w:val="Tabledesillustrations"/>
        <w:tabs>
          <w:tab w:val="right" w:leader="dot" w:pos="9175"/>
        </w:tabs>
        <w:spacing w:line="276" w:lineRule="auto"/>
        <w:rPr>
          <w:rFonts w:eastAsiaTheme="minorEastAsia" w:cs="Times New Roman"/>
          <w:noProof/>
          <w:sz w:val="22"/>
          <w:lang w:val="fr-BF" w:eastAsia="fr-BF"/>
        </w:rPr>
      </w:pPr>
      <w:hyperlink w:anchor="_Toc183292268" w:history="1">
        <w:r w:rsidRPr="007C5A6E">
          <w:rPr>
            <w:rStyle w:val="Lienhypertexte"/>
            <w:rFonts w:cs="Times New Roman"/>
            <w:noProof/>
            <w:sz w:val="22"/>
          </w:rPr>
          <w:t>Tableau 64 : Répartition des ménages selon le lieu d’aisance et le milieu de résidence (%)</w:t>
        </w:r>
        <w:r w:rsidRPr="007C5A6E">
          <w:rPr>
            <w:rFonts w:cs="Times New Roman"/>
            <w:noProof/>
            <w:webHidden/>
            <w:sz w:val="22"/>
          </w:rPr>
          <w:tab/>
        </w:r>
        <w:r w:rsidRPr="007C5A6E">
          <w:rPr>
            <w:rFonts w:cs="Times New Roman"/>
            <w:noProof/>
            <w:webHidden/>
            <w:sz w:val="22"/>
          </w:rPr>
          <w:fldChar w:fldCharType="begin"/>
        </w:r>
        <w:r w:rsidRPr="007C5A6E">
          <w:rPr>
            <w:rFonts w:cs="Times New Roman"/>
            <w:noProof/>
            <w:webHidden/>
            <w:sz w:val="22"/>
          </w:rPr>
          <w:instrText xml:space="preserve"> PAGEREF _Toc183292268 \h </w:instrText>
        </w:r>
        <w:r w:rsidRPr="007C5A6E">
          <w:rPr>
            <w:rFonts w:cs="Times New Roman"/>
            <w:noProof/>
            <w:webHidden/>
            <w:sz w:val="22"/>
          </w:rPr>
        </w:r>
        <w:r w:rsidRPr="007C5A6E">
          <w:rPr>
            <w:rFonts w:cs="Times New Roman"/>
            <w:noProof/>
            <w:webHidden/>
            <w:sz w:val="22"/>
          </w:rPr>
          <w:fldChar w:fldCharType="separate"/>
        </w:r>
        <w:r w:rsidR="00C25291">
          <w:rPr>
            <w:rFonts w:cs="Times New Roman"/>
            <w:noProof/>
            <w:webHidden/>
            <w:sz w:val="22"/>
          </w:rPr>
          <w:t>192</w:t>
        </w:r>
        <w:r w:rsidRPr="007C5A6E">
          <w:rPr>
            <w:rFonts w:cs="Times New Roman"/>
            <w:noProof/>
            <w:webHidden/>
            <w:sz w:val="22"/>
          </w:rPr>
          <w:fldChar w:fldCharType="end"/>
        </w:r>
      </w:hyperlink>
    </w:p>
    <w:p w14:paraId="2258A9C1" w14:textId="6B3B5CA0" w:rsidR="00BF3932" w:rsidRDefault="00DA1BD7" w:rsidP="00C25291">
      <w:pPr>
        <w:spacing w:after="0"/>
        <w:rPr>
          <w:rFonts w:asciiTheme="minorHAnsi" w:eastAsiaTheme="minorEastAsia" w:hAnsiTheme="minorHAnsi"/>
          <w:noProof/>
          <w:lang w:val="fr-BF" w:eastAsia="fr-BF"/>
        </w:rPr>
      </w:pPr>
      <w:r w:rsidRPr="007C5A6E">
        <w:rPr>
          <w:rFonts w:ascii="Times New Roman" w:hAnsi="Times New Roman"/>
          <w:lang w:eastAsia="en-US"/>
        </w:rPr>
        <w:fldChar w:fldCharType="end"/>
      </w:r>
      <w:r w:rsidR="00142593" w:rsidRPr="007C5A6E">
        <w:rPr>
          <w:rFonts w:eastAsiaTheme="minorHAnsi" w:cstheme="minorBidi"/>
          <w:kern w:val="2"/>
          <w:sz w:val="24"/>
          <w:lang w:val="en-US"/>
          <w14:ligatures w14:val="standardContextual"/>
        </w:rPr>
        <w:fldChar w:fldCharType="begin"/>
      </w:r>
      <w:r w:rsidR="00142593" w:rsidRPr="007C5A6E">
        <w:instrText xml:space="preserve"> TOC \h \z \c "Tableau" </w:instrText>
      </w:r>
      <w:r w:rsidR="00142593" w:rsidRPr="007C5A6E">
        <w:rPr>
          <w:rFonts w:eastAsiaTheme="minorHAnsi" w:cstheme="minorBidi"/>
          <w:kern w:val="2"/>
          <w:sz w:val="24"/>
          <w:lang w:val="en-US"/>
          <w14:ligatures w14:val="standardContextual"/>
        </w:rPr>
        <w:fldChar w:fldCharType="separate"/>
      </w:r>
      <w:hyperlink w:anchor="_Toc183340485" w:history="1">
        <w:r w:rsidR="00BF3932" w:rsidRPr="00520922">
          <w:rPr>
            <w:rStyle w:val="Lienhypertexte"/>
            <w:noProof/>
          </w:rPr>
          <w:t>Tableau 1</w:t>
        </w:r>
        <w:r w:rsidR="00BF3932" w:rsidRPr="00520922">
          <w:rPr>
            <w:rStyle w:val="Lienhypertexte"/>
            <w:rFonts w:eastAsia="Calibri"/>
            <w:noProof/>
          </w:rPr>
          <w:t> : Principaux indicateurs socio-démographiques du Burkina Faso</w:t>
        </w:r>
        <w:r w:rsidR="00BF3932">
          <w:rPr>
            <w:noProof/>
            <w:webHidden/>
          </w:rPr>
          <w:tab/>
        </w:r>
        <w:r w:rsidR="00BF3932">
          <w:rPr>
            <w:noProof/>
            <w:webHidden/>
          </w:rPr>
          <w:fldChar w:fldCharType="begin"/>
        </w:r>
        <w:r w:rsidR="00BF3932">
          <w:rPr>
            <w:noProof/>
            <w:webHidden/>
          </w:rPr>
          <w:instrText xml:space="preserve"> PAGEREF _Toc183340485 \h </w:instrText>
        </w:r>
        <w:r w:rsidR="00BF3932">
          <w:rPr>
            <w:noProof/>
            <w:webHidden/>
          </w:rPr>
        </w:r>
        <w:r w:rsidR="00BF3932">
          <w:rPr>
            <w:noProof/>
            <w:webHidden/>
          </w:rPr>
          <w:fldChar w:fldCharType="separate"/>
        </w:r>
        <w:r w:rsidR="00C25291">
          <w:rPr>
            <w:noProof/>
            <w:webHidden/>
          </w:rPr>
          <w:t>2</w:t>
        </w:r>
        <w:r w:rsidR="00BF3932">
          <w:rPr>
            <w:noProof/>
            <w:webHidden/>
          </w:rPr>
          <w:fldChar w:fldCharType="end"/>
        </w:r>
      </w:hyperlink>
    </w:p>
    <w:p w14:paraId="3E7518F8" w14:textId="158FB9B5"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486" w:history="1">
        <w:r w:rsidRPr="00520922">
          <w:rPr>
            <w:rStyle w:val="Lienhypertexte"/>
            <w:noProof/>
          </w:rPr>
          <w:t>Tableau 2 : Caractéristiques de la zone sahélienne</w:t>
        </w:r>
        <w:r>
          <w:rPr>
            <w:noProof/>
            <w:webHidden/>
          </w:rPr>
          <w:tab/>
        </w:r>
        <w:r>
          <w:rPr>
            <w:noProof/>
            <w:webHidden/>
          </w:rPr>
          <w:fldChar w:fldCharType="begin"/>
        </w:r>
        <w:r>
          <w:rPr>
            <w:noProof/>
            <w:webHidden/>
          </w:rPr>
          <w:instrText xml:space="preserve"> PAGEREF _Toc183340486 \h </w:instrText>
        </w:r>
        <w:r>
          <w:rPr>
            <w:noProof/>
            <w:webHidden/>
          </w:rPr>
        </w:r>
        <w:r>
          <w:rPr>
            <w:noProof/>
            <w:webHidden/>
          </w:rPr>
          <w:fldChar w:fldCharType="separate"/>
        </w:r>
        <w:r w:rsidR="00C25291">
          <w:rPr>
            <w:noProof/>
            <w:webHidden/>
          </w:rPr>
          <w:t>5</w:t>
        </w:r>
        <w:r>
          <w:rPr>
            <w:noProof/>
            <w:webHidden/>
          </w:rPr>
          <w:fldChar w:fldCharType="end"/>
        </w:r>
      </w:hyperlink>
    </w:p>
    <w:p w14:paraId="2D4BC35A" w14:textId="057AF736"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487" w:history="1">
        <w:r w:rsidRPr="00520922">
          <w:rPr>
            <w:rStyle w:val="Lienhypertexte"/>
            <w:noProof/>
          </w:rPr>
          <w:t>Tableau 3 : Caractéristiques de la zone soudano-sahélienne</w:t>
        </w:r>
        <w:r>
          <w:rPr>
            <w:noProof/>
            <w:webHidden/>
          </w:rPr>
          <w:tab/>
        </w:r>
        <w:r>
          <w:rPr>
            <w:noProof/>
            <w:webHidden/>
          </w:rPr>
          <w:fldChar w:fldCharType="begin"/>
        </w:r>
        <w:r>
          <w:rPr>
            <w:noProof/>
            <w:webHidden/>
          </w:rPr>
          <w:instrText xml:space="preserve"> PAGEREF _Toc183340487 \h </w:instrText>
        </w:r>
        <w:r>
          <w:rPr>
            <w:noProof/>
            <w:webHidden/>
          </w:rPr>
        </w:r>
        <w:r>
          <w:rPr>
            <w:noProof/>
            <w:webHidden/>
          </w:rPr>
          <w:fldChar w:fldCharType="separate"/>
        </w:r>
        <w:r w:rsidR="00C25291">
          <w:rPr>
            <w:noProof/>
            <w:webHidden/>
          </w:rPr>
          <w:t>6</w:t>
        </w:r>
        <w:r>
          <w:rPr>
            <w:noProof/>
            <w:webHidden/>
          </w:rPr>
          <w:fldChar w:fldCharType="end"/>
        </w:r>
      </w:hyperlink>
    </w:p>
    <w:p w14:paraId="4E9224B1" w14:textId="41137736"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488" w:history="1">
        <w:r w:rsidRPr="00520922">
          <w:rPr>
            <w:rStyle w:val="Lienhypertexte"/>
            <w:noProof/>
          </w:rPr>
          <w:t>Tableau 4 : Caractéristiques de la zone soudanienne</w:t>
        </w:r>
        <w:r>
          <w:rPr>
            <w:noProof/>
            <w:webHidden/>
          </w:rPr>
          <w:tab/>
        </w:r>
        <w:r>
          <w:rPr>
            <w:noProof/>
            <w:webHidden/>
          </w:rPr>
          <w:fldChar w:fldCharType="begin"/>
        </w:r>
        <w:r>
          <w:rPr>
            <w:noProof/>
            <w:webHidden/>
          </w:rPr>
          <w:instrText xml:space="preserve"> PAGEREF _Toc183340488 \h </w:instrText>
        </w:r>
        <w:r>
          <w:rPr>
            <w:noProof/>
            <w:webHidden/>
          </w:rPr>
        </w:r>
        <w:r>
          <w:rPr>
            <w:noProof/>
            <w:webHidden/>
          </w:rPr>
          <w:fldChar w:fldCharType="separate"/>
        </w:r>
        <w:r w:rsidR="00C25291">
          <w:rPr>
            <w:noProof/>
            <w:webHidden/>
          </w:rPr>
          <w:t>6</w:t>
        </w:r>
        <w:r>
          <w:rPr>
            <w:noProof/>
            <w:webHidden/>
          </w:rPr>
          <w:fldChar w:fldCharType="end"/>
        </w:r>
      </w:hyperlink>
    </w:p>
    <w:p w14:paraId="579681B3" w14:textId="2E5CC387"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489" w:history="1">
        <w:r w:rsidRPr="00520922">
          <w:rPr>
            <w:rStyle w:val="Lienhypertexte"/>
            <w:noProof/>
          </w:rPr>
          <w:t>Tableau 5 : Variables pluviométriques projetées en 2050 et 2100 suivant les scénarios SSP245, SSP370 et SSP585</w:t>
        </w:r>
        <w:r>
          <w:rPr>
            <w:noProof/>
            <w:webHidden/>
          </w:rPr>
          <w:tab/>
        </w:r>
        <w:r>
          <w:rPr>
            <w:noProof/>
            <w:webHidden/>
          </w:rPr>
          <w:fldChar w:fldCharType="begin"/>
        </w:r>
        <w:r>
          <w:rPr>
            <w:noProof/>
            <w:webHidden/>
          </w:rPr>
          <w:instrText xml:space="preserve"> PAGEREF _Toc183340489 \h </w:instrText>
        </w:r>
        <w:r>
          <w:rPr>
            <w:noProof/>
            <w:webHidden/>
          </w:rPr>
        </w:r>
        <w:r>
          <w:rPr>
            <w:noProof/>
            <w:webHidden/>
          </w:rPr>
          <w:fldChar w:fldCharType="separate"/>
        </w:r>
        <w:r w:rsidR="00C25291">
          <w:rPr>
            <w:noProof/>
            <w:webHidden/>
          </w:rPr>
          <w:t>24</w:t>
        </w:r>
        <w:r>
          <w:rPr>
            <w:noProof/>
            <w:webHidden/>
          </w:rPr>
          <w:fldChar w:fldCharType="end"/>
        </w:r>
      </w:hyperlink>
    </w:p>
    <w:p w14:paraId="43FAA358" w14:textId="3BA4B250"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490" w:history="1">
        <w:r w:rsidRPr="00520922">
          <w:rPr>
            <w:rStyle w:val="Lienhypertexte"/>
            <w:noProof/>
          </w:rPr>
          <w:t>Tableau 6 : projection de variables de températures en 2050 et 2100 au regard des valeurs de 2000</w:t>
        </w:r>
        <w:r>
          <w:rPr>
            <w:noProof/>
            <w:webHidden/>
          </w:rPr>
          <w:tab/>
        </w:r>
        <w:r>
          <w:rPr>
            <w:noProof/>
            <w:webHidden/>
          </w:rPr>
          <w:fldChar w:fldCharType="begin"/>
        </w:r>
        <w:r>
          <w:rPr>
            <w:noProof/>
            <w:webHidden/>
          </w:rPr>
          <w:instrText xml:space="preserve"> PAGEREF _Toc183340490 \h </w:instrText>
        </w:r>
        <w:r>
          <w:rPr>
            <w:noProof/>
            <w:webHidden/>
          </w:rPr>
        </w:r>
        <w:r>
          <w:rPr>
            <w:noProof/>
            <w:webHidden/>
          </w:rPr>
          <w:fldChar w:fldCharType="separate"/>
        </w:r>
        <w:r w:rsidR="00C25291">
          <w:rPr>
            <w:noProof/>
            <w:webHidden/>
          </w:rPr>
          <w:t>28</w:t>
        </w:r>
        <w:r>
          <w:rPr>
            <w:noProof/>
            <w:webHidden/>
          </w:rPr>
          <w:fldChar w:fldCharType="end"/>
        </w:r>
      </w:hyperlink>
    </w:p>
    <w:p w14:paraId="01592F5B" w14:textId="11E201DE"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491" w:history="1">
        <w:r w:rsidRPr="00520922">
          <w:rPr>
            <w:rStyle w:val="Lienhypertexte"/>
            <w:noProof/>
          </w:rPr>
          <w:t>Tableau 7</w:t>
        </w:r>
        <w:r w:rsidRPr="00520922">
          <w:rPr>
            <w:rStyle w:val="Lienhypertexte"/>
            <w:noProof/>
            <w:lang w:eastAsia="da-DK"/>
          </w:rPr>
          <w:t xml:space="preserve"> : Aperçu des indicateurs généralement mesurés</w:t>
        </w:r>
        <w:r>
          <w:rPr>
            <w:noProof/>
            <w:webHidden/>
          </w:rPr>
          <w:tab/>
        </w:r>
        <w:r>
          <w:rPr>
            <w:noProof/>
            <w:webHidden/>
          </w:rPr>
          <w:fldChar w:fldCharType="begin"/>
        </w:r>
        <w:r>
          <w:rPr>
            <w:noProof/>
            <w:webHidden/>
          </w:rPr>
          <w:instrText xml:space="preserve"> PAGEREF _Toc183340491 \h </w:instrText>
        </w:r>
        <w:r>
          <w:rPr>
            <w:noProof/>
            <w:webHidden/>
          </w:rPr>
        </w:r>
        <w:r>
          <w:rPr>
            <w:noProof/>
            <w:webHidden/>
          </w:rPr>
          <w:fldChar w:fldCharType="separate"/>
        </w:r>
        <w:r w:rsidR="00C25291">
          <w:rPr>
            <w:noProof/>
            <w:webHidden/>
          </w:rPr>
          <w:t>35</w:t>
        </w:r>
        <w:r>
          <w:rPr>
            <w:noProof/>
            <w:webHidden/>
          </w:rPr>
          <w:fldChar w:fldCharType="end"/>
        </w:r>
      </w:hyperlink>
    </w:p>
    <w:p w14:paraId="557A5501" w14:textId="4755D297"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492" w:history="1">
        <w:r w:rsidRPr="00520922">
          <w:rPr>
            <w:rStyle w:val="Lienhypertexte"/>
            <w:iCs/>
            <w:noProof/>
            <w:lang w:eastAsia="da-DK"/>
          </w:rPr>
          <w:t>Tableau 8 : types de substances polluantes déversées par les industries et les transports</w:t>
        </w:r>
        <w:r>
          <w:rPr>
            <w:noProof/>
            <w:webHidden/>
          </w:rPr>
          <w:tab/>
        </w:r>
        <w:r>
          <w:rPr>
            <w:noProof/>
            <w:webHidden/>
          </w:rPr>
          <w:fldChar w:fldCharType="begin"/>
        </w:r>
        <w:r>
          <w:rPr>
            <w:noProof/>
            <w:webHidden/>
          </w:rPr>
          <w:instrText xml:space="preserve"> PAGEREF _Toc183340492 \h </w:instrText>
        </w:r>
        <w:r>
          <w:rPr>
            <w:noProof/>
            <w:webHidden/>
          </w:rPr>
        </w:r>
        <w:r>
          <w:rPr>
            <w:noProof/>
            <w:webHidden/>
          </w:rPr>
          <w:fldChar w:fldCharType="separate"/>
        </w:r>
        <w:r w:rsidR="00C25291">
          <w:rPr>
            <w:noProof/>
            <w:webHidden/>
          </w:rPr>
          <w:t>36</w:t>
        </w:r>
        <w:r>
          <w:rPr>
            <w:noProof/>
            <w:webHidden/>
          </w:rPr>
          <w:fldChar w:fldCharType="end"/>
        </w:r>
      </w:hyperlink>
    </w:p>
    <w:p w14:paraId="511BE1E1" w14:textId="558B8A4D"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493" w:history="1">
        <w:r w:rsidRPr="00520922">
          <w:rPr>
            <w:rStyle w:val="Lienhypertexte"/>
            <w:iCs/>
            <w:noProof/>
            <w:lang w:eastAsia="da-DK"/>
          </w:rPr>
          <w:t>Tableau 9 : Evolution interannuelle de l'évaporation dans les principales stations (en mm)</w:t>
        </w:r>
        <w:r>
          <w:rPr>
            <w:noProof/>
            <w:webHidden/>
          </w:rPr>
          <w:tab/>
        </w:r>
        <w:r>
          <w:rPr>
            <w:noProof/>
            <w:webHidden/>
          </w:rPr>
          <w:fldChar w:fldCharType="begin"/>
        </w:r>
        <w:r>
          <w:rPr>
            <w:noProof/>
            <w:webHidden/>
          </w:rPr>
          <w:instrText xml:space="preserve"> PAGEREF _Toc183340493 \h </w:instrText>
        </w:r>
        <w:r>
          <w:rPr>
            <w:noProof/>
            <w:webHidden/>
          </w:rPr>
        </w:r>
        <w:r>
          <w:rPr>
            <w:noProof/>
            <w:webHidden/>
          </w:rPr>
          <w:fldChar w:fldCharType="separate"/>
        </w:r>
        <w:r w:rsidR="00C25291">
          <w:rPr>
            <w:noProof/>
            <w:webHidden/>
          </w:rPr>
          <w:t>38</w:t>
        </w:r>
        <w:r>
          <w:rPr>
            <w:noProof/>
            <w:webHidden/>
          </w:rPr>
          <w:fldChar w:fldCharType="end"/>
        </w:r>
      </w:hyperlink>
    </w:p>
    <w:p w14:paraId="35B543DD" w14:textId="20D2F77C"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494" w:history="1">
        <w:r w:rsidRPr="00520922">
          <w:rPr>
            <w:rStyle w:val="Lienhypertexte"/>
            <w:noProof/>
          </w:rPr>
          <w:t>Tableau 10 : Aperçu indicatif de l’importance des demandes en eau</w:t>
        </w:r>
        <w:r>
          <w:rPr>
            <w:noProof/>
            <w:webHidden/>
          </w:rPr>
          <w:tab/>
        </w:r>
        <w:r>
          <w:rPr>
            <w:noProof/>
            <w:webHidden/>
          </w:rPr>
          <w:fldChar w:fldCharType="begin"/>
        </w:r>
        <w:r>
          <w:rPr>
            <w:noProof/>
            <w:webHidden/>
          </w:rPr>
          <w:instrText xml:space="preserve"> PAGEREF _Toc183340494 \h </w:instrText>
        </w:r>
        <w:r>
          <w:rPr>
            <w:noProof/>
            <w:webHidden/>
          </w:rPr>
        </w:r>
        <w:r>
          <w:rPr>
            <w:noProof/>
            <w:webHidden/>
          </w:rPr>
          <w:fldChar w:fldCharType="separate"/>
        </w:r>
        <w:r w:rsidR="00C25291">
          <w:rPr>
            <w:noProof/>
            <w:webHidden/>
          </w:rPr>
          <w:t>39</w:t>
        </w:r>
        <w:r>
          <w:rPr>
            <w:noProof/>
            <w:webHidden/>
          </w:rPr>
          <w:fldChar w:fldCharType="end"/>
        </w:r>
      </w:hyperlink>
    </w:p>
    <w:p w14:paraId="05F947EF" w14:textId="663E03DA"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495" w:history="1">
        <w:r w:rsidRPr="00520922">
          <w:rPr>
            <w:rStyle w:val="Lienhypertexte"/>
            <w:iCs/>
            <w:noProof/>
            <w:lang w:eastAsia="da-DK"/>
          </w:rPr>
          <w:t>Tableau 11 : Etat de la qualité des eaux souterraines</w:t>
        </w:r>
        <w:r>
          <w:rPr>
            <w:noProof/>
            <w:webHidden/>
          </w:rPr>
          <w:tab/>
        </w:r>
        <w:r>
          <w:rPr>
            <w:noProof/>
            <w:webHidden/>
          </w:rPr>
          <w:fldChar w:fldCharType="begin"/>
        </w:r>
        <w:r>
          <w:rPr>
            <w:noProof/>
            <w:webHidden/>
          </w:rPr>
          <w:instrText xml:space="preserve"> PAGEREF _Toc183340495 \h </w:instrText>
        </w:r>
        <w:r>
          <w:rPr>
            <w:noProof/>
            <w:webHidden/>
          </w:rPr>
        </w:r>
        <w:r>
          <w:rPr>
            <w:noProof/>
            <w:webHidden/>
          </w:rPr>
          <w:fldChar w:fldCharType="separate"/>
        </w:r>
        <w:r w:rsidR="00C25291">
          <w:rPr>
            <w:noProof/>
            <w:webHidden/>
          </w:rPr>
          <w:t>42</w:t>
        </w:r>
        <w:r>
          <w:rPr>
            <w:noProof/>
            <w:webHidden/>
          </w:rPr>
          <w:fldChar w:fldCharType="end"/>
        </w:r>
      </w:hyperlink>
    </w:p>
    <w:p w14:paraId="47495CB6" w14:textId="07EA99E2"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496" w:history="1">
        <w:r w:rsidRPr="00520922">
          <w:rPr>
            <w:rStyle w:val="Lienhypertexte"/>
            <w:iCs/>
            <w:noProof/>
            <w:lang w:eastAsia="da-DK"/>
          </w:rPr>
          <w:t>Tableau 12 : Etat des risques liés à la qualité des eaux souterraines</w:t>
        </w:r>
        <w:r>
          <w:rPr>
            <w:noProof/>
            <w:webHidden/>
          </w:rPr>
          <w:tab/>
        </w:r>
        <w:r>
          <w:rPr>
            <w:noProof/>
            <w:webHidden/>
          </w:rPr>
          <w:fldChar w:fldCharType="begin"/>
        </w:r>
        <w:r>
          <w:rPr>
            <w:noProof/>
            <w:webHidden/>
          </w:rPr>
          <w:instrText xml:space="preserve"> PAGEREF _Toc183340496 \h </w:instrText>
        </w:r>
        <w:r>
          <w:rPr>
            <w:noProof/>
            <w:webHidden/>
          </w:rPr>
        </w:r>
        <w:r>
          <w:rPr>
            <w:noProof/>
            <w:webHidden/>
          </w:rPr>
          <w:fldChar w:fldCharType="separate"/>
        </w:r>
        <w:r w:rsidR="00C25291">
          <w:rPr>
            <w:noProof/>
            <w:webHidden/>
          </w:rPr>
          <w:t>42</w:t>
        </w:r>
        <w:r>
          <w:rPr>
            <w:noProof/>
            <w:webHidden/>
          </w:rPr>
          <w:fldChar w:fldCharType="end"/>
        </w:r>
      </w:hyperlink>
    </w:p>
    <w:p w14:paraId="6476977E" w14:textId="03679AE9"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497" w:history="1">
        <w:r w:rsidRPr="00520922">
          <w:rPr>
            <w:rStyle w:val="Lienhypertexte"/>
            <w:iCs/>
            <w:noProof/>
            <w:lang w:eastAsia="da-DK"/>
          </w:rPr>
          <w:t>Tableau 13 : Etat des ressources en eau renouvelables du Burkina Faso en 2022</w:t>
        </w:r>
        <w:r>
          <w:rPr>
            <w:noProof/>
            <w:webHidden/>
          </w:rPr>
          <w:tab/>
        </w:r>
        <w:r>
          <w:rPr>
            <w:noProof/>
            <w:webHidden/>
          </w:rPr>
          <w:fldChar w:fldCharType="begin"/>
        </w:r>
        <w:r>
          <w:rPr>
            <w:noProof/>
            <w:webHidden/>
          </w:rPr>
          <w:instrText xml:space="preserve"> PAGEREF _Toc183340497 \h </w:instrText>
        </w:r>
        <w:r>
          <w:rPr>
            <w:noProof/>
            <w:webHidden/>
          </w:rPr>
        </w:r>
        <w:r>
          <w:rPr>
            <w:noProof/>
            <w:webHidden/>
          </w:rPr>
          <w:fldChar w:fldCharType="separate"/>
        </w:r>
        <w:r w:rsidR="00C25291">
          <w:rPr>
            <w:noProof/>
            <w:webHidden/>
          </w:rPr>
          <w:t>49</w:t>
        </w:r>
        <w:r>
          <w:rPr>
            <w:noProof/>
            <w:webHidden/>
          </w:rPr>
          <w:fldChar w:fldCharType="end"/>
        </w:r>
      </w:hyperlink>
    </w:p>
    <w:p w14:paraId="349EB3C3" w14:textId="68C7B9AE"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498" w:history="1">
        <w:r w:rsidRPr="00520922">
          <w:rPr>
            <w:rStyle w:val="Lienhypertexte"/>
            <w:iCs/>
            <w:noProof/>
            <w:lang w:eastAsia="da-DK"/>
          </w:rPr>
          <w:t>Tableau 14 : Réalisations et volumes d’eau prélevables par les PEM équipés de PMH de 2016 à 2023</w:t>
        </w:r>
        <w:r>
          <w:rPr>
            <w:noProof/>
            <w:webHidden/>
          </w:rPr>
          <w:tab/>
        </w:r>
        <w:r>
          <w:rPr>
            <w:noProof/>
            <w:webHidden/>
          </w:rPr>
          <w:fldChar w:fldCharType="begin"/>
        </w:r>
        <w:r>
          <w:rPr>
            <w:noProof/>
            <w:webHidden/>
          </w:rPr>
          <w:instrText xml:space="preserve"> PAGEREF _Toc183340498 \h </w:instrText>
        </w:r>
        <w:r>
          <w:rPr>
            <w:noProof/>
            <w:webHidden/>
          </w:rPr>
        </w:r>
        <w:r>
          <w:rPr>
            <w:noProof/>
            <w:webHidden/>
          </w:rPr>
          <w:fldChar w:fldCharType="separate"/>
        </w:r>
        <w:r w:rsidR="00C25291">
          <w:rPr>
            <w:noProof/>
            <w:webHidden/>
          </w:rPr>
          <w:t>50</w:t>
        </w:r>
        <w:r>
          <w:rPr>
            <w:noProof/>
            <w:webHidden/>
          </w:rPr>
          <w:fldChar w:fldCharType="end"/>
        </w:r>
      </w:hyperlink>
    </w:p>
    <w:p w14:paraId="47630466" w14:textId="532F1E26"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499" w:history="1">
        <w:r w:rsidRPr="00520922">
          <w:rPr>
            <w:rStyle w:val="Lienhypertexte"/>
            <w:iCs/>
            <w:noProof/>
            <w:lang w:eastAsia="da-DK"/>
          </w:rPr>
          <w:t>Tableau 15 : Réalisations et volumes d’eau prélevables par les systèmes d’Adduction d’Eau Potable Simplifié (AEPS) et de Poste d’Eau Autonome (PEA) en 2022</w:t>
        </w:r>
        <w:r>
          <w:rPr>
            <w:noProof/>
            <w:webHidden/>
          </w:rPr>
          <w:tab/>
        </w:r>
        <w:r>
          <w:rPr>
            <w:noProof/>
            <w:webHidden/>
          </w:rPr>
          <w:fldChar w:fldCharType="begin"/>
        </w:r>
        <w:r>
          <w:rPr>
            <w:noProof/>
            <w:webHidden/>
          </w:rPr>
          <w:instrText xml:space="preserve"> PAGEREF _Toc183340499 \h </w:instrText>
        </w:r>
        <w:r>
          <w:rPr>
            <w:noProof/>
            <w:webHidden/>
          </w:rPr>
        </w:r>
        <w:r>
          <w:rPr>
            <w:noProof/>
            <w:webHidden/>
          </w:rPr>
          <w:fldChar w:fldCharType="separate"/>
        </w:r>
        <w:r w:rsidR="00C25291">
          <w:rPr>
            <w:noProof/>
            <w:webHidden/>
          </w:rPr>
          <w:t>51</w:t>
        </w:r>
        <w:r>
          <w:rPr>
            <w:noProof/>
            <w:webHidden/>
          </w:rPr>
          <w:fldChar w:fldCharType="end"/>
        </w:r>
      </w:hyperlink>
    </w:p>
    <w:p w14:paraId="3CAC9E9D" w14:textId="6902DCB0"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00" w:history="1">
        <w:r w:rsidRPr="00520922">
          <w:rPr>
            <w:rStyle w:val="Lienhypertexte"/>
            <w:iCs/>
            <w:noProof/>
            <w:lang w:eastAsia="da-DK"/>
          </w:rPr>
          <w:t>Tableau 16 : Aperçu des prélèvements d’eau par évaporation dans les principales stations en 2021</w:t>
        </w:r>
        <w:r>
          <w:rPr>
            <w:noProof/>
            <w:webHidden/>
          </w:rPr>
          <w:tab/>
        </w:r>
        <w:r>
          <w:rPr>
            <w:noProof/>
            <w:webHidden/>
          </w:rPr>
          <w:fldChar w:fldCharType="begin"/>
        </w:r>
        <w:r>
          <w:rPr>
            <w:noProof/>
            <w:webHidden/>
          </w:rPr>
          <w:instrText xml:space="preserve"> PAGEREF _Toc183340500 \h </w:instrText>
        </w:r>
        <w:r>
          <w:rPr>
            <w:noProof/>
            <w:webHidden/>
          </w:rPr>
        </w:r>
        <w:r>
          <w:rPr>
            <w:noProof/>
            <w:webHidden/>
          </w:rPr>
          <w:fldChar w:fldCharType="separate"/>
        </w:r>
        <w:r w:rsidR="00C25291">
          <w:rPr>
            <w:noProof/>
            <w:webHidden/>
          </w:rPr>
          <w:t>52</w:t>
        </w:r>
        <w:r>
          <w:rPr>
            <w:noProof/>
            <w:webHidden/>
          </w:rPr>
          <w:fldChar w:fldCharType="end"/>
        </w:r>
      </w:hyperlink>
    </w:p>
    <w:p w14:paraId="454DB38B" w14:textId="34C13569"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01" w:history="1">
        <w:r w:rsidRPr="00520922">
          <w:rPr>
            <w:rStyle w:val="Lienhypertexte"/>
            <w:iCs/>
            <w:noProof/>
            <w:lang w:eastAsia="da-DK"/>
          </w:rPr>
          <w:t>Tableau 17 : Répartition des retenues d’eau par sous bassin versant selon le type</w:t>
        </w:r>
        <w:r>
          <w:rPr>
            <w:noProof/>
            <w:webHidden/>
          </w:rPr>
          <w:tab/>
        </w:r>
        <w:r>
          <w:rPr>
            <w:noProof/>
            <w:webHidden/>
          </w:rPr>
          <w:fldChar w:fldCharType="begin"/>
        </w:r>
        <w:r>
          <w:rPr>
            <w:noProof/>
            <w:webHidden/>
          </w:rPr>
          <w:instrText xml:space="preserve"> PAGEREF _Toc183340501 \h </w:instrText>
        </w:r>
        <w:r>
          <w:rPr>
            <w:noProof/>
            <w:webHidden/>
          </w:rPr>
        </w:r>
        <w:r>
          <w:rPr>
            <w:noProof/>
            <w:webHidden/>
          </w:rPr>
          <w:fldChar w:fldCharType="separate"/>
        </w:r>
        <w:r w:rsidR="00C25291">
          <w:rPr>
            <w:noProof/>
            <w:webHidden/>
          </w:rPr>
          <w:t>53</w:t>
        </w:r>
        <w:r>
          <w:rPr>
            <w:noProof/>
            <w:webHidden/>
          </w:rPr>
          <w:fldChar w:fldCharType="end"/>
        </w:r>
      </w:hyperlink>
    </w:p>
    <w:p w14:paraId="50EDB26A" w14:textId="232A6398"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02" w:history="1">
        <w:r w:rsidRPr="00520922">
          <w:rPr>
            <w:rStyle w:val="Lienhypertexte"/>
            <w:iCs/>
            <w:noProof/>
            <w:lang w:eastAsia="da-DK"/>
          </w:rPr>
          <w:t>Tableau 18 : Etat du nombre des ouvrages de mobilisation des ressources en eau de surface</w:t>
        </w:r>
        <w:r>
          <w:rPr>
            <w:noProof/>
            <w:webHidden/>
          </w:rPr>
          <w:tab/>
        </w:r>
        <w:r>
          <w:rPr>
            <w:noProof/>
            <w:webHidden/>
          </w:rPr>
          <w:fldChar w:fldCharType="begin"/>
        </w:r>
        <w:r>
          <w:rPr>
            <w:noProof/>
            <w:webHidden/>
          </w:rPr>
          <w:instrText xml:space="preserve"> PAGEREF _Toc183340502 \h </w:instrText>
        </w:r>
        <w:r>
          <w:rPr>
            <w:noProof/>
            <w:webHidden/>
          </w:rPr>
        </w:r>
        <w:r>
          <w:rPr>
            <w:noProof/>
            <w:webHidden/>
          </w:rPr>
          <w:fldChar w:fldCharType="separate"/>
        </w:r>
        <w:r w:rsidR="00C25291">
          <w:rPr>
            <w:noProof/>
            <w:webHidden/>
          </w:rPr>
          <w:t>54</w:t>
        </w:r>
        <w:r>
          <w:rPr>
            <w:noProof/>
            <w:webHidden/>
          </w:rPr>
          <w:fldChar w:fldCharType="end"/>
        </w:r>
      </w:hyperlink>
    </w:p>
    <w:p w14:paraId="49E25AF5" w14:textId="161159FB"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03" w:history="1">
        <w:r w:rsidRPr="00520922">
          <w:rPr>
            <w:rStyle w:val="Lienhypertexte"/>
            <w:iCs/>
            <w:noProof/>
            <w:lang w:eastAsia="da-DK"/>
          </w:rPr>
          <w:t>Tableau 19 : Capacités (en m3) des retenues d’eau par région et par type</w:t>
        </w:r>
        <w:r>
          <w:rPr>
            <w:noProof/>
            <w:webHidden/>
          </w:rPr>
          <w:tab/>
        </w:r>
        <w:r>
          <w:rPr>
            <w:noProof/>
            <w:webHidden/>
          </w:rPr>
          <w:fldChar w:fldCharType="begin"/>
        </w:r>
        <w:r>
          <w:rPr>
            <w:noProof/>
            <w:webHidden/>
          </w:rPr>
          <w:instrText xml:space="preserve"> PAGEREF _Toc183340503 \h </w:instrText>
        </w:r>
        <w:r>
          <w:rPr>
            <w:noProof/>
            <w:webHidden/>
          </w:rPr>
        </w:r>
        <w:r>
          <w:rPr>
            <w:noProof/>
            <w:webHidden/>
          </w:rPr>
          <w:fldChar w:fldCharType="separate"/>
        </w:r>
        <w:r w:rsidR="00C25291">
          <w:rPr>
            <w:noProof/>
            <w:webHidden/>
          </w:rPr>
          <w:t>55</w:t>
        </w:r>
        <w:r>
          <w:rPr>
            <w:noProof/>
            <w:webHidden/>
          </w:rPr>
          <w:fldChar w:fldCharType="end"/>
        </w:r>
      </w:hyperlink>
    </w:p>
    <w:p w14:paraId="0BC849AA" w14:textId="511F51E0"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04" w:history="1">
        <w:r w:rsidRPr="00520922">
          <w:rPr>
            <w:rStyle w:val="Lienhypertexte"/>
            <w:iCs/>
            <w:noProof/>
            <w:lang w:eastAsia="da-DK"/>
          </w:rPr>
          <w:t>Tableau 20 : barrages d’importance régionale ou nationale pour leurs vocations</w:t>
        </w:r>
        <w:r>
          <w:rPr>
            <w:noProof/>
            <w:webHidden/>
          </w:rPr>
          <w:tab/>
        </w:r>
        <w:r>
          <w:rPr>
            <w:noProof/>
            <w:webHidden/>
          </w:rPr>
          <w:fldChar w:fldCharType="begin"/>
        </w:r>
        <w:r>
          <w:rPr>
            <w:noProof/>
            <w:webHidden/>
          </w:rPr>
          <w:instrText xml:space="preserve"> PAGEREF _Toc183340504 \h </w:instrText>
        </w:r>
        <w:r>
          <w:rPr>
            <w:noProof/>
            <w:webHidden/>
          </w:rPr>
        </w:r>
        <w:r>
          <w:rPr>
            <w:noProof/>
            <w:webHidden/>
          </w:rPr>
          <w:fldChar w:fldCharType="separate"/>
        </w:r>
        <w:r w:rsidR="00C25291">
          <w:rPr>
            <w:noProof/>
            <w:webHidden/>
          </w:rPr>
          <w:t>56</w:t>
        </w:r>
        <w:r>
          <w:rPr>
            <w:noProof/>
            <w:webHidden/>
          </w:rPr>
          <w:fldChar w:fldCharType="end"/>
        </w:r>
      </w:hyperlink>
    </w:p>
    <w:p w14:paraId="1DBEBE60" w14:textId="2744AE51"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05" w:history="1">
        <w:r w:rsidRPr="00520922">
          <w:rPr>
            <w:rStyle w:val="Lienhypertexte"/>
            <w:iCs/>
            <w:noProof/>
            <w:lang w:eastAsia="da-DK"/>
          </w:rPr>
          <w:t>Tableau 21 : Evaluation de la qualité des ressources en eau souterraines du bassin de la Comoé en 2012</w:t>
        </w:r>
        <w:r>
          <w:rPr>
            <w:noProof/>
            <w:webHidden/>
          </w:rPr>
          <w:tab/>
        </w:r>
        <w:r>
          <w:rPr>
            <w:noProof/>
            <w:webHidden/>
          </w:rPr>
          <w:fldChar w:fldCharType="begin"/>
        </w:r>
        <w:r>
          <w:rPr>
            <w:noProof/>
            <w:webHidden/>
          </w:rPr>
          <w:instrText xml:space="preserve"> PAGEREF _Toc183340505 \h </w:instrText>
        </w:r>
        <w:r>
          <w:rPr>
            <w:noProof/>
            <w:webHidden/>
          </w:rPr>
        </w:r>
        <w:r>
          <w:rPr>
            <w:noProof/>
            <w:webHidden/>
          </w:rPr>
          <w:fldChar w:fldCharType="separate"/>
        </w:r>
        <w:r w:rsidR="00C25291">
          <w:rPr>
            <w:noProof/>
            <w:webHidden/>
          </w:rPr>
          <w:t>57</w:t>
        </w:r>
        <w:r>
          <w:rPr>
            <w:noProof/>
            <w:webHidden/>
          </w:rPr>
          <w:fldChar w:fldCharType="end"/>
        </w:r>
      </w:hyperlink>
    </w:p>
    <w:p w14:paraId="399A2485" w14:textId="6EB2A73A"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06" w:history="1">
        <w:r w:rsidRPr="00520922">
          <w:rPr>
            <w:rStyle w:val="Lienhypertexte"/>
            <w:iCs/>
            <w:noProof/>
            <w:lang w:eastAsia="da-DK"/>
          </w:rPr>
          <w:t>Tableau 22 : Dépassement des teneurs en arsenic des eaux de forage sur quelques sites d’exploitation minière (or) en 2012</w:t>
        </w:r>
        <w:r>
          <w:rPr>
            <w:noProof/>
            <w:webHidden/>
          </w:rPr>
          <w:tab/>
        </w:r>
        <w:r>
          <w:rPr>
            <w:noProof/>
            <w:webHidden/>
          </w:rPr>
          <w:fldChar w:fldCharType="begin"/>
        </w:r>
        <w:r>
          <w:rPr>
            <w:noProof/>
            <w:webHidden/>
          </w:rPr>
          <w:instrText xml:space="preserve"> PAGEREF _Toc183340506 \h </w:instrText>
        </w:r>
        <w:r>
          <w:rPr>
            <w:noProof/>
            <w:webHidden/>
          </w:rPr>
        </w:r>
        <w:r>
          <w:rPr>
            <w:noProof/>
            <w:webHidden/>
          </w:rPr>
          <w:fldChar w:fldCharType="separate"/>
        </w:r>
        <w:r w:rsidR="00C25291">
          <w:rPr>
            <w:noProof/>
            <w:webHidden/>
          </w:rPr>
          <w:t>58</w:t>
        </w:r>
        <w:r>
          <w:rPr>
            <w:noProof/>
            <w:webHidden/>
          </w:rPr>
          <w:fldChar w:fldCharType="end"/>
        </w:r>
      </w:hyperlink>
    </w:p>
    <w:p w14:paraId="6977CC45" w14:textId="42DBB30B"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07" w:history="1">
        <w:r w:rsidRPr="00520922">
          <w:rPr>
            <w:rStyle w:val="Lienhypertexte"/>
            <w:iCs/>
            <w:noProof/>
            <w:lang w:eastAsia="da-DK"/>
          </w:rPr>
          <w:t>Tableau 23 : Teneur en arsenic des eaux dans les communes Falangountou et Markoye</w:t>
        </w:r>
        <w:r>
          <w:rPr>
            <w:noProof/>
            <w:webHidden/>
          </w:rPr>
          <w:tab/>
        </w:r>
        <w:r>
          <w:rPr>
            <w:noProof/>
            <w:webHidden/>
          </w:rPr>
          <w:fldChar w:fldCharType="begin"/>
        </w:r>
        <w:r>
          <w:rPr>
            <w:noProof/>
            <w:webHidden/>
          </w:rPr>
          <w:instrText xml:space="preserve"> PAGEREF _Toc183340507 \h </w:instrText>
        </w:r>
        <w:r>
          <w:rPr>
            <w:noProof/>
            <w:webHidden/>
          </w:rPr>
        </w:r>
        <w:r>
          <w:rPr>
            <w:noProof/>
            <w:webHidden/>
          </w:rPr>
          <w:fldChar w:fldCharType="separate"/>
        </w:r>
        <w:r w:rsidR="00C25291">
          <w:rPr>
            <w:noProof/>
            <w:webHidden/>
          </w:rPr>
          <w:t>58</w:t>
        </w:r>
        <w:r>
          <w:rPr>
            <w:noProof/>
            <w:webHidden/>
          </w:rPr>
          <w:fldChar w:fldCharType="end"/>
        </w:r>
      </w:hyperlink>
    </w:p>
    <w:p w14:paraId="33E4579F" w14:textId="23FD74C4"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08" w:history="1">
        <w:r w:rsidRPr="00520922">
          <w:rPr>
            <w:rStyle w:val="Lienhypertexte"/>
            <w:iCs/>
            <w:noProof/>
            <w:lang w:eastAsia="da-DK"/>
          </w:rPr>
          <w:t>Tableau 24 : Tendance d’évolution de l’évaporation des lacs d’eau naturels ou artificiels et des cours d’eau</w:t>
        </w:r>
        <w:r>
          <w:rPr>
            <w:noProof/>
            <w:webHidden/>
          </w:rPr>
          <w:tab/>
        </w:r>
        <w:r>
          <w:rPr>
            <w:noProof/>
            <w:webHidden/>
          </w:rPr>
          <w:fldChar w:fldCharType="begin"/>
        </w:r>
        <w:r>
          <w:rPr>
            <w:noProof/>
            <w:webHidden/>
          </w:rPr>
          <w:instrText xml:space="preserve"> PAGEREF _Toc183340508 \h </w:instrText>
        </w:r>
        <w:r>
          <w:rPr>
            <w:noProof/>
            <w:webHidden/>
          </w:rPr>
        </w:r>
        <w:r>
          <w:rPr>
            <w:noProof/>
            <w:webHidden/>
          </w:rPr>
          <w:fldChar w:fldCharType="separate"/>
        </w:r>
        <w:r w:rsidR="00C25291">
          <w:rPr>
            <w:noProof/>
            <w:webHidden/>
          </w:rPr>
          <w:t>65</w:t>
        </w:r>
        <w:r>
          <w:rPr>
            <w:noProof/>
            <w:webHidden/>
          </w:rPr>
          <w:fldChar w:fldCharType="end"/>
        </w:r>
      </w:hyperlink>
    </w:p>
    <w:p w14:paraId="5A023F75" w14:textId="3BB8C52F"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09" w:history="1">
        <w:r w:rsidRPr="00520922">
          <w:rPr>
            <w:rStyle w:val="Lienhypertexte"/>
            <w:noProof/>
          </w:rPr>
          <w:t xml:space="preserve">Tableau 25 </w:t>
        </w:r>
        <w:r w:rsidRPr="00520922">
          <w:rPr>
            <w:rStyle w:val="Lienhypertexte"/>
            <w:rFonts w:eastAsia="Calibri"/>
            <w:b/>
            <w:noProof/>
            <w:shd w:val="clear" w:color="auto" w:fill="FFFFFF"/>
          </w:rPr>
          <w:t xml:space="preserve">: </w:t>
        </w:r>
        <w:r w:rsidRPr="00520922">
          <w:rPr>
            <w:rStyle w:val="Lienhypertexte"/>
            <w:rFonts w:eastAsia="Calibri"/>
            <w:bCs/>
            <w:noProof/>
            <w:shd w:val="clear" w:color="auto" w:fill="FFFFFF"/>
          </w:rPr>
          <w:t>Evolution de l’effectif potentiel des bovins de 2016 à 2021 (en pourcentage)</w:t>
        </w:r>
        <w:r>
          <w:rPr>
            <w:noProof/>
            <w:webHidden/>
          </w:rPr>
          <w:tab/>
        </w:r>
        <w:r>
          <w:rPr>
            <w:noProof/>
            <w:webHidden/>
          </w:rPr>
          <w:fldChar w:fldCharType="begin"/>
        </w:r>
        <w:r>
          <w:rPr>
            <w:noProof/>
            <w:webHidden/>
          </w:rPr>
          <w:instrText xml:space="preserve"> PAGEREF _Toc183340509 \h </w:instrText>
        </w:r>
        <w:r>
          <w:rPr>
            <w:noProof/>
            <w:webHidden/>
          </w:rPr>
        </w:r>
        <w:r>
          <w:rPr>
            <w:noProof/>
            <w:webHidden/>
          </w:rPr>
          <w:fldChar w:fldCharType="separate"/>
        </w:r>
        <w:r w:rsidR="00C25291">
          <w:rPr>
            <w:noProof/>
            <w:webHidden/>
          </w:rPr>
          <w:t>70</w:t>
        </w:r>
        <w:r>
          <w:rPr>
            <w:noProof/>
            <w:webHidden/>
          </w:rPr>
          <w:fldChar w:fldCharType="end"/>
        </w:r>
      </w:hyperlink>
    </w:p>
    <w:p w14:paraId="23495D66" w14:textId="7739D44D"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10" w:history="1">
        <w:r w:rsidRPr="00520922">
          <w:rPr>
            <w:rStyle w:val="Lienhypertexte"/>
            <w:noProof/>
          </w:rPr>
          <w:t>Tableau 26 : Evolution de l'effectif potentiel des ovins de 2026 à 2021 (en pourcentage)</w:t>
        </w:r>
        <w:r>
          <w:rPr>
            <w:noProof/>
            <w:webHidden/>
          </w:rPr>
          <w:tab/>
        </w:r>
        <w:r>
          <w:rPr>
            <w:noProof/>
            <w:webHidden/>
          </w:rPr>
          <w:fldChar w:fldCharType="begin"/>
        </w:r>
        <w:r>
          <w:rPr>
            <w:noProof/>
            <w:webHidden/>
          </w:rPr>
          <w:instrText xml:space="preserve"> PAGEREF _Toc183340510 \h </w:instrText>
        </w:r>
        <w:r>
          <w:rPr>
            <w:noProof/>
            <w:webHidden/>
          </w:rPr>
        </w:r>
        <w:r>
          <w:rPr>
            <w:noProof/>
            <w:webHidden/>
          </w:rPr>
          <w:fldChar w:fldCharType="separate"/>
        </w:r>
        <w:r w:rsidR="00C25291">
          <w:rPr>
            <w:noProof/>
            <w:webHidden/>
          </w:rPr>
          <w:t>70</w:t>
        </w:r>
        <w:r>
          <w:rPr>
            <w:noProof/>
            <w:webHidden/>
          </w:rPr>
          <w:fldChar w:fldCharType="end"/>
        </w:r>
      </w:hyperlink>
    </w:p>
    <w:p w14:paraId="5090C920" w14:textId="7C704ED6"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11" w:history="1">
        <w:r w:rsidRPr="00520922">
          <w:rPr>
            <w:rStyle w:val="Lienhypertexte"/>
            <w:noProof/>
          </w:rPr>
          <w:t>Tableau 27 : Evolution de l’effectif potentiel des caprins de 2016 à 2021 (en pourcentage)</w:t>
        </w:r>
        <w:r>
          <w:rPr>
            <w:noProof/>
            <w:webHidden/>
          </w:rPr>
          <w:tab/>
        </w:r>
        <w:r>
          <w:rPr>
            <w:noProof/>
            <w:webHidden/>
          </w:rPr>
          <w:fldChar w:fldCharType="begin"/>
        </w:r>
        <w:r>
          <w:rPr>
            <w:noProof/>
            <w:webHidden/>
          </w:rPr>
          <w:instrText xml:space="preserve"> PAGEREF _Toc183340511 \h </w:instrText>
        </w:r>
        <w:r>
          <w:rPr>
            <w:noProof/>
            <w:webHidden/>
          </w:rPr>
        </w:r>
        <w:r>
          <w:rPr>
            <w:noProof/>
            <w:webHidden/>
          </w:rPr>
          <w:fldChar w:fldCharType="separate"/>
        </w:r>
        <w:r w:rsidR="00C25291">
          <w:rPr>
            <w:noProof/>
            <w:webHidden/>
          </w:rPr>
          <w:t>71</w:t>
        </w:r>
        <w:r>
          <w:rPr>
            <w:noProof/>
            <w:webHidden/>
          </w:rPr>
          <w:fldChar w:fldCharType="end"/>
        </w:r>
      </w:hyperlink>
    </w:p>
    <w:p w14:paraId="5D80BDDE" w14:textId="005FE7E7"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12" w:history="1">
        <w:r w:rsidRPr="00520922">
          <w:rPr>
            <w:rStyle w:val="Lienhypertexte"/>
            <w:noProof/>
            <w:spacing w:val="10"/>
          </w:rPr>
          <w:t>Tableau 28 : Liste et superficie des permis d’exploitation industrielle valides</w:t>
        </w:r>
        <w:r>
          <w:rPr>
            <w:noProof/>
            <w:webHidden/>
          </w:rPr>
          <w:tab/>
        </w:r>
        <w:r>
          <w:rPr>
            <w:noProof/>
            <w:webHidden/>
          </w:rPr>
          <w:fldChar w:fldCharType="begin"/>
        </w:r>
        <w:r>
          <w:rPr>
            <w:noProof/>
            <w:webHidden/>
          </w:rPr>
          <w:instrText xml:space="preserve"> PAGEREF _Toc183340512 \h </w:instrText>
        </w:r>
        <w:r>
          <w:rPr>
            <w:noProof/>
            <w:webHidden/>
          </w:rPr>
        </w:r>
        <w:r>
          <w:rPr>
            <w:noProof/>
            <w:webHidden/>
          </w:rPr>
          <w:fldChar w:fldCharType="separate"/>
        </w:r>
        <w:r w:rsidR="00C25291">
          <w:rPr>
            <w:noProof/>
            <w:webHidden/>
          </w:rPr>
          <w:t>73</w:t>
        </w:r>
        <w:r>
          <w:rPr>
            <w:noProof/>
            <w:webHidden/>
          </w:rPr>
          <w:fldChar w:fldCharType="end"/>
        </w:r>
      </w:hyperlink>
    </w:p>
    <w:p w14:paraId="2F00E769" w14:textId="168B1308"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13" w:history="1">
        <w:r w:rsidRPr="00520922">
          <w:rPr>
            <w:rStyle w:val="Lienhypertexte"/>
            <w:noProof/>
            <w:spacing w:val="10"/>
          </w:rPr>
          <w:t>Tableau 29 : Evolution des superficies des nouveaux périmètres irrigués de 2016 à 2021 (en ha)</w:t>
        </w:r>
        <w:r>
          <w:rPr>
            <w:noProof/>
            <w:webHidden/>
          </w:rPr>
          <w:tab/>
        </w:r>
        <w:r>
          <w:rPr>
            <w:noProof/>
            <w:webHidden/>
          </w:rPr>
          <w:fldChar w:fldCharType="begin"/>
        </w:r>
        <w:r>
          <w:rPr>
            <w:noProof/>
            <w:webHidden/>
          </w:rPr>
          <w:instrText xml:space="preserve"> PAGEREF _Toc183340513 \h </w:instrText>
        </w:r>
        <w:r>
          <w:rPr>
            <w:noProof/>
            <w:webHidden/>
          </w:rPr>
        </w:r>
        <w:r>
          <w:rPr>
            <w:noProof/>
            <w:webHidden/>
          </w:rPr>
          <w:fldChar w:fldCharType="separate"/>
        </w:r>
        <w:r w:rsidR="00C25291">
          <w:rPr>
            <w:noProof/>
            <w:webHidden/>
          </w:rPr>
          <w:t>76</w:t>
        </w:r>
        <w:r>
          <w:rPr>
            <w:noProof/>
            <w:webHidden/>
          </w:rPr>
          <w:fldChar w:fldCharType="end"/>
        </w:r>
      </w:hyperlink>
    </w:p>
    <w:p w14:paraId="50BA60FD" w14:textId="1483E7F4"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14" w:history="1">
        <w:r w:rsidRPr="00520922">
          <w:rPr>
            <w:rStyle w:val="Lienhypertexte"/>
            <w:noProof/>
            <w:spacing w:val="10"/>
          </w:rPr>
          <w:t>Tableau 30 : Evolution des superficies des nouveaux bas-fonds aménagés de 2016 à 2021 (en ha)</w:t>
        </w:r>
        <w:r>
          <w:rPr>
            <w:noProof/>
            <w:webHidden/>
          </w:rPr>
          <w:tab/>
        </w:r>
        <w:r>
          <w:rPr>
            <w:noProof/>
            <w:webHidden/>
          </w:rPr>
          <w:fldChar w:fldCharType="begin"/>
        </w:r>
        <w:r>
          <w:rPr>
            <w:noProof/>
            <w:webHidden/>
          </w:rPr>
          <w:instrText xml:space="preserve"> PAGEREF _Toc183340514 \h </w:instrText>
        </w:r>
        <w:r>
          <w:rPr>
            <w:noProof/>
            <w:webHidden/>
          </w:rPr>
        </w:r>
        <w:r>
          <w:rPr>
            <w:noProof/>
            <w:webHidden/>
          </w:rPr>
          <w:fldChar w:fldCharType="separate"/>
        </w:r>
        <w:r w:rsidR="00C25291">
          <w:rPr>
            <w:noProof/>
            <w:webHidden/>
          </w:rPr>
          <w:t>77</w:t>
        </w:r>
        <w:r>
          <w:rPr>
            <w:noProof/>
            <w:webHidden/>
          </w:rPr>
          <w:fldChar w:fldCharType="end"/>
        </w:r>
      </w:hyperlink>
    </w:p>
    <w:p w14:paraId="1927AC72" w14:textId="439F0096"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15" w:history="1">
        <w:r w:rsidRPr="00520922">
          <w:rPr>
            <w:rStyle w:val="Lienhypertexte"/>
            <w:noProof/>
            <w:spacing w:val="10"/>
          </w:rPr>
          <w:t>Tableau 31 : Evolution du taux de dégradation des sols de 2012 à 2023 (%)</w:t>
        </w:r>
        <w:r>
          <w:rPr>
            <w:noProof/>
            <w:webHidden/>
          </w:rPr>
          <w:tab/>
        </w:r>
        <w:r>
          <w:rPr>
            <w:noProof/>
            <w:webHidden/>
          </w:rPr>
          <w:fldChar w:fldCharType="begin"/>
        </w:r>
        <w:r>
          <w:rPr>
            <w:noProof/>
            <w:webHidden/>
          </w:rPr>
          <w:instrText xml:space="preserve"> PAGEREF _Toc183340515 \h </w:instrText>
        </w:r>
        <w:r>
          <w:rPr>
            <w:noProof/>
            <w:webHidden/>
          </w:rPr>
        </w:r>
        <w:r>
          <w:rPr>
            <w:noProof/>
            <w:webHidden/>
          </w:rPr>
          <w:fldChar w:fldCharType="separate"/>
        </w:r>
        <w:r w:rsidR="00C25291">
          <w:rPr>
            <w:noProof/>
            <w:webHidden/>
          </w:rPr>
          <w:t>78</w:t>
        </w:r>
        <w:r>
          <w:rPr>
            <w:noProof/>
            <w:webHidden/>
          </w:rPr>
          <w:fldChar w:fldCharType="end"/>
        </w:r>
      </w:hyperlink>
    </w:p>
    <w:p w14:paraId="220F3F6C" w14:textId="4B06D308"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16" w:history="1">
        <w:r w:rsidRPr="00520922">
          <w:rPr>
            <w:rStyle w:val="Lienhypertexte"/>
            <w:noProof/>
            <w:spacing w:val="10"/>
          </w:rPr>
          <w:t>Tableau 32 : Intensité simple des pluies dans les principales stations de 2016 à 2023 (mm/h)</w:t>
        </w:r>
        <w:r>
          <w:rPr>
            <w:noProof/>
            <w:webHidden/>
          </w:rPr>
          <w:tab/>
        </w:r>
        <w:r>
          <w:rPr>
            <w:noProof/>
            <w:webHidden/>
          </w:rPr>
          <w:fldChar w:fldCharType="begin"/>
        </w:r>
        <w:r>
          <w:rPr>
            <w:noProof/>
            <w:webHidden/>
          </w:rPr>
          <w:instrText xml:space="preserve"> PAGEREF _Toc183340516 \h </w:instrText>
        </w:r>
        <w:r>
          <w:rPr>
            <w:noProof/>
            <w:webHidden/>
          </w:rPr>
        </w:r>
        <w:r>
          <w:rPr>
            <w:noProof/>
            <w:webHidden/>
          </w:rPr>
          <w:fldChar w:fldCharType="separate"/>
        </w:r>
        <w:r w:rsidR="00C25291">
          <w:rPr>
            <w:noProof/>
            <w:webHidden/>
          </w:rPr>
          <w:t>80</w:t>
        </w:r>
        <w:r>
          <w:rPr>
            <w:noProof/>
            <w:webHidden/>
          </w:rPr>
          <w:fldChar w:fldCharType="end"/>
        </w:r>
      </w:hyperlink>
    </w:p>
    <w:p w14:paraId="3E00D9F1" w14:textId="57F87989"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17" w:history="1">
        <w:r w:rsidRPr="00520922">
          <w:rPr>
            <w:rStyle w:val="Lienhypertexte"/>
            <w:noProof/>
            <w:spacing w:val="10"/>
          </w:rPr>
          <w:t>Tableau 33 : Températures maximales dans les principales stations de 2016 à 2023</w:t>
        </w:r>
        <w:r>
          <w:rPr>
            <w:noProof/>
            <w:webHidden/>
          </w:rPr>
          <w:tab/>
        </w:r>
        <w:r>
          <w:rPr>
            <w:noProof/>
            <w:webHidden/>
          </w:rPr>
          <w:fldChar w:fldCharType="begin"/>
        </w:r>
        <w:r>
          <w:rPr>
            <w:noProof/>
            <w:webHidden/>
          </w:rPr>
          <w:instrText xml:space="preserve"> PAGEREF _Toc183340517 \h </w:instrText>
        </w:r>
        <w:r>
          <w:rPr>
            <w:noProof/>
            <w:webHidden/>
          </w:rPr>
        </w:r>
        <w:r>
          <w:rPr>
            <w:noProof/>
            <w:webHidden/>
          </w:rPr>
          <w:fldChar w:fldCharType="separate"/>
        </w:r>
        <w:r w:rsidR="00C25291">
          <w:rPr>
            <w:noProof/>
            <w:webHidden/>
          </w:rPr>
          <w:t>80</w:t>
        </w:r>
        <w:r>
          <w:rPr>
            <w:noProof/>
            <w:webHidden/>
          </w:rPr>
          <w:fldChar w:fldCharType="end"/>
        </w:r>
      </w:hyperlink>
    </w:p>
    <w:p w14:paraId="41B5C5DF" w14:textId="0826F1FF"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18" w:history="1">
        <w:r w:rsidRPr="00520922">
          <w:rPr>
            <w:rStyle w:val="Lienhypertexte"/>
            <w:noProof/>
            <w:spacing w:val="10"/>
          </w:rPr>
          <w:t>Tableau 34 : Evolution de la vitesse moyenne du vent dans les principales stations (m/s)</w:t>
        </w:r>
        <w:r>
          <w:rPr>
            <w:noProof/>
            <w:webHidden/>
          </w:rPr>
          <w:tab/>
        </w:r>
        <w:r>
          <w:rPr>
            <w:noProof/>
            <w:webHidden/>
          </w:rPr>
          <w:fldChar w:fldCharType="begin"/>
        </w:r>
        <w:r>
          <w:rPr>
            <w:noProof/>
            <w:webHidden/>
          </w:rPr>
          <w:instrText xml:space="preserve"> PAGEREF _Toc183340518 \h </w:instrText>
        </w:r>
        <w:r>
          <w:rPr>
            <w:noProof/>
            <w:webHidden/>
          </w:rPr>
        </w:r>
        <w:r>
          <w:rPr>
            <w:noProof/>
            <w:webHidden/>
          </w:rPr>
          <w:fldChar w:fldCharType="separate"/>
        </w:r>
        <w:r w:rsidR="00C25291">
          <w:rPr>
            <w:noProof/>
            <w:webHidden/>
          </w:rPr>
          <w:t>80</w:t>
        </w:r>
        <w:r>
          <w:rPr>
            <w:noProof/>
            <w:webHidden/>
          </w:rPr>
          <w:fldChar w:fldCharType="end"/>
        </w:r>
      </w:hyperlink>
    </w:p>
    <w:p w14:paraId="7574D540" w14:textId="7C196FE7"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19" w:history="1">
        <w:r w:rsidRPr="00520922">
          <w:rPr>
            <w:rStyle w:val="Lienhypertexte"/>
            <w:noProof/>
            <w:spacing w:val="10"/>
          </w:rPr>
          <w:t>Tableau 35 : Part de la superficie sous cordons pierreux de 2016 à 2021 (en %)</w:t>
        </w:r>
        <w:r>
          <w:rPr>
            <w:noProof/>
            <w:webHidden/>
          </w:rPr>
          <w:tab/>
        </w:r>
        <w:r>
          <w:rPr>
            <w:noProof/>
            <w:webHidden/>
          </w:rPr>
          <w:fldChar w:fldCharType="begin"/>
        </w:r>
        <w:r>
          <w:rPr>
            <w:noProof/>
            <w:webHidden/>
          </w:rPr>
          <w:instrText xml:space="preserve"> PAGEREF _Toc183340519 \h </w:instrText>
        </w:r>
        <w:r>
          <w:rPr>
            <w:noProof/>
            <w:webHidden/>
          </w:rPr>
        </w:r>
        <w:r>
          <w:rPr>
            <w:noProof/>
            <w:webHidden/>
          </w:rPr>
          <w:fldChar w:fldCharType="separate"/>
        </w:r>
        <w:r w:rsidR="00C25291">
          <w:rPr>
            <w:noProof/>
            <w:webHidden/>
          </w:rPr>
          <w:t>90</w:t>
        </w:r>
        <w:r>
          <w:rPr>
            <w:noProof/>
            <w:webHidden/>
          </w:rPr>
          <w:fldChar w:fldCharType="end"/>
        </w:r>
      </w:hyperlink>
    </w:p>
    <w:p w14:paraId="1E25DEE7" w14:textId="7DB15C85"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20" w:history="1">
        <w:r w:rsidRPr="00520922">
          <w:rPr>
            <w:rStyle w:val="Lienhypertexte"/>
            <w:noProof/>
            <w:spacing w:val="10"/>
          </w:rPr>
          <w:t>Tableau 36 : Part de la superficie sous diguettes filtrantes de 2016 à 2021 (en %)</w:t>
        </w:r>
        <w:r>
          <w:rPr>
            <w:noProof/>
            <w:webHidden/>
          </w:rPr>
          <w:tab/>
        </w:r>
        <w:r>
          <w:rPr>
            <w:noProof/>
            <w:webHidden/>
          </w:rPr>
          <w:fldChar w:fldCharType="begin"/>
        </w:r>
        <w:r>
          <w:rPr>
            <w:noProof/>
            <w:webHidden/>
          </w:rPr>
          <w:instrText xml:space="preserve"> PAGEREF _Toc183340520 \h </w:instrText>
        </w:r>
        <w:r>
          <w:rPr>
            <w:noProof/>
            <w:webHidden/>
          </w:rPr>
        </w:r>
        <w:r>
          <w:rPr>
            <w:noProof/>
            <w:webHidden/>
          </w:rPr>
          <w:fldChar w:fldCharType="separate"/>
        </w:r>
        <w:r w:rsidR="00C25291">
          <w:rPr>
            <w:noProof/>
            <w:webHidden/>
          </w:rPr>
          <w:t>91</w:t>
        </w:r>
        <w:r>
          <w:rPr>
            <w:noProof/>
            <w:webHidden/>
          </w:rPr>
          <w:fldChar w:fldCharType="end"/>
        </w:r>
      </w:hyperlink>
    </w:p>
    <w:p w14:paraId="2DE51810" w14:textId="1881AE71"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21" w:history="1">
        <w:r w:rsidRPr="00520922">
          <w:rPr>
            <w:rStyle w:val="Lienhypertexte"/>
            <w:noProof/>
            <w:spacing w:val="10"/>
          </w:rPr>
          <w:t>Tableau 37 : Part de la superficie sous bandes enherbées de 2016 à 2021 (en %)</w:t>
        </w:r>
        <w:r>
          <w:rPr>
            <w:noProof/>
            <w:webHidden/>
          </w:rPr>
          <w:tab/>
        </w:r>
        <w:r>
          <w:rPr>
            <w:noProof/>
            <w:webHidden/>
          </w:rPr>
          <w:fldChar w:fldCharType="begin"/>
        </w:r>
        <w:r>
          <w:rPr>
            <w:noProof/>
            <w:webHidden/>
          </w:rPr>
          <w:instrText xml:space="preserve"> PAGEREF _Toc183340521 \h </w:instrText>
        </w:r>
        <w:r>
          <w:rPr>
            <w:noProof/>
            <w:webHidden/>
          </w:rPr>
        </w:r>
        <w:r>
          <w:rPr>
            <w:noProof/>
            <w:webHidden/>
          </w:rPr>
          <w:fldChar w:fldCharType="separate"/>
        </w:r>
        <w:r w:rsidR="00C25291">
          <w:rPr>
            <w:noProof/>
            <w:webHidden/>
          </w:rPr>
          <w:t>91</w:t>
        </w:r>
        <w:r>
          <w:rPr>
            <w:noProof/>
            <w:webHidden/>
          </w:rPr>
          <w:fldChar w:fldCharType="end"/>
        </w:r>
      </w:hyperlink>
    </w:p>
    <w:p w14:paraId="48D8F6FA" w14:textId="2EE43CDB"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22" w:history="1">
        <w:r w:rsidRPr="00520922">
          <w:rPr>
            <w:rStyle w:val="Lienhypertexte"/>
            <w:noProof/>
            <w:spacing w:val="10"/>
          </w:rPr>
          <w:t>Tableau 38 : Part de la superficie sous zaï de 2016 à 2021 (en %)</w:t>
        </w:r>
        <w:r>
          <w:rPr>
            <w:noProof/>
            <w:webHidden/>
          </w:rPr>
          <w:tab/>
        </w:r>
        <w:r>
          <w:rPr>
            <w:noProof/>
            <w:webHidden/>
          </w:rPr>
          <w:fldChar w:fldCharType="begin"/>
        </w:r>
        <w:r>
          <w:rPr>
            <w:noProof/>
            <w:webHidden/>
          </w:rPr>
          <w:instrText xml:space="preserve"> PAGEREF _Toc183340522 \h </w:instrText>
        </w:r>
        <w:r>
          <w:rPr>
            <w:noProof/>
            <w:webHidden/>
          </w:rPr>
        </w:r>
        <w:r>
          <w:rPr>
            <w:noProof/>
            <w:webHidden/>
          </w:rPr>
          <w:fldChar w:fldCharType="separate"/>
        </w:r>
        <w:r w:rsidR="00C25291">
          <w:rPr>
            <w:noProof/>
            <w:webHidden/>
          </w:rPr>
          <w:t>92</w:t>
        </w:r>
        <w:r>
          <w:rPr>
            <w:noProof/>
            <w:webHidden/>
          </w:rPr>
          <w:fldChar w:fldCharType="end"/>
        </w:r>
      </w:hyperlink>
    </w:p>
    <w:p w14:paraId="4687B481" w14:textId="33A398DF"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23" w:history="1">
        <w:r w:rsidRPr="00520922">
          <w:rPr>
            <w:rStyle w:val="Lienhypertexte"/>
            <w:noProof/>
            <w:spacing w:val="10"/>
          </w:rPr>
          <w:t>Tableau 39 : Part de la superficie sous demi-lune de 2016 à 2021 (en %)</w:t>
        </w:r>
        <w:r>
          <w:rPr>
            <w:noProof/>
            <w:webHidden/>
          </w:rPr>
          <w:tab/>
        </w:r>
        <w:r>
          <w:rPr>
            <w:noProof/>
            <w:webHidden/>
          </w:rPr>
          <w:fldChar w:fldCharType="begin"/>
        </w:r>
        <w:r>
          <w:rPr>
            <w:noProof/>
            <w:webHidden/>
          </w:rPr>
          <w:instrText xml:space="preserve"> PAGEREF _Toc183340523 \h </w:instrText>
        </w:r>
        <w:r>
          <w:rPr>
            <w:noProof/>
            <w:webHidden/>
          </w:rPr>
        </w:r>
        <w:r>
          <w:rPr>
            <w:noProof/>
            <w:webHidden/>
          </w:rPr>
          <w:fldChar w:fldCharType="separate"/>
        </w:r>
        <w:r w:rsidR="00C25291">
          <w:rPr>
            <w:noProof/>
            <w:webHidden/>
          </w:rPr>
          <w:t>92</w:t>
        </w:r>
        <w:r>
          <w:rPr>
            <w:noProof/>
            <w:webHidden/>
          </w:rPr>
          <w:fldChar w:fldCharType="end"/>
        </w:r>
      </w:hyperlink>
    </w:p>
    <w:p w14:paraId="5F2490FA" w14:textId="53936AC5"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24" w:history="1">
        <w:r w:rsidRPr="00520922">
          <w:rPr>
            <w:rStyle w:val="Lienhypertexte"/>
            <w:noProof/>
          </w:rPr>
          <w:t xml:space="preserve">Tableau 40 </w:t>
        </w:r>
        <w:r w:rsidRPr="00520922">
          <w:rPr>
            <w:rStyle w:val="Lienhypertexte"/>
            <w:rFonts w:eastAsia="Calibri"/>
            <w:noProof/>
          </w:rPr>
          <w:t>: Evolution des effectifs du cheptel par espèce (en milliers de têtes)</w:t>
        </w:r>
        <w:r>
          <w:rPr>
            <w:noProof/>
            <w:webHidden/>
          </w:rPr>
          <w:tab/>
        </w:r>
        <w:r>
          <w:rPr>
            <w:noProof/>
            <w:webHidden/>
          </w:rPr>
          <w:fldChar w:fldCharType="begin"/>
        </w:r>
        <w:r>
          <w:rPr>
            <w:noProof/>
            <w:webHidden/>
          </w:rPr>
          <w:instrText xml:space="preserve"> PAGEREF _Toc183340524 \h </w:instrText>
        </w:r>
        <w:r>
          <w:rPr>
            <w:noProof/>
            <w:webHidden/>
          </w:rPr>
        </w:r>
        <w:r>
          <w:rPr>
            <w:noProof/>
            <w:webHidden/>
          </w:rPr>
          <w:fldChar w:fldCharType="separate"/>
        </w:r>
        <w:r w:rsidR="00C25291">
          <w:rPr>
            <w:noProof/>
            <w:webHidden/>
          </w:rPr>
          <w:t>107</w:t>
        </w:r>
        <w:r>
          <w:rPr>
            <w:noProof/>
            <w:webHidden/>
          </w:rPr>
          <w:fldChar w:fldCharType="end"/>
        </w:r>
      </w:hyperlink>
    </w:p>
    <w:p w14:paraId="18DAB80A" w14:textId="6E75DCF8"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25" w:history="1">
        <w:r w:rsidRPr="00520922">
          <w:rPr>
            <w:rStyle w:val="Lienhypertexte"/>
            <w:noProof/>
          </w:rPr>
          <w:t>Tableau 41 : Evolution des effectifs des bovins par région</w:t>
        </w:r>
        <w:r>
          <w:rPr>
            <w:noProof/>
            <w:webHidden/>
          </w:rPr>
          <w:tab/>
        </w:r>
        <w:r>
          <w:rPr>
            <w:noProof/>
            <w:webHidden/>
          </w:rPr>
          <w:fldChar w:fldCharType="begin"/>
        </w:r>
        <w:r>
          <w:rPr>
            <w:noProof/>
            <w:webHidden/>
          </w:rPr>
          <w:instrText xml:space="preserve"> PAGEREF _Toc183340525 \h </w:instrText>
        </w:r>
        <w:r>
          <w:rPr>
            <w:noProof/>
            <w:webHidden/>
          </w:rPr>
        </w:r>
        <w:r>
          <w:rPr>
            <w:noProof/>
            <w:webHidden/>
          </w:rPr>
          <w:fldChar w:fldCharType="separate"/>
        </w:r>
        <w:r w:rsidR="00C25291">
          <w:rPr>
            <w:noProof/>
            <w:webHidden/>
          </w:rPr>
          <w:t>108</w:t>
        </w:r>
        <w:r>
          <w:rPr>
            <w:noProof/>
            <w:webHidden/>
          </w:rPr>
          <w:fldChar w:fldCharType="end"/>
        </w:r>
      </w:hyperlink>
    </w:p>
    <w:p w14:paraId="19D31CB8" w14:textId="1FAD09CD"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26" w:history="1">
        <w:r w:rsidRPr="00520922">
          <w:rPr>
            <w:rStyle w:val="Lienhypertexte"/>
            <w:noProof/>
          </w:rPr>
          <w:t>Tableau 42 : Evolution des superficies brûlées, en ha</w:t>
        </w:r>
        <w:r>
          <w:rPr>
            <w:noProof/>
            <w:webHidden/>
          </w:rPr>
          <w:tab/>
        </w:r>
        <w:r>
          <w:rPr>
            <w:noProof/>
            <w:webHidden/>
          </w:rPr>
          <w:fldChar w:fldCharType="begin"/>
        </w:r>
        <w:r>
          <w:rPr>
            <w:noProof/>
            <w:webHidden/>
          </w:rPr>
          <w:instrText xml:space="preserve"> PAGEREF _Toc183340526 \h </w:instrText>
        </w:r>
        <w:r>
          <w:rPr>
            <w:noProof/>
            <w:webHidden/>
          </w:rPr>
        </w:r>
        <w:r>
          <w:rPr>
            <w:noProof/>
            <w:webHidden/>
          </w:rPr>
          <w:fldChar w:fldCharType="separate"/>
        </w:r>
        <w:r w:rsidR="00C25291">
          <w:rPr>
            <w:noProof/>
            <w:webHidden/>
          </w:rPr>
          <w:t>110</w:t>
        </w:r>
        <w:r>
          <w:rPr>
            <w:noProof/>
            <w:webHidden/>
          </w:rPr>
          <w:fldChar w:fldCharType="end"/>
        </w:r>
      </w:hyperlink>
    </w:p>
    <w:p w14:paraId="53018474" w14:textId="697C12DF"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27" w:history="1">
        <w:r w:rsidRPr="00520922">
          <w:rPr>
            <w:rStyle w:val="Lienhypertexte"/>
            <w:noProof/>
          </w:rPr>
          <w:t xml:space="preserve">Tableau 43 </w:t>
        </w:r>
        <w:r w:rsidRPr="00520922">
          <w:rPr>
            <w:rStyle w:val="Lienhypertexte"/>
            <w:rFonts w:eastAsia="Calibri"/>
            <w:noProof/>
          </w:rPr>
          <w:t>: Les 20 premières espèces ligneuses dominantes rencontrées sur quatre sites le long des zones climatiques et des types d’utilisation des terres en fonction de l’indice de valeur d’importance</w:t>
        </w:r>
        <w:r>
          <w:rPr>
            <w:noProof/>
            <w:webHidden/>
          </w:rPr>
          <w:tab/>
        </w:r>
        <w:r>
          <w:rPr>
            <w:noProof/>
            <w:webHidden/>
          </w:rPr>
          <w:fldChar w:fldCharType="begin"/>
        </w:r>
        <w:r>
          <w:rPr>
            <w:noProof/>
            <w:webHidden/>
          </w:rPr>
          <w:instrText xml:space="preserve"> PAGEREF _Toc183340527 \h </w:instrText>
        </w:r>
        <w:r>
          <w:rPr>
            <w:noProof/>
            <w:webHidden/>
          </w:rPr>
        </w:r>
        <w:r>
          <w:rPr>
            <w:noProof/>
            <w:webHidden/>
          </w:rPr>
          <w:fldChar w:fldCharType="separate"/>
        </w:r>
        <w:r w:rsidR="00C25291">
          <w:rPr>
            <w:noProof/>
            <w:webHidden/>
          </w:rPr>
          <w:t>118</w:t>
        </w:r>
        <w:r>
          <w:rPr>
            <w:noProof/>
            <w:webHidden/>
          </w:rPr>
          <w:fldChar w:fldCharType="end"/>
        </w:r>
      </w:hyperlink>
    </w:p>
    <w:p w14:paraId="7C432629" w14:textId="0113716B"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28" w:history="1">
        <w:r w:rsidRPr="00520922">
          <w:rPr>
            <w:rStyle w:val="Lienhypertexte"/>
            <w:noProof/>
          </w:rPr>
          <w:t>Tableau 44</w:t>
        </w:r>
        <w:r w:rsidRPr="00520922">
          <w:rPr>
            <w:rStyle w:val="Lienhypertexte"/>
            <w:rFonts w:eastAsia="Calibri"/>
            <w:noProof/>
          </w:rPr>
          <w:t xml:space="preserve"> : Nombre d’espèces envahissantes du Burkina Faso classées par catégorie de potentiel d’envahissement hiérarchisée de l’ICRAF</w:t>
        </w:r>
        <w:r>
          <w:rPr>
            <w:noProof/>
            <w:webHidden/>
          </w:rPr>
          <w:tab/>
        </w:r>
        <w:r>
          <w:rPr>
            <w:noProof/>
            <w:webHidden/>
          </w:rPr>
          <w:fldChar w:fldCharType="begin"/>
        </w:r>
        <w:r>
          <w:rPr>
            <w:noProof/>
            <w:webHidden/>
          </w:rPr>
          <w:instrText xml:space="preserve"> PAGEREF _Toc183340528 \h </w:instrText>
        </w:r>
        <w:r>
          <w:rPr>
            <w:noProof/>
            <w:webHidden/>
          </w:rPr>
        </w:r>
        <w:r>
          <w:rPr>
            <w:noProof/>
            <w:webHidden/>
          </w:rPr>
          <w:fldChar w:fldCharType="separate"/>
        </w:r>
        <w:r w:rsidR="00C25291">
          <w:rPr>
            <w:noProof/>
            <w:webHidden/>
          </w:rPr>
          <w:t>120</w:t>
        </w:r>
        <w:r>
          <w:rPr>
            <w:noProof/>
            <w:webHidden/>
          </w:rPr>
          <w:fldChar w:fldCharType="end"/>
        </w:r>
      </w:hyperlink>
    </w:p>
    <w:p w14:paraId="371BF2CC" w14:textId="3367B81F"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29" w:history="1">
        <w:r w:rsidRPr="00520922">
          <w:rPr>
            <w:rStyle w:val="Lienhypertexte"/>
            <w:noProof/>
          </w:rPr>
          <w:t xml:space="preserve">Tableau 45 </w:t>
        </w:r>
        <w:r w:rsidRPr="00520922">
          <w:rPr>
            <w:rStyle w:val="Lienhypertexte"/>
            <w:rFonts w:eastAsia="Calibri"/>
            <w:noProof/>
          </w:rPr>
          <w:t>: Formations végétales du Burkina Faso et leurs caractéristiques</w:t>
        </w:r>
        <w:r>
          <w:rPr>
            <w:noProof/>
            <w:webHidden/>
          </w:rPr>
          <w:tab/>
        </w:r>
        <w:r>
          <w:rPr>
            <w:noProof/>
            <w:webHidden/>
          </w:rPr>
          <w:fldChar w:fldCharType="begin"/>
        </w:r>
        <w:r>
          <w:rPr>
            <w:noProof/>
            <w:webHidden/>
          </w:rPr>
          <w:instrText xml:space="preserve"> PAGEREF _Toc183340529 \h </w:instrText>
        </w:r>
        <w:r>
          <w:rPr>
            <w:noProof/>
            <w:webHidden/>
          </w:rPr>
        </w:r>
        <w:r>
          <w:rPr>
            <w:noProof/>
            <w:webHidden/>
          </w:rPr>
          <w:fldChar w:fldCharType="separate"/>
        </w:r>
        <w:r w:rsidR="00C25291">
          <w:rPr>
            <w:noProof/>
            <w:webHidden/>
          </w:rPr>
          <w:t>123</w:t>
        </w:r>
        <w:r>
          <w:rPr>
            <w:noProof/>
            <w:webHidden/>
          </w:rPr>
          <w:fldChar w:fldCharType="end"/>
        </w:r>
      </w:hyperlink>
    </w:p>
    <w:p w14:paraId="463E5859" w14:textId="1D289EA1"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30" w:history="1">
        <w:r w:rsidRPr="00520922">
          <w:rPr>
            <w:rStyle w:val="Lienhypertexte"/>
            <w:noProof/>
          </w:rPr>
          <w:t xml:space="preserve">Tableau 46 </w:t>
        </w:r>
        <w:r w:rsidRPr="00520922">
          <w:rPr>
            <w:rStyle w:val="Lienhypertexte"/>
            <w:rFonts w:eastAsia="Calibri"/>
            <w:noProof/>
          </w:rPr>
          <w:t>: Evolution des indicateurs de reboisement</w:t>
        </w:r>
        <w:r>
          <w:rPr>
            <w:noProof/>
            <w:webHidden/>
          </w:rPr>
          <w:tab/>
        </w:r>
        <w:r>
          <w:rPr>
            <w:noProof/>
            <w:webHidden/>
          </w:rPr>
          <w:fldChar w:fldCharType="begin"/>
        </w:r>
        <w:r>
          <w:rPr>
            <w:noProof/>
            <w:webHidden/>
          </w:rPr>
          <w:instrText xml:space="preserve"> PAGEREF _Toc183340530 \h </w:instrText>
        </w:r>
        <w:r>
          <w:rPr>
            <w:noProof/>
            <w:webHidden/>
          </w:rPr>
        </w:r>
        <w:r>
          <w:rPr>
            <w:noProof/>
            <w:webHidden/>
          </w:rPr>
          <w:fldChar w:fldCharType="separate"/>
        </w:r>
        <w:r w:rsidR="00C25291">
          <w:rPr>
            <w:noProof/>
            <w:webHidden/>
          </w:rPr>
          <w:t>128</w:t>
        </w:r>
        <w:r>
          <w:rPr>
            <w:noProof/>
            <w:webHidden/>
          </w:rPr>
          <w:fldChar w:fldCharType="end"/>
        </w:r>
      </w:hyperlink>
    </w:p>
    <w:p w14:paraId="60D018CF" w14:textId="419A8AFE"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31" w:history="1">
        <w:r w:rsidRPr="00520922">
          <w:rPr>
            <w:rStyle w:val="Lienhypertexte"/>
            <w:noProof/>
          </w:rPr>
          <w:t>Tableau 47 : Liste des chantiers d’aménagement forestiers (CAF) au Burkina Faso</w:t>
        </w:r>
        <w:r>
          <w:rPr>
            <w:noProof/>
            <w:webHidden/>
          </w:rPr>
          <w:tab/>
        </w:r>
        <w:r>
          <w:rPr>
            <w:noProof/>
            <w:webHidden/>
          </w:rPr>
          <w:fldChar w:fldCharType="begin"/>
        </w:r>
        <w:r>
          <w:rPr>
            <w:noProof/>
            <w:webHidden/>
          </w:rPr>
          <w:instrText xml:space="preserve"> PAGEREF _Toc183340531 \h </w:instrText>
        </w:r>
        <w:r>
          <w:rPr>
            <w:noProof/>
            <w:webHidden/>
          </w:rPr>
        </w:r>
        <w:r>
          <w:rPr>
            <w:noProof/>
            <w:webHidden/>
          </w:rPr>
          <w:fldChar w:fldCharType="separate"/>
        </w:r>
        <w:r w:rsidR="00C25291">
          <w:rPr>
            <w:noProof/>
            <w:webHidden/>
          </w:rPr>
          <w:t>129</w:t>
        </w:r>
        <w:r>
          <w:rPr>
            <w:noProof/>
            <w:webHidden/>
          </w:rPr>
          <w:fldChar w:fldCharType="end"/>
        </w:r>
      </w:hyperlink>
    </w:p>
    <w:p w14:paraId="2A54AC2B" w14:textId="41913538"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32" w:history="1">
        <w:r w:rsidRPr="00520922">
          <w:rPr>
            <w:rStyle w:val="Lienhypertexte"/>
            <w:noProof/>
          </w:rPr>
          <w:t xml:space="preserve">Tableau 48 </w:t>
        </w:r>
        <w:r w:rsidRPr="00520922">
          <w:rPr>
            <w:rStyle w:val="Lienhypertexte"/>
            <w:rFonts w:eastAsia="Calibri"/>
            <w:noProof/>
          </w:rPr>
          <w:t>: liste des sites Ramsar du Burkina Faso</w:t>
        </w:r>
        <w:r>
          <w:rPr>
            <w:noProof/>
            <w:webHidden/>
          </w:rPr>
          <w:tab/>
        </w:r>
        <w:r>
          <w:rPr>
            <w:noProof/>
            <w:webHidden/>
          </w:rPr>
          <w:fldChar w:fldCharType="begin"/>
        </w:r>
        <w:r>
          <w:rPr>
            <w:noProof/>
            <w:webHidden/>
          </w:rPr>
          <w:instrText xml:space="preserve"> PAGEREF _Toc183340532 \h </w:instrText>
        </w:r>
        <w:r>
          <w:rPr>
            <w:noProof/>
            <w:webHidden/>
          </w:rPr>
        </w:r>
        <w:r>
          <w:rPr>
            <w:noProof/>
            <w:webHidden/>
          </w:rPr>
          <w:fldChar w:fldCharType="separate"/>
        </w:r>
        <w:r w:rsidR="00C25291">
          <w:rPr>
            <w:noProof/>
            <w:webHidden/>
          </w:rPr>
          <w:t>131</w:t>
        </w:r>
        <w:r>
          <w:rPr>
            <w:noProof/>
            <w:webHidden/>
          </w:rPr>
          <w:fldChar w:fldCharType="end"/>
        </w:r>
      </w:hyperlink>
    </w:p>
    <w:p w14:paraId="0D5DC7D7" w14:textId="08A2813F"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33" w:history="1">
        <w:r w:rsidRPr="00520922">
          <w:rPr>
            <w:rStyle w:val="Lienhypertexte"/>
            <w:noProof/>
          </w:rPr>
          <w:t>Tableau 49</w:t>
        </w:r>
        <w:r w:rsidRPr="00520922">
          <w:rPr>
            <w:rStyle w:val="Lienhypertexte"/>
            <w:rFonts w:eastAsia="Calibri"/>
            <w:noProof/>
          </w:rPr>
          <w:t xml:space="preserve"> : Liste des espèces probablement disparues au Burkina Faso</w:t>
        </w:r>
        <w:r>
          <w:rPr>
            <w:noProof/>
            <w:webHidden/>
          </w:rPr>
          <w:tab/>
        </w:r>
        <w:r>
          <w:rPr>
            <w:noProof/>
            <w:webHidden/>
          </w:rPr>
          <w:fldChar w:fldCharType="begin"/>
        </w:r>
        <w:r>
          <w:rPr>
            <w:noProof/>
            <w:webHidden/>
          </w:rPr>
          <w:instrText xml:space="preserve"> PAGEREF _Toc183340533 \h </w:instrText>
        </w:r>
        <w:r>
          <w:rPr>
            <w:noProof/>
            <w:webHidden/>
          </w:rPr>
        </w:r>
        <w:r>
          <w:rPr>
            <w:noProof/>
            <w:webHidden/>
          </w:rPr>
          <w:fldChar w:fldCharType="separate"/>
        </w:r>
        <w:r w:rsidR="00C25291">
          <w:rPr>
            <w:noProof/>
            <w:webHidden/>
          </w:rPr>
          <w:t>146</w:t>
        </w:r>
        <w:r>
          <w:rPr>
            <w:noProof/>
            <w:webHidden/>
          </w:rPr>
          <w:fldChar w:fldCharType="end"/>
        </w:r>
      </w:hyperlink>
    </w:p>
    <w:p w14:paraId="61C82AE4" w14:textId="3CD5F5BC"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34" w:history="1">
        <w:r w:rsidRPr="00520922">
          <w:rPr>
            <w:rStyle w:val="Lienhypertexte"/>
            <w:noProof/>
          </w:rPr>
          <w:t>Tableau 50 : Liste des oiseaux menaces au Burkina Faso</w:t>
        </w:r>
        <w:r>
          <w:rPr>
            <w:noProof/>
            <w:webHidden/>
          </w:rPr>
          <w:tab/>
        </w:r>
        <w:r>
          <w:rPr>
            <w:noProof/>
            <w:webHidden/>
          </w:rPr>
          <w:fldChar w:fldCharType="begin"/>
        </w:r>
        <w:r>
          <w:rPr>
            <w:noProof/>
            <w:webHidden/>
          </w:rPr>
          <w:instrText xml:space="preserve"> PAGEREF _Toc183340534 \h </w:instrText>
        </w:r>
        <w:r>
          <w:rPr>
            <w:noProof/>
            <w:webHidden/>
          </w:rPr>
        </w:r>
        <w:r>
          <w:rPr>
            <w:noProof/>
            <w:webHidden/>
          </w:rPr>
          <w:fldChar w:fldCharType="separate"/>
        </w:r>
        <w:r w:rsidR="00C25291">
          <w:rPr>
            <w:noProof/>
            <w:webHidden/>
          </w:rPr>
          <w:t>146</w:t>
        </w:r>
        <w:r>
          <w:rPr>
            <w:noProof/>
            <w:webHidden/>
          </w:rPr>
          <w:fldChar w:fldCharType="end"/>
        </w:r>
      </w:hyperlink>
    </w:p>
    <w:p w14:paraId="572257F9" w14:textId="774616E0"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35" w:history="1">
        <w:r w:rsidRPr="00520922">
          <w:rPr>
            <w:rStyle w:val="Lienhypertexte"/>
            <w:noProof/>
          </w:rPr>
          <w:t>Tableau 51</w:t>
        </w:r>
        <w:r w:rsidRPr="00520922">
          <w:rPr>
            <w:rStyle w:val="Lienhypertexte"/>
            <w:rFonts w:eastAsia="Calibri"/>
            <w:noProof/>
          </w:rPr>
          <w:t xml:space="preserve"> : Dégradation des forêts et renforcement de stock de carbone</w:t>
        </w:r>
        <w:r>
          <w:rPr>
            <w:noProof/>
            <w:webHidden/>
          </w:rPr>
          <w:tab/>
        </w:r>
        <w:r>
          <w:rPr>
            <w:noProof/>
            <w:webHidden/>
          </w:rPr>
          <w:fldChar w:fldCharType="begin"/>
        </w:r>
        <w:r>
          <w:rPr>
            <w:noProof/>
            <w:webHidden/>
          </w:rPr>
          <w:instrText xml:space="preserve"> PAGEREF _Toc183340535 \h </w:instrText>
        </w:r>
        <w:r>
          <w:rPr>
            <w:noProof/>
            <w:webHidden/>
          </w:rPr>
        </w:r>
        <w:r>
          <w:rPr>
            <w:noProof/>
            <w:webHidden/>
          </w:rPr>
          <w:fldChar w:fldCharType="separate"/>
        </w:r>
        <w:r w:rsidR="00C25291">
          <w:rPr>
            <w:noProof/>
            <w:webHidden/>
          </w:rPr>
          <w:t>148</w:t>
        </w:r>
        <w:r>
          <w:rPr>
            <w:noProof/>
            <w:webHidden/>
          </w:rPr>
          <w:fldChar w:fldCharType="end"/>
        </w:r>
      </w:hyperlink>
    </w:p>
    <w:p w14:paraId="5B95E1EB" w14:textId="3820A052"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36" w:history="1">
        <w:r w:rsidRPr="00520922">
          <w:rPr>
            <w:rStyle w:val="Lienhypertexte"/>
            <w:noProof/>
          </w:rPr>
          <w:t>Tableau 52 : Contribution du secteur AFAT dans la réduction des émissions de GES</w:t>
        </w:r>
        <w:r>
          <w:rPr>
            <w:noProof/>
            <w:webHidden/>
          </w:rPr>
          <w:tab/>
        </w:r>
        <w:r>
          <w:rPr>
            <w:noProof/>
            <w:webHidden/>
          </w:rPr>
          <w:fldChar w:fldCharType="begin"/>
        </w:r>
        <w:r>
          <w:rPr>
            <w:noProof/>
            <w:webHidden/>
          </w:rPr>
          <w:instrText xml:space="preserve"> PAGEREF _Toc183340536 \h </w:instrText>
        </w:r>
        <w:r>
          <w:rPr>
            <w:noProof/>
            <w:webHidden/>
          </w:rPr>
        </w:r>
        <w:r>
          <w:rPr>
            <w:noProof/>
            <w:webHidden/>
          </w:rPr>
          <w:fldChar w:fldCharType="separate"/>
        </w:r>
        <w:r w:rsidR="00C25291">
          <w:rPr>
            <w:noProof/>
            <w:webHidden/>
          </w:rPr>
          <w:t>148</w:t>
        </w:r>
        <w:r>
          <w:rPr>
            <w:noProof/>
            <w:webHidden/>
          </w:rPr>
          <w:fldChar w:fldCharType="end"/>
        </w:r>
      </w:hyperlink>
    </w:p>
    <w:p w14:paraId="2008D4E2" w14:textId="28A5E1EE"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37" w:history="1">
        <w:r w:rsidRPr="00520922">
          <w:rPr>
            <w:rStyle w:val="Lienhypertexte"/>
            <w:noProof/>
          </w:rPr>
          <w:t>Tableau 53 : liste des conventions, traités et protocoles relatifs à la diversité biologique</w:t>
        </w:r>
        <w:r>
          <w:rPr>
            <w:noProof/>
            <w:webHidden/>
          </w:rPr>
          <w:tab/>
        </w:r>
        <w:r>
          <w:rPr>
            <w:noProof/>
            <w:webHidden/>
          </w:rPr>
          <w:fldChar w:fldCharType="begin"/>
        </w:r>
        <w:r>
          <w:rPr>
            <w:noProof/>
            <w:webHidden/>
          </w:rPr>
          <w:instrText xml:space="preserve"> PAGEREF _Toc183340537 \h </w:instrText>
        </w:r>
        <w:r>
          <w:rPr>
            <w:noProof/>
            <w:webHidden/>
          </w:rPr>
        </w:r>
        <w:r>
          <w:rPr>
            <w:noProof/>
            <w:webHidden/>
          </w:rPr>
          <w:fldChar w:fldCharType="separate"/>
        </w:r>
        <w:r w:rsidR="00C25291">
          <w:rPr>
            <w:noProof/>
            <w:webHidden/>
          </w:rPr>
          <w:t>150</w:t>
        </w:r>
        <w:r>
          <w:rPr>
            <w:noProof/>
            <w:webHidden/>
          </w:rPr>
          <w:fldChar w:fldCharType="end"/>
        </w:r>
      </w:hyperlink>
    </w:p>
    <w:p w14:paraId="0DDB93C8" w14:textId="23892CDF"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38" w:history="1">
        <w:r w:rsidRPr="00520922">
          <w:rPr>
            <w:rStyle w:val="Lienhypertexte"/>
            <w:noProof/>
          </w:rPr>
          <w:t>Tableau 54 : Liste synthétique des instruments régionaux, sous régionaux et transfrontaliers africains de gestion de la diversité biologique</w:t>
        </w:r>
        <w:r>
          <w:rPr>
            <w:noProof/>
            <w:webHidden/>
          </w:rPr>
          <w:tab/>
        </w:r>
        <w:r>
          <w:rPr>
            <w:noProof/>
            <w:webHidden/>
          </w:rPr>
          <w:fldChar w:fldCharType="begin"/>
        </w:r>
        <w:r>
          <w:rPr>
            <w:noProof/>
            <w:webHidden/>
          </w:rPr>
          <w:instrText xml:space="preserve"> PAGEREF _Toc183340538 \h </w:instrText>
        </w:r>
        <w:r>
          <w:rPr>
            <w:noProof/>
            <w:webHidden/>
          </w:rPr>
        </w:r>
        <w:r>
          <w:rPr>
            <w:noProof/>
            <w:webHidden/>
          </w:rPr>
          <w:fldChar w:fldCharType="separate"/>
        </w:r>
        <w:r w:rsidR="00C25291">
          <w:rPr>
            <w:noProof/>
            <w:webHidden/>
          </w:rPr>
          <w:t>151</w:t>
        </w:r>
        <w:r>
          <w:rPr>
            <w:noProof/>
            <w:webHidden/>
          </w:rPr>
          <w:fldChar w:fldCharType="end"/>
        </w:r>
      </w:hyperlink>
    </w:p>
    <w:p w14:paraId="3BC1238B" w14:textId="08757E00"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39" w:history="1">
        <w:r w:rsidRPr="00520922">
          <w:rPr>
            <w:rStyle w:val="Lienhypertexte"/>
            <w:noProof/>
          </w:rPr>
          <w:t>Tableau 55 : Liste de quelques projets et programmes majeurs en lien avec la diversité biologique au Burkina Faso</w:t>
        </w:r>
        <w:r>
          <w:rPr>
            <w:noProof/>
            <w:webHidden/>
          </w:rPr>
          <w:tab/>
        </w:r>
        <w:r>
          <w:rPr>
            <w:noProof/>
            <w:webHidden/>
          </w:rPr>
          <w:fldChar w:fldCharType="begin"/>
        </w:r>
        <w:r>
          <w:rPr>
            <w:noProof/>
            <w:webHidden/>
          </w:rPr>
          <w:instrText xml:space="preserve"> PAGEREF _Toc183340539 \h </w:instrText>
        </w:r>
        <w:r>
          <w:rPr>
            <w:noProof/>
            <w:webHidden/>
          </w:rPr>
        </w:r>
        <w:r>
          <w:rPr>
            <w:noProof/>
            <w:webHidden/>
          </w:rPr>
          <w:fldChar w:fldCharType="separate"/>
        </w:r>
        <w:r w:rsidR="00C25291">
          <w:rPr>
            <w:noProof/>
            <w:webHidden/>
          </w:rPr>
          <w:t>152</w:t>
        </w:r>
        <w:r>
          <w:rPr>
            <w:noProof/>
            <w:webHidden/>
          </w:rPr>
          <w:fldChar w:fldCharType="end"/>
        </w:r>
      </w:hyperlink>
    </w:p>
    <w:p w14:paraId="7B7D54B3" w14:textId="1E25F722"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40" w:history="1">
        <w:r w:rsidRPr="00520922">
          <w:rPr>
            <w:rStyle w:val="Lienhypertexte"/>
            <w:noProof/>
          </w:rPr>
          <w:t>Tableau 56 : Liste des actions d’atténuation</w:t>
        </w:r>
        <w:r>
          <w:rPr>
            <w:noProof/>
            <w:webHidden/>
          </w:rPr>
          <w:tab/>
        </w:r>
        <w:r>
          <w:rPr>
            <w:noProof/>
            <w:webHidden/>
          </w:rPr>
          <w:fldChar w:fldCharType="begin"/>
        </w:r>
        <w:r>
          <w:rPr>
            <w:noProof/>
            <w:webHidden/>
          </w:rPr>
          <w:instrText xml:space="preserve"> PAGEREF _Toc183340540 \h </w:instrText>
        </w:r>
        <w:r>
          <w:rPr>
            <w:noProof/>
            <w:webHidden/>
          </w:rPr>
        </w:r>
        <w:r>
          <w:rPr>
            <w:noProof/>
            <w:webHidden/>
          </w:rPr>
          <w:fldChar w:fldCharType="separate"/>
        </w:r>
        <w:r w:rsidR="00C25291">
          <w:rPr>
            <w:noProof/>
            <w:webHidden/>
          </w:rPr>
          <w:t>156</w:t>
        </w:r>
        <w:r>
          <w:rPr>
            <w:noProof/>
            <w:webHidden/>
          </w:rPr>
          <w:fldChar w:fldCharType="end"/>
        </w:r>
      </w:hyperlink>
    </w:p>
    <w:p w14:paraId="122742A1" w14:textId="7467F4DF"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41" w:history="1">
        <w:r w:rsidRPr="00520922">
          <w:rPr>
            <w:rStyle w:val="Lienhypertexte"/>
            <w:noProof/>
          </w:rPr>
          <w:t>Tableau 57 : Concordances entre inondations et pluies maximales journalières et sur 5 jours</w:t>
        </w:r>
        <w:r>
          <w:rPr>
            <w:noProof/>
            <w:webHidden/>
          </w:rPr>
          <w:tab/>
        </w:r>
        <w:r>
          <w:rPr>
            <w:noProof/>
            <w:webHidden/>
          </w:rPr>
          <w:fldChar w:fldCharType="begin"/>
        </w:r>
        <w:r>
          <w:rPr>
            <w:noProof/>
            <w:webHidden/>
          </w:rPr>
          <w:instrText xml:space="preserve"> PAGEREF _Toc183340541 \h </w:instrText>
        </w:r>
        <w:r>
          <w:rPr>
            <w:noProof/>
            <w:webHidden/>
          </w:rPr>
        </w:r>
        <w:r>
          <w:rPr>
            <w:noProof/>
            <w:webHidden/>
          </w:rPr>
          <w:fldChar w:fldCharType="separate"/>
        </w:r>
        <w:r w:rsidR="00C25291">
          <w:rPr>
            <w:noProof/>
            <w:webHidden/>
          </w:rPr>
          <w:t>164</w:t>
        </w:r>
        <w:r>
          <w:rPr>
            <w:noProof/>
            <w:webHidden/>
          </w:rPr>
          <w:fldChar w:fldCharType="end"/>
        </w:r>
      </w:hyperlink>
    </w:p>
    <w:p w14:paraId="0733C7AD" w14:textId="626606F4"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42" w:history="1">
        <w:r w:rsidRPr="00520922">
          <w:rPr>
            <w:rStyle w:val="Lienhypertexte"/>
            <w:noProof/>
          </w:rPr>
          <w:t>Tableau 58 : Déficits pluviométriques des années de sécheresse</w:t>
        </w:r>
        <w:r>
          <w:rPr>
            <w:noProof/>
            <w:webHidden/>
          </w:rPr>
          <w:tab/>
        </w:r>
        <w:r>
          <w:rPr>
            <w:noProof/>
            <w:webHidden/>
          </w:rPr>
          <w:fldChar w:fldCharType="begin"/>
        </w:r>
        <w:r>
          <w:rPr>
            <w:noProof/>
            <w:webHidden/>
          </w:rPr>
          <w:instrText xml:space="preserve"> PAGEREF _Toc183340542 \h </w:instrText>
        </w:r>
        <w:r>
          <w:rPr>
            <w:noProof/>
            <w:webHidden/>
          </w:rPr>
        </w:r>
        <w:r>
          <w:rPr>
            <w:noProof/>
            <w:webHidden/>
          </w:rPr>
          <w:fldChar w:fldCharType="separate"/>
        </w:r>
        <w:r w:rsidR="00C25291">
          <w:rPr>
            <w:noProof/>
            <w:webHidden/>
          </w:rPr>
          <w:t>164</w:t>
        </w:r>
        <w:r>
          <w:rPr>
            <w:noProof/>
            <w:webHidden/>
          </w:rPr>
          <w:fldChar w:fldCharType="end"/>
        </w:r>
      </w:hyperlink>
    </w:p>
    <w:p w14:paraId="687FD943" w14:textId="75F63A18"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43" w:history="1">
        <w:r w:rsidRPr="00520922">
          <w:rPr>
            <w:rStyle w:val="Lienhypertexte"/>
            <w:noProof/>
          </w:rPr>
          <w:t>Tableau 59 : Impacts sociaux des inondations et des sécheresses documentés entre 1988 et 2021</w:t>
        </w:r>
        <w:r>
          <w:rPr>
            <w:noProof/>
            <w:webHidden/>
          </w:rPr>
          <w:tab/>
        </w:r>
        <w:r>
          <w:rPr>
            <w:noProof/>
            <w:webHidden/>
          </w:rPr>
          <w:fldChar w:fldCharType="begin"/>
        </w:r>
        <w:r>
          <w:rPr>
            <w:noProof/>
            <w:webHidden/>
          </w:rPr>
          <w:instrText xml:space="preserve"> PAGEREF _Toc183340543 \h </w:instrText>
        </w:r>
        <w:r>
          <w:rPr>
            <w:noProof/>
            <w:webHidden/>
          </w:rPr>
        </w:r>
        <w:r>
          <w:rPr>
            <w:noProof/>
            <w:webHidden/>
          </w:rPr>
          <w:fldChar w:fldCharType="separate"/>
        </w:r>
        <w:r w:rsidR="00C25291">
          <w:rPr>
            <w:noProof/>
            <w:webHidden/>
          </w:rPr>
          <w:t>165</w:t>
        </w:r>
        <w:r>
          <w:rPr>
            <w:noProof/>
            <w:webHidden/>
          </w:rPr>
          <w:fldChar w:fldCharType="end"/>
        </w:r>
      </w:hyperlink>
    </w:p>
    <w:p w14:paraId="0BBEDFFF" w14:textId="1E700676"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44" w:history="1">
        <w:r w:rsidRPr="00520922">
          <w:rPr>
            <w:rStyle w:val="Lienhypertexte"/>
            <w:noProof/>
          </w:rPr>
          <w:t>Tableau 60 : Impacts économiques des inondations et des sécheresses documentés entre 1988 et 2021</w:t>
        </w:r>
        <w:r>
          <w:rPr>
            <w:noProof/>
            <w:webHidden/>
          </w:rPr>
          <w:tab/>
        </w:r>
        <w:r>
          <w:rPr>
            <w:noProof/>
            <w:webHidden/>
          </w:rPr>
          <w:fldChar w:fldCharType="begin"/>
        </w:r>
        <w:r>
          <w:rPr>
            <w:noProof/>
            <w:webHidden/>
          </w:rPr>
          <w:instrText xml:space="preserve"> PAGEREF _Toc183340544 \h </w:instrText>
        </w:r>
        <w:r>
          <w:rPr>
            <w:noProof/>
            <w:webHidden/>
          </w:rPr>
        </w:r>
        <w:r>
          <w:rPr>
            <w:noProof/>
            <w:webHidden/>
          </w:rPr>
          <w:fldChar w:fldCharType="separate"/>
        </w:r>
        <w:r w:rsidR="00C25291">
          <w:rPr>
            <w:noProof/>
            <w:webHidden/>
          </w:rPr>
          <w:t>165</w:t>
        </w:r>
        <w:r>
          <w:rPr>
            <w:noProof/>
            <w:webHidden/>
          </w:rPr>
          <w:fldChar w:fldCharType="end"/>
        </w:r>
      </w:hyperlink>
    </w:p>
    <w:p w14:paraId="34A3E865" w14:textId="2719B845"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45" w:history="1">
        <w:r w:rsidRPr="00520922">
          <w:rPr>
            <w:rStyle w:val="Lienhypertexte"/>
            <w:noProof/>
          </w:rPr>
          <w:t>Tableau 61 : Statut migratoire selon le milieu de résidence</w:t>
        </w:r>
        <w:r>
          <w:rPr>
            <w:noProof/>
            <w:webHidden/>
          </w:rPr>
          <w:tab/>
        </w:r>
        <w:r>
          <w:rPr>
            <w:noProof/>
            <w:webHidden/>
          </w:rPr>
          <w:fldChar w:fldCharType="begin"/>
        </w:r>
        <w:r>
          <w:rPr>
            <w:noProof/>
            <w:webHidden/>
          </w:rPr>
          <w:instrText xml:space="preserve"> PAGEREF _Toc183340545 \h </w:instrText>
        </w:r>
        <w:r>
          <w:rPr>
            <w:noProof/>
            <w:webHidden/>
          </w:rPr>
        </w:r>
        <w:r>
          <w:rPr>
            <w:noProof/>
            <w:webHidden/>
          </w:rPr>
          <w:fldChar w:fldCharType="separate"/>
        </w:r>
        <w:r w:rsidR="00C25291">
          <w:rPr>
            <w:noProof/>
            <w:webHidden/>
          </w:rPr>
          <w:t>176</w:t>
        </w:r>
        <w:r>
          <w:rPr>
            <w:noProof/>
            <w:webHidden/>
          </w:rPr>
          <w:fldChar w:fldCharType="end"/>
        </w:r>
      </w:hyperlink>
    </w:p>
    <w:p w14:paraId="0F172B5C" w14:textId="533246E0"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46" w:history="1">
        <w:r w:rsidRPr="00520922">
          <w:rPr>
            <w:rStyle w:val="Lienhypertexte"/>
            <w:noProof/>
          </w:rPr>
          <w:t>Tableau 62 : Évolution de la population par ville</w:t>
        </w:r>
        <w:r>
          <w:rPr>
            <w:noProof/>
            <w:webHidden/>
          </w:rPr>
          <w:tab/>
        </w:r>
        <w:r>
          <w:rPr>
            <w:noProof/>
            <w:webHidden/>
          </w:rPr>
          <w:fldChar w:fldCharType="begin"/>
        </w:r>
        <w:r>
          <w:rPr>
            <w:noProof/>
            <w:webHidden/>
          </w:rPr>
          <w:instrText xml:space="preserve"> PAGEREF _Toc183340546 \h </w:instrText>
        </w:r>
        <w:r>
          <w:rPr>
            <w:noProof/>
            <w:webHidden/>
          </w:rPr>
        </w:r>
        <w:r>
          <w:rPr>
            <w:noProof/>
            <w:webHidden/>
          </w:rPr>
          <w:fldChar w:fldCharType="separate"/>
        </w:r>
        <w:r w:rsidR="00C25291">
          <w:rPr>
            <w:noProof/>
            <w:webHidden/>
          </w:rPr>
          <w:t>182</w:t>
        </w:r>
        <w:r>
          <w:rPr>
            <w:noProof/>
            <w:webHidden/>
          </w:rPr>
          <w:fldChar w:fldCharType="end"/>
        </w:r>
      </w:hyperlink>
    </w:p>
    <w:p w14:paraId="06E71289" w14:textId="0350B90D"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47" w:history="1">
        <w:r w:rsidRPr="00520922">
          <w:rPr>
            <w:rStyle w:val="Lienhypertexte"/>
            <w:noProof/>
          </w:rPr>
          <w:t>Tableau 63 : Évolution de la population et urbanisation</w:t>
        </w:r>
        <w:r>
          <w:rPr>
            <w:noProof/>
            <w:webHidden/>
          </w:rPr>
          <w:tab/>
        </w:r>
        <w:r>
          <w:rPr>
            <w:noProof/>
            <w:webHidden/>
          </w:rPr>
          <w:fldChar w:fldCharType="begin"/>
        </w:r>
        <w:r>
          <w:rPr>
            <w:noProof/>
            <w:webHidden/>
          </w:rPr>
          <w:instrText xml:space="preserve"> PAGEREF _Toc183340547 \h </w:instrText>
        </w:r>
        <w:r>
          <w:rPr>
            <w:noProof/>
            <w:webHidden/>
          </w:rPr>
        </w:r>
        <w:r>
          <w:rPr>
            <w:noProof/>
            <w:webHidden/>
          </w:rPr>
          <w:fldChar w:fldCharType="separate"/>
        </w:r>
        <w:r w:rsidR="00C25291">
          <w:rPr>
            <w:noProof/>
            <w:webHidden/>
          </w:rPr>
          <w:t>184</w:t>
        </w:r>
        <w:r>
          <w:rPr>
            <w:noProof/>
            <w:webHidden/>
          </w:rPr>
          <w:fldChar w:fldCharType="end"/>
        </w:r>
      </w:hyperlink>
    </w:p>
    <w:p w14:paraId="69BEC864" w14:textId="1F033526" w:rsidR="00BF3932" w:rsidRDefault="00BF3932" w:rsidP="00BF3932">
      <w:pPr>
        <w:pStyle w:val="Tabledesillustrations"/>
        <w:tabs>
          <w:tab w:val="right" w:leader="dot" w:pos="9175"/>
        </w:tabs>
        <w:spacing w:line="276" w:lineRule="auto"/>
        <w:rPr>
          <w:rFonts w:asciiTheme="minorHAnsi" w:eastAsiaTheme="minorEastAsia" w:hAnsiTheme="minorHAnsi"/>
          <w:noProof/>
          <w:sz w:val="22"/>
          <w:lang w:val="fr-BF" w:eastAsia="fr-BF"/>
        </w:rPr>
      </w:pPr>
      <w:hyperlink w:anchor="_Toc183340548" w:history="1">
        <w:r w:rsidRPr="00520922">
          <w:rPr>
            <w:rStyle w:val="Lienhypertexte"/>
            <w:noProof/>
          </w:rPr>
          <w:t>Tableau 64 : Répartition des ménages selon le lieu d’aisance et le milieu de résidence (%)</w:t>
        </w:r>
        <w:r>
          <w:rPr>
            <w:noProof/>
            <w:webHidden/>
          </w:rPr>
          <w:tab/>
        </w:r>
        <w:r>
          <w:rPr>
            <w:noProof/>
            <w:webHidden/>
          </w:rPr>
          <w:fldChar w:fldCharType="begin"/>
        </w:r>
        <w:r>
          <w:rPr>
            <w:noProof/>
            <w:webHidden/>
          </w:rPr>
          <w:instrText xml:space="preserve"> PAGEREF _Toc183340548 \h </w:instrText>
        </w:r>
        <w:r>
          <w:rPr>
            <w:noProof/>
            <w:webHidden/>
          </w:rPr>
        </w:r>
        <w:r>
          <w:rPr>
            <w:noProof/>
            <w:webHidden/>
          </w:rPr>
          <w:fldChar w:fldCharType="separate"/>
        </w:r>
        <w:r w:rsidR="00C25291">
          <w:rPr>
            <w:noProof/>
            <w:webHidden/>
          </w:rPr>
          <w:t>192</w:t>
        </w:r>
        <w:r>
          <w:rPr>
            <w:noProof/>
            <w:webHidden/>
          </w:rPr>
          <w:fldChar w:fldCharType="end"/>
        </w:r>
      </w:hyperlink>
    </w:p>
    <w:p w14:paraId="49C102BA" w14:textId="571A8E20" w:rsidR="00142593" w:rsidRPr="007C5A6E" w:rsidRDefault="00142593" w:rsidP="00BF3932">
      <w:pPr>
        <w:spacing w:after="0"/>
        <w:rPr>
          <w:rFonts w:ascii="Times New Roman" w:hAnsi="Times New Roman"/>
          <w:lang w:eastAsia="en-US"/>
        </w:rPr>
      </w:pPr>
      <w:r w:rsidRPr="007C5A6E">
        <w:rPr>
          <w:rFonts w:ascii="Times New Roman" w:hAnsi="Times New Roman"/>
          <w:lang w:eastAsia="en-US"/>
        </w:rPr>
        <w:fldChar w:fldCharType="end"/>
      </w:r>
    </w:p>
    <w:p w14:paraId="0CED5751" w14:textId="77777777" w:rsidR="00857104" w:rsidRPr="007C5A6E" w:rsidRDefault="00857104" w:rsidP="000E1BA6">
      <w:pPr>
        <w:spacing w:after="0"/>
        <w:rPr>
          <w:rFonts w:ascii="Times New Roman" w:hAnsi="Times New Roman"/>
        </w:rPr>
      </w:pPr>
    </w:p>
    <w:p w14:paraId="69995317" w14:textId="77777777" w:rsidR="00857104" w:rsidRPr="007C5A6E" w:rsidRDefault="00857104" w:rsidP="000E1BA6">
      <w:pPr>
        <w:spacing w:after="0"/>
        <w:rPr>
          <w:rFonts w:ascii="Times New Roman" w:hAnsi="Times New Roman"/>
        </w:rPr>
      </w:pPr>
    </w:p>
    <w:p w14:paraId="67D969D4" w14:textId="77777777" w:rsidR="00857104" w:rsidRPr="007C5A6E" w:rsidRDefault="00857104" w:rsidP="000E1BA6">
      <w:pPr>
        <w:spacing w:after="0"/>
        <w:rPr>
          <w:rFonts w:ascii="Times New Roman" w:hAnsi="Times New Roman"/>
        </w:rPr>
      </w:pPr>
    </w:p>
    <w:p w14:paraId="008A9225" w14:textId="77777777" w:rsidR="00857104" w:rsidRPr="007C5A6E" w:rsidRDefault="00857104" w:rsidP="000E1BA6">
      <w:pPr>
        <w:spacing w:after="0"/>
        <w:rPr>
          <w:rFonts w:ascii="Times New Roman" w:hAnsi="Times New Roman"/>
        </w:rPr>
      </w:pPr>
    </w:p>
    <w:p w14:paraId="4CCF45BC" w14:textId="77777777" w:rsidR="00857104" w:rsidRPr="007C5A6E" w:rsidRDefault="00857104" w:rsidP="00857104">
      <w:pPr>
        <w:spacing w:after="0" w:line="240" w:lineRule="auto"/>
        <w:rPr>
          <w:rFonts w:ascii="Times New Roman" w:hAnsi="Times New Roman"/>
          <w:sz w:val="24"/>
          <w:szCs w:val="24"/>
        </w:rPr>
      </w:pPr>
    </w:p>
    <w:p w14:paraId="1DFD9AE2" w14:textId="77777777" w:rsidR="00857104" w:rsidRPr="007C5A6E" w:rsidRDefault="00857104" w:rsidP="00857104">
      <w:pPr>
        <w:pStyle w:val="Titre1"/>
        <w:numPr>
          <w:ilvl w:val="0"/>
          <w:numId w:val="0"/>
        </w:numPr>
        <w:spacing w:before="0"/>
        <w:rPr>
          <w:kern w:val="2"/>
          <w:sz w:val="32"/>
          <w:lang w:eastAsia="en-US"/>
          <w14:ligatures w14:val="standardContextual"/>
        </w:rPr>
        <w:sectPr w:rsidR="00857104" w:rsidRPr="007C5A6E" w:rsidSect="006514BA">
          <w:pgSz w:w="11907" w:h="16840" w:code="9"/>
          <w:pgMar w:top="1191" w:right="1361" w:bottom="1191" w:left="1361" w:header="709" w:footer="709" w:gutter="0"/>
          <w:pgNumType w:fmt="lowerRoman"/>
          <w:cols w:space="708"/>
          <w:docGrid w:linePitch="360"/>
        </w:sectPr>
      </w:pPr>
    </w:p>
    <w:p w14:paraId="5B42C506" w14:textId="32CA1C69" w:rsidR="005E7B17" w:rsidRPr="007C5A6E" w:rsidRDefault="00A340F1" w:rsidP="00857104">
      <w:pPr>
        <w:pStyle w:val="Titre1"/>
        <w:numPr>
          <w:ilvl w:val="0"/>
          <w:numId w:val="0"/>
        </w:numPr>
        <w:spacing w:before="0"/>
        <w:rPr>
          <w:kern w:val="2"/>
          <w:sz w:val="32"/>
          <w:lang w:eastAsia="en-US"/>
          <w14:ligatures w14:val="standardContextual"/>
        </w:rPr>
      </w:pPr>
      <w:bookmarkStart w:id="5" w:name="_Toc183339998"/>
      <w:r w:rsidRPr="007C5A6E">
        <w:rPr>
          <w:kern w:val="2"/>
          <w:sz w:val="32"/>
          <w:lang w:eastAsia="en-US"/>
          <w14:ligatures w14:val="standardContextual"/>
        </w:rPr>
        <w:t>Liste des figures</w:t>
      </w:r>
      <w:bookmarkEnd w:id="5"/>
    </w:p>
    <w:p w14:paraId="1F38AB34" w14:textId="77777777" w:rsidR="000E1BA6" w:rsidRPr="007C5A6E" w:rsidRDefault="000E1BA6" w:rsidP="000E1BA6">
      <w:pPr>
        <w:spacing w:after="0" w:line="240" w:lineRule="auto"/>
        <w:rPr>
          <w:lang w:eastAsia="en-US"/>
        </w:rPr>
      </w:pPr>
    </w:p>
    <w:p w14:paraId="79CC9DA9" w14:textId="4776E941" w:rsidR="00A7432C" w:rsidRPr="00564649" w:rsidRDefault="00DA1BD7" w:rsidP="00A7432C">
      <w:pPr>
        <w:pStyle w:val="Tabledesillustrations"/>
        <w:tabs>
          <w:tab w:val="right" w:leader="dot" w:pos="9175"/>
        </w:tabs>
        <w:spacing w:line="276" w:lineRule="auto"/>
        <w:rPr>
          <w:rFonts w:eastAsiaTheme="minorEastAsia" w:cs="Times New Roman"/>
          <w:noProof/>
          <w:sz w:val="22"/>
          <w:lang w:val="fr-BF" w:eastAsia="fr-BF"/>
        </w:rPr>
      </w:pPr>
      <w:r w:rsidRPr="00564649">
        <w:rPr>
          <w:rFonts w:cs="Times New Roman"/>
          <w:sz w:val="22"/>
        </w:rPr>
        <w:fldChar w:fldCharType="begin"/>
      </w:r>
      <w:r w:rsidRPr="00564649">
        <w:rPr>
          <w:rFonts w:cs="Times New Roman"/>
          <w:sz w:val="22"/>
        </w:rPr>
        <w:instrText xml:space="preserve"> TOC \h \z \c "Figure" </w:instrText>
      </w:r>
      <w:r w:rsidRPr="00564649">
        <w:rPr>
          <w:rFonts w:cs="Times New Roman"/>
          <w:sz w:val="22"/>
        </w:rPr>
        <w:fldChar w:fldCharType="separate"/>
      </w:r>
      <w:hyperlink w:anchor="_Toc183340380" w:history="1">
        <w:r w:rsidR="00A7432C" w:rsidRPr="00564649">
          <w:rPr>
            <w:rStyle w:val="Lienhypertexte"/>
            <w:rFonts w:cs="Times New Roman"/>
            <w:noProof/>
            <w:sz w:val="22"/>
            <w:u w:val="none"/>
          </w:rPr>
          <w:t>Figure 1. Positions géographiques des zones climatiques</w:t>
        </w:r>
        <w:r w:rsidR="00A7432C" w:rsidRPr="00564649">
          <w:rPr>
            <w:rFonts w:cs="Times New Roman"/>
            <w:noProof/>
            <w:webHidden/>
            <w:sz w:val="22"/>
          </w:rPr>
          <w:tab/>
        </w:r>
        <w:r w:rsidR="00A7432C" w:rsidRPr="00564649">
          <w:rPr>
            <w:rFonts w:cs="Times New Roman"/>
            <w:noProof/>
            <w:webHidden/>
            <w:sz w:val="22"/>
          </w:rPr>
          <w:fldChar w:fldCharType="begin"/>
        </w:r>
        <w:r w:rsidR="00A7432C" w:rsidRPr="00564649">
          <w:rPr>
            <w:rFonts w:cs="Times New Roman"/>
            <w:noProof/>
            <w:webHidden/>
            <w:sz w:val="22"/>
          </w:rPr>
          <w:instrText xml:space="preserve"> PAGEREF _Toc183340380 \h </w:instrText>
        </w:r>
        <w:r w:rsidR="00A7432C" w:rsidRPr="00564649">
          <w:rPr>
            <w:rFonts w:cs="Times New Roman"/>
            <w:noProof/>
            <w:webHidden/>
            <w:sz w:val="22"/>
          </w:rPr>
        </w:r>
        <w:r w:rsidR="00A7432C" w:rsidRPr="00564649">
          <w:rPr>
            <w:rFonts w:cs="Times New Roman"/>
            <w:noProof/>
            <w:webHidden/>
            <w:sz w:val="22"/>
          </w:rPr>
          <w:fldChar w:fldCharType="separate"/>
        </w:r>
        <w:r w:rsidR="00C25291">
          <w:rPr>
            <w:rFonts w:cs="Times New Roman"/>
            <w:noProof/>
            <w:webHidden/>
            <w:sz w:val="22"/>
          </w:rPr>
          <w:t>6</w:t>
        </w:r>
        <w:r w:rsidR="00A7432C" w:rsidRPr="00564649">
          <w:rPr>
            <w:rFonts w:cs="Times New Roman"/>
            <w:noProof/>
            <w:webHidden/>
            <w:sz w:val="22"/>
          </w:rPr>
          <w:fldChar w:fldCharType="end"/>
        </w:r>
      </w:hyperlink>
    </w:p>
    <w:p w14:paraId="39C94C43" w14:textId="123C68B5"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381" w:history="1">
        <w:r w:rsidRPr="00564649">
          <w:rPr>
            <w:rStyle w:val="Lienhypertexte"/>
            <w:rFonts w:cs="Times New Roman"/>
            <w:noProof/>
            <w:sz w:val="22"/>
            <w:u w:val="none"/>
          </w:rPr>
          <w:t>Figure 2.  Dori : cumul annuel des pluies (A) ; durée de la saison des pluies (B) ; début de la campagne humide (C) ; fin de la campagne humide (D).</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_Toc183340381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9</w:t>
        </w:r>
        <w:r w:rsidRPr="00564649">
          <w:rPr>
            <w:rFonts w:cs="Times New Roman"/>
            <w:noProof/>
            <w:webHidden/>
            <w:sz w:val="22"/>
          </w:rPr>
          <w:fldChar w:fldCharType="end"/>
        </w:r>
      </w:hyperlink>
    </w:p>
    <w:p w14:paraId="7A7F8785" w14:textId="5C0CF828"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382" w:history="1">
        <w:r w:rsidRPr="00564649">
          <w:rPr>
            <w:rStyle w:val="Lienhypertexte"/>
            <w:rFonts w:cs="Times New Roman"/>
            <w:noProof/>
            <w:sz w:val="22"/>
            <w:u w:val="none"/>
          </w:rPr>
          <w:t>Figure 3. Dori, nombre de jours de pluie &gt; 1mm (A) ; nombre de jours de pluie &gt; 10mm (B) ; nombre de jours de pluie &gt; 50mm (C) ; pluie maximale sur 5 jours (D).</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_Toc183340382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10</w:t>
        </w:r>
        <w:r w:rsidRPr="00564649">
          <w:rPr>
            <w:rFonts w:cs="Times New Roman"/>
            <w:noProof/>
            <w:webHidden/>
            <w:sz w:val="22"/>
          </w:rPr>
          <w:fldChar w:fldCharType="end"/>
        </w:r>
      </w:hyperlink>
    </w:p>
    <w:p w14:paraId="097EE9B6" w14:textId="3D0CEC47"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383" w:history="1">
        <w:r w:rsidRPr="00564649">
          <w:rPr>
            <w:rStyle w:val="Lienhypertexte"/>
            <w:rFonts w:cs="Times New Roman"/>
            <w:noProof/>
            <w:sz w:val="22"/>
            <w:u w:val="none"/>
          </w:rPr>
          <w:t>Figure 4. Dori, nombre de jours de séquence sèche en début de campagne (A) ; nombre de jours de séquences sèches en fin de campagne (B).</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_Toc183340383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10</w:t>
        </w:r>
        <w:r w:rsidRPr="00564649">
          <w:rPr>
            <w:rFonts w:cs="Times New Roman"/>
            <w:noProof/>
            <w:webHidden/>
            <w:sz w:val="22"/>
          </w:rPr>
          <w:fldChar w:fldCharType="end"/>
        </w:r>
      </w:hyperlink>
    </w:p>
    <w:p w14:paraId="64D8B046" w14:textId="15278758"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384" w:history="1">
        <w:r w:rsidRPr="00564649">
          <w:rPr>
            <w:rStyle w:val="Lienhypertexte"/>
            <w:rFonts w:cs="Times New Roman"/>
            <w:noProof/>
            <w:sz w:val="22"/>
            <w:u w:val="none"/>
          </w:rPr>
          <w:t>Figure 5. Dori : la température moyenne annuelle (A) ; le nombre de jours chauds par an (B) ; la température minimale annuelle (C) ; la température maximale annuelle (D).</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_Toc183340384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11</w:t>
        </w:r>
        <w:r w:rsidRPr="00564649">
          <w:rPr>
            <w:rFonts w:cs="Times New Roman"/>
            <w:noProof/>
            <w:webHidden/>
            <w:sz w:val="22"/>
          </w:rPr>
          <w:fldChar w:fldCharType="end"/>
        </w:r>
      </w:hyperlink>
    </w:p>
    <w:p w14:paraId="67EF605E" w14:textId="2D7E26E8"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385" w:history="1">
        <w:r w:rsidRPr="00564649">
          <w:rPr>
            <w:rStyle w:val="Lienhypertexte"/>
            <w:rFonts w:cs="Times New Roman"/>
            <w:noProof/>
            <w:sz w:val="22"/>
            <w:u w:val="none"/>
          </w:rPr>
          <w:t>Figure 6.  Ouagadougou : cumul annuel des pluies (A) ; durée de la saison des pluies (B) ; début de la campagne humide (C) ; fin de la campagne humide (D).</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_Toc183340385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12</w:t>
        </w:r>
        <w:r w:rsidRPr="00564649">
          <w:rPr>
            <w:rFonts w:cs="Times New Roman"/>
            <w:noProof/>
            <w:webHidden/>
            <w:sz w:val="22"/>
          </w:rPr>
          <w:fldChar w:fldCharType="end"/>
        </w:r>
      </w:hyperlink>
    </w:p>
    <w:p w14:paraId="6550E86A" w14:textId="5B9BC674"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386" w:history="1">
        <w:r w:rsidRPr="00564649">
          <w:rPr>
            <w:rStyle w:val="Lienhypertexte"/>
            <w:rFonts w:cs="Times New Roman"/>
            <w:noProof/>
            <w:sz w:val="22"/>
            <w:u w:val="none"/>
          </w:rPr>
          <w:t>Figure 7. Ouagadougou : nombre de jours de pluie &gt; 1mm (A) ; nombre de jours de pluie &gt; 10mm (B) ; nombre de jours de pluie &gt; 50mm (C) ; pluie maximale sur 5 jours (D).</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_Toc183340386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13</w:t>
        </w:r>
        <w:r w:rsidRPr="00564649">
          <w:rPr>
            <w:rFonts w:cs="Times New Roman"/>
            <w:noProof/>
            <w:webHidden/>
            <w:sz w:val="22"/>
          </w:rPr>
          <w:fldChar w:fldCharType="end"/>
        </w:r>
      </w:hyperlink>
    </w:p>
    <w:p w14:paraId="6BF1046B" w14:textId="560F3AEB"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387" w:history="1">
        <w:r w:rsidRPr="00564649">
          <w:rPr>
            <w:rStyle w:val="Lienhypertexte"/>
            <w:rFonts w:cs="Times New Roman"/>
            <w:noProof/>
            <w:sz w:val="22"/>
            <w:u w:val="none"/>
          </w:rPr>
          <w:t>Figure 8. Ouagadougou : nombre de jours de séquences sèches en début de campagne (A) ; nombre de jours de séquences sèches en fin de campagne (B).</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_Toc183340387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13</w:t>
        </w:r>
        <w:r w:rsidRPr="00564649">
          <w:rPr>
            <w:rFonts w:cs="Times New Roman"/>
            <w:noProof/>
            <w:webHidden/>
            <w:sz w:val="22"/>
          </w:rPr>
          <w:fldChar w:fldCharType="end"/>
        </w:r>
      </w:hyperlink>
    </w:p>
    <w:p w14:paraId="18437BE1" w14:textId="6886ACBE"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388" w:history="1">
        <w:r w:rsidRPr="00564649">
          <w:rPr>
            <w:rStyle w:val="Lienhypertexte"/>
            <w:rFonts w:cs="Times New Roman"/>
            <w:noProof/>
            <w:sz w:val="22"/>
            <w:u w:val="none"/>
          </w:rPr>
          <w:t>Figure 9. Ouagadougou : température moyenne annuelle (A) ; nombre de jours chauds par an (B) ; température minimale annuelle (C) ; température maximale annuelle (D).</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_Toc183340388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14</w:t>
        </w:r>
        <w:r w:rsidRPr="00564649">
          <w:rPr>
            <w:rFonts w:cs="Times New Roman"/>
            <w:noProof/>
            <w:webHidden/>
            <w:sz w:val="22"/>
          </w:rPr>
          <w:fldChar w:fldCharType="end"/>
        </w:r>
      </w:hyperlink>
    </w:p>
    <w:p w14:paraId="6FF415B7" w14:textId="6C5C8F4D"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389" w:history="1">
        <w:r w:rsidRPr="00564649">
          <w:rPr>
            <w:rStyle w:val="Lienhypertexte"/>
            <w:rFonts w:cs="Times New Roman"/>
            <w:noProof/>
            <w:sz w:val="22"/>
            <w:u w:val="none"/>
          </w:rPr>
          <w:t>Figure 10.  Bobo-Dioulasso : cumul annuel des pluies (A) ; durée de la saison des pluies (B) ; début de la campagne humide (C) ; fin de la campagne humide (D).</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_Toc183340389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15</w:t>
        </w:r>
        <w:r w:rsidRPr="00564649">
          <w:rPr>
            <w:rFonts w:cs="Times New Roman"/>
            <w:noProof/>
            <w:webHidden/>
            <w:sz w:val="22"/>
          </w:rPr>
          <w:fldChar w:fldCharType="end"/>
        </w:r>
      </w:hyperlink>
    </w:p>
    <w:p w14:paraId="01F2096A" w14:textId="3D412BD5"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390" w:history="1">
        <w:r w:rsidRPr="00564649">
          <w:rPr>
            <w:rStyle w:val="Lienhypertexte"/>
            <w:rFonts w:cs="Times New Roman"/>
            <w:noProof/>
            <w:sz w:val="22"/>
            <w:u w:val="none"/>
          </w:rPr>
          <w:t>Figure 11. Bobo-Dioulasso : nombre de jours de pluie &gt; 1mm (A) ; nombre de jours de pluie &gt; 10mm (B) ; nombre de jours de pluie &gt; 50mm (C) ; pluie maximale sur 5 jours (D).</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_Toc183340390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15</w:t>
        </w:r>
        <w:r w:rsidRPr="00564649">
          <w:rPr>
            <w:rFonts w:cs="Times New Roman"/>
            <w:noProof/>
            <w:webHidden/>
            <w:sz w:val="22"/>
          </w:rPr>
          <w:fldChar w:fldCharType="end"/>
        </w:r>
      </w:hyperlink>
    </w:p>
    <w:p w14:paraId="3D5FEBC5" w14:textId="14CFC8F0"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391" w:history="1">
        <w:r w:rsidRPr="00564649">
          <w:rPr>
            <w:rStyle w:val="Lienhypertexte"/>
            <w:rFonts w:cs="Times New Roman"/>
            <w:noProof/>
            <w:sz w:val="22"/>
            <w:u w:val="none"/>
          </w:rPr>
          <w:t>Figure 12. Bobo-Dioulasso : nombre de jours de séquence sèche en début de campagne humide (A) ; nombre de jours de séquences sèches en fin de campagne humide (B).</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_Toc183340391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16</w:t>
        </w:r>
        <w:r w:rsidRPr="00564649">
          <w:rPr>
            <w:rFonts w:cs="Times New Roman"/>
            <w:noProof/>
            <w:webHidden/>
            <w:sz w:val="22"/>
          </w:rPr>
          <w:fldChar w:fldCharType="end"/>
        </w:r>
      </w:hyperlink>
    </w:p>
    <w:p w14:paraId="23E4AA41" w14:textId="4CE60326"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392" w:history="1">
        <w:r w:rsidRPr="00564649">
          <w:rPr>
            <w:rStyle w:val="Lienhypertexte"/>
            <w:rFonts w:cs="Times New Roman"/>
            <w:noProof/>
            <w:sz w:val="22"/>
            <w:u w:val="none"/>
          </w:rPr>
          <w:t>Figure 13. Bobo-Dioulasso : la température moyenne annuelle (A) ; le nombre de jours chauds par an (B) ; la température minimale annuelle (C) ; la température maximale annuelle (D).</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_Toc183340392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17</w:t>
        </w:r>
        <w:r w:rsidRPr="00564649">
          <w:rPr>
            <w:rFonts w:cs="Times New Roman"/>
            <w:noProof/>
            <w:webHidden/>
            <w:sz w:val="22"/>
          </w:rPr>
          <w:fldChar w:fldCharType="end"/>
        </w:r>
      </w:hyperlink>
    </w:p>
    <w:p w14:paraId="1664473F" w14:textId="120C237B"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393" w:history="1">
        <w:r w:rsidRPr="00564649">
          <w:rPr>
            <w:rStyle w:val="Lienhypertexte"/>
            <w:rFonts w:cs="Times New Roman"/>
            <w:noProof/>
            <w:sz w:val="22"/>
            <w:u w:val="none"/>
          </w:rPr>
          <w:t>Figure 14. Carte de migration des isohyètes 600 mm et 900 mm pour les périodes 1931-1960, 1951-1980, 1961-1990, 1971-2000, 1981-2010, et 1991-2020.</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_Toc183340393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17</w:t>
        </w:r>
        <w:r w:rsidRPr="00564649">
          <w:rPr>
            <w:rFonts w:cs="Times New Roman"/>
            <w:noProof/>
            <w:webHidden/>
            <w:sz w:val="22"/>
          </w:rPr>
          <w:fldChar w:fldCharType="end"/>
        </w:r>
      </w:hyperlink>
    </w:p>
    <w:p w14:paraId="200E083E" w14:textId="7EE5549B"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394" w:history="1">
        <w:r w:rsidRPr="00564649">
          <w:rPr>
            <w:rStyle w:val="Lienhypertexte"/>
            <w:rFonts w:cs="Times New Roman"/>
            <w:noProof/>
            <w:sz w:val="22"/>
            <w:u w:val="none"/>
          </w:rPr>
          <w:t>Figure 15. Carte de migration des isothermes 27,5°C ; 28°C ; 28,5°C ; 29°C pour les périodes 1971-2000, 1981-2010, et 1991-2020.</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_Toc183340394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18</w:t>
        </w:r>
        <w:r w:rsidRPr="00564649">
          <w:rPr>
            <w:rFonts w:cs="Times New Roman"/>
            <w:noProof/>
            <w:webHidden/>
            <w:sz w:val="22"/>
          </w:rPr>
          <w:fldChar w:fldCharType="end"/>
        </w:r>
      </w:hyperlink>
    </w:p>
    <w:p w14:paraId="555EE985" w14:textId="423F0DA5"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395" w:history="1">
        <w:r w:rsidRPr="00564649">
          <w:rPr>
            <w:rStyle w:val="Lienhypertexte"/>
            <w:rFonts w:cs="Times New Roman"/>
            <w:noProof/>
            <w:sz w:val="22"/>
            <w:u w:val="none"/>
          </w:rPr>
          <w:t>Figure 16. Pluies maximales journalières à Dori (A), Ouagadougou (B), Bobo- Dioulasso (C), Fada N’Gourma (D).</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_Toc183340395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19</w:t>
        </w:r>
        <w:r w:rsidRPr="00564649">
          <w:rPr>
            <w:rFonts w:cs="Times New Roman"/>
            <w:noProof/>
            <w:webHidden/>
            <w:sz w:val="22"/>
          </w:rPr>
          <w:fldChar w:fldCharType="end"/>
        </w:r>
      </w:hyperlink>
    </w:p>
    <w:p w14:paraId="35317998" w14:textId="63A8916C"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396" w:history="1">
        <w:r w:rsidRPr="00564649">
          <w:rPr>
            <w:rStyle w:val="Lienhypertexte"/>
            <w:rFonts w:cs="Times New Roman"/>
            <w:noProof/>
            <w:sz w:val="22"/>
            <w:u w:val="none"/>
          </w:rPr>
          <w:t>Figure 17. Nombre de vagues de chaleur à Dori (A), Ouagadougou (B), Bobo- Dioulasso (C), Boromo (D).</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_Toc183340396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20</w:t>
        </w:r>
        <w:r w:rsidRPr="00564649">
          <w:rPr>
            <w:rFonts w:cs="Times New Roman"/>
            <w:noProof/>
            <w:webHidden/>
            <w:sz w:val="22"/>
          </w:rPr>
          <w:fldChar w:fldCharType="end"/>
        </w:r>
      </w:hyperlink>
    </w:p>
    <w:p w14:paraId="461293BC" w14:textId="4EB2826F"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397" w:history="1">
        <w:r w:rsidRPr="00564649">
          <w:rPr>
            <w:rStyle w:val="Lienhypertexte"/>
            <w:rFonts w:cs="Times New Roman"/>
            <w:noProof/>
            <w:sz w:val="22"/>
            <w:u w:val="none"/>
          </w:rPr>
          <w:t>Figure 18. Les températures maximales absolues à Dori (A), Ouagadougou (B), Bobo- Dioulasso (C), Pô (D).</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_Toc183340397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21</w:t>
        </w:r>
        <w:r w:rsidRPr="00564649">
          <w:rPr>
            <w:rFonts w:cs="Times New Roman"/>
            <w:noProof/>
            <w:webHidden/>
            <w:sz w:val="22"/>
          </w:rPr>
          <w:fldChar w:fldCharType="end"/>
        </w:r>
      </w:hyperlink>
    </w:p>
    <w:p w14:paraId="51BA7321" w14:textId="019C6A97"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398" w:history="1">
        <w:r w:rsidRPr="00564649">
          <w:rPr>
            <w:rStyle w:val="Lienhypertexte"/>
            <w:rFonts w:cs="Times New Roman"/>
            <w:noProof/>
            <w:sz w:val="22"/>
            <w:u w:val="none"/>
          </w:rPr>
          <w:t>Figure 19. Les durées maximales des vagues de chaleur à Dori (A), Ouagadougou (B), Bobo-Dioulasso (C) et Boromo (D).</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_Toc183340398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21</w:t>
        </w:r>
        <w:r w:rsidRPr="00564649">
          <w:rPr>
            <w:rFonts w:cs="Times New Roman"/>
            <w:noProof/>
            <w:webHidden/>
            <w:sz w:val="22"/>
          </w:rPr>
          <w:fldChar w:fldCharType="end"/>
        </w:r>
      </w:hyperlink>
    </w:p>
    <w:p w14:paraId="78DF9F0A" w14:textId="42BAD423"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399" w:history="1">
        <w:r w:rsidRPr="00564649">
          <w:rPr>
            <w:rStyle w:val="Lienhypertexte"/>
            <w:rFonts w:cs="Times New Roman"/>
            <w:noProof/>
            <w:sz w:val="22"/>
            <w:u w:val="none"/>
          </w:rPr>
          <w:t>Figure 20. Les GCM retirés du multi-modèle repérés par leurs corrélations aux données historiques de températures minimales à Dori (A) et Gaoua (B).</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_Toc183340399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22</w:t>
        </w:r>
        <w:r w:rsidRPr="00564649">
          <w:rPr>
            <w:rFonts w:cs="Times New Roman"/>
            <w:noProof/>
            <w:webHidden/>
            <w:sz w:val="22"/>
          </w:rPr>
          <w:fldChar w:fldCharType="end"/>
        </w:r>
      </w:hyperlink>
    </w:p>
    <w:p w14:paraId="35E52B9C" w14:textId="1CB1834C"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00" w:history="1">
        <w:r w:rsidRPr="00564649">
          <w:rPr>
            <w:rStyle w:val="Lienhypertexte"/>
            <w:rFonts w:cs="Times New Roman"/>
            <w:noProof/>
            <w:sz w:val="22"/>
            <w:u w:val="none"/>
          </w:rPr>
          <w:t>Figure 21. La matrice SSP x forçage radiatif. Les scénarios retenus sont sur colonnes fond gris</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_Toc183340400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23</w:t>
        </w:r>
        <w:r w:rsidRPr="00564649">
          <w:rPr>
            <w:rFonts w:cs="Times New Roman"/>
            <w:noProof/>
            <w:webHidden/>
            <w:sz w:val="22"/>
          </w:rPr>
          <w:fldChar w:fldCharType="end"/>
        </w:r>
      </w:hyperlink>
    </w:p>
    <w:p w14:paraId="33C6C595" w14:textId="62110FAB"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01" w:history="1">
        <w:r w:rsidRPr="00564649">
          <w:rPr>
            <w:rStyle w:val="Lienhypertexte"/>
            <w:rFonts w:cs="Times New Roman"/>
            <w:noProof/>
            <w:sz w:val="22"/>
            <w:u w:val="none"/>
          </w:rPr>
          <w:t>Figure 22. Dori : projections de la pluie annuelle, de la pluie maximale sur 5 jours et de la pluie maximale journalière</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_Toc183340401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25</w:t>
        </w:r>
        <w:r w:rsidRPr="00564649">
          <w:rPr>
            <w:rFonts w:cs="Times New Roman"/>
            <w:noProof/>
            <w:webHidden/>
            <w:sz w:val="22"/>
          </w:rPr>
          <w:fldChar w:fldCharType="end"/>
        </w:r>
      </w:hyperlink>
    </w:p>
    <w:p w14:paraId="6B96AAA9" w14:textId="12D297E9"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02" w:history="1">
        <w:r w:rsidRPr="00564649">
          <w:rPr>
            <w:rStyle w:val="Lienhypertexte"/>
            <w:rFonts w:cs="Times New Roman"/>
            <w:noProof/>
            <w:sz w:val="22"/>
            <w:u w:val="none"/>
          </w:rPr>
          <w:t>Figure 23. Ouagadougou : projections de la pluie annuelle, de la pluie maximale sur 5 jours et de la pluie maximale journalière</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_Toc183340402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26</w:t>
        </w:r>
        <w:r w:rsidRPr="00564649">
          <w:rPr>
            <w:rFonts w:cs="Times New Roman"/>
            <w:noProof/>
            <w:webHidden/>
            <w:sz w:val="22"/>
          </w:rPr>
          <w:fldChar w:fldCharType="end"/>
        </w:r>
      </w:hyperlink>
    </w:p>
    <w:p w14:paraId="0E1E04D1" w14:textId="3685A680"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03" w:history="1">
        <w:r w:rsidRPr="00564649">
          <w:rPr>
            <w:rStyle w:val="Lienhypertexte"/>
            <w:rFonts w:cs="Times New Roman"/>
            <w:noProof/>
            <w:sz w:val="22"/>
            <w:u w:val="none"/>
          </w:rPr>
          <w:t>Figure 24. Bobo-Dioulasso : projections de la pluie annuelle, de la pluie maximale sur 5 jours et de la pluie maximale journalière</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_Toc183340403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27</w:t>
        </w:r>
        <w:r w:rsidRPr="00564649">
          <w:rPr>
            <w:rFonts w:cs="Times New Roman"/>
            <w:noProof/>
            <w:webHidden/>
            <w:sz w:val="22"/>
          </w:rPr>
          <w:fldChar w:fldCharType="end"/>
        </w:r>
      </w:hyperlink>
    </w:p>
    <w:p w14:paraId="30AB7D4D" w14:textId="5B1FB377"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04" w:history="1">
        <w:r w:rsidRPr="00564649">
          <w:rPr>
            <w:rStyle w:val="Lienhypertexte"/>
            <w:rFonts w:cs="Times New Roman"/>
            <w:noProof/>
            <w:sz w:val="22"/>
            <w:u w:val="none"/>
          </w:rPr>
          <w:t>Figure 25. Dori : graphiques de projection des températures minimales moyennes et absolues</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_Toc183340404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29</w:t>
        </w:r>
        <w:r w:rsidRPr="00564649">
          <w:rPr>
            <w:rFonts w:cs="Times New Roman"/>
            <w:noProof/>
            <w:webHidden/>
            <w:sz w:val="22"/>
          </w:rPr>
          <w:fldChar w:fldCharType="end"/>
        </w:r>
      </w:hyperlink>
    </w:p>
    <w:p w14:paraId="3DF2AF5E" w14:textId="4C240E9D"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05" w:history="1">
        <w:r w:rsidRPr="00564649">
          <w:rPr>
            <w:rStyle w:val="Lienhypertexte"/>
            <w:rFonts w:cs="Times New Roman"/>
            <w:noProof/>
            <w:sz w:val="22"/>
            <w:u w:val="none"/>
          </w:rPr>
          <w:t>Figure 26. Ouagadougou : graphiques de projection des températures minimales moyennes et absolues</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_Toc183340405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29</w:t>
        </w:r>
        <w:r w:rsidRPr="00564649">
          <w:rPr>
            <w:rFonts w:cs="Times New Roman"/>
            <w:noProof/>
            <w:webHidden/>
            <w:sz w:val="22"/>
          </w:rPr>
          <w:fldChar w:fldCharType="end"/>
        </w:r>
      </w:hyperlink>
    </w:p>
    <w:p w14:paraId="223E6C10" w14:textId="7DDB341C"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06" w:history="1">
        <w:r w:rsidRPr="00564649">
          <w:rPr>
            <w:rStyle w:val="Lienhypertexte"/>
            <w:rFonts w:cs="Times New Roman"/>
            <w:noProof/>
            <w:sz w:val="22"/>
            <w:u w:val="none"/>
          </w:rPr>
          <w:t>Figure 27. Bobo-Dioulasso : graphiques de projection des températures minimales moyennes et absolues</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_Toc183340406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29</w:t>
        </w:r>
        <w:r w:rsidRPr="00564649">
          <w:rPr>
            <w:rFonts w:cs="Times New Roman"/>
            <w:noProof/>
            <w:webHidden/>
            <w:sz w:val="22"/>
          </w:rPr>
          <w:fldChar w:fldCharType="end"/>
        </w:r>
      </w:hyperlink>
    </w:p>
    <w:p w14:paraId="4FC45D28" w14:textId="70343C2E"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07" w:history="1">
        <w:r w:rsidRPr="00564649">
          <w:rPr>
            <w:rStyle w:val="Lienhypertexte"/>
            <w:rFonts w:cs="Times New Roman"/>
            <w:noProof/>
            <w:sz w:val="22"/>
            <w:u w:val="none"/>
          </w:rPr>
          <w:t>Figure 28. Bogandé : graphiques de projection des températures maximales et du nombre de jours où T &gt; 40°C</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_Toc183340407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31</w:t>
        </w:r>
        <w:r w:rsidRPr="00564649">
          <w:rPr>
            <w:rFonts w:cs="Times New Roman"/>
            <w:noProof/>
            <w:webHidden/>
            <w:sz w:val="22"/>
          </w:rPr>
          <w:fldChar w:fldCharType="end"/>
        </w:r>
      </w:hyperlink>
    </w:p>
    <w:p w14:paraId="3B369BFA" w14:textId="0D7A1A95"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08" w:history="1">
        <w:r w:rsidRPr="00564649">
          <w:rPr>
            <w:rStyle w:val="Lienhypertexte"/>
            <w:rFonts w:cs="Times New Roman"/>
            <w:noProof/>
            <w:sz w:val="22"/>
            <w:u w:val="none"/>
          </w:rPr>
          <w:t>Figure 29. Ouagadougou : graphiques de projection des températures maximales et du nombre de jours où T &gt; 40°C</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_Toc183340408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32</w:t>
        </w:r>
        <w:r w:rsidRPr="00564649">
          <w:rPr>
            <w:rFonts w:cs="Times New Roman"/>
            <w:noProof/>
            <w:webHidden/>
            <w:sz w:val="22"/>
          </w:rPr>
          <w:fldChar w:fldCharType="end"/>
        </w:r>
      </w:hyperlink>
    </w:p>
    <w:p w14:paraId="390A947F" w14:textId="2FC3DCE7"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09" w:history="1">
        <w:r w:rsidRPr="00564649">
          <w:rPr>
            <w:rStyle w:val="Lienhypertexte"/>
            <w:rFonts w:cs="Times New Roman"/>
            <w:noProof/>
            <w:sz w:val="22"/>
            <w:u w:val="none"/>
          </w:rPr>
          <w:t>Figure 30. Bobo-Dioulasso : graphiques de projection des températures maximales et du nombre de jours où T &gt; 40°C</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_Toc183340409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33</w:t>
        </w:r>
        <w:r w:rsidRPr="00564649">
          <w:rPr>
            <w:rFonts w:cs="Times New Roman"/>
            <w:noProof/>
            <w:webHidden/>
            <w:sz w:val="22"/>
          </w:rPr>
          <w:fldChar w:fldCharType="end"/>
        </w:r>
      </w:hyperlink>
    </w:p>
    <w:p w14:paraId="65EF9B55" w14:textId="0CB0F7D0"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10" w:history="1">
        <w:r w:rsidRPr="00564649">
          <w:rPr>
            <w:rStyle w:val="Lienhypertexte"/>
            <w:rFonts w:cs="Times New Roman"/>
            <w:noProof/>
            <w:sz w:val="22"/>
            <w:u w:val="none"/>
            <w:lang w:eastAsia="da-DK"/>
          </w:rPr>
          <w:t>Figure 31.  Évolution des émissions nationales de GES en Gg équivalent CO2 de 1995 à 2017</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_Toc183340410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37</w:t>
        </w:r>
        <w:r w:rsidRPr="00564649">
          <w:rPr>
            <w:rFonts w:cs="Times New Roman"/>
            <w:noProof/>
            <w:webHidden/>
            <w:sz w:val="22"/>
          </w:rPr>
          <w:fldChar w:fldCharType="end"/>
        </w:r>
      </w:hyperlink>
    </w:p>
    <w:p w14:paraId="34270BDC" w14:textId="4274AC07"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11" w:history="1">
        <w:r w:rsidRPr="00564649">
          <w:rPr>
            <w:rStyle w:val="Lienhypertexte"/>
            <w:rFonts w:cs="Times New Roman"/>
            <w:noProof/>
            <w:sz w:val="22"/>
            <w:u w:val="none"/>
            <w:lang w:eastAsia="da-DK"/>
          </w:rPr>
          <w:t>Figure 32.  Mécanisme de transport des polluants</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_Toc183340411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40</w:t>
        </w:r>
        <w:r w:rsidRPr="00564649">
          <w:rPr>
            <w:rFonts w:cs="Times New Roman"/>
            <w:noProof/>
            <w:webHidden/>
            <w:sz w:val="22"/>
          </w:rPr>
          <w:fldChar w:fldCharType="end"/>
        </w:r>
      </w:hyperlink>
    </w:p>
    <w:p w14:paraId="58FEB3B0" w14:textId="2E2364D3"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12" w:history="1">
        <w:r w:rsidRPr="00564649">
          <w:rPr>
            <w:rStyle w:val="Lienhypertexte"/>
            <w:rFonts w:cs="Times New Roman"/>
            <w:noProof/>
            <w:sz w:val="22"/>
            <w:u w:val="none"/>
            <w:lang w:eastAsia="da-DK"/>
          </w:rPr>
          <w:t>Figure 33.  Mécanismes de prélèvement et de pollution des ressources en eau par les activités anthropiques</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_Toc183340412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41</w:t>
        </w:r>
        <w:r w:rsidRPr="00564649">
          <w:rPr>
            <w:rFonts w:cs="Times New Roman"/>
            <w:noProof/>
            <w:webHidden/>
            <w:sz w:val="22"/>
          </w:rPr>
          <w:fldChar w:fldCharType="end"/>
        </w:r>
      </w:hyperlink>
    </w:p>
    <w:p w14:paraId="3E404CB1" w14:textId="7A5D9EAA"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13" w:history="1">
        <w:r w:rsidRPr="00564649">
          <w:rPr>
            <w:rStyle w:val="Lienhypertexte"/>
            <w:rFonts w:cs="Times New Roman"/>
            <w:noProof/>
            <w:sz w:val="22"/>
            <w:u w:val="none"/>
            <w:lang w:eastAsia="da-DK"/>
          </w:rPr>
          <w:t>Figure 34.  Carte des pH des eaux de surface du bassin du Nakanbé</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_Toc183340413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44</w:t>
        </w:r>
        <w:r w:rsidRPr="00564649">
          <w:rPr>
            <w:rFonts w:cs="Times New Roman"/>
            <w:noProof/>
            <w:webHidden/>
            <w:sz w:val="22"/>
          </w:rPr>
          <w:fldChar w:fldCharType="end"/>
        </w:r>
      </w:hyperlink>
    </w:p>
    <w:p w14:paraId="43CAEF67" w14:textId="0E9591F6"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14" w:history="1">
        <w:r w:rsidRPr="00564649">
          <w:rPr>
            <w:rStyle w:val="Lienhypertexte"/>
            <w:rFonts w:cs="Times New Roman"/>
            <w:noProof/>
            <w:sz w:val="22"/>
            <w:u w:val="none"/>
            <w:lang w:eastAsia="da-DK"/>
          </w:rPr>
          <w:t>Figure 35.  Carte des conductivités électriques des eaux de surface du bassin du Nakanbé</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_Toc183340414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44</w:t>
        </w:r>
        <w:r w:rsidRPr="00564649">
          <w:rPr>
            <w:rFonts w:cs="Times New Roman"/>
            <w:noProof/>
            <w:webHidden/>
            <w:sz w:val="22"/>
          </w:rPr>
          <w:fldChar w:fldCharType="end"/>
        </w:r>
      </w:hyperlink>
    </w:p>
    <w:p w14:paraId="5B4F18BC" w14:textId="1B1864BB"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15" w:history="1">
        <w:r w:rsidRPr="00564649">
          <w:rPr>
            <w:rStyle w:val="Lienhypertexte"/>
            <w:rFonts w:cs="Times New Roman"/>
            <w:noProof/>
            <w:sz w:val="22"/>
            <w:u w:val="none"/>
            <w:lang w:eastAsia="da-DK"/>
          </w:rPr>
          <w:t>Figure 36.  Carte de la turbidité des eaux de surface du bassin du Nakanbé</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_Toc183340415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45</w:t>
        </w:r>
        <w:r w:rsidRPr="00564649">
          <w:rPr>
            <w:rFonts w:cs="Times New Roman"/>
            <w:noProof/>
            <w:webHidden/>
            <w:sz w:val="22"/>
          </w:rPr>
          <w:fldChar w:fldCharType="end"/>
        </w:r>
      </w:hyperlink>
    </w:p>
    <w:p w14:paraId="0474C7BB" w14:textId="3BC8D471"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16" w:history="1">
        <w:r w:rsidRPr="00564649">
          <w:rPr>
            <w:rStyle w:val="Lienhypertexte"/>
            <w:rFonts w:cs="Times New Roman"/>
            <w:noProof/>
            <w:sz w:val="22"/>
            <w:u w:val="none"/>
            <w:lang w:eastAsia="da-DK"/>
          </w:rPr>
          <w:t>Figure 37.  Cartographie des pH des eaux de surface du fleuve Mouhoun</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_Toc183340416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46</w:t>
        </w:r>
        <w:r w:rsidRPr="00564649">
          <w:rPr>
            <w:rFonts w:cs="Times New Roman"/>
            <w:noProof/>
            <w:webHidden/>
            <w:sz w:val="22"/>
          </w:rPr>
          <w:fldChar w:fldCharType="end"/>
        </w:r>
      </w:hyperlink>
    </w:p>
    <w:p w14:paraId="0F1F05D6" w14:textId="7DDF9CC9"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17" w:history="1">
        <w:r w:rsidRPr="00564649">
          <w:rPr>
            <w:rStyle w:val="Lienhypertexte"/>
            <w:rFonts w:cs="Times New Roman"/>
            <w:noProof/>
            <w:sz w:val="22"/>
            <w:u w:val="none"/>
            <w:lang w:eastAsia="da-DK"/>
          </w:rPr>
          <w:t>Figure 38.  Cartographie des conductivités électriques des eaux de surface du fleuve Mouhoun</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_Toc183340417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47</w:t>
        </w:r>
        <w:r w:rsidRPr="00564649">
          <w:rPr>
            <w:rFonts w:cs="Times New Roman"/>
            <w:noProof/>
            <w:webHidden/>
            <w:sz w:val="22"/>
          </w:rPr>
          <w:fldChar w:fldCharType="end"/>
        </w:r>
      </w:hyperlink>
    </w:p>
    <w:p w14:paraId="342F9F5C" w14:textId="6DB901FD"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18" w:history="1">
        <w:r w:rsidRPr="00564649">
          <w:rPr>
            <w:rStyle w:val="Lienhypertexte"/>
            <w:rFonts w:cs="Times New Roman"/>
            <w:noProof/>
            <w:sz w:val="22"/>
            <w:u w:val="none"/>
            <w:lang w:eastAsia="da-DK"/>
          </w:rPr>
          <w:t>Figure 39.  Cartographie de la turbidité des eaux de surface du fleuve Mouhoun</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_Toc183340418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48</w:t>
        </w:r>
        <w:r w:rsidRPr="00564649">
          <w:rPr>
            <w:rFonts w:cs="Times New Roman"/>
            <w:noProof/>
            <w:webHidden/>
            <w:sz w:val="22"/>
          </w:rPr>
          <w:fldChar w:fldCharType="end"/>
        </w:r>
      </w:hyperlink>
    </w:p>
    <w:p w14:paraId="2201643D" w14:textId="2B1A5B70"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19" w:history="1">
        <w:r w:rsidRPr="00564649">
          <w:rPr>
            <w:rStyle w:val="Lienhypertexte"/>
            <w:rFonts w:cs="Times New Roman"/>
            <w:noProof/>
            <w:sz w:val="22"/>
            <w:u w:val="none"/>
            <w:lang w:eastAsia="da-DK"/>
          </w:rPr>
          <w:t>Figure 40.  Distribution des activités de production dans le réseau hydrographique national</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_Toc183340419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60</w:t>
        </w:r>
        <w:r w:rsidRPr="00564649">
          <w:rPr>
            <w:rFonts w:cs="Times New Roman"/>
            <w:noProof/>
            <w:webHidden/>
            <w:sz w:val="22"/>
          </w:rPr>
          <w:fldChar w:fldCharType="end"/>
        </w:r>
      </w:hyperlink>
    </w:p>
    <w:p w14:paraId="2A6F4D81" w14:textId="210B5F00"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20" w:history="1">
        <w:r w:rsidRPr="00564649">
          <w:rPr>
            <w:rStyle w:val="Lienhypertexte"/>
            <w:rFonts w:cs="Times New Roman"/>
            <w:noProof/>
            <w:sz w:val="22"/>
            <w:u w:val="none"/>
            <w:lang w:eastAsia="da-DK"/>
          </w:rPr>
          <w:t>Figure 41.  Distribution des activités artisanales d’exploitation de l’or</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_Toc183340420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61</w:t>
        </w:r>
        <w:r w:rsidRPr="00564649">
          <w:rPr>
            <w:rFonts w:cs="Times New Roman"/>
            <w:noProof/>
            <w:webHidden/>
            <w:sz w:val="22"/>
          </w:rPr>
          <w:fldChar w:fldCharType="end"/>
        </w:r>
      </w:hyperlink>
    </w:p>
    <w:p w14:paraId="0AFD236F" w14:textId="575B6B64"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21" w:history="1">
        <w:r w:rsidRPr="00564649">
          <w:rPr>
            <w:rStyle w:val="Lienhypertexte"/>
            <w:rFonts w:cs="Times New Roman"/>
            <w:noProof/>
            <w:sz w:val="22"/>
            <w:u w:val="none"/>
            <w:lang w:eastAsia="da-DK"/>
          </w:rPr>
          <w:t>Figure 42.  Taux d’accès à l’AEP en milieu rural (A) et en milieu urbain (B)</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_Toc183340421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61</w:t>
        </w:r>
        <w:r w:rsidRPr="00564649">
          <w:rPr>
            <w:rFonts w:cs="Times New Roman"/>
            <w:noProof/>
            <w:webHidden/>
            <w:sz w:val="22"/>
          </w:rPr>
          <w:fldChar w:fldCharType="end"/>
        </w:r>
      </w:hyperlink>
    </w:p>
    <w:p w14:paraId="2C451D70" w14:textId="7453A191"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22" w:history="1">
        <w:r w:rsidRPr="00564649">
          <w:rPr>
            <w:rStyle w:val="Lienhypertexte"/>
            <w:rFonts w:cs="Times New Roman"/>
            <w:noProof/>
            <w:sz w:val="22"/>
            <w:u w:val="none"/>
            <w:lang w:eastAsia="da-DK"/>
          </w:rPr>
          <w:t>Figure 43 :  Evolution du nombre de communes à taux d’accès à l’eau potable moyen et de villages sans accès à l’eau potable</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_Toc183340422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62</w:t>
        </w:r>
        <w:r w:rsidRPr="00564649">
          <w:rPr>
            <w:rFonts w:cs="Times New Roman"/>
            <w:noProof/>
            <w:webHidden/>
            <w:sz w:val="22"/>
          </w:rPr>
          <w:fldChar w:fldCharType="end"/>
        </w:r>
      </w:hyperlink>
    </w:p>
    <w:p w14:paraId="7287096E" w14:textId="5B6FAEFC"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23" w:history="1">
        <w:r w:rsidRPr="00564649">
          <w:rPr>
            <w:rStyle w:val="Lienhypertexte"/>
            <w:rFonts w:cs="Times New Roman"/>
            <w:noProof/>
            <w:sz w:val="22"/>
            <w:u w:val="none"/>
          </w:rPr>
          <w:t>Figure 44.  Evolution du taux de fonctionnalité (%) des AEPS et des PEM</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_Toc183340423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62</w:t>
        </w:r>
        <w:r w:rsidRPr="00564649">
          <w:rPr>
            <w:rFonts w:cs="Times New Roman"/>
            <w:noProof/>
            <w:webHidden/>
            <w:sz w:val="22"/>
          </w:rPr>
          <w:fldChar w:fldCharType="end"/>
        </w:r>
      </w:hyperlink>
    </w:p>
    <w:p w14:paraId="4181C68F" w14:textId="46DCFE52"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24" w:history="1">
        <w:r w:rsidRPr="00564649">
          <w:rPr>
            <w:rStyle w:val="Lienhypertexte"/>
            <w:rFonts w:cs="Times New Roman"/>
            <w:noProof/>
            <w:sz w:val="22"/>
            <w:u w:val="none"/>
          </w:rPr>
          <w:t>Figure 45.  Evolution du taux d’accès à l’assainissement et de la population desservie en milieu rural</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_Toc183340424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63</w:t>
        </w:r>
        <w:r w:rsidRPr="00564649">
          <w:rPr>
            <w:rFonts w:cs="Times New Roman"/>
            <w:noProof/>
            <w:webHidden/>
            <w:sz w:val="22"/>
          </w:rPr>
          <w:fldChar w:fldCharType="end"/>
        </w:r>
      </w:hyperlink>
    </w:p>
    <w:p w14:paraId="2AAB30B2" w14:textId="0AA894C4"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25" w:history="1">
        <w:r w:rsidRPr="00564649">
          <w:rPr>
            <w:rStyle w:val="Lienhypertexte"/>
            <w:rFonts w:cs="Times New Roman"/>
            <w:noProof/>
            <w:sz w:val="22"/>
            <w:u w:val="none"/>
          </w:rPr>
          <w:t>Figure 46. Evolution du taux d’accès à l’assainissement et population desservie en 2018 en milieu urbain</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_Toc183340425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64</w:t>
        </w:r>
        <w:r w:rsidRPr="00564649">
          <w:rPr>
            <w:rFonts w:cs="Times New Roman"/>
            <w:noProof/>
            <w:webHidden/>
            <w:sz w:val="22"/>
          </w:rPr>
          <w:fldChar w:fldCharType="end"/>
        </w:r>
      </w:hyperlink>
    </w:p>
    <w:p w14:paraId="0477E0DA" w14:textId="7ACE0E34"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26" w:history="1">
        <w:r w:rsidRPr="00564649">
          <w:rPr>
            <w:rStyle w:val="Lienhypertexte"/>
            <w:rFonts w:cs="Times New Roman"/>
            <w:noProof/>
            <w:sz w:val="22"/>
            <w:u w:val="none"/>
          </w:rPr>
          <w:t>Figure 47. Evolution du taux d’accès à l’assainissement eaux usées et excrétas au niveau national</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_Toc183340426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64</w:t>
        </w:r>
        <w:r w:rsidRPr="00564649">
          <w:rPr>
            <w:rFonts w:cs="Times New Roman"/>
            <w:noProof/>
            <w:webHidden/>
            <w:sz w:val="22"/>
          </w:rPr>
          <w:fldChar w:fldCharType="end"/>
        </w:r>
      </w:hyperlink>
    </w:p>
    <w:p w14:paraId="05F9C9EA" w14:textId="0545D4A0"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27" w:history="1">
        <w:r w:rsidRPr="00564649">
          <w:rPr>
            <w:rStyle w:val="Lienhypertexte"/>
            <w:rFonts w:cs="Times New Roman"/>
            <w:noProof/>
            <w:spacing w:val="10"/>
            <w:sz w:val="22"/>
            <w:u w:val="none"/>
          </w:rPr>
          <w:t>Figure 48.Evolution des surfaces brulées en hectare</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_Toc183340427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72</w:t>
        </w:r>
        <w:r w:rsidRPr="00564649">
          <w:rPr>
            <w:rFonts w:cs="Times New Roman"/>
            <w:noProof/>
            <w:webHidden/>
            <w:sz w:val="22"/>
          </w:rPr>
          <w:fldChar w:fldCharType="end"/>
        </w:r>
      </w:hyperlink>
    </w:p>
    <w:p w14:paraId="5AC3CAC2" w14:textId="31E7F363"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28" w:history="1">
        <w:r w:rsidRPr="00564649">
          <w:rPr>
            <w:rStyle w:val="Lienhypertexte"/>
            <w:rFonts w:cs="Times New Roman"/>
            <w:noProof/>
            <w:spacing w:val="10"/>
            <w:sz w:val="22"/>
            <w:u w:val="none"/>
          </w:rPr>
          <w:t>Figure 49. Evolution des superficies des céréales et des cultures de rente</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_Toc183340428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74</w:t>
        </w:r>
        <w:r w:rsidRPr="00564649">
          <w:rPr>
            <w:rFonts w:cs="Times New Roman"/>
            <w:noProof/>
            <w:webHidden/>
            <w:sz w:val="22"/>
          </w:rPr>
          <w:fldChar w:fldCharType="end"/>
        </w:r>
      </w:hyperlink>
    </w:p>
    <w:p w14:paraId="24464986" w14:textId="57693B30"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29" w:history="1">
        <w:r w:rsidRPr="00564649">
          <w:rPr>
            <w:rStyle w:val="Lienhypertexte"/>
            <w:rFonts w:cs="Times New Roman"/>
            <w:noProof/>
            <w:sz w:val="22"/>
            <w:u w:val="none"/>
          </w:rPr>
          <w:t>Figure 50.</w:t>
        </w:r>
        <w:r w:rsidRPr="00564649">
          <w:rPr>
            <w:rStyle w:val="Lienhypertexte"/>
            <w:rFonts w:cs="Times New Roman"/>
            <w:noProof/>
            <w:spacing w:val="10"/>
            <w:sz w:val="22"/>
            <w:u w:val="none"/>
          </w:rPr>
          <w:t xml:space="preserve"> Etat de la dégradation des sols au Burkina Faso en 2012</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_Toc183340429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78</w:t>
        </w:r>
        <w:r w:rsidRPr="00564649">
          <w:rPr>
            <w:rFonts w:cs="Times New Roman"/>
            <w:noProof/>
            <w:webHidden/>
            <w:sz w:val="22"/>
          </w:rPr>
          <w:fldChar w:fldCharType="end"/>
        </w:r>
      </w:hyperlink>
    </w:p>
    <w:p w14:paraId="377F5360" w14:textId="11A7A2F9"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30" w:history="1">
        <w:r w:rsidRPr="00564649">
          <w:rPr>
            <w:rStyle w:val="Lienhypertexte"/>
            <w:rFonts w:cs="Times New Roman"/>
            <w:noProof/>
            <w:sz w:val="22"/>
            <w:u w:val="none"/>
          </w:rPr>
          <w:t>Figure 51. Etat de la dégradation des sols au Burkina Faso en 2023</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_Toc183340430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79</w:t>
        </w:r>
        <w:r w:rsidRPr="00564649">
          <w:rPr>
            <w:rFonts w:cs="Times New Roman"/>
            <w:noProof/>
            <w:webHidden/>
            <w:sz w:val="22"/>
          </w:rPr>
          <w:fldChar w:fldCharType="end"/>
        </w:r>
      </w:hyperlink>
    </w:p>
    <w:p w14:paraId="2AAE5E78" w14:textId="5A589F21"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31" w:history="1">
        <w:r w:rsidRPr="00564649">
          <w:rPr>
            <w:rStyle w:val="Lienhypertexte"/>
            <w:rFonts w:cs="Times New Roman"/>
            <w:noProof/>
            <w:sz w:val="22"/>
            <w:u w:val="none"/>
          </w:rPr>
          <w:t>Figure 52.</w:t>
        </w:r>
        <w:r w:rsidRPr="00564649">
          <w:rPr>
            <w:rStyle w:val="Lienhypertexte"/>
            <w:rFonts w:cs="Times New Roman"/>
            <w:noProof/>
            <w:spacing w:val="10"/>
            <w:sz w:val="22"/>
            <w:u w:val="none"/>
          </w:rPr>
          <w:t xml:space="preserve"> Carte pédologique du Burkina Faso</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_Toc183340431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84</w:t>
        </w:r>
        <w:r w:rsidRPr="00564649">
          <w:rPr>
            <w:rFonts w:cs="Times New Roman"/>
            <w:noProof/>
            <w:webHidden/>
            <w:sz w:val="22"/>
          </w:rPr>
          <w:fldChar w:fldCharType="end"/>
        </w:r>
      </w:hyperlink>
    </w:p>
    <w:p w14:paraId="7E6AFE34" w14:textId="353F594A"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32" w:history="1">
        <w:r w:rsidRPr="00564649">
          <w:rPr>
            <w:rStyle w:val="Lienhypertexte"/>
            <w:rFonts w:cs="Times New Roman"/>
            <w:noProof/>
            <w:sz w:val="22"/>
            <w:u w:val="none"/>
          </w:rPr>
          <w:t>Figure 53. Relation croissance démographique et couverture forestière nationale, de 2013 à 2022</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_Toc183340432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99</w:t>
        </w:r>
        <w:r w:rsidRPr="00564649">
          <w:rPr>
            <w:rFonts w:cs="Times New Roman"/>
            <w:noProof/>
            <w:webHidden/>
            <w:sz w:val="22"/>
          </w:rPr>
          <w:fldChar w:fldCharType="end"/>
        </w:r>
      </w:hyperlink>
    </w:p>
    <w:p w14:paraId="69A6FE35" w14:textId="540DC199"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33" w:history="1">
        <w:r w:rsidRPr="00564649">
          <w:rPr>
            <w:rStyle w:val="Lienhypertexte"/>
            <w:rFonts w:cs="Times New Roman"/>
            <w:noProof/>
            <w:sz w:val="22"/>
            <w:u w:val="none"/>
          </w:rPr>
          <w:t>Figure 54. Situation des personnes déplacées internes au 31 mars 2023</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_Toc183340433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102</w:t>
        </w:r>
        <w:r w:rsidRPr="00564649">
          <w:rPr>
            <w:rFonts w:cs="Times New Roman"/>
            <w:noProof/>
            <w:webHidden/>
            <w:sz w:val="22"/>
          </w:rPr>
          <w:fldChar w:fldCharType="end"/>
        </w:r>
      </w:hyperlink>
    </w:p>
    <w:p w14:paraId="4673380E" w14:textId="5161660F"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34" w:history="1">
        <w:r w:rsidRPr="00564649">
          <w:rPr>
            <w:rStyle w:val="Lienhypertexte"/>
            <w:rFonts w:cs="Times New Roman"/>
            <w:noProof/>
            <w:sz w:val="22"/>
            <w:u w:val="none"/>
          </w:rPr>
          <w:t>Figure 55. Utilisation des terres en 2000 et 2022</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_Toc183340434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104</w:t>
        </w:r>
        <w:r w:rsidRPr="00564649">
          <w:rPr>
            <w:rFonts w:cs="Times New Roman"/>
            <w:noProof/>
            <w:webHidden/>
            <w:sz w:val="22"/>
          </w:rPr>
          <w:fldChar w:fldCharType="end"/>
        </w:r>
      </w:hyperlink>
    </w:p>
    <w:p w14:paraId="4D3A5424" w14:textId="0CF4F227"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35" w:history="1">
        <w:r w:rsidRPr="00564649">
          <w:rPr>
            <w:rStyle w:val="Lienhypertexte"/>
            <w:rFonts w:cs="Times New Roman"/>
            <w:noProof/>
            <w:sz w:val="22"/>
            <w:u w:val="none"/>
          </w:rPr>
          <w:t>Figure 56. Déforestation en milliers d’hectare par région en 2022</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_Toc183340435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104</w:t>
        </w:r>
        <w:r w:rsidRPr="00564649">
          <w:rPr>
            <w:rFonts w:cs="Times New Roman"/>
            <w:noProof/>
            <w:webHidden/>
            <w:sz w:val="22"/>
          </w:rPr>
          <w:fldChar w:fldCharType="end"/>
        </w:r>
      </w:hyperlink>
    </w:p>
    <w:p w14:paraId="51BAC7DD" w14:textId="22427169"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36" w:history="1">
        <w:r w:rsidRPr="00564649">
          <w:rPr>
            <w:rStyle w:val="Lienhypertexte"/>
            <w:rFonts w:cs="Times New Roman"/>
            <w:noProof/>
            <w:sz w:val="22"/>
            <w:u w:val="none"/>
          </w:rPr>
          <w:t>Figure 57. Consommation de bois et charbon de bois au Burkina Fas, en milliers de tonne</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_Toc183340436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105</w:t>
        </w:r>
        <w:r w:rsidRPr="00564649">
          <w:rPr>
            <w:rFonts w:cs="Times New Roman"/>
            <w:noProof/>
            <w:webHidden/>
            <w:sz w:val="22"/>
          </w:rPr>
          <w:fldChar w:fldCharType="end"/>
        </w:r>
      </w:hyperlink>
    </w:p>
    <w:p w14:paraId="05923A83" w14:textId="041A6C8E"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37" w:history="1">
        <w:r w:rsidRPr="00564649">
          <w:rPr>
            <w:rStyle w:val="Lienhypertexte"/>
            <w:rFonts w:cs="Times New Roman"/>
            <w:noProof/>
            <w:sz w:val="22"/>
            <w:u w:val="none"/>
          </w:rPr>
          <w:t>Figure 58. Evolution des quantités (tonnes) de PFNL collectée au Burkina Faso</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_Toc183340437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106</w:t>
        </w:r>
        <w:r w:rsidRPr="00564649">
          <w:rPr>
            <w:rFonts w:cs="Times New Roman"/>
            <w:noProof/>
            <w:webHidden/>
            <w:sz w:val="22"/>
          </w:rPr>
          <w:fldChar w:fldCharType="end"/>
        </w:r>
      </w:hyperlink>
    </w:p>
    <w:p w14:paraId="55DB632B" w14:textId="74E2C52D"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38" w:history="1">
        <w:r w:rsidRPr="00564649">
          <w:rPr>
            <w:rStyle w:val="Lienhypertexte"/>
            <w:rFonts w:cs="Times New Roman"/>
            <w:noProof/>
            <w:sz w:val="22"/>
            <w:u w:val="none"/>
          </w:rPr>
          <w:t>Figure 59. Mouvements et concentration en bétail rapportés sur le Burkina Faso</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_Toc183340438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108</w:t>
        </w:r>
        <w:r w:rsidRPr="00564649">
          <w:rPr>
            <w:rFonts w:cs="Times New Roman"/>
            <w:noProof/>
            <w:webHidden/>
            <w:sz w:val="22"/>
          </w:rPr>
          <w:fldChar w:fldCharType="end"/>
        </w:r>
      </w:hyperlink>
    </w:p>
    <w:p w14:paraId="5C784F92" w14:textId="6F479F4C"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39" w:history="1">
        <w:r w:rsidRPr="00564649">
          <w:rPr>
            <w:rStyle w:val="Lienhypertexte"/>
            <w:rFonts w:cs="Times New Roman"/>
            <w:noProof/>
            <w:sz w:val="22"/>
            <w:u w:val="none"/>
          </w:rPr>
          <w:t>Figure 60. Carte de situation des zones brûlées au cours des campagnes 2001 à 2004</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_Toc183340439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109</w:t>
        </w:r>
        <w:r w:rsidRPr="00564649">
          <w:rPr>
            <w:rFonts w:cs="Times New Roman"/>
            <w:noProof/>
            <w:webHidden/>
            <w:sz w:val="22"/>
          </w:rPr>
          <w:fldChar w:fldCharType="end"/>
        </w:r>
      </w:hyperlink>
    </w:p>
    <w:p w14:paraId="0E9183E9" w14:textId="340079BD"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40" w:history="1">
        <w:r w:rsidRPr="00564649">
          <w:rPr>
            <w:rStyle w:val="Lienhypertexte"/>
            <w:rFonts w:cs="Times New Roman"/>
            <w:noProof/>
            <w:sz w:val="22"/>
            <w:u w:val="none"/>
          </w:rPr>
          <w:t>Figure 61. Evolution des feux tardifs selon les zones phytogéographiques</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_Toc183340440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110</w:t>
        </w:r>
        <w:r w:rsidRPr="00564649">
          <w:rPr>
            <w:rFonts w:cs="Times New Roman"/>
            <w:noProof/>
            <w:webHidden/>
            <w:sz w:val="22"/>
          </w:rPr>
          <w:fldChar w:fldCharType="end"/>
        </w:r>
      </w:hyperlink>
    </w:p>
    <w:p w14:paraId="7F7E3C63" w14:textId="09225BD3"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41" w:history="1">
        <w:r w:rsidRPr="00564649">
          <w:rPr>
            <w:rStyle w:val="Lienhypertexte"/>
            <w:rFonts w:cs="Times New Roman"/>
            <w:noProof/>
            <w:sz w:val="22"/>
            <w:u w:val="none"/>
          </w:rPr>
          <w:t>Figure 62. Evolution du nombre d’indices de braconnage dans FCRPFCL entre 2010 et 2018</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_Toc183340441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112</w:t>
        </w:r>
        <w:r w:rsidRPr="00564649">
          <w:rPr>
            <w:rFonts w:cs="Times New Roman"/>
            <w:noProof/>
            <w:webHidden/>
            <w:sz w:val="22"/>
          </w:rPr>
          <w:fldChar w:fldCharType="end"/>
        </w:r>
      </w:hyperlink>
    </w:p>
    <w:p w14:paraId="28DF8B64" w14:textId="50127899"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42" w:history="1">
        <w:r w:rsidRPr="00564649">
          <w:rPr>
            <w:rStyle w:val="Lienhypertexte"/>
            <w:rFonts w:cs="Times New Roman"/>
            <w:noProof/>
            <w:sz w:val="22"/>
            <w:u w:val="none"/>
          </w:rPr>
          <w:t>Figure 63. Evolution du nombre d’indices de braconnage dans FCRGN entre 2010 et 2017</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_Toc183340442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112</w:t>
        </w:r>
        <w:r w:rsidRPr="00564649">
          <w:rPr>
            <w:rFonts w:cs="Times New Roman"/>
            <w:noProof/>
            <w:webHidden/>
            <w:sz w:val="22"/>
          </w:rPr>
          <w:fldChar w:fldCharType="end"/>
        </w:r>
      </w:hyperlink>
    </w:p>
    <w:p w14:paraId="22F344AF" w14:textId="4844A370"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43" w:history="1">
        <w:r w:rsidRPr="00564649">
          <w:rPr>
            <w:rStyle w:val="Lienhypertexte"/>
            <w:rFonts w:cs="Times New Roman"/>
            <w:noProof/>
            <w:sz w:val="22"/>
            <w:u w:val="none"/>
          </w:rPr>
          <w:t>Figure 64. Évolution des émissions nationales de GES en Gg équivalent CO2 de 1995 à 2017</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_Toc183340443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113</w:t>
        </w:r>
        <w:r w:rsidRPr="00564649">
          <w:rPr>
            <w:rFonts w:cs="Times New Roman"/>
            <w:noProof/>
            <w:webHidden/>
            <w:sz w:val="22"/>
          </w:rPr>
          <w:fldChar w:fldCharType="end"/>
        </w:r>
      </w:hyperlink>
    </w:p>
    <w:p w14:paraId="699EC0BE" w14:textId="030F0EC8"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44" w:history="1">
        <w:r w:rsidRPr="00564649">
          <w:rPr>
            <w:rStyle w:val="Lienhypertexte"/>
            <w:rFonts w:cs="Times New Roman"/>
            <w:noProof/>
            <w:sz w:val="22"/>
            <w:u w:val="none"/>
          </w:rPr>
          <w:t>Figure 65. Evolution du nombre de PV validés de constat de dégâts d’animaux</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_Toc183340444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114</w:t>
        </w:r>
        <w:r w:rsidRPr="00564649">
          <w:rPr>
            <w:rFonts w:cs="Times New Roman"/>
            <w:noProof/>
            <w:webHidden/>
            <w:sz w:val="22"/>
          </w:rPr>
          <w:fldChar w:fldCharType="end"/>
        </w:r>
      </w:hyperlink>
    </w:p>
    <w:p w14:paraId="0A552AB1" w14:textId="32D52A57"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45" w:history="1">
        <w:r w:rsidRPr="00564649">
          <w:rPr>
            <w:rStyle w:val="Lienhypertexte"/>
            <w:rFonts w:cs="Times New Roman"/>
            <w:noProof/>
            <w:sz w:val="22"/>
            <w:u w:val="none"/>
          </w:rPr>
          <w:t>Figure 66. Secteurs phytogéographiques du Burkina Faso</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_Toc183340445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123</w:t>
        </w:r>
        <w:r w:rsidRPr="00564649">
          <w:rPr>
            <w:rFonts w:cs="Times New Roman"/>
            <w:noProof/>
            <w:webHidden/>
            <w:sz w:val="22"/>
          </w:rPr>
          <w:fldChar w:fldCharType="end"/>
        </w:r>
      </w:hyperlink>
    </w:p>
    <w:p w14:paraId="005390D6" w14:textId="31917B79"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46" w:history="1">
        <w:r w:rsidRPr="00564649">
          <w:rPr>
            <w:rStyle w:val="Lienhypertexte"/>
            <w:rFonts w:cs="Times New Roman"/>
            <w:noProof/>
            <w:sz w:val="22"/>
            <w:u w:val="none"/>
          </w:rPr>
          <w:t>Figure 67. Superficie des terres forestières par zone phytogéographique en ha</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_Toc183340446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123</w:t>
        </w:r>
        <w:r w:rsidRPr="00564649">
          <w:rPr>
            <w:rFonts w:cs="Times New Roman"/>
            <w:noProof/>
            <w:webHidden/>
            <w:sz w:val="22"/>
          </w:rPr>
          <w:fldChar w:fldCharType="end"/>
        </w:r>
      </w:hyperlink>
    </w:p>
    <w:p w14:paraId="20E80EA0" w14:textId="0D519A11"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47" w:history="1">
        <w:r w:rsidRPr="00564649">
          <w:rPr>
            <w:rStyle w:val="Lienhypertexte"/>
            <w:rFonts w:cs="Times New Roman"/>
            <w:noProof/>
            <w:sz w:val="22"/>
            <w:u w:val="none"/>
          </w:rPr>
          <w:t>Figure 68. Utilisation des terres au Burkina Faso 2019</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_Toc183340447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124</w:t>
        </w:r>
        <w:r w:rsidRPr="00564649">
          <w:rPr>
            <w:rFonts w:cs="Times New Roman"/>
            <w:noProof/>
            <w:webHidden/>
            <w:sz w:val="22"/>
          </w:rPr>
          <w:fldChar w:fldCharType="end"/>
        </w:r>
      </w:hyperlink>
    </w:p>
    <w:p w14:paraId="0185E267" w14:textId="615AC90F"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48" w:history="1">
        <w:r w:rsidRPr="00564649">
          <w:rPr>
            <w:rStyle w:val="Lienhypertexte"/>
            <w:rFonts w:cs="Times New Roman"/>
            <w:noProof/>
            <w:sz w:val="22"/>
            <w:u w:val="none"/>
          </w:rPr>
          <w:t>Figure 69. Aires classées du Burkina Faso</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_Toc183340448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130</w:t>
        </w:r>
        <w:r w:rsidRPr="00564649">
          <w:rPr>
            <w:rFonts w:cs="Times New Roman"/>
            <w:noProof/>
            <w:webHidden/>
            <w:sz w:val="22"/>
          </w:rPr>
          <w:fldChar w:fldCharType="end"/>
        </w:r>
      </w:hyperlink>
    </w:p>
    <w:p w14:paraId="084B35DB" w14:textId="566DCDC6"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49" w:history="1">
        <w:r w:rsidRPr="00564649">
          <w:rPr>
            <w:rStyle w:val="Lienhypertexte"/>
            <w:rFonts w:cs="Times New Roman"/>
            <w:noProof/>
            <w:sz w:val="22"/>
            <w:u w:val="none"/>
          </w:rPr>
          <w:t>Figure 70. Evolution des superficies des forêts claires de 2000 à 2022</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_Toc183340449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133</w:t>
        </w:r>
        <w:r w:rsidRPr="00564649">
          <w:rPr>
            <w:rFonts w:cs="Times New Roman"/>
            <w:noProof/>
            <w:webHidden/>
            <w:sz w:val="22"/>
          </w:rPr>
          <w:fldChar w:fldCharType="end"/>
        </w:r>
      </w:hyperlink>
    </w:p>
    <w:p w14:paraId="485DBB05" w14:textId="287338FD"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50" w:history="1">
        <w:r w:rsidRPr="00564649">
          <w:rPr>
            <w:rStyle w:val="Lienhypertexte"/>
            <w:rFonts w:cs="Times New Roman"/>
            <w:noProof/>
            <w:sz w:val="22"/>
            <w:u w:val="none"/>
          </w:rPr>
          <w:t>Figure 71. Evolution des superficies des savanes arborées de 2000 à 2022</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_Toc183340450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133</w:t>
        </w:r>
        <w:r w:rsidRPr="00564649">
          <w:rPr>
            <w:rFonts w:cs="Times New Roman"/>
            <w:noProof/>
            <w:webHidden/>
            <w:sz w:val="22"/>
          </w:rPr>
          <w:fldChar w:fldCharType="end"/>
        </w:r>
      </w:hyperlink>
    </w:p>
    <w:p w14:paraId="4EDC9774" w14:textId="74E20241"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51" w:history="1">
        <w:r w:rsidRPr="00564649">
          <w:rPr>
            <w:rStyle w:val="Lienhypertexte"/>
            <w:rFonts w:cs="Times New Roman"/>
            <w:noProof/>
            <w:sz w:val="22"/>
            <w:u w:val="none"/>
          </w:rPr>
          <w:t>Figure 72. Evolution des superficies des steppes arborées de 2000 à 2022</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_Toc183340451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134</w:t>
        </w:r>
        <w:r w:rsidRPr="00564649">
          <w:rPr>
            <w:rFonts w:cs="Times New Roman"/>
            <w:noProof/>
            <w:webHidden/>
            <w:sz w:val="22"/>
          </w:rPr>
          <w:fldChar w:fldCharType="end"/>
        </w:r>
      </w:hyperlink>
    </w:p>
    <w:p w14:paraId="7FAB1D32" w14:textId="3C98E1BC"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52" w:history="1">
        <w:r w:rsidRPr="00564649">
          <w:rPr>
            <w:rStyle w:val="Lienhypertexte"/>
            <w:rFonts w:cs="Times New Roman"/>
            <w:noProof/>
            <w:sz w:val="22"/>
            <w:u w:val="none"/>
          </w:rPr>
          <w:t>Figure 73. Evolution de l’occupation des terres à Seytenga de 1992, 2002 et 2014</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_Toc183340452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135</w:t>
        </w:r>
        <w:r w:rsidRPr="00564649">
          <w:rPr>
            <w:rFonts w:cs="Times New Roman"/>
            <w:noProof/>
            <w:webHidden/>
            <w:sz w:val="22"/>
          </w:rPr>
          <w:fldChar w:fldCharType="end"/>
        </w:r>
      </w:hyperlink>
    </w:p>
    <w:p w14:paraId="628C021F" w14:textId="3EEDCBC8"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53" w:history="1">
        <w:r w:rsidRPr="00564649">
          <w:rPr>
            <w:rStyle w:val="Lienhypertexte"/>
            <w:rFonts w:cs="Times New Roman"/>
            <w:noProof/>
            <w:sz w:val="22"/>
            <w:u w:val="none"/>
          </w:rPr>
          <w:t>Figure 74. Evolution des superficies des forêts claires de 2000 à 2022</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_Toc183340453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135</w:t>
        </w:r>
        <w:r w:rsidRPr="00564649">
          <w:rPr>
            <w:rFonts w:cs="Times New Roman"/>
            <w:noProof/>
            <w:webHidden/>
            <w:sz w:val="22"/>
          </w:rPr>
          <w:fldChar w:fldCharType="end"/>
        </w:r>
      </w:hyperlink>
    </w:p>
    <w:p w14:paraId="303A3BF3" w14:textId="636BFE1F"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54" w:history="1">
        <w:r w:rsidRPr="00564649">
          <w:rPr>
            <w:rStyle w:val="Lienhypertexte"/>
            <w:rFonts w:cs="Times New Roman"/>
            <w:noProof/>
            <w:sz w:val="22"/>
            <w:u w:val="none"/>
          </w:rPr>
          <w:t>Figure 75. Pourcentage d’espèces potentiellement menacées ou menacées au Burkina Faso en fonction de leurs habitats</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_Toc183340454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137</w:t>
        </w:r>
        <w:r w:rsidRPr="00564649">
          <w:rPr>
            <w:rFonts w:cs="Times New Roman"/>
            <w:noProof/>
            <w:webHidden/>
            <w:sz w:val="22"/>
          </w:rPr>
          <w:fldChar w:fldCharType="end"/>
        </w:r>
      </w:hyperlink>
    </w:p>
    <w:p w14:paraId="451AA734" w14:textId="11A86FAC"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55" w:history="1">
        <w:r w:rsidRPr="00564649">
          <w:rPr>
            <w:rStyle w:val="Lienhypertexte"/>
            <w:rFonts w:cs="Times New Roman"/>
            <w:noProof/>
            <w:sz w:val="22"/>
            <w:u w:val="none"/>
          </w:rPr>
          <w:t>Figure 76. Evolution du nombre de contacts et d’observations animales enregistrés au cours des inventaires réalisés à la FCRGN de 2010 à 2017</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_Toc183340455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138</w:t>
        </w:r>
        <w:r w:rsidRPr="00564649">
          <w:rPr>
            <w:rFonts w:cs="Times New Roman"/>
            <w:noProof/>
            <w:webHidden/>
            <w:sz w:val="22"/>
          </w:rPr>
          <w:fldChar w:fldCharType="end"/>
        </w:r>
      </w:hyperlink>
    </w:p>
    <w:p w14:paraId="2A8D4C22" w14:textId="0F252BAC"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56" w:history="1">
        <w:r w:rsidRPr="00564649">
          <w:rPr>
            <w:rStyle w:val="Lienhypertexte"/>
            <w:rFonts w:cs="Times New Roman"/>
            <w:noProof/>
            <w:sz w:val="22"/>
            <w:u w:val="none"/>
          </w:rPr>
          <w:t>Figure 77. Evolution du nombre de contacts et d’observations animales enregistrés au cours des inventaires réalisés dans la FCRPF_CL de 2010 à 2018</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_Toc183340456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138</w:t>
        </w:r>
        <w:r w:rsidRPr="00564649">
          <w:rPr>
            <w:rFonts w:cs="Times New Roman"/>
            <w:noProof/>
            <w:webHidden/>
            <w:sz w:val="22"/>
          </w:rPr>
          <w:fldChar w:fldCharType="end"/>
        </w:r>
      </w:hyperlink>
    </w:p>
    <w:p w14:paraId="09AE90D1" w14:textId="1F6BA799"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57" w:history="1">
        <w:r w:rsidRPr="00564649">
          <w:rPr>
            <w:rStyle w:val="Lienhypertexte"/>
            <w:rFonts w:cs="Times New Roman"/>
            <w:noProof/>
            <w:sz w:val="22"/>
            <w:u w:val="none"/>
          </w:rPr>
          <w:t>Figure 78. Evolution du nombre de contact, du nombre d'individu et de la taille moyenne des groupes (TMG) des espèces de 2010 à 2017 dans la FCRGN</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_Toc183340457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140</w:t>
        </w:r>
        <w:r w:rsidRPr="00564649">
          <w:rPr>
            <w:rFonts w:cs="Times New Roman"/>
            <w:noProof/>
            <w:webHidden/>
            <w:sz w:val="22"/>
          </w:rPr>
          <w:fldChar w:fldCharType="end"/>
        </w:r>
      </w:hyperlink>
    </w:p>
    <w:p w14:paraId="08F65AF3" w14:textId="7E247D9A"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58" w:history="1">
        <w:r w:rsidRPr="00564649">
          <w:rPr>
            <w:rStyle w:val="Lienhypertexte"/>
            <w:rFonts w:cs="Times New Roman"/>
            <w:noProof/>
            <w:sz w:val="22"/>
            <w:u w:val="none"/>
          </w:rPr>
          <w:t>Figure 79. Evolution des nombres de contacts et des observations animales enregistrés au cours des inventaires réalisés à la FCRPF_CL de 2010 à 2018</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_Toc183340458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145</w:t>
        </w:r>
        <w:r w:rsidRPr="00564649">
          <w:rPr>
            <w:rFonts w:cs="Times New Roman"/>
            <w:noProof/>
            <w:webHidden/>
            <w:sz w:val="22"/>
          </w:rPr>
          <w:fldChar w:fldCharType="end"/>
        </w:r>
      </w:hyperlink>
    </w:p>
    <w:p w14:paraId="6E0BD884" w14:textId="4132D3F2"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59" w:history="1">
        <w:r w:rsidRPr="00564649">
          <w:rPr>
            <w:rStyle w:val="Lienhypertexte"/>
            <w:rFonts w:cs="Times New Roman"/>
            <w:noProof/>
            <w:sz w:val="22"/>
            <w:u w:val="none"/>
          </w:rPr>
          <w:t>Figure 80. Évolution du potentiel de séquestration du secteur AFAT pour les années 2025, 2030, 2050</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_Toc183340459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147</w:t>
        </w:r>
        <w:r w:rsidRPr="00564649">
          <w:rPr>
            <w:rFonts w:cs="Times New Roman"/>
            <w:noProof/>
            <w:webHidden/>
            <w:sz w:val="22"/>
          </w:rPr>
          <w:fldChar w:fldCharType="end"/>
        </w:r>
      </w:hyperlink>
    </w:p>
    <w:p w14:paraId="577E41A7" w14:textId="59B6C3D4"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60" w:history="1">
        <w:r w:rsidRPr="00564649">
          <w:rPr>
            <w:rStyle w:val="Lienhypertexte"/>
            <w:rFonts w:cs="Times New Roman"/>
            <w:noProof/>
            <w:sz w:val="22"/>
            <w:u w:val="none"/>
          </w:rPr>
          <w:t>Figure 81. Les zones à risque d’inondation au Burkina Faso</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_Toc183340460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161</w:t>
        </w:r>
        <w:r w:rsidRPr="00564649">
          <w:rPr>
            <w:rFonts w:cs="Times New Roman"/>
            <w:noProof/>
            <w:webHidden/>
            <w:sz w:val="22"/>
          </w:rPr>
          <w:fldChar w:fldCharType="end"/>
        </w:r>
      </w:hyperlink>
    </w:p>
    <w:p w14:paraId="21A98DB2" w14:textId="17B42863"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61" w:history="1">
        <w:r w:rsidRPr="00564649">
          <w:rPr>
            <w:rStyle w:val="Lienhypertexte"/>
            <w:rFonts w:cs="Times New Roman"/>
            <w:noProof/>
            <w:sz w:val="22"/>
            <w:u w:val="none"/>
          </w:rPr>
          <w:t>Figure 82. Profil des risques de sécheresse au Burkina Faso</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_Toc183340461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162</w:t>
        </w:r>
        <w:r w:rsidRPr="00564649">
          <w:rPr>
            <w:rFonts w:cs="Times New Roman"/>
            <w:noProof/>
            <w:webHidden/>
            <w:sz w:val="22"/>
          </w:rPr>
          <w:fldChar w:fldCharType="end"/>
        </w:r>
      </w:hyperlink>
    </w:p>
    <w:p w14:paraId="00AD99F8" w14:textId="5E9363FD"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62" w:history="1">
        <w:r w:rsidRPr="00564649">
          <w:rPr>
            <w:rStyle w:val="Lienhypertexte"/>
            <w:rFonts w:cs="Times New Roman"/>
            <w:noProof/>
            <w:sz w:val="22"/>
            <w:u w:val="none"/>
          </w:rPr>
          <w:t>Figure 83. Les dix zones les plus vulnérables</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_Toc183340462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163</w:t>
        </w:r>
        <w:r w:rsidRPr="00564649">
          <w:rPr>
            <w:rFonts w:cs="Times New Roman"/>
            <w:noProof/>
            <w:webHidden/>
            <w:sz w:val="22"/>
          </w:rPr>
          <w:fldChar w:fldCharType="end"/>
        </w:r>
      </w:hyperlink>
    </w:p>
    <w:p w14:paraId="1EF86A54" w14:textId="29CB7819"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63" w:history="1">
        <w:r w:rsidRPr="00564649">
          <w:rPr>
            <w:rStyle w:val="Lienhypertexte"/>
            <w:rFonts w:cs="Times New Roman"/>
            <w:noProof/>
            <w:sz w:val="22"/>
            <w:u w:val="none"/>
          </w:rPr>
          <w:t>Figure 84. Processus d’intervention en cas de catastrophe</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_Toc183340463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168</w:t>
        </w:r>
        <w:r w:rsidRPr="00564649">
          <w:rPr>
            <w:rFonts w:cs="Times New Roman"/>
            <w:noProof/>
            <w:webHidden/>
            <w:sz w:val="22"/>
          </w:rPr>
          <w:fldChar w:fldCharType="end"/>
        </w:r>
      </w:hyperlink>
    </w:p>
    <w:p w14:paraId="3B13EAF0" w14:textId="2A8E6402"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64" w:history="1">
        <w:r w:rsidRPr="00564649">
          <w:rPr>
            <w:rStyle w:val="Lienhypertexte"/>
            <w:rFonts w:cs="Times New Roman"/>
            <w:noProof/>
            <w:sz w:val="22"/>
            <w:u w:val="none"/>
          </w:rPr>
          <w:t>Figure 85. Cadre conceptuel PEIR</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_Toc183340464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173</w:t>
        </w:r>
        <w:r w:rsidRPr="00564649">
          <w:rPr>
            <w:rFonts w:cs="Times New Roman"/>
            <w:noProof/>
            <w:webHidden/>
            <w:sz w:val="22"/>
          </w:rPr>
          <w:fldChar w:fldCharType="end"/>
        </w:r>
      </w:hyperlink>
    </w:p>
    <w:p w14:paraId="0628D70A" w14:textId="02E4F495"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65" w:history="1">
        <w:r w:rsidRPr="00564649">
          <w:rPr>
            <w:rStyle w:val="Lienhypertexte"/>
            <w:rFonts w:cs="Times New Roman"/>
            <w:noProof/>
            <w:sz w:val="22"/>
            <w:u w:val="none"/>
          </w:rPr>
          <w:t>Figure 86. Évolution de la population totale et urbaine de 1975 à 2019</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_Toc183340465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182</w:t>
        </w:r>
        <w:r w:rsidRPr="00564649">
          <w:rPr>
            <w:rFonts w:cs="Times New Roman"/>
            <w:noProof/>
            <w:webHidden/>
            <w:sz w:val="22"/>
          </w:rPr>
          <w:fldChar w:fldCharType="end"/>
        </w:r>
      </w:hyperlink>
    </w:p>
    <w:p w14:paraId="67CE4E55" w14:textId="3FA09D0F"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66" w:history="1">
        <w:r w:rsidRPr="00564649">
          <w:rPr>
            <w:rStyle w:val="Lienhypertexte"/>
            <w:rFonts w:cs="Times New Roman"/>
            <w:noProof/>
            <w:sz w:val="22"/>
            <w:u w:val="none"/>
          </w:rPr>
          <w:t>Figure 87. Évolution de la population par ville de 1975 à 2019</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_Toc183340466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183</w:t>
        </w:r>
        <w:r w:rsidRPr="00564649">
          <w:rPr>
            <w:rFonts w:cs="Times New Roman"/>
            <w:noProof/>
            <w:webHidden/>
            <w:sz w:val="22"/>
          </w:rPr>
          <w:fldChar w:fldCharType="end"/>
        </w:r>
      </w:hyperlink>
    </w:p>
    <w:p w14:paraId="709FF974" w14:textId="40F9B08F"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67" w:history="1">
        <w:r w:rsidRPr="00564649">
          <w:rPr>
            <w:rStyle w:val="Lienhypertexte"/>
            <w:rFonts w:cs="Times New Roman"/>
            <w:noProof/>
            <w:sz w:val="22"/>
            <w:u w:val="none"/>
          </w:rPr>
          <w:t>Figure 88. Pourcentage des personnes déplacées internes par rapport à la population non déplacée dans les communes</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_Toc183340467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184</w:t>
        </w:r>
        <w:r w:rsidRPr="00564649">
          <w:rPr>
            <w:rFonts w:cs="Times New Roman"/>
            <w:noProof/>
            <w:webHidden/>
            <w:sz w:val="22"/>
          </w:rPr>
          <w:fldChar w:fldCharType="end"/>
        </w:r>
      </w:hyperlink>
    </w:p>
    <w:p w14:paraId="4431CA88" w14:textId="758035EF"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68" w:history="1">
        <w:r w:rsidRPr="00564649">
          <w:rPr>
            <w:rStyle w:val="Lienhypertexte"/>
            <w:rFonts w:cs="Times New Roman"/>
            <w:noProof/>
            <w:sz w:val="22"/>
            <w:u w:val="none"/>
          </w:rPr>
          <w:t>Figure 89. Évolution des taches urbaines des villes de Ouagadougou et Bobo Dioulasso</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_Toc183340468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186</w:t>
        </w:r>
        <w:r w:rsidRPr="00564649">
          <w:rPr>
            <w:rFonts w:cs="Times New Roman"/>
            <w:noProof/>
            <w:webHidden/>
            <w:sz w:val="22"/>
          </w:rPr>
          <w:fldChar w:fldCharType="end"/>
        </w:r>
      </w:hyperlink>
    </w:p>
    <w:p w14:paraId="453392C1" w14:textId="0D3CE5CA"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69" w:history="1">
        <w:r w:rsidRPr="00564649">
          <w:rPr>
            <w:rStyle w:val="Lienhypertexte"/>
            <w:rFonts w:cs="Times New Roman"/>
            <w:noProof/>
            <w:sz w:val="22"/>
            <w:u w:val="none"/>
          </w:rPr>
          <w:t>Figure 90. Territoire du "Grand Ouaga"</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_Toc183340469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187</w:t>
        </w:r>
        <w:r w:rsidRPr="00564649">
          <w:rPr>
            <w:rFonts w:cs="Times New Roman"/>
            <w:noProof/>
            <w:webHidden/>
            <w:sz w:val="22"/>
          </w:rPr>
          <w:fldChar w:fldCharType="end"/>
        </w:r>
      </w:hyperlink>
    </w:p>
    <w:p w14:paraId="6691DDAA" w14:textId="74FFFFC5"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70" w:history="1">
        <w:r w:rsidRPr="00564649">
          <w:rPr>
            <w:rStyle w:val="Lienhypertexte"/>
            <w:rFonts w:cs="Times New Roman"/>
            <w:noProof/>
            <w:sz w:val="22"/>
            <w:u w:val="none"/>
          </w:rPr>
          <w:t>Figure 91. Proportion des usagers des transports collectifs selon l’âge</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_Toc183340470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188</w:t>
        </w:r>
        <w:r w:rsidRPr="00564649">
          <w:rPr>
            <w:rFonts w:cs="Times New Roman"/>
            <w:noProof/>
            <w:webHidden/>
            <w:sz w:val="22"/>
          </w:rPr>
          <w:fldChar w:fldCharType="end"/>
        </w:r>
      </w:hyperlink>
    </w:p>
    <w:p w14:paraId="04F19DA6" w14:textId="1BB19540"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71" w:history="1">
        <w:r w:rsidRPr="00564649">
          <w:rPr>
            <w:rStyle w:val="Lienhypertexte"/>
            <w:rFonts w:cs="Times New Roman"/>
            <w:noProof/>
            <w:sz w:val="22"/>
            <w:u w:val="none"/>
          </w:rPr>
          <w:t>Figure 92. Équipement de moyens de transport selon l’âge et le sexe</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_Toc183340471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189</w:t>
        </w:r>
        <w:r w:rsidRPr="00564649">
          <w:rPr>
            <w:rFonts w:cs="Times New Roman"/>
            <w:noProof/>
            <w:webHidden/>
            <w:sz w:val="22"/>
          </w:rPr>
          <w:fldChar w:fldCharType="end"/>
        </w:r>
      </w:hyperlink>
    </w:p>
    <w:p w14:paraId="4439A972" w14:textId="2BD7249D"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72" w:history="1">
        <w:r w:rsidRPr="00564649">
          <w:rPr>
            <w:rStyle w:val="Lienhypertexte"/>
            <w:rFonts w:cs="Times New Roman"/>
            <w:noProof/>
            <w:sz w:val="22"/>
            <w:u w:val="none"/>
          </w:rPr>
          <w:t>Figure 93. Évolution du taux d’accès à l’eau potable selon le milieu de résidence</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_Toc183340472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190</w:t>
        </w:r>
        <w:r w:rsidRPr="00564649">
          <w:rPr>
            <w:rFonts w:cs="Times New Roman"/>
            <w:noProof/>
            <w:webHidden/>
            <w:sz w:val="22"/>
          </w:rPr>
          <w:fldChar w:fldCharType="end"/>
        </w:r>
      </w:hyperlink>
    </w:p>
    <w:p w14:paraId="73264078" w14:textId="4FC2C218"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73" w:history="1">
        <w:r w:rsidRPr="00564649">
          <w:rPr>
            <w:rStyle w:val="Lienhypertexte"/>
            <w:rFonts w:cs="Times New Roman"/>
            <w:noProof/>
            <w:sz w:val="22"/>
            <w:u w:val="none"/>
          </w:rPr>
          <w:t>Figure 94. Taux d'accès à une source d'eau améliorée</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_Toc183340473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191</w:t>
        </w:r>
        <w:r w:rsidRPr="00564649">
          <w:rPr>
            <w:rFonts w:cs="Times New Roman"/>
            <w:noProof/>
            <w:webHidden/>
            <w:sz w:val="22"/>
          </w:rPr>
          <w:fldChar w:fldCharType="end"/>
        </w:r>
      </w:hyperlink>
    </w:p>
    <w:p w14:paraId="1D84356E" w14:textId="521845BF"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74" w:history="1">
        <w:r w:rsidRPr="00564649">
          <w:rPr>
            <w:rStyle w:val="Lienhypertexte"/>
            <w:rFonts w:cs="Times New Roman"/>
            <w:noProof/>
            <w:sz w:val="22"/>
            <w:u w:val="none"/>
          </w:rPr>
          <w:t>Figure 95. Répartition des ménages selon lieu d’aisance et le milieu de résidence (%)</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_Toc183340474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191</w:t>
        </w:r>
        <w:r w:rsidRPr="00564649">
          <w:rPr>
            <w:rFonts w:cs="Times New Roman"/>
            <w:noProof/>
            <w:webHidden/>
            <w:sz w:val="22"/>
          </w:rPr>
          <w:fldChar w:fldCharType="end"/>
        </w:r>
      </w:hyperlink>
    </w:p>
    <w:p w14:paraId="74027DEC" w14:textId="5B6D2EA9"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75" w:history="1">
        <w:r w:rsidRPr="00564649">
          <w:rPr>
            <w:rStyle w:val="Lienhypertexte"/>
            <w:rFonts w:cs="Times New Roman"/>
            <w:noProof/>
            <w:sz w:val="22"/>
            <w:u w:val="none"/>
          </w:rPr>
          <w:t>Figure 96. Évolution de l’accès aux infrastructures de santé (%)</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_Toc183340475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192</w:t>
        </w:r>
        <w:r w:rsidRPr="00564649">
          <w:rPr>
            <w:rFonts w:cs="Times New Roman"/>
            <w:noProof/>
            <w:webHidden/>
            <w:sz w:val="22"/>
          </w:rPr>
          <w:fldChar w:fldCharType="end"/>
        </w:r>
      </w:hyperlink>
    </w:p>
    <w:p w14:paraId="1EA5B315" w14:textId="1C9BFB97"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76" w:history="1">
        <w:r w:rsidRPr="00564649">
          <w:rPr>
            <w:rStyle w:val="Lienhypertexte"/>
            <w:rFonts w:cs="Times New Roman"/>
            <w:noProof/>
            <w:sz w:val="22"/>
            <w:u w:val="none"/>
          </w:rPr>
          <w:t>Figure 97. Offre de soins et étalement urbain à Ouagadougou de 1931 à 2005</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_Toc183340476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193</w:t>
        </w:r>
        <w:r w:rsidRPr="00564649">
          <w:rPr>
            <w:rFonts w:cs="Times New Roman"/>
            <w:noProof/>
            <w:webHidden/>
            <w:sz w:val="22"/>
          </w:rPr>
          <w:fldChar w:fldCharType="end"/>
        </w:r>
      </w:hyperlink>
    </w:p>
    <w:p w14:paraId="55D3F948" w14:textId="11480555"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77" w:history="1">
        <w:r w:rsidRPr="00564649">
          <w:rPr>
            <w:rStyle w:val="Lienhypertexte"/>
            <w:rFonts w:cs="Times New Roman"/>
            <w:noProof/>
            <w:sz w:val="22"/>
            <w:u w:val="none"/>
          </w:rPr>
          <w:t>Figure 98. Taux de fréquentation scolaire des enfants de 9 à 11 ans selon la zone de résidence (%)</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_Toc183340477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194</w:t>
        </w:r>
        <w:r w:rsidRPr="00564649">
          <w:rPr>
            <w:rFonts w:cs="Times New Roman"/>
            <w:noProof/>
            <w:webHidden/>
            <w:sz w:val="22"/>
          </w:rPr>
          <w:fldChar w:fldCharType="end"/>
        </w:r>
      </w:hyperlink>
    </w:p>
    <w:p w14:paraId="400F1207" w14:textId="140EA5C6"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78" w:history="1">
        <w:r w:rsidRPr="00564649">
          <w:rPr>
            <w:rStyle w:val="Lienhypertexte"/>
            <w:rFonts w:cs="Times New Roman"/>
            <w:noProof/>
            <w:sz w:val="22"/>
            <w:u w:val="none"/>
          </w:rPr>
          <w:t>Figure 99. Répartition des établissements du préscolaire</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_Toc183340478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194</w:t>
        </w:r>
        <w:r w:rsidRPr="00564649">
          <w:rPr>
            <w:rFonts w:cs="Times New Roman"/>
            <w:noProof/>
            <w:webHidden/>
            <w:sz w:val="22"/>
          </w:rPr>
          <w:fldChar w:fldCharType="end"/>
        </w:r>
      </w:hyperlink>
    </w:p>
    <w:p w14:paraId="1D336C57" w14:textId="4BD02C7D"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79" w:history="1">
        <w:r w:rsidRPr="00564649">
          <w:rPr>
            <w:rStyle w:val="Lienhypertexte"/>
            <w:rFonts w:cs="Times New Roman"/>
            <w:noProof/>
            <w:sz w:val="22"/>
            <w:u w:val="none"/>
          </w:rPr>
          <w:t>Figure 100. Occupation illégale des espaces verts de Ouagadougou (%)</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_Toc183340479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199</w:t>
        </w:r>
        <w:r w:rsidRPr="00564649">
          <w:rPr>
            <w:rFonts w:cs="Times New Roman"/>
            <w:noProof/>
            <w:webHidden/>
            <w:sz w:val="22"/>
          </w:rPr>
          <w:fldChar w:fldCharType="end"/>
        </w:r>
      </w:hyperlink>
    </w:p>
    <w:p w14:paraId="58CFF841" w14:textId="1D8BA7C5"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80" w:history="1">
        <w:r w:rsidRPr="00564649">
          <w:rPr>
            <w:rStyle w:val="Lienhypertexte"/>
            <w:rFonts w:cs="Times New Roman"/>
            <w:noProof/>
            <w:sz w:val="22"/>
            <w:u w:val="none"/>
          </w:rPr>
          <w:t>Figure 102. Principaux indicateurs sur la COVID-19 au Burkina Faso (mars 2020-septembre 2021)</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_Toc183340480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224</w:t>
        </w:r>
        <w:r w:rsidRPr="00564649">
          <w:rPr>
            <w:rFonts w:cs="Times New Roman"/>
            <w:noProof/>
            <w:webHidden/>
            <w:sz w:val="22"/>
          </w:rPr>
          <w:fldChar w:fldCharType="end"/>
        </w:r>
      </w:hyperlink>
    </w:p>
    <w:p w14:paraId="3D73CDB9" w14:textId="2961787B"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81" w:history="1">
        <w:r w:rsidRPr="00564649">
          <w:rPr>
            <w:rStyle w:val="Lienhypertexte"/>
            <w:rFonts w:cs="Times New Roman"/>
            <w:noProof/>
            <w:sz w:val="22"/>
            <w:u w:val="none"/>
          </w:rPr>
          <w:t>Figure 103. Evolution du nombre de décès et des cas confirmés au Burkina Faso, de mars 2020 au 30 septembre 2021</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_Toc183340481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225</w:t>
        </w:r>
        <w:r w:rsidRPr="00564649">
          <w:rPr>
            <w:rFonts w:cs="Times New Roman"/>
            <w:noProof/>
            <w:webHidden/>
            <w:sz w:val="22"/>
          </w:rPr>
          <w:fldChar w:fldCharType="end"/>
        </w:r>
      </w:hyperlink>
    </w:p>
    <w:p w14:paraId="1EA81291" w14:textId="3BEF64DB" w:rsidR="00A7432C" w:rsidRPr="00564649" w:rsidRDefault="00A7432C" w:rsidP="00A7432C">
      <w:pPr>
        <w:pStyle w:val="Tabledesillustrations"/>
        <w:tabs>
          <w:tab w:val="right" w:leader="dot" w:pos="9175"/>
        </w:tabs>
        <w:spacing w:line="276" w:lineRule="auto"/>
        <w:rPr>
          <w:rFonts w:eastAsiaTheme="minorEastAsia" w:cs="Times New Roman"/>
          <w:noProof/>
          <w:sz w:val="22"/>
          <w:lang w:val="fr-BF" w:eastAsia="fr-BF"/>
        </w:rPr>
      </w:pPr>
      <w:hyperlink w:anchor="_Toc183340482" w:history="1">
        <w:r w:rsidRPr="00564649">
          <w:rPr>
            <w:rStyle w:val="Lienhypertexte"/>
            <w:rFonts w:cs="Times New Roman"/>
            <w:noProof/>
            <w:sz w:val="22"/>
            <w:u w:val="none"/>
          </w:rPr>
          <w:t>Figure 104. Pyramide sanitaire du Burkina Faso en 2020 (ONSP, 2023)</w:t>
        </w:r>
        <w:r w:rsidRPr="00564649">
          <w:rPr>
            <w:rFonts w:cs="Times New Roman"/>
            <w:noProof/>
            <w:webHidden/>
            <w:sz w:val="22"/>
          </w:rPr>
          <w:tab/>
        </w:r>
        <w:r w:rsidRPr="00564649">
          <w:rPr>
            <w:rFonts w:cs="Times New Roman"/>
            <w:noProof/>
            <w:webHidden/>
            <w:sz w:val="22"/>
          </w:rPr>
          <w:fldChar w:fldCharType="begin"/>
        </w:r>
        <w:r w:rsidRPr="00564649">
          <w:rPr>
            <w:rFonts w:cs="Times New Roman"/>
            <w:noProof/>
            <w:webHidden/>
            <w:sz w:val="22"/>
          </w:rPr>
          <w:instrText xml:space="preserve"> PAGEREF _Toc183340482 \h </w:instrText>
        </w:r>
        <w:r w:rsidRPr="00564649">
          <w:rPr>
            <w:rFonts w:cs="Times New Roman"/>
            <w:noProof/>
            <w:webHidden/>
            <w:sz w:val="22"/>
          </w:rPr>
        </w:r>
        <w:r w:rsidRPr="00564649">
          <w:rPr>
            <w:rFonts w:cs="Times New Roman"/>
            <w:noProof/>
            <w:webHidden/>
            <w:sz w:val="22"/>
          </w:rPr>
          <w:fldChar w:fldCharType="separate"/>
        </w:r>
        <w:r w:rsidR="00C25291">
          <w:rPr>
            <w:rFonts w:cs="Times New Roman"/>
            <w:noProof/>
            <w:webHidden/>
            <w:sz w:val="22"/>
          </w:rPr>
          <w:t>230</w:t>
        </w:r>
        <w:r w:rsidRPr="00564649">
          <w:rPr>
            <w:rFonts w:cs="Times New Roman"/>
            <w:noProof/>
            <w:webHidden/>
            <w:sz w:val="22"/>
          </w:rPr>
          <w:fldChar w:fldCharType="end"/>
        </w:r>
      </w:hyperlink>
    </w:p>
    <w:p w14:paraId="252B92B7" w14:textId="30DD0EC8" w:rsidR="00857104" w:rsidRPr="00564649" w:rsidRDefault="00DA1BD7" w:rsidP="00A7432C">
      <w:pPr>
        <w:spacing w:after="0"/>
        <w:rPr>
          <w:rFonts w:ascii="Times New Roman" w:hAnsi="Times New Roman"/>
          <w:kern w:val="2"/>
          <w:lang w:eastAsia="en-US"/>
          <w14:ligatures w14:val="standardContextual"/>
        </w:rPr>
        <w:sectPr w:rsidR="00857104" w:rsidRPr="00564649" w:rsidSect="006514BA">
          <w:pgSz w:w="11907" w:h="16840" w:code="9"/>
          <w:pgMar w:top="1191" w:right="1361" w:bottom="1191" w:left="1361" w:header="709" w:footer="709" w:gutter="0"/>
          <w:pgNumType w:fmt="lowerRoman"/>
          <w:cols w:space="708"/>
          <w:docGrid w:linePitch="360"/>
        </w:sectPr>
      </w:pPr>
      <w:r w:rsidRPr="00564649">
        <w:rPr>
          <w:rFonts w:ascii="Times New Roman" w:hAnsi="Times New Roman"/>
          <w:lang w:eastAsia="en-US"/>
        </w:rPr>
        <w:fldChar w:fldCharType="end"/>
      </w:r>
    </w:p>
    <w:p w14:paraId="70BD42E1" w14:textId="2D4B3B04" w:rsidR="005E7B17" w:rsidRPr="007C5A6E" w:rsidRDefault="00A340F1" w:rsidP="00857104">
      <w:pPr>
        <w:pStyle w:val="Titre1"/>
        <w:numPr>
          <w:ilvl w:val="0"/>
          <w:numId w:val="0"/>
        </w:numPr>
        <w:spacing w:before="0"/>
        <w:rPr>
          <w:kern w:val="2"/>
          <w:sz w:val="32"/>
          <w:lang w:eastAsia="en-US"/>
          <w14:ligatures w14:val="standardContextual"/>
        </w:rPr>
      </w:pPr>
      <w:bookmarkStart w:id="6" w:name="_Toc183339999"/>
      <w:r w:rsidRPr="007C5A6E">
        <w:rPr>
          <w:kern w:val="2"/>
          <w:sz w:val="32"/>
          <w:lang w:eastAsia="en-US"/>
          <w14:ligatures w14:val="standardContextual"/>
        </w:rPr>
        <w:t>Liste des photos</w:t>
      </w:r>
      <w:bookmarkEnd w:id="6"/>
    </w:p>
    <w:p w14:paraId="75F1942F" w14:textId="77777777" w:rsidR="0085045A" w:rsidRPr="007C5A6E" w:rsidRDefault="0085045A" w:rsidP="00DA1BD7">
      <w:pPr>
        <w:spacing w:after="0" w:line="240" w:lineRule="auto"/>
        <w:rPr>
          <w:lang w:eastAsia="en-US"/>
        </w:rPr>
      </w:pPr>
    </w:p>
    <w:p w14:paraId="6DCAA04B" w14:textId="244EE9F1" w:rsidR="000E1BA6" w:rsidRPr="007C5A6E" w:rsidRDefault="00DA1BD7" w:rsidP="000E1BA6">
      <w:pPr>
        <w:pStyle w:val="Tabledesillustrations"/>
        <w:tabs>
          <w:tab w:val="right" w:leader="dot" w:pos="9175"/>
        </w:tabs>
        <w:spacing w:line="300" w:lineRule="auto"/>
        <w:rPr>
          <w:rFonts w:asciiTheme="minorHAnsi" w:eastAsiaTheme="minorEastAsia" w:hAnsiTheme="minorHAnsi"/>
          <w:noProof/>
          <w:sz w:val="22"/>
          <w:lang w:val="fr-BF" w:eastAsia="fr-BF"/>
        </w:rPr>
      </w:pPr>
      <w:r w:rsidRPr="007C5A6E">
        <w:rPr>
          <w:rFonts w:cs="Times New Roman"/>
          <w:sz w:val="22"/>
        </w:rPr>
        <w:fldChar w:fldCharType="begin"/>
      </w:r>
      <w:r w:rsidRPr="007C5A6E">
        <w:rPr>
          <w:rFonts w:cs="Times New Roman"/>
          <w:sz w:val="22"/>
        </w:rPr>
        <w:instrText xml:space="preserve"> TOC \h \z \c "Photo" </w:instrText>
      </w:r>
      <w:r w:rsidRPr="007C5A6E">
        <w:rPr>
          <w:rFonts w:cs="Times New Roman"/>
          <w:sz w:val="22"/>
        </w:rPr>
        <w:fldChar w:fldCharType="separate"/>
      </w:r>
      <w:hyperlink w:anchor="_Toc183292373" w:history="1">
        <w:r w:rsidR="000E1BA6" w:rsidRPr="007C5A6E">
          <w:rPr>
            <w:rStyle w:val="Lienhypertexte"/>
            <w:noProof/>
            <w:spacing w:val="10"/>
            <w:sz w:val="22"/>
          </w:rPr>
          <w:t>Photo 1. Site d’orpaillage dans la commune de Tiéfora</w:t>
        </w:r>
        <w:r w:rsidR="000E1BA6" w:rsidRPr="007C5A6E">
          <w:rPr>
            <w:noProof/>
            <w:webHidden/>
            <w:sz w:val="22"/>
          </w:rPr>
          <w:tab/>
        </w:r>
        <w:r w:rsidR="000E1BA6" w:rsidRPr="007C5A6E">
          <w:rPr>
            <w:noProof/>
            <w:webHidden/>
            <w:sz w:val="22"/>
          </w:rPr>
          <w:fldChar w:fldCharType="begin"/>
        </w:r>
        <w:r w:rsidR="000E1BA6" w:rsidRPr="007C5A6E">
          <w:rPr>
            <w:noProof/>
            <w:webHidden/>
            <w:sz w:val="22"/>
          </w:rPr>
          <w:instrText xml:space="preserve"> PAGEREF _Toc183292373 \h </w:instrText>
        </w:r>
        <w:r w:rsidR="000E1BA6" w:rsidRPr="007C5A6E">
          <w:rPr>
            <w:noProof/>
            <w:webHidden/>
            <w:sz w:val="22"/>
          </w:rPr>
        </w:r>
        <w:r w:rsidR="000E1BA6" w:rsidRPr="007C5A6E">
          <w:rPr>
            <w:noProof/>
            <w:webHidden/>
            <w:sz w:val="22"/>
          </w:rPr>
          <w:fldChar w:fldCharType="separate"/>
        </w:r>
        <w:r w:rsidR="00C25291">
          <w:rPr>
            <w:noProof/>
            <w:webHidden/>
            <w:sz w:val="22"/>
          </w:rPr>
          <w:t>85</w:t>
        </w:r>
        <w:r w:rsidR="000E1BA6" w:rsidRPr="007C5A6E">
          <w:rPr>
            <w:noProof/>
            <w:webHidden/>
            <w:sz w:val="22"/>
          </w:rPr>
          <w:fldChar w:fldCharType="end"/>
        </w:r>
      </w:hyperlink>
    </w:p>
    <w:p w14:paraId="11743EBB" w14:textId="7B151CE2" w:rsidR="000E1BA6" w:rsidRPr="007C5A6E" w:rsidRDefault="000E1BA6" w:rsidP="000E1BA6">
      <w:pPr>
        <w:pStyle w:val="Tabledesillustrations"/>
        <w:tabs>
          <w:tab w:val="right" w:leader="dot" w:pos="9175"/>
        </w:tabs>
        <w:spacing w:line="300" w:lineRule="auto"/>
        <w:rPr>
          <w:rFonts w:asciiTheme="minorHAnsi" w:eastAsiaTheme="minorEastAsia" w:hAnsiTheme="minorHAnsi"/>
          <w:noProof/>
          <w:sz w:val="22"/>
          <w:lang w:val="fr-BF" w:eastAsia="fr-BF"/>
        </w:rPr>
      </w:pPr>
      <w:hyperlink w:anchor="_Toc183292374" w:history="1">
        <w:r w:rsidRPr="007C5A6E">
          <w:rPr>
            <w:rStyle w:val="Lienhypertexte"/>
            <w:rFonts w:eastAsia="Calibri"/>
            <w:noProof/>
            <w:sz w:val="22"/>
          </w:rPr>
          <w:t>Photo 2. Halde à stériles</w:t>
        </w:r>
        <w:r w:rsidRPr="007C5A6E">
          <w:rPr>
            <w:noProof/>
            <w:webHidden/>
            <w:sz w:val="22"/>
          </w:rPr>
          <w:tab/>
        </w:r>
        <w:r w:rsidRPr="007C5A6E">
          <w:rPr>
            <w:noProof/>
            <w:webHidden/>
            <w:sz w:val="22"/>
          </w:rPr>
          <w:fldChar w:fldCharType="begin"/>
        </w:r>
        <w:r w:rsidRPr="007C5A6E">
          <w:rPr>
            <w:noProof/>
            <w:webHidden/>
            <w:sz w:val="22"/>
          </w:rPr>
          <w:instrText xml:space="preserve"> PAGEREF _Toc183292374 \h </w:instrText>
        </w:r>
        <w:r w:rsidRPr="007C5A6E">
          <w:rPr>
            <w:noProof/>
            <w:webHidden/>
            <w:sz w:val="22"/>
          </w:rPr>
        </w:r>
        <w:r w:rsidRPr="007C5A6E">
          <w:rPr>
            <w:noProof/>
            <w:webHidden/>
            <w:sz w:val="22"/>
          </w:rPr>
          <w:fldChar w:fldCharType="separate"/>
        </w:r>
        <w:r w:rsidR="00C25291">
          <w:rPr>
            <w:noProof/>
            <w:webHidden/>
            <w:sz w:val="22"/>
          </w:rPr>
          <w:t>86</w:t>
        </w:r>
        <w:r w:rsidRPr="007C5A6E">
          <w:rPr>
            <w:noProof/>
            <w:webHidden/>
            <w:sz w:val="22"/>
          </w:rPr>
          <w:fldChar w:fldCharType="end"/>
        </w:r>
      </w:hyperlink>
    </w:p>
    <w:p w14:paraId="33974B8C" w14:textId="49588884" w:rsidR="000E1BA6" w:rsidRPr="007C5A6E" w:rsidRDefault="000E1BA6" w:rsidP="000E1BA6">
      <w:pPr>
        <w:pStyle w:val="Tabledesillustrations"/>
        <w:tabs>
          <w:tab w:val="right" w:leader="dot" w:pos="9175"/>
        </w:tabs>
        <w:spacing w:line="300" w:lineRule="auto"/>
        <w:rPr>
          <w:rFonts w:asciiTheme="minorHAnsi" w:eastAsiaTheme="minorEastAsia" w:hAnsiTheme="minorHAnsi"/>
          <w:noProof/>
          <w:sz w:val="22"/>
          <w:lang w:val="fr-BF" w:eastAsia="fr-BF"/>
        </w:rPr>
      </w:pPr>
      <w:hyperlink w:anchor="_Toc183292375" w:history="1">
        <w:r w:rsidRPr="007C5A6E">
          <w:rPr>
            <w:rStyle w:val="Lienhypertexte"/>
            <w:noProof/>
            <w:sz w:val="22"/>
          </w:rPr>
          <w:t>Photo 3.</w:t>
        </w:r>
        <w:r w:rsidRPr="007C5A6E">
          <w:rPr>
            <w:rStyle w:val="Lienhypertexte"/>
            <w:noProof/>
            <w:spacing w:val="10"/>
            <w:sz w:val="22"/>
          </w:rPr>
          <w:t xml:space="preserve"> Images de quelques technologies endogènes de conservation des eaux et des sols : cordons pierreux (A), Diguettes filtrantes (B), Bande enherbées (C), Zaï (D), Demi-lunes (E), RNA (F)</w:t>
        </w:r>
        <w:r w:rsidRPr="007C5A6E">
          <w:rPr>
            <w:noProof/>
            <w:webHidden/>
            <w:sz w:val="22"/>
          </w:rPr>
          <w:tab/>
        </w:r>
        <w:r w:rsidRPr="007C5A6E">
          <w:rPr>
            <w:noProof/>
            <w:webHidden/>
            <w:sz w:val="22"/>
          </w:rPr>
          <w:fldChar w:fldCharType="begin"/>
        </w:r>
        <w:r w:rsidRPr="007C5A6E">
          <w:rPr>
            <w:noProof/>
            <w:webHidden/>
            <w:sz w:val="22"/>
          </w:rPr>
          <w:instrText xml:space="preserve"> PAGEREF _Toc183292375 \h </w:instrText>
        </w:r>
        <w:r w:rsidRPr="007C5A6E">
          <w:rPr>
            <w:noProof/>
            <w:webHidden/>
            <w:sz w:val="22"/>
          </w:rPr>
        </w:r>
        <w:r w:rsidRPr="007C5A6E">
          <w:rPr>
            <w:noProof/>
            <w:webHidden/>
            <w:sz w:val="22"/>
          </w:rPr>
          <w:fldChar w:fldCharType="separate"/>
        </w:r>
        <w:r w:rsidR="00C25291">
          <w:rPr>
            <w:noProof/>
            <w:webHidden/>
            <w:sz w:val="22"/>
          </w:rPr>
          <w:t>91</w:t>
        </w:r>
        <w:r w:rsidRPr="007C5A6E">
          <w:rPr>
            <w:noProof/>
            <w:webHidden/>
            <w:sz w:val="22"/>
          </w:rPr>
          <w:fldChar w:fldCharType="end"/>
        </w:r>
      </w:hyperlink>
    </w:p>
    <w:p w14:paraId="3636AE29" w14:textId="4E3A1BDD" w:rsidR="00DA1BD7" w:rsidRPr="007C5A6E" w:rsidRDefault="00DA1BD7" w:rsidP="00DA1BD7">
      <w:pPr>
        <w:spacing w:after="0" w:line="300" w:lineRule="auto"/>
        <w:rPr>
          <w:lang w:eastAsia="en-US"/>
        </w:rPr>
      </w:pPr>
      <w:r w:rsidRPr="007C5A6E">
        <w:rPr>
          <w:rFonts w:ascii="Times New Roman" w:hAnsi="Times New Roman"/>
          <w:lang w:eastAsia="en-US"/>
        </w:rPr>
        <w:fldChar w:fldCharType="end"/>
      </w:r>
    </w:p>
    <w:p w14:paraId="3BA8F629" w14:textId="77777777" w:rsidR="00DA1BD7" w:rsidRPr="007C5A6E" w:rsidRDefault="00DA1BD7" w:rsidP="00DA1BD7">
      <w:pPr>
        <w:spacing w:after="0" w:line="240" w:lineRule="auto"/>
        <w:rPr>
          <w:lang w:eastAsia="en-US"/>
        </w:rPr>
      </w:pPr>
    </w:p>
    <w:p w14:paraId="4D6B37AC" w14:textId="77777777" w:rsidR="0085045A" w:rsidRPr="007C5A6E" w:rsidRDefault="0085045A" w:rsidP="00DA1BD7">
      <w:pPr>
        <w:spacing w:after="0" w:line="240" w:lineRule="auto"/>
        <w:rPr>
          <w:lang w:eastAsia="en-US"/>
        </w:rPr>
      </w:pPr>
    </w:p>
    <w:p w14:paraId="33B5B83E" w14:textId="77777777" w:rsidR="00857104" w:rsidRPr="007C5A6E" w:rsidRDefault="00857104" w:rsidP="00DA1BD7">
      <w:pPr>
        <w:spacing w:after="0" w:line="240" w:lineRule="auto"/>
        <w:rPr>
          <w:rFonts w:ascii="Times New Roman" w:hAnsi="Times New Roman"/>
          <w:sz w:val="24"/>
          <w:szCs w:val="24"/>
        </w:rPr>
      </w:pPr>
    </w:p>
    <w:p w14:paraId="473F7F3B" w14:textId="77777777" w:rsidR="00857104" w:rsidRPr="007C5A6E" w:rsidRDefault="00857104" w:rsidP="00DA1BD7">
      <w:pPr>
        <w:spacing w:after="0" w:line="240" w:lineRule="auto"/>
        <w:rPr>
          <w:rFonts w:ascii="Times New Roman" w:hAnsi="Times New Roman"/>
          <w:sz w:val="24"/>
          <w:szCs w:val="24"/>
        </w:rPr>
      </w:pPr>
    </w:p>
    <w:p w14:paraId="3DD947B9" w14:textId="77777777" w:rsidR="00857104" w:rsidRPr="007C5A6E" w:rsidRDefault="00857104" w:rsidP="00857104">
      <w:pPr>
        <w:spacing w:after="0" w:line="240" w:lineRule="auto"/>
        <w:rPr>
          <w:rFonts w:ascii="Times New Roman" w:hAnsi="Times New Roman"/>
          <w:sz w:val="24"/>
          <w:szCs w:val="24"/>
        </w:rPr>
      </w:pPr>
    </w:p>
    <w:p w14:paraId="44E4F28D" w14:textId="77777777" w:rsidR="00857104" w:rsidRPr="007C5A6E" w:rsidRDefault="00857104" w:rsidP="00857104">
      <w:pPr>
        <w:pStyle w:val="Titre1"/>
        <w:numPr>
          <w:ilvl w:val="0"/>
          <w:numId w:val="0"/>
        </w:numPr>
        <w:spacing w:before="0"/>
        <w:rPr>
          <w:kern w:val="2"/>
          <w:sz w:val="32"/>
          <w:lang w:eastAsia="en-US"/>
          <w14:ligatures w14:val="standardContextual"/>
        </w:rPr>
        <w:sectPr w:rsidR="00857104" w:rsidRPr="007C5A6E" w:rsidSect="006514BA">
          <w:pgSz w:w="11907" w:h="16840" w:code="9"/>
          <w:pgMar w:top="1191" w:right="1361" w:bottom="1191" w:left="1361" w:header="709" w:footer="709" w:gutter="0"/>
          <w:pgNumType w:fmt="lowerRoman"/>
          <w:cols w:space="708"/>
          <w:docGrid w:linePitch="360"/>
        </w:sectPr>
      </w:pPr>
    </w:p>
    <w:p w14:paraId="0FA7E71D" w14:textId="5F92D5A9" w:rsidR="005E7B17" w:rsidRPr="007C5A6E" w:rsidRDefault="00A340F1" w:rsidP="00857104">
      <w:pPr>
        <w:pStyle w:val="Titre1"/>
        <w:numPr>
          <w:ilvl w:val="0"/>
          <w:numId w:val="0"/>
        </w:numPr>
        <w:spacing w:before="0"/>
        <w:rPr>
          <w:kern w:val="2"/>
          <w:sz w:val="32"/>
          <w:lang w:eastAsia="en-US"/>
          <w14:ligatures w14:val="standardContextual"/>
        </w:rPr>
      </w:pPr>
      <w:bookmarkStart w:id="7" w:name="_Toc183340000"/>
      <w:r w:rsidRPr="007C5A6E">
        <w:rPr>
          <w:kern w:val="2"/>
          <w:sz w:val="32"/>
          <w:lang w:eastAsia="en-US"/>
          <w14:ligatures w14:val="standardContextual"/>
        </w:rPr>
        <w:t>Sigles et abréviations</w:t>
      </w:r>
      <w:bookmarkEnd w:id="7"/>
      <w:r w:rsidRPr="007C5A6E">
        <w:rPr>
          <w:kern w:val="2"/>
          <w:sz w:val="32"/>
          <w:lang w:eastAsia="en-US"/>
          <w14:ligatures w14:val="standardContextual"/>
        </w:rPr>
        <w:t xml:space="preserve"> </w:t>
      </w:r>
    </w:p>
    <w:p w14:paraId="6DF5A2CF" w14:textId="77777777" w:rsidR="00857104" w:rsidRPr="007C5A6E" w:rsidRDefault="00857104" w:rsidP="00857104">
      <w:pPr>
        <w:spacing w:after="0" w:line="240" w:lineRule="auto"/>
        <w:rPr>
          <w:rFonts w:ascii="Times New Roman" w:hAnsi="Times New Roman"/>
          <w:sz w:val="24"/>
          <w:szCs w:val="24"/>
        </w:rPr>
      </w:pPr>
    </w:p>
    <w:tbl>
      <w:tblPr>
        <w:tblW w:w="5085" w:type="pct"/>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8"/>
        <w:gridCol w:w="288"/>
        <w:gridCol w:w="7475"/>
      </w:tblGrid>
      <w:tr w:rsidR="002C4773" w:rsidRPr="007C5A6E" w14:paraId="0A4323B7" w14:textId="77777777" w:rsidTr="00CC1E9C">
        <w:trPr>
          <w:trHeight w:val="283"/>
        </w:trPr>
        <w:tc>
          <w:tcPr>
            <w:tcW w:w="845" w:type="pct"/>
            <w:tcBorders>
              <w:top w:val="nil"/>
              <w:left w:val="nil"/>
              <w:bottom w:val="nil"/>
              <w:right w:val="nil"/>
            </w:tcBorders>
            <w:shd w:val="clear" w:color="auto" w:fill="auto"/>
            <w:noWrap/>
          </w:tcPr>
          <w:p w14:paraId="4451445A"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AEPS</w:t>
            </w:r>
          </w:p>
        </w:tc>
        <w:tc>
          <w:tcPr>
            <w:tcW w:w="154" w:type="pct"/>
            <w:tcBorders>
              <w:top w:val="nil"/>
              <w:left w:val="nil"/>
              <w:bottom w:val="nil"/>
              <w:right w:val="nil"/>
            </w:tcBorders>
          </w:tcPr>
          <w:p w14:paraId="7CB7F9E6"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38FAD82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Adduction d’Eau Potable Simplifiée</w:t>
            </w:r>
          </w:p>
        </w:tc>
      </w:tr>
      <w:tr w:rsidR="002C4773" w:rsidRPr="007C5A6E" w14:paraId="4B89BD56" w14:textId="77777777" w:rsidTr="00CC1E9C">
        <w:trPr>
          <w:trHeight w:val="283"/>
        </w:trPr>
        <w:tc>
          <w:tcPr>
            <w:tcW w:w="845" w:type="pct"/>
            <w:tcBorders>
              <w:top w:val="nil"/>
              <w:left w:val="nil"/>
              <w:bottom w:val="nil"/>
              <w:right w:val="nil"/>
            </w:tcBorders>
            <w:shd w:val="clear" w:color="auto" w:fill="auto"/>
            <w:noWrap/>
          </w:tcPr>
          <w:p w14:paraId="4CBDEB43"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AN</w:t>
            </w:r>
          </w:p>
        </w:tc>
        <w:tc>
          <w:tcPr>
            <w:tcW w:w="154" w:type="pct"/>
            <w:tcBorders>
              <w:top w:val="nil"/>
              <w:left w:val="nil"/>
              <w:bottom w:val="nil"/>
              <w:right w:val="nil"/>
            </w:tcBorders>
          </w:tcPr>
          <w:p w14:paraId="2CF743A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24EA4C9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Assemblée Nationale</w:t>
            </w:r>
          </w:p>
        </w:tc>
      </w:tr>
      <w:tr w:rsidR="002C4773" w:rsidRPr="007C5A6E" w14:paraId="67F35888" w14:textId="77777777" w:rsidTr="00CC1E9C">
        <w:trPr>
          <w:trHeight w:val="283"/>
        </w:trPr>
        <w:tc>
          <w:tcPr>
            <w:tcW w:w="845" w:type="pct"/>
            <w:tcBorders>
              <w:top w:val="nil"/>
              <w:left w:val="nil"/>
              <w:bottom w:val="nil"/>
              <w:right w:val="nil"/>
            </w:tcBorders>
            <w:shd w:val="clear" w:color="auto" w:fill="auto"/>
            <w:noWrap/>
          </w:tcPr>
          <w:p w14:paraId="7E315CB6" w14:textId="77777777" w:rsidR="002C4773" w:rsidRPr="007C5A6E" w:rsidRDefault="002C4773" w:rsidP="00CC1E9C">
            <w:pPr>
              <w:spacing w:after="0" w:line="240" w:lineRule="auto"/>
              <w:rPr>
                <w:rFonts w:ascii="Times New Roman" w:hAnsi="Times New Roman"/>
                <w:sz w:val="24"/>
                <w:szCs w:val="24"/>
                <w:lang w:eastAsia="en-US"/>
              </w:rPr>
            </w:pPr>
            <w:r w:rsidRPr="007C5A6E">
              <w:rPr>
                <w:rFonts w:ascii="Times New Roman" w:hAnsi="Times New Roman"/>
                <w:sz w:val="24"/>
                <w:szCs w:val="24"/>
                <w:lang w:eastAsia="en-US"/>
              </w:rPr>
              <w:t>ANAM</w:t>
            </w:r>
          </w:p>
        </w:tc>
        <w:tc>
          <w:tcPr>
            <w:tcW w:w="154" w:type="pct"/>
            <w:tcBorders>
              <w:top w:val="nil"/>
              <w:left w:val="nil"/>
              <w:bottom w:val="nil"/>
              <w:right w:val="nil"/>
            </w:tcBorders>
          </w:tcPr>
          <w:p w14:paraId="46BEB577" w14:textId="77777777" w:rsidR="002C4773" w:rsidRPr="007C5A6E" w:rsidRDefault="002C4773" w:rsidP="00CC1E9C">
            <w:pPr>
              <w:spacing w:after="0" w:line="240" w:lineRule="auto"/>
              <w:rPr>
                <w:rFonts w:ascii="Aptos" w:eastAsia="Aptos" w:hAnsi="Aptos"/>
                <w:kern w:val="2"/>
                <w:lang w:eastAsia="en-US"/>
                <w14:ligatures w14:val="standardContextual"/>
              </w:rPr>
            </w:pPr>
            <w:r w:rsidRPr="007C5A6E">
              <w:rPr>
                <w:rFonts w:ascii="Aptos" w:eastAsia="Aptos" w:hAnsi="Aptos"/>
                <w:kern w:val="2"/>
                <w:lang w:eastAsia="en-US"/>
                <w14:ligatures w14:val="standardContextual"/>
              </w:rPr>
              <w:t>:</w:t>
            </w:r>
          </w:p>
        </w:tc>
        <w:tc>
          <w:tcPr>
            <w:tcW w:w="4001" w:type="pct"/>
            <w:tcBorders>
              <w:top w:val="nil"/>
              <w:left w:val="nil"/>
              <w:bottom w:val="nil"/>
              <w:right w:val="nil"/>
            </w:tcBorders>
            <w:shd w:val="clear" w:color="auto" w:fill="auto"/>
            <w:noWrap/>
          </w:tcPr>
          <w:p w14:paraId="1D44801B" w14:textId="77777777" w:rsidR="002C4773" w:rsidRPr="007C5A6E" w:rsidRDefault="002C4773" w:rsidP="00CC1E9C">
            <w:pPr>
              <w:spacing w:after="0" w:line="240" w:lineRule="auto"/>
              <w:rPr>
                <w:rFonts w:ascii="Times New Roman" w:hAnsi="Times New Roman"/>
                <w:sz w:val="24"/>
                <w:szCs w:val="24"/>
                <w:lang w:eastAsia="en-US"/>
              </w:rPr>
            </w:pPr>
            <w:r w:rsidRPr="007C5A6E">
              <w:rPr>
                <w:rFonts w:ascii="Times New Roman" w:hAnsi="Times New Roman"/>
                <w:sz w:val="24"/>
                <w:szCs w:val="24"/>
              </w:rPr>
              <w:t>Agence Nationale de la Météorologie</w:t>
            </w:r>
          </w:p>
        </w:tc>
      </w:tr>
      <w:tr w:rsidR="002C4773" w:rsidRPr="007C5A6E" w14:paraId="7BC29B63" w14:textId="77777777" w:rsidTr="00CC1E9C">
        <w:trPr>
          <w:trHeight w:val="283"/>
        </w:trPr>
        <w:tc>
          <w:tcPr>
            <w:tcW w:w="845" w:type="pct"/>
            <w:tcBorders>
              <w:top w:val="nil"/>
              <w:left w:val="nil"/>
              <w:bottom w:val="nil"/>
              <w:right w:val="nil"/>
            </w:tcBorders>
            <w:shd w:val="clear" w:color="auto" w:fill="auto"/>
            <w:noWrap/>
          </w:tcPr>
          <w:p w14:paraId="7D98599B" w14:textId="77777777" w:rsidR="002C4773" w:rsidRPr="007C5A6E" w:rsidRDefault="002C4773" w:rsidP="00CC1E9C">
            <w:pPr>
              <w:spacing w:after="0" w:line="240" w:lineRule="auto"/>
              <w:rPr>
                <w:rFonts w:ascii="Times New Roman" w:hAnsi="Times New Roman"/>
                <w:sz w:val="24"/>
                <w:szCs w:val="24"/>
                <w:lang w:eastAsia="en-US"/>
              </w:rPr>
            </w:pPr>
            <w:r w:rsidRPr="007C5A6E">
              <w:rPr>
                <w:rFonts w:ascii="Times New Roman" w:hAnsi="Times New Roman"/>
                <w:sz w:val="24"/>
                <w:szCs w:val="24"/>
                <w:lang w:eastAsia="en-US"/>
              </w:rPr>
              <w:t>ANEEMAS</w:t>
            </w:r>
          </w:p>
        </w:tc>
        <w:tc>
          <w:tcPr>
            <w:tcW w:w="154" w:type="pct"/>
            <w:tcBorders>
              <w:top w:val="nil"/>
              <w:left w:val="nil"/>
              <w:bottom w:val="nil"/>
              <w:right w:val="nil"/>
            </w:tcBorders>
          </w:tcPr>
          <w:p w14:paraId="58B28758" w14:textId="77777777" w:rsidR="002C4773" w:rsidRPr="007C5A6E" w:rsidRDefault="002C4773" w:rsidP="00CC1E9C">
            <w:pPr>
              <w:spacing w:after="0" w:line="240" w:lineRule="auto"/>
              <w:rPr>
                <w:rFonts w:ascii="Aptos" w:eastAsia="Aptos" w:hAnsi="Aptos"/>
                <w:kern w:val="2"/>
                <w:lang w:eastAsia="en-US"/>
                <w14:ligatures w14:val="standardContextual"/>
              </w:rPr>
            </w:pPr>
            <w:r w:rsidRPr="007C5A6E">
              <w:rPr>
                <w:rFonts w:ascii="Aptos" w:eastAsia="Aptos" w:hAnsi="Aptos"/>
                <w:kern w:val="2"/>
                <w:lang w:eastAsia="en-US"/>
                <w14:ligatures w14:val="standardContextual"/>
              </w:rPr>
              <w:t>:</w:t>
            </w:r>
          </w:p>
        </w:tc>
        <w:tc>
          <w:tcPr>
            <w:tcW w:w="4001" w:type="pct"/>
            <w:tcBorders>
              <w:top w:val="nil"/>
              <w:left w:val="nil"/>
              <w:bottom w:val="nil"/>
              <w:right w:val="nil"/>
            </w:tcBorders>
            <w:shd w:val="clear" w:color="auto" w:fill="auto"/>
            <w:noWrap/>
          </w:tcPr>
          <w:p w14:paraId="53FF1482" w14:textId="77777777" w:rsidR="002C4773" w:rsidRPr="007C5A6E" w:rsidRDefault="002C4773" w:rsidP="00CC1E9C">
            <w:pPr>
              <w:spacing w:after="0" w:line="240" w:lineRule="auto"/>
              <w:rPr>
                <w:rFonts w:ascii="Times New Roman" w:hAnsi="Times New Roman"/>
                <w:sz w:val="24"/>
                <w:szCs w:val="24"/>
                <w:lang w:eastAsia="en-US"/>
              </w:rPr>
            </w:pPr>
            <w:r w:rsidRPr="007C5A6E">
              <w:rPr>
                <w:rFonts w:ascii="Times New Roman" w:hAnsi="Times New Roman"/>
                <w:sz w:val="24"/>
                <w:szCs w:val="24"/>
              </w:rPr>
              <w:t>Agence Nationale d’Encadrement des Exploitations Minières Artisanales et Semi-Mécanisées</w:t>
            </w:r>
          </w:p>
        </w:tc>
      </w:tr>
      <w:tr w:rsidR="002C4773" w:rsidRPr="007C5A6E" w14:paraId="742C7AC6" w14:textId="77777777" w:rsidTr="00CC1E9C">
        <w:trPr>
          <w:trHeight w:val="283"/>
        </w:trPr>
        <w:tc>
          <w:tcPr>
            <w:tcW w:w="845" w:type="pct"/>
            <w:tcBorders>
              <w:top w:val="nil"/>
              <w:left w:val="nil"/>
              <w:bottom w:val="nil"/>
              <w:right w:val="nil"/>
            </w:tcBorders>
            <w:shd w:val="clear" w:color="auto" w:fill="auto"/>
            <w:noWrap/>
          </w:tcPr>
          <w:p w14:paraId="73D00ED6" w14:textId="77777777" w:rsidR="002C4773" w:rsidRPr="007C5A6E" w:rsidRDefault="002C4773" w:rsidP="00CC1E9C">
            <w:pPr>
              <w:spacing w:after="0" w:line="240" w:lineRule="auto"/>
              <w:rPr>
                <w:rFonts w:ascii="Times New Roman" w:eastAsia="Aptos" w:hAnsi="Times New Roman"/>
                <w:kern w:val="2"/>
                <w:sz w:val="24"/>
                <w:szCs w:val="24"/>
                <w14:ligatures w14:val="standardContextual"/>
              </w:rPr>
            </w:pPr>
            <w:r w:rsidRPr="007C5A6E">
              <w:rPr>
                <w:rFonts w:ascii="Times New Roman" w:hAnsi="Times New Roman"/>
                <w:sz w:val="24"/>
                <w:szCs w:val="24"/>
                <w:lang w:eastAsia="en-US"/>
              </w:rPr>
              <w:t>APFNL</w:t>
            </w:r>
          </w:p>
        </w:tc>
        <w:tc>
          <w:tcPr>
            <w:tcW w:w="154" w:type="pct"/>
            <w:tcBorders>
              <w:top w:val="nil"/>
              <w:left w:val="nil"/>
              <w:bottom w:val="nil"/>
              <w:right w:val="nil"/>
            </w:tcBorders>
          </w:tcPr>
          <w:p w14:paraId="0FD61AE9" w14:textId="77777777" w:rsidR="002C4773" w:rsidRPr="007C5A6E" w:rsidRDefault="002C4773" w:rsidP="00CC1E9C">
            <w:pPr>
              <w:spacing w:after="0" w:line="240" w:lineRule="auto"/>
              <w:rPr>
                <w:rFonts w:ascii="Aptos" w:eastAsia="Aptos" w:hAnsi="Aptos"/>
                <w:kern w:val="2"/>
                <w:lang w:eastAsia="en-US"/>
                <w14:ligatures w14:val="standardContextual"/>
              </w:rPr>
            </w:pPr>
            <w:r w:rsidRPr="007C5A6E">
              <w:rPr>
                <w:rFonts w:ascii="Aptos" w:eastAsia="Aptos" w:hAnsi="Aptos"/>
                <w:kern w:val="2"/>
                <w:lang w:eastAsia="en-US"/>
                <w14:ligatures w14:val="standardContextual"/>
              </w:rPr>
              <w:t>:</w:t>
            </w:r>
          </w:p>
        </w:tc>
        <w:tc>
          <w:tcPr>
            <w:tcW w:w="4001" w:type="pct"/>
            <w:tcBorders>
              <w:top w:val="nil"/>
              <w:left w:val="nil"/>
              <w:bottom w:val="nil"/>
              <w:right w:val="nil"/>
            </w:tcBorders>
            <w:shd w:val="clear" w:color="auto" w:fill="auto"/>
            <w:noWrap/>
          </w:tcPr>
          <w:p w14:paraId="23D3172A"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lang w:eastAsia="en-US"/>
              </w:rPr>
              <w:t>Agence de Promotion des Produits Forestiers Non Ligneux</w:t>
            </w:r>
          </w:p>
        </w:tc>
      </w:tr>
      <w:tr w:rsidR="002C4773" w:rsidRPr="007C5A6E" w14:paraId="5F7DA0CC" w14:textId="77777777" w:rsidTr="00CC1E9C">
        <w:trPr>
          <w:trHeight w:val="283"/>
        </w:trPr>
        <w:tc>
          <w:tcPr>
            <w:tcW w:w="845" w:type="pct"/>
            <w:tcBorders>
              <w:top w:val="nil"/>
              <w:left w:val="nil"/>
              <w:bottom w:val="nil"/>
              <w:right w:val="nil"/>
            </w:tcBorders>
            <w:shd w:val="clear" w:color="auto" w:fill="auto"/>
            <w:noWrap/>
          </w:tcPr>
          <w:p w14:paraId="696EF9EF" w14:textId="77777777" w:rsidR="002C4773" w:rsidRPr="007C5A6E" w:rsidRDefault="002C4773" w:rsidP="00CC1E9C">
            <w:pPr>
              <w:spacing w:after="0" w:line="240" w:lineRule="auto"/>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APV</w:t>
            </w:r>
          </w:p>
        </w:tc>
        <w:tc>
          <w:tcPr>
            <w:tcW w:w="154" w:type="pct"/>
            <w:tcBorders>
              <w:top w:val="nil"/>
              <w:left w:val="nil"/>
              <w:bottom w:val="nil"/>
              <w:right w:val="nil"/>
            </w:tcBorders>
          </w:tcPr>
          <w:p w14:paraId="61773757" w14:textId="77777777" w:rsidR="002C4773" w:rsidRPr="007C5A6E" w:rsidRDefault="002C4773" w:rsidP="00CC1E9C">
            <w:pPr>
              <w:spacing w:after="0" w:line="240" w:lineRule="auto"/>
              <w:rPr>
                <w:rFonts w:ascii="Aptos" w:eastAsia="Aptos" w:hAnsi="Aptos"/>
                <w:kern w:val="2"/>
                <w:lang w:eastAsia="en-US"/>
                <w14:ligatures w14:val="standardContextual"/>
              </w:rPr>
            </w:pPr>
            <w:r w:rsidRPr="007C5A6E">
              <w:rPr>
                <w:rFonts w:ascii="Aptos" w:eastAsia="Aptos" w:hAnsi="Aptos"/>
                <w:kern w:val="2"/>
                <w:lang w:eastAsia="en-US"/>
                <w14:ligatures w14:val="standardContextual"/>
              </w:rPr>
              <w:t>:</w:t>
            </w:r>
          </w:p>
        </w:tc>
        <w:tc>
          <w:tcPr>
            <w:tcW w:w="4001" w:type="pct"/>
            <w:tcBorders>
              <w:top w:val="nil"/>
              <w:left w:val="nil"/>
              <w:bottom w:val="nil"/>
              <w:right w:val="nil"/>
            </w:tcBorders>
            <w:shd w:val="clear" w:color="auto" w:fill="auto"/>
            <w:noWrap/>
          </w:tcPr>
          <w:p w14:paraId="3592E590" w14:textId="77777777" w:rsidR="002C4773" w:rsidRPr="007C5A6E" w:rsidRDefault="002C4773" w:rsidP="00CC1E9C">
            <w:pPr>
              <w:spacing w:after="0" w:line="240" w:lineRule="auto"/>
              <w:rPr>
                <w:rFonts w:ascii="Times New Roman" w:hAnsi="Times New Roman"/>
                <w:sz w:val="24"/>
                <w:szCs w:val="24"/>
                <w:lang w:eastAsia="en-US"/>
              </w:rPr>
            </w:pPr>
            <w:r w:rsidRPr="007C5A6E">
              <w:rPr>
                <w:rFonts w:ascii="Times New Roman" w:hAnsi="Times New Roman"/>
                <w:sz w:val="24"/>
                <w:szCs w:val="24"/>
              </w:rPr>
              <w:t>Autorité Provisoire de Vente</w:t>
            </w:r>
          </w:p>
        </w:tc>
      </w:tr>
      <w:tr w:rsidR="002C4773" w:rsidRPr="007C5A6E" w14:paraId="53215087" w14:textId="77777777" w:rsidTr="00CC1E9C">
        <w:trPr>
          <w:trHeight w:val="283"/>
        </w:trPr>
        <w:tc>
          <w:tcPr>
            <w:tcW w:w="845" w:type="pct"/>
            <w:tcBorders>
              <w:top w:val="nil"/>
              <w:left w:val="nil"/>
              <w:bottom w:val="nil"/>
              <w:right w:val="nil"/>
            </w:tcBorders>
            <w:shd w:val="clear" w:color="auto" w:fill="auto"/>
            <w:noWrap/>
          </w:tcPr>
          <w:p w14:paraId="718EA9FE" w14:textId="77777777" w:rsidR="002C4773" w:rsidRPr="007C5A6E" w:rsidRDefault="002C4773" w:rsidP="00CC1E9C">
            <w:pPr>
              <w:spacing w:after="0" w:line="240" w:lineRule="auto"/>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BAD</w:t>
            </w:r>
          </w:p>
        </w:tc>
        <w:tc>
          <w:tcPr>
            <w:tcW w:w="154" w:type="pct"/>
            <w:tcBorders>
              <w:top w:val="nil"/>
              <w:left w:val="nil"/>
              <w:bottom w:val="nil"/>
              <w:right w:val="nil"/>
            </w:tcBorders>
          </w:tcPr>
          <w:p w14:paraId="091C6718" w14:textId="77777777" w:rsidR="002C4773" w:rsidRPr="007C5A6E" w:rsidRDefault="002C4773" w:rsidP="00CC1E9C">
            <w:pPr>
              <w:spacing w:after="0" w:line="240" w:lineRule="auto"/>
              <w:rPr>
                <w:rFonts w:ascii="Aptos" w:eastAsia="Aptos" w:hAnsi="Aptos"/>
                <w:kern w:val="2"/>
                <w:lang w:eastAsia="en-US"/>
                <w14:ligatures w14:val="standardContextual"/>
              </w:rPr>
            </w:pPr>
            <w:r w:rsidRPr="007C5A6E">
              <w:rPr>
                <w:rFonts w:ascii="Aptos" w:eastAsia="Aptos" w:hAnsi="Aptos"/>
                <w:kern w:val="2"/>
                <w:lang w:eastAsia="en-US"/>
                <w14:ligatures w14:val="standardContextual"/>
              </w:rPr>
              <w:t>:</w:t>
            </w:r>
          </w:p>
        </w:tc>
        <w:tc>
          <w:tcPr>
            <w:tcW w:w="4001" w:type="pct"/>
            <w:tcBorders>
              <w:top w:val="nil"/>
              <w:left w:val="nil"/>
              <w:bottom w:val="nil"/>
              <w:right w:val="nil"/>
            </w:tcBorders>
            <w:shd w:val="clear" w:color="auto" w:fill="auto"/>
            <w:noWrap/>
          </w:tcPr>
          <w:p w14:paraId="21ABB3E6" w14:textId="77777777" w:rsidR="002C4773" w:rsidRPr="007C5A6E" w:rsidRDefault="002C4773" w:rsidP="00CC1E9C">
            <w:pPr>
              <w:spacing w:after="0" w:line="240" w:lineRule="auto"/>
              <w:rPr>
                <w:rFonts w:ascii="Times New Roman" w:hAnsi="Times New Roman"/>
                <w:sz w:val="24"/>
                <w:szCs w:val="24"/>
                <w:lang w:eastAsia="en-US"/>
              </w:rPr>
            </w:pPr>
            <w:r w:rsidRPr="007C5A6E">
              <w:rPr>
                <w:rFonts w:ascii="Times New Roman" w:hAnsi="Times New Roman"/>
                <w:sz w:val="24"/>
                <w:szCs w:val="24"/>
              </w:rPr>
              <w:t>Banque Africaine de Développement</w:t>
            </w:r>
          </w:p>
        </w:tc>
      </w:tr>
      <w:tr w:rsidR="002C4773" w:rsidRPr="007C5A6E" w14:paraId="6845C668" w14:textId="77777777" w:rsidTr="00CC1E9C">
        <w:trPr>
          <w:trHeight w:val="283"/>
        </w:trPr>
        <w:tc>
          <w:tcPr>
            <w:tcW w:w="845" w:type="pct"/>
            <w:tcBorders>
              <w:top w:val="nil"/>
              <w:left w:val="nil"/>
              <w:bottom w:val="nil"/>
              <w:right w:val="nil"/>
            </w:tcBorders>
            <w:shd w:val="clear" w:color="auto" w:fill="auto"/>
            <w:noWrap/>
          </w:tcPr>
          <w:p w14:paraId="401B19F1" w14:textId="77777777" w:rsidR="002C4773" w:rsidRPr="007C5A6E" w:rsidRDefault="002C4773" w:rsidP="00CC1E9C">
            <w:pPr>
              <w:spacing w:after="0" w:line="240" w:lineRule="auto"/>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BUMIGEB</w:t>
            </w:r>
          </w:p>
        </w:tc>
        <w:tc>
          <w:tcPr>
            <w:tcW w:w="154" w:type="pct"/>
            <w:tcBorders>
              <w:top w:val="nil"/>
              <w:left w:val="nil"/>
              <w:bottom w:val="nil"/>
              <w:right w:val="nil"/>
            </w:tcBorders>
          </w:tcPr>
          <w:p w14:paraId="6ABF16A7" w14:textId="77777777" w:rsidR="002C4773" w:rsidRPr="007C5A6E" w:rsidRDefault="002C4773" w:rsidP="00CC1E9C">
            <w:pPr>
              <w:spacing w:after="0" w:line="240" w:lineRule="auto"/>
              <w:rPr>
                <w:rFonts w:ascii="Aptos" w:eastAsia="Aptos" w:hAnsi="Aptos"/>
                <w:kern w:val="2"/>
                <w:lang w:eastAsia="en-US"/>
                <w14:ligatures w14:val="standardContextual"/>
              </w:rPr>
            </w:pPr>
            <w:r w:rsidRPr="007C5A6E">
              <w:rPr>
                <w:rFonts w:ascii="Aptos" w:eastAsia="Aptos" w:hAnsi="Aptos"/>
                <w:kern w:val="2"/>
                <w:lang w:eastAsia="en-US"/>
                <w14:ligatures w14:val="standardContextual"/>
              </w:rPr>
              <w:t>:</w:t>
            </w:r>
          </w:p>
        </w:tc>
        <w:tc>
          <w:tcPr>
            <w:tcW w:w="4001" w:type="pct"/>
            <w:tcBorders>
              <w:top w:val="nil"/>
              <w:left w:val="nil"/>
              <w:bottom w:val="nil"/>
              <w:right w:val="nil"/>
            </w:tcBorders>
            <w:shd w:val="clear" w:color="auto" w:fill="auto"/>
            <w:noWrap/>
          </w:tcPr>
          <w:p w14:paraId="3FD4F848" w14:textId="77777777" w:rsidR="002C4773" w:rsidRPr="007C5A6E" w:rsidRDefault="002C4773" w:rsidP="00CC1E9C">
            <w:pPr>
              <w:spacing w:after="0" w:line="240" w:lineRule="auto"/>
              <w:rPr>
                <w:rFonts w:ascii="Times New Roman" w:hAnsi="Times New Roman"/>
                <w:sz w:val="24"/>
                <w:szCs w:val="24"/>
                <w:lang w:eastAsia="en-US"/>
              </w:rPr>
            </w:pPr>
            <w:r w:rsidRPr="007C5A6E">
              <w:rPr>
                <w:rFonts w:ascii="Times New Roman" w:hAnsi="Times New Roman"/>
                <w:sz w:val="24"/>
                <w:szCs w:val="24"/>
              </w:rPr>
              <w:t>Bureau des Mines et de la Géologie du Burkina</w:t>
            </w:r>
          </w:p>
        </w:tc>
      </w:tr>
      <w:tr w:rsidR="002C4773" w:rsidRPr="007C5A6E" w14:paraId="509B532C" w14:textId="77777777" w:rsidTr="00CC1E9C">
        <w:trPr>
          <w:trHeight w:val="283"/>
        </w:trPr>
        <w:tc>
          <w:tcPr>
            <w:tcW w:w="845" w:type="pct"/>
            <w:tcBorders>
              <w:top w:val="nil"/>
              <w:left w:val="nil"/>
              <w:bottom w:val="nil"/>
              <w:right w:val="nil"/>
            </w:tcBorders>
            <w:shd w:val="clear" w:color="auto" w:fill="auto"/>
            <w:noWrap/>
          </w:tcPr>
          <w:p w14:paraId="57D98555" w14:textId="77777777" w:rsidR="002C4773" w:rsidRPr="007C5A6E" w:rsidRDefault="002C4773" w:rsidP="00CC1E9C">
            <w:pPr>
              <w:spacing w:after="0" w:line="240" w:lineRule="auto"/>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CDB</w:t>
            </w:r>
          </w:p>
        </w:tc>
        <w:tc>
          <w:tcPr>
            <w:tcW w:w="154" w:type="pct"/>
            <w:tcBorders>
              <w:top w:val="nil"/>
              <w:left w:val="nil"/>
              <w:bottom w:val="nil"/>
              <w:right w:val="nil"/>
            </w:tcBorders>
          </w:tcPr>
          <w:p w14:paraId="4EDCE9E4" w14:textId="77777777" w:rsidR="002C4773" w:rsidRPr="007C5A6E" w:rsidRDefault="002C4773" w:rsidP="00CC1E9C">
            <w:pPr>
              <w:spacing w:after="0" w:line="240" w:lineRule="auto"/>
              <w:rPr>
                <w:rFonts w:ascii="Aptos" w:eastAsia="Aptos" w:hAnsi="Aptos"/>
                <w:kern w:val="2"/>
                <w:lang w:eastAsia="en-US"/>
                <w14:ligatures w14:val="standardContextual"/>
              </w:rPr>
            </w:pPr>
            <w:r w:rsidRPr="007C5A6E">
              <w:rPr>
                <w:rFonts w:ascii="Aptos" w:eastAsia="Aptos" w:hAnsi="Aptos"/>
                <w:kern w:val="2"/>
                <w:lang w:eastAsia="en-US"/>
                <w14:ligatures w14:val="standardContextual"/>
              </w:rPr>
              <w:t>:</w:t>
            </w:r>
          </w:p>
        </w:tc>
        <w:tc>
          <w:tcPr>
            <w:tcW w:w="4001" w:type="pct"/>
            <w:tcBorders>
              <w:top w:val="nil"/>
              <w:left w:val="nil"/>
              <w:bottom w:val="nil"/>
              <w:right w:val="nil"/>
            </w:tcBorders>
            <w:shd w:val="clear" w:color="auto" w:fill="auto"/>
            <w:noWrap/>
          </w:tcPr>
          <w:p w14:paraId="0C05ABC5"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lang w:eastAsia="en-US"/>
              </w:rPr>
              <w:t>Convention des Nations Unies sur la Diversité Biologique</w:t>
            </w:r>
          </w:p>
        </w:tc>
      </w:tr>
      <w:tr w:rsidR="002C4773" w:rsidRPr="007C5A6E" w14:paraId="4F9CEDB1" w14:textId="77777777" w:rsidTr="00CC1E9C">
        <w:trPr>
          <w:trHeight w:val="283"/>
        </w:trPr>
        <w:tc>
          <w:tcPr>
            <w:tcW w:w="845" w:type="pct"/>
            <w:tcBorders>
              <w:top w:val="nil"/>
              <w:left w:val="nil"/>
              <w:bottom w:val="nil"/>
              <w:right w:val="nil"/>
            </w:tcBorders>
            <w:shd w:val="clear" w:color="auto" w:fill="auto"/>
            <w:noWrap/>
          </w:tcPr>
          <w:p w14:paraId="71D29812" w14:textId="77777777" w:rsidR="002C4773" w:rsidRPr="007C5A6E" w:rsidRDefault="002C4773" w:rsidP="00CC1E9C">
            <w:pPr>
              <w:spacing w:after="0" w:line="240" w:lineRule="auto"/>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CEC</w:t>
            </w:r>
          </w:p>
        </w:tc>
        <w:tc>
          <w:tcPr>
            <w:tcW w:w="154" w:type="pct"/>
            <w:tcBorders>
              <w:top w:val="nil"/>
              <w:left w:val="nil"/>
              <w:bottom w:val="nil"/>
              <w:right w:val="nil"/>
            </w:tcBorders>
          </w:tcPr>
          <w:p w14:paraId="3720E99E" w14:textId="77777777" w:rsidR="002C4773" w:rsidRPr="007C5A6E" w:rsidRDefault="002C4773" w:rsidP="00CC1E9C">
            <w:pPr>
              <w:spacing w:after="0" w:line="240" w:lineRule="auto"/>
              <w:rPr>
                <w:rFonts w:ascii="Aptos" w:eastAsia="Aptos" w:hAnsi="Aptos"/>
                <w:kern w:val="2"/>
                <w:lang w:eastAsia="en-US"/>
                <w14:ligatures w14:val="standardContextual"/>
              </w:rPr>
            </w:pPr>
            <w:r w:rsidRPr="007C5A6E">
              <w:rPr>
                <w:rFonts w:ascii="Aptos" w:eastAsia="Aptos" w:hAnsi="Aptos"/>
                <w:kern w:val="2"/>
                <w:lang w:eastAsia="en-US"/>
                <w14:ligatures w14:val="standardContextual"/>
              </w:rPr>
              <w:t>:</w:t>
            </w:r>
          </w:p>
        </w:tc>
        <w:tc>
          <w:tcPr>
            <w:tcW w:w="4001" w:type="pct"/>
            <w:tcBorders>
              <w:top w:val="nil"/>
              <w:left w:val="nil"/>
              <w:bottom w:val="nil"/>
              <w:right w:val="nil"/>
            </w:tcBorders>
            <w:shd w:val="clear" w:color="auto" w:fill="auto"/>
            <w:noWrap/>
          </w:tcPr>
          <w:p w14:paraId="04AF2EA4"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Capacité d’Echange Cationique</w:t>
            </w:r>
          </w:p>
        </w:tc>
      </w:tr>
      <w:tr w:rsidR="002C4773" w:rsidRPr="007C5A6E" w14:paraId="7343127B" w14:textId="77777777" w:rsidTr="00CC1E9C">
        <w:trPr>
          <w:trHeight w:val="283"/>
        </w:trPr>
        <w:tc>
          <w:tcPr>
            <w:tcW w:w="845" w:type="pct"/>
            <w:tcBorders>
              <w:top w:val="nil"/>
              <w:left w:val="nil"/>
              <w:bottom w:val="nil"/>
              <w:right w:val="nil"/>
            </w:tcBorders>
            <w:shd w:val="clear" w:color="auto" w:fill="auto"/>
            <w:noWrap/>
          </w:tcPr>
          <w:p w14:paraId="52578E45"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eastAsia="Aptos" w:hAnsi="Times New Roman"/>
                <w:kern w:val="2"/>
                <w:sz w:val="24"/>
                <w:szCs w:val="24"/>
                <w14:ligatures w14:val="standardContextual"/>
              </w:rPr>
              <w:t>CH</w:t>
            </w:r>
            <w:r w:rsidRPr="007C5A6E">
              <w:rPr>
                <w:rFonts w:ascii="Times New Roman" w:eastAsia="Aptos" w:hAnsi="Times New Roman"/>
                <w:kern w:val="2"/>
                <w:sz w:val="24"/>
                <w:szCs w:val="24"/>
                <w:vertAlign w:val="subscript"/>
                <w14:ligatures w14:val="standardContextual"/>
              </w:rPr>
              <w:t>4</w:t>
            </w:r>
          </w:p>
        </w:tc>
        <w:tc>
          <w:tcPr>
            <w:tcW w:w="154" w:type="pct"/>
            <w:tcBorders>
              <w:top w:val="nil"/>
              <w:left w:val="nil"/>
              <w:bottom w:val="nil"/>
              <w:right w:val="nil"/>
            </w:tcBorders>
          </w:tcPr>
          <w:p w14:paraId="03F9C749"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Aptos" w:eastAsia="Aptos" w:hAnsi="Aptos"/>
                <w:kern w:val="2"/>
                <w:lang w:eastAsia="en-US"/>
                <w14:ligatures w14:val="standardContextual"/>
              </w:rPr>
              <w:t>:</w:t>
            </w:r>
          </w:p>
        </w:tc>
        <w:tc>
          <w:tcPr>
            <w:tcW w:w="4001" w:type="pct"/>
            <w:tcBorders>
              <w:top w:val="nil"/>
              <w:left w:val="nil"/>
              <w:bottom w:val="nil"/>
              <w:right w:val="nil"/>
            </w:tcBorders>
            <w:shd w:val="clear" w:color="auto" w:fill="auto"/>
            <w:noWrap/>
          </w:tcPr>
          <w:p w14:paraId="205EE34F"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Méthane</w:t>
            </w:r>
          </w:p>
        </w:tc>
      </w:tr>
      <w:tr w:rsidR="002C4773" w:rsidRPr="007C5A6E" w14:paraId="0D0CFF70" w14:textId="77777777" w:rsidTr="00CC1E9C">
        <w:trPr>
          <w:trHeight w:val="283"/>
        </w:trPr>
        <w:tc>
          <w:tcPr>
            <w:tcW w:w="845" w:type="pct"/>
            <w:tcBorders>
              <w:top w:val="nil"/>
              <w:left w:val="nil"/>
              <w:bottom w:val="nil"/>
              <w:right w:val="nil"/>
            </w:tcBorders>
            <w:shd w:val="clear" w:color="auto" w:fill="auto"/>
            <w:noWrap/>
          </w:tcPr>
          <w:p w14:paraId="6F28EF25"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CLE</w:t>
            </w:r>
          </w:p>
        </w:tc>
        <w:tc>
          <w:tcPr>
            <w:tcW w:w="154" w:type="pct"/>
            <w:tcBorders>
              <w:top w:val="nil"/>
              <w:left w:val="nil"/>
              <w:bottom w:val="nil"/>
              <w:right w:val="nil"/>
            </w:tcBorders>
          </w:tcPr>
          <w:p w14:paraId="106B3F0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7D5DA843"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Comité Local de l’Eau</w:t>
            </w:r>
          </w:p>
        </w:tc>
      </w:tr>
      <w:tr w:rsidR="002C4773" w:rsidRPr="007C5A6E" w14:paraId="0F1FD82A" w14:textId="77777777" w:rsidTr="00CC1E9C">
        <w:trPr>
          <w:trHeight w:val="283"/>
        </w:trPr>
        <w:tc>
          <w:tcPr>
            <w:tcW w:w="845" w:type="pct"/>
            <w:tcBorders>
              <w:top w:val="nil"/>
              <w:left w:val="nil"/>
              <w:bottom w:val="nil"/>
              <w:right w:val="nil"/>
            </w:tcBorders>
            <w:shd w:val="clear" w:color="auto" w:fill="auto"/>
            <w:noWrap/>
          </w:tcPr>
          <w:p w14:paraId="46B03125"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proofErr w:type="spellStart"/>
            <w:r w:rsidRPr="007C5A6E">
              <w:rPr>
                <w:rFonts w:ascii="Times New Roman" w:hAnsi="Times New Roman"/>
                <w:sz w:val="24"/>
                <w:szCs w:val="24"/>
              </w:rPr>
              <w:t>CNABio</w:t>
            </w:r>
            <w:proofErr w:type="spellEnd"/>
            <w:r w:rsidRPr="007C5A6E">
              <w:rPr>
                <w:rFonts w:ascii="Times New Roman" w:hAnsi="Times New Roman"/>
                <w:sz w:val="24"/>
                <w:szCs w:val="24"/>
              </w:rPr>
              <w:t xml:space="preserve">   </w:t>
            </w:r>
          </w:p>
        </w:tc>
        <w:tc>
          <w:tcPr>
            <w:tcW w:w="154" w:type="pct"/>
            <w:tcBorders>
              <w:top w:val="nil"/>
              <w:left w:val="nil"/>
              <w:bottom w:val="nil"/>
              <w:right w:val="nil"/>
            </w:tcBorders>
          </w:tcPr>
          <w:p w14:paraId="705A40E4"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51784C9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Conseil National de l’Agriculture Biologique au Burkina Faso</w:t>
            </w:r>
          </w:p>
        </w:tc>
      </w:tr>
      <w:tr w:rsidR="002C4773" w:rsidRPr="007C5A6E" w14:paraId="3453A6C4" w14:textId="77777777" w:rsidTr="00CC1E9C">
        <w:trPr>
          <w:trHeight w:val="283"/>
        </w:trPr>
        <w:tc>
          <w:tcPr>
            <w:tcW w:w="845" w:type="pct"/>
            <w:tcBorders>
              <w:top w:val="nil"/>
              <w:left w:val="nil"/>
              <w:bottom w:val="nil"/>
              <w:right w:val="nil"/>
            </w:tcBorders>
            <w:shd w:val="clear" w:color="auto" w:fill="auto"/>
            <w:noWrap/>
          </w:tcPr>
          <w:p w14:paraId="53B46E6A"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CNS</w:t>
            </w:r>
          </w:p>
        </w:tc>
        <w:tc>
          <w:tcPr>
            <w:tcW w:w="154" w:type="pct"/>
            <w:tcBorders>
              <w:top w:val="nil"/>
              <w:left w:val="nil"/>
              <w:bottom w:val="nil"/>
              <w:right w:val="nil"/>
            </w:tcBorders>
          </w:tcPr>
          <w:p w14:paraId="4BFCCA53"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3BEAA89F"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Conseil National de Statistique</w:t>
            </w:r>
          </w:p>
        </w:tc>
      </w:tr>
      <w:tr w:rsidR="002C4773" w:rsidRPr="007C5A6E" w14:paraId="5695F483" w14:textId="77777777" w:rsidTr="00CC1E9C">
        <w:trPr>
          <w:trHeight w:val="283"/>
        </w:trPr>
        <w:tc>
          <w:tcPr>
            <w:tcW w:w="845" w:type="pct"/>
            <w:tcBorders>
              <w:top w:val="nil"/>
              <w:left w:val="nil"/>
              <w:bottom w:val="nil"/>
              <w:right w:val="nil"/>
            </w:tcBorders>
            <w:shd w:val="clear" w:color="auto" w:fill="auto"/>
            <w:noWrap/>
          </w:tcPr>
          <w:p w14:paraId="0831803A"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CNSF</w:t>
            </w:r>
          </w:p>
        </w:tc>
        <w:tc>
          <w:tcPr>
            <w:tcW w:w="154" w:type="pct"/>
            <w:tcBorders>
              <w:top w:val="nil"/>
              <w:left w:val="nil"/>
              <w:bottom w:val="nil"/>
              <w:right w:val="nil"/>
            </w:tcBorders>
          </w:tcPr>
          <w:p w14:paraId="6E10EE6F"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1A980F76"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lang w:eastAsia="en-US"/>
              </w:rPr>
              <w:t>Centre National de Semences Forestières</w:t>
            </w:r>
          </w:p>
        </w:tc>
      </w:tr>
      <w:tr w:rsidR="002C4773" w:rsidRPr="007C5A6E" w14:paraId="75DBDD0A" w14:textId="77777777" w:rsidTr="00CC1E9C">
        <w:trPr>
          <w:trHeight w:val="283"/>
        </w:trPr>
        <w:tc>
          <w:tcPr>
            <w:tcW w:w="845" w:type="pct"/>
            <w:tcBorders>
              <w:top w:val="nil"/>
              <w:left w:val="nil"/>
              <w:bottom w:val="nil"/>
              <w:right w:val="nil"/>
            </w:tcBorders>
            <w:shd w:val="clear" w:color="auto" w:fill="auto"/>
            <w:noWrap/>
          </w:tcPr>
          <w:p w14:paraId="51D22CD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CNUCED</w:t>
            </w:r>
          </w:p>
        </w:tc>
        <w:tc>
          <w:tcPr>
            <w:tcW w:w="154" w:type="pct"/>
            <w:tcBorders>
              <w:top w:val="nil"/>
              <w:left w:val="nil"/>
              <w:bottom w:val="nil"/>
              <w:right w:val="nil"/>
            </w:tcBorders>
          </w:tcPr>
          <w:p w14:paraId="070F197D"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69517AAB"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Conférence des Nations Unies sur le Commerce Et le Développement</w:t>
            </w:r>
          </w:p>
        </w:tc>
      </w:tr>
      <w:tr w:rsidR="002C4773" w:rsidRPr="007C5A6E" w14:paraId="15627073" w14:textId="77777777" w:rsidTr="00CC1E9C">
        <w:trPr>
          <w:trHeight w:val="283"/>
        </w:trPr>
        <w:tc>
          <w:tcPr>
            <w:tcW w:w="845" w:type="pct"/>
            <w:tcBorders>
              <w:top w:val="nil"/>
              <w:left w:val="nil"/>
              <w:bottom w:val="nil"/>
              <w:right w:val="nil"/>
            </w:tcBorders>
            <w:shd w:val="clear" w:color="auto" w:fill="auto"/>
            <w:noWrap/>
          </w:tcPr>
          <w:p w14:paraId="0EBBD08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CNULCD</w:t>
            </w:r>
          </w:p>
        </w:tc>
        <w:tc>
          <w:tcPr>
            <w:tcW w:w="154" w:type="pct"/>
            <w:tcBorders>
              <w:top w:val="nil"/>
              <w:left w:val="nil"/>
              <w:bottom w:val="nil"/>
              <w:right w:val="nil"/>
            </w:tcBorders>
          </w:tcPr>
          <w:p w14:paraId="563C9E3E" w14:textId="77777777" w:rsidR="002C4773" w:rsidRPr="007C5A6E" w:rsidRDefault="002C4773" w:rsidP="00CC1E9C">
            <w:pPr>
              <w:spacing w:after="0" w:line="240" w:lineRule="auto"/>
              <w:rPr>
                <w:rFonts w:ascii="Aptos" w:eastAsia="Aptos" w:hAnsi="Aptos"/>
                <w:kern w:val="2"/>
                <w:lang w:eastAsia="en-US"/>
                <w14:ligatures w14:val="standardContextual"/>
              </w:rPr>
            </w:pPr>
            <w:r w:rsidRPr="007C5A6E">
              <w:rPr>
                <w:rFonts w:ascii="Aptos" w:eastAsia="Aptos" w:hAnsi="Aptos"/>
                <w:kern w:val="2"/>
                <w:lang w:eastAsia="en-US"/>
                <w14:ligatures w14:val="standardContextual"/>
              </w:rPr>
              <w:t>:</w:t>
            </w:r>
          </w:p>
        </w:tc>
        <w:tc>
          <w:tcPr>
            <w:tcW w:w="4001" w:type="pct"/>
            <w:tcBorders>
              <w:top w:val="nil"/>
              <w:left w:val="nil"/>
              <w:bottom w:val="nil"/>
              <w:right w:val="nil"/>
            </w:tcBorders>
            <w:shd w:val="clear" w:color="auto" w:fill="auto"/>
            <w:noWrap/>
          </w:tcPr>
          <w:p w14:paraId="6E8F956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Convention des Nations Unies sur la Lutte Contre la Désertification</w:t>
            </w:r>
          </w:p>
        </w:tc>
      </w:tr>
      <w:tr w:rsidR="002C4773" w:rsidRPr="007C5A6E" w14:paraId="601614A0" w14:textId="77777777" w:rsidTr="00CC1E9C">
        <w:trPr>
          <w:trHeight w:val="283"/>
        </w:trPr>
        <w:tc>
          <w:tcPr>
            <w:tcW w:w="845" w:type="pct"/>
            <w:tcBorders>
              <w:top w:val="nil"/>
              <w:left w:val="nil"/>
              <w:bottom w:val="nil"/>
              <w:right w:val="nil"/>
            </w:tcBorders>
            <w:shd w:val="clear" w:color="auto" w:fill="auto"/>
            <w:noWrap/>
          </w:tcPr>
          <w:p w14:paraId="7C80A6E4"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CO</w:t>
            </w:r>
            <w:r w:rsidRPr="007C5A6E">
              <w:rPr>
                <w:rFonts w:ascii="Times New Roman" w:hAnsi="Times New Roman"/>
                <w:kern w:val="2"/>
                <w:sz w:val="24"/>
                <w:szCs w:val="24"/>
                <w:vertAlign w:val="subscript"/>
                <w:lang w:eastAsia="en-US"/>
                <w14:ligatures w14:val="standardContextual"/>
              </w:rPr>
              <w:t>2</w:t>
            </w:r>
          </w:p>
        </w:tc>
        <w:tc>
          <w:tcPr>
            <w:tcW w:w="154" w:type="pct"/>
            <w:tcBorders>
              <w:top w:val="nil"/>
              <w:left w:val="nil"/>
              <w:bottom w:val="nil"/>
              <w:right w:val="nil"/>
            </w:tcBorders>
          </w:tcPr>
          <w:p w14:paraId="6E8F851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Aptos" w:eastAsia="Aptos" w:hAnsi="Aptos"/>
                <w:kern w:val="2"/>
                <w:lang w:eastAsia="en-US"/>
                <w14:ligatures w14:val="standardContextual"/>
              </w:rPr>
              <w:t>:</w:t>
            </w:r>
          </w:p>
        </w:tc>
        <w:tc>
          <w:tcPr>
            <w:tcW w:w="4001" w:type="pct"/>
            <w:tcBorders>
              <w:top w:val="nil"/>
              <w:left w:val="nil"/>
              <w:bottom w:val="nil"/>
              <w:right w:val="nil"/>
            </w:tcBorders>
            <w:shd w:val="clear" w:color="auto" w:fill="auto"/>
            <w:noWrap/>
          </w:tcPr>
          <w:p w14:paraId="12F1C4C2"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Dioxyde de carbone</w:t>
            </w:r>
          </w:p>
        </w:tc>
      </w:tr>
      <w:tr w:rsidR="002C4773" w:rsidRPr="007C5A6E" w14:paraId="3A020A44" w14:textId="77777777" w:rsidTr="00CC1E9C">
        <w:trPr>
          <w:trHeight w:val="283"/>
        </w:trPr>
        <w:tc>
          <w:tcPr>
            <w:tcW w:w="845" w:type="pct"/>
            <w:tcBorders>
              <w:top w:val="nil"/>
              <w:left w:val="nil"/>
              <w:bottom w:val="nil"/>
              <w:right w:val="nil"/>
            </w:tcBorders>
            <w:shd w:val="clear" w:color="auto" w:fill="auto"/>
            <w:noWrap/>
          </w:tcPr>
          <w:p w14:paraId="4A222946"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CONAGESE</w:t>
            </w:r>
          </w:p>
        </w:tc>
        <w:tc>
          <w:tcPr>
            <w:tcW w:w="154" w:type="pct"/>
            <w:tcBorders>
              <w:top w:val="nil"/>
              <w:left w:val="nil"/>
              <w:bottom w:val="nil"/>
              <w:right w:val="nil"/>
            </w:tcBorders>
          </w:tcPr>
          <w:p w14:paraId="1B963288"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6C1D458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lang w:eastAsia="en-US"/>
              </w:rPr>
              <w:t xml:space="preserve">Conseil </w:t>
            </w:r>
            <w:proofErr w:type="spellStart"/>
            <w:r w:rsidRPr="007C5A6E">
              <w:rPr>
                <w:rFonts w:ascii="Times New Roman" w:hAnsi="Times New Roman"/>
                <w:sz w:val="24"/>
                <w:szCs w:val="24"/>
                <w:lang w:eastAsia="en-US"/>
              </w:rPr>
              <w:t>NAtional</w:t>
            </w:r>
            <w:proofErr w:type="spellEnd"/>
            <w:r w:rsidRPr="007C5A6E">
              <w:rPr>
                <w:rFonts w:ascii="Times New Roman" w:hAnsi="Times New Roman"/>
                <w:sz w:val="24"/>
                <w:szCs w:val="24"/>
                <w:lang w:eastAsia="en-US"/>
              </w:rPr>
              <w:t xml:space="preserve"> pour la </w:t>
            </w:r>
            <w:proofErr w:type="spellStart"/>
            <w:r w:rsidRPr="007C5A6E">
              <w:rPr>
                <w:rFonts w:ascii="Times New Roman" w:hAnsi="Times New Roman"/>
                <w:sz w:val="24"/>
                <w:szCs w:val="24"/>
                <w:lang w:eastAsia="en-US"/>
              </w:rPr>
              <w:t>GEStion</w:t>
            </w:r>
            <w:proofErr w:type="spellEnd"/>
            <w:r w:rsidRPr="007C5A6E">
              <w:rPr>
                <w:rFonts w:ascii="Times New Roman" w:hAnsi="Times New Roman"/>
                <w:sz w:val="24"/>
                <w:szCs w:val="24"/>
                <w:lang w:eastAsia="en-US"/>
              </w:rPr>
              <w:t xml:space="preserve"> de l’Environnement</w:t>
            </w:r>
          </w:p>
        </w:tc>
      </w:tr>
      <w:tr w:rsidR="002C4773" w:rsidRPr="007C5A6E" w14:paraId="3D1876D9" w14:textId="77777777" w:rsidTr="00CC1E9C">
        <w:trPr>
          <w:trHeight w:val="283"/>
        </w:trPr>
        <w:tc>
          <w:tcPr>
            <w:tcW w:w="845" w:type="pct"/>
            <w:tcBorders>
              <w:top w:val="nil"/>
              <w:left w:val="nil"/>
              <w:bottom w:val="nil"/>
              <w:right w:val="nil"/>
            </w:tcBorders>
            <w:shd w:val="clear" w:color="auto" w:fill="auto"/>
            <w:noWrap/>
          </w:tcPr>
          <w:p w14:paraId="7B5096A9"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CONASUR</w:t>
            </w:r>
          </w:p>
        </w:tc>
        <w:tc>
          <w:tcPr>
            <w:tcW w:w="154" w:type="pct"/>
            <w:tcBorders>
              <w:top w:val="nil"/>
              <w:left w:val="nil"/>
              <w:bottom w:val="nil"/>
              <w:right w:val="nil"/>
            </w:tcBorders>
          </w:tcPr>
          <w:p w14:paraId="5DB0C7E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61F2DD16"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 xml:space="preserve">Conseil National de Secours d’Urgence et de Réhabilitation </w:t>
            </w:r>
          </w:p>
        </w:tc>
      </w:tr>
      <w:tr w:rsidR="002C4773" w:rsidRPr="007C5A6E" w14:paraId="58388213" w14:textId="77777777" w:rsidTr="00CC1E9C">
        <w:trPr>
          <w:trHeight w:val="283"/>
        </w:trPr>
        <w:tc>
          <w:tcPr>
            <w:tcW w:w="845" w:type="pct"/>
            <w:tcBorders>
              <w:top w:val="nil"/>
              <w:left w:val="nil"/>
              <w:bottom w:val="nil"/>
              <w:right w:val="nil"/>
            </w:tcBorders>
            <w:shd w:val="clear" w:color="auto" w:fill="auto"/>
            <w:noWrap/>
          </w:tcPr>
          <w:p w14:paraId="6E944536"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CPCS</w:t>
            </w:r>
          </w:p>
        </w:tc>
        <w:tc>
          <w:tcPr>
            <w:tcW w:w="154" w:type="pct"/>
            <w:tcBorders>
              <w:top w:val="nil"/>
              <w:left w:val="nil"/>
              <w:bottom w:val="nil"/>
              <w:right w:val="nil"/>
            </w:tcBorders>
          </w:tcPr>
          <w:p w14:paraId="4930156A"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54B25375" w14:textId="77777777" w:rsidR="002C4773" w:rsidRPr="007C5A6E" w:rsidRDefault="002C4773" w:rsidP="00CC1E9C">
            <w:pPr>
              <w:spacing w:after="0" w:line="240" w:lineRule="auto"/>
              <w:rPr>
                <w:rFonts w:ascii="Times New Roman" w:hAnsi="Times New Roman"/>
                <w:sz w:val="24"/>
                <w:szCs w:val="24"/>
                <w:lang w:eastAsia="en-US"/>
              </w:rPr>
            </w:pPr>
            <w:r w:rsidRPr="007C5A6E">
              <w:rPr>
                <w:rFonts w:ascii="Times New Roman" w:hAnsi="Times New Roman"/>
                <w:sz w:val="24"/>
                <w:szCs w:val="24"/>
              </w:rPr>
              <w:t>Commission de Pédologie et de Cartographie des Sols</w:t>
            </w:r>
          </w:p>
        </w:tc>
      </w:tr>
      <w:tr w:rsidR="002C4773" w:rsidRPr="007C5A6E" w14:paraId="79CD3CBF" w14:textId="77777777" w:rsidTr="00CC1E9C">
        <w:trPr>
          <w:trHeight w:val="283"/>
        </w:trPr>
        <w:tc>
          <w:tcPr>
            <w:tcW w:w="845" w:type="pct"/>
            <w:tcBorders>
              <w:top w:val="nil"/>
              <w:left w:val="nil"/>
              <w:bottom w:val="nil"/>
              <w:right w:val="nil"/>
            </w:tcBorders>
            <w:shd w:val="clear" w:color="auto" w:fill="auto"/>
            <w:noWrap/>
          </w:tcPr>
          <w:p w14:paraId="0AE2F330"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CPP</w:t>
            </w:r>
          </w:p>
        </w:tc>
        <w:tc>
          <w:tcPr>
            <w:tcW w:w="154" w:type="pct"/>
            <w:tcBorders>
              <w:top w:val="nil"/>
              <w:left w:val="nil"/>
              <w:bottom w:val="nil"/>
              <w:right w:val="nil"/>
            </w:tcBorders>
          </w:tcPr>
          <w:p w14:paraId="3F983B93"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4E3246A6"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hAnsi="Times New Roman"/>
                <w:sz w:val="24"/>
                <w:szCs w:val="24"/>
                <w:lang w:eastAsia="en-US"/>
              </w:rPr>
              <w:t>Programme National de Partenariat pour la Gestion Durable des Terres</w:t>
            </w:r>
          </w:p>
        </w:tc>
      </w:tr>
      <w:tr w:rsidR="002C4773" w:rsidRPr="007C5A6E" w14:paraId="3826BC45" w14:textId="77777777" w:rsidTr="00CC1E9C">
        <w:trPr>
          <w:trHeight w:val="283"/>
        </w:trPr>
        <w:tc>
          <w:tcPr>
            <w:tcW w:w="845" w:type="pct"/>
            <w:tcBorders>
              <w:top w:val="nil"/>
              <w:left w:val="nil"/>
              <w:bottom w:val="nil"/>
              <w:right w:val="nil"/>
            </w:tcBorders>
            <w:shd w:val="clear" w:color="auto" w:fill="auto"/>
            <w:noWrap/>
          </w:tcPr>
          <w:p w14:paraId="51A0618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CSLP</w:t>
            </w:r>
          </w:p>
        </w:tc>
        <w:tc>
          <w:tcPr>
            <w:tcW w:w="154" w:type="pct"/>
            <w:tcBorders>
              <w:top w:val="nil"/>
              <w:left w:val="nil"/>
              <w:bottom w:val="nil"/>
              <w:right w:val="nil"/>
            </w:tcBorders>
          </w:tcPr>
          <w:p w14:paraId="10CB22EF"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5C07F3F4"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Cadre Stratégique de Lutte contre la Pauvreté</w:t>
            </w:r>
          </w:p>
        </w:tc>
      </w:tr>
      <w:tr w:rsidR="002C4773" w:rsidRPr="007C5A6E" w14:paraId="38ACD640" w14:textId="77777777" w:rsidTr="00CC1E9C">
        <w:trPr>
          <w:trHeight w:val="283"/>
        </w:trPr>
        <w:tc>
          <w:tcPr>
            <w:tcW w:w="845" w:type="pct"/>
            <w:tcBorders>
              <w:top w:val="nil"/>
              <w:left w:val="nil"/>
              <w:bottom w:val="nil"/>
              <w:right w:val="nil"/>
            </w:tcBorders>
            <w:shd w:val="clear" w:color="auto" w:fill="auto"/>
            <w:noWrap/>
          </w:tcPr>
          <w:p w14:paraId="41117AB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CT</w:t>
            </w:r>
          </w:p>
        </w:tc>
        <w:tc>
          <w:tcPr>
            <w:tcW w:w="154" w:type="pct"/>
            <w:tcBorders>
              <w:top w:val="nil"/>
              <w:left w:val="nil"/>
              <w:bottom w:val="nil"/>
              <w:right w:val="nil"/>
            </w:tcBorders>
          </w:tcPr>
          <w:p w14:paraId="569E45B4"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10E4E834"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 xml:space="preserve">Collectivité Territoriale </w:t>
            </w:r>
          </w:p>
        </w:tc>
      </w:tr>
      <w:tr w:rsidR="002C4773" w:rsidRPr="007C5A6E" w14:paraId="31246DAB" w14:textId="77777777" w:rsidTr="00CC1E9C">
        <w:trPr>
          <w:trHeight w:val="283"/>
        </w:trPr>
        <w:tc>
          <w:tcPr>
            <w:tcW w:w="845" w:type="pct"/>
            <w:tcBorders>
              <w:top w:val="nil"/>
              <w:left w:val="nil"/>
              <w:bottom w:val="nil"/>
              <w:right w:val="nil"/>
            </w:tcBorders>
            <w:shd w:val="clear" w:color="auto" w:fill="auto"/>
            <w:noWrap/>
          </w:tcPr>
          <w:p w14:paraId="59A43A6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CTS</w:t>
            </w:r>
          </w:p>
        </w:tc>
        <w:tc>
          <w:tcPr>
            <w:tcW w:w="154" w:type="pct"/>
            <w:tcBorders>
              <w:top w:val="nil"/>
              <w:left w:val="nil"/>
              <w:bottom w:val="nil"/>
              <w:right w:val="nil"/>
            </w:tcBorders>
          </w:tcPr>
          <w:p w14:paraId="0C61638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0F32F66D"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Comité Technique de Suivi</w:t>
            </w:r>
          </w:p>
        </w:tc>
      </w:tr>
      <w:tr w:rsidR="002C4773" w:rsidRPr="007C5A6E" w14:paraId="5FAF22AE" w14:textId="77777777" w:rsidTr="00CC1E9C">
        <w:trPr>
          <w:trHeight w:val="283"/>
        </w:trPr>
        <w:tc>
          <w:tcPr>
            <w:tcW w:w="845" w:type="pct"/>
            <w:tcBorders>
              <w:top w:val="nil"/>
              <w:left w:val="nil"/>
              <w:bottom w:val="nil"/>
              <w:right w:val="nil"/>
            </w:tcBorders>
            <w:shd w:val="clear" w:color="auto" w:fill="auto"/>
            <w:noWrap/>
          </w:tcPr>
          <w:p w14:paraId="5D900A3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CVO</w:t>
            </w:r>
          </w:p>
        </w:tc>
        <w:tc>
          <w:tcPr>
            <w:tcW w:w="154" w:type="pct"/>
            <w:tcBorders>
              <w:top w:val="nil"/>
              <w:left w:val="nil"/>
              <w:bottom w:val="nil"/>
              <w:right w:val="nil"/>
            </w:tcBorders>
          </w:tcPr>
          <w:p w14:paraId="79E3E82B"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374EA8D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Ceinture Verte de Ouagadougou</w:t>
            </w:r>
          </w:p>
        </w:tc>
      </w:tr>
      <w:tr w:rsidR="002C4773" w:rsidRPr="007C5A6E" w14:paraId="0F719D96" w14:textId="77777777" w:rsidTr="00CC1E9C">
        <w:trPr>
          <w:trHeight w:val="283"/>
        </w:trPr>
        <w:tc>
          <w:tcPr>
            <w:tcW w:w="845" w:type="pct"/>
            <w:tcBorders>
              <w:top w:val="nil"/>
              <w:left w:val="nil"/>
              <w:bottom w:val="nil"/>
              <w:right w:val="nil"/>
            </w:tcBorders>
            <w:shd w:val="clear" w:color="auto" w:fill="auto"/>
            <w:noWrap/>
          </w:tcPr>
          <w:p w14:paraId="5CD2555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DBM</w:t>
            </w:r>
          </w:p>
        </w:tc>
        <w:tc>
          <w:tcPr>
            <w:tcW w:w="154" w:type="pct"/>
            <w:tcBorders>
              <w:top w:val="nil"/>
              <w:left w:val="nil"/>
              <w:bottom w:val="nil"/>
              <w:right w:val="nil"/>
            </w:tcBorders>
          </w:tcPr>
          <w:p w14:paraId="0C2196B2"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7F9EF032"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 xml:space="preserve">Déchets </w:t>
            </w:r>
            <w:proofErr w:type="spellStart"/>
            <w:r w:rsidRPr="007C5A6E">
              <w:rPr>
                <w:rFonts w:ascii="Times New Roman" w:hAnsi="Times New Roman"/>
                <w:kern w:val="2"/>
                <w:sz w:val="24"/>
                <w:szCs w:val="24"/>
                <w:lang w:eastAsia="en-US"/>
                <w14:ligatures w14:val="standardContextual"/>
              </w:rPr>
              <w:t>Bio-Médicaux</w:t>
            </w:r>
            <w:proofErr w:type="spellEnd"/>
          </w:p>
        </w:tc>
      </w:tr>
      <w:tr w:rsidR="002C4773" w:rsidRPr="007C5A6E" w14:paraId="7A9B58FC" w14:textId="77777777" w:rsidTr="00CC1E9C">
        <w:trPr>
          <w:trHeight w:val="283"/>
        </w:trPr>
        <w:tc>
          <w:tcPr>
            <w:tcW w:w="845" w:type="pct"/>
            <w:tcBorders>
              <w:top w:val="nil"/>
              <w:left w:val="nil"/>
              <w:bottom w:val="nil"/>
              <w:right w:val="nil"/>
            </w:tcBorders>
            <w:shd w:val="clear" w:color="auto" w:fill="auto"/>
            <w:noWrap/>
          </w:tcPr>
          <w:p w14:paraId="14B73ADE"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DCIME</w:t>
            </w:r>
          </w:p>
        </w:tc>
        <w:tc>
          <w:tcPr>
            <w:tcW w:w="154" w:type="pct"/>
            <w:tcBorders>
              <w:top w:val="nil"/>
              <w:left w:val="nil"/>
              <w:bottom w:val="nil"/>
              <w:right w:val="nil"/>
            </w:tcBorders>
          </w:tcPr>
          <w:p w14:paraId="545A130A"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1E994FE9"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lang w:eastAsia="en-US"/>
              </w:rPr>
              <w:t>Division du Développement des Compétences, de l’Information et du Monitoring en Environnement</w:t>
            </w:r>
          </w:p>
        </w:tc>
      </w:tr>
      <w:tr w:rsidR="002C4773" w:rsidRPr="007C5A6E" w14:paraId="7863C1A3" w14:textId="77777777" w:rsidTr="00CC1E9C">
        <w:trPr>
          <w:trHeight w:val="283"/>
        </w:trPr>
        <w:tc>
          <w:tcPr>
            <w:tcW w:w="845" w:type="pct"/>
            <w:tcBorders>
              <w:top w:val="nil"/>
              <w:left w:val="nil"/>
              <w:bottom w:val="nil"/>
              <w:right w:val="nil"/>
            </w:tcBorders>
            <w:shd w:val="clear" w:color="auto" w:fill="auto"/>
            <w:noWrap/>
          </w:tcPr>
          <w:p w14:paraId="34B1B65B"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DGA</w:t>
            </w:r>
          </w:p>
        </w:tc>
        <w:tc>
          <w:tcPr>
            <w:tcW w:w="154" w:type="pct"/>
            <w:tcBorders>
              <w:top w:val="nil"/>
              <w:left w:val="nil"/>
              <w:bottom w:val="nil"/>
              <w:right w:val="nil"/>
            </w:tcBorders>
          </w:tcPr>
          <w:p w14:paraId="20AD8FCF"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3D72CE5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Direction Générale de l’Assainissement</w:t>
            </w:r>
          </w:p>
        </w:tc>
      </w:tr>
      <w:tr w:rsidR="002C4773" w:rsidRPr="007C5A6E" w14:paraId="0420F1DA" w14:textId="77777777" w:rsidTr="00CC1E9C">
        <w:trPr>
          <w:trHeight w:val="283"/>
        </w:trPr>
        <w:tc>
          <w:tcPr>
            <w:tcW w:w="845" w:type="pct"/>
            <w:tcBorders>
              <w:top w:val="nil"/>
              <w:left w:val="nil"/>
              <w:bottom w:val="nil"/>
              <w:right w:val="nil"/>
            </w:tcBorders>
            <w:shd w:val="clear" w:color="auto" w:fill="auto"/>
            <w:noWrap/>
          </w:tcPr>
          <w:p w14:paraId="26089416"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DGAHDI</w:t>
            </w:r>
          </w:p>
        </w:tc>
        <w:tc>
          <w:tcPr>
            <w:tcW w:w="154" w:type="pct"/>
            <w:tcBorders>
              <w:top w:val="nil"/>
              <w:left w:val="nil"/>
              <w:bottom w:val="nil"/>
              <w:right w:val="nil"/>
            </w:tcBorders>
          </w:tcPr>
          <w:p w14:paraId="3225CBDC"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6F0A95C7" w14:textId="77777777" w:rsidR="002C4773" w:rsidRPr="007C5A6E" w:rsidRDefault="002C4773" w:rsidP="00CC1E9C">
            <w:pPr>
              <w:spacing w:after="0" w:line="240" w:lineRule="auto"/>
              <w:rPr>
                <w:rFonts w:ascii="Times New Roman" w:hAnsi="Times New Roman"/>
                <w:sz w:val="24"/>
                <w:szCs w:val="24"/>
              </w:rPr>
            </w:pPr>
            <w:r w:rsidRPr="007C5A6E">
              <w:rPr>
                <w:rFonts w:ascii="Times New Roman" w:hAnsi="Times New Roman"/>
                <w:sz w:val="24"/>
                <w:szCs w:val="24"/>
              </w:rPr>
              <w:t>Direction Générale des Aménagements Hydrauliques et du Développement de l’Irrigation</w:t>
            </w:r>
          </w:p>
        </w:tc>
      </w:tr>
      <w:tr w:rsidR="002C4773" w:rsidRPr="007C5A6E" w14:paraId="4A0D0077" w14:textId="77777777" w:rsidTr="00CC1E9C">
        <w:trPr>
          <w:trHeight w:val="283"/>
        </w:trPr>
        <w:tc>
          <w:tcPr>
            <w:tcW w:w="845" w:type="pct"/>
            <w:tcBorders>
              <w:top w:val="nil"/>
              <w:left w:val="nil"/>
              <w:bottom w:val="nil"/>
              <w:right w:val="nil"/>
            </w:tcBorders>
            <w:shd w:val="clear" w:color="auto" w:fill="auto"/>
            <w:noWrap/>
          </w:tcPr>
          <w:p w14:paraId="7EEAE3BA"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DGESS</w:t>
            </w:r>
          </w:p>
        </w:tc>
        <w:tc>
          <w:tcPr>
            <w:tcW w:w="154" w:type="pct"/>
            <w:tcBorders>
              <w:top w:val="nil"/>
              <w:left w:val="nil"/>
              <w:bottom w:val="nil"/>
              <w:right w:val="nil"/>
            </w:tcBorders>
          </w:tcPr>
          <w:p w14:paraId="142F44DE"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7471BA82" w14:textId="77777777" w:rsidR="002C4773" w:rsidRPr="007C5A6E" w:rsidRDefault="002C4773" w:rsidP="00CC1E9C">
            <w:pPr>
              <w:spacing w:after="0" w:line="240" w:lineRule="auto"/>
              <w:rPr>
                <w:rFonts w:ascii="Times New Roman" w:hAnsi="Times New Roman"/>
                <w:sz w:val="24"/>
                <w:szCs w:val="24"/>
              </w:rPr>
            </w:pPr>
            <w:r w:rsidRPr="007C5A6E">
              <w:rPr>
                <w:rFonts w:ascii="Times New Roman" w:hAnsi="Times New Roman"/>
                <w:sz w:val="24"/>
                <w:szCs w:val="24"/>
              </w:rPr>
              <w:t>Direction Générale des Etudes des Statistiques Sectorielles</w:t>
            </w:r>
          </w:p>
        </w:tc>
      </w:tr>
      <w:tr w:rsidR="002C4773" w:rsidRPr="007C5A6E" w14:paraId="16105CD1" w14:textId="77777777" w:rsidTr="00CC1E9C">
        <w:trPr>
          <w:trHeight w:val="283"/>
        </w:trPr>
        <w:tc>
          <w:tcPr>
            <w:tcW w:w="845" w:type="pct"/>
            <w:tcBorders>
              <w:top w:val="nil"/>
              <w:left w:val="nil"/>
              <w:bottom w:val="nil"/>
              <w:right w:val="nil"/>
            </w:tcBorders>
            <w:shd w:val="clear" w:color="auto" w:fill="auto"/>
            <w:noWrap/>
          </w:tcPr>
          <w:p w14:paraId="6FD7BD27"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DGCM</w:t>
            </w:r>
          </w:p>
        </w:tc>
        <w:tc>
          <w:tcPr>
            <w:tcW w:w="154" w:type="pct"/>
            <w:tcBorders>
              <w:top w:val="nil"/>
              <w:left w:val="nil"/>
              <w:bottom w:val="nil"/>
              <w:right w:val="nil"/>
            </w:tcBorders>
          </w:tcPr>
          <w:p w14:paraId="42807EE6"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56910F9A" w14:textId="77777777" w:rsidR="002C4773" w:rsidRPr="007C5A6E" w:rsidRDefault="002C4773" w:rsidP="00CC1E9C">
            <w:pPr>
              <w:spacing w:after="0" w:line="240" w:lineRule="auto"/>
              <w:rPr>
                <w:rFonts w:ascii="Times New Roman" w:hAnsi="Times New Roman"/>
                <w:sz w:val="24"/>
                <w:szCs w:val="24"/>
              </w:rPr>
            </w:pPr>
            <w:r w:rsidRPr="007C5A6E">
              <w:rPr>
                <w:rFonts w:ascii="Times New Roman" w:hAnsi="Times New Roman"/>
                <w:sz w:val="24"/>
                <w:szCs w:val="24"/>
              </w:rPr>
              <w:t>Direction Générale du Cadastre Minier</w:t>
            </w:r>
          </w:p>
        </w:tc>
      </w:tr>
      <w:tr w:rsidR="002C4773" w:rsidRPr="007C5A6E" w14:paraId="30F79B3D" w14:textId="77777777" w:rsidTr="00CC1E9C">
        <w:trPr>
          <w:trHeight w:val="283"/>
        </w:trPr>
        <w:tc>
          <w:tcPr>
            <w:tcW w:w="845" w:type="pct"/>
            <w:tcBorders>
              <w:top w:val="nil"/>
              <w:left w:val="nil"/>
              <w:bottom w:val="nil"/>
              <w:right w:val="nil"/>
            </w:tcBorders>
            <w:shd w:val="clear" w:color="auto" w:fill="auto"/>
            <w:noWrap/>
          </w:tcPr>
          <w:p w14:paraId="0CC5778D"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DGEP</w:t>
            </w:r>
          </w:p>
        </w:tc>
        <w:tc>
          <w:tcPr>
            <w:tcW w:w="154" w:type="pct"/>
            <w:tcBorders>
              <w:top w:val="nil"/>
              <w:left w:val="nil"/>
              <w:bottom w:val="nil"/>
              <w:right w:val="nil"/>
            </w:tcBorders>
          </w:tcPr>
          <w:p w14:paraId="0E88037D"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 xml:space="preserve">: </w:t>
            </w:r>
          </w:p>
        </w:tc>
        <w:tc>
          <w:tcPr>
            <w:tcW w:w="4001" w:type="pct"/>
            <w:tcBorders>
              <w:top w:val="nil"/>
              <w:left w:val="nil"/>
              <w:bottom w:val="nil"/>
              <w:right w:val="nil"/>
            </w:tcBorders>
            <w:shd w:val="clear" w:color="auto" w:fill="auto"/>
            <w:noWrap/>
          </w:tcPr>
          <w:p w14:paraId="12FA8CC8"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Direction Générale de l’Eau Potable</w:t>
            </w:r>
          </w:p>
        </w:tc>
      </w:tr>
      <w:tr w:rsidR="002C4773" w:rsidRPr="007C5A6E" w14:paraId="11A6A78D" w14:textId="77777777" w:rsidTr="00CC1E9C">
        <w:trPr>
          <w:trHeight w:val="283"/>
        </w:trPr>
        <w:tc>
          <w:tcPr>
            <w:tcW w:w="845" w:type="pct"/>
            <w:tcBorders>
              <w:top w:val="nil"/>
              <w:left w:val="nil"/>
              <w:bottom w:val="nil"/>
              <w:right w:val="nil"/>
            </w:tcBorders>
            <w:shd w:val="clear" w:color="auto" w:fill="auto"/>
            <w:noWrap/>
          </w:tcPr>
          <w:p w14:paraId="260B510C"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DGIH</w:t>
            </w:r>
          </w:p>
        </w:tc>
        <w:tc>
          <w:tcPr>
            <w:tcW w:w="154" w:type="pct"/>
            <w:tcBorders>
              <w:top w:val="nil"/>
              <w:left w:val="nil"/>
              <w:bottom w:val="nil"/>
              <w:right w:val="nil"/>
            </w:tcBorders>
          </w:tcPr>
          <w:p w14:paraId="1B3103B1"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426757F8"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Direction Générale des Infrastructures Hydrauliques</w:t>
            </w:r>
          </w:p>
        </w:tc>
      </w:tr>
      <w:tr w:rsidR="002C4773" w:rsidRPr="007C5A6E" w14:paraId="4AEEF854" w14:textId="77777777" w:rsidTr="00CC1E9C">
        <w:trPr>
          <w:trHeight w:val="283"/>
        </w:trPr>
        <w:tc>
          <w:tcPr>
            <w:tcW w:w="845" w:type="pct"/>
            <w:tcBorders>
              <w:top w:val="nil"/>
              <w:left w:val="nil"/>
              <w:bottom w:val="nil"/>
              <w:right w:val="nil"/>
            </w:tcBorders>
            <w:shd w:val="clear" w:color="auto" w:fill="auto"/>
            <w:noWrap/>
          </w:tcPr>
          <w:p w14:paraId="417699A0"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DGRE</w:t>
            </w:r>
          </w:p>
        </w:tc>
        <w:tc>
          <w:tcPr>
            <w:tcW w:w="154" w:type="pct"/>
            <w:tcBorders>
              <w:top w:val="nil"/>
              <w:left w:val="nil"/>
              <w:bottom w:val="nil"/>
              <w:right w:val="nil"/>
            </w:tcBorders>
          </w:tcPr>
          <w:p w14:paraId="7DF05AF3"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08DE159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Direction Générale des Ressources en Eau</w:t>
            </w:r>
          </w:p>
        </w:tc>
      </w:tr>
      <w:tr w:rsidR="002C4773" w:rsidRPr="007C5A6E" w14:paraId="486172DA" w14:textId="77777777" w:rsidTr="00CC1E9C">
        <w:trPr>
          <w:trHeight w:val="283"/>
        </w:trPr>
        <w:tc>
          <w:tcPr>
            <w:tcW w:w="845" w:type="pct"/>
            <w:tcBorders>
              <w:top w:val="nil"/>
              <w:left w:val="nil"/>
              <w:bottom w:val="nil"/>
              <w:right w:val="nil"/>
            </w:tcBorders>
            <w:shd w:val="clear" w:color="auto" w:fill="auto"/>
            <w:noWrap/>
          </w:tcPr>
          <w:p w14:paraId="4CB98A61"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DMA</w:t>
            </w:r>
          </w:p>
        </w:tc>
        <w:tc>
          <w:tcPr>
            <w:tcW w:w="154" w:type="pct"/>
            <w:tcBorders>
              <w:top w:val="nil"/>
              <w:left w:val="nil"/>
              <w:bottom w:val="nil"/>
              <w:right w:val="nil"/>
            </w:tcBorders>
          </w:tcPr>
          <w:p w14:paraId="04FE793E"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317DF65F"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Drainage Minier Acide</w:t>
            </w:r>
          </w:p>
        </w:tc>
      </w:tr>
      <w:tr w:rsidR="002C4773" w:rsidRPr="007C5A6E" w14:paraId="1163AECC" w14:textId="77777777" w:rsidTr="00CC1E9C">
        <w:trPr>
          <w:trHeight w:val="283"/>
        </w:trPr>
        <w:tc>
          <w:tcPr>
            <w:tcW w:w="845" w:type="pct"/>
            <w:tcBorders>
              <w:top w:val="nil"/>
              <w:left w:val="nil"/>
              <w:bottom w:val="nil"/>
              <w:right w:val="nil"/>
            </w:tcBorders>
            <w:shd w:val="clear" w:color="auto" w:fill="auto"/>
            <w:noWrap/>
          </w:tcPr>
          <w:p w14:paraId="5D7FF4F4"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DTA</w:t>
            </w:r>
          </w:p>
        </w:tc>
        <w:tc>
          <w:tcPr>
            <w:tcW w:w="154" w:type="pct"/>
            <w:tcBorders>
              <w:top w:val="nil"/>
              <w:left w:val="nil"/>
              <w:bottom w:val="nil"/>
              <w:right w:val="nil"/>
            </w:tcBorders>
          </w:tcPr>
          <w:p w14:paraId="10E513BA"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3F328D4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Directive Territoriale d’Aménagement</w:t>
            </w:r>
          </w:p>
        </w:tc>
      </w:tr>
      <w:tr w:rsidR="002C4773" w:rsidRPr="007C5A6E" w14:paraId="1F88ED12" w14:textId="77777777" w:rsidTr="00CC1E9C">
        <w:trPr>
          <w:trHeight w:val="283"/>
        </w:trPr>
        <w:tc>
          <w:tcPr>
            <w:tcW w:w="845" w:type="pct"/>
            <w:tcBorders>
              <w:top w:val="nil"/>
              <w:left w:val="nil"/>
              <w:bottom w:val="nil"/>
              <w:right w:val="nil"/>
            </w:tcBorders>
            <w:shd w:val="clear" w:color="auto" w:fill="auto"/>
            <w:noWrap/>
          </w:tcPr>
          <w:p w14:paraId="38358A32"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EHCVM</w:t>
            </w:r>
          </w:p>
        </w:tc>
        <w:tc>
          <w:tcPr>
            <w:tcW w:w="154" w:type="pct"/>
            <w:tcBorders>
              <w:top w:val="nil"/>
              <w:left w:val="nil"/>
              <w:bottom w:val="nil"/>
              <w:right w:val="nil"/>
            </w:tcBorders>
          </w:tcPr>
          <w:p w14:paraId="790381F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169CFC54"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Enquête Harmonisée sur les Conditions de Vie des Ménages</w:t>
            </w:r>
          </w:p>
        </w:tc>
      </w:tr>
      <w:tr w:rsidR="002C4773" w:rsidRPr="007C5A6E" w14:paraId="756752B6" w14:textId="77777777" w:rsidTr="00CC1E9C">
        <w:trPr>
          <w:trHeight w:val="283"/>
        </w:trPr>
        <w:tc>
          <w:tcPr>
            <w:tcW w:w="845" w:type="pct"/>
            <w:tcBorders>
              <w:top w:val="nil"/>
              <w:left w:val="nil"/>
              <w:bottom w:val="nil"/>
              <w:right w:val="nil"/>
            </w:tcBorders>
            <w:shd w:val="clear" w:color="auto" w:fill="auto"/>
            <w:noWrap/>
          </w:tcPr>
          <w:p w14:paraId="62FB9B1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EIE</w:t>
            </w:r>
          </w:p>
        </w:tc>
        <w:tc>
          <w:tcPr>
            <w:tcW w:w="154" w:type="pct"/>
            <w:tcBorders>
              <w:top w:val="nil"/>
              <w:left w:val="nil"/>
              <w:bottom w:val="nil"/>
              <w:right w:val="nil"/>
            </w:tcBorders>
          </w:tcPr>
          <w:p w14:paraId="697A7DA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1B325804"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Études d’Impact Environnemental</w:t>
            </w:r>
          </w:p>
        </w:tc>
      </w:tr>
      <w:tr w:rsidR="002C4773" w:rsidRPr="007C5A6E" w14:paraId="0B46F6AF" w14:textId="77777777" w:rsidTr="00CC1E9C">
        <w:trPr>
          <w:trHeight w:val="283"/>
        </w:trPr>
        <w:tc>
          <w:tcPr>
            <w:tcW w:w="845" w:type="pct"/>
            <w:tcBorders>
              <w:top w:val="nil"/>
              <w:left w:val="nil"/>
              <w:bottom w:val="nil"/>
              <w:right w:val="nil"/>
            </w:tcBorders>
            <w:shd w:val="clear" w:color="auto" w:fill="auto"/>
            <w:noWrap/>
          </w:tcPr>
          <w:p w14:paraId="17DD185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ENP</w:t>
            </w:r>
          </w:p>
        </w:tc>
        <w:tc>
          <w:tcPr>
            <w:tcW w:w="154" w:type="pct"/>
            <w:tcBorders>
              <w:top w:val="nil"/>
              <w:left w:val="nil"/>
              <w:bottom w:val="nil"/>
              <w:right w:val="nil"/>
            </w:tcBorders>
          </w:tcPr>
          <w:p w14:paraId="17FB7DC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2614E94D"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Étude Nationale Prospective</w:t>
            </w:r>
          </w:p>
        </w:tc>
      </w:tr>
      <w:tr w:rsidR="002C4773" w:rsidRPr="007C5A6E" w14:paraId="27D29937" w14:textId="77777777" w:rsidTr="00CC1E9C">
        <w:trPr>
          <w:trHeight w:val="283"/>
        </w:trPr>
        <w:tc>
          <w:tcPr>
            <w:tcW w:w="845" w:type="pct"/>
            <w:tcBorders>
              <w:top w:val="nil"/>
              <w:left w:val="nil"/>
              <w:bottom w:val="nil"/>
              <w:right w:val="nil"/>
            </w:tcBorders>
            <w:shd w:val="clear" w:color="auto" w:fill="auto"/>
            <w:noWrap/>
          </w:tcPr>
          <w:p w14:paraId="3C724488"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ETM</w:t>
            </w:r>
          </w:p>
        </w:tc>
        <w:tc>
          <w:tcPr>
            <w:tcW w:w="154" w:type="pct"/>
            <w:tcBorders>
              <w:top w:val="nil"/>
              <w:left w:val="nil"/>
              <w:bottom w:val="nil"/>
              <w:right w:val="nil"/>
            </w:tcBorders>
          </w:tcPr>
          <w:p w14:paraId="06BBEEA6"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72BF169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Elément Trace Métallique</w:t>
            </w:r>
          </w:p>
        </w:tc>
      </w:tr>
      <w:tr w:rsidR="002C4773" w:rsidRPr="007C5A6E" w14:paraId="30F1E471" w14:textId="77777777" w:rsidTr="00CC1E9C">
        <w:trPr>
          <w:trHeight w:val="283"/>
        </w:trPr>
        <w:tc>
          <w:tcPr>
            <w:tcW w:w="845" w:type="pct"/>
            <w:tcBorders>
              <w:top w:val="nil"/>
              <w:left w:val="nil"/>
              <w:bottom w:val="nil"/>
              <w:right w:val="nil"/>
            </w:tcBorders>
            <w:shd w:val="clear" w:color="auto" w:fill="auto"/>
            <w:noWrap/>
          </w:tcPr>
          <w:p w14:paraId="554C9E48"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FAO</w:t>
            </w:r>
          </w:p>
        </w:tc>
        <w:tc>
          <w:tcPr>
            <w:tcW w:w="154" w:type="pct"/>
            <w:tcBorders>
              <w:top w:val="nil"/>
              <w:left w:val="nil"/>
              <w:bottom w:val="nil"/>
              <w:right w:val="nil"/>
            </w:tcBorders>
          </w:tcPr>
          <w:p w14:paraId="77611F0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63F108F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 xml:space="preserve">Organisation pour l'alimentation et l'agriculture (Food and Agriculture </w:t>
            </w:r>
            <w:proofErr w:type="spellStart"/>
            <w:r w:rsidRPr="007C5A6E">
              <w:rPr>
                <w:rFonts w:ascii="Times New Roman" w:hAnsi="Times New Roman"/>
                <w:kern w:val="2"/>
                <w:sz w:val="24"/>
                <w:szCs w:val="24"/>
                <w:lang w:eastAsia="en-US"/>
                <w14:ligatures w14:val="standardContextual"/>
              </w:rPr>
              <w:t>Organization</w:t>
            </w:r>
            <w:proofErr w:type="spellEnd"/>
            <w:r w:rsidRPr="007C5A6E">
              <w:rPr>
                <w:rFonts w:ascii="Times New Roman" w:hAnsi="Times New Roman"/>
                <w:kern w:val="2"/>
                <w:sz w:val="24"/>
                <w:szCs w:val="24"/>
                <w:lang w:eastAsia="en-US"/>
                <w14:ligatures w14:val="standardContextual"/>
              </w:rPr>
              <w:t>)</w:t>
            </w:r>
          </w:p>
        </w:tc>
      </w:tr>
      <w:tr w:rsidR="002C4773" w:rsidRPr="007C5A6E" w14:paraId="324EF4EC" w14:textId="77777777" w:rsidTr="00CC1E9C">
        <w:trPr>
          <w:trHeight w:val="283"/>
        </w:trPr>
        <w:tc>
          <w:tcPr>
            <w:tcW w:w="845" w:type="pct"/>
            <w:tcBorders>
              <w:top w:val="nil"/>
              <w:left w:val="nil"/>
              <w:bottom w:val="nil"/>
              <w:right w:val="nil"/>
            </w:tcBorders>
            <w:shd w:val="clear" w:color="auto" w:fill="auto"/>
            <w:noWrap/>
          </w:tcPr>
          <w:p w14:paraId="4AD58E6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FMI</w:t>
            </w:r>
          </w:p>
        </w:tc>
        <w:tc>
          <w:tcPr>
            <w:tcW w:w="154" w:type="pct"/>
            <w:tcBorders>
              <w:top w:val="nil"/>
              <w:left w:val="nil"/>
              <w:bottom w:val="nil"/>
              <w:right w:val="nil"/>
            </w:tcBorders>
          </w:tcPr>
          <w:p w14:paraId="7DC5E175"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2B673AF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lang w:val="en-US"/>
              </w:rPr>
              <w:t xml:space="preserve">Fonds </w:t>
            </w:r>
            <w:proofErr w:type="spellStart"/>
            <w:r w:rsidRPr="007C5A6E">
              <w:rPr>
                <w:rFonts w:ascii="Times New Roman" w:hAnsi="Times New Roman"/>
                <w:sz w:val="24"/>
                <w:szCs w:val="24"/>
                <w:lang w:val="en-US"/>
              </w:rPr>
              <w:t>Monétaire</w:t>
            </w:r>
            <w:proofErr w:type="spellEnd"/>
            <w:r w:rsidRPr="007C5A6E">
              <w:rPr>
                <w:rFonts w:ascii="Times New Roman" w:hAnsi="Times New Roman"/>
                <w:sz w:val="24"/>
                <w:szCs w:val="24"/>
                <w:lang w:val="en-US"/>
              </w:rPr>
              <w:t xml:space="preserve"> International</w:t>
            </w:r>
          </w:p>
        </w:tc>
      </w:tr>
      <w:tr w:rsidR="002C4773" w:rsidRPr="007C5A6E" w14:paraId="480F09F3" w14:textId="77777777" w:rsidTr="00CC1E9C">
        <w:trPr>
          <w:trHeight w:val="283"/>
        </w:trPr>
        <w:tc>
          <w:tcPr>
            <w:tcW w:w="845" w:type="pct"/>
            <w:tcBorders>
              <w:top w:val="nil"/>
              <w:left w:val="nil"/>
              <w:bottom w:val="nil"/>
              <w:right w:val="nil"/>
            </w:tcBorders>
            <w:shd w:val="clear" w:color="auto" w:fill="auto"/>
            <w:noWrap/>
          </w:tcPr>
          <w:p w14:paraId="1A16C2A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GES</w:t>
            </w:r>
          </w:p>
        </w:tc>
        <w:tc>
          <w:tcPr>
            <w:tcW w:w="154" w:type="pct"/>
            <w:tcBorders>
              <w:top w:val="nil"/>
              <w:left w:val="nil"/>
              <w:bottom w:val="nil"/>
              <w:right w:val="nil"/>
            </w:tcBorders>
          </w:tcPr>
          <w:p w14:paraId="76353323"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71F7BCB3"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Gaz à Effet de Serre</w:t>
            </w:r>
          </w:p>
        </w:tc>
      </w:tr>
      <w:tr w:rsidR="002C4773" w:rsidRPr="007C5A6E" w14:paraId="3FFAEE46" w14:textId="77777777" w:rsidTr="00CC1E9C">
        <w:trPr>
          <w:trHeight w:val="283"/>
        </w:trPr>
        <w:tc>
          <w:tcPr>
            <w:tcW w:w="845" w:type="pct"/>
            <w:tcBorders>
              <w:top w:val="nil"/>
              <w:left w:val="nil"/>
              <w:bottom w:val="nil"/>
              <w:right w:val="nil"/>
            </w:tcBorders>
            <w:shd w:val="clear" w:color="auto" w:fill="auto"/>
            <w:noWrap/>
          </w:tcPr>
          <w:p w14:paraId="03FD90EA"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GIEC</w:t>
            </w:r>
          </w:p>
        </w:tc>
        <w:tc>
          <w:tcPr>
            <w:tcW w:w="154" w:type="pct"/>
            <w:tcBorders>
              <w:top w:val="nil"/>
              <w:left w:val="nil"/>
              <w:bottom w:val="nil"/>
              <w:right w:val="nil"/>
            </w:tcBorders>
          </w:tcPr>
          <w:p w14:paraId="31AD081F"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561D600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Groupe d’Experts Intergouvernemental sur l’Evolution du Climat</w:t>
            </w:r>
          </w:p>
        </w:tc>
      </w:tr>
      <w:tr w:rsidR="002C4773" w:rsidRPr="007C5A6E" w14:paraId="466AEEF2" w14:textId="77777777" w:rsidTr="00CC1E9C">
        <w:trPr>
          <w:trHeight w:val="283"/>
        </w:trPr>
        <w:tc>
          <w:tcPr>
            <w:tcW w:w="845" w:type="pct"/>
            <w:tcBorders>
              <w:top w:val="nil"/>
              <w:left w:val="nil"/>
              <w:bottom w:val="nil"/>
              <w:right w:val="nil"/>
            </w:tcBorders>
            <w:shd w:val="clear" w:color="auto" w:fill="auto"/>
            <w:noWrap/>
          </w:tcPr>
          <w:p w14:paraId="1893D09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GIRE</w:t>
            </w:r>
          </w:p>
        </w:tc>
        <w:tc>
          <w:tcPr>
            <w:tcW w:w="154" w:type="pct"/>
            <w:tcBorders>
              <w:top w:val="nil"/>
              <w:left w:val="nil"/>
              <w:bottom w:val="nil"/>
              <w:right w:val="nil"/>
            </w:tcBorders>
          </w:tcPr>
          <w:p w14:paraId="79B51C0B"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3401DC3D"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Gestion Intégrée des Ressources en Eau</w:t>
            </w:r>
          </w:p>
        </w:tc>
      </w:tr>
      <w:tr w:rsidR="002C4773" w:rsidRPr="007C5A6E" w14:paraId="173ADF0E" w14:textId="77777777" w:rsidTr="00CC1E9C">
        <w:trPr>
          <w:trHeight w:val="283"/>
        </w:trPr>
        <w:tc>
          <w:tcPr>
            <w:tcW w:w="845" w:type="pct"/>
            <w:tcBorders>
              <w:top w:val="nil"/>
              <w:left w:val="nil"/>
              <w:bottom w:val="nil"/>
              <w:right w:val="nil"/>
            </w:tcBorders>
            <w:shd w:val="clear" w:color="auto" w:fill="auto"/>
            <w:noWrap/>
          </w:tcPr>
          <w:p w14:paraId="0F5D8B24"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GRAAD</w:t>
            </w:r>
          </w:p>
        </w:tc>
        <w:tc>
          <w:tcPr>
            <w:tcW w:w="154" w:type="pct"/>
            <w:tcBorders>
              <w:top w:val="nil"/>
              <w:left w:val="nil"/>
              <w:bottom w:val="nil"/>
              <w:right w:val="nil"/>
            </w:tcBorders>
          </w:tcPr>
          <w:p w14:paraId="12AF93A9"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74C07AFB"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Groupe de Recherche et d'Analyse Appliquées pour le Développement</w:t>
            </w:r>
          </w:p>
        </w:tc>
      </w:tr>
      <w:tr w:rsidR="002C4773" w:rsidRPr="007C5A6E" w14:paraId="11F77D49" w14:textId="77777777" w:rsidTr="00CC1E9C">
        <w:trPr>
          <w:trHeight w:val="283"/>
        </w:trPr>
        <w:tc>
          <w:tcPr>
            <w:tcW w:w="845" w:type="pct"/>
            <w:tcBorders>
              <w:top w:val="nil"/>
              <w:left w:val="nil"/>
              <w:bottom w:val="nil"/>
              <w:right w:val="nil"/>
            </w:tcBorders>
            <w:shd w:val="clear" w:color="auto" w:fill="auto"/>
            <w:noWrap/>
          </w:tcPr>
          <w:p w14:paraId="488BD6E8"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GRN</w:t>
            </w:r>
          </w:p>
        </w:tc>
        <w:tc>
          <w:tcPr>
            <w:tcW w:w="154" w:type="pct"/>
            <w:tcBorders>
              <w:top w:val="nil"/>
              <w:left w:val="nil"/>
              <w:bottom w:val="nil"/>
              <w:right w:val="nil"/>
            </w:tcBorders>
          </w:tcPr>
          <w:p w14:paraId="37C04C5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673C5E38"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 xml:space="preserve">Gestion des Ressources Naturelles </w:t>
            </w:r>
          </w:p>
        </w:tc>
      </w:tr>
      <w:tr w:rsidR="002C4773" w:rsidRPr="007C5A6E" w14:paraId="0675D6B0" w14:textId="77777777" w:rsidTr="00CC1E9C">
        <w:trPr>
          <w:trHeight w:val="283"/>
        </w:trPr>
        <w:tc>
          <w:tcPr>
            <w:tcW w:w="845" w:type="pct"/>
            <w:tcBorders>
              <w:top w:val="nil"/>
              <w:left w:val="nil"/>
              <w:bottom w:val="nil"/>
              <w:right w:val="nil"/>
            </w:tcBorders>
            <w:shd w:val="clear" w:color="auto" w:fill="auto"/>
            <w:noWrap/>
          </w:tcPr>
          <w:p w14:paraId="5E8E256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ICU</w:t>
            </w:r>
          </w:p>
        </w:tc>
        <w:tc>
          <w:tcPr>
            <w:tcW w:w="154" w:type="pct"/>
            <w:tcBorders>
              <w:top w:val="nil"/>
              <w:left w:val="nil"/>
              <w:bottom w:val="nil"/>
              <w:right w:val="nil"/>
            </w:tcBorders>
          </w:tcPr>
          <w:p w14:paraId="0E3E7A2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0DE0DC73"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Îlot de Chaleur Urbain</w:t>
            </w:r>
          </w:p>
        </w:tc>
      </w:tr>
      <w:tr w:rsidR="002C4773" w:rsidRPr="007C5A6E" w14:paraId="5E102454" w14:textId="77777777" w:rsidTr="00CC1E9C">
        <w:trPr>
          <w:trHeight w:val="283"/>
        </w:trPr>
        <w:tc>
          <w:tcPr>
            <w:tcW w:w="845" w:type="pct"/>
            <w:tcBorders>
              <w:top w:val="nil"/>
              <w:left w:val="nil"/>
              <w:bottom w:val="nil"/>
              <w:right w:val="nil"/>
            </w:tcBorders>
            <w:shd w:val="clear" w:color="auto" w:fill="auto"/>
            <w:noWrap/>
          </w:tcPr>
          <w:p w14:paraId="71B9C62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IDH</w:t>
            </w:r>
          </w:p>
        </w:tc>
        <w:tc>
          <w:tcPr>
            <w:tcW w:w="154" w:type="pct"/>
            <w:tcBorders>
              <w:top w:val="nil"/>
              <w:left w:val="nil"/>
              <w:bottom w:val="nil"/>
              <w:right w:val="nil"/>
            </w:tcBorders>
          </w:tcPr>
          <w:p w14:paraId="7EF47493"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03292F8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Indice de Développement Humain</w:t>
            </w:r>
          </w:p>
        </w:tc>
      </w:tr>
      <w:tr w:rsidR="002C4773" w:rsidRPr="000D60EA" w14:paraId="7EB0926F" w14:textId="77777777" w:rsidTr="00CC1E9C">
        <w:trPr>
          <w:trHeight w:val="283"/>
        </w:trPr>
        <w:tc>
          <w:tcPr>
            <w:tcW w:w="845" w:type="pct"/>
            <w:tcBorders>
              <w:top w:val="nil"/>
              <w:left w:val="nil"/>
              <w:bottom w:val="nil"/>
              <w:right w:val="nil"/>
            </w:tcBorders>
            <w:shd w:val="clear" w:color="auto" w:fill="auto"/>
            <w:noWrap/>
          </w:tcPr>
          <w:p w14:paraId="2C4E9AC3"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IFAD (FIDA)</w:t>
            </w:r>
          </w:p>
        </w:tc>
        <w:tc>
          <w:tcPr>
            <w:tcW w:w="154" w:type="pct"/>
            <w:tcBorders>
              <w:top w:val="nil"/>
              <w:left w:val="nil"/>
              <w:bottom w:val="nil"/>
              <w:right w:val="nil"/>
            </w:tcBorders>
          </w:tcPr>
          <w:p w14:paraId="5E93F91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6DC6CCED" w14:textId="77777777" w:rsidR="002C4773" w:rsidRPr="007C5A6E" w:rsidRDefault="002C4773" w:rsidP="00CC1E9C">
            <w:pPr>
              <w:spacing w:after="0" w:line="240" w:lineRule="auto"/>
              <w:rPr>
                <w:rFonts w:ascii="Times New Roman" w:hAnsi="Times New Roman"/>
                <w:sz w:val="24"/>
                <w:szCs w:val="24"/>
                <w:lang w:val="en-US" w:eastAsia="en-US"/>
              </w:rPr>
            </w:pPr>
            <w:r w:rsidRPr="007C5A6E">
              <w:rPr>
                <w:rFonts w:ascii="Times New Roman" w:hAnsi="Times New Roman"/>
                <w:sz w:val="24"/>
                <w:szCs w:val="24"/>
                <w:lang w:val="en-US"/>
              </w:rPr>
              <w:t>International Fund for Agricultural Development</w:t>
            </w:r>
          </w:p>
        </w:tc>
      </w:tr>
      <w:tr w:rsidR="002C4773" w:rsidRPr="007C5A6E" w14:paraId="31C98F98" w14:textId="77777777" w:rsidTr="00CC1E9C">
        <w:trPr>
          <w:trHeight w:val="283"/>
        </w:trPr>
        <w:tc>
          <w:tcPr>
            <w:tcW w:w="845" w:type="pct"/>
            <w:tcBorders>
              <w:top w:val="nil"/>
              <w:left w:val="nil"/>
              <w:bottom w:val="nil"/>
              <w:right w:val="nil"/>
            </w:tcBorders>
            <w:shd w:val="clear" w:color="auto" w:fill="auto"/>
            <w:noWrap/>
          </w:tcPr>
          <w:p w14:paraId="56EEB3B8"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IFDC</w:t>
            </w:r>
          </w:p>
        </w:tc>
        <w:tc>
          <w:tcPr>
            <w:tcW w:w="154" w:type="pct"/>
            <w:tcBorders>
              <w:top w:val="nil"/>
              <w:left w:val="nil"/>
              <w:bottom w:val="nil"/>
              <w:right w:val="nil"/>
            </w:tcBorders>
          </w:tcPr>
          <w:p w14:paraId="1E717C6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02BD4340" w14:textId="77777777" w:rsidR="002C4773" w:rsidRPr="007C5A6E" w:rsidRDefault="002C4773" w:rsidP="00CC1E9C">
            <w:pPr>
              <w:spacing w:after="0" w:line="240" w:lineRule="auto"/>
              <w:rPr>
                <w:rFonts w:ascii="Times New Roman" w:hAnsi="Times New Roman"/>
                <w:sz w:val="24"/>
                <w:szCs w:val="24"/>
                <w:lang w:eastAsia="en-US"/>
              </w:rPr>
            </w:pPr>
            <w:r w:rsidRPr="007C5A6E">
              <w:rPr>
                <w:rFonts w:ascii="Times New Roman" w:hAnsi="Times New Roman"/>
                <w:sz w:val="24"/>
                <w:szCs w:val="24"/>
              </w:rPr>
              <w:t>Centre International pour le Développement des Engrais</w:t>
            </w:r>
          </w:p>
        </w:tc>
      </w:tr>
      <w:tr w:rsidR="002C4773" w:rsidRPr="007C5A6E" w14:paraId="64A892AF" w14:textId="77777777" w:rsidTr="00CC1E9C">
        <w:trPr>
          <w:trHeight w:val="283"/>
        </w:trPr>
        <w:tc>
          <w:tcPr>
            <w:tcW w:w="845" w:type="pct"/>
            <w:tcBorders>
              <w:top w:val="nil"/>
              <w:left w:val="nil"/>
              <w:bottom w:val="nil"/>
              <w:right w:val="nil"/>
            </w:tcBorders>
            <w:shd w:val="clear" w:color="auto" w:fill="auto"/>
            <w:noWrap/>
          </w:tcPr>
          <w:p w14:paraId="1C968D8B"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IFN</w:t>
            </w:r>
          </w:p>
        </w:tc>
        <w:tc>
          <w:tcPr>
            <w:tcW w:w="154" w:type="pct"/>
            <w:tcBorders>
              <w:top w:val="nil"/>
              <w:left w:val="nil"/>
              <w:bottom w:val="nil"/>
              <w:right w:val="nil"/>
            </w:tcBorders>
          </w:tcPr>
          <w:p w14:paraId="56C0D76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3F135B76"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lang w:eastAsia="en-US"/>
              </w:rPr>
              <w:t>Inventaire Forestier National</w:t>
            </w:r>
          </w:p>
        </w:tc>
      </w:tr>
      <w:tr w:rsidR="002C4773" w:rsidRPr="007C5A6E" w14:paraId="30099EBF" w14:textId="77777777" w:rsidTr="00CC1E9C">
        <w:trPr>
          <w:trHeight w:val="283"/>
        </w:trPr>
        <w:tc>
          <w:tcPr>
            <w:tcW w:w="845" w:type="pct"/>
            <w:tcBorders>
              <w:top w:val="nil"/>
              <w:left w:val="nil"/>
              <w:bottom w:val="nil"/>
              <w:right w:val="nil"/>
            </w:tcBorders>
            <w:shd w:val="clear" w:color="auto" w:fill="auto"/>
            <w:noWrap/>
          </w:tcPr>
          <w:p w14:paraId="3210351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INDC</w:t>
            </w:r>
          </w:p>
        </w:tc>
        <w:tc>
          <w:tcPr>
            <w:tcW w:w="154" w:type="pct"/>
            <w:tcBorders>
              <w:top w:val="nil"/>
              <w:left w:val="nil"/>
              <w:bottom w:val="nil"/>
              <w:right w:val="nil"/>
            </w:tcBorders>
          </w:tcPr>
          <w:p w14:paraId="32D1945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2D339C8D"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proofErr w:type="spellStart"/>
            <w:r w:rsidRPr="007C5A6E">
              <w:rPr>
                <w:rFonts w:ascii="Times New Roman" w:hAnsi="Times New Roman"/>
                <w:kern w:val="2"/>
                <w:sz w:val="24"/>
                <w:szCs w:val="24"/>
                <w:lang w:eastAsia="en-US"/>
                <w14:ligatures w14:val="standardContextual"/>
              </w:rPr>
              <w:t>Intended</w:t>
            </w:r>
            <w:proofErr w:type="spellEnd"/>
            <w:r w:rsidRPr="007C5A6E">
              <w:rPr>
                <w:rFonts w:ascii="Times New Roman" w:hAnsi="Times New Roman"/>
                <w:kern w:val="2"/>
                <w:sz w:val="24"/>
                <w:szCs w:val="24"/>
                <w:lang w:eastAsia="en-US"/>
                <w14:ligatures w14:val="standardContextual"/>
              </w:rPr>
              <w:t xml:space="preserve"> </w:t>
            </w:r>
            <w:proofErr w:type="spellStart"/>
            <w:r w:rsidRPr="007C5A6E">
              <w:rPr>
                <w:rFonts w:ascii="Times New Roman" w:hAnsi="Times New Roman"/>
                <w:kern w:val="2"/>
                <w:sz w:val="24"/>
                <w:szCs w:val="24"/>
                <w:lang w:eastAsia="en-US"/>
                <w14:ligatures w14:val="standardContextual"/>
              </w:rPr>
              <w:t>Nationally</w:t>
            </w:r>
            <w:proofErr w:type="spellEnd"/>
            <w:r w:rsidRPr="007C5A6E">
              <w:rPr>
                <w:rFonts w:ascii="Times New Roman" w:hAnsi="Times New Roman"/>
                <w:kern w:val="2"/>
                <w:sz w:val="24"/>
                <w:szCs w:val="24"/>
                <w:lang w:eastAsia="en-US"/>
                <w14:ligatures w14:val="standardContextual"/>
              </w:rPr>
              <w:t xml:space="preserve"> </w:t>
            </w:r>
            <w:proofErr w:type="spellStart"/>
            <w:r w:rsidRPr="007C5A6E">
              <w:rPr>
                <w:rFonts w:ascii="Times New Roman" w:hAnsi="Times New Roman"/>
                <w:kern w:val="2"/>
                <w:sz w:val="24"/>
                <w:szCs w:val="24"/>
                <w:lang w:eastAsia="en-US"/>
                <w14:ligatures w14:val="standardContextual"/>
              </w:rPr>
              <w:t>Determined</w:t>
            </w:r>
            <w:proofErr w:type="spellEnd"/>
            <w:r w:rsidRPr="007C5A6E">
              <w:rPr>
                <w:rFonts w:ascii="Times New Roman" w:hAnsi="Times New Roman"/>
                <w:kern w:val="2"/>
                <w:sz w:val="24"/>
                <w:szCs w:val="24"/>
                <w:lang w:eastAsia="en-US"/>
                <w14:ligatures w14:val="standardContextual"/>
              </w:rPr>
              <w:t xml:space="preserve"> Contribution (Contribution Prévue Déterminée au niveau National - CPDN)</w:t>
            </w:r>
          </w:p>
        </w:tc>
      </w:tr>
      <w:tr w:rsidR="002C4773" w:rsidRPr="007C5A6E" w14:paraId="44B5808B" w14:textId="77777777" w:rsidTr="00CC1E9C">
        <w:trPr>
          <w:trHeight w:val="283"/>
        </w:trPr>
        <w:tc>
          <w:tcPr>
            <w:tcW w:w="845" w:type="pct"/>
            <w:tcBorders>
              <w:top w:val="nil"/>
              <w:left w:val="nil"/>
              <w:bottom w:val="nil"/>
              <w:right w:val="nil"/>
            </w:tcBorders>
            <w:shd w:val="clear" w:color="auto" w:fill="auto"/>
            <w:noWrap/>
          </w:tcPr>
          <w:p w14:paraId="7C1BD0D6"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INSD</w:t>
            </w:r>
          </w:p>
        </w:tc>
        <w:tc>
          <w:tcPr>
            <w:tcW w:w="154" w:type="pct"/>
            <w:tcBorders>
              <w:top w:val="nil"/>
              <w:left w:val="nil"/>
              <w:bottom w:val="nil"/>
              <w:right w:val="nil"/>
            </w:tcBorders>
          </w:tcPr>
          <w:p w14:paraId="52279E92"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54FB388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Institut National de la Statistique et de la Démographie</w:t>
            </w:r>
          </w:p>
        </w:tc>
      </w:tr>
      <w:tr w:rsidR="002C4773" w:rsidRPr="007C5A6E" w14:paraId="4E274EBE" w14:textId="77777777" w:rsidTr="00CC1E9C">
        <w:trPr>
          <w:trHeight w:val="283"/>
        </w:trPr>
        <w:tc>
          <w:tcPr>
            <w:tcW w:w="845" w:type="pct"/>
            <w:tcBorders>
              <w:top w:val="nil"/>
              <w:left w:val="nil"/>
              <w:bottom w:val="nil"/>
              <w:right w:val="nil"/>
            </w:tcBorders>
            <w:shd w:val="clear" w:color="auto" w:fill="auto"/>
            <w:noWrap/>
          </w:tcPr>
          <w:p w14:paraId="02112FFD"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IPE</w:t>
            </w:r>
          </w:p>
        </w:tc>
        <w:tc>
          <w:tcPr>
            <w:tcW w:w="154" w:type="pct"/>
            <w:tcBorders>
              <w:top w:val="nil"/>
              <w:left w:val="nil"/>
              <w:bottom w:val="nil"/>
              <w:right w:val="nil"/>
            </w:tcBorders>
          </w:tcPr>
          <w:p w14:paraId="686AA81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5EBE85F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Initiative Pauvreté-Environnement</w:t>
            </w:r>
          </w:p>
        </w:tc>
      </w:tr>
      <w:tr w:rsidR="002C4773" w:rsidRPr="007C5A6E" w14:paraId="29E0A70D" w14:textId="77777777" w:rsidTr="00CC1E9C">
        <w:trPr>
          <w:trHeight w:val="283"/>
        </w:trPr>
        <w:tc>
          <w:tcPr>
            <w:tcW w:w="845" w:type="pct"/>
            <w:tcBorders>
              <w:top w:val="nil"/>
              <w:left w:val="nil"/>
              <w:bottom w:val="nil"/>
              <w:right w:val="nil"/>
            </w:tcBorders>
            <w:shd w:val="clear" w:color="auto" w:fill="auto"/>
            <w:noWrap/>
          </w:tcPr>
          <w:p w14:paraId="5504B753"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IRD</w:t>
            </w:r>
          </w:p>
        </w:tc>
        <w:tc>
          <w:tcPr>
            <w:tcW w:w="154" w:type="pct"/>
            <w:tcBorders>
              <w:top w:val="nil"/>
              <w:left w:val="nil"/>
              <w:bottom w:val="nil"/>
              <w:right w:val="nil"/>
            </w:tcBorders>
          </w:tcPr>
          <w:p w14:paraId="30F9BF0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7821204A"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Institut de Recherche pour le Développement</w:t>
            </w:r>
          </w:p>
        </w:tc>
      </w:tr>
      <w:tr w:rsidR="002C4773" w:rsidRPr="007C5A6E" w14:paraId="310BE8F9" w14:textId="77777777" w:rsidTr="00CC1E9C">
        <w:trPr>
          <w:trHeight w:val="283"/>
        </w:trPr>
        <w:tc>
          <w:tcPr>
            <w:tcW w:w="845" w:type="pct"/>
            <w:tcBorders>
              <w:top w:val="nil"/>
              <w:left w:val="nil"/>
              <w:bottom w:val="nil"/>
              <w:right w:val="nil"/>
            </w:tcBorders>
            <w:shd w:val="clear" w:color="auto" w:fill="auto"/>
            <w:noWrap/>
          </w:tcPr>
          <w:p w14:paraId="2A75746B"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lang w:eastAsia="en-US"/>
              </w:rPr>
              <w:t>MAHRH</w:t>
            </w:r>
          </w:p>
        </w:tc>
        <w:tc>
          <w:tcPr>
            <w:tcW w:w="154" w:type="pct"/>
            <w:tcBorders>
              <w:top w:val="nil"/>
              <w:left w:val="nil"/>
              <w:bottom w:val="nil"/>
              <w:right w:val="nil"/>
            </w:tcBorders>
          </w:tcPr>
          <w:p w14:paraId="76FFE66A"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52375D8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lang w:eastAsia="en-US"/>
              </w:rPr>
              <w:t>Ministère de l’Agriculture, de l’Hydraulique et des Ressources Halieutiques</w:t>
            </w:r>
          </w:p>
        </w:tc>
      </w:tr>
      <w:tr w:rsidR="002C4773" w:rsidRPr="007C5A6E" w14:paraId="2386E4D2" w14:textId="77777777" w:rsidTr="00CC1E9C">
        <w:trPr>
          <w:trHeight w:val="283"/>
        </w:trPr>
        <w:tc>
          <w:tcPr>
            <w:tcW w:w="845" w:type="pct"/>
            <w:tcBorders>
              <w:top w:val="nil"/>
              <w:left w:val="nil"/>
              <w:bottom w:val="nil"/>
              <w:right w:val="nil"/>
            </w:tcBorders>
            <w:shd w:val="clear" w:color="auto" w:fill="auto"/>
            <w:noWrap/>
          </w:tcPr>
          <w:p w14:paraId="30F565A2"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MARAH</w:t>
            </w:r>
          </w:p>
        </w:tc>
        <w:tc>
          <w:tcPr>
            <w:tcW w:w="154" w:type="pct"/>
            <w:tcBorders>
              <w:top w:val="nil"/>
              <w:left w:val="nil"/>
              <w:bottom w:val="nil"/>
              <w:right w:val="nil"/>
            </w:tcBorders>
          </w:tcPr>
          <w:p w14:paraId="5148D523"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72257F05"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Ministre de l'Agriculture, des Ressources Animales et Halieutiques</w:t>
            </w:r>
          </w:p>
        </w:tc>
      </w:tr>
      <w:tr w:rsidR="002C4773" w:rsidRPr="007C5A6E" w14:paraId="644B29D6" w14:textId="77777777" w:rsidTr="00CC1E9C">
        <w:trPr>
          <w:trHeight w:val="283"/>
        </w:trPr>
        <w:tc>
          <w:tcPr>
            <w:tcW w:w="845" w:type="pct"/>
            <w:tcBorders>
              <w:top w:val="nil"/>
              <w:left w:val="nil"/>
              <w:bottom w:val="nil"/>
              <w:right w:val="nil"/>
            </w:tcBorders>
            <w:shd w:val="clear" w:color="auto" w:fill="auto"/>
            <w:noWrap/>
          </w:tcPr>
          <w:p w14:paraId="0905057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MARHASA</w:t>
            </w:r>
          </w:p>
        </w:tc>
        <w:tc>
          <w:tcPr>
            <w:tcW w:w="154" w:type="pct"/>
            <w:tcBorders>
              <w:top w:val="nil"/>
              <w:left w:val="nil"/>
              <w:bottom w:val="nil"/>
              <w:right w:val="nil"/>
            </w:tcBorders>
          </w:tcPr>
          <w:p w14:paraId="20AF4A0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7FB88174"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Ministère de l’Agriculture, des Ressources Hydro-Agricoles et de la Sécurité Alimentaire</w:t>
            </w:r>
          </w:p>
        </w:tc>
      </w:tr>
      <w:tr w:rsidR="002C4773" w:rsidRPr="007C5A6E" w14:paraId="30EDFAB7" w14:textId="77777777" w:rsidTr="00CC1E9C">
        <w:trPr>
          <w:trHeight w:val="283"/>
        </w:trPr>
        <w:tc>
          <w:tcPr>
            <w:tcW w:w="845" w:type="pct"/>
            <w:tcBorders>
              <w:top w:val="nil"/>
              <w:left w:val="nil"/>
              <w:bottom w:val="nil"/>
              <w:right w:val="nil"/>
            </w:tcBorders>
            <w:shd w:val="clear" w:color="auto" w:fill="auto"/>
            <w:noWrap/>
          </w:tcPr>
          <w:p w14:paraId="3290E9C2"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MATD</w:t>
            </w:r>
          </w:p>
        </w:tc>
        <w:tc>
          <w:tcPr>
            <w:tcW w:w="154" w:type="pct"/>
            <w:tcBorders>
              <w:top w:val="nil"/>
              <w:left w:val="nil"/>
              <w:bottom w:val="nil"/>
              <w:right w:val="nil"/>
            </w:tcBorders>
          </w:tcPr>
          <w:p w14:paraId="7C648A58"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381C4E2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Ministère de l’Administration Territoriale et de la Décentralisation</w:t>
            </w:r>
          </w:p>
        </w:tc>
      </w:tr>
      <w:tr w:rsidR="002C4773" w:rsidRPr="007C5A6E" w14:paraId="62E31229" w14:textId="77777777" w:rsidTr="00CC1E9C">
        <w:trPr>
          <w:trHeight w:val="283"/>
        </w:trPr>
        <w:tc>
          <w:tcPr>
            <w:tcW w:w="845" w:type="pct"/>
            <w:tcBorders>
              <w:top w:val="nil"/>
              <w:left w:val="nil"/>
              <w:bottom w:val="nil"/>
              <w:right w:val="nil"/>
            </w:tcBorders>
            <w:shd w:val="clear" w:color="auto" w:fill="auto"/>
            <w:noWrap/>
          </w:tcPr>
          <w:p w14:paraId="34B81732"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MECV</w:t>
            </w:r>
          </w:p>
        </w:tc>
        <w:tc>
          <w:tcPr>
            <w:tcW w:w="154" w:type="pct"/>
            <w:tcBorders>
              <w:top w:val="nil"/>
              <w:left w:val="nil"/>
              <w:bottom w:val="nil"/>
              <w:right w:val="nil"/>
            </w:tcBorders>
          </w:tcPr>
          <w:p w14:paraId="155EB56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6D61FAE5"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Ministère de l’Environnement et du Cadre de Vie</w:t>
            </w:r>
          </w:p>
        </w:tc>
      </w:tr>
      <w:tr w:rsidR="002C4773" w:rsidRPr="007C5A6E" w14:paraId="64ECA890" w14:textId="77777777" w:rsidTr="00CC1E9C">
        <w:trPr>
          <w:trHeight w:val="283"/>
        </w:trPr>
        <w:tc>
          <w:tcPr>
            <w:tcW w:w="845" w:type="pct"/>
            <w:tcBorders>
              <w:top w:val="nil"/>
              <w:left w:val="nil"/>
              <w:bottom w:val="nil"/>
              <w:right w:val="nil"/>
            </w:tcBorders>
            <w:shd w:val="clear" w:color="auto" w:fill="auto"/>
            <w:noWrap/>
          </w:tcPr>
          <w:p w14:paraId="3C3C892F"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MEDD</w:t>
            </w:r>
          </w:p>
        </w:tc>
        <w:tc>
          <w:tcPr>
            <w:tcW w:w="154" w:type="pct"/>
            <w:tcBorders>
              <w:top w:val="nil"/>
              <w:left w:val="nil"/>
              <w:bottom w:val="nil"/>
              <w:right w:val="nil"/>
            </w:tcBorders>
          </w:tcPr>
          <w:p w14:paraId="7967A53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18392FD4"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Ministère de l’Environnement et du Développement Durable</w:t>
            </w:r>
          </w:p>
        </w:tc>
      </w:tr>
      <w:tr w:rsidR="002C4773" w:rsidRPr="007C5A6E" w14:paraId="3C184DBC" w14:textId="77777777" w:rsidTr="00CC1E9C">
        <w:trPr>
          <w:trHeight w:val="283"/>
        </w:trPr>
        <w:tc>
          <w:tcPr>
            <w:tcW w:w="845" w:type="pct"/>
            <w:tcBorders>
              <w:top w:val="nil"/>
              <w:left w:val="nil"/>
              <w:bottom w:val="nil"/>
              <w:right w:val="nil"/>
            </w:tcBorders>
            <w:shd w:val="clear" w:color="auto" w:fill="auto"/>
            <w:noWrap/>
          </w:tcPr>
          <w:p w14:paraId="660B8044"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MEEA</w:t>
            </w:r>
          </w:p>
        </w:tc>
        <w:tc>
          <w:tcPr>
            <w:tcW w:w="154" w:type="pct"/>
            <w:tcBorders>
              <w:top w:val="nil"/>
              <w:left w:val="nil"/>
              <w:bottom w:val="nil"/>
              <w:right w:val="nil"/>
            </w:tcBorders>
          </w:tcPr>
          <w:p w14:paraId="6244966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7C49F3BB"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Ministère de l'Environnement, de l'Eau et de l'Assainissement</w:t>
            </w:r>
          </w:p>
        </w:tc>
      </w:tr>
      <w:tr w:rsidR="002C4773" w:rsidRPr="007C5A6E" w14:paraId="731E0106" w14:textId="77777777" w:rsidTr="00CC1E9C">
        <w:trPr>
          <w:trHeight w:val="283"/>
        </w:trPr>
        <w:tc>
          <w:tcPr>
            <w:tcW w:w="845" w:type="pct"/>
            <w:tcBorders>
              <w:top w:val="nil"/>
              <w:left w:val="nil"/>
              <w:bottom w:val="nil"/>
              <w:right w:val="nil"/>
            </w:tcBorders>
            <w:shd w:val="clear" w:color="auto" w:fill="auto"/>
            <w:noWrap/>
          </w:tcPr>
          <w:p w14:paraId="0B6B086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MEEVCC</w:t>
            </w:r>
          </w:p>
        </w:tc>
        <w:tc>
          <w:tcPr>
            <w:tcW w:w="154" w:type="pct"/>
            <w:tcBorders>
              <w:top w:val="nil"/>
              <w:left w:val="nil"/>
              <w:bottom w:val="nil"/>
              <w:right w:val="nil"/>
            </w:tcBorders>
          </w:tcPr>
          <w:p w14:paraId="242F235A"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3F6C00C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Ministère de l’Environnement, de l’Economie Verte et du</w:t>
            </w:r>
          </w:p>
          <w:p w14:paraId="2D67686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Changement Climatique</w:t>
            </w:r>
          </w:p>
        </w:tc>
      </w:tr>
      <w:tr w:rsidR="002C4773" w:rsidRPr="007C5A6E" w14:paraId="7D51E425" w14:textId="77777777" w:rsidTr="00CC1E9C">
        <w:trPr>
          <w:trHeight w:val="283"/>
        </w:trPr>
        <w:tc>
          <w:tcPr>
            <w:tcW w:w="845" w:type="pct"/>
            <w:tcBorders>
              <w:top w:val="nil"/>
              <w:left w:val="nil"/>
              <w:bottom w:val="nil"/>
              <w:right w:val="nil"/>
            </w:tcBorders>
            <w:shd w:val="clear" w:color="auto" w:fill="auto"/>
            <w:noWrap/>
          </w:tcPr>
          <w:p w14:paraId="611A44C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MEMC</w:t>
            </w:r>
          </w:p>
        </w:tc>
        <w:tc>
          <w:tcPr>
            <w:tcW w:w="154" w:type="pct"/>
            <w:tcBorders>
              <w:top w:val="nil"/>
              <w:left w:val="nil"/>
              <w:bottom w:val="nil"/>
              <w:right w:val="nil"/>
            </w:tcBorders>
          </w:tcPr>
          <w:p w14:paraId="47CE75F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56906A7B" w14:textId="77777777" w:rsidR="002C4773" w:rsidRPr="007C5A6E" w:rsidRDefault="002C4773" w:rsidP="00CC1E9C">
            <w:pPr>
              <w:spacing w:after="0" w:line="240" w:lineRule="auto"/>
              <w:ind w:left="1440" w:hanging="1440"/>
              <w:rPr>
                <w:rFonts w:ascii="Times New Roman" w:hAnsi="Times New Roman"/>
                <w:sz w:val="24"/>
                <w:szCs w:val="24"/>
              </w:rPr>
            </w:pPr>
            <w:r w:rsidRPr="007C5A6E">
              <w:rPr>
                <w:rFonts w:ascii="Times New Roman" w:hAnsi="Times New Roman"/>
                <w:sz w:val="24"/>
                <w:szCs w:val="24"/>
              </w:rPr>
              <w:t>Ministère de l’Energie des Mines et des Carrières</w:t>
            </w:r>
          </w:p>
        </w:tc>
      </w:tr>
      <w:tr w:rsidR="002C4773" w:rsidRPr="007C5A6E" w14:paraId="5736484B" w14:textId="77777777" w:rsidTr="00CC1E9C">
        <w:trPr>
          <w:trHeight w:val="283"/>
        </w:trPr>
        <w:tc>
          <w:tcPr>
            <w:tcW w:w="845" w:type="pct"/>
            <w:tcBorders>
              <w:top w:val="nil"/>
              <w:left w:val="nil"/>
              <w:bottom w:val="nil"/>
              <w:right w:val="nil"/>
            </w:tcBorders>
            <w:shd w:val="clear" w:color="auto" w:fill="auto"/>
            <w:noWrap/>
          </w:tcPr>
          <w:p w14:paraId="49AA5C1F"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MERH</w:t>
            </w:r>
          </w:p>
        </w:tc>
        <w:tc>
          <w:tcPr>
            <w:tcW w:w="154" w:type="pct"/>
            <w:tcBorders>
              <w:top w:val="nil"/>
              <w:left w:val="nil"/>
              <w:bottom w:val="nil"/>
              <w:right w:val="nil"/>
            </w:tcBorders>
          </w:tcPr>
          <w:p w14:paraId="279CF4B2"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4B64059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Ministère de l’Environnement et des Ressources Halieutiques</w:t>
            </w:r>
          </w:p>
        </w:tc>
      </w:tr>
      <w:tr w:rsidR="002C4773" w:rsidRPr="007C5A6E" w14:paraId="700D318D" w14:textId="77777777" w:rsidTr="00CC1E9C">
        <w:trPr>
          <w:trHeight w:val="283"/>
        </w:trPr>
        <w:tc>
          <w:tcPr>
            <w:tcW w:w="845" w:type="pct"/>
            <w:tcBorders>
              <w:top w:val="nil"/>
              <w:left w:val="nil"/>
              <w:bottom w:val="nil"/>
              <w:right w:val="nil"/>
            </w:tcBorders>
            <w:shd w:val="clear" w:color="auto" w:fill="auto"/>
            <w:noWrap/>
          </w:tcPr>
          <w:p w14:paraId="58803D1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MHU</w:t>
            </w:r>
          </w:p>
        </w:tc>
        <w:tc>
          <w:tcPr>
            <w:tcW w:w="154" w:type="pct"/>
            <w:tcBorders>
              <w:top w:val="nil"/>
              <w:left w:val="nil"/>
              <w:bottom w:val="nil"/>
              <w:right w:val="nil"/>
            </w:tcBorders>
          </w:tcPr>
          <w:p w14:paraId="4AB36428"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5F162819"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Ministère de l’Habitat et de l’Urbanisme</w:t>
            </w:r>
          </w:p>
        </w:tc>
      </w:tr>
      <w:tr w:rsidR="002C4773" w:rsidRPr="007C5A6E" w14:paraId="5645E749" w14:textId="77777777" w:rsidTr="00CC1E9C">
        <w:trPr>
          <w:trHeight w:val="283"/>
        </w:trPr>
        <w:tc>
          <w:tcPr>
            <w:tcW w:w="845" w:type="pct"/>
            <w:tcBorders>
              <w:top w:val="nil"/>
              <w:left w:val="nil"/>
              <w:bottom w:val="nil"/>
              <w:right w:val="nil"/>
            </w:tcBorders>
            <w:shd w:val="clear" w:color="auto" w:fill="auto"/>
            <w:noWrap/>
          </w:tcPr>
          <w:p w14:paraId="4532F2B2"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MICA</w:t>
            </w:r>
          </w:p>
        </w:tc>
        <w:tc>
          <w:tcPr>
            <w:tcW w:w="154" w:type="pct"/>
            <w:tcBorders>
              <w:top w:val="nil"/>
              <w:left w:val="nil"/>
              <w:bottom w:val="nil"/>
              <w:right w:val="nil"/>
            </w:tcBorders>
          </w:tcPr>
          <w:p w14:paraId="4E9575E6"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56D8CD39"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Ministère de l’Industrie, du Commerce et de l’Artisanat</w:t>
            </w:r>
          </w:p>
        </w:tc>
      </w:tr>
      <w:tr w:rsidR="002C4773" w:rsidRPr="007C5A6E" w14:paraId="20AEDFF7" w14:textId="77777777" w:rsidTr="00CC1E9C">
        <w:trPr>
          <w:trHeight w:val="283"/>
        </w:trPr>
        <w:tc>
          <w:tcPr>
            <w:tcW w:w="845" w:type="pct"/>
            <w:tcBorders>
              <w:top w:val="nil"/>
              <w:left w:val="nil"/>
              <w:bottom w:val="nil"/>
              <w:right w:val="nil"/>
            </w:tcBorders>
            <w:shd w:val="clear" w:color="auto" w:fill="auto"/>
            <w:noWrap/>
          </w:tcPr>
          <w:p w14:paraId="52C6C4B8"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MIDT</w:t>
            </w:r>
          </w:p>
        </w:tc>
        <w:tc>
          <w:tcPr>
            <w:tcW w:w="154" w:type="pct"/>
            <w:tcBorders>
              <w:top w:val="nil"/>
              <w:left w:val="nil"/>
              <w:bottom w:val="nil"/>
              <w:right w:val="nil"/>
            </w:tcBorders>
          </w:tcPr>
          <w:p w14:paraId="2E75A195"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71C4A9B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Ministère des Infrastructures, du Désenclavement et des Transports</w:t>
            </w:r>
          </w:p>
        </w:tc>
      </w:tr>
      <w:tr w:rsidR="002C4773" w:rsidRPr="007C5A6E" w14:paraId="7F0E3B63" w14:textId="77777777" w:rsidTr="00CC1E9C">
        <w:trPr>
          <w:trHeight w:val="283"/>
        </w:trPr>
        <w:tc>
          <w:tcPr>
            <w:tcW w:w="845" w:type="pct"/>
            <w:tcBorders>
              <w:top w:val="nil"/>
              <w:left w:val="nil"/>
              <w:bottom w:val="nil"/>
              <w:right w:val="nil"/>
            </w:tcBorders>
            <w:shd w:val="clear" w:color="auto" w:fill="auto"/>
            <w:noWrap/>
          </w:tcPr>
          <w:p w14:paraId="6FD2D986"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MME</w:t>
            </w:r>
          </w:p>
        </w:tc>
        <w:tc>
          <w:tcPr>
            <w:tcW w:w="154" w:type="pct"/>
            <w:tcBorders>
              <w:top w:val="nil"/>
              <w:left w:val="nil"/>
              <w:bottom w:val="nil"/>
              <w:right w:val="nil"/>
            </w:tcBorders>
          </w:tcPr>
          <w:p w14:paraId="06EFDEDF"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3B45C7C9"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Ministère des Mines et de l'Energie</w:t>
            </w:r>
          </w:p>
        </w:tc>
      </w:tr>
      <w:tr w:rsidR="002C4773" w:rsidRPr="007C5A6E" w14:paraId="230E9281" w14:textId="77777777" w:rsidTr="00CC1E9C">
        <w:trPr>
          <w:trHeight w:val="283"/>
        </w:trPr>
        <w:tc>
          <w:tcPr>
            <w:tcW w:w="845" w:type="pct"/>
            <w:tcBorders>
              <w:top w:val="nil"/>
              <w:left w:val="nil"/>
              <w:bottom w:val="nil"/>
              <w:right w:val="nil"/>
            </w:tcBorders>
            <w:shd w:val="clear" w:color="auto" w:fill="auto"/>
            <w:noWrap/>
          </w:tcPr>
          <w:p w14:paraId="60094F35"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MRA</w:t>
            </w:r>
          </w:p>
        </w:tc>
        <w:tc>
          <w:tcPr>
            <w:tcW w:w="154" w:type="pct"/>
            <w:tcBorders>
              <w:top w:val="nil"/>
              <w:left w:val="nil"/>
              <w:bottom w:val="nil"/>
              <w:right w:val="nil"/>
            </w:tcBorders>
          </w:tcPr>
          <w:p w14:paraId="60308309"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401FE7DB"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lang w:eastAsia="en-US"/>
              </w:rPr>
              <w:t>Ministère des Ressources Animales</w:t>
            </w:r>
          </w:p>
        </w:tc>
      </w:tr>
      <w:tr w:rsidR="002C4773" w:rsidRPr="007C5A6E" w14:paraId="54D46E52" w14:textId="77777777" w:rsidTr="00CC1E9C">
        <w:trPr>
          <w:trHeight w:val="283"/>
        </w:trPr>
        <w:tc>
          <w:tcPr>
            <w:tcW w:w="845" w:type="pct"/>
            <w:tcBorders>
              <w:top w:val="nil"/>
              <w:left w:val="nil"/>
              <w:bottom w:val="nil"/>
              <w:right w:val="nil"/>
            </w:tcBorders>
            <w:shd w:val="clear" w:color="auto" w:fill="auto"/>
            <w:noWrap/>
          </w:tcPr>
          <w:p w14:paraId="01171F75"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MS</w:t>
            </w:r>
          </w:p>
        </w:tc>
        <w:tc>
          <w:tcPr>
            <w:tcW w:w="154" w:type="pct"/>
            <w:tcBorders>
              <w:top w:val="nil"/>
              <w:left w:val="nil"/>
              <w:bottom w:val="nil"/>
              <w:right w:val="nil"/>
            </w:tcBorders>
          </w:tcPr>
          <w:p w14:paraId="6F1E6EA5"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7D87910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Ministère de la Santé</w:t>
            </w:r>
          </w:p>
        </w:tc>
      </w:tr>
      <w:tr w:rsidR="002C4773" w:rsidRPr="007C5A6E" w14:paraId="79C29C1C" w14:textId="77777777" w:rsidTr="00CC1E9C">
        <w:trPr>
          <w:trHeight w:val="283"/>
        </w:trPr>
        <w:tc>
          <w:tcPr>
            <w:tcW w:w="845" w:type="pct"/>
            <w:tcBorders>
              <w:top w:val="nil"/>
              <w:left w:val="nil"/>
              <w:bottom w:val="nil"/>
              <w:right w:val="nil"/>
            </w:tcBorders>
            <w:shd w:val="clear" w:color="auto" w:fill="auto"/>
            <w:noWrap/>
          </w:tcPr>
          <w:p w14:paraId="74992E75"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MTMUSR</w:t>
            </w:r>
          </w:p>
        </w:tc>
        <w:tc>
          <w:tcPr>
            <w:tcW w:w="154" w:type="pct"/>
            <w:tcBorders>
              <w:top w:val="nil"/>
              <w:left w:val="nil"/>
              <w:bottom w:val="nil"/>
              <w:right w:val="nil"/>
            </w:tcBorders>
          </w:tcPr>
          <w:p w14:paraId="33982335" w14:textId="77777777" w:rsidR="002C4773" w:rsidRPr="007C5A6E" w:rsidRDefault="002C4773" w:rsidP="00CC1E9C">
            <w:pPr>
              <w:spacing w:after="0" w:line="240" w:lineRule="auto"/>
              <w:rPr>
                <w:rFonts w:ascii="Aptos" w:eastAsia="Aptos" w:hAnsi="Aptos"/>
                <w:kern w:val="2"/>
                <w:lang w:eastAsia="en-US"/>
                <w14:ligatures w14:val="standardContextual"/>
              </w:rPr>
            </w:pPr>
            <w:r w:rsidRPr="007C5A6E">
              <w:rPr>
                <w:rFonts w:ascii="Aptos" w:eastAsia="Aptos" w:hAnsi="Aptos"/>
                <w:kern w:val="2"/>
                <w:lang w:eastAsia="en-US"/>
                <w14:ligatures w14:val="standardContextual"/>
              </w:rPr>
              <w:t>:</w:t>
            </w:r>
          </w:p>
        </w:tc>
        <w:tc>
          <w:tcPr>
            <w:tcW w:w="4001" w:type="pct"/>
            <w:tcBorders>
              <w:top w:val="nil"/>
              <w:left w:val="nil"/>
              <w:bottom w:val="nil"/>
              <w:right w:val="nil"/>
            </w:tcBorders>
            <w:shd w:val="clear" w:color="auto" w:fill="auto"/>
            <w:noWrap/>
          </w:tcPr>
          <w:p w14:paraId="6E8B86E3" w14:textId="77777777" w:rsidR="002C4773" w:rsidRPr="007C5A6E" w:rsidRDefault="002C4773" w:rsidP="00CC1E9C">
            <w:pPr>
              <w:spacing w:after="0" w:line="240" w:lineRule="auto"/>
              <w:rPr>
                <w:rFonts w:ascii="Times New Roman" w:eastAsia="Aptos" w:hAnsi="Times New Roman"/>
                <w:kern w:val="2"/>
                <w:sz w:val="24"/>
                <w:szCs w:val="24"/>
                <w14:ligatures w14:val="standardContextual"/>
              </w:rPr>
            </w:pPr>
            <w:r w:rsidRPr="007C5A6E">
              <w:rPr>
                <w:rFonts w:ascii="Times New Roman" w:hAnsi="Times New Roman"/>
                <w:sz w:val="24"/>
                <w:szCs w:val="24"/>
              </w:rPr>
              <w:t>Ministère des Transports de la Modalité Urbaine et de Sécurité Routière</w:t>
            </w:r>
          </w:p>
        </w:tc>
      </w:tr>
      <w:tr w:rsidR="002C4773" w:rsidRPr="007C5A6E" w14:paraId="3ACCC988" w14:textId="77777777" w:rsidTr="00CC1E9C">
        <w:trPr>
          <w:trHeight w:val="283"/>
        </w:trPr>
        <w:tc>
          <w:tcPr>
            <w:tcW w:w="845" w:type="pct"/>
            <w:tcBorders>
              <w:top w:val="nil"/>
              <w:left w:val="nil"/>
              <w:bottom w:val="nil"/>
              <w:right w:val="nil"/>
            </w:tcBorders>
            <w:shd w:val="clear" w:color="auto" w:fill="auto"/>
            <w:noWrap/>
          </w:tcPr>
          <w:p w14:paraId="39EBE2DF"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NO</w:t>
            </w:r>
            <w:r w:rsidRPr="007C5A6E">
              <w:rPr>
                <w:rFonts w:ascii="Times New Roman" w:hAnsi="Times New Roman"/>
                <w:kern w:val="2"/>
                <w:sz w:val="24"/>
                <w:szCs w:val="24"/>
                <w:vertAlign w:val="subscript"/>
                <w:lang w:eastAsia="en-US"/>
                <w14:ligatures w14:val="standardContextual"/>
              </w:rPr>
              <w:t>2</w:t>
            </w:r>
          </w:p>
        </w:tc>
        <w:tc>
          <w:tcPr>
            <w:tcW w:w="154" w:type="pct"/>
            <w:tcBorders>
              <w:top w:val="nil"/>
              <w:left w:val="nil"/>
              <w:bottom w:val="nil"/>
              <w:right w:val="nil"/>
            </w:tcBorders>
          </w:tcPr>
          <w:p w14:paraId="296B52DD"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Aptos" w:eastAsia="Aptos" w:hAnsi="Aptos"/>
                <w:kern w:val="2"/>
                <w:lang w:eastAsia="en-US"/>
                <w14:ligatures w14:val="standardContextual"/>
              </w:rPr>
              <w:t>:</w:t>
            </w:r>
          </w:p>
        </w:tc>
        <w:tc>
          <w:tcPr>
            <w:tcW w:w="4001" w:type="pct"/>
            <w:tcBorders>
              <w:top w:val="nil"/>
              <w:left w:val="nil"/>
              <w:bottom w:val="nil"/>
              <w:right w:val="nil"/>
            </w:tcBorders>
            <w:shd w:val="clear" w:color="auto" w:fill="auto"/>
            <w:noWrap/>
          </w:tcPr>
          <w:p w14:paraId="1556B79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eastAsia="Aptos" w:hAnsi="Times New Roman"/>
                <w:kern w:val="2"/>
                <w:sz w:val="24"/>
                <w:szCs w:val="24"/>
                <w14:ligatures w14:val="standardContextual"/>
              </w:rPr>
              <w:t>Dioxyde d'azote</w:t>
            </w:r>
          </w:p>
        </w:tc>
      </w:tr>
      <w:tr w:rsidR="002C4773" w:rsidRPr="007C5A6E" w14:paraId="06AA52D3" w14:textId="77777777" w:rsidTr="00CC1E9C">
        <w:trPr>
          <w:trHeight w:val="283"/>
        </w:trPr>
        <w:tc>
          <w:tcPr>
            <w:tcW w:w="845" w:type="pct"/>
            <w:tcBorders>
              <w:top w:val="nil"/>
              <w:left w:val="nil"/>
              <w:bottom w:val="nil"/>
              <w:right w:val="nil"/>
            </w:tcBorders>
            <w:shd w:val="clear" w:color="auto" w:fill="auto"/>
            <w:noWrap/>
          </w:tcPr>
          <w:p w14:paraId="5D5C456A"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NTD</w:t>
            </w:r>
          </w:p>
        </w:tc>
        <w:tc>
          <w:tcPr>
            <w:tcW w:w="154" w:type="pct"/>
            <w:tcBorders>
              <w:top w:val="nil"/>
              <w:left w:val="nil"/>
              <w:bottom w:val="nil"/>
              <w:right w:val="nil"/>
            </w:tcBorders>
          </w:tcPr>
          <w:p w14:paraId="37DFD9A3"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21AD0BC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Neutralité en matière de Dégradation des Terres</w:t>
            </w:r>
          </w:p>
        </w:tc>
      </w:tr>
      <w:tr w:rsidR="002C4773" w:rsidRPr="007C5A6E" w14:paraId="6C0E7F44" w14:textId="77777777" w:rsidTr="00CC1E9C">
        <w:trPr>
          <w:trHeight w:val="283"/>
        </w:trPr>
        <w:tc>
          <w:tcPr>
            <w:tcW w:w="845" w:type="pct"/>
            <w:tcBorders>
              <w:top w:val="nil"/>
              <w:left w:val="nil"/>
              <w:bottom w:val="nil"/>
              <w:right w:val="nil"/>
            </w:tcBorders>
            <w:shd w:val="clear" w:color="auto" w:fill="auto"/>
            <w:noWrap/>
          </w:tcPr>
          <w:p w14:paraId="4F38279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NU</w:t>
            </w:r>
          </w:p>
        </w:tc>
        <w:tc>
          <w:tcPr>
            <w:tcW w:w="154" w:type="pct"/>
            <w:tcBorders>
              <w:top w:val="nil"/>
              <w:left w:val="nil"/>
              <w:bottom w:val="nil"/>
              <w:right w:val="nil"/>
            </w:tcBorders>
          </w:tcPr>
          <w:p w14:paraId="3853BBE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7F5B490D"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Nations Unies</w:t>
            </w:r>
          </w:p>
        </w:tc>
      </w:tr>
      <w:tr w:rsidR="002C4773" w:rsidRPr="007C5A6E" w14:paraId="51A9D571" w14:textId="77777777" w:rsidTr="00CC1E9C">
        <w:trPr>
          <w:trHeight w:val="283"/>
        </w:trPr>
        <w:tc>
          <w:tcPr>
            <w:tcW w:w="845" w:type="pct"/>
            <w:tcBorders>
              <w:top w:val="nil"/>
              <w:left w:val="nil"/>
              <w:bottom w:val="nil"/>
              <w:right w:val="nil"/>
            </w:tcBorders>
            <w:shd w:val="clear" w:color="auto" w:fill="auto"/>
            <w:noWrap/>
          </w:tcPr>
          <w:p w14:paraId="0335442D"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OCDE</w:t>
            </w:r>
          </w:p>
        </w:tc>
        <w:tc>
          <w:tcPr>
            <w:tcW w:w="154" w:type="pct"/>
            <w:tcBorders>
              <w:top w:val="nil"/>
              <w:left w:val="nil"/>
              <w:bottom w:val="nil"/>
              <w:right w:val="nil"/>
            </w:tcBorders>
          </w:tcPr>
          <w:p w14:paraId="2D85183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65FDB8DD"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Organisation de Coopération et de Développement Economique</w:t>
            </w:r>
          </w:p>
        </w:tc>
      </w:tr>
      <w:tr w:rsidR="002C4773" w:rsidRPr="007C5A6E" w14:paraId="094FD406" w14:textId="77777777" w:rsidTr="00CC1E9C">
        <w:trPr>
          <w:trHeight w:val="283"/>
        </w:trPr>
        <w:tc>
          <w:tcPr>
            <w:tcW w:w="845" w:type="pct"/>
            <w:tcBorders>
              <w:top w:val="nil"/>
              <w:left w:val="nil"/>
              <w:bottom w:val="nil"/>
              <w:right w:val="nil"/>
            </w:tcBorders>
            <w:shd w:val="clear" w:color="auto" w:fill="auto"/>
            <w:noWrap/>
          </w:tcPr>
          <w:p w14:paraId="7B6E441D"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 xml:space="preserve">ODD </w:t>
            </w:r>
          </w:p>
        </w:tc>
        <w:tc>
          <w:tcPr>
            <w:tcW w:w="154" w:type="pct"/>
            <w:tcBorders>
              <w:top w:val="nil"/>
              <w:left w:val="nil"/>
              <w:bottom w:val="nil"/>
              <w:right w:val="nil"/>
            </w:tcBorders>
          </w:tcPr>
          <w:p w14:paraId="5037F43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0DA18AA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Objectifs de Développement Durable</w:t>
            </w:r>
          </w:p>
        </w:tc>
      </w:tr>
      <w:tr w:rsidR="002C4773" w:rsidRPr="007C5A6E" w14:paraId="0E556433" w14:textId="77777777" w:rsidTr="00CC1E9C">
        <w:trPr>
          <w:trHeight w:val="283"/>
        </w:trPr>
        <w:tc>
          <w:tcPr>
            <w:tcW w:w="845" w:type="pct"/>
            <w:tcBorders>
              <w:top w:val="nil"/>
              <w:left w:val="nil"/>
              <w:bottom w:val="nil"/>
              <w:right w:val="nil"/>
            </w:tcBorders>
            <w:shd w:val="clear" w:color="auto" w:fill="auto"/>
            <w:noWrap/>
          </w:tcPr>
          <w:p w14:paraId="5685B0F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OMD</w:t>
            </w:r>
          </w:p>
        </w:tc>
        <w:tc>
          <w:tcPr>
            <w:tcW w:w="154" w:type="pct"/>
            <w:tcBorders>
              <w:top w:val="nil"/>
              <w:left w:val="nil"/>
              <w:bottom w:val="nil"/>
              <w:right w:val="nil"/>
            </w:tcBorders>
          </w:tcPr>
          <w:p w14:paraId="61E3A656"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7571159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lang w:eastAsia="en-US"/>
              </w:rPr>
              <w:t>Objectifs du Millénaire pour le Développement</w:t>
            </w:r>
          </w:p>
        </w:tc>
      </w:tr>
      <w:tr w:rsidR="002C4773" w:rsidRPr="007C5A6E" w14:paraId="16F79A7F" w14:textId="77777777" w:rsidTr="00CC1E9C">
        <w:trPr>
          <w:trHeight w:val="283"/>
        </w:trPr>
        <w:tc>
          <w:tcPr>
            <w:tcW w:w="845" w:type="pct"/>
            <w:tcBorders>
              <w:top w:val="nil"/>
              <w:left w:val="nil"/>
              <w:bottom w:val="nil"/>
              <w:right w:val="nil"/>
            </w:tcBorders>
            <w:shd w:val="clear" w:color="auto" w:fill="auto"/>
            <w:noWrap/>
          </w:tcPr>
          <w:p w14:paraId="7CF1AA34"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OMS</w:t>
            </w:r>
          </w:p>
        </w:tc>
        <w:tc>
          <w:tcPr>
            <w:tcW w:w="154" w:type="pct"/>
            <w:tcBorders>
              <w:top w:val="nil"/>
              <w:left w:val="nil"/>
              <w:bottom w:val="nil"/>
              <w:right w:val="nil"/>
            </w:tcBorders>
          </w:tcPr>
          <w:p w14:paraId="5E1B7723"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5EB6696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Organisation Mondiale de la Santé</w:t>
            </w:r>
          </w:p>
        </w:tc>
      </w:tr>
      <w:tr w:rsidR="002C4773" w:rsidRPr="007C5A6E" w14:paraId="5EABE825" w14:textId="77777777" w:rsidTr="00CC1E9C">
        <w:trPr>
          <w:trHeight w:val="283"/>
        </w:trPr>
        <w:tc>
          <w:tcPr>
            <w:tcW w:w="845" w:type="pct"/>
            <w:tcBorders>
              <w:top w:val="nil"/>
              <w:left w:val="nil"/>
              <w:bottom w:val="nil"/>
              <w:right w:val="nil"/>
            </w:tcBorders>
            <w:shd w:val="clear" w:color="auto" w:fill="auto"/>
            <w:noWrap/>
          </w:tcPr>
          <w:p w14:paraId="33EEC57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ONEDD</w:t>
            </w:r>
          </w:p>
        </w:tc>
        <w:tc>
          <w:tcPr>
            <w:tcW w:w="154" w:type="pct"/>
            <w:tcBorders>
              <w:top w:val="nil"/>
              <w:left w:val="nil"/>
              <w:bottom w:val="nil"/>
              <w:right w:val="nil"/>
            </w:tcBorders>
          </w:tcPr>
          <w:p w14:paraId="6A194894"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67024F5F"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Observatoire National de l’Environnement et du Développement Durable</w:t>
            </w:r>
          </w:p>
        </w:tc>
      </w:tr>
      <w:tr w:rsidR="002C4773" w:rsidRPr="007C5A6E" w14:paraId="7510ABD4" w14:textId="77777777" w:rsidTr="00CC1E9C">
        <w:trPr>
          <w:trHeight w:val="283"/>
        </w:trPr>
        <w:tc>
          <w:tcPr>
            <w:tcW w:w="845" w:type="pct"/>
            <w:tcBorders>
              <w:top w:val="nil"/>
              <w:left w:val="nil"/>
              <w:bottom w:val="nil"/>
              <w:right w:val="nil"/>
            </w:tcBorders>
            <w:shd w:val="clear" w:color="auto" w:fill="auto"/>
            <w:noWrap/>
          </w:tcPr>
          <w:p w14:paraId="03F5BE38"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ONDD</w:t>
            </w:r>
          </w:p>
        </w:tc>
        <w:tc>
          <w:tcPr>
            <w:tcW w:w="154" w:type="pct"/>
            <w:tcBorders>
              <w:top w:val="nil"/>
              <w:left w:val="nil"/>
              <w:bottom w:val="nil"/>
              <w:right w:val="nil"/>
            </w:tcBorders>
          </w:tcPr>
          <w:p w14:paraId="058F179B"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5D893DB2"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Observatoire National du Développement Durable</w:t>
            </w:r>
          </w:p>
        </w:tc>
      </w:tr>
      <w:tr w:rsidR="002C4773" w:rsidRPr="007C5A6E" w14:paraId="5BADAED3" w14:textId="77777777" w:rsidTr="00CC1E9C">
        <w:trPr>
          <w:trHeight w:val="283"/>
        </w:trPr>
        <w:tc>
          <w:tcPr>
            <w:tcW w:w="845" w:type="pct"/>
            <w:tcBorders>
              <w:top w:val="nil"/>
              <w:left w:val="nil"/>
              <w:bottom w:val="nil"/>
              <w:right w:val="nil"/>
            </w:tcBorders>
            <w:shd w:val="clear" w:color="auto" w:fill="auto"/>
            <w:noWrap/>
          </w:tcPr>
          <w:p w14:paraId="1B9CDFE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ONG</w:t>
            </w:r>
          </w:p>
        </w:tc>
        <w:tc>
          <w:tcPr>
            <w:tcW w:w="154" w:type="pct"/>
            <w:tcBorders>
              <w:top w:val="nil"/>
              <w:left w:val="nil"/>
              <w:bottom w:val="nil"/>
              <w:right w:val="nil"/>
            </w:tcBorders>
          </w:tcPr>
          <w:p w14:paraId="6C45519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3A57F70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Organisation Non Gouvernementale</w:t>
            </w:r>
          </w:p>
        </w:tc>
      </w:tr>
      <w:tr w:rsidR="002C4773" w:rsidRPr="007C5A6E" w14:paraId="15C3C09E" w14:textId="77777777" w:rsidTr="00CC1E9C">
        <w:trPr>
          <w:trHeight w:val="283"/>
        </w:trPr>
        <w:tc>
          <w:tcPr>
            <w:tcW w:w="845" w:type="pct"/>
            <w:tcBorders>
              <w:top w:val="nil"/>
              <w:left w:val="nil"/>
              <w:bottom w:val="nil"/>
              <w:right w:val="nil"/>
            </w:tcBorders>
            <w:shd w:val="clear" w:color="auto" w:fill="auto"/>
            <w:noWrap/>
          </w:tcPr>
          <w:p w14:paraId="3118AD38"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ONU</w:t>
            </w:r>
          </w:p>
        </w:tc>
        <w:tc>
          <w:tcPr>
            <w:tcW w:w="154" w:type="pct"/>
            <w:tcBorders>
              <w:top w:val="nil"/>
              <w:left w:val="nil"/>
              <w:bottom w:val="nil"/>
              <w:right w:val="nil"/>
            </w:tcBorders>
          </w:tcPr>
          <w:p w14:paraId="1ABA0BA5"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6E5D8BA9"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Organisation des Nations Unies</w:t>
            </w:r>
          </w:p>
        </w:tc>
      </w:tr>
      <w:tr w:rsidR="002C4773" w:rsidRPr="007C5A6E" w14:paraId="73113440" w14:textId="77777777" w:rsidTr="00CC1E9C">
        <w:trPr>
          <w:trHeight w:val="283"/>
        </w:trPr>
        <w:tc>
          <w:tcPr>
            <w:tcW w:w="845" w:type="pct"/>
            <w:tcBorders>
              <w:top w:val="nil"/>
              <w:left w:val="nil"/>
              <w:bottom w:val="nil"/>
              <w:right w:val="nil"/>
            </w:tcBorders>
            <w:shd w:val="clear" w:color="auto" w:fill="auto"/>
            <w:noWrap/>
          </w:tcPr>
          <w:p w14:paraId="11C1285F" w14:textId="77777777" w:rsidR="002C4773" w:rsidRPr="007C5A6E" w:rsidRDefault="002C4773" w:rsidP="00CC1E9C">
            <w:pPr>
              <w:spacing w:after="0" w:line="240" w:lineRule="auto"/>
              <w:rPr>
                <w:rFonts w:ascii="Times New Roman" w:hAnsi="Times New Roman"/>
                <w:sz w:val="24"/>
                <w:szCs w:val="24"/>
                <w:lang w:eastAsia="en-US"/>
              </w:rPr>
            </w:pPr>
            <w:r w:rsidRPr="007C5A6E">
              <w:rPr>
                <w:rFonts w:ascii="Times New Roman" w:hAnsi="Times New Roman"/>
                <w:sz w:val="24"/>
                <w:szCs w:val="24"/>
                <w:lang w:eastAsia="en-US"/>
              </w:rPr>
              <w:t>PAEA</w:t>
            </w:r>
          </w:p>
        </w:tc>
        <w:tc>
          <w:tcPr>
            <w:tcW w:w="154" w:type="pct"/>
            <w:tcBorders>
              <w:top w:val="nil"/>
              <w:left w:val="nil"/>
              <w:bottom w:val="nil"/>
              <w:right w:val="nil"/>
            </w:tcBorders>
          </w:tcPr>
          <w:p w14:paraId="3A36761D"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565E19D0" w14:textId="77777777" w:rsidR="002C4773" w:rsidRPr="007C5A6E" w:rsidRDefault="002C4773" w:rsidP="00CC1E9C">
            <w:pPr>
              <w:spacing w:after="0" w:line="240" w:lineRule="auto"/>
              <w:rPr>
                <w:rFonts w:ascii="Times New Roman" w:hAnsi="Times New Roman"/>
                <w:sz w:val="24"/>
                <w:szCs w:val="24"/>
                <w:lang w:eastAsia="en-US"/>
              </w:rPr>
            </w:pPr>
            <w:r w:rsidRPr="007C5A6E">
              <w:rPr>
                <w:rFonts w:ascii="Times New Roman" w:hAnsi="Times New Roman"/>
                <w:sz w:val="24"/>
                <w:szCs w:val="24"/>
              </w:rPr>
              <w:t>Programme d’Appui Eau et Assainissement</w:t>
            </w:r>
          </w:p>
        </w:tc>
      </w:tr>
      <w:tr w:rsidR="002C4773" w:rsidRPr="007C5A6E" w14:paraId="7855D5D9" w14:textId="77777777" w:rsidTr="00CC1E9C">
        <w:trPr>
          <w:trHeight w:val="283"/>
        </w:trPr>
        <w:tc>
          <w:tcPr>
            <w:tcW w:w="845" w:type="pct"/>
            <w:tcBorders>
              <w:top w:val="nil"/>
              <w:left w:val="nil"/>
              <w:bottom w:val="nil"/>
              <w:right w:val="nil"/>
            </w:tcBorders>
            <w:shd w:val="clear" w:color="auto" w:fill="auto"/>
            <w:noWrap/>
          </w:tcPr>
          <w:p w14:paraId="760E6678" w14:textId="77777777" w:rsidR="002C4773" w:rsidRPr="007C5A6E" w:rsidRDefault="002C4773" w:rsidP="00CC1E9C">
            <w:pPr>
              <w:spacing w:after="0" w:line="240" w:lineRule="auto"/>
              <w:rPr>
                <w:rFonts w:ascii="Times New Roman" w:hAnsi="Times New Roman"/>
                <w:sz w:val="24"/>
                <w:szCs w:val="24"/>
                <w:lang w:eastAsia="en-US"/>
              </w:rPr>
            </w:pPr>
            <w:r w:rsidRPr="007C5A6E">
              <w:rPr>
                <w:rFonts w:ascii="Times New Roman" w:hAnsi="Times New Roman"/>
                <w:sz w:val="24"/>
                <w:szCs w:val="24"/>
                <w:lang w:eastAsia="en-US"/>
              </w:rPr>
              <w:t>PAGIRE</w:t>
            </w:r>
          </w:p>
        </w:tc>
        <w:tc>
          <w:tcPr>
            <w:tcW w:w="154" w:type="pct"/>
            <w:tcBorders>
              <w:top w:val="nil"/>
              <w:left w:val="nil"/>
              <w:bottom w:val="nil"/>
              <w:right w:val="nil"/>
            </w:tcBorders>
          </w:tcPr>
          <w:p w14:paraId="217E071A"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7AE32D82" w14:textId="77777777" w:rsidR="002C4773" w:rsidRPr="007C5A6E" w:rsidRDefault="002C4773" w:rsidP="00CC1E9C">
            <w:pPr>
              <w:spacing w:after="0" w:line="240" w:lineRule="auto"/>
              <w:rPr>
                <w:rFonts w:ascii="Times New Roman" w:hAnsi="Times New Roman"/>
                <w:sz w:val="24"/>
                <w:szCs w:val="24"/>
                <w:lang w:eastAsia="en-US"/>
              </w:rPr>
            </w:pPr>
            <w:r w:rsidRPr="007C5A6E">
              <w:rPr>
                <w:rFonts w:ascii="Times New Roman" w:hAnsi="Times New Roman"/>
                <w:sz w:val="24"/>
                <w:szCs w:val="24"/>
              </w:rPr>
              <w:t>Plan d’action pour la GIRE</w:t>
            </w:r>
          </w:p>
        </w:tc>
      </w:tr>
      <w:tr w:rsidR="002C4773" w:rsidRPr="007C5A6E" w14:paraId="6E6E04CF" w14:textId="77777777" w:rsidTr="00CC1E9C">
        <w:trPr>
          <w:trHeight w:val="283"/>
        </w:trPr>
        <w:tc>
          <w:tcPr>
            <w:tcW w:w="845" w:type="pct"/>
            <w:tcBorders>
              <w:top w:val="nil"/>
              <w:left w:val="nil"/>
              <w:bottom w:val="nil"/>
              <w:right w:val="nil"/>
            </w:tcBorders>
            <w:shd w:val="clear" w:color="auto" w:fill="auto"/>
            <w:noWrap/>
          </w:tcPr>
          <w:p w14:paraId="0FF9EF54"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lang w:eastAsia="en-US"/>
              </w:rPr>
              <w:t>PAPSA</w:t>
            </w:r>
          </w:p>
        </w:tc>
        <w:tc>
          <w:tcPr>
            <w:tcW w:w="154" w:type="pct"/>
            <w:tcBorders>
              <w:top w:val="nil"/>
              <w:left w:val="nil"/>
              <w:bottom w:val="nil"/>
              <w:right w:val="nil"/>
            </w:tcBorders>
          </w:tcPr>
          <w:p w14:paraId="025F28F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17B3F942"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lang w:eastAsia="en-US"/>
              </w:rPr>
              <w:t>Projet d'appui aux Productions agro-</w:t>
            </w:r>
            <w:proofErr w:type="spellStart"/>
            <w:r w:rsidRPr="007C5A6E">
              <w:rPr>
                <w:rFonts w:ascii="Times New Roman" w:hAnsi="Times New Roman"/>
                <w:sz w:val="24"/>
                <w:szCs w:val="24"/>
                <w:lang w:eastAsia="en-US"/>
              </w:rPr>
              <w:t>sylvo</w:t>
            </w:r>
            <w:proofErr w:type="spellEnd"/>
            <w:r w:rsidRPr="007C5A6E">
              <w:rPr>
                <w:rFonts w:ascii="Times New Roman" w:hAnsi="Times New Roman"/>
                <w:sz w:val="24"/>
                <w:szCs w:val="24"/>
                <w:lang w:eastAsia="en-US"/>
              </w:rPr>
              <w:t>-pastorales</w:t>
            </w:r>
          </w:p>
        </w:tc>
      </w:tr>
      <w:tr w:rsidR="002C4773" w:rsidRPr="007C5A6E" w14:paraId="7663EE0D" w14:textId="77777777" w:rsidTr="00CC1E9C">
        <w:trPr>
          <w:trHeight w:val="283"/>
        </w:trPr>
        <w:tc>
          <w:tcPr>
            <w:tcW w:w="845" w:type="pct"/>
            <w:tcBorders>
              <w:top w:val="nil"/>
              <w:left w:val="nil"/>
              <w:bottom w:val="nil"/>
              <w:right w:val="nil"/>
            </w:tcBorders>
            <w:shd w:val="clear" w:color="auto" w:fill="auto"/>
            <w:noWrap/>
          </w:tcPr>
          <w:p w14:paraId="0DBB7403"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PASD</w:t>
            </w:r>
          </w:p>
        </w:tc>
        <w:tc>
          <w:tcPr>
            <w:tcW w:w="154" w:type="pct"/>
            <w:tcBorders>
              <w:top w:val="nil"/>
              <w:left w:val="nil"/>
              <w:bottom w:val="nil"/>
              <w:right w:val="nil"/>
            </w:tcBorders>
          </w:tcPr>
          <w:p w14:paraId="6B5E3F79"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19B6017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Plan d'Action pour la Stabilisation et le Développement</w:t>
            </w:r>
          </w:p>
        </w:tc>
      </w:tr>
      <w:tr w:rsidR="002C4773" w:rsidRPr="007C5A6E" w14:paraId="4FC56C03" w14:textId="77777777" w:rsidTr="00CC1E9C">
        <w:trPr>
          <w:trHeight w:val="283"/>
        </w:trPr>
        <w:tc>
          <w:tcPr>
            <w:tcW w:w="845" w:type="pct"/>
            <w:tcBorders>
              <w:top w:val="nil"/>
              <w:left w:val="nil"/>
              <w:bottom w:val="nil"/>
              <w:right w:val="nil"/>
            </w:tcBorders>
            <w:shd w:val="clear" w:color="auto" w:fill="auto"/>
            <w:noWrap/>
          </w:tcPr>
          <w:p w14:paraId="72B05A29"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PARIIS</w:t>
            </w:r>
          </w:p>
        </w:tc>
        <w:tc>
          <w:tcPr>
            <w:tcW w:w="154" w:type="pct"/>
            <w:tcBorders>
              <w:top w:val="nil"/>
              <w:left w:val="nil"/>
              <w:bottom w:val="nil"/>
              <w:right w:val="nil"/>
            </w:tcBorders>
          </w:tcPr>
          <w:p w14:paraId="727FD765"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2D772B50" w14:textId="77777777" w:rsidR="002C4773" w:rsidRPr="007C5A6E" w:rsidRDefault="002C4773" w:rsidP="00CC1E9C">
            <w:pPr>
              <w:spacing w:after="0" w:line="240" w:lineRule="auto"/>
              <w:rPr>
                <w:rFonts w:ascii="Times New Roman" w:hAnsi="Times New Roman"/>
                <w:sz w:val="24"/>
                <w:szCs w:val="24"/>
              </w:rPr>
            </w:pPr>
            <w:r w:rsidRPr="007C5A6E">
              <w:rPr>
                <w:rFonts w:ascii="Times New Roman" w:hAnsi="Times New Roman"/>
                <w:sz w:val="24"/>
                <w:szCs w:val="24"/>
              </w:rPr>
              <w:t>Projet d’Appui Régional à l’Initiative pour l’Irrigation au Sahel</w:t>
            </w:r>
          </w:p>
        </w:tc>
      </w:tr>
      <w:tr w:rsidR="002C4773" w:rsidRPr="007C5A6E" w14:paraId="206A7495" w14:textId="77777777" w:rsidTr="00CC1E9C">
        <w:trPr>
          <w:trHeight w:val="283"/>
        </w:trPr>
        <w:tc>
          <w:tcPr>
            <w:tcW w:w="845" w:type="pct"/>
            <w:tcBorders>
              <w:top w:val="nil"/>
              <w:left w:val="nil"/>
              <w:bottom w:val="nil"/>
              <w:right w:val="nil"/>
            </w:tcBorders>
            <w:shd w:val="clear" w:color="auto" w:fill="auto"/>
            <w:noWrap/>
          </w:tcPr>
          <w:p w14:paraId="63CD81A9"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PEA</w:t>
            </w:r>
          </w:p>
        </w:tc>
        <w:tc>
          <w:tcPr>
            <w:tcW w:w="154" w:type="pct"/>
            <w:tcBorders>
              <w:top w:val="nil"/>
              <w:left w:val="nil"/>
              <w:bottom w:val="nil"/>
              <w:right w:val="nil"/>
            </w:tcBorders>
          </w:tcPr>
          <w:p w14:paraId="5DF410AD"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7730A658"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Poste d’Eau Autonome</w:t>
            </w:r>
          </w:p>
        </w:tc>
      </w:tr>
      <w:tr w:rsidR="002C4773" w:rsidRPr="007C5A6E" w14:paraId="1E69A598" w14:textId="77777777" w:rsidTr="00CC1E9C">
        <w:trPr>
          <w:trHeight w:val="283"/>
        </w:trPr>
        <w:tc>
          <w:tcPr>
            <w:tcW w:w="845" w:type="pct"/>
            <w:tcBorders>
              <w:top w:val="nil"/>
              <w:left w:val="nil"/>
              <w:bottom w:val="nil"/>
              <w:right w:val="nil"/>
            </w:tcBorders>
            <w:shd w:val="clear" w:color="auto" w:fill="auto"/>
            <w:noWrap/>
          </w:tcPr>
          <w:p w14:paraId="2F074049"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PEIR</w:t>
            </w:r>
          </w:p>
        </w:tc>
        <w:tc>
          <w:tcPr>
            <w:tcW w:w="154" w:type="pct"/>
            <w:tcBorders>
              <w:top w:val="nil"/>
              <w:left w:val="nil"/>
              <w:bottom w:val="nil"/>
              <w:right w:val="nil"/>
            </w:tcBorders>
          </w:tcPr>
          <w:p w14:paraId="443A0749"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01366266"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Pression – Etat – Impact – Réponse</w:t>
            </w:r>
          </w:p>
        </w:tc>
      </w:tr>
      <w:tr w:rsidR="002C4773" w:rsidRPr="007C5A6E" w14:paraId="1899132E" w14:textId="77777777" w:rsidTr="00CC1E9C">
        <w:trPr>
          <w:trHeight w:val="283"/>
        </w:trPr>
        <w:tc>
          <w:tcPr>
            <w:tcW w:w="845" w:type="pct"/>
            <w:tcBorders>
              <w:top w:val="nil"/>
              <w:left w:val="nil"/>
              <w:bottom w:val="nil"/>
              <w:right w:val="nil"/>
            </w:tcBorders>
            <w:shd w:val="clear" w:color="auto" w:fill="auto"/>
            <w:noWrap/>
          </w:tcPr>
          <w:p w14:paraId="56027715"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PFNL</w:t>
            </w:r>
          </w:p>
        </w:tc>
        <w:tc>
          <w:tcPr>
            <w:tcW w:w="154" w:type="pct"/>
            <w:tcBorders>
              <w:top w:val="nil"/>
              <w:left w:val="nil"/>
              <w:bottom w:val="nil"/>
              <w:right w:val="nil"/>
            </w:tcBorders>
          </w:tcPr>
          <w:p w14:paraId="379F552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7693A11F"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lang w:eastAsia="en-US"/>
              </w:rPr>
              <w:t>Produits Forestiers Non Ligneux</w:t>
            </w:r>
          </w:p>
        </w:tc>
      </w:tr>
      <w:tr w:rsidR="002C4773" w:rsidRPr="007C5A6E" w14:paraId="3FB803C7" w14:textId="77777777" w:rsidTr="00CC1E9C">
        <w:trPr>
          <w:trHeight w:val="283"/>
        </w:trPr>
        <w:tc>
          <w:tcPr>
            <w:tcW w:w="845" w:type="pct"/>
            <w:tcBorders>
              <w:top w:val="nil"/>
              <w:left w:val="nil"/>
              <w:bottom w:val="nil"/>
              <w:right w:val="nil"/>
            </w:tcBorders>
            <w:shd w:val="clear" w:color="auto" w:fill="auto"/>
            <w:noWrap/>
          </w:tcPr>
          <w:p w14:paraId="43819B5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PIB</w:t>
            </w:r>
          </w:p>
        </w:tc>
        <w:tc>
          <w:tcPr>
            <w:tcW w:w="154" w:type="pct"/>
            <w:tcBorders>
              <w:top w:val="nil"/>
              <w:left w:val="nil"/>
              <w:bottom w:val="nil"/>
              <w:right w:val="nil"/>
            </w:tcBorders>
          </w:tcPr>
          <w:p w14:paraId="5E31F57B"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3DA36073"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Produit Intérieur Brut</w:t>
            </w:r>
          </w:p>
        </w:tc>
      </w:tr>
      <w:tr w:rsidR="002C4773" w:rsidRPr="007C5A6E" w14:paraId="60D56781" w14:textId="77777777" w:rsidTr="00CC1E9C">
        <w:trPr>
          <w:trHeight w:val="283"/>
        </w:trPr>
        <w:tc>
          <w:tcPr>
            <w:tcW w:w="845" w:type="pct"/>
            <w:tcBorders>
              <w:top w:val="nil"/>
              <w:left w:val="nil"/>
              <w:bottom w:val="nil"/>
              <w:right w:val="nil"/>
            </w:tcBorders>
            <w:shd w:val="clear" w:color="auto" w:fill="auto"/>
            <w:noWrap/>
          </w:tcPr>
          <w:p w14:paraId="1175C7A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PM</w:t>
            </w:r>
          </w:p>
        </w:tc>
        <w:tc>
          <w:tcPr>
            <w:tcW w:w="154" w:type="pct"/>
            <w:tcBorders>
              <w:top w:val="nil"/>
              <w:left w:val="nil"/>
              <w:bottom w:val="nil"/>
              <w:right w:val="nil"/>
            </w:tcBorders>
          </w:tcPr>
          <w:p w14:paraId="6E783943"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1539AE03"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Premier Ministère</w:t>
            </w:r>
          </w:p>
        </w:tc>
      </w:tr>
      <w:tr w:rsidR="002C4773" w:rsidRPr="007C5A6E" w14:paraId="4120EBD2" w14:textId="77777777" w:rsidTr="00CC1E9C">
        <w:trPr>
          <w:trHeight w:val="283"/>
        </w:trPr>
        <w:tc>
          <w:tcPr>
            <w:tcW w:w="845" w:type="pct"/>
            <w:tcBorders>
              <w:top w:val="nil"/>
              <w:left w:val="nil"/>
              <w:bottom w:val="nil"/>
              <w:right w:val="nil"/>
            </w:tcBorders>
            <w:shd w:val="clear" w:color="auto" w:fill="auto"/>
            <w:noWrap/>
          </w:tcPr>
          <w:p w14:paraId="75F0A57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PMH</w:t>
            </w:r>
          </w:p>
        </w:tc>
        <w:tc>
          <w:tcPr>
            <w:tcW w:w="154" w:type="pct"/>
            <w:tcBorders>
              <w:top w:val="nil"/>
              <w:left w:val="nil"/>
              <w:bottom w:val="nil"/>
              <w:right w:val="nil"/>
            </w:tcBorders>
          </w:tcPr>
          <w:p w14:paraId="2C08ABC3" w14:textId="77777777" w:rsidR="002C4773" w:rsidRPr="007C5A6E" w:rsidRDefault="002C4773" w:rsidP="00CC1E9C">
            <w:pPr>
              <w:spacing w:after="0" w:line="240" w:lineRule="auto"/>
              <w:rPr>
                <w:rFonts w:ascii="Aptos" w:eastAsia="Aptos" w:hAnsi="Aptos"/>
                <w:kern w:val="2"/>
                <w:lang w:eastAsia="en-US"/>
                <w14:ligatures w14:val="standardContextual"/>
              </w:rPr>
            </w:pPr>
            <w:r w:rsidRPr="007C5A6E">
              <w:rPr>
                <w:rFonts w:ascii="Aptos" w:eastAsia="Aptos" w:hAnsi="Aptos"/>
                <w:kern w:val="2"/>
                <w:lang w:eastAsia="en-US"/>
                <w14:ligatures w14:val="standardContextual"/>
              </w:rPr>
              <w:t>:</w:t>
            </w:r>
          </w:p>
        </w:tc>
        <w:tc>
          <w:tcPr>
            <w:tcW w:w="4001" w:type="pct"/>
            <w:tcBorders>
              <w:top w:val="nil"/>
              <w:left w:val="nil"/>
              <w:bottom w:val="nil"/>
              <w:right w:val="nil"/>
            </w:tcBorders>
            <w:shd w:val="clear" w:color="auto" w:fill="auto"/>
            <w:noWrap/>
          </w:tcPr>
          <w:p w14:paraId="63B2101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Pompe à Motricité Humaine</w:t>
            </w:r>
          </w:p>
        </w:tc>
      </w:tr>
      <w:tr w:rsidR="002C4773" w:rsidRPr="007C5A6E" w14:paraId="451EA501" w14:textId="77777777" w:rsidTr="00CC1E9C">
        <w:trPr>
          <w:trHeight w:val="283"/>
        </w:trPr>
        <w:tc>
          <w:tcPr>
            <w:tcW w:w="845" w:type="pct"/>
            <w:tcBorders>
              <w:top w:val="nil"/>
              <w:left w:val="nil"/>
              <w:bottom w:val="nil"/>
              <w:right w:val="nil"/>
            </w:tcBorders>
            <w:shd w:val="clear" w:color="auto" w:fill="auto"/>
            <w:noWrap/>
          </w:tcPr>
          <w:p w14:paraId="2703B57A"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PM10</w:t>
            </w:r>
          </w:p>
        </w:tc>
        <w:tc>
          <w:tcPr>
            <w:tcW w:w="154" w:type="pct"/>
            <w:tcBorders>
              <w:top w:val="nil"/>
              <w:left w:val="nil"/>
              <w:bottom w:val="nil"/>
              <w:right w:val="nil"/>
            </w:tcBorders>
          </w:tcPr>
          <w:p w14:paraId="5455C929"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Aptos" w:eastAsia="Aptos" w:hAnsi="Aptos"/>
                <w:kern w:val="2"/>
                <w:lang w:eastAsia="en-US"/>
                <w14:ligatures w14:val="standardContextual"/>
              </w:rPr>
              <w:t>:</w:t>
            </w:r>
          </w:p>
        </w:tc>
        <w:tc>
          <w:tcPr>
            <w:tcW w:w="4001" w:type="pct"/>
            <w:tcBorders>
              <w:top w:val="nil"/>
              <w:left w:val="nil"/>
              <w:bottom w:val="nil"/>
              <w:right w:val="nil"/>
            </w:tcBorders>
            <w:shd w:val="clear" w:color="auto" w:fill="auto"/>
            <w:noWrap/>
          </w:tcPr>
          <w:p w14:paraId="7A12FA7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Particules de diamètre inférieur à 10 µm</w:t>
            </w:r>
          </w:p>
        </w:tc>
      </w:tr>
      <w:tr w:rsidR="002C4773" w:rsidRPr="007C5A6E" w14:paraId="128CB210" w14:textId="77777777" w:rsidTr="00CC1E9C">
        <w:trPr>
          <w:trHeight w:val="283"/>
        </w:trPr>
        <w:tc>
          <w:tcPr>
            <w:tcW w:w="845" w:type="pct"/>
            <w:tcBorders>
              <w:top w:val="nil"/>
              <w:left w:val="nil"/>
              <w:bottom w:val="nil"/>
              <w:right w:val="nil"/>
            </w:tcBorders>
            <w:shd w:val="clear" w:color="auto" w:fill="auto"/>
            <w:noWrap/>
          </w:tcPr>
          <w:p w14:paraId="43ACFD3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PMDUVS</w:t>
            </w:r>
          </w:p>
        </w:tc>
        <w:tc>
          <w:tcPr>
            <w:tcW w:w="154" w:type="pct"/>
            <w:tcBorders>
              <w:top w:val="nil"/>
              <w:left w:val="nil"/>
              <w:bottom w:val="nil"/>
              <w:right w:val="nil"/>
            </w:tcBorders>
          </w:tcPr>
          <w:p w14:paraId="5E7A14D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0C7F8136"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Projet de Mobilité Urbaine et de Développement Urbain des Villes Secondaires</w:t>
            </w:r>
          </w:p>
        </w:tc>
      </w:tr>
      <w:tr w:rsidR="002C4773" w:rsidRPr="007C5A6E" w14:paraId="1D5B1672" w14:textId="77777777" w:rsidTr="00CC1E9C">
        <w:trPr>
          <w:trHeight w:val="283"/>
        </w:trPr>
        <w:tc>
          <w:tcPr>
            <w:tcW w:w="845" w:type="pct"/>
            <w:tcBorders>
              <w:top w:val="nil"/>
              <w:left w:val="nil"/>
              <w:bottom w:val="nil"/>
              <w:right w:val="nil"/>
            </w:tcBorders>
            <w:shd w:val="clear" w:color="auto" w:fill="auto"/>
            <w:noWrap/>
          </w:tcPr>
          <w:p w14:paraId="3A97C13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PNA</w:t>
            </w:r>
          </w:p>
        </w:tc>
        <w:tc>
          <w:tcPr>
            <w:tcW w:w="154" w:type="pct"/>
            <w:tcBorders>
              <w:top w:val="nil"/>
              <w:left w:val="nil"/>
              <w:bottom w:val="nil"/>
              <w:right w:val="nil"/>
            </w:tcBorders>
          </w:tcPr>
          <w:p w14:paraId="6ADB432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78ACEF09"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Plan National d’Adaptation aux changements climatiques</w:t>
            </w:r>
          </w:p>
        </w:tc>
      </w:tr>
      <w:tr w:rsidR="002C4773" w:rsidRPr="007C5A6E" w14:paraId="50DD4633" w14:textId="77777777" w:rsidTr="00CC1E9C">
        <w:trPr>
          <w:trHeight w:val="283"/>
        </w:trPr>
        <w:tc>
          <w:tcPr>
            <w:tcW w:w="845" w:type="pct"/>
            <w:tcBorders>
              <w:top w:val="nil"/>
              <w:left w:val="nil"/>
              <w:bottom w:val="nil"/>
              <w:right w:val="nil"/>
            </w:tcBorders>
            <w:shd w:val="clear" w:color="auto" w:fill="auto"/>
            <w:noWrap/>
          </w:tcPr>
          <w:p w14:paraId="4A78D5BA"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PN-AEPA</w:t>
            </w:r>
          </w:p>
        </w:tc>
        <w:tc>
          <w:tcPr>
            <w:tcW w:w="154" w:type="pct"/>
            <w:tcBorders>
              <w:top w:val="nil"/>
              <w:left w:val="nil"/>
              <w:bottom w:val="nil"/>
              <w:right w:val="nil"/>
            </w:tcBorders>
          </w:tcPr>
          <w:p w14:paraId="18AC10E5"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1C10F03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Programme National d'Approvisionnement en Eau Potable et d'Assainissement</w:t>
            </w:r>
          </w:p>
        </w:tc>
      </w:tr>
      <w:tr w:rsidR="002C4773" w:rsidRPr="007C5A6E" w14:paraId="3F5898E2" w14:textId="77777777" w:rsidTr="00CC1E9C">
        <w:trPr>
          <w:trHeight w:val="283"/>
        </w:trPr>
        <w:tc>
          <w:tcPr>
            <w:tcW w:w="845" w:type="pct"/>
            <w:tcBorders>
              <w:top w:val="nil"/>
              <w:left w:val="nil"/>
              <w:bottom w:val="nil"/>
              <w:right w:val="nil"/>
            </w:tcBorders>
            <w:shd w:val="clear" w:color="auto" w:fill="auto"/>
            <w:noWrap/>
          </w:tcPr>
          <w:p w14:paraId="53DAFDE6"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PNDD</w:t>
            </w:r>
          </w:p>
        </w:tc>
        <w:tc>
          <w:tcPr>
            <w:tcW w:w="154" w:type="pct"/>
            <w:tcBorders>
              <w:top w:val="nil"/>
              <w:left w:val="nil"/>
              <w:bottom w:val="nil"/>
              <w:right w:val="nil"/>
            </w:tcBorders>
          </w:tcPr>
          <w:p w14:paraId="134B459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49B85318"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Politique Nationale de Développement Durable</w:t>
            </w:r>
          </w:p>
        </w:tc>
      </w:tr>
      <w:tr w:rsidR="002C4773" w:rsidRPr="007C5A6E" w14:paraId="232AA333" w14:textId="77777777" w:rsidTr="00CC1E9C">
        <w:trPr>
          <w:trHeight w:val="283"/>
        </w:trPr>
        <w:tc>
          <w:tcPr>
            <w:tcW w:w="845" w:type="pct"/>
            <w:tcBorders>
              <w:top w:val="nil"/>
              <w:left w:val="nil"/>
              <w:bottom w:val="nil"/>
              <w:right w:val="nil"/>
            </w:tcBorders>
            <w:shd w:val="clear" w:color="auto" w:fill="auto"/>
            <w:noWrap/>
          </w:tcPr>
          <w:p w14:paraId="44EDF5C9"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 xml:space="preserve">PNDES </w:t>
            </w:r>
          </w:p>
        </w:tc>
        <w:tc>
          <w:tcPr>
            <w:tcW w:w="154" w:type="pct"/>
            <w:tcBorders>
              <w:top w:val="nil"/>
              <w:left w:val="nil"/>
              <w:bottom w:val="nil"/>
              <w:right w:val="nil"/>
            </w:tcBorders>
          </w:tcPr>
          <w:p w14:paraId="77FAF822"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720E219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Plan National de Développement Economique et Social</w:t>
            </w:r>
          </w:p>
        </w:tc>
      </w:tr>
      <w:tr w:rsidR="002C4773" w:rsidRPr="007C5A6E" w14:paraId="68B412BF" w14:textId="77777777" w:rsidTr="00CC1E9C">
        <w:trPr>
          <w:trHeight w:val="283"/>
        </w:trPr>
        <w:tc>
          <w:tcPr>
            <w:tcW w:w="845" w:type="pct"/>
            <w:tcBorders>
              <w:top w:val="nil"/>
              <w:left w:val="nil"/>
              <w:bottom w:val="nil"/>
              <w:right w:val="nil"/>
            </w:tcBorders>
            <w:shd w:val="clear" w:color="auto" w:fill="auto"/>
            <w:noWrap/>
          </w:tcPr>
          <w:p w14:paraId="35C3A82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PNE</w:t>
            </w:r>
          </w:p>
        </w:tc>
        <w:tc>
          <w:tcPr>
            <w:tcW w:w="154" w:type="pct"/>
            <w:tcBorders>
              <w:top w:val="nil"/>
              <w:left w:val="nil"/>
              <w:bottom w:val="nil"/>
              <w:right w:val="nil"/>
            </w:tcBorders>
          </w:tcPr>
          <w:p w14:paraId="2E17BF95"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601D8CE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Politique Nationale en matière d’Environnement</w:t>
            </w:r>
          </w:p>
        </w:tc>
      </w:tr>
      <w:tr w:rsidR="002C4773" w:rsidRPr="007C5A6E" w14:paraId="4A2F2DA6" w14:textId="77777777" w:rsidTr="00CC1E9C">
        <w:trPr>
          <w:trHeight w:val="283"/>
        </w:trPr>
        <w:tc>
          <w:tcPr>
            <w:tcW w:w="845" w:type="pct"/>
            <w:tcBorders>
              <w:top w:val="nil"/>
              <w:left w:val="nil"/>
              <w:bottom w:val="nil"/>
              <w:right w:val="nil"/>
            </w:tcBorders>
            <w:shd w:val="clear" w:color="auto" w:fill="auto"/>
            <w:noWrap/>
          </w:tcPr>
          <w:p w14:paraId="5F40217F"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PNGDS</w:t>
            </w:r>
          </w:p>
        </w:tc>
        <w:tc>
          <w:tcPr>
            <w:tcW w:w="154" w:type="pct"/>
            <w:tcBorders>
              <w:top w:val="nil"/>
              <w:left w:val="nil"/>
              <w:bottom w:val="nil"/>
              <w:right w:val="nil"/>
            </w:tcBorders>
          </w:tcPr>
          <w:p w14:paraId="3A51E57F"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72DE033D"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Plan National de Gestion des Déchets Solides</w:t>
            </w:r>
          </w:p>
        </w:tc>
      </w:tr>
      <w:tr w:rsidR="002C4773" w:rsidRPr="007C5A6E" w14:paraId="46EC3C19" w14:textId="77777777" w:rsidTr="00CC1E9C">
        <w:trPr>
          <w:trHeight w:val="283"/>
        </w:trPr>
        <w:tc>
          <w:tcPr>
            <w:tcW w:w="845" w:type="pct"/>
            <w:tcBorders>
              <w:top w:val="nil"/>
              <w:left w:val="nil"/>
              <w:bottom w:val="nil"/>
              <w:right w:val="nil"/>
            </w:tcBorders>
            <w:shd w:val="clear" w:color="auto" w:fill="auto"/>
            <w:noWrap/>
          </w:tcPr>
          <w:p w14:paraId="0EF7282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PNHDU</w:t>
            </w:r>
          </w:p>
        </w:tc>
        <w:tc>
          <w:tcPr>
            <w:tcW w:w="154" w:type="pct"/>
            <w:tcBorders>
              <w:top w:val="nil"/>
              <w:left w:val="nil"/>
              <w:bottom w:val="nil"/>
              <w:right w:val="nil"/>
            </w:tcBorders>
          </w:tcPr>
          <w:p w14:paraId="3ACB1FE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1D93B75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Politique Nationale de l'Habitat et du Développement Urbain</w:t>
            </w:r>
          </w:p>
        </w:tc>
      </w:tr>
      <w:tr w:rsidR="002C4773" w:rsidRPr="007C5A6E" w14:paraId="6BC80CA6" w14:textId="77777777" w:rsidTr="00CC1E9C">
        <w:trPr>
          <w:trHeight w:val="283"/>
        </w:trPr>
        <w:tc>
          <w:tcPr>
            <w:tcW w:w="845" w:type="pct"/>
            <w:tcBorders>
              <w:top w:val="nil"/>
              <w:left w:val="nil"/>
              <w:bottom w:val="nil"/>
              <w:right w:val="nil"/>
            </w:tcBorders>
            <w:shd w:val="clear" w:color="auto" w:fill="auto"/>
            <w:noWrap/>
          </w:tcPr>
          <w:p w14:paraId="6FCA6239"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PNUD</w:t>
            </w:r>
          </w:p>
        </w:tc>
        <w:tc>
          <w:tcPr>
            <w:tcW w:w="154" w:type="pct"/>
            <w:tcBorders>
              <w:top w:val="nil"/>
              <w:left w:val="nil"/>
              <w:bottom w:val="nil"/>
              <w:right w:val="nil"/>
            </w:tcBorders>
          </w:tcPr>
          <w:p w14:paraId="4227081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6E6D224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Programme des Nations Unies pour le Développement</w:t>
            </w:r>
          </w:p>
        </w:tc>
      </w:tr>
      <w:tr w:rsidR="002C4773" w:rsidRPr="007C5A6E" w14:paraId="34296784" w14:textId="77777777" w:rsidTr="00CC1E9C">
        <w:trPr>
          <w:trHeight w:val="283"/>
        </w:trPr>
        <w:tc>
          <w:tcPr>
            <w:tcW w:w="845" w:type="pct"/>
            <w:tcBorders>
              <w:top w:val="nil"/>
              <w:left w:val="nil"/>
              <w:bottom w:val="nil"/>
              <w:right w:val="nil"/>
            </w:tcBorders>
            <w:shd w:val="clear" w:color="auto" w:fill="auto"/>
            <w:noWrap/>
          </w:tcPr>
          <w:p w14:paraId="749A3204"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PNUE</w:t>
            </w:r>
          </w:p>
        </w:tc>
        <w:tc>
          <w:tcPr>
            <w:tcW w:w="154" w:type="pct"/>
            <w:tcBorders>
              <w:top w:val="nil"/>
              <w:left w:val="nil"/>
              <w:bottom w:val="nil"/>
              <w:right w:val="nil"/>
            </w:tcBorders>
          </w:tcPr>
          <w:p w14:paraId="5A7DAB14"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22190033"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Programme des Nations Unies pour l’Environnement</w:t>
            </w:r>
          </w:p>
        </w:tc>
      </w:tr>
      <w:tr w:rsidR="002C4773" w:rsidRPr="007C5A6E" w14:paraId="4D2BB3E5" w14:textId="77777777" w:rsidTr="00CC1E9C">
        <w:trPr>
          <w:trHeight w:val="283"/>
        </w:trPr>
        <w:tc>
          <w:tcPr>
            <w:tcW w:w="845" w:type="pct"/>
            <w:tcBorders>
              <w:top w:val="nil"/>
              <w:left w:val="nil"/>
              <w:bottom w:val="nil"/>
              <w:right w:val="nil"/>
            </w:tcBorders>
            <w:shd w:val="clear" w:color="auto" w:fill="auto"/>
            <w:noWrap/>
          </w:tcPr>
          <w:p w14:paraId="3374F544"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PRB</w:t>
            </w:r>
          </w:p>
        </w:tc>
        <w:tc>
          <w:tcPr>
            <w:tcW w:w="154" w:type="pct"/>
            <w:tcBorders>
              <w:top w:val="nil"/>
              <w:left w:val="nil"/>
              <w:bottom w:val="nil"/>
              <w:right w:val="nil"/>
            </w:tcBorders>
          </w:tcPr>
          <w:p w14:paraId="28F2020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6744959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Population Reference Bureau</w:t>
            </w:r>
          </w:p>
        </w:tc>
      </w:tr>
      <w:tr w:rsidR="002C4773" w:rsidRPr="007C5A6E" w14:paraId="08C2C535" w14:textId="77777777" w:rsidTr="00CC1E9C">
        <w:trPr>
          <w:trHeight w:val="283"/>
        </w:trPr>
        <w:tc>
          <w:tcPr>
            <w:tcW w:w="845" w:type="pct"/>
            <w:tcBorders>
              <w:top w:val="nil"/>
              <w:left w:val="nil"/>
              <w:bottom w:val="nil"/>
              <w:right w:val="nil"/>
            </w:tcBorders>
            <w:shd w:val="clear" w:color="auto" w:fill="auto"/>
            <w:noWrap/>
          </w:tcPr>
          <w:p w14:paraId="20A1439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PTF</w:t>
            </w:r>
          </w:p>
        </w:tc>
        <w:tc>
          <w:tcPr>
            <w:tcW w:w="154" w:type="pct"/>
            <w:tcBorders>
              <w:top w:val="nil"/>
              <w:left w:val="nil"/>
              <w:bottom w:val="nil"/>
              <w:right w:val="nil"/>
            </w:tcBorders>
          </w:tcPr>
          <w:p w14:paraId="65A9D05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3EA98792"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Partenaire Technique et Financier</w:t>
            </w:r>
          </w:p>
        </w:tc>
      </w:tr>
      <w:tr w:rsidR="002C4773" w:rsidRPr="007C5A6E" w14:paraId="2DEDD012" w14:textId="77777777" w:rsidTr="00CC1E9C">
        <w:trPr>
          <w:trHeight w:val="283"/>
        </w:trPr>
        <w:tc>
          <w:tcPr>
            <w:tcW w:w="845" w:type="pct"/>
            <w:tcBorders>
              <w:top w:val="nil"/>
              <w:left w:val="nil"/>
              <w:bottom w:val="nil"/>
              <w:right w:val="nil"/>
            </w:tcBorders>
            <w:shd w:val="clear" w:color="auto" w:fill="auto"/>
            <w:noWrap/>
          </w:tcPr>
          <w:p w14:paraId="33143B93"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RAF</w:t>
            </w:r>
          </w:p>
        </w:tc>
        <w:tc>
          <w:tcPr>
            <w:tcW w:w="154" w:type="pct"/>
            <w:tcBorders>
              <w:top w:val="nil"/>
              <w:left w:val="nil"/>
              <w:bottom w:val="nil"/>
              <w:right w:val="nil"/>
            </w:tcBorders>
          </w:tcPr>
          <w:p w14:paraId="2A3E4E85"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33570F2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Réorganisation Agraire et Foncière</w:t>
            </w:r>
          </w:p>
        </w:tc>
      </w:tr>
      <w:tr w:rsidR="002C4773" w:rsidRPr="007C5A6E" w14:paraId="7673FABF" w14:textId="77777777" w:rsidTr="00CC1E9C">
        <w:trPr>
          <w:trHeight w:val="283"/>
        </w:trPr>
        <w:tc>
          <w:tcPr>
            <w:tcW w:w="845" w:type="pct"/>
            <w:tcBorders>
              <w:top w:val="nil"/>
              <w:left w:val="nil"/>
              <w:bottom w:val="nil"/>
              <w:right w:val="nil"/>
            </w:tcBorders>
            <w:shd w:val="clear" w:color="auto" w:fill="auto"/>
            <w:noWrap/>
          </w:tcPr>
          <w:p w14:paraId="17540826"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REEB</w:t>
            </w:r>
          </w:p>
        </w:tc>
        <w:tc>
          <w:tcPr>
            <w:tcW w:w="154" w:type="pct"/>
            <w:tcBorders>
              <w:top w:val="nil"/>
              <w:left w:val="nil"/>
              <w:bottom w:val="nil"/>
              <w:right w:val="nil"/>
            </w:tcBorders>
          </w:tcPr>
          <w:p w14:paraId="0DC969D5"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02EDC38F"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Rapport sur l’Etat de l’Environnement au Burkina Faso</w:t>
            </w:r>
          </w:p>
        </w:tc>
      </w:tr>
      <w:tr w:rsidR="002C4773" w:rsidRPr="007C5A6E" w14:paraId="06010B90" w14:textId="77777777" w:rsidTr="00CC1E9C">
        <w:trPr>
          <w:trHeight w:val="283"/>
        </w:trPr>
        <w:tc>
          <w:tcPr>
            <w:tcW w:w="845" w:type="pct"/>
            <w:tcBorders>
              <w:top w:val="nil"/>
              <w:left w:val="nil"/>
              <w:bottom w:val="nil"/>
              <w:right w:val="nil"/>
            </w:tcBorders>
            <w:shd w:val="clear" w:color="auto" w:fill="auto"/>
            <w:noWrap/>
          </w:tcPr>
          <w:p w14:paraId="5A675B43"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RGPH</w:t>
            </w:r>
          </w:p>
        </w:tc>
        <w:tc>
          <w:tcPr>
            <w:tcW w:w="154" w:type="pct"/>
            <w:tcBorders>
              <w:top w:val="nil"/>
              <w:left w:val="nil"/>
              <w:bottom w:val="nil"/>
              <w:right w:val="nil"/>
            </w:tcBorders>
          </w:tcPr>
          <w:p w14:paraId="4A24FD12"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080D6C5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Recensement Général de la Population et de l’Habitat</w:t>
            </w:r>
          </w:p>
        </w:tc>
      </w:tr>
      <w:tr w:rsidR="002C4773" w:rsidRPr="007C5A6E" w14:paraId="64A01BFF" w14:textId="77777777" w:rsidTr="00CC1E9C">
        <w:trPr>
          <w:trHeight w:val="283"/>
        </w:trPr>
        <w:tc>
          <w:tcPr>
            <w:tcW w:w="845" w:type="pct"/>
            <w:tcBorders>
              <w:top w:val="nil"/>
              <w:left w:val="nil"/>
              <w:bottom w:val="nil"/>
              <w:right w:val="nil"/>
            </w:tcBorders>
            <w:shd w:val="clear" w:color="auto" w:fill="auto"/>
            <w:noWrap/>
          </w:tcPr>
          <w:p w14:paraId="71254643"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RNA</w:t>
            </w:r>
          </w:p>
        </w:tc>
        <w:tc>
          <w:tcPr>
            <w:tcW w:w="154" w:type="pct"/>
            <w:tcBorders>
              <w:top w:val="nil"/>
              <w:left w:val="nil"/>
              <w:bottom w:val="nil"/>
              <w:right w:val="nil"/>
            </w:tcBorders>
          </w:tcPr>
          <w:p w14:paraId="3E0565F6" w14:textId="77777777" w:rsidR="002C4773" w:rsidRPr="007C5A6E" w:rsidRDefault="002C4773" w:rsidP="00CC1E9C">
            <w:pPr>
              <w:spacing w:after="0" w:line="240" w:lineRule="auto"/>
              <w:rPr>
                <w:rFonts w:ascii="Aptos" w:eastAsia="Aptos" w:hAnsi="Aptos"/>
                <w:kern w:val="2"/>
                <w:lang w:eastAsia="en-US"/>
                <w14:ligatures w14:val="standardContextual"/>
              </w:rPr>
            </w:pPr>
            <w:r w:rsidRPr="007C5A6E">
              <w:rPr>
                <w:rFonts w:ascii="Aptos" w:eastAsia="Aptos" w:hAnsi="Aptos"/>
                <w:kern w:val="2"/>
                <w:lang w:eastAsia="en-US"/>
                <w14:ligatures w14:val="standardContextual"/>
              </w:rPr>
              <w:t>:</w:t>
            </w:r>
          </w:p>
        </w:tc>
        <w:tc>
          <w:tcPr>
            <w:tcW w:w="4001" w:type="pct"/>
            <w:tcBorders>
              <w:top w:val="nil"/>
              <w:left w:val="nil"/>
              <w:bottom w:val="nil"/>
              <w:right w:val="nil"/>
            </w:tcBorders>
            <w:shd w:val="clear" w:color="auto" w:fill="auto"/>
            <w:noWrap/>
          </w:tcPr>
          <w:p w14:paraId="70255E5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lang w:eastAsia="en-US"/>
              </w:rPr>
              <w:t>Régénération Naturelle Assistée</w:t>
            </w:r>
          </w:p>
        </w:tc>
      </w:tr>
      <w:tr w:rsidR="002C4773" w:rsidRPr="007C5A6E" w14:paraId="236E3AA5" w14:textId="77777777" w:rsidTr="00CC1E9C">
        <w:trPr>
          <w:trHeight w:val="283"/>
        </w:trPr>
        <w:tc>
          <w:tcPr>
            <w:tcW w:w="845" w:type="pct"/>
            <w:tcBorders>
              <w:top w:val="nil"/>
              <w:left w:val="nil"/>
              <w:bottom w:val="nil"/>
              <w:right w:val="nil"/>
            </w:tcBorders>
            <w:shd w:val="clear" w:color="auto" w:fill="auto"/>
            <w:noWrap/>
          </w:tcPr>
          <w:p w14:paraId="6D5EE61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RU</w:t>
            </w:r>
          </w:p>
        </w:tc>
        <w:tc>
          <w:tcPr>
            <w:tcW w:w="154" w:type="pct"/>
            <w:tcBorders>
              <w:top w:val="nil"/>
              <w:left w:val="nil"/>
              <w:bottom w:val="nil"/>
              <w:right w:val="nil"/>
            </w:tcBorders>
          </w:tcPr>
          <w:p w14:paraId="6CAD119C" w14:textId="77777777" w:rsidR="002C4773" w:rsidRPr="007C5A6E" w:rsidRDefault="002C4773" w:rsidP="00CC1E9C">
            <w:pPr>
              <w:spacing w:after="0" w:line="240" w:lineRule="auto"/>
              <w:rPr>
                <w:rFonts w:ascii="Aptos" w:eastAsia="Aptos" w:hAnsi="Aptos"/>
                <w:kern w:val="2"/>
                <w:lang w:eastAsia="en-US"/>
                <w14:ligatures w14:val="standardContextual"/>
              </w:rPr>
            </w:pPr>
            <w:r w:rsidRPr="007C5A6E">
              <w:rPr>
                <w:rFonts w:ascii="Aptos" w:eastAsia="Aptos" w:hAnsi="Aptos"/>
                <w:kern w:val="2"/>
                <w:lang w:eastAsia="en-US"/>
                <w14:ligatures w14:val="standardContextual"/>
              </w:rPr>
              <w:t>:</w:t>
            </w:r>
          </w:p>
        </w:tc>
        <w:tc>
          <w:tcPr>
            <w:tcW w:w="4001" w:type="pct"/>
            <w:tcBorders>
              <w:top w:val="nil"/>
              <w:left w:val="nil"/>
              <w:bottom w:val="nil"/>
              <w:right w:val="nil"/>
            </w:tcBorders>
            <w:shd w:val="clear" w:color="auto" w:fill="auto"/>
            <w:noWrap/>
          </w:tcPr>
          <w:p w14:paraId="46897C3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Réserve Utile en eau</w:t>
            </w:r>
          </w:p>
        </w:tc>
      </w:tr>
      <w:tr w:rsidR="002C4773" w:rsidRPr="007C5A6E" w14:paraId="457FF6D4" w14:textId="77777777" w:rsidTr="00CC1E9C">
        <w:trPr>
          <w:trHeight w:val="283"/>
        </w:trPr>
        <w:tc>
          <w:tcPr>
            <w:tcW w:w="845" w:type="pct"/>
            <w:tcBorders>
              <w:top w:val="nil"/>
              <w:left w:val="nil"/>
              <w:bottom w:val="nil"/>
              <w:right w:val="nil"/>
            </w:tcBorders>
            <w:shd w:val="clear" w:color="auto" w:fill="auto"/>
            <w:noWrap/>
          </w:tcPr>
          <w:p w14:paraId="56CC936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SAG</w:t>
            </w:r>
          </w:p>
        </w:tc>
        <w:tc>
          <w:tcPr>
            <w:tcW w:w="154" w:type="pct"/>
            <w:tcBorders>
              <w:top w:val="nil"/>
              <w:left w:val="nil"/>
              <w:bottom w:val="nil"/>
              <w:right w:val="nil"/>
            </w:tcBorders>
          </w:tcPr>
          <w:p w14:paraId="01407B04"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Aptos" w:eastAsia="Aptos" w:hAnsi="Aptos"/>
                <w:kern w:val="2"/>
                <w:lang w:eastAsia="en-US"/>
                <w14:ligatures w14:val="standardContextual"/>
              </w:rPr>
              <w:t>:</w:t>
            </w:r>
          </w:p>
        </w:tc>
        <w:tc>
          <w:tcPr>
            <w:tcW w:w="4001" w:type="pct"/>
            <w:tcBorders>
              <w:top w:val="nil"/>
              <w:left w:val="nil"/>
              <w:bottom w:val="nil"/>
              <w:right w:val="nil"/>
            </w:tcBorders>
            <w:shd w:val="clear" w:color="auto" w:fill="auto"/>
            <w:noWrap/>
          </w:tcPr>
          <w:p w14:paraId="21BC07B2"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 xml:space="preserve">Switch </w:t>
            </w:r>
            <w:proofErr w:type="spellStart"/>
            <w:r w:rsidRPr="007C5A6E">
              <w:rPr>
                <w:rFonts w:ascii="Times New Roman" w:hAnsi="Times New Roman"/>
                <w:kern w:val="2"/>
                <w:sz w:val="24"/>
                <w:szCs w:val="24"/>
                <w:lang w:eastAsia="en-US"/>
                <w14:ligatures w14:val="standardContextual"/>
              </w:rPr>
              <w:t>Africa</w:t>
            </w:r>
            <w:proofErr w:type="spellEnd"/>
            <w:r w:rsidRPr="007C5A6E">
              <w:rPr>
                <w:rFonts w:ascii="Times New Roman" w:hAnsi="Times New Roman"/>
                <w:kern w:val="2"/>
                <w:sz w:val="24"/>
                <w:szCs w:val="24"/>
                <w:lang w:eastAsia="en-US"/>
                <w14:ligatures w14:val="standardContextual"/>
              </w:rPr>
              <w:t xml:space="preserve"> Green</w:t>
            </w:r>
          </w:p>
        </w:tc>
      </w:tr>
      <w:tr w:rsidR="002C4773" w:rsidRPr="007C5A6E" w14:paraId="3900E2D5" w14:textId="77777777" w:rsidTr="00CC1E9C">
        <w:trPr>
          <w:trHeight w:val="283"/>
        </w:trPr>
        <w:tc>
          <w:tcPr>
            <w:tcW w:w="845" w:type="pct"/>
            <w:tcBorders>
              <w:top w:val="nil"/>
              <w:left w:val="nil"/>
              <w:bottom w:val="nil"/>
              <w:right w:val="nil"/>
            </w:tcBorders>
            <w:shd w:val="clear" w:color="auto" w:fill="auto"/>
            <w:noWrap/>
          </w:tcPr>
          <w:p w14:paraId="592D0D13"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SAGE</w:t>
            </w:r>
          </w:p>
        </w:tc>
        <w:tc>
          <w:tcPr>
            <w:tcW w:w="154" w:type="pct"/>
            <w:tcBorders>
              <w:top w:val="nil"/>
              <w:left w:val="nil"/>
              <w:bottom w:val="nil"/>
              <w:right w:val="nil"/>
            </w:tcBorders>
          </w:tcPr>
          <w:p w14:paraId="305B8332"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41C4E137" w14:textId="77777777" w:rsidR="002C4773" w:rsidRPr="007C5A6E" w:rsidRDefault="002C4773" w:rsidP="00CC1E9C">
            <w:pPr>
              <w:spacing w:after="0" w:line="240" w:lineRule="auto"/>
              <w:rPr>
                <w:rFonts w:ascii="Times New Roman" w:hAnsi="Times New Roman"/>
                <w:sz w:val="24"/>
                <w:szCs w:val="24"/>
                <w:lang w:eastAsia="en-US"/>
              </w:rPr>
            </w:pPr>
            <w:r w:rsidRPr="007C5A6E">
              <w:rPr>
                <w:rFonts w:ascii="Times New Roman" w:hAnsi="Times New Roman"/>
                <w:sz w:val="24"/>
                <w:szCs w:val="24"/>
              </w:rPr>
              <w:t>Schéma d’Aménagement et de Gestion de l’Eau</w:t>
            </w:r>
          </w:p>
        </w:tc>
      </w:tr>
      <w:tr w:rsidR="002C4773" w:rsidRPr="007C5A6E" w14:paraId="0A5FDE26" w14:textId="77777777" w:rsidTr="00CC1E9C">
        <w:trPr>
          <w:trHeight w:val="283"/>
        </w:trPr>
        <w:tc>
          <w:tcPr>
            <w:tcW w:w="845" w:type="pct"/>
            <w:tcBorders>
              <w:top w:val="nil"/>
              <w:left w:val="nil"/>
              <w:bottom w:val="nil"/>
              <w:right w:val="nil"/>
            </w:tcBorders>
            <w:shd w:val="clear" w:color="auto" w:fill="auto"/>
            <w:noWrap/>
          </w:tcPr>
          <w:p w14:paraId="720AD5C6"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SCADD</w:t>
            </w:r>
          </w:p>
        </w:tc>
        <w:tc>
          <w:tcPr>
            <w:tcW w:w="154" w:type="pct"/>
            <w:tcBorders>
              <w:top w:val="nil"/>
              <w:left w:val="nil"/>
              <w:bottom w:val="nil"/>
              <w:right w:val="nil"/>
            </w:tcBorders>
          </w:tcPr>
          <w:p w14:paraId="24B80950"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434A099F"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lang w:eastAsia="en-US"/>
              </w:rPr>
              <w:t>Stratégie de Croissance Accélérée et de Développement Durable</w:t>
            </w:r>
          </w:p>
        </w:tc>
      </w:tr>
      <w:tr w:rsidR="002C4773" w:rsidRPr="007C5A6E" w14:paraId="31FFA8B1" w14:textId="77777777" w:rsidTr="00CC1E9C">
        <w:trPr>
          <w:trHeight w:val="283"/>
        </w:trPr>
        <w:tc>
          <w:tcPr>
            <w:tcW w:w="845" w:type="pct"/>
            <w:tcBorders>
              <w:top w:val="nil"/>
              <w:left w:val="nil"/>
              <w:bottom w:val="nil"/>
              <w:right w:val="nil"/>
            </w:tcBorders>
            <w:shd w:val="clear" w:color="auto" w:fill="auto"/>
            <w:noWrap/>
          </w:tcPr>
          <w:p w14:paraId="1ADA12ED"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SDADDT</w:t>
            </w:r>
          </w:p>
        </w:tc>
        <w:tc>
          <w:tcPr>
            <w:tcW w:w="154" w:type="pct"/>
            <w:tcBorders>
              <w:top w:val="nil"/>
              <w:left w:val="nil"/>
              <w:bottom w:val="nil"/>
              <w:right w:val="nil"/>
            </w:tcBorders>
          </w:tcPr>
          <w:p w14:paraId="3B14CDA3"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2821C14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Schéma Directeur d'Aménagement et de Développement Durable du Territoire</w:t>
            </w:r>
          </w:p>
        </w:tc>
      </w:tr>
      <w:tr w:rsidR="002C4773" w:rsidRPr="007C5A6E" w14:paraId="6B8D3877" w14:textId="77777777" w:rsidTr="00CC1E9C">
        <w:trPr>
          <w:trHeight w:val="283"/>
        </w:trPr>
        <w:tc>
          <w:tcPr>
            <w:tcW w:w="845" w:type="pct"/>
            <w:tcBorders>
              <w:top w:val="nil"/>
              <w:left w:val="nil"/>
              <w:bottom w:val="nil"/>
              <w:right w:val="nil"/>
            </w:tcBorders>
            <w:shd w:val="clear" w:color="auto" w:fill="auto"/>
            <w:noWrap/>
          </w:tcPr>
          <w:p w14:paraId="37F74C1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SDAGE</w:t>
            </w:r>
          </w:p>
        </w:tc>
        <w:tc>
          <w:tcPr>
            <w:tcW w:w="154" w:type="pct"/>
            <w:tcBorders>
              <w:top w:val="nil"/>
              <w:left w:val="nil"/>
              <w:bottom w:val="nil"/>
              <w:right w:val="nil"/>
            </w:tcBorders>
          </w:tcPr>
          <w:p w14:paraId="252FEF1F"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3AF53208"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Schéma Directeur d’Aménagement et de Gestion de l’Eau</w:t>
            </w:r>
          </w:p>
        </w:tc>
      </w:tr>
      <w:tr w:rsidR="002C4773" w:rsidRPr="007C5A6E" w14:paraId="65BE9D02" w14:textId="77777777" w:rsidTr="00CC1E9C">
        <w:trPr>
          <w:trHeight w:val="283"/>
        </w:trPr>
        <w:tc>
          <w:tcPr>
            <w:tcW w:w="845" w:type="pct"/>
            <w:tcBorders>
              <w:top w:val="nil"/>
              <w:left w:val="nil"/>
              <w:bottom w:val="nil"/>
              <w:right w:val="nil"/>
            </w:tcBorders>
            <w:shd w:val="clear" w:color="auto" w:fill="auto"/>
            <w:noWrap/>
          </w:tcPr>
          <w:p w14:paraId="23BC2C16"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SDAU</w:t>
            </w:r>
          </w:p>
        </w:tc>
        <w:tc>
          <w:tcPr>
            <w:tcW w:w="154" w:type="pct"/>
            <w:tcBorders>
              <w:top w:val="nil"/>
              <w:left w:val="nil"/>
              <w:bottom w:val="nil"/>
              <w:right w:val="nil"/>
            </w:tcBorders>
          </w:tcPr>
          <w:p w14:paraId="04F40F6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21FF99D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Schéma Directeur d'Aménagement Urbain</w:t>
            </w:r>
          </w:p>
        </w:tc>
      </w:tr>
      <w:tr w:rsidR="002C4773" w:rsidRPr="007C5A6E" w14:paraId="0CDFC00E" w14:textId="77777777" w:rsidTr="00CC1E9C">
        <w:trPr>
          <w:trHeight w:val="283"/>
        </w:trPr>
        <w:tc>
          <w:tcPr>
            <w:tcW w:w="845" w:type="pct"/>
            <w:tcBorders>
              <w:top w:val="nil"/>
              <w:left w:val="nil"/>
              <w:bottom w:val="nil"/>
              <w:right w:val="nil"/>
            </w:tcBorders>
            <w:shd w:val="clear" w:color="auto" w:fill="auto"/>
            <w:noWrap/>
          </w:tcPr>
          <w:p w14:paraId="5C9A3AE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SDR</w:t>
            </w:r>
          </w:p>
        </w:tc>
        <w:tc>
          <w:tcPr>
            <w:tcW w:w="154" w:type="pct"/>
            <w:tcBorders>
              <w:top w:val="nil"/>
              <w:left w:val="nil"/>
              <w:bottom w:val="nil"/>
              <w:right w:val="nil"/>
            </w:tcBorders>
          </w:tcPr>
          <w:p w14:paraId="23D1ABD2"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3DB96836"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lang w:eastAsia="en-US"/>
              </w:rPr>
              <w:t>Stratégie de Développement Rural</w:t>
            </w:r>
          </w:p>
        </w:tc>
      </w:tr>
      <w:tr w:rsidR="002C4773" w:rsidRPr="007C5A6E" w14:paraId="4F05B28F" w14:textId="77777777" w:rsidTr="00CC1E9C">
        <w:trPr>
          <w:trHeight w:val="283"/>
        </w:trPr>
        <w:tc>
          <w:tcPr>
            <w:tcW w:w="845" w:type="pct"/>
            <w:tcBorders>
              <w:top w:val="nil"/>
              <w:left w:val="nil"/>
              <w:bottom w:val="nil"/>
              <w:right w:val="nil"/>
            </w:tcBorders>
            <w:shd w:val="clear" w:color="auto" w:fill="auto"/>
            <w:noWrap/>
          </w:tcPr>
          <w:p w14:paraId="7ED783CB"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SNADDT</w:t>
            </w:r>
          </w:p>
        </w:tc>
        <w:tc>
          <w:tcPr>
            <w:tcW w:w="154" w:type="pct"/>
            <w:tcBorders>
              <w:top w:val="nil"/>
              <w:left w:val="nil"/>
              <w:bottom w:val="nil"/>
              <w:right w:val="nil"/>
            </w:tcBorders>
          </w:tcPr>
          <w:p w14:paraId="2CE7F11E"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5919D4CD"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Schéma National d’Aménagement et de Développement Durable du Territoire</w:t>
            </w:r>
          </w:p>
        </w:tc>
      </w:tr>
      <w:tr w:rsidR="002C4773" w:rsidRPr="007C5A6E" w14:paraId="183B6020" w14:textId="77777777" w:rsidTr="00CC1E9C">
        <w:trPr>
          <w:trHeight w:val="283"/>
        </w:trPr>
        <w:tc>
          <w:tcPr>
            <w:tcW w:w="845" w:type="pct"/>
            <w:tcBorders>
              <w:top w:val="nil"/>
              <w:left w:val="nil"/>
              <w:bottom w:val="nil"/>
              <w:right w:val="nil"/>
            </w:tcBorders>
            <w:shd w:val="clear" w:color="auto" w:fill="auto"/>
            <w:noWrap/>
          </w:tcPr>
          <w:p w14:paraId="289FFBFB"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SND-AE</w:t>
            </w:r>
          </w:p>
        </w:tc>
        <w:tc>
          <w:tcPr>
            <w:tcW w:w="154" w:type="pct"/>
            <w:tcBorders>
              <w:top w:val="nil"/>
              <w:left w:val="nil"/>
              <w:bottom w:val="nil"/>
              <w:right w:val="nil"/>
            </w:tcBorders>
          </w:tcPr>
          <w:p w14:paraId="1C929278"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3E09C79B"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Stratégie Nationale du Développement de l’Agroécologie</w:t>
            </w:r>
          </w:p>
        </w:tc>
      </w:tr>
      <w:tr w:rsidR="002C4773" w:rsidRPr="007C5A6E" w14:paraId="2A003685" w14:textId="77777777" w:rsidTr="00CC1E9C">
        <w:trPr>
          <w:trHeight w:val="283"/>
        </w:trPr>
        <w:tc>
          <w:tcPr>
            <w:tcW w:w="845" w:type="pct"/>
            <w:tcBorders>
              <w:top w:val="nil"/>
              <w:left w:val="nil"/>
              <w:bottom w:val="nil"/>
              <w:right w:val="nil"/>
            </w:tcBorders>
            <w:shd w:val="clear" w:color="auto" w:fill="auto"/>
            <w:noWrap/>
          </w:tcPr>
          <w:p w14:paraId="38E364C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SNE</w:t>
            </w:r>
          </w:p>
        </w:tc>
        <w:tc>
          <w:tcPr>
            <w:tcW w:w="154" w:type="pct"/>
            <w:tcBorders>
              <w:top w:val="nil"/>
              <w:left w:val="nil"/>
              <w:bottom w:val="nil"/>
              <w:right w:val="nil"/>
            </w:tcBorders>
          </w:tcPr>
          <w:p w14:paraId="069EB04B"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10DDD9FB"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Stratégie Nationale en matière d’Environnement</w:t>
            </w:r>
          </w:p>
        </w:tc>
      </w:tr>
      <w:tr w:rsidR="002C4773" w:rsidRPr="007C5A6E" w14:paraId="2E9756B2" w14:textId="77777777" w:rsidTr="00CC1E9C">
        <w:trPr>
          <w:trHeight w:val="283"/>
        </w:trPr>
        <w:tc>
          <w:tcPr>
            <w:tcW w:w="845" w:type="pct"/>
            <w:tcBorders>
              <w:top w:val="nil"/>
              <w:left w:val="nil"/>
              <w:bottom w:val="nil"/>
              <w:right w:val="nil"/>
            </w:tcBorders>
            <w:shd w:val="clear" w:color="auto" w:fill="auto"/>
            <w:noWrap/>
          </w:tcPr>
          <w:p w14:paraId="653858F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SNGIRE</w:t>
            </w:r>
          </w:p>
        </w:tc>
        <w:tc>
          <w:tcPr>
            <w:tcW w:w="154" w:type="pct"/>
            <w:tcBorders>
              <w:top w:val="nil"/>
              <w:left w:val="nil"/>
              <w:bottom w:val="nil"/>
              <w:right w:val="nil"/>
            </w:tcBorders>
          </w:tcPr>
          <w:p w14:paraId="3DB9F4F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21F77D87"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Stratégie Nationale de Gestion Intégrée des Ressources en Eau</w:t>
            </w:r>
          </w:p>
        </w:tc>
      </w:tr>
      <w:tr w:rsidR="002C4773" w:rsidRPr="007C5A6E" w14:paraId="7055C3F6" w14:textId="77777777" w:rsidTr="00CC1E9C">
        <w:trPr>
          <w:trHeight w:val="283"/>
        </w:trPr>
        <w:tc>
          <w:tcPr>
            <w:tcW w:w="845" w:type="pct"/>
            <w:tcBorders>
              <w:top w:val="nil"/>
              <w:left w:val="nil"/>
              <w:bottom w:val="nil"/>
              <w:right w:val="nil"/>
            </w:tcBorders>
            <w:shd w:val="clear" w:color="auto" w:fill="auto"/>
            <w:noWrap/>
          </w:tcPr>
          <w:p w14:paraId="7EE5BC68"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SNLPU</w:t>
            </w:r>
          </w:p>
        </w:tc>
        <w:tc>
          <w:tcPr>
            <w:tcW w:w="154" w:type="pct"/>
            <w:tcBorders>
              <w:top w:val="nil"/>
              <w:left w:val="nil"/>
              <w:bottom w:val="nil"/>
              <w:right w:val="nil"/>
            </w:tcBorders>
          </w:tcPr>
          <w:p w14:paraId="4E79E88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35D9671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Stratégie Nationale de Lutte contre la Pauvreté Urbaine</w:t>
            </w:r>
          </w:p>
        </w:tc>
      </w:tr>
      <w:tr w:rsidR="002C4773" w:rsidRPr="007C5A6E" w14:paraId="686316FE" w14:textId="77777777" w:rsidTr="00CC1E9C">
        <w:trPr>
          <w:trHeight w:val="283"/>
        </w:trPr>
        <w:tc>
          <w:tcPr>
            <w:tcW w:w="845" w:type="pct"/>
            <w:tcBorders>
              <w:top w:val="nil"/>
              <w:left w:val="nil"/>
              <w:bottom w:val="nil"/>
              <w:right w:val="nil"/>
            </w:tcBorders>
            <w:shd w:val="clear" w:color="auto" w:fill="auto"/>
            <w:noWrap/>
          </w:tcPr>
          <w:p w14:paraId="254B9AF2"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SNR-CRS</w:t>
            </w:r>
          </w:p>
        </w:tc>
        <w:tc>
          <w:tcPr>
            <w:tcW w:w="154" w:type="pct"/>
            <w:tcBorders>
              <w:top w:val="nil"/>
              <w:left w:val="nil"/>
              <w:bottom w:val="nil"/>
              <w:right w:val="nil"/>
            </w:tcBorders>
          </w:tcPr>
          <w:p w14:paraId="60840303"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437486C5"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Stratégie Nationale de Restauration, Conservation et Récupération des Sols</w:t>
            </w:r>
          </w:p>
        </w:tc>
      </w:tr>
      <w:tr w:rsidR="002C4773" w:rsidRPr="007C5A6E" w14:paraId="2502C7D6" w14:textId="77777777" w:rsidTr="00CC1E9C">
        <w:trPr>
          <w:trHeight w:val="283"/>
        </w:trPr>
        <w:tc>
          <w:tcPr>
            <w:tcW w:w="845" w:type="pct"/>
            <w:tcBorders>
              <w:top w:val="nil"/>
              <w:left w:val="nil"/>
              <w:bottom w:val="nil"/>
              <w:right w:val="nil"/>
            </w:tcBorders>
            <w:shd w:val="clear" w:color="auto" w:fill="auto"/>
            <w:noWrap/>
          </w:tcPr>
          <w:p w14:paraId="3C760FE6"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SOCREGE</w:t>
            </w:r>
          </w:p>
        </w:tc>
        <w:tc>
          <w:tcPr>
            <w:tcW w:w="154" w:type="pct"/>
            <w:tcBorders>
              <w:top w:val="nil"/>
              <w:left w:val="nil"/>
              <w:bottom w:val="nil"/>
              <w:right w:val="nil"/>
            </w:tcBorders>
          </w:tcPr>
          <w:p w14:paraId="184CCD8A"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5575D896"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Société de Conseil et de Réalisation pour la Gestion de l’Environnement</w:t>
            </w:r>
          </w:p>
        </w:tc>
      </w:tr>
      <w:tr w:rsidR="002C4773" w:rsidRPr="007C5A6E" w14:paraId="1743B8D3" w14:textId="77777777" w:rsidTr="00CC1E9C">
        <w:trPr>
          <w:trHeight w:val="283"/>
        </w:trPr>
        <w:tc>
          <w:tcPr>
            <w:tcW w:w="845" w:type="pct"/>
            <w:tcBorders>
              <w:top w:val="nil"/>
              <w:left w:val="nil"/>
              <w:bottom w:val="nil"/>
              <w:right w:val="nil"/>
            </w:tcBorders>
            <w:shd w:val="clear" w:color="auto" w:fill="auto"/>
            <w:noWrap/>
          </w:tcPr>
          <w:p w14:paraId="76B9324F"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SOFA</w:t>
            </w:r>
          </w:p>
        </w:tc>
        <w:tc>
          <w:tcPr>
            <w:tcW w:w="154" w:type="pct"/>
            <w:tcBorders>
              <w:top w:val="nil"/>
              <w:left w:val="nil"/>
              <w:bottom w:val="nil"/>
              <w:right w:val="nil"/>
            </w:tcBorders>
          </w:tcPr>
          <w:p w14:paraId="39CBEB2C"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5F09D52B"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Schéma d’Organisation Fonctionnelle et d’Aménagement</w:t>
            </w:r>
          </w:p>
        </w:tc>
      </w:tr>
      <w:tr w:rsidR="002C4773" w:rsidRPr="007C5A6E" w14:paraId="786264EA" w14:textId="77777777" w:rsidTr="00CC1E9C">
        <w:trPr>
          <w:trHeight w:val="283"/>
        </w:trPr>
        <w:tc>
          <w:tcPr>
            <w:tcW w:w="845" w:type="pct"/>
            <w:tcBorders>
              <w:top w:val="nil"/>
              <w:left w:val="nil"/>
              <w:bottom w:val="nil"/>
              <w:right w:val="nil"/>
            </w:tcBorders>
            <w:shd w:val="clear" w:color="auto" w:fill="auto"/>
            <w:noWrap/>
          </w:tcPr>
          <w:p w14:paraId="1C164734"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SONASP</w:t>
            </w:r>
          </w:p>
        </w:tc>
        <w:tc>
          <w:tcPr>
            <w:tcW w:w="154" w:type="pct"/>
            <w:tcBorders>
              <w:top w:val="nil"/>
              <w:left w:val="nil"/>
              <w:bottom w:val="nil"/>
              <w:right w:val="nil"/>
            </w:tcBorders>
          </w:tcPr>
          <w:p w14:paraId="1DB6537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76AD7B5C"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Société Nationale des Substances Précieuses</w:t>
            </w:r>
          </w:p>
        </w:tc>
      </w:tr>
      <w:tr w:rsidR="002C4773" w:rsidRPr="007C5A6E" w14:paraId="0A4D310B" w14:textId="77777777" w:rsidTr="00CC1E9C">
        <w:trPr>
          <w:trHeight w:val="283"/>
        </w:trPr>
        <w:tc>
          <w:tcPr>
            <w:tcW w:w="845" w:type="pct"/>
            <w:tcBorders>
              <w:top w:val="nil"/>
              <w:left w:val="nil"/>
              <w:bottom w:val="nil"/>
              <w:right w:val="nil"/>
            </w:tcBorders>
            <w:shd w:val="clear" w:color="auto" w:fill="auto"/>
            <w:noWrap/>
          </w:tcPr>
          <w:p w14:paraId="71C665CF"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SP/CNDD</w:t>
            </w:r>
          </w:p>
        </w:tc>
        <w:tc>
          <w:tcPr>
            <w:tcW w:w="154" w:type="pct"/>
            <w:tcBorders>
              <w:top w:val="nil"/>
              <w:left w:val="nil"/>
              <w:bottom w:val="nil"/>
              <w:right w:val="nil"/>
            </w:tcBorders>
          </w:tcPr>
          <w:p w14:paraId="633C9954"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26D31158"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Secrétariat Permanent du Conseil National pour le Développement Durable</w:t>
            </w:r>
          </w:p>
        </w:tc>
      </w:tr>
      <w:tr w:rsidR="002C4773" w:rsidRPr="007C5A6E" w14:paraId="456A8F48" w14:textId="77777777" w:rsidTr="00CC1E9C">
        <w:trPr>
          <w:trHeight w:val="283"/>
        </w:trPr>
        <w:tc>
          <w:tcPr>
            <w:tcW w:w="845" w:type="pct"/>
            <w:tcBorders>
              <w:top w:val="nil"/>
              <w:left w:val="nil"/>
              <w:bottom w:val="nil"/>
              <w:right w:val="nil"/>
            </w:tcBorders>
            <w:shd w:val="clear" w:color="auto" w:fill="auto"/>
            <w:noWrap/>
          </w:tcPr>
          <w:p w14:paraId="4E5F1ED4"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SPADDT</w:t>
            </w:r>
          </w:p>
        </w:tc>
        <w:tc>
          <w:tcPr>
            <w:tcW w:w="154" w:type="pct"/>
            <w:tcBorders>
              <w:top w:val="nil"/>
              <w:left w:val="nil"/>
              <w:bottom w:val="nil"/>
              <w:right w:val="nil"/>
            </w:tcBorders>
          </w:tcPr>
          <w:p w14:paraId="322E8ED2"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3F29E608"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Schéma Provincial d’Aménagement et de Développement Durable du Territoire</w:t>
            </w:r>
          </w:p>
        </w:tc>
      </w:tr>
      <w:tr w:rsidR="002C4773" w:rsidRPr="007C5A6E" w14:paraId="59DEC62C" w14:textId="77777777" w:rsidTr="00CC1E9C">
        <w:trPr>
          <w:trHeight w:val="283"/>
        </w:trPr>
        <w:tc>
          <w:tcPr>
            <w:tcW w:w="845" w:type="pct"/>
            <w:tcBorders>
              <w:top w:val="nil"/>
              <w:left w:val="nil"/>
              <w:bottom w:val="nil"/>
              <w:right w:val="nil"/>
            </w:tcBorders>
            <w:shd w:val="clear" w:color="auto" w:fill="auto"/>
            <w:noWrap/>
          </w:tcPr>
          <w:p w14:paraId="240796D9"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SRADDT</w:t>
            </w:r>
          </w:p>
        </w:tc>
        <w:tc>
          <w:tcPr>
            <w:tcW w:w="154" w:type="pct"/>
            <w:tcBorders>
              <w:top w:val="nil"/>
              <w:left w:val="nil"/>
              <w:bottom w:val="nil"/>
              <w:right w:val="nil"/>
            </w:tcBorders>
          </w:tcPr>
          <w:p w14:paraId="5232C69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00F88A5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Schéma Régional d’Aménagement et de Développement Durable du Territoire</w:t>
            </w:r>
          </w:p>
        </w:tc>
      </w:tr>
      <w:tr w:rsidR="002C4773" w:rsidRPr="007C5A6E" w14:paraId="4E9E30C0" w14:textId="77777777" w:rsidTr="00CC1E9C">
        <w:trPr>
          <w:trHeight w:val="283"/>
        </w:trPr>
        <w:tc>
          <w:tcPr>
            <w:tcW w:w="845" w:type="pct"/>
            <w:tcBorders>
              <w:top w:val="nil"/>
              <w:left w:val="nil"/>
              <w:bottom w:val="nil"/>
              <w:right w:val="nil"/>
            </w:tcBorders>
            <w:shd w:val="clear" w:color="auto" w:fill="auto"/>
            <w:noWrap/>
          </w:tcPr>
          <w:p w14:paraId="52657F25"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UICN</w:t>
            </w:r>
          </w:p>
        </w:tc>
        <w:tc>
          <w:tcPr>
            <w:tcW w:w="154" w:type="pct"/>
            <w:tcBorders>
              <w:top w:val="nil"/>
              <w:left w:val="nil"/>
              <w:bottom w:val="nil"/>
              <w:right w:val="nil"/>
            </w:tcBorders>
          </w:tcPr>
          <w:p w14:paraId="1ACB88BC" w14:textId="77777777" w:rsidR="002C4773" w:rsidRPr="007C5A6E" w:rsidRDefault="002C4773" w:rsidP="00CC1E9C">
            <w:pPr>
              <w:spacing w:after="0" w:line="240" w:lineRule="auto"/>
              <w:rPr>
                <w:rFonts w:ascii="Times New Roman" w:eastAsia="Aptos"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0D49430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Union Internationale Pour la Conservation de la Nature</w:t>
            </w:r>
          </w:p>
        </w:tc>
      </w:tr>
      <w:tr w:rsidR="002C4773" w:rsidRPr="007C5A6E" w14:paraId="38525834" w14:textId="77777777" w:rsidTr="00CC1E9C">
        <w:trPr>
          <w:trHeight w:val="283"/>
        </w:trPr>
        <w:tc>
          <w:tcPr>
            <w:tcW w:w="845" w:type="pct"/>
            <w:tcBorders>
              <w:top w:val="nil"/>
              <w:left w:val="nil"/>
              <w:bottom w:val="nil"/>
              <w:right w:val="nil"/>
            </w:tcBorders>
            <w:shd w:val="clear" w:color="auto" w:fill="auto"/>
            <w:noWrap/>
          </w:tcPr>
          <w:p w14:paraId="25C1063A"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USAID</w:t>
            </w:r>
          </w:p>
        </w:tc>
        <w:tc>
          <w:tcPr>
            <w:tcW w:w="154" w:type="pct"/>
            <w:tcBorders>
              <w:top w:val="nil"/>
              <w:left w:val="nil"/>
              <w:bottom w:val="nil"/>
              <w:right w:val="nil"/>
            </w:tcBorders>
          </w:tcPr>
          <w:p w14:paraId="791895B1"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3F33911A"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sz w:val="24"/>
                <w:szCs w:val="24"/>
              </w:rPr>
              <w:t>Agence des Etats-Unis pour le Développement International</w:t>
            </w:r>
          </w:p>
        </w:tc>
      </w:tr>
      <w:tr w:rsidR="002C4773" w:rsidRPr="007C5A6E" w14:paraId="5A6E9E67" w14:textId="77777777" w:rsidTr="00CC1E9C">
        <w:trPr>
          <w:trHeight w:val="283"/>
        </w:trPr>
        <w:tc>
          <w:tcPr>
            <w:tcW w:w="845" w:type="pct"/>
            <w:tcBorders>
              <w:top w:val="nil"/>
              <w:left w:val="nil"/>
              <w:bottom w:val="nil"/>
              <w:right w:val="nil"/>
            </w:tcBorders>
            <w:shd w:val="clear" w:color="auto" w:fill="auto"/>
            <w:noWrap/>
          </w:tcPr>
          <w:p w14:paraId="4A0EA0DA"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VA</w:t>
            </w:r>
          </w:p>
        </w:tc>
        <w:tc>
          <w:tcPr>
            <w:tcW w:w="154" w:type="pct"/>
            <w:tcBorders>
              <w:top w:val="nil"/>
              <w:left w:val="nil"/>
              <w:bottom w:val="nil"/>
              <w:right w:val="nil"/>
            </w:tcBorders>
          </w:tcPr>
          <w:p w14:paraId="2E3D9C7E"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w:t>
            </w:r>
          </w:p>
        </w:tc>
        <w:tc>
          <w:tcPr>
            <w:tcW w:w="4001" w:type="pct"/>
            <w:tcBorders>
              <w:top w:val="nil"/>
              <w:left w:val="nil"/>
              <w:bottom w:val="nil"/>
              <w:right w:val="nil"/>
            </w:tcBorders>
            <w:shd w:val="clear" w:color="auto" w:fill="auto"/>
            <w:noWrap/>
          </w:tcPr>
          <w:p w14:paraId="0CA96AB0" w14:textId="77777777" w:rsidR="002C4773" w:rsidRPr="007C5A6E" w:rsidRDefault="002C4773" w:rsidP="00CC1E9C">
            <w:pPr>
              <w:spacing w:after="0" w:line="240" w:lineRule="auto"/>
              <w:rPr>
                <w:rFonts w:ascii="Times New Roman" w:hAnsi="Times New Roman"/>
                <w:kern w:val="2"/>
                <w:sz w:val="24"/>
                <w:szCs w:val="24"/>
                <w:lang w:eastAsia="en-US"/>
                <w14:ligatures w14:val="standardContextual"/>
              </w:rPr>
            </w:pPr>
            <w:r w:rsidRPr="007C5A6E">
              <w:rPr>
                <w:rFonts w:ascii="Times New Roman" w:hAnsi="Times New Roman"/>
                <w:kern w:val="2"/>
                <w:sz w:val="24"/>
                <w:szCs w:val="24"/>
                <w:lang w:eastAsia="en-US"/>
                <w14:ligatures w14:val="standardContextual"/>
              </w:rPr>
              <w:t>Valeur Ajoutée</w:t>
            </w:r>
          </w:p>
        </w:tc>
      </w:tr>
    </w:tbl>
    <w:p w14:paraId="0CBEE1A8" w14:textId="77777777" w:rsidR="00857104" w:rsidRPr="007C5A6E" w:rsidRDefault="00857104" w:rsidP="00857104">
      <w:pPr>
        <w:spacing w:after="0" w:line="240" w:lineRule="auto"/>
        <w:rPr>
          <w:rFonts w:ascii="Times New Roman" w:hAnsi="Times New Roman"/>
          <w:sz w:val="24"/>
          <w:szCs w:val="24"/>
        </w:rPr>
      </w:pPr>
    </w:p>
    <w:p w14:paraId="622D0C45" w14:textId="77777777" w:rsidR="00857104" w:rsidRPr="007C5A6E" w:rsidRDefault="00857104" w:rsidP="00857104">
      <w:pPr>
        <w:spacing w:after="0" w:line="240" w:lineRule="auto"/>
        <w:rPr>
          <w:rFonts w:ascii="Times New Roman" w:hAnsi="Times New Roman"/>
          <w:sz w:val="24"/>
          <w:szCs w:val="24"/>
        </w:rPr>
      </w:pPr>
    </w:p>
    <w:p w14:paraId="3240AC10" w14:textId="77777777" w:rsidR="00857104" w:rsidRPr="007C5A6E" w:rsidRDefault="00857104" w:rsidP="00857104">
      <w:pPr>
        <w:spacing w:after="0" w:line="240" w:lineRule="auto"/>
        <w:rPr>
          <w:rFonts w:ascii="Times New Roman" w:hAnsi="Times New Roman"/>
          <w:sz w:val="24"/>
          <w:szCs w:val="24"/>
        </w:rPr>
      </w:pPr>
    </w:p>
    <w:p w14:paraId="3803E76A" w14:textId="77777777" w:rsidR="00857104" w:rsidRPr="007C5A6E" w:rsidRDefault="00857104" w:rsidP="00857104">
      <w:pPr>
        <w:spacing w:after="0" w:line="240" w:lineRule="auto"/>
        <w:rPr>
          <w:rFonts w:ascii="Times New Roman" w:hAnsi="Times New Roman"/>
          <w:sz w:val="24"/>
          <w:szCs w:val="24"/>
        </w:rPr>
      </w:pPr>
    </w:p>
    <w:p w14:paraId="1E39DAE0" w14:textId="77777777" w:rsidR="00857104" w:rsidRPr="007C5A6E" w:rsidRDefault="00857104" w:rsidP="00857104">
      <w:pPr>
        <w:spacing w:after="0" w:line="240" w:lineRule="auto"/>
        <w:rPr>
          <w:rFonts w:ascii="Times New Roman" w:hAnsi="Times New Roman"/>
          <w:sz w:val="24"/>
          <w:szCs w:val="24"/>
        </w:rPr>
        <w:sectPr w:rsidR="00857104" w:rsidRPr="007C5A6E" w:rsidSect="006514BA">
          <w:pgSz w:w="11907" w:h="16840" w:code="9"/>
          <w:pgMar w:top="1191" w:right="1361" w:bottom="1191" w:left="1361" w:header="709" w:footer="709" w:gutter="0"/>
          <w:pgNumType w:fmt="lowerRoman"/>
          <w:cols w:space="708"/>
          <w:docGrid w:linePitch="360"/>
        </w:sectPr>
      </w:pPr>
    </w:p>
    <w:p w14:paraId="5AF7FFF1" w14:textId="7615A911" w:rsidR="005E7B17" w:rsidRPr="007C5A6E" w:rsidRDefault="005E7B17" w:rsidP="00857104">
      <w:pPr>
        <w:pStyle w:val="Titre1"/>
        <w:numPr>
          <w:ilvl w:val="0"/>
          <w:numId w:val="0"/>
        </w:numPr>
        <w:spacing w:before="0"/>
        <w:rPr>
          <w:kern w:val="2"/>
          <w:sz w:val="32"/>
          <w:lang w:eastAsia="en-US"/>
          <w14:ligatures w14:val="standardContextual"/>
        </w:rPr>
      </w:pPr>
      <w:bookmarkStart w:id="8" w:name="_Toc183340001"/>
      <w:r w:rsidRPr="007C5A6E">
        <w:rPr>
          <w:kern w:val="2"/>
          <w:sz w:val="32"/>
          <w:lang w:eastAsia="en-US"/>
          <w14:ligatures w14:val="standardContextual"/>
        </w:rPr>
        <w:t>INTRODUCTION</w:t>
      </w:r>
      <w:bookmarkEnd w:id="8"/>
    </w:p>
    <w:p w14:paraId="1A6292E3" w14:textId="77777777" w:rsidR="00CF587C" w:rsidRPr="007C5A6E" w:rsidRDefault="00CF587C" w:rsidP="00003A5C">
      <w:pPr>
        <w:spacing w:after="0" w:line="240" w:lineRule="auto"/>
        <w:rPr>
          <w:rFonts w:ascii="Times New Roman" w:hAnsi="Times New Roman"/>
          <w:sz w:val="24"/>
          <w:szCs w:val="24"/>
        </w:rPr>
      </w:pPr>
    </w:p>
    <w:p w14:paraId="02D3F244" w14:textId="77777777" w:rsidR="00003A5C" w:rsidRPr="007C5A6E" w:rsidRDefault="00003A5C" w:rsidP="00003A5C">
      <w:pPr>
        <w:shd w:val="clear" w:color="auto" w:fill="FFFFFF"/>
        <w:spacing w:after="0" w:line="240" w:lineRule="auto"/>
        <w:jc w:val="both"/>
        <w:rPr>
          <w:rFonts w:ascii="Times New Roman" w:eastAsia="MS Mincho" w:hAnsi="Times New Roman"/>
          <w:sz w:val="24"/>
          <w:szCs w:val="24"/>
          <w:lang w:eastAsia="ja-JP"/>
        </w:rPr>
      </w:pPr>
      <w:r w:rsidRPr="007C5A6E">
        <w:rPr>
          <w:rFonts w:ascii="Times New Roman" w:eastAsia="MS Mincho" w:hAnsi="Times New Roman"/>
          <w:sz w:val="24"/>
          <w:szCs w:val="24"/>
          <w:lang w:eastAsia="ja-JP"/>
        </w:rPr>
        <w:t xml:space="preserve">L'état de l'environnement au Burkina Faso reste préoccupant en dépit des actions multiformes menées par l’Etat du Burkina Faso, l’ensemble de ses partenaires et impliquant les acteurs privés et les populations. </w:t>
      </w:r>
    </w:p>
    <w:p w14:paraId="1801D3F3" w14:textId="77777777" w:rsidR="00003A5C" w:rsidRPr="007C5A6E" w:rsidRDefault="00003A5C" w:rsidP="00003A5C">
      <w:pPr>
        <w:spacing w:after="0" w:line="240" w:lineRule="auto"/>
        <w:jc w:val="both"/>
        <w:rPr>
          <w:rFonts w:ascii="Times New Roman" w:eastAsia="MS Mincho" w:hAnsi="Times New Roman"/>
          <w:sz w:val="24"/>
          <w:szCs w:val="24"/>
          <w:lang w:eastAsia="ja-JP"/>
        </w:rPr>
      </w:pPr>
      <w:r w:rsidRPr="007C5A6E">
        <w:rPr>
          <w:rFonts w:ascii="Times New Roman" w:eastAsia="MS Mincho" w:hAnsi="Times New Roman"/>
          <w:sz w:val="24"/>
          <w:szCs w:val="24"/>
          <w:lang w:eastAsia="ja-JP"/>
        </w:rPr>
        <w:t xml:space="preserve">Face à cette situation, une gestion efficace des ressources naturelles, au profit d’un développement durable en général et de la lutte contre la pauvreté en particulier s’impose comme une urgence permanente. Cette gestion est tributaire d’une amélioration des processus de planification. L’efficacité de ces processus dépend non seulement d’une meilleure maîtrise et d’une plus grande valorisation de l’information, mais également d’une collaboration et d’une coordination accrues entre les acteurs à différents niveaux. D’où la nécessité de disposer de rapports périodiques sur l’état de l’environnement au Burkina Faso pour soutenir les prises de décision éclairées. À ce jour, quatre rapports répondant à cet objectif ont été déjà produits.  </w:t>
      </w:r>
    </w:p>
    <w:p w14:paraId="192CE26E" w14:textId="77777777" w:rsidR="00003A5C" w:rsidRPr="007C5A6E" w:rsidRDefault="00003A5C" w:rsidP="00003A5C">
      <w:pPr>
        <w:spacing w:after="0" w:line="240" w:lineRule="auto"/>
        <w:jc w:val="both"/>
        <w:rPr>
          <w:rFonts w:ascii="Times New Roman" w:eastAsia="MS Mincho" w:hAnsi="Times New Roman"/>
          <w:sz w:val="24"/>
          <w:szCs w:val="24"/>
          <w:lang w:eastAsia="ja-JP"/>
        </w:rPr>
      </w:pPr>
    </w:p>
    <w:p w14:paraId="69F75593" w14:textId="77777777" w:rsidR="00003A5C" w:rsidRPr="007C5A6E" w:rsidRDefault="00003A5C" w:rsidP="00003A5C">
      <w:pPr>
        <w:spacing w:after="0" w:line="240" w:lineRule="auto"/>
        <w:jc w:val="both"/>
        <w:rPr>
          <w:rFonts w:ascii="Times New Roman" w:eastAsia="MS Mincho" w:hAnsi="Times New Roman"/>
          <w:sz w:val="24"/>
          <w:szCs w:val="24"/>
          <w:lang w:eastAsia="ja-JP"/>
        </w:rPr>
      </w:pPr>
      <w:r w:rsidRPr="007C5A6E">
        <w:rPr>
          <w:rFonts w:ascii="Times New Roman" w:eastAsia="MS Mincho" w:hAnsi="Times New Roman"/>
          <w:sz w:val="24"/>
          <w:szCs w:val="24"/>
          <w:lang w:eastAsia="ja-JP"/>
        </w:rPr>
        <w:t>Ces rapports font l’état des lieux et le point sur les actions mises en œuvre en vue de la préservation de l’environnement. Ils constituent (i) des documents de synthèse des informations sur l’environnement ; (ii) des instruments permettant d’améliorer la diffusion et l’accessibilité de l’information environnementale ; (iii) des outils privilégiés de suivi-évaluation des politiques publiques en matière d’environnement, de coordination interinstitutionnelle et de comparaison internationale en lien avec les engagements pris par le Burkina Faso.</w:t>
      </w:r>
    </w:p>
    <w:p w14:paraId="509ACA68" w14:textId="77777777" w:rsidR="00003A5C" w:rsidRPr="007C5A6E" w:rsidRDefault="00003A5C" w:rsidP="00003A5C">
      <w:pPr>
        <w:spacing w:after="0" w:line="240" w:lineRule="auto"/>
        <w:jc w:val="both"/>
        <w:rPr>
          <w:rFonts w:ascii="Times New Roman" w:eastAsia="MS Mincho" w:hAnsi="Times New Roman"/>
          <w:bCs/>
          <w:sz w:val="24"/>
          <w:szCs w:val="24"/>
          <w:lang w:eastAsia="ja-JP"/>
        </w:rPr>
      </w:pPr>
      <w:r w:rsidRPr="007C5A6E">
        <w:rPr>
          <w:rFonts w:ascii="Times New Roman" w:eastAsia="Calibri" w:hAnsi="Times New Roman"/>
          <w:sz w:val="24"/>
          <w:szCs w:val="24"/>
          <w:lang w:eastAsia="en-US"/>
        </w:rPr>
        <w:t xml:space="preserve">Le </w:t>
      </w:r>
      <w:r w:rsidRPr="007C5A6E">
        <w:rPr>
          <w:rFonts w:ascii="Times New Roman" w:eastAsia="MS Mincho" w:hAnsi="Times New Roman"/>
          <w:sz w:val="24"/>
          <w:szCs w:val="24"/>
          <w:lang w:eastAsia="ja-JP"/>
        </w:rPr>
        <w:t>premier exercice de rapportage sur l’état de l’environnement (2002) au niveau national a été essentiellement descriptif dans le but de dresser l’état des lieux de l’environnement physique du pays avec, comme approche méthodologique : État –Pressions – Impacts - Réponses (</w:t>
      </w:r>
      <w:r w:rsidRPr="007C5A6E">
        <w:rPr>
          <w:rFonts w:ascii="Times New Roman" w:eastAsia="MS Mincho" w:hAnsi="Times New Roman"/>
          <w:b/>
          <w:bCs/>
          <w:sz w:val="24"/>
          <w:szCs w:val="24"/>
          <w:lang w:eastAsia="ja-JP"/>
        </w:rPr>
        <w:t>EPIR</w:t>
      </w:r>
      <w:r w:rsidRPr="007C5A6E">
        <w:rPr>
          <w:rFonts w:ascii="Times New Roman" w:eastAsia="MS Mincho" w:hAnsi="Times New Roman"/>
          <w:sz w:val="24"/>
          <w:szCs w:val="24"/>
          <w:lang w:eastAsia="ja-JP"/>
        </w:rPr>
        <w:t>). Pour les trois rapports suivants (2009, 2013 et 2017)</w:t>
      </w:r>
      <w:r w:rsidRPr="007C5A6E">
        <w:rPr>
          <w:rFonts w:ascii="Times New Roman" w:eastAsia="MS Mincho" w:hAnsi="Times New Roman"/>
          <w:bCs/>
          <w:sz w:val="24"/>
          <w:szCs w:val="24"/>
          <w:lang w:eastAsia="ja-JP"/>
        </w:rPr>
        <w:t>, et dans le but de fournir des informations sur les tendances évolutives de notre environnement, l’approche méthodologique utilisée a été celle de « Pression – État – Impacts – Réponses » (</w:t>
      </w:r>
      <w:r w:rsidRPr="007C5A6E">
        <w:rPr>
          <w:rFonts w:ascii="Times New Roman" w:eastAsia="MS Mincho" w:hAnsi="Times New Roman"/>
          <w:b/>
          <w:sz w:val="24"/>
          <w:szCs w:val="24"/>
          <w:lang w:eastAsia="ja-JP"/>
        </w:rPr>
        <w:t>PEIR</w:t>
      </w:r>
      <w:r w:rsidRPr="007C5A6E">
        <w:rPr>
          <w:rFonts w:ascii="Times New Roman" w:eastAsia="MS Mincho" w:hAnsi="Times New Roman"/>
          <w:bCs/>
          <w:sz w:val="24"/>
          <w:szCs w:val="24"/>
          <w:lang w:eastAsia="ja-JP"/>
        </w:rPr>
        <w:t>).</w:t>
      </w:r>
    </w:p>
    <w:p w14:paraId="5D53E819" w14:textId="77777777" w:rsidR="00003A5C" w:rsidRPr="007C5A6E" w:rsidRDefault="00003A5C" w:rsidP="00003A5C">
      <w:pPr>
        <w:spacing w:after="0" w:line="240" w:lineRule="auto"/>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 xml:space="preserve">Le présent exercice, le cinquième du genre s’inscrit dans la suite des trois derniers et s’aligne sur </w:t>
      </w:r>
      <w:r w:rsidRPr="007C5A6E">
        <w:rPr>
          <w:rFonts w:ascii="Times New Roman" w:eastAsia="MS Mincho" w:hAnsi="Times New Roman"/>
          <w:bCs/>
          <w:sz w:val="24"/>
          <w:szCs w:val="24"/>
          <w:lang w:eastAsia="ja-JP"/>
        </w:rPr>
        <w:t xml:space="preserve">l’approche méthodologique du PEIR. </w:t>
      </w:r>
      <w:r w:rsidRPr="007C5A6E">
        <w:rPr>
          <w:rFonts w:ascii="Times New Roman" w:eastAsia="Calibri" w:hAnsi="Times New Roman"/>
          <w:sz w:val="24"/>
          <w:szCs w:val="24"/>
          <w:lang w:eastAsia="en-US"/>
        </w:rPr>
        <w:t xml:space="preserve"> </w:t>
      </w:r>
    </w:p>
    <w:p w14:paraId="76FBEBA2" w14:textId="77777777" w:rsidR="00003A5C" w:rsidRPr="007C5A6E" w:rsidRDefault="00003A5C" w:rsidP="00003A5C">
      <w:pPr>
        <w:suppressAutoHyphens/>
        <w:spacing w:after="0" w:line="240" w:lineRule="auto"/>
        <w:jc w:val="both"/>
        <w:rPr>
          <w:rFonts w:ascii="Times New Roman" w:eastAsia="MS Mincho" w:hAnsi="Times New Roman"/>
          <w:bCs/>
          <w:sz w:val="24"/>
          <w:szCs w:val="24"/>
          <w:lang w:eastAsia="en-US"/>
        </w:rPr>
      </w:pPr>
    </w:p>
    <w:p w14:paraId="398B9CEA" w14:textId="77777777" w:rsidR="00003A5C" w:rsidRPr="007C5A6E" w:rsidRDefault="00003A5C" w:rsidP="00003A5C">
      <w:pPr>
        <w:shd w:val="clear" w:color="auto" w:fill="FFFFFF"/>
        <w:spacing w:after="0" w:line="240" w:lineRule="auto"/>
        <w:jc w:val="both"/>
        <w:rPr>
          <w:rFonts w:ascii="Times New Roman" w:eastAsia="MS Mincho" w:hAnsi="Times New Roman"/>
          <w:sz w:val="24"/>
          <w:szCs w:val="24"/>
          <w:lang w:eastAsia="ja-JP"/>
        </w:rPr>
      </w:pPr>
      <w:r w:rsidRPr="007C5A6E">
        <w:rPr>
          <w:rFonts w:ascii="Times New Roman" w:eastAsia="MS Mincho" w:hAnsi="Times New Roman"/>
          <w:sz w:val="24"/>
          <w:szCs w:val="24"/>
          <w:lang w:eastAsia="ja-JP"/>
        </w:rPr>
        <w:t xml:space="preserve">L'objectif global est de produire, sur une base participative et à partir de l’expérience acquise dans l’élaboration des quatre rapports précédents, le rapport d’évaluation de </w:t>
      </w:r>
      <w:r w:rsidRPr="007C5A6E">
        <w:rPr>
          <w:rFonts w:ascii="Times New Roman" w:eastAsia="MS Mincho" w:hAnsi="Times New Roman"/>
          <w:b/>
          <w:bCs/>
          <w:sz w:val="24"/>
          <w:szCs w:val="24"/>
          <w:lang w:eastAsia="ja-JP"/>
        </w:rPr>
        <w:t>l’état quantitatif et qualitatif de l’environnement et ses dynamiques dans le temps et dans l’espace, résultant des différentes actions et interventions de développement,</w:t>
      </w:r>
      <w:r w:rsidRPr="007C5A6E">
        <w:rPr>
          <w:rFonts w:ascii="Times New Roman" w:eastAsia="MS Mincho" w:hAnsi="Times New Roman"/>
          <w:sz w:val="24"/>
          <w:szCs w:val="24"/>
          <w:lang w:eastAsia="ja-JP"/>
        </w:rPr>
        <w:t xml:space="preserve"> communément appelé Rapport sur l’Etat de l’Environnement au Burkina Faso, le cinquième du genre.</w:t>
      </w:r>
    </w:p>
    <w:p w14:paraId="3C0F889C" w14:textId="77777777" w:rsidR="00003A5C" w:rsidRPr="007C5A6E" w:rsidRDefault="00003A5C" w:rsidP="00003A5C">
      <w:pPr>
        <w:shd w:val="clear" w:color="auto" w:fill="FFFFFF"/>
        <w:spacing w:after="0" w:line="240" w:lineRule="auto"/>
        <w:jc w:val="both"/>
        <w:rPr>
          <w:rFonts w:ascii="Times New Roman" w:eastAsia="MS Mincho" w:hAnsi="Times New Roman"/>
          <w:sz w:val="24"/>
          <w:szCs w:val="24"/>
          <w:lang w:eastAsia="ja-JP"/>
        </w:rPr>
      </w:pPr>
      <w:r w:rsidRPr="007C5A6E">
        <w:rPr>
          <w:rFonts w:ascii="Times New Roman" w:eastAsia="MS Mincho" w:hAnsi="Times New Roman"/>
          <w:sz w:val="24"/>
          <w:szCs w:val="24"/>
          <w:lang w:eastAsia="ja-JP"/>
        </w:rPr>
        <w:t xml:space="preserve">De manière spécifique, la démarche a mobilisé une équipe pluridisciplinaire d’experts nationaux, en vue de : </w:t>
      </w:r>
    </w:p>
    <w:p w14:paraId="3AF8AD14" w14:textId="77777777" w:rsidR="00003A5C" w:rsidRPr="007C5A6E" w:rsidRDefault="00003A5C" w:rsidP="00003A5C">
      <w:pPr>
        <w:numPr>
          <w:ilvl w:val="0"/>
          <w:numId w:val="69"/>
        </w:numPr>
        <w:spacing w:after="0" w:line="240" w:lineRule="auto"/>
        <w:contextualSpacing/>
        <w:jc w:val="both"/>
        <w:rPr>
          <w:rFonts w:ascii="Times New Roman" w:eastAsia="MS Mincho" w:hAnsi="Times New Roman"/>
          <w:sz w:val="24"/>
          <w:szCs w:val="24"/>
          <w:lang w:eastAsia="ja-JP"/>
        </w:rPr>
      </w:pPr>
      <w:r w:rsidRPr="007C5A6E">
        <w:rPr>
          <w:rFonts w:ascii="Times New Roman" w:eastAsia="MS Mincho" w:hAnsi="Times New Roman"/>
          <w:sz w:val="24"/>
          <w:szCs w:val="24"/>
          <w:lang w:eastAsia="ja-JP"/>
        </w:rPr>
        <w:t>Elaborer six (6) rapports thématiques d’étape ;</w:t>
      </w:r>
    </w:p>
    <w:p w14:paraId="71149B06" w14:textId="77777777" w:rsidR="00003A5C" w:rsidRPr="007C5A6E" w:rsidRDefault="00003A5C" w:rsidP="00003A5C">
      <w:pPr>
        <w:numPr>
          <w:ilvl w:val="0"/>
          <w:numId w:val="69"/>
        </w:numPr>
        <w:spacing w:after="0" w:line="240" w:lineRule="auto"/>
        <w:contextualSpacing/>
        <w:jc w:val="both"/>
        <w:rPr>
          <w:rFonts w:ascii="Times New Roman" w:eastAsia="MS Mincho" w:hAnsi="Times New Roman"/>
          <w:sz w:val="24"/>
          <w:szCs w:val="24"/>
          <w:lang w:eastAsia="ja-JP"/>
        </w:rPr>
      </w:pPr>
      <w:r w:rsidRPr="007C5A6E">
        <w:rPr>
          <w:rFonts w:ascii="Times New Roman" w:eastAsia="MS Mincho" w:hAnsi="Times New Roman"/>
          <w:sz w:val="24"/>
          <w:szCs w:val="24"/>
          <w:lang w:eastAsia="ja-JP"/>
        </w:rPr>
        <w:t>Animer les ateliers techniques et thématiques intermédiaires de validation organisés par le SP-CNDD et les partenaires membres du réseau PNGIM</w:t>
      </w:r>
    </w:p>
    <w:p w14:paraId="3E8C2F50" w14:textId="77777777" w:rsidR="00003A5C" w:rsidRPr="007C5A6E" w:rsidRDefault="00003A5C" w:rsidP="00003A5C">
      <w:pPr>
        <w:numPr>
          <w:ilvl w:val="0"/>
          <w:numId w:val="69"/>
        </w:numPr>
        <w:spacing w:after="0" w:line="240" w:lineRule="auto"/>
        <w:contextualSpacing/>
        <w:jc w:val="both"/>
        <w:rPr>
          <w:rFonts w:ascii="Times New Roman" w:eastAsia="MS Mincho" w:hAnsi="Times New Roman"/>
          <w:sz w:val="24"/>
          <w:szCs w:val="24"/>
          <w:lang w:eastAsia="ja-JP"/>
        </w:rPr>
      </w:pPr>
      <w:r w:rsidRPr="007C5A6E">
        <w:rPr>
          <w:rFonts w:ascii="Times New Roman" w:eastAsia="MS Mincho" w:hAnsi="Times New Roman"/>
          <w:sz w:val="24"/>
          <w:szCs w:val="24"/>
          <w:lang w:eastAsia="ja-JP"/>
        </w:rPr>
        <w:t>Rédiger la version provisoire du cinquième REEB ;</w:t>
      </w:r>
    </w:p>
    <w:p w14:paraId="22FFECE7" w14:textId="77777777" w:rsidR="00003A5C" w:rsidRPr="007C5A6E" w:rsidRDefault="00003A5C" w:rsidP="00003A5C">
      <w:pPr>
        <w:numPr>
          <w:ilvl w:val="0"/>
          <w:numId w:val="69"/>
        </w:numPr>
        <w:spacing w:after="0" w:line="240" w:lineRule="auto"/>
        <w:contextualSpacing/>
        <w:jc w:val="both"/>
        <w:rPr>
          <w:rFonts w:ascii="Times New Roman" w:eastAsia="MS Mincho" w:hAnsi="Times New Roman"/>
          <w:sz w:val="24"/>
          <w:szCs w:val="24"/>
          <w:lang w:eastAsia="ja-JP"/>
        </w:rPr>
      </w:pPr>
      <w:r w:rsidRPr="007C5A6E">
        <w:rPr>
          <w:rFonts w:ascii="Times New Roman" w:eastAsia="MS Mincho" w:hAnsi="Times New Roman"/>
          <w:sz w:val="24"/>
          <w:szCs w:val="24"/>
          <w:lang w:eastAsia="ja-JP"/>
        </w:rPr>
        <w:t>Animer un atelier national de validation du cinquième REEB, organisé par le SP-CNDD ;</w:t>
      </w:r>
    </w:p>
    <w:p w14:paraId="4F300F6B" w14:textId="77777777" w:rsidR="00003A5C" w:rsidRPr="007C5A6E" w:rsidRDefault="00003A5C" w:rsidP="00003A5C">
      <w:pPr>
        <w:numPr>
          <w:ilvl w:val="0"/>
          <w:numId w:val="69"/>
        </w:numPr>
        <w:spacing w:after="0" w:line="240" w:lineRule="auto"/>
        <w:contextualSpacing/>
        <w:jc w:val="both"/>
        <w:rPr>
          <w:rFonts w:ascii="Times New Roman" w:eastAsia="MS Mincho" w:hAnsi="Times New Roman"/>
          <w:sz w:val="24"/>
          <w:szCs w:val="24"/>
          <w:lang w:eastAsia="ja-JP"/>
        </w:rPr>
      </w:pPr>
      <w:r w:rsidRPr="007C5A6E">
        <w:rPr>
          <w:rFonts w:ascii="Times New Roman" w:eastAsia="MS Mincho" w:hAnsi="Times New Roman"/>
          <w:sz w:val="24"/>
          <w:szCs w:val="24"/>
          <w:lang w:eastAsia="ja-JP"/>
        </w:rPr>
        <w:t>Produire le REEB 5 final.</w:t>
      </w:r>
    </w:p>
    <w:p w14:paraId="01CC49E0" w14:textId="77777777" w:rsidR="00003A5C" w:rsidRPr="007C5A6E" w:rsidRDefault="00003A5C" w:rsidP="00003A5C">
      <w:pPr>
        <w:spacing w:after="0" w:line="240" w:lineRule="auto"/>
        <w:jc w:val="both"/>
        <w:rPr>
          <w:rFonts w:ascii="Times New Roman" w:eastAsia="MS Mincho" w:hAnsi="Times New Roman"/>
          <w:sz w:val="24"/>
          <w:szCs w:val="24"/>
          <w:lang w:eastAsia="ja-JP"/>
        </w:rPr>
        <w:sectPr w:rsidR="00003A5C" w:rsidRPr="007C5A6E" w:rsidSect="00A7432C">
          <w:pgSz w:w="11907" w:h="16840" w:code="9"/>
          <w:pgMar w:top="1191" w:right="1361" w:bottom="1191" w:left="1361" w:header="709" w:footer="709" w:gutter="0"/>
          <w:pgNumType w:start="1"/>
          <w:cols w:space="708"/>
          <w:docGrid w:linePitch="360"/>
        </w:sectPr>
      </w:pPr>
      <w:r w:rsidRPr="007C5A6E">
        <w:rPr>
          <w:rFonts w:ascii="Times New Roman" w:eastAsia="MS Mincho" w:hAnsi="Times New Roman"/>
          <w:sz w:val="24"/>
          <w:szCs w:val="24"/>
          <w:lang w:eastAsia="ja-JP"/>
        </w:rPr>
        <w:t xml:space="preserve">Tout comme les précédents rapports, le REEB-5 sera présenté à la Conférence Nationale du Développement Durable (CONADD dont la mission est de définir les grandes orientations en matière de développement durable au Burkina Faso. </w:t>
      </w:r>
    </w:p>
    <w:p w14:paraId="671AAEED" w14:textId="16625603" w:rsidR="005E7B17" w:rsidRPr="007C5A6E" w:rsidRDefault="005E7B17" w:rsidP="00857104">
      <w:pPr>
        <w:pStyle w:val="Titre1"/>
        <w:spacing w:before="0"/>
        <w:rPr>
          <w:bCs/>
          <w:szCs w:val="30"/>
        </w:rPr>
      </w:pPr>
      <w:bookmarkStart w:id="9" w:name="_Toc183340002"/>
      <w:r w:rsidRPr="007C5A6E">
        <w:rPr>
          <w:bCs/>
          <w:szCs w:val="30"/>
        </w:rPr>
        <w:t xml:space="preserve">LE CONTEXTE </w:t>
      </w:r>
      <w:r w:rsidR="00003A5C" w:rsidRPr="007C5A6E">
        <w:rPr>
          <w:bCs/>
          <w:szCs w:val="30"/>
        </w:rPr>
        <w:t>D’ELABORATION DU RAPPORT</w:t>
      </w:r>
      <w:bookmarkEnd w:id="9"/>
    </w:p>
    <w:p w14:paraId="09F110FB" w14:textId="77777777" w:rsidR="00431FF2" w:rsidRPr="007C5A6E" w:rsidRDefault="00431FF2" w:rsidP="00857104">
      <w:pPr>
        <w:spacing w:after="0" w:line="240" w:lineRule="auto"/>
        <w:rPr>
          <w:rFonts w:ascii="Times New Roman" w:hAnsi="Times New Roman"/>
          <w:sz w:val="24"/>
          <w:szCs w:val="24"/>
        </w:rPr>
      </w:pPr>
    </w:p>
    <w:p w14:paraId="41D4C093" w14:textId="77777777" w:rsidR="00003A5C" w:rsidRPr="007C5A6E" w:rsidRDefault="00003A5C" w:rsidP="00712C43">
      <w:pPr>
        <w:pStyle w:val="Titre2"/>
      </w:pPr>
      <w:bookmarkStart w:id="10" w:name="_Toc183340003"/>
      <w:r w:rsidRPr="007C5A6E">
        <w:t>Les enjeux socio-démographiques de la gestion de l’environnement</w:t>
      </w:r>
      <w:bookmarkEnd w:id="10"/>
      <w:r w:rsidRPr="007C5A6E">
        <w:t xml:space="preserve"> </w:t>
      </w:r>
    </w:p>
    <w:p w14:paraId="19ECA165" w14:textId="77777777" w:rsidR="00003A5C" w:rsidRPr="007C5A6E" w:rsidRDefault="00003A5C" w:rsidP="00003A5C">
      <w:pPr>
        <w:spacing w:after="0" w:line="240" w:lineRule="auto"/>
        <w:rPr>
          <w:rFonts w:ascii="Times New Roman" w:hAnsi="Times New Roman"/>
          <w:sz w:val="24"/>
          <w:szCs w:val="24"/>
          <w:lang w:val="fr-BF"/>
        </w:rPr>
      </w:pPr>
    </w:p>
    <w:p w14:paraId="25F858F0" w14:textId="77777777" w:rsidR="00003A5C" w:rsidRPr="007C5A6E" w:rsidRDefault="00003A5C" w:rsidP="00003A5C">
      <w:pPr>
        <w:shd w:val="clear" w:color="auto" w:fill="FFFFFF"/>
        <w:spacing w:after="0" w:line="240" w:lineRule="auto"/>
        <w:jc w:val="both"/>
        <w:rPr>
          <w:rFonts w:ascii="Times New Roman" w:hAnsi="Times New Roman"/>
          <w:sz w:val="24"/>
          <w:szCs w:val="24"/>
        </w:rPr>
      </w:pPr>
      <w:r w:rsidRPr="007C5A6E">
        <w:rPr>
          <w:rFonts w:ascii="Times New Roman" w:hAnsi="Times New Roman"/>
          <w:sz w:val="24"/>
          <w:szCs w:val="24"/>
        </w:rPr>
        <w:t xml:space="preserve">Le Burkina Faso est un pays sahélien de l’Afrique de l’Ouest. Son économie repose fortement sur le secteur primaire (agriculture, élevage, foresterie, faune, pêche, etc.). Ce secteur contribue à lui seul à presque un tiers de la richesse nationale (31% du PIB).  </w:t>
      </w:r>
    </w:p>
    <w:p w14:paraId="4378C056" w14:textId="77777777" w:rsidR="00003A5C" w:rsidRPr="007C5A6E" w:rsidRDefault="00003A5C" w:rsidP="00003A5C">
      <w:pPr>
        <w:spacing w:after="0" w:line="240" w:lineRule="auto"/>
        <w:jc w:val="both"/>
        <w:rPr>
          <w:rFonts w:ascii="Times New Roman" w:hAnsi="Times New Roman"/>
          <w:sz w:val="24"/>
          <w:szCs w:val="24"/>
        </w:rPr>
      </w:pPr>
    </w:p>
    <w:p w14:paraId="0A777238" w14:textId="77777777" w:rsidR="00003A5C" w:rsidRPr="007C5A6E" w:rsidRDefault="00003A5C" w:rsidP="00003A5C">
      <w:pPr>
        <w:spacing w:after="0" w:line="240" w:lineRule="auto"/>
        <w:jc w:val="both"/>
        <w:rPr>
          <w:rFonts w:ascii="Times New Roman" w:hAnsi="Times New Roman"/>
          <w:sz w:val="24"/>
          <w:szCs w:val="24"/>
        </w:rPr>
      </w:pPr>
      <w:r w:rsidRPr="007C5A6E">
        <w:rPr>
          <w:rFonts w:ascii="Times New Roman" w:hAnsi="Times New Roman"/>
          <w:sz w:val="24"/>
          <w:szCs w:val="24"/>
        </w:rPr>
        <w:t>En 2019, le Burkina Faso avait une population totale de 20,5 millions d’habitants. 74% de celle-ci vit en milieu rural et 85% pratique l’agriculture, l’élevage et l’exploitation des produits des forêts comme principal moyen d’existence. Cette population est ainsi fortement dépendante des ressources naturelles : l’eau, les sols, les forêts, les pâturages, etc. (INSD, 2022a). L’incidence de la pauvreté est estimée à 43,2% en 2021.</w:t>
      </w:r>
    </w:p>
    <w:p w14:paraId="2365930E" w14:textId="77777777" w:rsidR="00003A5C" w:rsidRPr="007C5A6E" w:rsidRDefault="00003A5C" w:rsidP="00003A5C">
      <w:pPr>
        <w:spacing w:after="0" w:line="240" w:lineRule="auto"/>
        <w:jc w:val="both"/>
        <w:rPr>
          <w:rFonts w:ascii="Times New Roman" w:hAnsi="Times New Roman"/>
          <w:sz w:val="24"/>
          <w:szCs w:val="24"/>
        </w:rPr>
      </w:pPr>
      <w:r w:rsidRPr="007C5A6E">
        <w:rPr>
          <w:rFonts w:ascii="Times New Roman" w:hAnsi="Times New Roman"/>
          <w:sz w:val="24"/>
          <w:szCs w:val="24"/>
        </w:rPr>
        <w:t xml:space="preserve">Le taux de croissance annuel de la population est de 2,94% en 2019 (INSD, 2019) ; ce qui signifie qu’elle est passée de 19 632 147 en 2017 à 22 752 315 en 2023 selon les projections de INSD. </w:t>
      </w:r>
    </w:p>
    <w:p w14:paraId="0AC74938" w14:textId="77777777" w:rsidR="00003A5C" w:rsidRPr="007C5A6E" w:rsidRDefault="00003A5C" w:rsidP="00003A5C">
      <w:pPr>
        <w:spacing w:after="0" w:line="240" w:lineRule="auto"/>
        <w:jc w:val="both"/>
        <w:rPr>
          <w:rFonts w:ascii="Times New Roman" w:hAnsi="Times New Roman"/>
          <w:sz w:val="24"/>
          <w:szCs w:val="24"/>
        </w:rPr>
      </w:pPr>
    </w:p>
    <w:p w14:paraId="1A50A79D" w14:textId="77777777" w:rsidR="00003A5C" w:rsidRPr="007C5A6E" w:rsidRDefault="00003A5C" w:rsidP="00003A5C">
      <w:pPr>
        <w:spacing w:after="0" w:line="240" w:lineRule="auto"/>
        <w:jc w:val="both"/>
        <w:rPr>
          <w:rFonts w:ascii="Times New Roman" w:hAnsi="Times New Roman"/>
          <w:sz w:val="24"/>
          <w:szCs w:val="24"/>
        </w:rPr>
      </w:pPr>
      <w:r w:rsidRPr="007C5A6E">
        <w:rPr>
          <w:rFonts w:ascii="Times New Roman" w:hAnsi="Times New Roman"/>
          <w:sz w:val="24"/>
          <w:szCs w:val="24"/>
        </w:rPr>
        <w:t>Cette forte croissance démographique, conjuguée avec les conflits sociaux (conflit fonciers, insécurité ; déplacements communautaires…), la variabilité et la péjoration du climat, induisent de fortes pressions sur le capital naturel national et une érosion croissante des ressources. En effet, l’accroissement de la population, affecte le système d’utilisation des terres et cause la dégradation environnementale au Burkina Faso (</w:t>
      </w:r>
      <w:bookmarkStart w:id="11" w:name="_Hlk182474020"/>
      <w:r w:rsidRPr="007C5A6E">
        <w:rPr>
          <w:rFonts w:ascii="Times New Roman" w:hAnsi="Times New Roman"/>
          <w:sz w:val="24"/>
          <w:szCs w:val="24"/>
        </w:rPr>
        <w:t>SP/REED+, 2019</w:t>
      </w:r>
      <w:bookmarkEnd w:id="11"/>
      <w:r w:rsidRPr="007C5A6E">
        <w:rPr>
          <w:rFonts w:ascii="Times New Roman" w:hAnsi="Times New Roman"/>
          <w:sz w:val="24"/>
          <w:szCs w:val="24"/>
        </w:rPr>
        <w:t xml:space="preserve">). </w:t>
      </w:r>
    </w:p>
    <w:p w14:paraId="233AE357" w14:textId="77777777" w:rsidR="00003A5C" w:rsidRPr="007C5A6E" w:rsidRDefault="00003A5C" w:rsidP="00003A5C">
      <w:pPr>
        <w:spacing w:after="0" w:line="240" w:lineRule="auto"/>
        <w:jc w:val="both"/>
        <w:rPr>
          <w:rFonts w:ascii="Times New Roman" w:hAnsi="Times New Roman"/>
          <w:bCs/>
          <w:sz w:val="24"/>
          <w:szCs w:val="24"/>
        </w:rPr>
      </w:pPr>
    </w:p>
    <w:p w14:paraId="25304804" w14:textId="77777777" w:rsidR="00003A5C" w:rsidRPr="007C5A6E" w:rsidRDefault="00003A5C" w:rsidP="00003A5C">
      <w:pPr>
        <w:spacing w:after="0" w:line="240" w:lineRule="auto"/>
        <w:jc w:val="both"/>
        <w:rPr>
          <w:rFonts w:ascii="Times New Roman" w:hAnsi="Times New Roman"/>
          <w:sz w:val="24"/>
          <w:szCs w:val="24"/>
        </w:rPr>
      </w:pPr>
      <w:r w:rsidRPr="007C5A6E">
        <w:rPr>
          <w:rFonts w:ascii="Times New Roman" w:hAnsi="Times New Roman"/>
          <w:bCs/>
          <w:sz w:val="24"/>
          <w:szCs w:val="24"/>
        </w:rPr>
        <w:t xml:space="preserve">A titre d’illustration, entre 2000 et 2022, et </w:t>
      </w:r>
      <w:r w:rsidRPr="007C5A6E">
        <w:rPr>
          <w:rFonts w:ascii="Times New Roman" w:hAnsi="Times New Roman"/>
          <w:sz w:val="24"/>
          <w:szCs w:val="24"/>
        </w:rPr>
        <w:t xml:space="preserve">sous l’effet de la croissance démographique, les établissements humains ont connu </w:t>
      </w:r>
      <w:r w:rsidRPr="007C5A6E">
        <w:rPr>
          <w:rFonts w:ascii="Times New Roman" w:hAnsi="Times New Roman"/>
          <w:bCs/>
          <w:sz w:val="24"/>
          <w:szCs w:val="24"/>
        </w:rPr>
        <w:t>une augmentation de superficie, passant de 211 460,51 ha à 332 656,13 ha soit une augmentation nette de 121 195,61 ha. Cette hausse représente 57 % de la superficie initiale occupée par l’habitat humain en 2000. Au plan des ressources naturelles, la situation s’est traduite par une conversion des terres forestières (12 446,77 ha), des terres cultivées (101 027,59 ha), des prairies (9 299,576 ha) et des autres terres (1 544,52 ha) en établissements humains (</w:t>
      </w:r>
      <w:r w:rsidRPr="007C5A6E">
        <w:rPr>
          <w:rFonts w:ascii="Times New Roman" w:hAnsi="Times New Roman"/>
          <w:sz w:val="24"/>
          <w:szCs w:val="24"/>
        </w:rPr>
        <w:t>SP/REED+, 2023)</w:t>
      </w:r>
      <w:r w:rsidRPr="007C5A6E">
        <w:rPr>
          <w:rFonts w:ascii="Times New Roman" w:hAnsi="Times New Roman"/>
          <w:bCs/>
          <w:sz w:val="24"/>
          <w:szCs w:val="24"/>
        </w:rPr>
        <w:t>.</w:t>
      </w:r>
    </w:p>
    <w:p w14:paraId="484778E6" w14:textId="77777777" w:rsidR="00003A5C" w:rsidRPr="007C5A6E" w:rsidRDefault="00003A5C" w:rsidP="00003A5C">
      <w:pPr>
        <w:spacing w:after="0" w:line="240" w:lineRule="auto"/>
        <w:rPr>
          <w:rFonts w:ascii="Times New Roman" w:eastAsia="Calibri" w:hAnsi="Times New Roman"/>
          <w:sz w:val="24"/>
          <w:szCs w:val="24"/>
          <w:lang w:eastAsia="en-US"/>
          <w14:ligatures w14:val="standardContextual"/>
        </w:rPr>
      </w:pPr>
      <w:bookmarkStart w:id="12" w:name="_Toc182575496"/>
    </w:p>
    <w:p w14:paraId="78F5F946" w14:textId="27074199" w:rsidR="00003A5C" w:rsidRPr="007C5A6E" w:rsidRDefault="00003A5C" w:rsidP="00003A5C">
      <w:pPr>
        <w:pStyle w:val="Lgende"/>
        <w:spacing w:after="0"/>
        <w:rPr>
          <w:rFonts w:ascii="Times New Roman" w:eastAsia="Calibri" w:hAnsi="Times New Roman"/>
          <w:i w:val="0"/>
          <w:iCs w:val="0"/>
          <w:color w:val="auto"/>
          <w:sz w:val="24"/>
          <w:szCs w:val="24"/>
          <w:lang w:eastAsia="en-US"/>
          <w14:ligatures w14:val="standardContextual"/>
        </w:rPr>
      </w:pPr>
      <w:bookmarkStart w:id="13" w:name="_Toc183292205"/>
      <w:bookmarkStart w:id="14" w:name="_Toc183340485"/>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6514BA" w:rsidRPr="007C5A6E">
        <w:rPr>
          <w:rFonts w:ascii="Times New Roman" w:hAnsi="Times New Roman"/>
          <w:i w:val="0"/>
          <w:iCs w:val="0"/>
          <w:noProof/>
          <w:color w:val="auto"/>
          <w:sz w:val="24"/>
          <w:szCs w:val="24"/>
        </w:rPr>
        <w:t>1</w:t>
      </w:r>
      <w:r w:rsidRPr="007C5A6E">
        <w:rPr>
          <w:rFonts w:ascii="Times New Roman" w:hAnsi="Times New Roman"/>
          <w:i w:val="0"/>
          <w:iCs w:val="0"/>
          <w:color w:val="auto"/>
          <w:sz w:val="24"/>
          <w:szCs w:val="24"/>
        </w:rPr>
        <w:fldChar w:fldCharType="end"/>
      </w:r>
      <w:r w:rsidRPr="007C5A6E">
        <w:rPr>
          <w:rFonts w:ascii="Times New Roman" w:eastAsia="Calibri" w:hAnsi="Times New Roman"/>
          <w:i w:val="0"/>
          <w:iCs w:val="0"/>
          <w:color w:val="auto"/>
          <w:sz w:val="24"/>
          <w:szCs w:val="24"/>
          <w:lang w:eastAsia="en-US"/>
          <w14:ligatures w14:val="standardContextual"/>
        </w:rPr>
        <w:t> : Principaux indicateurs socio-démographiques du Burkina Faso</w:t>
      </w:r>
      <w:bookmarkEnd w:id="12"/>
      <w:bookmarkEnd w:id="13"/>
      <w:bookmarkEnd w:id="14"/>
    </w:p>
    <w:p w14:paraId="0F68FDF3" w14:textId="77777777" w:rsidR="00003A5C" w:rsidRPr="007C5A6E" w:rsidRDefault="00003A5C" w:rsidP="00003A5C">
      <w:pPr>
        <w:spacing w:after="0" w:line="240" w:lineRule="auto"/>
        <w:rPr>
          <w:rFonts w:ascii="Times New Roman" w:eastAsia="Calibri" w:hAnsi="Times New Roman"/>
          <w:sz w:val="24"/>
          <w:szCs w:val="24"/>
          <w:lang w:eastAsia="en-US"/>
          <w14:ligatures w14:val="standardContextual"/>
        </w:rPr>
      </w:pPr>
    </w:p>
    <w:tbl>
      <w:tblPr>
        <w:tblStyle w:val="Grilledutableau10"/>
        <w:tblW w:w="9175" w:type="dxa"/>
        <w:tblLayout w:type="fixed"/>
        <w:tblLook w:val="04A0" w:firstRow="1" w:lastRow="0" w:firstColumn="1" w:lastColumn="0" w:noHBand="0" w:noVBand="1"/>
      </w:tblPr>
      <w:tblGrid>
        <w:gridCol w:w="3114"/>
        <w:gridCol w:w="1843"/>
        <w:gridCol w:w="1842"/>
        <w:gridCol w:w="2376"/>
      </w:tblGrid>
      <w:tr w:rsidR="00003A5C" w:rsidRPr="007C5A6E" w14:paraId="0162B299" w14:textId="77777777" w:rsidTr="0006253D">
        <w:tc>
          <w:tcPr>
            <w:tcW w:w="3114" w:type="dxa"/>
            <w:shd w:val="clear" w:color="auto" w:fill="002060"/>
          </w:tcPr>
          <w:p w14:paraId="49E30F25" w14:textId="77777777" w:rsidR="00003A5C" w:rsidRPr="007C5A6E" w:rsidRDefault="00003A5C" w:rsidP="0006253D">
            <w:pPr>
              <w:spacing w:after="0" w:line="240" w:lineRule="auto"/>
              <w:jc w:val="center"/>
              <w:rPr>
                <w:rFonts w:ascii="Times New Roman" w:hAnsi="Times New Roman"/>
                <w:sz w:val="21"/>
                <w:szCs w:val="21"/>
              </w:rPr>
            </w:pPr>
            <w:r w:rsidRPr="007C5A6E">
              <w:rPr>
                <w:rFonts w:ascii="Times New Roman" w:hAnsi="Times New Roman"/>
                <w:sz w:val="21"/>
                <w:szCs w:val="21"/>
              </w:rPr>
              <w:t>Indicateur socio-démographique</w:t>
            </w:r>
          </w:p>
        </w:tc>
        <w:tc>
          <w:tcPr>
            <w:tcW w:w="1843" w:type="dxa"/>
            <w:shd w:val="clear" w:color="auto" w:fill="002060"/>
          </w:tcPr>
          <w:p w14:paraId="26C8DD4D" w14:textId="77777777" w:rsidR="00003A5C" w:rsidRPr="007C5A6E" w:rsidRDefault="00003A5C" w:rsidP="0006253D">
            <w:pPr>
              <w:spacing w:after="0" w:line="240" w:lineRule="auto"/>
              <w:jc w:val="center"/>
              <w:rPr>
                <w:rFonts w:ascii="Times New Roman" w:hAnsi="Times New Roman"/>
                <w:sz w:val="21"/>
                <w:szCs w:val="21"/>
              </w:rPr>
            </w:pPr>
            <w:r w:rsidRPr="007C5A6E">
              <w:rPr>
                <w:rFonts w:ascii="Times New Roman" w:hAnsi="Times New Roman"/>
                <w:sz w:val="21"/>
                <w:szCs w:val="21"/>
              </w:rPr>
              <w:t>Période 2017 et antérieure</w:t>
            </w:r>
          </w:p>
        </w:tc>
        <w:tc>
          <w:tcPr>
            <w:tcW w:w="1842" w:type="dxa"/>
            <w:shd w:val="clear" w:color="auto" w:fill="002060"/>
          </w:tcPr>
          <w:p w14:paraId="02DEAB2B" w14:textId="77777777" w:rsidR="00003A5C" w:rsidRPr="007C5A6E" w:rsidRDefault="00003A5C" w:rsidP="0006253D">
            <w:pPr>
              <w:spacing w:after="0" w:line="240" w:lineRule="auto"/>
              <w:jc w:val="center"/>
              <w:rPr>
                <w:rFonts w:ascii="Times New Roman" w:hAnsi="Times New Roman"/>
                <w:sz w:val="21"/>
                <w:szCs w:val="21"/>
              </w:rPr>
            </w:pPr>
            <w:r w:rsidRPr="007C5A6E">
              <w:rPr>
                <w:rFonts w:ascii="Times New Roman" w:hAnsi="Times New Roman"/>
                <w:sz w:val="21"/>
                <w:szCs w:val="21"/>
              </w:rPr>
              <w:t>Période 2017 à 2023</w:t>
            </w:r>
          </w:p>
        </w:tc>
        <w:tc>
          <w:tcPr>
            <w:tcW w:w="2376" w:type="dxa"/>
            <w:shd w:val="clear" w:color="auto" w:fill="002060"/>
          </w:tcPr>
          <w:p w14:paraId="33593C15" w14:textId="77777777" w:rsidR="00003A5C" w:rsidRPr="007C5A6E" w:rsidRDefault="00003A5C" w:rsidP="0006253D">
            <w:pPr>
              <w:spacing w:after="0" w:line="240" w:lineRule="auto"/>
              <w:jc w:val="center"/>
              <w:rPr>
                <w:rFonts w:ascii="Times New Roman" w:hAnsi="Times New Roman"/>
                <w:sz w:val="21"/>
                <w:szCs w:val="21"/>
              </w:rPr>
            </w:pPr>
            <w:r w:rsidRPr="007C5A6E">
              <w:rPr>
                <w:rFonts w:ascii="Times New Roman" w:hAnsi="Times New Roman"/>
                <w:sz w:val="21"/>
                <w:szCs w:val="21"/>
              </w:rPr>
              <w:t>Observations/source</w:t>
            </w:r>
          </w:p>
        </w:tc>
      </w:tr>
      <w:tr w:rsidR="00003A5C" w:rsidRPr="007C5A6E" w14:paraId="6D2754B7" w14:textId="77777777" w:rsidTr="0006253D">
        <w:tc>
          <w:tcPr>
            <w:tcW w:w="3114" w:type="dxa"/>
          </w:tcPr>
          <w:p w14:paraId="426A4E34" w14:textId="77777777" w:rsidR="00003A5C" w:rsidRPr="007C5A6E" w:rsidRDefault="00003A5C" w:rsidP="0006253D">
            <w:pPr>
              <w:spacing w:after="0" w:line="240" w:lineRule="auto"/>
              <w:rPr>
                <w:rFonts w:ascii="Times New Roman" w:hAnsi="Times New Roman"/>
                <w:sz w:val="21"/>
                <w:szCs w:val="21"/>
              </w:rPr>
            </w:pPr>
            <w:r w:rsidRPr="007C5A6E">
              <w:rPr>
                <w:rFonts w:ascii="Times New Roman" w:hAnsi="Times New Roman"/>
                <w:sz w:val="21"/>
                <w:szCs w:val="21"/>
              </w:rPr>
              <w:t>Populations totale (année)</w:t>
            </w:r>
          </w:p>
        </w:tc>
        <w:tc>
          <w:tcPr>
            <w:tcW w:w="1843" w:type="dxa"/>
          </w:tcPr>
          <w:p w14:paraId="03470AB2" w14:textId="77777777" w:rsidR="00003A5C" w:rsidRPr="007C5A6E" w:rsidRDefault="00003A5C" w:rsidP="0006253D">
            <w:pPr>
              <w:spacing w:after="0" w:line="240" w:lineRule="auto"/>
              <w:jc w:val="right"/>
              <w:rPr>
                <w:rFonts w:ascii="Times New Roman" w:hAnsi="Times New Roman"/>
                <w:sz w:val="21"/>
                <w:szCs w:val="21"/>
              </w:rPr>
            </w:pPr>
            <w:r w:rsidRPr="007C5A6E">
              <w:rPr>
                <w:rFonts w:ascii="Times New Roman" w:hAnsi="Times New Roman"/>
                <w:sz w:val="21"/>
                <w:szCs w:val="21"/>
              </w:rPr>
              <w:t>19 632 147 (2017)</w:t>
            </w:r>
          </w:p>
        </w:tc>
        <w:tc>
          <w:tcPr>
            <w:tcW w:w="1842" w:type="dxa"/>
          </w:tcPr>
          <w:p w14:paraId="5771F986" w14:textId="77777777" w:rsidR="00003A5C" w:rsidRPr="007C5A6E" w:rsidRDefault="00003A5C" w:rsidP="0006253D">
            <w:pPr>
              <w:spacing w:after="0" w:line="240" w:lineRule="auto"/>
              <w:jc w:val="right"/>
              <w:rPr>
                <w:rFonts w:ascii="Times New Roman" w:hAnsi="Times New Roman"/>
                <w:sz w:val="21"/>
                <w:szCs w:val="21"/>
              </w:rPr>
            </w:pPr>
            <w:r w:rsidRPr="007C5A6E">
              <w:rPr>
                <w:rFonts w:ascii="Times New Roman" w:hAnsi="Times New Roman"/>
                <w:sz w:val="21"/>
                <w:szCs w:val="21"/>
              </w:rPr>
              <w:t>22 752 315 (2023)</w:t>
            </w:r>
          </w:p>
        </w:tc>
        <w:tc>
          <w:tcPr>
            <w:tcW w:w="2376" w:type="dxa"/>
          </w:tcPr>
          <w:p w14:paraId="4A7E5FA0" w14:textId="77777777" w:rsidR="00003A5C" w:rsidRPr="007C5A6E" w:rsidRDefault="00003A5C" w:rsidP="0006253D">
            <w:pPr>
              <w:spacing w:after="0" w:line="240" w:lineRule="auto"/>
              <w:rPr>
                <w:rFonts w:ascii="Times New Roman" w:hAnsi="Times New Roman"/>
                <w:sz w:val="21"/>
                <w:szCs w:val="21"/>
              </w:rPr>
            </w:pPr>
            <w:r w:rsidRPr="007C5A6E">
              <w:rPr>
                <w:rFonts w:ascii="Times New Roman" w:hAnsi="Times New Roman"/>
                <w:sz w:val="21"/>
                <w:szCs w:val="21"/>
              </w:rPr>
              <w:t>INSD, 2019 ; 2023a</w:t>
            </w:r>
          </w:p>
        </w:tc>
      </w:tr>
      <w:tr w:rsidR="00003A5C" w:rsidRPr="007C5A6E" w14:paraId="258B047B" w14:textId="77777777" w:rsidTr="0006253D">
        <w:tc>
          <w:tcPr>
            <w:tcW w:w="3114" w:type="dxa"/>
          </w:tcPr>
          <w:p w14:paraId="18E9D749" w14:textId="77777777" w:rsidR="00003A5C" w:rsidRPr="007C5A6E" w:rsidRDefault="00003A5C" w:rsidP="0006253D">
            <w:pPr>
              <w:spacing w:after="0" w:line="240" w:lineRule="auto"/>
              <w:rPr>
                <w:rFonts w:ascii="Times New Roman" w:hAnsi="Times New Roman"/>
                <w:sz w:val="21"/>
                <w:szCs w:val="21"/>
              </w:rPr>
            </w:pPr>
            <w:r w:rsidRPr="007C5A6E">
              <w:rPr>
                <w:rFonts w:ascii="Times New Roman" w:hAnsi="Times New Roman"/>
                <w:sz w:val="21"/>
                <w:szCs w:val="21"/>
              </w:rPr>
              <w:t>Densité moyenne de la population (année) (hbts/km²)</w:t>
            </w:r>
          </w:p>
        </w:tc>
        <w:tc>
          <w:tcPr>
            <w:tcW w:w="1843" w:type="dxa"/>
          </w:tcPr>
          <w:p w14:paraId="5DF4C716" w14:textId="77777777" w:rsidR="00003A5C" w:rsidRPr="007C5A6E" w:rsidRDefault="00003A5C" w:rsidP="0006253D">
            <w:pPr>
              <w:spacing w:after="0" w:line="240" w:lineRule="auto"/>
              <w:jc w:val="right"/>
              <w:rPr>
                <w:rFonts w:ascii="Times New Roman" w:hAnsi="Times New Roman"/>
                <w:sz w:val="21"/>
                <w:szCs w:val="21"/>
              </w:rPr>
            </w:pPr>
            <w:r w:rsidRPr="007C5A6E">
              <w:rPr>
                <w:rFonts w:ascii="Times New Roman" w:hAnsi="Times New Roman"/>
                <w:sz w:val="21"/>
                <w:szCs w:val="21"/>
              </w:rPr>
              <w:t>71,6 (2017)</w:t>
            </w:r>
          </w:p>
        </w:tc>
        <w:tc>
          <w:tcPr>
            <w:tcW w:w="1842" w:type="dxa"/>
          </w:tcPr>
          <w:p w14:paraId="12868058" w14:textId="77777777" w:rsidR="00003A5C" w:rsidRPr="007C5A6E" w:rsidRDefault="00003A5C" w:rsidP="0006253D">
            <w:pPr>
              <w:spacing w:after="0" w:line="240" w:lineRule="auto"/>
              <w:jc w:val="right"/>
              <w:rPr>
                <w:rFonts w:ascii="Times New Roman" w:hAnsi="Times New Roman"/>
                <w:sz w:val="21"/>
                <w:szCs w:val="21"/>
              </w:rPr>
            </w:pPr>
            <w:r w:rsidRPr="007C5A6E">
              <w:rPr>
                <w:rFonts w:ascii="Times New Roman" w:hAnsi="Times New Roman"/>
                <w:sz w:val="21"/>
                <w:szCs w:val="21"/>
              </w:rPr>
              <w:t>83,0 (2023)</w:t>
            </w:r>
          </w:p>
        </w:tc>
        <w:tc>
          <w:tcPr>
            <w:tcW w:w="2376" w:type="dxa"/>
          </w:tcPr>
          <w:p w14:paraId="4CF67248" w14:textId="77777777" w:rsidR="00003A5C" w:rsidRPr="007C5A6E" w:rsidRDefault="00003A5C" w:rsidP="0006253D">
            <w:pPr>
              <w:spacing w:after="0" w:line="240" w:lineRule="auto"/>
              <w:rPr>
                <w:rFonts w:ascii="Times New Roman" w:hAnsi="Times New Roman"/>
                <w:sz w:val="21"/>
                <w:szCs w:val="21"/>
              </w:rPr>
            </w:pPr>
            <w:r w:rsidRPr="007C5A6E">
              <w:rPr>
                <w:rFonts w:ascii="Times New Roman" w:hAnsi="Times New Roman"/>
                <w:sz w:val="21"/>
                <w:szCs w:val="21"/>
              </w:rPr>
              <w:t>Densité calculée à partir des données</w:t>
            </w:r>
          </w:p>
        </w:tc>
      </w:tr>
      <w:tr w:rsidR="00003A5C" w:rsidRPr="007C5A6E" w14:paraId="14F5FCF7" w14:textId="77777777" w:rsidTr="0006253D">
        <w:tc>
          <w:tcPr>
            <w:tcW w:w="3114" w:type="dxa"/>
          </w:tcPr>
          <w:p w14:paraId="6137B1BB" w14:textId="77777777" w:rsidR="00003A5C" w:rsidRPr="007C5A6E" w:rsidRDefault="00003A5C" w:rsidP="0006253D">
            <w:pPr>
              <w:spacing w:after="0" w:line="240" w:lineRule="auto"/>
              <w:rPr>
                <w:rFonts w:ascii="Times New Roman" w:hAnsi="Times New Roman"/>
                <w:sz w:val="21"/>
                <w:szCs w:val="21"/>
              </w:rPr>
            </w:pPr>
            <w:r w:rsidRPr="007C5A6E">
              <w:rPr>
                <w:rFonts w:ascii="Times New Roman" w:hAnsi="Times New Roman"/>
                <w:sz w:val="21"/>
                <w:szCs w:val="21"/>
              </w:rPr>
              <w:t>Taux d'accroissement moyen annuel en % (année)</w:t>
            </w:r>
          </w:p>
        </w:tc>
        <w:tc>
          <w:tcPr>
            <w:tcW w:w="1843" w:type="dxa"/>
          </w:tcPr>
          <w:p w14:paraId="30AA44FA" w14:textId="77777777" w:rsidR="00003A5C" w:rsidRPr="007C5A6E" w:rsidRDefault="00003A5C" w:rsidP="0006253D">
            <w:pPr>
              <w:spacing w:after="0" w:line="240" w:lineRule="auto"/>
              <w:jc w:val="right"/>
              <w:rPr>
                <w:rFonts w:ascii="Times New Roman" w:hAnsi="Times New Roman"/>
                <w:sz w:val="21"/>
                <w:szCs w:val="21"/>
              </w:rPr>
            </w:pPr>
            <w:r w:rsidRPr="007C5A6E">
              <w:rPr>
                <w:rFonts w:ascii="Times New Roman" w:hAnsi="Times New Roman"/>
                <w:sz w:val="21"/>
                <w:szCs w:val="21"/>
              </w:rPr>
              <w:t>3,1 (2006)</w:t>
            </w:r>
          </w:p>
        </w:tc>
        <w:tc>
          <w:tcPr>
            <w:tcW w:w="1842" w:type="dxa"/>
          </w:tcPr>
          <w:p w14:paraId="0F24EFD5" w14:textId="77777777" w:rsidR="00003A5C" w:rsidRPr="007C5A6E" w:rsidRDefault="00003A5C" w:rsidP="0006253D">
            <w:pPr>
              <w:spacing w:after="0" w:line="240" w:lineRule="auto"/>
              <w:jc w:val="right"/>
              <w:rPr>
                <w:rFonts w:ascii="Times New Roman" w:hAnsi="Times New Roman"/>
                <w:sz w:val="21"/>
                <w:szCs w:val="21"/>
              </w:rPr>
            </w:pPr>
            <w:r w:rsidRPr="007C5A6E">
              <w:rPr>
                <w:rFonts w:ascii="Times New Roman" w:hAnsi="Times New Roman"/>
                <w:sz w:val="21"/>
                <w:szCs w:val="21"/>
              </w:rPr>
              <w:t>2,94 (2019)</w:t>
            </w:r>
          </w:p>
        </w:tc>
        <w:tc>
          <w:tcPr>
            <w:tcW w:w="2376" w:type="dxa"/>
          </w:tcPr>
          <w:p w14:paraId="17117D06" w14:textId="77777777" w:rsidR="00003A5C" w:rsidRPr="007C5A6E" w:rsidRDefault="00003A5C" w:rsidP="0006253D">
            <w:pPr>
              <w:spacing w:after="0" w:line="240" w:lineRule="auto"/>
              <w:rPr>
                <w:rFonts w:ascii="Times New Roman" w:hAnsi="Times New Roman"/>
                <w:sz w:val="21"/>
                <w:szCs w:val="21"/>
              </w:rPr>
            </w:pPr>
            <w:r w:rsidRPr="007C5A6E">
              <w:rPr>
                <w:rFonts w:ascii="Times New Roman" w:hAnsi="Times New Roman"/>
                <w:sz w:val="21"/>
                <w:szCs w:val="21"/>
              </w:rPr>
              <w:t>INSD, 2019 ; 2023b</w:t>
            </w:r>
          </w:p>
        </w:tc>
      </w:tr>
      <w:tr w:rsidR="00003A5C" w:rsidRPr="007C5A6E" w14:paraId="66E3EDA5" w14:textId="77777777" w:rsidTr="0006253D">
        <w:tc>
          <w:tcPr>
            <w:tcW w:w="3114" w:type="dxa"/>
          </w:tcPr>
          <w:p w14:paraId="3BF64288" w14:textId="77777777" w:rsidR="00003A5C" w:rsidRPr="007C5A6E" w:rsidRDefault="00003A5C" w:rsidP="0006253D">
            <w:pPr>
              <w:spacing w:after="0" w:line="240" w:lineRule="auto"/>
              <w:rPr>
                <w:rFonts w:ascii="Times New Roman" w:hAnsi="Times New Roman"/>
                <w:sz w:val="21"/>
                <w:szCs w:val="21"/>
              </w:rPr>
            </w:pPr>
            <w:r w:rsidRPr="007C5A6E">
              <w:rPr>
                <w:rFonts w:ascii="Times New Roman" w:hAnsi="Times New Roman"/>
                <w:sz w:val="21"/>
                <w:szCs w:val="21"/>
              </w:rPr>
              <w:t>Taux de population rurale en % (année)</w:t>
            </w:r>
          </w:p>
        </w:tc>
        <w:tc>
          <w:tcPr>
            <w:tcW w:w="1843" w:type="dxa"/>
          </w:tcPr>
          <w:p w14:paraId="71633B16" w14:textId="77777777" w:rsidR="00003A5C" w:rsidRPr="007C5A6E" w:rsidRDefault="00003A5C" w:rsidP="0006253D">
            <w:pPr>
              <w:spacing w:after="0" w:line="240" w:lineRule="auto"/>
              <w:jc w:val="right"/>
              <w:rPr>
                <w:rFonts w:ascii="Times New Roman" w:hAnsi="Times New Roman"/>
                <w:sz w:val="21"/>
                <w:szCs w:val="21"/>
              </w:rPr>
            </w:pPr>
          </w:p>
        </w:tc>
        <w:tc>
          <w:tcPr>
            <w:tcW w:w="1842" w:type="dxa"/>
          </w:tcPr>
          <w:p w14:paraId="06DEB97A" w14:textId="77777777" w:rsidR="00003A5C" w:rsidRPr="007C5A6E" w:rsidRDefault="00003A5C" w:rsidP="0006253D">
            <w:pPr>
              <w:spacing w:after="0" w:line="240" w:lineRule="auto"/>
              <w:jc w:val="right"/>
              <w:rPr>
                <w:rFonts w:ascii="Times New Roman" w:hAnsi="Times New Roman"/>
                <w:sz w:val="21"/>
                <w:szCs w:val="21"/>
              </w:rPr>
            </w:pPr>
            <w:r w:rsidRPr="007C5A6E">
              <w:rPr>
                <w:rFonts w:ascii="Times New Roman" w:hAnsi="Times New Roman"/>
                <w:sz w:val="21"/>
                <w:szCs w:val="21"/>
              </w:rPr>
              <w:t>71,73 (2023)</w:t>
            </w:r>
          </w:p>
        </w:tc>
        <w:tc>
          <w:tcPr>
            <w:tcW w:w="2376" w:type="dxa"/>
          </w:tcPr>
          <w:p w14:paraId="297E21D0" w14:textId="77777777" w:rsidR="00003A5C" w:rsidRPr="007C5A6E" w:rsidRDefault="00003A5C" w:rsidP="0006253D">
            <w:pPr>
              <w:spacing w:after="0" w:line="240" w:lineRule="auto"/>
              <w:rPr>
                <w:rFonts w:ascii="Times New Roman" w:hAnsi="Times New Roman"/>
                <w:sz w:val="21"/>
                <w:szCs w:val="21"/>
              </w:rPr>
            </w:pPr>
            <w:r w:rsidRPr="007C5A6E">
              <w:rPr>
                <w:rFonts w:ascii="Times New Roman" w:hAnsi="Times New Roman"/>
                <w:sz w:val="21"/>
                <w:szCs w:val="21"/>
              </w:rPr>
              <w:t>INSD, 2023</w:t>
            </w:r>
            <w:proofErr w:type="gramStart"/>
            <w:r w:rsidRPr="007C5A6E">
              <w:rPr>
                <w:rFonts w:ascii="Times New Roman" w:hAnsi="Times New Roman"/>
                <w:sz w:val="21"/>
                <w:szCs w:val="21"/>
              </w:rPr>
              <w:t>a,b</w:t>
            </w:r>
            <w:proofErr w:type="gramEnd"/>
          </w:p>
        </w:tc>
      </w:tr>
      <w:tr w:rsidR="00003A5C" w:rsidRPr="007C5A6E" w14:paraId="02944D27" w14:textId="77777777" w:rsidTr="0006253D">
        <w:tc>
          <w:tcPr>
            <w:tcW w:w="3114" w:type="dxa"/>
          </w:tcPr>
          <w:p w14:paraId="5120BEEA" w14:textId="77777777" w:rsidR="00003A5C" w:rsidRPr="007C5A6E" w:rsidRDefault="00003A5C" w:rsidP="0006253D">
            <w:pPr>
              <w:spacing w:after="0" w:line="240" w:lineRule="auto"/>
              <w:rPr>
                <w:rFonts w:ascii="Times New Roman" w:hAnsi="Times New Roman"/>
                <w:sz w:val="21"/>
                <w:szCs w:val="21"/>
              </w:rPr>
            </w:pPr>
            <w:r w:rsidRPr="007C5A6E">
              <w:rPr>
                <w:rFonts w:ascii="Times New Roman" w:hAnsi="Times New Roman"/>
                <w:sz w:val="21"/>
                <w:szCs w:val="21"/>
              </w:rPr>
              <w:t>Proportion de la population pratiquant l’agriculture, l’élevage et la foresterie en % (année)…</w:t>
            </w:r>
          </w:p>
        </w:tc>
        <w:tc>
          <w:tcPr>
            <w:tcW w:w="1843" w:type="dxa"/>
          </w:tcPr>
          <w:p w14:paraId="7048E707" w14:textId="77777777" w:rsidR="00003A5C" w:rsidRPr="007C5A6E" w:rsidRDefault="00003A5C" w:rsidP="0006253D">
            <w:pPr>
              <w:spacing w:after="0" w:line="240" w:lineRule="auto"/>
              <w:jc w:val="right"/>
              <w:rPr>
                <w:rFonts w:ascii="Times New Roman" w:hAnsi="Times New Roman"/>
                <w:sz w:val="21"/>
                <w:szCs w:val="21"/>
              </w:rPr>
            </w:pPr>
            <w:r w:rsidRPr="007C5A6E">
              <w:rPr>
                <w:rFonts w:ascii="Times New Roman" w:hAnsi="Times New Roman"/>
                <w:sz w:val="21"/>
                <w:szCs w:val="21"/>
              </w:rPr>
              <w:t>86,38 (agriculture)</w:t>
            </w:r>
          </w:p>
        </w:tc>
        <w:tc>
          <w:tcPr>
            <w:tcW w:w="1842" w:type="dxa"/>
          </w:tcPr>
          <w:p w14:paraId="37D3F772" w14:textId="77777777" w:rsidR="00003A5C" w:rsidRPr="007C5A6E" w:rsidRDefault="00003A5C" w:rsidP="0006253D">
            <w:pPr>
              <w:spacing w:after="0" w:line="240" w:lineRule="auto"/>
              <w:jc w:val="right"/>
              <w:rPr>
                <w:rFonts w:ascii="Times New Roman" w:hAnsi="Times New Roman"/>
                <w:sz w:val="21"/>
                <w:szCs w:val="21"/>
              </w:rPr>
            </w:pPr>
            <w:r w:rsidRPr="007C5A6E">
              <w:rPr>
                <w:rFonts w:ascii="Times New Roman" w:hAnsi="Times New Roman"/>
                <w:sz w:val="21"/>
                <w:szCs w:val="21"/>
              </w:rPr>
              <w:t>86,16 (agriculture)</w:t>
            </w:r>
          </w:p>
        </w:tc>
        <w:tc>
          <w:tcPr>
            <w:tcW w:w="2376" w:type="dxa"/>
          </w:tcPr>
          <w:p w14:paraId="59C8ACA6" w14:textId="77777777" w:rsidR="00003A5C" w:rsidRPr="007C5A6E" w:rsidRDefault="00003A5C" w:rsidP="0006253D">
            <w:pPr>
              <w:spacing w:after="0" w:line="240" w:lineRule="auto"/>
              <w:rPr>
                <w:rFonts w:ascii="Times New Roman" w:hAnsi="Times New Roman"/>
                <w:sz w:val="21"/>
                <w:szCs w:val="21"/>
              </w:rPr>
            </w:pPr>
            <w:r w:rsidRPr="007C5A6E">
              <w:rPr>
                <w:rFonts w:ascii="Times New Roman" w:hAnsi="Times New Roman"/>
                <w:sz w:val="21"/>
                <w:szCs w:val="21"/>
              </w:rPr>
              <w:t xml:space="preserve">MARAH, 2021 </w:t>
            </w:r>
          </w:p>
        </w:tc>
      </w:tr>
      <w:tr w:rsidR="00003A5C" w:rsidRPr="007C5A6E" w14:paraId="5B8E7A0B" w14:textId="77777777" w:rsidTr="0006253D">
        <w:tc>
          <w:tcPr>
            <w:tcW w:w="3114" w:type="dxa"/>
          </w:tcPr>
          <w:p w14:paraId="0E60736A" w14:textId="77777777" w:rsidR="00003A5C" w:rsidRPr="007C5A6E" w:rsidRDefault="00003A5C" w:rsidP="0006253D">
            <w:pPr>
              <w:spacing w:after="0" w:line="240" w:lineRule="auto"/>
              <w:rPr>
                <w:rFonts w:ascii="Times New Roman" w:hAnsi="Times New Roman"/>
                <w:sz w:val="21"/>
                <w:szCs w:val="21"/>
              </w:rPr>
            </w:pPr>
            <w:r w:rsidRPr="007C5A6E">
              <w:rPr>
                <w:rFonts w:ascii="Times New Roman" w:hAnsi="Times New Roman"/>
                <w:sz w:val="21"/>
                <w:szCs w:val="21"/>
              </w:rPr>
              <w:t>Incidence de pauvreté de la population en % (année)</w:t>
            </w:r>
          </w:p>
        </w:tc>
        <w:tc>
          <w:tcPr>
            <w:tcW w:w="1843" w:type="dxa"/>
          </w:tcPr>
          <w:p w14:paraId="25385D5D" w14:textId="77777777" w:rsidR="00003A5C" w:rsidRPr="007C5A6E" w:rsidRDefault="00003A5C" w:rsidP="0006253D">
            <w:pPr>
              <w:spacing w:after="0" w:line="240" w:lineRule="auto"/>
              <w:jc w:val="right"/>
              <w:rPr>
                <w:rFonts w:ascii="Times New Roman" w:hAnsi="Times New Roman"/>
                <w:sz w:val="21"/>
                <w:szCs w:val="21"/>
              </w:rPr>
            </w:pPr>
            <w:r w:rsidRPr="007C5A6E">
              <w:rPr>
                <w:rFonts w:ascii="Times New Roman" w:hAnsi="Times New Roman"/>
                <w:sz w:val="21"/>
                <w:szCs w:val="21"/>
              </w:rPr>
              <w:t>40,1 (2014)</w:t>
            </w:r>
          </w:p>
        </w:tc>
        <w:tc>
          <w:tcPr>
            <w:tcW w:w="1842" w:type="dxa"/>
          </w:tcPr>
          <w:p w14:paraId="7E627792" w14:textId="77777777" w:rsidR="00003A5C" w:rsidRPr="007C5A6E" w:rsidRDefault="00003A5C" w:rsidP="0006253D">
            <w:pPr>
              <w:spacing w:after="0" w:line="240" w:lineRule="auto"/>
              <w:jc w:val="right"/>
              <w:rPr>
                <w:rFonts w:ascii="Times New Roman" w:hAnsi="Times New Roman"/>
                <w:sz w:val="21"/>
                <w:szCs w:val="21"/>
              </w:rPr>
            </w:pPr>
            <w:r w:rsidRPr="007C5A6E">
              <w:rPr>
                <w:rFonts w:ascii="Times New Roman" w:hAnsi="Times New Roman"/>
                <w:sz w:val="21"/>
                <w:szCs w:val="21"/>
              </w:rPr>
              <w:t>43,2 (2022)</w:t>
            </w:r>
          </w:p>
        </w:tc>
        <w:tc>
          <w:tcPr>
            <w:tcW w:w="2376" w:type="dxa"/>
          </w:tcPr>
          <w:p w14:paraId="2292247C" w14:textId="77777777" w:rsidR="00003A5C" w:rsidRPr="007C5A6E" w:rsidRDefault="00003A5C" w:rsidP="0006253D">
            <w:pPr>
              <w:spacing w:after="0" w:line="240" w:lineRule="auto"/>
              <w:rPr>
                <w:rFonts w:ascii="Times New Roman" w:hAnsi="Times New Roman"/>
                <w:sz w:val="21"/>
                <w:szCs w:val="21"/>
              </w:rPr>
            </w:pPr>
            <w:r w:rsidRPr="007C5A6E">
              <w:rPr>
                <w:rFonts w:ascii="Times New Roman" w:hAnsi="Times New Roman"/>
                <w:sz w:val="21"/>
                <w:szCs w:val="21"/>
              </w:rPr>
              <w:t>INSD, 2021 ; 2022a</w:t>
            </w:r>
          </w:p>
        </w:tc>
      </w:tr>
      <w:tr w:rsidR="00003A5C" w:rsidRPr="007C5A6E" w14:paraId="0290FE47" w14:textId="77777777" w:rsidTr="0006253D">
        <w:tc>
          <w:tcPr>
            <w:tcW w:w="3114" w:type="dxa"/>
          </w:tcPr>
          <w:p w14:paraId="03ECDF67" w14:textId="77777777" w:rsidR="00003A5C" w:rsidRPr="007C5A6E" w:rsidRDefault="00003A5C" w:rsidP="0006253D">
            <w:pPr>
              <w:spacing w:after="0" w:line="240" w:lineRule="auto"/>
              <w:rPr>
                <w:rFonts w:ascii="Times New Roman" w:hAnsi="Times New Roman"/>
                <w:sz w:val="21"/>
                <w:szCs w:val="21"/>
              </w:rPr>
            </w:pPr>
            <w:r w:rsidRPr="007C5A6E">
              <w:rPr>
                <w:rFonts w:ascii="Times New Roman" w:hAnsi="Times New Roman"/>
                <w:sz w:val="21"/>
                <w:szCs w:val="21"/>
              </w:rPr>
              <w:t>Taux de la population déplacée internes en % (année)</w:t>
            </w:r>
          </w:p>
        </w:tc>
        <w:tc>
          <w:tcPr>
            <w:tcW w:w="1843" w:type="dxa"/>
          </w:tcPr>
          <w:p w14:paraId="31431902" w14:textId="77777777" w:rsidR="00003A5C" w:rsidRPr="007C5A6E" w:rsidRDefault="00003A5C" w:rsidP="0006253D">
            <w:pPr>
              <w:spacing w:after="0" w:line="240" w:lineRule="auto"/>
              <w:jc w:val="right"/>
              <w:rPr>
                <w:rFonts w:ascii="Times New Roman" w:hAnsi="Times New Roman"/>
                <w:sz w:val="21"/>
                <w:szCs w:val="21"/>
              </w:rPr>
            </w:pPr>
            <w:r w:rsidRPr="007C5A6E">
              <w:rPr>
                <w:rFonts w:ascii="Times New Roman" w:hAnsi="Times New Roman"/>
                <w:sz w:val="21"/>
                <w:szCs w:val="21"/>
              </w:rPr>
              <w:t>0 (2017)</w:t>
            </w:r>
          </w:p>
        </w:tc>
        <w:tc>
          <w:tcPr>
            <w:tcW w:w="1842" w:type="dxa"/>
          </w:tcPr>
          <w:p w14:paraId="76232A1B" w14:textId="77777777" w:rsidR="00003A5C" w:rsidRPr="007C5A6E" w:rsidRDefault="00003A5C" w:rsidP="0006253D">
            <w:pPr>
              <w:spacing w:after="0" w:line="240" w:lineRule="auto"/>
              <w:jc w:val="right"/>
              <w:rPr>
                <w:rFonts w:ascii="Times New Roman" w:hAnsi="Times New Roman"/>
                <w:sz w:val="21"/>
                <w:szCs w:val="21"/>
              </w:rPr>
            </w:pPr>
            <w:r w:rsidRPr="007C5A6E">
              <w:rPr>
                <w:rFonts w:ascii="Times New Roman" w:hAnsi="Times New Roman"/>
                <w:sz w:val="21"/>
                <w:szCs w:val="21"/>
              </w:rPr>
              <w:t>9,06 (2023)</w:t>
            </w:r>
          </w:p>
        </w:tc>
        <w:tc>
          <w:tcPr>
            <w:tcW w:w="2376" w:type="dxa"/>
          </w:tcPr>
          <w:p w14:paraId="3E13397B" w14:textId="77777777" w:rsidR="00003A5C" w:rsidRPr="007C5A6E" w:rsidRDefault="00003A5C" w:rsidP="0006253D">
            <w:pPr>
              <w:spacing w:after="0" w:line="240" w:lineRule="auto"/>
              <w:rPr>
                <w:rFonts w:ascii="Times New Roman" w:hAnsi="Times New Roman"/>
                <w:sz w:val="21"/>
                <w:szCs w:val="21"/>
              </w:rPr>
            </w:pPr>
            <w:r w:rsidRPr="007C5A6E">
              <w:rPr>
                <w:rFonts w:ascii="Times New Roman" w:hAnsi="Times New Roman"/>
                <w:sz w:val="21"/>
                <w:szCs w:val="21"/>
              </w:rPr>
              <w:t>OCHA, 2023</w:t>
            </w:r>
          </w:p>
        </w:tc>
      </w:tr>
    </w:tbl>
    <w:p w14:paraId="16032824" w14:textId="0B7BD007" w:rsidR="007B1FA5" w:rsidRPr="007C5A6E" w:rsidRDefault="007B1FA5" w:rsidP="00712C43">
      <w:pPr>
        <w:pStyle w:val="Titre2"/>
      </w:pPr>
      <w:bookmarkStart w:id="15" w:name="_Toc183340004"/>
      <w:r w:rsidRPr="007C5A6E">
        <w:t>Le contexte particulier d’élaboration du 5e REEB</w:t>
      </w:r>
      <w:bookmarkEnd w:id="15"/>
      <w:r w:rsidRPr="007C5A6E">
        <w:t xml:space="preserve"> </w:t>
      </w:r>
    </w:p>
    <w:p w14:paraId="2103C605" w14:textId="098292DC" w:rsidR="00003A5C" w:rsidRPr="007C5A6E" w:rsidRDefault="00003A5C" w:rsidP="00857104">
      <w:pPr>
        <w:spacing w:after="0" w:line="240" w:lineRule="auto"/>
        <w:rPr>
          <w:rFonts w:ascii="Times New Roman" w:hAnsi="Times New Roman"/>
          <w:sz w:val="24"/>
          <w:szCs w:val="24"/>
        </w:rPr>
      </w:pPr>
    </w:p>
    <w:p w14:paraId="0E4B127A" w14:textId="77777777" w:rsidR="00003A5C" w:rsidRPr="007C5A6E" w:rsidRDefault="00003A5C" w:rsidP="00003A5C">
      <w:pPr>
        <w:spacing w:after="0" w:line="240" w:lineRule="auto"/>
        <w:jc w:val="both"/>
        <w:rPr>
          <w:rFonts w:ascii="Times New Roman" w:hAnsi="Times New Roman"/>
          <w:sz w:val="24"/>
          <w:szCs w:val="24"/>
        </w:rPr>
      </w:pPr>
      <w:r w:rsidRPr="007C5A6E">
        <w:rPr>
          <w:rFonts w:ascii="Times New Roman" w:hAnsi="Times New Roman"/>
          <w:sz w:val="24"/>
          <w:szCs w:val="24"/>
        </w:rPr>
        <w:t xml:space="preserve">La situation socio-politique du Burkina Faso est marquée par la dégradation des conditions sécuritaires depuis 2014, laquelle a </w:t>
      </w:r>
      <w:r w:rsidRPr="007C5A6E">
        <w:rPr>
          <w:rFonts w:ascii="Times New Roman" w:hAnsi="Times New Roman"/>
          <w:bCs/>
          <w:sz w:val="24"/>
          <w:szCs w:val="24"/>
        </w:rPr>
        <w:t xml:space="preserve">engendré un déplacement massif des populations des zones à fort défi sécuritaires vers les villes et les régions reconnues plus calmes. </w:t>
      </w:r>
      <w:r w:rsidRPr="007C5A6E">
        <w:rPr>
          <w:rFonts w:ascii="Times New Roman" w:hAnsi="Times New Roman"/>
          <w:sz w:val="24"/>
          <w:szCs w:val="24"/>
        </w:rPr>
        <w:t xml:space="preserve">Depuis 2019, le nombre des personnes déplacées internes (PDI) est était en progression, et atteignait 2,06 millions en fin mars 2023. A cela, il faut ajouter le phénomène migratoire traditionnel des populations des zones arides sahéliennes vers la zone soudanienne plus humide (13,4% de la population en 2019 sont des migrants). </w:t>
      </w:r>
    </w:p>
    <w:p w14:paraId="71109980" w14:textId="77777777" w:rsidR="00003A5C" w:rsidRPr="007C5A6E" w:rsidRDefault="00003A5C" w:rsidP="00003A5C">
      <w:pPr>
        <w:spacing w:after="0" w:line="240" w:lineRule="auto"/>
        <w:jc w:val="both"/>
        <w:rPr>
          <w:rFonts w:ascii="Times New Roman" w:hAnsi="Times New Roman"/>
          <w:sz w:val="24"/>
          <w:szCs w:val="24"/>
        </w:rPr>
      </w:pPr>
      <w:r w:rsidRPr="007C5A6E">
        <w:rPr>
          <w:rFonts w:ascii="Times New Roman" w:hAnsi="Times New Roman"/>
          <w:sz w:val="24"/>
          <w:szCs w:val="24"/>
        </w:rPr>
        <w:t>Ces déplacements massifs et non organisés des personnes dans les zones plus sécurisées constituent une menace évidente pour la diversité biologique et les ressources génétiques, en ce sens qu’ils aggravent les pressions sur les ressources naturelles, contribuent à une dégradation des écosystèmes et accroissent les risques de conflits entre utilisateurs des ressources naturelles dans les zones d’accueil.</w:t>
      </w:r>
    </w:p>
    <w:p w14:paraId="24DDB2C5" w14:textId="77777777" w:rsidR="00003A5C" w:rsidRPr="007C5A6E" w:rsidRDefault="00003A5C" w:rsidP="00003A5C">
      <w:pPr>
        <w:spacing w:after="0" w:line="240" w:lineRule="auto"/>
        <w:jc w:val="both"/>
        <w:rPr>
          <w:rFonts w:ascii="Times New Roman" w:hAnsi="Times New Roman"/>
          <w:sz w:val="24"/>
          <w:szCs w:val="24"/>
        </w:rPr>
      </w:pPr>
      <w:r w:rsidRPr="007C5A6E">
        <w:rPr>
          <w:rFonts w:ascii="Times New Roman" w:hAnsi="Times New Roman"/>
          <w:sz w:val="24"/>
          <w:szCs w:val="24"/>
        </w:rPr>
        <w:t xml:space="preserve">Les Aires Protégées du pays sont ainsi progressivement passées sous l’influence des groupes terroristes ; et à ce jour, au moins 10 aires sont aujourd’hui occupées par des groupes terroristes (cf. chapitre 5.1). Cette situation </w:t>
      </w:r>
      <w:r w:rsidRPr="007C5A6E">
        <w:rPr>
          <w:rFonts w:ascii="Times New Roman" w:hAnsi="Times New Roman"/>
          <w:bCs/>
          <w:sz w:val="24"/>
          <w:szCs w:val="24"/>
        </w:rPr>
        <w:t xml:space="preserve">se traduit ainsi par l’abandon partiel ou total de ces aires protégées, par les agents de protection qui </w:t>
      </w:r>
      <w:r w:rsidRPr="007C5A6E">
        <w:rPr>
          <w:rFonts w:ascii="Times New Roman" w:hAnsi="Times New Roman"/>
          <w:sz w:val="24"/>
          <w:szCs w:val="24"/>
        </w:rPr>
        <w:t>ne sont plus présents dans ces zones en raison des menaces et des risques d’atteinte à leur intégrité physique (enlèvements ou prise d’otage, assassinats).</w:t>
      </w:r>
    </w:p>
    <w:p w14:paraId="681FFF5D" w14:textId="77777777" w:rsidR="00003A5C" w:rsidRPr="007C5A6E" w:rsidRDefault="00003A5C" w:rsidP="00003A5C">
      <w:pPr>
        <w:spacing w:after="0" w:line="240" w:lineRule="auto"/>
        <w:jc w:val="both"/>
        <w:rPr>
          <w:rFonts w:ascii="Times New Roman" w:hAnsi="Times New Roman"/>
          <w:sz w:val="24"/>
          <w:szCs w:val="24"/>
        </w:rPr>
      </w:pPr>
      <w:r w:rsidRPr="007C5A6E">
        <w:rPr>
          <w:rFonts w:ascii="Times New Roman" w:hAnsi="Times New Roman"/>
          <w:bCs/>
          <w:sz w:val="24"/>
          <w:szCs w:val="24"/>
        </w:rPr>
        <w:t>Cette présence humaine anarchique continue ou même ponctuelle dans les Aires Protégées, accroit le risque et contribue à la dégradation de ces sites protégés (Exploitation illicite ; pollution et nuisances sonores, introduction d’espèces envahissantes ; etc.). De plus, les interventions armées en vue de déloger les groupes terroristes de ces AP ne sont pas sans conséquence sur les ressources biologiques.</w:t>
      </w:r>
      <w:r w:rsidRPr="007C5A6E">
        <w:rPr>
          <w:rFonts w:ascii="Times New Roman" w:hAnsi="Times New Roman"/>
          <w:sz w:val="24"/>
          <w:szCs w:val="24"/>
        </w:rPr>
        <w:t xml:space="preserve"> </w:t>
      </w:r>
    </w:p>
    <w:p w14:paraId="2E947DC9" w14:textId="77777777" w:rsidR="00003A5C" w:rsidRPr="007C5A6E" w:rsidRDefault="00003A5C" w:rsidP="00003A5C">
      <w:pPr>
        <w:spacing w:after="0" w:line="240" w:lineRule="auto"/>
        <w:jc w:val="both"/>
        <w:rPr>
          <w:rFonts w:ascii="Times New Roman" w:hAnsi="Times New Roman"/>
          <w:sz w:val="24"/>
          <w:szCs w:val="24"/>
        </w:rPr>
      </w:pPr>
      <w:r w:rsidRPr="007C5A6E">
        <w:rPr>
          <w:rFonts w:ascii="Times New Roman" w:hAnsi="Times New Roman"/>
          <w:sz w:val="24"/>
          <w:szCs w:val="24"/>
        </w:rPr>
        <w:t xml:space="preserve">Au-delà des Aires Protégées, la dégradation du contexte sécuritaire a globalement affecté la présence de l’ensemble des services de l’Etat dans les régions les plus touchées. </w:t>
      </w:r>
    </w:p>
    <w:p w14:paraId="11AA4A2F" w14:textId="77777777" w:rsidR="00003A5C" w:rsidRPr="007C5A6E" w:rsidRDefault="00003A5C" w:rsidP="00003A5C">
      <w:pPr>
        <w:spacing w:after="0" w:line="240" w:lineRule="auto"/>
        <w:jc w:val="both"/>
        <w:rPr>
          <w:rFonts w:ascii="Times New Roman" w:hAnsi="Times New Roman"/>
          <w:sz w:val="24"/>
          <w:szCs w:val="24"/>
        </w:rPr>
      </w:pPr>
      <w:r w:rsidRPr="007C5A6E">
        <w:rPr>
          <w:rFonts w:ascii="Times New Roman" w:hAnsi="Times New Roman"/>
          <w:sz w:val="24"/>
          <w:szCs w:val="24"/>
        </w:rPr>
        <w:t xml:space="preserve">Un des corollaires de cette situation est que, depuis 2017, les ressources naturelles en général, et en particulier les ressources biologiques, ne sont plus ni surveillées ni suivies convenablement par les administrations compétentes, dont certaines ont connu un « dérèglement » plus ou moins significatif tant dans les priorités que dans l’emploi des ressources humaines.  </w:t>
      </w:r>
    </w:p>
    <w:p w14:paraId="4CECAF76" w14:textId="77777777" w:rsidR="00003A5C" w:rsidRPr="007C5A6E" w:rsidRDefault="00003A5C" w:rsidP="00003A5C">
      <w:pPr>
        <w:spacing w:after="0" w:line="240" w:lineRule="auto"/>
        <w:jc w:val="both"/>
        <w:rPr>
          <w:rFonts w:ascii="Times New Roman" w:hAnsi="Times New Roman"/>
          <w:sz w:val="24"/>
          <w:szCs w:val="24"/>
        </w:rPr>
      </w:pPr>
      <w:r w:rsidRPr="007C5A6E">
        <w:rPr>
          <w:rFonts w:ascii="Times New Roman" w:hAnsi="Times New Roman"/>
          <w:sz w:val="24"/>
          <w:szCs w:val="24"/>
        </w:rPr>
        <w:t xml:space="preserve">Ce contexte a affecté la production des rapports de suivi et autres rapports d’évaluation ou de capitalisation de l’état et des dynamiques des ressources naturelles renouvelables que sont l’eau, les sols, la flore et la faune. Il en est ainsi, et à titre d’exemple, du suivi de l’occupation des terres dont aucun nouveau rapport n’a été produit depuis 2012. </w:t>
      </w:r>
    </w:p>
    <w:p w14:paraId="2F141929" w14:textId="77777777" w:rsidR="00003A5C" w:rsidRPr="007C5A6E" w:rsidRDefault="00003A5C" w:rsidP="00003A5C">
      <w:pPr>
        <w:spacing w:after="0" w:line="240" w:lineRule="auto"/>
        <w:jc w:val="both"/>
        <w:rPr>
          <w:rFonts w:ascii="Times New Roman" w:hAnsi="Times New Roman"/>
          <w:sz w:val="24"/>
          <w:szCs w:val="24"/>
        </w:rPr>
      </w:pPr>
      <w:r w:rsidRPr="007C5A6E">
        <w:rPr>
          <w:rFonts w:ascii="Times New Roman" w:hAnsi="Times New Roman"/>
          <w:sz w:val="24"/>
          <w:szCs w:val="24"/>
        </w:rPr>
        <w:t xml:space="preserve">Le REEB étant avant tout un exercice de capitalisation basé sur les processus de suivi et de rapportage nationaux des dynamiques du milieu biophysique et humain, l’élaboration du REEB-5 a été significativement (par rapport au REEB-4, 2017) affecté par la situation socio-politique globale du pays et les dynamiques internes de l’administration publique. L’indisponibilité de données et l’inertie de certaines structures productrices ou diffuseuses de données ont rendu la tâche difficile à l’équipe d’experts mobilisés pour l’exercice. </w:t>
      </w:r>
    </w:p>
    <w:p w14:paraId="311604D3" w14:textId="77777777" w:rsidR="00003A5C" w:rsidRPr="007C5A6E" w:rsidRDefault="00003A5C" w:rsidP="00003A5C">
      <w:pPr>
        <w:spacing w:after="0" w:line="240" w:lineRule="auto"/>
        <w:jc w:val="both"/>
        <w:rPr>
          <w:rFonts w:ascii="Times New Roman" w:hAnsi="Times New Roman"/>
          <w:sz w:val="24"/>
          <w:szCs w:val="24"/>
        </w:rPr>
      </w:pPr>
    </w:p>
    <w:p w14:paraId="34C3DEB5" w14:textId="77777777" w:rsidR="00003A5C" w:rsidRPr="007C5A6E" w:rsidRDefault="00003A5C" w:rsidP="00003A5C">
      <w:pPr>
        <w:spacing w:after="0" w:line="240" w:lineRule="auto"/>
        <w:jc w:val="both"/>
        <w:rPr>
          <w:rFonts w:ascii="Times New Roman" w:eastAsiaTheme="minorHAnsi" w:hAnsi="Times New Roman" w:cstheme="minorBidi"/>
          <w:i/>
          <w:iCs/>
          <w:kern w:val="2"/>
          <w:sz w:val="24"/>
          <w:szCs w:val="24"/>
          <w:lang w:eastAsia="en-US"/>
          <w14:ligatures w14:val="standardContextual"/>
        </w:rPr>
      </w:pPr>
      <w:bookmarkStart w:id="16" w:name="_Hlk183253726"/>
      <w:r w:rsidRPr="007C5A6E">
        <w:rPr>
          <w:rFonts w:ascii="Times New Roman" w:hAnsi="Times New Roman"/>
          <w:sz w:val="24"/>
          <w:szCs w:val="24"/>
        </w:rPr>
        <w:t xml:space="preserve">Dans son analyse conclusive, le REEB-4 (2017) avait résumé la nature des contraintes à l’élaboration régulière de cet outil </w:t>
      </w:r>
      <w:r w:rsidRPr="007C5A6E">
        <w:rPr>
          <w:rFonts w:ascii="Times New Roman" w:eastAsiaTheme="minorHAnsi" w:hAnsi="Times New Roman" w:cstheme="minorBidi"/>
          <w:kern w:val="2"/>
          <w:sz w:val="24"/>
          <w:szCs w:val="24"/>
          <w:lang w:eastAsia="en-US"/>
          <w14:ligatures w14:val="standardContextual"/>
        </w:rPr>
        <w:t>ainsi qu’il suit : « </w:t>
      </w:r>
      <w:r w:rsidRPr="007C5A6E">
        <w:rPr>
          <w:rFonts w:ascii="Times New Roman" w:eastAsiaTheme="minorHAnsi" w:hAnsi="Times New Roman" w:cstheme="minorBidi"/>
          <w:i/>
          <w:iCs/>
          <w:kern w:val="2"/>
          <w:sz w:val="24"/>
          <w:szCs w:val="24"/>
          <w:lang w:eastAsia="en-US"/>
          <w14:ligatures w14:val="standardContextual"/>
        </w:rPr>
        <w:t xml:space="preserve">Bien que l’élaboration de cet outil stratégique </w:t>
      </w:r>
      <w:bookmarkStart w:id="17" w:name="_Hlk183188408"/>
      <w:r w:rsidRPr="007C5A6E">
        <w:rPr>
          <w:rFonts w:ascii="Times New Roman" w:eastAsiaTheme="minorHAnsi" w:hAnsi="Times New Roman" w:cstheme="minorBidi"/>
          <w:i/>
          <w:iCs/>
          <w:kern w:val="2"/>
          <w:sz w:val="24"/>
          <w:szCs w:val="24"/>
          <w:lang w:eastAsia="en-US"/>
          <w14:ligatures w14:val="standardContextual"/>
        </w:rPr>
        <w:t>de la gouvernance environnementale nationale</w:t>
      </w:r>
      <w:bookmarkEnd w:id="17"/>
      <w:r w:rsidRPr="007C5A6E">
        <w:rPr>
          <w:rFonts w:ascii="Times New Roman" w:eastAsiaTheme="minorHAnsi" w:hAnsi="Times New Roman" w:cstheme="minorBidi"/>
          <w:i/>
          <w:iCs/>
          <w:kern w:val="2"/>
          <w:sz w:val="24"/>
          <w:szCs w:val="24"/>
          <w:lang w:eastAsia="en-US"/>
          <w14:ligatures w14:val="standardContextual"/>
        </w:rPr>
        <w:t xml:space="preserve"> soit inscrite dans les obligations légales, il ne semble pas qu’il y ait des dispositions particulières prises au niveau de toutes les institutions publiques et privées concernées en général et du Département en charge de l’Environnement en particulier, pour collecter de façon systématique, traiter selon les possibilités et conserver les données utiles dont l’analyse le moment venu permettrait d’établir l’état des lieux et les tendances majeures. </w:t>
      </w:r>
    </w:p>
    <w:p w14:paraId="5943873D" w14:textId="77777777" w:rsidR="00003A5C" w:rsidRPr="007C5A6E" w:rsidRDefault="00003A5C" w:rsidP="00003A5C">
      <w:pPr>
        <w:spacing w:after="0" w:line="240" w:lineRule="auto"/>
        <w:jc w:val="both"/>
        <w:rPr>
          <w:rFonts w:ascii="Times New Roman" w:eastAsiaTheme="minorHAnsi" w:hAnsi="Times New Roman" w:cstheme="minorBidi"/>
          <w:i/>
          <w:iCs/>
          <w:kern w:val="2"/>
          <w:sz w:val="24"/>
          <w:szCs w:val="24"/>
          <w:lang w:eastAsia="en-US"/>
          <w14:ligatures w14:val="standardContextual"/>
        </w:rPr>
      </w:pPr>
      <w:r w:rsidRPr="007C5A6E">
        <w:rPr>
          <w:rFonts w:ascii="Times New Roman" w:eastAsiaTheme="minorHAnsi" w:hAnsi="Times New Roman" w:cstheme="minorBidi"/>
          <w:i/>
          <w:iCs/>
          <w:kern w:val="2"/>
          <w:sz w:val="24"/>
          <w:szCs w:val="24"/>
          <w:lang w:eastAsia="en-US"/>
          <w14:ligatures w14:val="standardContextual"/>
        </w:rPr>
        <w:t xml:space="preserve">Dans les faits, les départements ministériels collectent des données plus ou moins complètes pour leurs besoins sectoriels et internes ; mais au-delà du fait que ces données ne sont pas toujours traitées dans une perspective de suivi à moyen et long terme, celles-ci ne sont pas rendues disponibles ni visibles en dehors des cercles internes. De plus, et vraisemblablement par manque de ressources financières et humaines suffisantes, ces données n’alimentent pas toujours et comme il se devait les outils de surveillance et de suivi environnemental comme l’ONEDD. </w:t>
      </w:r>
    </w:p>
    <w:p w14:paraId="0EA825ED" w14:textId="77777777" w:rsidR="00003A5C" w:rsidRPr="007C5A6E" w:rsidRDefault="00003A5C" w:rsidP="00003A5C">
      <w:pPr>
        <w:spacing w:after="0" w:line="240" w:lineRule="auto"/>
        <w:jc w:val="both"/>
        <w:rPr>
          <w:rFonts w:ascii="Times New Roman" w:eastAsiaTheme="minorHAnsi" w:hAnsi="Times New Roman" w:cstheme="minorBidi"/>
          <w:kern w:val="2"/>
          <w:sz w:val="24"/>
          <w:szCs w:val="24"/>
          <w:lang w:eastAsia="en-US"/>
          <w14:ligatures w14:val="standardContextual"/>
        </w:rPr>
      </w:pPr>
      <w:r w:rsidRPr="007C5A6E">
        <w:rPr>
          <w:rFonts w:ascii="Times New Roman" w:eastAsiaTheme="minorHAnsi" w:hAnsi="Times New Roman" w:cstheme="minorBidi"/>
          <w:i/>
          <w:iCs/>
          <w:kern w:val="2"/>
          <w:sz w:val="24"/>
          <w:szCs w:val="24"/>
          <w:lang w:eastAsia="en-US"/>
          <w14:ligatures w14:val="standardContextual"/>
        </w:rPr>
        <w:t>Dès lors, rechercher, traiter et analyser une telle masse de données pour produire le REEB apparaissent comme un obstacle majeur au regard du temps et des moyens alloués aux experts pour le faire ; obstacle qui impacte nécessairement la qualité du résultat obtenu »</w:t>
      </w:r>
      <w:r w:rsidRPr="007C5A6E">
        <w:rPr>
          <w:rFonts w:ascii="Times New Roman" w:eastAsiaTheme="minorHAnsi" w:hAnsi="Times New Roman" w:cstheme="minorBidi"/>
          <w:kern w:val="2"/>
          <w:sz w:val="24"/>
          <w:szCs w:val="24"/>
          <w:lang w:eastAsia="en-US"/>
          <w14:ligatures w14:val="standardContextual"/>
        </w:rPr>
        <w:t>.</w:t>
      </w:r>
    </w:p>
    <w:p w14:paraId="63C3A4C0" w14:textId="77777777" w:rsidR="00003A5C" w:rsidRPr="007C5A6E" w:rsidRDefault="00003A5C" w:rsidP="00003A5C">
      <w:pPr>
        <w:spacing w:after="0" w:line="240" w:lineRule="auto"/>
        <w:jc w:val="both"/>
        <w:rPr>
          <w:rFonts w:ascii="Times New Roman" w:eastAsiaTheme="minorHAnsi" w:hAnsi="Times New Roman" w:cstheme="minorBidi"/>
          <w:kern w:val="2"/>
          <w:sz w:val="24"/>
          <w:szCs w:val="24"/>
          <w:lang w:eastAsia="en-US"/>
          <w14:ligatures w14:val="standardContextual"/>
        </w:rPr>
      </w:pPr>
    </w:p>
    <w:bookmarkEnd w:id="16"/>
    <w:p w14:paraId="639447AB" w14:textId="77777777" w:rsidR="00003A5C" w:rsidRPr="007C5A6E" w:rsidRDefault="00003A5C" w:rsidP="00003A5C">
      <w:pPr>
        <w:spacing w:after="0" w:line="240" w:lineRule="auto"/>
        <w:jc w:val="both"/>
        <w:rPr>
          <w:rFonts w:ascii="Times New Roman" w:hAnsi="Times New Roman"/>
          <w:sz w:val="24"/>
          <w:szCs w:val="24"/>
        </w:rPr>
      </w:pPr>
      <w:r w:rsidRPr="007C5A6E">
        <w:rPr>
          <w:rFonts w:ascii="Times New Roman" w:eastAsiaTheme="minorHAnsi" w:hAnsi="Times New Roman" w:cstheme="minorBidi"/>
          <w:kern w:val="2"/>
          <w:sz w:val="24"/>
          <w:szCs w:val="24"/>
          <w:lang w:eastAsia="en-US"/>
          <w14:ligatures w14:val="standardContextual"/>
        </w:rPr>
        <w:t xml:space="preserve">Le constat d’entrée de l’exercice d’élaboration du REEB-5 est que le contexte socio-politique global que subit le Burkina Faso n’a pas permis d’améliorer les conditions d’élaboration du rapport, bien au contraire. </w:t>
      </w:r>
      <w:r w:rsidRPr="007C5A6E">
        <w:rPr>
          <w:rFonts w:ascii="Times New Roman" w:hAnsi="Times New Roman"/>
          <w:sz w:val="24"/>
          <w:szCs w:val="24"/>
        </w:rPr>
        <w:t xml:space="preserve"> </w:t>
      </w:r>
    </w:p>
    <w:p w14:paraId="4A8E56DE" w14:textId="77777777" w:rsidR="00003A5C" w:rsidRPr="007C5A6E" w:rsidRDefault="00003A5C" w:rsidP="00003A5C">
      <w:pPr>
        <w:spacing w:after="0" w:line="240" w:lineRule="auto"/>
        <w:jc w:val="both"/>
        <w:rPr>
          <w:rFonts w:ascii="Times New Roman" w:hAnsi="Times New Roman"/>
          <w:sz w:val="24"/>
          <w:szCs w:val="24"/>
        </w:rPr>
      </w:pPr>
    </w:p>
    <w:p w14:paraId="7E7BC51C" w14:textId="77777777" w:rsidR="00003A5C" w:rsidRPr="007C5A6E" w:rsidRDefault="00003A5C" w:rsidP="00857104">
      <w:pPr>
        <w:spacing w:after="0" w:line="240" w:lineRule="auto"/>
        <w:rPr>
          <w:rFonts w:ascii="Times New Roman" w:hAnsi="Times New Roman"/>
          <w:sz w:val="24"/>
          <w:szCs w:val="24"/>
        </w:rPr>
      </w:pPr>
    </w:p>
    <w:p w14:paraId="76DDC46B" w14:textId="77777777" w:rsidR="00857104" w:rsidRPr="007C5A6E" w:rsidRDefault="00857104" w:rsidP="00857104">
      <w:pPr>
        <w:spacing w:after="0" w:line="240" w:lineRule="auto"/>
        <w:rPr>
          <w:rFonts w:ascii="Times New Roman" w:hAnsi="Times New Roman"/>
          <w:sz w:val="24"/>
          <w:szCs w:val="24"/>
        </w:rPr>
      </w:pPr>
    </w:p>
    <w:p w14:paraId="7721745C" w14:textId="77777777" w:rsidR="003162F8" w:rsidRPr="007C5A6E" w:rsidRDefault="003162F8" w:rsidP="00857104">
      <w:pPr>
        <w:spacing w:after="0" w:line="240" w:lineRule="auto"/>
        <w:rPr>
          <w:rFonts w:ascii="Times New Roman" w:hAnsi="Times New Roman"/>
          <w:sz w:val="24"/>
          <w:szCs w:val="24"/>
        </w:rPr>
      </w:pPr>
    </w:p>
    <w:p w14:paraId="0D015C72" w14:textId="77777777" w:rsidR="00857104" w:rsidRPr="007C5A6E" w:rsidRDefault="00857104" w:rsidP="00857104">
      <w:pPr>
        <w:spacing w:after="0" w:line="240" w:lineRule="auto"/>
        <w:rPr>
          <w:rFonts w:ascii="Times New Roman" w:hAnsi="Times New Roman"/>
          <w:sz w:val="24"/>
          <w:szCs w:val="24"/>
        </w:rPr>
      </w:pPr>
    </w:p>
    <w:p w14:paraId="3E686113" w14:textId="77777777" w:rsidR="00857104" w:rsidRPr="007C5A6E" w:rsidRDefault="00857104" w:rsidP="00857104">
      <w:pPr>
        <w:spacing w:after="0" w:line="240" w:lineRule="auto"/>
        <w:rPr>
          <w:rFonts w:ascii="Times New Roman" w:hAnsi="Times New Roman"/>
          <w:sz w:val="24"/>
          <w:szCs w:val="24"/>
        </w:rPr>
      </w:pPr>
    </w:p>
    <w:p w14:paraId="6BF61551" w14:textId="77777777" w:rsidR="00857104" w:rsidRPr="007C5A6E" w:rsidRDefault="00857104" w:rsidP="00857104">
      <w:pPr>
        <w:pStyle w:val="Titre1"/>
        <w:spacing w:before="0"/>
        <w:rPr>
          <w:bCs/>
          <w:sz w:val="26"/>
          <w:szCs w:val="26"/>
        </w:rPr>
        <w:sectPr w:rsidR="00857104" w:rsidRPr="007C5A6E" w:rsidSect="006514BA">
          <w:pgSz w:w="11907" w:h="16840" w:code="9"/>
          <w:pgMar w:top="1191" w:right="1361" w:bottom="1191" w:left="1361" w:header="709" w:footer="709" w:gutter="0"/>
          <w:cols w:space="708"/>
          <w:docGrid w:linePitch="360"/>
        </w:sectPr>
      </w:pPr>
    </w:p>
    <w:p w14:paraId="2DA90C80" w14:textId="7B885FFC" w:rsidR="00E17E61" w:rsidRPr="007C5A6E" w:rsidRDefault="00E17E61" w:rsidP="00431FF2">
      <w:pPr>
        <w:pStyle w:val="Titre1"/>
        <w:spacing w:before="0"/>
        <w:rPr>
          <w:bCs/>
          <w:szCs w:val="30"/>
        </w:rPr>
      </w:pPr>
      <w:bookmarkStart w:id="18" w:name="_Toc183340005"/>
      <w:r w:rsidRPr="007C5A6E">
        <w:rPr>
          <w:bCs/>
          <w:szCs w:val="30"/>
        </w:rPr>
        <w:t>LE BURKINA FASO FACE AU CHANGEMENT CLIMATIQUE</w:t>
      </w:r>
      <w:bookmarkEnd w:id="18"/>
    </w:p>
    <w:p w14:paraId="52E4EAE1" w14:textId="77777777" w:rsidR="00E17E61" w:rsidRPr="007C5A6E" w:rsidRDefault="00E17E61" w:rsidP="00995549">
      <w:pPr>
        <w:spacing w:after="0" w:line="240" w:lineRule="auto"/>
        <w:rPr>
          <w:rFonts w:ascii="Times New Roman" w:hAnsi="Times New Roman"/>
          <w:sz w:val="24"/>
          <w:szCs w:val="24"/>
        </w:rPr>
      </w:pPr>
    </w:p>
    <w:p w14:paraId="29C96BDC" w14:textId="351B10B6" w:rsidR="00995549" w:rsidRPr="007C5A6E" w:rsidRDefault="00995549" w:rsidP="00BA530C">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Au Burkina Faso le climat se manifeste essentiellement à travers la pluviométrie, la température et le régime des vents. Il se caractérise dans l’intervalle d’une année par la succession de deux saisons : la saison sèche qui comporte une période fraiche et une période chaude et la saison des pluies. La variation des gammes de pluviométries et de températures en allant du nord au sud permet de distinguer trois zones climatiques : la zone sahélienne, la zone soudano-sahélienne et la zone soudanienne.</w:t>
      </w:r>
    </w:p>
    <w:p w14:paraId="2F3B95DE" w14:textId="77777777" w:rsidR="00995549" w:rsidRPr="007C5A6E" w:rsidRDefault="00995549" w:rsidP="00BA530C">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Sous l’effet du changement climatique, des phénomènes climatiques extrêmes de plus en plus fréquents ont des conséquences dommageables sur l’économie et les communautés humaines. Pluies diluviennes, sécheresses, canicules et vents violents sont parfois causes de catastrophes naturelles.</w:t>
      </w:r>
    </w:p>
    <w:p w14:paraId="1BF11FF2" w14:textId="71D8E22B" w:rsidR="00995549" w:rsidRPr="007C5A6E" w:rsidRDefault="00995549" w:rsidP="00BA530C">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Le 5</w:t>
      </w:r>
      <w:r w:rsidRPr="007C5A6E">
        <w:rPr>
          <w:rFonts w:ascii="Times New Roman" w:eastAsiaTheme="minorHAnsi" w:hAnsi="Times New Roman"/>
          <w:kern w:val="2"/>
          <w:sz w:val="24"/>
          <w:szCs w:val="24"/>
          <w:vertAlign w:val="superscript"/>
          <w:lang w:eastAsia="en-US"/>
          <w14:ligatures w14:val="standardContextual"/>
        </w:rPr>
        <w:t>è</w:t>
      </w:r>
      <w:r w:rsidR="00270E3B" w:rsidRPr="007C5A6E">
        <w:rPr>
          <w:rFonts w:ascii="Times New Roman" w:eastAsiaTheme="minorHAnsi" w:hAnsi="Times New Roman"/>
          <w:kern w:val="2"/>
          <w:sz w:val="24"/>
          <w:szCs w:val="24"/>
          <w:vertAlign w:val="superscript"/>
          <w:lang w:eastAsia="en-US"/>
          <w14:ligatures w14:val="standardContextual"/>
        </w:rPr>
        <w:t xml:space="preserve">me </w:t>
      </w:r>
      <w:r w:rsidRPr="007C5A6E">
        <w:rPr>
          <w:rFonts w:ascii="Times New Roman" w:eastAsiaTheme="minorHAnsi" w:hAnsi="Times New Roman"/>
          <w:kern w:val="2"/>
          <w:sz w:val="24"/>
          <w:szCs w:val="24"/>
          <w:lang w:eastAsia="en-US"/>
          <w14:ligatures w14:val="standardContextual"/>
        </w:rPr>
        <w:t>R</w:t>
      </w:r>
      <w:r w:rsidR="00733428" w:rsidRPr="007C5A6E">
        <w:rPr>
          <w:rFonts w:ascii="Times New Roman" w:eastAsiaTheme="minorHAnsi" w:hAnsi="Times New Roman"/>
          <w:kern w:val="2"/>
          <w:sz w:val="24"/>
          <w:szCs w:val="24"/>
          <w:lang w:eastAsia="en-US"/>
          <w14:ligatures w14:val="standardContextual"/>
        </w:rPr>
        <w:t>apport sur l’</w:t>
      </w:r>
      <w:r w:rsidRPr="007C5A6E">
        <w:rPr>
          <w:rFonts w:ascii="Times New Roman" w:eastAsiaTheme="minorHAnsi" w:hAnsi="Times New Roman"/>
          <w:kern w:val="2"/>
          <w:sz w:val="24"/>
          <w:szCs w:val="24"/>
          <w:lang w:eastAsia="en-US"/>
          <w14:ligatures w14:val="standardContextual"/>
        </w:rPr>
        <w:t>E</w:t>
      </w:r>
      <w:r w:rsidR="00733428" w:rsidRPr="007C5A6E">
        <w:rPr>
          <w:rFonts w:ascii="Times New Roman" w:eastAsiaTheme="minorHAnsi" w:hAnsi="Times New Roman"/>
          <w:kern w:val="2"/>
          <w:sz w:val="24"/>
          <w:szCs w:val="24"/>
          <w:lang w:eastAsia="en-US"/>
          <w14:ligatures w14:val="standardContextual"/>
        </w:rPr>
        <w:t>tat de l’</w:t>
      </w:r>
      <w:r w:rsidRPr="007C5A6E">
        <w:rPr>
          <w:rFonts w:ascii="Times New Roman" w:eastAsiaTheme="minorHAnsi" w:hAnsi="Times New Roman"/>
          <w:kern w:val="2"/>
          <w:sz w:val="24"/>
          <w:szCs w:val="24"/>
          <w:lang w:eastAsia="en-US"/>
          <w14:ligatures w14:val="standardContextual"/>
        </w:rPr>
        <w:t>E</w:t>
      </w:r>
      <w:r w:rsidR="00733428" w:rsidRPr="007C5A6E">
        <w:rPr>
          <w:rFonts w:ascii="Times New Roman" w:eastAsiaTheme="minorHAnsi" w:hAnsi="Times New Roman"/>
          <w:kern w:val="2"/>
          <w:sz w:val="24"/>
          <w:szCs w:val="24"/>
          <w:lang w:eastAsia="en-US"/>
          <w14:ligatures w14:val="standardContextual"/>
        </w:rPr>
        <w:t xml:space="preserve">nvironnement au </w:t>
      </w:r>
      <w:r w:rsidRPr="007C5A6E">
        <w:rPr>
          <w:rFonts w:ascii="Times New Roman" w:eastAsiaTheme="minorHAnsi" w:hAnsi="Times New Roman"/>
          <w:kern w:val="2"/>
          <w:sz w:val="24"/>
          <w:szCs w:val="24"/>
          <w:lang w:eastAsia="en-US"/>
          <w14:ligatures w14:val="standardContextual"/>
        </w:rPr>
        <w:t>B</w:t>
      </w:r>
      <w:r w:rsidR="00733428" w:rsidRPr="007C5A6E">
        <w:rPr>
          <w:rFonts w:ascii="Times New Roman" w:eastAsiaTheme="minorHAnsi" w:hAnsi="Times New Roman"/>
          <w:kern w:val="2"/>
          <w:sz w:val="24"/>
          <w:szCs w:val="24"/>
          <w:lang w:eastAsia="en-US"/>
          <w14:ligatures w14:val="standardContextual"/>
        </w:rPr>
        <w:t>urkina Faso</w:t>
      </w:r>
      <w:r w:rsidRPr="007C5A6E">
        <w:rPr>
          <w:rFonts w:ascii="Times New Roman" w:eastAsiaTheme="minorHAnsi" w:hAnsi="Times New Roman"/>
          <w:kern w:val="2"/>
          <w:sz w:val="24"/>
          <w:szCs w:val="24"/>
          <w:lang w:eastAsia="en-US"/>
          <w14:ligatures w14:val="standardContextual"/>
        </w:rPr>
        <w:t xml:space="preserve"> </w:t>
      </w:r>
      <w:r w:rsidR="00733428" w:rsidRPr="007C5A6E">
        <w:rPr>
          <w:rFonts w:ascii="Times New Roman" w:eastAsiaTheme="minorHAnsi" w:hAnsi="Times New Roman"/>
          <w:kern w:val="2"/>
          <w:sz w:val="24"/>
          <w:szCs w:val="24"/>
          <w:lang w:eastAsia="en-US"/>
          <w14:ligatures w14:val="standardContextual"/>
        </w:rPr>
        <w:t xml:space="preserve">s’est donné pour </w:t>
      </w:r>
      <w:r w:rsidRPr="007C5A6E">
        <w:rPr>
          <w:rFonts w:ascii="Times New Roman" w:eastAsiaTheme="minorHAnsi" w:hAnsi="Times New Roman"/>
          <w:kern w:val="2"/>
          <w:sz w:val="24"/>
          <w:szCs w:val="24"/>
          <w:lang w:eastAsia="en-US"/>
          <w14:ligatures w14:val="standardContextual"/>
        </w:rPr>
        <w:t>objet</w:t>
      </w:r>
      <w:r w:rsidR="00733428" w:rsidRPr="007C5A6E">
        <w:rPr>
          <w:rFonts w:ascii="Times New Roman" w:eastAsiaTheme="minorHAnsi" w:hAnsi="Times New Roman"/>
          <w:kern w:val="2"/>
          <w:sz w:val="24"/>
          <w:szCs w:val="24"/>
          <w:lang w:eastAsia="en-US"/>
          <w14:ligatures w14:val="standardContextual"/>
        </w:rPr>
        <w:t>,</w:t>
      </w:r>
      <w:r w:rsidRPr="007C5A6E">
        <w:rPr>
          <w:rFonts w:ascii="Times New Roman" w:eastAsiaTheme="minorHAnsi" w:hAnsi="Times New Roman"/>
          <w:kern w:val="2"/>
          <w:sz w:val="24"/>
          <w:szCs w:val="24"/>
          <w:lang w:eastAsia="en-US"/>
          <w14:ligatures w14:val="standardContextual"/>
        </w:rPr>
        <w:t xml:space="preserve"> entre autres</w:t>
      </w:r>
      <w:r w:rsidR="00733428" w:rsidRPr="007C5A6E">
        <w:rPr>
          <w:rFonts w:ascii="Times New Roman" w:eastAsiaTheme="minorHAnsi" w:hAnsi="Times New Roman"/>
          <w:kern w:val="2"/>
          <w:sz w:val="24"/>
          <w:szCs w:val="24"/>
          <w:lang w:eastAsia="en-US"/>
          <w14:ligatures w14:val="standardContextual"/>
        </w:rPr>
        <w:t>,</w:t>
      </w:r>
      <w:r w:rsidRPr="007C5A6E">
        <w:rPr>
          <w:rFonts w:ascii="Times New Roman" w:eastAsiaTheme="minorHAnsi" w:hAnsi="Times New Roman"/>
          <w:kern w:val="2"/>
          <w:sz w:val="24"/>
          <w:szCs w:val="24"/>
          <w:lang w:eastAsia="en-US"/>
          <w14:ligatures w14:val="standardContextual"/>
        </w:rPr>
        <w:t xml:space="preserve"> de rendre compte dans le détail, des liens entre le changement climatique et les catastrophes naturelles survenues </w:t>
      </w:r>
      <w:r w:rsidR="00733428" w:rsidRPr="007C5A6E">
        <w:rPr>
          <w:rFonts w:ascii="Times New Roman" w:eastAsiaTheme="minorHAnsi" w:hAnsi="Times New Roman"/>
          <w:kern w:val="2"/>
          <w:sz w:val="24"/>
          <w:szCs w:val="24"/>
          <w:lang w:eastAsia="en-US"/>
          <w14:ligatures w14:val="standardContextual"/>
        </w:rPr>
        <w:t>dans le pays</w:t>
      </w:r>
      <w:r w:rsidRPr="007C5A6E">
        <w:rPr>
          <w:rFonts w:ascii="Times New Roman" w:eastAsiaTheme="minorHAnsi" w:hAnsi="Times New Roman"/>
          <w:kern w:val="2"/>
          <w:sz w:val="24"/>
          <w:szCs w:val="24"/>
          <w:lang w:eastAsia="en-US"/>
          <w14:ligatures w14:val="standardContextual"/>
        </w:rPr>
        <w:t xml:space="preserve">. Il </w:t>
      </w:r>
      <w:r w:rsidR="00733428" w:rsidRPr="007C5A6E">
        <w:rPr>
          <w:rFonts w:ascii="Times New Roman" w:eastAsiaTheme="minorHAnsi" w:hAnsi="Times New Roman"/>
          <w:kern w:val="2"/>
          <w:sz w:val="24"/>
          <w:szCs w:val="24"/>
          <w:lang w:eastAsia="en-US"/>
          <w14:ligatures w14:val="standardContextual"/>
        </w:rPr>
        <w:t xml:space="preserve">a fallu </w:t>
      </w:r>
      <w:r w:rsidRPr="007C5A6E">
        <w:rPr>
          <w:rFonts w:ascii="Times New Roman" w:eastAsiaTheme="minorHAnsi" w:hAnsi="Times New Roman"/>
          <w:kern w:val="2"/>
          <w:sz w:val="24"/>
          <w:szCs w:val="24"/>
          <w:lang w:eastAsia="en-US"/>
          <w14:ligatures w14:val="standardContextual"/>
        </w:rPr>
        <w:t>pour ce faire :</w:t>
      </w:r>
    </w:p>
    <w:p w14:paraId="0C634688" w14:textId="77777777" w:rsidR="00995549" w:rsidRPr="007C5A6E" w:rsidRDefault="00995549" w:rsidP="003F3821">
      <w:pPr>
        <w:numPr>
          <w:ilvl w:val="0"/>
          <w:numId w:val="3"/>
        </w:numPr>
        <w:spacing w:after="0" w:line="240" w:lineRule="auto"/>
        <w:ind w:left="360"/>
        <w:contextualSpacing/>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Examiner les tendances climatiques des 33 dernières années à travers les variables climatiques et des indicateurs pertinents ;</w:t>
      </w:r>
    </w:p>
    <w:p w14:paraId="57958B0C" w14:textId="77777777" w:rsidR="00995549" w:rsidRPr="007C5A6E" w:rsidRDefault="00995549" w:rsidP="003F3821">
      <w:pPr>
        <w:numPr>
          <w:ilvl w:val="0"/>
          <w:numId w:val="3"/>
        </w:numPr>
        <w:spacing w:after="0" w:line="240" w:lineRule="auto"/>
        <w:ind w:left="360"/>
        <w:contextualSpacing/>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Faire le point des événements climatiques extrêmes enregistrés au cours des 33 dernières années ;</w:t>
      </w:r>
    </w:p>
    <w:p w14:paraId="1F043BAE" w14:textId="77777777" w:rsidR="00995549" w:rsidRPr="007C5A6E" w:rsidRDefault="00995549" w:rsidP="003F3821">
      <w:pPr>
        <w:numPr>
          <w:ilvl w:val="0"/>
          <w:numId w:val="3"/>
        </w:numPr>
        <w:spacing w:after="0" w:line="240" w:lineRule="auto"/>
        <w:ind w:left="360"/>
        <w:contextualSpacing/>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Examiner les projections climatiques jusqu’à l’horizon 2100 ;</w:t>
      </w:r>
    </w:p>
    <w:p w14:paraId="00724068" w14:textId="77777777" w:rsidR="00995549" w:rsidRPr="007C5A6E" w:rsidRDefault="00995549" w:rsidP="003F3821">
      <w:pPr>
        <w:numPr>
          <w:ilvl w:val="0"/>
          <w:numId w:val="3"/>
        </w:numPr>
        <w:spacing w:after="0" w:line="240" w:lineRule="auto"/>
        <w:ind w:left="360"/>
        <w:contextualSpacing/>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Se pencher sur les catastrophes naturelles survenues au Burkina au cours de la même période :  la façon dont elles ont été documentées, leurs impacts, les réponses qui ont été apportées par la communauté nationale ;</w:t>
      </w:r>
    </w:p>
    <w:p w14:paraId="3A1D801E" w14:textId="77777777" w:rsidR="00995549" w:rsidRPr="007C5A6E" w:rsidRDefault="00995549" w:rsidP="003F3821">
      <w:pPr>
        <w:numPr>
          <w:ilvl w:val="0"/>
          <w:numId w:val="3"/>
        </w:numPr>
        <w:spacing w:after="0" w:line="240" w:lineRule="auto"/>
        <w:ind w:left="360"/>
        <w:contextualSpacing/>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Analyser les risques de catastrophes naturelles liés aux évolutions futures du climat, en lien avec les capacités du pays à y faire face.</w:t>
      </w:r>
    </w:p>
    <w:p w14:paraId="49BC046C" w14:textId="77777777" w:rsidR="00857104" w:rsidRPr="007C5A6E" w:rsidRDefault="00857104" w:rsidP="00995549">
      <w:pPr>
        <w:spacing w:after="0" w:line="240" w:lineRule="auto"/>
        <w:rPr>
          <w:rFonts w:ascii="Times New Roman" w:hAnsi="Times New Roman"/>
          <w:sz w:val="24"/>
          <w:szCs w:val="24"/>
        </w:rPr>
      </w:pPr>
    </w:p>
    <w:p w14:paraId="4836A81B" w14:textId="77777777" w:rsidR="00995549" w:rsidRPr="007C5A6E" w:rsidRDefault="00995549" w:rsidP="003F3821">
      <w:pPr>
        <w:pStyle w:val="Paragraphedeliste"/>
        <w:keepNext/>
        <w:keepLines/>
        <w:numPr>
          <w:ilvl w:val="0"/>
          <w:numId w:val="2"/>
        </w:numPr>
        <w:spacing w:after="0" w:line="240" w:lineRule="auto"/>
        <w:contextualSpacing w:val="0"/>
        <w:outlineLvl w:val="1"/>
        <w:rPr>
          <w:rFonts w:ascii="Times New Roman" w:hAnsi="Times New Roman"/>
          <w:b/>
          <w:bCs/>
          <w:vanish/>
          <w:sz w:val="28"/>
          <w:szCs w:val="28"/>
        </w:rPr>
      </w:pPr>
      <w:bookmarkStart w:id="19" w:name="_Toc183287764"/>
      <w:bookmarkStart w:id="20" w:name="_Toc183291005"/>
      <w:bookmarkStart w:id="21" w:name="_Toc183291409"/>
      <w:bookmarkStart w:id="22" w:name="_Toc183291813"/>
      <w:bookmarkStart w:id="23" w:name="_Toc183340006"/>
      <w:bookmarkEnd w:id="19"/>
      <w:bookmarkEnd w:id="20"/>
      <w:bookmarkEnd w:id="21"/>
      <w:bookmarkEnd w:id="22"/>
      <w:bookmarkEnd w:id="23"/>
    </w:p>
    <w:p w14:paraId="52A5B7FD" w14:textId="01382FCB" w:rsidR="00E17E61" w:rsidRPr="007C5A6E" w:rsidRDefault="00755C94" w:rsidP="00712C43">
      <w:pPr>
        <w:pStyle w:val="Titre2"/>
      </w:pPr>
      <w:bookmarkStart w:id="24" w:name="_Toc183340007"/>
      <w:r w:rsidRPr="007C5A6E">
        <w:t>Les tendances observées de</w:t>
      </w:r>
      <w:r w:rsidR="0073535A" w:rsidRPr="007C5A6E">
        <w:t>s</w:t>
      </w:r>
      <w:r w:rsidRPr="007C5A6E">
        <w:t xml:space="preserve"> trois dernières décennies</w:t>
      </w:r>
      <w:bookmarkEnd w:id="24"/>
    </w:p>
    <w:p w14:paraId="569F69D9" w14:textId="77777777" w:rsidR="00755C94" w:rsidRPr="007C5A6E" w:rsidRDefault="00755C94" w:rsidP="00431FF2">
      <w:pPr>
        <w:spacing w:after="0" w:line="240" w:lineRule="auto"/>
        <w:rPr>
          <w:rFonts w:ascii="Times New Roman" w:hAnsi="Times New Roman"/>
          <w:sz w:val="24"/>
          <w:szCs w:val="24"/>
        </w:rPr>
      </w:pPr>
    </w:p>
    <w:p w14:paraId="33F2967F" w14:textId="7BB575A4" w:rsidR="00BA530C" w:rsidRPr="007C5A6E" w:rsidRDefault="00BA530C" w:rsidP="00704956">
      <w:pPr>
        <w:pStyle w:val="Titre3"/>
      </w:pPr>
      <w:bookmarkStart w:id="25" w:name="_Toc182582632"/>
      <w:bookmarkStart w:id="26" w:name="_Toc183340008"/>
      <w:r w:rsidRPr="007C5A6E">
        <w:t>Les zones climatiques au Burkina</w:t>
      </w:r>
      <w:bookmarkEnd w:id="25"/>
      <w:bookmarkEnd w:id="26"/>
    </w:p>
    <w:p w14:paraId="32308554" w14:textId="77777777" w:rsidR="00857104" w:rsidRPr="007C5A6E" w:rsidRDefault="00857104" w:rsidP="00431FF2">
      <w:pPr>
        <w:spacing w:after="0" w:line="240" w:lineRule="auto"/>
        <w:rPr>
          <w:rFonts w:ascii="Times New Roman" w:hAnsi="Times New Roman"/>
          <w:sz w:val="24"/>
          <w:szCs w:val="24"/>
        </w:rPr>
      </w:pPr>
    </w:p>
    <w:p w14:paraId="7C619703" w14:textId="07339807" w:rsidR="00BA530C" w:rsidRPr="007C5A6E" w:rsidRDefault="00BA530C" w:rsidP="00684FF8">
      <w:pPr>
        <w:pStyle w:val="Titre4"/>
      </w:pPr>
      <w:bookmarkStart w:id="27" w:name="_Toc182582633"/>
      <w:bookmarkStart w:id="28" w:name="_Toc183340009"/>
      <w:r w:rsidRPr="007C5A6E">
        <w:t>La zone sahélienne</w:t>
      </w:r>
      <w:bookmarkEnd w:id="27"/>
      <w:bookmarkEnd w:id="28"/>
    </w:p>
    <w:p w14:paraId="6B8FD6DA" w14:textId="77777777" w:rsidR="00995549" w:rsidRPr="007C5A6E" w:rsidRDefault="00995549" w:rsidP="00431FF2">
      <w:pPr>
        <w:spacing w:after="0" w:line="240" w:lineRule="auto"/>
        <w:rPr>
          <w:rFonts w:ascii="Times New Roman" w:hAnsi="Times New Roman"/>
          <w:sz w:val="24"/>
          <w:szCs w:val="24"/>
        </w:rPr>
      </w:pPr>
    </w:p>
    <w:p w14:paraId="692C6CA8" w14:textId="2BEFD318" w:rsidR="00BA530C" w:rsidRPr="007C5A6E" w:rsidRDefault="00BA530C" w:rsidP="00BA530C">
      <w:pPr>
        <w:spacing w:after="0" w:line="240" w:lineRule="auto"/>
        <w:jc w:val="both"/>
        <w:rPr>
          <w:rFonts w:ascii="Times New Roman" w:eastAsiaTheme="minorHAnsi" w:hAnsi="Times New Roman" w:cstheme="minorBidi"/>
          <w:kern w:val="2"/>
          <w:sz w:val="24"/>
          <w:szCs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 xml:space="preserve">La zone climatique sahélienne se situe au-dessus du parallèle 14°N, avec une pluviométrie annuelle moyenne inférieure à 600 mm et représente environ 25% du territoire. Les caractéristiques principales sont données par le tableau </w:t>
      </w:r>
      <w:r w:rsidR="0012454A" w:rsidRPr="007C5A6E">
        <w:rPr>
          <w:rFonts w:ascii="Times New Roman" w:eastAsiaTheme="minorHAnsi" w:hAnsi="Times New Roman" w:cstheme="minorBidi"/>
          <w:kern w:val="2"/>
          <w:sz w:val="24"/>
          <w:lang w:eastAsia="en-US"/>
          <w14:ligatures w14:val="standardContextual"/>
        </w:rPr>
        <w:t>2</w:t>
      </w:r>
      <w:r w:rsidRPr="007C5A6E">
        <w:rPr>
          <w:rFonts w:ascii="Times New Roman" w:eastAsiaTheme="minorHAnsi" w:hAnsi="Times New Roman" w:cstheme="minorBidi"/>
          <w:kern w:val="2"/>
          <w:sz w:val="24"/>
          <w:szCs w:val="24"/>
          <w:lang w:eastAsia="en-US"/>
          <w14:ligatures w14:val="standardContextual"/>
        </w:rPr>
        <w:t>. Dans la suite, la station synoptique de Dori sera choisie comme représentant cette zone.</w:t>
      </w:r>
    </w:p>
    <w:p w14:paraId="685165A3" w14:textId="77777777" w:rsidR="00BA530C" w:rsidRPr="007C5A6E" w:rsidRDefault="00BA530C" w:rsidP="00BA530C">
      <w:pPr>
        <w:spacing w:after="0" w:line="240" w:lineRule="auto"/>
        <w:rPr>
          <w:rFonts w:ascii="Times New Roman" w:eastAsiaTheme="minorHAnsi" w:hAnsi="Times New Roman"/>
          <w:kern w:val="2"/>
          <w:sz w:val="24"/>
          <w:lang w:eastAsia="en-US"/>
          <w14:ligatures w14:val="standardContextual"/>
        </w:rPr>
      </w:pPr>
    </w:p>
    <w:p w14:paraId="15B4FAAE" w14:textId="0CDF64F3" w:rsidR="00BA530C" w:rsidRPr="007C5A6E" w:rsidRDefault="00BA530C" w:rsidP="00BA530C">
      <w:pPr>
        <w:spacing w:after="0" w:line="240" w:lineRule="auto"/>
        <w:jc w:val="both"/>
        <w:rPr>
          <w:rFonts w:ascii="Times New Roman" w:eastAsiaTheme="minorHAnsi" w:hAnsi="Times New Roman"/>
          <w:sz w:val="24"/>
          <w:szCs w:val="24"/>
          <w:lang w:eastAsia="en-US"/>
        </w:rPr>
      </w:pPr>
      <w:bookmarkStart w:id="29" w:name="_Toc340156453"/>
      <w:bookmarkStart w:id="30" w:name="_Toc464469620"/>
      <w:bookmarkStart w:id="31" w:name="_Toc183240964"/>
      <w:bookmarkStart w:id="32" w:name="_Toc183292206"/>
      <w:bookmarkStart w:id="33" w:name="_Toc183340486"/>
      <w:bookmarkStart w:id="34" w:name="_Hlk177142855"/>
      <w:r w:rsidRPr="007C5A6E">
        <w:rPr>
          <w:rFonts w:ascii="Times New Roman" w:eastAsiaTheme="minorHAnsi" w:hAnsi="Times New Roman"/>
          <w:sz w:val="24"/>
          <w:szCs w:val="24"/>
          <w:lang w:eastAsia="en-US"/>
        </w:rPr>
        <w:t xml:space="preserve">Tableau </w:t>
      </w:r>
      <w:r w:rsidRPr="007C5A6E">
        <w:rPr>
          <w:rFonts w:ascii="Times New Roman" w:eastAsiaTheme="minorHAnsi" w:hAnsi="Times New Roman"/>
          <w:sz w:val="24"/>
          <w:szCs w:val="24"/>
          <w:lang w:eastAsia="en-US"/>
        </w:rPr>
        <w:fldChar w:fldCharType="begin"/>
      </w:r>
      <w:r w:rsidRPr="007C5A6E">
        <w:rPr>
          <w:rFonts w:ascii="Times New Roman" w:eastAsiaTheme="minorHAnsi" w:hAnsi="Times New Roman"/>
          <w:sz w:val="24"/>
          <w:szCs w:val="24"/>
          <w:lang w:eastAsia="en-US"/>
        </w:rPr>
        <w:instrText xml:space="preserve"> SEQ Tableau \* ARABIC </w:instrText>
      </w:r>
      <w:r w:rsidRPr="007C5A6E">
        <w:rPr>
          <w:rFonts w:ascii="Times New Roman" w:eastAsiaTheme="minorHAnsi" w:hAnsi="Times New Roman"/>
          <w:sz w:val="24"/>
          <w:szCs w:val="24"/>
          <w:lang w:eastAsia="en-US"/>
        </w:rPr>
        <w:fldChar w:fldCharType="separate"/>
      </w:r>
      <w:r w:rsidR="006514BA" w:rsidRPr="007C5A6E">
        <w:rPr>
          <w:rFonts w:ascii="Times New Roman" w:eastAsiaTheme="minorHAnsi" w:hAnsi="Times New Roman"/>
          <w:noProof/>
          <w:sz w:val="24"/>
          <w:szCs w:val="24"/>
          <w:lang w:eastAsia="en-US"/>
        </w:rPr>
        <w:t>2</w:t>
      </w:r>
      <w:r w:rsidRPr="007C5A6E">
        <w:rPr>
          <w:rFonts w:ascii="Times New Roman" w:eastAsiaTheme="minorHAnsi" w:hAnsi="Times New Roman"/>
          <w:noProof/>
          <w:sz w:val="24"/>
          <w:szCs w:val="24"/>
          <w:lang w:eastAsia="en-US"/>
        </w:rPr>
        <w:fldChar w:fldCharType="end"/>
      </w:r>
      <w:r w:rsidR="000C5987" w:rsidRPr="007C5A6E">
        <w:rPr>
          <w:rFonts w:ascii="Times New Roman" w:eastAsiaTheme="minorHAnsi" w:hAnsi="Times New Roman"/>
          <w:noProof/>
          <w:sz w:val="24"/>
          <w:szCs w:val="24"/>
          <w:lang w:eastAsia="en-US"/>
        </w:rPr>
        <w:t xml:space="preserve"> </w:t>
      </w:r>
      <w:r w:rsidRPr="007C5A6E">
        <w:rPr>
          <w:rFonts w:ascii="Times New Roman" w:eastAsiaTheme="minorHAnsi" w:hAnsi="Times New Roman"/>
          <w:sz w:val="24"/>
          <w:szCs w:val="24"/>
          <w:lang w:eastAsia="en-US"/>
        </w:rPr>
        <w:t>: Caractéristiques de la zone sahélienne</w:t>
      </w:r>
      <w:bookmarkEnd w:id="29"/>
      <w:bookmarkEnd w:id="30"/>
      <w:bookmarkEnd w:id="31"/>
      <w:bookmarkEnd w:id="32"/>
      <w:bookmarkEnd w:id="33"/>
    </w:p>
    <w:p w14:paraId="43A2B2AA" w14:textId="77777777" w:rsidR="00EA7449" w:rsidRPr="007C5A6E" w:rsidRDefault="00EA7449" w:rsidP="00BA530C">
      <w:pPr>
        <w:spacing w:after="0" w:line="240" w:lineRule="auto"/>
        <w:jc w:val="both"/>
        <w:rPr>
          <w:rFonts w:ascii="Times New Roman" w:eastAsiaTheme="minorHAnsi" w:hAnsi="Times New Roman"/>
          <w:sz w:val="24"/>
          <w:szCs w:val="24"/>
          <w:lang w:eastAsia="en-US"/>
        </w:rPr>
      </w:pPr>
    </w:p>
    <w:tbl>
      <w:tblPr>
        <w:tblStyle w:val="Grilledutableau"/>
        <w:tblW w:w="5053" w:type="pct"/>
        <w:jc w:val="center"/>
        <w:tblLayout w:type="fixed"/>
        <w:tblLook w:val="04A0" w:firstRow="1" w:lastRow="0" w:firstColumn="1" w:lastColumn="0" w:noHBand="0" w:noVBand="1"/>
      </w:tblPr>
      <w:tblGrid>
        <w:gridCol w:w="6051"/>
        <w:gridCol w:w="3221"/>
      </w:tblGrid>
      <w:tr w:rsidR="00352055" w:rsidRPr="007C5A6E" w14:paraId="3379FAF9" w14:textId="77777777" w:rsidTr="00BA530C">
        <w:trPr>
          <w:trHeight w:val="266"/>
          <w:jc w:val="center"/>
        </w:trPr>
        <w:tc>
          <w:tcPr>
            <w:tcW w:w="3263" w:type="pct"/>
            <w:hideMark/>
          </w:tcPr>
          <w:bookmarkEnd w:id="34"/>
          <w:p w14:paraId="5B019E3B"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Pluviométrie annuelle moyenne</w:t>
            </w:r>
          </w:p>
        </w:tc>
        <w:tc>
          <w:tcPr>
            <w:tcW w:w="1737" w:type="pct"/>
            <w:hideMark/>
          </w:tcPr>
          <w:p w14:paraId="68202009"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300 à 600 mm</w:t>
            </w:r>
          </w:p>
        </w:tc>
      </w:tr>
      <w:tr w:rsidR="00352055" w:rsidRPr="007C5A6E" w14:paraId="2F26E705" w14:textId="77777777" w:rsidTr="00BA530C">
        <w:trPr>
          <w:trHeight w:val="250"/>
          <w:jc w:val="center"/>
        </w:trPr>
        <w:tc>
          <w:tcPr>
            <w:tcW w:w="3263" w:type="pct"/>
            <w:hideMark/>
          </w:tcPr>
          <w:p w14:paraId="699DE60A"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Durée de la saison des pluies</w:t>
            </w:r>
          </w:p>
        </w:tc>
        <w:tc>
          <w:tcPr>
            <w:tcW w:w="1737" w:type="pct"/>
            <w:hideMark/>
          </w:tcPr>
          <w:p w14:paraId="698F07B0"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≈110 jours</w:t>
            </w:r>
          </w:p>
        </w:tc>
      </w:tr>
      <w:tr w:rsidR="00352055" w:rsidRPr="007C5A6E" w14:paraId="72EAB827" w14:textId="77777777" w:rsidTr="00BA530C">
        <w:trPr>
          <w:trHeight w:val="266"/>
          <w:jc w:val="center"/>
        </w:trPr>
        <w:tc>
          <w:tcPr>
            <w:tcW w:w="3263" w:type="pct"/>
            <w:hideMark/>
          </w:tcPr>
          <w:p w14:paraId="02797CDE"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Nombre de jours de pluie par an</w:t>
            </w:r>
          </w:p>
        </w:tc>
        <w:tc>
          <w:tcPr>
            <w:tcW w:w="1737" w:type="pct"/>
            <w:hideMark/>
          </w:tcPr>
          <w:p w14:paraId="09B80028"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&lt;45 jours</w:t>
            </w:r>
          </w:p>
        </w:tc>
      </w:tr>
      <w:tr w:rsidR="00352055" w:rsidRPr="007C5A6E" w14:paraId="7E95F161" w14:textId="77777777" w:rsidTr="00BA530C">
        <w:trPr>
          <w:trHeight w:val="250"/>
          <w:jc w:val="center"/>
        </w:trPr>
        <w:tc>
          <w:tcPr>
            <w:tcW w:w="3263" w:type="pct"/>
            <w:hideMark/>
          </w:tcPr>
          <w:p w14:paraId="31A794CA"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Température moyenne annuelle</w:t>
            </w:r>
          </w:p>
        </w:tc>
        <w:tc>
          <w:tcPr>
            <w:tcW w:w="1737" w:type="pct"/>
            <w:hideMark/>
          </w:tcPr>
          <w:p w14:paraId="0503D1D8"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≈29 °C</w:t>
            </w:r>
          </w:p>
        </w:tc>
      </w:tr>
      <w:tr w:rsidR="00352055" w:rsidRPr="007C5A6E" w14:paraId="22CC7180" w14:textId="77777777" w:rsidTr="00BA530C">
        <w:trPr>
          <w:trHeight w:val="266"/>
          <w:jc w:val="center"/>
        </w:trPr>
        <w:tc>
          <w:tcPr>
            <w:tcW w:w="3263" w:type="pct"/>
            <w:hideMark/>
          </w:tcPr>
          <w:p w14:paraId="595A12FE"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Amplitude saisonnière des températures</w:t>
            </w:r>
          </w:p>
        </w:tc>
        <w:tc>
          <w:tcPr>
            <w:tcW w:w="1737" w:type="pct"/>
            <w:hideMark/>
          </w:tcPr>
          <w:p w14:paraId="6F9784BE"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11°C</w:t>
            </w:r>
          </w:p>
        </w:tc>
      </w:tr>
      <w:tr w:rsidR="00352055" w:rsidRPr="007C5A6E" w14:paraId="344C894B" w14:textId="77777777" w:rsidTr="00BA530C">
        <w:trPr>
          <w:trHeight w:val="250"/>
          <w:jc w:val="center"/>
        </w:trPr>
        <w:tc>
          <w:tcPr>
            <w:tcW w:w="3263" w:type="pct"/>
            <w:hideMark/>
          </w:tcPr>
          <w:p w14:paraId="182AF460"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Humidité de l'air Saison sèche / Saison humide</w:t>
            </w:r>
          </w:p>
        </w:tc>
        <w:tc>
          <w:tcPr>
            <w:tcW w:w="1737" w:type="pct"/>
            <w:hideMark/>
          </w:tcPr>
          <w:p w14:paraId="42EDB52E"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20% / 70%</w:t>
            </w:r>
          </w:p>
        </w:tc>
      </w:tr>
      <w:tr w:rsidR="00352055" w:rsidRPr="007C5A6E" w14:paraId="09499BCB" w14:textId="77777777" w:rsidTr="00BA530C">
        <w:trPr>
          <w:trHeight w:val="266"/>
          <w:jc w:val="center"/>
        </w:trPr>
        <w:tc>
          <w:tcPr>
            <w:tcW w:w="3263" w:type="pct"/>
            <w:hideMark/>
          </w:tcPr>
          <w:p w14:paraId="773BC514"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Évaporation annuelle moyenne</w:t>
            </w:r>
          </w:p>
        </w:tc>
        <w:tc>
          <w:tcPr>
            <w:tcW w:w="1737" w:type="pct"/>
            <w:hideMark/>
          </w:tcPr>
          <w:p w14:paraId="4B04915E"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2 200-2 500 mm</w:t>
            </w:r>
          </w:p>
        </w:tc>
      </w:tr>
      <w:tr w:rsidR="00352055" w:rsidRPr="007C5A6E" w14:paraId="1304F14D" w14:textId="77777777" w:rsidTr="00BA530C">
        <w:trPr>
          <w:trHeight w:val="250"/>
          <w:jc w:val="center"/>
        </w:trPr>
        <w:tc>
          <w:tcPr>
            <w:tcW w:w="3263" w:type="pct"/>
            <w:hideMark/>
          </w:tcPr>
          <w:p w14:paraId="67EA69A6"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Évaporation annuelle (bac classe A)</w:t>
            </w:r>
          </w:p>
        </w:tc>
        <w:tc>
          <w:tcPr>
            <w:tcW w:w="1737" w:type="pct"/>
            <w:hideMark/>
          </w:tcPr>
          <w:p w14:paraId="26E3FA45"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3 200-3 500 mm</w:t>
            </w:r>
          </w:p>
        </w:tc>
      </w:tr>
    </w:tbl>
    <w:p w14:paraId="5C574A40" w14:textId="74955DAD" w:rsidR="00BA530C" w:rsidRPr="007C5A6E" w:rsidRDefault="00BA530C" w:rsidP="00BA530C">
      <w:pPr>
        <w:spacing w:after="0" w:line="240" w:lineRule="auto"/>
      </w:pPr>
      <w:r w:rsidRPr="007C5A6E">
        <w:rPr>
          <w:rFonts w:ascii="Times New Roman" w:eastAsiaTheme="minorHAnsi" w:hAnsi="Times New Roman" w:cstheme="minorBidi"/>
          <w:kern w:val="2"/>
          <w:sz w:val="20"/>
          <w:szCs w:val="20"/>
          <w:lang w:eastAsia="en-US"/>
          <w14:ligatures w14:val="standardContextual"/>
        </w:rPr>
        <w:t xml:space="preserve">Sources : </w:t>
      </w:r>
      <w:hyperlink r:id="rId15" w:history="1">
        <w:r w:rsidRPr="007C5A6E">
          <w:rPr>
            <w:rFonts w:ascii="Times New Roman" w:eastAsiaTheme="minorHAnsi" w:hAnsi="Times New Roman" w:cstheme="minorBidi"/>
            <w:color w:val="0000FF"/>
            <w:kern w:val="2"/>
            <w:sz w:val="20"/>
            <w:szCs w:val="20"/>
            <w:u w:val="single"/>
            <w:lang w:eastAsia="en-US"/>
            <w14:ligatures w14:val="standardContextual"/>
          </w:rPr>
          <w:t>http://www.fao.org</w:t>
        </w:r>
      </w:hyperlink>
      <w:r w:rsidRPr="007C5A6E">
        <w:rPr>
          <w:rFonts w:ascii="Times New Roman" w:eastAsiaTheme="minorHAnsi" w:hAnsi="Times New Roman" w:cstheme="minorBidi"/>
          <w:kern w:val="2"/>
          <w:sz w:val="20"/>
          <w:szCs w:val="20"/>
          <w:lang w:eastAsia="en-US"/>
          <w14:ligatures w14:val="standardContextual"/>
        </w:rPr>
        <w:t xml:space="preserve"> (consulté en janvier 2012) et </w:t>
      </w:r>
      <w:r w:rsidRPr="007C5A6E">
        <w:rPr>
          <w:rFonts w:ascii="Times New Roman" w:eastAsiaTheme="minorHAnsi" w:hAnsi="Times New Roman" w:cstheme="minorBidi"/>
          <w:noProof/>
          <w:kern w:val="2"/>
          <w:sz w:val="20"/>
          <w:szCs w:val="20"/>
          <w:lang w:eastAsia="en-US"/>
          <w14:ligatures w14:val="standardContextual"/>
        </w:rPr>
        <w:t>MECV/SP/CONEDD, 2007</w:t>
      </w:r>
    </w:p>
    <w:p w14:paraId="711EC404" w14:textId="5CD548DB" w:rsidR="00352055" w:rsidRPr="007C5A6E" w:rsidRDefault="00352055" w:rsidP="00392DB7">
      <w:pPr>
        <w:spacing w:after="0" w:line="240" w:lineRule="auto"/>
        <w:rPr>
          <w:rFonts w:ascii="Times New Roman" w:hAnsi="Times New Roman"/>
          <w:i/>
          <w:iCs/>
          <w:sz w:val="24"/>
          <w:szCs w:val="24"/>
        </w:rPr>
      </w:pPr>
      <w:r w:rsidRPr="007C5A6E">
        <w:rPr>
          <w:rFonts w:ascii="Times New Roman" w:eastAsiaTheme="minorHAnsi" w:hAnsi="Times New Roman"/>
          <w:i/>
          <w:iCs/>
          <w:noProof/>
          <w:kern w:val="2"/>
          <w:sz w:val="20"/>
          <w:szCs w:val="20"/>
          <w:lang w:eastAsia="en-US"/>
          <w14:ligatures w14:val="standardContextual"/>
        </w:rPr>
        <mc:AlternateContent>
          <mc:Choice Requires="wpg">
            <w:drawing>
              <wp:anchor distT="0" distB="0" distL="114300" distR="114300" simplePos="0" relativeHeight="251603456" behindDoc="0" locked="0" layoutInCell="1" allowOverlap="1" wp14:anchorId="2F969C90" wp14:editId="7E3617B2">
                <wp:simplePos x="0" y="0"/>
                <wp:positionH relativeFrom="column">
                  <wp:posOffset>80645</wp:posOffset>
                </wp:positionH>
                <wp:positionV relativeFrom="paragraph">
                  <wp:posOffset>233680</wp:posOffset>
                </wp:positionV>
                <wp:extent cx="5734685" cy="3362325"/>
                <wp:effectExtent l="0" t="0" r="0" b="9525"/>
                <wp:wrapTopAndBottom/>
                <wp:docPr id="457463858" name="Groupe 6"/>
                <wp:cNvGraphicFramePr/>
                <a:graphic xmlns:a="http://schemas.openxmlformats.org/drawingml/2006/main">
                  <a:graphicData uri="http://schemas.microsoft.com/office/word/2010/wordprocessingGroup">
                    <wpg:wgp>
                      <wpg:cNvGrpSpPr/>
                      <wpg:grpSpPr>
                        <a:xfrm>
                          <a:off x="0" y="0"/>
                          <a:ext cx="5734685" cy="3362325"/>
                          <a:chOff x="0" y="0"/>
                          <a:chExt cx="5734050" cy="3939466"/>
                        </a:xfrm>
                      </wpg:grpSpPr>
                      <pic:pic xmlns:pic="http://schemas.openxmlformats.org/drawingml/2006/picture">
                        <pic:nvPicPr>
                          <pic:cNvPr id="155450499" name="Image 9"/>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4050" cy="3939466"/>
                          </a:xfrm>
                          <a:prstGeom prst="rect">
                            <a:avLst/>
                          </a:prstGeom>
                          <a:noFill/>
                          <a:ln w="9525">
                            <a:noFill/>
                            <a:miter lim="800000"/>
                            <a:headEnd/>
                            <a:tailEnd/>
                          </a:ln>
                        </pic:spPr>
                      </pic:pic>
                      <wpg:grpSp>
                        <wpg:cNvPr id="43375205" name="Groupe 5"/>
                        <wpg:cNvGrpSpPr>
                          <a:grpSpLocks/>
                        </wpg:cNvGrpSpPr>
                        <wpg:grpSpPr>
                          <a:xfrm>
                            <a:off x="1155560" y="914400"/>
                            <a:ext cx="2724150" cy="1895475"/>
                            <a:chOff x="0" y="0"/>
                            <a:chExt cx="2724150" cy="1895475"/>
                          </a:xfrm>
                        </wpg:grpSpPr>
                        <wps:wsp>
                          <wps:cNvPr id="255039523" name="Ellipse 255039523"/>
                          <wps:cNvSpPr/>
                          <wps:spPr>
                            <a:xfrm>
                              <a:off x="2409825" y="0"/>
                              <a:ext cx="314325" cy="29527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2496408" name="Ellipse 1542496408"/>
                          <wps:cNvSpPr/>
                          <wps:spPr>
                            <a:xfrm>
                              <a:off x="1562100" y="942975"/>
                              <a:ext cx="314325" cy="29527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5511897" name="Ellipse 1935511897"/>
                          <wps:cNvSpPr/>
                          <wps:spPr>
                            <a:xfrm>
                              <a:off x="0" y="1600200"/>
                              <a:ext cx="314325" cy="29527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06E7455" id="Groupe 6" o:spid="_x0000_s1026" style="position:absolute;margin-left:6.35pt;margin-top:18.4pt;width:451.55pt;height:264.75pt;z-index:251603456;mso-width-relative:margin;mso-height-relative:margin" coordsize="57340,393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">
                <v:shape id="Image 9" o:spid="_x0000_s1027" type="#_x0000_t75" style="position:absolute;width:57340;height:39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">
                  <v:imagedata r:id="rId17" o:title=""/>
                </v:shape>
                <v:group id="Groupe 5" o:spid="_x0000_s1028" style="position:absolute;left:11555;top:9144;width:27242;height:18954" coordsize="27241,18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">
                  <v:oval id="Ellipse 255039523" o:spid="_x0000_s1029" style="position:absolute;left:24098;width:3143;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" filled="f" strokecolor="red" strokeweight="1pt">
                    <v:stroke joinstyle="miter"/>
                  </v:oval>
                  <v:oval id="Ellipse 1542496408" o:spid="_x0000_s1030" style="position:absolute;left:15621;top:9429;width:3143;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" filled="f" strokecolor="red" strokeweight="1pt">
                    <v:stroke joinstyle="miter"/>
                  </v:oval>
                  <v:oval id="Ellipse 1935511897" o:spid="_x0000_s1031" style="position:absolute;top:16002;width:3143;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" filled="f" strokecolor="red" strokeweight="1pt">
                    <v:stroke joinstyle="miter"/>
                  </v:oval>
                </v:group>
                <w10:wrap type="topAndBottom"/>
              </v:group>
            </w:pict>
          </mc:Fallback>
        </mc:AlternateContent>
      </w:r>
    </w:p>
    <w:p w14:paraId="705DE8B9" w14:textId="776F9A54" w:rsidR="00BA530C" w:rsidRPr="007C5A6E" w:rsidRDefault="00392DB7" w:rsidP="00392DB7">
      <w:pPr>
        <w:spacing w:after="0" w:line="240" w:lineRule="auto"/>
        <w:rPr>
          <w:rFonts w:ascii="Times New Roman" w:eastAsiaTheme="minorHAnsi" w:hAnsi="Times New Roman"/>
          <w:i/>
          <w:iCs/>
          <w:kern w:val="2"/>
          <w:sz w:val="24"/>
          <w:szCs w:val="24"/>
          <w:lang w:eastAsia="en-US"/>
          <w14:ligatures w14:val="standardContextual"/>
        </w:rPr>
      </w:pPr>
      <w:bookmarkStart w:id="35" w:name="_Toc183230848"/>
      <w:bookmarkStart w:id="36" w:name="_Toc183240641"/>
      <w:bookmarkStart w:id="37" w:name="_Toc183340380"/>
      <w:r w:rsidRPr="007C5A6E">
        <w:rPr>
          <w:rFonts w:ascii="Times New Roman" w:hAnsi="Times New Roman"/>
          <w:i/>
          <w:iCs/>
          <w:sz w:val="24"/>
          <w:szCs w:val="24"/>
        </w:rPr>
        <w:t xml:space="preserve">Figure </w:t>
      </w:r>
      <w:r w:rsidRPr="007C5A6E">
        <w:rPr>
          <w:rFonts w:ascii="Times New Roman" w:hAnsi="Times New Roman"/>
          <w:i/>
          <w:iCs/>
          <w:sz w:val="24"/>
          <w:szCs w:val="24"/>
        </w:rPr>
        <w:fldChar w:fldCharType="begin"/>
      </w:r>
      <w:r w:rsidRPr="007C5A6E">
        <w:rPr>
          <w:rFonts w:ascii="Times New Roman" w:hAnsi="Times New Roman"/>
          <w:i/>
          <w:iCs/>
          <w:sz w:val="24"/>
          <w:szCs w:val="24"/>
        </w:rPr>
        <w:instrText xml:space="preserve"> SEQ Figure \* ARABIC </w:instrText>
      </w:r>
      <w:r w:rsidRPr="007C5A6E">
        <w:rPr>
          <w:rFonts w:ascii="Times New Roman" w:hAnsi="Times New Roman"/>
          <w:i/>
          <w:iCs/>
          <w:sz w:val="24"/>
          <w:szCs w:val="24"/>
        </w:rPr>
        <w:fldChar w:fldCharType="separate"/>
      </w:r>
      <w:r w:rsidR="00AE756D" w:rsidRPr="007C5A6E">
        <w:rPr>
          <w:rFonts w:ascii="Times New Roman" w:hAnsi="Times New Roman"/>
          <w:i/>
          <w:iCs/>
          <w:noProof/>
          <w:sz w:val="24"/>
          <w:szCs w:val="24"/>
        </w:rPr>
        <w:t>1</w:t>
      </w:r>
      <w:r w:rsidRPr="007C5A6E">
        <w:rPr>
          <w:rFonts w:ascii="Times New Roman" w:hAnsi="Times New Roman"/>
          <w:i/>
          <w:iCs/>
          <w:sz w:val="24"/>
          <w:szCs w:val="24"/>
        </w:rPr>
        <w:fldChar w:fldCharType="end"/>
      </w:r>
      <w:r w:rsidR="001103D4" w:rsidRPr="007C5A6E">
        <w:rPr>
          <w:rFonts w:ascii="Times New Roman" w:eastAsiaTheme="minorHAnsi" w:hAnsi="Times New Roman"/>
          <w:i/>
          <w:iCs/>
          <w:kern w:val="2"/>
          <w:sz w:val="24"/>
          <w:szCs w:val="24"/>
          <w:lang w:eastAsia="en-US"/>
          <w14:ligatures w14:val="standardContextual"/>
        </w:rPr>
        <w:t>.</w:t>
      </w:r>
      <w:r w:rsidR="00BA530C" w:rsidRPr="007C5A6E">
        <w:rPr>
          <w:rFonts w:ascii="Times New Roman" w:eastAsiaTheme="minorHAnsi" w:hAnsi="Times New Roman"/>
          <w:i/>
          <w:iCs/>
          <w:kern w:val="2"/>
          <w:sz w:val="24"/>
          <w:szCs w:val="24"/>
          <w:lang w:eastAsia="en-US"/>
          <w14:ligatures w14:val="standardContextual"/>
        </w:rPr>
        <w:t xml:space="preserve"> </w:t>
      </w:r>
      <w:r w:rsidR="001103D4" w:rsidRPr="007C5A6E">
        <w:rPr>
          <w:rFonts w:ascii="Times New Roman" w:eastAsiaTheme="minorHAnsi" w:hAnsi="Times New Roman"/>
          <w:i/>
          <w:iCs/>
          <w:kern w:val="2"/>
          <w:sz w:val="24"/>
          <w:szCs w:val="24"/>
          <w:lang w:eastAsia="en-US"/>
          <w14:ligatures w14:val="standardContextual"/>
        </w:rPr>
        <w:t>P</w:t>
      </w:r>
      <w:r w:rsidR="00BA530C" w:rsidRPr="007C5A6E">
        <w:rPr>
          <w:rFonts w:ascii="Times New Roman" w:eastAsiaTheme="minorHAnsi" w:hAnsi="Times New Roman"/>
          <w:i/>
          <w:iCs/>
          <w:kern w:val="2"/>
          <w:sz w:val="24"/>
          <w:szCs w:val="24"/>
          <w:lang w:eastAsia="en-US"/>
          <w14:ligatures w14:val="standardContextual"/>
        </w:rPr>
        <w:t>ositions géographiques des zones climatiques</w:t>
      </w:r>
      <w:bookmarkEnd w:id="35"/>
      <w:bookmarkEnd w:id="36"/>
      <w:bookmarkEnd w:id="37"/>
    </w:p>
    <w:p w14:paraId="5DB5EA7B" w14:textId="77777777" w:rsidR="00BA530C" w:rsidRPr="007C5A6E" w:rsidRDefault="00BA530C" w:rsidP="00BA530C">
      <w:pPr>
        <w:spacing w:after="0" w:line="240" w:lineRule="auto"/>
        <w:jc w:val="center"/>
        <w:rPr>
          <w:rFonts w:ascii="Times New Roman" w:eastAsiaTheme="minorHAnsi" w:hAnsi="Times New Roman" w:cstheme="minorBidi"/>
          <w:kern w:val="2"/>
          <w:sz w:val="24"/>
          <w:lang w:eastAsia="en-US"/>
          <w14:ligatures w14:val="standardContextual"/>
        </w:rPr>
      </w:pPr>
    </w:p>
    <w:p w14:paraId="26F15278" w14:textId="77777777" w:rsidR="00BA530C" w:rsidRPr="007C5A6E" w:rsidRDefault="00BA530C" w:rsidP="00684FF8">
      <w:pPr>
        <w:pStyle w:val="Titre4"/>
      </w:pPr>
      <w:bookmarkStart w:id="38" w:name="_Toc182582634"/>
      <w:bookmarkStart w:id="39" w:name="_Toc183340010"/>
      <w:r w:rsidRPr="007C5A6E">
        <w:t>La zone soudano-sahélienne</w:t>
      </w:r>
      <w:bookmarkEnd w:id="38"/>
      <w:bookmarkEnd w:id="39"/>
    </w:p>
    <w:p w14:paraId="1BA7ACD5" w14:textId="77777777" w:rsidR="00BA530C" w:rsidRPr="007C5A6E" w:rsidRDefault="00BA530C" w:rsidP="00BA530C">
      <w:pPr>
        <w:spacing w:after="0" w:line="240" w:lineRule="auto"/>
        <w:jc w:val="both"/>
        <w:rPr>
          <w:rFonts w:ascii="Times New Roman" w:eastAsiaTheme="minorHAnsi" w:hAnsi="Times New Roman" w:cstheme="minorBidi"/>
          <w:kern w:val="2"/>
          <w:sz w:val="24"/>
          <w:lang w:eastAsia="en-US"/>
          <w14:ligatures w14:val="standardContextual"/>
        </w:rPr>
      </w:pPr>
    </w:p>
    <w:p w14:paraId="12F57AA5" w14:textId="01D22E0E" w:rsidR="00BA530C" w:rsidRPr="007C5A6E" w:rsidRDefault="00BA530C" w:rsidP="00392DB7">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La zone soudano-sahélienne, située entre les parallèles 11°30 et 14°N, avec une pluviométrie annuelle moyenne comprise entre 600 et 900 mm, et représente actuellement environ 50 % du territoire (137 000 km</w:t>
      </w:r>
      <w:r w:rsidRPr="007C5A6E">
        <w:rPr>
          <w:rFonts w:ascii="Times New Roman" w:eastAsiaTheme="minorHAnsi" w:hAnsi="Times New Roman"/>
          <w:kern w:val="2"/>
          <w:sz w:val="24"/>
          <w:szCs w:val="24"/>
          <w:vertAlign w:val="superscript"/>
          <w:lang w:eastAsia="en-US"/>
          <w14:ligatures w14:val="standardContextual"/>
        </w:rPr>
        <w:t>2</w:t>
      </w:r>
      <w:r w:rsidRPr="007C5A6E">
        <w:rPr>
          <w:rFonts w:ascii="Times New Roman" w:eastAsiaTheme="minorHAnsi" w:hAnsi="Times New Roman"/>
          <w:kern w:val="2"/>
          <w:sz w:val="24"/>
          <w:szCs w:val="24"/>
          <w:lang w:eastAsia="en-US"/>
          <w14:ligatures w14:val="standardContextual"/>
        </w:rPr>
        <w:t xml:space="preserve">). Les caractéristiques principales sont données par le tableau </w:t>
      </w:r>
      <w:r w:rsidR="00C50C3E" w:rsidRPr="007C5A6E">
        <w:rPr>
          <w:rFonts w:ascii="Times New Roman" w:eastAsiaTheme="minorHAnsi" w:hAnsi="Times New Roman"/>
          <w:kern w:val="2"/>
          <w:sz w:val="24"/>
          <w:szCs w:val="24"/>
          <w:lang w:eastAsia="en-US"/>
          <w14:ligatures w14:val="standardContextual"/>
        </w:rPr>
        <w:t>3</w:t>
      </w:r>
      <w:r w:rsidRPr="007C5A6E">
        <w:rPr>
          <w:rFonts w:ascii="Times New Roman" w:eastAsiaTheme="minorHAnsi" w:hAnsi="Times New Roman"/>
          <w:kern w:val="2"/>
          <w:sz w:val="24"/>
          <w:szCs w:val="24"/>
          <w:lang w:eastAsia="en-US"/>
          <w14:ligatures w14:val="standardContextual"/>
        </w:rPr>
        <w:t>. Les don</w:t>
      </w:r>
      <w:r w:rsidR="00352055" w:rsidRPr="007C5A6E">
        <w:rPr>
          <w:rFonts w:ascii="Times New Roman" w:eastAsiaTheme="minorHAnsi" w:hAnsi="Times New Roman"/>
          <w:kern w:val="2"/>
          <w:sz w:val="24"/>
          <w:szCs w:val="24"/>
          <w:lang w:eastAsia="en-US"/>
          <w14:ligatures w14:val="standardContextual"/>
        </w:rPr>
        <w:t>n</w:t>
      </w:r>
      <w:r w:rsidRPr="007C5A6E">
        <w:rPr>
          <w:rFonts w:ascii="Times New Roman" w:eastAsiaTheme="minorHAnsi" w:hAnsi="Times New Roman"/>
          <w:kern w:val="2"/>
          <w:sz w:val="24"/>
          <w:szCs w:val="24"/>
          <w:lang w:eastAsia="en-US"/>
          <w14:ligatures w14:val="standardContextual"/>
        </w:rPr>
        <w:t>ées de la station synoptique de Ouagadougou-aéroport servent de référence à la caractérisation de cette zone.</w:t>
      </w:r>
    </w:p>
    <w:p w14:paraId="3A4D8AB6" w14:textId="77777777" w:rsidR="00392DB7" w:rsidRPr="007C5A6E" w:rsidRDefault="00392DB7" w:rsidP="00392DB7">
      <w:pPr>
        <w:pStyle w:val="Lgende"/>
        <w:spacing w:after="0"/>
        <w:rPr>
          <w:rFonts w:ascii="Times New Roman" w:eastAsiaTheme="minorHAnsi" w:hAnsi="Times New Roman"/>
          <w:sz w:val="24"/>
          <w:szCs w:val="24"/>
          <w:lang w:eastAsia="en-US"/>
        </w:rPr>
      </w:pPr>
    </w:p>
    <w:p w14:paraId="6E6ED67E" w14:textId="1F4C4BDB" w:rsidR="00BA530C" w:rsidRPr="007C5A6E" w:rsidRDefault="00392DB7" w:rsidP="00392DB7">
      <w:pPr>
        <w:pStyle w:val="Lgende"/>
        <w:spacing w:after="0"/>
        <w:rPr>
          <w:rFonts w:ascii="Times New Roman" w:eastAsiaTheme="minorHAnsi" w:hAnsi="Times New Roman"/>
          <w:i w:val="0"/>
          <w:iCs w:val="0"/>
          <w:color w:val="auto"/>
          <w:sz w:val="24"/>
          <w:szCs w:val="24"/>
          <w:lang w:eastAsia="en-US"/>
        </w:rPr>
      </w:pPr>
      <w:bookmarkStart w:id="40" w:name="_Toc183240965"/>
      <w:bookmarkStart w:id="41" w:name="_Toc183292207"/>
      <w:bookmarkStart w:id="42" w:name="_Toc183340487"/>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6514BA" w:rsidRPr="007C5A6E">
        <w:rPr>
          <w:rFonts w:ascii="Times New Roman" w:hAnsi="Times New Roman"/>
          <w:i w:val="0"/>
          <w:iCs w:val="0"/>
          <w:noProof/>
          <w:color w:val="auto"/>
          <w:sz w:val="24"/>
          <w:szCs w:val="24"/>
        </w:rPr>
        <w:t>3</w:t>
      </w:r>
      <w:r w:rsidRPr="007C5A6E">
        <w:rPr>
          <w:rFonts w:ascii="Times New Roman" w:hAnsi="Times New Roman"/>
          <w:i w:val="0"/>
          <w:iCs w:val="0"/>
          <w:color w:val="auto"/>
          <w:sz w:val="24"/>
          <w:szCs w:val="24"/>
        </w:rPr>
        <w:fldChar w:fldCharType="end"/>
      </w:r>
      <w:r w:rsidR="005C3DFD" w:rsidRPr="007C5A6E">
        <w:rPr>
          <w:rFonts w:ascii="Times New Roman" w:hAnsi="Times New Roman"/>
          <w:i w:val="0"/>
          <w:iCs w:val="0"/>
          <w:color w:val="auto"/>
          <w:sz w:val="24"/>
          <w:szCs w:val="24"/>
        </w:rPr>
        <w:t xml:space="preserve"> </w:t>
      </w:r>
      <w:r w:rsidR="00BA530C" w:rsidRPr="007C5A6E">
        <w:rPr>
          <w:rFonts w:ascii="Times New Roman" w:eastAsiaTheme="minorHAnsi" w:hAnsi="Times New Roman"/>
          <w:i w:val="0"/>
          <w:iCs w:val="0"/>
          <w:color w:val="auto"/>
          <w:sz w:val="24"/>
          <w:szCs w:val="24"/>
          <w:lang w:eastAsia="en-US"/>
        </w:rPr>
        <w:t>: Caractéristiques de la zone soudano-sahélienne</w:t>
      </w:r>
      <w:bookmarkEnd w:id="40"/>
      <w:bookmarkEnd w:id="41"/>
      <w:bookmarkEnd w:id="42"/>
    </w:p>
    <w:p w14:paraId="38BAC543" w14:textId="77777777" w:rsidR="00392DB7" w:rsidRPr="007C5A6E" w:rsidRDefault="00392DB7" w:rsidP="00392DB7">
      <w:pPr>
        <w:spacing w:after="0" w:line="240" w:lineRule="auto"/>
        <w:jc w:val="both"/>
        <w:rPr>
          <w:rFonts w:ascii="Times New Roman" w:eastAsiaTheme="minorHAnsi" w:hAnsi="Times New Roman"/>
          <w:sz w:val="24"/>
          <w:szCs w:val="24"/>
          <w:lang w:eastAsia="en-US"/>
        </w:rPr>
      </w:pPr>
    </w:p>
    <w:tbl>
      <w:tblPr>
        <w:tblStyle w:val="Grilledutableau"/>
        <w:tblW w:w="5000" w:type="pct"/>
        <w:jc w:val="center"/>
        <w:tblLook w:val="04A0" w:firstRow="1" w:lastRow="0" w:firstColumn="1" w:lastColumn="0" w:noHBand="0" w:noVBand="1"/>
      </w:tblPr>
      <w:tblGrid>
        <w:gridCol w:w="6063"/>
        <w:gridCol w:w="3112"/>
      </w:tblGrid>
      <w:tr w:rsidR="00BA530C" w:rsidRPr="007C5A6E" w14:paraId="44E9CEE2" w14:textId="77777777" w:rsidTr="00457BED">
        <w:trPr>
          <w:jc w:val="center"/>
        </w:trPr>
        <w:tc>
          <w:tcPr>
            <w:tcW w:w="3304" w:type="pct"/>
            <w:hideMark/>
          </w:tcPr>
          <w:p w14:paraId="2D2795B6"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 xml:space="preserve">Pluviométrie annuelle moyenne </w:t>
            </w:r>
          </w:p>
        </w:tc>
        <w:tc>
          <w:tcPr>
            <w:tcW w:w="1696" w:type="pct"/>
            <w:hideMark/>
          </w:tcPr>
          <w:p w14:paraId="62A73D5C"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900 à 600 mm</w:t>
            </w:r>
          </w:p>
        </w:tc>
      </w:tr>
      <w:tr w:rsidR="00BA530C" w:rsidRPr="007C5A6E" w14:paraId="48FA8801" w14:textId="77777777" w:rsidTr="00457BED">
        <w:trPr>
          <w:jc w:val="center"/>
        </w:trPr>
        <w:tc>
          <w:tcPr>
            <w:tcW w:w="3304" w:type="pct"/>
            <w:hideMark/>
          </w:tcPr>
          <w:p w14:paraId="58B2937C"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Durée de la saison des pluies</w:t>
            </w:r>
          </w:p>
        </w:tc>
        <w:tc>
          <w:tcPr>
            <w:tcW w:w="1696" w:type="pct"/>
            <w:hideMark/>
          </w:tcPr>
          <w:p w14:paraId="55D0DEA7"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≈150 jours</w:t>
            </w:r>
          </w:p>
        </w:tc>
      </w:tr>
      <w:tr w:rsidR="00BA530C" w:rsidRPr="007C5A6E" w14:paraId="3343B032" w14:textId="77777777" w:rsidTr="00457BED">
        <w:trPr>
          <w:jc w:val="center"/>
        </w:trPr>
        <w:tc>
          <w:tcPr>
            <w:tcW w:w="3304" w:type="pct"/>
            <w:hideMark/>
          </w:tcPr>
          <w:p w14:paraId="4E407850"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Nombre de jours de pluie par an</w:t>
            </w:r>
          </w:p>
        </w:tc>
        <w:tc>
          <w:tcPr>
            <w:tcW w:w="1696" w:type="pct"/>
            <w:hideMark/>
          </w:tcPr>
          <w:p w14:paraId="1A5468C3"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50-70 jours</w:t>
            </w:r>
          </w:p>
        </w:tc>
      </w:tr>
      <w:tr w:rsidR="00BA530C" w:rsidRPr="007C5A6E" w14:paraId="70BCCE07" w14:textId="77777777" w:rsidTr="00457BED">
        <w:trPr>
          <w:jc w:val="center"/>
        </w:trPr>
        <w:tc>
          <w:tcPr>
            <w:tcW w:w="3304" w:type="pct"/>
            <w:hideMark/>
          </w:tcPr>
          <w:p w14:paraId="46CB4036"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Température moyenne annuelle</w:t>
            </w:r>
          </w:p>
        </w:tc>
        <w:tc>
          <w:tcPr>
            <w:tcW w:w="1696" w:type="pct"/>
            <w:hideMark/>
          </w:tcPr>
          <w:p w14:paraId="7E6B2D7B"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≈28°C</w:t>
            </w:r>
          </w:p>
        </w:tc>
      </w:tr>
      <w:tr w:rsidR="00BA530C" w:rsidRPr="007C5A6E" w14:paraId="66DA756B" w14:textId="77777777" w:rsidTr="00457BED">
        <w:trPr>
          <w:jc w:val="center"/>
        </w:trPr>
        <w:tc>
          <w:tcPr>
            <w:tcW w:w="3304" w:type="pct"/>
            <w:hideMark/>
          </w:tcPr>
          <w:p w14:paraId="1638D69C"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Amplitude saisonnière des températures</w:t>
            </w:r>
          </w:p>
        </w:tc>
        <w:tc>
          <w:tcPr>
            <w:tcW w:w="1696" w:type="pct"/>
            <w:hideMark/>
          </w:tcPr>
          <w:p w14:paraId="1D8DE016"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8°C</w:t>
            </w:r>
          </w:p>
        </w:tc>
      </w:tr>
      <w:tr w:rsidR="00BA530C" w:rsidRPr="007C5A6E" w14:paraId="0946A45C" w14:textId="77777777" w:rsidTr="00457BED">
        <w:trPr>
          <w:jc w:val="center"/>
        </w:trPr>
        <w:tc>
          <w:tcPr>
            <w:tcW w:w="3304" w:type="pct"/>
            <w:hideMark/>
          </w:tcPr>
          <w:p w14:paraId="65D78A5F"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Humidité de l'air Saison sèche/Saison humide</w:t>
            </w:r>
          </w:p>
        </w:tc>
        <w:tc>
          <w:tcPr>
            <w:tcW w:w="1696" w:type="pct"/>
            <w:hideMark/>
          </w:tcPr>
          <w:p w14:paraId="18E44C0F"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23%/75%</w:t>
            </w:r>
          </w:p>
        </w:tc>
      </w:tr>
      <w:tr w:rsidR="00BA530C" w:rsidRPr="007C5A6E" w14:paraId="3CCFC84C" w14:textId="77777777" w:rsidTr="00457BED">
        <w:trPr>
          <w:jc w:val="center"/>
        </w:trPr>
        <w:tc>
          <w:tcPr>
            <w:tcW w:w="3304" w:type="pct"/>
            <w:hideMark/>
          </w:tcPr>
          <w:p w14:paraId="761C06C8"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Évaporation annuelle moyenne</w:t>
            </w:r>
          </w:p>
        </w:tc>
        <w:tc>
          <w:tcPr>
            <w:tcW w:w="1696" w:type="pct"/>
            <w:hideMark/>
          </w:tcPr>
          <w:p w14:paraId="2C3D0AB0"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1 900 - 2 100 mm</w:t>
            </w:r>
          </w:p>
        </w:tc>
      </w:tr>
      <w:tr w:rsidR="00BA530C" w:rsidRPr="007C5A6E" w14:paraId="097389C5" w14:textId="77777777" w:rsidTr="00457BED">
        <w:trPr>
          <w:jc w:val="center"/>
        </w:trPr>
        <w:tc>
          <w:tcPr>
            <w:tcW w:w="3304" w:type="pct"/>
            <w:hideMark/>
          </w:tcPr>
          <w:p w14:paraId="0A43D498"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Évaporation annuelle (bac classe A)</w:t>
            </w:r>
          </w:p>
        </w:tc>
        <w:tc>
          <w:tcPr>
            <w:tcW w:w="1696" w:type="pct"/>
            <w:hideMark/>
          </w:tcPr>
          <w:p w14:paraId="673F7B8C" w14:textId="77777777" w:rsidR="00BA530C" w:rsidRPr="007C5A6E" w:rsidRDefault="00BA530C" w:rsidP="00BA530C">
            <w:pPr>
              <w:spacing w:after="0" w:line="240" w:lineRule="auto"/>
              <w:jc w:val="both"/>
              <w:rPr>
                <w:rFonts w:ascii="Times New Roman" w:hAnsi="Times New Roman"/>
              </w:rPr>
            </w:pPr>
            <w:r w:rsidRPr="007C5A6E">
              <w:rPr>
                <w:rFonts w:ascii="Times New Roman" w:hAnsi="Times New Roman"/>
              </w:rPr>
              <w:t>2 600 - 2 900 mm</w:t>
            </w:r>
          </w:p>
        </w:tc>
      </w:tr>
    </w:tbl>
    <w:p w14:paraId="3079113A" w14:textId="77777777" w:rsidR="00BA530C" w:rsidRPr="007C5A6E" w:rsidRDefault="00BA530C" w:rsidP="00BA530C">
      <w:pPr>
        <w:spacing w:after="0" w:line="240" w:lineRule="auto"/>
        <w:rPr>
          <w:rFonts w:ascii="Times New Roman" w:eastAsiaTheme="minorHAnsi" w:hAnsi="Times New Roman"/>
          <w:sz w:val="20"/>
          <w:szCs w:val="20"/>
          <w:lang w:eastAsia="en-US"/>
        </w:rPr>
      </w:pPr>
      <w:r w:rsidRPr="007C5A6E">
        <w:rPr>
          <w:rFonts w:ascii="Times New Roman" w:eastAsiaTheme="minorHAnsi" w:hAnsi="Times New Roman"/>
          <w:sz w:val="20"/>
          <w:szCs w:val="20"/>
          <w:lang w:eastAsia="en-US"/>
        </w:rPr>
        <w:t xml:space="preserve">Source : </w:t>
      </w:r>
      <w:hyperlink r:id="rId18" w:history="1">
        <w:r w:rsidRPr="007C5A6E">
          <w:rPr>
            <w:rFonts w:ascii="Times New Roman" w:eastAsiaTheme="minorHAnsi" w:hAnsi="Times New Roman"/>
            <w:color w:val="0000FF"/>
            <w:sz w:val="20"/>
            <w:szCs w:val="20"/>
            <w:u w:val="single"/>
            <w:lang w:eastAsia="en-US"/>
          </w:rPr>
          <w:t>http://www.fao.org</w:t>
        </w:r>
      </w:hyperlink>
      <w:r w:rsidRPr="007C5A6E">
        <w:rPr>
          <w:rFonts w:ascii="Times New Roman" w:eastAsiaTheme="minorHAnsi" w:hAnsi="Times New Roman"/>
          <w:sz w:val="20"/>
          <w:szCs w:val="20"/>
          <w:lang w:eastAsia="en-US"/>
        </w:rPr>
        <w:t xml:space="preserve"> (consulté en janvier 2012) et </w:t>
      </w:r>
      <w:r w:rsidRPr="007C5A6E">
        <w:rPr>
          <w:rFonts w:ascii="Times New Roman" w:eastAsiaTheme="minorHAnsi" w:hAnsi="Times New Roman"/>
          <w:noProof/>
          <w:sz w:val="20"/>
          <w:szCs w:val="20"/>
          <w:lang w:eastAsia="en-US"/>
        </w:rPr>
        <w:t>MECV/SP/CONEDD, 2007</w:t>
      </w:r>
    </w:p>
    <w:p w14:paraId="1010CAAB" w14:textId="77777777" w:rsidR="00995549" w:rsidRPr="007C5A6E" w:rsidRDefault="00995549" w:rsidP="00431FF2">
      <w:pPr>
        <w:spacing w:after="0" w:line="240" w:lineRule="auto"/>
        <w:rPr>
          <w:rFonts w:ascii="Times New Roman" w:hAnsi="Times New Roman"/>
          <w:sz w:val="24"/>
          <w:szCs w:val="24"/>
        </w:rPr>
      </w:pPr>
    </w:p>
    <w:p w14:paraId="2CE239AB" w14:textId="77777777" w:rsidR="00392DB7" w:rsidRPr="007C5A6E" w:rsidRDefault="00392DB7" w:rsidP="00684FF8">
      <w:pPr>
        <w:pStyle w:val="Titre4"/>
      </w:pPr>
      <w:bookmarkStart w:id="43" w:name="_Toc182582635"/>
      <w:bookmarkStart w:id="44" w:name="_Toc183340011"/>
      <w:r w:rsidRPr="007C5A6E">
        <w:t>La zone soudanienne</w:t>
      </w:r>
      <w:bookmarkEnd w:id="43"/>
      <w:bookmarkEnd w:id="44"/>
    </w:p>
    <w:p w14:paraId="2DA875E6" w14:textId="77777777" w:rsidR="00392DB7" w:rsidRPr="007C5A6E" w:rsidRDefault="00392DB7" w:rsidP="00392DB7">
      <w:pPr>
        <w:spacing w:after="0" w:line="240" w:lineRule="auto"/>
        <w:jc w:val="both"/>
        <w:rPr>
          <w:rFonts w:ascii="Times New Roman" w:eastAsiaTheme="minorHAnsi" w:hAnsi="Times New Roman" w:cstheme="minorBidi"/>
          <w:kern w:val="2"/>
          <w:sz w:val="24"/>
          <w:lang w:eastAsia="en-US"/>
          <w14:ligatures w14:val="standardContextual"/>
        </w:rPr>
      </w:pPr>
    </w:p>
    <w:p w14:paraId="7DCB2764" w14:textId="0B767AA2" w:rsidR="00392DB7" w:rsidRPr="007C5A6E" w:rsidRDefault="00392DB7" w:rsidP="002D1A73">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La zone soudanienne est située au sud du parallèle 11°30'N, avec une pluviométrie annuelle moyenne supérieure à 900mm et représente environ 25 % du territoire, soit 68 500 km</w:t>
      </w:r>
      <w:r w:rsidRPr="007C5A6E">
        <w:rPr>
          <w:rFonts w:ascii="Times New Roman" w:eastAsiaTheme="minorHAnsi" w:hAnsi="Times New Roman" w:cstheme="minorBidi"/>
          <w:kern w:val="2"/>
          <w:sz w:val="24"/>
          <w:vertAlign w:val="superscript"/>
          <w:lang w:eastAsia="en-US"/>
          <w14:ligatures w14:val="standardContextual"/>
        </w:rPr>
        <w:t>2</w:t>
      </w:r>
      <w:r w:rsidRPr="007C5A6E">
        <w:rPr>
          <w:rFonts w:ascii="Times New Roman" w:eastAsiaTheme="minorHAnsi" w:hAnsi="Times New Roman" w:cstheme="minorBidi"/>
          <w:kern w:val="2"/>
          <w:sz w:val="24"/>
          <w:lang w:eastAsia="en-US"/>
          <w14:ligatures w14:val="standardContextual"/>
        </w:rPr>
        <w:t xml:space="preserve">. Les caractéristiques principales sont données par le tableau </w:t>
      </w:r>
      <w:r w:rsidR="00C50C3E" w:rsidRPr="007C5A6E">
        <w:rPr>
          <w:rFonts w:ascii="Times New Roman" w:eastAsiaTheme="minorHAnsi" w:hAnsi="Times New Roman" w:cstheme="minorBidi"/>
          <w:kern w:val="2"/>
          <w:sz w:val="24"/>
          <w:lang w:eastAsia="en-US"/>
          <w14:ligatures w14:val="standardContextual"/>
        </w:rPr>
        <w:t>4</w:t>
      </w:r>
      <w:r w:rsidRPr="007C5A6E">
        <w:rPr>
          <w:rFonts w:ascii="Times New Roman" w:eastAsiaTheme="minorHAnsi" w:hAnsi="Times New Roman" w:cstheme="minorBidi"/>
          <w:kern w:val="2"/>
          <w:sz w:val="24"/>
          <w:lang w:eastAsia="en-US"/>
          <w14:ligatures w14:val="standardContextual"/>
        </w:rPr>
        <w:t>. Ces données sont relevées à la station synoptique de Bobo-Dioulasso.</w:t>
      </w:r>
    </w:p>
    <w:p w14:paraId="75B31219" w14:textId="77777777" w:rsidR="00392DB7" w:rsidRPr="007C5A6E" w:rsidRDefault="00392DB7" w:rsidP="002D1A73">
      <w:pPr>
        <w:spacing w:after="0" w:line="240" w:lineRule="auto"/>
        <w:rPr>
          <w:rFonts w:ascii="Times New Roman" w:eastAsiaTheme="minorHAnsi" w:hAnsi="Times New Roman"/>
          <w:kern w:val="2"/>
          <w:sz w:val="24"/>
          <w:lang w:eastAsia="en-US"/>
          <w14:ligatures w14:val="standardContextual"/>
        </w:rPr>
      </w:pPr>
    </w:p>
    <w:p w14:paraId="71CA4323" w14:textId="3DDF47D2" w:rsidR="00392DB7" w:rsidRPr="007C5A6E" w:rsidRDefault="002D1A73" w:rsidP="002D1A73">
      <w:pPr>
        <w:pStyle w:val="Lgende"/>
        <w:spacing w:after="0"/>
        <w:rPr>
          <w:rFonts w:ascii="Times New Roman" w:hAnsi="Times New Roman"/>
          <w:i w:val="0"/>
          <w:iCs w:val="0"/>
          <w:color w:val="auto"/>
          <w:sz w:val="24"/>
          <w:szCs w:val="24"/>
        </w:rPr>
      </w:pPr>
      <w:bookmarkStart w:id="45" w:name="_Toc464469622"/>
      <w:bookmarkStart w:id="46" w:name="_Toc183240966"/>
      <w:bookmarkStart w:id="47" w:name="_Toc183292208"/>
      <w:bookmarkStart w:id="48" w:name="_Toc183340488"/>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3162F8" w:rsidRPr="007C5A6E">
        <w:rPr>
          <w:rFonts w:ascii="Times New Roman" w:hAnsi="Times New Roman"/>
          <w:i w:val="0"/>
          <w:iCs w:val="0"/>
          <w:noProof/>
          <w:color w:val="auto"/>
          <w:sz w:val="24"/>
          <w:szCs w:val="24"/>
        </w:rPr>
        <w:t>4</w:t>
      </w:r>
      <w:r w:rsidRPr="007C5A6E">
        <w:rPr>
          <w:rFonts w:ascii="Times New Roman" w:hAnsi="Times New Roman"/>
          <w:i w:val="0"/>
          <w:iCs w:val="0"/>
          <w:color w:val="auto"/>
          <w:sz w:val="24"/>
          <w:szCs w:val="24"/>
        </w:rPr>
        <w:fldChar w:fldCharType="end"/>
      </w:r>
      <w:r w:rsidR="005C3DFD" w:rsidRPr="007C5A6E">
        <w:rPr>
          <w:rFonts w:ascii="Times New Roman" w:hAnsi="Times New Roman"/>
          <w:i w:val="0"/>
          <w:iCs w:val="0"/>
          <w:color w:val="auto"/>
          <w:sz w:val="24"/>
          <w:szCs w:val="24"/>
        </w:rPr>
        <w:t xml:space="preserve"> </w:t>
      </w:r>
      <w:r w:rsidR="00392DB7" w:rsidRPr="007C5A6E">
        <w:rPr>
          <w:rFonts w:ascii="Times New Roman" w:hAnsi="Times New Roman"/>
          <w:i w:val="0"/>
          <w:iCs w:val="0"/>
          <w:color w:val="auto"/>
          <w:sz w:val="24"/>
          <w:szCs w:val="24"/>
        </w:rPr>
        <w:t>: Caractéristiques de la zone soudanienne</w:t>
      </w:r>
      <w:bookmarkEnd w:id="45"/>
      <w:bookmarkEnd w:id="46"/>
      <w:bookmarkEnd w:id="47"/>
      <w:bookmarkEnd w:id="48"/>
    </w:p>
    <w:p w14:paraId="5B02C564" w14:textId="77777777" w:rsidR="002D1A73" w:rsidRPr="007C5A6E" w:rsidRDefault="002D1A73" w:rsidP="002D1A73">
      <w:pPr>
        <w:spacing w:after="0" w:line="240" w:lineRule="auto"/>
      </w:pPr>
    </w:p>
    <w:tbl>
      <w:tblPr>
        <w:tblStyle w:val="Grilledutableau"/>
        <w:tblW w:w="5000" w:type="pct"/>
        <w:jc w:val="center"/>
        <w:tblLook w:val="04A0" w:firstRow="1" w:lastRow="0" w:firstColumn="1" w:lastColumn="0" w:noHBand="0" w:noVBand="1"/>
      </w:tblPr>
      <w:tblGrid>
        <w:gridCol w:w="6476"/>
        <w:gridCol w:w="2699"/>
      </w:tblGrid>
      <w:tr w:rsidR="00392DB7" w:rsidRPr="007C5A6E" w14:paraId="4B644B3C" w14:textId="77777777" w:rsidTr="00457BED">
        <w:trPr>
          <w:jc w:val="center"/>
        </w:trPr>
        <w:tc>
          <w:tcPr>
            <w:tcW w:w="3529" w:type="pct"/>
            <w:hideMark/>
          </w:tcPr>
          <w:p w14:paraId="777E91DE" w14:textId="77777777" w:rsidR="00392DB7" w:rsidRPr="007C5A6E" w:rsidRDefault="00392DB7" w:rsidP="00392DB7">
            <w:pPr>
              <w:spacing w:after="0" w:line="240" w:lineRule="auto"/>
              <w:rPr>
                <w:rFonts w:ascii="Times New Roman" w:hAnsi="Times New Roman"/>
              </w:rPr>
            </w:pPr>
            <w:r w:rsidRPr="007C5A6E">
              <w:rPr>
                <w:rFonts w:ascii="Times New Roman" w:hAnsi="Times New Roman"/>
              </w:rPr>
              <w:t>Pluviométrie annuelle moyenne</w:t>
            </w:r>
          </w:p>
        </w:tc>
        <w:tc>
          <w:tcPr>
            <w:tcW w:w="1471" w:type="pct"/>
            <w:hideMark/>
          </w:tcPr>
          <w:p w14:paraId="4DAEF11A" w14:textId="77777777" w:rsidR="00392DB7" w:rsidRPr="007C5A6E" w:rsidRDefault="00392DB7" w:rsidP="00392DB7">
            <w:pPr>
              <w:spacing w:after="0" w:line="240" w:lineRule="auto"/>
              <w:rPr>
                <w:rFonts w:ascii="Times New Roman" w:hAnsi="Times New Roman"/>
              </w:rPr>
            </w:pPr>
            <w:r w:rsidRPr="007C5A6E">
              <w:rPr>
                <w:rFonts w:ascii="Times New Roman" w:hAnsi="Times New Roman"/>
              </w:rPr>
              <w:t>900 à 1200 mm</w:t>
            </w:r>
          </w:p>
        </w:tc>
      </w:tr>
      <w:tr w:rsidR="00392DB7" w:rsidRPr="007C5A6E" w14:paraId="48BA5E30" w14:textId="77777777" w:rsidTr="00457BED">
        <w:trPr>
          <w:jc w:val="center"/>
        </w:trPr>
        <w:tc>
          <w:tcPr>
            <w:tcW w:w="3529" w:type="pct"/>
            <w:hideMark/>
          </w:tcPr>
          <w:p w14:paraId="61A72000" w14:textId="77777777" w:rsidR="00392DB7" w:rsidRPr="007C5A6E" w:rsidRDefault="00392DB7" w:rsidP="00392DB7">
            <w:pPr>
              <w:spacing w:after="0" w:line="240" w:lineRule="auto"/>
              <w:rPr>
                <w:rFonts w:ascii="Times New Roman" w:hAnsi="Times New Roman"/>
              </w:rPr>
            </w:pPr>
            <w:r w:rsidRPr="007C5A6E">
              <w:rPr>
                <w:rFonts w:ascii="Times New Roman" w:hAnsi="Times New Roman"/>
              </w:rPr>
              <w:t>Durée de la saison des pluies</w:t>
            </w:r>
          </w:p>
        </w:tc>
        <w:tc>
          <w:tcPr>
            <w:tcW w:w="1471" w:type="pct"/>
            <w:hideMark/>
          </w:tcPr>
          <w:p w14:paraId="63838CB8" w14:textId="77777777" w:rsidR="00392DB7" w:rsidRPr="007C5A6E" w:rsidRDefault="00392DB7" w:rsidP="00392DB7">
            <w:pPr>
              <w:spacing w:after="0" w:line="240" w:lineRule="auto"/>
              <w:rPr>
                <w:rFonts w:ascii="Times New Roman" w:hAnsi="Times New Roman"/>
              </w:rPr>
            </w:pPr>
            <w:r w:rsidRPr="007C5A6E">
              <w:rPr>
                <w:rFonts w:ascii="Times New Roman" w:hAnsi="Times New Roman"/>
              </w:rPr>
              <w:t>180-200 jours</w:t>
            </w:r>
          </w:p>
        </w:tc>
      </w:tr>
      <w:tr w:rsidR="00392DB7" w:rsidRPr="007C5A6E" w14:paraId="19644937" w14:textId="77777777" w:rsidTr="00457BED">
        <w:trPr>
          <w:jc w:val="center"/>
        </w:trPr>
        <w:tc>
          <w:tcPr>
            <w:tcW w:w="3529" w:type="pct"/>
            <w:hideMark/>
          </w:tcPr>
          <w:p w14:paraId="30BC2E21" w14:textId="77777777" w:rsidR="00392DB7" w:rsidRPr="007C5A6E" w:rsidRDefault="00392DB7" w:rsidP="00392DB7">
            <w:pPr>
              <w:spacing w:after="0" w:line="240" w:lineRule="auto"/>
              <w:rPr>
                <w:rFonts w:ascii="Times New Roman" w:hAnsi="Times New Roman"/>
              </w:rPr>
            </w:pPr>
            <w:r w:rsidRPr="007C5A6E">
              <w:rPr>
                <w:rFonts w:ascii="Times New Roman" w:hAnsi="Times New Roman"/>
              </w:rPr>
              <w:t>Nombre de jours de pluie par an</w:t>
            </w:r>
          </w:p>
        </w:tc>
        <w:tc>
          <w:tcPr>
            <w:tcW w:w="1471" w:type="pct"/>
            <w:hideMark/>
          </w:tcPr>
          <w:p w14:paraId="3E4287E6" w14:textId="77777777" w:rsidR="00392DB7" w:rsidRPr="007C5A6E" w:rsidRDefault="00392DB7" w:rsidP="00392DB7">
            <w:pPr>
              <w:spacing w:after="0" w:line="240" w:lineRule="auto"/>
              <w:rPr>
                <w:rFonts w:ascii="Times New Roman" w:hAnsi="Times New Roman"/>
              </w:rPr>
            </w:pPr>
            <w:r w:rsidRPr="007C5A6E">
              <w:rPr>
                <w:rFonts w:ascii="Times New Roman" w:hAnsi="Times New Roman"/>
              </w:rPr>
              <w:t>85-100 jours</w:t>
            </w:r>
          </w:p>
        </w:tc>
      </w:tr>
      <w:tr w:rsidR="00392DB7" w:rsidRPr="007C5A6E" w14:paraId="5440BDAA" w14:textId="77777777" w:rsidTr="00457BED">
        <w:trPr>
          <w:jc w:val="center"/>
        </w:trPr>
        <w:tc>
          <w:tcPr>
            <w:tcW w:w="3529" w:type="pct"/>
            <w:hideMark/>
          </w:tcPr>
          <w:p w14:paraId="37598179" w14:textId="77777777" w:rsidR="00392DB7" w:rsidRPr="007C5A6E" w:rsidRDefault="00392DB7" w:rsidP="00392DB7">
            <w:pPr>
              <w:spacing w:after="0" w:line="240" w:lineRule="auto"/>
              <w:rPr>
                <w:rFonts w:ascii="Times New Roman" w:hAnsi="Times New Roman"/>
              </w:rPr>
            </w:pPr>
            <w:r w:rsidRPr="007C5A6E">
              <w:rPr>
                <w:rFonts w:ascii="Times New Roman" w:hAnsi="Times New Roman"/>
              </w:rPr>
              <w:t xml:space="preserve">Température moyenne annuelle </w:t>
            </w:r>
          </w:p>
        </w:tc>
        <w:tc>
          <w:tcPr>
            <w:tcW w:w="1471" w:type="pct"/>
            <w:hideMark/>
          </w:tcPr>
          <w:p w14:paraId="7FC8C529" w14:textId="77777777" w:rsidR="00392DB7" w:rsidRPr="007C5A6E" w:rsidRDefault="00392DB7" w:rsidP="00392DB7">
            <w:pPr>
              <w:spacing w:after="0" w:line="240" w:lineRule="auto"/>
              <w:rPr>
                <w:rFonts w:ascii="Times New Roman" w:hAnsi="Times New Roman"/>
              </w:rPr>
            </w:pPr>
            <w:r w:rsidRPr="007C5A6E">
              <w:rPr>
                <w:rFonts w:ascii="Times New Roman" w:hAnsi="Times New Roman"/>
              </w:rPr>
              <w:t>≈27°C</w:t>
            </w:r>
          </w:p>
        </w:tc>
      </w:tr>
      <w:tr w:rsidR="00392DB7" w:rsidRPr="007C5A6E" w14:paraId="196AF692" w14:textId="77777777" w:rsidTr="00457BED">
        <w:trPr>
          <w:jc w:val="center"/>
        </w:trPr>
        <w:tc>
          <w:tcPr>
            <w:tcW w:w="3529" w:type="pct"/>
            <w:hideMark/>
          </w:tcPr>
          <w:p w14:paraId="52B901B1" w14:textId="77777777" w:rsidR="00392DB7" w:rsidRPr="007C5A6E" w:rsidRDefault="00392DB7" w:rsidP="00392DB7">
            <w:pPr>
              <w:spacing w:after="0" w:line="240" w:lineRule="auto"/>
              <w:rPr>
                <w:rFonts w:ascii="Times New Roman" w:hAnsi="Times New Roman"/>
              </w:rPr>
            </w:pPr>
            <w:r w:rsidRPr="007C5A6E">
              <w:rPr>
                <w:rFonts w:ascii="Times New Roman" w:hAnsi="Times New Roman"/>
              </w:rPr>
              <w:t>Amplitude saisonnière des températures</w:t>
            </w:r>
          </w:p>
        </w:tc>
        <w:tc>
          <w:tcPr>
            <w:tcW w:w="1471" w:type="pct"/>
            <w:hideMark/>
          </w:tcPr>
          <w:p w14:paraId="1E82C276" w14:textId="77777777" w:rsidR="00392DB7" w:rsidRPr="007C5A6E" w:rsidRDefault="00392DB7" w:rsidP="00392DB7">
            <w:pPr>
              <w:spacing w:after="0" w:line="240" w:lineRule="auto"/>
              <w:rPr>
                <w:rFonts w:ascii="Times New Roman" w:hAnsi="Times New Roman"/>
              </w:rPr>
            </w:pPr>
            <w:r w:rsidRPr="007C5A6E">
              <w:rPr>
                <w:rFonts w:ascii="Times New Roman" w:hAnsi="Times New Roman"/>
              </w:rPr>
              <w:t>5°C</w:t>
            </w:r>
          </w:p>
        </w:tc>
      </w:tr>
      <w:tr w:rsidR="00392DB7" w:rsidRPr="007C5A6E" w14:paraId="1045F04A" w14:textId="77777777" w:rsidTr="00457BED">
        <w:trPr>
          <w:jc w:val="center"/>
        </w:trPr>
        <w:tc>
          <w:tcPr>
            <w:tcW w:w="3529" w:type="pct"/>
            <w:hideMark/>
          </w:tcPr>
          <w:p w14:paraId="37820061" w14:textId="77777777" w:rsidR="00392DB7" w:rsidRPr="007C5A6E" w:rsidRDefault="00392DB7" w:rsidP="00392DB7">
            <w:pPr>
              <w:spacing w:after="0" w:line="240" w:lineRule="auto"/>
              <w:rPr>
                <w:rFonts w:ascii="Times New Roman" w:hAnsi="Times New Roman"/>
              </w:rPr>
            </w:pPr>
            <w:r w:rsidRPr="007C5A6E">
              <w:rPr>
                <w:rFonts w:ascii="Times New Roman" w:hAnsi="Times New Roman"/>
              </w:rPr>
              <w:t>Humidité de l'air Saison sèche / Saison humide</w:t>
            </w:r>
          </w:p>
        </w:tc>
        <w:tc>
          <w:tcPr>
            <w:tcW w:w="1471" w:type="pct"/>
            <w:hideMark/>
          </w:tcPr>
          <w:p w14:paraId="11554BB4" w14:textId="77777777" w:rsidR="00392DB7" w:rsidRPr="007C5A6E" w:rsidRDefault="00392DB7" w:rsidP="00392DB7">
            <w:pPr>
              <w:spacing w:after="0" w:line="240" w:lineRule="auto"/>
              <w:rPr>
                <w:rFonts w:ascii="Times New Roman" w:hAnsi="Times New Roman"/>
              </w:rPr>
            </w:pPr>
            <w:r w:rsidRPr="007C5A6E">
              <w:rPr>
                <w:rFonts w:ascii="Times New Roman" w:hAnsi="Times New Roman"/>
              </w:rPr>
              <w:t>25% / 85%</w:t>
            </w:r>
          </w:p>
        </w:tc>
      </w:tr>
      <w:tr w:rsidR="00392DB7" w:rsidRPr="007C5A6E" w14:paraId="5A60C2E6" w14:textId="77777777" w:rsidTr="00457BED">
        <w:trPr>
          <w:jc w:val="center"/>
        </w:trPr>
        <w:tc>
          <w:tcPr>
            <w:tcW w:w="3529" w:type="pct"/>
            <w:hideMark/>
          </w:tcPr>
          <w:p w14:paraId="66200DB0" w14:textId="77777777" w:rsidR="00392DB7" w:rsidRPr="007C5A6E" w:rsidRDefault="00392DB7" w:rsidP="00392DB7">
            <w:pPr>
              <w:spacing w:after="0" w:line="240" w:lineRule="auto"/>
              <w:rPr>
                <w:rFonts w:ascii="Times New Roman" w:hAnsi="Times New Roman"/>
              </w:rPr>
            </w:pPr>
            <w:r w:rsidRPr="007C5A6E">
              <w:rPr>
                <w:rFonts w:ascii="Times New Roman" w:hAnsi="Times New Roman"/>
              </w:rPr>
              <w:t>Évaporation moyenne annuelle</w:t>
            </w:r>
          </w:p>
        </w:tc>
        <w:tc>
          <w:tcPr>
            <w:tcW w:w="1471" w:type="pct"/>
            <w:hideMark/>
          </w:tcPr>
          <w:p w14:paraId="76BA0BBA" w14:textId="77777777" w:rsidR="00392DB7" w:rsidRPr="007C5A6E" w:rsidRDefault="00392DB7" w:rsidP="00392DB7">
            <w:pPr>
              <w:spacing w:after="0" w:line="240" w:lineRule="auto"/>
              <w:rPr>
                <w:rFonts w:ascii="Times New Roman" w:hAnsi="Times New Roman"/>
              </w:rPr>
            </w:pPr>
            <w:r w:rsidRPr="007C5A6E">
              <w:rPr>
                <w:rFonts w:ascii="Times New Roman" w:hAnsi="Times New Roman"/>
              </w:rPr>
              <w:t>1 500-1 700 mm</w:t>
            </w:r>
          </w:p>
        </w:tc>
      </w:tr>
      <w:tr w:rsidR="00392DB7" w:rsidRPr="007C5A6E" w14:paraId="50B023EE" w14:textId="77777777" w:rsidTr="00457BED">
        <w:trPr>
          <w:jc w:val="center"/>
        </w:trPr>
        <w:tc>
          <w:tcPr>
            <w:tcW w:w="3529" w:type="pct"/>
            <w:hideMark/>
          </w:tcPr>
          <w:p w14:paraId="4D21D3C9" w14:textId="77777777" w:rsidR="00392DB7" w:rsidRPr="007C5A6E" w:rsidRDefault="00392DB7" w:rsidP="00392DB7">
            <w:pPr>
              <w:spacing w:after="0" w:line="240" w:lineRule="auto"/>
              <w:rPr>
                <w:rFonts w:ascii="Times New Roman" w:hAnsi="Times New Roman"/>
              </w:rPr>
            </w:pPr>
            <w:r w:rsidRPr="007C5A6E">
              <w:rPr>
                <w:rFonts w:ascii="Times New Roman" w:hAnsi="Times New Roman"/>
              </w:rPr>
              <w:t>Évaporation annuelle (bac classe A)</w:t>
            </w:r>
          </w:p>
        </w:tc>
        <w:tc>
          <w:tcPr>
            <w:tcW w:w="1471" w:type="pct"/>
            <w:hideMark/>
          </w:tcPr>
          <w:p w14:paraId="25C6A4E1" w14:textId="77777777" w:rsidR="00392DB7" w:rsidRPr="007C5A6E" w:rsidRDefault="00392DB7" w:rsidP="00392DB7">
            <w:pPr>
              <w:spacing w:after="0" w:line="240" w:lineRule="auto"/>
              <w:rPr>
                <w:rFonts w:ascii="Times New Roman" w:hAnsi="Times New Roman"/>
              </w:rPr>
            </w:pPr>
            <w:r w:rsidRPr="007C5A6E">
              <w:rPr>
                <w:rFonts w:ascii="Times New Roman" w:hAnsi="Times New Roman"/>
              </w:rPr>
              <w:t>1 800-2 000 mm</w:t>
            </w:r>
          </w:p>
        </w:tc>
      </w:tr>
    </w:tbl>
    <w:p w14:paraId="105F3349" w14:textId="77777777" w:rsidR="00392DB7" w:rsidRPr="007C5A6E" w:rsidRDefault="00392DB7" w:rsidP="00392DB7">
      <w:pPr>
        <w:spacing w:after="0" w:line="240" w:lineRule="auto"/>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eastAsia="en-US"/>
          <w14:ligatures w14:val="standardContextual"/>
        </w:rPr>
        <w:t xml:space="preserve">Source : </w:t>
      </w:r>
      <w:hyperlink r:id="rId19" w:history="1">
        <w:r w:rsidRPr="007C5A6E">
          <w:rPr>
            <w:rFonts w:ascii="Times New Roman" w:eastAsiaTheme="minorHAnsi" w:hAnsi="Times New Roman"/>
            <w:color w:val="0000FF"/>
            <w:kern w:val="2"/>
            <w:sz w:val="20"/>
            <w:szCs w:val="20"/>
            <w:u w:val="single"/>
            <w:lang w:eastAsia="en-US"/>
            <w14:ligatures w14:val="standardContextual"/>
          </w:rPr>
          <w:t>http://www.fao.org</w:t>
        </w:r>
      </w:hyperlink>
      <w:r w:rsidRPr="007C5A6E">
        <w:rPr>
          <w:rFonts w:ascii="Times New Roman" w:eastAsiaTheme="minorHAnsi" w:hAnsi="Times New Roman"/>
          <w:kern w:val="2"/>
          <w:sz w:val="20"/>
          <w:szCs w:val="20"/>
          <w:lang w:eastAsia="en-US"/>
          <w14:ligatures w14:val="standardContextual"/>
        </w:rPr>
        <w:t xml:space="preserve"> (consulté en janvier 2012) et </w:t>
      </w:r>
      <w:r w:rsidRPr="007C5A6E">
        <w:rPr>
          <w:rFonts w:ascii="Times New Roman" w:eastAsiaTheme="minorHAnsi" w:hAnsi="Times New Roman"/>
          <w:noProof/>
          <w:kern w:val="2"/>
          <w:sz w:val="20"/>
          <w:szCs w:val="20"/>
          <w:lang w:eastAsia="en-US"/>
          <w14:ligatures w14:val="standardContextual"/>
        </w:rPr>
        <w:t>MECV/SP/CONEDD, 2007</w:t>
      </w:r>
    </w:p>
    <w:p w14:paraId="2766B308" w14:textId="77777777" w:rsidR="00392DB7" w:rsidRPr="007C5A6E" w:rsidRDefault="00392DB7" w:rsidP="002D1A73">
      <w:pPr>
        <w:spacing w:after="0" w:line="240" w:lineRule="auto"/>
        <w:rPr>
          <w:rFonts w:ascii="Times New Roman" w:eastAsiaTheme="minorHAnsi" w:hAnsi="Times New Roman"/>
          <w:kern w:val="2"/>
          <w:sz w:val="24"/>
          <w:lang w:eastAsia="en-US"/>
          <w14:ligatures w14:val="standardContextual"/>
        </w:rPr>
      </w:pPr>
    </w:p>
    <w:p w14:paraId="29EF0669" w14:textId="77777777" w:rsidR="00392DB7" w:rsidRPr="007C5A6E" w:rsidRDefault="00392DB7" w:rsidP="00704956">
      <w:pPr>
        <w:pStyle w:val="Titre3"/>
      </w:pPr>
      <w:bookmarkStart w:id="49" w:name="_Toc182582636"/>
      <w:bookmarkStart w:id="50" w:name="_Toc183340012"/>
      <w:r w:rsidRPr="007C5A6E">
        <w:t>Variables climatiques critiques pour l’économie</w:t>
      </w:r>
      <w:bookmarkEnd w:id="49"/>
      <w:bookmarkEnd w:id="50"/>
    </w:p>
    <w:p w14:paraId="51D5AF14"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 xml:space="preserve"> </w:t>
      </w:r>
    </w:p>
    <w:p w14:paraId="0DAA704E" w14:textId="77777777" w:rsidR="00392DB7" w:rsidRPr="007C5A6E" w:rsidRDefault="00392DB7" w:rsidP="00684FF8">
      <w:pPr>
        <w:pStyle w:val="Titre4"/>
      </w:pPr>
      <w:bookmarkStart w:id="51" w:name="_Toc182582637"/>
      <w:bookmarkStart w:id="52" w:name="_Toc183340013"/>
      <w:r w:rsidRPr="007C5A6E">
        <w:t>La pluviométrie</w:t>
      </w:r>
      <w:bookmarkEnd w:id="51"/>
      <w:bookmarkEnd w:id="52"/>
    </w:p>
    <w:p w14:paraId="5EA3123D"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p>
    <w:p w14:paraId="30FF86F4" w14:textId="7C9E9013" w:rsidR="00392DB7" w:rsidRPr="007C5A6E" w:rsidRDefault="00392DB7" w:rsidP="006514BA">
      <w:pPr>
        <w:pStyle w:val="Titre5"/>
        <w:numPr>
          <w:ilvl w:val="4"/>
          <w:numId w:val="4"/>
        </w:numPr>
        <w:ind w:left="907" w:hanging="907"/>
        <w:jc w:val="both"/>
        <w:rPr>
          <w:rFonts w:ascii="Times New Roman" w:hAnsi="Times New Roman" w:cs="Times New Roman"/>
          <w:color w:val="auto"/>
          <w:u w:val="single"/>
          <w:lang w:eastAsia="en-US"/>
        </w:rPr>
      </w:pPr>
      <w:r w:rsidRPr="007C5A6E">
        <w:rPr>
          <w:rFonts w:ascii="Times New Roman" w:hAnsi="Times New Roman" w:cs="Times New Roman"/>
          <w:color w:val="auto"/>
          <w:u w:val="single"/>
          <w:lang w:eastAsia="en-US"/>
        </w:rPr>
        <w:t xml:space="preserve"> </w:t>
      </w:r>
      <w:bookmarkStart w:id="53" w:name="_Toc183340014"/>
      <w:r w:rsidRPr="007C5A6E">
        <w:rPr>
          <w:rFonts w:ascii="Times New Roman" w:hAnsi="Times New Roman" w:cs="Times New Roman"/>
          <w:color w:val="auto"/>
          <w:u w:val="single"/>
          <w:lang w:eastAsia="en-US"/>
        </w:rPr>
        <w:t>La pluie annuelle</w:t>
      </w:r>
      <w:bookmarkEnd w:id="53"/>
    </w:p>
    <w:p w14:paraId="66048A67" w14:textId="2869914C"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C’est le cumul des pluies tombées en un an, exprimé en millimètres (mm) de hauteur. Elle permet l’alimentation des nappes souterraines et d</w:t>
      </w:r>
      <w:r w:rsidR="00E7332D" w:rsidRPr="007C5A6E">
        <w:rPr>
          <w:rFonts w:ascii="Times New Roman" w:eastAsiaTheme="minorHAnsi" w:hAnsi="Times New Roman" w:cstheme="minorBidi"/>
          <w:kern w:val="2"/>
          <w:sz w:val="24"/>
          <w:lang w:eastAsia="en-US"/>
          <w14:ligatures w14:val="standardContextual"/>
        </w:rPr>
        <w:t>’</w:t>
      </w:r>
      <w:r w:rsidRPr="007C5A6E">
        <w:rPr>
          <w:rFonts w:ascii="Times New Roman" w:eastAsiaTheme="minorHAnsi" w:hAnsi="Times New Roman" w:cstheme="minorBidi"/>
          <w:kern w:val="2"/>
          <w:sz w:val="24"/>
          <w:lang w:eastAsia="en-US"/>
          <w14:ligatures w14:val="standardContextual"/>
        </w:rPr>
        <w:t>eaux de surface, apporte l’humidité nécessaire à la croissance des plantes. Son insuffisance compromet les rendements agricoles, l’abreuvement du cheptel et la production d’énergie électrique.</w:t>
      </w:r>
    </w:p>
    <w:p w14:paraId="573E80C3"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p>
    <w:p w14:paraId="13DE8F89" w14:textId="77777777" w:rsidR="00392DB7" w:rsidRPr="007C5A6E" w:rsidRDefault="00392DB7" w:rsidP="006514BA">
      <w:pPr>
        <w:pStyle w:val="Titre5"/>
        <w:numPr>
          <w:ilvl w:val="4"/>
          <w:numId w:val="4"/>
        </w:numPr>
        <w:ind w:left="907" w:hanging="907"/>
        <w:jc w:val="both"/>
        <w:rPr>
          <w:rFonts w:ascii="Times New Roman" w:hAnsi="Times New Roman" w:cs="Times New Roman"/>
          <w:color w:val="auto"/>
          <w:u w:val="single"/>
          <w:lang w:eastAsia="en-US"/>
        </w:rPr>
      </w:pPr>
      <w:r w:rsidRPr="007C5A6E">
        <w:rPr>
          <w:rFonts w:ascii="Times New Roman" w:hAnsi="Times New Roman" w:cs="Times New Roman"/>
          <w:color w:val="auto"/>
          <w:u w:val="single"/>
          <w:lang w:eastAsia="en-US"/>
        </w:rPr>
        <w:t xml:space="preserve"> </w:t>
      </w:r>
      <w:bookmarkStart w:id="54" w:name="_Toc183340015"/>
      <w:r w:rsidRPr="007C5A6E">
        <w:rPr>
          <w:rFonts w:ascii="Times New Roman" w:hAnsi="Times New Roman" w:cs="Times New Roman"/>
          <w:color w:val="auto"/>
          <w:u w:val="single"/>
          <w:lang w:eastAsia="en-US"/>
        </w:rPr>
        <w:t>Le nombre total annuel de jours de pluie</w:t>
      </w:r>
      <w:bookmarkEnd w:id="54"/>
    </w:p>
    <w:p w14:paraId="0024CE16"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Une pluie journalière d’au moins 1 mm est comptabilisée comme jour de pluie.</w:t>
      </w:r>
    </w:p>
    <w:p w14:paraId="1F02E07C"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Il rend compte de la plus ou moins bonne régularité de la distribution de la pluie annuelle pendant la saison humide. C’est aussi un indicateur de l’efficacité de la pluie annuelle.</w:t>
      </w:r>
    </w:p>
    <w:p w14:paraId="4C6ABB41"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p>
    <w:p w14:paraId="359E9C68" w14:textId="77777777" w:rsidR="00392DB7" w:rsidRPr="007C5A6E" w:rsidRDefault="00392DB7" w:rsidP="006514BA">
      <w:pPr>
        <w:pStyle w:val="Titre5"/>
        <w:numPr>
          <w:ilvl w:val="4"/>
          <w:numId w:val="4"/>
        </w:numPr>
        <w:ind w:left="907" w:hanging="907"/>
        <w:jc w:val="both"/>
        <w:rPr>
          <w:rFonts w:ascii="Times New Roman" w:hAnsi="Times New Roman" w:cs="Times New Roman"/>
          <w:color w:val="auto"/>
          <w:u w:val="single"/>
          <w:lang w:eastAsia="en-US"/>
        </w:rPr>
      </w:pPr>
      <w:r w:rsidRPr="007C5A6E">
        <w:rPr>
          <w:rFonts w:ascii="Times New Roman" w:hAnsi="Times New Roman" w:cs="Times New Roman"/>
          <w:color w:val="auto"/>
          <w:u w:val="single"/>
          <w:lang w:eastAsia="en-US"/>
        </w:rPr>
        <w:t xml:space="preserve"> </w:t>
      </w:r>
      <w:bookmarkStart w:id="55" w:name="_Toc183340016"/>
      <w:r w:rsidRPr="007C5A6E">
        <w:rPr>
          <w:rFonts w:ascii="Times New Roman" w:hAnsi="Times New Roman" w:cs="Times New Roman"/>
          <w:color w:val="auto"/>
          <w:u w:val="single"/>
          <w:lang w:eastAsia="en-US"/>
        </w:rPr>
        <w:t>Le nombre de jours de pluie &gt; 10 mm</w:t>
      </w:r>
      <w:bookmarkEnd w:id="55"/>
    </w:p>
    <w:p w14:paraId="43B2F3EB"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Ces pluies imprègnent efficacement le sol. Plus il y en a, moins il y a de risques de stress hydrique pour les cultures et plus il y a de chances de remplir rapidement les retenues d’eau.</w:t>
      </w:r>
    </w:p>
    <w:p w14:paraId="17D2A500" w14:textId="77777777" w:rsidR="002D1A73" w:rsidRPr="007C5A6E" w:rsidRDefault="002D1A73" w:rsidP="006514BA">
      <w:pPr>
        <w:spacing w:after="0" w:line="240" w:lineRule="auto"/>
        <w:jc w:val="both"/>
        <w:rPr>
          <w:rFonts w:ascii="Times New Roman" w:eastAsiaTheme="minorHAnsi" w:hAnsi="Times New Roman" w:cstheme="minorBidi"/>
          <w:kern w:val="2"/>
          <w:sz w:val="24"/>
          <w:lang w:eastAsia="en-US"/>
          <w14:ligatures w14:val="standardContextual"/>
        </w:rPr>
      </w:pPr>
    </w:p>
    <w:p w14:paraId="43444747" w14:textId="77777777" w:rsidR="00392DB7" w:rsidRPr="007C5A6E" w:rsidRDefault="00392DB7" w:rsidP="006514BA">
      <w:pPr>
        <w:pStyle w:val="Titre5"/>
        <w:numPr>
          <w:ilvl w:val="4"/>
          <w:numId w:val="4"/>
        </w:numPr>
        <w:ind w:left="907" w:hanging="907"/>
        <w:jc w:val="both"/>
        <w:rPr>
          <w:rFonts w:ascii="Times New Roman" w:hAnsi="Times New Roman" w:cs="Times New Roman"/>
          <w:color w:val="auto"/>
          <w:u w:val="single"/>
          <w:lang w:eastAsia="en-US"/>
        </w:rPr>
      </w:pPr>
      <w:r w:rsidRPr="007C5A6E">
        <w:rPr>
          <w:rFonts w:ascii="Times New Roman" w:hAnsi="Times New Roman" w:cs="Times New Roman"/>
          <w:color w:val="auto"/>
          <w:u w:val="single"/>
          <w:lang w:eastAsia="en-US"/>
        </w:rPr>
        <w:t xml:space="preserve"> </w:t>
      </w:r>
      <w:bookmarkStart w:id="56" w:name="_Toc183340017"/>
      <w:r w:rsidRPr="007C5A6E">
        <w:rPr>
          <w:rFonts w:ascii="Times New Roman" w:hAnsi="Times New Roman" w:cs="Times New Roman"/>
          <w:color w:val="auto"/>
          <w:u w:val="single"/>
          <w:lang w:eastAsia="en-US"/>
        </w:rPr>
        <w:t>Le nombre de jours de pluie &gt;50 mm</w:t>
      </w:r>
      <w:bookmarkEnd w:id="56"/>
    </w:p>
    <w:p w14:paraId="1FBE31FC"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Il s’agit de fortes pluies, dont la multiplication des ruissellements peut causer le lessivage des sols. Elles sont souvent de forte intensité, peuvent noyer de jeunes plants et perturber la formation ou la persistance des fleurs ou des graines. Elles participent à la dégradation des infrastructures.</w:t>
      </w:r>
    </w:p>
    <w:p w14:paraId="5E9056D4"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p>
    <w:p w14:paraId="625FEB64" w14:textId="77777777" w:rsidR="00392DB7" w:rsidRPr="007C5A6E" w:rsidRDefault="00392DB7" w:rsidP="006514BA">
      <w:pPr>
        <w:pStyle w:val="Titre5"/>
        <w:numPr>
          <w:ilvl w:val="4"/>
          <w:numId w:val="4"/>
        </w:numPr>
        <w:ind w:left="907" w:hanging="907"/>
        <w:jc w:val="both"/>
        <w:rPr>
          <w:rFonts w:ascii="Times New Roman" w:hAnsi="Times New Roman" w:cs="Times New Roman"/>
          <w:color w:val="auto"/>
          <w:u w:val="single"/>
          <w:lang w:eastAsia="en-US"/>
        </w:rPr>
      </w:pPr>
      <w:r w:rsidRPr="007C5A6E">
        <w:rPr>
          <w:rFonts w:ascii="Times New Roman" w:hAnsi="Times New Roman" w:cs="Times New Roman"/>
          <w:color w:val="auto"/>
          <w:u w:val="single"/>
          <w:lang w:eastAsia="en-US"/>
        </w:rPr>
        <w:t xml:space="preserve"> </w:t>
      </w:r>
      <w:bookmarkStart w:id="57" w:name="_Toc183340018"/>
      <w:r w:rsidRPr="007C5A6E">
        <w:rPr>
          <w:rFonts w:ascii="Times New Roman" w:hAnsi="Times New Roman" w:cs="Times New Roman"/>
          <w:color w:val="auto"/>
          <w:u w:val="single"/>
          <w:lang w:eastAsia="en-US"/>
        </w:rPr>
        <w:t>Le début de la saison humide</w:t>
      </w:r>
      <w:bookmarkEnd w:id="57"/>
    </w:p>
    <w:p w14:paraId="78E7E29C" w14:textId="699F260C" w:rsidR="00392DB7" w:rsidRPr="007C5A6E" w:rsidRDefault="002D1A73" w:rsidP="006514B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C’est la</w:t>
      </w:r>
      <w:r w:rsidR="00392DB7" w:rsidRPr="007C5A6E">
        <w:rPr>
          <w:rFonts w:ascii="Times New Roman" w:eastAsiaTheme="minorHAnsi" w:hAnsi="Times New Roman" w:cstheme="minorBidi"/>
          <w:kern w:val="2"/>
          <w:sz w:val="24"/>
          <w:lang w:eastAsia="en-US"/>
          <w14:ligatures w14:val="standardContextual"/>
        </w:rPr>
        <w:t xml:space="preserve"> date</w:t>
      </w:r>
      <w:r w:rsidRPr="007C5A6E">
        <w:rPr>
          <w:rFonts w:ascii="Times New Roman" w:eastAsiaTheme="minorHAnsi" w:hAnsi="Times New Roman" w:cstheme="minorBidi"/>
          <w:kern w:val="2"/>
          <w:sz w:val="24"/>
          <w:lang w:eastAsia="en-US"/>
          <w14:ligatures w14:val="standardContextual"/>
        </w:rPr>
        <w:t>,</w:t>
      </w:r>
      <w:r w:rsidR="00392DB7" w:rsidRPr="007C5A6E">
        <w:rPr>
          <w:rFonts w:ascii="Times New Roman" w:eastAsiaTheme="minorHAnsi" w:hAnsi="Times New Roman" w:cstheme="minorBidi"/>
          <w:kern w:val="2"/>
          <w:sz w:val="24"/>
          <w:lang w:eastAsia="en-US"/>
          <w14:ligatures w14:val="standardContextual"/>
        </w:rPr>
        <w:t xml:space="preserve"> après le 1</w:t>
      </w:r>
      <w:r w:rsidR="00392DB7" w:rsidRPr="007C5A6E">
        <w:rPr>
          <w:rFonts w:ascii="Times New Roman" w:eastAsiaTheme="minorHAnsi" w:hAnsi="Times New Roman" w:cstheme="minorBidi"/>
          <w:kern w:val="2"/>
          <w:sz w:val="24"/>
          <w:vertAlign w:val="superscript"/>
          <w:lang w:eastAsia="en-US"/>
          <w14:ligatures w14:val="standardContextual"/>
        </w:rPr>
        <w:t>er</w:t>
      </w:r>
      <w:r w:rsidR="00392DB7" w:rsidRPr="007C5A6E">
        <w:rPr>
          <w:rFonts w:ascii="Times New Roman" w:eastAsiaTheme="minorHAnsi" w:hAnsi="Times New Roman" w:cstheme="minorBidi"/>
          <w:kern w:val="2"/>
          <w:sz w:val="24"/>
          <w:lang w:eastAsia="en-US"/>
          <w14:ligatures w14:val="standardContextual"/>
        </w:rPr>
        <w:t xml:space="preserve"> Avril, à partir de laquelle un cumul pluviométrique d’</w:t>
      </w:r>
      <w:r w:rsidR="00392DB7" w:rsidRPr="007C5A6E">
        <w:rPr>
          <w:rFonts w:ascii="Times New Roman" w:eastAsiaTheme="minorHAnsi" w:hAnsi="Times New Roman" w:cstheme="minorBidi"/>
          <w:i/>
          <w:kern w:val="2"/>
          <w:sz w:val="24"/>
          <w:lang w:eastAsia="en-US"/>
          <w14:ligatures w14:val="standardContextual"/>
        </w:rPr>
        <w:t>au moins 20 mm est enregistré pendant 01 à 03 jours consécutifs</w:t>
      </w:r>
      <w:r w:rsidR="00392DB7" w:rsidRPr="007C5A6E">
        <w:rPr>
          <w:rFonts w:ascii="Times New Roman" w:eastAsiaTheme="minorHAnsi" w:hAnsi="Times New Roman" w:cstheme="minorBidi"/>
          <w:kern w:val="2"/>
          <w:sz w:val="24"/>
          <w:lang w:eastAsia="en-US"/>
          <w14:ligatures w14:val="standardContextual"/>
        </w:rPr>
        <w:t xml:space="preserve"> et sans épisode sec excédant </w:t>
      </w:r>
      <w:r w:rsidR="00392DB7" w:rsidRPr="007C5A6E">
        <w:rPr>
          <w:rFonts w:ascii="Times New Roman" w:eastAsiaTheme="minorHAnsi" w:hAnsi="Times New Roman" w:cstheme="minorBidi"/>
          <w:b/>
          <w:iCs/>
          <w:kern w:val="2"/>
          <w:sz w:val="24"/>
          <w:lang w:eastAsia="en-US"/>
          <w14:ligatures w14:val="standardContextual"/>
        </w:rPr>
        <w:t>14</w:t>
      </w:r>
      <w:r w:rsidR="00392DB7" w:rsidRPr="007C5A6E">
        <w:rPr>
          <w:rFonts w:ascii="Times New Roman" w:eastAsiaTheme="minorHAnsi" w:hAnsi="Times New Roman" w:cstheme="minorBidi"/>
          <w:i/>
          <w:kern w:val="2"/>
          <w:sz w:val="24"/>
          <w:lang w:eastAsia="en-US"/>
          <w14:ligatures w14:val="standardContextual"/>
        </w:rPr>
        <w:t xml:space="preserve"> jours pendant les 30 jours qui suivent</w:t>
      </w:r>
      <w:r w:rsidR="00392DB7" w:rsidRPr="007C5A6E">
        <w:rPr>
          <w:rFonts w:ascii="Times New Roman" w:eastAsiaTheme="minorHAnsi" w:hAnsi="Times New Roman" w:cstheme="minorBidi"/>
          <w:kern w:val="2"/>
          <w:sz w:val="24"/>
          <w:lang w:eastAsia="en-US"/>
          <w14:ligatures w14:val="standardContextual"/>
        </w:rPr>
        <w:t>.</w:t>
      </w:r>
    </w:p>
    <w:p w14:paraId="72ED6B36" w14:textId="34F85C12" w:rsidR="00392DB7" w:rsidRPr="007C5A6E" w:rsidRDefault="002D1A73" w:rsidP="006514B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La date de début de la saison humide est i</w:t>
      </w:r>
      <w:r w:rsidR="00392DB7" w:rsidRPr="007C5A6E">
        <w:rPr>
          <w:rFonts w:ascii="Times New Roman" w:eastAsiaTheme="minorHAnsi" w:hAnsi="Times New Roman" w:cstheme="minorBidi"/>
          <w:kern w:val="2"/>
          <w:sz w:val="24"/>
          <w:lang w:eastAsia="en-US"/>
          <w14:ligatures w14:val="standardContextual"/>
        </w:rPr>
        <w:t>mportant</w:t>
      </w:r>
      <w:r w:rsidRPr="007C5A6E">
        <w:rPr>
          <w:rFonts w:ascii="Times New Roman" w:eastAsiaTheme="minorHAnsi" w:hAnsi="Times New Roman" w:cstheme="minorBidi"/>
          <w:kern w:val="2"/>
          <w:sz w:val="24"/>
          <w:lang w:eastAsia="en-US"/>
          <w14:ligatures w14:val="standardContextual"/>
        </w:rPr>
        <w:t>e</w:t>
      </w:r>
      <w:r w:rsidR="00392DB7" w:rsidRPr="007C5A6E">
        <w:rPr>
          <w:rFonts w:ascii="Times New Roman" w:eastAsiaTheme="minorHAnsi" w:hAnsi="Times New Roman" w:cstheme="minorBidi"/>
          <w:kern w:val="2"/>
          <w:sz w:val="24"/>
          <w:lang w:eastAsia="en-US"/>
          <w14:ligatures w14:val="standardContextual"/>
        </w:rPr>
        <w:t xml:space="preserve"> pour les cycles végétatifs des </w:t>
      </w:r>
      <w:r w:rsidRPr="007C5A6E">
        <w:rPr>
          <w:rFonts w:ascii="Times New Roman" w:eastAsiaTheme="minorHAnsi" w:hAnsi="Times New Roman" w:cstheme="minorBidi"/>
          <w:kern w:val="2"/>
          <w:sz w:val="24"/>
          <w:lang w:eastAsia="en-US"/>
          <w14:ligatures w14:val="standardContextual"/>
        </w:rPr>
        <w:t>cultures annuelles</w:t>
      </w:r>
      <w:r w:rsidR="00392DB7" w:rsidRPr="007C5A6E">
        <w:rPr>
          <w:rFonts w:ascii="Times New Roman" w:eastAsiaTheme="minorHAnsi" w:hAnsi="Times New Roman" w:cstheme="minorBidi"/>
          <w:kern w:val="2"/>
          <w:sz w:val="24"/>
          <w:lang w:eastAsia="en-US"/>
          <w14:ligatures w14:val="standardContextual"/>
        </w:rPr>
        <w:t xml:space="preserve">. Un retard influe sur le choix des spéculations à </w:t>
      </w:r>
      <w:r w:rsidRPr="007C5A6E">
        <w:rPr>
          <w:rFonts w:ascii="Times New Roman" w:eastAsiaTheme="minorHAnsi" w:hAnsi="Times New Roman" w:cstheme="minorBidi"/>
          <w:kern w:val="2"/>
          <w:sz w:val="24"/>
          <w:lang w:eastAsia="en-US"/>
          <w14:ligatures w14:val="standardContextual"/>
        </w:rPr>
        <w:t>cultiver</w:t>
      </w:r>
      <w:r w:rsidR="00392DB7" w:rsidRPr="007C5A6E">
        <w:rPr>
          <w:rFonts w:ascii="Times New Roman" w:eastAsiaTheme="minorHAnsi" w:hAnsi="Times New Roman" w:cstheme="minorBidi"/>
          <w:kern w:val="2"/>
          <w:sz w:val="24"/>
          <w:lang w:eastAsia="en-US"/>
          <w14:ligatures w14:val="standardContextual"/>
        </w:rPr>
        <w:t>.</w:t>
      </w:r>
    </w:p>
    <w:p w14:paraId="1936F03A"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p>
    <w:p w14:paraId="6BAAB36A" w14:textId="77777777" w:rsidR="00392DB7" w:rsidRPr="007C5A6E" w:rsidRDefault="00392DB7" w:rsidP="006514BA">
      <w:pPr>
        <w:pStyle w:val="Titre5"/>
        <w:numPr>
          <w:ilvl w:val="4"/>
          <w:numId w:val="4"/>
        </w:numPr>
        <w:ind w:left="907" w:hanging="907"/>
        <w:jc w:val="both"/>
        <w:rPr>
          <w:rFonts w:ascii="Times New Roman" w:hAnsi="Times New Roman" w:cs="Times New Roman"/>
          <w:color w:val="auto"/>
          <w:u w:val="single"/>
          <w:lang w:eastAsia="en-US"/>
        </w:rPr>
      </w:pPr>
      <w:r w:rsidRPr="007C5A6E">
        <w:rPr>
          <w:rFonts w:ascii="Times New Roman" w:hAnsi="Times New Roman" w:cs="Times New Roman"/>
          <w:color w:val="auto"/>
          <w:u w:val="single"/>
          <w:lang w:eastAsia="en-US"/>
        </w:rPr>
        <w:t xml:space="preserve"> </w:t>
      </w:r>
      <w:bookmarkStart w:id="58" w:name="_Toc183340019"/>
      <w:r w:rsidRPr="007C5A6E">
        <w:rPr>
          <w:rFonts w:ascii="Times New Roman" w:hAnsi="Times New Roman" w:cs="Times New Roman"/>
          <w:color w:val="auto"/>
          <w:u w:val="single"/>
          <w:lang w:eastAsia="en-US"/>
        </w:rPr>
        <w:t>La fin de la saison humide</w:t>
      </w:r>
      <w:bookmarkEnd w:id="58"/>
    </w:p>
    <w:p w14:paraId="5834F5E6" w14:textId="3CC9B97A"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 xml:space="preserve">Définition : date </w:t>
      </w:r>
      <w:r w:rsidRPr="007C5A6E">
        <w:rPr>
          <w:rFonts w:ascii="Times New Roman" w:eastAsiaTheme="minorHAnsi" w:hAnsi="Times New Roman" w:cstheme="minorBidi"/>
          <w:i/>
          <w:kern w:val="2"/>
          <w:sz w:val="24"/>
          <w:lang w:eastAsia="en-US"/>
          <w14:ligatures w14:val="standardContextual"/>
        </w:rPr>
        <w:t xml:space="preserve">après </w:t>
      </w:r>
      <w:r w:rsidRPr="007C5A6E">
        <w:rPr>
          <w:rFonts w:ascii="Times New Roman" w:eastAsiaTheme="minorHAnsi" w:hAnsi="Times New Roman" w:cstheme="minorBidi"/>
          <w:b/>
          <w:i/>
          <w:kern w:val="2"/>
          <w:sz w:val="24"/>
          <w:lang w:eastAsia="en-US"/>
          <w14:ligatures w14:val="standardContextual"/>
        </w:rPr>
        <w:t>le 1</w:t>
      </w:r>
      <w:r w:rsidRPr="007C5A6E">
        <w:rPr>
          <w:rFonts w:ascii="Times New Roman" w:eastAsiaTheme="minorHAnsi" w:hAnsi="Times New Roman" w:cstheme="minorBidi"/>
          <w:b/>
          <w:i/>
          <w:kern w:val="2"/>
          <w:sz w:val="24"/>
          <w:vertAlign w:val="superscript"/>
          <w:lang w:eastAsia="en-US"/>
          <w14:ligatures w14:val="standardContextual"/>
        </w:rPr>
        <w:t xml:space="preserve">er </w:t>
      </w:r>
      <w:r w:rsidRPr="007C5A6E">
        <w:rPr>
          <w:rFonts w:ascii="Times New Roman" w:eastAsiaTheme="minorHAnsi" w:hAnsi="Times New Roman" w:cstheme="minorBidi"/>
          <w:kern w:val="2"/>
          <w:sz w:val="24"/>
          <w:lang w:eastAsia="en-US"/>
          <w14:ligatures w14:val="standardContextual"/>
        </w:rPr>
        <w:t xml:space="preserve">Septembre, quand un sol capable de contenir </w:t>
      </w:r>
      <w:r w:rsidRPr="007C5A6E">
        <w:rPr>
          <w:rFonts w:ascii="Times New Roman" w:eastAsiaTheme="minorHAnsi" w:hAnsi="Times New Roman" w:cstheme="minorBidi"/>
          <w:b/>
          <w:i/>
          <w:kern w:val="2"/>
          <w:sz w:val="24"/>
          <w:lang w:eastAsia="en-US"/>
          <w14:ligatures w14:val="standardContextual"/>
        </w:rPr>
        <w:t>70 mm</w:t>
      </w:r>
      <w:r w:rsidRPr="007C5A6E">
        <w:rPr>
          <w:rFonts w:ascii="Times New Roman" w:eastAsiaTheme="minorHAnsi" w:hAnsi="Times New Roman" w:cstheme="minorBidi"/>
          <w:i/>
          <w:kern w:val="2"/>
          <w:sz w:val="24"/>
          <w:lang w:eastAsia="en-US"/>
          <w14:ligatures w14:val="standardContextual"/>
        </w:rPr>
        <w:t xml:space="preserve"> </w:t>
      </w:r>
      <w:r w:rsidRPr="007C5A6E">
        <w:rPr>
          <w:rFonts w:ascii="Times New Roman" w:eastAsiaTheme="minorHAnsi" w:hAnsi="Times New Roman" w:cstheme="minorBidi"/>
          <w:kern w:val="2"/>
          <w:sz w:val="24"/>
          <w:lang w:eastAsia="en-US"/>
          <w14:ligatures w14:val="standardContextual"/>
        </w:rPr>
        <w:t>d’eau disponible est complètement épuisé par une perte quotidienne d’évapotranspirati</w:t>
      </w:r>
      <w:r w:rsidRPr="007C5A6E">
        <w:rPr>
          <w:rFonts w:ascii="Times New Roman" w:eastAsiaTheme="minorHAnsi" w:hAnsi="Times New Roman" w:cstheme="minorBidi"/>
          <w:i/>
          <w:kern w:val="2"/>
          <w:sz w:val="24"/>
          <w:lang w:eastAsia="en-US"/>
          <w14:ligatures w14:val="standardContextual"/>
        </w:rPr>
        <w:t>o</w:t>
      </w:r>
      <w:r w:rsidRPr="007C5A6E">
        <w:rPr>
          <w:rFonts w:ascii="Times New Roman" w:eastAsiaTheme="minorHAnsi" w:hAnsi="Times New Roman" w:cstheme="minorBidi"/>
          <w:kern w:val="2"/>
          <w:sz w:val="24"/>
          <w:lang w:eastAsia="en-US"/>
          <w14:ligatures w14:val="standardContextual"/>
        </w:rPr>
        <w:t xml:space="preserve">n de </w:t>
      </w:r>
      <w:r w:rsidRPr="007C5A6E">
        <w:rPr>
          <w:rFonts w:ascii="Times New Roman" w:eastAsiaTheme="minorHAnsi" w:hAnsi="Times New Roman" w:cstheme="minorBidi"/>
          <w:b/>
          <w:i/>
          <w:kern w:val="2"/>
          <w:sz w:val="24"/>
          <w:lang w:eastAsia="en-US"/>
          <w14:ligatures w14:val="standardContextual"/>
        </w:rPr>
        <w:t xml:space="preserve">5 </w:t>
      </w:r>
      <w:proofErr w:type="spellStart"/>
      <w:r w:rsidRPr="007C5A6E">
        <w:rPr>
          <w:rFonts w:ascii="Times New Roman" w:eastAsiaTheme="minorHAnsi" w:hAnsi="Times New Roman" w:cstheme="minorBidi"/>
          <w:b/>
          <w:i/>
          <w:kern w:val="2"/>
          <w:sz w:val="24"/>
          <w:lang w:eastAsia="en-US"/>
          <w14:ligatures w14:val="standardContextual"/>
        </w:rPr>
        <w:t>mm.</w:t>
      </w:r>
      <w:proofErr w:type="spellEnd"/>
      <w:r w:rsidRPr="007C5A6E">
        <w:rPr>
          <w:rFonts w:ascii="Times New Roman" w:eastAsiaTheme="minorHAnsi" w:hAnsi="Times New Roman" w:cstheme="minorBidi"/>
          <w:b/>
          <w:i/>
          <w:kern w:val="2"/>
          <w:sz w:val="24"/>
          <w:lang w:eastAsia="en-US"/>
          <w14:ligatures w14:val="standardContextual"/>
        </w:rPr>
        <w:t xml:space="preserve"> </w:t>
      </w:r>
      <w:r w:rsidRPr="007C5A6E">
        <w:rPr>
          <w:rFonts w:ascii="Times New Roman" w:eastAsiaTheme="minorHAnsi" w:hAnsi="Times New Roman" w:cstheme="minorBidi"/>
          <w:kern w:val="2"/>
          <w:sz w:val="24"/>
          <w:lang w:eastAsia="en-US"/>
          <w14:ligatures w14:val="standardContextual"/>
        </w:rPr>
        <w:t xml:space="preserve">Retardée ou trop précoce, </w:t>
      </w:r>
      <w:r w:rsidR="00E7332D" w:rsidRPr="007C5A6E">
        <w:rPr>
          <w:rFonts w:ascii="Times New Roman" w:eastAsiaTheme="minorHAnsi" w:hAnsi="Times New Roman" w:cstheme="minorBidi"/>
          <w:kern w:val="2"/>
          <w:sz w:val="24"/>
          <w:lang w:eastAsia="en-US"/>
          <w14:ligatures w14:val="standardContextual"/>
        </w:rPr>
        <w:t xml:space="preserve">elle </w:t>
      </w:r>
      <w:r w:rsidRPr="007C5A6E">
        <w:rPr>
          <w:rFonts w:ascii="Times New Roman" w:eastAsiaTheme="minorHAnsi" w:hAnsi="Times New Roman" w:cstheme="minorBidi"/>
          <w:kern w:val="2"/>
          <w:sz w:val="24"/>
          <w:lang w:eastAsia="en-US"/>
          <w14:ligatures w14:val="standardContextual"/>
        </w:rPr>
        <w:t xml:space="preserve">peut être préjudiciable à certaines spéculations. </w:t>
      </w:r>
    </w:p>
    <w:p w14:paraId="02CA559F"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p>
    <w:p w14:paraId="274358CE" w14:textId="77777777" w:rsidR="00392DB7" w:rsidRPr="007C5A6E" w:rsidRDefault="00392DB7" w:rsidP="006514BA">
      <w:pPr>
        <w:pStyle w:val="Titre5"/>
        <w:numPr>
          <w:ilvl w:val="4"/>
          <w:numId w:val="4"/>
        </w:numPr>
        <w:ind w:left="907" w:hanging="907"/>
        <w:jc w:val="both"/>
        <w:rPr>
          <w:rFonts w:ascii="Times New Roman" w:hAnsi="Times New Roman" w:cs="Times New Roman"/>
          <w:color w:val="auto"/>
          <w:u w:val="single"/>
          <w:lang w:eastAsia="en-US"/>
        </w:rPr>
      </w:pPr>
      <w:r w:rsidRPr="007C5A6E">
        <w:rPr>
          <w:rFonts w:ascii="Times New Roman" w:hAnsi="Times New Roman" w:cs="Times New Roman"/>
          <w:color w:val="auto"/>
          <w:u w:val="single"/>
          <w:lang w:eastAsia="en-US"/>
        </w:rPr>
        <w:t xml:space="preserve"> </w:t>
      </w:r>
      <w:bookmarkStart w:id="59" w:name="_Toc183340020"/>
      <w:r w:rsidRPr="007C5A6E">
        <w:rPr>
          <w:rFonts w:ascii="Times New Roman" w:hAnsi="Times New Roman" w:cs="Times New Roman"/>
          <w:color w:val="auto"/>
          <w:u w:val="single"/>
          <w:lang w:eastAsia="en-US"/>
        </w:rPr>
        <w:t>La durée de la saison humide</w:t>
      </w:r>
      <w:bookmarkEnd w:id="59"/>
    </w:p>
    <w:p w14:paraId="27904F4C"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Elle doit être suffisante pour parachever les activités agricoles et assurer la biomasse fourragère.</w:t>
      </w:r>
    </w:p>
    <w:p w14:paraId="663EDB51"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Certaines activités s’arrêtent le temps de la saison humide ; des voies de communication sont peu praticables, certaines localités sont isolées. Les moustiques prospèrent plus longtemps. Les risques de maladies hydriques augmentent.</w:t>
      </w:r>
    </w:p>
    <w:p w14:paraId="1470A1EC"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p>
    <w:p w14:paraId="40009900" w14:textId="77777777" w:rsidR="00392DB7" w:rsidRPr="007C5A6E" w:rsidRDefault="00392DB7" w:rsidP="006514BA">
      <w:pPr>
        <w:pStyle w:val="Titre5"/>
        <w:numPr>
          <w:ilvl w:val="4"/>
          <w:numId w:val="4"/>
        </w:numPr>
        <w:ind w:left="907" w:hanging="907"/>
        <w:jc w:val="both"/>
        <w:rPr>
          <w:rFonts w:ascii="Times New Roman" w:hAnsi="Times New Roman" w:cs="Times New Roman"/>
          <w:color w:val="auto"/>
          <w:u w:val="single"/>
          <w:lang w:eastAsia="en-US"/>
        </w:rPr>
      </w:pPr>
      <w:r w:rsidRPr="007C5A6E">
        <w:rPr>
          <w:rFonts w:ascii="Times New Roman" w:hAnsi="Times New Roman" w:cs="Times New Roman"/>
          <w:color w:val="auto"/>
          <w:u w:val="single"/>
          <w:lang w:eastAsia="en-US"/>
        </w:rPr>
        <w:t xml:space="preserve"> </w:t>
      </w:r>
      <w:bookmarkStart w:id="60" w:name="_Toc183340021"/>
      <w:r w:rsidRPr="007C5A6E">
        <w:rPr>
          <w:rFonts w:ascii="Times New Roman" w:hAnsi="Times New Roman" w:cs="Times New Roman"/>
          <w:color w:val="auto"/>
          <w:u w:val="single"/>
          <w:lang w:eastAsia="en-US"/>
        </w:rPr>
        <w:t>La séquence sèche en début de saison</w:t>
      </w:r>
      <w:bookmarkEnd w:id="60"/>
    </w:p>
    <w:p w14:paraId="2F27A387"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Définition : c’est le nombre de jours secs consécutifs (pluie&lt;1mm) le plus long pendant les 50 jours après la date du début de la saison.</w:t>
      </w:r>
    </w:p>
    <w:p w14:paraId="1EB94FEE"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Elle peut entraver le cycle végétatif des cultures, et compromettre la campagne agricole, ou obliger à reprendre les semis.</w:t>
      </w:r>
    </w:p>
    <w:p w14:paraId="463C27CA"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p>
    <w:p w14:paraId="0CCF516B" w14:textId="77777777" w:rsidR="00392DB7" w:rsidRPr="007C5A6E" w:rsidRDefault="00392DB7" w:rsidP="006514BA">
      <w:pPr>
        <w:pStyle w:val="Titre5"/>
        <w:numPr>
          <w:ilvl w:val="4"/>
          <w:numId w:val="4"/>
        </w:numPr>
        <w:ind w:left="907" w:hanging="907"/>
        <w:jc w:val="both"/>
        <w:rPr>
          <w:rFonts w:ascii="Times New Roman" w:hAnsi="Times New Roman" w:cs="Times New Roman"/>
          <w:color w:val="auto"/>
          <w:u w:val="single"/>
          <w:lang w:eastAsia="en-US"/>
        </w:rPr>
      </w:pPr>
      <w:bookmarkStart w:id="61" w:name="_Toc183340022"/>
      <w:r w:rsidRPr="007C5A6E">
        <w:rPr>
          <w:rFonts w:ascii="Times New Roman" w:hAnsi="Times New Roman" w:cs="Times New Roman"/>
          <w:color w:val="auto"/>
          <w:u w:val="single"/>
          <w:lang w:eastAsia="en-US"/>
        </w:rPr>
        <w:t>Les séquences sèches en fin de saison</w:t>
      </w:r>
      <w:bookmarkEnd w:id="61"/>
    </w:p>
    <w:p w14:paraId="46509E22"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Définition : elles se calculent sur la période prenant en compte les phases critiques d’épiaison-floraison et de maturation des cultures, c’est-à-dire du 50</w:t>
      </w:r>
      <w:r w:rsidRPr="007C5A6E">
        <w:rPr>
          <w:rFonts w:ascii="Times New Roman" w:eastAsiaTheme="minorHAnsi" w:hAnsi="Times New Roman" w:cstheme="minorBidi"/>
          <w:kern w:val="2"/>
          <w:sz w:val="24"/>
          <w:vertAlign w:val="superscript"/>
          <w:lang w:eastAsia="en-US"/>
          <w14:ligatures w14:val="standardContextual"/>
        </w:rPr>
        <w:t>ème</w:t>
      </w:r>
      <w:r w:rsidRPr="007C5A6E">
        <w:rPr>
          <w:rFonts w:ascii="Times New Roman" w:eastAsiaTheme="minorHAnsi" w:hAnsi="Times New Roman" w:cstheme="minorBidi"/>
          <w:kern w:val="2"/>
          <w:sz w:val="24"/>
          <w:lang w:eastAsia="en-US"/>
          <w14:ligatures w14:val="standardContextual"/>
        </w:rPr>
        <w:t xml:space="preserve"> jour après la date calculée de début de saison jusqu’à la date de fin.</w:t>
      </w:r>
    </w:p>
    <w:p w14:paraId="1DCF4A2E"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p>
    <w:p w14:paraId="345D99A8" w14:textId="77777777" w:rsidR="00392DB7" w:rsidRPr="007C5A6E" w:rsidRDefault="00392DB7" w:rsidP="00684FF8">
      <w:pPr>
        <w:pStyle w:val="Titre4"/>
      </w:pPr>
      <w:bookmarkStart w:id="62" w:name="_Toc182582638"/>
      <w:bookmarkStart w:id="63" w:name="_Toc183340023"/>
      <w:r w:rsidRPr="007C5A6E">
        <w:t>La température</w:t>
      </w:r>
      <w:bookmarkEnd w:id="62"/>
      <w:bookmarkEnd w:id="63"/>
    </w:p>
    <w:p w14:paraId="05DC9ECC"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p>
    <w:p w14:paraId="7BC4A6A3" w14:textId="77777777" w:rsidR="00392DB7" w:rsidRPr="007C5A6E" w:rsidRDefault="00392DB7" w:rsidP="006514BA">
      <w:pPr>
        <w:pStyle w:val="Titre5"/>
        <w:numPr>
          <w:ilvl w:val="4"/>
          <w:numId w:val="4"/>
        </w:numPr>
        <w:ind w:left="907" w:hanging="907"/>
        <w:jc w:val="both"/>
        <w:rPr>
          <w:rFonts w:ascii="Times New Roman" w:hAnsi="Times New Roman" w:cs="Times New Roman"/>
          <w:color w:val="auto"/>
          <w:u w:val="single"/>
          <w:lang w:eastAsia="en-US"/>
        </w:rPr>
      </w:pPr>
      <w:bookmarkStart w:id="64" w:name="_Toc183340024"/>
      <w:r w:rsidRPr="007C5A6E">
        <w:rPr>
          <w:rFonts w:ascii="Times New Roman" w:hAnsi="Times New Roman" w:cs="Times New Roman"/>
          <w:color w:val="auto"/>
          <w:u w:val="single"/>
          <w:lang w:eastAsia="en-US"/>
        </w:rPr>
        <w:t>Les températures moyennes mensuelles</w:t>
      </w:r>
      <w:bookmarkEnd w:id="64"/>
    </w:p>
    <w:p w14:paraId="3AAFB6DD"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La température moyenne d’un mois est la moyenne des températures moyennes quotidiennes des jours de ce mois, la température moyenne quotidienne étant la demi-somme de la température maximale et de la température minimale du jour. Elle a une influence sur la floraison et la fructification des arbres.</w:t>
      </w:r>
    </w:p>
    <w:p w14:paraId="02071827"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p>
    <w:p w14:paraId="653637CE" w14:textId="77777777" w:rsidR="00392DB7" w:rsidRPr="007C5A6E" w:rsidRDefault="00392DB7" w:rsidP="006514BA">
      <w:pPr>
        <w:pStyle w:val="Titre5"/>
        <w:numPr>
          <w:ilvl w:val="4"/>
          <w:numId w:val="4"/>
        </w:numPr>
        <w:ind w:left="907" w:hanging="907"/>
        <w:jc w:val="both"/>
        <w:rPr>
          <w:rFonts w:ascii="Times New Roman" w:hAnsi="Times New Roman" w:cs="Times New Roman"/>
          <w:color w:val="auto"/>
          <w:u w:val="single"/>
          <w:lang w:eastAsia="en-US"/>
        </w:rPr>
      </w:pPr>
      <w:bookmarkStart w:id="65" w:name="_Toc183340025"/>
      <w:r w:rsidRPr="007C5A6E">
        <w:rPr>
          <w:rFonts w:ascii="Times New Roman" w:hAnsi="Times New Roman" w:cs="Times New Roman"/>
          <w:color w:val="auto"/>
          <w:u w:val="single"/>
          <w:lang w:eastAsia="en-US"/>
        </w:rPr>
        <w:t>La température moyenne annuelle</w:t>
      </w:r>
      <w:bookmarkEnd w:id="65"/>
    </w:p>
    <w:p w14:paraId="7F0636B3"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C’est la moyenne des températures moyennes des 12 mois de l’année. Elle influe sur le tarissement des réservoirs d’eau et la dépense d’énergie pour le confort thermique.</w:t>
      </w:r>
    </w:p>
    <w:p w14:paraId="2C6D6E3C"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p>
    <w:p w14:paraId="7D2ABB5A" w14:textId="77777777" w:rsidR="00392DB7" w:rsidRPr="007C5A6E" w:rsidRDefault="00392DB7" w:rsidP="006514BA">
      <w:pPr>
        <w:pStyle w:val="Titre5"/>
        <w:numPr>
          <w:ilvl w:val="4"/>
          <w:numId w:val="4"/>
        </w:numPr>
        <w:ind w:left="907" w:hanging="907"/>
        <w:jc w:val="both"/>
        <w:rPr>
          <w:rFonts w:ascii="Times New Roman" w:hAnsi="Times New Roman" w:cs="Times New Roman"/>
          <w:color w:val="auto"/>
          <w:u w:val="single"/>
          <w:lang w:eastAsia="en-US"/>
        </w:rPr>
      </w:pPr>
      <w:bookmarkStart w:id="66" w:name="_Toc183340026"/>
      <w:r w:rsidRPr="007C5A6E">
        <w:rPr>
          <w:rFonts w:ascii="Times New Roman" w:hAnsi="Times New Roman" w:cs="Times New Roman"/>
          <w:color w:val="auto"/>
          <w:u w:val="single"/>
          <w:lang w:eastAsia="en-US"/>
        </w:rPr>
        <w:t>La température minimale annuelle</w:t>
      </w:r>
      <w:bookmarkEnd w:id="66"/>
    </w:p>
    <w:p w14:paraId="36C16BAF"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C’est la moyenne des températures minimales quotidiennes de l’année.</w:t>
      </w:r>
    </w:p>
    <w:p w14:paraId="354CE620"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p>
    <w:p w14:paraId="62253363" w14:textId="77777777" w:rsidR="00392DB7" w:rsidRPr="007C5A6E" w:rsidRDefault="00392DB7" w:rsidP="006514BA">
      <w:pPr>
        <w:pStyle w:val="Titre5"/>
        <w:numPr>
          <w:ilvl w:val="4"/>
          <w:numId w:val="4"/>
        </w:numPr>
        <w:ind w:left="907" w:hanging="907"/>
        <w:jc w:val="both"/>
        <w:rPr>
          <w:rFonts w:ascii="Times New Roman" w:hAnsi="Times New Roman" w:cs="Times New Roman"/>
          <w:color w:val="auto"/>
          <w:u w:val="single"/>
          <w:lang w:eastAsia="en-US"/>
        </w:rPr>
      </w:pPr>
      <w:bookmarkStart w:id="67" w:name="_Toc183340027"/>
      <w:r w:rsidRPr="007C5A6E">
        <w:rPr>
          <w:rFonts w:ascii="Times New Roman" w:hAnsi="Times New Roman" w:cs="Times New Roman"/>
          <w:color w:val="auto"/>
          <w:u w:val="single"/>
          <w:lang w:eastAsia="en-US"/>
        </w:rPr>
        <w:t>La température maximale annuelle</w:t>
      </w:r>
      <w:bookmarkEnd w:id="67"/>
    </w:p>
    <w:p w14:paraId="268B666B"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C’est la moyenne des températures maximales quotidiennes de l’année</w:t>
      </w:r>
    </w:p>
    <w:p w14:paraId="4CE4E4B9"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p>
    <w:p w14:paraId="04275C7C" w14:textId="77777777" w:rsidR="00392DB7" w:rsidRPr="007C5A6E" w:rsidRDefault="00392DB7" w:rsidP="006514BA">
      <w:pPr>
        <w:pStyle w:val="Titre5"/>
        <w:numPr>
          <w:ilvl w:val="4"/>
          <w:numId w:val="4"/>
        </w:numPr>
        <w:ind w:left="907" w:hanging="907"/>
        <w:jc w:val="both"/>
        <w:rPr>
          <w:rFonts w:ascii="Times New Roman" w:hAnsi="Times New Roman" w:cs="Times New Roman"/>
          <w:color w:val="auto"/>
          <w:u w:val="single"/>
          <w:lang w:eastAsia="en-US"/>
        </w:rPr>
      </w:pPr>
      <w:bookmarkStart w:id="68" w:name="_Toc183340028"/>
      <w:r w:rsidRPr="007C5A6E">
        <w:rPr>
          <w:rFonts w:ascii="Times New Roman" w:hAnsi="Times New Roman" w:cs="Times New Roman"/>
          <w:color w:val="auto"/>
          <w:u w:val="single"/>
          <w:lang w:eastAsia="en-US"/>
        </w:rPr>
        <w:t>Le nombre de jours par an où la température T° &gt;= 40 °C</w:t>
      </w:r>
      <w:bookmarkEnd w:id="68"/>
    </w:p>
    <w:p w14:paraId="1103FEB7" w14:textId="77777777" w:rsidR="00392DB7" w:rsidRPr="007C5A6E" w:rsidRDefault="00392DB7" w:rsidP="006514B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C‘est un indicateur de risque de pénurie d’énergie, de vagues de chaleur préjudiciables à la santé des personnes vulnérables, de rupture de chaîne du froid, de détérioration prématurée de denrées alimentaires.</w:t>
      </w:r>
    </w:p>
    <w:p w14:paraId="3DC6908E" w14:textId="77777777" w:rsidR="002D1A73" w:rsidRPr="007C5A6E" w:rsidRDefault="002D1A73" w:rsidP="006514BA">
      <w:pPr>
        <w:spacing w:after="0" w:line="240" w:lineRule="auto"/>
        <w:jc w:val="both"/>
        <w:rPr>
          <w:rFonts w:ascii="Times New Roman" w:eastAsiaTheme="minorHAnsi" w:hAnsi="Times New Roman" w:cstheme="minorBidi"/>
          <w:kern w:val="2"/>
          <w:sz w:val="24"/>
          <w:lang w:eastAsia="en-US"/>
          <w14:ligatures w14:val="standardContextual"/>
        </w:rPr>
      </w:pPr>
    </w:p>
    <w:p w14:paraId="3FDEA477" w14:textId="77777777" w:rsidR="00392DB7" w:rsidRPr="007C5A6E" w:rsidRDefault="00392DB7" w:rsidP="006514BA">
      <w:pPr>
        <w:pStyle w:val="Titre3"/>
        <w:jc w:val="both"/>
      </w:pPr>
      <w:bookmarkStart w:id="69" w:name="_Toc182582639"/>
      <w:bookmarkStart w:id="70" w:name="_Toc183340029"/>
      <w:r w:rsidRPr="007C5A6E">
        <w:t>Évolution des variables climatiques sur la période 1990-2023</w:t>
      </w:r>
      <w:bookmarkEnd w:id="69"/>
      <w:bookmarkEnd w:id="70"/>
      <w:r w:rsidRPr="007C5A6E">
        <w:t xml:space="preserve">  </w:t>
      </w:r>
    </w:p>
    <w:p w14:paraId="5B58514E" w14:textId="77777777" w:rsidR="00392DB7" w:rsidRPr="007C5A6E" w:rsidRDefault="00392DB7" w:rsidP="002D1A73">
      <w:pPr>
        <w:spacing w:after="0" w:line="240" w:lineRule="auto"/>
        <w:rPr>
          <w:rFonts w:ascii="Times New Roman" w:eastAsiaTheme="minorHAnsi" w:hAnsi="Times New Roman" w:cstheme="minorBidi"/>
          <w:kern w:val="2"/>
          <w:sz w:val="24"/>
          <w:lang w:eastAsia="en-US"/>
          <w14:ligatures w14:val="standardContextual"/>
        </w:rPr>
      </w:pPr>
    </w:p>
    <w:p w14:paraId="36E82A3F" w14:textId="0FD29B95" w:rsidR="002D1A73" w:rsidRPr="007C5A6E" w:rsidRDefault="00392DB7" w:rsidP="00684FF8">
      <w:pPr>
        <w:pStyle w:val="Titre4"/>
      </w:pPr>
      <w:bookmarkStart w:id="71" w:name="_Toc182582640"/>
      <w:bookmarkStart w:id="72" w:name="_Toc183340030"/>
      <w:r w:rsidRPr="007C5A6E">
        <w:t>En zone sahélienne</w:t>
      </w:r>
      <w:bookmarkEnd w:id="71"/>
      <w:bookmarkEnd w:id="72"/>
    </w:p>
    <w:p w14:paraId="3941D801" w14:textId="77777777" w:rsidR="002D1A73" w:rsidRPr="007C5A6E" w:rsidRDefault="002D1A73" w:rsidP="006118F2">
      <w:pPr>
        <w:spacing w:after="0" w:line="240" w:lineRule="auto"/>
        <w:rPr>
          <w:rFonts w:ascii="Times New Roman" w:eastAsiaTheme="majorEastAsia" w:hAnsi="Times New Roman"/>
          <w:sz w:val="24"/>
          <w:szCs w:val="24"/>
          <w:lang w:eastAsia="en-US"/>
        </w:rPr>
      </w:pPr>
    </w:p>
    <w:p w14:paraId="7456173B" w14:textId="77777777" w:rsidR="00392DB7" w:rsidRPr="007C5A6E" w:rsidRDefault="00392DB7" w:rsidP="003F3821">
      <w:pPr>
        <w:pStyle w:val="Titre5"/>
        <w:numPr>
          <w:ilvl w:val="4"/>
          <w:numId w:val="4"/>
        </w:numPr>
        <w:ind w:left="907" w:hanging="907"/>
        <w:rPr>
          <w:rFonts w:ascii="Times New Roman" w:hAnsi="Times New Roman" w:cs="Times New Roman"/>
          <w:color w:val="auto"/>
          <w:u w:val="single"/>
          <w:lang w:eastAsia="en-US"/>
        </w:rPr>
      </w:pPr>
      <w:bookmarkStart w:id="73" w:name="_Toc183340031"/>
      <w:r w:rsidRPr="007C5A6E">
        <w:rPr>
          <w:rFonts w:ascii="Times New Roman" w:hAnsi="Times New Roman" w:cs="Times New Roman"/>
          <w:color w:val="auto"/>
          <w:u w:val="single"/>
          <w:lang w:eastAsia="en-US"/>
        </w:rPr>
        <w:t>La pluviométrie</w:t>
      </w:r>
      <w:bookmarkEnd w:id="73"/>
    </w:p>
    <w:p w14:paraId="2CAEBC5B" w14:textId="77777777" w:rsidR="006118F2" w:rsidRPr="007C5A6E" w:rsidRDefault="006118F2" w:rsidP="006118F2">
      <w:pPr>
        <w:spacing w:after="0" w:line="240" w:lineRule="auto"/>
        <w:rPr>
          <w:rFonts w:ascii="Times New Roman" w:eastAsiaTheme="majorEastAsia" w:hAnsi="Times New Roman"/>
          <w:sz w:val="24"/>
          <w:szCs w:val="24"/>
          <w:lang w:eastAsia="en-US"/>
        </w:rPr>
      </w:pPr>
    </w:p>
    <w:p w14:paraId="0A1F43AB" w14:textId="610C3734" w:rsidR="00352055" w:rsidRPr="007C5A6E" w:rsidRDefault="00352055" w:rsidP="00352055">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 xml:space="preserve">Le cumul annuel des pluies à Dori (figure 2(A)) présente dans la première décennie une variabilité interannuelle modérée (env. 200 mm) qui devient très forte sur 5 ans (&gt; 350 mm), redevient modérée sur une décennie, puis amorce une nouvelle phase forte. Les forts écarts interannuels sont dus à des années très humides, les années de sécheresse étant de moins en moins prononcées, de sorte qu’au final on observe sur la période une </w:t>
      </w:r>
      <w:r w:rsidRPr="007C5A6E">
        <w:rPr>
          <w:rFonts w:ascii="Times New Roman" w:eastAsiaTheme="minorHAnsi" w:hAnsi="Times New Roman" w:cstheme="minorBidi"/>
          <w:b/>
          <w:bCs/>
          <w:kern w:val="2"/>
          <w:sz w:val="24"/>
          <w:lang w:eastAsia="en-US"/>
          <w14:ligatures w14:val="standardContextual"/>
        </w:rPr>
        <w:t>nette tendance à la hausse du cumul annuel de pluie</w:t>
      </w:r>
      <w:r w:rsidRPr="007C5A6E">
        <w:rPr>
          <w:rFonts w:ascii="Times New Roman" w:eastAsiaTheme="minorHAnsi" w:hAnsi="Times New Roman" w:cstheme="minorBidi"/>
          <w:kern w:val="2"/>
          <w:sz w:val="24"/>
          <w:lang w:eastAsia="en-US"/>
          <w14:ligatures w14:val="standardContextual"/>
        </w:rPr>
        <w:t>.</w:t>
      </w:r>
    </w:p>
    <w:p w14:paraId="14BF4DFB" w14:textId="77777777" w:rsidR="00352055" w:rsidRPr="007C5A6E" w:rsidRDefault="00352055" w:rsidP="00392DB7">
      <w:pPr>
        <w:spacing w:after="0" w:line="240" w:lineRule="auto"/>
        <w:rPr>
          <w:rFonts w:ascii="Times New Roman" w:eastAsiaTheme="minorHAnsi" w:hAnsi="Times New Roman" w:cstheme="minorBidi"/>
          <w:kern w:val="2"/>
          <w:sz w:val="24"/>
          <w:lang w:eastAsia="en-US"/>
          <w14:ligatures w14:val="standardContextual"/>
        </w:rPr>
      </w:pPr>
    </w:p>
    <w:tbl>
      <w:tblPr>
        <w:tblStyle w:val="Grilledutableau"/>
        <w:tblW w:w="9776" w:type="dxa"/>
        <w:tblLayout w:type="fixed"/>
        <w:tblCellMar>
          <w:left w:w="0" w:type="dxa"/>
          <w:right w:w="0" w:type="dxa"/>
        </w:tblCellMar>
        <w:tblLook w:val="04A0" w:firstRow="1" w:lastRow="0" w:firstColumn="1" w:lastColumn="0" w:noHBand="0" w:noVBand="1"/>
      </w:tblPr>
      <w:tblGrid>
        <w:gridCol w:w="4957"/>
        <w:gridCol w:w="4819"/>
      </w:tblGrid>
      <w:tr w:rsidR="00392DB7" w:rsidRPr="007C5A6E" w14:paraId="52F3B68F" w14:textId="77777777" w:rsidTr="00457BED">
        <w:trPr>
          <w:cantSplit/>
        </w:trPr>
        <w:tc>
          <w:tcPr>
            <w:tcW w:w="4957" w:type="dxa"/>
          </w:tcPr>
          <w:p w14:paraId="3CFF26A7"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w:drawing>
                <wp:anchor distT="0" distB="0" distL="114300" distR="114300" simplePos="0" relativeHeight="251604480" behindDoc="1" locked="0" layoutInCell="1" allowOverlap="1" wp14:anchorId="1173AE11" wp14:editId="581FA170">
                  <wp:simplePos x="0" y="0"/>
                  <wp:positionH relativeFrom="column">
                    <wp:posOffset>-1270</wp:posOffset>
                  </wp:positionH>
                  <wp:positionV relativeFrom="paragraph">
                    <wp:posOffset>-2540</wp:posOffset>
                  </wp:positionV>
                  <wp:extent cx="3152140" cy="2133600"/>
                  <wp:effectExtent l="0" t="0" r="0" b="0"/>
                  <wp:wrapNone/>
                  <wp:docPr id="45119852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198523" name="Image 451198523"/>
                          <pic:cNvPicPr/>
                        </pic:nvPicPr>
                        <pic:blipFill>
                          <a:blip r:embed="rId20" cstate="email">
                            <a:extLst>
                              <a:ext uri="{28A0092B-C50C-407E-A947-70E740481C1C}">
                                <a14:useLocalDpi xmlns:a14="http://schemas.microsoft.com/office/drawing/2010/main"/>
                              </a:ext>
                            </a:extLst>
                          </a:blip>
                          <a:stretch>
                            <a:fillRect/>
                          </a:stretch>
                        </pic:blipFill>
                        <pic:spPr>
                          <a:xfrm>
                            <a:off x="0" y="0"/>
                            <a:ext cx="3152140" cy="2133600"/>
                          </a:xfrm>
                          <a:prstGeom prst="rect">
                            <a:avLst/>
                          </a:prstGeom>
                        </pic:spPr>
                      </pic:pic>
                    </a:graphicData>
                  </a:graphic>
                </wp:anchor>
              </w:drawing>
            </w:r>
          </w:p>
          <w:p w14:paraId="237AACA3" w14:textId="77777777" w:rsidR="00392DB7" w:rsidRPr="007C5A6E" w:rsidRDefault="00392DB7" w:rsidP="00392DB7">
            <w:pPr>
              <w:spacing w:after="0" w:line="240" w:lineRule="auto"/>
              <w:rPr>
                <w:rFonts w:ascii="Times New Roman" w:hAnsi="Times New Roman"/>
                <w:b/>
                <w:bCs/>
                <w:sz w:val="20"/>
                <w:szCs w:val="20"/>
              </w:rPr>
            </w:pPr>
          </w:p>
          <w:p w14:paraId="343DA622" w14:textId="77777777" w:rsidR="00392DB7" w:rsidRPr="007C5A6E" w:rsidRDefault="00392DB7" w:rsidP="00392DB7">
            <w:pPr>
              <w:spacing w:after="0" w:line="240" w:lineRule="auto"/>
              <w:rPr>
                <w:rFonts w:ascii="Times New Roman" w:hAnsi="Times New Roman"/>
                <w:b/>
                <w:bCs/>
                <w:sz w:val="20"/>
                <w:szCs w:val="20"/>
              </w:rPr>
            </w:pPr>
            <w:r w:rsidRPr="007C5A6E">
              <w:rPr>
                <w:rFonts w:ascii="Times New Roman" w:hAnsi="Times New Roman"/>
                <w:b/>
                <w:bCs/>
                <w:noProof/>
                <w:sz w:val="20"/>
                <w:szCs w:val="20"/>
              </w:rPr>
              <mc:AlternateContent>
                <mc:Choice Requires="wps">
                  <w:drawing>
                    <wp:anchor distT="0" distB="0" distL="114300" distR="114300" simplePos="0" relativeHeight="251612672" behindDoc="0" locked="0" layoutInCell="1" allowOverlap="1" wp14:anchorId="2352D6D0" wp14:editId="3C07A8CD">
                      <wp:simplePos x="0" y="0"/>
                      <wp:positionH relativeFrom="column">
                        <wp:posOffset>2199005</wp:posOffset>
                      </wp:positionH>
                      <wp:positionV relativeFrom="paragraph">
                        <wp:posOffset>13335</wp:posOffset>
                      </wp:positionV>
                      <wp:extent cx="371475" cy="257175"/>
                      <wp:effectExtent l="0" t="0" r="28575" b="28575"/>
                      <wp:wrapNone/>
                      <wp:docPr id="901846530" name="Zone de texte 11"/>
                      <wp:cNvGraphicFramePr/>
                      <a:graphic xmlns:a="http://schemas.openxmlformats.org/drawingml/2006/main">
                        <a:graphicData uri="http://schemas.microsoft.com/office/word/2010/wordprocessingShape">
                          <wps:wsp>
                            <wps:cNvSpPr txBox="1"/>
                            <wps:spPr>
                              <a:xfrm>
                                <a:off x="0" y="0"/>
                                <a:ext cx="371475" cy="257175"/>
                              </a:xfrm>
                              <a:prstGeom prst="rect">
                                <a:avLst/>
                              </a:prstGeom>
                              <a:noFill/>
                              <a:ln w="6350">
                                <a:solidFill>
                                  <a:prstClr val="black"/>
                                </a:solidFill>
                              </a:ln>
                            </wps:spPr>
                            <wps:txbx>
                              <w:txbxContent>
                                <w:p w14:paraId="482F2715" w14:textId="77777777" w:rsidR="00392DB7" w:rsidRPr="007F2F29" w:rsidRDefault="00392DB7" w:rsidP="00392DB7">
                                  <w:pPr>
                                    <w:rPr>
                                      <w:szCs w:val="24"/>
                                    </w:rPr>
                                  </w:pPr>
                                  <w:r w:rsidRPr="007F2F29">
                                    <w:rPr>
                                      <w:b/>
                                      <w:bCs/>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52D6D0" id="_x0000_t202" coordsize="21600,21600" o:spt="202" path="m,l,21600r21600,l21600,xe">
                      <v:stroke joinstyle="miter"/>
                      <v:path gradientshapeok="t" o:connecttype="rect"/>
                    </v:shapetype>
                    <v:shape id="Zone de texte 11" o:spid="_x0000_s1027" type="#_x0000_t202" style="position:absolute;margin-left:173.15pt;margin-top:1.05pt;width:29.25pt;height:20.2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" filled="f" strokeweight=".5pt">
                      <v:textbox>
                        <w:txbxContent>
                          <w:p w14:paraId="482F2715" w14:textId="77777777" w:rsidR="00392DB7" w:rsidRPr="007F2F29" w:rsidRDefault="00392DB7" w:rsidP="00392DB7">
                            <w:pPr>
                              <w:rPr>
                                <w:szCs w:val="24"/>
                              </w:rPr>
                            </w:pPr>
                            <w:r w:rsidRPr="007F2F29">
                              <w:rPr>
                                <w:b/>
                                <w:bCs/>
                                <w:szCs w:val="24"/>
                              </w:rPr>
                              <w:t>A</w:t>
                            </w:r>
                          </w:p>
                        </w:txbxContent>
                      </v:textbox>
                    </v:shape>
                  </w:pict>
                </mc:Fallback>
              </mc:AlternateContent>
            </w:r>
            <w:r w:rsidRPr="007C5A6E">
              <w:rPr>
                <w:rFonts w:ascii="Times New Roman" w:hAnsi="Times New Roman"/>
                <w:b/>
                <w:bCs/>
                <w:sz w:val="20"/>
                <w:szCs w:val="20"/>
              </w:rPr>
              <w:t xml:space="preserve">                                                               </w:t>
            </w:r>
          </w:p>
          <w:p w14:paraId="3C1B33AE" w14:textId="77777777" w:rsidR="00392DB7" w:rsidRPr="007C5A6E" w:rsidRDefault="00392DB7" w:rsidP="00392DB7">
            <w:pPr>
              <w:spacing w:after="0" w:line="240" w:lineRule="auto"/>
              <w:rPr>
                <w:rFonts w:ascii="Times New Roman" w:hAnsi="Times New Roman"/>
                <w:b/>
                <w:bCs/>
                <w:sz w:val="20"/>
                <w:szCs w:val="20"/>
              </w:rPr>
            </w:pPr>
          </w:p>
          <w:p w14:paraId="7A9A5F11" w14:textId="77777777" w:rsidR="00392DB7" w:rsidRPr="007C5A6E" w:rsidRDefault="00392DB7" w:rsidP="00392DB7">
            <w:pPr>
              <w:spacing w:after="0" w:line="240" w:lineRule="auto"/>
              <w:rPr>
                <w:rFonts w:ascii="Times New Roman" w:hAnsi="Times New Roman"/>
                <w:b/>
                <w:bCs/>
                <w:sz w:val="20"/>
                <w:szCs w:val="20"/>
              </w:rPr>
            </w:pPr>
            <w:r w:rsidRPr="007C5A6E">
              <w:rPr>
                <w:rFonts w:ascii="Times New Roman" w:hAnsi="Times New Roman"/>
                <w:b/>
                <w:bCs/>
                <w:sz w:val="20"/>
                <w:szCs w:val="20"/>
              </w:rPr>
              <w:t xml:space="preserve"> </w:t>
            </w:r>
          </w:p>
          <w:p w14:paraId="0F3E0C9C" w14:textId="77777777" w:rsidR="00392DB7" w:rsidRPr="007C5A6E" w:rsidRDefault="00392DB7" w:rsidP="00392DB7">
            <w:pPr>
              <w:spacing w:after="0" w:line="240" w:lineRule="auto"/>
              <w:rPr>
                <w:rFonts w:ascii="Times New Roman" w:hAnsi="Times New Roman"/>
                <w:b/>
                <w:bCs/>
                <w:sz w:val="20"/>
                <w:szCs w:val="20"/>
              </w:rPr>
            </w:pPr>
          </w:p>
          <w:p w14:paraId="5A7672D8" w14:textId="77777777" w:rsidR="00392DB7" w:rsidRPr="007C5A6E" w:rsidRDefault="00392DB7" w:rsidP="00392DB7">
            <w:pPr>
              <w:spacing w:after="0" w:line="240" w:lineRule="auto"/>
              <w:rPr>
                <w:rFonts w:ascii="Times New Roman" w:hAnsi="Times New Roman"/>
                <w:b/>
                <w:bCs/>
                <w:sz w:val="20"/>
                <w:szCs w:val="20"/>
              </w:rPr>
            </w:pPr>
          </w:p>
          <w:p w14:paraId="0D20AED3" w14:textId="77777777" w:rsidR="00392DB7" w:rsidRPr="007C5A6E" w:rsidRDefault="00392DB7" w:rsidP="00392DB7">
            <w:pPr>
              <w:spacing w:after="0" w:line="240" w:lineRule="auto"/>
              <w:rPr>
                <w:rFonts w:ascii="Times New Roman" w:hAnsi="Times New Roman"/>
                <w:b/>
                <w:bCs/>
                <w:sz w:val="20"/>
                <w:szCs w:val="20"/>
              </w:rPr>
            </w:pPr>
          </w:p>
          <w:p w14:paraId="39DF8CC6" w14:textId="77777777" w:rsidR="00392DB7" w:rsidRPr="007C5A6E" w:rsidRDefault="00392DB7" w:rsidP="00392DB7">
            <w:pPr>
              <w:spacing w:after="0" w:line="240" w:lineRule="auto"/>
              <w:rPr>
                <w:rFonts w:ascii="Times New Roman" w:hAnsi="Times New Roman"/>
                <w:b/>
                <w:bCs/>
                <w:sz w:val="20"/>
                <w:szCs w:val="20"/>
              </w:rPr>
            </w:pPr>
          </w:p>
          <w:p w14:paraId="502863A4" w14:textId="77777777" w:rsidR="00392DB7" w:rsidRPr="007C5A6E" w:rsidRDefault="00392DB7" w:rsidP="00392DB7">
            <w:pPr>
              <w:spacing w:after="0" w:line="240" w:lineRule="auto"/>
              <w:rPr>
                <w:rFonts w:ascii="Times New Roman" w:hAnsi="Times New Roman"/>
                <w:b/>
                <w:bCs/>
                <w:sz w:val="20"/>
                <w:szCs w:val="20"/>
              </w:rPr>
            </w:pPr>
          </w:p>
          <w:p w14:paraId="38837102" w14:textId="77777777" w:rsidR="00392DB7" w:rsidRPr="007C5A6E" w:rsidRDefault="00392DB7" w:rsidP="00392DB7">
            <w:pPr>
              <w:spacing w:after="0" w:line="240" w:lineRule="auto"/>
              <w:rPr>
                <w:rFonts w:ascii="Times New Roman" w:hAnsi="Times New Roman"/>
                <w:b/>
                <w:bCs/>
                <w:sz w:val="20"/>
                <w:szCs w:val="20"/>
              </w:rPr>
            </w:pPr>
          </w:p>
          <w:p w14:paraId="259318D1" w14:textId="77777777" w:rsidR="00392DB7" w:rsidRPr="007C5A6E" w:rsidRDefault="00392DB7" w:rsidP="00392DB7">
            <w:pPr>
              <w:spacing w:after="0" w:line="240" w:lineRule="auto"/>
              <w:rPr>
                <w:rFonts w:ascii="Times New Roman" w:hAnsi="Times New Roman"/>
                <w:b/>
                <w:bCs/>
                <w:sz w:val="20"/>
                <w:szCs w:val="20"/>
              </w:rPr>
            </w:pPr>
          </w:p>
          <w:p w14:paraId="172BE185" w14:textId="77777777" w:rsidR="00392DB7" w:rsidRPr="007C5A6E" w:rsidRDefault="00392DB7" w:rsidP="00392DB7">
            <w:pPr>
              <w:spacing w:after="0" w:line="240" w:lineRule="auto"/>
              <w:rPr>
                <w:rFonts w:ascii="Times New Roman" w:hAnsi="Times New Roman"/>
                <w:b/>
                <w:bCs/>
                <w:sz w:val="20"/>
                <w:szCs w:val="20"/>
              </w:rPr>
            </w:pPr>
          </w:p>
          <w:p w14:paraId="09776BC2" w14:textId="77777777" w:rsidR="00392DB7" w:rsidRPr="007C5A6E" w:rsidRDefault="00392DB7" w:rsidP="00392DB7">
            <w:pPr>
              <w:spacing w:after="0" w:line="240" w:lineRule="auto"/>
              <w:rPr>
                <w:rFonts w:ascii="Times New Roman" w:hAnsi="Times New Roman"/>
                <w:b/>
                <w:bCs/>
                <w:sz w:val="20"/>
                <w:szCs w:val="20"/>
              </w:rPr>
            </w:pPr>
          </w:p>
          <w:p w14:paraId="456DAD0B" w14:textId="77777777" w:rsidR="00392DB7" w:rsidRPr="007C5A6E" w:rsidRDefault="00392DB7" w:rsidP="00392DB7">
            <w:pPr>
              <w:spacing w:after="0" w:line="240" w:lineRule="auto"/>
              <w:rPr>
                <w:rFonts w:ascii="Times New Roman" w:hAnsi="Times New Roman"/>
                <w:b/>
                <w:bCs/>
                <w:sz w:val="20"/>
                <w:szCs w:val="20"/>
              </w:rPr>
            </w:pPr>
            <w:r w:rsidRPr="007C5A6E">
              <w:rPr>
                <w:rFonts w:ascii="Times New Roman" w:hAnsi="Times New Roman"/>
                <w:b/>
                <w:bCs/>
                <w:sz w:val="20"/>
                <w:szCs w:val="20"/>
              </w:rPr>
              <w:t xml:space="preserve">   </w:t>
            </w:r>
          </w:p>
        </w:tc>
        <w:tc>
          <w:tcPr>
            <w:tcW w:w="4819" w:type="dxa"/>
          </w:tcPr>
          <w:p w14:paraId="1B946859"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w:drawing>
                <wp:anchor distT="0" distB="0" distL="114300" distR="114300" simplePos="0" relativeHeight="251605504" behindDoc="1" locked="0" layoutInCell="1" allowOverlap="1" wp14:anchorId="0CE3A601" wp14:editId="7DAFB0D4">
                  <wp:simplePos x="0" y="0"/>
                  <wp:positionH relativeFrom="column">
                    <wp:posOffset>3810</wp:posOffset>
                  </wp:positionH>
                  <wp:positionV relativeFrom="paragraph">
                    <wp:posOffset>178434</wp:posOffset>
                  </wp:positionV>
                  <wp:extent cx="3018155" cy="2047875"/>
                  <wp:effectExtent l="0" t="0" r="0" b="9525"/>
                  <wp:wrapNone/>
                  <wp:docPr id="112369162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3018155" cy="2047875"/>
                          </a:xfrm>
                          <a:prstGeom prst="rect">
                            <a:avLst/>
                          </a:prstGeom>
                          <a:noFill/>
                          <a:ln>
                            <a:noFill/>
                          </a:ln>
                        </pic:spPr>
                      </pic:pic>
                    </a:graphicData>
                  </a:graphic>
                  <wp14:sizeRelV relativeFrom="margin">
                    <wp14:pctHeight>0</wp14:pctHeight>
                  </wp14:sizeRelV>
                </wp:anchor>
              </w:drawing>
            </w:r>
          </w:p>
          <w:p w14:paraId="2773E0A5" w14:textId="77777777" w:rsidR="00392DB7" w:rsidRPr="007C5A6E" w:rsidRDefault="00392DB7" w:rsidP="00392DB7">
            <w:pPr>
              <w:spacing w:after="0" w:line="240" w:lineRule="auto"/>
              <w:rPr>
                <w:rFonts w:ascii="Times New Roman" w:hAnsi="Times New Roman"/>
                <w:sz w:val="24"/>
              </w:rPr>
            </w:pPr>
          </w:p>
          <w:p w14:paraId="237DEA44" w14:textId="77777777" w:rsidR="00392DB7" w:rsidRPr="007C5A6E" w:rsidRDefault="00392DB7" w:rsidP="00392DB7">
            <w:pPr>
              <w:spacing w:after="0" w:line="240" w:lineRule="auto"/>
              <w:rPr>
                <w:rFonts w:ascii="Times New Roman" w:hAnsi="Times New Roman"/>
                <w:sz w:val="20"/>
                <w:szCs w:val="20"/>
              </w:rPr>
            </w:pPr>
            <w:r w:rsidRPr="007C5A6E">
              <w:rPr>
                <w:rFonts w:ascii="Times New Roman" w:hAnsi="Times New Roman"/>
                <w:b/>
                <w:bCs/>
                <w:noProof/>
                <w:sz w:val="20"/>
                <w:szCs w:val="20"/>
              </w:rPr>
              <mc:AlternateContent>
                <mc:Choice Requires="wps">
                  <w:drawing>
                    <wp:anchor distT="0" distB="0" distL="114300" distR="114300" simplePos="0" relativeHeight="251611648" behindDoc="0" locked="0" layoutInCell="1" allowOverlap="1" wp14:anchorId="620E4CA1" wp14:editId="599E9ECB">
                      <wp:simplePos x="0" y="0"/>
                      <wp:positionH relativeFrom="column">
                        <wp:posOffset>1818005</wp:posOffset>
                      </wp:positionH>
                      <wp:positionV relativeFrom="paragraph">
                        <wp:posOffset>93345</wp:posOffset>
                      </wp:positionV>
                      <wp:extent cx="371475" cy="257175"/>
                      <wp:effectExtent l="0" t="0" r="28575" b="28575"/>
                      <wp:wrapNone/>
                      <wp:docPr id="762095676" name="Zone de texte 11"/>
                      <wp:cNvGraphicFramePr/>
                      <a:graphic xmlns:a="http://schemas.openxmlformats.org/drawingml/2006/main">
                        <a:graphicData uri="http://schemas.microsoft.com/office/word/2010/wordprocessingShape">
                          <wps:wsp>
                            <wps:cNvSpPr txBox="1"/>
                            <wps:spPr>
                              <a:xfrm>
                                <a:off x="0" y="0"/>
                                <a:ext cx="371475" cy="257175"/>
                              </a:xfrm>
                              <a:prstGeom prst="rect">
                                <a:avLst/>
                              </a:prstGeom>
                              <a:solidFill>
                                <a:sysClr val="window" lastClr="FFFFFF"/>
                              </a:solidFill>
                              <a:ln w="6350">
                                <a:solidFill>
                                  <a:prstClr val="black"/>
                                </a:solidFill>
                              </a:ln>
                            </wps:spPr>
                            <wps:txbx>
                              <w:txbxContent>
                                <w:p w14:paraId="65A48EBF" w14:textId="77777777" w:rsidR="00392DB7" w:rsidRPr="007F2F29" w:rsidRDefault="00392DB7" w:rsidP="00392DB7">
                                  <w:pPr>
                                    <w:rPr>
                                      <w:szCs w:val="24"/>
                                    </w:rPr>
                                  </w:pPr>
                                  <w:r w:rsidRPr="007F2F29">
                                    <w:rPr>
                                      <w:b/>
                                      <w:bCs/>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E4CA1" id="_x0000_s1028" type="#_x0000_t202" style="position:absolute;margin-left:143.15pt;margin-top:7.35pt;width:29.25pt;height:20.2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" fillcolor="window" strokeweight=".5pt">
                      <v:textbox>
                        <w:txbxContent>
                          <w:p w14:paraId="65A48EBF" w14:textId="77777777" w:rsidR="00392DB7" w:rsidRPr="007F2F29" w:rsidRDefault="00392DB7" w:rsidP="00392DB7">
                            <w:pPr>
                              <w:rPr>
                                <w:szCs w:val="24"/>
                              </w:rPr>
                            </w:pPr>
                            <w:r w:rsidRPr="007F2F29">
                              <w:rPr>
                                <w:b/>
                                <w:bCs/>
                                <w:szCs w:val="24"/>
                              </w:rPr>
                              <w:t>B</w:t>
                            </w:r>
                          </w:p>
                        </w:txbxContent>
                      </v:textbox>
                    </v:shape>
                  </w:pict>
                </mc:Fallback>
              </mc:AlternateContent>
            </w:r>
            <w:r w:rsidRPr="007C5A6E">
              <w:rPr>
                <w:rFonts w:ascii="Times New Roman" w:hAnsi="Times New Roman"/>
                <w:sz w:val="20"/>
                <w:szCs w:val="20"/>
              </w:rPr>
              <w:t xml:space="preserve">                                                           </w:t>
            </w:r>
          </w:p>
          <w:p w14:paraId="309101C1" w14:textId="77777777" w:rsidR="00392DB7" w:rsidRPr="007C5A6E" w:rsidRDefault="00392DB7" w:rsidP="00392DB7">
            <w:pPr>
              <w:spacing w:after="0" w:line="240" w:lineRule="auto"/>
              <w:rPr>
                <w:rFonts w:ascii="Times New Roman" w:hAnsi="Times New Roman"/>
                <w:sz w:val="20"/>
                <w:szCs w:val="20"/>
              </w:rPr>
            </w:pPr>
          </w:p>
          <w:p w14:paraId="45FD14CA" w14:textId="77777777" w:rsidR="00392DB7" w:rsidRPr="007C5A6E" w:rsidRDefault="00392DB7" w:rsidP="00392DB7">
            <w:pPr>
              <w:spacing w:after="0" w:line="240" w:lineRule="auto"/>
              <w:rPr>
                <w:rFonts w:ascii="Times New Roman" w:hAnsi="Times New Roman"/>
                <w:sz w:val="20"/>
                <w:szCs w:val="20"/>
              </w:rPr>
            </w:pPr>
          </w:p>
          <w:p w14:paraId="191374C2" w14:textId="77777777" w:rsidR="00392DB7" w:rsidRPr="007C5A6E" w:rsidRDefault="00392DB7" w:rsidP="00392DB7">
            <w:pPr>
              <w:spacing w:after="0" w:line="240" w:lineRule="auto"/>
              <w:rPr>
                <w:rFonts w:ascii="Times New Roman" w:hAnsi="Times New Roman"/>
                <w:sz w:val="20"/>
                <w:szCs w:val="20"/>
              </w:rPr>
            </w:pPr>
          </w:p>
          <w:p w14:paraId="1A72F51F" w14:textId="77777777" w:rsidR="00392DB7" w:rsidRPr="007C5A6E" w:rsidRDefault="00392DB7" w:rsidP="00392DB7">
            <w:pPr>
              <w:spacing w:after="0" w:line="240" w:lineRule="auto"/>
              <w:rPr>
                <w:rFonts w:ascii="Times New Roman" w:hAnsi="Times New Roman"/>
                <w:sz w:val="20"/>
                <w:szCs w:val="20"/>
              </w:rPr>
            </w:pPr>
          </w:p>
          <w:p w14:paraId="4732540B" w14:textId="77777777" w:rsidR="00392DB7" w:rsidRPr="007C5A6E" w:rsidRDefault="00392DB7" w:rsidP="00392DB7">
            <w:pPr>
              <w:spacing w:after="0" w:line="240" w:lineRule="auto"/>
              <w:rPr>
                <w:rFonts w:ascii="Times New Roman" w:hAnsi="Times New Roman"/>
                <w:sz w:val="20"/>
                <w:szCs w:val="20"/>
              </w:rPr>
            </w:pPr>
          </w:p>
          <w:p w14:paraId="70CF0328" w14:textId="77777777" w:rsidR="00392DB7" w:rsidRPr="007C5A6E" w:rsidRDefault="00392DB7" w:rsidP="00392DB7">
            <w:pPr>
              <w:spacing w:after="0" w:line="240" w:lineRule="auto"/>
              <w:rPr>
                <w:rFonts w:ascii="Times New Roman" w:hAnsi="Times New Roman"/>
                <w:sz w:val="20"/>
                <w:szCs w:val="20"/>
              </w:rPr>
            </w:pPr>
          </w:p>
          <w:p w14:paraId="50B91B94" w14:textId="77777777" w:rsidR="00392DB7" w:rsidRPr="007C5A6E" w:rsidRDefault="00392DB7" w:rsidP="00392DB7">
            <w:pPr>
              <w:spacing w:after="0" w:line="240" w:lineRule="auto"/>
              <w:rPr>
                <w:rFonts w:ascii="Times New Roman" w:hAnsi="Times New Roman"/>
                <w:sz w:val="20"/>
                <w:szCs w:val="20"/>
              </w:rPr>
            </w:pPr>
          </w:p>
          <w:p w14:paraId="6863D4F4" w14:textId="77777777" w:rsidR="00392DB7" w:rsidRPr="007C5A6E" w:rsidRDefault="00392DB7" w:rsidP="00392DB7">
            <w:pPr>
              <w:spacing w:after="0" w:line="240" w:lineRule="auto"/>
              <w:rPr>
                <w:rFonts w:ascii="Times New Roman" w:hAnsi="Times New Roman"/>
                <w:sz w:val="20"/>
                <w:szCs w:val="20"/>
              </w:rPr>
            </w:pPr>
          </w:p>
          <w:p w14:paraId="58ED8CD3" w14:textId="77777777" w:rsidR="00392DB7" w:rsidRPr="007C5A6E" w:rsidRDefault="00392DB7" w:rsidP="00392DB7">
            <w:pPr>
              <w:spacing w:after="0" w:line="240" w:lineRule="auto"/>
              <w:rPr>
                <w:rFonts w:ascii="Times New Roman" w:hAnsi="Times New Roman"/>
                <w:sz w:val="20"/>
                <w:szCs w:val="20"/>
              </w:rPr>
            </w:pPr>
          </w:p>
          <w:p w14:paraId="2C4061FB" w14:textId="77777777" w:rsidR="00392DB7" w:rsidRPr="007C5A6E" w:rsidRDefault="00392DB7" w:rsidP="00392DB7">
            <w:pPr>
              <w:spacing w:after="0" w:line="240" w:lineRule="auto"/>
              <w:rPr>
                <w:rFonts w:ascii="Times New Roman" w:hAnsi="Times New Roman"/>
                <w:sz w:val="20"/>
                <w:szCs w:val="20"/>
              </w:rPr>
            </w:pPr>
          </w:p>
          <w:p w14:paraId="3CFBA02B" w14:textId="77777777" w:rsidR="00392DB7" w:rsidRPr="007C5A6E" w:rsidRDefault="00392DB7" w:rsidP="00392DB7">
            <w:pPr>
              <w:spacing w:after="0" w:line="240" w:lineRule="auto"/>
              <w:rPr>
                <w:rFonts w:ascii="Times New Roman" w:hAnsi="Times New Roman"/>
                <w:sz w:val="20"/>
                <w:szCs w:val="20"/>
              </w:rPr>
            </w:pPr>
          </w:p>
          <w:p w14:paraId="1C3C5E20" w14:textId="77777777" w:rsidR="00392DB7" w:rsidRPr="007C5A6E" w:rsidRDefault="00392DB7" w:rsidP="00392DB7">
            <w:pPr>
              <w:spacing w:after="0" w:line="240" w:lineRule="auto"/>
              <w:rPr>
                <w:rFonts w:ascii="Times New Roman" w:hAnsi="Times New Roman"/>
                <w:b/>
                <w:bCs/>
                <w:sz w:val="20"/>
                <w:szCs w:val="20"/>
              </w:rPr>
            </w:pPr>
            <w:r w:rsidRPr="007C5A6E">
              <w:rPr>
                <w:rFonts w:ascii="Times New Roman" w:hAnsi="Times New Roman"/>
                <w:sz w:val="20"/>
                <w:szCs w:val="20"/>
              </w:rPr>
              <w:t xml:space="preserve"> </w:t>
            </w:r>
          </w:p>
        </w:tc>
      </w:tr>
      <w:tr w:rsidR="00392DB7" w:rsidRPr="007C5A6E" w14:paraId="40FACAC7" w14:textId="77777777" w:rsidTr="00457BED">
        <w:trPr>
          <w:cantSplit/>
          <w:trHeight w:val="3043"/>
        </w:trPr>
        <w:tc>
          <w:tcPr>
            <w:tcW w:w="4957" w:type="dxa"/>
          </w:tcPr>
          <w:p w14:paraId="6AAF69FB" w14:textId="77777777" w:rsidR="00392DB7" w:rsidRPr="007C5A6E" w:rsidRDefault="00392DB7" w:rsidP="00392DB7">
            <w:pPr>
              <w:spacing w:after="0" w:line="240" w:lineRule="auto"/>
              <w:rPr>
                <w:rFonts w:ascii="Times New Roman" w:hAnsi="Times New Roman"/>
                <w:noProof/>
                <w:sz w:val="20"/>
                <w:szCs w:val="20"/>
              </w:rPr>
            </w:pPr>
            <w:r w:rsidRPr="007C5A6E">
              <w:rPr>
                <w:rFonts w:ascii="Times New Roman" w:hAnsi="Times New Roman"/>
                <w:noProof/>
                <w:sz w:val="24"/>
              </w:rPr>
              <w:drawing>
                <wp:anchor distT="0" distB="0" distL="114300" distR="114300" simplePos="0" relativeHeight="251606528" behindDoc="1" locked="0" layoutInCell="1" allowOverlap="1" wp14:anchorId="353EB793" wp14:editId="7E4A2663">
                  <wp:simplePos x="0" y="0"/>
                  <wp:positionH relativeFrom="column">
                    <wp:posOffset>-1270</wp:posOffset>
                  </wp:positionH>
                  <wp:positionV relativeFrom="paragraph">
                    <wp:posOffset>0</wp:posOffset>
                  </wp:positionV>
                  <wp:extent cx="3141345" cy="2030095"/>
                  <wp:effectExtent l="0" t="0" r="1905" b="8255"/>
                  <wp:wrapNone/>
                  <wp:docPr id="122639570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141345" cy="2030095"/>
                          </a:xfrm>
                          <a:prstGeom prst="rect">
                            <a:avLst/>
                          </a:prstGeom>
                          <a:noFill/>
                          <a:ln>
                            <a:noFill/>
                          </a:ln>
                        </pic:spPr>
                      </pic:pic>
                    </a:graphicData>
                  </a:graphic>
                </wp:anchor>
              </w:drawing>
            </w:r>
          </w:p>
          <w:p w14:paraId="6681C0CF" w14:textId="77777777" w:rsidR="00392DB7" w:rsidRPr="007C5A6E" w:rsidRDefault="00392DB7" w:rsidP="00392DB7">
            <w:pPr>
              <w:spacing w:after="0" w:line="240" w:lineRule="auto"/>
              <w:jc w:val="center"/>
              <w:rPr>
                <w:rFonts w:ascii="Times New Roman" w:hAnsi="Times New Roman"/>
                <w:noProof/>
                <w:sz w:val="20"/>
                <w:szCs w:val="20"/>
              </w:rPr>
            </w:pPr>
            <w:r w:rsidRPr="007C5A6E">
              <w:rPr>
                <w:rFonts w:ascii="Times New Roman" w:hAnsi="Times New Roman"/>
                <w:b/>
                <w:bCs/>
                <w:noProof/>
                <w:sz w:val="20"/>
                <w:szCs w:val="20"/>
              </w:rPr>
              <mc:AlternateContent>
                <mc:Choice Requires="wps">
                  <w:drawing>
                    <wp:anchor distT="0" distB="0" distL="114300" distR="114300" simplePos="0" relativeHeight="251613696" behindDoc="0" locked="0" layoutInCell="1" allowOverlap="1" wp14:anchorId="47A33227" wp14:editId="5AC7E5F9">
                      <wp:simplePos x="0" y="0"/>
                      <wp:positionH relativeFrom="column">
                        <wp:posOffset>1479550</wp:posOffset>
                      </wp:positionH>
                      <wp:positionV relativeFrom="paragraph">
                        <wp:posOffset>149225</wp:posOffset>
                      </wp:positionV>
                      <wp:extent cx="371475" cy="257175"/>
                      <wp:effectExtent l="0" t="0" r="28575" b="28575"/>
                      <wp:wrapNone/>
                      <wp:docPr id="1156899084" name="Zone de texte 11"/>
                      <wp:cNvGraphicFramePr/>
                      <a:graphic xmlns:a="http://schemas.openxmlformats.org/drawingml/2006/main">
                        <a:graphicData uri="http://schemas.microsoft.com/office/word/2010/wordprocessingShape">
                          <wps:wsp>
                            <wps:cNvSpPr txBox="1"/>
                            <wps:spPr>
                              <a:xfrm>
                                <a:off x="0" y="0"/>
                                <a:ext cx="371475" cy="257175"/>
                              </a:xfrm>
                              <a:prstGeom prst="rect">
                                <a:avLst/>
                              </a:prstGeom>
                              <a:noFill/>
                              <a:ln w="6350">
                                <a:solidFill>
                                  <a:prstClr val="black"/>
                                </a:solidFill>
                              </a:ln>
                            </wps:spPr>
                            <wps:txbx>
                              <w:txbxContent>
                                <w:p w14:paraId="615C10C1" w14:textId="77777777" w:rsidR="00392DB7" w:rsidRPr="007F2F29" w:rsidRDefault="00392DB7" w:rsidP="00392DB7">
                                  <w:pPr>
                                    <w:rPr>
                                      <w:szCs w:val="24"/>
                                    </w:rPr>
                                  </w:pPr>
                                  <w:r w:rsidRPr="007F2F29">
                                    <w:rPr>
                                      <w:b/>
                                      <w:bCs/>
                                      <w:szCs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33227" id="_x0000_s1029" type="#_x0000_t202" style="position:absolute;left:0;text-align:left;margin-left:116.5pt;margin-top:11.75pt;width:29.25pt;height:20.2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" filled="f" strokeweight=".5pt">
                      <v:textbox>
                        <w:txbxContent>
                          <w:p w14:paraId="615C10C1" w14:textId="77777777" w:rsidR="00392DB7" w:rsidRPr="007F2F29" w:rsidRDefault="00392DB7" w:rsidP="00392DB7">
                            <w:pPr>
                              <w:rPr>
                                <w:szCs w:val="24"/>
                              </w:rPr>
                            </w:pPr>
                            <w:r w:rsidRPr="007F2F29">
                              <w:rPr>
                                <w:b/>
                                <w:bCs/>
                                <w:szCs w:val="24"/>
                              </w:rPr>
                              <w:t>C</w:t>
                            </w:r>
                          </w:p>
                        </w:txbxContent>
                      </v:textbox>
                    </v:shape>
                  </w:pict>
                </mc:Fallback>
              </mc:AlternateContent>
            </w:r>
          </w:p>
          <w:p w14:paraId="1ACEC45B" w14:textId="77777777" w:rsidR="00392DB7" w:rsidRPr="007C5A6E" w:rsidRDefault="00392DB7" w:rsidP="00392DB7">
            <w:pPr>
              <w:spacing w:after="0" w:line="240" w:lineRule="auto"/>
              <w:jc w:val="center"/>
              <w:rPr>
                <w:rFonts w:ascii="Times New Roman" w:hAnsi="Times New Roman"/>
                <w:noProof/>
                <w:sz w:val="20"/>
                <w:szCs w:val="20"/>
              </w:rPr>
            </w:pPr>
          </w:p>
          <w:p w14:paraId="094F93E7" w14:textId="77777777" w:rsidR="00392DB7" w:rsidRPr="007C5A6E" w:rsidRDefault="00392DB7" w:rsidP="00392DB7">
            <w:pPr>
              <w:spacing w:after="0" w:line="240" w:lineRule="auto"/>
              <w:jc w:val="center"/>
              <w:rPr>
                <w:rFonts w:ascii="Times New Roman" w:hAnsi="Times New Roman"/>
                <w:noProof/>
                <w:sz w:val="20"/>
                <w:szCs w:val="20"/>
              </w:rPr>
            </w:pPr>
          </w:p>
          <w:p w14:paraId="4CE9CB46" w14:textId="77777777" w:rsidR="00392DB7" w:rsidRPr="007C5A6E" w:rsidRDefault="00392DB7" w:rsidP="00392DB7">
            <w:pPr>
              <w:spacing w:after="0" w:line="240" w:lineRule="auto"/>
              <w:jc w:val="center"/>
              <w:rPr>
                <w:rFonts w:ascii="Times New Roman" w:hAnsi="Times New Roman"/>
                <w:noProof/>
                <w:sz w:val="20"/>
                <w:szCs w:val="20"/>
              </w:rPr>
            </w:pPr>
          </w:p>
          <w:p w14:paraId="40282BC6" w14:textId="77777777" w:rsidR="00392DB7" w:rsidRPr="007C5A6E" w:rsidRDefault="00392DB7" w:rsidP="00392DB7">
            <w:pPr>
              <w:spacing w:after="0" w:line="240" w:lineRule="auto"/>
              <w:jc w:val="center"/>
              <w:rPr>
                <w:rFonts w:ascii="Times New Roman" w:hAnsi="Times New Roman"/>
                <w:noProof/>
                <w:sz w:val="20"/>
                <w:szCs w:val="20"/>
              </w:rPr>
            </w:pPr>
          </w:p>
          <w:p w14:paraId="6024219F" w14:textId="77777777" w:rsidR="00392DB7" w:rsidRPr="007C5A6E" w:rsidRDefault="00392DB7" w:rsidP="00392DB7">
            <w:pPr>
              <w:spacing w:after="0" w:line="240" w:lineRule="auto"/>
              <w:jc w:val="center"/>
              <w:rPr>
                <w:rFonts w:ascii="Times New Roman" w:hAnsi="Times New Roman"/>
                <w:noProof/>
                <w:sz w:val="20"/>
                <w:szCs w:val="20"/>
              </w:rPr>
            </w:pPr>
          </w:p>
          <w:p w14:paraId="652AB0AB" w14:textId="77777777" w:rsidR="00392DB7" w:rsidRPr="007C5A6E" w:rsidRDefault="00392DB7" w:rsidP="00392DB7">
            <w:pPr>
              <w:spacing w:after="0" w:line="240" w:lineRule="auto"/>
              <w:jc w:val="center"/>
              <w:rPr>
                <w:rFonts w:ascii="Times New Roman" w:hAnsi="Times New Roman"/>
                <w:noProof/>
                <w:sz w:val="20"/>
                <w:szCs w:val="20"/>
              </w:rPr>
            </w:pPr>
          </w:p>
          <w:p w14:paraId="31C87D25" w14:textId="77777777" w:rsidR="00392DB7" w:rsidRPr="007C5A6E" w:rsidRDefault="00392DB7" w:rsidP="00392DB7">
            <w:pPr>
              <w:spacing w:after="0" w:line="240" w:lineRule="auto"/>
              <w:jc w:val="center"/>
              <w:rPr>
                <w:rFonts w:ascii="Times New Roman" w:hAnsi="Times New Roman"/>
                <w:noProof/>
                <w:sz w:val="20"/>
                <w:szCs w:val="20"/>
              </w:rPr>
            </w:pPr>
          </w:p>
          <w:p w14:paraId="7375B2EE" w14:textId="77777777" w:rsidR="00392DB7" w:rsidRPr="007C5A6E" w:rsidRDefault="00392DB7" w:rsidP="00392DB7">
            <w:pPr>
              <w:spacing w:after="0" w:line="240" w:lineRule="auto"/>
              <w:jc w:val="center"/>
              <w:rPr>
                <w:rFonts w:ascii="Times New Roman" w:hAnsi="Times New Roman"/>
                <w:noProof/>
                <w:sz w:val="20"/>
                <w:szCs w:val="20"/>
              </w:rPr>
            </w:pPr>
          </w:p>
          <w:p w14:paraId="055E4109" w14:textId="77777777" w:rsidR="00392DB7" w:rsidRPr="007C5A6E" w:rsidRDefault="00392DB7" w:rsidP="00392DB7">
            <w:pPr>
              <w:spacing w:after="0" w:line="240" w:lineRule="auto"/>
              <w:jc w:val="center"/>
              <w:rPr>
                <w:rFonts w:ascii="Times New Roman" w:hAnsi="Times New Roman"/>
                <w:noProof/>
                <w:sz w:val="20"/>
                <w:szCs w:val="20"/>
              </w:rPr>
            </w:pPr>
          </w:p>
          <w:p w14:paraId="0BF1B164" w14:textId="77777777" w:rsidR="00392DB7" w:rsidRPr="007C5A6E" w:rsidRDefault="00392DB7" w:rsidP="00392DB7">
            <w:pPr>
              <w:spacing w:after="0" w:line="240" w:lineRule="auto"/>
              <w:jc w:val="center"/>
              <w:rPr>
                <w:rFonts w:ascii="Times New Roman" w:hAnsi="Times New Roman"/>
                <w:noProof/>
                <w:sz w:val="20"/>
                <w:szCs w:val="20"/>
              </w:rPr>
            </w:pPr>
          </w:p>
          <w:p w14:paraId="522F08DE" w14:textId="77777777" w:rsidR="00392DB7" w:rsidRPr="007C5A6E" w:rsidRDefault="00392DB7" w:rsidP="00392DB7">
            <w:pPr>
              <w:spacing w:after="0" w:line="240" w:lineRule="auto"/>
              <w:rPr>
                <w:rFonts w:ascii="Times New Roman" w:hAnsi="Times New Roman"/>
                <w:b/>
                <w:bCs/>
                <w:sz w:val="20"/>
                <w:szCs w:val="20"/>
              </w:rPr>
            </w:pPr>
            <w:r w:rsidRPr="007C5A6E">
              <w:rPr>
                <w:rFonts w:ascii="Times New Roman" w:hAnsi="Times New Roman"/>
                <w:b/>
                <w:bCs/>
                <w:noProof/>
                <w:sz w:val="20"/>
                <w:szCs w:val="20"/>
              </w:rPr>
              <w:t xml:space="preserve">   </w:t>
            </w:r>
          </w:p>
        </w:tc>
        <w:tc>
          <w:tcPr>
            <w:tcW w:w="4819" w:type="dxa"/>
          </w:tcPr>
          <w:p w14:paraId="717407AF"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w:drawing>
                <wp:anchor distT="0" distB="0" distL="114300" distR="114300" simplePos="0" relativeHeight="251607552" behindDoc="1" locked="0" layoutInCell="1" allowOverlap="1" wp14:anchorId="41CE5933" wp14:editId="13389F76">
                  <wp:simplePos x="0" y="0"/>
                  <wp:positionH relativeFrom="column">
                    <wp:posOffset>3810</wp:posOffset>
                  </wp:positionH>
                  <wp:positionV relativeFrom="paragraph">
                    <wp:posOffset>0</wp:posOffset>
                  </wp:positionV>
                  <wp:extent cx="3053715" cy="1995805"/>
                  <wp:effectExtent l="0" t="0" r="0" b="4445"/>
                  <wp:wrapNone/>
                  <wp:docPr id="53449178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3053715" cy="1995805"/>
                          </a:xfrm>
                          <a:prstGeom prst="rect">
                            <a:avLst/>
                          </a:prstGeom>
                          <a:noFill/>
                          <a:ln>
                            <a:noFill/>
                          </a:ln>
                        </pic:spPr>
                      </pic:pic>
                    </a:graphicData>
                  </a:graphic>
                </wp:anchor>
              </w:drawing>
            </w:r>
          </w:p>
          <w:p w14:paraId="0B57B904" w14:textId="77777777" w:rsidR="00392DB7" w:rsidRPr="007C5A6E" w:rsidRDefault="00392DB7" w:rsidP="00392DB7">
            <w:pPr>
              <w:spacing w:after="0" w:line="240" w:lineRule="auto"/>
              <w:jc w:val="center"/>
              <w:rPr>
                <w:rFonts w:ascii="Times New Roman" w:hAnsi="Times New Roman"/>
                <w:sz w:val="20"/>
                <w:szCs w:val="20"/>
              </w:rPr>
            </w:pPr>
            <w:r w:rsidRPr="007C5A6E">
              <w:rPr>
                <w:rFonts w:ascii="Times New Roman" w:hAnsi="Times New Roman"/>
                <w:b/>
                <w:bCs/>
                <w:noProof/>
                <w:sz w:val="20"/>
                <w:szCs w:val="20"/>
              </w:rPr>
              <mc:AlternateContent>
                <mc:Choice Requires="wps">
                  <w:drawing>
                    <wp:anchor distT="0" distB="0" distL="114300" distR="114300" simplePos="0" relativeHeight="251614720" behindDoc="0" locked="0" layoutInCell="1" allowOverlap="1" wp14:anchorId="6441C29B" wp14:editId="49D39E68">
                      <wp:simplePos x="0" y="0"/>
                      <wp:positionH relativeFrom="column">
                        <wp:posOffset>1694180</wp:posOffset>
                      </wp:positionH>
                      <wp:positionV relativeFrom="paragraph">
                        <wp:posOffset>44450</wp:posOffset>
                      </wp:positionV>
                      <wp:extent cx="371475" cy="257175"/>
                      <wp:effectExtent l="0" t="0" r="28575" b="28575"/>
                      <wp:wrapNone/>
                      <wp:docPr id="1997976089" name="Zone de texte 11"/>
                      <wp:cNvGraphicFramePr/>
                      <a:graphic xmlns:a="http://schemas.openxmlformats.org/drawingml/2006/main">
                        <a:graphicData uri="http://schemas.microsoft.com/office/word/2010/wordprocessingShape">
                          <wps:wsp>
                            <wps:cNvSpPr txBox="1"/>
                            <wps:spPr>
                              <a:xfrm>
                                <a:off x="0" y="0"/>
                                <a:ext cx="371475" cy="257175"/>
                              </a:xfrm>
                              <a:prstGeom prst="rect">
                                <a:avLst/>
                              </a:prstGeom>
                              <a:noFill/>
                              <a:ln w="6350">
                                <a:solidFill>
                                  <a:prstClr val="black"/>
                                </a:solidFill>
                              </a:ln>
                            </wps:spPr>
                            <wps:txbx>
                              <w:txbxContent>
                                <w:p w14:paraId="073B71BA" w14:textId="77777777" w:rsidR="00392DB7" w:rsidRPr="007F2F29" w:rsidRDefault="00392DB7" w:rsidP="00392DB7">
                                  <w:pPr>
                                    <w:rPr>
                                      <w:szCs w:val="24"/>
                                    </w:rPr>
                                  </w:pPr>
                                  <w:r w:rsidRPr="007F2F29">
                                    <w:rPr>
                                      <w:b/>
                                      <w:bCs/>
                                      <w:szCs w:val="2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1C29B" id="_x0000_s1030" type="#_x0000_t202" style="position:absolute;left:0;text-align:left;margin-left:133.4pt;margin-top:3.5pt;width:29.25pt;height:20.2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" filled="f" strokeweight=".5pt">
                      <v:textbox>
                        <w:txbxContent>
                          <w:p w14:paraId="073B71BA" w14:textId="77777777" w:rsidR="00392DB7" w:rsidRPr="007F2F29" w:rsidRDefault="00392DB7" w:rsidP="00392DB7">
                            <w:pPr>
                              <w:rPr>
                                <w:szCs w:val="24"/>
                              </w:rPr>
                            </w:pPr>
                            <w:r w:rsidRPr="007F2F29">
                              <w:rPr>
                                <w:b/>
                                <w:bCs/>
                                <w:szCs w:val="24"/>
                              </w:rPr>
                              <w:t>D</w:t>
                            </w:r>
                          </w:p>
                        </w:txbxContent>
                      </v:textbox>
                    </v:shape>
                  </w:pict>
                </mc:Fallback>
              </mc:AlternateContent>
            </w:r>
          </w:p>
          <w:p w14:paraId="3F618C6B" w14:textId="77777777" w:rsidR="00392DB7" w:rsidRPr="007C5A6E" w:rsidRDefault="00392DB7" w:rsidP="00392DB7">
            <w:pPr>
              <w:spacing w:after="0" w:line="240" w:lineRule="auto"/>
              <w:jc w:val="center"/>
              <w:rPr>
                <w:rFonts w:ascii="Times New Roman" w:hAnsi="Times New Roman"/>
                <w:sz w:val="20"/>
                <w:szCs w:val="20"/>
              </w:rPr>
            </w:pPr>
            <w:r w:rsidRPr="007C5A6E">
              <w:rPr>
                <w:rFonts w:ascii="Times New Roman" w:hAnsi="Times New Roman"/>
                <w:sz w:val="20"/>
                <w:szCs w:val="20"/>
              </w:rPr>
              <w:t xml:space="preserve">                     </w:t>
            </w:r>
          </w:p>
          <w:p w14:paraId="1C54C708" w14:textId="77777777" w:rsidR="00392DB7" w:rsidRPr="007C5A6E" w:rsidRDefault="00392DB7" w:rsidP="00392DB7">
            <w:pPr>
              <w:spacing w:after="0" w:line="240" w:lineRule="auto"/>
              <w:jc w:val="center"/>
              <w:rPr>
                <w:rFonts w:ascii="Times New Roman" w:hAnsi="Times New Roman"/>
                <w:sz w:val="20"/>
                <w:szCs w:val="20"/>
              </w:rPr>
            </w:pPr>
            <w:r w:rsidRPr="007C5A6E">
              <w:rPr>
                <w:rFonts w:ascii="Times New Roman" w:hAnsi="Times New Roman"/>
                <w:sz w:val="20"/>
                <w:szCs w:val="20"/>
              </w:rPr>
              <w:t xml:space="preserve">           </w:t>
            </w:r>
          </w:p>
          <w:p w14:paraId="7B642F6E" w14:textId="77777777" w:rsidR="00392DB7" w:rsidRPr="007C5A6E" w:rsidRDefault="00392DB7" w:rsidP="00392DB7">
            <w:pPr>
              <w:spacing w:after="0" w:line="240" w:lineRule="auto"/>
              <w:jc w:val="center"/>
              <w:rPr>
                <w:rFonts w:ascii="Times New Roman" w:hAnsi="Times New Roman"/>
                <w:sz w:val="20"/>
                <w:szCs w:val="20"/>
              </w:rPr>
            </w:pPr>
          </w:p>
          <w:p w14:paraId="4D7C91A3" w14:textId="77777777" w:rsidR="00392DB7" w:rsidRPr="007C5A6E" w:rsidRDefault="00392DB7" w:rsidP="00392DB7">
            <w:pPr>
              <w:spacing w:after="0" w:line="240" w:lineRule="auto"/>
              <w:jc w:val="center"/>
              <w:rPr>
                <w:rFonts w:ascii="Times New Roman" w:hAnsi="Times New Roman"/>
                <w:sz w:val="20"/>
                <w:szCs w:val="20"/>
              </w:rPr>
            </w:pPr>
          </w:p>
          <w:p w14:paraId="3EEBEBAA" w14:textId="77777777" w:rsidR="00392DB7" w:rsidRPr="007C5A6E" w:rsidRDefault="00392DB7" w:rsidP="00392DB7">
            <w:pPr>
              <w:spacing w:after="0" w:line="240" w:lineRule="auto"/>
              <w:jc w:val="center"/>
              <w:rPr>
                <w:rFonts w:ascii="Times New Roman" w:hAnsi="Times New Roman"/>
                <w:sz w:val="20"/>
                <w:szCs w:val="20"/>
              </w:rPr>
            </w:pPr>
          </w:p>
          <w:p w14:paraId="7BBC9D3D" w14:textId="77777777" w:rsidR="00392DB7" w:rsidRPr="007C5A6E" w:rsidRDefault="00392DB7" w:rsidP="00392DB7">
            <w:pPr>
              <w:spacing w:after="0" w:line="240" w:lineRule="auto"/>
              <w:jc w:val="center"/>
              <w:rPr>
                <w:rFonts w:ascii="Times New Roman" w:hAnsi="Times New Roman"/>
                <w:sz w:val="20"/>
                <w:szCs w:val="20"/>
              </w:rPr>
            </w:pPr>
          </w:p>
          <w:p w14:paraId="0DE92E1D" w14:textId="77777777" w:rsidR="00392DB7" w:rsidRPr="007C5A6E" w:rsidRDefault="00392DB7" w:rsidP="00392DB7">
            <w:pPr>
              <w:spacing w:after="0" w:line="240" w:lineRule="auto"/>
              <w:jc w:val="center"/>
              <w:rPr>
                <w:rFonts w:ascii="Times New Roman" w:hAnsi="Times New Roman"/>
                <w:sz w:val="20"/>
                <w:szCs w:val="20"/>
              </w:rPr>
            </w:pPr>
          </w:p>
          <w:p w14:paraId="459AD93D" w14:textId="77777777" w:rsidR="00392DB7" w:rsidRPr="007C5A6E" w:rsidRDefault="00392DB7" w:rsidP="00392DB7">
            <w:pPr>
              <w:spacing w:after="0" w:line="240" w:lineRule="auto"/>
              <w:jc w:val="center"/>
              <w:rPr>
                <w:rFonts w:ascii="Times New Roman" w:hAnsi="Times New Roman"/>
                <w:sz w:val="20"/>
                <w:szCs w:val="20"/>
              </w:rPr>
            </w:pPr>
          </w:p>
          <w:p w14:paraId="608CD6AB" w14:textId="77777777" w:rsidR="00392DB7" w:rsidRPr="007C5A6E" w:rsidRDefault="00392DB7" w:rsidP="00392DB7">
            <w:pPr>
              <w:spacing w:after="0" w:line="240" w:lineRule="auto"/>
              <w:jc w:val="center"/>
              <w:rPr>
                <w:rFonts w:ascii="Times New Roman" w:hAnsi="Times New Roman"/>
                <w:sz w:val="20"/>
                <w:szCs w:val="20"/>
              </w:rPr>
            </w:pPr>
          </w:p>
          <w:p w14:paraId="16145256" w14:textId="77777777" w:rsidR="00392DB7" w:rsidRPr="007C5A6E" w:rsidRDefault="00392DB7" w:rsidP="00392DB7">
            <w:pPr>
              <w:spacing w:after="0" w:line="240" w:lineRule="auto"/>
              <w:jc w:val="center"/>
              <w:rPr>
                <w:rFonts w:ascii="Times New Roman" w:hAnsi="Times New Roman"/>
                <w:sz w:val="20"/>
                <w:szCs w:val="20"/>
              </w:rPr>
            </w:pPr>
          </w:p>
          <w:p w14:paraId="24A77C85" w14:textId="77777777" w:rsidR="00392DB7" w:rsidRPr="007C5A6E" w:rsidRDefault="00392DB7" w:rsidP="00392DB7">
            <w:pPr>
              <w:spacing w:after="0" w:line="240" w:lineRule="auto"/>
              <w:rPr>
                <w:rFonts w:ascii="Times New Roman" w:hAnsi="Times New Roman"/>
                <w:sz w:val="20"/>
                <w:szCs w:val="20"/>
              </w:rPr>
            </w:pPr>
          </w:p>
          <w:p w14:paraId="4860B489" w14:textId="77777777" w:rsidR="00392DB7" w:rsidRPr="007C5A6E" w:rsidRDefault="00392DB7" w:rsidP="00392DB7">
            <w:pPr>
              <w:spacing w:after="0" w:line="240" w:lineRule="auto"/>
              <w:rPr>
                <w:rFonts w:ascii="Times New Roman" w:hAnsi="Times New Roman"/>
                <w:b/>
                <w:bCs/>
                <w:sz w:val="20"/>
                <w:szCs w:val="20"/>
              </w:rPr>
            </w:pPr>
            <w:r w:rsidRPr="007C5A6E">
              <w:rPr>
                <w:rFonts w:ascii="Times New Roman" w:hAnsi="Times New Roman"/>
                <w:b/>
                <w:bCs/>
                <w:sz w:val="20"/>
                <w:szCs w:val="20"/>
              </w:rPr>
              <w:t xml:space="preserve">   </w:t>
            </w:r>
          </w:p>
        </w:tc>
      </w:tr>
    </w:tbl>
    <w:p w14:paraId="70421A6B" w14:textId="1816B9D3" w:rsidR="00392DB7" w:rsidRPr="007C5A6E" w:rsidRDefault="0007536B" w:rsidP="0007536B">
      <w:pPr>
        <w:spacing w:after="0" w:line="240" w:lineRule="auto"/>
        <w:rPr>
          <w:rFonts w:ascii="Times New Roman" w:hAnsi="Times New Roman"/>
          <w:i/>
          <w:iCs/>
          <w:sz w:val="24"/>
          <w:szCs w:val="24"/>
        </w:rPr>
      </w:pPr>
      <w:bookmarkStart w:id="74" w:name="_Toc183230849"/>
      <w:bookmarkStart w:id="75" w:name="_Toc183240642"/>
      <w:bookmarkStart w:id="76" w:name="_Toc183340381"/>
      <w:r w:rsidRPr="007C5A6E">
        <w:rPr>
          <w:rFonts w:ascii="Times New Roman" w:hAnsi="Times New Roman"/>
          <w:i/>
          <w:iCs/>
          <w:sz w:val="24"/>
          <w:szCs w:val="24"/>
        </w:rPr>
        <w:t xml:space="preserve">Figure </w:t>
      </w:r>
      <w:r w:rsidRPr="007C5A6E">
        <w:rPr>
          <w:rFonts w:ascii="Times New Roman" w:hAnsi="Times New Roman"/>
          <w:i/>
          <w:iCs/>
          <w:sz w:val="24"/>
          <w:szCs w:val="24"/>
        </w:rPr>
        <w:fldChar w:fldCharType="begin"/>
      </w:r>
      <w:r w:rsidRPr="007C5A6E">
        <w:rPr>
          <w:rFonts w:ascii="Times New Roman" w:hAnsi="Times New Roman"/>
          <w:i/>
          <w:iCs/>
          <w:sz w:val="24"/>
          <w:szCs w:val="24"/>
        </w:rPr>
        <w:instrText xml:space="preserve"> SEQ Figure \* ARABIC </w:instrText>
      </w:r>
      <w:r w:rsidRPr="007C5A6E">
        <w:rPr>
          <w:rFonts w:ascii="Times New Roman" w:hAnsi="Times New Roman"/>
          <w:i/>
          <w:iCs/>
          <w:sz w:val="24"/>
          <w:szCs w:val="24"/>
        </w:rPr>
        <w:fldChar w:fldCharType="separate"/>
      </w:r>
      <w:r w:rsidR="00AE756D" w:rsidRPr="007C5A6E">
        <w:rPr>
          <w:rFonts w:ascii="Times New Roman" w:hAnsi="Times New Roman"/>
          <w:i/>
          <w:iCs/>
          <w:noProof/>
          <w:sz w:val="24"/>
          <w:szCs w:val="24"/>
        </w:rPr>
        <w:t>2</w:t>
      </w:r>
      <w:r w:rsidRPr="007C5A6E">
        <w:rPr>
          <w:rFonts w:ascii="Times New Roman" w:hAnsi="Times New Roman"/>
          <w:i/>
          <w:iCs/>
          <w:sz w:val="24"/>
          <w:szCs w:val="24"/>
        </w:rPr>
        <w:fldChar w:fldCharType="end"/>
      </w:r>
      <w:r w:rsidR="00392DB7" w:rsidRPr="007C5A6E">
        <w:rPr>
          <w:rFonts w:ascii="Times New Roman" w:hAnsi="Times New Roman"/>
          <w:i/>
          <w:iCs/>
          <w:sz w:val="24"/>
          <w:szCs w:val="24"/>
        </w:rPr>
        <w:t>.  Dori : cumul annuel des pluies (A) ; durée de la saison des pluies (B) ; début de la campagne humide (C) ; fin de la campagne humide (D).</w:t>
      </w:r>
      <w:bookmarkEnd w:id="74"/>
      <w:bookmarkEnd w:id="75"/>
      <w:bookmarkEnd w:id="76"/>
    </w:p>
    <w:p w14:paraId="04BC877C" w14:textId="77777777" w:rsidR="007C5F5C" w:rsidRPr="007C5A6E" w:rsidRDefault="007C5F5C" w:rsidP="007C5F5C">
      <w:pPr>
        <w:spacing w:after="0" w:line="240" w:lineRule="auto"/>
        <w:jc w:val="both"/>
        <w:rPr>
          <w:rFonts w:ascii="Times New Roman" w:eastAsiaTheme="minorHAnsi" w:hAnsi="Times New Roman" w:cstheme="minorBidi"/>
          <w:kern w:val="2"/>
          <w:sz w:val="24"/>
          <w:lang w:eastAsia="en-US"/>
          <w14:ligatures w14:val="standardContextual"/>
        </w:rPr>
      </w:pPr>
    </w:p>
    <w:p w14:paraId="4680AB16" w14:textId="6CDD66C5" w:rsidR="007C5F5C" w:rsidRPr="007C5A6E" w:rsidRDefault="007C5F5C" w:rsidP="007C5F5C">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La durée de la saison des pluies croît à peine (figure 2(B)) à cause d’une légère tendance à retarder sa fin (figure 2(D)) tandis que le début apparaît stable (figure 2(C)).</w:t>
      </w:r>
    </w:p>
    <w:p w14:paraId="32FC6AD1"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p>
    <w:p w14:paraId="721B7F9D" w14:textId="307756DA" w:rsidR="00392DB7" w:rsidRPr="007C5A6E" w:rsidRDefault="00352055" w:rsidP="007C5F5C">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Le nombre de jours de pluie (figure 3(A)) suit une tendance ascendante en corrélation avec le cumul annuel de pluie. La tendance est la même pour le nombre de jours de pluie &gt; 10 mm (figure 3(B)). Quant au nombre de jours de pluie &gt; 50 mm, il demeure faible, oscillant entre 0,1 et 2 jours. Sur la 2</w:t>
      </w:r>
      <w:r w:rsidRPr="007C5A6E">
        <w:rPr>
          <w:rFonts w:ascii="Times New Roman" w:eastAsiaTheme="minorHAnsi" w:hAnsi="Times New Roman" w:cstheme="minorBidi"/>
          <w:kern w:val="2"/>
          <w:sz w:val="24"/>
          <w:vertAlign w:val="superscript"/>
          <w:lang w:eastAsia="en-US"/>
          <w14:ligatures w14:val="standardContextual"/>
        </w:rPr>
        <w:t>ème</w:t>
      </w:r>
      <w:r w:rsidRPr="007C5A6E">
        <w:rPr>
          <w:rFonts w:ascii="Times New Roman" w:eastAsiaTheme="minorHAnsi" w:hAnsi="Times New Roman" w:cstheme="minorBidi"/>
          <w:kern w:val="2"/>
          <w:sz w:val="24"/>
          <w:lang w:eastAsia="en-US"/>
          <w14:ligatures w14:val="standardContextual"/>
        </w:rPr>
        <w:t xml:space="preserve"> moitié de la période 3 années exceptionnelles (2015, 2019, 2020) laissent croire à une légère tendance à la hausse. Les pluies maximales sur 5 jours paraissent aussi à la hausse, avec une pointe exceptionnelle en 2019 égale à 27% de la pluie annuelle.</w:t>
      </w:r>
    </w:p>
    <w:tbl>
      <w:tblPr>
        <w:tblStyle w:val="Grilledutableau"/>
        <w:tblpPr w:leftFromText="141" w:rightFromText="141" w:vertAnchor="text" w:tblpY="82"/>
        <w:tblW w:w="9634" w:type="dxa"/>
        <w:tblCellMar>
          <w:left w:w="0" w:type="dxa"/>
          <w:right w:w="0" w:type="dxa"/>
        </w:tblCellMar>
        <w:tblLook w:val="04A0" w:firstRow="1" w:lastRow="0" w:firstColumn="1" w:lastColumn="0" w:noHBand="0" w:noVBand="1"/>
      </w:tblPr>
      <w:tblGrid>
        <w:gridCol w:w="4962"/>
        <w:gridCol w:w="4672"/>
      </w:tblGrid>
      <w:tr w:rsidR="00392DB7" w:rsidRPr="007C5A6E" w14:paraId="1DC10A53" w14:textId="77777777" w:rsidTr="007C5F5C">
        <w:trPr>
          <w:cantSplit/>
          <w:trHeight w:val="3109"/>
        </w:trPr>
        <w:tc>
          <w:tcPr>
            <w:tcW w:w="4962" w:type="dxa"/>
            <w:vAlign w:val="center"/>
          </w:tcPr>
          <w:p w14:paraId="23FBB195"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w:drawing>
                <wp:anchor distT="0" distB="0" distL="114300" distR="114300" simplePos="0" relativeHeight="251608576" behindDoc="1" locked="0" layoutInCell="1" allowOverlap="1" wp14:anchorId="4B5EAE58" wp14:editId="1A824909">
                  <wp:simplePos x="0" y="0"/>
                  <wp:positionH relativeFrom="column">
                    <wp:posOffset>4445</wp:posOffset>
                  </wp:positionH>
                  <wp:positionV relativeFrom="paragraph">
                    <wp:posOffset>-22225</wp:posOffset>
                  </wp:positionV>
                  <wp:extent cx="3118485" cy="1859915"/>
                  <wp:effectExtent l="0" t="0" r="5715" b="6985"/>
                  <wp:wrapNone/>
                  <wp:docPr id="152983424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834248" name="Image 1529834248"/>
                          <pic:cNvPicPr/>
                        </pic:nvPicPr>
                        <pic:blipFill>
                          <a:blip r:embed="rId24" cstate="email">
                            <a:extLst>
                              <a:ext uri="{28A0092B-C50C-407E-A947-70E740481C1C}">
                                <a14:useLocalDpi xmlns:a14="http://schemas.microsoft.com/office/drawing/2010/main"/>
                              </a:ext>
                            </a:extLst>
                          </a:blip>
                          <a:stretch>
                            <a:fillRect/>
                          </a:stretch>
                        </pic:blipFill>
                        <pic:spPr>
                          <a:xfrm>
                            <a:off x="0" y="0"/>
                            <a:ext cx="3118485" cy="1859915"/>
                          </a:xfrm>
                          <a:prstGeom prst="rect">
                            <a:avLst/>
                          </a:prstGeom>
                        </pic:spPr>
                      </pic:pic>
                    </a:graphicData>
                  </a:graphic>
                  <wp14:sizeRelH relativeFrom="margin">
                    <wp14:pctWidth>0</wp14:pctWidth>
                  </wp14:sizeRelH>
                  <wp14:sizeRelV relativeFrom="margin">
                    <wp14:pctHeight>0</wp14:pctHeight>
                  </wp14:sizeRelV>
                </wp:anchor>
              </w:drawing>
            </w:r>
            <w:r w:rsidRPr="007C5A6E">
              <w:rPr>
                <w:rFonts w:ascii="Times New Roman" w:hAnsi="Times New Roman"/>
                <w:sz w:val="24"/>
              </w:rPr>
              <w:t xml:space="preserve">                                                       </w:t>
            </w:r>
          </w:p>
          <w:p w14:paraId="09D86B3D"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b/>
                <w:bCs/>
                <w:noProof/>
                <w:sz w:val="20"/>
                <w:szCs w:val="20"/>
              </w:rPr>
              <mc:AlternateContent>
                <mc:Choice Requires="wps">
                  <w:drawing>
                    <wp:anchor distT="0" distB="0" distL="114300" distR="114300" simplePos="0" relativeHeight="251617792" behindDoc="0" locked="0" layoutInCell="1" allowOverlap="1" wp14:anchorId="351D2CE2" wp14:editId="3B4FAB79">
                      <wp:simplePos x="0" y="0"/>
                      <wp:positionH relativeFrom="column">
                        <wp:posOffset>2066925</wp:posOffset>
                      </wp:positionH>
                      <wp:positionV relativeFrom="paragraph">
                        <wp:posOffset>124460</wp:posOffset>
                      </wp:positionV>
                      <wp:extent cx="371475" cy="257175"/>
                      <wp:effectExtent l="0" t="0" r="28575" b="28575"/>
                      <wp:wrapNone/>
                      <wp:docPr id="1193437330" name="Zone de texte 11"/>
                      <wp:cNvGraphicFramePr/>
                      <a:graphic xmlns:a="http://schemas.openxmlformats.org/drawingml/2006/main">
                        <a:graphicData uri="http://schemas.microsoft.com/office/word/2010/wordprocessingShape">
                          <wps:wsp>
                            <wps:cNvSpPr txBox="1"/>
                            <wps:spPr>
                              <a:xfrm>
                                <a:off x="0" y="0"/>
                                <a:ext cx="371475" cy="257175"/>
                              </a:xfrm>
                              <a:prstGeom prst="rect">
                                <a:avLst/>
                              </a:prstGeom>
                              <a:noFill/>
                              <a:ln w="6350">
                                <a:solidFill>
                                  <a:prstClr val="black"/>
                                </a:solidFill>
                              </a:ln>
                            </wps:spPr>
                            <wps:txbx>
                              <w:txbxContent>
                                <w:p w14:paraId="5FE464F1" w14:textId="77777777" w:rsidR="00392DB7" w:rsidRPr="007F2F29" w:rsidRDefault="00392DB7" w:rsidP="00392DB7">
                                  <w:pPr>
                                    <w:jc w:val="center"/>
                                    <w:rPr>
                                      <w:szCs w:val="24"/>
                                    </w:rPr>
                                  </w:pPr>
                                  <w:r>
                                    <w:rPr>
                                      <w:b/>
                                      <w:bCs/>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D2CE2" id="_x0000_s1031" type="#_x0000_t202" style="position:absolute;margin-left:162.75pt;margin-top:9.8pt;width:29.25pt;height:20.2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" filled="f" strokeweight=".5pt">
                      <v:textbox>
                        <w:txbxContent>
                          <w:p w14:paraId="5FE464F1" w14:textId="77777777" w:rsidR="00392DB7" w:rsidRPr="007F2F29" w:rsidRDefault="00392DB7" w:rsidP="00392DB7">
                            <w:pPr>
                              <w:jc w:val="center"/>
                              <w:rPr>
                                <w:szCs w:val="24"/>
                              </w:rPr>
                            </w:pPr>
                            <w:r>
                              <w:rPr>
                                <w:b/>
                                <w:bCs/>
                                <w:szCs w:val="24"/>
                              </w:rPr>
                              <w:t>A</w:t>
                            </w:r>
                          </w:p>
                        </w:txbxContent>
                      </v:textbox>
                    </v:shape>
                  </w:pict>
                </mc:Fallback>
              </mc:AlternateContent>
            </w:r>
            <w:r w:rsidRPr="007C5A6E">
              <w:rPr>
                <w:rFonts w:ascii="Times New Roman" w:hAnsi="Times New Roman"/>
                <w:sz w:val="24"/>
              </w:rPr>
              <w:t xml:space="preserve">                                              </w:t>
            </w:r>
          </w:p>
          <w:p w14:paraId="4E96A8EC" w14:textId="77777777" w:rsidR="00392DB7" w:rsidRPr="007C5A6E" w:rsidRDefault="00392DB7" w:rsidP="00392DB7">
            <w:pPr>
              <w:spacing w:after="0" w:line="240" w:lineRule="auto"/>
              <w:rPr>
                <w:rFonts w:ascii="Times New Roman" w:hAnsi="Times New Roman"/>
                <w:b/>
                <w:bCs/>
                <w:sz w:val="24"/>
              </w:rPr>
            </w:pPr>
            <w:r w:rsidRPr="007C5A6E">
              <w:rPr>
                <w:rFonts w:ascii="Times New Roman" w:hAnsi="Times New Roman"/>
                <w:sz w:val="24"/>
              </w:rPr>
              <w:t xml:space="preserve">                                                    </w:t>
            </w:r>
            <w:r w:rsidRPr="007C5A6E">
              <w:rPr>
                <w:rFonts w:ascii="Times New Roman" w:hAnsi="Times New Roman"/>
                <w:b/>
                <w:bCs/>
                <w:sz w:val="24"/>
              </w:rPr>
              <w:t xml:space="preserve">                                                                                                            </w:t>
            </w:r>
          </w:p>
        </w:tc>
        <w:tc>
          <w:tcPr>
            <w:tcW w:w="4672" w:type="dxa"/>
            <w:vAlign w:val="center"/>
          </w:tcPr>
          <w:p w14:paraId="04DB548F" w14:textId="77777777" w:rsidR="00392DB7" w:rsidRPr="007C5A6E" w:rsidRDefault="00392DB7" w:rsidP="00392DB7">
            <w:pPr>
              <w:spacing w:after="0" w:line="240" w:lineRule="auto"/>
              <w:jc w:val="center"/>
              <w:rPr>
                <w:rFonts w:ascii="Times New Roman" w:hAnsi="Times New Roman"/>
                <w:sz w:val="24"/>
              </w:rPr>
            </w:pPr>
            <w:r w:rsidRPr="007C5A6E">
              <w:rPr>
                <w:rFonts w:ascii="Times New Roman" w:hAnsi="Times New Roman"/>
                <w:noProof/>
                <w:sz w:val="24"/>
              </w:rPr>
              <w:drawing>
                <wp:anchor distT="0" distB="0" distL="114300" distR="114300" simplePos="0" relativeHeight="251609600" behindDoc="1" locked="0" layoutInCell="1" allowOverlap="1" wp14:anchorId="7A7224D5" wp14:editId="1548877B">
                  <wp:simplePos x="0" y="0"/>
                  <wp:positionH relativeFrom="column">
                    <wp:posOffset>13970</wp:posOffset>
                  </wp:positionH>
                  <wp:positionV relativeFrom="paragraph">
                    <wp:posOffset>-22860</wp:posOffset>
                  </wp:positionV>
                  <wp:extent cx="2960370" cy="1876425"/>
                  <wp:effectExtent l="0" t="0" r="0" b="9525"/>
                  <wp:wrapNone/>
                  <wp:docPr id="211644596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445965" name="Image 2116445965"/>
                          <pic:cNvPicPr/>
                        </pic:nvPicPr>
                        <pic:blipFill>
                          <a:blip r:embed="rId25" cstate="email">
                            <a:extLst>
                              <a:ext uri="{28A0092B-C50C-407E-A947-70E740481C1C}">
                                <a14:useLocalDpi xmlns:a14="http://schemas.microsoft.com/office/drawing/2010/main"/>
                              </a:ext>
                            </a:extLst>
                          </a:blip>
                          <a:stretch>
                            <a:fillRect/>
                          </a:stretch>
                        </pic:blipFill>
                        <pic:spPr>
                          <a:xfrm>
                            <a:off x="0" y="0"/>
                            <a:ext cx="2960370" cy="1876425"/>
                          </a:xfrm>
                          <a:prstGeom prst="rect">
                            <a:avLst/>
                          </a:prstGeom>
                        </pic:spPr>
                      </pic:pic>
                    </a:graphicData>
                  </a:graphic>
                  <wp14:sizeRelH relativeFrom="margin">
                    <wp14:pctWidth>0</wp14:pctWidth>
                  </wp14:sizeRelH>
                  <wp14:sizeRelV relativeFrom="margin">
                    <wp14:pctHeight>0</wp14:pctHeight>
                  </wp14:sizeRelV>
                </wp:anchor>
              </w:drawing>
            </w:r>
          </w:p>
          <w:p w14:paraId="6D4797DC" w14:textId="77777777" w:rsidR="00392DB7" w:rsidRPr="007C5A6E" w:rsidRDefault="00392DB7" w:rsidP="00392DB7">
            <w:pPr>
              <w:spacing w:after="0" w:line="240" w:lineRule="auto"/>
              <w:jc w:val="center"/>
              <w:rPr>
                <w:rFonts w:ascii="Times New Roman" w:hAnsi="Times New Roman"/>
                <w:sz w:val="24"/>
              </w:rPr>
            </w:pPr>
            <w:r w:rsidRPr="007C5A6E">
              <w:rPr>
                <w:rFonts w:ascii="Times New Roman" w:hAnsi="Times New Roman"/>
                <w:b/>
                <w:bCs/>
                <w:noProof/>
                <w:sz w:val="20"/>
                <w:szCs w:val="20"/>
              </w:rPr>
              <mc:AlternateContent>
                <mc:Choice Requires="wps">
                  <w:drawing>
                    <wp:anchor distT="0" distB="0" distL="114300" distR="114300" simplePos="0" relativeHeight="251618816" behindDoc="0" locked="0" layoutInCell="1" allowOverlap="1" wp14:anchorId="6A43A064" wp14:editId="3F6D1CC1">
                      <wp:simplePos x="0" y="0"/>
                      <wp:positionH relativeFrom="column">
                        <wp:posOffset>1914525</wp:posOffset>
                      </wp:positionH>
                      <wp:positionV relativeFrom="paragraph">
                        <wp:posOffset>128270</wp:posOffset>
                      </wp:positionV>
                      <wp:extent cx="371475" cy="257175"/>
                      <wp:effectExtent l="0" t="0" r="28575" b="28575"/>
                      <wp:wrapNone/>
                      <wp:docPr id="422112800" name="Zone de texte 11"/>
                      <wp:cNvGraphicFramePr/>
                      <a:graphic xmlns:a="http://schemas.openxmlformats.org/drawingml/2006/main">
                        <a:graphicData uri="http://schemas.microsoft.com/office/word/2010/wordprocessingShape">
                          <wps:wsp>
                            <wps:cNvSpPr txBox="1"/>
                            <wps:spPr>
                              <a:xfrm>
                                <a:off x="0" y="0"/>
                                <a:ext cx="371475" cy="257175"/>
                              </a:xfrm>
                              <a:prstGeom prst="rect">
                                <a:avLst/>
                              </a:prstGeom>
                              <a:noFill/>
                              <a:ln w="6350">
                                <a:solidFill>
                                  <a:prstClr val="black"/>
                                </a:solidFill>
                              </a:ln>
                            </wps:spPr>
                            <wps:txbx>
                              <w:txbxContent>
                                <w:p w14:paraId="4590832C" w14:textId="77777777" w:rsidR="00392DB7" w:rsidRPr="007F2F29" w:rsidRDefault="00392DB7" w:rsidP="00392DB7">
                                  <w:pPr>
                                    <w:jc w:val="center"/>
                                    <w:rPr>
                                      <w:szCs w:val="24"/>
                                    </w:rPr>
                                  </w:pPr>
                                  <w:r>
                                    <w:rPr>
                                      <w:b/>
                                      <w:bCs/>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3A064" id="_x0000_s1032" type="#_x0000_t202" style="position:absolute;left:0;text-align:left;margin-left:150.75pt;margin-top:10.1pt;width:29.25pt;height:20.2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" filled="f" strokeweight=".5pt">
                      <v:textbox>
                        <w:txbxContent>
                          <w:p w14:paraId="4590832C" w14:textId="77777777" w:rsidR="00392DB7" w:rsidRPr="007F2F29" w:rsidRDefault="00392DB7" w:rsidP="00392DB7">
                            <w:pPr>
                              <w:jc w:val="center"/>
                              <w:rPr>
                                <w:szCs w:val="24"/>
                              </w:rPr>
                            </w:pPr>
                            <w:r>
                              <w:rPr>
                                <w:b/>
                                <w:bCs/>
                                <w:szCs w:val="24"/>
                              </w:rPr>
                              <w:t>B</w:t>
                            </w:r>
                          </w:p>
                        </w:txbxContent>
                      </v:textbox>
                    </v:shape>
                  </w:pict>
                </mc:Fallback>
              </mc:AlternateContent>
            </w:r>
          </w:p>
          <w:p w14:paraId="6E99CFAD" w14:textId="77777777" w:rsidR="00392DB7" w:rsidRPr="007C5A6E" w:rsidRDefault="00392DB7" w:rsidP="00392DB7">
            <w:pPr>
              <w:spacing w:after="0" w:line="240" w:lineRule="auto"/>
              <w:jc w:val="center"/>
              <w:rPr>
                <w:rFonts w:ascii="Times New Roman" w:hAnsi="Times New Roman"/>
                <w:b/>
                <w:bCs/>
                <w:sz w:val="24"/>
              </w:rPr>
            </w:pPr>
            <w:r w:rsidRPr="007C5A6E">
              <w:rPr>
                <w:rFonts w:ascii="Times New Roman" w:hAnsi="Times New Roman"/>
                <w:sz w:val="24"/>
              </w:rPr>
              <w:t xml:space="preserve">                 </w:t>
            </w:r>
          </w:p>
        </w:tc>
      </w:tr>
      <w:tr w:rsidR="00392DB7" w:rsidRPr="007C5A6E" w14:paraId="5B5F4FA1" w14:textId="77777777" w:rsidTr="007C5F5C">
        <w:trPr>
          <w:cantSplit/>
          <w:trHeight w:val="2966"/>
        </w:trPr>
        <w:tc>
          <w:tcPr>
            <w:tcW w:w="4962" w:type="dxa"/>
          </w:tcPr>
          <w:p w14:paraId="11B5C9FA" w14:textId="77777777" w:rsidR="00392DB7" w:rsidRPr="007C5A6E" w:rsidRDefault="00392DB7" w:rsidP="00392DB7">
            <w:pPr>
              <w:spacing w:after="0" w:line="240" w:lineRule="auto"/>
              <w:rPr>
                <w:rFonts w:ascii="Times New Roman" w:hAnsi="Times New Roman"/>
                <w:b/>
                <w:bCs/>
                <w:sz w:val="24"/>
              </w:rPr>
            </w:pPr>
            <w:r w:rsidRPr="007C5A6E">
              <w:rPr>
                <w:rFonts w:ascii="Times New Roman" w:hAnsi="Times New Roman"/>
                <w:b/>
                <w:bCs/>
                <w:noProof/>
                <w:sz w:val="20"/>
                <w:szCs w:val="20"/>
              </w:rPr>
              <mc:AlternateContent>
                <mc:Choice Requires="wps">
                  <w:drawing>
                    <wp:anchor distT="0" distB="0" distL="114300" distR="114300" simplePos="0" relativeHeight="251615744" behindDoc="0" locked="0" layoutInCell="1" allowOverlap="1" wp14:anchorId="57F4FEB0" wp14:editId="6CDB9953">
                      <wp:simplePos x="0" y="0"/>
                      <wp:positionH relativeFrom="column">
                        <wp:posOffset>714375</wp:posOffset>
                      </wp:positionH>
                      <wp:positionV relativeFrom="paragraph">
                        <wp:posOffset>393065</wp:posOffset>
                      </wp:positionV>
                      <wp:extent cx="371475" cy="257175"/>
                      <wp:effectExtent l="0" t="0" r="28575" b="28575"/>
                      <wp:wrapNone/>
                      <wp:docPr id="623973648" name="Zone de texte 11"/>
                      <wp:cNvGraphicFramePr/>
                      <a:graphic xmlns:a="http://schemas.openxmlformats.org/drawingml/2006/main">
                        <a:graphicData uri="http://schemas.microsoft.com/office/word/2010/wordprocessingShape">
                          <wps:wsp>
                            <wps:cNvSpPr txBox="1"/>
                            <wps:spPr>
                              <a:xfrm>
                                <a:off x="0" y="0"/>
                                <a:ext cx="371475" cy="257175"/>
                              </a:xfrm>
                              <a:prstGeom prst="rect">
                                <a:avLst/>
                              </a:prstGeom>
                              <a:noFill/>
                              <a:ln w="6350">
                                <a:solidFill>
                                  <a:prstClr val="black"/>
                                </a:solidFill>
                              </a:ln>
                            </wps:spPr>
                            <wps:txbx>
                              <w:txbxContent>
                                <w:p w14:paraId="5F2DA3F6" w14:textId="77777777" w:rsidR="00392DB7" w:rsidRPr="007F2F29" w:rsidRDefault="00392DB7" w:rsidP="00392DB7">
                                  <w:pPr>
                                    <w:jc w:val="center"/>
                                    <w:rPr>
                                      <w:szCs w:val="24"/>
                                    </w:rPr>
                                  </w:pPr>
                                  <w:r w:rsidRPr="007F2F29">
                                    <w:rPr>
                                      <w:b/>
                                      <w:bCs/>
                                      <w:szCs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4FEB0" id="_x0000_s1033" type="#_x0000_t202" style="position:absolute;margin-left:56.25pt;margin-top:30.95pt;width:29.25pt;height:20.2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" filled="f" strokeweight=".5pt">
                      <v:textbox>
                        <w:txbxContent>
                          <w:p w14:paraId="5F2DA3F6" w14:textId="77777777" w:rsidR="00392DB7" w:rsidRPr="007F2F29" w:rsidRDefault="00392DB7" w:rsidP="00392DB7">
                            <w:pPr>
                              <w:jc w:val="center"/>
                              <w:rPr>
                                <w:szCs w:val="24"/>
                              </w:rPr>
                            </w:pPr>
                            <w:r w:rsidRPr="007F2F29">
                              <w:rPr>
                                <w:b/>
                                <w:bCs/>
                                <w:szCs w:val="24"/>
                              </w:rPr>
                              <w:t>C</w:t>
                            </w:r>
                          </w:p>
                        </w:txbxContent>
                      </v:textbox>
                    </v:shape>
                  </w:pict>
                </mc:Fallback>
              </mc:AlternateContent>
            </w:r>
            <w:r w:rsidRPr="007C5A6E">
              <w:rPr>
                <w:rFonts w:ascii="Times New Roman" w:hAnsi="Times New Roman"/>
                <w:sz w:val="24"/>
              </w:rPr>
              <w:t xml:space="preserve"> </w:t>
            </w:r>
            <w:r w:rsidRPr="007C5A6E">
              <w:rPr>
                <w:rFonts w:ascii="Times New Roman" w:hAnsi="Times New Roman"/>
                <w:b/>
                <w:bCs/>
                <w:noProof/>
                <w:sz w:val="24"/>
              </w:rPr>
              <w:drawing>
                <wp:inline distT="0" distB="0" distL="0" distR="0" wp14:anchorId="3F95FADD" wp14:editId="07139505">
                  <wp:extent cx="3098800" cy="1838325"/>
                  <wp:effectExtent l="0" t="0" r="6350" b="9525"/>
                  <wp:docPr id="1133420898"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420898" name="Image 1133420898"/>
                          <pic:cNvPicPr/>
                        </pic:nvPicPr>
                        <pic:blipFill>
                          <a:blip r:embed="rId26" cstate="email">
                            <a:extLst>
                              <a:ext uri="{28A0092B-C50C-407E-A947-70E740481C1C}">
                                <a14:useLocalDpi xmlns:a14="http://schemas.microsoft.com/office/drawing/2010/main"/>
                              </a:ext>
                            </a:extLst>
                          </a:blip>
                          <a:stretch>
                            <a:fillRect/>
                          </a:stretch>
                        </pic:blipFill>
                        <pic:spPr>
                          <a:xfrm>
                            <a:off x="0" y="0"/>
                            <a:ext cx="3121607" cy="1851855"/>
                          </a:xfrm>
                          <a:prstGeom prst="rect">
                            <a:avLst/>
                          </a:prstGeom>
                        </pic:spPr>
                      </pic:pic>
                    </a:graphicData>
                  </a:graphic>
                </wp:inline>
              </w:drawing>
            </w:r>
          </w:p>
        </w:tc>
        <w:tc>
          <w:tcPr>
            <w:tcW w:w="4672" w:type="dxa"/>
          </w:tcPr>
          <w:p w14:paraId="06123BAA"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w:drawing>
                <wp:anchor distT="0" distB="0" distL="114300" distR="114300" simplePos="0" relativeHeight="251610624" behindDoc="1" locked="0" layoutInCell="1" allowOverlap="1" wp14:anchorId="7BF8E77F" wp14:editId="476BA130">
                  <wp:simplePos x="0" y="0"/>
                  <wp:positionH relativeFrom="column">
                    <wp:posOffset>0</wp:posOffset>
                  </wp:positionH>
                  <wp:positionV relativeFrom="paragraph">
                    <wp:posOffset>3175</wp:posOffset>
                  </wp:positionV>
                  <wp:extent cx="2887980" cy="1905000"/>
                  <wp:effectExtent l="0" t="0" r="7620" b="0"/>
                  <wp:wrapNone/>
                  <wp:docPr id="207564289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642893" name="Image 2075642893"/>
                          <pic:cNvPicPr/>
                        </pic:nvPicPr>
                        <pic:blipFill>
                          <a:blip r:embed="rId27" cstate="email">
                            <a:extLst>
                              <a:ext uri="{28A0092B-C50C-407E-A947-70E740481C1C}">
                                <a14:useLocalDpi xmlns:a14="http://schemas.microsoft.com/office/drawing/2010/main"/>
                              </a:ext>
                            </a:extLst>
                          </a:blip>
                          <a:stretch>
                            <a:fillRect/>
                          </a:stretch>
                        </pic:blipFill>
                        <pic:spPr>
                          <a:xfrm>
                            <a:off x="0" y="0"/>
                            <a:ext cx="2899342" cy="1912495"/>
                          </a:xfrm>
                          <a:prstGeom prst="rect">
                            <a:avLst/>
                          </a:prstGeom>
                        </pic:spPr>
                      </pic:pic>
                    </a:graphicData>
                  </a:graphic>
                  <wp14:sizeRelV relativeFrom="margin">
                    <wp14:pctHeight>0</wp14:pctHeight>
                  </wp14:sizeRelV>
                </wp:anchor>
              </w:drawing>
            </w:r>
            <w:r w:rsidRPr="007C5A6E">
              <w:rPr>
                <w:rFonts w:ascii="Times New Roman" w:hAnsi="Times New Roman"/>
                <w:noProof/>
                <w:sz w:val="24"/>
              </w:rPr>
              <w:t xml:space="preserve"> </w:t>
            </w:r>
            <w:r w:rsidRPr="007C5A6E">
              <w:rPr>
                <w:rFonts w:ascii="Times New Roman" w:hAnsi="Times New Roman"/>
                <w:sz w:val="24"/>
              </w:rPr>
              <w:t xml:space="preserve">    </w:t>
            </w:r>
          </w:p>
          <w:p w14:paraId="048792F2"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sz w:val="24"/>
              </w:rPr>
              <w:t xml:space="preserve">    </w:t>
            </w:r>
          </w:p>
          <w:p w14:paraId="601D0B81"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b/>
                <w:bCs/>
                <w:noProof/>
                <w:sz w:val="20"/>
                <w:szCs w:val="20"/>
              </w:rPr>
              <mc:AlternateContent>
                <mc:Choice Requires="wps">
                  <w:drawing>
                    <wp:anchor distT="0" distB="0" distL="114300" distR="114300" simplePos="0" relativeHeight="251616768" behindDoc="0" locked="0" layoutInCell="1" allowOverlap="1" wp14:anchorId="2A32935A" wp14:editId="714BB25E">
                      <wp:simplePos x="0" y="0"/>
                      <wp:positionH relativeFrom="column">
                        <wp:posOffset>924560</wp:posOffset>
                      </wp:positionH>
                      <wp:positionV relativeFrom="paragraph">
                        <wp:posOffset>112395</wp:posOffset>
                      </wp:positionV>
                      <wp:extent cx="371475" cy="314325"/>
                      <wp:effectExtent l="0" t="0" r="28575" b="28575"/>
                      <wp:wrapNone/>
                      <wp:docPr id="1062216169" name="Zone de texte 11"/>
                      <wp:cNvGraphicFramePr/>
                      <a:graphic xmlns:a="http://schemas.openxmlformats.org/drawingml/2006/main">
                        <a:graphicData uri="http://schemas.microsoft.com/office/word/2010/wordprocessingShape">
                          <wps:wsp>
                            <wps:cNvSpPr txBox="1"/>
                            <wps:spPr>
                              <a:xfrm>
                                <a:off x="0" y="0"/>
                                <a:ext cx="371475" cy="314325"/>
                              </a:xfrm>
                              <a:prstGeom prst="rect">
                                <a:avLst/>
                              </a:prstGeom>
                              <a:noFill/>
                              <a:ln w="6350">
                                <a:solidFill>
                                  <a:prstClr val="black"/>
                                </a:solidFill>
                              </a:ln>
                            </wps:spPr>
                            <wps:txbx>
                              <w:txbxContent>
                                <w:p w14:paraId="6A400D78" w14:textId="77777777" w:rsidR="00392DB7" w:rsidRPr="007F2F29" w:rsidRDefault="00392DB7" w:rsidP="00392DB7">
                                  <w:pPr>
                                    <w:jc w:val="center"/>
                                    <w:rPr>
                                      <w:szCs w:val="24"/>
                                    </w:rPr>
                                  </w:pPr>
                                  <w:r w:rsidRPr="007F2F29">
                                    <w:rPr>
                                      <w:b/>
                                      <w:bCs/>
                                      <w:szCs w:val="2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2935A" id="_x0000_s1034" type="#_x0000_t202" style="position:absolute;margin-left:72.8pt;margin-top:8.85pt;width:29.25pt;height:24.7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" filled="f" strokeweight=".5pt">
                      <v:textbox>
                        <w:txbxContent>
                          <w:p w14:paraId="6A400D78" w14:textId="77777777" w:rsidR="00392DB7" w:rsidRPr="007F2F29" w:rsidRDefault="00392DB7" w:rsidP="00392DB7">
                            <w:pPr>
                              <w:jc w:val="center"/>
                              <w:rPr>
                                <w:szCs w:val="24"/>
                              </w:rPr>
                            </w:pPr>
                            <w:r w:rsidRPr="007F2F29">
                              <w:rPr>
                                <w:b/>
                                <w:bCs/>
                                <w:szCs w:val="24"/>
                              </w:rPr>
                              <w:t>D</w:t>
                            </w:r>
                          </w:p>
                        </w:txbxContent>
                      </v:textbox>
                    </v:shape>
                  </w:pict>
                </mc:Fallback>
              </mc:AlternateContent>
            </w:r>
          </w:p>
          <w:p w14:paraId="554F398A" w14:textId="77777777" w:rsidR="00392DB7" w:rsidRPr="007C5A6E" w:rsidRDefault="00392DB7" w:rsidP="00392DB7">
            <w:pPr>
              <w:spacing w:after="0" w:line="240" w:lineRule="auto"/>
              <w:rPr>
                <w:rFonts w:ascii="Times New Roman" w:hAnsi="Times New Roman"/>
                <w:b/>
                <w:bCs/>
                <w:sz w:val="24"/>
              </w:rPr>
            </w:pPr>
            <w:r w:rsidRPr="007C5A6E">
              <w:rPr>
                <w:rFonts w:ascii="Times New Roman" w:hAnsi="Times New Roman"/>
                <w:sz w:val="24"/>
              </w:rPr>
              <w:t xml:space="preserve">                                                       </w:t>
            </w:r>
            <w:r w:rsidRPr="007C5A6E">
              <w:rPr>
                <w:rFonts w:ascii="Times New Roman" w:hAnsi="Times New Roman"/>
                <w:b/>
                <w:bCs/>
                <w:sz w:val="24"/>
              </w:rPr>
              <w:t xml:space="preserve">                                     </w:t>
            </w:r>
          </w:p>
        </w:tc>
      </w:tr>
    </w:tbl>
    <w:p w14:paraId="727EADED" w14:textId="53972BC1" w:rsidR="00392DB7" w:rsidRPr="007C5A6E" w:rsidRDefault="00352055" w:rsidP="00352055">
      <w:pPr>
        <w:spacing w:after="0" w:line="240" w:lineRule="auto"/>
        <w:rPr>
          <w:rFonts w:ascii="Times New Roman" w:hAnsi="Times New Roman"/>
          <w:i/>
          <w:iCs/>
          <w:sz w:val="24"/>
          <w:szCs w:val="24"/>
        </w:rPr>
      </w:pPr>
      <w:bookmarkStart w:id="77" w:name="_Toc183230850"/>
      <w:bookmarkStart w:id="78" w:name="_Toc183240643"/>
      <w:bookmarkStart w:id="79" w:name="_Toc183340382"/>
      <w:r w:rsidRPr="007C5A6E">
        <w:rPr>
          <w:rFonts w:ascii="Times New Roman" w:hAnsi="Times New Roman"/>
          <w:i/>
          <w:iCs/>
          <w:sz w:val="24"/>
          <w:szCs w:val="24"/>
        </w:rPr>
        <w:t xml:space="preserve">Figure </w:t>
      </w:r>
      <w:r w:rsidRPr="007C5A6E">
        <w:rPr>
          <w:rFonts w:ascii="Times New Roman" w:hAnsi="Times New Roman"/>
          <w:i/>
          <w:iCs/>
          <w:sz w:val="24"/>
          <w:szCs w:val="24"/>
        </w:rPr>
        <w:fldChar w:fldCharType="begin"/>
      </w:r>
      <w:r w:rsidRPr="007C5A6E">
        <w:rPr>
          <w:rFonts w:ascii="Times New Roman" w:hAnsi="Times New Roman"/>
          <w:i/>
          <w:iCs/>
          <w:sz w:val="24"/>
          <w:szCs w:val="24"/>
        </w:rPr>
        <w:instrText xml:space="preserve"> SEQ Figure \* ARABIC </w:instrText>
      </w:r>
      <w:r w:rsidRPr="007C5A6E">
        <w:rPr>
          <w:rFonts w:ascii="Times New Roman" w:hAnsi="Times New Roman"/>
          <w:i/>
          <w:iCs/>
          <w:sz w:val="24"/>
          <w:szCs w:val="24"/>
        </w:rPr>
        <w:fldChar w:fldCharType="separate"/>
      </w:r>
      <w:r w:rsidR="00AE756D" w:rsidRPr="007C5A6E">
        <w:rPr>
          <w:rFonts w:ascii="Times New Roman" w:hAnsi="Times New Roman"/>
          <w:i/>
          <w:iCs/>
          <w:noProof/>
          <w:sz w:val="24"/>
          <w:szCs w:val="24"/>
        </w:rPr>
        <w:t>3</w:t>
      </w:r>
      <w:r w:rsidRPr="007C5A6E">
        <w:rPr>
          <w:rFonts w:ascii="Times New Roman" w:hAnsi="Times New Roman"/>
          <w:i/>
          <w:iCs/>
          <w:sz w:val="24"/>
          <w:szCs w:val="24"/>
        </w:rPr>
        <w:fldChar w:fldCharType="end"/>
      </w:r>
      <w:r w:rsidR="005C3DFD" w:rsidRPr="007C5A6E">
        <w:rPr>
          <w:rFonts w:ascii="Times New Roman" w:hAnsi="Times New Roman"/>
          <w:i/>
          <w:iCs/>
          <w:sz w:val="24"/>
          <w:szCs w:val="24"/>
        </w:rPr>
        <w:t>.</w:t>
      </w:r>
      <w:r w:rsidR="00392DB7" w:rsidRPr="007C5A6E">
        <w:rPr>
          <w:rFonts w:ascii="Times New Roman" w:hAnsi="Times New Roman"/>
          <w:i/>
          <w:iCs/>
          <w:sz w:val="24"/>
          <w:szCs w:val="24"/>
        </w:rPr>
        <w:t xml:space="preserve"> Dori, nombre de jours de pluie &gt; 1mm (A) ; nombre de jours de pluie &gt; 10mm (B) ; nombre de jours de pluie &gt; 50mm (C) ; pluie maximale sur 5 jours (D).</w:t>
      </w:r>
      <w:bookmarkEnd w:id="77"/>
      <w:bookmarkEnd w:id="78"/>
      <w:bookmarkEnd w:id="79"/>
    </w:p>
    <w:p w14:paraId="2344A63C" w14:textId="77777777" w:rsidR="007C5F5C" w:rsidRPr="007C5A6E" w:rsidRDefault="007C5F5C" w:rsidP="007C5F5C">
      <w:pPr>
        <w:spacing w:after="0" w:line="240" w:lineRule="auto"/>
        <w:rPr>
          <w:rFonts w:ascii="Times New Roman" w:eastAsiaTheme="minorHAnsi" w:hAnsi="Times New Roman" w:cstheme="minorBidi"/>
          <w:kern w:val="2"/>
          <w:sz w:val="24"/>
          <w:lang w:eastAsia="en-US"/>
          <w14:ligatures w14:val="standardContextual"/>
        </w:rPr>
      </w:pPr>
    </w:p>
    <w:p w14:paraId="0C6E2254" w14:textId="2D0CB35C" w:rsidR="007C5F5C" w:rsidRPr="007C5A6E" w:rsidRDefault="007C5F5C" w:rsidP="007C5F5C">
      <w:pPr>
        <w:spacing w:after="0" w:line="240" w:lineRule="auto"/>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Le nombre de jours de séquence sèche est à peu près stable avec des valeurs très élevées sur 7 années régulièrement réparties sur la période et précédées ou succédées par des années à valeurs plus basses que la moyenne. Par contre le nombre de jours de séquences sèches en fin de campagne présente une tendance décroissante à la figure 4(B).</w:t>
      </w:r>
    </w:p>
    <w:p w14:paraId="7B1308A3" w14:textId="5B248734" w:rsidR="00727088" w:rsidRPr="007C5A6E" w:rsidRDefault="00727088" w:rsidP="007C5F5C">
      <w:pPr>
        <w:spacing w:after="0" w:line="240" w:lineRule="auto"/>
        <w:rPr>
          <w:rFonts w:ascii="Times New Roman" w:eastAsiaTheme="minorHAnsi" w:hAnsi="Times New Roman" w:cstheme="minorBidi"/>
          <w:kern w:val="2"/>
          <w:sz w:val="24"/>
          <w:lang w:eastAsia="en-US"/>
          <w14:ligatures w14:val="standardContextual"/>
        </w:rPr>
      </w:pPr>
    </w:p>
    <w:tbl>
      <w:tblPr>
        <w:tblStyle w:val="Grilledutableau"/>
        <w:tblW w:w="9492" w:type="dxa"/>
        <w:tblCellMar>
          <w:left w:w="0" w:type="dxa"/>
          <w:right w:w="0" w:type="dxa"/>
        </w:tblCellMar>
        <w:tblLook w:val="04A0" w:firstRow="1" w:lastRow="0" w:firstColumn="1" w:lastColumn="0" w:noHBand="0" w:noVBand="1"/>
      </w:tblPr>
      <w:tblGrid>
        <w:gridCol w:w="4712"/>
        <w:gridCol w:w="4780"/>
      </w:tblGrid>
      <w:tr w:rsidR="00727088" w:rsidRPr="007C5A6E" w14:paraId="3CC6F475" w14:textId="77777777" w:rsidTr="00727088">
        <w:trPr>
          <w:cantSplit/>
          <w:trHeight w:val="3266"/>
        </w:trPr>
        <w:tc>
          <w:tcPr>
            <w:tcW w:w="0" w:type="auto"/>
          </w:tcPr>
          <w:p w14:paraId="52880FB0" w14:textId="00F54AC8" w:rsidR="00392DB7" w:rsidRPr="007C5A6E" w:rsidRDefault="00727088" w:rsidP="007C5F5C">
            <w:pPr>
              <w:spacing w:after="0" w:line="240" w:lineRule="auto"/>
              <w:rPr>
                <w:rFonts w:ascii="Times New Roman" w:hAnsi="Times New Roman"/>
                <w:b/>
                <w:bCs/>
                <w:noProof/>
                <w:sz w:val="24"/>
                <w14:ligatures w14:val="standardContextual"/>
              </w:rPr>
            </w:pPr>
            <w:r w:rsidRPr="007C5A6E">
              <w:rPr>
                <w:rFonts w:ascii="Times New Roman" w:hAnsi="Times New Roman"/>
                <w:noProof/>
                <w:sz w:val="24"/>
              </w:rPr>
              <w:drawing>
                <wp:anchor distT="0" distB="0" distL="114300" distR="114300" simplePos="0" relativeHeight="251640320" behindDoc="0" locked="0" layoutInCell="1" allowOverlap="1" wp14:anchorId="713E28EF" wp14:editId="14AB46F9">
                  <wp:simplePos x="0" y="0"/>
                  <wp:positionH relativeFrom="column">
                    <wp:posOffset>0</wp:posOffset>
                  </wp:positionH>
                  <wp:positionV relativeFrom="paragraph">
                    <wp:posOffset>4445</wp:posOffset>
                  </wp:positionV>
                  <wp:extent cx="2943225" cy="2076450"/>
                  <wp:effectExtent l="0" t="0" r="9525" b="0"/>
                  <wp:wrapThrough wrapText="bothSides">
                    <wp:wrapPolygon edited="0">
                      <wp:start x="0" y="0"/>
                      <wp:lineTo x="0" y="21402"/>
                      <wp:lineTo x="21530" y="21402"/>
                      <wp:lineTo x="21530" y="0"/>
                      <wp:lineTo x="0" y="0"/>
                    </wp:wrapPolygon>
                  </wp:wrapThrough>
                  <wp:docPr id="146594285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942852" name="Image 1465942852"/>
                          <pic:cNvPicPr/>
                        </pic:nvPicPr>
                        <pic:blipFill>
                          <a:blip r:embed="rId28" cstate="email">
                            <a:extLst>
                              <a:ext uri="{28A0092B-C50C-407E-A947-70E740481C1C}">
                                <a14:useLocalDpi xmlns:a14="http://schemas.microsoft.com/office/drawing/2010/main"/>
                              </a:ext>
                            </a:extLst>
                          </a:blip>
                          <a:stretch>
                            <a:fillRect/>
                          </a:stretch>
                        </pic:blipFill>
                        <pic:spPr>
                          <a:xfrm>
                            <a:off x="0" y="0"/>
                            <a:ext cx="2943225" cy="2076450"/>
                          </a:xfrm>
                          <a:prstGeom prst="rect">
                            <a:avLst/>
                          </a:prstGeom>
                        </pic:spPr>
                      </pic:pic>
                    </a:graphicData>
                  </a:graphic>
                  <wp14:sizeRelH relativeFrom="margin">
                    <wp14:pctWidth>0</wp14:pctWidth>
                  </wp14:sizeRelH>
                  <wp14:sizeRelV relativeFrom="margin">
                    <wp14:pctHeight>0</wp14:pctHeight>
                  </wp14:sizeRelV>
                </wp:anchor>
              </w:drawing>
            </w:r>
            <w:r w:rsidR="00392DB7" w:rsidRPr="007C5A6E">
              <w:rPr>
                <w:rFonts w:ascii="Times New Roman" w:hAnsi="Times New Roman"/>
                <w:noProof/>
                <w:sz w:val="24"/>
              </w:rPr>
              <mc:AlternateContent>
                <mc:Choice Requires="wps">
                  <w:drawing>
                    <wp:anchor distT="0" distB="0" distL="114300" distR="114300" simplePos="0" relativeHeight="251641344" behindDoc="0" locked="0" layoutInCell="1" allowOverlap="1" wp14:anchorId="0006B5B7" wp14:editId="62DC041A">
                      <wp:simplePos x="0" y="0"/>
                      <wp:positionH relativeFrom="column">
                        <wp:posOffset>455930</wp:posOffset>
                      </wp:positionH>
                      <wp:positionV relativeFrom="paragraph">
                        <wp:posOffset>354965</wp:posOffset>
                      </wp:positionV>
                      <wp:extent cx="314325" cy="295275"/>
                      <wp:effectExtent l="0" t="0" r="28575" b="28575"/>
                      <wp:wrapNone/>
                      <wp:docPr id="964614935" name="Zone de texte 6"/>
                      <wp:cNvGraphicFramePr/>
                      <a:graphic xmlns:a="http://schemas.openxmlformats.org/drawingml/2006/main">
                        <a:graphicData uri="http://schemas.microsoft.com/office/word/2010/wordprocessingShape">
                          <wps:wsp>
                            <wps:cNvSpPr txBox="1"/>
                            <wps:spPr>
                              <a:xfrm>
                                <a:off x="0" y="0"/>
                                <a:ext cx="314325" cy="295275"/>
                              </a:xfrm>
                              <a:prstGeom prst="rect">
                                <a:avLst/>
                              </a:prstGeom>
                              <a:solidFill>
                                <a:sysClr val="window" lastClr="FFFFFF"/>
                              </a:solidFill>
                              <a:ln w="6350">
                                <a:solidFill>
                                  <a:prstClr val="black"/>
                                </a:solidFill>
                              </a:ln>
                            </wps:spPr>
                            <wps:txbx>
                              <w:txbxContent>
                                <w:p w14:paraId="76FC4E81" w14:textId="77777777" w:rsidR="00392DB7" w:rsidRPr="00992337" w:rsidRDefault="00392DB7" w:rsidP="00392DB7">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06B5B7" id="Zone de texte 6" o:spid="_x0000_s1035" type="#_x0000_t202" style="position:absolute;margin-left:35.9pt;margin-top:27.95pt;width:24.75pt;height:23.25pt;z-index:25164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" fillcolor="window" strokeweight=".5pt">
                      <v:textbox>
                        <w:txbxContent>
                          <w:p w14:paraId="76FC4E81" w14:textId="77777777" w:rsidR="00392DB7" w:rsidRPr="00992337" w:rsidRDefault="00392DB7" w:rsidP="00392DB7">
                            <w:r>
                              <w:t>A</w:t>
                            </w:r>
                          </w:p>
                        </w:txbxContent>
                      </v:textbox>
                    </v:shape>
                  </w:pict>
                </mc:Fallback>
              </mc:AlternateContent>
            </w:r>
          </w:p>
        </w:tc>
        <w:tc>
          <w:tcPr>
            <w:tcW w:w="0" w:type="auto"/>
          </w:tcPr>
          <w:p w14:paraId="48CEB372" w14:textId="2F97ED1E" w:rsidR="00392DB7" w:rsidRPr="007C5A6E" w:rsidRDefault="00392DB7" w:rsidP="007C5F5C">
            <w:pPr>
              <w:spacing w:after="0" w:line="240" w:lineRule="auto"/>
              <w:rPr>
                <w:rFonts w:ascii="Times New Roman" w:hAnsi="Times New Roman"/>
                <w:b/>
                <w:bCs/>
                <w:sz w:val="24"/>
              </w:rPr>
            </w:pPr>
            <w:r w:rsidRPr="007C5A6E">
              <w:rPr>
                <w:rFonts w:ascii="Times New Roman" w:hAnsi="Times New Roman"/>
                <w:noProof/>
                <w:sz w:val="24"/>
              </w:rPr>
              <w:drawing>
                <wp:anchor distT="0" distB="0" distL="114300" distR="114300" simplePos="0" relativeHeight="251643392" behindDoc="0" locked="0" layoutInCell="1" allowOverlap="1" wp14:anchorId="5D9B9084" wp14:editId="2DA4F0EB">
                  <wp:simplePos x="0" y="0"/>
                  <wp:positionH relativeFrom="column">
                    <wp:posOffset>62865</wp:posOffset>
                  </wp:positionH>
                  <wp:positionV relativeFrom="paragraph">
                    <wp:posOffset>61595</wp:posOffset>
                  </wp:positionV>
                  <wp:extent cx="2995930" cy="2019300"/>
                  <wp:effectExtent l="0" t="0" r="0" b="0"/>
                  <wp:wrapThrough wrapText="bothSides">
                    <wp:wrapPolygon edited="0">
                      <wp:start x="0" y="0"/>
                      <wp:lineTo x="0" y="21396"/>
                      <wp:lineTo x="21426" y="21396"/>
                      <wp:lineTo x="21426" y="0"/>
                      <wp:lineTo x="0" y="0"/>
                    </wp:wrapPolygon>
                  </wp:wrapThrough>
                  <wp:docPr id="115811875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118753" name="Image 1158118753"/>
                          <pic:cNvPicPr/>
                        </pic:nvPicPr>
                        <pic:blipFill>
                          <a:blip r:embed="rId29" cstate="email">
                            <a:extLst>
                              <a:ext uri="{28A0092B-C50C-407E-A947-70E740481C1C}">
                                <a14:useLocalDpi xmlns:a14="http://schemas.microsoft.com/office/drawing/2010/main"/>
                              </a:ext>
                            </a:extLst>
                          </a:blip>
                          <a:stretch>
                            <a:fillRect/>
                          </a:stretch>
                        </pic:blipFill>
                        <pic:spPr>
                          <a:xfrm>
                            <a:off x="0" y="0"/>
                            <a:ext cx="2995930" cy="2019300"/>
                          </a:xfrm>
                          <a:prstGeom prst="rect">
                            <a:avLst/>
                          </a:prstGeom>
                        </pic:spPr>
                      </pic:pic>
                    </a:graphicData>
                  </a:graphic>
                  <wp14:sizeRelH relativeFrom="margin">
                    <wp14:pctWidth>0</wp14:pctWidth>
                  </wp14:sizeRelH>
                </wp:anchor>
              </w:drawing>
            </w:r>
            <w:r w:rsidRPr="007C5A6E">
              <w:rPr>
                <w:rFonts w:ascii="Times New Roman" w:hAnsi="Times New Roman"/>
                <w:noProof/>
                <w:sz w:val="24"/>
              </w:rPr>
              <mc:AlternateContent>
                <mc:Choice Requires="wps">
                  <w:drawing>
                    <wp:anchor distT="0" distB="0" distL="114300" distR="114300" simplePos="0" relativeHeight="251647488" behindDoc="0" locked="0" layoutInCell="1" allowOverlap="1" wp14:anchorId="18F4ECAD" wp14:editId="0728671E">
                      <wp:simplePos x="0" y="0"/>
                      <wp:positionH relativeFrom="column">
                        <wp:posOffset>512445</wp:posOffset>
                      </wp:positionH>
                      <wp:positionV relativeFrom="paragraph">
                        <wp:posOffset>367665</wp:posOffset>
                      </wp:positionV>
                      <wp:extent cx="333375" cy="285750"/>
                      <wp:effectExtent l="0" t="0" r="28575" b="19050"/>
                      <wp:wrapNone/>
                      <wp:docPr id="44817659" name="Zone de texte 35"/>
                      <wp:cNvGraphicFramePr/>
                      <a:graphic xmlns:a="http://schemas.openxmlformats.org/drawingml/2006/main">
                        <a:graphicData uri="http://schemas.microsoft.com/office/word/2010/wordprocessingShape">
                          <wps:wsp>
                            <wps:cNvSpPr txBox="1"/>
                            <wps:spPr>
                              <a:xfrm>
                                <a:off x="0" y="0"/>
                                <a:ext cx="333375" cy="285750"/>
                              </a:xfrm>
                              <a:prstGeom prst="rect">
                                <a:avLst/>
                              </a:prstGeom>
                              <a:solidFill>
                                <a:sysClr val="window" lastClr="FFFFFF"/>
                              </a:solidFill>
                              <a:ln w="6350">
                                <a:solidFill>
                                  <a:prstClr val="black"/>
                                </a:solidFill>
                              </a:ln>
                            </wps:spPr>
                            <wps:txbx>
                              <w:txbxContent>
                                <w:p w14:paraId="23A8D91E" w14:textId="77777777" w:rsidR="00392DB7" w:rsidRPr="00B50464" w:rsidRDefault="00392DB7" w:rsidP="00392DB7">
                                  <w:pPr>
                                    <w:jc w:val="center"/>
                                    <w:rPr>
                                      <w:b/>
                                      <w:bCs/>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F4ECAD" id="Zone de texte 35" o:spid="_x0000_s1036" type="#_x0000_t202" style="position:absolute;margin-left:40.35pt;margin-top:28.95pt;width:26.25pt;height:22.5pt;z-index:25164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" fillcolor="window" strokeweight=".5pt">
                      <v:textbox>
                        <w:txbxContent>
                          <w:p w14:paraId="23A8D91E" w14:textId="77777777" w:rsidR="00392DB7" w:rsidRPr="00B50464" w:rsidRDefault="00392DB7" w:rsidP="00392DB7">
                            <w:pPr>
                              <w:jc w:val="center"/>
                              <w:rPr>
                                <w:b/>
                                <w:bCs/>
                              </w:rPr>
                            </w:pPr>
                            <w:r>
                              <w:rPr>
                                <w:b/>
                                <w:bCs/>
                              </w:rPr>
                              <w:t>B</w:t>
                            </w:r>
                          </w:p>
                        </w:txbxContent>
                      </v:textbox>
                    </v:shape>
                  </w:pict>
                </mc:Fallback>
              </mc:AlternateContent>
            </w:r>
            <w:r w:rsidRPr="007C5A6E">
              <w:rPr>
                <w:rFonts w:ascii="Times New Roman" w:hAnsi="Times New Roman"/>
                <w:noProof/>
                <w:sz w:val="24"/>
              </w:rPr>
              <mc:AlternateContent>
                <mc:Choice Requires="wps">
                  <w:drawing>
                    <wp:anchor distT="0" distB="0" distL="114300" distR="114300" simplePos="0" relativeHeight="251642368" behindDoc="0" locked="0" layoutInCell="1" allowOverlap="1" wp14:anchorId="34089B34" wp14:editId="4936E14C">
                      <wp:simplePos x="0" y="0"/>
                      <wp:positionH relativeFrom="column">
                        <wp:posOffset>1604010</wp:posOffset>
                      </wp:positionH>
                      <wp:positionV relativeFrom="paragraph">
                        <wp:posOffset>469265</wp:posOffset>
                      </wp:positionV>
                      <wp:extent cx="314325" cy="295275"/>
                      <wp:effectExtent l="0" t="0" r="28575" b="28575"/>
                      <wp:wrapNone/>
                      <wp:docPr id="526020453" name="Zone de texte 6"/>
                      <wp:cNvGraphicFramePr/>
                      <a:graphic xmlns:a="http://schemas.openxmlformats.org/drawingml/2006/main">
                        <a:graphicData uri="http://schemas.microsoft.com/office/word/2010/wordprocessingShape">
                          <wps:wsp>
                            <wps:cNvSpPr txBox="1"/>
                            <wps:spPr>
                              <a:xfrm>
                                <a:off x="0" y="0"/>
                                <a:ext cx="314325" cy="295275"/>
                              </a:xfrm>
                              <a:prstGeom prst="rect">
                                <a:avLst/>
                              </a:prstGeom>
                              <a:solidFill>
                                <a:sysClr val="window" lastClr="FFFFFF"/>
                              </a:solidFill>
                              <a:ln w="6350">
                                <a:solidFill>
                                  <a:prstClr val="black"/>
                                </a:solidFill>
                              </a:ln>
                            </wps:spPr>
                            <wps:txbx>
                              <w:txbxContent>
                                <w:p w14:paraId="0FEEF89F" w14:textId="77777777" w:rsidR="00392DB7" w:rsidRPr="00992337" w:rsidRDefault="00392DB7" w:rsidP="00392DB7">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089B34" id="_x0000_s1037" type="#_x0000_t202" style="position:absolute;margin-left:126.3pt;margin-top:36.95pt;width:24.75pt;height:23.25pt;z-index:25164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" fillcolor="window" strokeweight=".5pt">
                      <v:textbox>
                        <w:txbxContent>
                          <w:p w14:paraId="0FEEF89F" w14:textId="77777777" w:rsidR="00392DB7" w:rsidRPr="00992337" w:rsidRDefault="00392DB7" w:rsidP="00392DB7">
                            <w:r>
                              <w:t>B</w:t>
                            </w:r>
                          </w:p>
                        </w:txbxContent>
                      </v:textbox>
                    </v:shape>
                  </w:pict>
                </mc:Fallback>
              </mc:AlternateContent>
            </w:r>
          </w:p>
        </w:tc>
      </w:tr>
    </w:tbl>
    <w:p w14:paraId="379CF064" w14:textId="455D296E" w:rsidR="00392DB7" w:rsidRPr="007C5A6E" w:rsidRDefault="00727088" w:rsidP="00727088">
      <w:pPr>
        <w:pStyle w:val="Lgende"/>
        <w:spacing w:after="0"/>
        <w:rPr>
          <w:rFonts w:ascii="Times New Roman" w:eastAsiaTheme="minorHAnsi" w:hAnsi="Times New Roman"/>
          <w:color w:val="auto"/>
          <w:kern w:val="2"/>
          <w:sz w:val="24"/>
          <w:szCs w:val="24"/>
          <w:lang w:eastAsia="en-US"/>
          <w14:ligatures w14:val="standardContextual"/>
        </w:rPr>
      </w:pPr>
      <w:bookmarkStart w:id="80" w:name="_Toc183230851"/>
      <w:bookmarkStart w:id="81" w:name="_Toc183240644"/>
      <w:bookmarkStart w:id="82" w:name="_Toc183340383"/>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4</w:t>
      </w:r>
      <w:r w:rsidRPr="007C5A6E">
        <w:rPr>
          <w:rFonts w:ascii="Times New Roman" w:hAnsi="Times New Roman"/>
          <w:color w:val="auto"/>
          <w:sz w:val="24"/>
          <w:szCs w:val="24"/>
        </w:rPr>
        <w:fldChar w:fldCharType="end"/>
      </w:r>
      <w:r w:rsidR="00E47058" w:rsidRPr="007C5A6E">
        <w:rPr>
          <w:rFonts w:ascii="Times New Roman" w:hAnsi="Times New Roman"/>
          <w:color w:val="auto"/>
          <w:sz w:val="24"/>
          <w:szCs w:val="24"/>
        </w:rPr>
        <w:t>.</w:t>
      </w:r>
      <w:r w:rsidRPr="007C5A6E">
        <w:rPr>
          <w:rFonts w:ascii="Times New Roman" w:hAnsi="Times New Roman"/>
          <w:color w:val="auto"/>
          <w:sz w:val="24"/>
          <w:szCs w:val="24"/>
        </w:rPr>
        <w:t xml:space="preserve"> </w:t>
      </w:r>
      <w:r w:rsidR="00392DB7" w:rsidRPr="007C5A6E">
        <w:rPr>
          <w:rFonts w:ascii="Times New Roman" w:eastAsiaTheme="minorHAnsi" w:hAnsi="Times New Roman"/>
          <w:color w:val="auto"/>
          <w:kern w:val="2"/>
          <w:sz w:val="24"/>
          <w:szCs w:val="24"/>
          <w:lang w:eastAsia="en-US"/>
          <w14:ligatures w14:val="standardContextual"/>
        </w:rPr>
        <w:t>Dori</w:t>
      </w:r>
      <w:r w:rsidRPr="007C5A6E">
        <w:rPr>
          <w:rFonts w:ascii="Times New Roman" w:eastAsiaTheme="minorHAnsi" w:hAnsi="Times New Roman"/>
          <w:color w:val="auto"/>
          <w:kern w:val="2"/>
          <w:sz w:val="24"/>
          <w:szCs w:val="24"/>
          <w:lang w:eastAsia="en-US"/>
          <w14:ligatures w14:val="standardContextual"/>
        </w:rPr>
        <w:t xml:space="preserve">, </w:t>
      </w:r>
      <w:r w:rsidR="00392DB7" w:rsidRPr="007C5A6E">
        <w:rPr>
          <w:rFonts w:ascii="Times New Roman" w:eastAsiaTheme="minorHAnsi" w:hAnsi="Times New Roman"/>
          <w:color w:val="auto"/>
          <w:kern w:val="2"/>
          <w:sz w:val="24"/>
          <w:szCs w:val="24"/>
          <w:lang w:eastAsia="en-US"/>
          <w14:ligatures w14:val="standardContextual"/>
        </w:rPr>
        <w:t>nombre de jours de séquence sèche en début de campagne (A) ; nombre de jours de séquences sèches en fin de campagne (B).</w:t>
      </w:r>
      <w:bookmarkEnd w:id="80"/>
      <w:bookmarkEnd w:id="81"/>
      <w:bookmarkEnd w:id="82"/>
    </w:p>
    <w:p w14:paraId="26A19C34" w14:textId="77777777" w:rsidR="00E47058" w:rsidRPr="007C5A6E" w:rsidRDefault="00E47058" w:rsidP="00E47058">
      <w:pPr>
        <w:pStyle w:val="Sansinterligne"/>
        <w:rPr>
          <w:rFonts w:eastAsiaTheme="minorHAnsi"/>
          <w:lang w:eastAsia="en-US"/>
        </w:rPr>
      </w:pPr>
    </w:p>
    <w:p w14:paraId="55FD656D" w14:textId="77777777" w:rsidR="00392DB7" w:rsidRPr="007C5A6E" w:rsidRDefault="00392DB7" w:rsidP="003F3821">
      <w:pPr>
        <w:pStyle w:val="Titre5"/>
        <w:numPr>
          <w:ilvl w:val="4"/>
          <w:numId w:val="4"/>
        </w:numPr>
        <w:ind w:left="907" w:hanging="907"/>
        <w:rPr>
          <w:rFonts w:ascii="Times New Roman" w:hAnsi="Times New Roman" w:cs="Times New Roman"/>
          <w:color w:val="auto"/>
          <w:u w:val="single"/>
          <w:lang w:eastAsia="en-US"/>
        </w:rPr>
      </w:pPr>
      <w:bookmarkStart w:id="83" w:name="_Toc183340032"/>
      <w:r w:rsidRPr="007C5A6E">
        <w:rPr>
          <w:rFonts w:ascii="Times New Roman" w:hAnsi="Times New Roman" w:cs="Times New Roman"/>
          <w:color w:val="auto"/>
          <w:u w:val="single"/>
          <w:lang w:eastAsia="en-US"/>
        </w:rPr>
        <w:t>La température</w:t>
      </w:r>
      <w:bookmarkEnd w:id="83"/>
    </w:p>
    <w:p w14:paraId="7528E0E2" w14:textId="77777777" w:rsidR="00392DB7" w:rsidRPr="007C5A6E" w:rsidRDefault="00392DB7" w:rsidP="00727088">
      <w:pPr>
        <w:spacing w:after="0" w:line="240" w:lineRule="auto"/>
        <w:rPr>
          <w:rFonts w:ascii="Times New Roman" w:eastAsiaTheme="minorHAnsi" w:hAnsi="Times New Roman" w:cstheme="minorBidi"/>
          <w:kern w:val="2"/>
          <w:sz w:val="24"/>
          <w:lang w:eastAsia="en-US"/>
          <w14:ligatures w14:val="standardContextual"/>
        </w:rPr>
      </w:pPr>
    </w:p>
    <w:p w14:paraId="3C483995" w14:textId="77777777" w:rsidR="00392DB7" w:rsidRPr="007C5A6E" w:rsidRDefault="00392DB7" w:rsidP="00727088">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On constate pour la température moyenne annuelle, en ce qui concerne les amplitudes de variations interannuelles, deux cycles de 15 ans chacun, rythmés par de fortes variations sur 5 ans, suivie de variations modérées sur 10 ans (figure 5(A)). La tendance est manifestement à la hausse.</w:t>
      </w:r>
    </w:p>
    <w:p w14:paraId="23117C5E" w14:textId="77777777" w:rsidR="00727088" w:rsidRPr="007C5A6E" w:rsidRDefault="00392DB7" w:rsidP="00727088">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 xml:space="preserve">Le nombre de jours chauds </w:t>
      </w:r>
      <w:proofErr w:type="gramStart"/>
      <w:r w:rsidRPr="007C5A6E">
        <w:rPr>
          <w:rFonts w:ascii="Times New Roman" w:eastAsiaTheme="minorHAnsi" w:hAnsi="Times New Roman" w:cstheme="minorBidi"/>
          <w:kern w:val="2"/>
          <w:sz w:val="24"/>
          <w:lang w:eastAsia="en-US"/>
          <w14:ligatures w14:val="standardContextual"/>
        </w:rPr>
        <w:t>a</w:t>
      </w:r>
      <w:proofErr w:type="gramEnd"/>
      <w:r w:rsidRPr="007C5A6E">
        <w:rPr>
          <w:rFonts w:ascii="Times New Roman" w:eastAsiaTheme="minorHAnsi" w:hAnsi="Times New Roman" w:cstheme="minorBidi"/>
          <w:kern w:val="2"/>
          <w:sz w:val="24"/>
          <w:lang w:eastAsia="en-US"/>
          <w14:ligatures w14:val="standardContextual"/>
        </w:rPr>
        <w:t xml:space="preserve"> une tendance à la baisse (figure 5(B)), ainsi que la température maximale (figure 5(D)), ce qui implique une tendance forte à la hausse de la température minimale (figure 5(C)) puisque la température moyenne est à la hausse.</w:t>
      </w:r>
    </w:p>
    <w:p w14:paraId="5F6AFF01"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p>
    <w:tbl>
      <w:tblPr>
        <w:tblStyle w:val="Grilledutableau"/>
        <w:tblW w:w="9634" w:type="dxa"/>
        <w:tblLayout w:type="fixed"/>
        <w:tblCellMar>
          <w:left w:w="0" w:type="dxa"/>
          <w:right w:w="0" w:type="dxa"/>
        </w:tblCellMar>
        <w:tblLook w:val="04A0" w:firstRow="1" w:lastRow="0" w:firstColumn="1" w:lastColumn="0" w:noHBand="0" w:noVBand="1"/>
      </w:tblPr>
      <w:tblGrid>
        <w:gridCol w:w="4698"/>
        <w:gridCol w:w="4936"/>
      </w:tblGrid>
      <w:tr w:rsidR="00392DB7" w:rsidRPr="007C5A6E" w14:paraId="0FD8741D" w14:textId="77777777" w:rsidTr="00457BED">
        <w:trPr>
          <w:cantSplit/>
          <w:trHeight w:val="3458"/>
        </w:trPr>
        <w:tc>
          <w:tcPr>
            <w:tcW w:w="4698" w:type="dxa"/>
          </w:tcPr>
          <w:p w14:paraId="26C5A65A"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46464" behindDoc="0" locked="0" layoutInCell="1" allowOverlap="1" wp14:anchorId="596DFE6B" wp14:editId="6BC63898">
                      <wp:simplePos x="0" y="0"/>
                      <wp:positionH relativeFrom="column">
                        <wp:posOffset>450850</wp:posOffset>
                      </wp:positionH>
                      <wp:positionV relativeFrom="paragraph">
                        <wp:posOffset>293370</wp:posOffset>
                      </wp:positionV>
                      <wp:extent cx="333375" cy="285750"/>
                      <wp:effectExtent l="0" t="0" r="28575" b="19050"/>
                      <wp:wrapNone/>
                      <wp:docPr id="1412946221" name="Zone de texte 35"/>
                      <wp:cNvGraphicFramePr/>
                      <a:graphic xmlns:a="http://schemas.openxmlformats.org/drawingml/2006/main">
                        <a:graphicData uri="http://schemas.microsoft.com/office/word/2010/wordprocessingShape">
                          <wps:wsp>
                            <wps:cNvSpPr txBox="1"/>
                            <wps:spPr>
                              <a:xfrm>
                                <a:off x="0" y="0"/>
                                <a:ext cx="333375" cy="285750"/>
                              </a:xfrm>
                              <a:prstGeom prst="rect">
                                <a:avLst/>
                              </a:prstGeom>
                              <a:solidFill>
                                <a:sysClr val="window" lastClr="FFFFFF"/>
                              </a:solidFill>
                              <a:ln w="6350">
                                <a:solidFill>
                                  <a:prstClr val="black"/>
                                </a:solidFill>
                              </a:ln>
                            </wps:spPr>
                            <wps:txbx>
                              <w:txbxContent>
                                <w:p w14:paraId="5EE0AD82" w14:textId="77777777" w:rsidR="00392DB7" w:rsidRPr="00B50464" w:rsidRDefault="00392DB7" w:rsidP="00392DB7">
                                  <w:pPr>
                                    <w:jc w:val="center"/>
                                    <w:rPr>
                                      <w:b/>
                                      <w:bCs/>
                                    </w:rPr>
                                  </w:pPr>
                                  <w:r>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6DFE6B" id="_x0000_s1038" type="#_x0000_t202" style="position:absolute;margin-left:35.5pt;margin-top:23.1pt;width:26.25pt;height:22.5pt;z-index:25164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" fillcolor="window" strokeweight=".5pt">
                      <v:textbox>
                        <w:txbxContent>
                          <w:p w14:paraId="5EE0AD82" w14:textId="77777777" w:rsidR="00392DB7" w:rsidRPr="00B50464" w:rsidRDefault="00392DB7" w:rsidP="00392DB7">
                            <w:pPr>
                              <w:jc w:val="center"/>
                              <w:rPr>
                                <w:b/>
                                <w:bCs/>
                              </w:rPr>
                            </w:pPr>
                            <w:r>
                              <w:rPr>
                                <w:b/>
                                <w:bCs/>
                              </w:rPr>
                              <w:t>A</w:t>
                            </w:r>
                          </w:p>
                        </w:txbxContent>
                      </v:textbox>
                    </v:shape>
                  </w:pict>
                </mc:Fallback>
              </mc:AlternateContent>
            </w:r>
            <w:r w:rsidRPr="007C5A6E">
              <w:rPr>
                <w:rFonts w:ascii="Times New Roman" w:hAnsi="Times New Roman"/>
                <w:noProof/>
                <w:sz w:val="24"/>
              </w:rPr>
              <w:drawing>
                <wp:inline distT="0" distB="0" distL="0" distR="0" wp14:anchorId="2E760460" wp14:editId="7C824BDA">
                  <wp:extent cx="2847362" cy="2200275"/>
                  <wp:effectExtent l="0" t="0" r="0" b="0"/>
                  <wp:docPr id="1891527324"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527324" name="Image 1891527324"/>
                          <pic:cNvPicPr/>
                        </pic:nvPicPr>
                        <pic:blipFill>
                          <a:blip r:embed="rId30" cstate="email">
                            <a:extLst>
                              <a:ext uri="{28A0092B-C50C-407E-A947-70E740481C1C}">
                                <a14:useLocalDpi xmlns:a14="http://schemas.microsoft.com/office/drawing/2010/main"/>
                              </a:ext>
                            </a:extLst>
                          </a:blip>
                          <a:stretch>
                            <a:fillRect/>
                          </a:stretch>
                        </pic:blipFill>
                        <pic:spPr>
                          <a:xfrm>
                            <a:off x="0" y="0"/>
                            <a:ext cx="2917964" cy="2254832"/>
                          </a:xfrm>
                          <a:prstGeom prst="rect">
                            <a:avLst/>
                          </a:prstGeom>
                        </pic:spPr>
                      </pic:pic>
                    </a:graphicData>
                  </a:graphic>
                </wp:inline>
              </w:drawing>
            </w:r>
          </w:p>
        </w:tc>
        <w:tc>
          <w:tcPr>
            <w:tcW w:w="4936" w:type="dxa"/>
          </w:tcPr>
          <w:p w14:paraId="078B8E22"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48512" behindDoc="0" locked="0" layoutInCell="1" allowOverlap="1" wp14:anchorId="121461E3" wp14:editId="32FBF34B">
                      <wp:simplePos x="0" y="0"/>
                      <wp:positionH relativeFrom="column">
                        <wp:posOffset>2353945</wp:posOffset>
                      </wp:positionH>
                      <wp:positionV relativeFrom="paragraph">
                        <wp:posOffset>226695</wp:posOffset>
                      </wp:positionV>
                      <wp:extent cx="333375" cy="285750"/>
                      <wp:effectExtent l="0" t="0" r="28575" b="19050"/>
                      <wp:wrapNone/>
                      <wp:docPr id="1503045687" name="Zone de texte 35"/>
                      <wp:cNvGraphicFramePr/>
                      <a:graphic xmlns:a="http://schemas.openxmlformats.org/drawingml/2006/main">
                        <a:graphicData uri="http://schemas.microsoft.com/office/word/2010/wordprocessingShape">
                          <wps:wsp>
                            <wps:cNvSpPr txBox="1"/>
                            <wps:spPr>
                              <a:xfrm>
                                <a:off x="0" y="0"/>
                                <a:ext cx="333375" cy="285750"/>
                              </a:xfrm>
                              <a:prstGeom prst="rect">
                                <a:avLst/>
                              </a:prstGeom>
                              <a:solidFill>
                                <a:sysClr val="window" lastClr="FFFFFF"/>
                              </a:solidFill>
                              <a:ln w="6350">
                                <a:solidFill>
                                  <a:prstClr val="black"/>
                                </a:solidFill>
                              </a:ln>
                            </wps:spPr>
                            <wps:txbx>
                              <w:txbxContent>
                                <w:p w14:paraId="338FF3B8" w14:textId="77777777" w:rsidR="00392DB7" w:rsidRPr="00B50464" w:rsidRDefault="00392DB7" w:rsidP="00392DB7">
                                  <w:pPr>
                                    <w:jc w:val="center"/>
                                    <w:rPr>
                                      <w:b/>
                                      <w:bCs/>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1461E3" id="_x0000_s1039" type="#_x0000_t202" style="position:absolute;margin-left:185.35pt;margin-top:17.85pt;width:26.25pt;height:22.5pt;z-index:25164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" fillcolor="window" strokeweight=".5pt">
                      <v:textbox>
                        <w:txbxContent>
                          <w:p w14:paraId="338FF3B8" w14:textId="77777777" w:rsidR="00392DB7" w:rsidRPr="00B50464" w:rsidRDefault="00392DB7" w:rsidP="00392DB7">
                            <w:pPr>
                              <w:jc w:val="center"/>
                              <w:rPr>
                                <w:b/>
                                <w:bCs/>
                              </w:rPr>
                            </w:pPr>
                            <w:r>
                              <w:rPr>
                                <w:b/>
                                <w:bCs/>
                              </w:rPr>
                              <w:t>B</w:t>
                            </w:r>
                          </w:p>
                        </w:txbxContent>
                      </v:textbox>
                    </v:shape>
                  </w:pict>
                </mc:Fallback>
              </mc:AlternateContent>
            </w:r>
            <w:r w:rsidRPr="007C5A6E">
              <w:rPr>
                <w:rFonts w:ascii="Times New Roman" w:hAnsi="Times New Roman"/>
                <w:noProof/>
                <w:sz w:val="24"/>
              </w:rPr>
              <w:drawing>
                <wp:inline distT="0" distB="0" distL="0" distR="0" wp14:anchorId="06B16193" wp14:editId="167408CD">
                  <wp:extent cx="3128010" cy="2200275"/>
                  <wp:effectExtent l="0" t="0" r="0" b="9525"/>
                  <wp:docPr id="1376898573"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898573" name="Image 1376898573"/>
                          <pic:cNvPicPr/>
                        </pic:nvPicPr>
                        <pic:blipFill>
                          <a:blip r:embed="rId31" cstate="email">
                            <a:extLst>
                              <a:ext uri="{28A0092B-C50C-407E-A947-70E740481C1C}">
                                <a14:useLocalDpi xmlns:a14="http://schemas.microsoft.com/office/drawing/2010/main"/>
                              </a:ext>
                            </a:extLst>
                          </a:blip>
                          <a:stretch>
                            <a:fillRect/>
                          </a:stretch>
                        </pic:blipFill>
                        <pic:spPr>
                          <a:xfrm>
                            <a:off x="0" y="0"/>
                            <a:ext cx="3129299" cy="2201182"/>
                          </a:xfrm>
                          <a:prstGeom prst="rect">
                            <a:avLst/>
                          </a:prstGeom>
                        </pic:spPr>
                      </pic:pic>
                    </a:graphicData>
                  </a:graphic>
                </wp:inline>
              </w:drawing>
            </w:r>
          </w:p>
        </w:tc>
      </w:tr>
      <w:tr w:rsidR="00392DB7" w:rsidRPr="007C5A6E" w14:paraId="684D364A" w14:textId="77777777" w:rsidTr="00457BED">
        <w:trPr>
          <w:cantSplit/>
          <w:trHeight w:val="3458"/>
        </w:trPr>
        <w:tc>
          <w:tcPr>
            <w:tcW w:w="4698" w:type="dxa"/>
          </w:tcPr>
          <w:p w14:paraId="7DEB3421"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53632" behindDoc="0" locked="0" layoutInCell="1" allowOverlap="1" wp14:anchorId="31C1E610" wp14:editId="76A3D36B">
                      <wp:simplePos x="0" y="0"/>
                      <wp:positionH relativeFrom="column">
                        <wp:posOffset>450850</wp:posOffset>
                      </wp:positionH>
                      <wp:positionV relativeFrom="paragraph">
                        <wp:posOffset>296545</wp:posOffset>
                      </wp:positionV>
                      <wp:extent cx="333375" cy="285750"/>
                      <wp:effectExtent l="0" t="0" r="28575" b="19050"/>
                      <wp:wrapNone/>
                      <wp:docPr id="1785328874" name="Zone de texte 35"/>
                      <wp:cNvGraphicFramePr/>
                      <a:graphic xmlns:a="http://schemas.openxmlformats.org/drawingml/2006/main">
                        <a:graphicData uri="http://schemas.microsoft.com/office/word/2010/wordprocessingShape">
                          <wps:wsp>
                            <wps:cNvSpPr txBox="1"/>
                            <wps:spPr>
                              <a:xfrm>
                                <a:off x="0" y="0"/>
                                <a:ext cx="333375" cy="285750"/>
                              </a:xfrm>
                              <a:prstGeom prst="rect">
                                <a:avLst/>
                              </a:prstGeom>
                              <a:solidFill>
                                <a:sysClr val="window" lastClr="FFFFFF"/>
                              </a:solidFill>
                              <a:ln w="6350">
                                <a:solidFill>
                                  <a:prstClr val="black"/>
                                </a:solidFill>
                              </a:ln>
                            </wps:spPr>
                            <wps:txbx>
                              <w:txbxContent>
                                <w:p w14:paraId="079E9A02" w14:textId="77777777" w:rsidR="00392DB7" w:rsidRPr="00B50464" w:rsidRDefault="00392DB7" w:rsidP="00392DB7">
                                  <w:pPr>
                                    <w:jc w:val="center"/>
                                    <w:rPr>
                                      <w:b/>
                                      <w:bCs/>
                                    </w:rPr>
                                  </w:pPr>
                                  <w:r>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C1E610" id="_x0000_s1040" type="#_x0000_t202" style="position:absolute;margin-left:35.5pt;margin-top:23.35pt;width:26.25pt;height:22.5pt;z-index:25165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" fillcolor="window" strokeweight=".5pt">
                      <v:textbox>
                        <w:txbxContent>
                          <w:p w14:paraId="079E9A02" w14:textId="77777777" w:rsidR="00392DB7" w:rsidRPr="00B50464" w:rsidRDefault="00392DB7" w:rsidP="00392DB7">
                            <w:pPr>
                              <w:jc w:val="center"/>
                              <w:rPr>
                                <w:b/>
                                <w:bCs/>
                              </w:rPr>
                            </w:pPr>
                            <w:r>
                              <w:rPr>
                                <w:b/>
                                <w:bCs/>
                              </w:rPr>
                              <w:t>C</w:t>
                            </w:r>
                          </w:p>
                        </w:txbxContent>
                      </v:textbox>
                    </v:shape>
                  </w:pict>
                </mc:Fallback>
              </mc:AlternateContent>
            </w:r>
            <w:r w:rsidRPr="007C5A6E">
              <w:rPr>
                <w:rFonts w:ascii="Times New Roman" w:hAnsi="Times New Roman"/>
                <w:noProof/>
                <w:sz w:val="24"/>
              </w:rPr>
              <w:drawing>
                <wp:inline distT="0" distB="0" distL="0" distR="0" wp14:anchorId="05F2A763" wp14:editId="04C86269">
                  <wp:extent cx="2976880" cy="2190750"/>
                  <wp:effectExtent l="0" t="0" r="0" b="0"/>
                  <wp:docPr id="1111520005"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976880" cy="2190750"/>
                          </a:xfrm>
                          <a:prstGeom prst="rect">
                            <a:avLst/>
                          </a:prstGeom>
                          <a:noFill/>
                          <a:ln>
                            <a:noFill/>
                          </a:ln>
                        </pic:spPr>
                      </pic:pic>
                    </a:graphicData>
                  </a:graphic>
                </wp:inline>
              </w:drawing>
            </w:r>
          </w:p>
        </w:tc>
        <w:tc>
          <w:tcPr>
            <w:tcW w:w="4936" w:type="dxa"/>
          </w:tcPr>
          <w:p w14:paraId="433BCDA6"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54656" behindDoc="0" locked="0" layoutInCell="1" allowOverlap="1" wp14:anchorId="72A6B758" wp14:editId="00D49658">
                      <wp:simplePos x="0" y="0"/>
                      <wp:positionH relativeFrom="column">
                        <wp:posOffset>2449195</wp:posOffset>
                      </wp:positionH>
                      <wp:positionV relativeFrom="paragraph">
                        <wp:posOffset>218440</wp:posOffset>
                      </wp:positionV>
                      <wp:extent cx="333375" cy="285750"/>
                      <wp:effectExtent l="0" t="0" r="28575" b="19050"/>
                      <wp:wrapNone/>
                      <wp:docPr id="546828336" name="Zone de texte 35"/>
                      <wp:cNvGraphicFramePr/>
                      <a:graphic xmlns:a="http://schemas.openxmlformats.org/drawingml/2006/main">
                        <a:graphicData uri="http://schemas.microsoft.com/office/word/2010/wordprocessingShape">
                          <wps:wsp>
                            <wps:cNvSpPr txBox="1"/>
                            <wps:spPr>
                              <a:xfrm>
                                <a:off x="0" y="0"/>
                                <a:ext cx="333375" cy="285750"/>
                              </a:xfrm>
                              <a:prstGeom prst="rect">
                                <a:avLst/>
                              </a:prstGeom>
                              <a:solidFill>
                                <a:sysClr val="window" lastClr="FFFFFF"/>
                              </a:solidFill>
                              <a:ln w="6350">
                                <a:solidFill>
                                  <a:prstClr val="black"/>
                                </a:solidFill>
                              </a:ln>
                            </wps:spPr>
                            <wps:txbx>
                              <w:txbxContent>
                                <w:p w14:paraId="5884A9DA" w14:textId="77777777" w:rsidR="00392DB7" w:rsidRPr="00B50464" w:rsidRDefault="00392DB7" w:rsidP="00392DB7">
                                  <w:pPr>
                                    <w:jc w:val="center"/>
                                    <w:rPr>
                                      <w:b/>
                                      <w:bCs/>
                                    </w:rPr>
                                  </w:pPr>
                                  <w:r>
                                    <w:rPr>
                                      <w:b/>
                                      <w:b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A6B758" id="_x0000_s1041" type="#_x0000_t202" style="position:absolute;margin-left:192.85pt;margin-top:17.2pt;width:26.25pt;height:22.5pt;z-index:251654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" fillcolor="window" strokeweight=".5pt">
                      <v:textbox>
                        <w:txbxContent>
                          <w:p w14:paraId="5884A9DA" w14:textId="77777777" w:rsidR="00392DB7" w:rsidRPr="00B50464" w:rsidRDefault="00392DB7" w:rsidP="00392DB7">
                            <w:pPr>
                              <w:jc w:val="center"/>
                              <w:rPr>
                                <w:b/>
                                <w:bCs/>
                              </w:rPr>
                            </w:pPr>
                            <w:r>
                              <w:rPr>
                                <w:b/>
                                <w:bCs/>
                              </w:rPr>
                              <w:t>D</w:t>
                            </w:r>
                          </w:p>
                        </w:txbxContent>
                      </v:textbox>
                    </v:shape>
                  </w:pict>
                </mc:Fallback>
              </mc:AlternateContent>
            </w:r>
            <w:r w:rsidRPr="007C5A6E">
              <w:rPr>
                <w:rFonts w:ascii="Times New Roman" w:hAnsi="Times New Roman"/>
                <w:noProof/>
                <w:sz w:val="24"/>
              </w:rPr>
              <w:drawing>
                <wp:inline distT="0" distB="0" distL="0" distR="0" wp14:anchorId="76986CAE" wp14:editId="15DE1B42">
                  <wp:extent cx="3128010" cy="2190750"/>
                  <wp:effectExtent l="0" t="0" r="0" b="0"/>
                  <wp:docPr id="529246186"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246186" name="Image 529246186"/>
                          <pic:cNvPicPr/>
                        </pic:nvPicPr>
                        <pic:blipFill>
                          <a:blip r:embed="rId33" cstate="email">
                            <a:extLst>
                              <a:ext uri="{28A0092B-C50C-407E-A947-70E740481C1C}">
                                <a14:useLocalDpi xmlns:a14="http://schemas.microsoft.com/office/drawing/2010/main"/>
                              </a:ext>
                            </a:extLst>
                          </a:blip>
                          <a:stretch>
                            <a:fillRect/>
                          </a:stretch>
                        </pic:blipFill>
                        <pic:spPr>
                          <a:xfrm>
                            <a:off x="0" y="0"/>
                            <a:ext cx="3128010" cy="2190750"/>
                          </a:xfrm>
                          <a:prstGeom prst="rect">
                            <a:avLst/>
                          </a:prstGeom>
                        </pic:spPr>
                      </pic:pic>
                    </a:graphicData>
                  </a:graphic>
                </wp:inline>
              </w:drawing>
            </w:r>
          </w:p>
        </w:tc>
      </w:tr>
    </w:tbl>
    <w:p w14:paraId="75289EAE" w14:textId="71E1A981" w:rsidR="00392DB7" w:rsidRPr="007C5A6E" w:rsidRDefault="00727088" w:rsidP="00727088">
      <w:pPr>
        <w:pStyle w:val="Lgende"/>
        <w:spacing w:after="0"/>
        <w:rPr>
          <w:rFonts w:ascii="Times New Roman" w:hAnsi="Times New Roman"/>
          <w:color w:val="auto"/>
          <w:sz w:val="24"/>
          <w:szCs w:val="24"/>
        </w:rPr>
      </w:pPr>
      <w:bookmarkStart w:id="84" w:name="_Toc183230852"/>
      <w:bookmarkStart w:id="85" w:name="_Toc183240645"/>
      <w:bookmarkStart w:id="86" w:name="_Toc183340384"/>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5</w:t>
      </w:r>
      <w:r w:rsidRPr="007C5A6E">
        <w:rPr>
          <w:rFonts w:ascii="Times New Roman" w:hAnsi="Times New Roman"/>
          <w:color w:val="auto"/>
          <w:sz w:val="24"/>
          <w:szCs w:val="24"/>
        </w:rPr>
        <w:fldChar w:fldCharType="end"/>
      </w:r>
      <w:r w:rsidR="00392DB7" w:rsidRPr="007C5A6E">
        <w:rPr>
          <w:rFonts w:ascii="Times New Roman" w:hAnsi="Times New Roman"/>
          <w:color w:val="auto"/>
          <w:sz w:val="24"/>
          <w:szCs w:val="24"/>
        </w:rPr>
        <w:t>. Dori : la température moyenne annuelle (A) ; le nombre de jours chauds par an (B) ; la température minimale annuelle (C) ; la température maximale annuelle (D).</w:t>
      </w:r>
      <w:bookmarkEnd w:id="84"/>
      <w:bookmarkEnd w:id="85"/>
      <w:bookmarkEnd w:id="86"/>
    </w:p>
    <w:p w14:paraId="325C6555"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p>
    <w:p w14:paraId="1DA84BEB" w14:textId="77777777" w:rsidR="00392DB7" w:rsidRPr="007C5A6E" w:rsidRDefault="00392DB7" w:rsidP="00684FF8">
      <w:pPr>
        <w:pStyle w:val="Titre4"/>
      </w:pPr>
      <w:bookmarkStart w:id="87" w:name="_Toc182582641"/>
      <w:bookmarkStart w:id="88" w:name="_Toc183340033"/>
      <w:r w:rsidRPr="007C5A6E">
        <w:t>En zone soudano-sahélienne</w:t>
      </w:r>
      <w:bookmarkEnd w:id="87"/>
      <w:bookmarkEnd w:id="88"/>
    </w:p>
    <w:p w14:paraId="048B2F2B" w14:textId="77777777" w:rsidR="002D1A73" w:rsidRPr="007C5A6E" w:rsidRDefault="002D1A73" w:rsidP="006118F2">
      <w:pPr>
        <w:spacing w:after="0" w:line="240" w:lineRule="auto"/>
        <w:rPr>
          <w:rFonts w:ascii="Times New Roman" w:eastAsiaTheme="majorEastAsia" w:hAnsi="Times New Roman"/>
          <w:sz w:val="24"/>
          <w:szCs w:val="24"/>
          <w:lang w:eastAsia="en-US"/>
        </w:rPr>
      </w:pPr>
    </w:p>
    <w:p w14:paraId="5C752846" w14:textId="77777777" w:rsidR="00392DB7" w:rsidRPr="007C5A6E" w:rsidRDefault="00392DB7" w:rsidP="003F3821">
      <w:pPr>
        <w:pStyle w:val="Titre5"/>
        <w:numPr>
          <w:ilvl w:val="4"/>
          <w:numId w:val="4"/>
        </w:numPr>
        <w:ind w:left="907" w:hanging="907"/>
        <w:rPr>
          <w:rFonts w:ascii="Times New Roman" w:hAnsi="Times New Roman" w:cs="Times New Roman"/>
          <w:color w:val="auto"/>
          <w:u w:val="single"/>
          <w:lang w:eastAsia="en-US"/>
        </w:rPr>
      </w:pPr>
      <w:bookmarkStart w:id="89" w:name="_Toc183340034"/>
      <w:r w:rsidRPr="007C5A6E">
        <w:rPr>
          <w:rFonts w:ascii="Times New Roman" w:hAnsi="Times New Roman" w:cs="Times New Roman"/>
          <w:color w:val="auto"/>
          <w:u w:val="single"/>
          <w:lang w:eastAsia="en-US"/>
        </w:rPr>
        <w:t>La pluviométrie</w:t>
      </w:r>
      <w:bookmarkEnd w:id="89"/>
    </w:p>
    <w:p w14:paraId="56F3FDDB" w14:textId="77777777" w:rsidR="00727088" w:rsidRPr="007C5A6E" w:rsidRDefault="00727088" w:rsidP="00727088">
      <w:pPr>
        <w:spacing w:after="0" w:line="240" w:lineRule="auto"/>
        <w:jc w:val="both"/>
        <w:rPr>
          <w:rFonts w:ascii="Times New Roman" w:eastAsiaTheme="minorHAnsi" w:hAnsi="Times New Roman" w:cstheme="minorBidi"/>
          <w:kern w:val="2"/>
          <w:sz w:val="24"/>
          <w:lang w:eastAsia="en-US"/>
          <w14:ligatures w14:val="standardContextual"/>
        </w:rPr>
      </w:pPr>
    </w:p>
    <w:p w14:paraId="33E7CF5B" w14:textId="5440D9E5" w:rsidR="00727088" w:rsidRPr="007C5A6E" w:rsidRDefault="00727088" w:rsidP="00727088">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Sur la figure 6 on constate une assez forte tendance à la hausse du cumul annuel des pluies (A), une hausse modérée de la durée de la saison des pluies (B), le début de campagne arrivant légèrement plus tôt (C) et la fin plus tard (D).</w:t>
      </w:r>
    </w:p>
    <w:p w14:paraId="1596DE39"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p>
    <w:tbl>
      <w:tblPr>
        <w:tblStyle w:val="Grilledutableau"/>
        <w:tblW w:w="9776" w:type="dxa"/>
        <w:tblLayout w:type="fixed"/>
        <w:tblCellMar>
          <w:left w:w="0" w:type="dxa"/>
          <w:right w:w="0" w:type="dxa"/>
        </w:tblCellMar>
        <w:tblLook w:val="04A0" w:firstRow="1" w:lastRow="0" w:firstColumn="1" w:lastColumn="0" w:noHBand="0" w:noVBand="1"/>
      </w:tblPr>
      <w:tblGrid>
        <w:gridCol w:w="4957"/>
        <w:gridCol w:w="4819"/>
      </w:tblGrid>
      <w:tr w:rsidR="00392DB7" w:rsidRPr="007C5A6E" w14:paraId="34401D1C" w14:textId="77777777" w:rsidTr="00457BED">
        <w:trPr>
          <w:cantSplit/>
        </w:trPr>
        <w:tc>
          <w:tcPr>
            <w:tcW w:w="4957" w:type="dxa"/>
          </w:tcPr>
          <w:p w14:paraId="57D7ED8C" w14:textId="77777777" w:rsidR="00392DB7" w:rsidRPr="007C5A6E" w:rsidRDefault="00392DB7" w:rsidP="00392DB7">
            <w:pPr>
              <w:spacing w:after="0" w:line="240" w:lineRule="auto"/>
              <w:rPr>
                <w:rFonts w:ascii="Times New Roman" w:hAnsi="Times New Roman"/>
                <w:b/>
                <w:bCs/>
                <w:sz w:val="20"/>
                <w:szCs w:val="20"/>
              </w:rPr>
            </w:pPr>
            <w:r w:rsidRPr="007C5A6E">
              <w:rPr>
                <w:rFonts w:ascii="Times New Roman" w:hAnsi="Times New Roman"/>
                <w:b/>
                <w:bCs/>
                <w:noProof/>
                <w:sz w:val="20"/>
                <w:szCs w:val="20"/>
              </w:rPr>
              <mc:AlternateContent>
                <mc:Choice Requires="wps">
                  <w:drawing>
                    <wp:anchor distT="0" distB="0" distL="114300" distR="114300" simplePos="0" relativeHeight="251619840" behindDoc="0" locked="0" layoutInCell="1" allowOverlap="1" wp14:anchorId="7EBA5084" wp14:editId="4CAFDD53">
                      <wp:simplePos x="0" y="0"/>
                      <wp:positionH relativeFrom="column">
                        <wp:posOffset>1008380</wp:posOffset>
                      </wp:positionH>
                      <wp:positionV relativeFrom="paragraph">
                        <wp:posOffset>433070</wp:posOffset>
                      </wp:positionV>
                      <wp:extent cx="323850" cy="266700"/>
                      <wp:effectExtent l="0" t="0" r="19050" b="19050"/>
                      <wp:wrapNone/>
                      <wp:docPr id="1726065421" name="Zone de texte 8"/>
                      <wp:cNvGraphicFramePr/>
                      <a:graphic xmlns:a="http://schemas.openxmlformats.org/drawingml/2006/main">
                        <a:graphicData uri="http://schemas.microsoft.com/office/word/2010/wordprocessingShape">
                          <wps:wsp>
                            <wps:cNvSpPr txBox="1"/>
                            <wps:spPr>
                              <a:xfrm>
                                <a:off x="0" y="0"/>
                                <a:ext cx="323850" cy="266700"/>
                              </a:xfrm>
                              <a:prstGeom prst="rect">
                                <a:avLst/>
                              </a:prstGeom>
                              <a:solidFill>
                                <a:sysClr val="window" lastClr="FFFFFF"/>
                              </a:solidFill>
                              <a:ln w="6350">
                                <a:solidFill>
                                  <a:prstClr val="black"/>
                                </a:solidFill>
                              </a:ln>
                            </wps:spPr>
                            <wps:txbx>
                              <w:txbxContent>
                                <w:p w14:paraId="451223A1" w14:textId="77777777" w:rsidR="00392DB7" w:rsidRPr="0099714F" w:rsidRDefault="00392DB7" w:rsidP="00392DB7">
                                  <w:pPr>
                                    <w:rPr>
                                      <w:b/>
                                      <w:bCs/>
                                    </w:rPr>
                                  </w:pPr>
                                  <w:r>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BA5084" id="Zone de texte 8" o:spid="_x0000_s1042" type="#_x0000_t202" style="position:absolute;margin-left:79.4pt;margin-top:34.1pt;width:25.5pt;height:21pt;z-index:25161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" fillcolor="window" strokeweight=".5pt">
                      <v:textbox>
                        <w:txbxContent>
                          <w:p w14:paraId="451223A1" w14:textId="77777777" w:rsidR="00392DB7" w:rsidRPr="0099714F" w:rsidRDefault="00392DB7" w:rsidP="00392DB7">
                            <w:pPr>
                              <w:rPr>
                                <w:b/>
                                <w:bCs/>
                              </w:rPr>
                            </w:pPr>
                            <w:r>
                              <w:rPr>
                                <w:b/>
                                <w:bCs/>
                              </w:rPr>
                              <w:t>A</w:t>
                            </w:r>
                          </w:p>
                        </w:txbxContent>
                      </v:textbox>
                    </v:shape>
                  </w:pict>
                </mc:Fallback>
              </mc:AlternateContent>
            </w:r>
            <w:r w:rsidRPr="007C5A6E">
              <w:rPr>
                <w:rFonts w:ascii="Times New Roman" w:hAnsi="Times New Roman"/>
                <w:b/>
                <w:bCs/>
                <w:noProof/>
                <w:sz w:val="20"/>
                <w:szCs w:val="20"/>
              </w:rPr>
              <w:drawing>
                <wp:inline distT="0" distB="0" distL="0" distR="0" wp14:anchorId="11CA9F48" wp14:editId="19E8DFCA">
                  <wp:extent cx="3141345" cy="2219325"/>
                  <wp:effectExtent l="0" t="0" r="1905" b="9525"/>
                  <wp:docPr id="102932330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323305" name="Image 1029323305"/>
                          <pic:cNvPicPr/>
                        </pic:nvPicPr>
                        <pic:blipFill>
                          <a:blip r:embed="rId34" cstate="email">
                            <a:extLst>
                              <a:ext uri="{28A0092B-C50C-407E-A947-70E740481C1C}">
                                <a14:useLocalDpi xmlns:a14="http://schemas.microsoft.com/office/drawing/2010/main"/>
                              </a:ext>
                            </a:extLst>
                          </a:blip>
                          <a:stretch>
                            <a:fillRect/>
                          </a:stretch>
                        </pic:blipFill>
                        <pic:spPr>
                          <a:xfrm>
                            <a:off x="0" y="0"/>
                            <a:ext cx="3141345" cy="2219325"/>
                          </a:xfrm>
                          <a:prstGeom prst="rect">
                            <a:avLst/>
                          </a:prstGeom>
                        </pic:spPr>
                      </pic:pic>
                    </a:graphicData>
                  </a:graphic>
                </wp:inline>
              </w:drawing>
            </w:r>
            <w:r w:rsidRPr="007C5A6E">
              <w:rPr>
                <w:rFonts w:ascii="Times New Roman" w:hAnsi="Times New Roman"/>
                <w:b/>
                <w:bCs/>
                <w:sz w:val="20"/>
                <w:szCs w:val="20"/>
              </w:rPr>
              <w:t xml:space="preserve"> </w:t>
            </w:r>
          </w:p>
        </w:tc>
        <w:tc>
          <w:tcPr>
            <w:tcW w:w="4819" w:type="dxa"/>
          </w:tcPr>
          <w:p w14:paraId="11C10095" w14:textId="77777777" w:rsidR="00392DB7" w:rsidRPr="007C5A6E" w:rsidRDefault="00392DB7" w:rsidP="00392DB7">
            <w:pPr>
              <w:spacing w:after="0" w:line="240" w:lineRule="auto"/>
              <w:rPr>
                <w:rFonts w:ascii="Times New Roman" w:hAnsi="Times New Roman"/>
                <w:b/>
                <w:bCs/>
                <w:sz w:val="20"/>
                <w:szCs w:val="20"/>
              </w:rPr>
            </w:pPr>
            <w:r w:rsidRPr="007C5A6E">
              <w:rPr>
                <w:rFonts w:ascii="Times New Roman" w:hAnsi="Times New Roman"/>
                <w:b/>
                <w:bCs/>
                <w:noProof/>
                <w:sz w:val="20"/>
                <w:szCs w:val="20"/>
              </w:rPr>
              <mc:AlternateContent>
                <mc:Choice Requires="wps">
                  <w:drawing>
                    <wp:anchor distT="0" distB="0" distL="114300" distR="114300" simplePos="0" relativeHeight="251622912" behindDoc="0" locked="0" layoutInCell="1" allowOverlap="1" wp14:anchorId="23055260" wp14:editId="1E35EBD1">
                      <wp:simplePos x="0" y="0"/>
                      <wp:positionH relativeFrom="column">
                        <wp:posOffset>1017905</wp:posOffset>
                      </wp:positionH>
                      <wp:positionV relativeFrom="paragraph">
                        <wp:posOffset>281305</wp:posOffset>
                      </wp:positionV>
                      <wp:extent cx="342900" cy="238125"/>
                      <wp:effectExtent l="0" t="0" r="19050" b="28575"/>
                      <wp:wrapNone/>
                      <wp:docPr id="109737969" name="Zone de texte 10"/>
                      <wp:cNvGraphicFramePr/>
                      <a:graphic xmlns:a="http://schemas.openxmlformats.org/drawingml/2006/main">
                        <a:graphicData uri="http://schemas.microsoft.com/office/word/2010/wordprocessingShape">
                          <wps:wsp>
                            <wps:cNvSpPr txBox="1"/>
                            <wps:spPr>
                              <a:xfrm>
                                <a:off x="0" y="0"/>
                                <a:ext cx="342900" cy="238125"/>
                              </a:xfrm>
                              <a:prstGeom prst="rect">
                                <a:avLst/>
                              </a:prstGeom>
                              <a:solidFill>
                                <a:sysClr val="window" lastClr="FFFFFF"/>
                              </a:solidFill>
                              <a:ln w="6350">
                                <a:solidFill>
                                  <a:prstClr val="black"/>
                                </a:solidFill>
                              </a:ln>
                            </wps:spPr>
                            <wps:txbx>
                              <w:txbxContent>
                                <w:p w14:paraId="3234241E" w14:textId="77777777" w:rsidR="00392DB7" w:rsidRPr="0099714F" w:rsidRDefault="00392DB7" w:rsidP="00392DB7">
                                  <w:pPr>
                                    <w:jc w:val="center"/>
                                    <w:rPr>
                                      <w:b/>
                                      <w:bCs/>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055260" id="Zone de texte 10" o:spid="_x0000_s1043" type="#_x0000_t202" style="position:absolute;margin-left:80.15pt;margin-top:22.15pt;width:27pt;height:18.75pt;z-index:25162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" fillcolor="window" strokeweight=".5pt">
                      <v:textbox>
                        <w:txbxContent>
                          <w:p w14:paraId="3234241E" w14:textId="77777777" w:rsidR="00392DB7" w:rsidRPr="0099714F" w:rsidRDefault="00392DB7" w:rsidP="00392DB7">
                            <w:pPr>
                              <w:jc w:val="center"/>
                              <w:rPr>
                                <w:b/>
                                <w:bCs/>
                              </w:rPr>
                            </w:pPr>
                            <w:r>
                              <w:rPr>
                                <w:b/>
                                <w:bCs/>
                              </w:rPr>
                              <w:t>B</w:t>
                            </w:r>
                          </w:p>
                        </w:txbxContent>
                      </v:textbox>
                    </v:shape>
                  </w:pict>
                </mc:Fallback>
              </mc:AlternateContent>
            </w:r>
            <w:r w:rsidRPr="007C5A6E">
              <w:rPr>
                <w:rFonts w:ascii="Times New Roman" w:hAnsi="Times New Roman"/>
                <w:b/>
                <w:bCs/>
                <w:noProof/>
                <w:sz w:val="20"/>
                <w:szCs w:val="20"/>
              </w:rPr>
              <w:drawing>
                <wp:inline distT="0" distB="0" distL="0" distR="0" wp14:anchorId="15A47A95" wp14:editId="0FE6877F">
                  <wp:extent cx="3053715" cy="2219325"/>
                  <wp:effectExtent l="0" t="0" r="0" b="9525"/>
                  <wp:docPr id="1158481358"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481358" name="Image 1158481358"/>
                          <pic:cNvPicPr/>
                        </pic:nvPicPr>
                        <pic:blipFill>
                          <a:blip r:embed="rId35" cstate="email">
                            <a:extLst>
                              <a:ext uri="{28A0092B-C50C-407E-A947-70E740481C1C}">
                                <a14:useLocalDpi xmlns:a14="http://schemas.microsoft.com/office/drawing/2010/main"/>
                              </a:ext>
                            </a:extLst>
                          </a:blip>
                          <a:stretch>
                            <a:fillRect/>
                          </a:stretch>
                        </pic:blipFill>
                        <pic:spPr>
                          <a:xfrm>
                            <a:off x="0" y="0"/>
                            <a:ext cx="3053715" cy="2219325"/>
                          </a:xfrm>
                          <a:prstGeom prst="rect">
                            <a:avLst/>
                          </a:prstGeom>
                        </pic:spPr>
                      </pic:pic>
                    </a:graphicData>
                  </a:graphic>
                </wp:inline>
              </w:drawing>
            </w:r>
          </w:p>
        </w:tc>
      </w:tr>
      <w:tr w:rsidR="00392DB7" w:rsidRPr="007C5A6E" w14:paraId="1CAD63D3" w14:textId="77777777" w:rsidTr="00457BED">
        <w:trPr>
          <w:cantSplit/>
          <w:trHeight w:val="3043"/>
        </w:trPr>
        <w:tc>
          <w:tcPr>
            <w:tcW w:w="4957" w:type="dxa"/>
          </w:tcPr>
          <w:p w14:paraId="1AA991DE" w14:textId="77777777" w:rsidR="00392DB7" w:rsidRPr="007C5A6E" w:rsidRDefault="00392DB7" w:rsidP="00392DB7">
            <w:pPr>
              <w:spacing w:after="0" w:line="240" w:lineRule="auto"/>
              <w:rPr>
                <w:rFonts w:ascii="Times New Roman" w:hAnsi="Times New Roman"/>
                <w:b/>
                <w:bCs/>
                <w:sz w:val="20"/>
                <w:szCs w:val="20"/>
              </w:rPr>
            </w:pPr>
            <w:r w:rsidRPr="007C5A6E">
              <w:rPr>
                <w:rFonts w:ascii="Times New Roman" w:hAnsi="Times New Roman"/>
                <w:b/>
                <w:bCs/>
                <w:noProof/>
                <w:sz w:val="20"/>
                <w:szCs w:val="20"/>
              </w:rPr>
              <mc:AlternateContent>
                <mc:Choice Requires="wps">
                  <w:drawing>
                    <wp:anchor distT="0" distB="0" distL="114300" distR="114300" simplePos="0" relativeHeight="251623936" behindDoc="0" locked="0" layoutInCell="1" allowOverlap="1" wp14:anchorId="1F4ADC62" wp14:editId="15F565A2">
                      <wp:simplePos x="0" y="0"/>
                      <wp:positionH relativeFrom="column">
                        <wp:posOffset>2593975</wp:posOffset>
                      </wp:positionH>
                      <wp:positionV relativeFrom="paragraph">
                        <wp:posOffset>208280</wp:posOffset>
                      </wp:positionV>
                      <wp:extent cx="342900" cy="238125"/>
                      <wp:effectExtent l="0" t="0" r="19050" b="28575"/>
                      <wp:wrapNone/>
                      <wp:docPr id="519624506" name="Zone de texte 10"/>
                      <wp:cNvGraphicFramePr/>
                      <a:graphic xmlns:a="http://schemas.openxmlformats.org/drawingml/2006/main">
                        <a:graphicData uri="http://schemas.microsoft.com/office/word/2010/wordprocessingShape">
                          <wps:wsp>
                            <wps:cNvSpPr txBox="1"/>
                            <wps:spPr>
                              <a:xfrm>
                                <a:off x="0" y="0"/>
                                <a:ext cx="342900" cy="238125"/>
                              </a:xfrm>
                              <a:prstGeom prst="rect">
                                <a:avLst/>
                              </a:prstGeom>
                              <a:solidFill>
                                <a:sysClr val="window" lastClr="FFFFFF"/>
                              </a:solidFill>
                              <a:ln w="6350">
                                <a:solidFill>
                                  <a:prstClr val="black"/>
                                </a:solidFill>
                              </a:ln>
                            </wps:spPr>
                            <wps:txbx>
                              <w:txbxContent>
                                <w:p w14:paraId="47F0AD01" w14:textId="77777777" w:rsidR="00392DB7" w:rsidRPr="0099714F" w:rsidRDefault="00392DB7" w:rsidP="00392DB7">
                                  <w:pPr>
                                    <w:jc w:val="center"/>
                                    <w:rPr>
                                      <w:b/>
                                      <w:bCs/>
                                    </w:rPr>
                                  </w:pPr>
                                  <w:r>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4ADC62" id="_x0000_s1044" type="#_x0000_t202" style="position:absolute;margin-left:204.25pt;margin-top:16.4pt;width:27pt;height:18.75pt;z-index:25162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" fillcolor="window" strokeweight=".5pt">
                      <v:textbox>
                        <w:txbxContent>
                          <w:p w14:paraId="47F0AD01" w14:textId="77777777" w:rsidR="00392DB7" w:rsidRPr="0099714F" w:rsidRDefault="00392DB7" w:rsidP="00392DB7">
                            <w:pPr>
                              <w:jc w:val="center"/>
                              <w:rPr>
                                <w:b/>
                                <w:bCs/>
                              </w:rPr>
                            </w:pPr>
                            <w:r>
                              <w:rPr>
                                <w:b/>
                                <w:bCs/>
                              </w:rPr>
                              <w:t>C</w:t>
                            </w:r>
                          </w:p>
                        </w:txbxContent>
                      </v:textbox>
                    </v:shape>
                  </w:pict>
                </mc:Fallback>
              </mc:AlternateContent>
            </w:r>
            <w:r w:rsidRPr="007C5A6E">
              <w:rPr>
                <w:rFonts w:ascii="Times New Roman" w:hAnsi="Times New Roman"/>
                <w:b/>
                <w:bCs/>
                <w:noProof/>
                <w:sz w:val="20"/>
                <w:szCs w:val="20"/>
              </w:rPr>
              <w:drawing>
                <wp:inline distT="0" distB="0" distL="0" distR="0" wp14:anchorId="0248BD04" wp14:editId="23EB2B3D">
                  <wp:extent cx="3141345" cy="2032635"/>
                  <wp:effectExtent l="0" t="0" r="1905" b="5715"/>
                  <wp:docPr id="1786655959"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655959" name="Image 1786655959"/>
                          <pic:cNvPicPr/>
                        </pic:nvPicPr>
                        <pic:blipFill>
                          <a:blip r:embed="rId36" cstate="email">
                            <a:extLst>
                              <a:ext uri="{28A0092B-C50C-407E-A947-70E740481C1C}">
                                <a14:useLocalDpi xmlns:a14="http://schemas.microsoft.com/office/drawing/2010/main"/>
                              </a:ext>
                            </a:extLst>
                          </a:blip>
                          <a:stretch>
                            <a:fillRect/>
                          </a:stretch>
                        </pic:blipFill>
                        <pic:spPr>
                          <a:xfrm>
                            <a:off x="0" y="0"/>
                            <a:ext cx="3141345" cy="2032635"/>
                          </a:xfrm>
                          <a:prstGeom prst="rect">
                            <a:avLst/>
                          </a:prstGeom>
                        </pic:spPr>
                      </pic:pic>
                    </a:graphicData>
                  </a:graphic>
                </wp:inline>
              </w:drawing>
            </w:r>
          </w:p>
        </w:tc>
        <w:tc>
          <w:tcPr>
            <w:tcW w:w="4819" w:type="dxa"/>
          </w:tcPr>
          <w:p w14:paraId="764DAB31" w14:textId="77777777" w:rsidR="00392DB7" w:rsidRPr="007C5A6E" w:rsidRDefault="00392DB7" w:rsidP="00392DB7">
            <w:pPr>
              <w:spacing w:after="0" w:line="240" w:lineRule="auto"/>
              <w:rPr>
                <w:rFonts w:ascii="Times New Roman" w:hAnsi="Times New Roman"/>
                <w:b/>
                <w:bCs/>
                <w:sz w:val="20"/>
                <w:szCs w:val="20"/>
              </w:rPr>
            </w:pPr>
            <w:r w:rsidRPr="007C5A6E">
              <w:rPr>
                <w:rFonts w:ascii="Times New Roman" w:hAnsi="Times New Roman"/>
                <w:b/>
                <w:bCs/>
                <w:noProof/>
                <w:sz w:val="20"/>
                <w:szCs w:val="20"/>
              </w:rPr>
              <mc:AlternateContent>
                <mc:Choice Requires="wps">
                  <w:drawing>
                    <wp:anchor distT="0" distB="0" distL="114300" distR="114300" simplePos="0" relativeHeight="251627008" behindDoc="0" locked="0" layoutInCell="1" allowOverlap="1" wp14:anchorId="67F5B406" wp14:editId="58083B18">
                      <wp:simplePos x="0" y="0"/>
                      <wp:positionH relativeFrom="column">
                        <wp:posOffset>1675130</wp:posOffset>
                      </wp:positionH>
                      <wp:positionV relativeFrom="paragraph">
                        <wp:posOffset>209550</wp:posOffset>
                      </wp:positionV>
                      <wp:extent cx="342900" cy="238125"/>
                      <wp:effectExtent l="0" t="0" r="19050" b="28575"/>
                      <wp:wrapNone/>
                      <wp:docPr id="1656194298" name="Zone de texte 10"/>
                      <wp:cNvGraphicFramePr/>
                      <a:graphic xmlns:a="http://schemas.openxmlformats.org/drawingml/2006/main">
                        <a:graphicData uri="http://schemas.microsoft.com/office/word/2010/wordprocessingShape">
                          <wps:wsp>
                            <wps:cNvSpPr txBox="1"/>
                            <wps:spPr>
                              <a:xfrm>
                                <a:off x="0" y="0"/>
                                <a:ext cx="342900" cy="238125"/>
                              </a:xfrm>
                              <a:prstGeom prst="rect">
                                <a:avLst/>
                              </a:prstGeom>
                              <a:solidFill>
                                <a:sysClr val="window" lastClr="FFFFFF"/>
                              </a:solidFill>
                              <a:ln w="6350">
                                <a:solidFill>
                                  <a:prstClr val="black"/>
                                </a:solidFill>
                              </a:ln>
                            </wps:spPr>
                            <wps:txbx>
                              <w:txbxContent>
                                <w:p w14:paraId="1E754F6C" w14:textId="77777777" w:rsidR="00392DB7" w:rsidRPr="0099714F" w:rsidRDefault="00392DB7" w:rsidP="00392DB7">
                                  <w:pPr>
                                    <w:jc w:val="center"/>
                                    <w:rPr>
                                      <w:b/>
                                      <w:bCs/>
                                    </w:rPr>
                                  </w:pPr>
                                  <w:r>
                                    <w:rPr>
                                      <w:b/>
                                      <w:b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F5B406" id="_x0000_s1045" type="#_x0000_t202" style="position:absolute;margin-left:131.9pt;margin-top:16.5pt;width:27pt;height:18.75pt;z-index:25162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" fillcolor="window" strokeweight=".5pt">
                      <v:textbox>
                        <w:txbxContent>
                          <w:p w14:paraId="1E754F6C" w14:textId="77777777" w:rsidR="00392DB7" w:rsidRPr="0099714F" w:rsidRDefault="00392DB7" w:rsidP="00392DB7">
                            <w:pPr>
                              <w:jc w:val="center"/>
                              <w:rPr>
                                <w:b/>
                                <w:bCs/>
                              </w:rPr>
                            </w:pPr>
                            <w:r>
                              <w:rPr>
                                <w:b/>
                                <w:bCs/>
                              </w:rPr>
                              <w:t>D</w:t>
                            </w:r>
                          </w:p>
                        </w:txbxContent>
                      </v:textbox>
                    </v:shape>
                  </w:pict>
                </mc:Fallback>
              </mc:AlternateContent>
            </w:r>
            <w:r w:rsidRPr="007C5A6E">
              <w:rPr>
                <w:rFonts w:ascii="Times New Roman" w:hAnsi="Times New Roman"/>
                <w:b/>
                <w:bCs/>
                <w:noProof/>
                <w:sz w:val="20"/>
                <w:szCs w:val="20"/>
              </w:rPr>
              <w:drawing>
                <wp:inline distT="0" distB="0" distL="0" distR="0" wp14:anchorId="4ECFFDA8" wp14:editId="12856E75">
                  <wp:extent cx="3053715" cy="2032635"/>
                  <wp:effectExtent l="0" t="0" r="0" b="5715"/>
                  <wp:docPr id="96523023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230233" name="Image 965230233"/>
                          <pic:cNvPicPr/>
                        </pic:nvPicPr>
                        <pic:blipFill>
                          <a:blip r:embed="rId37" cstate="email">
                            <a:extLst>
                              <a:ext uri="{28A0092B-C50C-407E-A947-70E740481C1C}">
                                <a14:useLocalDpi xmlns:a14="http://schemas.microsoft.com/office/drawing/2010/main"/>
                              </a:ext>
                            </a:extLst>
                          </a:blip>
                          <a:stretch>
                            <a:fillRect/>
                          </a:stretch>
                        </pic:blipFill>
                        <pic:spPr>
                          <a:xfrm>
                            <a:off x="0" y="0"/>
                            <a:ext cx="3053715" cy="2032635"/>
                          </a:xfrm>
                          <a:prstGeom prst="rect">
                            <a:avLst/>
                          </a:prstGeom>
                        </pic:spPr>
                      </pic:pic>
                    </a:graphicData>
                  </a:graphic>
                </wp:inline>
              </w:drawing>
            </w:r>
          </w:p>
        </w:tc>
      </w:tr>
    </w:tbl>
    <w:p w14:paraId="42DB5438" w14:textId="19FF644E" w:rsidR="00392DB7" w:rsidRPr="007C5A6E" w:rsidRDefault="00727088" w:rsidP="00727088">
      <w:pPr>
        <w:pStyle w:val="Lgende"/>
        <w:spacing w:after="0"/>
        <w:rPr>
          <w:rFonts w:ascii="Times New Roman" w:eastAsiaTheme="minorHAnsi" w:hAnsi="Times New Roman"/>
          <w:color w:val="auto"/>
          <w:kern w:val="2"/>
          <w:sz w:val="24"/>
          <w:szCs w:val="24"/>
          <w:lang w:eastAsia="en-US"/>
          <w14:ligatures w14:val="standardContextual"/>
        </w:rPr>
      </w:pPr>
      <w:bookmarkStart w:id="90" w:name="_Toc183230853"/>
      <w:bookmarkStart w:id="91" w:name="_Toc183240646"/>
      <w:bookmarkStart w:id="92" w:name="_Toc183340385"/>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6</w:t>
      </w:r>
      <w:r w:rsidRPr="007C5A6E">
        <w:rPr>
          <w:rFonts w:ascii="Times New Roman" w:hAnsi="Times New Roman"/>
          <w:color w:val="auto"/>
          <w:sz w:val="24"/>
          <w:szCs w:val="24"/>
        </w:rPr>
        <w:fldChar w:fldCharType="end"/>
      </w:r>
      <w:r w:rsidR="00392DB7" w:rsidRPr="007C5A6E">
        <w:rPr>
          <w:rFonts w:ascii="Times New Roman" w:eastAsiaTheme="minorHAnsi" w:hAnsi="Times New Roman"/>
          <w:color w:val="auto"/>
          <w:kern w:val="2"/>
          <w:sz w:val="24"/>
          <w:szCs w:val="24"/>
          <w:lang w:eastAsia="en-US"/>
          <w14:ligatures w14:val="standardContextual"/>
        </w:rPr>
        <w:t>.  Ouagadougou : cumul annuel des pluies (A) ; durée de la saison des pluies (B) ; début de la campagne humide (C) ; fin de la campagne humide (D).</w:t>
      </w:r>
      <w:bookmarkEnd w:id="90"/>
      <w:bookmarkEnd w:id="91"/>
      <w:bookmarkEnd w:id="92"/>
    </w:p>
    <w:p w14:paraId="733AB584"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p>
    <w:p w14:paraId="674D06C2" w14:textId="25C9F418" w:rsidR="00727088" w:rsidRPr="007C5A6E" w:rsidRDefault="00727088" w:rsidP="00727088">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Toutes les variables présentées à la figure 7 évoluent à la hausse ; modérée pour le nombre de jours de pluie &gt; 1mm (A) et la pluie maximale sur 5 jours (D</w:t>
      </w:r>
      <w:proofErr w:type="gramStart"/>
      <w:r w:rsidRPr="007C5A6E">
        <w:rPr>
          <w:rFonts w:ascii="Times New Roman" w:eastAsiaTheme="minorHAnsi" w:hAnsi="Times New Roman" w:cstheme="minorBidi"/>
          <w:kern w:val="2"/>
          <w:sz w:val="24"/>
          <w:lang w:eastAsia="en-US"/>
          <w14:ligatures w14:val="standardContextual"/>
        </w:rPr>
        <w:t>);</w:t>
      </w:r>
      <w:proofErr w:type="gramEnd"/>
      <w:r w:rsidRPr="007C5A6E">
        <w:rPr>
          <w:rFonts w:ascii="Times New Roman" w:eastAsiaTheme="minorHAnsi" w:hAnsi="Times New Roman" w:cstheme="minorBidi"/>
          <w:kern w:val="2"/>
          <w:sz w:val="24"/>
          <w:lang w:eastAsia="en-US"/>
          <w14:ligatures w14:val="standardContextual"/>
        </w:rPr>
        <w:t xml:space="preserve"> importante pour le nombre de jours de pluie &gt; 10mm (B) et le nombre de jours de pluie &gt; 50 mm (C).</w:t>
      </w:r>
    </w:p>
    <w:p w14:paraId="11091CCB" w14:textId="77777777" w:rsidR="00727088" w:rsidRPr="007C5A6E" w:rsidRDefault="00727088" w:rsidP="00727088">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 xml:space="preserve">Il faut noter que la pluie maximale sur 5 jours de 2009 est celle du 1er septembre 2009, responsable de la plus grave inondation que Ouagadougou ait jamais connue. </w:t>
      </w:r>
    </w:p>
    <w:p w14:paraId="2FE8CF55"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p>
    <w:tbl>
      <w:tblPr>
        <w:tblStyle w:val="Grilledutableau"/>
        <w:tblpPr w:leftFromText="141" w:rightFromText="141" w:vertAnchor="text" w:tblpY="82"/>
        <w:tblW w:w="9934" w:type="dxa"/>
        <w:tblCellMar>
          <w:left w:w="0" w:type="dxa"/>
          <w:right w:w="0" w:type="dxa"/>
        </w:tblCellMar>
        <w:tblLook w:val="04A0" w:firstRow="1" w:lastRow="0" w:firstColumn="1" w:lastColumn="0" w:noHBand="0" w:noVBand="1"/>
      </w:tblPr>
      <w:tblGrid>
        <w:gridCol w:w="5154"/>
        <w:gridCol w:w="4780"/>
      </w:tblGrid>
      <w:tr w:rsidR="00392DB7" w:rsidRPr="007C5A6E" w14:paraId="54186388" w14:textId="77777777" w:rsidTr="00457BED">
        <w:trPr>
          <w:cantSplit/>
          <w:trHeight w:val="2784"/>
        </w:trPr>
        <w:tc>
          <w:tcPr>
            <w:tcW w:w="5154" w:type="dxa"/>
            <w:tcBorders>
              <w:bottom w:val="single" w:sz="4" w:space="0" w:color="auto"/>
            </w:tcBorders>
            <w:vAlign w:val="center"/>
          </w:tcPr>
          <w:p w14:paraId="1166AC20" w14:textId="77777777" w:rsidR="00392DB7" w:rsidRPr="007C5A6E" w:rsidRDefault="00392DB7" w:rsidP="00392DB7">
            <w:pPr>
              <w:spacing w:after="0" w:line="240" w:lineRule="auto"/>
              <w:rPr>
                <w:rFonts w:ascii="Times New Roman" w:hAnsi="Times New Roman"/>
                <w:b/>
                <w:bCs/>
                <w:sz w:val="24"/>
              </w:rPr>
            </w:pPr>
            <w:r w:rsidRPr="007C5A6E">
              <w:rPr>
                <w:rFonts w:ascii="Times New Roman" w:hAnsi="Times New Roman"/>
                <w:b/>
                <w:bCs/>
                <w:noProof/>
                <w:sz w:val="24"/>
              </w:rPr>
              <mc:AlternateContent>
                <mc:Choice Requires="wps">
                  <w:drawing>
                    <wp:anchor distT="0" distB="0" distL="114300" distR="114300" simplePos="0" relativeHeight="251630080" behindDoc="0" locked="0" layoutInCell="1" allowOverlap="1" wp14:anchorId="4E695626" wp14:editId="3A1AD76E">
                      <wp:simplePos x="0" y="0"/>
                      <wp:positionH relativeFrom="column">
                        <wp:posOffset>1676400</wp:posOffset>
                      </wp:positionH>
                      <wp:positionV relativeFrom="paragraph">
                        <wp:posOffset>330200</wp:posOffset>
                      </wp:positionV>
                      <wp:extent cx="352425" cy="278130"/>
                      <wp:effectExtent l="0" t="0" r="28575" b="26670"/>
                      <wp:wrapNone/>
                      <wp:docPr id="1730653646" name="Zone de texte 19"/>
                      <wp:cNvGraphicFramePr/>
                      <a:graphic xmlns:a="http://schemas.openxmlformats.org/drawingml/2006/main">
                        <a:graphicData uri="http://schemas.microsoft.com/office/word/2010/wordprocessingShape">
                          <wps:wsp>
                            <wps:cNvSpPr txBox="1"/>
                            <wps:spPr>
                              <a:xfrm>
                                <a:off x="0" y="0"/>
                                <a:ext cx="352425" cy="278130"/>
                              </a:xfrm>
                              <a:prstGeom prst="rect">
                                <a:avLst/>
                              </a:prstGeom>
                              <a:solidFill>
                                <a:sysClr val="window" lastClr="FFFFFF"/>
                              </a:solidFill>
                              <a:ln w="6350">
                                <a:solidFill>
                                  <a:prstClr val="black"/>
                                </a:solidFill>
                              </a:ln>
                            </wps:spPr>
                            <wps:txbx>
                              <w:txbxContent>
                                <w:p w14:paraId="38438EE3" w14:textId="77777777" w:rsidR="00392DB7" w:rsidRPr="00981F95" w:rsidRDefault="00392DB7" w:rsidP="00392DB7">
                                  <w:pPr>
                                    <w:jc w:val="center"/>
                                    <w:rPr>
                                      <w:b/>
                                      <w:bCs/>
                                    </w:rPr>
                                  </w:pPr>
                                  <w:r>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95626" id="Zone de texte 19" o:spid="_x0000_s1046" type="#_x0000_t202" style="position:absolute;margin-left:132pt;margin-top:26pt;width:27.75pt;height:21.9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" fillcolor="window" strokeweight=".5pt">
                      <v:textbox>
                        <w:txbxContent>
                          <w:p w14:paraId="38438EE3" w14:textId="77777777" w:rsidR="00392DB7" w:rsidRPr="00981F95" w:rsidRDefault="00392DB7" w:rsidP="00392DB7">
                            <w:pPr>
                              <w:jc w:val="center"/>
                              <w:rPr>
                                <w:b/>
                                <w:bCs/>
                              </w:rPr>
                            </w:pPr>
                            <w:r>
                              <w:rPr>
                                <w:b/>
                                <w:bCs/>
                              </w:rPr>
                              <w:t>A</w:t>
                            </w:r>
                          </w:p>
                        </w:txbxContent>
                      </v:textbox>
                    </v:shape>
                  </w:pict>
                </mc:Fallback>
              </mc:AlternateContent>
            </w:r>
            <w:r w:rsidRPr="007C5A6E">
              <w:rPr>
                <w:rFonts w:ascii="Times New Roman" w:hAnsi="Times New Roman"/>
                <w:b/>
                <w:bCs/>
                <w:noProof/>
                <w:sz w:val="24"/>
              </w:rPr>
              <w:drawing>
                <wp:inline distT="0" distB="0" distL="0" distR="0" wp14:anchorId="32C778D2" wp14:editId="0FCBA4FE">
                  <wp:extent cx="3140907" cy="2124075"/>
                  <wp:effectExtent l="0" t="0" r="2540" b="0"/>
                  <wp:docPr id="531741920"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741920" name="Image 531741920"/>
                          <pic:cNvPicPr/>
                        </pic:nvPicPr>
                        <pic:blipFill>
                          <a:blip r:embed="rId38" cstate="email">
                            <a:extLst>
                              <a:ext uri="{28A0092B-C50C-407E-A947-70E740481C1C}">
                                <a14:useLocalDpi xmlns:a14="http://schemas.microsoft.com/office/drawing/2010/main"/>
                              </a:ext>
                            </a:extLst>
                          </a:blip>
                          <a:stretch>
                            <a:fillRect/>
                          </a:stretch>
                        </pic:blipFill>
                        <pic:spPr>
                          <a:xfrm>
                            <a:off x="0" y="0"/>
                            <a:ext cx="3168962" cy="2143047"/>
                          </a:xfrm>
                          <a:prstGeom prst="rect">
                            <a:avLst/>
                          </a:prstGeom>
                        </pic:spPr>
                      </pic:pic>
                    </a:graphicData>
                  </a:graphic>
                </wp:inline>
              </w:drawing>
            </w:r>
          </w:p>
        </w:tc>
        <w:tc>
          <w:tcPr>
            <w:tcW w:w="4780" w:type="dxa"/>
            <w:tcBorders>
              <w:bottom w:val="single" w:sz="4" w:space="0" w:color="auto"/>
            </w:tcBorders>
          </w:tcPr>
          <w:p w14:paraId="2AE5FC9A" w14:textId="77777777" w:rsidR="00392DB7" w:rsidRPr="007C5A6E" w:rsidRDefault="00392DB7" w:rsidP="00392DB7">
            <w:pPr>
              <w:spacing w:after="0" w:line="240" w:lineRule="auto"/>
              <w:rPr>
                <w:rFonts w:ascii="Times New Roman" w:hAnsi="Times New Roman"/>
                <w:b/>
                <w:bCs/>
                <w:sz w:val="24"/>
              </w:rPr>
            </w:pPr>
            <w:r w:rsidRPr="007C5A6E">
              <w:rPr>
                <w:rFonts w:ascii="Times New Roman" w:hAnsi="Times New Roman"/>
                <w:b/>
                <w:bCs/>
                <w:noProof/>
                <w:sz w:val="24"/>
              </w:rPr>
              <mc:AlternateContent>
                <mc:Choice Requires="wps">
                  <w:drawing>
                    <wp:anchor distT="0" distB="0" distL="114300" distR="114300" simplePos="0" relativeHeight="251631104" behindDoc="0" locked="0" layoutInCell="1" allowOverlap="1" wp14:anchorId="3414B922" wp14:editId="1A0F1D4D">
                      <wp:simplePos x="0" y="0"/>
                      <wp:positionH relativeFrom="column">
                        <wp:posOffset>1450588</wp:posOffset>
                      </wp:positionH>
                      <wp:positionV relativeFrom="paragraph">
                        <wp:posOffset>304110</wp:posOffset>
                      </wp:positionV>
                      <wp:extent cx="352425" cy="278295"/>
                      <wp:effectExtent l="0" t="0" r="28575" b="26670"/>
                      <wp:wrapNone/>
                      <wp:docPr id="559309453" name="Zone de texte 19"/>
                      <wp:cNvGraphicFramePr/>
                      <a:graphic xmlns:a="http://schemas.openxmlformats.org/drawingml/2006/main">
                        <a:graphicData uri="http://schemas.microsoft.com/office/word/2010/wordprocessingShape">
                          <wps:wsp>
                            <wps:cNvSpPr txBox="1"/>
                            <wps:spPr>
                              <a:xfrm>
                                <a:off x="0" y="0"/>
                                <a:ext cx="352425" cy="278295"/>
                              </a:xfrm>
                              <a:prstGeom prst="rect">
                                <a:avLst/>
                              </a:prstGeom>
                              <a:solidFill>
                                <a:sysClr val="window" lastClr="FFFFFF"/>
                              </a:solidFill>
                              <a:ln w="6350">
                                <a:solidFill>
                                  <a:prstClr val="black"/>
                                </a:solidFill>
                              </a:ln>
                            </wps:spPr>
                            <wps:txbx>
                              <w:txbxContent>
                                <w:p w14:paraId="7001D9D9" w14:textId="77777777" w:rsidR="00392DB7" w:rsidRPr="00981F95" w:rsidRDefault="00392DB7" w:rsidP="00392DB7">
                                  <w:pPr>
                                    <w:jc w:val="center"/>
                                    <w:rPr>
                                      <w:b/>
                                      <w:bCs/>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4B922" id="_x0000_s1047" type="#_x0000_t202" style="position:absolute;margin-left:114.2pt;margin-top:23.95pt;width:27.75pt;height:21.9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" fillcolor="window" strokeweight=".5pt">
                      <v:textbox>
                        <w:txbxContent>
                          <w:p w14:paraId="7001D9D9" w14:textId="77777777" w:rsidR="00392DB7" w:rsidRPr="00981F95" w:rsidRDefault="00392DB7" w:rsidP="00392DB7">
                            <w:pPr>
                              <w:jc w:val="center"/>
                              <w:rPr>
                                <w:b/>
                                <w:bCs/>
                              </w:rPr>
                            </w:pPr>
                            <w:r>
                              <w:rPr>
                                <w:b/>
                                <w:bCs/>
                              </w:rPr>
                              <w:t>B</w:t>
                            </w:r>
                          </w:p>
                        </w:txbxContent>
                      </v:textbox>
                    </v:shape>
                  </w:pict>
                </mc:Fallback>
              </mc:AlternateContent>
            </w:r>
            <w:r w:rsidRPr="007C5A6E">
              <w:rPr>
                <w:rFonts w:ascii="Times New Roman" w:hAnsi="Times New Roman"/>
                <w:b/>
                <w:bCs/>
                <w:noProof/>
                <w:sz w:val="24"/>
              </w:rPr>
              <w:drawing>
                <wp:inline distT="0" distB="0" distL="0" distR="0" wp14:anchorId="50E3E58B" wp14:editId="65DDF9F9">
                  <wp:extent cx="3020695" cy="2171700"/>
                  <wp:effectExtent l="0" t="0" r="8255" b="0"/>
                  <wp:docPr id="1300669952"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669952" name="Image 1300669952"/>
                          <pic:cNvPicPr/>
                        </pic:nvPicPr>
                        <pic:blipFill>
                          <a:blip r:embed="rId39" cstate="email">
                            <a:extLst>
                              <a:ext uri="{28A0092B-C50C-407E-A947-70E740481C1C}">
                                <a14:useLocalDpi xmlns:a14="http://schemas.microsoft.com/office/drawing/2010/main"/>
                              </a:ext>
                            </a:extLst>
                          </a:blip>
                          <a:stretch>
                            <a:fillRect/>
                          </a:stretch>
                        </pic:blipFill>
                        <pic:spPr>
                          <a:xfrm>
                            <a:off x="0" y="0"/>
                            <a:ext cx="3173352" cy="2281451"/>
                          </a:xfrm>
                          <a:prstGeom prst="rect">
                            <a:avLst/>
                          </a:prstGeom>
                        </pic:spPr>
                      </pic:pic>
                    </a:graphicData>
                  </a:graphic>
                </wp:inline>
              </w:drawing>
            </w:r>
          </w:p>
        </w:tc>
      </w:tr>
      <w:tr w:rsidR="00392DB7" w:rsidRPr="007C5A6E" w14:paraId="12EE984F" w14:textId="77777777" w:rsidTr="00457BED">
        <w:trPr>
          <w:cantSplit/>
          <w:trHeight w:val="3188"/>
        </w:trPr>
        <w:tc>
          <w:tcPr>
            <w:tcW w:w="5154" w:type="dxa"/>
            <w:tcBorders>
              <w:bottom w:val="single" w:sz="4" w:space="0" w:color="auto"/>
            </w:tcBorders>
            <w:vAlign w:val="center"/>
          </w:tcPr>
          <w:p w14:paraId="46AF2C1A" w14:textId="77777777" w:rsidR="00392DB7" w:rsidRPr="007C5A6E" w:rsidRDefault="00392DB7" w:rsidP="00392DB7">
            <w:pPr>
              <w:spacing w:after="0" w:line="240" w:lineRule="auto"/>
              <w:rPr>
                <w:rFonts w:ascii="Times New Roman" w:hAnsi="Times New Roman"/>
                <w:b/>
                <w:bCs/>
                <w:noProof/>
                <w:sz w:val="24"/>
              </w:rPr>
            </w:pPr>
            <w:r w:rsidRPr="007C5A6E">
              <w:rPr>
                <w:rFonts w:ascii="Times New Roman" w:hAnsi="Times New Roman"/>
                <w:b/>
                <w:bCs/>
                <w:noProof/>
                <w:sz w:val="24"/>
              </w:rPr>
              <mc:AlternateContent>
                <mc:Choice Requires="wps">
                  <w:drawing>
                    <wp:anchor distT="0" distB="0" distL="114300" distR="114300" simplePos="0" relativeHeight="251635200" behindDoc="0" locked="0" layoutInCell="1" allowOverlap="1" wp14:anchorId="1520ECCC" wp14:editId="2B28F7FF">
                      <wp:simplePos x="0" y="0"/>
                      <wp:positionH relativeFrom="column">
                        <wp:posOffset>1079500</wp:posOffset>
                      </wp:positionH>
                      <wp:positionV relativeFrom="paragraph">
                        <wp:posOffset>473710</wp:posOffset>
                      </wp:positionV>
                      <wp:extent cx="352425" cy="269875"/>
                      <wp:effectExtent l="0" t="0" r="28575" b="15875"/>
                      <wp:wrapNone/>
                      <wp:docPr id="450161169" name="Zone de texte 19"/>
                      <wp:cNvGraphicFramePr/>
                      <a:graphic xmlns:a="http://schemas.openxmlformats.org/drawingml/2006/main">
                        <a:graphicData uri="http://schemas.microsoft.com/office/word/2010/wordprocessingShape">
                          <wps:wsp>
                            <wps:cNvSpPr txBox="1"/>
                            <wps:spPr>
                              <a:xfrm>
                                <a:off x="0" y="0"/>
                                <a:ext cx="352425" cy="269875"/>
                              </a:xfrm>
                              <a:prstGeom prst="rect">
                                <a:avLst/>
                              </a:prstGeom>
                              <a:solidFill>
                                <a:sysClr val="window" lastClr="FFFFFF"/>
                              </a:solidFill>
                              <a:ln w="6350">
                                <a:solidFill>
                                  <a:prstClr val="black"/>
                                </a:solidFill>
                              </a:ln>
                            </wps:spPr>
                            <wps:txbx>
                              <w:txbxContent>
                                <w:p w14:paraId="715CE442" w14:textId="77777777" w:rsidR="00392DB7" w:rsidRPr="00981F95" w:rsidRDefault="00392DB7" w:rsidP="00392DB7">
                                  <w:pPr>
                                    <w:jc w:val="center"/>
                                    <w:rPr>
                                      <w:b/>
                                      <w:bCs/>
                                    </w:rPr>
                                  </w:pPr>
                                  <w:r>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0ECCC" id="_x0000_s1048" type="#_x0000_t202" style="position:absolute;margin-left:85pt;margin-top:37.3pt;width:27.75pt;height:21.2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" fillcolor="window" strokeweight=".5pt">
                      <v:textbox>
                        <w:txbxContent>
                          <w:p w14:paraId="715CE442" w14:textId="77777777" w:rsidR="00392DB7" w:rsidRPr="00981F95" w:rsidRDefault="00392DB7" w:rsidP="00392DB7">
                            <w:pPr>
                              <w:jc w:val="center"/>
                              <w:rPr>
                                <w:b/>
                                <w:bCs/>
                              </w:rPr>
                            </w:pPr>
                            <w:r>
                              <w:rPr>
                                <w:b/>
                                <w:bCs/>
                              </w:rPr>
                              <w:t>C</w:t>
                            </w:r>
                          </w:p>
                        </w:txbxContent>
                      </v:textbox>
                    </v:shape>
                  </w:pict>
                </mc:Fallback>
              </mc:AlternateContent>
            </w:r>
            <w:r w:rsidRPr="007C5A6E">
              <w:rPr>
                <w:rFonts w:ascii="Times New Roman" w:hAnsi="Times New Roman"/>
                <w:b/>
                <w:bCs/>
                <w:noProof/>
                <w:sz w:val="24"/>
              </w:rPr>
              <w:drawing>
                <wp:inline distT="0" distB="0" distL="0" distR="0" wp14:anchorId="5DBEB9B7" wp14:editId="5012373D">
                  <wp:extent cx="3266440" cy="2352675"/>
                  <wp:effectExtent l="0" t="0" r="0" b="9525"/>
                  <wp:docPr id="34696293"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96293" name="Image 34696293"/>
                          <pic:cNvPicPr/>
                        </pic:nvPicPr>
                        <pic:blipFill>
                          <a:blip r:embed="rId40" cstate="email">
                            <a:extLst>
                              <a:ext uri="{28A0092B-C50C-407E-A947-70E740481C1C}">
                                <a14:useLocalDpi xmlns:a14="http://schemas.microsoft.com/office/drawing/2010/main"/>
                              </a:ext>
                            </a:extLst>
                          </a:blip>
                          <a:stretch>
                            <a:fillRect/>
                          </a:stretch>
                        </pic:blipFill>
                        <pic:spPr>
                          <a:xfrm>
                            <a:off x="0" y="0"/>
                            <a:ext cx="3371504" cy="2428348"/>
                          </a:xfrm>
                          <a:prstGeom prst="rect">
                            <a:avLst/>
                          </a:prstGeom>
                        </pic:spPr>
                      </pic:pic>
                    </a:graphicData>
                  </a:graphic>
                </wp:inline>
              </w:drawing>
            </w:r>
          </w:p>
        </w:tc>
        <w:tc>
          <w:tcPr>
            <w:tcW w:w="4780" w:type="dxa"/>
            <w:tcBorders>
              <w:bottom w:val="single" w:sz="4" w:space="0" w:color="auto"/>
            </w:tcBorders>
          </w:tcPr>
          <w:p w14:paraId="493BB72A" w14:textId="77777777" w:rsidR="00392DB7" w:rsidRPr="007C5A6E" w:rsidRDefault="00392DB7" w:rsidP="00392DB7">
            <w:pPr>
              <w:spacing w:after="0" w:line="240" w:lineRule="auto"/>
              <w:rPr>
                <w:rFonts w:ascii="Times New Roman" w:hAnsi="Times New Roman"/>
                <w:b/>
                <w:bCs/>
                <w:noProof/>
                <w:sz w:val="24"/>
              </w:rPr>
            </w:pPr>
            <w:r w:rsidRPr="007C5A6E">
              <w:rPr>
                <w:rFonts w:ascii="Times New Roman" w:hAnsi="Times New Roman"/>
                <w:b/>
                <w:bCs/>
                <w:noProof/>
                <w:sz w:val="24"/>
              </w:rPr>
              <mc:AlternateContent>
                <mc:Choice Requires="wps">
                  <w:drawing>
                    <wp:anchor distT="0" distB="0" distL="114300" distR="114300" simplePos="0" relativeHeight="251634176" behindDoc="0" locked="0" layoutInCell="1" allowOverlap="1" wp14:anchorId="67B15993" wp14:editId="19C644EE">
                      <wp:simplePos x="0" y="0"/>
                      <wp:positionH relativeFrom="column">
                        <wp:posOffset>742922</wp:posOffset>
                      </wp:positionH>
                      <wp:positionV relativeFrom="paragraph">
                        <wp:posOffset>511451</wp:posOffset>
                      </wp:positionV>
                      <wp:extent cx="352425" cy="294198"/>
                      <wp:effectExtent l="0" t="0" r="28575" b="10795"/>
                      <wp:wrapNone/>
                      <wp:docPr id="1618915664" name="Zone de texte 19"/>
                      <wp:cNvGraphicFramePr/>
                      <a:graphic xmlns:a="http://schemas.openxmlformats.org/drawingml/2006/main">
                        <a:graphicData uri="http://schemas.microsoft.com/office/word/2010/wordprocessingShape">
                          <wps:wsp>
                            <wps:cNvSpPr txBox="1"/>
                            <wps:spPr>
                              <a:xfrm>
                                <a:off x="0" y="0"/>
                                <a:ext cx="352425" cy="294198"/>
                              </a:xfrm>
                              <a:prstGeom prst="rect">
                                <a:avLst/>
                              </a:prstGeom>
                              <a:solidFill>
                                <a:sysClr val="window" lastClr="FFFFFF"/>
                              </a:solidFill>
                              <a:ln w="6350">
                                <a:solidFill>
                                  <a:prstClr val="black"/>
                                </a:solidFill>
                              </a:ln>
                            </wps:spPr>
                            <wps:txbx>
                              <w:txbxContent>
                                <w:p w14:paraId="05D0E477" w14:textId="77777777" w:rsidR="00392DB7" w:rsidRPr="00981F95" w:rsidRDefault="00392DB7" w:rsidP="00392DB7">
                                  <w:pPr>
                                    <w:jc w:val="center"/>
                                    <w:rPr>
                                      <w:b/>
                                      <w:bCs/>
                                    </w:rPr>
                                  </w:pPr>
                                  <w:r>
                                    <w:rPr>
                                      <w:b/>
                                      <w:b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B15993" id="_x0000_s1049" type="#_x0000_t202" style="position:absolute;margin-left:58.5pt;margin-top:40.25pt;width:27.75pt;height:23.15pt;z-index:25163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" fillcolor="window" strokeweight=".5pt">
                      <v:textbox>
                        <w:txbxContent>
                          <w:p w14:paraId="05D0E477" w14:textId="77777777" w:rsidR="00392DB7" w:rsidRPr="00981F95" w:rsidRDefault="00392DB7" w:rsidP="00392DB7">
                            <w:pPr>
                              <w:jc w:val="center"/>
                              <w:rPr>
                                <w:b/>
                                <w:bCs/>
                              </w:rPr>
                            </w:pPr>
                            <w:r>
                              <w:rPr>
                                <w:b/>
                                <w:bCs/>
                              </w:rPr>
                              <w:t>D</w:t>
                            </w:r>
                          </w:p>
                        </w:txbxContent>
                      </v:textbox>
                    </v:shape>
                  </w:pict>
                </mc:Fallback>
              </mc:AlternateContent>
            </w:r>
            <w:r w:rsidRPr="007C5A6E">
              <w:rPr>
                <w:rFonts w:ascii="Times New Roman" w:hAnsi="Times New Roman"/>
                <w:b/>
                <w:bCs/>
                <w:noProof/>
                <w:sz w:val="24"/>
              </w:rPr>
              <w:drawing>
                <wp:inline distT="0" distB="0" distL="0" distR="0" wp14:anchorId="664F20D8" wp14:editId="4A664281">
                  <wp:extent cx="2981970" cy="2352675"/>
                  <wp:effectExtent l="0" t="0" r="8890" b="0"/>
                  <wp:docPr id="567105906"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105906" name="Image 567105906"/>
                          <pic:cNvPicPr/>
                        </pic:nvPicPr>
                        <pic:blipFill>
                          <a:blip r:embed="rId41" cstate="email">
                            <a:extLst>
                              <a:ext uri="{28A0092B-C50C-407E-A947-70E740481C1C}">
                                <a14:useLocalDpi xmlns:a14="http://schemas.microsoft.com/office/drawing/2010/main"/>
                              </a:ext>
                            </a:extLst>
                          </a:blip>
                          <a:stretch>
                            <a:fillRect/>
                          </a:stretch>
                        </pic:blipFill>
                        <pic:spPr>
                          <a:xfrm>
                            <a:off x="0" y="0"/>
                            <a:ext cx="2982705" cy="2353255"/>
                          </a:xfrm>
                          <a:prstGeom prst="rect">
                            <a:avLst/>
                          </a:prstGeom>
                        </pic:spPr>
                      </pic:pic>
                    </a:graphicData>
                  </a:graphic>
                </wp:inline>
              </w:drawing>
            </w:r>
          </w:p>
        </w:tc>
      </w:tr>
    </w:tbl>
    <w:p w14:paraId="6655BE34" w14:textId="1A40E510" w:rsidR="00392DB7" w:rsidRPr="007C5A6E" w:rsidRDefault="00727088" w:rsidP="00727088">
      <w:pPr>
        <w:pStyle w:val="Lgende"/>
        <w:spacing w:after="0"/>
        <w:jc w:val="both"/>
        <w:rPr>
          <w:rFonts w:ascii="Times New Roman" w:eastAsiaTheme="minorHAnsi" w:hAnsi="Times New Roman"/>
          <w:color w:val="auto"/>
          <w:kern w:val="2"/>
          <w:sz w:val="24"/>
          <w:szCs w:val="24"/>
          <w:lang w:eastAsia="en-US"/>
          <w14:ligatures w14:val="standardContextual"/>
        </w:rPr>
      </w:pPr>
      <w:bookmarkStart w:id="93" w:name="_Toc183230854"/>
      <w:bookmarkStart w:id="94" w:name="_Toc183240647"/>
      <w:bookmarkStart w:id="95" w:name="_Toc183340386"/>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7</w:t>
      </w:r>
      <w:r w:rsidRPr="007C5A6E">
        <w:rPr>
          <w:rFonts w:ascii="Times New Roman" w:hAnsi="Times New Roman"/>
          <w:color w:val="auto"/>
          <w:sz w:val="24"/>
          <w:szCs w:val="24"/>
        </w:rPr>
        <w:fldChar w:fldCharType="end"/>
      </w:r>
      <w:r w:rsidR="00392DB7" w:rsidRPr="007C5A6E">
        <w:rPr>
          <w:rFonts w:ascii="Times New Roman" w:eastAsiaTheme="minorHAnsi" w:hAnsi="Times New Roman"/>
          <w:color w:val="auto"/>
          <w:kern w:val="2"/>
          <w:sz w:val="24"/>
          <w:szCs w:val="24"/>
          <w:lang w:eastAsia="en-US"/>
          <w14:ligatures w14:val="standardContextual"/>
        </w:rPr>
        <w:t>. Ouagadougou : nombre de jours de pluie &gt; 1mm (A) ; nombre de jours de pluie &gt; 10mm (B) ; nombre de jours de pluie &gt; 50mm (C) ; pluie maximale sur 5 jours (D).</w:t>
      </w:r>
      <w:bookmarkEnd w:id="93"/>
      <w:bookmarkEnd w:id="94"/>
      <w:bookmarkEnd w:id="95"/>
    </w:p>
    <w:p w14:paraId="39BAB27A" w14:textId="77777777" w:rsidR="00727088" w:rsidRPr="007C5A6E" w:rsidRDefault="00727088" w:rsidP="00392DB7">
      <w:pPr>
        <w:spacing w:after="0" w:line="240" w:lineRule="auto"/>
        <w:jc w:val="both"/>
        <w:rPr>
          <w:rFonts w:ascii="Times New Roman" w:eastAsiaTheme="minorHAnsi" w:hAnsi="Times New Roman" w:cstheme="minorBidi"/>
          <w:kern w:val="2"/>
          <w:sz w:val="24"/>
          <w:lang w:eastAsia="en-US"/>
          <w14:ligatures w14:val="standardContextual"/>
        </w:rPr>
      </w:pPr>
    </w:p>
    <w:p w14:paraId="5651F042" w14:textId="763DFB86" w:rsidR="00727088" w:rsidRPr="007C5A6E" w:rsidRDefault="00727088" w:rsidP="00727088">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Sur la figure 8 il n’apparaît pas de tendance d’évolution du nombre de jours de séquence sèche en début de campagne (A) ; par contre on note une légère tendance à la baisse pour le nombre de jours de séquences sèches en fin de campagne.</w:t>
      </w:r>
    </w:p>
    <w:p w14:paraId="4DD793BC"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p>
    <w:tbl>
      <w:tblPr>
        <w:tblStyle w:val="Grilledutableau"/>
        <w:tblpPr w:leftFromText="141" w:rightFromText="141" w:vertAnchor="text" w:tblpY="82"/>
        <w:tblW w:w="9888" w:type="dxa"/>
        <w:tblCellMar>
          <w:left w:w="0" w:type="dxa"/>
          <w:right w:w="0" w:type="dxa"/>
        </w:tblCellMar>
        <w:tblLook w:val="04A0" w:firstRow="1" w:lastRow="0" w:firstColumn="1" w:lastColumn="0" w:noHBand="0" w:noVBand="1"/>
      </w:tblPr>
      <w:tblGrid>
        <w:gridCol w:w="5130"/>
        <w:gridCol w:w="4758"/>
      </w:tblGrid>
      <w:tr w:rsidR="00392DB7" w:rsidRPr="007C5A6E" w14:paraId="587DC2E3" w14:textId="77777777" w:rsidTr="00457BED">
        <w:trPr>
          <w:cantSplit/>
          <w:trHeight w:val="3534"/>
        </w:trPr>
        <w:tc>
          <w:tcPr>
            <w:tcW w:w="5130" w:type="dxa"/>
          </w:tcPr>
          <w:p w14:paraId="624B70E1" w14:textId="77777777" w:rsidR="00392DB7" w:rsidRPr="007C5A6E" w:rsidRDefault="00392DB7" w:rsidP="00392DB7">
            <w:pPr>
              <w:spacing w:after="0" w:line="240" w:lineRule="auto"/>
              <w:rPr>
                <w:rFonts w:ascii="Times New Roman" w:hAnsi="Times New Roman"/>
                <w:b/>
                <w:bCs/>
                <w:sz w:val="24"/>
              </w:rPr>
            </w:pPr>
            <w:r w:rsidRPr="007C5A6E">
              <w:rPr>
                <w:rFonts w:ascii="Times New Roman" w:hAnsi="Times New Roman"/>
                <w:b/>
                <w:bCs/>
                <w:noProof/>
                <w:sz w:val="24"/>
              </w:rPr>
              <w:drawing>
                <wp:anchor distT="0" distB="0" distL="114300" distR="114300" simplePos="0" relativeHeight="251637248" behindDoc="0" locked="0" layoutInCell="1" allowOverlap="1" wp14:anchorId="54F4228D" wp14:editId="39FA178D">
                  <wp:simplePos x="0" y="0"/>
                  <wp:positionH relativeFrom="column">
                    <wp:posOffset>0</wp:posOffset>
                  </wp:positionH>
                  <wp:positionV relativeFrom="paragraph">
                    <wp:posOffset>0</wp:posOffset>
                  </wp:positionV>
                  <wp:extent cx="3209925" cy="2257425"/>
                  <wp:effectExtent l="0" t="0" r="9525" b="9525"/>
                  <wp:wrapThrough wrapText="bothSides">
                    <wp:wrapPolygon edited="0">
                      <wp:start x="0" y="0"/>
                      <wp:lineTo x="0" y="21509"/>
                      <wp:lineTo x="21536" y="21509"/>
                      <wp:lineTo x="21536" y="0"/>
                      <wp:lineTo x="0" y="0"/>
                    </wp:wrapPolygon>
                  </wp:wrapThrough>
                  <wp:docPr id="1215771325"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771325" name="Image 1215771325"/>
                          <pic:cNvPicPr/>
                        </pic:nvPicPr>
                        <pic:blipFill>
                          <a:blip r:embed="rId42" cstate="email">
                            <a:extLst>
                              <a:ext uri="{28A0092B-C50C-407E-A947-70E740481C1C}">
                                <a14:useLocalDpi xmlns:a14="http://schemas.microsoft.com/office/drawing/2010/main"/>
                              </a:ext>
                            </a:extLst>
                          </a:blip>
                          <a:stretch>
                            <a:fillRect/>
                          </a:stretch>
                        </pic:blipFill>
                        <pic:spPr>
                          <a:xfrm>
                            <a:off x="0" y="0"/>
                            <a:ext cx="3209925" cy="2257425"/>
                          </a:xfrm>
                          <a:prstGeom prst="rect">
                            <a:avLst/>
                          </a:prstGeom>
                        </pic:spPr>
                      </pic:pic>
                    </a:graphicData>
                  </a:graphic>
                  <wp14:sizeRelH relativeFrom="margin">
                    <wp14:pctWidth>0</wp14:pctWidth>
                  </wp14:sizeRelH>
                  <wp14:sizeRelV relativeFrom="margin">
                    <wp14:pctHeight>0</wp14:pctHeight>
                  </wp14:sizeRelV>
                </wp:anchor>
              </w:drawing>
            </w:r>
            <w:r w:rsidRPr="007C5A6E">
              <w:rPr>
                <w:rFonts w:ascii="Times New Roman" w:hAnsi="Times New Roman"/>
                <w:noProof/>
                <w:sz w:val="24"/>
              </w:rPr>
              <mc:AlternateContent>
                <mc:Choice Requires="wps">
                  <w:drawing>
                    <wp:anchor distT="0" distB="0" distL="114300" distR="114300" simplePos="0" relativeHeight="251639296" behindDoc="0" locked="0" layoutInCell="1" allowOverlap="1" wp14:anchorId="5420EE11" wp14:editId="0E59D294">
                      <wp:simplePos x="0" y="0"/>
                      <wp:positionH relativeFrom="column">
                        <wp:posOffset>384175</wp:posOffset>
                      </wp:positionH>
                      <wp:positionV relativeFrom="paragraph">
                        <wp:posOffset>245110</wp:posOffset>
                      </wp:positionV>
                      <wp:extent cx="333375" cy="257175"/>
                      <wp:effectExtent l="0" t="0" r="28575" b="28575"/>
                      <wp:wrapNone/>
                      <wp:docPr id="692753625" name="Zone de texte 27"/>
                      <wp:cNvGraphicFramePr/>
                      <a:graphic xmlns:a="http://schemas.openxmlformats.org/drawingml/2006/main">
                        <a:graphicData uri="http://schemas.microsoft.com/office/word/2010/wordprocessingShape">
                          <wps:wsp>
                            <wps:cNvSpPr txBox="1"/>
                            <wps:spPr>
                              <a:xfrm>
                                <a:off x="0" y="0"/>
                                <a:ext cx="333375" cy="257175"/>
                              </a:xfrm>
                              <a:prstGeom prst="rect">
                                <a:avLst/>
                              </a:prstGeom>
                              <a:solidFill>
                                <a:sysClr val="window" lastClr="FFFFFF"/>
                              </a:solidFill>
                              <a:ln w="6350">
                                <a:solidFill>
                                  <a:prstClr val="black"/>
                                </a:solidFill>
                              </a:ln>
                            </wps:spPr>
                            <wps:txbx>
                              <w:txbxContent>
                                <w:p w14:paraId="639DF3B9" w14:textId="77777777" w:rsidR="00392DB7" w:rsidRPr="00DB5CD4" w:rsidRDefault="00392DB7" w:rsidP="00392DB7">
                                  <w:pPr>
                                    <w:jc w:val="center"/>
                                    <w:rPr>
                                      <w:b/>
                                      <w:bCs/>
                                    </w:rPr>
                                  </w:pPr>
                                  <w:r>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20EE11" id="Zone de texte 27" o:spid="_x0000_s1050" type="#_x0000_t202" style="position:absolute;margin-left:30.25pt;margin-top:19.3pt;width:26.25pt;height:20.25pt;z-index:25163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" fillcolor="window" strokeweight=".5pt">
                      <v:textbox>
                        <w:txbxContent>
                          <w:p w14:paraId="639DF3B9" w14:textId="77777777" w:rsidR="00392DB7" w:rsidRPr="00DB5CD4" w:rsidRDefault="00392DB7" w:rsidP="00392DB7">
                            <w:pPr>
                              <w:jc w:val="center"/>
                              <w:rPr>
                                <w:b/>
                                <w:bCs/>
                              </w:rPr>
                            </w:pPr>
                            <w:r>
                              <w:rPr>
                                <w:b/>
                                <w:bCs/>
                              </w:rPr>
                              <w:t>A</w:t>
                            </w:r>
                          </w:p>
                        </w:txbxContent>
                      </v:textbox>
                    </v:shape>
                  </w:pict>
                </mc:Fallback>
              </mc:AlternateContent>
            </w:r>
          </w:p>
        </w:tc>
        <w:tc>
          <w:tcPr>
            <w:tcW w:w="4758" w:type="dxa"/>
          </w:tcPr>
          <w:p w14:paraId="033662ED" w14:textId="77777777" w:rsidR="00392DB7" w:rsidRPr="007C5A6E" w:rsidRDefault="00392DB7" w:rsidP="00392DB7">
            <w:pPr>
              <w:spacing w:after="0" w:line="240" w:lineRule="auto"/>
              <w:rPr>
                <w:rFonts w:ascii="Times New Roman" w:hAnsi="Times New Roman"/>
                <w:b/>
                <w:bCs/>
                <w:sz w:val="24"/>
              </w:rPr>
            </w:pPr>
            <w:r w:rsidRPr="007C5A6E">
              <w:rPr>
                <w:rFonts w:ascii="Times New Roman" w:hAnsi="Times New Roman"/>
                <w:b/>
                <w:bCs/>
                <w:noProof/>
                <w:sz w:val="24"/>
              </w:rPr>
              <w:drawing>
                <wp:anchor distT="0" distB="0" distL="114300" distR="114300" simplePos="0" relativeHeight="251636224" behindDoc="0" locked="0" layoutInCell="1" allowOverlap="1" wp14:anchorId="26F0276C" wp14:editId="45611F49">
                  <wp:simplePos x="0" y="0"/>
                  <wp:positionH relativeFrom="column">
                    <wp:posOffset>0</wp:posOffset>
                  </wp:positionH>
                  <wp:positionV relativeFrom="paragraph">
                    <wp:posOffset>0</wp:posOffset>
                  </wp:positionV>
                  <wp:extent cx="2990850" cy="2209800"/>
                  <wp:effectExtent l="0" t="0" r="0" b="0"/>
                  <wp:wrapThrough wrapText="bothSides">
                    <wp:wrapPolygon edited="0">
                      <wp:start x="0" y="0"/>
                      <wp:lineTo x="0" y="21414"/>
                      <wp:lineTo x="21462" y="21414"/>
                      <wp:lineTo x="21462" y="0"/>
                      <wp:lineTo x="0" y="0"/>
                    </wp:wrapPolygon>
                  </wp:wrapThrough>
                  <wp:docPr id="1038764803"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64803" name="Image 1038764803"/>
                          <pic:cNvPicPr/>
                        </pic:nvPicPr>
                        <pic:blipFill>
                          <a:blip r:embed="rId43" cstate="email">
                            <a:extLst>
                              <a:ext uri="{28A0092B-C50C-407E-A947-70E740481C1C}">
                                <a14:useLocalDpi xmlns:a14="http://schemas.microsoft.com/office/drawing/2010/main"/>
                              </a:ext>
                            </a:extLst>
                          </a:blip>
                          <a:stretch>
                            <a:fillRect/>
                          </a:stretch>
                        </pic:blipFill>
                        <pic:spPr>
                          <a:xfrm>
                            <a:off x="0" y="0"/>
                            <a:ext cx="2990850" cy="2209800"/>
                          </a:xfrm>
                          <a:prstGeom prst="rect">
                            <a:avLst/>
                          </a:prstGeom>
                        </pic:spPr>
                      </pic:pic>
                    </a:graphicData>
                  </a:graphic>
                  <wp14:sizeRelV relativeFrom="margin">
                    <wp14:pctHeight>0</wp14:pctHeight>
                  </wp14:sizeRelV>
                </wp:anchor>
              </w:drawing>
            </w:r>
            <w:r w:rsidRPr="007C5A6E">
              <w:rPr>
                <w:rFonts w:ascii="Times New Roman" w:hAnsi="Times New Roman"/>
                <w:noProof/>
                <w:sz w:val="24"/>
              </w:rPr>
              <mc:AlternateContent>
                <mc:Choice Requires="wps">
                  <w:drawing>
                    <wp:anchor distT="0" distB="0" distL="114300" distR="114300" simplePos="0" relativeHeight="251638272" behindDoc="0" locked="0" layoutInCell="1" allowOverlap="1" wp14:anchorId="398E2E21" wp14:editId="1E8C8979">
                      <wp:simplePos x="0" y="0"/>
                      <wp:positionH relativeFrom="column">
                        <wp:posOffset>326390</wp:posOffset>
                      </wp:positionH>
                      <wp:positionV relativeFrom="paragraph">
                        <wp:posOffset>294640</wp:posOffset>
                      </wp:positionV>
                      <wp:extent cx="333375" cy="257175"/>
                      <wp:effectExtent l="0" t="0" r="28575" b="28575"/>
                      <wp:wrapNone/>
                      <wp:docPr id="2019246018" name="Zone de texte 27"/>
                      <wp:cNvGraphicFramePr/>
                      <a:graphic xmlns:a="http://schemas.openxmlformats.org/drawingml/2006/main">
                        <a:graphicData uri="http://schemas.microsoft.com/office/word/2010/wordprocessingShape">
                          <wps:wsp>
                            <wps:cNvSpPr txBox="1"/>
                            <wps:spPr>
                              <a:xfrm>
                                <a:off x="0" y="0"/>
                                <a:ext cx="333375" cy="257175"/>
                              </a:xfrm>
                              <a:prstGeom prst="rect">
                                <a:avLst/>
                              </a:prstGeom>
                              <a:solidFill>
                                <a:sysClr val="window" lastClr="FFFFFF"/>
                              </a:solidFill>
                              <a:ln w="6350">
                                <a:solidFill>
                                  <a:prstClr val="black"/>
                                </a:solidFill>
                              </a:ln>
                            </wps:spPr>
                            <wps:txbx>
                              <w:txbxContent>
                                <w:p w14:paraId="2463F258" w14:textId="77777777" w:rsidR="00392DB7" w:rsidRPr="00DB5CD4" w:rsidRDefault="00392DB7" w:rsidP="00392DB7">
                                  <w:pPr>
                                    <w:jc w:val="center"/>
                                    <w:rPr>
                                      <w:b/>
                                      <w:bCs/>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8E2E21" id="_x0000_s1051" type="#_x0000_t202" style="position:absolute;margin-left:25.7pt;margin-top:23.2pt;width:26.25pt;height:20.25pt;z-index:25163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" fillcolor="window" strokeweight=".5pt">
                      <v:textbox>
                        <w:txbxContent>
                          <w:p w14:paraId="2463F258" w14:textId="77777777" w:rsidR="00392DB7" w:rsidRPr="00DB5CD4" w:rsidRDefault="00392DB7" w:rsidP="00392DB7">
                            <w:pPr>
                              <w:jc w:val="center"/>
                              <w:rPr>
                                <w:b/>
                                <w:bCs/>
                              </w:rPr>
                            </w:pPr>
                            <w:r>
                              <w:rPr>
                                <w:b/>
                                <w:bCs/>
                              </w:rPr>
                              <w:t>B</w:t>
                            </w:r>
                          </w:p>
                        </w:txbxContent>
                      </v:textbox>
                    </v:shape>
                  </w:pict>
                </mc:Fallback>
              </mc:AlternateContent>
            </w:r>
          </w:p>
        </w:tc>
      </w:tr>
    </w:tbl>
    <w:p w14:paraId="6BAA5F6C" w14:textId="0DE8E212" w:rsidR="00392DB7" w:rsidRPr="007C5A6E" w:rsidRDefault="00727088" w:rsidP="00727088">
      <w:pPr>
        <w:pStyle w:val="Lgende"/>
        <w:spacing w:after="0"/>
        <w:jc w:val="both"/>
        <w:rPr>
          <w:rFonts w:ascii="Times New Roman" w:eastAsiaTheme="minorHAnsi" w:hAnsi="Times New Roman"/>
          <w:color w:val="auto"/>
          <w:kern w:val="2"/>
          <w:sz w:val="24"/>
          <w:szCs w:val="24"/>
          <w:lang w:eastAsia="en-US"/>
          <w14:ligatures w14:val="standardContextual"/>
        </w:rPr>
      </w:pPr>
      <w:bookmarkStart w:id="96" w:name="_Toc183230855"/>
      <w:bookmarkStart w:id="97" w:name="_Toc183240648"/>
      <w:bookmarkStart w:id="98" w:name="_Toc183340387"/>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8</w:t>
      </w:r>
      <w:r w:rsidRPr="007C5A6E">
        <w:rPr>
          <w:rFonts w:ascii="Times New Roman" w:hAnsi="Times New Roman"/>
          <w:color w:val="auto"/>
          <w:sz w:val="24"/>
          <w:szCs w:val="24"/>
        </w:rPr>
        <w:fldChar w:fldCharType="end"/>
      </w:r>
      <w:r w:rsidR="001F18F0" w:rsidRPr="007C5A6E">
        <w:rPr>
          <w:rFonts w:ascii="Times New Roman" w:hAnsi="Times New Roman"/>
          <w:color w:val="auto"/>
          <w:sz w:val="24"/>
          <w:szCs w:val="24"/>
        </w:rPr>
        <w:t>.</w:t>
      </w:r>
      <w:r w:rsidRPr="007C5A6E">
        <w:rPr>
          <w:rFonts w:ascii="Times New Roman" w:hAnsi="Times New Roman"/>
          <w:color w:val="auto"/>
          <w:sz w:val="24"/>
          <w:szCs w:val="24"/>
        </w:rPr>
        <w:t xml:space="preserve"> </w:t>
      </w:r>
      <w:r w:rsidR="00392DB7" w:rsidRPr="007C5A6E">
        <w:rPr>
          <w:rFonts w:ascii="Times New Roman" w:eastAsiaTheme="minorHAnsi" w:hAnsi="Times New Roman"/>
          <w:color w:val="auto"/>
          <w:kern w:val="2"/>
          <w:sz w:val="24"/>
          <w:szCs w:val="24"/>
          <w:lang w:eastAsia="en-US"/>
          <w14:ligatures w14:val="standardContextual"/>
        </w:rPr>
        <w:t>Ouagadougou : nombre de jours de séquences sèches en début de campagne (A) ; nombre de jours de séquences sèches en fin de campagne (B).</w:t>
      </w:r>
      <w:bookmarkEnd w:id="96"/>
      <w:bookmarkEnd w:id="97"/>
      <w:bookmarkEnd w:id="98"/>
    </w:p>
    <w:p w14:paraId="021BA4BB"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p>
    <w:p w14:paraId="7AE1F9C2" w14:textId="77777777" w:rsidR="00392DB7" w:rsidRPr="007C5A6E" w:rsidRDefault="00392DB7" w:rsidP="003F3821">
      <w:pPr>
        <w:pStyle w:val="Titre5"/>
        <w:numPr>
          <w:ilvl w:val="4"/>
          <w:numId w:val="4"/>
        </w:numPr>
        <w:ind w:left="907" w:hanging="907"/>
        <w:rPr>
          <w:rFonts w:ascii="Times New Roman" w:hAnsi="Times New Roman" w:cs="Times New Roman"/>
          <w:color w:val="auto"/>
          <w:u w:val="single"/>
          <w:lang w:eastAsia="en-US"/>
        </w:rPr>
      </w:pPr>
      <w:bookmarkStart w:id="99" w:name="_Toc183340035"/>
      <w:r w:rsidRPr="007C5A6E">
        <w:rPr>
          <w:rFonts w:ascii="Times New Roman" w:hAnsi="Times New Roman" w:cs="Times New Roman"/>
          <w:color w:val="auto"/>
          <w:u w:val="single"/>
          <w:lang w:eastAsia="en-US"/>
        </w:rPr>
        <w:t>La température</w:t>
      </w:r>
      <w:bookmarkEnd w:id="99"/>
    </w:p>
    <w:p w14:paraId="4A376FDA"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p>
    <w:p w14:paraId="4BCAD915" w14:textId="77777777" w:rsidR="00392DB7" w:rsidRPr="007C5A6E" w:rsidRDefault="00392DB7" w:rsidP="00392DB7">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Toutes les variables et tous les indices de température présentés à la figure 9 (températures moyennes (A), nombre de jours chauds (B), températures minimales (C), températures maximales (D)) présentent une forte tendance à la hausse. C’est le signe qu’il y a un réchauffement général.</w:t>
      </w:r>
    </w:p>
    <w:p w14:paraId="3FF6E122"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p>
    <w:tbl>
      <w:tblPr>
        <w:tblStyle w:val="Grilledutableau"/>
        <w:tblW w:w="9634" w:type="dxa"/>
        <w:tblLayout w:type="fixed"/>
        <w:tblCellMar>
          <w:left w:w="0" w:type="dxa"/>
          <w:right w:w="0" w:type="dxa"/>
        </w:tblCellMar>
        <w:tblLook w:val="04A0" w:firstRow="1" w:lastRow="0" w:firstColumn="1" w:lastColumn="0" w:noHBand="0" w:noVBand="1"/>
      </w:tblPr>
      <w:tblGrid>
        <w:gridCol w:w="4698"/>
        <w:gridCol w:w="4936"/>
      </w:tblGrid>
      <w:tr w:rsidR="00392DB7" w:rsidRPr="007C5A6E" w14:paraId="5846145C" w14:textId="77777777" w:rsidTr="00457BED">
        <w:trPr>
          <w:cantSplit/>
          <w:trHeight w:val="3458"/>
        </w:trPr>
        <w:tc>
          <w:tcPr>
            <w:tcW w:w="4698" w:type="dxa"/>
          </w:tcPr>
          <w:p w14:paraId="7D279B68"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45440" behindDoc="0" locked="0" layoutInCell="1" allowOverlap="1" wp14:anchorId="1082A680" wp14:editId="7F3A312C">
                      <wp:simplePos x="0" y="0"/>
                      <wp:positionH relativeFrom="column">
                        <wp:posOffset>422275</wp:posOffset>
                      </wp:positionH>
                      <wp:positionV relativeFrom="paragraph">
                        <wp:posOffset>293370</wp:posOffset>
                      </wp:positionV>
                      <wp:extent cx="333375" cy="285750"/>
                      <wp:effectExtent l="0" t="0" r="28575" b="19050"/>
                      <wp:wrapNone/>
                      <wp:docPr id="884937077" name="Zone de texte 35"/>
                      <wp:cNvGraphicFramePr/>
                      <a:graphic xmlns:a="http://schemas.openxmlformats.org/drawingml/2006/main">
                        <a:graphicData uri="http://schemas.microsoft.com/office/word/2010/wordprocessingShape">
                          <wps:wsp>
                            <wps:cNvSpPr txBox="1"/>
                            <wps:spPr>
                              <a:xfrm>
                                <a:off x="0" y="0"/>
                                <a:ext cx="333375" cy="285750"/>
                              </a:xfrm>
                              <a:prstGeom prst="rect">
                                <a:avLst/>
                              </a:prstGeom>
                              <a:solidFill>
                                <a:sysClr val="window" lastClr="FFFFFF"/>
                              </a:solidFill>
                              <a:ln w="6350">
                                <a:solidFill>
                                  <a:prstClr val="black"/>
                                </a:solidFill>
                              </a:ln>
                            </wps:spPr>
                            <wps:txbx>
                              <w:txbxContent>
                                <w:p w14:paraId="39A74E8E" w14:textId="77777777" w:rsidR="00392DB7" w:rsidRPr="00B50464" w:rsidRDefault="00392DB7" w:rsidP="00392DB7">
                                  <w:pPr>
                                    <w:jc w:val="center"/>
                                    <w:rPr>
                                      <w:b/>
                                      <w:bCs/>
                                    </w:rPr>
                                  </w:pPr>
                                  <w:r>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2A680" id="_x0000_s1052" type="#_x0000_t202" style="position:absolute;margin-left:33.25pt;margin-top:23.1pt;width:26.25pt;height:2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" fillcolor="window" strokeweight=".5pt">
                      <v:textbox>
                        <w:txbxContent>
                          <w:p w14:paraId="39A74E8E" w14:textId="77777777" w:rsidR="00392DB7" w:rsidRPr="00B50464" w:rsidRDefault="00392DB7" w:rsidP="00392DB7">
                            <w:pPr>
                              <w:jc w:val="center"/>
                              <w:rPr>
                                <w:b/>
                                <w:bCs/>
                              </w:rPr>
                            </w:pPr>
                            <w:r>
                              <w:rPr>
                                <w:b/>
                                <w:bCs/>
                              </w:rPr>
                              <w:t>A</w:t>
                            </w:r>
                          </w:p>
                        </w:txbxContent>
                      </v:textbox>
                    </v:shape>
                  </w:pict>
                </mc:Fallback>
              </mc:AlternateContent>
            </w:r>
            <w:r w:rsidRPr="007C5A6E">
              <w:rPr>
                <w:rFonts w:ascii="Times New Roman" w:hAnsi="Times New Roman"/>
                <w:noProof/>
                <w:sz w:val="24"/>
              </w:rPr>
              <w:drawing>
                <wp:inline distT="0" distB="0" distL="0" distR="0" wp14:anchorId="767D596C" wp14:editId="68EF74CF">
                  <wp:extent cx="2976880" cy="2162175"/>
                  <wp:effectExtent l="0" t="0" r="0" b="9525"/>
                  <wp:docPr id="84561172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1723" name="Image 845611723"/>
                          <pic:cNvPicPr/>
                        </pic:nvPicPr>
                        <pic:blipFill>
                          <a:blip r:embed="rId44" cstate="email">
                            <a:extLst>
                              <a:ext uri="{28A0092B-C50C-407E-A947-70E740481C1C}">
                                <a14:useLocalDpi xmlns:a14="http://schemas.microsoft.com/office/drawing/2010/main"/>
                              </a:ext>
                            </a:extLst>
                          </a:blip>
                          <a:stretch>
                            <a:fillRect/>
                          </a:stretch>
                        </pic:blipFill>
                        <pic:spPr>
                          <a:xfrm>
                            <a:off x="0" y="0"/>
                            <a:ext cx="2976880" cy="2162175"/>
                          </a:xfrm>
                          <a:prstGeom prst="rect">
                            <a:avLst/>
                          </a:prstGeom>
                        </pic:spPr>
                      </pic:pic>
                    </a:graphicData>
                  </a:graphic>
                </wp:inline>
              </w:drawing>
            </w:r>
          </w:p>
        </w:tc>
        <w:tc>
          <w:tcPr>
            <w:tcW w:w="4936" w:type="dxa"/>
          </w:tcPr>
          <w:p w14:paraId="7381DE9D"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49536" behindDoc="0" locked="0" layoutInCell="1" allowOverlap="1" wp14:anchorId="3FA43E8B" wp14:editId="1B00395C">
                      <wp:simplePos x="0" y="0"/>
                      <wp:positionH relativeFrom="column">
                        <wp:posOffset>810895</wp:posOffset>
                      </wp:positionH>
                      <wp:positionV relativeFrom="paragraph">
                        <wp:posOffset>293370</wp:posOffset>
                      </wp:positionV>
                      <wp:extent cx="333375" cy="285750"/>
                      <wp:effectExtent l="0" t="0" r="28575" b="19050"/>
                      <wp:wrapNone/>
                      <wp:docPr id="268072948" name="Zone de texte 35"/>
                      <wp:cNvGraphicFramePr/>
                      <a:graphic xmlns:a="http://schemas.openxmlformats.org/drawingml/2006/main">
                        <a:graphicData uri="http://schemas.microsoft.com/office/word/2010/wordprocessingShape">
                          <wps:wsp>
                            <wps:cNvSpPr txBox="1"/>
                            <wps:spPr>
                              <a:xfrm>
                                <a:off x="0" y="0"/>
                                <a:ext cx="333375" cy="285750"/>
                              </a:xfrm>
                              <a:prstGeom prst="rect">
                                <a:avLst/>
                              </a:prstGeom>
                              <a:solidFill>
                                <a:sysClr val="window" lastClr="FFFFFF"/>
                              </a:solidFill>
                              <a:ln w="6350">
                                <a:solidFill>
                                  <a:prstClr val="black"/>
                                </a:solidFill>
                              </a:ln>
                            </wps:spPr>
                            <wps:txbx>
                              <w:txbxContent>
                                <w:p w14:paraId="01784C7E" w14:textId="77777777" w:rsidR="00392DB7" w:rsidRPr="00B50464" w:rsidRDefault="00392DB7" w:rsidP="00392DB7">
                                  <w:pPr>
                                    <w:jc w:val="center"/>
                                    <w:rPr>
                                      <w:b/>
                                      <w:bCs/>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A43E8B" id="_x0000_s1053" type="#_x0000_t202" style="position:absolute;margin-left:63.85pt;margin-top:23.1pt;width:26.25pt;height:22.5pt;z-index:25164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" fillcolor="window" strokeweight=".5pt">
                      <v:textbox>
                        <w:txbxContent>
                          <w:p w14:paraId="01784C7E" w14:textId="77777777" w:rsidR="00392DB7" w:rsidRPr="00B50464" w:rsidRDefault="00392DB7" w:rsidP="00392DB7">
                            <w:pPr>
                              <w:jc w:val="center"/>
                              <w:rPr>
                                <w:b/>
                                <w:bCs/>
                              </w:rPr>
                            </w:pPr>
                            <w:r>
                              <w:rPr>
                                <w:b/>
                                <w:bCs/>
                              </w:rPr>
                              <w:t>B</w:t>
                            </w:r>
                          </w:p>
                        </w:txbxContent>
                      </v:textbox>
                    </v:shape>
                  </w:pict>
                </mc:Fallback>
              </mc:AlternateContent>
            </w:r>
            <w:r w:rsidRPr="007C5A6E">
              <w:rPr>
                <w:rFonts w:ascii="Times New Roman" w:hAnsi="Times New Roman"/>
                <w:noProof/>
                <w:sz w:val="24"/>
              </w:rPr>
              <w:drawing>
                <wp:inline distT="0" distB="0" distL="0" distR="0" wp14:anchorId="72A5303F" wp14:editId="073DCD09">
                  <wp:extent cx="3128010" cy="2075815"/>
                  <wp:effectExtent l="0" t="0" r="0" b="635"/>
                  <wp:docPr id="916726832"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726832" name="Image 916726832"/>
                          <pic:cNvPicPr/>
                        </pic:nvPicPr>
                        <pic:blipFill>
                          <a:blip r:embed="rId45" cstate="email">
                            <a:extLst>
                              <a:ext uri="{28A0092B-C50C-407E-A947-70E740481C1C}">
                                <a14:useLocalDpi xmlns:a14="http://schemas.microsoft.com/office/drawing/2010/main"/>
                              </a:ext>
                            </a:extLst>
                          </a:blip>
                          <a:stretch>
                            <a:fillRect/>
                          </a:stretch>
                        </pic:blipFill>
                        <pic:spPr>
                          <a:xfrm>
                            <a:off x="0" y="0"/>
                            <a:ext cx="3128010" cy="2075815"/>
                          </a:xfrm>
                          <a:prstGeom prst="rect">
                            <a:avLst/>
                          </a:prstGeom>
                        </pic:spPr>
                      </pic:pic>
                    </a:graphicData>
                  </a:graphic>
                </wp:inline>
              </w:drawing>
            </w:r>
          </w:p>
        </w:tc>
      </w:tr>
      <w:tr w:rsidR="00392DB7" w:rsidRPr="007C5A6E" w14:paraId="2F792C5D" w14:textId="77777777" w:rsidTr="00457BED">
        <w:trPr>
          <w:cantSplit/>
          <w:trHeight w:val="3458"/>
        </w:trPr>
        <w:tc>
          <w:tcPr>
            <w:tcW w:w="4698" w:type="dxa"/>
          </w:tcPr>
          <w:p w14:paraId="1387F9D9"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52608" behindDoc="0" locked="0" layoutInCell="1" allowOverlap="1" wp14:anchorId="0DEC6EDE" wp14:editId="426600A2">
                      <wp:simplePos x="0" y="0"/>
                      <wp:positionH relativeFrom="column">
                        <wp:posOffset>403225</wp:posOffset>
                      </wp:positionH>
                      <wp:positionV relativeFrom="paragraph">
                        <wp:posOffset>291465</wp:posOffset>
                      </wp:positionV>
                      <wp:extent cx="333375" cy="285750"/>
                      <wp:effectExtent l="0" t="0" r="28575" b="19050"/>
                      <wp:wrapNone/>
                      <wp:docPr id="1961906190" name="Zone de texte 35"/>
                      <wp:cNvGraphicFramePr/>
                      <a:graphic xmlns:a="http://schemas.openxmlformats.org/drawingml/2006/main">
                        <a:graphicData uri="http://schemas.microsoft.com/office/word/2010/wordprocessingShape">
                          <wps:wsp>
                            <wps:cNvSpPr txBox="1"/>
                            <wps:spPr>
                              <a:xfrm>
                                <a:off x="0" y="0"/>
                                <a:ext cx="333375" cy="285750"/>
                              </a:xfrm>
                              <a:prstGeom prst="rect">
                                <a:avLst/>
                              </a:prstGeom>
                              <a:solidFill>
                                <a:sysClr val="window" lastClr="FFFFFF"/>
                              </a:solidFill>
                              <a:ln w="6350">
                                <a:solidFill>
                                  <a:prstClr val="black"/>
                                </a:solidFill>
                              </a:ln>
                            </wps:spPr>
                            <wps:txbx>
                              <w:txbxContent>
                                <w:p w14:paraId="4E37F8B6" w14:textId="77777777" w:rsidR="00392DB7" w:rsidRPr="00B50464" w:rsidRDefault="00392DB7" w:rsidP="00392DB7">
                                  <w:pPr>
                                    <w:jc w:val="center"/>
                                    <w:rPr>
                                      <w:b/>
                                      <w:bCs/>
                                    </w:rPr>
                                  </w:pPr>
                                  <w:r>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EC6EDE" id="_x0000_s1054" type="#_x0000_t202" style="position:absolute;margin-left:31.75pt;margin-top:22.95pt;width:26.25pt;height:22.5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" fillcolor="window" strokeweight=".5pt">
                      <v:textbox>
                        <w:txbxContent>
                          <w:p w14:paraId="4E37F8B6" w14:textId="77777777" w:rsidR="00392DB7" w:rsidRPr="00B50464" w:rsidRDefault="00392DB7" w:rsidP="00392DB7">
                            <w:pPr>
                              <w:jc w:val="center"/>
                              <w:rPr>
                                <w:b/>
                                <w:bCs/>
                              </w:rPr>
                            </w:pPr>
                            <w:r>
                              <w:rPr>
                                <w:b/>
                                <w:bCs/>
                              </w:rPr>
                              <w:t>C</w:t>
                            </w:r>
                          </w:p>
                        </w:txbxContent>
                      </v:textbox>
                    </v:shape>
                  </w:pict>
                </mc:Fallback>
              </mc:AlternateContent>
            </w:r>
            <w:r w:rsidRPr="007C5A6E">
              <w:rPr>
                <w:rFonts w:ascii="Times New Roman" w:hAnsi="Times New Roman"/>
                <w:noProof/>
                <w:sz w:val="24"/>
              </w:rPr>
              <w:drawing>
                <wp:inline distT="0" distB="0" distL="0" distR="0" wp14:anchorId="5E33135A" wp14:editId="5BAFEDAC">
                  <wp:extent cx="2976880" cy="2181225"/>
                  <wp:effectExtent l="0" t="0" r="0" b="9525"/>
                  <wp:docPr id="160971118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11180" name="Image 1609711180"/>
                          <pic:cNvPicPr/>
                        </pic:nvPicPr>
                        <pic:blipFill>
                          <a:blip r:embed="rId46" cstate="email">
                            <a:extLst>
                              <a:ext uri="{28A0092B-C50C-407E-A947-70E740481C1C}">
                                <a14:useLocalDpi xmlns:a14="http://schemas.microsoft.com/office/drawing/2010/main"/>
                              </a:ext>
                            </a:extLst>
                          </a:blip>
                          <a:stretch>
                            <a:fillRect/>
                          </a:stretch>
                        </pic:blipFill>
                        <pic:spPr>
                          <a:xfrm>
                            <a:off x="0" y="0"/>
                            <a:ext cx="2976880" cy="2181225"/>
                          </a:xfrm>
                          <a:prstGeom prst="rect">
                            <a:avLst/>
                          </a:prstGeom>
                        </pic:spPr>
                      </pic:pic>
                    </a:graphicData>
                  </a:graphic>
                </wp:inline>
              </w:drawing>
            </w:r>
          </w:p>
        </w:tc>
        <w:tc>
          <w:tcPr>
            <w:tcW w:w="4936" w:type="dxa"/>
          </w:tcPr>
          <w:p w14:paraId="6288A6F0"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55680" behindDoc="0" locked="0" layoutInCell="1" allowOverlap="1" wp14:anchorId="3735444F" wp14:editId="118A62F8">
                      <wp:simplePos x="0" y="0"/>
                      <wp:positionH relativeFrom="column">
                        <wp:posOffset>810895</wp:posOffset>
                      </wp:positionH>
                      <wp:positionV relativeFrom="paragraph">
                        <wp:posOffset>290830</wp:posOffset>
                      </wp:positionV>
                      <wp:extent cx="333375" cy="285750"/>
                      <wp:effectExtent l="0" t="0" r="28575" b="19050"/>
                      <wp:wrapNone/>
                      <wp:docPr id="1377674960" name="Zone de texte 35"/>
                      <wp:cNvGraphicFramePr/>
                      <a:graphic xmlns:a="http://schemas.openxmlformats.org/drawingml/2006/main">
                        <a:graphicData uri="http://schemas.microsoft.com/office/word/2010/wordprocessingShape">
                          <wps:wsp>
                            <wps:cNvSpPr txBox="1"/>
                            <wps:spPr>
                              <a:xfrm>
                                <a:off x="0" y="0"/>
                                <a:ext cx="333375" cy="285750"/>
                              </a:xfrm>
                              <a:prstGeom prst="rect">
                                <a:avLst/>
                              </a:prstGeom>
                              <a:solidFill>
                                <a:sysClr val="window" lastClr="FFFFFF"/>
                              </a:solidFill>
                              <a:ln w="6350">
                                <a:solidFill>
                                  <a:prstClr val="black"/>
                                </a:solidFill>
                              </a:ln>
                            </wps:spPr>
                            <wps:txbx>
                              <w:txbxContent>
                                <w:p w14:paraId="327C7743" w14:textId="77777777" w:rsidR="00392DB7" w:rsidRPr="00B50464" w:rsidRDefault="00392DB7" w:rsidP="00392DB7">
                                  <w:pPr>
                                    <w:jc w:val="center"/>
                                    <w:rPr>
                                      <w:b/>
                                      <w:bCs/>
                                    </w:rPr>
                                  </w:pPr>
                                  <w:r>
                                    <w:rPr>
                                      <w:b/>
                                      <w:b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35444F" id="_x0000_s1055" type="#_x0000_t202" style="position:absolute;margin-left:63.85pt;margin-top:22.9pt;width:26.25pt;height:22.5pt;z-index:25165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" fillcolor="window" strokeweight=".5pt">
                      <v:textbox>
                        <w:txbxContent>
                          <w:p w14:paraId="327C7743" w14:textId="77777777" w:rsidR="00392DB7" w:rsidRPr="00B50464" w:rsidRDefault="00392DB7" w:rsidP="00392DB7">
                            <w:pPr>
                              <w:jc w:val="center"/>
                              <w:rPr>
                                <w:b/>
                                <w:bCs/>
                              </w:rPr>
                            </w:pPr>
                            <w:r>
                              <w:rPr>
                                <w:b/>
                                <w:bCs/>
                              </w:rPr>
                              <w:t>D</w:t>
                            </w:r>
                          </w:p>
                        </w:txbxContent>
                      </v:textbox>
                    </v:shape>
                  </w:pict>
                </mc:Fallback>
              </mc:AlternateContent>
            </w:r>
            <w:r w:rsidRPr="007C5A6E">
              <w:rPr>
                <w:rFonts w:ascii="Times New Roman" w:hAnsi="Times New Roman"/>
                <w:noProof/>
                <w:sz w:val="24"/>
              </w:rPr>
              <w:drawing>
                <wp:inline distT="0" distB="0" distL="0" distR="0" wp14:anchorId="05037686" wp14:editId="3A57F71D">
                  <wp:extent cx="3128010" cy="2181225"/>
                  <wp:effectExtent l="0" t="0" r="0" b="9525"/>
                  <wp:docPr id="1754097420"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097420" name="Image 1754097420"/>
                          <pic:cNvPicPr/>
                        </pic:nvPicPr>
                        <pic:blipFill>
                          <a:blip r:embed="rId47" cstate="email">
                            <a:extLst>
                              <a:ext uri="{28A0092B-C50C-407E-A947-70E740481C1C}">
                                <a14:useLocalDpi xmlns:a14="http://schemas.microsoft.com/office/drawing/2010/main"/>
                              </a:ext>
                            </a:extLst>
                          </a:blip>
                          <a:stretch>
                            <a:fillRect/>
                          </a:stretch>
                        </pic:blipFill>
                        <pic:spPr>
                          <a:xfrm>
                            <a:off x="0" y="0"/>
                            <a:ext cx="3128010" cy="2181225"/>
                          </a:xfrm>
                          <a:prstGeom prst="rect">
                            <a:avLst/>
                          </a:prstGeom>
                        </pic:spPr>
                      </pic:pic>
                    </a:graphicData>
                  </a:graphic>
                </wp:inline>
              </w:drawing>
            </w:r>
          </w:p>
        </w:tc>
      </w:tr>
    </w:tbl>
    <w:p w14:paraId="56A7CA32" w14:textId="7506B0D9" w:rsidR="00392DB7" w:rsidRPr="007C5A6E" w:rsidRDefault="00727088" w:rsidP="00727088">
      <w:pPr>
        <w:pStyle w:val="Lgende"/>
        <w:spacing w:after="0"/>
        <w:rPr>
          <w:rFonts w:ascii="Times New Roman" w:eastAsiaTheme="minorHAnsi" w:hAnsi="Times New Roman"/>
          <w:color w:val="auto"/>
          <w:kern w:val="2"/>
          <w:sz w:val="24"/>
          <w:szCs w:val="24"/>
          <w:lang w:eastAsia="en-US"/>
          <w14:ligatures w14:val="standardContextual"/>
        </w:rPr>
      </w:pPr>
      <w:bookmarkStart w:id="100" w:name="_Toc183230856"/>
      <w:bookmarkStart w:id="101" w:name="_Toc183240649"/>
      <w:bookmarkStart w:id="102" w:name="_Toc183340388"/>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9</w:t>
      </w:r>
      <w:r w:rsidRPr="007C5A6E">
        <w:rPr>
          <w:rFonts w:ascii="Times New Roman" w:hAnsi="Times New Roman"/>
          <w:color w:val="auto"/>
          <w:sz w:val="24"/>
          <w:szCs w:val="24"/>
        </w:rPr>
        <w:fldChar w:fldCharType="end"/>
      </w:r>
      <w:r w:rsidR="00392DB7" w:rsidRPr="007C5A6E">
        <w:rPr>
          <w:rFonts w:ascii="Times New Roman" w:eastAsiaTheme="minorHAnsi" w:hAnsi="Times New Roman"/>
          <w:color w:val="auto"/>
          <w:kern w:val="2"/>
          <w:sz w:val="24"/>
          <w:szCs w:val="24"/>
          <w:lang w:eastAsia="en-US"/>
          <w14:ligatures w14:val="standardContextual"/>
        </w:rPr>
        <w:t>. Ouagadougou : température moyenne annuelle (A) ; nombre de jours chauds par an (B) ; température minimale annuelle (C) ; température maximale annuelle (D).</w:t>
      </w:r>
      <w:bookmarkEnd w:id="100"/>
      <w:bookmarkEnd w:id="101"/>
      <w:bookmarkEnd w:id="102"/>
    </w:p>
    <w:p w14:paraId="7E04B4E8"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p>
    <w:p w14:paraId="159D12D5" w14:textId="77777777" w:rsidR="00392DB7" w:rsidRPr="007C5A6E" w:rsidRDefault="00392DB7" w:rsidP="00684FF8">
      <w:pPr>
        <w:pStyle w:val="Titre4"/>
      </w:pPr>
      <w:bookmarkStart w:id="103" w:name="_Toc182582642"/>
      <w:bookmarkStart w:id="104" w:name="_Toc183340036"/>
      <w:r w:rsidRPr="007C5A6E">
        <w:t>En zone soudanienne</w:t>
      </w:r>
      <w:bookmarkEnd w:id="103"/>
      <w:bookmarkEnd w:id="104"/>
    </w:p>
    <w:p w14:paraId="45E8343E"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p>
    <w:p w14:paraId="78291792" w14:textId="77777777" w:rsidR="00392DB7" w:rsidRPr="007C5A6E" w:rsidRDefault="00392DB7" w:rsidP="003F3821">
      <w:pPr>
        <w:pStyle w:val="Titre5"/>
        <w:numPr>
          <w:ilvl w:val="4"/>
          <w:numId w:val="4"/>
        </w:numPr>
        <w:ind w:left="907" w:hanging="907"/>
        <w:rPr>
          <w:rFonts w:ascii="Times New Roman" w:hAnsi="Times New Roman" w:cs="Times New Roman"/>
          <w:color w:val="auto"/>
          <w:u w:val="single"/>
          <w:lang w:eastAsia="en-US"/>
        </w:rPr>
      </w:pPr>
      <w:bookmarkStart w:id="105" w:name="_Toc183340037"/>
      <w:r w:rsidRPr="007C5A6E">
        <w:rPr>
          <w:rFonts w:ascii="Times New Roman" w:hAnsi="Times New Roman" w:cs="Times New Roman"/>
          <w:color w:val="auto"/>
          <w:u w:val="single"/>
          <w:lang w:eastAsia="en-US"/>
        </w:rPr>
        <w:t>La pluviométrie</w:t>
      </w:r>
      <w:bookmarkEnd w:id="105"/>
    </w:p>
    <w:p w14:paraId="2E96F8D8" w14:textId="77777777" w:rsidR="006346D0" w:rsidRPr="007C5A6E" w:rsidRDefault="006346D0" w:rsidP="006346D0">
      <w:pPr>
        <w:spacing w:after="0" w:line="240" w:lineRule="auto"/>
        <w:jc w:val="both"/>
        <w:rPr>
          <w:rFonts w:ascii="Times New Roman" w:eastAsiaTheme="minorHAnsi" w:hAnsi="Times New Roman" w:cstheme="minorBidi"/>
          <w:kern w:val="2"/>
          <w:sz w:val="24"/>
          <w:lang w:eastAsia="en-US"/>
          <w14:ligatures w14:val="standardContextual"/>
        </w:rPr>
      </w:pPr>
    </w:p>
    <w:p w14:paraId="5D2B61DE" w14:textId="138D4B85" w:rsidR="006346D0" w:rsidRPr="007C5A6E" w:rsidRDefault="006346D0" w:rsidP="006346D0">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Le cumul annuel des pluies (figure 10 (A)) montre une tendance nette à la hausse malgré 2 années particulièrement sèches pour la zone : 2011 et surtout 2017 où il a plu moitié moins que chacune des 2 années suivantes.</w:t>
      </w:r>
    </w:p>
    <w:p w14:paraId="5B7A2F34"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p>
    <w:tbl>
      <w:tblPr>
        <w:tblStyle w:val="Grilledutableau"/>
        <w:tblW w:w="9776" w:type="dxa"/>
        <w:tblLayout w:type="fixed"/>
        <w:tblCellMar>
          <w:left w:w="0" w:type="dxa"/>
          <w:right w:w="0" w:type="dxa"/>
        </w:tblCellMar>
        <w:tblLook w:val="04A0" w:firstRow="1" w:lastRow="0" w:firstColumn="1" w:lastColumn="0" w:noHBand="0" w:noVBand="1"/>
      </w:tblPr>
      <w:tblGrid>
        <w:gridCol w:w="4957"/>
        <w:gridCol w:w="4819"/>
      </w:tblGrid>
      <w:tr w:rsidR="00392DB7" w:rsidRPr="007C5A6E" w14:paraId="5E22BF6B" w14:textId="77777777" w:rsidTr="00457BED">
        <w:trPr>
          <w:cantSplit/>
        </w:trPr>
        <w:tc>
          <w:tcPr>
            <w:tcW w:w="4957" w:type="dxa"/>
          </w:tcPr>
          <w:p w14:paraId="7971BEC5" w14:textId="77777777" w:rsidR="00392DB7" w:rsidRPr="007C5A6E" w:rsidRDefault="00392DB7" w:rsidP="00392DB7">
            <w:pPr>
              <w:spacing w:after="0" w:line="240" w:lineRule="auto"/>
              <w:rPr>
                <w:rFonts w:ascii="Times New Roman" w:hAnsi="Times New Roman"/>
                <w:b/>
                <w:bCs/>
                <w:sz w:val="20"/>
                <w:szCs w:val="20"/>
              </w:rPr>
            </w:pPr>
            <w:r w:rsidRPr="007C5A6E">
              <w:rPr>
                <w:rFonts w:ascii="Times New Roman" w:hAnsi="Times New Roman"/>
                <w:b/>
                <w:bCs/>
                <w:noProof/>
                <w:sz w:val="20"/>
                <w:szCs w:val="20"/>
              </w:rPr>
              <mc:AlternateContent>
                <mc:Choice Requires="wps">
                  <w:drawing>
                    <wp:anchor distT="0" distB="0" distL="114300" distR="114300" simplePos="0" relativeHeight="251620864" behindDoc="0" locked="0" layoutInCell="1" allowOverlap="1" wp14:anchorId="5CE86E09" wp14:editId="5BD23EB0">
                      <wp:simplePos x="0" y="0"/>
                      <wp:positionH relativeFrom="column">
                        <wp:posOffset>1351280</wp:posOffset>
                      </wp:positionH>
                      <wp:positionV relativeFrom="paragraph">
                        <wp:posOffset>252095</wp:posOffset>
                      </wp:positionV>
                      <wp:extent cx="342900" cy="238125"/>
                      <wp:effectExtent l="0" t="0" r="19050" b="28575"/>
                      <wp:wrapNone/>
                      <wp:docPr id="291264091" name="Zone de texte 10"/>
                      <wp:cNvGraphicFramePr/>
                      <a:graphic xmlns:a="http://schemas.openxmlformats.org/drawingml/2006/main">
                        <a:graphicData uri="http://schemas.microsoft.com/office/word/2010/wordprocessingShape">
                          <wps:wsp>
                            <wps:cNvSpPr txBox="1"/>
                            <wps:spPr>
                              <a:xfrm>
                                <a:off x="0" y="0"/>
                                <a:ext cx="342900" cy="238125"/>
                              </a:xfrm>
                              <a:prstGeom prst="rect">
                                <a:avLst/>
                              </a:prstGeom>
                              <a:solidFill>
                                <a:sysClr val="window" lastClr="FFFFFF"/>
                              </a:solidFill>
                              <a:ln w="6350">
                                <a:solidFill>
                                  <a:prstClr val="black"/>
                                </a:solidFill>
                              </a:ln>
                            </wps:spPr>
                            <wps:txbx>
                              <w:txbxContent>
                                <w:p w14:paraId="26F3CEDA" w14:textId="77777777" w:rsidR="00392DB7" w:rsidRPr="0099714F" w:rsidRDefault="00392DB7" w:rsidP="00392DB7">
                                  <w:pPr>
                                    <w:jc w:val="center"/>
                                    <w:rPr>
                                      <w:b/>
                                      <w:bCs/>
                                    </w:rPr>
                                  </w:pPr>
                                  <w:r>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E86E09" id="_x0000_s1056" type="#_x0000_t202" style="position:absolute;margin-left:106.4pt;margin-top:19.85pt;width:27pt;height:18.75pt;z-index:25162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" fillcolor="window" strokeweight=".5pt">
                      <v:textbox>
                        <w:txbxContent>
                          <w:p w14:paraId="26F3CEDA" w14:textId="77777777" w:rsidR="00392DB7" w:rsidRPr="0099714F" w:rsidRDefault="00392DB7" w:rsidP="00392DB7">
                            <w:pPr>
                              <w:jc w:val="center"/>
                              <w:rPr>
                                <w:b/>
                                <w:bCs/>
                              </w:rPr>
                            </w:pPr>
                            <w:r>
                              <w:rPr>
                                <w:b/>
                                <w:bCs/>
                              </w:rPr>
                              <w:t>A</w:t>
                            </w:r>
                          </w:p>
                        </w:txbxContent>
                      </v:textbox>
                    </v:shape>
                  </w:pict>
                </mc:Fallback>
              </mc:AlternateContent>
            </w:r>
            <w:r w:rsidRPr="007C5A6E">
              <w:rPr>
                <w:rFonts w:ascii="Times New Roman" w:hAnsi="Times New Roman"/>
                <w:b/>
                <w:bCs/>
                <w:noProof/>
                <w:sz w:val="20"/>
                <w:szCs w:val="20"/>
              </w:rPr>
              <w:drawing>
                <wp:inline distT="0" distB="0" distL="0" distR="0" wp14:anchorId="2BBBC399" wp14:editId="76DDE99C">
                  <wp:extent cx="3141345" cy="1914525"/>
                  <wp:effectExtent l="0" t="0" r="1905" b="9525"/>
                  <wp:docPr id="120874936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749362" name="Image 1208749362"/>
                          <pic:cNvPicPr/>
                        </pic:nvPicPr>
                        <pic:blipFill>
                          <a:blip r:embed="rId48" cstate="email">
                            <a:extLst>
                              <a:ext uri="{28A0092B-C50C-407E-A947-70E740481C1C}">
                                <a14:useLocalDpi xmlns:a14="http://schemas.microsoft.com/office/drawing/2010/main"/>
                              </a:ext>
                            </a:extLst>
                          </a:blip>
                          <a:stretch>
                            <a:fillRect/>
                          </a:stretch>
                        </pic:blipFill>
                        <pic:spPr>
                          <a:xfrm>
                            <a:off x="0" y="0"/>
                            <a:ext cx="3141345" cy="1914525"/>
                          </a:xfrm>
                          <a:prstGeom prst="rect">
                            <a:avLst/>
                          </a:prstGeom>
                        </pic:spPr>
                      </pic:pic>
                    </a:graphicData>
                  </a:graphic>
                </wp:inline>
              </w:drawing>
            </w:r>
          </w:p>
        </w:tc>
        <w:tc>
          <w:tcPr>
            <w:tcW w:w="4819" w:type="dxa"/>
          </w:tcPr>
          <w:p w14:paraId="1BB08674" w14:textId="77777777" w:rsidR="00392DB7" w:rsidRPr="007C5A6E" w:rsidRDefault="00392DB7" w:rsidP="00392DB7">
            <w:pPr>
              <w:spacing w:after="0" w:line="240" w:lineRule="auto"/>
              <w:rPr>
                <w:rFonts w:ascii="Times New Roman" w:hAnsi="Times New Roman"/>
                <w:b/>
                <w:bCs/>
                <w:sz w:val="20"/>
                <w:szCs w:val="20"/>
              </w:rPr>
            </w:pPr>
            <w:r w:rsidRPr="007C5A6E">
              <w:rPr>
                <w:rFonts w:ascii="Times New Roman" w:hAnsi="Times New Roman"/>
                <w:b/>
                <w:bCs/>
                <w:noProof/>
                <w:sz w:val="20"/>
                <w:szCs w:val="20"/>
              </w:rPr>
              <mc:AlternateContent>
                <mc:Choice Requires="wps">
                  <w:drawing>
                    <wp:anchor distT="0" distB="0" distL="114300" distR="114300" simplePos="0" relativeHeight="251621888" behindDoc="0" locked="0" layoutInCell="1" allowOverlap="1" wp14:anchorId="3954238B" wp14:editId="6BE46CD3">
                      <wp:simplePos x="0" y="0"/>
                      <wp:positionH relativeFrom="column">
                        <wp:posOffset>1118235</wp:posOffset>
                      </wp:positionH>
                      <wp:positionV relativeFrom="paragraph">
                        <wp:posOffset>172085</wp:posOffset>
                      </wp:positionV>
                      <wp:extent cx="390525" cy="238125"/>
                      <wp:effectExtent l="0" t="0" r="28575" b="28575"/>
                      <wp:wrapNone/>
                      <wp:docPr id="444704251" name="Zone de texte 10"/>
                      <wp:cNvGraphicFramePr/>
                      <a:graphic xmlns:a="http://schemas.openxmlformats.org/drawingml/2006/main">
                        <a:graphicData uri="http://schemas.microsoft.com/office/word/2010/wordprocessingShape">
                          <wps:wsp>
                            <wps:cNvSpPr txBox="1"/>
                            <wps:spPr>
                              <a:xfrm>
                                <a:off x="0" y="0"/>
                                <a:ext cx="390525" cy="238125"/>
                              </a:xfrm>
                              <a:prstGeom prst="rect">
                                <a:avLst/>
                              </a:prstGeom>
                              <a:solidFill>
                                <a:sysClr val="window" lastClr="FFFFFF"/>
                              </a:solidFill>
                              <a:ln w="6350">
                                <a:solidFill>
                                  <a:prstClr val="black"/>
                                </a:solidFill>
                              </a:ln>
                            </wps:spPr>
                            <wps:txbx>
                              <w:txbxContent>
                                <w:p w14:paraId="01CFC5D8" w14:textId="77777777" w:rsidR="00392DB7" w:rsidRPr="0099714F" w:rsidRDefault="00392DB7" w:rsidP="00392DB7">
                                  <w:pPr>
                                    <w:jc w:val="center"/>
                                    <w:rPr>
                                      <w:b/>
                                      <w:bCs/>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54238B" id="_x0000_s1057" type="#_x0000_t202" style="position:absolute;margin-left:88.05pt;margin-top:13.55pt;width:30.75pt;height:18.75pt;z-index:251621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" fillcolor="window" strokeweight=".5pt">
                      <v:textbox>
                        <w:txbxContent>
                          <w:p w14:paraId="01CFC5D8" w14:textId="77777777" w:rsidR="00392DB7" w:rsidRPr="0099714F" w:rsidRDefault="00392DB7" w:rsidP="00392DB7">
                            <w:pPr>
                              <w:jc w:val="center"/>
                              <w:rPr>
                                <w:b/>
                                <w:bCs/>
                              </w:rPr>
                            </w:pPr>
                            <w:r>
                              <w:rPr>
                                <w:b/>
                                <w:bCs/>
                              </w:rPr>
                              <w:t>B</w:t>
                            </w:r>
                          </w:p>
                        </w:txbxContent>
                      </v:textbox>
                    </v:shape>
                  </w:pict>
                </mc:Fallback>
              </mc:AlternateContent>
            </w:r>
            <w:r w:rsidRPr="007C5A6E">
              <w:rPr>
                <w:rFonts w:ascii="Times New Roman" w:hAnsi="Times New Roman"/>
                <w:b/>
                <w:bCs/>
                <w:noProof/>
                <w:sz w:val="20"/>
                <w:szCs w:val="20"/>
              </w:rPr>
              <w:drawing>
                <wp:inline distT="0" distB="0" distL="0" distR="0" wp14:anchorId="352FD8FC" wp14:editId="4E3C3584">
                  <wp:extent cx="3053715" cy="1866900"/>
                  <wp:effectExtent l="0" t="0" r="0" b="0"/>
                  <wp:docPr id="172198536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985368" name="Image 1721985368"/>
                          <pic:cNvPicPr/>
                        </pic:nvPicPr>
                        <pic:blipFill>
                          <a:blip r:embed="rId49" cstate="email">
                            <a:extLst>
                              <a:ext uri="{28A0092B-C50C-407E-A947-70E740481C1C}">
                                <a14:useLocalDpi xmlns:a14="http://schemas.microsoft.com/office/drawing/2010/main"/>
                              </a:ext>
                            </a:extLst>
                          </a:blip>
                          <a:stretch>
                            <a:fillRect/>
                          </a:stretch>
                        </pic:blipFill>
                        <pic:spPr>
                          <a:xfrm>
                            <a:off x="0" y="0"/>
                            <a:ext cx="3053715" cy="1866900"/>
                          </a:xfrm>
                          <a:prstGeom prst="rect">
                            <a:avLst/>
                          </a:prstGeom>
                        </pic:spPr>
                      </pic:pic>
                    </a:graphicData>
                  </a:graphic>
                </wp:inline>
              </w:drawing>
            </w:r>
          </w:p>
        </w:tc>
      </w:tr>
      <w:tr w:rsidR="00392DB7" w:rsidRPr="007C5A6E" w14:paraId="4036F268" w14:textId="77777777" w:rsidTr="00457BED">
        <w:trPr>
          <w:cantSplit/>
          <w:trHeight w:val="3043"/>
        </w:trPr>
        <w:tc>
          <w:tcPr>
            <w:tcW w:w="4957" w:type="dxa"/>
          </w:tcPr>
          <w:p w14:paraId="76165D4F" w14:textId="77777777" w:rsidR="00392DB7" w:rsidRPr="007C5A6E" w:rsidRDefault="00392DB7" w:rsidP="00392DB7">
            <w:pPr>
              <w:spacing w:after="0" w:line="240" w:lineRule="auto"/>
              <w:rPr>
                <w:rFonts w:ascii="Times New Roman" w:hAnsi="Times New Roman"/>
                <w:b/>
                <w:bCs/>
                <w:sz w:val="20"/>
                <w:szCs w:val="20"/>
              </w:rPr>
            </w:pPr>
            <w:r w:rsidRPr="007C5A6E">
              <w:rPr>
                <w:rFonts w:ascii="Times New Roman" w:hAnsi="Times New Roman"/>
                <w:b/>
                <w:bCs/>
                <w:noProof/>
                <w:sz w:val="20"/>
                <w:szCs w:val="20"/>
              </w:rPr>
              <mc:AlternateContent>
                <mc:Choice Requires="wps">
                  <w:drawing>
                    <wp:anchor distT="0" distB="0" distL="114300" distR="114300" simplePos="0" relativeHeight="251624960" behindDoc="0" locked="0" layoutInCell="1" allowOverlap="1" wp14:anchorId="38857A4C" wp14:editId="73B19896">
                      <wp:simplePos x="0" y="0"/>
                      <wp:positionH relativeFrom="column">
                        <wp:posOffset>1412875</wp:posOffset>
                      </wp:positionH>
                      <wp:positionV relativeFrom="paragraph">
                        <wp:posOffset>274955</wp:posOffset>
                      </wp:positionV>
                      <wp:extent cx="342900" cy="238125"/>
                      <wp:effectExtent l="0" t="0" r="19050" b="28575"/>
                      <wp:wrapNone/>
                      <wp:docPr id="2029019169" name="Zone de texte 10"/>
                      <wp:cNvGraphicFramePr/>
                      <a:graphic xmlns:a="http://schemas.openxmlformats.org/drawingml/2006/main">
                        <a:graphicData uri="http://schemas.microsoft.com/office/word/2010/wordprocessingShape">
                          <wps:wsp>
                            <wps:cNvSpPr txBox="1"/>
                            <wps:spPr>
                              <a:xfrm>
                                <a:off x="0" y="0"/>
                                <a:ext cx="342900" cy="238125"/>
                              </a:xfrm>
                              <a:prstGeom prst="rect">
                                <a:avLst/>
                              </a:prstGeom>
                              <a:solidFill>
                                <a:sysClr val="window" lastClr="FFFFFF"/>
                              </a:solidFill>
                              <a:ln w="6350">
                                <a:solidFill>
                                  <a:prstClr val="black"/>
                                </a:solidFill>
                              </a:ln>
                            </wps:spPr>
                            <wps:txbx>
                              <w:txbxContent>
                                <w:p w14:paraId="75F0F7DD" w14:textId="77777777" w:rsidR="00392DB7" w:rsidRPr="0099714F" w:rsidRDefault="00392DB7" w:rsidP="00392DB7">
                                  <w:pPr>
                                    <w:jc w:val="center"/>
                                    <w:rPr>
                                      <w:b/>
                                      <w:bCs/>
                                    </w:rPr>
                                  </w:pPr>
                                  <w:r>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857A4C" id="_x0000_s1058" type="#_x0000_t202" style="position:absolute;margin-left:111.25pt;margin-top:21.65pt;width:27pt;height:18.75pt;z-index:25162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" fillcolor="window" strokeweight=".5pt">
                      <v:textbox>
                        <w:txbxContent>
                          <w:p w14:paraId="75F0F7DD" w14:textId="77777777" w:rsidR="00392DB7" w:rsidRPr="0099714F" w:rsidRDefault="00392DB7" w:rsidP="00392DB7">
                            <w:pPr>
                              <w:jc w:val="center"/>
                              <w:rPr>
                                <w:b/>
                                <w:bCs/>
                              </w:rPr>
                            </w:pPr>
                            <w:r>
                              <w:rPr>
                                <w:b/>
                                <w:bCs/>
                              </w:rPr>
                              <w:t>C</w:t>
                            </w:r>
                          </w:p>
                        </w:txbxContent>
                      </v:textbox>
                    </v:shape>
                  </w:pict>
                </mc:Fallback>
              </mc:AlternateContent>
            </w:r>
            <w:r w:rsidRPr="007C5A6E">
              <w:rPr>
                <w:rFonts w:ascii="Times New Roman" w:hAnsi="Times New Roman"/>
                <w:b/>
                <w:bCs/>
                <w:noProof/>
                <w:sz w:val="20"/>
                <w:szCs w:val="20"/>
              </w:rPr>
              <w:drawing>
                <wp:inline distT="0" distB="0" distL="0" distR="0" wp14:anchorId="7F37B0AB" wp14:editId="01485046">
                  <wp:extent cx="3141345" cy="1895475"/>
                  <wp:effectExtent l="0" t="0" r="1905" b="9525"/>
                  <wp:docPr id="89103569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35691" name="Image 891035691"/>
                          <pic:cNvPicPr/>
                        </pic:nvPicPr>
                        <pic:blipFill>
                          <a:blip r:embed="rId50" cstate="email">
                            <a:extLst>
                              <a:ext uri="{28A0092B-C50C-407E-A947-70E740481C1C}">
                                <a14:useLocalDpi xmlns:a14="http://schemas.microsoft.com/office/drawing/2010/main"/>
                              </a:ext>
                            </a:extLst>
                          </a:blip>
                          <a:stretch>
                            <a:fillRect/>
                          </a:stretch>
                        </pic:blipFill>
                        <pic:spPr>
                          <a:xfrm>
                            <a:off x="0" y="0"/>
                            <a:ext cx="3141345" cy="1895475"/>
                          </a:xfrm>
                          <a:prstGeom prst="rect">
                            <a:avLst/>
                          </a:prstGeom>
                        </pic:spPr>
                      </pic:pic>
                    </a:graphicData>
                  </a:graphic>
                </wp:inline>
              </w:drawing>
            </w:r>
          </w:p>
        </w:tc>
        <w:tc>
          <w:tcPr>
            <w:tcW w:w="4819" w:type="dxa"/>
          </w:tcPr>
          <w:p w14:paraId="5306A00D" w14:textId="77777777" w:rsidR="00392DB7" w:rsidRPr="007C5A6E" w:rsidRDefault="00392DB7" w:rsidP="00392DB7">
            <w:pPr>
              <w:spacing w:after="0" w:line="240" w:lineRule="auto"/>
              <w:rPr>
                <w:rFonts w:ascii="Times New Roman" w:hAnsi="Times New Roman"/>
                <w:b/>
                <w:bCs/>
                <w:sz w:val="20"/>
                <w:szCs w:val="20"/>
              </w:rPr>
            </w:pPr>
            <w:r w:rsidRPr="007C5A6E">
              <w:rPr>
                <w:rFonts w:ascii="Times New Roman" w:hAnsi="Times New Roman"/>
                <w:b/>
                <w:bCs/>
                <w:noProof/>
                <w:sz w:val="20"/>
                <w:szCs w:val="20"/>
              </w:rPr>
              <mc:AlternateContent>
                <mc:Choice Requires="wps">
                  <w:drawing>
                    <wp:anchor distT="0" distB="0" distL="114300" distR="114300" simplePos="0" relativeHeight="251625984" behindDoc="0" locked="0" layoutInCell="1" allowOverlap="1" wp14:anchorId="02DE19AA" wp14:editId="1D8B337A">
                      <wp:simplePos x="0" y="0"/>
                      <wp:positionH relativeFrom="column">
                        <wp:posOffset>820310</wp:posOffset>
                      </wp:positionH>
                      <wp:positionV relativeFrom="paragraph">
                        <wp:posOffset>1228697</wp:posOffset>
                      </wp:positionV>
                      <wp:extent cx="342900" cy="318053"/>
                      <wp:effectExtent l="0" t="0" r="19050" b="25400"/>
                      <wp:wrapNone/>
                      <wp:docPr id="1835750177" name="Zone de texte 10"/>
                      <wp:cNvGraphicFramePr/>
                      <a:graphic xmlns:a="http://schemas.openxmlformats.org/drawingml/2006/main">
                        <a:graphicData uri="http://schemas.microsoft.com/office/word/2010/wordprocessingShape">
                          <wps:wsp>
                            <wps:cNvSpPr txBox="1"/>
                            <wps:spPr>
                              <a:xfrm>
                                <a:off x="0" y="0"/>
                                <a:ext cx="342900" cy="318053"/>
                              </a:xfrm>
                              <a:prstGeom prst="rect">
                                <a:avLst/>
                              </a:prstGeom>
                              <a:solidFill>
                                <a:sysClr val="window" lastClr="FFFFFF"/>
                              </a:solidFill>
                              <a:ln w="6350">
                                <a:solidFill>
                                  <a:prstClr val="black"/>
                                </a:solidFill>
                              </a:ln>
                            </wps:spPr>
                            <wps:txbx>
                              <w:txbxContent>
                                <w:p w14:paraId="19CAE5A6" w14:textId="77777777" w:rsidR="00392DB7" w:rsidRPr="0099714F" w:rsidRDefault="00392DB7" w:rsidP="00392DB7">
                                  <w:pPr>
                                    <w:jc w:val="center"/>
                                    <w:rPr>
                                      <w:b/>
                                      <w:bCs/>
                                    </w:rPr>
                                  </w:pPr>
                                  <w:r>
                                    <w:rPr>
                                      <w:b/>
                                      <w:b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DE19AA" id="_x0000_s1059" type="#_x0000_t202" style="position:absolute;margin-left:64.6pt;margin-top:96.75pt;width:27pt;height:25.05pt;z-index:251625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" fillcolor="window" strokeweight=".5pt">
                      <v:textbox>
                        <w:txbxContent>
                          <w:p w14:paraId="19CAE5A6" w14:textId="77777777" w:rsidR="00392DB7" w:rsidRPr="0099714F" w:rsidRDefault="00392DB7" w:rsidP="00392DB7">
                            <w:pPr>
                              <w:jc w:val="center"/>
                              <w:rPr>
                                <w:b/>
                                <w:bCs/>
                              </w:rPr>
                            </w:pPr>
                            <w:r>
                              <w:rPr>
                                <w:b/>
                                <w:bCs/>
                              </w:rPr>
                              <w:t>D</w:t>
                            </w:r>
                          </w:p>
                        </w:txbxContent>
                      </v:textbox>
                    </v:shape>
                  </w:pict>
                </mc:Fallback>
              </mc:AlternateContent>
            </w:r>
            <w:r w:rsidRPr="007C5A6E">
              <w:rPr>
                <w:rFonts w:ascii="Times New Roman" w:hAnsi="Times New Roman"/>
                <w:b/>
                <w:bCs/>
                <w:noProof/>
                <w:sz w:val="20"/>
                <w:szCs w:val="20"/>
              </w:rPr>
              <w:drawing>
                <wp:inline distT="0" distB="0" distL="0" distR="0" wp14:anchorId="004282F4" wp14:editId="7332DCAA">
                  <wp:extent cx="3053715" cy="1895475"/>
                  <wp:effectExtent l="0" t="0" r="0" b="9525"/>
                  <wp:docPr id="1457514596"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514596" name="Image 1457514596"/>
                          <pic:cNvPicPr/>
                        </pic:nvPicPr>
                        <pic:blipFill>
                          <a:blip r:embed="rId51" cstate="email">
                            <a:extLst>
                              <a:ext uri="{28A0092B-C50C-407E-A947-70E740481C1C}">
                                <a14:useLocalDpi xmlns:a14="http://schemas.microsoft.com/office/drawing/2010/main"/>
                              </a:ext>
                            </a:extLst>
                          </a:blip>
                          <a:stretch>
                            <a:fillRect/>
                          </a:stretch>
                        </pic:blipFill>
                        <pic:spPr>
                          <a:xfrm>
                            <a:off x="0" y="0"/>
                            <a:ext cx="3053715" cy="1895475"/>
                          </a:xfrm>
                          <a:prstGeom prst="rect">
                            <a:avLst/>
                          </a:prstGeom>
                        </pic:spPr>
                      </pic:pic>
                    </a:graphicData>
                  </a:graphic>
                </wp:inline>
              </w:drawing>
            </w:r>
          </w:p>
        </w:tc>
      </w:tr>
    </w:tbl>
    <w:p w14:paraId="16FE57E6" w14:textId="27A14FB3" w:rsidR="00392DB7" w:rsidRPr="007C5A6E" w:rsidRDefault="006346D0" w:rsidP="006346D0">
      <w:pPr>
        <w:pStyle w:val="Lgende"/>
        <w:spacing w:after="0"/>
        <w:rPr>
          <w:rFonts w:ascii="Times New Roman" w:hAnsi="Times New Roman"/>
          <w:color w:val="auto"/>
          <w:sz w:val="24"/>
          <w:szCs w:val="24"/>
        </w:rPr>
      </w:pPr>
      <w:bookmarkStart w:id="106" w:name="_Toc183230857"/>
      <w:bookmarkStart w:id="107" w:name="_Toc183240650"/>
      <w:bookmarkStart w:id="108" w:name="_Toc183340389"/>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10</w:t>
      </w:r>
      <w:r w:rsidRPr="007C5A6E">
        <w:rPr>
          <w:rFonts w:ascii="Times New Roman" w:hAnsi="Times New Roman"/>
          <w:color w:val="auto"/>
          <w:sz w:val="24"/>
          <w:szCs w:val="24"/>
        </w:rPr>
        <w:fldChar w:fldCharType="end"/>
      </w:r>
      <w:r w:rsidR="00392DB7" w:rsidRPr="007C5A6E">
        <w:rPr>
          <w:rFonts w:ascii="Times New Roman" w:hAnsi="Times New Roman"/>
          <w:color w:val="auto"/>
          <w:sz w:val="24"/>
          <w:szCs w:val="24"/>
        </w:rPr>
        <w:t>.  Bobo-Dioulasso : cumul annuel des pluies (A) ; durée de la saison des pluies (B) ; début de la campagne humide (C) ; fin de la campagne humide (D).</w:t>
      </w:r>
      <w:bookmarkEnd w:id="106"/>
      <w:bookmarkEnd w:id="107"/>
      <w:bookmarkEnd w:id="108"/>
    </w:p>
    <w:p w14:paraId="367EDD69"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p>
    <w:p w14:paraId="68A7574A" w14:textId="77777777" w:rsidR="006346D0" w:rsidRPr="007C5A6E" w:rsidRDefault="006346D0" w:rsidP="006346D0">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Il n’apparaît pas de tendance significative sur les autres graphiques. A noter qu’en 2015 la saison pluvieuse a été particulièrement courte (figure 10(B)), commençant tard (figure 10(C)) et finissant tôt (figure 10(D)).</w:t>
      </w:r>
    </w:p>
    <w:p w14:paraId="3887AE5B"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p>
    <w:p w14:paraId="21D28BA0" w14:textId="6E393B79" w:rsidR="006346D0" w:rsidRPr="007C5A6E" w:rsidRDefault="006346D0" w:rsidP="00E91E3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Selon la figure 11, ni le nombre de jours de pluie (A), ni la pluie maximale en cinq jours (D) n’ont de tendance marquée, alors que le nombre de jours de pluie &gt; 10 mm (B) et le nombre de jours de pluie &gt; 50 mm (C) montrent une tendance à la hausse.</w:t>
      </w:r>
    </w:p>
    <w:tbl>
      <w:tblPr>
        <w:tblStyle w:val="Grilledutableau"/>
        <w:tblpPr w:leftFromText="141" w:rightFromText="141" w:vertAnchor="text" w:tblpY="82"/>
        <w:tblW w:w="9776" w:type="dxa"/>
        <w:tblLayout w:type="fixed"/>
        <w:tblCellMar>
          <w:left w:w="0" w:type="dxa"/>
          <w:right w:w="0" w:type="dxa"/>
        </w:tblCellMar>
        <w:tblLook w:val="04A0" w:firstRow="1" w:lastRow="0" w:firstColumn="1" w:lastColumn="0" w:noHBand="0" w:noVBand="1"/>
      </w:tblPr>
      <w:tblGrid>
        <w:gridCol w:w="4957"/>
        <w:gridCol w:w="4819"/>
      </w:tblGrid>
      <w:tr w:rsidR="00392DB7" w:rsidRPr="007C5A6E" w14:paraId="388DA412" w14:textId="77777777" w:rsidTr="00E91E3A">
        <w:trPr>
          <w:cantSplit/>
          <w:trHeight w:val="3115"/>
        </w:trPr>
        <w:tc>
          <w:tcPr>
            <w:tcW w:w="4957" w:type="dxa"/>
          </w:tcPr>
          <w:p w14:paraId="4838B538" w14:textId="77777777" w:rsidR="00392DB7" w:rsidRPr="007C5A6E" w:rsidRDefault="00392DB7" w:rsidP="00392DB7">
            <w:pPr>
              <w:spacing w:after="0" w:line="240" w:lineRule="auto"/>
              <w:rPr>
                <w:rFonts w:ascii="Times New Roman" w:hAnsi="Times New Roman"/>
                <w:b/>
                <w:bCs/>
                <w:sz w:val="24"/>
              </w:rPr>
            </w:pPr>
            <w:r w:rsidRPr="007C5A6E">
              <w:rPr>
                <w:rFonts w:ascii="Times New Roman" w:hAnsi="Times New Roman"/>
                <w:b/>
                <w:bCs/>
                <w:noProof/>
                <w:sz w:val="24"/>
              </w:rPr>
              <mc:AlternateContent>
                <mc:Choice Requires="wps">
                  <w:drawing>
                    <wp:anchor distT="0" distB="0" distL="114300" distR="114300" simplePos="0" relativeHeight="251628032" behindDoc="0" locked="0" layoutInCell="1" allowOverlap="1" wp14:anchorId="16D12721" wp14:editId="70D6D4CA">
                      <wp:simplePos x="0" y="0"/>
                      <wp:positionH relativeFrom="column">
                        <wp:posOffset>1598516</wp:posOffset>
                      </wp:positionH>
                      <wp:positionV relativeFrom="paragraph">
                        <wp:posOffset>263967</wp:posOffset>
                      </wp:positionV>
                      <wp:extent cx="352425" cy="309686"/>
                      <wp:effectExtent l="0" t="0" r="28575" b="14605"/>
                      <wp:wrapNone/>
                      <wp:docPr id="576346484" name="Zone de texte 19"/>
                      <wp:cNvGraphicFramePr/>
                      <a:graphic xmlns:a="http://schemas.openxmlformats.org/drawingml/2006/main">
                        <a:graphicData uri="http://schemas.microsoft.com/office/word/2010/wordprocessingShape">
                          <wps:wsp>
                            <wps:cNvSpPr txBox="1"/>
                            <wps:spPr>
                              <a:xfrm>
                                <a:off x="0" y="0"/>
                                <a:ext cx="352425" cy="309686"/>
                              </a:xfrm>
                              <a:prstGeom prst="rect">
                                <a:avLst/>
                              </a:prstGeom>
                              <a:solidFill>
                                <a:sysClr val="window" lastClr="FFFFFF"/>
                              </a:solidFill>
                              <a:ln w="6350">
                                <a:solidFill>
                                  <a:prstClr val="black"/>
                                </a:solidFill>
                              </a:ln>
                            </wps:spPr>
                            <wps:txbx>
                              <w:txbxContent>
                                <w:p w14:paraId="750CFB47" w14:textId="77777777" w:rsidR="00392DB7" w:rsidRPr="00981F95" w:rsidRDefault="00392DB7" w:rsidP="00392DB7">
                                  <w:pPr>
                                    <w:jc w:val="center"/>
                                    <w:rPr>
                                      <w:b/>
                                      <w:bCs/>
                                    </w:rPr>
                                  </w:pPr>
                                  <w:r>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D12721" id="_x0000_s1060" type="#_x0000_t202" style="position:absolute;margin-left:125.85pt;margin-top:20.8pt;width:27.75pt;height:24.4pt;z-index:251628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" fillcolor="window" strokeweight=".5pt">
                      <v:textbox>
                        <w:txbxContent>
                          <w:p w14:paraId="750CFB47" w14:textId="77777777" w:rsidR="00392DB7" w:rsidRPr="00981F95" w:rsidRDefault="00392DB7" w:rsidP="00392DB7">
                            <w:pPr>
                              <w:jc w:val="center"/>
                              <w:rPr>
                                <w:b/>
                                <w:bCs/>
                              </w:rPr>
                            </w:pPr>
                            <w:r>
                              <w:rPr>
                                <w:b/>
                                <w:bCs/>
                              </w:rPr>
                              <w:t>A</w:t>
                            </w:r>
                          </w:p>
                        </w:txbxContent>
                      </v:textbox>
                    </v:shape>
                  </w:pict>
                </mc:Fallback>
              </mc:AlternateContent>
            </w:r>
            <w:r w:rsidRPr="007C5A6E">
              <w:rPr>
                <w:rFonts w:ascii="Times New Roman" w:hAnsi="Times New Roman"/>
                <w:b/>
                <w:bCs/>
                <w:noProof/>
                <w:sz w:val="24"/>
              </w:rPr>
              <w:drawing>
                <wp:inline distT="0" distB="0" distL="0" distR="0" wp14:anchorId="7CAE376E" wp14:editId="1A135865">
                  <wp:extent cx="3075679" cy="1905000"/>
                  <wp:effectExtent l="0" t="0" r="0" b="0"/>
                  <wp:docPr id="189498140"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98140" name="Image 189498140"/>
                          <pic:cNvPicPr/>
                        </pic:nvPicPr>
                        <pic:blipFill>
                          <a:blip r:embed="rId52" cstate="email">
                            <a:extLst>
                              <a:ext uri="{28A0092B-C50C-407E-A947-70E740481C1C}">
                                <a14:useLocalDpi xmlns:a14="http://schemas.microsoft.com/office/drawing/2010/main"/>
                              </a:ext>
                            </a:extLst>
                          </a:blip>
                          <a:stretch>
                            <a:fillRect/>
                          </a:stretch>
                        </pic:blipFill>
                        <pic:spPr>
                          <a:xfrm>
                            <a:off x="0" y="0"/>
                            <a:ext cx="3132235" cy="1940029"/>
                          </a:xfrm>
                          <a:prstGeom prst="rect">
                            <a:avLst/>
                          </a:prstGeom>
                        </pic:spPr>
                      </pic:pic>
                    </a:graphicData>
                  </a:graphic>
                </wp:inline>
              </w:drawing>
            </w:r>
          </w:p>
        </w:tc>
        <w:tc>
          <w:tcPr>
            <w:tcW w:w="4819" w:type="dxa"/>
          </w:tcPr>
          <w:p w14:paraId="428D0F38" w14:textId="37B5ECEE" w:rsidR="00392DB7" w:rsidRPr="007C5A6E" w:rsidRDefault="00392DB7" w:rsidP="00392DB7">
            <w:pPr>
              <w:spacing w:after="0" w:line="240" w:lineRule="auto"/>
              <w:rPr>
                <w:rFonts w:ascii="Times New Roman" w:hAnsi="Times New Roman"/>
                <w:b/>
                <w:bCs/>
                <w:sz w:val="24"/>
              </w:rPr>
            </w:pPr>
            <w:r w:rsidRPr="007C5A6E">
              <w:rPr>
                <w:rFonts w:ascii="Times New Roman" w:hAnsi="Times New Roman"/>
                <w:b/>
                <w:bCs/>
                <w:noProof/>
                <w:sz w:val="24"/>
              </w:rPr>
              <mc:AlternateContent>
                <mc:Choice Requires="wps">
                  <w:drawing>
                    <wp:anchor distT="0" distB="0" distL="114300" distR="114300" simplePos="0" relativeHeight="251629056" behindDoc="0" locked="0" layoutInCell="1" allowOverlap="1" wp14:anchorId="61C915AD" wp14:editId="23976557">
                      <wp:simplePos x="0" y="0"/>
                      <wp:positionH relativeFrom="column">
                        <wp:posOffset>951230</wp:posOffset>
                      </wp:positionH>
                      <wp:positionV relativeFrom="paragraph">
                        <wp:posOffset>337185</wp:posOffset>
                      </wp:positionV>
                      <wp:extent cx="352425" cy="238125"/>
                      <wp:effectExtent l="0" t="0" r="28575" b="28575"/>
                      <wp:wrapNone/>
                      <wp:docPr id="1156903192" name="Zone de texte 19"/>
                      <wp:cNvGraphicFramePr/>
                      <a:graphic xmlns:a="http://schemas.openxmlformats.org/drawingml/2006/main">
                        <a:graphicData uri="http://schemas.microsoft.com/office/word/2010/wordprocessingShape">
                          <wps:wsp>
                            <wps:cNvSpPr txBox="1"/>
                            <wps:spPr>
                              <a:xfrm>
                                <a:off x="0" y="0"/>
                                <a:ext cx="352425" cy="238125"/>
                              </a:xfrm>
                              <a:prstGeom prst="rect">
                                <a:avLst/>
                              </a:prstGeom>
                              <a:solidFill>
                                <a:sysClr val="window" lastClr="FFFFFF"/>
                              </a:solidFill>
                              <a:ln w="6350">
                                <a:solidFill>
                                  <a:prstClr val="black"/>
                                </a:solidFill>
                              </a:ln>
                            </wps:spPr>
                            <wps:txbx>
                              <w:txbxContent>
                                <w:p w14:paraId="35C63A75" w14:textId="77777777" w:rsidR="00392DB7" w:rsidRPr="00981F95" w:rsidRDefault="00392DB7" w:rsidP="00392DB7">
                                  <w:pPr>
                                    <w:jc w:val="center"/>
                                    <w:rPr>
                                      <w:b/>
                                      <w:bCs/>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C915AD" id="_x0000_s1061" type="#_x0000_t202" style="position:absolute;margin-left:74.9pt;margin-top:26.55pt;width:27.75pt;height:18.75pt;z-index:25162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" fillcolor="window" strokeweight=".5pt">
                      <v:textbox>
                        <w:txbxContent>
                          <w:p w14:paraId="35C63A75" w14:textId="77777777" w:rsidR="00392DB7" w:rsidRPr="00981F95" w:rsidRDefault="00392DB7" w:rsidP="00392DB7">
                            <w:pPr>
                              <w:jc w:val="center"/>
                              <w:rPr>
                                <w:b/>
                                <w:bCs/>
                              </w:rPr>
                            </w:pPr>
                            <w:r>
                              <w:rPr>
                                <w:b/>
                                <w:bCs/>
                              </w:rPr>
                              <w:t>B</w:t>
                            </w:r>
                          </w:p>
                        </w:txbxContent>
                      </v:textbox>
                    </v:shape>
                  </w:pict>
                </mc:Fallback>
              </mc:AlternateContent>
            </w:r>
            <w:r w:rsidRPr="007C5A6E">
              <w:rPr>
                <w:rFonts w:ascii="Times New Roman" w:hAnsi="Times New Roman"/>
                <w:b/>
                <w:bCs/>
                <w:noProof/>
                <w:sz w:val="24"/>
              </w:rPr>
              <w:drawing>
                <wp:inline distT="0" distB="0" distL="0" distR="0" wp14:anchorId="215F6CF7" wp14:editId="14CD110A">
                  <wp:extent cx="2990850" cy="1905000"/>
                  <wp:effectExtent l="0" t="0" r="0" b="0"/>
                  <wp:docPr id="9150079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00793" name="Image 91500793"/>
                          <pic:cNvPicPr/>
                        </pic:nvPicPr>
                        <pic:blipFill>
                          <a:blip r:embed="rId53" cstate="email">
                            <a:extLst>
                              <a:ext uri="{28A0092B-C50C-407E-A947-70E740481C1C}">
                                <a14:useLocalDpi xmlns:a14="http://schemas.microsoft.com/office/drawing/2010/main"/>
                              </a:ext>
                            </a:extLst>
                          </a:blip>
                          <a:stretch>
                            <a:fillRect/>
                          </a:stretch>
                        </pic:blipFill>
                        <pic:spPr>
                          <a:xfrm>
                            <a:off x="0" y="0"/>
                            <a:ext cx="3071740" cy="1956522"/>
                          </a:xfrm>
                          <a:prstGeom prst="rect">
                            <a:avLst/>
                          </a:prstGeom>
                        </pic:spPr>
                      </pic:pic>
                    </a:graphicData>
                  </a:graphic>
                </wp:inline>
              </w:drawing>
            </w:r>
          </w:p>
        </w:tc>
      </w:tr>
      <w:tr w:rsidR="00392DB7" w:rsidRPr="007C5A6E" w14:paraId="1FF09609" w14:textId="77777777" w:rsidTr="00457BED">
        <w:trPr>
          <w:cantSplit/>
          <w:trHeight w:val="3312"/>
        </w:trPr>
        <w:tc>
          <w:tcPr>
            <w:tcW w:w="4957" w:type="dxa"/>
          </w:tcPr>
          <w:p w14:paraId="2CDC2061" w14:textId="77777777" w:rsidR="00392DB7" w:rsidRPr="007C5A6E" w:rsidRDefault="00392DB7" w:rsidP="00392DB7">
            <w:pPr>
              <w:spacing w:after="0" w:line="240" w:lineRule="auto"/>
              <w:rPr>
                <w:rFonts w:ascii="Times New Roman" w:hAnsi="Times New Roman"/>
                <w:b/>
                <w:bCs/>
                <w:sz w:val="24"/>
              </w:rPr>
            </w:pPr>
            <w:r w:rsidRPr="007C5A6E">
              <w:rPr>
                <w:rFonts w:ascii="Times New Roman" w:hAnsi="Times New Roman"/>
                <w:b/>
                <w:bCs/>
                <w:noProof/>
                <w:sz w:val="24"/>
              </w:rPr>
              <mc:AlternateContent>
                <mc:Choice Requires="wps">
                  <w:drawing>
                    <wp:anchor distT="0" distB="0" distL="114300" distR="114300" simplePos="0" relativeHeight="251632128" behindDoc="0" locked="0" layoutInCell="1" allowOverlap="1" wp14:anchorId="17EA8A72" wp14:editId="00176B34">
                      <wp:simplePos x="0" y="0"/>
                      <wp:positionH relativeFrom="column">
                        <wp:posOffset>1331595</wp:posOffset>
                      </wp:positionH>
                      <wp:positionV relativeFrom="paragraph">
                        <wp:posOffset>379730</wp:posOffset>
                      </wp:positionV>
                      <wp:extent cx="352425" cy="304800"/>
                      <wp:effectExtent l="0" t="0" r="28575" b="19050"/>
                      <wp:wrapNone/>
                      <wp:docPr id="433345283" name="Zone de texte 19"/>
                      <wp:cNvGraphicFramePr/>
                      <a:graphic xmlns:a="http://schemas.openxmlformats.org/drawingml/2006/main">
                        <a:graphicData uri="http://schemas.microsoft.com/office/word/2010/wordprocessingShape">
                          <wps:wsp>
                            <wps:cNvSpPr txBox="1"/>
                            <wps:spPr>
                              <a:xfrm>
                                <a:off x="0" y="0"/>
                                <a:ext cx="352425" cy="304800"/>
                              </a:xfrm>
                              <a:prstGeom prst="rect">
                                <a:avLst/>
                              </a:prstGeom>
                              <a:solidFill>
                                <a:sysClr val="window" lastClr="FFFFFF"/>
                              </a:solidFill>
                              <a:ln w="6350">
                                <a:solidFill>
                                  <a:prstClr val="black"/>
                                </a:solidFill>
                              </a:ln>
                            </wps:spPr>
                            <wps:txbx>
                              <w:txbxContent>
                                <w:p w14:paraId="4DBDD5CE" w14:textId="4F0CC048" w:rsidR="00392DB7" w:rsidRPr="006346D0" w:rsidRDefault="00392DB7" w:rsidP="006346D0">
                                  <w:pPr>
                                    <w:rPr>
                                      <w:b/>
                                      <w:bCs/>
                                    </w:rPr>
                                  </w:pPr>
                                  <w:r w:rsidRPr="006346D0">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A8A72" id="_x0000_s1062" type="#_x0000_t202" style="position:absolute;margin-left:104.85pt;margin-top:29.9pt;width:27.75pt;height:24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" fillcolor="window" strokeweight=".5pt">
                      <v:textbox>
                        <w:txbxContent>
                          <w:p w14:paraId="4DBDD5CE" w14:textId="4F0CC048" w:rsidR="00392DB7" w:rsidRPr="006346D0" w:rsidRDefault="00392DB7" w:rsidP="006346D0">
                            <w:pPr>
                              <w:rPr>
                                <w:b/>
                                <w:bCs/>
                              </w:rPr>
                            </w:pPr>
                            <w:r w:rsidRPr="006346D0">
                              <w:rPr>
                                <w:b/>
                                <w:bCs/>
                              </w:rPr>
                              <w:t>C</w:t>
                            </w:r>
                          </w:p>
                        </w:txbxContent>
                      </v:textbox>
                    </v:shape>
                  </w:pict>
                </mc:Fallback>
              </mc:AlternateContent>
            </w:r>
            <w:r w:rsidRPr="007C5A6E">
              <w:rPr>
                <w:rFonts w:ascii="Times New Roman" w:hAnsi="Times New Roman"/>
                <w:b/>
                <w:bCs/>
                <w:noProof/>
                <w:sz w:val="24"/>
              </w:rPr>
              <w:drawing>
                <wp:inline distT="0" distB="0" distL="0" distR="0" wp14:anchorId="482022D3" wp14:editId="0088A275">
                  <wp:extent cx="3141345" cy="2099310"/>
                  <wp:effectExtent l="0" t="0" r="1905" b="0"/>
                  <wp:docPr id="511539975"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539975" name="Image 511539975"/>
                          <pic:cNvPicPr/>
                        </pic:nvPicPr>
                        <pic:blipFill>
                          <a:blip r:embed="rId54" cstate="email">
                            <a:extLst>
                              <a:ext uri="{28A0092B-C50C-407E-A947-70E740481C1C}">
                                <a14:useLocalDpi xmlns:a14="http://schemas.microsoft.com/office/drawing/2010/main"/>
                              </a:ext>
                            </a:extLst>
                          </a:blip>
                          <a:stretch>
                            <a:fillRect/>
                          </a:stretch>
                        </pic:blipFill>
                        <pic:spPr>
                          <a:xfrm>
                            <a:off x="0" y="0"/>
                            <a:ext cx="3141345" cy="2099310"/>
                          </a:xfrm>
                          <a:prstGeom prst="rect">
                            <a:avLst/>
                          </a:prstGeom>
                        </pic:spPr>
                      </pic:pic>
                    </a:graphicData>
                  </a:graphic>
                </wp:inline>
              </w:drawing>
            </w:r>
          </w:p>
        </w:tc>
        <w:tc>
          <w:tcPr>
            <w:tcW w:w="4819" w:type="dxa"/>
          </w:tcPr>
          <w:p w14:paraId="13D2FAEA" w14:textId="24AB9223" w:rsidR="00392DB7" w:rsidRPr="007C5A6E" w:rsidRDefault="00E91E3A" w:rsidP="00392DB7">
            <w:pPr>
              <w:spacing w:after="0" w:line="240" w:lineRule="auto"/>
              <w:rPr>
                <w:rFonts w:ascii="Times New Roman" w:hAnsi="Times New Roman"/>
                <w:sz w:val="24"/>
              </w:rPr>
            </w:pPr>
            <w:r w:rsidRPr="007C5A6E">
              <w:rPr>
                <w:rFonts w:ascii="Times New Roman" w:hAnsi="Times New Roman"/>
                <w:noProof/>
                <w:sz w:val="24"/>
              </w:rPr>
              <w:drawing>
                <wp:anchor distT="0" distB="0" distL="114300" distR="114300" simplePos="0" relativeHeight="251679232" behindDoc="0" locked="0" layoutInCell="1" allowOverlap="1" wp14:anchorId="35E6D8CC" wp14:editId="79850E75">
                  <wp:simplePos x="0" y="0"/>
                  <wp:positionH relativeFrom="column">
                    <wp:posOffset>3175</wp:posOffset>
                  </wp:positionH>
                  <wp:positionV relativeFrom="paragraph">
                    <wp:posOffset>39370</wp:posOffset>
                  </wp:positionV>
                  <wp:extent cx="2990850" cy="2000250"/>
                  <wp:effectExtent l="0" t="0" r="0" b="0"/>
                  <wp:wrapThrough wrapText="bothSides">
                    <wp:wrapPolygon edited="0">
                      <wp:start x="0" y="0"/>
                      <wp:lineTo x="0" y="21394"/>
                      <wp:lineTo x="21462" y="21394"/>
                      <wp:lineTo x="21462" y="0"/>
                      <wp:lineTo x="0" y="0"/>
                    </wp:wrapPolygon>
                  </wp:wrapThrough>
                  <wp:docPr id="1121023738"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023738" name="Image 1121023738"/>
                          <pic:cNvPicPr/>
                        </pic:nvPicPr>
                        <pic:blipFill>
                          <a:blip r:embed="rId55" cstate="email">
                            <a:extLst>
                              <a:ext uri="{28A0092B-C50C-407E-A947-70E740481C1C}">
                                <a14:useLocalDpi xmlns:a14="http://schemas.microsoft.com/office/drawing/2010/main"/>
                              </a:ext>
                            </a:extLst>
                          </a:blip>
                          <a:stretch>
                            <a:fillRect/>
                          </a:stretch>
                        </pic:blipFill>
                        <pic:spPr>
                          <a:xfrm>
                            <a:off x="0" y="0"/>
                            <a:ext cx="2990850" cy="2000250"/>
                          </a:xfrm>
                          <a:prstGeom prst="rect">
                            <a:avLst/>
                          </a:prstGeom>
                        </pic:spPr>
                      </pic:pic>
                    </a:graphicData>
                  </a:graphic>
                  <wp14:sizeRelH relativeFrom="margin">
                    <wp14:pctWidth>0</wp14:pctWidth>
                  </wp14:sizeRelH>
                  <wp14:sizeRelV relativeFrom="margin">
                    <wp14:pctHeight>0</wp14:pctHeight>
                  </wp14:sizeRelV>
                </wp:anchor>
              </w:drawing>
            </w:r>
            <w:r w:rsidR="006346D0" w:rsidRPr="007C5A6E">
              <w:rPr>
                <w:rFonts w:ascii="Times New Roman" w:hAnsi="Times New Roman"/>
                <w:b/>
                <w:bCs/>
                <w:noProof/>
                <w:sz w:val="24"/>
                <w14:ligatures w14:val="standardContextual"/>
              </w:rPr>
              <mc:AlternateContent>
                <mc:Choice Requires="wps">
                  <w:drawing>
                    <wp:anchor distT="0" distB="0" distL="114300" distR="114300" simplePos="0" relativeHeight="251680256" behindDoc="0" locked="0" layoutInCell="1" allowOverlap="1" wp14:anchorId="107FE711" wp14:editId="4B8B2A80">
                      <wp:simplePos x="0" y="0"/>
                      <wp:positionH relativeFrom="column">
                        <wp:posOffset>955675</wp:posOffset>
                      </wp:positionH>
                      <wp:positionV relativeFrom="paragraph">
                        <wp:posOffset>435610</wp:posOffset>
                      </wp:positionV>
                      <wp:extent cx="295275" cy="247650"/>
                      <wp:effectExtent l="0" t="0" r="28575" b="19050"/>
                      <wp:wrapNone/>
                      <wp:docPr id="926987463" name="Zone de texte 3"/>
                      <wp:cNvGraphicFramePr/>
                      <a:graphic xmlns:a="http://schemas.openxmlformats.org/drawingml/2006/main">
                        <a:graphicData uri="http://schemas.microsoft.com/office/word/2010/wordprocessingShape">
                          <wps:wsp>
                            <wps:cNvSpPr txBox="1"/>
                            <wps:spPr>
                              <a:xfrm>
                                <a:off x="0" y="0"/>
                                <a:ext cx="295275" cy="247650"/>
                              </a:xfrm>
                              <a:prstGeom prst="rect">
                                <a:avLst/>
                              </a:prstGeom>
                              <a:solidFill>
                                <a:schemeClr val="lt1"/>
                              </a:solidFill>
                              <a:ln w="6350">
                                <a:solidFill>
                                  <a:prstClr val="black"/>
                                </a:solidFill>
                              </a:ln>
                            </wps:spPr>
                            <wps:txbx>
                              <w:txbxContent>
                                <w:p w14:paraId="6E3A97C0" w14:textId="4D7D35D8" w:rsidR="006346D0" w:rsidRPr="006346D0" w:rsidRDefault="006346D0">
                                  <w:pPr>
                                    <w:rPr>
                                      <w:b/>
                                      <w:bCs/>
                                    </w:rPr>
                                  </w:pPr>
                                  <w:r w:rsidRPr="006346D0">
                                    <w:rPr>
                                      <w:b/>
                                      <w:b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7FE711" id="Zone de texte 3" o:spid="_x0000_s1063" type="#_x0000_t202" style="position:absolute;margin-left:75.25pt;margin-top:34.3pt;width:23.25pt;height:19.5pt;z-index:25168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" fillcolor="white [3201]" strokeweight=".5pt">
                      <v:textbox>
                        <w:txbxContent>
                          <w:p w14:paraId="6E3A97C0" w14:textId="4D7D35D8" w:rsidR="006346D0" w:rsidRPr="006346D0" w:rsidRDefault="006346D0">
                            <w:pPr>
                              <w:rPr>
                                <w:b/>
                                <w:bCs/>
                              </w:rPr>
                            </w:pPr>
                            <w:r w:rsidRPr="006346D0">
                              <w:rPr>
                                <w:b/>
                                <w:bCs/>
                              </w:rPr>
                              <w:t>D</w:t>
                            </w:r>
                          </w:p>
                        </w:txbxContent>
                      </v:textbox>
                    </v:shape>
                  </w:pict>
                </mc:Fallback>
              </mc:AlternateContent>
            </w:r>
            <w:r w:rsidR="00392DB7" w:rsidRPr="007C5A6E">
              <w:rPr>
                <w:rFonts w:ascii="Times New Roman" w:hAnsi="Times New Roman"/>
                <w:b/>
                <w:bCs/>
                <w:noProof/>
                <w:sz w:val="24"/>
              </w:rPr>
              <mc:AlternateContent>
                <mc:Choice Requires="wps">
                  <w:drawing>
                    <wp:anchor distT="0" distB="0" distL="114300" distR="114300" simplePos="0" relativeHeight="251633152" behindDoc="0" locked="0" layoutInCell="1" allowOverlap="1" wp14:anchorId="4C6BFD72" wp14:editId="29556AEB">
                      <wp:simplePos x="0" y="0"/>
                      <wp:positionH relativeFrom="column">
                        <wp:posOffset>1156335</wp:posOffset>
                      </wp:positionH>
                      <wp:positionV relativeFrom="paragraph">
                        <wp:posOffset>381635</wp:posOffset>
                      </wp:positionV>
                      <wp:extent cx="352425" cy="304800"/>
                      <wp:effectExtent l="0" t="0" r="28575" b="19050"/>
                      <wp:wrapNone/>
                      <wp:docPr id="1243597930" name="Zone de texte 19"/>
                      <wp:cNvGraphicFramePr/>
                      <a:graphic xmlns:a="http://schemas.openxmlformats.org/drawingml/2006/main">
                        <a:graphicData uri="http://schemas.microsoft.com/office/word/2010/wordprocessingShape">
                          <wps:wsp>
                            <wps:cNvSpPr txBox="1"/>
                            <wps:spPr>
                              <a:xfrm>
                                <a:off x="0" y="0"/>
                                <a:ext cx="352425" cy="304800"/>
                              </a:xfrm>
                              <a:prstGeom prst="rect">
                                <a:avLst/>
                              </a:prstGeom>
                              <a:solidFill>
                                <a:sysClr val="window" lastClr="FFFFFF"/>
                              </a:solidFill>
                              <a:ln w="6350">
                                <a:solidFill>
                                  <a:prstClr val="black"/>
                                </a:solidFill>
                              </a:ln>
                            </wps:spPr>
                            <wps:txbx>
                              <w:txbxContent>
                                <w:p w14:paraId="150A17FA" w14:textId="77777777" w:rsidR="00392DB7" w:rsidRPr="00981F95" w:rsidRDefault="00392DB7" w:rsidP="00392DB7">
                                  <w:pPr>
                                    <w:jc w:val="center"/>
                                    <w:rPr>
                                      <w:b/>
                                      <w:bCs/>
                                    </w:rPr>
                                  </w:pPr>
                                  <w:r>
                                    <w:rPr>
                                      <w:b/>
                                      <w:b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6BFD72" id="_x0000_s1064" type="#_x0000_t202" style="position:absolute;margin-left:91.05pt;margin-top:30.05pt;width:27.75pt;height:24pt;z-index:25163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" fillcolor="window" strokeweight=".5pt">
                      <v:textbox>
                        <w:txbxContent>
                          <w:p w14:paraId="150A17FA" w14:textId="77777777" w:rsidR="00392DB7" w:rsidRPr="00981F95" w:rsidRDefault="00392DB7" w:rsidP="00392DB7">
                            <w:pPr>
                              <w:jc w:val="center"/>
                              <w:rPr>
                                <w:b/>
                                <w:bCs/>
                              </w:rPr>
                            </w:pPr>
                            <w:r>
                              <w:rPr>
                                <w:b/>
                                <w:bCs/>
                              </w:rPr>
                              <w:t>D</w:t>
                            </w:r>
                          </w:p>
                        </w:txbxContent>
                      </v:textbox>
                    </v:shape>
                  </w:pict>
                </mc:Fallback>
              </mc:AlternateContent>
            </w:r>
            <w:r w:rsidR="00392DB7" w:rsidRPr="007C5A6E">
              <w:rPr>
                <w:rFonts w:ascii="Times New Roman" w:hAnsi="Times New Roman"/>
                <w:b/>
                <w:bCs/>
                <w:sz w:val="24"/>
              </w:rPr>
              <w:t xml:space="preserve">  </w:t>
            </w:r>
            <w:r w:rsidR="006346D0" w:rsidRPr="007C5A6E">
              <w:rPr>
                <w:rFonts w:ascii="Times New Roman" w:hAnsi="Times New Roman"/>
                <w:noProof/>
                <w:sz w:val="24"/>
              </w:rPr>
              <w:t xml:space="preserve"> </w:t>
            </w:r>
          </w:p>
        </w:tc>
      </w:tr>
    </w:tbl>
    <w:p w14:paraId="6BB8A57E" w14:textId="2BF6AC41" w:rsidR="00392DB7" w:rsidRPr="007C5A6E" w:rsidRDefault="00937AE2" w:rsidP="006514BA">
      <w:pPr>
        <w:pStyle w:val="Lgende"/>
        <w:spacing w:after="0"/>
        <w:jc w:val="both"/>
        <w:rPr>
          <w:rFonts w:ascii="Times New Roman" w:hAnsi="Times New Roman"/>
          <w:color w:val="auto"/>
          <w:sz w:val="24"/>
          <w:szCs w:val="24"/>
        </w:rPr>
      </w:pPr>
      <w:bookmarkStart w:id="109" w:name="_Toc183230858"/>
      <w:bookmarkStart w:id="110" w:name="_Toc183240651"/>
      <w:bookmarkStart w:id="111" w:name="_Toc183340390"/>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1F18F0" w:rsidRPr="007C5A6E">
        <w:rPr>
          <w:rFonts w:ascii="Times New Roman" w:hAnsi="Times New Roman"/>
          <w:noProof/>
          <w:color w:val="auto"/>
          <w:sz w:val="24"/>
          <w:szCs w:val="24"/>
        </w:rPr>
        <w:t>11</w:t>
      </w:r>
      <w:r w:rsidRPr="007C5A6E">
        <w:rPr>
          <w:rFonts w:ascii="Times New Roman" w:hAnsi="Times New Roman"/>
          <w:color w:val="auto"/>
          <w:sz w:val="24"/>
          <w:szCs w:val="24"/>
        </w:rPr>
        <w:fldChar w:fldCharType="end"/>
      </w:r>
      <w:r w:rsidR="00392DB7" w:rsidRPr="007C5A6E">
        <w:rPr>
          <w:rFonts w:ascii="Times New Roman" w:hAnsi="Times New Roman"/>
          <w:color w:val="auto"/>
          <w:sz w:val="24"/>
          <w:szCs w:val="24"/>
        </w:rPr>
        <w:t>. Bobo-Dioulasso : nombre de jours de pluie &gt; 1mm (A) ; nombre de jours de pluie &gt; 10mm (B) ; nombre de jours de pluie &gt; 50mm (C) ; pluie maximale sur 5 jours (D).</w:t>
      </w:r>
      <w:bookmarkEnd w:id="109"/>
      <w:bookmarkEnd w:id="110"/>
      <w:bookmarkEnd w:id="111"/>
    </w:p>
    <w:p w14:paraId="0E040A29" w14:textId="77777777" w:rsidR="006514BA" w:rsidRPr="007C5A6E" w:rsidRDefault="006514BA" w:rsidP="006514BA">
      <w:pPr>
        <w:spacing w:after="0" w:line="240" w:lineRule="auto"/>
        <w:rPr>
          <w:rFonts w:ascii="Times New Roman" w:eastAsiaTheme="minorHAnsi" w:hAnsi="Times New Roman" w:cstheme="minorBidi"/>
          <w:kern w:val="2"/>
          <w:sz w:val="24"/>
          <w:lang w:eastAsia="en-US"/>
          <w14:ligatures w14:val="standardContextual"/>
        </w:rPr>
      </w:pPr>
    </w:p>
    <w:p w14:paraId="7B889275" w14:textId="2925ADAD" w:rsidR="00CF00B2" w:rsidRPr="007C5A6E" w:rsidRDefault="00CF00B2" w:rsidP="006514BA">
      <w:pPr>
        <w:spacing w:after="0" w:line="240" w:lineRule="auto"/>
        <w:jc w:val="both"/>
      </w:pPr>
      <w:r w:rsidRPr="007C5A6E">
        <w:rPr>
          <w:rFonts w:ascii="Times New Roman" w:eastAsiaTheme="minorHAnsi" w:hAnsi="Times New Roman" w:cstheme="minorBidi"/>
          <w:kern w:val="2"/>
          <w:sz w:val="24"/>
          <w:lang w:eastAsia="en-US"/>
          <w14:ligatures w14:val="standardContextual"/>
        </w:rPr>
        <w:t>Selon la figure 12</w:t>
      </w:r>
      <w:r w:rsidR="00046F6B" w:rsidRPr="007C5A6E">
        <w:rPr>
          <w:rFonts w:ascii="Times New Roman" w:eastAsiaTheme="minorHAnsi" w:hAnsi="Times New Roman" w:cstheme="minorBidi"/>
          <w:kern w:val="2"/>
          <w:sz w:val="24"/>
          <w:lang w:eastAsia="en-US"/>
          <w14:ligatures w14:val="standardContextual"/>
        </w:rPr>
        <w:t>,</w:t>
      </w:r>
      <w:r w:rsidRPr="007C5A6E">
        <w:rPr>
          <w:rFonts w:ascii="Times New Roman" w:eastAsiaTheme="minorHAnsi" w:hAnsi="Times New Roman" w:cstheme="minorBidi"/>
          <w:kern w:val="2"/>
          <w:sz w:val="24"/>
          <w:lang w:eastAsia="en-US"/>
          <w14:ligatures w14:val="standardContextual"/>
        </w:rPr>
        <w:t xml:space="preserve"> le nombre de jours de séquence sèche en début de campagne (A) ainsi que celui en fin de campagne (B) ont une légère tendance à la hausse, avec 4 années problématiques (2007, </w:t>
      </w:r>
      <w:proofErr w:type="gramStart"/>
      <w:r w:rsidRPr="007C5A6E">
        <w:rPr>
          <w:rFonts w:ascii="Times New Roman" w:eastAsiaTheme="minorHAnsi" w:hAnsi="Times New Roman" w:cstheme="minorBidi"/>
          <w:kern w:val="2"/>
          <w:sz w:val="24"/>
          <w:lang w:eastAsia="en-US"/>
          <w14:ligatures w14:val="standardContextual"/>
        </w:rPr>
        <w:t>2012 ,</w:t>
      </w:r>
      <w:proofErr w:type="gramEnd"/>
      <w:r w:rsidRPr="007C5A6E">
        <w:rPr>
          <w:rFonts w:ascii="Times New Roman" w:eastAsiaTheme="minorHAnsi" w:hAnsi="Times New Roman" w:cstheme="minorBidi"/>
          <w:kern w:val="2"/>
          <w:sz w:val="24"/>
          <w:lang w:eastAsia="en-US"/>
          <w14:ligatures w14:val="standardContextual"/>
        </w:rPr>
        <w:t xml:space="preserve"> 2017 et 2022) à 5 ans d’intervalle pour l’un et 7 années problématiques (2001, 2005, 2008, 2012, 2014, 2018, 2022) à 4 ans d’intervalle pour l’autre.</w:t>
      </w:r>
    </w:p>
    <w:tbl>
      <w:tblPr>
        <w:tblStyle w:val="Grilledutableau"/>
        <w:tblW w:w="0" w:type="auto"/>
        <w:tblLook w:val="04A0" w:firstRow="1" w:lastRow="0" w:firstColumn="1" w:lastColumn="0" w:noHBand="0" w:noVBand="1"/>
      </w:tblPr>
      <w:tblGrid>
        <w:gridCol w:w="5000"/>
        <w:gridCol w:w="4175"/>
      </w:tblGrid>
      <w:tr w:rsidR="00CF00B2" w:rsidRPr="007C5A6E" w14:paraId="28F0C277" w14:textId="77777777" w:rsidTr="00CF00B2">
        <w:tc>
          <w:tcPr>
            <w:tcW w:w="4671" w:type="dxa"/>
          </w:tcPr>
          <w:p w14:paraId="28AED1DA" w14:textId="655C98B3" w:rsidR="00CF00B2" w:rsidRPr="007C5A6E" w:rsidRDefault="00CF00B2" w:rsidP="00CF00B2">
            <w:r w:rsidRPr="007C5A6E">
              <w:rPr>
                <w:noProof/>
                <w14:ligatures w14:val="standardContextual"/>
              </w:rPr>
              <mc:AlternateContent>
                <mc:Choice Requires="wps">
                  <w:drawing>
                    <wp:anchor distT="0" distB="0" distL="114300" distR="114300" simplePos="0" relativeHeight="251681280" behindDoc="0" locked="0" layoutInCell="1" allowOverlap="1" wp14:anchorId="2C5B03E3" wp14:editId="63F05463">
                      <wp:simplePos x="0" y="0"/>
                      <wp:positionH relativeFrom="column">
                        <wp:posOffset>932815</wp:posOffset>
                      </wp:positionH>
                      <wp:positionV relativeFrom="paragraph">
                        <wp:posOffset>751840</wp:posOffset>
                      </wp:positionV>
                      <wp:extent cx="276225" cy="238125"/>
                      <wp:effectExtent l="0" t="0" r="28575" b="28575"/>
                      <wp:wrapNone/>
                      <wp:docPr id="238615266" name="Zone de texte 4"/>
                      <wp:cNvGraphicFramePr/>
                      <a:graphic xmlns:a="http://schemas.openxmlformats.org/drawingml/2006/main">
                        <a:graphicData uri="http://schemas.microsoft.com/office/word/2010/wordprocessingShape">
                          <wps:wsp>
                            <wps:cNvSpPr txBox="1"/>
                            <wps:spPr>
                              <a:xfrm>
                                <a:off x="0" y="0"/>
                                <a:ext cx="276225" cy="238125"/>
                              </a:xfrm>
                              <a:prstGeom prst="rect">
                                <a:avLst/>
                              </a:prstGeom>
                              <a:solidFill>
                                <a:schemeClr val="lt1"/>
                              </a:solidFill>
                              <a:ln w="6350">
                                <a:solidFill>
                                  <a:prstClr val="black"/>
                                </a:solidFill>
                              </a:ln>
                            </wps:spPr>
                            <wps:txbx>
                              <w:txbxContent>
                                <w:p w14:paraId="31AB63EA" w14:textId="6A5F1BC7" w:rsidR="00CF00B2" w:rsidRPr="00CF00B2" w:rsidRDefault="00CF00B2">
                                  <w:pPr>
                                    <w:rPr>
                                      <w:b/>
                                      <w:bCs/>
                                    </w:rPr>
                                  </w:pPr>
                                  <w:r w:rsidRPr="00CF00B2">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C5B03E3" id="Zone de texte 4" o:spid="_x0000_s1065" type="#_x0000_t202" style="position:absolute;margin-left:73.45pt;margin-top:59.2pt;width:21.75pt;height:18.75pt;z-index:25168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" fillcolor="white [3201]" strokeweight=".5pt">
                      <v:textbox>
                        <w:txbxContent>
                          <w:p w14:paraId="31AB63EA" w14:textId="6A5F1BC7" w:rsidR="00CF00B2" w:rsidRPr="00CF00B2" w:rsidRDefault="00CF00B2">
                            <w:pPr>
                              <w:rPr>
                                <w:b/>
                                <w:bCs/>
                              </w:rPr>
                            </w:pPr>
                            <w:r w:rsidRPr="00CF00B2">
                              <w:rPr>
                                <w:b/>
                                <w:bCs/>
                              </w:rPr>
                              <w:t>A</w:t>
                            </w:r>
                          </w:p>
                        </w:txbxContent>
                      </v:textbox>
                    </v:shape>
                  </w:pict>
                </mc:Fallback>
              </mc:AlternateContent>
            </w:r>
            <w:r w:rsidRPr="007C5A6E">
              <w:rPr>
                <w:noProof/>
              </w:rPr>
              <w:drawing>
                <wp:inline distT="0" distB="0" distL="0" distR="0" wp14:anchorId="1BA05546" wp14:editId="0460BF9C">
                  <wp:extent cx="3200400" cy="2276475"/>
                  <wp:effectExtent l="0" t="0" r="0" b="9525"/>
                  <wp:docPr id="140891310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913106" name="Image 1408913106"/>
                          <pic:cNvPicPr/>
                        </pic:nvPicPr>
                        <pic:blipFill>
                          <a:blip r:embed="rId56" cstate="email">
                            <a:extLst>
                              <a:ext uri="{28A0092B-C50C-407E-A947-70E740481C1C}">
                                <a14:useLocalDpi xmlns:a14="http://schemas.microsoft.com/office/drawing/2010/main"/>
                              </a:ext>
                            </a:extLst>
                          </a:blip>
                          <a:stretch>
                            <a:fillRect/>
                          </a:stretch>
                        </pic:blipFill>
                        <pic:spPr>
                          <a:xfrm>
                            <a:off x="0" y="0"/>
                            <a:ext cx="3207331" cy="2281405"/>
                          </a:xfrm>
                          <a:prstGeom prst="rect">
                            <a:avLst/>
                          </a:prstGeom>
                        </pic:spPr>
                      </pic:pic>
                    </a:graphicData>
                  </a:graphic>
                </wp:inline>
              </w:drawing>
            </w:r>
          </w:p>
        </w:tc>
        <w:tc>
          <w:tcPr>
            <w:tcW w:w="4672" w:type="dxa"/>
          </w:tcPr>
          <w:p w14:paraId="55B557A9" w14:textId="35E291E5" w:rsidR="00CF00B2" w:rsidRPr="007C5A6E" w:rsidRDefault="00CF00B2" w:rsidP="00CF00B2">
            <w:r w:rsidRPr="007C5A6E">
              <w:rPr>
                <w:b/>
                <w:bCs/>
                <w:noProof/>
                <w14:ligatures w14:val="standardContextual"/>
              </w:rPr>
              <mc:AlternateContent>
                <mc:Choice Requires="wps">
                  <w:drawing>
                    <wp:anchor distT="0" distB="0" distL="114300" distR="114300" simplePos="0" relativeHeight="251682304" behindDoc="0" locked="0" layoutInCell="1" allowOverlap="1" wp14:anchorId="5003D46F" wp14:editId="133002A4">
                      <wp:simplePos x="0" y="0"/>
                      <wp:positionH relativeFrom="column">
                        <wp:posOffset>366395</wp:posOffset>
                      </wp:positionH>
                      <wp:positionV relativeFrom="paragraph">
                        <wp:posOffset>656590</wp:posOffset>
                      </wp:positionV>
                      <wp:extent cx="266700" cy="247650"/>
                      <wp:effectExtent l="0" t="0" r="19050" b="19050"/>
                      <wp:wrapNone/>
                      <wp:docPr id="873394096" name="Zone de texte 5"/>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lt1"/>
                              </a:solidFill>
                              <a:ln w="6350">
                                <a:solidFill>
                                  <a:prstClr val="black"/>
                                </a:solidFill>
                              </a:ln>
                            </wps:spPr>
                            <wps:txbx>
                              <w:txbxContent>
                                <w:p w14:paraId="374FAA06" w14:textId="00194B2A" w:rsidR="00CF00B2" w:rsidRPr="00CF00B2" w:rsidRDefault="00CF00B2">
                                  <w:pPr>
                                    <w:rPr>
                                      <w:b/>
                                      <w:bCs/>
                                    </w:rPr>
                                  </w:pPr>
                                  <w:r w:rsidRPr="00CF00B2">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3D46F" id="Zone de texte 5" o:spid="_x0000_s1066" type="#_x0000_t202" style="position:absolute;margin-left:28.85pt;margin-top:51.7pt;width:21pt;height:19.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" fillcolor="white [3201]" strokeweight=".5pt">
                      <v:textbox>
                        <w:txbxContent>
                          <w:p w14:paraId="374FAA06" w14:textId="00194B2A" w:rsidR="00CF00B2" w:rsidRPr="00CF00B2" w:rsidRDefault="00CF00B2">
                            <w:pPr>
                              <w:rPr>
                                <w:b/>
                                <w:bCs/>
                              </w:rPr>
                            </w:pPr>
                            <w:r w:rsidRPr="00CF00B2">
                              <w:rPr>
                                <w:b/>
                                <w:bCs/>
                              </w:rPr>
                              <w:t>B</w:t>
                            </w:r>
                          </w:p>
                        </w:txbxContent>
                      </v:textbox>
                    </v:shape>
                  </w:pict>
                </mc:Fallback>
              </mc:AlternateContent>
            </w:r>
            <w:r w:rsidRPr="007C5A6E">
              <w:rPr>
                <w:b/>
                <w:bCs/>
                <w:noProof/>
              </w:rPr>
              <w:drawing>
                <wp:inline distT="0" distB="0" distL="0" distR="0" wp14:anchorId="346AAC76" wp14:editId="60D7CF94">
                  <wp:extent cx="2638425" cy="2276475"/>
                  <wp:effectExtent l="0" t="0" r="9525" b="9525"/>
                  <wp:docPr id="247359001"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59001" name="Image 247359001"/>
                          <pic:cNvPicPr/>
                        </pic:nvPicPr>
                        <pic:blipFill>
                          <a:blip r:embed="rId57" cstate="email">
                            <a:extLst>
                              <a:ext uri="{28A0092B-C50C-407E-A947-70E740481C1C}">
                                <a14:useLocalDpi xmlns:a14="http://schemas.microsoft.com/office/drawing/2010/main"/>
                              </a:ext>
                            </a:extLst>
                          </a:blip>
                          <a:stretch>
                            <a:fillRect/>
                          </a:stretch>
                        </pic:blipFill>
                        <pic:spPr>
                          <a:xfrm>
                            <a:off x="0" y="0"/>
                            <a:ext cx="2638425" cy="2276475"/>
                          </a:xfrm>
                          <a:prstGeom prst="rect">
                            <a:avLst/>
                          </a:prstGeom>
                        </pic:spPr>
                      </pic:pic>
                    </a:graphicData>
                  </a:graphic>
                </wp:inline>
              </w:drawing>
            </w:r>
          </w:p>
        </w:tc>
      </w:tr>
    </w:tbl>
    <w:p w14:paraId="41329904" w14:textId="2B31B2CF" w:rsidR="00CF00B2" w:rsidRPr="007C5A6E" w:rsidRDefault="00937AE2" w:rsidP="00937AE2">
      <w:pPr>
        <w:pStyle w:val="Lgende"/>
        <w:spacing w:after="0"/>
        <w:jc w:val="both"/>
        <w:rPr>
          <w:rFonts w:ascii="Times New Roman" w:hAnsi="Times New Roman"/>
          <w:color w:val="auto"/>
          <w:sz w:val="24"/>
          <w:szCs w:val="24"/>
        </w:rPr>
      </w:pPr>
      <w:bookmarkStart w:id="112" w:name="_Toc183230859"/>
      <w:bookmarkStart w:id="113" w:name="_Toc183240652"/>
      <w:bookmarkStart w:id="114" w:name="_Toc183340391"/>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235203" w:rsidRPr="007C5A6E">
        <w:rPr>
          <w:rFonts w:ascii="Times New Roman" w:hAnsi="Times New Roman"/>
          <w:noProof/>
          <w:color w:val="auto"/>
          <w:sz w:val="24"/>
          <w:szCs w:val="24"/>
        </w:rPr>
        <w:t>12</w:t>
      </w:r>
      <w:r w:rsidRPr="007C5A6E">
        <w:rPr>
          <w:rFonts w:ascii="Times New Roman" w:hAnsi="Times New Roman"/>
          <w:color w:val="auto"/>
          <w:sz w:val="24"/>
          <w:szCs w:val="24"/>
        </w:rPr>
        <w:fldChar w:fldCharType="end"/>
      </w:r>
      <w:r w:rsidR="00CF00B2" w:rsidRPr="007C5A6E">
        <w:rPr>
          <w:rFonts w:ascii="Times New Roman" w:hAnsi="Times New Roman"/>
          <w:color w:val="auto"/>
          <w:sz w:val="24"/>
          <w:szCs w:val="24"/>
        </w:rPr>
        <w:t>. Bobo-Dioulasso : nombre de jours de séquence sèche en début de campagne humide (A) ; nombre de jours de séquences sèches en fin de campagne humide (B).</w:t>
      </w:r>
      <w:bookmarkEnd w:id="112"/>
      <w:bookmarkEnd w:id="113"/>
      <w:bookmarkEnd w:id="114"/>
    </w:p>
    <w:p w14:paraId="4881FE09" w14:textId="77777777" w:rsidR="00E91E3A" w:rsidRPr="007C5A6E" w:rsidRDefault="00E91E3A" w:rsidP="00392DB7">
      <w:pPr>
        <w:spacing w:after="0" w:line="240" w:lineRule="auto"/>
        <w:rPr>
          <w:rFonts w:ascii="Times New Roman" w:eastAsiaTheme="minorHAnsi" w:hAnsi="Times New Roman" w:cstheme="minorBidi"/>
          <w:kern w:val="2"/>
          <w:sz w:val="24"/>
          <w:lang w:eastAsia="en-US"/>
          <w14:ligatures w14:val="standardContextual"/>
        </w:rPr>
      </w:pPr>
    </w:p>
    <w:p w14:paraId="07EA19EB" w14:textId="77777777" w:rsidR="00235203" w:rsidRPr="007C5A6E" w:rsidRDefault="00235203" w:rsidP="00235203">
      <w:pPr>
        <w:pStyle w:val="Titre5"/>
        <w:numPr>
          <w:ilvl w:val="4"/>
          <w:numId w:val="4"/>
        </w:numPr>
        <w:ind w:left="907" w:hanging="907"/>
        <w:rPr>
          <w:rFonts w:ascii="Times New Roman" w:hAnsi="Times New Roman" w:cs="Times New Roman"/>
          <w:color w:val="auto"/>
          <w:u w:val="single"/>
          <w:lang w:eastAsia="en-US"/>
        </w:rPr>
      </w:pPr>
      <w:bookmarkStart w:id="115" w:name="_Toc183340038"/>
      <w:r w:rsidRPr="007C5A6E">
        <w:rPr>
          <w:rFonts w:ascii="Times New Roman" w:hAnsi="Times New Roman" w:cs="Times New Roman"/>
          <w:color w:val="auto"/>
          <w:u w:val="single"/>
          <w:lang w:eastAsia="en-US"/>
        </w:rPr>
        <w:t>La température</w:t>
      </w:r>
      <w:bookmarkEnd w:id="115"/>
    </w:p>
    <w:p w14:paraId="3AF102D8" w14:textId="77777777" w:rsidR="00235203" w:rsidRPr="007C5A6E" w:rsidRDefault="00235203" w:rsidP="00235203">
      <w:pPr>
        <w:spacing w:after="0" w:line="240" w:lineRule="auto"/>
        <w:rPr>
          <w:rFonts w:ascii="Times New Roman" w:eastAsiaTheme="minorHAnsi" w:hAnsi="Times New Roman" w:cstheme="minorBidi"/>
          <w:kern w:val="2"/>
          <w:sz w:val="24"/>
          <w:lang w:eastAsia="en-US"/>
          <w14:ligatures w14:val="standardContextual"/>
        </w:rPr>
      </w:pPr>
    </w:p>
    <w:p w14:paraId="4B06F455" w14:textId="258484A4" w:rsidR="00235203" w:rsidRPr="007C5A6E" w:rsidRDefault="00235203" w:rsidP="00235203">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On constate sur la figure 13 que bien que les valeurs ne soient pas très élevées, toutes les variables présentent une tendance à la hausse, signe d’un réchauffement climatique en cours.</w:t>
      </w:r>
    </w:p>
    <w:p w14:paraId="64D82EE1" w14:textId="77777777" w:rsidR="00235203" w:rsidRPr="007C5A6E" w:rsidRDefault="00235203" w:rsidP="00235203">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Ainsi les jours chauds presque inexistants au départ ont prospéré à partir des années 2000 et ont continué à se multiplier (B).</w:t>
      </w:r>
    </w:p>
    <w:p w14:paraId="548B4AF3" w14:textId="77777777" w:rsidR="00235203" w:rsidRPr="007C5A6E" w:rsidRDefault="00235203" w:rsidP="00235203">
      <w:pPr>
        <w:spacing w:after="0" w:line="240" w:lineRule="auto"/>
        <w:rPr>
          <w:rFonts w:ascii="Times New Roman" w:eastAsiaTheme="minorHAnsi" w:hAnsi="Times New Roman" w:cstheme="minorBidi"/>
          <w:kern w:val="2"/>
          <w:sz w:val="24"/>
          <w:lang w:eastAsia="en-US"/>
          <w14:ligatures w14:val="standardContextual"/>
        </w:rPr>
      </w:pPr>
    </w:p>
    <w:tbl>
      <w:tblPr>
        <w:tblStyle w:val="Grilledutableau"/>
        <w:tblW w:w="9634" w:type="dxa"/>
        <w:tblLayout w:type="fixed"/>
        <w:tblCellMar>
          <w:left w:w="0" w:type="dxa"/>
          <w:right w:w="0" w:type="dxa"/>
        </w:tblCellMar>
        <w:tblLook w:val="04A0" w:firstRow="1" w:lastRow="0" w:firstColumn="1" w:lastColumn="0" w:noHBand="0" w:noVBand="1"/>
      </w:tblPr>
      <w:tblGrid>
        <w:gridCol w:w="4698"/>
        <w:gridCol w:w="4936"/>
      </w:tblGrid>
      <w:tr w:rsidR="00235203" w:rsidRPr="007C5A6E" w14:paraId="50375AC4" w14:textId="77777777" w:rsidTr="0006253D">
        <w:trPr>
          <w:cantSplit/>
          <w:trHeight w:val="3458"/>
        </w:trPr>
        <w:tc>
          <w:tcPr>
            <w:tcW w:w="4698" w:type="dxa"/>
          </w:tcPr>
          <w:p w14:paraId="7EC7249D" w14:textId="77777777" w:rsidR="00235203" w:rsidRPr="007C5A6E" w:rsidRDefault="00235203" w:rsidP="0006253D">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718144" behindDoc="0" locked="0" layoutInCell="1" allowOverlap="1" wp14:anchorId="2614E9DA" wp14:editId="0B5C0489">
                      <wp:simplePos x="0" y="0"/>
                      <wp:positionH relativeFrom="column">
                        <wp:posOffset>484505</wp:posOffset>
                      </wp:positionH>
                      <wp:positionV relativeFrom="paragraph">
                        <wp:posOffset>342900</wp:posOffset>
                      </wp:positionV>
                      <wp:extent cx="333375" cy="285750"/>
                      <wp:effectExtent l="0" t="0" r="28575" b="19050"/>
                      <wp:wrapNone/>
                      <wp:docPr id="756896676" name="Zone de texte 35"/>
                      <wp:cNvGraphicFramePr/>
                      <a:graphic xmlns:a="http://schemas.openxmlformats.org/drawingml/2006/main">
                        <a:graphicData uri="http://schemas.microsoft.com/office/word/2010/wordprocessingShape">
                          <wps:wsp>
                            <wps:cNvSpPr txBox="1"/>
                            <wps:spPr>
                              <a:xfrm>
                                <a:off x="0" y="0"/>
                                <a:ext cx="333375" cy="285750"/>
                              </a:xfrm>
                              <a:prstGeom prst="rect">
                                <a:avLst/>
                              </a:prstGeom>
                              <a:solidFill>
                                <a:sysClr val="window" lastClr="FFFFFF"/>
                              </a:solidFill>
                              <a:ln w="6350">
                                <a:solidFill>
                                  <a:prstClr val="black"/>
                                </a:solidFill>
                              </a:ln>
                            </wps:spPr>
                            <wps:txbx>
                              <w:txbxContent>
                                <w:p w14:paraId="420EC00C" w14:textId="77777777" w:rsidR="00235203" w:rsidRPr="00B50464" w:rsidRDefault="00235203" w:rsidP="00235203">
                                  <w:pPr>
                                    <w:jc w:val="center"/>
                                    <w:rPr>
                                      <w:b/>
                                      <w:bCs/>
                                    </w:rPr>
                                  </w:pPr>
                                  <w:r>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14E9DA" id="_x0000_s1067" type="#_x0000_t202" style="position:absolute;margin-left:38.15pt;margin-top:27pt;width:26.25pt;height:22.5pt;z-index:251718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" fillcolor="window" strokeweight=".5pt">
                      <v:textbox>
                        <w:txbxContent>
                          <w:p w14:paraId="420EC00C" w14:textId="77777777" w:rsidR="00235203" w:rsidRPr="00B50464" w:rsidRDefault="00235203" w:rsidP="00235203">
                            <w:pPr>
                              <w:jc w:val="center"/>
                              <w:rPr>
                                <w:b/>
                                <w:bCs/>
                              </w:rPr>
                            </w:pPr>
                            <w:r>
                              <w:rPr>
                                <w:b/>
                                <w:bCs/>
                              </w:rPr>
                              <w:t>A</w:t>
                            </w:r>
                          </w:p>
                        </w:txbxContent>
                      </v:textbox>
                    </v:shape>
                  </w:pict>
                </mc:Fallback>
              </mc:AlternateContent>
            </w:r>
            <w:r w:rsidRPr="007C5A6E">
              <w:rPr>
                <w:rFonts w:ascii="Times New Roman" w:hAnsi="Times New Roman"/>
                <w:noProof/>
                <w:sz w:val="24"/>
              </w:rPr>
              <w:drawing>
                <wp:inline distT="0" distB="0" distL="0" distR="0" wp14:anchorId="6426BDAB" wp14:editId="3D472CAA">
                  <wp:extent cx="2976880" cy="2181225"/>
                  <wp:effectExtent l="0" t="0" r="0" b="9525"/>
                  <wp:docPr id="373647578"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647578" name="Image 373647578"/>
                          <pic:cNvPicPr/>
                        </pic:nvPicPr>
                        <pic:blipFill>
                          <a:blip r:embed="rId58" cstate="email">
                            <a:extLst>
                              <a:ext uri="{28A0092B-C50C-407E-A947-70E740481C1C}">
                                <a14:useLocalDpi xmlns:a14="http://schemas.microsoft.com/office/drawing/2010/main"/>
                              </a:ext>
                            </a:extLst>
                          </a:blip>
                          <a:stretch>
                            <a:fillRect/>
                          </a:stretch>
                        </pic:blipFill>
                        <pic:spPr>
                          <a:xfrm>
                            <a:off x="0" y="0"/>
                            <a:ext cx="2976880" cy="2181225"/>
                          </a:xfrm>
                          <a:prstGeom prst="rect">
                            <a:avLst/>
                          </a:prstGeom>
                        </pic:spPr>
                      </pic:pic>
                    </a:graphicData>
                  </a:graphic>
                </wp:inline>
              </w:drawing>
            </w:r>
          </w:p>
        </w:tc>
        <w:tc>
          <w:tcPr>
            <w:tcW w:w="4936" w:type="dxa"/>
          </w:tcPr>
          <w:p w14:paraId="38D4A128" w14:textId="77777777" w:rsidR="00235203" w:rsidRPr="007C5A6E" w:rsidRDefault="00235203" w:rsidP="0006253D">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719168" behindDoc="0" locked="0" layoutInCell="1" allowOverlap="1" wp14:anchorId="6E894854" wp14:editId="23A89ECD">
                      <wp:simplePos x="0" y="0"/>
                      <wp:positionH relativeFrom="column">
                        <wp:posOffset>515620</wp:posOffset>
                      </wp:positionH>
                      <wp:positionV relativeFrom="paragraph">
                        <wp:posOffset>340995</wp:posOffset>
                      </wp:positionV>
                      <wp:extent cx="333375" cy="285750"/>
                      <wp:effectExtent l="0" t="0" r="28575" b="19050"/>
                      <wp:wrapNone/>
                      <wp:docPr id="1266267872" name="Zone de texte 35"/>
                      <wp:cNvGraphicFramePr/>
                      <a:graphic xmlns:a="http://schemas.openxmlformats.org/drawingml/2006/main">
                        <a:graphicData uri="http://schemas.microsoft.com/office/word/2010/wordprocessingShape">
                          <wps:wsp>
                            <wps:cNvSpPr txBox="1"/>
                            <wps:spPr>
                              <a:xfrm>
                                <a:off x="0" y="0"/>
                                <a:ext cx="333375" cy="285750"/>
                              </a:xfrm>
                              <a:prstGeom prst="rect">
                                <a:avLst/>
                              </a:prstGeom>
                              <a:solidFill>
                                <a:sysClr val="window" lastClr="FFFFFF"/>
                              </a:solidFill>
                              <a:ln w="6350">
                                <a:solidFill>
                                  <a:prstClr val="black"/>
                                </a:solidFill>
                              </a:ln>
                            </wps:spPr>
                            <wps:txbx>
                              <w:txbxContent>
                                <w:p w14:paraId="4AEA6ED1" w14:textId="77777777" w:rsidR="00235203" w:rsidRPr="00B50464" w:rsidRDefault="00235203" w:rsidP="00235203">
                                  <w:pPr>
                                    <w:jc w:val="center"/>
                                    <w:rPr>
                                      <w:b/>
                                      <w:bCs/>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894854" id="_x0000_s1068" type="#_x0000_t202" style="position:absolute;margin-left:40.6pt;margin-top:26.85pt;width:26.25pt;height:22.5pt;z-index:251719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" fillcolor="window" strokeweight=".5pt">
                      <v:textbox>
                        <w:txbxContent>
                          <w:p w14:paraId="4AEA6ED1" w14:textId="77777777" w:rsidR="00235203" w:rsidRPr="00B50464" w:rsidRDefault="00235203" w:rsidP="00235203">
                            <w:pPr>
                              <w:jc w:val="center"/>
                              <w:rPr>
                                <w:b/>
                                <w:bCs/>
                              </w:rPr>
                            </w:pPr>
                            <w:r>
                              <w:rPr>
                                <w:b/>
                                <w:bCs/>
                              </w:rPr>
                              <w:t>B</w:t>
                            </w:r>
                          </w:p>
                        </w:txbxContent>
                      </v:textbox>
                    </v:shape>
                  </w:pict>
                </mc:Fallback>
              </mc:AlternateContent>
            </w:r>
            <w:r w:rsidRPr="007C5A6E">
              <w:rPr>
                <w:rFonts w:ascii="Times New Roman" w:hAnsi="Times New Roman"/>
                <w:noProof/>
                <w:sz w:val="24"/>
              </w:rPr>
              <w:drawing>
                <wp:inline distT="0" distB="0" distL="0" distR="0" wp14:anchorId="16E0E1B0" wp14:editId="4C3ECDCA">
                  <wp:extent cx="3128010" cy="2181225"/>
                  <wp:effectExtent l="0" t="0" r="0" b="9525"/>
                  <wp:docPr id="280382801"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382801" name="Image 280382801"/>
                          <pic:cNvPicPr/>
                        </pic:nvPicPr>
                        <pic:blipFill>
                          <a:blip r:embed="rId59" cstate="email">
                            <a:extLst>
                              <a:ext uri="{28A0092B-C50C-407E-A947-70E740481C1C}">
                                <a14:useLocalDpi xmlns:a14="http://schemas.microsoft.com/office/drawing/2010/main"/>
                              </a:ext>
                            </a:extLst>
                          </a:blip>
                          <a:stretch>
                            <a:fillRect/>
                          </a:stretch>
                        </pic:blipFill>
                        <pic:spPr>
                          <a:xfrm>
                            <a:off x="0" y="0"/>
                            <a:ext cx="3128010" cy="2181225"/>
                          </a:xfrm>
                          <a:prstGeom prst="rect">
                            <a:avLst/>
                          </a:prstGeom>
                        </pic:spPr>
                      </pic:pic>
                    </a:graphicData>
                  </a:graphic>
                </wp:inline>
              </w:drawing>
            </w:r>
          </w:p>
        </w:tc>
      </w:tr>
      <w:tr w:rsidR="00235203" w:rsidRPr="007C5A6E" w14:paraId="60B7AD21" w14:textId="77777777" w:rsidTr="0006253D">
        <w:trPr>
          <w:cantSplit/>
          <w:trHeight w:val="3458"/>
        </w:trPr>
        <w:tc>
          <w:tcPr>
            <w:tcW w:w="4698" w:type="dxa"/>
          </w:tcPr>
          <w:p w14:paraId="76A1E5DE" w14:textId="77777777" w:rsidR="00235203" w:rsidRPr="007C5A6E" w:rsidRDefault="00235203" w:rsidP="0006253D">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720192" behindDoc="0" locked="0" layoutInCell="1" allowOverlap="1" wp14:anchorId="2069A8B5" wp14:editId="1079F7EE">
                      <wp:simplePos x="0" y="0"/>
                      <wp:positionH relativeFrom="column">
                        <wp:posOffset>488950</wp:posOffset>
                      </wp:positionH>
                      <wp:positionV relativeFrom="paragraph">
                        <wp:posOffset>377190</wp:posOffset>
                      </wp:positionV>
                      <wp:extent cx="333375" cy="285750"/>
                      <wp:effectExtent l="0" t="0" r="28575" b="19050"/>
                      <wp:wrapNone/>
                      <wp:docPr id="709046599" name="Zone de texte 35"/>
                      <wp:cNvGraphicFramePr/>
                      <a:graphic xmlns:a="http://schemas.openxmlformats.org/drawingml/2006/main">
                        <a:graphicData uri="http://schemas.microsoft.com/office/word/2010/wordprocessingShape">
                          <wps:wsp>
                            <wps:cNvSpPr txBox="1"/>
                            <wps:spPr>
                              <a:xfrm>
                                <a:off x="0" y="0"/>
                                <a:ext cx="333375" cy="285750"/>
                              </a:xfrm>
                              <a:prstGeom prst="rect">
                                <a:avLst/>
                              </a:prstGeom>
                              <a:solidFill>
                                <a:sysClr val="window" lastClr="FFFFFF"/>
                              </a:solidFill>
                              <a:ln w="6350">
                                <a:solidFill>
                                  <a:prstClr val="black"/>
                                </a:solidFill>
                              </a:ln>
                            </wps:spPr>
                            <wps:txbx>
                              <w:txbxContent>
                                <w:p w14:paraId="1EAA1554" w14:textId="77777777" w:rsidR="00235203" w:rsidRPr="00B50464" w:rsidRDefault="00235203" w:rsidP="00235203">
                                  <w:pPr>
                                    <w:jc w:val="center"/>
                                    <w:rPr>
                                      <w:b/>
                                      <w:bCs/>
                                    </w:rPr>
                                  </w:pPr>
                                  <w:r>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69A8B5" id="_x0000_s1069" type="#_x0000_t202" style="position:absolute;margin-left:38.5pt;margin-top:29.7pt;width:26.25pt;height:22.5pt;z-index:251720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" fillcolor="window" strokeweight=".5pt">
                      <v:textbox>
                        <w:txbxContent>
                          <w:p w14:paraId="1EAA1554" w14:textId="77777777" w:rsidR="00235203" w:rsidRPr="00B50464" w:rsidRDefault="00235203" w:rsidP="00235203">
                            <w:pPr>
                              <w:jc w:val="center"/>
                              <w:rPr>
                                <w:b/>
                                <w:bCs/>
                              </w:rPr>
                            </w:pPr>
                            <w:r>
                              <w:rPr>
                                <w:b/>
                                <w:bCs/>
                              </w:rPr>
                              <w:t>C</w:t>
                            </w:r>
                          </w:p>
                        </w:txbxContent>
                      </v:textbox>
                    </v:shape>
                  </w:pict>
                </mc:Fallback>
              </mc:AlternateContent>
            </w:r>
            <w:r w:rsidRPr="007C5A6E">
              <w:rPr>
                <w:rFonts w:ascii="Times New Roman" w:hAnsi="Times New Roman"/>
                <w:noProof/>
                <w:sz w:val="24"/>
              </w:rPr>
              <w:drawing>
                <wp:inline distT="0" distB="0" distL="0" distR="0" wp14:anchorId="32292693" wp14:editId="6FB9A952">
                  <wp:extent cx="2976880" cy="2181225"/>
                  <wp:effectExtent l="0" t="0" r="0" b="9525"/>
                  <wp:docPr id="78744370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443709" name="Image 787443709"/>
                          <pic:cNvPicPr/>
                        </pic:nvPicPr>
                        <pic:blipFill>
                          <a:blip r:embed="rId60" cstate="email">
                            <a:extLst>
                              <a:ext uri="{28A0092B-C50C-407E-A947-70E740481C1C}">
                                <a14:useLocalDpi xmlns:a14="http://schemas.microsoft.com/office/drawing/2010/main"/>
                              </a:ext>
                            </a:extLst>
                          </a:blip>
                          <a:stretch>
                            <a:fillRect/>
                          </a:stretch>
                        </pic:blipFill>
                        <pic:spPr>
                          <a:xfrm>
                            <a:off x="0" y="0"/>
                            <a:ext cx="2976880" cy="2181225"/>
                          </a:xfrm>
                          <a:prstGeom prst="rect">
                            <a:avLst/>
                          </a:prstGeom>
                        </pic:spPr>
                      </pic:pic>
                    </a:graphicData>
                  </a:graphic>
                </wp:inline>
              </w:drawing>
            </w:r>
          </w:p>
        </w:tc>
        <w:tc>
          <w:tcPr>
            <w:tcW w:w="4936" w:type="dxa"/>
          </w:tcPr>
          <w:p w14:paraId="3BFC7F98" w14:textId="77777777" w:rsidR="00235203" w:rsidRPr="007C5A6E" w:rsidRDefault="00235203" w:rsidP="0006253D">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721216" behindDoc="0" locked="0" layoutInCell="1" allowOverlap="1" wp14:anchorId="40A1996A" wp14:editId="12873D45">
                      <wp:simplePos x="0" y="0"/>
                      <wp:positionH relativeFrom="column">
                        <wp:posOffset>601345</wp:posOffset>
                      </wp:positionH>
                      <wp:positionV relativeFrom="paragraph">
                        <wp:posOffset>285115</wp:posOffset>
                      </wp:positionV>
                      <wp:extent cx="333375" cy="285750"/>
                      <wp:effectExtent l="0" t="0" r="28575" b="19050"/>
                      <wp:wrapNone/>
                      <wp:docPr id="114801263" name="Zone de texte 35"/>
                      <wp:cNvGraphicFramePr/>
                      <a:graphic xmlns:a="http://schemas.openxmlformats.org/drawingml/2006/main">
                        <a:graphicData uri="http://schemas.microsoft.com/office/word/2010/wordprocessingShape">
                          <wps:wsp>
                            <wps:cNvSpPr txBox="1"/>
                            <wps:spPr>
                              <a:xfrm>
                                <a:off x="0" y="0"/>
                                <a:ext cx="333375" cy="285750"/>
                              </a:xfrm>
                              <a:prstGeom prst="rect">
                                <a:avLst/>
                              </a:prstGeom>
                              <a:solidFill>
                                <a:sysClr val="window" lastClr="FFFFFF"/>
                              </a:solidFill>
                              <a:ln w="6350">
                                <a:solidFill>
                                  <a:prstClr val="black"/>
                                </a:solidFill>
                              </a:ln>
                            </wps:spPr>
                            <wps:txbx>
                              <w:txbxContent>
                                <w:p w14:paraId="7E010357" w14:textId="77777777" w:rsidR="00235203" w:rsidRPr="00B50464" w:rsidRDefault="00235203" w:rsidP="00235203">
                                  <w:pPr>
                                    <w:jc w:val="center"/>
                                    <w:rPr>
                                      <w:b/>
                                      <w:bCs/>
                                    </w:rPr>
                                  </w:pPr>
                                  <w:r>
                                    <w:rPr>
                                      <w:b/>
                                      <w:b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A1996A" id="_x0000_s1070" type="#_x0000_t202" style="position:absolute;margin-left:47.35pt;margin-top:22.45pt;width:26.25pt;height:22.5pt;z-index:251721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" fillcolor="window" strokeweight=".5pt">
                      <v:textbox>
                        <w:txbxContent>
                          <w:p w14:paraId="7E010357" w14:textId="77777777" w:rsidR="00235203" w:rsidRPr="00B50464" w:rsidRDefault="00235203" w:rsidP="00235203">
                            <w:pPr>
                              <w:jc w:val="center"/>
                              <w:rPr>
                                <w:b/>
                                <w:bCs/>
                              </w:rPr>
                            </w:pPr>
                            <w:r>
                              <w:rPr>
                                <w:b/>
                                <w:bCs/>
                              </w:rPr>
                              <w:t>D</w:t>
                            </w:r>
                          </w:p>
                        </w:txbxContent>
                      </v:textbox>
                    </v:shape>
                  </w:pict>
                </mc:Fallback>
              </mc:AlternateContent>
            </w:r>
            <w:r w:rsidRPr="007C5A6E">
              <w:rPr>
                <w:rFonts w:ascii="Times New Roman" w:hAnsi="Times New Roman"/>
                <w:noProof/>
                <w:sz w:val="24"/>
              </w:rPr>
              <w:drawing>
                <wp:inline distT="0" distB="0" distL="0" distR="0" wp14:anchorId="694637A9" wp14:editId="45D2460E">
                  <wp:extent cx="3128010" cy="2181225"/>
                  <wp:effectExtent l="0" t="0" r="0" b="9525"/>
                  <wp:docPr id="657034547"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034547" name="Image 657034547"/>
                          <pic:cNvPicPr/>
                        </pic:nvPicPr>
                        <pic:blipFill>
                          <a:blip r:embed="rId61" cstate="email">
                            <a:extLst>
                              <a:ext uri="{28A0092B-C50C-407E-A947-70E740481C1C}">
                                <a14:useLocalDpi xmlns:a14="http://schemas.microsoft.com/office/drawing/2010/main"/>
                              </a:ext>
                            </a:extLst>
                          </a:blip>
                          <a:stretch>
                            <a:fillRect/>
                          </a:stretch>
                        </pic:blipFill>
                        <pic:spPr>
                          <a:xfrm>
                            <a:off x="0" y="0"/>
                            <a:ext cx="3128010" cy="2181225"/>
                          </a:xfrm>
                          <a:prstGeom prst="rect">
                            <a:avLst/>
                          </a:prstGeom>
                        </pic:spPr>
                      </pic:pic>
                    </a:graphicData>
                  </a:graphic>
                </wp:inline>
              </w:drawing>
            </w:r>
          </w:p>
        </w:tc>
      </w:tr>
    </w:tbl>
    <w:p w14:paraId="0179ACB3" w14:textId="243FBD0F" w:rsidR="00235203" w:rsidRPr="007C5A6E" w:rsidRDefault="00235203" w:rsidP="00235203">
      <w:pPr>
        <w:pStyle w:val="Lgende"/>
        <w:spacing w:after="0"/>
        <w:jc w:val="both"/>
        <w:rPr>
          <w:rFonts w:ascii="Times New Roman" w:eastAsiaTheme="minorHAnsi" w:hAnsi="Times New Roman"/>
          <w:color w:val="auto"/>
          <w:kern w:val="2"/>
          <w:sz w:val="24"/>
          <w:szCs w:val="24"/>
          <w:lang w:eastAsia="en-US"/>
          <w14:ligatures w14:val="standardContextual"/>
        </w:rPr>
      </w:pPr>
      <w:bookmarkStart w:id="116" w:name="_Toc183230862"/>
      <w:bookmarkStart w:id="117" w:name="_Toc183240655"/>
      <w:bookmarkStart w:id="118" w:name="_Toc183340392"/>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Pr="007C5A6E">
        <w:rPr>
          <w:rFonts w:ascii="Times New Roman" w:hAnsi="Times New Roman"/>
          <w:noProof/>
          <w:color w:val="auto"/>
          <w:sz w:val="24"/>
          <w:szCs w:val="24"/>
        </w:rPr>
        <w:t>13</w:t>
      </w:r>
      <w:r w:rsidRPr="007C5A6E">
        <w:rPr>
          <w:rFonts w:ascii="Times New Roman" w:hAnsi="Times New Roman"/>
          <w:color w:val="auto"/>
          <w:sz w:val="24"/>
          <w:szCs w:val="24"/>
        </w:rPr>
        <w:fldChar w:fldCharType="end"/>
      </w:r>
      <w:r w:rsidRPr="007C5A6E">
        <w:rPr>
          <w:rFonts w:ascii="Times New Roman" w:eastAsiaTheme="minorHAnsi" w:hAnsi="Times New Roman"/>
          <w:color w:val="auto"/>
          <w:kern w:val="2"/>
          <w:sz w:val="24"/>
          <w:szCs w:val="24"/>
          <w:lang w:eastAsia="en-US"/>
          <w14:ligatures w14:val="standardContextual"/>
        </w:rPr>
        <w:t>. Bobo-Dioulasso : la température moyenne annuelle (A) ; le nombre de jours chauds par an (B) ; la température minimale annuelle (C) ; la température maximale annuelle (D).</w:t>
      </w:r>
      <w:bookmarkEnd w:id="116"/>
      <w:bookmarkEnd w:id="117"/>
      <w:bookmarkEnd w:id="118"/>
    </w:p>
    <w:p w14:paraId="33E2FD1C" w14:textId="77777777" w:rsidR="00235203" w:rsidRPr="007C5A6E" w:rsidRDefault="00235203" w:rsidP="00235203">
      <w:pPr>
        <w:spacing w:after="0" w:line="240" w:lineRule="auto"/>
        <w:rPr>
          <w:rFonts w:ascii="Times New Roman" w:eastAsiaTheme="minorHAnsi" w:hAnsi="Times New Roman" w:cstheme="minorBidi"/>
          <w:kern w:val="2"/>
          <w:sz w:val="24"/>
          <w:lang w:eastAsia="en-US"/>
          <w14:ligatures w14:val="standardContextual"/>
        </w:rPr>
      </w:pPr>
    </w:p>
    <w:p w14:paraId="2E025207" w14:textId="77777777" w:rsidR="004A2152" w:rsidRPr="007C5A6E" w:rsidRDefault="004A2152" w:rsidP="004A2152">
      <w:pPr>
        <w:pStyle w:val="Titre3"/>
      </w:pPr>
      <w:bookmarkStart w:id="119" w:name="_Toc182582643"/>
      <w:bookmarkStart w:id="120" w:name="_Toc183340039"/>
      <w:r w:rsidRPr="007C5A6E">
        <w:t>Évolution à long terme des isohyètes et isothermes</w:t>
      </w:r>
      <w:bookmarkEnd w:id="119"/>
      <w:bookmarkEnd w:id="120"/>
    </w:p>
    <w:p w14:paraId="2A11AB37" w14:textId="77777777" w:rsidR="004A2152" w:rsidRPr="007C5A6E" w:rsidRDefault="004A2152" w:rsidP="004A2152">
      <w:pPr>
        <w:spacing w:after="0" w:line="240" w:lineRule="auto"/>
        <w:rPr>
          <w:rFonts w:ascii="Times New Roman" w:eastAsiaTheme="minorHAnsi" w:hAnsi="Times New Roman" w:cstheme="minorBidi"/>
          <w:kern w:val="2"/>
          <w:sz w:val="24"/>
          <w:lang w:eastAsia="en-US"/>
          <w14:ligatures w14:val="standardContextual"/>
        </w:rPr>
      </w:pPr>
    </w:p>
    <w:p w14:paraId="02E21A33" w14:textId="77777777" w:rsidR="004A2152" w:rsidRPr="007C5A6E" w:rsidRDefault="004A2152" w:rsidP="00684FF8">
      <w:pPr>
        <w:pStyle w:val="Titre4"/>
      </w:pPr>
      <w:bookmarkStart w:id="121" w:name="_Toc182582644"/>
      <w:bookmarkStart w:id="122" w:name="_Toc183340040"/>
      <w:r w:rsidRPr="007C5A6E">
        <w:t>La migration des isohyètes</w:t>
      </w:r>
      <w:bookmarkEnd w:id="121"/>
      <w:bookmarkEnd w:id="122"/>
    </w:p>
    <w:p w14:paraId="3713D95D" w14:textId="77777777" w:rsidR="004A2152" w:rsidRPr="007C5A6E" w:rsidRDefault="004A2152" w:rsidP="004A2152">
      <w:pPr>
        <w:spacing w:after="0" w:line="240" w:lineRule="auto"/>
        <w:rPr>
          <w:rFonts w:ascii="Times New Roman" w:eastAsiaTheme="minorHAnsi" w:hAnsi="Times New Roman" w:cstheme="minorBidi"/>
          <w:kern w:val="2"/>
          <w:sz w:val="24"/>
          <w:lang w:eastAsia="en-US"/>
          <w14:ligatures w14:val="standardContextual"/>
        </w:rPr>
      </w:pPr>
    </w:p>
    <w:p w14:paraId="0F869F87" w14:textId="65F8C0D6" w:rsidR="004A2152" w:rsidRPr="007C5A6E" w:rsidRDefault="004A2152" w:rsidP="006514B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 xml:space="preserve">La position des isohyètes 600 mm et 900 mm calculée sur la période normale (de 30 ans) 1931-1960 sert de référence pour apprécier le déplacement des isohyètes calculées sur des périodes normales décalées de 10 ans. On constate sur la figure </w:t>
      </w:r>
      <w:r w:rsidR="00235203" w:rsidRPr="007C5A6E">
        <w:rPr>
          <w:rFonts w:ascii="Times New Roman" w:eastAsiaTheme="minorHAnsi" w:hAnsi="Times New Roman" w:cstheme="minorBidi"/>
          <w:kern w:val="2"/>
          <w:sz w:val="24"/>
          <w:lang w:eastAsia="en-US"/>
          <w14:ligatures w14:val="standardContextual"/>
        </w:rPr>
        <w:t xml:space="preserve">14 </w:t>
      </w:r>
      <w:r w:rsidRPr="007C5A6E">
        <w:rPr>
          <w:rFonts w:ascii="Times New Roman" w:eastAsiaTheme="minorHAnsi" w:hAnsi="Times New Roman" w:cstheme="minorBidi"/>
          <w:kern w:val="2"/>
          <w:sz w:val="24"/>
          <w:lang w:eastAsia="en-US"/>
          <w14:ligatures w14:val="standardContextual"/>
        </w:rPr>
        <w:t>que les isohyètes se déplacent tantôt vers le sud, tantôt vers le nord.</w:t>
      </w:r>
    </w:p>
    <w:p w14:paraId="3AA2C740" w14:textId="77777777" w:rsidR="004A2152" w:rsidRPr="007C5A6E" w:rsidRDefault="004A2152" w:rsidP="004A2152">
      <w:pPr>
        <w:pStyle w:val="Lgende"/>
        <w:spacing w:after="0"/>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noProof/>
          <w:kern w:val="2"/>
          <w:sz w:val="24"/>
          <w:lang w:eastAsia="en-US"/>
          <w14:ligatures w14:val="standardContextual"/>
        </w:rPr>
        <w:drawing>
          <wp:inline distT="0" distB="0" distL="0" distR="0" wp14:anchorId="3CDB08F7" wp14:editId="13EEEBD6">
            <wp:extent cx="5181600" cy="3533140"/>
            <wp:effectExtent l="0" t="0" r="0" b="0"/>
            <wp:docPr id="554252923"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188022" cy="3537519"/>
                    </a:xfrm>
                    <a:prstGeom prst="rect">
                      <a:avLst/>
                    </a:prstGeom>
                    <a:noFill/>
                    <a:ln>
                      <a:noFill/>
                    </a:ln>
                  </pic:spPr>
                </pic:pic>
              </a:graphicData>
            </a:graphic>
          </wp:inline>
        </w:drawing>
      </w:r>
      <w:r w:rsidRPr="007C5A6E">
        <w:rPr>
          <w:rFonts w:ascii="Times New Roman" w:eastAsiaTheme="minorHAnsi" w:hAnsi="Times New Roman" w:cstheme="minorBidi"/>
          <w:kern w:val="2"/>
          <w:sz w:val="24"/>
          <w:lang w:eastAsia="en-US"/>
          <w14:ligatures w14:val="standardContextual"/>
        </w:rPr>
        <w:t xml:space="preserve"> </w:t>
      </w:r>
    </w:p>
    <w:p w14:paraId="5F1C7600" w14:textId="130AC92E" w:rsidR="004A2152" w:rsidRPr="007C5A6E" w:rsidRDefault="004A2152" w:rsidP="007379D5">
      <w:pPr>
        <w:pStyle w:val="Lgende"/>
        <w:spacing w:after="0"/>
        <w:rPr>
          <w:rFonts w:ascii="Times New Roman" w:eastAsiaTheme="majorEastAsia" w:hAnsi="Times New Roman" w:cstheme="majorBidi"/>
          <w:b/>
          <w:kern w:val="2"/>
          <w:sz w:val="26"/>
          <w:szCs w:val="24"/>
          <w:lang w:eastAsia="en-US"/>
          <w14:ligatures w14:val="standardContextual"/>
        </w:rPr>
      </w:pPr>
      <w:bookmarkStart w:id="123" w:name="_Toc183230860"/>
      <w:bookmarkStart w:id="124" w:name="_Toc183240653"/>
      <w:bookmarkStart w:id="125" w:name="_Toc183340393"/>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235203" w:rsidRPr="007C5A6E">
        <w:rPr>
          <w:rFonts w:ascii="Times New Roman" w:hAnsi="Times New Roman"/>
          <w:noProof/>
          <w:color w:val="auto"/>
          <w:sz w:val="24"/>
          <w:szCs w:val="24"/>
        </w:rPr>
        <w:t>14</w:t>
      </w:r>
      <w:r w:rsidRPr="007C5A6E">
        <w:rPr>
          <w:rFonts w:ascii="Times New Roman" w:hAnsi="Times New Roman"/>
          <w:color w:val="auto"/>
          <w:sz w:val="24"/>
          <w:szCs w:val="24"/>
        </w:rPr>
        <w:fldChar w:fldCharType="end"/>
      </w:r>
      <w:r w:rsidR="00D36755" w:rsidRPr="007C5A6E">
        <w:rPr>
          <w:rFonts w:ascii="Times New Roman" w:hAnsi="Times New Roman"/>
          <w:color w:val="auto"/>
          <w:sz w:val="24"/>
          <w:szCs w:val="24"/>
        </w:rPr>
        <w:t>.</w:t>
      </w:r>
      <w:r w:rsidRPr="007C5A6E">
        <w:rPr>
          <w:rFonts w:ascii="Times New Roman" w:eastAsiaTheme="minorHAnsi" w:hAnsi="Times New Roman"/>
          <w:color w:val="auto"/>
          <w:kern w:val="2"/>
          <w:sz w:val="24"/>
          <w:szCs w:val="24"/>
          <w:lang w:eastAsia="en-US"/>
          <w14:ligatures w14:val="standardContextual"/>
        </w:rPr>
        <w:t xml:space="preserve"> Carte de migration des isohyètes 600 mm et 900 mm pour les périodes 1931-1960, 1951-1980, 1961-1990, 1971-2000, 1981-2010, et 1991-2020.</w:t>
      </w:r>
      <w:bookmarkEnd w:id="123"/>
      <w:bookmarkEnd w:id="124"/>
      <w:bookmarkEnd w:id="125"/>
      <w:r w:rsidRPr="007C5A6E">
        <w:rPr>
          <w:rFonts w:ascii="Times New Roman" w:eastAsiaTheme="minorHAnsi" w:hAnsi="Times New Roman" w:cstheme="minorBidi"/>
          <w:kern w:val="2"/>
          <w:sz w:val="24"/>
          <w:lang w:eastAsia="en-US"/>
          <w14:ligatures w14:val="standardContextual"/>
        </w:rPr>
        <w:br w:type="page"/>
      </w:r>
    </w:p>
    <w:p w14:paraId="61E7B870" w14:textId="77777777" w:rsidR="004A2152" w:rsidRPr="007C5A6E" w:rsidRDefault="004A2152" w:rsidP="00684FF8">
      <w:pPr>
        <w:pStyle w:val="Titre4"/>
      </w:pPr>
      <w:bookmarkStart w:id="126" w:name="_Toc182582645"/>
      <w:bookmarkStart w:id="127" w:name="_Toc183340041"/>
      <w:r w:rsidRPr="007C5A6E">
        <w:t>La migration des isothermes</w:t>
      </w:r>
      <w:bookmarkEnd w:id="126"/>
      <w:bookmarkEnd w:id="127"/>
    </w:p>
    <w:p w14:paraId="119B83BF" w14:textId="77777777" w:rsidR="004A2152" w:rsidRPr="007C5A6E" w:rsidRDefault="004A2152" w:rsidP="004A2152">
      <w:pPr>
        <w:spacing w:after="0" w:line="240" w:lineRule="auto"/>
        <w:rPr>
          <w:rFonts w:ascii="Times New Roman" w:eastAsiaTheme="minorHAnsi" w:hAnsi="Times New Roman" w:cstheme="minorBidi"/>
          <w:kern w:val="2"/>
          <w:sz w:val="24"/>
          <w:lang w:eastAsia="en-US"/>
          <w14:ligatures w14:val="standardContextual"/>
        </w:rPr>
      </w:pPr>
    </w:p>
    <w:p w14:paraId="1619EED0" w14:textId="31A9F75A" w:rsidR="004A2152" w:rsidRPr="007C5A6E" w:rsidRDefault="004A2152" w:rsidP="004A2152">
      <w:pPr>
        <w:spacing w:after="0" w:line="240" w:lineRule="auto"/>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La Figure</w:t>
      </w:r>
      <w:r w:rsidR="001F18F0" w:rsidRPr="007C5A6E">
        <w:rPr>
          <w:rFonts w:ascii="Times New Roman" w:eastAsiaTheme="minorHAnsi" w:hAnsi="Times New Roman" w:cstheme="minorBidi"/>
          <w:kern w:val="2"/>
          <w:sz w:val="24"/>
          <w:lang w:eastAsia="en-US"/>
          <w14:ligatures w14:val="standardContextual"/>
        </w:rPr>
        <w:t xml:space="preserve"> </w:t>
      </w:r>
      <w:r w:rsidR="00235203" w:rsidRPr="007C5A6E">
        <w:rPr>
          <w:rFonts w:ascii="Times New Roman" w:eastAsiaTheme="minorHAnsi" w:hAnsi="Times New Roman" w:cstheme="minorBidi"/>
          <w:kern w:val="2"/>
          <w:sz w:val="24"/>
          <w:lang w:eastAsia="en-US"/>
          <w14:ligatures w14:val="standardContextual"/>
        </w:rPr>
        <w:t xml:space="preserve">15 </w:t>
      </w:r>
      <w:r w:rsidRPr="007C5A6E">
        <w:rPr>
          <w:rFonts w:ascii="Times New Roman" w:eastAsiaTheme="minorHAnsi" w:hAnsi="Times New Roman" w:cstheme="minorBidi"/>
          <w:kern w:val="2"/>
          <w:sz w:val="24"/>
          <w:lang w:eastAsia="en-US"/>
          <w14:ligatures w14:val="standardContextual"/>
        </w:rPr>
        <w:t>montre les positions de 4 isothermes calculées sur 3 périodes normales décalées de 10 ans.</w:t>
      </w:r>
    </w:p>
    <w:p w14:paraId="7BEB4C6B" w14:textId="77777777" w:rsidR="004A2152" w:rsidRPr="007C5A6E" w:rsidRDefault="004A2152" w:rsidP="004A2152">
      <w:pPr>
        <w:spacing w:after="0" w:line="240" w:lineRule="auto"/>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noProof/>
          <w:kern w:val="2"/>
          <w:sz w:val="24"/>
          <w:lang w:eastAsia="en-US"/>
          <w14:ligatures w14:val="standardContextual"/>
        </w:rPr>
        <w:drawing>
          <wp:inline distT="0" distB="0" distL="0" distR="0" wp14:anchorId="59707261" wp14:editId="09CE6892">
            <wp:extent cx="5972810" cy="4385945"/>
            <wp:effectExtent l="0" t="0" r="8890" b="0"/>
            <wp:docPr id="40152022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972810" cy="4385945"/>
                    </a:xfrm>
                    <a:prstGeom prst="rect">
                      <a:avLst/>
                    </a:prstGeom>
                    <a:noFill/>
                    <a:ln>
                      <a:noFill/>
                    </a:ln>
                  </pic:spPr>
                </pic:pic>
              </a:graphicData>
            </a:graphic>
          </wp:inline>
        </w:drawing>
      </w:r>
    </w:p>
    <w:p w14:paraId="0CDFA12E" w14:textId="6082F416" w:rsidR="004A2152" w:rsidRPr="007C5A6E" w:rsidRDefault="004A2152" w:rsidP="004A2152">
      <w:pPr>
        <w:pStyle w:val="Lgende"/>
        <w:spacing w:after="0"/>
        <w:jc w:val="both"/>
        <w:rPr>
          <w:rFonts w:ascii="Times New Roman" w:hAnsi="Times New Roman"/>
          <w:color w:val="auto"/>
          <w:sz w:val="24"/>
          <w:szCs w:val="24"/>
        </w:rPr>
      </w:pPr>
      <w:bookmarkStart w:id="128" w:name="_Toc183230861"/>
      <w:bookmarkStart w:id="129" w:name="_Toc183240654"/>
      <w:bookmarkStart w:id="130" w:name="_Toc183340394"/>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235203" w:rsidRPr="007C5A6E">
        <w:rPr>
          <w:rFonts w:ascii="Times New Roman" w:hAnsi="Times New Roman"/>
          <w:noProof/>
          <w:color w:val="auto"/>
          <w:sz w:val="24"/>
          <w:szCs w:val="24"/>
        </w:rPr>
        <w:t>15</w:t>
      </w:r>
      <w:r w:rsidRPr="007C5A6E">
        <w:rPr>
          <w:rFonts w:ascii="Times New Roman" w:hAnsi="Times New Roman"/>
          <w:color w:val="auto"/>
          <w:sz w:val="24"/>
          <w:szCs w:val="24"/>
        </w:rPr>
        <w:fldChar w:fldCharType="end"/>
      </w:r>
      <w:r w:rsidR="001F18F0" w:rsidRPr="007C5A6E">
        <w:rPr>
          <w:rFonts w:ascii="Times New Roman" w:hAnsi="Times New Roman"/>
          <w:color w:val="auto"/>
          <w:sz w:val="24"/>
          <w:szCs w:val="24"/>
        </w:rPr>
        <w:t>.</w:t>
      </w:r>
      <w:r w:rsidRPr="007C5A6E">
        <w:rPr>
          <w:rFonts w:ascii="Times New Roman" w:hAnsi="Times New Roman"/>
          <w:color w:val="auto"/>
          <w:sz w:val="24"/>
          <w:szCs w:val="24"/>
        </w:rPr>
        <w:t xml:space="preserve"> Carte de migration des isothermes 27,5°C ; 28°C ; 28,5°C ; 29°C pour les périodes 1971-2000, 1981-2010, et 1991-2020.</w:t>
      </w:r>
      <w:bookmarkEnd w:id="128"/>
      <w:bookmarkEnd w:id="129"/>
      <w:bookmarkEnd w:id="130"/>
    </w:p>
    <w:p w14:paraId="7A37225F" w14:textId="77777777" w:rsidR="004A2152" w:rsidRPr="007C5A6E" w:rsidRDefault="004A2152" w:rsidP="004A2152">
      <w:pPr>
        <w:spacing w:after="0" w:line="240" w:lineRule="auto"/>
        <w:rPr>
          <w:rFonts w:ascii="Times New Roman" w:eastAsiaTheme="minorHAnsi" w:hAnsi="Times New Roman"/>
          <w:kern w:val="2"/>
          <w:sz w:val="24"/>
          <w:szCs w:val="24"/>
          <w:lang w:eastAsia="en-US"/>
          <w14:ligatures w14:val="standardContextual"/>
        </w:rPr>
      </w:pPr>
    </w:p>
    <w:p w14:paraId="302E8D59" w14:textId="77777777" w:rsidR="004A2152" w:rsidRPr="007C5A6E" w:rsidRDefault="004A2152" w:rsidP="004A2152">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On constate concomitamment le même phénomène que pour les isohyètes, mais en sens inverse : les fortes pluviométries annuelles se déplacent dans le même sens que les basses températures annuelles, et les faibles pluviométries se déplacent dans le même sens que les hautes températures.</w:t>
      </w:r>
    </w:p>
    <w:p w14:paraId="04F16C79" w14:textId="77777777" w:rsidR="004A2152" w:rsidRPr="007C5A6E" w:rsidRDefault="004A2152" w:rsidP="004A2152">
      <w:pPr>
        <w:spacing w:after="0" w:line="240" w:lineRule="auto"/>
        <w:rPr>
          <w:rFonts w:ascii="Times New Roman" w:eastAsiaTheme="minorHAnsi" w:hAnsi="Times New Roman"/>
          <w:kern w:val="2"/>
          <w:sz w:val="24"/>
          <w:szCs w:val="24"/>
          <w:lang w:eastAsia="en-US"/>
          <w14:ligatures w14:val="standardContextual"/>
        </w:rPr>
      </w:pPr>
    </w:p>
    <w:p w14:paraId="2C44412A" w14:textId="77777777" w:rsidR="00392DB7" w:rsidRPr="007C5A6E" w:rsidRDefault="00392DB7" w:rsidP="00704956">
      <w:pPr>
        <w:pStyle w:val="Titre3"/>
      </w:pPr>
      <w:bookmarkStart w:id="131" w:name="_Toc182582646"/>
      <w:bookmarkStart w:id="132" w:name="_Toc183340042"/>
      <w:r w:rsidRPr="007C5A6E">
        <w:t>Évènements climatiques extrêmes au cours des 33 dernières années</w:t>
      </w:r>
      <w:bookmarkEnd w:id="131"/>
      <w:bookmarkEnd w:id="132"/>
      <w:r w:rsidRPr="007C5A6E">
        <w:t xml:space="preserve"> </w:t>
      </w:r>
    </w:p>
    <w:p w14:paraId="5184BEB9" w14:textId="77777777" w:rsidR="00392DB7" w:rsidRPr="007C5A6E" w:rsidRDefault="00392DB7" w:rsidP="00392DB7">
      <w:pPr>
        <w:spacing w:after="0" w:line="240" w:lineRule="auto"/>
        <w:rPr>
          <w:rFonts w:ascii="Times New Roman" w:eastAsiaTheme="minorHAnsi" w:hAnsi="Times New Roman"/>
          <w:kern w:val="2"/>
          <w:sz w:val="24"/>
          <w:szCs w:val="24"/>
          <w:lang w:eastAsia="en-US"/>
          <w14:ligatures w14:val="standardContextual"/>
        </w:rPr>
      </w:pPr>
    </w:p>
    <w:p w14:paraId="6C95B092" w14:textId="77777777" w:rsidR="00392DB7" w:rsidRPr="007C5A6E" w:rsidRDefault="00392DB7" w:rsidP="00684FF8">
      <w:pPr>
        <w:pStyle w:val="Titre4"/>
      </w:pPr>
      <w:bookmarkStart w:id="133" w:name="_Toc182582647"/>
      <w:bookmarkStart w:id="134" w:name="_Toc183340043"/>
      <w:r w:rsidRPr="007C5A6E">
        <w:t>Les pluies maximales journalières</w:t>
      </w:r>
      <w:bookmarkEnd w:id="133"/>
      <w:bookmarkEnd w:id="134"/>
    </w:p>
    <w:p w14:paraId="45A3CA6C" w14:textId="77777777" w:rsidR="00392DB7" w:rsidRPr="007C5A6E" w:rsidRDefault="00392DB7" w:rsidP="00BC2C84">
      <w:pPr>
        <w:spacing w:after="0" w:line="240" w:lineRule="auto"/>
        <w:rPr>
          <w:rFonts w:ascii="Times New Roman" w:eastAsiaTheme="minorHAnsi" w:hAnsi="Times New Roman" w:cstheme="minorBidi"/>
          <w:kern w:val="2"/>
          <w:sz w:val="24"/>
          <w:lang w:eastAsia="en-US"/>
          <w14:ligatures w14:val="standardContextual"/>
        </w:rPr>
      </w:pPr>
    </w:p>
    <w:p w14:paraId="27B80F31" w14:textId="30307492" w:rsidR="00BC2C84" w:rsidRPr="007C5A6E" w:rsidRDefault="00BC2C84" w:rsidP="00BC2C84">
      <w:pPr>
        <w:spacing w:after="0" w:line="240" w:lineRule="auto"/>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Concernant les pluies extrêmes, on relève (cf. figure 16) :</w:t>
      </w:r>
    </w:p>
    <w:p w14:paraId="5B2BA011" w14:textId="2ED01603" w:rsidR="00BC2C84" w:rsidRPr="007C5A6E" w:rsidRDefault="00BC2C84" w:rsidP="003F3821">
      <w:pPr>
        <w:pStyle w:val="Paragraphedeliste"/>
        <w:numPr>
          <w:ilvl w:val="0"/>
          <w:numId w:val="3"/>
        </w:numPr>
        <w:spacing w:after="0" w:line="240" w:lineRule="auto"/>
        <w:ind w:left="357" w:hanging="357"/>
        <w:rPr>
          <w:rFonts w:ascii="Times New Roman" w:eastAsiaTheme="minorHAnsi" w:hAnsi="Times New Roman" w:cstheme="minorBidi"/>
          <w:kern w:val="2"/>
          <w:sz w:val="24"/>
          <w:lang w:eastAsia="en-US"/>
          <w14:ligatures w14:val="standardContextual"/>
        </w:rPr>
      </w:pPr>
      <w:proofErr w:type="gramStart"/>
      <w:r w:rsidRPr="007C5A6E">
        <w:rPr>
          <w:rFonts w:ascii="Times New Roman" w:eastAsiaTheme="minorHAnsi" w:hAnsi="Times New Roman" w:cstheme="minorBidi"/>
          <w:kern w:val="2"/>
          <w:sz w:val="24"/>
          <w:lang w:eastAsia="en-US"/>
          <w14:ligatures w14:val="standardContextual"/>
        </w:rPr>
        <w:t>à</w:t>
      </w:r>
      <w:proofErr w:type="gramEnd"/>
      <w:r w:rsidRPr="007C5A6E">
        <w:rPr>
          <w:rFonts w:ascii="Times New Roman" w:eastAsiaTheme="minorHAnsi" w:hAnsi="Times New Roman" w:cstheme="minorBidi"/>
          <w:kern w:val="2"/>
          <w:sz w:val="24"/>
          <w:lang w:eastAsia="en-US"/>
          <w14:ligatures w14:val="standardContextual"/>
        </w:rPr>
        <w:t xml:space="preserve"> Dori 3 pluies extrêmes en 1994, 2005 et 2008, et 2 pluies diluviennes en 1990 et 2019.</w:t>
      </w:r>
    </w:p>
    <w:p w14:paraId="33A8A124" w14:textId="73300104" w:rsidR="00BC2C84" w:rsidRPr="007C5A6E" w:rsidRDefault="00BC2C84" w:rsidP="003F3821">
      <w:pPr>
        <w:pStyle w:val="Paragraphedeliste"/>
        <w:numPr>
          <w:ilvl w:val="0"/>
          <w:numId w:val="3"/>
        </w:numPr>
        <w:spacing w:after="0" w:line="240" w:lineRule="auto"/>
        <w:ind w:left="357" w:hanging="357"/>
        <w:rPr>
          <w:rFonts w:ascii="Times New Roman" w:eastAsiaTheme="minorHAnsi" w:hAnsi="Times New Roman" w:cstheme="minorBidi"/>
          <w:kern w:val="2"/>
          <w:sz w:val="24"/>
          <w:lang w:eastAsia="en-US"/>
          <w14:ligatures w14:val="standardContextual"/>
        </w:rPr>
      </w:pPr>
      <w:proofErr w:type="gramStart"/>
      <w:r w:rsidRPr="007C5A6E">
        <w:rPr>
          <w:rFonts w:ascii="Times New Roman" w:eastAsiaTheme="minorHAnsi" w:hAnsi="Times New Roman" w:cstheme="minorBidi"/>
          <w:kern w:val="2"/>
          <w:sz w:val="24"/>
          <w:lang w:eastAsia="en-US"/>
          <w14:ligatures w14:val="standardContextual"/>
        </w:rPr>
        <w:t>à</w:t>
      </w:r>
      <w:proofErr w:type="gramEnd"/>
      <w:r w:rsidRPr="007C5A6E">
        <w:rPr>
          <w:rFonts w:ascii="Times New Roman" w:eastAsiaTheme="minorHAnsi" w:hAnsi="Times New Roman" w:cstheme="minorBidi"/>
          <w:kern w:val="2"/>
          <w:sz w:val="24"/>
          <w:lang w:eastAsia="en-US"/>
          <w14:ligatures w14:val="standardContextual"/>
        </w:rPr>
        <w:t xml:space="preserve"> Ouagadougou 3 pluies extrêmes en 1991, 2007 et 2009, et 3 pluies diluviennes en 2016, 2017 et 2019.</w:t>
      </w:r>
    </w:p>
    <w:p w14:paraId="673AAA4F" w14:textId="132C28F0" w:rsidR="00BC2C84" w:rsidRPr="007C5A6E" w:rsidRDefault="00BC2C84" w:rsidP="003F3821">
      <w:pPr>
        <w:pStyle w:val="Paragraphedeliste"/>
        <w:numPr>
          <w:ilvl w:val="0"/>
          <w:numId w:val="3"/>
        </w:numPr>
        <w:spacing w:after="0" w:line="240" w:lineRule="auto"/>
        <w:ind w:left="357" w:hanging="357"/>
        <w:rPr>
          <w:rFonts w:ascii="Times New Roman" w:eastAsiaTheme="minorHAnsi" w:hAnsi="Times New Roman" w:cstheme="minorBidi"/>
          <w:kern w:val="2"/>
          <w:sz w:val="24"/>
          <w:lang w:eastAsia="en-US"/>
          <w14:ligatures w14:val="standardContextual"/>
        </w:rPr>
      </w:pPr>
      <w:proofErr w:type="gramStart"/>
      <w:r w:rsidRPr="007C5A6E">
        <w:rPr>
          <w:rFonts w:ascii="Times New Roman" w:eastAsiaTheme="minorHAnsi" w:hAnsi="Times New Roman" w:cstheme="minorBidi"/>
          <w:kern w:val="2"/>
          <w:sz w:val="24"/>
          <w:lang w:eastAsia="en-US"/>
          <w14:ligatures w14:val="standardContextual"/>
        </w:rPr>
        <w:t>à</w:t>
      </w:r>
      <w:proofErr w:type="gramEnd"/>
      <w:r w:rsidRPr="007C5A6E">
        <w:rPr>
          <w:rFonts w:ascii="Times New Roman" w:eastAsiaTheme="minorHAnsi" w:hAnsi="Times New Roman" w:cstheme="minorBidi"/>
          <w:kern w:val="2"/>
          <w:sz w:val="24"/>
          <w:lang w:eastAsia="en-US"/>
          <w14:ligatures w14:val="standardContextual"/>
        </w:rPr>
        <w:t xml:space="preserve"> Bobo-Dioulasso 3 pluies extrêmes en 2010, 2015 et 2019, et 4 pluies diluviennes en 1995, 2003, 2007 et 2016.</w:t>
      </w:r>
    </w:p>
    <w:p w14:paraId="50A4766F" w14:textId="337C07DF" w:rsidR="00BC2C84" w:rsidRPr="007C5A6E" w:rsidRDefault="00BC2C84" w:rsidP="003F3821">
      <w:pPr>
        <w:pStyle w:val="Paragraphedeliste"/>
        <w:numPr>
          <w:ilvl w:val="0"/>
          <w:numId w:val="3"/>
        </w:numPr>
        <w:spacing w:after="0" w:line="240" w:lineRule="auto"/>
        <w:ind w:left="357" w:hanging="357"/>
        <w:rPr>
          <w:rFonts w:ascii="Times New Roman" w:eastAsiaTheme="minorHAnsi" w:hAnsi="Times New Roman" w:cstheme="minorBidi"/>
          <w:kern w:val="2"/>
          <w:sz w:val="24"/>
          <w:lang w:eastAsia="en-US"/>
          <w14:ligatures w14:val="standardContextual"/>
        </w:rPr>
      </w:pPr>
      <w:proofErr w:type="gramStart"/>
      <w:r w:rsidRPr="007C5A6E">
        <w:rPr>
          <w:rFonts w:ascii="Times New Roman" w:eastAsiaTheme="minorHAnsi" w:hAnsi="Times New Roman" w:cstheme="minorBidi"/>
          <w:kern w:val="2"/>
          <w:sz w:val="24"/>
          <w:lang w:eastAsia="en-US"/>
          <w14:ligatures w14:val="standardContextual"/>
        </w:rPr>
        <w:t>à</w:t>
      </w:r>
      <w:proofErr w:type="gramEnd"/>
      <w:r w:rsidRPr="007C5A6E">
        <w:rPr>
          <w:rFonts w:ascii="Times New Roman" w:eastAsiaTheme="minorHAnsi" w:hAnsi="Times New Roman" w:cstheme="minorBidi"/>
          <w:kern w:val="2"/>
          <w:sz w:val="24"/>
          <w:lang w:eastAsia="en-US"/>
          <w14:ligatures w14:val="standardContextual"/>
        </w:rPr>
        <w:t xml:space="preserve"> Fada </w:t>
      </w:r>
      <w:r w:rsidR="00940B1A" w:rsidRPr="007C5A6E">
        <w:rPr>
          <w:rFonts w:ascii="Times New Roman" w:eastAsiaTheme="minorHAnsi" w:hAnsi="Times New Roman" w:cstheme="minorBidi"/>
          <w:kern w:val="2"/>
          <w:sz w:val="24"/>
          <w:lang w:eastAsia="en-US"/>
          <w14:ligatures w14:val="standardContextual"/>
        </w:rPr>
        <w:t>N’Gourma</w:t>
      </w:r>
      <w:r w:rsidRPr="007C5A6E">
        <w:rPr>
          <w:rFonts w:ascii="Times New Roman" w:eastAsiaTheme="minorHAnsi" w:hAnsi="Times New Roman" w:cstheme="minorBidi"/>
          <w:kern w:val="2"/>
          <w:sz w:val="24"/>
          <w:lang w:eastAsia="en-US"/>
          <w14:ligatures w14:val="standardContextual"/>
        </w:rPr>
        <w:t>, 3 pluies extrêmes en 1991, 1994 et 2020, et 4 pluies diluviennes en 2005, 2011, 2012, et 2022.</w:t>
      </w:r>
    </w:p>
    <w:p w14:paraId="50606314" w14:textId="77777777" w:rsidR="00BC2C84" w:rsidRPr="007C5A6E" w:rsidRDefault="00BC2C84" w:rsidP="003F3821">
      <w:pPr>
        <w:pStyle w:val="Paragraphedeliste"/>
        <w:numPr>
          <w:ilvl w:val="0"/>
          <w:numId w:val="3"/>
        </w:numPr>
        <w:spacing w:after="0" w:line="240" w:lineRule="auto"/>
        <w:ind w:left="357" w:hanging="357"/>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C’est seulement à Bobo-Dioulasso que l’on décèle une tendance à la hausse de la pluie maximale journalière.</w:t>
      </w:r>
    </w:p>
    <w:p w14:paraId="16DFEDF2" w14:textId="77777777" w:rsidR="00BC2C84" w:rsidRPr="007C5A6E" w:rsidRDefault="00BC2C84" w:rsidP="00392DB7">
      <w:pPr>
        <w:spacing w:after="0" w:line="240" w:lineRule="auto"/>
        <w:rPr>
          <w:rFonts w:ascii="Times New Roman" w:eastAsiaTheme="minorHAnsi" w:hAnsi="Times New Roman" w:cstheme="minorBidi"/>
          <w:kern w:val="2"/>
          <w:sz w:val="24"/>
          <w:lang w:eastAsia="en-US"/>
          <w14:ligatures w14:val="standardContextual"/>
        </w:rPr>
      </w:pPr>
    </w:p>
    <w:tbl>
      <w:tblPr>
        <w:tblStyle w:val="Grilledutableau"/>
        <w:tblW w:w="9634" w:type="dxa"/>
        <w:tblLayout w:type="fixed"/>
        <w:tblCellMar>
          <w:left w:w="0" w:type="dxa"/>
          <w:right w:w="0" w:type="dxa"/>
        </w:tblCellMar>
        <w:tblLook w:val="04A0" w:firstRow="1" w:lastRow="0" w:firstColumn="1" w:lastColumn="0" w:noHBand="0" w:noVBand="1"/>
      </w:tblPr>
      <w:tblGrid>
        <w:gridCol w:w="4698"/>
        <w:gridCol w:w="4936"/>
      </w:tblGrid>
      <w:tr w:rsidR="00392DB7" w:rsidRPr="007C5A6E" w14:paraId="5FD23F5C" w14:textId="77777777" w:rsidTr="00457BED">
        <w:trPr>
          <w:cantSplit/>
          <w:trHeight w:val="3458"/>
        </w:trPr>
        <w:tc>
          <w:tcPr>
            <w:tcW w:w="4698" w:type="dxa"/>
          </w:tcPr>
          <w:p w14:paraId="379974F7"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57728" behindDoc="0" locked="0" layoutInCell="1" allowOverlap="1" wp14:anchorId="14B50EFE" wp14:editId="010CDAE1">
                      <wp:simplePos x="0" y="0"/>
                      <wp:positionH relativeFrom="column">
                        <wp:posOffset>894080</wp:posOffset>
                      </wp:positionH>
                      <wp:positionV relativeFrom="paragraph">
                        <wp:posOffset>283845</wp:posOffset>
                      </wp:positionV>
                      <wp:extent cx="400050" cy="285750"/>
                      <wp:effectExtent l="0" t="0" r="19050" b="19050"/>
                      <wp:wrapNone/>
                      <wp:docPr id="1311720054" name="Zone de texte 47"/>
                      <wp:cNvGraphicFramePr/>
                      <a:graphic xmlns:a="http://schemas.openxmlformats.org/drawingml/2006/main">
                        <a:graphicData uri="http://schemas.microsoft.com/office/word/2010/wordprocessingShape">
                          <wps:wsp>
                            <wps:cNvSpPr txBox="1"/>
                            <wps:spPr>
                              <a:xfrm>
                                <a:off x="0" y="0"/>
                                <a:ext cx="400050" cy="285750"/>
                              </a:xfrm>
                              <a:prstGeom prst="rect">
                                <a:avLst/>
                              </a:prstGeom>
                              <a:solidFill>
                                <a:sysClr val="window" lastClr="FFFFFF"/>
                              </a:solidFill>
                              <a:ln w="6350">
                                <a:solidFill>
                                  <a:prstClr val="black"/>
                                </a:solidFill>
                              </a:ln>
                            </wps:spPr>
                            <wps:txbx>
                              <w:txbxContent>
                                <w:p w14:paraId="659ADBAF" w14:textId="77777777" w:rsidR="00392DB7" w:rsidRPr="00AE3212" w:rsidRDefault="00392DB7" w:rsidP="00392DB7">
                                  <w:pPr>
                                    <w:jc w:val="center"/>
                                    <w:rPr>
                                      <w:b/>
                                      <w:bCs/>
                                    </w:rPr>
                                  </w:pPr>
                                  <w:r>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B50EFE" id="Zone de texte 47" o:spid="_x0000_s1071" type="#_x0000_t202" style="position:absolute;margin-left:70.4pt;margin-top:22.35pt;width:31.5pt;height:22.5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" fillcolor="window" strokeweight=".5pt">
                      <v:textbox>
                        <w:txbxContent>
                          <w:p w14:paraId="659ADBAF" w14:textId="77777777" w:rsidR="00392DB7" w:rsidRPr="00AE3212" w:rsidRDefault="00392DB7" w:rsidP="00392DB7">
                            <w:pPr>
                              <w:jc w:val="center"/>
                              <w:rPr>
                                <w:b/>
                                <w:bCs/>
                              </w:rPr>
                            </w:pPr>
                            <w:r>
                              <w:rPr>
                                <w:b/>
                                <w:bCs/>
                              </w:rPr>
                              <w:t>A</w:t>
                            </w:r>
                          </w:p>
                        </w:txbxContent>
                      </v:textbox>
                    </v:shape>
                  </w:pict>
                </mc:Fallback>
              </mc:AlternateContent>
            </w:r>
            <w:r w:rsidRPr="007C5A6E">
              <w:rPr>
                <w:rFonts w:ascii="Times New Roman" w:hAnsi="Times New Roman"/>
                <w:noProof/>
                <w:sz w:val="24"/>
              </w:rPr>
              <w:drawing>
                <wp:inline distT="0" distB="0" distL="0" distR="0" wp14:anchorId="65358A7B" wp14:editId="054FE352">
                  <wp:extent cx="2976880" cy="2162175"/>
                  <wp:effectExtent l="0" t="0" r="0" b="9525"/>
                  <wp:docPr id="1229849403"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849403" name="Image 1229849403"/>
                          <pic:cNvPicPr/>
                        </pic:nvPicPr>
                        <pic:blipFill>
                          <a:blip r:embed="rId64" cstate="email">
                            <a:extLst>
                              <a:ext uri="{28A0092B-C50C-407E-A947-70E740481C1C}">
                                <a14:useLocalDpi xmlns:a14="http://schemas.microsoft.com/office/drawing/2010/main"/>
                              </a:ext>
                            </a:extLst>
                          </a:blip>
                          <a:stretch>
                            <a:fillRect/>
                          </a:stretch>
                        </pic:blipFill>
                        <pic:spPr>
                          <a:xfrm>
                            <a:off x="0" y="0"/>
                            <a:ext cx="2976880" cy="2162175"/>
                          </a:xfrm>
                          <a:prstGeom prst="rect">
                            <a:avLst/>
                          </a:prstGeom>
                        </pic:spPr>
                      </pic:pic>
                    </a:graphicData>
                  </a:graphic>
                </wp:inline>
              </w:drawing>
            </w:r>
          </w:p>
        </w:tc>
        <w:tc>
          <w:tcPr>
            <w:tcW w:w="4936" w:type="dxa"/>
          </w:tcPr>
          <w:p w14:paraId="1528F882"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58752" behindDoc="0" locked="0" layoutInCell="1" allowOverlap="1" wp14:anchorId="10443ADC" wp14:editId="2492BF33">
                      <wp:simplePos x="0" y="0"/>
                      <wp:positionH relativeFrom="column">
                        <wp:posOffset>810895</wp:posOffset>
                      </wp:positionH>
                      <wp:positionV relativeFrom="paragraph">
                        <wp:posOffset>284480</wp:posOffset>
                      </wp:positionV>
                      <wp:extent cx="400050" cy="285750"/>
                      <wp:effectExtent l="0" t="0" r="19050" b="19050"/>
                      <wp:wrapNone/>
                      <wp:docPr id="2115355310" name="Zone de texte 47"/>
                      <wp:cNvGraphicFramePr/>
                      <a:graphic xmlns:a="http://schemas.openxmlformats.org/drawingml/2006/main">
                        <a:graphicData uri="http://schemas.microsoft.com/office/word/2010/wordprocessingShape">
                          <wps:wsp>
                            <wps:cNvSpPr txBox="1"/>
                            <wps:spPr>
                              <a:xfrm>
                                <a:off x="0" y="0"/>
                                <a:ext cx="400050" cy="285750"/>
                              </a:xfrm>
                              <a:prstGeom prst="rect">
                                <a:avLst/>
                              </a:prstGeom>
                              <a:solidFill>
                                <a:sysClr val="window" lastClr="FFFFFF"/>
                              </a:solidFill>
                              <a:ln w="6350">
                                <a:solidFill>
                                  <a:prstClr val="black"/>
                                </a:solidFill>
                              </a:ln>
                            </wps:spPr>
                            <wps:txbx>
                              <w:txbxContent>
                                <w:p w14:paraId="4637393B" w14:textId="77777777" w:rsidR="00392DB7" w:rsidRPr="00AE3212" w:rsidRDefault="00392DB7" w:rsidP="00392DB7">
                                  <w:pPr>
                                    <w:jc w:val="center"/>
                                    <w:rPr>
                                      <w:b/>
                                      <w:bCs/>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443ADC" id="_x0000_s1072" type="#_x0000_t202" style="position:absolute;margin-left:63.85pt;margin-top:22.4pt;width:31.5pt;height:22.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" fillcolor="window" strokeweight=".5pt">
                      <v:textbox>
                        <w:txbxContent>
                          <w:p w14:paraId="4637393B" w14:textId="77777777" w:rsidR="00392DB7" w:rsidRPr="00AE3212" w:rsidRDefault="00392DB7" w:rsidP="00392DB7">
                            <w:pPr>
                              <w:jc w:val="center"/>
                              <w:rPr>
                                <w:b/>
                                <w:bCs/>
                              </w:rPr>
                            </w:pPr>
                            <w:r>
                              <w:rPr>
                                <w:b/>
                                <w:bCs/>
                              </w:rPr>
                              <w:t>B</w:t>
                            </w:r>
                          </w:p>
                        </w:txbxContent>
                      </v:textbox>
                    </v:shape>
                  </w:pict>
                </mc:Fallback>
              </mc:AlternateContent>
            </w:r>
            <w:r w:rsidRPr="007C5A6E">
              <w:rPr>
                <w:rFonts w:ascii="Times New Roman" w:hAnsi="Times New Roman"/>
                <w:noProof/>
                <w:sz w:val="24"/>
              </w:rPr>
              <w:drawing>
                <wp:inline distT="0" distB="0" distL="0" distR="0" wp14:anchorId="2CBDC0A0" wp14:editId="40F154D2">
                  <wp:extent cx="3128010" cy="2209800"/>
                  <wp:effectExtent l="0" t="0" r="0" b="0"/>
                  <wp:docPr id="1521325373"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325373" name="Image 1521325373"/>
                          <pic:cNvPicPr/>
                        </pic:nvPicPr>
                        <pic:blipFill>
                          <a:blip r:embed="rId65" cstate="email">
                            <a:extLst>
                              <a:ext uri="{28A0092B-C50C-407E-A947-70E740481C1C}">
                                <a14:useLocalDpi xmlns:a14="http://schemas.microsoft.com/office/drawing/2010/main"/>
                              </a:ext>
                            </a:extLst>
                          </a:blip>
                          <a:stretch>
                            <a:fillRect/>
                          </a:stretch>
                        </pic:blipFill>
                        <pic:spPr>
                          <a:xfrm>
                            <a:off x="0" y="0"/>
                            <a:ext cx="3128010" cy="2209800"/>
                          </a:xfrm>
                          <a:prstGeom prst="rect">
                            <a:avLst/>
                          </a:prstGeom>
                        </pic:spPr>
                      </pic:pic>
                    </a:graphicData>
                  </a:graphic>
                </wp:inline>
              </w:drawing>
            </w:r>
          </w:p>
        </w:tc>
      </w:tr>
      <w:tr w:rsidR="00392DB7" w:rsidRPr="007C5A6E" w14:paraId="6FAA893E" w14:textId="77777777" w:rsidTr="00457BED">
        <w:trPr>
          <w:cantSplit/>
          <w:trHeight w:val="3458"/>
        </w:trPr>
        <w:tc>
          <w:tcPr>
            <w:tcW w:w="4698" w:type="dxa"/>
          </w:tcPr>
          <w:p w14:paraId="1FD585BD"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59776" behindDoc="0" locked="0" layoutInCell="1" allowOverlap="1" wp14:anchorId="633C2375" wp14:editId="152929D5">
                      <wp:simplePos x="0" y="0"/>
                      <wp:positionH relativeFrom="column">
                        <wp:posOffset>1136650</wp:posOffset>
                      </wp:positionH>
                      <wp:positionV relativeFrom="paragraph">
                        <wp:posOffset>294005</wp:posOffset>
                      </wp:positionV>
                      <wp:extent cx="400050" cy="285750"/>
                      <wp:effectExtent l="0" t="0" r="19050" b="19050"/>
                      <wp:wrapNone/>
                      <wp:docPr id="1038438619" name="Zone de texte 47"/>
                      <wp:cNvGraphicFramePr/>
                      <a:graphic xmlns:a="http://schemas.openxmlformats.org/drawingml/2006/main">
                        <a:graphicData uri="http://schemas.microsoft.com/office/word/2010/wordprocessingShape">
                          <wps:wsp>
                            <wps:cNvSpPr txBox="1"/>
                            <wps:spPr>
                              <a:xfrm>
                                <a:off x="0" y="0"/>
                                <a:ext cx="400050" cy="285750"/>
                              </a:xfrm>
                              <a:prstGeom prst="rect">
                                <a:avLst/>
                              </a:prstGeom>
                              <a:solidFill>
                                <a:sysClr val="window" lastClr="FFFFFF"/>
                              </a:solidFill>
                              <a:ln w="6350">
                                <a:solidFill>
                                  <a:prstClr val="black"/>
                                </a:solidFill>
                              </a:ln>
                            </wps:spPr>
                            <wps:txbx>
                              <w:txbxContent>
                                <w:p w14:paraId="154E03FC" w14:textId="77777777" w:rsidR="00392DB7" w:rsidRPr="00AE3212" w:rsidRDefault="00392DB7" w:rsidP="00392DB7">
                                  <w:pPr>
                                    <w:jc w:val="center"/>
                                    <w:rPr>
                                      <w:b/>
                                      <w:bCs/>
                                    </w:rPr>
                                  </w:pPr>
                                  <w:r>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3C2375" id="_x0000_s1073" type="#_x0000_t202" style="position:absolute;margin-left:89.5pt;margin-top:23.15pt;width:31.5pt;height:22.5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" fillcolor="window" strokeweight=".5pt">
                      <v:textbox>
                        <w:txbxContent>
                          <w:p w14:paraId="154E03FC" w14:textId="77777777" w:rsidR="00392DB7" w:rsidRPr="00AE3212" w:rsidRDefault="00392DB7" w:rsidP="00392DB7">
                            <w:pPr>
                              <w:jc w:val="center"/>
                              <w:rPr>
                                <w:b/>
                                <w:bCs/>
                              </w:rPr>
                            </w:pPr>
                            <w:r>
                              <w:rPr>
                                <w:b/>
                                <w:bCs/>
                              </w:rPr>
                              <w:t>C</w:t>
                            </w:r>
                          </w:p>
                        </w:txbxContent>
                      </v:textbox>
                    </v:shape>
                  </w:pict>
                </mc:Fallback>
              </mc:AlternateContent>
            </w:r>
            <w:r w:rsidRPr="007C5A6E">
              <w:rPr>
                <w:rFonts w:ascii="Times New Roman" w:hAnsi="Times New Roman"/>
                <w:noProof/>
                <w:sz w:val="24"/>
              </w:rPr>
              <w:t xml:space="preserve"> </w:t>
            </w:r>
            <w:r w:rsidRPr="007C5A6E">
              <w:rPr>
                <w:rFonts w:ascii="Times New Roman" w:hAnsi="Times New Roman"/>
                <w:noProof/>
                <w:sz w:val="24"/>
              </w:rPr>
              <w:drawing>
                <wp:inline distT="0" distB="0" distL="0" distR="0" wp14:anchorId="67367A30" wp14:editId="1F209B44">
                  <wp:extent cx="2976880" cy="2162175"/>
                  <wp:effectExtent l="0" t="0" r="0" b="9525"/>
                  <wp:docPr id="415790302"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790302" name="Image 415790302"/>
                          <pic:cNvPicPr/>
                        </pic:nvPicPr>
                        <pic:blipFill>
                          <a:blip r:embed="rId66" cstate="email">
                            <a:extLst>
                              <a:ext uri="{28A0092B-C50C-407E-A947-70E740481C1C}">
                                <a14:useLocalDpi xmlns:a14="http://schemas.microsoft.com/office/drawing/2010/main"/>
                              </a:ext>
                            </a:extLst>
                          </a:blip>
                          <a:stretch>
                            <a:fillRect/>
                          </a:stretch>
                        </pic:blipFill>
                        <pic:spPr>
                          <a:xfrm>
                            <a:off x="0" y="0"/>
                            <a:ext cx="2976880" cy="2162175"/>
                          </a:xfrm>
                          <a:prstGeom prst="rect">
                            <a:avLst/>
                          </a:prstGeom>
                        </pic:spPr>
                      </pic:pic>
                    </a:graphicData>
                  </a:graphic>
                </wp:inline>
              </w:drawing>
            </w:r>
          </w:p>
        </w:tc>
        <w:tc>
          <w:tcPr>
            <w:tcW w:w="4936" w:type="dxa"/>
          </w:tcPr>
          <w:p w14:paraId="5D786AEA"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60800" behindDoc="0" locked="0" layoutInCell="1" allowOverlap="1" wp14:anchorId="34E466EE" wp14:editId="394D7CB9">
                      <wp:simplePos x="0" y="0"/>
                      <wp:positionH relativeFrom="column">
                        <wp:posOffset>1391920</wp:posOffset>
                      </wp:positionH>
                      <wp:positionV relativeFrom="paragraph">
                        <wp:posOffset>315595</wp:posOffset>
                      </wp:positionV>
                      <wp:extent cx="400050" cy="285750"/>
                      <wp:effectExtent l="0" t="0" r="19050" b="19050"/>
                      <wp:wrapNone/>
                      <wp:docPr id="39187376" name="Zone de texte 47"/>
                      <wp:cNvGraphicFramePr/>
                      <a:graphic xmlns:a="http://schemas.openxmlformats.org/drawingml/2006/main">
                        <a:graphicData uri="http://schemas.microsoft.com/office/word/2010/wordprocessingShape">
                          <wps:wsp>
                            <wps:cNvSpPr txBox="1"/>
                            <wps:spPr>
                              <a:xfrm>
                                <a:off x="0" y="0"/>
                                <a:ext cx="400050" cy="285750"/>
                              </a:xfrm>
                              <a:prstGeom prst="rect">
                                <a:avLst/>
                              </a:prstGeom>
                              <a:solidFill>
                                <a:sysClr val="window" lastClr="FFFFFF"/>
                              </a:solidFill>
                              <a:ln w="6350">
                                <a:solidFill>
                                  <a:prstClr val="black"/>
                                </a:solidFill>
                              </a:ln>
                            </wps:spPr>
                            <wps:txbx>
                              <w:txbxContent>
                                <w:p w14:paraId="0CB1C941" w14:textId="77777777" w:rsidR="00392DB7" w:rsidRPr="00AE3212" w:rsidRDefault="00392DB7" w:rsidP="00392DB7">
                                  <w:pPr>
                                    <w:jc w:val="center"/>
                                    <w:rPr>
                                      <w:b/>
                                      <w:bCs/>
                                    </w:rPr>
                                  </w:pPr>
                                  <w:r>
                                    <w:rPr>
                                      <w:b/>
                                      <w:b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E466EE" id="_x0000_s1074" type="#_x0000_t202" style="position:absolute;margin-left:109.6pt;margin-top:24.85pt;width:31.5pt;height:22.5pt;z-index:25166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" fillcolor="window" strokeweight=".5pt">
                      <v:textbox>
                        <w:txbxContent>
                          <w:p w14:paraId="0CB1C941" w14:textId="77777777" w:rsidR="00392DB7" w:rsidRPr="00AE3212" w:rsidRDefault="00392DB7" w:rsidP="00392DB7">
                            <w:pPr>
                              <w:jc w:val="center"/>
                              <w:rPr>
                                <w:b/>
                                <w:bCs/>
                              </w:rPr>
                            </w:pPr>
                            <w:r>
                              <w:rPr>
                                <w:b/>
                                <w:bCs/>
                              </w:rPr>
                              <w:t>D</w:t>
                            </w:r>
                          </w:p>
                        </w:txbxContent>
                      </v:textbox>
                    </v:shape>
                  </w:pict>
                </mc:Fallback>
              </mc:AlternateContent>
            </w:r>
            <w:r w:rsidRPr="007C5A6E">
              <w:rPr>
                <w:rFonts w:ascii="Times New Roman" w:hAnsi="Times New Roman"/>
                <w:noProof/>
                <w:sz w:val="24"/>
              </w:rPr>
              <w:drawing>
                <wp:inline distT="0" distB="0" distL="0" distR="0" wp14:anchorId="6CB68AE3" wp14:editId="1E398143">
                  <wp:extent cx="3128010" cy="2162175"/>
                  <wp:effectExtent l="0" t="0" r="0" b="9525"/>
                  <wp:docPr id="909181476"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3128010" cy="2162175"/>
                          </a:xfrm>
                          <a:prstGeom prst="rect">
                            <a:avLst/>
                          </a:prstGeom>
                          <a:noFill/>
                          <a:ln>
                            <a:noFill/>
                          </a:ln>
                        </pic:spPr>
                      </pic:pic>
                    </a:graphicData>
                  </a:graphic>
                </wp:inline>
              </w:drawing>
            </w:r>
          </w:p>
        </w:tc>
      </w:tr>
    </w:tbl>
    <w:p w14:paraId="7C60017C" w14:textId="10593C4C" w:rsidR="00392DB7" w:rsidRPr="007C5A6E" w:rsidRDefault="00BC2C84" w:rsidP="00BC2C84">
      <w:pPr>
        <w:pStyle w:val="Lgende"/>
        <w:spacing w:after="0"/>
        <w:jc w:val="both"/>
        <w:rPr>
          <w:rFonts w:ascii="Times New Roman" w:eastAsiaTheme="minorHAnsi" w:hAnsi="Times New Roman"/>
          <w:color w:val="auto"/>
          <w:kern w:val="2"/>
          <w:sz w:val="24"/>
          <w:szCs w:val="24"/>
          <w:lang w:eastAsia="en-US"/>
          <w14:ligatures w14:val="standardContextual"/>
        </w:rPr>
      </w:pPr>
      <w:bookmarkStart w:id="135" w:name="_Toc183230863"/>
      <w:bookmarkStart w:id="136" w:name="_Toc183240656"/>
      <w:bookmarkStart w:id="137" w:name="_Toc183340395"/>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235203" w:rsidRPr="007C5A6E">
        <w:rPr>
          <w:rFonts w:ascii="Times New Roman" w:hAnsi="Times New Roman"/>
          <w:noProof/>
          <w:color w:val="auto"/>
          <w:sz w:val="24"/>
          <w:szCs w:val="24"/>
        </w:rPr>
        <w:t>16</w:t>
      </w:r>
      <w:r w:rsidRPr="007C5A6E">
        <w:rPr>
          <w:rFonts w:ascii="Times New Roman" w:hAnsi="Times New Roman"/>
          <w:color w:val="auto"/>
          <w:sz w:val="24"/>
          <w:szCs w:val="24"/>
        </w:rPr>
        <w:fldChar w:fldCharType="end"/>
      </w:r>
      <w:r w:rsidR="004D6D9B" w:rsidRPr="007C5A6E">
        <w:rPr>
          <w:rFonts w:ascii="Times New Roman" w:eastAsiaTheme="minorHAnsi" w:hAnsi="Times New Roman"/>
          <w:color w:val="auto"/>
          <w:kern w:val="2"/>
          <w:sz w:val="24"/>
          <w:szCs w:val="24"/>
          <w:lang w:eastAsia="en-US"/>
          <w14:ligatures w14:val="standardContextual"/>
        </w:rPr>
        <w:t>.</w:t>
      </w:r>
      <w:r w:rsidR="00392DB7" w:rsidRPr="007C5A6E">
        <w:rPr>
          <w:rFonts w:ascii="Times New Roman" w:eastAsiaTheme="minorHAnsi" w:hAnsi="Times New Roman"/>
          <w:color w:val="auto"/>
          <w:kern w:val="2"/>
          <w:sz w:val="24"/>
          <w:szCs w:val="24"/>
          <w:lang w:eastAsia="en-US"/>
          <w14:ligatures w14:val="standardContextual"/>
        </w:rPr>
        <w:t xml:space="preserve"> Pluies maximales journalières à Dori (A), Ouagadougou (B), Bobo- Dioulasso (C), Fada </w:t>
      </w:r>
      <w:r w:rsidR="004D6D9B" w:rsidRPr="007C5A6E">
        <w:rPr>
          <w:rFonts w:ascii="Times New Roman" w:eastAsiaTheme="minorHAnsi" w:hAnsi="Times New Roman"/>
          <w:color w:val="auto"/>
          <w:kern w:val="2"/>
          <w:sz w:val="24"/>
          <w:szCs w:val="24"/>
          <w:lang w:eastAsia="en-US"/>
          <w14:ligatures w14:val="standardContextual"/>
        </w:rPr>
        <w:t>N’Gourma</w:t>
      </w:r>
      <w:r w:rsidR="00392DB7" w:rsidRPr="007C5A6E">
        <w:rPr>
          <w:rFonts w:ascii="Times New Roman" w:eastAsiaTheme="minorHAnsi" w:hAnsi="Times New Roman"/>
          <w:color w:val="auto"/>
          <w:kern w:val="2"/>
          <w:sz w:val="24"/>
          <w:szCs w:val="24"/>
          <w:lang w:eastAsia="en-US"/>
          <w14:ligatures w14:val="standardContextual"/>
        </w:rPr>
        <w:t xml:space="preserve"> (D).</w:t>
      </w:r>
      <w:bookmarkEnd w:id="135"/>
      <w:bookmarkEnd w:id="136"/>
      <w:bookmarkEnd w:id="137"/>
    </w:p>
    <w:p w14:paraId="0A25FCE5"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p>
    <w:p w14:paraId="7E925296" w14:textId="33145812" w:rsidR="00392DB7" w:rsidRPr="007C5A6E" w:rsidRDefault="00392DB7" w:rsidP="00684FF8">
      <w:pPr>
        <w:pStyle w:val="Titre4"/>
      </w:pPr>
      <w:bookmarkStart w:id="138" w:name="_Toc182582648"/>
      <w:bookmarkStart w:id="139" w:name="_Toc183340044"/>
      <w:r w:rsidRPr="007C5A6E">
        <w:t>Le</w:t>
      </w:r>
      <w:r w:rsidR="0021088B" w:rsidRPr="007C5A6E">
        <w:t xml:space="preserve">s </w:t>
      </w:r>
      <w:r w:rsidRPr="007C5A6E">
        <w:t>vagues de chaleur</w:t>
      </w:r>
      <w:bookmarkEnd w:id="138"/>
      <w:bookmarkEnd w:id="139"/>
    </w:p>
    <w:p w14:paraId="4E773795" w14:textId="77777777" w:rsidR="00392DB7" w:rsidRPr="007C5A6E" w:rsidRDefault="00392DB7" w:rsidP="0021088B">
      <w:pPr>
        <w:spacing w:after="0" w:line="240" w:lineRule="auto"/>
        <w:jc w:val="both"/>
        <w:rPr>
          <w:rFonts w:ascii="Times New Roman" w:eastAsiaTheme="minorHAnsi" w:hAnsi="Times New Roman" w:cstheme="minorBidi"/>
          <w:kern w:val="2"/>
          <w:sz w:val="24"/>
          <w:lang w:eastAsia="en-US"/>
          <w14:ligatures w14:val="standardContextual"/>
        </w:rPr>
      </w:pPr>
    </w:p>
    <w:p w14:paraId="4E9C28F8" w14:textId="77777777" w:rsidR="00392DB7" w:rsidRPr="007C5A6E" w:rsidRDefault="00392DB7" w:rsidP="0021088B">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Une vague de chaleur, est définie comme une période d'au moins trois jours consécutifs durant laquelle la température maximale quotidienne dépasse le 90e percentile des températures maximales historiques pour la même période de l'année (généralement calculée sur une période de référence d'au moins 30 ans).</w:t>
      </w:r>
    </w:p>
    <w:p w14:paraId="57DC83C4" w14:textId="77777777" w:rsidR="00392DB7" w:rsidRPr="007C5A6E" w:rsidRDefault="00392DB7" w:rsidP="0021088B">
      <w:pPr>
        <w:spacing w:after="0" w:line="240" w:lineRule="auto"/>
        <w:jc w:val="both"/>
        <w:rPr>
          <w:rFonts w:ascii="Times New Roman" w:eastAsiaTheme="minorHAnsi" w:hAnsi="Times New Roman" w:cstheme="minorBidi"/>
          <w:kern w:val="2"/>
          <w:sz w:val="24"/>
          <w:lang w:eastAsia="en-US"/>
          <w14:ligatures w14:val="standardContextual"/>
        </w:rPr>
      </w:pPr>
    </w:p>
    <w:p w14:paraId="41B7CF98" w14:textId="77777777" w:rsidR="00392DB7" w:rsidRPr="007C5A6E" w:rsidRDefault="00392DB7" w:rsidP="0021088B">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Selon la figure 17, le nombre de vagues de chaleur au départ plus élevé à Dori qu’ailleurs a une légère tendance à la baisse vers le niveau des autres stations qui elles ont une tendance à la hausse (bien prononcée pour Ouagadougou, modérée pour Bobo-Dioulasso et légère pour Boromo).</w:t>
      </w:r>
    </w:p>
    <w:p w14:paraId="43A3C872" w14:textId="77777777" w:rsidR="00392DB7" w:rsidRPr="007C5A6E" w:rsidRDefault="00392DB7" w:rsidP="0021088B">
      <w:pPr>
        <w:spacing w:after="0" w:line="240" w:lineRule="auto"/>
        <w:jc w:val="both"/>
        <w:rPr>
          <w:rFonts w:ascii="Times New Roman" w:eastAsiaTheme="minorHAnsi" w:hAnsi="Times New Roman" w:cstheme="minorBidi"/>
          <w:kern w:val="2"/>
          <w:sz w:val="24"/>
          <w:lang w:eastAsia="en-US"/>
          <w14:ligatures w14:val="standardContextual"/>
        </w:rPr>
      </w:pPr>
    </w:p>
    <w:tbl>
      <w:tblPr>
        <w:tblStyle w:val="Grilledutableau"/>
        <w:tblW w:w="9634" w:type="dxa"/>
        <w:tblLayout w:type="fixed"/>
        <w:tblCellMar>
          <w:left w:w="0" w:type="dxa"/>
          <w:right w:w="0" w:type="dxa"/>
        </w:tblCellMar>
        <w:tblLook w:val="04A0" w:firstRow="1" w:lastRow="0" w:firstColumn="1" w:lastColumn="0" w:noHBand="0" w:noVBand="1"/>
      </w:tblPr>
      <w:tblGrid>
        <w:gridCol w:w="4815"/>
        <w:gridCol w:w="4819"/>
      </w:tblGrid>
      <w:tr w:rsidR="00392DB7" w:rsidRPr="007C5A6E" w14:paraId="2334889E" w14:textId="77777777" w:rsidTr="00457BED">
        <w:trPr>
          <w:cantSplit/>
          <w:trHeight w:val="3458"/>
        </w:trPr>
        <w:tc>
          <w:tcPr>
            <w:tcW w:w="4815" w:type="dxa"/>
          </w:tcPr>
          <w:p w14:paraId="7D4D892A"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67968" behindDoc="0" locked="0" layoutInCell="1" allowOverlap="1" wp14:anchorId="0A9A04C9" wp14:editId="51B65029">
                      <wp:simplePos x="0" y="0"/>
                      <wp:positionH relativeFrom="column">
                        <wp:posOffset>736600</wp:posOffset>
                      </wp:positionH>
                      <wp:positionV relativeFrom="paragraph">
                        <wp:posOffset>293370</wp:posOffset>
                      </wp:positionV>
                      <wp:extent cx="400050" cy="285750"/>
                      <wp:effectExtent l="0" t="0" r="19050" b="19050"/>
                      <wp:wrapNone/>
                      <wp:docPr id="1484414506" name="Zone de texte 47"/>
                      <wp:cNvGraphicFramePr/>
                      <a:graphic xmlns:a="http://schemas.openxmlformats.org/drawingml/2006/main">
                        <a:graphicData uri="http://schemas.microsoft.com/office/word/2010/wordprocessingShape">
                          <wps:wsp>
                            <wps:cNvSpPr txBox="1"/>
                            <wps:spPr>
                              <a:xfrm>
                                <a:off x="0" y="0"/>
                                <a:ext cx="400050" cy="285750"/>
                              </a:xfrm>
                              <a:prstGeom prst="rect">
                                <a:avLst/>
                              </a:prstGeom>
                              <a:solidFill>
                                <a:sysClr val="window" lastClr="FFFFFF"/>
                              </a:solidFill>
                              <a:ln w="6350">
                                <a:solidFill>
                                  <a:prstClr val="black"/>
                                </a:solidFill>
                              </a:ln>
                            </wps:spPr>
                            <wps:txbx>
                              <w:txbxContent>
                                <w:p w14:paraId="7A5D3AF8" w14:textId="77777777" w:rsidR="00392DB7" w:rsidRPr="00AE3212" w:rsidRDefault="00392DB7" w:rsidP="00392DB7">
                                  <w:pPr>
                                    <w:jc w:val="center"/>
                                    <w:rPr>
                                      <w:b/>
                                      <w:bCs/>
                                    </w:rPr>
                                  </w:pPr>
                                  <w:r>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9A04C9" id="_x0000_s1075" type="#_x0000_t202" style="position:absolute;margin-left:58pt;margin-top:23.1pt;width:31.5pt;height:22.5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" fillcolor="window" strokeweight=".5pt">
                      <v:textbox>
                        <w:txbxContent>
                          <w:p w14:paraId="7A5D3AF8" w14:textId="77777777" w:rsidR="00392DB7" w:rsidRPr="00AE3212" w:rsidRDefault="00392DB7" w:rsidP="00392DB7">
                            <w:pPr>
                              <w:jc w:val="center"/>
                              <w:rPr>
                                <w:b/>
                                <w:bCs/>
                              </w:rPr>
                            </w:pPr>
                            <w:r>
                              <w:rPr>
                                <w:b/>
                                <w:bCs/>
                              </w:rPr>
                              <w:t>A</w:t>
                            </w:r>
                          </w:p>
                        </w:txbxContent>
                      </v:textbox>
                    </v:shape>
                  </w:pict>
                </mc:Fallback>
              </mc:AlternateContent>
            </w:r>
            <w:r w:rsidRPr="007C5A6E">
              <w:rPr>
                <w:rFonts w:ascii="Times New Roman" w:hAnsi="Times New Roman"/>
                <w:noProof/>
                <w:sz w:val="24"/>
              </w:rPr>
              <w:drawing>
                <wp:inline distT="0" distB="0" distL="0" distR="0" wp14:anchorId="5A2E1720" wp14:editId="3825D3C2">
                  <wp:extent cx="3057525" cy="2162175"/>
                  <wp:effectExtent l="0" t="0" r="9525" b="9525"/>
                  <wp:docPr id="1076377998"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77998" name="Image 1076377998"/>
                          <pic:cNvPicPr/>
                        </pic:nvPicPr>
                        <pic:blipFill>
                          <a:blip r:embed="rId68" cstate="email">
                            <a:extLst>
                              <a:ext uri="{28A0092B-C50C-407E-A947-70E740481C1C}">
                                <a14:useLocalDpi xmlns:a14="http://schemas.microsoft.com/office/drawing/2010/main"/>
                              </a:ext>
                            </a:extLst>
                          </a:blip>
                          <a:stretch>
                            <a:fillRect/>
                          </a:stretch>
                        </pic:blipFill>
                        <pic:spPr>
                          <a:xfrm>
                            <a:off x="0" y="0"/>
                            <a:ext cx="3057525" cy="2162175"/>
                          </a:xfrm>
                          <a:prstGeom prst="rect">
                            <a:avLst/>
                          </a:prstGeom>
                        </pic:spPr>
                      </pic:pic>
                    </a:graphicData>
                  </a:graphic>
                </wp:inline>
              </w:drawing>
            </w:r>
          </w:p>
        </w:tc>
        <w:tc>
          <w:tcPr>
            <w:tcW w:w="4819" w:type="dxa"/>
          </w:tcPr>
          <w:p w14:paraId="2294029A"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68992" behindDoc="0" locked="0" layoutInCell="1" allowOverlap="1" wp14:anchorId="0DF13E3E" wp14:editId="7AED7BFB">
                      <wp:simplePos x="0" y="0"/>
                      <wp:positionH relativeFrom="column">
                        <wp:posOffset>498475</wp:posOffset>
                      </wp:positionH>
                      <wp:positionV relativeFrom="paragraph">
                        <wp:posOffset>236220</wp:posOffset>
                      </wp:positionV>
                      <wp:extent cx="400050" cy="285750"/>
                      <wp:effectExtent l="0" t="0" r="19050" b="19050"/>
                      <wp:wrapNone/>
                      <wp:docPr id="1415533412" name="Zone de texte 47"/>
                      <wp:cNvGraphicFramePr/>
                      <a:graphic xmlns:a="http://schemas.openxmlformats.org/drawingml/2006/main">
                        <a:graphicData uri="http://schemas.microsoft.com/office/word/2010/wordprocessingShape">
                          <wps:wsp>
                            <wps:cNvSpPr txBox="1"/>
                            <wps:spPr>
                              <a:xfrm>
                                <a:off x="0" y="0"/>
                                <a:ext cx="400050" cy="285750"/>
                              </a:xfrm>
                              <a:prstGeom prst="rect">
                                <a:avLst/>
                              </a:prstGeom>
                              <a:solidFill>
                                <a:sysClr val="window" lastClr="FFFFFF"/>
                              </a:solidFill>
                              <a:ln w="6350">
                                <a:solidFill>
                                  <a:prstClr val="black"/>
                                </a:solidFill>
                              </a:ln>
                            </wps:spPr>
                            <wps:txbx>
                              <w:txbxContent>
                                <w:p w14:paraId="18F71F5D" w14:textId="77777777" w:rsidR="00392DB7" w:rsidRPr="00AE3212" w:rsidRDefault="00392DB7" w:rsidP="00392DB7">
                                  <w:pPr>
                                    <w:jc w:val="center"/>
                                    <w:rPr>
                                      <w:b/>
                                      <w:bCs/>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F13E3E" id="_x0000_s1076" type="#_x0000_t202" style="position:absolute;margin-left:39.25pt;margin-top:18.6pt;width:31.5pt;height:22.5pt;z-index:25166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" fillcolor="window" strokeweight=".5pt">
                      <v:textbox>
                        <w:txbxContent>
                          <w:p w14:paraId="18F71F5D" w14:textId="77777777" w:rsidR="00392DB7" w:rsidRPr="00AE3212" w:rsidRDefault="00392DB7" w:rsidP="00392DB7">
                            <w:pPr>
                              <w:jc w:val="center"/>
                              <w:rPr>
                                <w:b/>
                                <w:bCs/>
                              </w:rPr>
                            </w:pPr>
                            <w:r>
                              <w:rPr>
                                <w:b/>
                                <w:bCs/>
                              </w:rPr>
                              <w:t>B</w:t>
                            </w:r>
                          </w:p>
                        </w:txbxContent>
                      </v:textbox>
                    </v:shape>
                  </w:pict>
                </mc:Fallback>
              </mc:AlternateContent>
            </w:r>
            <w:r w:rsidRPr="007C5A6E">
              <w:rPr>
                <w:rFonts w:ascii="Times New Roman" w:hAnsi="Times New Roman"/>
                <w:noProof/>
                <w:sz w:val="24"/>
              </w:rPr>
              <w:drawing>
                <wp:inline distT="0" distB="0" distL="0" distR="0" wp14:anchorId="03BA3384" wp14:editId="1F91D1AE">
                  <wp:extent cx="3053715" cy="2162175"/>
                  <wp:effectExtent l="0" t="0" r="0" b="9525"/>
                  <wp:docPr id="907633364"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633364" name="Image 907633364"/>
                          <pic:cNvPicPr/>
                        </pic:nvPicPr>
                        <pic:blipFill>
                          <a:blip r:embed="rId69" cstate="email">
                            <a:extLst>
                              <a:ext uri="{28A0092B-C50C-407E-A947-70E740481C1C}">
                                <a14:useLocalDpi xmlns:a14="http://schemas.microsoft.com/office/drawing/2010/main"/>
                              </a:ext>
                            </a:extLst>
                          </a:blip>
                          <a:stretch>
                            <a:fillRect/>
                          </a:stretch>
                        </pic:blipFill>
                        <pic:spPr>
                          <a:xfrm>
                            <a:off x="0" y="0"/>
                            <a:ext cx="3053715" cy="2162175"/>
                          </a:xfrm>
                          <a:prstGeom prst="rect">
                            <a:avLst/>
                          </a:prstGeom>
                        </pic:spPr>
                      </pic:pic>
                    </a:graphicData>
                  </a:graphic>
                </wp:inline>
              </w:drawing>
            </w:r>
          </w:p>
        </w:tc>
      </w:tr>
      <w:tr w:rsidR="00392DB7" w:rsidRPr="007C5A6E" w14:paraId="03F2362E" w14:textId="77777777" w:rsidTr="00457BED">
        <w:trPr>
          <w:cantSplit/>
          <w:trHeight w:val="3458"/>
        </w:trPr>
        <w:tc>
          <w:tcPr>
            <w:tcW w:w="4815" w:type="dxa"/>
          </w:tcPr>
          <w:p w14:paraId="3169D17E"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70016" behindDoc="0" locked="0" layoutInCell="1" allowOverlap="1" wp14:anchorId="370E29C7" wp14:editId="3565781B">
                      <wp:simplePos x="0" y="0"/>
                      <wp:positionH relativeFrom="column">
                        <wp:posOffset>450850</wp:posOffset>
                      </wp:positionH>
                      <wp:positionV relativeFrom="paragraph">
                        <wp:posOffset>247015</wp:posOffset>
                      </wp:positionV>
                      <wp:extent cx="400050" cy="285750"/>
                      <wp:effectExtent l="0" t="0" r="19050" b="19050"/>
                      <wp:wrapNone/>
                      <wp:docPr id="1784116569" name="Zone de texte 47"/>
                      <wp:cNvGraphicFramePr/>
                      <a:graphic xmlns:a="http://schemas.openxmlformats.org/drawingml/2006/main">
                        <a:graphicData uri="http://schemas.microsoft.com/office/word/2010/wordprocessingShape">
                          <wps:wsp>
                            <wps:cNvSpPr txBox="1"/>
                            <wps:spPr>
                              <a:xfrm>
                                <a:off x="0" y="0"/>
                                <a:ext cx="400050" cy="285750"/>
                              </a:xfrm>
                              <a:prstGeom prst="rect">
                                <a:avLst/>
                              </a:prstGeom>
                              <a:solidFill>
                                <a:sysClr val="window" lastClr="FFFFFF"/>
                              </a:solidFill>
                              <a:ln w="6350">
                                <a:solidFill>
                                  <a:prstClr val="black"/>
                                </a:solidFill>
                              </a:ln>
                            </wps:spPr>
                            <wps:txbx>
                              <w:txbxContent>
                                <w:p w14:paraId="156783F0" w14:textId="77777777" w:rsidR="00392DB7" w:rsidRPr="00AE3212" w:rsidRDefault="00392DB7" w:rsidP="00392DB7">
                                  <w:pPr>
                                    <w:jc w:val="center"/>
                                    <w:rPr>
                                      <w:b/>
                                      <w:bCs/>
                                    </w:rPr>
                                  </w:pPr>
                                  <w:r>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0E29C7" id="_x0000_s1077" type="#_x0000_t202" style="position:absolute;margin-left:35.5pt;margin-top:19.45pt;width:31.5pt;height:22.5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" fillcolor="window" strokeweight=".5pt">
                      <v:textbox>
                        <w:txbxContent>
                          <w:p w14:paraId="156783F0" w14:textId="77777777" w:rsidR="00392DB7" w:rsidRPr="00AE3212" w:rsidRDefault="00392DB7" w:rsidP="00392DB7">
                            <w:pPr>
                              <w:jc w:val="center"/>
                              <w:rPr>
                                <w:b/>
                                <w:bCs/>
                              </w:rPr>
                            </w:pPr>
                            <w:r>
                              <w:rPr>
                                <w:b/>
                                <w:bCs/>
                              </w:rPr>
                              <w:t>C</w:t>
                            </w:r>
                          </w:p>
                        </w:txbxContent>
                      </v:textbox>
                    </v:shape>
                  </w:pict>
                </mc:Fallback>
              </mc:AlternateContent>
            </w:r>
            <w:r w:rsidRPr="007C5A6E">
              <w:rPr>
                <w:rFonts w:ascii="Times New Roman" w:hAnsi="Times New Roman"/>
                <w:noProof/>
                <w:sz w:val="24"/>
              </w:rPr>
              <w:drawing>
                <wp:inline distT="0" distB="0" distL="0" distR="0" wp14:anchorId="10BD8239" wp14:editId="721B622A">
                  <wp:extent cx="3051175" cy="2162175"/>
                  <wp:effectExtent l="0" t="0" r="0" b="9525"/>
                  <wp:docPr id="1687744896"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744896" name="Image 1687744896"/>
                          <pic:cNvPicPr/>
                        </pic:nvPicPr>
                        <pic:blipFill>
                          <a:blip r:embed="rId70" cstate="email">
                            <a:extLst>
                              <a:ext uri="{28A0092B-C50C-407E-A947-70E740481C1C}">
                                <a14:useLocalDpi xmlns:a14="http://schemas.microsoft.com/office/drawing/2010/main"/>
                              </a:ext>
                            </a:extLst>
                          </a:blip>
                          <a:stretch>
                            <a:fillRect/>
                          </a:stretch>
                        </pic:blipFill>
                        <pic:spPr>
                          <a:xfrm>
                            <a:off x="0" y="0"/>
                            <a:ext cx="3051175" cy="2162175"/>
                          </a:xfrm>
                          <a:prstGeom prst="rect">
                            <a:avLst/>
                          </a:prstGeom>
                        </pic:spPr>
                      </pic:pic>
                    </a:graphicData>
                  </a:graphic>
                </wp:inline>
              </w:drawing>
            </w:r>
          </w:p>
        </w:tc>
        <w:tc>
          <w:tcPr>
            <w:tcW w:w="4819" w:type="dxa"/>
          </w:tcPr>
          <w:p w14:paraId="43969C2D"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71040" behindDoc="0" locked="0" layoutInCell="1" allowOverlap="1" wp14:anchorId="2400FD8B" wp14:editId="550B7C36">
                      <wp:simplePos x="0" y="0"/>
                      <wp:positionH relativeFrom="column">
                        <wp:posOffset>1317625</wp:posOffset>
                      </wp:positionH>
                      <wp:positionV relativeFrom="paragraph">
                        <wp:posOffset>329565</wp:posOffset>
                      </wp:positionV>
                      <wp:extent cx="400050" cy="285750"/>
                      <wp:effectExtent l="0" t="0" r="19050" b="19050"/>
                      <wp:wrapNone/>
                      <wp:docPr id="1419196624" name="Zone de texte 47"/>
                      <wp:cNvGraphicFramePr/>
                      <a:graphic xmlns:a="http://schemas.openxmlformats.org/drawingml/2006/main">
                        <a:graphicData uri="http://schemas.microsoft.com/office/word/2010/wordprocessingShape">
                          <wps:wsp>
                            <wps:cNvSpPr txBox="1"/>
                            <wps:spPr>
                              <a:xfrm>
                                <a:off x="0" y="0"/>
                                <a:ext cx="400050" cy="285750"/>
                              </a:xfrm>
                              <a:prstGeom prst="rect">
                                <a:avLst/>
                              </a:prstGeom>
                              <a:solidFill>
                                <a:sysClr val="window" lastClr="FFFFFF"/>
                              </a:solidFill>
                              <a:ln w="6350">
                                <a:solidFill>
                                  <a:prstClr val="black"/>
                                </a:solidFill>
                              </a:ln>
                            </wps:spPr>
                            <wps:txbx>
                              <w:txbxContent>
                                <w:p w14:paraId="2BB3CC71" w14:textId="77777777" w:rsidR="00392DB7" w:rsidRPr="00AE3212" w:rsidRDefault="00392DB7" w:rsidP="00392DB7">
                                  <w:pPr>
                                    <w:jc w:val="center"/>
                                    <w:rPr>
                                      <w:b/>
                                      <w:bCs/>
                                    </w:rPr>
                                  </w:pPr>
                                  <w:r>
                                    <w:rPr>
                                      <w:b/>
                                      <w:b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00FD8B" id="_x0000_s1078" type="#_x0000_t202" style="position:absolute;margin-left:103.75pt;margin-top:25.95pt;width:31.5pt;height:22.5pt;z-index:25167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" fillcolor="window" strokeweight=".5pt">
                      <v:textbox>
                        <w:txbxContent>
                          <w:p w14:paraId="2BB3CC71" w14:textId="77777777" w:rsidR="00392DB7" w:rsidRPr="00AE3212" w:rsidRDefault="00392DB7" w:rsidP="00392DB7">
                            <w:pPr>
                              <w:jc w:val="center"/>
                              <w:rPr>
                                <w:b/>
                                <w:bCs/>
                              </w:rPr>
                            </w:pPr>
                            <w:r>
                              <w:rPr>
                                <w:b/>
                                <w:bCs/>
                              </w:rPr>
                              <w:t>D</w:t>
                            </w:r>
                          </w:p>
                        </w:txbxContent>
                      </v:textbox>
                    </v:shape>
                  </w:pict>
                </mc:Fallback>
              </mc:AlternateContent>
            </w:r>
            <w:r w:rsidRPr="007C5A6E">
              <w:rPr>
                <w:rFonts w:ascii="Times New Roman" w:hAnsi="Times New Roman"/>
                <w:noProof/>
                <w:sz w:val="24"/>
              </w:rPr>
              <w:drawing>
                <wp:inline distT="0" distB="0" distL="0" distR="0" wp14:anchorId="34A8FEBB" wp14:editId="7CDE2AC2">
                  <wp:extent cx="3053715" cy="2200275"/>
                  <wp:effectExtent l="0" t="0" r="0" b="9525"/>
                  <wp:docPr id="506632709"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3053715" cy="2200275"/>
                          </a:xfrm>
                          <a:prstGeom prst="rect">
                            <a:avLst/>
                          </a:prstGeom>
                          <a:noFill/>
                          <a:ln>
                            <a:noFill/>
                          </a:ln>
                        </pic:spPr>
                      </pic:pic>
                    </a:graphicData>
                  </a:graphic>
                </wp:inline>
              </w:drawing>
            </w:r>
          </w:p>
        </w:tc>
      </w:tr>
    </w:tbl>
    <w:p w14:paraId="7E152F4A" w14:textId="1E09E93B" w:rsidR="00392DB7" w:rsidRPr="007C5A6E" w:rsidRDefault="0021088B" w:rsidP="0021088B">
      <w:pPr>
        <w:pStyle w:val="Lgende"/>
        <w:spacing w:after="0"/>
        <w:rPr>
          <w:rFonts w:ascii="Times New Roman" w:eastAsiaTheme="minorHAnsi" w:hAnsi="Times New Roman"/>
          <w:color w:val="auto"/>
          <w:kern w:val="2"/>
          <w:sz w:val="24"/>
          <w:szCs w:val="24"/>
          <w:lang w:eastAsia="en-US"/>
          <w14:ligatures w14:val="standardContextual"/>
        </w:rPr>
      </w:pPr>
      <w:bookmarkStart w:id="140" w:name="_Toc183230864"/>
      <w:bookmarkStart w:id="141" w:name="_Toc183240657"/>
      <w:bookmarkStart w:id="142" w:name="_Toc183340396"/>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235203" w:rsidRPr="007C5A6E">
        <w:rPr>
          <w:rFonts w:ascii="Times New Roman" w:hAnsi="Times New Roman"/>
          <w:noProof/>
          <w:color w:val="auto"/>
          <w:sz w:val="24"/>
          <w:szCs w:val="24"/>
        </w:rPr>
        <w:t>17</w:t>
      </w:r>
      <w:r w:rsidRPr="007C5A6E">
        <w:rPr>
          <w:rFonts w:ascii="Times New Roman" w:hAnsi="Times New Roman"/>
          <w:color w:val="auto"/>
          <w:sz w:val="24"/>
          <w:szCs w:val="24"/>
        </w:rPr>
        <w:fldChar w:fldCharType="end"/>
      </w:r>
      <w:r w:rsidR="00F37E83" w:rsidRPr="007C5A6E">
        <w:rPr>
          <w:rFonts w:ascii="Times New Roman" w:hAnsi="Times New Roman"/>
          <w:color w:val="auto"/>
          <w:sz w:val="24"/>
          <w:szCs w:val="24"/>
        </w:rPr>
        <w:t>.</w:t>
      </w:r>
      <w:r w:rsidR="00392DB7" w:rsidRPr="007C5A6E">
        <w:rPr>
          <w:rFonts w:ascii="Times New Roman" w:eastAsiaTheme="minorHAnsi" w:hAnsi="Times New Roman"/>
          <w:color w:val="auto"/>
          <w:kern w:val="2"/>
          <w:sz w:val="24"/>
          <w:szCs w:val="24"/>
          <w:lang w:eastAsia="en-US"/>
          <w14:ligatures w14:val="standardContextual"/>
        </w:rPr>
        <w:t xml:space="preserve"> Nombre de vagues de chaleur à Dori (A), Ouagadougou (B), Bobo- Dioulasso (C), Boromo (D).</w:t>
      </w:r>
      <w:bookmarkEnd w:id="140"/>
      <w:bookmarkEnd w:id="141"/>
      <w:bookmarkEnd w:id="142"/>
    </w:p>
    <w:p w14:paraId="0DC42D03"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p>
    <w:p w14:paraId="39FF7AC5" w14:textId="77777777" w:rsidR="00392DB7" w:rsidRPr="007C5A6E" w:rsidRDefault="00392DB7" w:rsidP="00684FF8">
      <w:pPr>
        <w:pStyle w:val="Titre4"/>
      </w:pPr>
      <w:bookmarkStart w:id="143" w:name="_Toc182582649"/>
      <w:bookmarkStart w:id="144" w:name="_Toc183340045"/>
      <w:r w:rsidRPr="007C5A6E">
        <w:t>Les températures maximales absolues</w:t>
      </w:r>
      <w:bookmarkEnd w:id="143"/>
      <w:bookmarkEnd w:id="144"/>
    </w:p>
    <w:p w14:paraId="1915B7A1"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p>
    <w:p w14:paraId="713249B7" w14:textId="77777777" w:rsidR="00392DB7" w:rsidRPr="007C5A6E" w:rsidRDefault="00392DB7" w:rsidP="00392DB7">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Il apparaît à la figure 18 qu’en moyenne la température maximale absolue de référence en zone sahélienne (A) est supérieure de 3°C à celle en zone soudano-sahélienne (B), elle-même supérieure de 3°C à celle en zone soudanienne (C et D). Les tendances sont à la hausse, excepté peut-être pour Dori. Elle est la plus prononcée pour Bobo-Dioulasso. A remarquer que Pô qui se trouve en zone soudanienne vers la lisière de la zone soudano-sahélienne présente une tendance similaire à celle de Ouagadougou.</w:t>
      </w:r>
    </w:p>
    <w:p w14:paraId="3142F475" w14:textId="6C09C7C3" w:rsidR="00392DB7" w:rsidRPr="007C5A6E" w:rsidRDefault="00392DB7" w:rsidP="00392DB7">
      <w:pPr>
        <w:spacing w:after="0" w:line="240" w:lineRule="auto"/>
        <w:jc w:val="both"/>
        <w:rPr>
          <w:rFonts w:ascii="Times New Roman" w:eastAsiaTheme="minorHAnsi" w:hAnsi="Times New Roman" w:cstheme="minorBidi"/>
          <w:kern w:val="2"/>
          <w:sz w:val="24"/>
          <w:lang w:eastAsia="en-US"/>
          <w14:ligatures w14:val="standardContextual"/>
        </w:rPr>
      </w:pPr>
    </w:p>
    <w:tbl>
      <w:tblPr>
        <w:tblStyle w:val="Grilledutableau"/>
        <w:tblW w:w="9634" w:type="dxa"/>
        <w:tblLayout w:type="fixed"/>
        <w:tblCellMar>
          <w:left w:w="0" w:type="dxa"/>
          <w:right w:w="0" w:type="dxa"/>
        </w:tblCellMar>
        <w:tblLook w:val="04A0" w:firstRow="1" w:lastRow="0" w:firstColumn="1" w:lastColumn="0" w:noHBand="0" w:noVBand="1"/>
      </w:tblPr>
      <w:tblGrid>
        <w:gridCol w:w="4698"/>
        <w:gridCol w:w="4936"/>
      </w:tblGrid>
      <w:tr w:rsidR="00392DB7" w:rsidRPr="007C5A6E" w14:paraId="7A9143AB" w14:textId="77777777" w:rsidTr="00457BED">
        <w:trPr>
          <w:cantSplit/>
          <w:trHeight w:val="3458"/>
        </w:trPr>
        <w:tc>
          <w:tcPr>
            <w:tcW w:w="4698" w:type="dxa"/>
          </w:tcPr>
          <w:p w14:paraId="70A8F375"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61824" behindDoc="0" locked="0" layoutInCell="1" allowOverlap="1" wp14:anchorId="279AF6E1" wp14:editId="7EFDEA54">
                      <wp:simplePos x="0" y="0"/>
                      <wp:positionH relativeFrom="column">
                        <wp:posOffset>488950</wp:posOffset>
                      </wp:positionH>
                      <wp:positionV relativeFrom="paragraph">
                        <wp:posOffset>245745</wp:posOffset>
                      </wp:positionV>
                      <wp:extent cx="400050" cy="285750"/>
                      <wp:effectExtent l="0" t="0" r="19050" b="19050"/>
                      <wp:wrapNone/>
                      <wp:docPr id="1459511072" name="Zone de texte 47"/>
                      <wp:cNvGraphicFramePr/>
                      <a:graphic xmlns:a="http://schemas.openxmlformats.org/drawingml/2006/main">
                        <a:graphicData uri="http://schemas.microsoft.com/office/word/2010/wordprocessingShape">
                          <wps:wsp>
                            <wps:cNvSpPr txBox="1"/>
                            <wps:spPr>
                              <a:xfrm>
                                <a:off x="0" y="0"/>
                                <a:ext cx="400050" cy="285750"/>
                              </a:xfrm>
                              <a:prstGeom prst="rect">
                                <a:avLst/>
                              </a:prstGeom>
                              <a:solidFill>
                                <a:sysClr val="window" lastClr="FFFFFF"/>
                              </a:solidFill>
                              <a:ln w="6350">
                                <a:solidFill>
                                  <a:prstClr val="black"/>
                                </a:solidFill>
                              </a:ln>
                            </wps:spPr>
                            <wps:txbx>
                              <w:txbxContent>
                                <w:p w14:paraId="1E8C9DA3" w14:textId="77777777" w:rsidR="00392DB7" w:rsidRPr="00AE3212" w:rsidRDefault="00392DB7" w:rsidP="00392DB7">
                                  <w:pPr>
                                    <w:jc w:val="center"/>
                                    <w:rPr>
                                      <w:b/>
                                      <w:bCs/>
                                    </w:rPr>
                                  </w:pPr>
                                  <w:r>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9AF6E1" id="_x0000_s1079" type="#_x0000_t202" style="position:absolute;margin-left:38.5pt;margin-top:19.35pt;width:31.5pt;height:22.5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" fillcolor="window" strokeweight=".5pt">
                      <v:textbox>
                        <w:txbxContent>
                          <w:p w14:paraId="1E8C9DA3" w14:textId="77777777" w:rsidR="00392DB7" w:rsidRPr="00AE3212" w:rsidRDefault="00392DB7" w:rsidP="00392DB7">
                            <w:pPr>
                              <w:jc w:val="center"/>
                              <w:rPr>
                                <w:b/>
                                <w:bCs/>
                              </w:rPr>
                            </w:pPr>
                            <w:r>
                              <w:rPr>
                                <w:b/>
                                <w:bCs/>
                              </w:rPr>
                              <w:t>A</w:t>
                            </w:r>
                          </w:p>
                        </w:txbxContent>
                      </v:textbox>
                    </v:shape>
                  </w:pict>
                </mc:Fallback>
              </mc:AlternateContent>
            </w:r>
            <w:r w:rsidRPr="007C5A6E">
              <w:rPr>
                <w:rFonts w:ascii="Times New Roman" w:hAnsi="Times New Roman"/>
                <w:noProof/>
                <w:sz w:val="24"/>
              </w:rPr>
              <w:drawing>
                <wp:inline distT="0" distB="0" distL="0" distR="0" wp14:anchorId="6E139B7D" wp14:editId="418DED87">
                  <wp:extent cx="2976880" cy="2171700"/>
                  <wp:effectExtent l="0" t="0" r="0" b="0"/>
                  <wp:docPr id="1921081633"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081633" name="Image 1921081633"/>
                          <pic:cNvPicPr/>
                        </pic:nvPicPr>
                        <pic:blipFill>
                          <a:blip r:embed="rId72" cstate="email">
                            <a:extLst>
                              <a:ext uri="{28A0092B-C50C-407E-A947-70E740481C1C}">
                                <a14:useLocalDpi xmlns:a14="http://schemas.microsoft.com/office/drawing/2010/main"/>
                              </a:ext>
                            </a:extLst>
                          </a:blip>
                          <a:stretch>
                            <a:fillRect/>
                          </a:stretch>
                        </pic:blipFill>
                        <pic:spPr>
                          <a:xfrm>
                            <a:off x="0" y="0"/>
                            <a:ext cx="2976880" cy="2171700"/>
                          </a:xfrm>
                          <a:prstGeom prst="rect">
                            <a:avLst/>
                          </a:prstGeom>
                        </pic:spPr>
                      </pic:pic>
                    </a:graphicData>
                  </a:graphic>
                </wp:inline>
              </w:drawing>
            </w:r>
          </w:p>
        </w:tc>
        <w:tc>
          <w:tcPr>
            <w:tcW w:w="4936" w:type="dxa"/>
          </w:tcPr>
          <w:p w14:paraId="1C90D03C"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62848" behindDoc="0" locked="0" layoutInCell="1" allowOverlap="1" wp14:anchorId="346C9B60" wp14:editId="45916E91">
                      <wp:simplePos x="0" y="0"/>
                      <wp:positionH relativeFrom="column">
                        <wp:posOffset>1668145</wp:posOffset>
                      </wp:positionH>
                      <wp:positionV relativeFrom="paragraph">
                        <wp:posOffset>245745</wp:posOffset>
                      </wp:positionV>
                      <wp:extent cx="400050" cy="285750"/>
                      <wp:effectExtent l="0" t="0" r="19050" b="19050"/>
                      <wp:wrapNone/>
                      <wp:docPr id="2056195902" name="Zone de texte 47"/>
                      <wp:cNvGraphicFramePr/>
                      <a:graphic xmlns:a="http://schemas.openxmlformats.org/drawingml/2006/main">
                        <a:graphicData uri="http://schemas.microsoft.com/office/word/2010/wordprocessingShape">
                          <wps:wsp>
                            <wps:cNvSpPr txBox="1"/>
                            <wps:spPr>
                              <a:xfrm>
                                <a:off x="0" y="0"/>
                                <a:ext cx="400050" cy="285750"/>
                              </a:xfrm>
                              <a:prstGeom prst="rect">
                                <a:avLst/>
                              </a:prstGeom>
                              <a:solidFill>
                                <a:sysClr val="window" lastClr="FFFFFF"/>
                              </a:solidFill>
                              <a:ln w="6350">
                                <a:solidFill>
                                  <a:prstClr val="black"/>
                                </a:solidFill>
                              </a:ln>
                            </wps:spPr>
                            <wps:txbx>
                              <w:txbxContent>
                                <w:p w14:paraId="6C747D49" w14:textId="77777777" w:rsidR="00392DB7" w:rsidRPr="00AE3212" w:rsidRDefault="00392DB7" w:rsidP="00392DB7">
                                  <w:pPr>
                                    <w:jc w:val="center"/>
                                    <w:rPr>
                                      <w:b/>
                                      <w:bCs/>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6C9B60" id="_x0000_s1080" type="#_x0000_t202" style="position:absolute;margin-left:131.35pt;margin-top:19.35pt;width:31.5pt;height:22.5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" fillcolor="window" strokeweight=".5pt">
                      <v:textbox>
                        <w:txbxContent>
                          <w:p w14:paraId="6C747D49" w14:textId="77777777" w:rsidR="00392DB7" w:rsidRPr="00AE3212" w:rsidRDefault="00392DB7" w:rsidP="00392DB7">
                            <w:pPr>
                              <w:jc w:val="center"/>
                              <w:rPr>
                                <w:b/>
                                <w:bCs/>
                              </w:rPr>
                            </w:pPr>
                            <w:r>
                              <w:rPr>
                                <w:b/>
                                <w:bCs/>
                              </w:rPr>
                              <w:t>B</w:t>
                            </w:r>
                          </w:p>
                        </w:txbxContent>
                      </v:textbox>
                    </v:shape>
                  </w:pict>
                </mc:Fallback>
              </mc:AlternateContent>
            </w:r>
            <w:r w:rsidRPr="007C5A6E">
              <w:rPr>
                <w:rFonts w:ascii="Times New Roman" w:hAnsi="Times New Roman"/>
                <w:noProof/>
                <w:sz w:val="24"/>
              </w:rPr>
              <w:drawing>
                <wp:inline distT="0" distB="0" distL="0" distR="0" wp14:anchorId="774B9AF5" wp14:editId="06609056">
                  <wp:extent cx="3128010" cy="2171700"/>
                  <wp:effectExtent l="0" t="0" r="0" b="0"/>
                  <wp:docPr id="1396685649"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685649" name="Image 1396685649"/>
                          <pic:cNvPicPr/>
                        </pic:nvPicPr>
                        <pic:blipFill>
                          <a:blip r:embed="rId73" cstate="email">
                            <a:extLst>
                              <a:ext uri="{28A0092B-C50C-407E-A947-70E740481C1C}">
                                <a14:useLocalDpi xmlns:a14="http://schemas.microsoft.com/office/drawing/2010/main"/>
                              </a:ext>
                            </a:extLst>
                          </a:blip>
                          <a:stretch>
                            <a:fillRect/>
                          </a:stretch>
                        </pic:blipFill>
                        <pic:spPr>
                          <a:xfrm>
                            <a:off x="0" y="0"/>
                            <a:ext cx="3128010" cy="2171700"/>
                          </a:xfrm>
                          <a:prstGeom prst="rect">
                            <a:avLst/>
                          </a:prstGeom>
                        </pic:spPr>
                      </pic:pic>
                    </a:graphicData>
                  </a:graphic>
                </wp:inline>
              </w:drawing>
            </w:r>
          </w:p>
        </w:tc>
      </w:tr>
      <w:tr w:rsidR="00392DB7" w:rsidRPr="007C5A6E" w14:paraId="3443F833" w14:textId="77777777" w:rsidTr="00457BED">
        <w:trPr>
          <w:cantSplit/>
          <w:trHeight w:val="3458"/>
        </w:trPr>
        <w:tc>
          <w:tcPr>
            <w:tcW w:w="4698" w:type="dxa"/>
          </w:tcPr>
          <w:p w14:paraId="31DDE7F7"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63872" behindDoc="0" locked="0" layoutInCell="1" allowOverlap="1" wp14:anchorId="3F44FD73" wp14:editId="54BC09A1">
                      <wp:simplePos x="0" y="0"/>
                      <wp:positionH relativeFrom="column">
                        <wp:posOffset>393700</wp:posOffset>
                      </wp:positionH>
                      <wp:positionV relativeFrom="paragraph">
                        <wp:posOffset>210820</wp:posOffset>
                      </wp:positionV>
                      <wp:extent cx="400050" cy="285750"/>
                      <wp:effectExtent l="0" t="0" r="19050" b="19050"/>
                      <wp:wrapNone/>
                      <wp:docPr id="1083036631" name="Zone de texte 47"/>
                      <wp:cNvGraphicFramePr/>
                      <a:graphic xmlns:a="http://schemas.openxmlformats.org/drawingml/2006/main">
                        <a:graphicData uri="http://schemas.microsoft.com/office/word/2010/wordprocessingShape">
                          <wps:wsp>
                            <wps:cNvSpPr txBox="1"/>
                            <wps:spPr>
                              <a:xfrm>
                                <a:off x="0" y="0"/>
                                <a:ext cx="400050" cy="285750"/>
                              </a:xfrm>
                              <a:prstGeom prst="rect">
                                <a:avLst/>
                              </a:prstGeom>
                              <a:solidFill>
                                <a:sysClr val="window" lastClr="FFFFFF"/>
                              </a:solidFill>
                              <a:ln w="6350">
                                <a:solidFill>
                                  <a:prstClr val="black"/>
                                </a:solidFill>
                              </a:ln>
                            </wps:spPr>
                            <wps:txbx>
                              <w:txbxContent>
                                <w:p w14:paraId="695415E2" w14:textId="77777777" w:rsidR="00392DB7" w:rsidRPr="00AE3212" w:rsidRDefault="00392DB7" w:rsidP="00392DB7">
                                  <w:pPr>
                                    <w:jc w:val="center"/>
                                    <w:rPr>
                                      <w:b/>
                                      <w:bCs/>
                                    </w:rPr>
                                  </w:pPr>
                                  <w:r>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44FD73" id="_x0000_s1081" type="#_x0000_t202" style="position:absolute;margin-left:31pt;margin-top:16.6pt;width:31.5pt;height:22.5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" fillcolor="window" strokeweight=".5pt">
                      <v:textbox>
                        <w:txbxContent>
                          <w:p w14:paraId="695415E2" w14:textId="77777777" w:rsidR="00392DB7" w:rsidRPr="00AE3212" w:rsidRDefault="00392DB7" w:rsidP="00392DB7">
                            <w:pPr>
                              <w:jc w:val="center"/>
                              <w:rPr>
                                <w:b/>
                                <w:bCs/>
                              </w:rPr>
                            </w:pPr>
                            <w:r>
                              <w:rPr>
                                <w:b/>
                                <w:bCs/>
                              </w:rPr>
                              <w:t>C</w:t>
                            </w:r>
                          </w:p>
                        </w:txbxContent>
                      </v:textbox>
                    </v:shape>
                  </w:pict>
                </mc:Fallback>
              </mc:AlternateContent>
            </w:r>
            <w:r w:rsidRPr="007C5A6E">
              <w:rPr>
                <w:rFonts w:ascii="Times New Roman" w:hAnsi="Times New Roman"/>
                <w:noProof/>
                <w:sz w:val="24"/>
              </w:rPr>
              <w:drawing>
                <wp:inline distT="0" distB="0" distL="0" distR="0" wp14:anchorId="4CCA520F" wp14:editId="07DEB8B4">
                  <wp:extent cx="2976880" cy="2171700"/>
                  <wp:effectExtent l="0" t="0" r="0" b="0"/>
                  <wp:docPr id="654843352"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43352" name="Image 654843352"/>
                          <pic:cNvPicPr/>
                        </pic:nvPicPr>
                        <pic:blipFill>
                          <a:blip r:embed="rId74" cstate="email">
                            <a:extLst>
                              <a:ext uri="{28A0092B-C50C-407E-A947-70E740481C1C}">
                                <a14:useLocalDpi xmlns:a14="http://schemas.microsoft.com/office/drawing/2010/main"/>
                              </a:ext>
                            </a:extLst>
                          </a:blip>
                          <a:stretch>
                            <a:fillRect/>
                          </a:stretch>
                        </pic:blipFill>
                        <pic:spPr>
                          <a:xfrm>
                            <a:off x="0" y="0"/>
                            <a:ext cx="2976880" cy="2171700"/>
                          </a:xfrm>
                          <a:prstGeom prst="rect">
                            <a:avLst/>
                          </a:prstGeom>
                        </pic:spPr>
                      </pic:pic>
                    </a:graphicData>
                  </a:graphic>
                </wp:inline>
              </w:drawing>
            </w:r>
          </w:p>
        </w:tc>
        <w:tc>
          <w:tcPr>
            <w:tcW w:w="4936" w:type="dxa"/>
          </w:tcPr>
          <w:p w14:paraId="2918B77D"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72064" behindDoc="0" locked="0" layoutInCell="1" allowOverlap="1" wp14:anchorId="05D0B27F" wp14:editId="325C6AEF">
                      <wp:simplePos x="0" y="0"/>
                      <wp:positionH relativeFrom="column">
                        <wp:posOffset>1087469</wp:posOffset>
                      </wp:positionH>
                      <wp:positionV relativeFrom="paragraph">
                        <wp:posOffset>213354</wp:posOffset>
                      </wp:positionV>
                      <wp:extent cx="400050" cy="285750"/>
                      <wp:effectExtent l="0" t="0" r="19050" b="19050"/>
                      <wp:wrapNone/>
                      <wp:docPr id="2093930669" name="Zone de texte 47"/>
                      <wp:cNvGraphicFramePr/>
                      <a:graphic xmlns:a="http://schemas.openxmlformats.org/drawingml/2006/main">
                        <a:graphicData uri="http://schemas.microsoft.com/office/word/2010/wordprocessingShape">
                          <wps:wsp>
                            <wps:cNvSpPr txBox="1"/>
                            <wps:spPr>
                              <a:xfrm>
                                <a:off x="0" y="0"/>
                                <a:ext cx="400050" cy="285750"/>
                              </a:xfrm>
                              <a:prstGeom prst="rect">
                                <a:avLst/>
                              </a:prstGeom>
                              <a:solidFill>
                                <a:sysClr val="window" lastClr="FFFFFF"/>
                              </a:solidFill>
                              <a:ln w="6350">
                                <a:solidFill>
                                  <a:prstClr val="black"/>
                                </a:solidFill>
                              </a:ln>
                            </wps:spPr>
                            <wps:txbx>
                              <w:txbxContent>
                                <w:p w14:paraId="5EC165BA" w14:textId="77777777" w:rsidR="00392DB7" w:rsidRPr="00AE3212" w:rsidRDefault="00392DB7" w:rsidP="00392DB7">
                                  <w:pPr>
                                    <w:jc w:val="center"/>
                                    <w:rPr>
                                      <w:b/>
                                      <w:bCs/>
                                    </w:rPr>
                                  </w:pPr>
                                  <w:r>
                                    <w:rPr>
                                      <w:b/>
                                      <w:b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D0B27F" id="_x0000_s1082" type="#_x0000_t202" style="position:absolute;margin-left:85.65pt;margin-top:16.8pt;width:31.5pt;height:22.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" fillcolor="window" strokeweight=".5pt">
                      <v:textbox>
                        <w:txbxContent>
                          <w:p w14:paraId="5EC165BA" w14:textId="77777777" w:rsidR="00392DB7" w:rsidRPr="00AE3212" w:rsidRDefault="00392DB7" w:rsidP="00392DB7">
                            <w:pPr>
                              <w:jc w:val="center"/>
                              <w:rPr>
                                <w:b/>
                                <w:bCs/>
                              </w:rPr>
                            </w:pPr>
                            <w:r>
                              <w:rPr>
                                <w:b/>
                                <w:bCs/>
                              </w:rPr>
                              <w:t>D</w:t>
                            </w:r>
                          </w:p>
                        </w:txbxContent>
                      </v:textbox>
                    </v:shape>
                  </w:pict>
                </mc:Fallback>
              </mc:AlternateContent>
            </w:r>
            <w:r w:rsidRPr="007C5A6E">
              <w:rPr>
                <w:rFonts w:ascii="Times New Roman" w:hAnsi="Times New Roman"/>
                <w:noProof/>
                <w:sz w:val="24"/>
              </w:rPr>
              <w:drawing>
                <wp:inline distT="0" distB="0" distL="0" distR="0" wp14:anchorId="1E7F2087" wp14:editId="0286C921">
                  <wp:extent cx="3128010" cy="2171700"/>
                  <wp:effectExtent l="0" t="0" r="0" b="0"/>
                  <wp:docPr id="129479183"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3131067" cy="2173822"/>
                          </a:xfrm>
                          <a:prstGeom prst="rect">
                            <a:avLst/>
                          </a:prstGeom>
                          <a:noFill/>
                          <a:ln>
                            <a:noFill/>
                          </a:ln>
                        </pic:spPr>
                      </pic:pic>
                    </a:graphicData>
                  </a:graphic>
                </wp:inline>
              </w:drawing>
            </w:r>
          </w:p>
        </w:tc>
      </w:tr>
    </w:tbl>
    <w:p w14:paraId="2E958270" w14:textId="182C51EC" w:rsidR="00392DB7" w:rsidRPr="007C5A6E" w:rsidRDefault="00DB4F65" w:rsidP="00DB4F65">
      <w:pPr>
        <w:pStyle w:val="Lgende"/>
        <w:spacing w:after="0"/>
        <w:jc w:val="both"/>
        <w:rPr>
          <w:rFonts w:ascii="Times New Roman" w:eastAsiaTheme="minorHAnsi" w:hAnsi="Times New Roman"/>
          <w:color w:val="auto"/>
          <w:kern w:val="2"/>
          <w:sz w:val="24"/>
          <w:szCs w:val="24"/>
          <w:lang w:eastAsia="en-US"/>
          <w14:ligatures w14:val="standardContextual"/>
        </w:rPr>
      </w:pPr>
      <w:bookmarkStart w:id="145" w:name="_Toc183230865"/>
      <w:bookmarkStart w:id="146" w:name="_Toc183240658"/>
      <w:bookmarkStart w:id="147" w:name="_Toc183340397"/>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18</w:t>
      </w:r>
      <w:r w:rsidRPr="007C5A6E">
        <w:rPr>
          <w:rFonts w:ascii="Times New Roman" w:hAnsi="Times New Roman"/>
          <w:color w:val="auto"/>
          <w:sz w:val="24"/>
          <w:szCs w:val="24"/>
        </w:rPr>
        <w:fldChar w:fldCharType="end"/>
      </w:r>
      <w:r w:rsidR="00F37E83" w:rsidRPr="007C5A6E">
        <w:rPr>
          <w:rFonts w:ascii="Times New Roman" w:hAnsi="Times New Roman"/>
          <w:color w:val="auto"/>
          <w:sz w:val="24"/>
          <w:szCs w:val="24"/>
        </w:rPr>
        <w:t>.</w:t>
      </w:r>
      <w:r w:rsidR="00392DB7" w:rsidRPr="007C5A6E">
        <w:rPr>
          <w:rFonts w:ascii="Times New Roman" w:eastAsiaTheme="minorHAnsi" w:hAnsi="Times New Roman"/>
          <w:color w:val="auto"/>
          <w:kern w:val="2"/>
          <w:sz w:val="24"/>
          <w:szCs w:val="24"/>
          <w:lang w:eastAsia="en-US"/>
          <w14:ligatures w14:val="standardContextual"/>
        </w:rPr>
        <w:t xml:space="preserve"> Les températures maximales absolues à Dori (A), Ouagadougou (B), Bobo- Dioulasso (C), Pô (D).</w:t>
      </w:r>
      <w:bookmarkEnd w:id="145"/>
      <w:bookmarkEnd w:id="146"/>
      <w:bookmarkEnd w:id="147"/>
    </w:p>
    <w:p w14:paraId="38B9C839"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p>
    <w:p w14:paraId="4A42FBC3" w14:textId="669D203E" w:rsidR="00392DB7" w:rsidRPr="007C5A6E" w:rsidRDefault="00392DB7" w:rsidP="00684FF8">
      <w:pPr>
        <w:pStyle w:val="Titre4"/>
      </w:pPr>
      <w:bookmarkStart w:id="148" w:name="_Toc182582650"/>
      <w:bookmarkStart w:id="149" w:name="_Toc183340046"/>
      <w:r w:rsidRPr="007C5A6E">
        <w:t>L</w:t>
      </w:r>
      <w:r w:rsidR="00DB4F65" w:rsidRPr="007C5A6E">
        <w:t>a</w:t>
      </w:r>
      <w:r w:rsidRPr="007C5A6E">
        <w:t xml:space="preserve"> durée maximale de</w:t>
      </w:r>
      <w:r w:rsidR="00DB4F65" w:rsidRPr="007C5A6E">
        <w:t>s</w:t>
      </w:r>
      <w:r w:rsidRPr="007C5A6E">
        <w:t xml:space="preserve"> vagues de chaleur</w:t>
      </w:r>
      <w:bookmarkEnd w:id="148"/>
      <w:bookmarkEnd w:id="149"/>
    </w:p>
    <w:p w14:paraId="06C14581"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p>
    <w:p w14:paraId="3F941B4A" w14:textId="77777777" w:rsidR="00392DB7" w:rsidRPr="007C5A6E" w:rsidRDefault="00392DB7" w:rsidP="00392DB7">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Il apparaît clairement de la figure 19 une tendance notable à la baisse de la durée maximale des vagues de chaleur à Dori (A) et au contraire une tendance notable à la hausse à Ouagadougou. Les tendances à la hausse à Bobo-Dioulasso (C) en zone soudanienne et Boromo (D) en zone soudano-sahélienne sont très similaires.</w:t>
      </w:r>
    </w:p>
    <w:p w14:paraId="2FE7ACEB"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p>
    <w:tbl>
      <w:tblPr>
        <w:tblStyle w:val="Grilledutableau"/>
        <w:tblW w:w="9634" w:type="dxa"/>
        <w:tblLayout w:type="fixed"/>
        <w:tblCellMar>
          <w:left w:w="0" w:type="dxa"/>
          <w:right w:w="0" w:type="dxa"/>
        </w:tblCellMar>
        <w:tblLook w:val="04A0" w:firstRow="1" w:lastRow="0" w:firstColumn="1" w:lastColumn="0" w:noHBand="0" w:noVBand="1"/>
      </w:tblPr>
      <w:tblGrid>
        <w:gridCol w:w="4698"/>
        <w:gridCol w:w="4936"/>
      </w:tblGrid>
      <w:tr w:rsidR="00392DB7" w:rsidRPr="007C5A6E" w14:paraId="4924DF52" w14:textId="77777777" w:rsidTr="00457BED">
        <w:trPr>
          <w:cantSplit/>
          <w:trHeight w:val="3458"/>
        </w:trPr>
        <w:tc>
          <w:tcPr>
            <w:tcW w:w="4698" w:type="dxa"/>
          </w:tcPr>
          <w:p w14:paraId="65E16E56"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64896" behindDoc="0" locked="0" layoutInCell="1" allowOverlap="1" wp14:anchorId="07EF1E11" wp14:editId="7B612A12">
                      <wp:simplePos x="0" y="0"/>
                      <wp:positionH relativeFrom="column">
                        <wp:posOffset>650875</wp:posOffset>
                      </wp:positionH>
                      <wp:positionV relativeFrom="paragraph">
                        <wp:posOffset>237490</wp:posOffset>
                      </wp:positionV>
                      <wp:extent cx="400050" cy="285750"/>
                      <wp:effectExtent l="0" t="0" r="19050" b="19050"/>
                      <wp:wrapNone/>
                      <wp:docPr id="1579277081" name="Zone de texte 47"/>
                      <wp:cNvGraphicFramePr/>
                      <a:graphic xmlns:a="http://schemas.openxmlformats.org/drawingml/2006/main">
                        <a:graphicData uri="http://schemas.microsoft.com/office/word/2010/wordprocessingShape">
                          <wps:wsp>
                            <wps:cNvSpPr txBox="1"/>
                            <wps:spPr>
                              <a:xfrm>
                                <a:off x="0" y="0"/>
                                <a:ext cx="400050" cy="285750"/>
                              </a:xfrm>
                              <a:prstGeom prst="rect">
                                <a:avLst/>
                              </a:prstGeom>
                              <a:solidFill>
                                <a:sysClr val="window" lastClr="FFFFFF"/>
                              </a:solidFill>
                              <a:ln w="6350">
                                <a:solidFill>
                                  <a:prstClr val="black"/>
                                </a:solidFill>
                              </a:ln>
                            </wps:spPr>
                            <wps:txbx>
                              <w:txbxContent>
                                <w:p w14:paraId="0DBB64D4" w14:textId="77777777" w:rsidR="00392DB7" w:rsidRPr="00AE3212" w:rsidRDefault="00392DB7" w:rsidP="00392DB7">
                                  <w:pPr>
                                    <w:jc w:val="center"/>
                                    <w:rPr>
                                      <w:b/>
                                      <w:bCs/>
                                    </w:rPr>
                                  </w:pPr>
                                  <w:r>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EF1E11" id="_x0000_s1083" type="#_x0000_t202" style="position:absolute;margin-left:51.25pt;margin-top:18.7pt;width:31.5pt;height:22.5pt;z-index:25166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" fillcolor="window" strokeweight=".5pt">
                      <v:textbox>
                        <w:txbxContent>
                          <w:p w14:paraId="0DBB64D4" w14:textId="77777777" w:rsidR="00392DB7" w:rsidRPr="00AE3212" w:rsidRDefault="00392DB7" w:rsidP="00392DB7">
                            <w:pPr>
                              <w:jc w:val="center"/>
                              <w:rPr>
                                <w:b/>
                                <w:bCs/>
                              </w:rPr>
                            </w:pPr>
                            <w:r>
                              <w:rPr>
                                <w:b/>
                                <w:bCs/>
                              </w:rPr>
                              <w:t>A</w:t>
                            </w:r>
                          </w:p>
                        </w:txbxContent>
                      </v:textbox>
                    </v:shape>
                  </w:pict>
                </mc:Fallback>
              </mc:AlternateContent>
            </w:r>
            <w:r w:rsidRPr="007C5A6E">
              <w:rPr>
                <w:rFonts w:ascii="Times New Roman" w:hAnsi="Times New Roman"/>
                <w:noProof/>
                <w:sz w:val="24"/>
              </w:rPr>
              <w:drawing>
                <wp:inline distT="0" distB="0" distL="0" distR="0" wp14:anchorId="5997E1B5" wp14:editId="57696CFB">
                  <wp:extent cx="2976880" cy="2200275"/>
                  <wp:effectExtent l="0" t="0" r="0" b="9525"/>
                  <wp:docPr id="317052451"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052451" name="Image 317052451"/>
                          <pic:cNvPicPr/>
                        </pic:nvPicPr>
                        <pic:blipFill>
                          <a:blip r:embed="rId76" cstate="email">
                            <a:extLst>
                              <a:ext uri="{28A0092B-C50C-407E-A947-70E740481C1C}">
                                <a14:useLocalDpi xmlns:a14="http://schemas.microsoft.com/office/drawing/2010/main"/>
                              </a:ext>
                            </a:extLst>
                          </a:blip>
                          <a:stretch>
                            <a:fillRect/>
                          </a:stretch>
                        </pic:blipFill>
                        <pic:spPr>
                          <a:xfrm>
                            <a:off x="0" y="0"/>
                            <a:ext cx="2976880" cy="2200275"/>
                          </a:xfrm>
                          <a:prstGeom prst="rect">
                            <a:avLst/>
                          </a:prstGeom>
                        </pic:spPr>
                      </pic:pic>
                    </a:graphicData>
                  </a:graphic>
                </wp:inline>
              </w:drawing>
            </w:r>
          </w:p>
        </w:tc>
        <w:tc>
          <w:tcPr>
            <w:tcW w:w="4936" w:type="dxa"/>
          </w:tcPr>
          <w:p w14:paraId="1452D793"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65920" behindDoc="0" locked="0" layoutInCell="1" allowOverlap="1" wp14:anchorId="43BBCBB2" wp14:editId="168249B4">
                      <wp:simplePos x="0" y="0"/>
                      <wp:positionH relativeFrom="column">
                        <wp:posOffset>544195</wp:posOffset>
                      </wp:positionH>
                      <wp:positionV relativeFrom="paragraph">
                        <wp:posOffset>237490</wp:posOffset>
                      </wp:positionV>
                      <wp:extent cx="400050" cy="285750"/>
                      <wp:effectExtent l="0" t="0" r="19050" b="19050"/>
                      <wp:wrapNone/>
                      <wp:docPr id="1468319054" name="Zone de texte 47"/>
                      <wp:cNvGraphicFramePr/>
                      <a:graphic xmlns:a="http://schemas.openxmlformats.org/drawingml/2006/main">
                        <a:graphicData uri="http://schemas.microsoft.com/office/word/2010/wordprocessingShape">
                          <wps:wsp>
                            <wps:cNvSpPr txBox="1"/>
                            <wps:spPr>
                              <a:xfrm>
                                <a:off x="0" y="0"/>
                                <a:ext cx="400050" cy="285750"/>
                              </a:xfrm>
                              <a:prstGeom prst="rect">
                                <a:avLst/>
                              </a:prstGeom>
                              <a:solidFill>
                                <a:sysClr val="window" lastClr="FFFFFF"/>
                              </a:solidFill>
                              <a:ln w="6350">
                                <a:solidFill>
                                  <a:prstClr val="black"/>
                                </a:solidFill>
                              </a:ln>
                            </wps:spPr>
                            <wps:txbx>
                              <w:txbxContent>
                                <w:p w14:paraId="503AF8E3" w14:textId="77777777" w:rsidR="00392DB7" w:rsidRPr="00AE3212" w:rsidRDefault="00392DB7" w:rsidP="00392DB7">
                                  <w:pPr>
                                    <w:jc w:val="center"/>
                                    <w:rPr>
                                      <w:b/>
                                      <w:bCs/>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BBCBB2" id="_x0000_s1084" type="#_x0000_t202" style="position:absolute;margin-left:42.85pt;margin-top:18.7pt;width:31.5pt;height:22.5pt;z-index:25166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" fillcolor="window" strokeweight=".5pt">
                      <v:textbox>
                        <w:txbxContent>
                          <w:p w14:paraId="503AF8E3" w14:textId="77777777" w:rsidR="00392DB7" w:rsidRPr="00AE3212" w:rsidRDefault="00392DB7" w:rsidP="00392DB7">
                            <w:pPr>
                              <w:jc w:val="center"/>
                              <w:rPr>
                                <w:b/>
                                <w:bCs/>
                              </w:rPr>
                            </w:pPr>
                            <w:r>
                              <w:rPr>
                                <w:b/>
                                <w:bCs/>
                              </w:rPr>
                              <w:t>B</w:t>
                            </w:r>
                          </w:p>
                        </w:txbxContent>
                      </v:textbox>
                    </v:shape>
                  </w:pict>
                </mc:Fallback>
              </mc:AlternateContent>
            </w:r>
            <w:r w:rsidRPr="007C5A6E">
              <w:rPr>
                <w:rFonts w:ascii="Times New Roman" w:hAnsi="Times New Roman"/>
                <w:noProof/>
                <w:sz w:val="24"/>
              </w:rPr>
              <w:drawing>
                <wp:inline distT="0" distB="0" distL="0" distR="0" wp14:anchorId="1F52304C" wp14:editId="2C731E98">
                  <wp:extent cx="3128010" cy="2200275"/>
                  <wp:effectExtent l="0" t="0" r="0" b="9525"/>
                  <wp:docPr id="1199122051"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22051" name="Image 1199122051"/>
                          <pic:cNvPicPr/>
                        </pic:nvPicPr>
                        <pic:blipFill>
                          <a:blip r:embed="rId77" cstate="email">
                            <a:extLst>
                              <a:ext uri="{28A0092B-C50C-407E-A947-70E740481C1C}">
                                <a14:useLocalDpi xmlns:a14="http://schemas.microsoft.com/office/drawing/2010/main"/>
                              </a:ext>
                            </a:extLst>
                          </a:blip>
                          <a:stretch>
                            <a:fillRect/>
                          </a:stretch>
                        </pic:blipFill>
                        <pic:spPr>
                          <a:xfrm>
                            <a:off x="0" y="0"/>
                            <a:ext cx="3128010" cy="2200275"/>
                          </a:xfrm>
                          <a:prstGeom prst="rect">
                            <a:avLst/>
                          </a:prstGeom>
                        </pic:spPr>
                      </pic:pic>
                    </a:graphicData>
                  </a:graphic>
                </wp:inline>
              </w:drawing>
            </w:r>
          </w:p>
        </w:tc>
      </w:tr>
      <w:tr w:rsidR="00392DB7" w:rsidRPr="007C5A6E" w14:paraId="7EFFAA8A" w14:textId="77777777" w:rsidTr="00457BED">
        <w:trPr>
          <w:cantSplit/>
          <w:trHeight w:val="3458"/>
        </w:trPr>
        <w:tc>
          <w:tcPr>
            <w:tcW w:w="4698" w:type="dxa"/>
          </w:tcPr>
          <w:p w14:paraId="26981A1E"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66944" behindDoc="0" locked="0" layoutInCell="1" allowOverlap="1" wp14:anchorId="1B09EA7A" wp14:editId="667510AD">
                      <wp:simplePos x="0" y="0"/>
                      <wp:positionH relativeFrom="column">
                        <wp:posOffset>450850</wp:posOffset>
                      </wp:positionH>
                      <wp:positionV relativeFrom="paragraph">
                        <wp:posOffset>264795</wp:posOffset>
                      </wp:positionV>
                      <wp:extent cx="400050" cy="285750"/>
                      <wp:effectExtent l="0" t="0" r="19050" b="19050"/>
                      <wp:wrapNone/>
                      <wp:docPr id="1055397623" name="Zone de texte 47"/>
                      <wp:cNvGraphicFramePr/>
                      <a:graphic xmlns:a="http://schemas.openxmlformats.org/drawingml/2006/main">
                        <a:graphicData uri="http://schemas.microsoft.com/office/word/2010/wordprocessingShape">
                          <wps:wsp>
                            <wps:cNvSpPr txBox="1"/>
                            <wps:spPr>
                              <a:xfrm>
                                <a:off x="0" y="0"/>
                                <a:ext cx="400050" cy="285750"/>
                              </a:xfrm>
                              <a:prstGeom prst="rect">
                                <a:avLst/>
                              </a:prstGeom>
                              <a:solidFill>
                                <a:sysClr val="window" lastClr="FFFFFF"/>
                              </a:solidFill>
                              <a:ln w="6350">
                                <a:solidFill>
                                  <a:prstClr val="black"/>
                                </a:solidFill>
                              </a:ln>
                            </wps:spPr>
                            <wps:txbx>
                              <w:txbxContent>
                                <w:p w14:paraId="7E7DCB41" w14:textId="77777777" w:rsidR="00392DB7" w:rsidRPr="00AE3212" w:rsidRDefault="00392DB7" w:rsidP="00392DB7">
                                  <w:pPr>
                                    <w:jc w:val="center"/>
                                    <w:rPr>
                                      <w:b/>
                                      <w:bCs/>
                                    </w:rPr>
                                  </w:pPr>
                                  <w:r>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09EA7A" id="_x0000_s1085" type="#_x0000_t202" style="position:absolute;margin-left:35.5pt;margin-top:20.85pt;width:31.5pt;height:22.5pt;z-index:25166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" fillcolor="window" strokeweight=".5pt">
                      <v:textbox>
                        <w:txbxContent>
                          <w:p w14:paraId="7E7DCB41" w14:textId="77777777" w:rsidR="00392DB7" w:rsidRPr="00AE3212" w:rsidRDefault="00392DB7" w:rsidP="00392DB7">
                            <w:pPr>
                              <w:jc w:val="center"/>
                              <w:rPr>
                                <w:b/>
                                <w:bCs/>
                              </w:rPr>
                            </w:pPr>
                            <w:r>
                              <w:rPr>
                                <w:b/>
                                <w:bCs/>
                              </w:rPr>
                              <w:t>C</w:t>
                            </w:r>
                          </w:p>
                        </w:txbxContent>
                      </v:textbox>
                    </v:shape>
                  </w:pict>
                </mc:Fallback>
              </mc:AlternateContent>
            </w:r>
            <w:r w:rsidRPr="007C5A6E">
              <w:rPr>
                <w:rFonts w:ascii="Times New Roman" w:hAnsi="Times New Roman"/>
                <w:noProof/>
                <w:sz w:val="24"/>
              </w:rPr>
              <w:drawing>
                <wp:inline distT="0" distB="0" distL="0" distR="0" wp14:anchorId="340DAC31" wp14:editId="798989A9">
                  <wp:extent cx="2976880" cy="2171700"/>
                  <wp:effectExtent l="0" t="0" r="0" b="0"/>
                  <wp:docPr id="420587172"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587172" name="Image 420587172"/>
                          <pic:cNvPicPr/>
                        </pic:nvPicPr>
                        <pic:blipFill>
                          <a:blip r:embed="rId78" cstate="email">
                            <a:extLst>
                              <a:ext uri="{28A0092B-C50C-407E-A947-70E740481C1C}">
                                <a14:useLocalDpi xmlns:a14="http://schemas.microsoft.com/office/drawing/2010/main"/>
                              </a:ext>
                            </a:extLst>
                          </a:blip>
                          <a:stretch>
                            <a:fillRect/>
                          </a:stretch>
                        </pic:blipFill>
                        <pic:spPr>
                          <a:xfrm>
                            <a:off x="0" y="0"/>
                            <a:ext cx="2976880" cy="2171700"/>
                          </a:xfrm>
                          <a:prstGeom prst="rect">
                            <a:avLst/>
                          </a:prstGeom>
                        </pic:spPr>
                      </pic:pic>
                    </a:graphicData>
                  </a:graphic>
                </wp:inline>
              </w:drawing>
            </w:r>
          </w:p>
        </w:tc>
        <w:tc>
          <w:tcPr>
            <w:tcW w:w="4936" w:type="dxa"/>
          </w:tcPr>
          <w:p w14:paraId="342EB5C2" w14:textId="77777777" w:rsidR="00392DB7" w:rsidRPr="007C5A6E" w:rsidRDefault="00392DB7" w:rsidP="00392DB7">
            <w:pPr>
              <w:spacing w:after="0" w:line="240" w:lineRule="auto"/>
              <w:rPr>
                <w:rFonts w:ascii="Times New Roman" w:hAnsi="Times New Roman"/>
                <w:sz w:val="24"/>
              </w:rPr>
            </w:pPr>
            <w:r w:rsidRPr="007C5A6E">
              <w:rPr>
                <w:rFonts w:ascii="Times New Roman" w:hAnsi="Times New Roman"/>
                <w:noProof/>
                <w:sz w:val="24"/>
              </w:rPr>
              <mc:AlternateContent>
                <mc:Choice Requires="wps">
                  <w:drawing>
                    <wp:anchor distT="0" distB="0" distL="114300" distR="114300" simplePos="0" relativeHeight="251673088" behindDoc="0" locked="0" layoutInCell="1" allowOverlap="1" wp14:anchorId="3B0083AF" wp14:editId="1DC8973C">
                      <wp:simplePos x="0" y="0"/>
                      <wp:positionH relativeFrom="column">
                        <wp:posOffset>603250</wp:posOffset>
                      </wp:positionH>
                      <wp:positionV relativeFrom="paragraph">
                        <wp:posOffset>309245</wp:posOffset>
                      </wp:positionV>
                      <wp:extent cx="363331" cy="320447"/>
                      <wp:effectExtent l="0" t="0" r="17780" b="22860"/>
                      <wp:wrapNone/>
                      <wp:docPr id="339389764" name="Zone de texte 47"/>
                      <wp:cNvGraphicFramePr/>
                      <a:graphic xmlns:a="http://schemas.openxmlformats.org/drawingml/2006/main">
                        <a:graphicData uri="http://schemas.microsoft.com/office/word/2010/wordprocessingShape">
                          <wps:wsp>
                            <wps:cNvSpPr txBox="1"/>
                            <wps:spPr>
                              <a:xfrm>
                                <a:off x="0" y="0"/>
                                <a:ext cx="363331" cy="320447"/>
                              </a:xfrm>
                              <a:prstGeom prst="rect">
                                <a:avLst/>
                              </a:prstGeom>
                              <a:solidFill>
                                <a:sysClr val="window" lastClr="FFFFFF"/>
                              </a:solidFill>
                              <a:ln w="6350">
                                <a:solidFill>
                                  <a:prstClr val="black"/>
                                </a:solidFill>
                              </a:ln>
                            </wps:spPr>
                            <wps:txbx>
                              <w:txbxContent>
                                <w:p w14:paraId="790BC505" w14:textId="77777777" w:rsidR="00392DB7" w:rsidRPr="00AE3212" w:rsidRDefault="00392DB7" w:rsidP="00392DB7">
                                  <w:pPr>
                                    <w:jc w:val="center"/>
                                    <w:rPr>
                                      <w:b/>
                                      <w:bCs/>
                                    </w:rPr>
                                  </w:pPr>
                                  <w:r>
                                    <w:rPr>
                                      <w:b/>
                                      <w:b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083AF" id="_x0000_s1086" type="#_x0000_t202" style="position:absolute;margin-left:47.5pt;margin-top:24.35pt;width:28.6pt;height:25.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" fillcolor="window" strokeweight=".5pt">
                      <v:textbox>
                        <w:txbxContent>
                          <w:p w14:paraId="790BC505" w14:textId="77777777" w:rsidR="00392DB7" w:rsidRPr="00AE3212" w:rsidRDefault="00392DB7" w:rsidP="00392DB7">
                            <w:pPr>
                              <w:jc w:val="center"/>
                              <w:rPr>
                                <w:b/>
                                <w:bCs/>
                              </w:rPr>
                            </w:pPr>
                            <w:r>
                              <w:rPr>
                                <w:b/>
                                <w:bCs/>
                              </w:rPr>
                              <w:t>D</w:t>
                            </w:r>
                          </w:p>
                        </w:txbxContent>
                      </v:textbox>
                    </v:shape>
                  </w:pict>
                </mc:Fallback>
              </mc:AlternateContent>
            </w:r>
            <w:r w:rsidRPr="007C5A6E">
              <w:rPr>
                <w:rFonts w:ascii="Times New Roman" w:hAnsi="Times New Roman"/>
                <w:noProof/>
                <w:sz w:val="24"/>
              </w:rPr>
              <w:drawing>
                <wp:inline distT="0" distB="0" distL="0" distR="0" wp14:anchorId="335E974A" wp14:editId="78874C5D">
                  <wp:extent cx="3128010" cy="2205355"/>
                  <wp:effectExtent l="0" t="0" r="0" b="4445"/>
                  <wp:docPr id="553485019"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3135269" cy="2210473"/>
                          </a:xfrm>
                          <a:prstGeom prst="rect">
                            <a:avLst/>
                          </a:prstGeom>
                          <a:noFill/>
                          <a:ln>
                            <a:noFill/>
                          </a:ln>
                        </pic:spPr>
                      </pic:pic>
                    </a:graphicData>
                  </a:graphic>
                </wp:inline>
              </w:drawing>
            </w:r>
          </w:p>
        </w:tc>
      </w:tr>
    </w:tbl>
    <w:p w14:paraId="313E72E2" w14:textId="3EF49770" w:rsidR="00392DB7" w:rsidRPr="007C5A6E" w:rsidRDefault="00DB4F65" w:rsidP="00DB4F65">
      <w:pPr>
        <w:pStyle w:val="Lgende"/>
        <w:spacing w:after="0"/>
        <w:jc w:val="both"/>
        <w:rPr>
          <w:rFonts w:ascii="Times New Roman" w:hAnsi="Times New Roman"/>
          <w:color w:val="auto"/>
          <w:sz w:val="24"/>
          <w:szCs w:val="24"/>
        </w:rPr>
      </w:pPr>
      <w:bookmarkStart w:id="150" w:name="_Toc183230866"/>
      <w:bookmarkStart w:id="151" w:name="_Toc183240659"/>
      <w:bookmarkStart w:id="152" w:name="_Toc183340398"/>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19</w:t>
      </w:r>
      <w:r w:rsidRPr="007C5A6E">
        <w:rPr>
          <w:rFonts w:ascii="Times New Roman" w:hAnsi="Times New Roman"/>
          <w:color w:val="auto"/>
          <w:sz w:val="24"/>
          <w:szCs w:val="24"/>
        </w:rPr>
        <w:fldChar w:fldCharType="end"/>
      </w:r>
      <w:r w:rsidR="00F37E83" w:rsidRPr="007C5A6E">
        <w:rPr>
          <w:rFonts w:ascii="Times New Roman" w:hAnsi="Times New Roman"/>
          <w:color w:val="auto"/>
          <w:sz w:val="24"/>
          <w:szCs w:val="24"/>
        </w:rPr>
        <w:t>.</w:t>
      </w:r>
      <w:r w:rsidR="00392DB7" w:rsidRPr="007C5A6E">
        <w:rPr>
          <w:rFonts w:ascii="Times New Roman" w:hAnsi="Times New Roman"/>
          <w:color w:val="auto"/>
          <w:sz w:val="24"/>
          <w:szCs w:val="24"/>
        </w:rPr>
        <w:t xml:space="preserve"> Les durées maximales des vagues de chaleur à Dori (A), Ouagadougou (B), Bobo-Dioulasso (C) et Boromo (D).</w:t>
      </w:r>
      <w:bookmarkEnd w:id="150"/>
      <w:bookmarkEnd w:id="151"/>
      <w:bookmarkEnd w:id="152"/>
    </w:p>
    <w:p w14:paraId="43CA2098" w14:textId="77777777" w:rsidR="00392DB7" w:rsidRPr="007C5A6E" w:rsidRDefault="00392DB7" w:rsidP="00392DB7">
      <w:pPr>
        <w:spacing w:after="0" w:line="240" w:lineRule="auto"/>
        <w:rPr>
          <w:rFonts w:ascii="Times New Roman" w:eastAsiaTheme="minorHAnsi" w:hAnsi="Times New Roman" w:cstheme="minorBidi"/>
          <w:kern w:val="2"/>
          <w:sz w:val="24"/>
          <w:lang w:eastAsia="en-US"/>
          <w14:ligatures w14:val="standardContextual"/>
        </w:rPr>
      </w:pPr>
    </w:p>
    <w:p w14:paraId="452F6206" w14:textId="1106C5BC" w:rsidR="00755C94" w:rsidRPr="007C5A6E" w:rsidRDefault="00755C94" w:rsidP="00712C43">
      <w:pPr>
        <w:pStyle w:val="Titre2"/>
      </w:pPr>
      <w:bookmarkStart w:id="153" w:name="_Toc183340047"/>
      <w:r w:rsidRPr="007C5A6E">
        <w:t>Les proj</w:t>
      </w:r>
      <w:r w:rsidR="00DB4F65" w:rsidRPr="007C5A6E">
        <w:t>e</w:t>
      </w:r>
      <w:r w:rsidRPr="007C5A6E">
        <w:t xml:space="preserve">ctions </w:t>
      </w:r>
      <w:r w:rsidR="0073535A" w:rsidRPr="007C5A6E">
        <w:t xml:space="preserve">climatiques </w:t>
      </w:r>
      <w:r w:rsidR="00B94F95" w:rsidRPr="007C5A6E">
        <w:t>futures</w:t>
      </w:r>
      <w:bookmarkEnd w:id="153"/>
      <w:r w:rsidRPr="007C5A6E">
        <w:t xml:space="preserve"> </w:t>
      </w:r>
    </w:p>
    <w:p w14:paraId="39D4891C" w14:textId="77777777" w:rsidR="00755C94" w:rsidRPr="007C5A6E" w:rsidRDefault="00755C94" w:rsidP="00431FF2">
      <w:pPr>
        <w:spacing w:after="0" w:line="240" w:lineRule="auto"/>
        <w:rPr>
          <w:rFonts w:ascii="Times New Roman" w:hAnsi="Times New Roman"/>
          <w:sz w:val="24"/>
          <w:szCs w:val="24"/>
        </w:rPr>
      </w:pPr>
    </w:p>
    <w:p w14:paraId="4E464C9E" w14:textId="3ED3853A" w:rsidR="0073535A" w:rsidRPr="007C5A6E" w:rsidRDefault="0073535A" w:rsidP="00704956">
      <w:pPr>
        <w:pStyle w:val="Titre3"/>
      </w:pPr>
      <w:bookmarkStart w:id="154" w:name="_Toc183340048"/>
      <w:r w:rsidRPr="007C5A6E">
        <w:t xml:space="preserve">Les </w:t>
      </w:r>
      <w:r w:rsidR="00704956" w:rsidRPr="007C5A6E">
        <w:t>modèles et scénarios utilisés</w:t>
      </w:r>
      <w:bookmarkEnd w:id="154"/>
      <w:r w:rsidR="00704956" w:rsidRPr="007C5A6E">
        <w:t xml:space="preserve"> </w:t>
      </w:r>
    </w:p>
    <w:p w14:paraId="4CBC1E2A" w14:textId="77777777" w:rsidR="0073535A" w:rsidRPr="007C5A6E" w:rsidRDefault="0073535A" w:rsidP="00431FF2">
      <w:pPr>
        <w:spacing w:after="0" w:line="240" w:lineRule="auto"/>
        <w:rPr>
          <w:rFonts w:ascii="Times New Roman" w:hAnsi="Times New Roman"/>
          <w:sz w:val="24"/>
          <w:szCs w:val="24"/>
        </w:rPr>
      </w:pPr>
    </w:p>
    <w:p w14:paraId="4080D857" w14:textId="77777777" w:rsidR="0073535A" w:rsidRPr="007C5A6E" w:rsidRDefault="0073535A" w:rsidP="00684FF8">
      <w:pPr>
        <w:pStyle w:val="Titre4"/>
      </w:pPr>
      <w:bookmarkStart w:id="155" w:name="_Toc182582653"/>
      <w:bookmarkStart w:id="156" w:name="_Toc183340049"/>
      <w:r w:rsidRPr="007C5A6E">
        <w:t>Les modèles CMIP6</w:t>
      </w:r>
      <w:bookmarkEnd w:id="155"/>
      <w:bookmarkEnd w:id="156"/>
    </w:p>
    <w:p w14:paraId="29F865C9" w14:textId="77777777" w:rsidR="0073535A" w:rsidRPr="007C5A6E" w:rsidRDefault="0073535A" w:rsidP="00704956">
      <w:pPr>
        <w:spacing w:after="0" w:line="240" w:lineRule="auto"/>
        <w:rPr>
          <w:rFonts w:ascii="Times New Roman" w:eastAsiaTheme="minorHAnsi" w:hAnsi="Times New Roman" w:cstheme="minorBidi"/>
          <w:kern w:val="2"/>
          <w:sz w:val="24"/>
          <w:lang w:eastAsia="en-US"/>
          <w14:ligatures w14:val="standardContextual"/>
        </w:rPr>
      </w:pPr>
    </w:p>
    <w:p w14:paraId="3965A43D" w14:textId="77777777" w:rsidR="0073535A" w:rsidRPr="007C5A6E" w:rsidRDefault="0073535A" w:rsidP="00704956">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 xml:space="preserve">Le Projet de comparaison de modèles couplés (CMIP) est une collaboration scientifique internationale s'inscrivant dans le Programme mondial de recherche sur le climat des Nations Unies. Des équipes de modélisation climatique de partout dans le monde y participent. CMIP6 est la sixième et plus récente phase de collaboration dans le cadre du CMIP. </w:t>
      </w:r>
    </w:p>
    <w:p w14:paraId="508E9854" w14:textId="77777777" w:rsidR="00B9562E" w:rsidRPr="007C5A6E" w:rsidRDefault="00B9562E" w:rsidP="00704956">
      <w:pPr>
        <w:spacing w:after="0" w:line="240" w:lineRule="auto"/>
        <w:jc w:val="both"/>
        <w:rPr>
          <w:rFonts w:ascii="Times New Roman" w:eastAsiaTheme="minorHAnsi" w:hAnsi="Times New Roman" w:cstheme="minorBidi"/>
          <w:kern w:val="2"/>
          <w:sz w:val="24"/>
          <w:lang w:eastAsia="en-US"/>
          <w14:ligatures w14:val="standardContextual"/>
        </w:rPr>
      </w:pPr>
    </w:p>
    <w:p w14:paraId="2D9150CF" w14:textId="77777777" w:rsidR="0073535A" w:rsidRPr="007C5A6E" w:rsidRDefault="0073535A" w:rsidP="00704956">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Les modèles de circulation générale (GCM) sont des modèles numériques qui simulent les conditions climatiques mondiales antérieures, contemporaines et à venir (</w:t>
      </w:r>
      <w:proofErr w:type="spellStart"/>
      <w:r w:rsidRPr="007C5A6E">
        <w:rPr>
          <w:rFonts w:ascii="Times New Roman" w:eastAsiaTheme="minorHAnsi" w:hAnsi="Times New Roman" w:cstheme="minorBidi"/>
          <w:kern w:val="2"/>
          <w:sz w:val="24"/>
          <w:lang w:eastAsia="en-US"/>
          <w14:ligatures w14:val="standardContextual"/>
        </w:rPr>
        <w:t>Alizadeh</w:t>
      </w:r>
      <w:proofErr w:type="spellEnd"/>
      <w:r w:rsidRPr="007C5A6E">
        <w:rPr>
          <w:rFonts w:ascii="Times New Roman" w:eastAsiaTheme="minorHAnsi" w:hAnsi="Times New Roman" w:cstheme="minorBidi"/>
          <w:kern w:val="2"/>
          <w:sz w:val="24"/>
          <w:lang w:eastAsia="en-US"/>
          <w14:ligatures w14:val="standardContextual"/>
        </w:rPr>
        <w:t>, 2022).</w:t>
      </w:r>
    </w:p>
    <w:p w14:paraId="3AD5EDB1" w14:textId="77777777" w:rsidR="0073535A" w:rsidRPr="007C5A6E" w:rsidRDefault="0073535A" w:rsidP="00704956">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Les données CMIP6 sont les plus récentes données tirées des modèles climatiques mondiaux disponibles. CMIP6 fournit un ensemble de données climatiques provenant de plus de 30 GCM développés par diverses organisations.</w:t>
      </w:r>
    </w:p>
    <w:p w14:paraId="6F024B63" w14:textId="77777777" w:rsidR="0007536B" w:rsidRPr="007C5A6E" w:rsidRDefault="0007536B" w:rsidP="00704956">
      <w:pPr>
        <w:spacing w:after="0" w:line="240" w:lineRule="auto"/>
        <w:jc w:val="both"/>
        <w:rPr>
          <w:rFonts w:ascii="Times New Roman" w:eastAsiaTheme="minorHAnsi" w:hAnsi="Times New Roman" w:cstheme="minorBidi"/>
          <w:kern w:val="2"/>
          <w:sz w:val="24"/>
          <w:lang w:eastAsia="en-US"/>
          <w14:ligatures w14:val="standardContextual"/>
        </w:rPr>
      </w:pPr>
    </w:p>
    <w:tbl>
      <w:tblPr>
        <w:tblStyle w:val="Grilledutableau"/>
        <w:tblW w:w="0" w:type="auto"/>
        <w:tblLook w:val="04A0" w:firstRow="1" w:lastRow="0" w:firstColumn="1" w:lastColumn="0" w:noHBand="0" w:noVBand="1"/>
      </w:tblPr>
      <w:tblGrid>
        <w:gridCol w:w="4587"/>
        <w:gridCol w:w="4588"/>
      </w:tblGrid>
      <w:tr w:rsidR="0007536B" w:rsidRPr="007C5A6E" w14:paraId="074803F5" w14:textId="77777777" w:rsidTr="0007536B">
        <w:tc>
          <w:tcPr>
            <w:tcW w:w="4673" w:type="dxa"/>
          </w:tcPr>
          <w:p w14:paraId="699A7478" w14:textId="52CA8E57" w:rsidR="0007536B" w:rsidRPr="007C5A6E" w:rsidRDefault="0007536B" w:rsidP="00704956">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noProof/>
                <w:sz w:val="24"/>
                <w:lang w:eastAsia="en-US"/>
                <w14:ligatures w14:val="standardContextual"/>
              </w:rPr>
              <mc:AlternateContent>
                <mc:Choice Requires="wps">
                  <w:drawing>
                    <wp:anchor distT="0" distB="0" distL="114300" distR="114300" simplePos="0" relativeHeight="251677184" behindDoc="0" locked="0" layoutInCell="1" allowOverlap="1" wp14:anchorId="3FC37792" wp14:editId="6EA1EC6A">
                      <wp:simplePos x="0" y="0"/>
                      <wp:positionH relativeFrom="column">
                        <wp:posOffset>76200</wp:posOffset>
                      </wp:positionH>
                      <wp:positionV relativeFrom="paragraph">
                        <wp:posOffset>1785620</wp:posOffset>
                      </wp:positionV>
                      <wp:extent cx="304800" cy="285750"/>
                      <wp:effectExtent l="0" t="0" r="19050" b="19050"/>
                      <wp:wrapNone/>
                      <wp:docPr id="1821435484" name="Zone de texte 1"/>
                      <wp:cNvGraphicFramePr/>
                      <a:graphic xmlns:a="http://schemas.openxmlformats.org/drawingml/2006/main">
                        <a:graphicData uri="http://schemas.microsoft.com/office/word/2010/wordprocessingShape">
                          <wps:wsp>
                            <wps:cNvSpPr txBox="1"/>
                            <wps:spPr>
                              <a:xfrm>
                                <a:off x="0" y="0"/>
                                <a:ext cx="304800" cy="285750"/>
                              </a:xfrm>
                              <a:prstGeom prst="rect">
                                <a:avLst/>
                              </a:prstGeom>
                              <a:solidFill>
                                <a:schemeClr val="lt1"/>
                              </a:solidFill>
                              <a:ln w="6350">
                                <a:solidFill>
                                  <a:prstClr val="black"/>
                                </a:solidFill>
                              </a:ln>
                            </wps:spPr>
                            <wps:txbx>
                              <w:txbxContent>
                                <w:p w14:paraId="4825BA1D" w14:textId="0DEB6EAF" w:rsidR="0007536B" w:rsidRPr="0007536B" w:rsidRDefault="0007536B">
                                  <w:pPr>
                                    <w:rPr>
                                      <w:rFonts w:ascii="Bodoni MT Black" w:hAnsi="Bodoni MT Black"/>
                                      <w:sz w:val="24"/>
                                      <w:szCs w:val="24"/>
                                    </w:rPr>
                                  </w:pPr>
                                  <w:r w:rsidRPr="0007536B">
                                    <w:rPr>
                                      <w:rFonts w:ascii="Bodoni MT Black" w:hAnsi="Bodoni MT Black"/>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37792" id="Zone de texte 1" o:spid="_x0000_s1087" type="#_x0000_t202" style="position:absolute;left:0;text-align:left;margin-left:6pt;margin-top:140.6pt;width:24pt;height:22.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" fillcolor="white [3201]" strokeweight=".5pt">
                      <v:textbox>
                        <w:txbxContent>
                          <w:p w14:paraId="4825BA1D" w14:textId="0DEB6EAF" w:rsidR="0007536B" w:rsidRPr="0007536B" w:rsidRDefault="0007536B">
                            <w:pPr>
                              <w:rPr>
                                <w:rFonts w:ascii="Bodoni MT Black" w:hAnsi="Bodoni MT Black"/>
                                <w:sz w:val="24"/>
                                <w:szCs w:val="24"/>
                              </w:rPr>
                            </w:pPr>
                            <w:r w:rsidRPr="0007536B">
                              <w:rPr>
                                <w:rFonts w:ascii="Bodoni MT Black" w:hAnsi="Bodoni MT Black"/>
                                <w:sz w:val="24"/>
                                <w:szCs w:val="24"/>
                              </w:rPr>
                              <w:t>A</w:t>
                            </w:r>
                          </w:p>
                        </w:txbxContent>
                      </v:textbox>
                    </v:shape>
                  </w:pict>
                </mc:Fallback>
              </mc:AlternateContent>
            </w:r>
            <w:r w:rsidRPr="007C5A6E">
              <w:rPr>
                <w:rFonts w:ascii="Times New Roman" w:eastAsiaTheme="minorHAnsi" w:hAnsi="Times New Roman" w:cstheme="minorBidi"/>
                <w:noProof/>
                <w:sz w:val="24"/>
                <w:lang w:eastAsia="en-US"/>
              </w:rPr>
              <w:drawing>
                <wp:inline distT="0" distB="0" distL="0" distR="0" wp14:anchorId="3458C80D" wp14:editId="4F7C8F03">
                  <wp:extent cx="2913380" cy="2162175"/>
                  <wp:effectExtent l="0" t="0" r="1270" b="9525"/>
                  <wp:docPr id="27561371"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61371" name="Image 27561371"/>
                          <pic:cNvPicPr/>
                        </pic:nvPicPr>
                        <pic:blipFill>
                          <a:blip r:embed="rId80" cstate="email">
                            <a:extLst>
                              <a:ext uri="{28A0092B-C50C-407E-A947-70E740481C1C}">
                                <a14:useLocalDpi xmlns:a14="http://schemas.microsoft.com/office/drawing/2010/main"/>
                              </a:ext>
                            </a:extLst>
                          </a:blip>
                          <a:stretch>
                            <a:fillRect/>
                          </a:stretch>
                        </pic:blipFill>
                        <pic:spPr>
                          <a:xfrm>
                            <a:off x="0" y="0"/>
                            <a:ext cx="2917118" cy="2164949"/>
                          </a:xfrm>
                          <a:prstGeom prst="rect">
                            <a:avLst/>
                          </a:prstGeom>
                        </pic:spPr>
                      </pic:pic>
                    </a:graphicData>
                  </a:graphic>
                </wp:inline>
              </w:drawing>
            </w:r>
          </w:p>
        </w:tc>
        <w:tc>
          <w:tcPr>
            <w:tcW w:w="4673" w:type="dxa"/>
          </w:tcPr>
          <w:p w14:paraId="6572FC5A" w14:textId="48624512" w:rsidR="0007536B" w:rsidRPr="007C5A6E" w:rsidRDefault="0007536B" w:rsidP="00704956">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noProof/>
                <w:sz w:val="24"/>
                <w:lang w:eastAsia="en-US"/>
                <w14:ligatures w14:val="standardContextual"/>
              </w:rPr>
              <mc:AlternateContent>
                <mc:Choice Requires="wps">
                  <w:drawing>
                    <wp:anchor distT="0" distB="0" distL="114300" distR="114300" simplePos="0" relativeHeight="251678208" behindDoc="0" locked="0" layoutInCell="1" allowOverlap="1" wp14:anchorId="7D009415" wp14:editId="16EFDE8B">
                      <wp:simplePos x="0" y="0"/>
                      <wp:positionH relativeFrom="column">
                        <wp:posOffset>90170</wp:posOffset>
                      </wp:positionH>
                      <wp:positionV relativeFrom="paragraph">
                        <wp:posOffset>2071369</wp:posOffset>
                      </wp:positionV>
                      <wp:extent cx="331470" cy="257175"/>
                      <wp:effectExtent l="0" t="0" r="11430" b="28575"/>
                      <wp:wrapNone/>
                      <wp:docPr id="1499189764" name="Zone de texte 2"/>
                      <wp:cNvGraphicFramePr/>
                      <a:graphic xmlns:a="http://schemas.openxmlformats.org/drawingml/2006/main">
                        <a:graphicData uri="http://schemas.microsoft.com/office/word/2010/wordprocessingShape">
                          <wps:wsp>
                            <wps:cNvSpPr txBox="1"/>
                            <wps:spPr>
                              <a:xfrm>
                                <a:off x="0" y="0"/>
                                <a:ext cx="331470" cy="257175"/>
                              </a:xfrm>
                              <a:prstGeom prst="rect">
                                <a:avLst/>
                              </a:prstGeom>
                              <a:solidFill>
                                <a:schemeClr val="lt1"/>
                              </a:solidFill>
                              <a:ln w="6350">
                                <a:solidFill>
                                  <a:prstClr val="black"/>
                                </a:solidFill>
                              </a:ln>
                            </wps:spPr>
                            <wps:txbx>
                              <w:txbxContent>
                                <w:p w14:paraId="55C470BE" w14:textId="2889329A" w:rsidR="0007536B" w:rsidRPr="0007536B" w:rsidRDefault="0007536B">
                                  <w:pPr>
                                    <w:rPr>
                                      <w:rFonts w:ascii="Bodoni MT Black" w:hAnsi="Bodoni MT Black"/>
                                      <w:sz w:val="24"/>
                                      <w:szCs w:val="24"/>
                                    </w:rPr>
                                  </w:pPr>
                                  <w:r w:rsidRPr="0007536B">
                                    <w:rPr>
                                      <w:rFonts w:ascii="Bodoni MT Black" w:hAnsi="Bodoni MT Black"/>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09415" id="Zone de texte 2" o:spid="_x0000_s1088" type="#_x0000_t202" style="position:absolute;left:0;text-align:left;margin-left:7.1pt;margin-top:163.1pt;width:26.1pt;height:20.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" fillcolor="white [3201]" strokeweight=".5pt">
                      <v:textbox>
                        <w:txbxContent>
                          <w:p w14:paraId="55C470BE" w14:textId="2889329A" w:rsidR="0007536B" w:rsidRPr="0007536B" w:rsidRDefault="0007536B">
                            <w:pPr>
                              <w:rPr>
                                <w:rFonts w:ascii="Bodoni MT Black" w:hAnsi="Bodoni MT Black"/>
                                <w:sz w:val="24"/>
                                <w:szCs w:val="24"/>
                              </w:rPr>
                            </w:pPr>
                            <w:r w:rsidRPr="0007536B">
                              <w:rPr>
                                <w:rFonts w:ascii="Bodoni MT Black" w:hAnsi="Bodoni MT Black"/>
                                <w:sz w:val="24"/>
                                <w:szCs w:val="24"/>
                              </w:rPr>
                              <w:t>B</w:t>
                            </w:r>
                          </w:p>
                        </w:txbxContent>
                      </v:textbox>
                    </v:shape>
                  </w:pict>
                </mc:Fallback>
              </mc:AlternateContent>
            </w:r>
            <w:r w:rsidRPr="007C5A6E">
              <w:rPr>
                <w:rFonts w:ascii="Times New Roman" w:eastAsiaTheme="minorHAnsi" w:hAnsi="Times New Roman" w:cstheme="minorBidi"/>
                <w:noProof/>
                <w:sz w:val="24"/>
                <w:lang w:eastAsia="en-US"/>
              </w:rPr>
              <w:drawing>
                <wp:inline distT="0" distB="0" distL="0" distR="0" wp14:anchorId="11AF80D9" wp14:editId="64092FD3">
                  <wp:extent cx="2914015" cy="2162175"/>
                  <wp:effectExtent l="0" t="0" r="635" b="9525"/>
                  <wp:docPr id="642252867"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252867" name="Image 642252867"/>
                          <pic:cNvPicPr/>
                        </pic:nvPicPr>
                        <pic:blipFill>
                          <a:blip r:embed="rId81" cstate="email">
                            <a:extLst>
                              <a:ext uri="{28A0092B-C50C-407E-A947-70E740481C1C}">
                                <a14:useLocalDpi xmlns:a14="http://schemas.microsoft.com/office/drawing/2010/main"/>
                              </a:ext>
                            </a:extLst>
                          </a:blip>
                          <a:stretch>
                            <a:fillRect/>
                          </a:stretch>
                        </pic:blipFill>
                        <pic:spPr>
                          <a:xfrm>
                            <a:off x="0" y="0"/>
                            <a:ext cx="2920781" cy="2167195"/>
                          </a:xfrm>
                          <a:prstGeom prst="rect">
                            <a:avLst/>
                          </a:prstGeom>
                        </pic:spPr>
                      </pic:pic>
                    </a:graphicData>
                  </a:graphic>
                </wp:inline>
              </w:drawing>
            </w:r>
          </w:p>
        </w:tc>
      </w:tr>
    </w:tbl>
    <w:p w14:paraId="1B1A5739" w14:textId="183489C5" w:rsidR="0073535A" w:rsidRPr="007C5A6E" w:rsidRDefault="0007536B" w:rsidP="008D1FFC">
      <w:pPr>
        <w:pStyle w:val="Lgende"/>
        <w:spacing w:after="0"/>
        <w:jc w:val="both"/>
        <w:rPr>
          <w:rFonts w:ascii="Times New Roman" w:eastAsiaTheme="minorHAnsi" w:hAnsi="Times New Roman"/>
          <w:color w:val="auto"/>
          <w:kern w:val="2"/>
          <w:sz w:val="24"/>
          <w:szCs w:val="24"/>
          <w:lang w:eastAsia="en-US"/>
          <w14:ligatures w14:val="standardContextual"/>
        </w:rPr>
      </w:pPr>
      <w:bookmarkStart w:id="157" w:name="_Toc183230867"/>
      <w:bookmarkStart w:id="158" w:name="_Toc183240660"/>
      <w:bookmarkStart w:id="159" w:name="_Toc183340399"/>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235203" w:rsidRPr="007C5A6E">
        <w:rPr>
          <w:rFonts w:ascii="Times New Roman" w:hAnsi="Times New Roman"/>
          <w:noProof/>
          <w:color w:val="auto"/>
          <w:sz w:val="24"/>
          <w:szCs w:val="24"/>
        </w:rPr>
        <w:t>20</w:t>
      </w:r>
      <w:r w:rsidRPr="007C5A6E">
        <w:rPr>
          <w:rFonts w:ascii="Times New Roman" w:hAnsi="Times New Roman"/>
          <w:color w:val="auto"/>
          <w:sz w:val="24"/>
          <w:szCs w:val="24"/>
        </w:rPr>
        <w:fldChar w:fldCharType="end"/>
      </w:r>
      <w:r w:rsidR="00B9562E" w:rsidRPr="007C5A6E">
        <w:rPr>
          <w:rFonts w:ascii="Times New Roman" w:hAnsi="Times New Roman"/>
          <w:color w:val="auto"/>
          <w:sz w:val="24"/>
          <w:szCs w:val="24"/>
        </w:rPr>
        <w:t>.</w:t>
      </w:r>
      <w:r w:rsidR="0073535A" w:rsidRPr="007C5A6E">
        <w:rPr>
          <w:rFonts w:ascii="Times New Roman" w:eastAsiaTheme="minorHAnsi" w:hAnsi="Times New Roman"/>
          <w:color w:val="auto"/>
          <w:kern w:val="2"/>
          <w:sz w:val="24"/>
          <w:szCs w:val="24"/>
          <w:lang w:eastAsia="en-US"/>
          <w14:ligatures w14:val="standardContextual"/>
        </w:rPr>
        <w:t xml:space="preserve"> Les GCM retirés du </w:t>
      </w:r>
      <w:proofErr w:type="spellStart"/>
      <w:r w:rsidR="0073535A" w:rsidRPr="007C5A6E">
        <w:rPr>
          <w:rFonts w:ascii="Times New Roman" w:eastAsiaTheme="minorHAnsi" w:hAnsi="Times New Roman"/>
          <w:color w:val="auto"/>
          <w:kern w:val="2"/>
          <w:sz w:val="24"/>
          <w:szCs w:val="24"/>
          <w:lang w:eastAsia="en-US"/>
          <w14:ligatures w14:val="standardContextual"/>
        </w:rPr>
        <w:t>multi-modèle</w:t>
      </w:r>
      <w:proofErr w:type="spellEnd"/>
      <w:r w:rsidR="0073535A" w:rsidRPr="007C5A6E">
        <w:rPr>
          <w:rFonts w:ascii="Times New Roman" w:eastAsiaTheme="minorHAnsi" w:hAnsi="Times New Roman"/>
          <w:color w:val="auto"/>
          <w:kern w:val="2"/>
          <w:sz w:val="24"/>
          <w:szCs w:val="24"/>
          <w:lang w:eastAsia="en-US"/>
          <w14:ligatures w14:val="standardContextual"/>
        </w:rPr>
        <w:t xml:space="preserve"> repérés par leurs corrélations aux données historiques de températures minimales à Dori (A) et Gaoua (B).</w:t>
      </w:r>
      <w:bookmarkEnd w:id="157"/>
      <w:bookmarkEnd w:id="158"/>
      <w:bookmarkEnd w:id="159"/>
    </w:p>
    <w:p w14:paraId="5D0B5BC2" w14:textId="77777777" w:rsidR="003A0C2E" w:rsidRPr="007C5A6E" w:rsidRDefault="003A0C2E" w:rsidP="0073535A">
      <w:pPr>
        <w:spacing w:after="0" w:line="240" w:lineRule="auto"/>
        <w:jc w:val="both"/>
        <w:rPr>
          <w:rFonts w:ascii="Times New Roman" w:eastAsiaTheme="minorHAnsi" w:hAnsi="Times New Roman" w:cstheme="minorBidi"/>
          <w:kern w:val="2"/>
          <w:sz w:val="24"/>
          <w:lang w:eastAsia="en-US"/>
          <w14:ligatures w14:val="standardContextual"/>
        </w:rPr>
      </w:pPr>
    </w:p>
    <w:p w14:paraId="3DABFD71" w14:textId="6C36D1A9" w:rsidR="0073535A" w:rsidRPr="007C5A6E" w:rsidRDefault="0073535A" w:rsidP="0073535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Une projection multi</w:t>
      </w:r>
      <w:r w:rsidR="00264F40" w:rsidRPr="007C5A6E">
        <w:rPr>
          <w:rFonts w:ascii="Times New Roman" w:eastAsiaTheme="minorHAnsi" w:hAnsi="Times New Roman" w:cstheme="minorBidi"/>
          <w:kern w:val="2"/>
          <w:sz w:val="24"/>
          <w:lang w:eastAsia="en-US"/>
          <w14:ligatures w14:val="standardContextual"/>
        </w:rPr>
        <w:t>modèle</w:t>
      </w:r>
      <w:r w:rsidRPr="007C5A6E">
        <w:rPr>
          <w:rFonts w:ascii="Times New Roman" w:eastAsiaTheme="minorHAnsi" w:hAnsi="Times New Roman" w:cstheme="minorBidi"/>
          <w:kern w:val="2"/>
          <w:sz w:val="24"/>
          <w:lang w:eastAsia="en-US"/>
          <w14:ligatures w14:val="standardContextual"/>
        </w:rPr>
        <w:t xml:space="preserve"> à l’horizon 2100, utilisant 31 GCM a permis d’évaluer l’efficacité des différents modèles relativement aux données historiques du Burkina. La figure 20 montre que 10 de ces modèles présentent une corrélation avec les données historiques &lt; 0,6 pour une ou plusieurs stations. Ces GCM ont été retirés du </w:t>
      </w:r>
      <w:proofErr w:type="spellStart"/>
      <w:r w:rsidRPr="007C5A6E">
        <w:rPr>
          <w:rFonts w:ascii="Times New Roman" w:eastAsiaTheme="minorHAnsi" w:hAnsi="Times New Roman" w:cstheme="minorBidi"/>
          <w:kern w:val="2"/>
          <w:sz w:val="24"/>
          <w:lang w:eastAsia="en-US"/>
          <w14:ligatures w14:val="standardContextual"/>
        </w:rPr>
        <w:t>multi-modèle</w:t>
      </w:r>
      <w:proofErr w:type="spellEnd"/>
      <w:r w:rsidRPr="007C5A6E">
        <w:rPr>
          <w:rFonts w:ascii="Times New Roman" w:eastAsiaTheme="minorHAnsi" w:hAnsi="Times New Roman" w:cstheme="minorBidi"/>
          <w:kern w:val="2"/>
          <w:sz w:val="24"/>
          <w:lang w:eastAsia="en-US"/>
          <w14:ligatures w14:val="standardContextual"/>
        </w:rPr>
        <w:t xml:space="preserve"> (figure 20). A noter que pour la station de Dori il a fallu descendre le seuil de corrélation à 0,5 pour les projections de températures maximales.</w:t>
      </w:r>
    </w:p>
    <w:p w14:paraId="0A26B69D" w14:textId="77777777" w:rsidR="0073535A" w:rsidRPr="007C5A6E" w:rsidRDefault="0073535A" w:rsidP="0073535A">
      <w:pPr>
        <w:spacing w:after="0" w:line="240" w:lineRule="auto"/>
        <w:rPr>
          <w:rFonts w:ascii="Times New Roman" w:eastAsiaTheme="minorHAnsi" w:hAnsi="Times New Roman" w:cstheme="minorBidi"/>
          <w:kern w:val="2"/>
          <w:sz w:val="24"/>
          <w:lang w:eastAsia="en-US"/>
          <w14:ligatures w14:val="standardContextual"/>
        </w:rPr>
      </w:pPr>
    </w:p>
    <w:p w14:paraId="0A38615B" w14:textId="77777777" w:rsidR="0073535A" w:rsidRPr="007C5A6E" w:rsidRDefault="0073535A" w:rsidP="00684FF8">
      <w:pPr>
        <w:pStyle w:val="Titre4"/>
      </w:pPr>
      <w:bookmarkStart w:id="160" w:name="_Toc182582654"/>
      <w:bookmarkStart w:id="161" w:name="_Toc183340050"/>
      <w:r w:rsidRPr="007C5A6E">
        <w:t>Les scénarios SSP</w:t>
      </w:r>
      <w:bookmarkEnd w:id="160"/>
      <w:bookmarkEnd w:id="161"/>
    </w:p>
    <w:p w14:paraId="2FFB9C01" w14:textId="77777777" w:rsidR="0073535A" w:rsidRPr="007C5A6E" w:rsidRDefault="0073535A" w:rsidP="0073535A">
      <w:pPr>
        <w:spacing w:after="0" w:line="240" w:lineRule="auto"/>
        <w:rPr>
          <w:rFonts w:ascii="Times New Roman" w:eastAsiaTheme="minorHAnsi" w:hAnsi="Times New Roman" w:cstheme="minorBidi"/>
          <w:kern w:val="2"/>
          <w:sz w:val="24"/>
          <w:lang w:eastAsia="en-US"/>
          <w14:ligatures w14:val="standardContextual"/>
        </w:rPr>
      </w:pPr>
    </w:p>
    <w:p w14:paraId="629C91D3" w14:textId="50141863" w:rsidR="0073535A" w:rsidRPr="007C5A6E" w:rsidRDefault="0073535A" w:rsidP="0073535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Les scénarios SSP (“</w:t>
      </w:r>
      <w:proofErr w:type="spellStart"/>
      <w:r w:rsidRPr="007C5A6E">
        <w:rPr>
          <w:rFonts w:ascii="Times New Roman" w:eastAsiaTheme="minorHAnsi" w:hAnsi="Times New Roman" w:cstheme="minorBidi"/>
          <w:kern w:val="2"/>
          <w:sz w:val="24"/>
          <w:lang w:eastAsia="en-US"/>
          <w14:ligatures w14:val="standardContextual"/>
        </w:rPr>
        <w:t>Shared</w:t>
      </w:r>
      <w:proofErr w:type="spellEnd"/>
      <w:r w:rsidRPr="007C5A6E">
        <w:rPr>
          <w:rFonts w:ascii="Times New Roman" w:eastAsiaTheme="minorHAnsi" w:hAnsi="Times New Roman" w:cstheme="minorBidi"/>
          <w:kern w:val="2"/>
          <w:sz w:val="24"/>
          <w:lang w:eastAsia="en-US"/>
          <w14:ligatures w14:val="standardContextual"/>
        </w:rPr>
        <w:t xml:space="preserve"> </w:t>
      </w:r>
      <w:proofErr w:type="spellStart"/>
      <w:r w:rsidRPr="007C5A6E">
        <w:rPr>
          <w:rFonts w:ascii="Times New Roman" w:eastAsiaTheme="minorHAnsi" w:hAnsi="Times New Roman" w:cstheme="minorBidi"/>
          <w:kern w:val="2"/>
          <w:sz w:val="24"/>
          <w:lang w:eastAsia="en-US"/>
          <w14:ligatures w14:val="standardContextual"/>
        </w:rPr>
        <w:t>Socioeconomic</w:t>
      </w:r>
      <w:proofErr w:type="spellEnd"/>
      <w:r w:rsidRPr="007C5A6E">
        <w:rPr>
          <w:rFonts w:ascii="Times New Roman" w:eastAsiaTheme="minorHAnsi" w:hAnsi="Times New Roman" w:cstheme="minorBidi"/>
          <w:kern w:val="2"/>
          <w:sz w:val="24"/>
          <w:lang w:eastAsia="en-US"/>
          <w14:ligatures w14:val="standardContextual"/>
        </w:rPr>
        <w:t xml:space="preserve"> </w:t>
      </w:r>
      <w:proofErr w:type="spellStart"/>
      <w:r w:rsidRPr="007C5A6E">
        <w:rPr>
          <w:rFonts w:ascii="Times New Roman" w:eastAsiaTheme="minorHAnsi" w:hAnsi="Times New Roman" w:cstheme="minorBidi"/>
          <w:kern w:val="2"/>
          <w:sz w:val="24"/>
          <w:lang w:eastAsia="en-US"/>
          <w14:ligatures w14:val="standardContextual"/>
        </w:rPr>
        <w:t>Pathways</w:t>
      </w:r>
      <w:proofErr w:type="spellEnd"/>
      <w:r w:rsidRPr="007C5A6E">
        <w:rPr>
          <w:rFonts w:ascii="Times New Roman" w:eastAsiaTheme="minorHAnsi" w:hAnsi="Times New Roman" w:cstheme="minorBidi"/>
          <w:kern w:val="2"/>
          <w:sz w:val="24"/>
          <w:lang w:eastAsia="en-US"/>
          <w14:ligatures w14:val="standardContextual"/>
        </w:rPr>
        <w:t>” pour “Trajectoires Socio-économiques Partagé</w:t>
      </w:r>
      <w:r w:rsidR="001165D5" w:rsidRPr="007C5A6E">
        <w:rPr>
          <w:rFonts w:ascii="Times New Roman" w:eastAsiaTheme="minorHAnsi" w:hAnsi="Times New Roman" w:cstheme="minorBidi"/>
          <w:kern w:val="2"/>
          <w:sz w:val="24"/>
          <w:lang w:eastAsia="en-US"/>
          <w14:ligatures w14:val="standardContextual"/>
        </w:rPr>
        <w:t>e</w:t>
      </w:r>
      <w:r w:rsidRPr="007C5A6E">
        <w:rPr>
          <w:rFonts w:ascii="Times New Roman" w:eastAsiaTheme="minorHAnsi" w:hAnsi="Times New Roman" w:cstheme="minorBidi"/>
          <w:kern w:val="2"/>
          <w:sz w:val="24"/>
          <w:lang w:eastAsia="en-US"/>
          <w14:ligatures w14:val="standardContextual"/>
        </w:rPr>
        <w:t xml:space="preserve">s”) sont issus de 5 récits décrivant différentes voies de développement de la société qui induisent différents régimes d’émission de gaz à effet de serre. En prenant en compte le forçage radiatif supplémentaire atteint d'ici l'année 2100 en unités de dixièmes de watts, quatre scénarios standards ont été définis qui </w:t>
      </w:r>
      <w:proofErr w:type="gramStart"/>
      <w:r w:rsidRPr="007C5A6E">
        <w:rPr>
          <w:rFonts w:ascii="Times New Roman" w:eastAsiaTheme="minorHAnsi" w:hAnsi="Times New Roman" w:cstheme="minorBidi"/>
          <w:kern w:val="2"/>
          <w:sz w:val="24"/>
          <w:lang w:eastAsia="en-US"/>
          <w14:ligatures w14:val="standardContextual"/>
        </w:rPr>
        <w:t>sont :.</w:t>
      </w:r>
      <w:proofErr w:type="gramEnd"/>
    </w:p>
    <w:p w14:paraId="2B934616" w14:textId="77777777" w:rsidR="0073535A" w:rsidRPr="007C5A6E" w:rsidRDefault="0073535A" w:rsidP="003F3821">
      <w:pPr>
        <w:numPr>
          <w:ilvl w:val="0"/>
          <w:numId w:val="3"/>
        </w:numPr>
        <w:spacing w:after="0" w:line="240" w:lineRule="auto"/>
        <w:ind w:left="357" w:hanging="357"/>
        <w:contextualSpacing/>
        <w:jc w:val="both"/>
        <w:rPr>
          <w:rFonts w:ascii="Times New Roman" w:eastAsiaTheme="minorHAnsi" w:hAnsi="Times New Roman" w:cstheme="minorBidi"/>
          <w:b/>
          <w:bCs/>
          <w:i/>
          <w:iCs/>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 xml:space="preserve">SSP1 </w:t>
      </w:r>
      <w:proofErr w:type="gramStart"/>
      <w:r w:rsidRPr="007C5A6E">
        <w:rPr>
          <w:rFonts w:ascii="Times New Roman" w:eastAsiaTheme="minorHAnsi" w:hAnsi="Times New Roman" w:cstheme="minorBidi"/>
          <w:kern w:val="2"/>
          <w:sz w:val="24"/>
          <w:lang w:eastAsia="en-US"/>
          <w14:ligatures w14:val="standardContextual"/>
        </w:rPr>
        <w:t>26 ,</w:t>
      </w:r>
      <w:proofErr w:type="gramEnd"/>
      <w:r w:rsidRPr="007C5A6E">
        <w:rPr>
          <w:rFonts w:ascii="Times New Roman" w:eastAsiaTheme="minorHAnsi" w:hAnsi="Times New Roman" w:cstheme="minorBidi"/>
          <w:kern w:val="2"/>
          <w:sz w:val="24"/>
          <w:lang w:eastAsia="en-US"/>
          <w14:ligatures w14:val="standardContextual"/>
        </w:rPr>
        <w:t xml:space="preserve"> voie durable et verte où “l’accent est mis sur le bien-être humain plutôt que sur la croissance économique”, avec un forçage radiatif supplémentaire de 2,6 W/m² d'ici 2100; </w:t>
      </w:r>
      <w:r w:rsidRPr="007C5A6E">
        <w:rPr>
          <w:rFonts w:ascii="Times New Roman" w:eastAsiaTheme="minorHAnsi" w:hAnsi="Times New Roman" w:cstheme="minorBidi"/>
          <w:b/>
          <w:bCs/>
          <w:i/>
          <w:iCs/>
          <w:kern w:val="2"/>
          <w:sz w:val="24"/>
          <w:lang w:eastAsia="en-US"/>
          <w14:ligatures w14:val="standardContextual"/>
        </w:rPr>
        <w:t>ce scénario intègre la mise en œuvre de mesures fortes de réduction des émissions de GES.</w:t>
      </w:r>
    </w:p>
    <w:p w14:paraId="4BF48C30" w14:textId="77777777" w:rsidR="0073535A" w:rsidRPr="007C5A6E" w:rsidRDefault="0073535A" w:rsidP="003F3821">
      <w:pPr>
        <w:numPr>
          <w:ilvl w:val="0"/>
          <w:numId w:val="3"/>
        </w:numPr>
        <w:spacing w:after="0" w:line="240" w:lineRule="auto"/>
        <w:ind w:left="357" w:hanging="357"/>
        <w:contextualSpacing/>
        <w:jc w:val="both"/>
        <w:rPr>
          <w:rFonts w:ascii="Times New Roman" w:eastAsiaTheme="minorHAnsi" w:hAnsi="Times New Roman" w:cstheme="minorBidi"/>
          <w:b/>
          <w:bCs/>
          <w:i/>
          <w:iCs/>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 xml:space="preserve">SSP2 45, voie "médiane" qui “extrapole le développement mondial passé et actuel vers l'avenir”, avec un forçage radiatif supplémentaire de 4,5 W/m² d'ici 2100 ; </w:t>
      </w:r>
      <w:r w:rsidRPr="007C5A6E">
        <w:rPr>
          <w:rFonts w:ascii="Times New Roman" w:eastAsiaTheme="minorHAnsi" w:hAnsi="Times New Roman" w:cstheme="minorBidi"/>
          <w:b/>
          <w:bCs/>
          <w:i/>
          <w:iCs/>
          <w:kern w:val="2"/>
          <w:sz w:val="24"/>
          <w:lang w:eastAsia="en-US"/>
          <w14:ligatures w14:val="standardContextual"/>
        </w:rPr>
        <w:t>ce scénario suppose que des mesures de protection du climat sont prises.</w:t>
      </w:r>
    </w:p>
    <w:p w14:paraId="7FB2F13D" w14:textId="77777777" w:rsidR="0073535A" w:rsidRPr="007C5A6E" w:rsidRDefault="0073535A" w:rsidP="003F3821">
      <w:pPr>
        <w:numPr>
          <w:ilvl w:val="0"/>
          <w:numId w:val="3"/>
        </w:numPr>
        <w:spacing w:after="0" w:line="240" w:lineRule="auto"/>
        <w:ind w:left="357" w:hanging="357"/>
        <w:contextualSpacing/>
        <w:jc w:val="both"/>
        <w:rPr>
          <w:rFonts w:ascii="Times New Roman" w:eastAsiaTheme="minorHAnsi" w:hAnsi="Times New Roman" w:cstheme="minorBidi"/>
          <w:b/>
          <w:bCs/>
          <w:i/>
          <w:iCs/>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 xml:space="preserve">SSP3 70, voie où des rivalités régionales et un regain de nationalisme et de conflits régionaux relègue les questions mondiales au second plan, avec un forçage radiatif supplémentaire de 7 W/m² d'ici 2100 ; </w:t>
      </w:r>
      <w:r w:rsidRPr="007C5A6E">
        <w:rPr>
          <w:rFonts w:ascii="Times New Roman" w:eastAsiaTheme="minorHAnsi" w:hAnsi="Times New Roman" w:cstheme="minorBidi"/>
          <w:b/>
          <w:bCs/>
          <w:i/>
          <w:iCs/>
          <w:kern w:val="2"/>
          <w:sz w:val="24"/>
          <w:lang w:eastAsia="en-US"/>
          <w14:ligatures w14:val="standardContextual"/>
        </w:rPr>
        <w:t>ce scénario se situe dans la partie moyenne supérieure de la gamme complète des scénarios.</w:t>
      </w:r>
    </w:p>
    <w:p w14:paraId="0EDDAF45" w14:textId="77777777" w:rsidR="0073535A" w:rsidRPr="007C5A6E" w:rsidRDefault="0073535A" w:rsidP="003F3821">
      <w:pPr>
        <w:numPr>
          <w:ilvl w:val="0"/>
          <w:numId w:val="3"/>
        </w:numPr>
        <w:spacing w:after="0" w:line="240" w:lineRule="auto"/>
        <w:ind w:left="357" w:hanging="357"/>
        <w:contextualSpacing/>
        <w:jc w:val="both"/>
        <w:rPr>
          <w:rFonts w:ascii="Times New Roman" w:eastAsiaTheme="minorHAnsi" w:hAnsi="Times New Roman" w:cstheme="minorBidi"/>
          <w:b/>
          <w:bCs/>
          <w:i/>
          <w:iCs/>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 xml:space="preserve">SSP5 85, voie du développement à partir de combustibles fossiles, incluant des innovations et des progrès technologiques, avec un forçage radiatif supplémentaire de 8,5 W/m² d'ici 2100 ; </w:t>
      </w:r>
      <w:r w:rsidRPr="007C5A6E">
        <w:rPr>
          <w:rFonts w:ascii="Times New Roman" w:eastAsiaTheme="minorHAnsi" w:hAnsi="Times New Roman" w:cstheme="minorBidi"/>
          <w:b/>
          <w:bCs/>
          <w:i/>
          <w:iCs/>
          <w:kern w:val="2"/>
          <w:sz w:val="24"/>
          <w:lang w:eastAsia="en-US"/>
          <w14:ligatures w14:val="standardContextual"/>
        </w:rPr>
        <w:t>ce scénario représente la limite supérieure de la gamme des scénarios décrits dans la littérature.</w:t>
      </w:r>
    </w:p>
    <w:p w14:paraId="69999227" w14:textId="77777777" w:rsidR="0073535A" w:rsidRPr="007C5A6E" w:rsidRDefault="0073535A" w:rsidP="003F3821">
      <w:pPr>
        <w:numPr>
          <w:ilvl w:val="0"/>
          <w:numId w:val="3"/>
        </w:numPr>
        <w:spacing w:after="0" w:line="240" w:lineRule="auto"/>
        <w:ind w:left="357" w:hanging="357"/>
        <w:contextualSpacing/>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SSP</w:t>
      </w:r>
      <w:proofErr w:type="gramStart"/>
      <w:r w:rsidRPr="007C5A6E">
        <w:rPr>
          <w:rFonts w:ascii="Times New Roman" w:eastAsiaTheme="minorHAnsi" w:hAnsi="Times New Roman" w:cstheme="minorBidi"/>
          <w:kern w:val="2"/>
          <w:sz w:val="24"/>
          <w:lang w:eastAsia="en-US"/>
          <w14:ligatures w14:val="standardContextual"/>
        </w:rPr>
        <w:t>4 ,</w:t>
      </w:r>
      <w:proofErr w:type="gramEnd"/>
      <w:r w:rsidRPr="007C5A6E">
        <w:rPr>
          <w:rFonts w:ascii="Times New Roman" w:eastAsiaTheme="minorHAnsi" w:hAnsi="Times New Roman" w:cstheme="minorBidi"/>
          <w:kern w:val="2"/>
          <w:sz w:val="24"/>
          <w:lang w:eastAsia="en-US"/>
          <w14:ligatures w14:val="standardContextual"/>
        </w:rPr>
        <w:t xml:space="preserve"> voie où le fossé se creuse entre les sociétés développées qui coopèrent au niveau mondial et celles qui stagnent à un stade de développement inférieur, avec de faibles revenus et un faible niveau d'éducation; cette trajectoire n’a pas donné lieu à la définition d’un scénario standard.</w:t>
      </w:r>
    </w:p>
    <w:p w14:paraId="4388C2D3" w14:textId="77777777" w:rsidR="0073535A" w:rsidRPr="007C5A6E" w:rsidRDefault="0073535A" w:rsidP="0073535A">
      <w:pPr>
        <w:spacing w:after="0" w:line="240" w:lineRule="auto"/>
        <w:jc w:val="both"/>
        <w:rPr>
          <w:rFonts w:ascii="Times New Roman" w:eastAsiaTheme="minorHAnsi" w:hAnsi="Times New Roman" w:cstheme="minorBidi"/>
          <w:kern w:val="2"/>
          <w:sz w:val="24"/>
          <w:lang w:eastAsia="en-US"/>
          <w14:ligatures w14:val="standardContextual"/>
        </w:rPr>
      </w:pPr>
    </w:p>
    <w:p w14:paraId="70A6FEA1" w14:textId="77777777" w:rsidR="0073535A" w:rsidRPr="007C5A6E" w:rsidRDefault="0073535A" w:rsidP="0073535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En définitive les 3 scénarios SP2 45, SP3 70 et SP5 85 ont été retenus pour les projections des variables climatiques jusqu’à l’horizon 2100. (</w:t>
      </w:r>
      <w:proofErr w:type="gramStart"/>
      <w:r w:rsidRPr="007C5A6E">
        <w:rPr>
          <w:rFonts w:ascii="Times New Roman" w:eastAsiaTheme="minorHAnsi" w:hAnsi="Times New Roman" w:cstheme="minorBidi"/>
          <w:kern w:val="2"/>
          <w:sz w:val="24"/>
          <w:lang w:eastAsia="en-US"/>
          <w14:ligatures w14:val="standardContextual"/>
        </w:rPr>
        <w:t>figure</w:t>
      </w:r>
      <w:proofErr w:type="gramEnd"/>
      <w:r w:rsidRPr="007C5A6E">
        <w:rPr>
          <w:rFonts w:ascii="Times New Roman" w:eastAsiaTheme="minorHAnsi" w:hAnsi="Times New Roman" w:cstheme="minorBidi"/>
          <w:kern w:val="2"/>
          <w:sz w:val="24"/>
          <w:lang w:eastAsia="en-US"/>
          <w14:ligatures w14:val="standardContextual"/>
        </w:rPr>
        <w:t xml:space="preserve"> 21).</w:t>
      </w:r>
    </w:p>
    <w:p w14:paraId="530728E9" w14:textId="77777777" w:rsidR="0073535A" w:rsidRPr="007C5A6E" w:rsidRDefault="0073535A" w:rsidP="0073535A">
      <w:pPr>
        <w:spacing w:after="0" w:line="240" w:lineRule="auto"/>
        <w:rPr>
          <w:rFonts w:ascii="Times New Roman" w:eastAsiaTheme="minorHAnsi" w:hAnsi="Times New Roman" w:cstheme="minorBidi"/>
          <w:kern w:val="2"/>
          <w:sz w:val="24"/>
          <w:lang w:eastAsia="en-US"/>
          <w14:ligatures w14:val="standardContextual"/>
        </w:rPr>
      </w:pPr>
    </w:p>
    <w:tbl>
      <w:tblPr>
        <w:tblStyle w:val="Grilledutableau"/>
        <w:tblW w:w="0" w:type="auto"/>
        <w:tblLayout w:type="fixed"/>
        <w:tblLook w:val="04A0" w:firstRow="1" w:lastRow="0" w:firstColumn="1" w:lastColumn="0" w:noHBand="0" w:noVBand="1"/>
      </w:tblPr>
      <w:tblGrid>
        <w:gridCol w:w="988"/>
        <w:gridCol w:w="570"/>
        <w:gridCol w:w="1559"/>
        <w:gridCol w:w="1558"/>
        <w:gridCol w:w="1559"/>
        <w:gridCol w:w="1558"/>
        <w:gridCol w:w="1559"/>
      </w:tblGrid>
      <w:tr w:rsidR="0073535A" w:rsidRPr="007C5A6E" w14:paraId="3EC91491" w14:textId="77777777" w:rsidTr="00457BED">
        <w:trPr>
          <w:cantSplit/>
        </w:trPr>
        <w:tc>
          <w:tcPr>
            <w:tcW w:w="1558" w:type="dxa"/>
            <w:gridSpan w:val="2"/>
          </w:tcPr>
          <w:p w14:paraId="54B94357"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1559" w:type="dxa"/>
          </w:tcPr>
          <w:p w14:paraId="6259527F" w14:textId="77777777" w:rsidR="0073535A" w:rsidRPr="007C5A6E" w:rsidRDefault="0073535A" w:rsidP="0073535A">
            <w:pPr>
              <w:spacing w:after="0" w:line="240" w:lineRule="auto"/>
              <w:jc w:val="center"/>
              <w:rPr>
                <w:rFonts w:ascii="Times New Roman" w:eastAsiaTheme="minorHAnsi" w:hAnsi="Times New Roman" w:cstheme="minorBidi"/>
                <w:b/>
                <w:bCs/>
                <w:sz w:val="24"/>
                <w:lang w:eastAsia="en-US"/>
              </w:rPr>
            </w:pPr>
            <w:r w:rsidRPr="007C5A6E">
              <w:rPr>
                <w:rFonts w:ascii="Times New Roman" w:eastAsiaTheme="minorHAnsi" w:hAnsi="Times New Roman" w:cstheme="minorBidi"/>
                <w:b/>
                <w:bCs/>
                <w:sz w:val="24"/>
                <w:lang w:eastAsia="en-US"/>
              </w:rPr>
              <w:t>SSP1</w:t>
            </w:r>
          </w:p>
          <w:p w14:paraId="17BEAF93" w14:textId="77777777" w:rsidR="0073535A" w:rsidRPr="007C5A6E" w:rsidRDefault="0073535A" w:rsidP="0073535A">
            <w:pPr>
              <w:spacing w:after="0" w:line="240" w:lineRule="auto"/>
              <w:jc w:val="center"/>
              <w:rPr>
                <w:rFonts w:ascii="Times New Roman" w:eastAsiaTheme="minorHAnsi" w:hAnsi="Times New Roman" w:cstheme="minorBidi"/>
                <w:sz w:val="20"/>
                <w:szCs w:val="20"/>
                <w:lang w:eastAsia="en-US"/>
              </w:rPr>
            </w:pPr>
            <w:r w:rsidRPr="007C5A6E">
              <w:rPr>
                <w:rFonts w:ascii="Times New Roman" w:eastAsiaTheme="minorHAnsi" w:hAnsi="Times New Roman" w:cstheme="minorBidi"/>
                <w:sz w:val="20"/>
                <w:szCs w:val="20"/>
                <w:lang w:eastAsia="en-US"/>
              </w:rPr>
              <w:t>Voie durable</w:t>
            </w:r>
          </w:p>
        </w:tc>
        <w:tc>
          <w:tcPr>
            <w:tcW w:w="1558" w:type="dxa"/>
            <w:shd w:val="clear" w:color="auto" w:fill="EDEDED" w:themeFill="accent3" w:themeFillTint="33"/>
          </w:tcPr>
          <w:p w14:paraId="0962614A" w14:textId="77777777" w:rsidR="0073535A" w:rsidRPr="007C5A6E" w:rsidRDefault="0073535A" w:rsidP="0073535A">
            <w:pPr>
              <w:spacing w:after="0" w:line="240" w:lineRule="auto"/>
              <w:jc w:val="center"/>
              <w:rPr>
                <w:rFonts w:ascii="Times New Roman" w:eastAsiaTheme="minorHAnsi" w:hAnsi="Times New Roman" w:cstheme="minorBidi"/>
                <w:b/>
                <w:bCs/>
                <w:sz w:val="24"/>
                <w:lang w:eastAsia="en-US"/>
              </w:rPr>
            </w:pPr>
            <w:r w:rsidRPr="007C5A6E">
              <w:rPr>
                <w:rFonts w:ascii="Times New Roman" w:eastAsiaTheme="minorHAnsi" w:hAnsi="Times New Roman" w:cstheme="minorBidi"/>
                <w:b/>
                <w:bCs/>
                <w:sz w:val="24"/>
                <w:lang w:eastAsia="en-US"/>
              </w:rPr>
              <w:t>SSP2</w:t>
            </w:r>
          </w:p>
          <w:p w14:paraId="1E3B00EB" w14:textId="77777777" w:rsidR="0073535A" w:rsidRPr="007C5A6E" w:rsidRDefault="0073535A" w:rsidP="0073535A">
            <w:pPr>
              <w:spacing w:after="0" w:line="240" w:lineRule="auto"/>
              <w:jc w:val="center"/>
              <w:rPr>
                <w:rFonts w:ascii="Times New Roman" w:eastAsiaTheme="minorHAnsi" w:hAnsi="Times New Roman" w:cstheme="minorBidi"/>
                <w:sz w:val="20"/>
                <w:szCs w:val="20"/>
                <w:lang w:eastAsia="en-US"/>
              </w:rPr>
            </w:pPr>
            <w:r w:rsidRPr="007C5A6E">
              <w:rPr>
                <w:rFonts w:ascii="Times New Roman" w:eastAsiaTheme="minorHAnsi" w:hAnsi="Times New Roman" w:cstheme="minorBidi"/>
                <w:sz w:val="20"/>
                <w:szCs w:val="20"/>
                <w:lang w:eastAsia="en-US"/>
              </w:rPr>
              <w:t>Voie du milieu</w:t>
            </w:r>
          </w:p>
        </w:tc>
        <w:tc>
          <w:tcPr>
            <w:tcW w:w="1559" w:type="dxa"/>
            <w:shd w:val="clear" w:color="auto" w:fill="EDEDED" w:themeFill="accent3" w:themeFillTint="33"/>
          </w:tcPr>
          <w:p w14:paraId="589EF137" w14:textId="77777777" w:rsidR="0073535A" w:rsidRPr="007C5A6E" w:rsidRDefault="0073535A" w:rsidP="0073535A">
            <w:pPr>
              <w:spacing w:after="0" w:line="240" w:lineRule="auto"/>
              <w:jc w:val="center"/>
              <w:rPr>
                <w:rFonts w:ascii="Times New Roman" w:eastAsiaTheme="minorHAnsi" w:hAnsi="Times New Roman" w:cstheme="minorBidi"/>
                <w:b/>
                <w:bCs/>
                <w:sz w:val="24"/>
                <w:lang w:eastAsia="en-US"/>
              </w:rPr>
            </w:pPr>
            <w:r w:rsidRPr="007C5A6E">
              <w:rPr>
                <w:rFonts w:ascii="Times New Roman" w:eastAsiaTheme="minorHAnsi" w:hAnsi="Times New Roman" w:cstheme="minorBidi"/>
                <w:b/>
                <w:bCs/>
                <w:sz w:val="24"/>
                <w:lang w:eastAsia="en-US"/>
              </w:rPr>
              <w:t>SSP3</w:t>
            </w:r>
          </w:p>
          <w:p w14:paraId="6498AD82" w14:textId="77777777" w:rsidR="0073535A" w:rsidRPr="007C5A6E" w:rsidRDefault="0073535A" w:rsidP="0073535A">
            <w:pPr>
              <w:spacing w:after="0" w:line="240" w:lineRule="auto"/>
              <w:jc w:val="center"/>
              <w:rPr>
                <w:rFonts w:ascii="Times New Roman" w:eastAsiaTheme="minorHAnsi" w:hAnsi="Times New Roman" w:cstheme="minorBidi"/>
                <w:sz w:val="20"/>
                <w:szCs w:val="20"/>
                <w:lang w:eastAsia="en-US"/>
              </w:rPr>
            </w:pPr>
            <w:r w:rsidRPr="007C5A6E">
              <w:rPr>
                <w:rFonts w:ascii="Times New Roman" w:eastAsiaTheme="minorHAnsi" w:hAnsi="Times New Roman" w:cstheme="minorBidi"/>
                <w:sz w:val="20"/>
                <w:szCs w:val="20"/>
                <w:lang w:eastAsia="en-US"/>
              </w:rPr>
              <w:t>Rivalité régionale</w:t>
            </w:r>
          </w:p>
        </w:tc>
        <w:tc>
          <w:tcPr>
            <w:tcW w:w="1558" w:type="dxa"/>
          </w:tcPr>
          <w:p w14:paraId="50454EF5" w14:textId="77777777" w:rsidR="0073535A" w:rsidRPr="007C5A6E" w:rsidRDefault="0073535A" w:rsidP="0073535A">
            <w:pPr>
              <w:spacing w:after="0" w:line="240" w:lineRule="auto"/>
              <w:jc w:val="center"/>
              <w:rPr>
                <w:rFonts w:ascii="Times New Roman" w:eastAsiaTheme="minorHAnsi" w:hAnsi="Times New Roman" w:cstheme="minorBidi"/>
                <w:b/>
                <w:bCs/>
                <w:sz w:val="24"/>
                <w:lang w:eastAsia="en-US"/>
              </w:rPr>
            </w:pPr>
            <w:r w:rsidRPr="007C5A6E">
              <w:rPr>
                <w:rFonts w:ascii="Times New Roman" w:eastAsiaTheme="minorHAnsi" w:hAnsi="Times New Roman" w:cstheme="minorBidi"/>
                <w:b/>
                <w:bCs/>
                <w:sz w:val="24"/>
                <w:lang w:eastAsia="en-US"/>
              </w:rPr>
              <w:t>SSP4</w:t>
            </w:r>
          </w:p>
          <w:p w14:paraId="0DF2FB14" w14:textId="77777777" w:rsidR="0073535A" w:rsidRPr="007C5A6E" w:rsidRDefault="0073535A" w:rsidP="0073535A">
            <w:pPr>
              <w:spacing w:after="0" w:line="240" w:lineRule="auto"/>
              <w:jc w:val="center"/>
              <w:rPr>
                <w:rFonts w:ascii="Times New Roman" w:eastAsiaTheme="minorHAnsi" w:hAnsi="Times New Roman" w:cstheme="minorBidi"/>
                <w:sz w:val="20"/>
                <w:szCs w:val="20"/>
                <w:lang w:eastAsia="en-US"/>
              </w:rPr>
            </w:pPr>
            <w:r w:rsidRPr="007C5A6E">
              <w:rPr>
                <w:rFonts w:ascii="Times New Roman" w:eastAsiaTheme="minorHAnsi" w:hAnsi="Times New Roman" w:cstheme="minorBidi"/>
                <w:sz w:val="20"/>
                <w:szCs w:val="20"/>
                <w:lang w:eastAsia="en-US"/>
              </w:rPr>
              <w:t>Inégalité</w:t>
            </w:r>
          </w:p>
        </w:tc>
        <w:tc>
          <w:tcPr>
            <w:tcW w:w="1559" w:type="dxa"/>
            <w:shd w:val="clear" w:color="auto" w:fill="EDEDED" w:themeFill="accent3" w:themeFillTint="33"/>
          </w:tcPr>
          <w:p w14:paraId="3D96DB39" w14:textId="77777777" w:rsidR="0073535A" w:rsidRPr="007C5A6E" w:rsidRDefault="0073535A" w:rsidP="0073535A">
            <w:pPr>
              <w:spacing w:after="0" w:line="240" w:lineRule="auto"/>
              <w:jc w:val="center"/>
              <w:rPr>
                <w:rFonts w:ascii="Times New Roman" w:eastAsiaTheme="minorHAnsi" w:hAnsi="Times New Roman" w:cstheme="minorBidi"/>
                <w:b/>
                <w:bCs/>
                <w:sz w:val="24"/>
                <w:lang w:eastAsia="en-US"/>
              </w:rPr>
            </w:pPr>
            <w:r w:rsidRPr="007C5A6E">
              <w:rPr>
                <w:rFonts w:ascii="Times New Roman" w:eastAsiaTheme="minorHAnsi" w:hAnsi="Times New Roman" w:cstheme="minorBidi"/>
                <w:b/>
                <w:bCs/>
                <w:sz w:val="24"/>
                <w:lang w:eastAsia="en-US"/>
              </w:rPr>
              <w:t>SSP5</w:t>
            </w:r>
          </w:p>
          <w:p w14:paraId="5F64F2F2" w14:textId="77777777" w:rsidR="0073535A" w:rsidRPr="007C5A6E" w:rsidRDefault="0073535A" w:rsidP="0073535A">
            <w:pPr>
              <w:spacing w:after="0" w:line="240" w:lineRule="auto"/>
              <w:jc w:val="center"/>
              <w:rPr>
                <w:rFonts w:ascii="Times New Roman" w:eastAsiaTheme="minorHAnsi" w:hAnsi="Times New Roman" w:cstheme="minorBidi"/>
                <w:sz w:val="20"/>
                <w:szCs w:val="20"/>
                <w:lang w:eastAsia="en-US"/>
              </w:rPr>
            </w:pPr>
            <w:r w:rsidRPr="007C5A6E">
              <w:rPr>
                <w:rFonts w:ascii="Times New Roman" w:eastAsiaTheme="minorHAnsi" w:hAnsi="Times New Roman" w:cstheme="minorBidi"/>
                <w:sz w:val="20"/>
                <w:szCs w:val="20"/>
                <w:lang w:eastAsia="en-US"/>
              </w:rPr>
              <w:t>Développent par énergies fossiles</w:t>
            </w:r>
          </w:p>
        </w:tc>
      </w:tr>
      <w:tr w:rsidR="0073535A" w:rsidRPr="007C5A6E" w14:paraId="6029FC3B" w14:textId="77777777" w:rsidTr="00457BED">
        <w:trPr>
          <w:cantSplit/>
        </w:trPr>
        <w:tc>
          <w:tcPr>
            <w:tcW w:w="988" w:type="dxa"/>
            <w:vMerge w:val="restart"/>
            <w:textDirection w:val="btLr"/>
            <w:vAlign w:val="center"/>
          </w:tcPr>
          <w:p w14:paraId="4326D2AC" w14:textId="77777777" w:rsidR="0073535A" w:rsidRPr="007C5A6E" w:rsidRDefault="0073535A" w:rsidP="0073535A">
            <w:pPr>
              <w:spacing w:after="0" w:line="240" w:lineRule="auto"/>
              <w:ind w:left="113" w:right="113"/>
              <w:jc w:val="center"/>
              <w:rPr>
                <w:rFonts w:ascii="Times New Roman" w:eastAsiaTheme="minorHAnsi" w:hAnsi="Times New Roman" w:cstheme="minorBidi"/>
                <w:sz w:val="20"/>
                <w:szCs w:val="20"/>
                <w:lang w:eastAsia="en-US"/>
              </w:rPr>
            </w:pPr>
            <w:r w:rsidRPr="007C5A6E">
              <w:rPr>
                <w:rFonts w:ascii="Times New Roman" w:eastAsiaTheme="minorHAnsi" w:hAnsi="Times New Roman" w:cstheme="minorBidi"/>
                <w:sz w:val="20"/>
                <w:szCs w:val="20"/>
                <w:lang w:eastAsia="en-US"/>
              </w:rPr>
              <w:t>Forçage radiatif d'</w:t>
            </w:r>
            <w:proofErr w:type="spellStart"/>
            <w:r w:rsidRPr="007C5A6E">
              <w:rPr>
                <w:rFonts w:ascii="Times New Roman" w:eastAsiaTheme="minorHAnsi" w:hAnsi="Times New Roman" w:cstheme="minorBidi"/>
                <w:sz w:val="20"/>
                <w:szCs w:val="20"/>
                <w:lang w:eastAsia="en-US"/>
              </w:rPr>
              <w:t>içi</w:t>
            </w:r>
            <w:proofErr w:type="spellEnd"/>
            <w:r w:rsidRPr="007C5A6E">
              <w:rPr>
                <w:rFonts w:ascii="Times New Roman" w:eastAsiaTheme="minorHAnsi" w:hAnsi="Times New Roman" w:cstheme="minorBidi"/>
                <w:sz w:val="20"/>
                <w:szCs w:val="20"/>
                <w:lang w:eastAsia="en-US"/>
              </w:rPr>
              <w:t xml:space="preserve"> 2100 (W/m2)</w:t>
            </w:r>
          </w:p>
        </w:tc>
        <w:tc>
          <w:tcPr>
            <w:tcW w:w="570" w:type="dxa"/>
          </w:tcPr>
          <w:p w14:paraId="436CDBB6" w14:textId="77777777" w:rsidR="0073535A" w:rsidRPr="007C5A6E" w:rsidRDefault="0073535A" w:rsidP="0073535A">
            <w:pPr>
              <w:spacing w:after="0" w:line="240" w:lineRule="auto"/>
              <w:jc w:val="center"/>
              <w:rPr>
                <w:rFonts w:ascii="Times New Roman" w:eastAsiaTheme="minorHAnsi" w:hAnsi="Times New Roman" w:cstheme="minorBidi"/>
                <w:sz w:val="24"/>
                <w:lang w:eastAsia="en-US"/>
              </w:rPr>
            </w:pPr>
            <w:r w:rsidRPr="007C5A6E">
              <w:rPr>
                <w:rFonts w:ascii="Times New Roman" w:eastAsiaTheme="minorHAnsi" w:hAnsi="Times New Roman" w:cstheme="minorBidi"/>
                <w:sz w:val="24"/>
                <w:lang w:eastAsia="en-US"/>
              </w:rPr>
              <w:t>8,5</w:t>
            </w:r>
          </w:p>
        </w:tc>
        <w:tc>
          <w:tcPr>
            <w:tcW w:w="1559" w:type="dxa"/>
          </w:tcPr>
          <w:p w14:paraId="4235BD0B"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1558" w:type="dxa"/>
            <w:shd w:val="clear" w:color="auto" w:fill="EDEDED" w:themeFill="accent3" w:themeFillTint="33"/>
          </w:tcPr>
          <w:p w14:paraId="22A2265D"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1559" w:type="dxa"/>
            <w:shd w:val="clear" w:color="auto" w:fill="EDEDED" w:themeFill="accent3" w:themeFillTint="33"/>
          </w:tcPr>
          <w:p w14:paraId="41A68FAF"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1558" w:type="dxa"/>
          </w:tcPr>
          <w:p w14:paraId="2DE2F482"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1559" w:type="dxa"/>
            <w:shd w:val="clear" w:color="auto" w:fill="800080"/>
          </w:tcPr>
          <w:p w14:paraId="76CAE116" w14:textId="77777777" w:rsidR="0073535A" w:rsidRPr="007C5A6E" w:rsidRDefault="0073535A" w:rsidP="0073535A">
            <w:pPr>
              <w:spacing w:after="0" w:line="240" w:lineRule="auto"/>
              <w:jc w:val="center"/>
              <w:rPr>
                <w:rFonts w:ascii="Times New Roman" w:eastAsiaTheme="minorHAnsi" w:hAnsi="Times New Roman" w:cstheme="minorBidi"/>
                <w:b/>
                <w:bCs/>
                <w:color w:val="FFFFFF" w:themeColor="background1"/>
                <w:sz w:val="24"/>
                <w:lang w:eastAsia="en-US"/>
              </w:rPr>
            </w:pPr>
            <w:r w:rsidRPr="007C5A6E">
              <w:rPr>
                <w:rFonts w:ascii="Times New Roman" w:eastAsiaTheme="minorHAnsi" w:hAnsi="Times New Roman" w:cstheme="minorBidi"/>
                <w:b/>
                <w:bCs/>
                <w:color w:val="FFFFFF" w:themeColor="background1"/>
                <w:sz w:val="24"/>
                <w:lang w:eastAsia="en-US"/>
              </w:rPr>
              <w:t>SSP585</w:t>
            </w:r>
          </w:p>
        </w:tc>
      </w:tr>
      <w:tr w:rsidR="0073535A" w:rsidRPr="007C5A6E" w14:paraId="3FF6CBB1" w14:textId="77777777" w:rsidTr="00457BED">
        <w:trPr>
          <w:cantSplit/>
        </w:trPr>
        <w:tc>
          <w:tcPr>
            <w:tcW w:w="988" w:type="dxa"/>
            <w:vMerge/>
          </w:tcPr>
          <w:p w14:paraId="45BE4B5C"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570" w:type="dxa"/>
          </w:tcPr>
          <w:p w14:paraId="305DDFCA" w14:textId="77777777" w:rsidR="0073535A" w:rsidRPr="007C5A6E" w:rsidRDefault="0073535A" w:rsidP="0073535A">
            <w:pPr>
              <w:spacing w:after="0" w:line="240" w:lineRule="auto"/>
              <w:jc w:val="center"/>
              <w:rPr>
                <w:rFonts w:ascii="Times New Roman" w:eastAsiaTheme="minorHAnsi" w:hAnsi="Times New Roman" w:cstheme="minorBidi"/>
                <w:sz w:val="24"/>
                <w:lang w:eastAsia="en-US"/>
              </w:rPr>
            </w:pPr>
            <w:r w:rsidRPr="007C5A6E">
              <w:rPr>
                <w:rFonts w:ascii="Times New Roman" w:eastAsiaTheme="minorHAnsi" w:hAnsi="Times New Roman" w:cstheme="minorBidi"/>
                <w:sz w:val="24"/>
                <w:lang w:eastAsia="en-US"/>
              </w:rPr>
              <w:t>7,0</w:t>
            </w:r>
          </w:p>
        </w:tc>
        <w:tc>
          <w:tcPr>
            <w:tcW w:w="1559" w:type="dxa"/>
          </w:tcPr>
          <w:p w14:paraId="1C5F1A48"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1558" w:type="dxa"/>
            <w:shd w:val="clear" w:color="auto" w:fill="EDEDED" w:themeFill="accent3" w:themeFillTint="33"/>
          </w:tcPr>
          <w:p w14:paraId="07800417"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1559" w:type="dxa"/>
            <w:shd w:val="clear" w:color="auto" w:fill="FF2501"/>
          </w:tcPr>
          <w:p w14:paraId="5529A837" w14:textId="77777777" w:rsidR="0073535A" w:rsidRPr="007C5A6E" w:rsidRDefault="0073535A" w:rsidP="0073535A">
            <w:pPr>
              <w:spacing w:after="0" w:line="240" w:lineRule="auto"/>
              <w:jc w:val="center"/>
              <w:rPr>
                <w:rFonts w:ascii="Times New Roman" w:eastAsiaTheme="minorHAnsi" w:hAnsi="Times New Roman" w:cstheme="minorBidi"/>
                <w:b/>
                <w:bCs/>
                <w:color w:val="FFFFFF" w:themeColor="background1"/>
                <w:sz w:val="24"/>
                <w:lang w:eastAsia="en-US"/>
              </w:rPr>
            </w:pPr>
            <w:r w:rsidRPr="007C5A6E">
              <w:rPr>
                <w:rFonts w:ascii="Times New Roman" w:eastAsiaTheme="minorHAnsi" w:hAnsi="Times New Roman" w:cstheme="minorBidi"/>
                <w:b/>
                <w:bCs/>
                <w:color w:val="FFFFFF" w:themeColor="background1"/>
                <w:sz w:val="24"/>
                <w:lang w:eastAsia="en-US"/>
              </w:rPr>
              <w:t>SSP370</w:t>
            </w:r>
          </w:p>
        </w:tc>
        <w:tc>
          <w:tcPr>
            <w:tcW w:w="1558" w:type="dxa"/>
          </w:tcPr>
          <w:p w14:paraId="3A273939"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1559" w:type="dxa"/>
            <w:shd w:val="clear" w:color="auto" w:fill="EDEDED" w:themeFill="accent3" w:themeFillTint="33"/>
          </w:tcPr>
          <w:p w14:paraId="0DCB011F"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r>
      <w:tr w:rsidR="0073535A" w:rsidRPr="007C5A6E" w14:paraId="586FF911" w14:textId="77777777" w:rsidTr="00457BED">
        <w:trPr>
          <w:cantSplit/>
        </w:trPr>
        <w:tc>
          <w:tcPr>
            <w:tcW w:w="988" w:type="dxa"/>
            <w:vMerge/>
          </w:tcPr>
          <w:p w14:paraId="79F11F70"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570" w:type="dxa"/>
          </w:tcPr>
          <w:p w14:paraId="324FF93C" w14:textId="77777777" w:rsidR="0073535A" w:rsidRPr="007C5A6E" w:rsidRDefault="0073535A" w:rsidP="0073535A">
            <w:pPr>
              <w:spacing w:after="0" w:line="240" w:lineRule="auto"/>
              <w:jc w:val="center"/>
              <w:rPr>
                <w:rFonts w:ascii="Times New Roman" w:eastAsiaTheme="minorHAnsi" w:hAnsi="Times New Roman" w:cstheme="minorBidi"/>
                <w:sz w:val="24"/>
                <w:lang w:eastAsia="en-US"/>
              </w:rPr>
            </w:pPr>
            <w:r w:rsidRPr="007C5A6E">
              <w:rPr>
                <w:rFonts w:ascii="Times New Roman" w:eastAsiaTheme="minorHAnsi" w:hAnsi="Times New Roman" w:cstheme="minorBidi"/>
                <w:sz w:val="24"/>
                <w:lang w:eastAsia="en-US"/>
              </w:rPr>
              <w:t>6,0</w:t>
            </w:r>
          </w:p>
        </w:tc>
        <w:tc>
          <w:tcPr>
            <w:tcW w:w="1559" w:type="dxa"/>
          </w:tcPr>
          <w:p w14:paraId="41193BDA"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1558" w:type="dxa"/>
            <w:shd w:val="clear" w:color="auto" w:fill="EDEDED" w:themeFill="accent3" w:themeFillTint="33"/>
          </w:tcPr>
          <w:p w14:paraId="0019F7DC"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1559" w:type="dxa"/>
            <w:shd w:val="clear" w:color="auto" w:fill="EDEDED" w:themeFill="accent3" w:themeFillTint="33"/>
          </w:tcPr>
          <w:p w14:paraId="7F466858"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1558" w:type="dxa"/>
          </w:tcPr>
          <w:p w14:paraId="4B1DE55D"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1559" w:type="dxa"/>
            <w:shd w:val="clear" w:color="auto" w:fill="EDEDED" w:themeFill="accent3" w:themeFillTint="33"/>
          </w:tcPr>
          <w:p w14:paraId="54F50FE7"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r>
      <w:tr w:rsidR="0073535A" w:rsidRPr="007C5A6E" w14:paraId="43428BD1" w14:textId="77777777" w:rsidTr="00457BED">
        <w:trPr>
          <w:cantSplit/>
        </w:trPr>
        <w:tc>
          <w:tcPr>
            <w:tcW w:w="988" w:type="dxa"/>
            <w:vMerge/>
          </w:tcPr>
          <w:p w14:paraId="5AB2ED72"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570" w:type="dxa"/>
          </w:tcPr>
          <w:p w14:paraId="1D4C1A50" w14:textId="77777777" w:rsidR="0073535A" w:rsidRPr="007C5A6E" w:rsidRDefault="0073535A" w:rsidP="0073535A">
            <w:pPr>
              <w:spacing w:after="0" w:line="240" w:lineRule="auto"/>
              <w:jc w:val="center"/>
              <w:rPr>
                <w:rFonts w:ascii="Times New Roman" w:eastAsiaTheme="minorHAnsi" w:hAnsi="Times New Roman" w:cstheme="minorBidi"/>
                <w:sz w:val="24"/>
                <w:lang w:eastAsia="en-US"/>
              </w:rPr>
            </w:pPr>
            <w:r w:rsidRPr="007C5A6E">
              <w:rPr>
                <w:rFonts w:ascii="Times New Roman" w:eastAsiaTheme="minorHAnsi" w:hAnsi="Times New Roman" w:cstheme="minorBidi"/>
                <w:sz w:val="24"/>
                <w:lang w:eastAsia="en-US"/>
              </w:rPr>
              <w:t>4,5</w:t>
            </w:r>
          </w:p>
        </w:tc>
        <w:tc>
          <w:tcPr>
            <w:tcW w:w="1559" w:type="dxa"/>
          </w:tcPr>
          <w:p w14:paraId="0B9A381F"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1558" w:type="dxa"/>
            <w:shd w:val="clear" w:color="auto" w:fill="FFC000" w:themeFill="accent4"/>
          </w:tcPr>
          <w:p w14:paraId="3667B48F" w14:textId="77777777" w:rsidR="0073535A" w:rsidRPr="007C5A6E" w:rsidRDefault="0073535A" w:rsidP="0073535A">
            <w:pPr>
              <w:spacing w:after="0" w:line="240" w:lineRule="auto"/>
              <w:jc w:val="center"/>
              <w:rPr>
                <w:rFonts w:ascii="Times New Roman" w:eastAsiaTheme="minorHAnsi" w:hAnsi="Times New Roman" w:cstheme="minorBidi"/>
                <w:b/>
                <w:bCs/>
                <w:color w:val="FFFFFF" w:themeColor="background1"/>
                <w:sz w:val="24"/>
                <w:lang w:eastAsia="en-US"/>
              </w:rPr>
            </w:pPr>
            <w:r w:rsidRPr="007C5A6E">
              <w:rPr>
                <w:rFonts w:ascii="Times New Roman" w:eastAsiaTheme="minorHAnsi" w:hAnsi="Times New Roman" w:cstheme="minorBidi"/>
                <w:b/>
                <w:bCs/>
                <w:color w:val="FFFFFF" w:themeColor="background1"/>
                <w:sz w:val="24"/>
                <w:lang w:eastAsia="en-US"/>
              </w:rPr>
              <w:t>SSP245</w:t>
            </w:r>
          </w:p>
        </w:tc>
        <w:tc>
          <w:tcPr>
            <w:tcW w:w="1559" w:type="dxa"/>
            <w:shd w:val="clear" w:color="auto" w:fill="EDEDED" w:themeFill="accent3" w:themeFillTint="33"/>
          </w:tcPr>
          <w:p w14:paraId="4386ADBD"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1558" w:type="dxa"/>
          </w:tcPr>
          <w:p w14:paraId="20C3F2B2"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1559" w:type="dxa"/>
            <w:shd w:val="clear" w:color="auto" w:fill="EDEDED" w:themeFill="accent3" w:themeFillTint="33"/>
          </w:tcPr>
          <w:p w14:paraId="184251A3"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r>
      <w:tr w:rsidR="0073535A" w:rsidRPr="007C5A6E" w14:paraId="32E9C7DF" w14:textId="77777777" w:rsidTr="00457BED">
        <w:trPr>
          <w:cantSplit/>
        </w:trPr>
        <w:tc>
          <w:tcPr>
            <w:tcW w:w="988" w:type="dxa"/>
            <w:vMerge/>
          </w:tcPr>
          <w:p w14:paraId="6AFAB434"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570" w:type="dxa"/>
          </w:tcPr>
          <w:p w14:paraId="2EE02295" w14:textId="77777777" w:rsidR="0073535A" w:rsidRPr="007C5A6E" w:rsidRDefault="0073535A" w:rsidP="0073535A">
            <w:pPr>
              <w:spacing w:after="0" w:line="240" w:lineRule="auto"/>
              <w:jc w:val="center"/>
              <w:rPr>
                <w:rFonts w:ascii="Times New Roman" w:eastAsiaTheme="minorHAnsi" w:hAnsi="Times New Roman" w:cstheme="minorBidi"/>
                <w:sz w:val="24"/>
                <w:lang w:eastAsia="en-US"/>
              </w:rPr>
            </w:pPr>
            <w:r w:rsidRPr="007C5A6E">
              <w:rPr>
                <w:rFonts w:ascii="Times New Roman" w:eastAsiaTheme="minorHAnsi" w:hAnsi="Times New Roman" w:cstheme="minorBidi"/>
                <w:sz w:val="24"/>
                <w:lang w:eastAsia="en-US"/>
              </w:rPr>
              <w:t>3,4</w:t>
            </w:r>
          </w:p>
        </w:tc>
        <w:tc>
          <w:tcPr>
            <w:tcW w:w="1559" w:type="dxa"/>
          </w:tcPr>
          <w:p w14:paraId="679B72FC"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1558" w:type="dxa"/>
            <w:shd w:val="clear" w:color="auto" w:fill="EDEDED" w:themeFill="accent3" w:themeFillTint="33"/>
          </w:tcPr>
          <w:p w14:paraId="51972AFA"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1559" w:type="dxa"/>
            <w:shd w:val="clear" w:color="auto" w:fill="EDEDED" w:themeFill="accent3" w:themeFillTint="33"/>
          </w:tcPr>
          <w:p w14:paraId="2F589535"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1558" w:type="dxa"/>
          </w:tcPr>
          <w:p w14:paraId="7460EAAB"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1559" w:type="dxa"/>
            <w:shd w:val="clear" w:color="auto" w:fill="EDEDED" w:themeFill="accent3" w:themeFillTint="33"/>
          </w:tcPr>
          <w:p w14:paraId="451788D9"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r>
      <w:tr w:rsidR="0073535A" w:rsidRPr="007C5A6E" w14:paraId="0FDEED75" w14:textId="77777777" w:rsidTr="00457BED">
        <w:trPr>
          <w:cantSplit/>
        </w:trPr>
        <w:tc>
          <w:tcPr>
            <w:tcW w:w="988" w:type="dxa"/>
            <w:vMerge/>
          </w:tcPr>
          <w:p w14:paraId="4DA58416"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570" w:type="dxa"/>
          </w:tcPr>
          <w:p w14:paraId="61C9242B" w14:textId="77777777" w:rsidR="0073535A" w:rsidRPr="007C5A6E" w:rsidRDefault="0073535A" w:rsidP="0073535A">
            <w:pPr>
              <w:spacing w:after="0" w:line="240" w:lineRule="auto"/>
              <w:jc w:val="center"/>
              <w:rPr>
                <w:rFonts w:ascii="Times New Roman" w:eastAsiaTheme="minorHAnsi" w:hAnsi="Times New Roman" w:cstheme="minorBidi"/>
                <w:sz w:val="24"/>
                <w:lang w:eastAsia="en-US"/>
              </w:rPr>
            </w:pPr>
            <w:r w:rsidRPr="007C5A6E">
              <w:rPr>
                <w:rFonts w:ascii="Times New Roman" w:eastAsiaTheme="minorHAnsi" w:hAnsi="Times New Roman" w:cstheme="minorBidi"/>
                <w:sz w:val="24"/>
                <w:lang w:eastAsia="en-US"/>
              </w:rPr>
              <w:t>2,6</w:t>
            </w:r>
          </w:p>
        </w:tc>
        <w:tc>
          <w:tcPr>
            <w:tcW w:w="1559" w:type="dxa"/>
            <w:shd w:val="clear" w:color="auto" w:fill="33CC33"/>
          </w:tcPr>
          <w:p w14:paraId="7C7D8033" w14:textId="77777777" w:rsidR="0073535A" w:rsidRPr="007C5A6E" w:rsidRDefault="0073535A" w:rsidP="0073535A">
            <w:pPr>
              <w:spacing w:after="0" w:line="240" w:lineRule="auto"/>
              <w:jc w:val="center"/>
              <w:rPr>
                <w:rFonts w:ascii="Times New Roman" w:eastAsiaTheme="minorHAnsi" w:hAnsi="Times New Roman" w:cstheme="minorBidi"/>
                <w:b/>
                <w:bCs/>
                <w:sz w:val="24"/>
                <w:lang w:eastAsia="en-US"/>
              </w:rPr>
            </w:pPr>
            <w:r w:rsidRPr="007C5A6E">
              <w:rPr>
                <w:rFonts w:ascii="Times New Roman" w:eastAsiaTheme="minorHAnsi" w:hAnsi="Times New Roman" w:cstheme="minorBidi"/>
                <w:b/>
                <w:bCs/>
                <w:color w:val="FFFFFF" w:themeColor="background1"/>
                <w:sz w:val="24"/>
                <w:lang w:eastAsia="en-US"/>
              </w:rPr>
              <w:t>SSP126</w:t>
            </w:r>
          </w:p>
        </w:tc>
        <w:tc>
          <w:tcPr>
            <w:tcW w:w="1558" w:type="dxa"/>
            <w:shd w:val="clear" w:color="auto" w:fill="EDEDED" w:themeFill="accent3" w:themeFillTint="33"/>
          </w:tcPr>
          <w:p w14:paraId="75AC2B05"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1559" w:type="dxa"/>
            <w:shd w:val="clear" w:color="auto" w:fill="EDEDED" w:themeFill="accent3" w:themeFillTint="33"/>
          </w:tcPr>
          <w:p w14:paraId="68FB60D1"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1558" w:type="dxa"/>
          </w:tcPr>
          <w:p w14:paraId="0EBE1176"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c>
          <w:tcPr>
            <w:tcW w:w="1559" w:type="dxa"/>
            <w:shd w:val="clear" w:color="auto" w:fill="EDEDED" w:themeFill="accent3" w:themeFillTint="33"/>
          </w:tcPr>
          <w:p w14:paraId="2CB0A60C" w14:textId="77777777" w:rsidR="0073535A" w:rsidRPr="007C5A6E" w:rsidRDefault="0073535A" w:rsidP="0073535A">
            <w:pPr>
              <w:spacing w:after="0" w:line="240" w:lineRule="auto"/>
              <w:rPr>
                <w:rFonts w:ascii="Times New Roman" w:eastAsiaTheme="minorHAnsi" w:hAnsi="Times New Roman" w:cstheme="minorBidi"/>
                <w:sz w:val="24"/>
                <w:lang w:eastAsia="en-US"/>
              </w:rPr>
            </w:pPr>
          </w:p>
        </w:tc>
      </w:tr>
    </w:tbl>
    <w:p w14:paraId="764865D6" w14:textId="38750269" w:rsidR="0073535A" w:rsidRPr="007C5A6E" w:rsidRDefault="008D1FFC" w:rsidP="008D1FFC">
      <w:pPr>
        <w:pStyle w:val="Lgende"/>
        <w:spacing w:after="0"/>
        <w:rPr>
          <w:rFonts w:ascii="Times New Roman" w:eastAsiaTheme="minorHAnsi" w:hAnsi="Times New Roman"/>
          <w:color w:val="auto"/>
          <w:kern w:val="2"/>
          <w:sz w:val="24"/>
          <w:szCs w:val="24"/>
          <w:lang w:eastAsia="en-US"/>
          <w14:ligatures w14:val="standardContextual"/>
        </w:rPr>
      </w:pPr>
      <w:bookmarkStart w:id="162" w:name="_Toc183230868"/>
      <w:bookmarkStart w:id="163" w:name="_Toc183240661"/>
      <w:bookmarkStart w:id="164" w:name="_Toc183340400"/>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235203" w:rsidRPr="007C5A6E">
        <w:rPr>
          <w:rFonts w:ascii="Times New Roman" w:hAnsi="Times New Roman"/>
          <w:noProof/>
          <w:color w:val="auto"/>
          <w:sz w:val="24"/>
          <w:szCs w:val="24"/>
        </w:rPr>
        <w:t>21</w:t>
      </w:r>
      <w:r w:rsidRPr="007C5A6E">
        <w:rPr>
          <w:rFonts w:ascii="Times New Roman" w:hAnsi="Times New Roman"/>
          <w:color w:val="auto"/>
          <w:sz w:val="24"/>
          <w:szCs w:val="24"/>
        </w:rPr>
        <w:fldChar w:fldCharType="end"/>
      </w:r>
      <w:r w:rsidR="008B382E" w:rsidRPr="007C5A6E">
        <w:rPr>
          <w:rFonts w:ascii="Times New Roman" w:hAnsi="Times New Roman"/>
          <w:color w:val="auto"/>
          <w:sz w:val="24"/>
          <w:szCs w:val="24"/>
        </w:rPr>
        <w:t>.</w:t>
      </w:r>
      <w:r w:rsidR="0073535A" w:rsidRPr="007C5A6E">
        <w:rPr>
          <w:rFonts w:ascii="Times New Roman" w:eastAsiaTheme="minorHAnsi" w:hAnsi="Times New Roman"/>
          <w:color w:val="auto"/>
          <w:kern w:val="2"/>
          <w:sz w:val="24"/>
          <w:szCs w:val="24"/>
          <w:lang w:eastAsia="en-US"/>
          <w14:ligatures w14:val="standardContextual"/>
        </w:rPr>
        <w:t xml:space="preserve"> </w:t>
      </w:r>
      <w:r w:rsidR="008B382E" w:rsidRPr="007C5A6E">
        <w:rPr>
          <w:rFonts w:ascii="Times New Roman" w:eastAsiaTheme="minorHAnsi" w:hAnsi="Times New Roman"/>
          <w:color w:val="auto"/>
          <w:kern w:val="2"/>
          <w:sz w:val="24"/>
          <w:szCs w:val="24"/>
          <w:lang w:eastAsia="en-US"/>
          <w14:ligatures w14:val="standardContextual"/>
        </w:rPr>
        <w:t>L</w:t>
      </w:r>
      <w:r w:rsidR="0073535A" w:rsidRPr="007C5A6E">
        <w:rPr>
          <w:rFonts w:ascii="Times New Roman" w:eastAsiaTheme="minorHAnsi" w:hAnsi="Times New Roman"/>
          <w:color w:val="auto"/>
          <w:kern w:val="2"/>
          <w:sz w:val="24"/>
          <w:szCs w:val="24"/>
          <w:lang w:eastAsia="en-US"/>
          <w14:ligatures w14:val="standardContextual"/>
        </w:rPr>
        <w:t>a matrice SSP x forçage radiatif. Les scénarios retenus sont sur colonnes fond gris</w:t>
      </w:r>
      <w:bookmarkEnd w:id="162"/>
      <w:bookmarkEnd w:id="163"/>
      <w:bookmarkEnd w:id="164"/>
    </w:p>
    <w:p w14:paraId="5277B5C2" w14:textId="77777777" w:rsidR="0073535A" w:rsidRPr="007C5A6E" w:rsidRDefault="0073535A" w:rsidP="0073535A">
      <w:pPr>
        <w:spacing w:after="0" w:line="240" w:lineRule="auto"/>
        <w:rPr>
          <w:rFonts w:ascii="Times New Roman" w:eastAsiaTheme="minorHAnsi" w:hAnsi="Times New Roman" w:cstheme="minorBidi"/>
          <w:kern w:val="2"/>
          <w:sz w:val="24"/>
          <w:lang w:eastAsia="en-US"/>
          <w14:ligatures w14:val="standardContextual"/>
        </w:rPr>
      </w:pPr>
    </w:p>
    <w:p w14:paraId="5584A66C" w14:textId="77777777" w:rsidR="0073535A" w:rsidRPr="007C5A6E" w:rsidRDefault="0073535A" w:rsidP="00704956">
      <w:pPr>
        <w:pStyle w:val="Titre3"/>
      </w:pPr>
      <w:bookmarkStart w:id="165" w:name="_Toc182582655"/>
      <w:bookmarkStart w:id="166" w:name="_Toc183340051"/>
      <w:r w:rsidRPr="007C5A6E">
        <w:t>Projections climatiques à l’horizon 2100</w:t>
      </w:r>
      <w:bookmarkEnd w:id="165"/>
      <w:bookmarkEnd w:id="166"/>
    </w:p>
    <w:p w14:paraId="5CF159FF" w14:textId="77777777" w:rsidR="0073535A" w:rsidRPr="007C5A6E" w:rsidRDefault="0073535A" w:rsidP="0073535A">
      <w:pPr>
        <w:spacing w:after="0" w:line="240" w:lineRule="auto"/>
        <w:rPr>
          <w:rFonts w:ascii="Times New Roman" w:eastAsiaTheme="minorHAnsi" w:hAnsi="Times New Roman" w:cstheme="minorBidi"/>
          <w:kern w:val="2"/>
          <w:sz w:val="24"/>
          <w:lang w:eastAsia="en-US"/>
          <w14:ligatures w14:val="standardContextual"/>
        </w:rPr>
      </w:pPr>
    </w:p>
    <w:p w14:paraId="32166088" w14:textId="77777777" w:rsidR="0073535A" w:rsidRPr="007C5A6E" w:rsidRDefault="0073535A" w:rsidP="00684FF8">
      <w:pPr>
        <w:pStyle w:val="Titre4"/>
      </w:pPr>
      <w:bookmarkStart w:id="167" w:name="_Toc182582656"/>
      <w:bookmarkStart w:id="168" w:name="_Toc183340052"/>
      <w:r w:rsidRPr="007C5A6E">
        <w:t>La pluviométrie</w:t>
      </w:r>
      <w:bookmarkEnd w:id="167"/>
      <w:bookmarkEnd w:id="168"/>
    </w:p>
    <w:p w14:paraId="1F821388" w14:textId="77777777" w:rsidR="0073535A" w:rsidRPr="007C5A6E" w:rsidRDefault="0073535A" w:rsidP="0073535A">
      <w:pPr>
        <w:spacing w:after="0" w:line="240" w:lineRule="auto"/>
        <w:rPr>
          <w:rFonts w:ascii="Times New Roman" w:eastAsiaTheme="minorHAnsi" w:hAnsi="Times New Roman" w:cstheme="minorBidi"/>
          <w:kern w:val="2"/>
          <w:sz w:val="24"/>
          <w:lang w:eastAsia="en-US"/>
          <w14:ligatures w14:val="standardContextual"/>
        </w:rPr>
      </w:pPr>
    </w:p>
    <w:p w14:paraId="5C33FEE1" w14:textId="6D2902D9" w:rsidR="0073535A" w:rsidRPr="007C5A6E" w:rsidRDefault="0073535A" w:rsidP="0073535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 xml:space="preserve">Le tableau </w:t>
      </w:r>
      <w:r w:rsidR="004523E6" w:rsidRPr="007C5A6E">
        <w:rPr>
          <w:rFonts w:ascii="Times New Roman" w:eastAsiaTheme="minorHAnsi" w:hAnsi="Times New Roman" w:cstheme="minorBidi"/>
          <w:kern w:val="2"/>
          <w:sz w:val="24"/>
          <w:lang w:eastAsia="en-US"/>
          <w14:ligatures w14:val="standardContextual"/>
        </w:rPr>
        <w:t>5</w:t>
      </w:r>
      <w:r w:rsidRPr="007C5A6E">
        <w:rPr>
          <w:rFonts w:ascii="Times New Roman" w:eastAsiaTheme="minorHAnsi" w:hAnsi="Times New Roman" w:cstheme="minorBidi"/>
          <w:kern w:val="2"/>
          <w:sz w:val="24"/>
          <w:lang w:eastAsia="en-US"/>
          <w14:ligatures w14:val="standardContextual"/>
        </w:rPr>
        <w:t xml:space="preserve"> présente un récapitulatif de la projection des variables pluviométriques en 2050 et 2100 suivant les 3 scénarios SSP245, SSP370 et SSP585 en regard des valeurs historiques de l’année 2000. Pour chaque variable sont présentés la médiane, le quantile q25 de fréquence 0,25 et le quantile q75 de fréquence 0,75.</w:t>
      </w:r>
    </w:p>
    <w:p w14:paraId="61512DE3" w14:textId="77777777" w:rsidR="008D1FFC" w:rsidRPr="007C5A6E" w:rsidRDefault="008D1FFC" w:rsidP="0073535A">
      <w:pPr>
        <w:spacing w:after="0" w:line="240" w:lineRule="auto"/>
        <w:jc w:val="both"/>
        <w:rPr>
          <w:rFonts w:ascii="Times New Roman" w:eastAsiaTheme="minorHAnsi" w:hAnsi="Times New Roman" w:cstheme="minorBidi"/>
          <w:kern w:val="2"/>
          <w:sz w:val="24"/>
          <w:lang w:eastAsia="en-US"/>
          <w14:ligatures w14:val="standardContextual"/>
        </w:rPr>
      </w:pPr>
    </w:p>
    <w:p w14:paraId="2E39B6F2" w14:textId="4CC2362B" w:rsidR="0073535A" w:rsidRPr="007C5A6E" w:rsidRDefault="000E628E" w:rsidP="0073535A">
      <w:pPr>
        <w:spacing w:after="160" w:line="259" w:lineRule="auto"/>
        <w:jc w:val="both"/>
        <w:rPr>
          <w:rFonts w:ascii="Times New Roman" w:eastAsiaTheme="majorEastAsia" w:hAnsi="Times New Roman" w:cstheme="majorBidi"/>
          <w:b/>
          <w:kern w:val="2"/>
          <w:sz w:val="26"/>
          <w:szCs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Les figures 22, 23 et 24 présentent les mêmes données, les courbes colorées correspondant aux médianes.</w:t>
      </w:r>
      <w:r w:rsidR="0073535A" w:rsidRPr="007C5A6E">
        <w:rPr>
          <w:rFonts w:ascii="Times New Roman" w:eastAsiaTheme="minorHAnsi" w:hAnsi="Times New Roman" w:cstheme="minorBidi"/>
          <w:kern w:val="2"/>
          <w:sz w:val="24"/>
          <w:lang w:eastAsia="en-US"/>
          <w14:ligatures w14:val="standardContextual"/>
        </w:rPr>
        <w:br w:type="page"/>
      </w:r>
    </w:p>
    <w:p w14:paraId="772C3F1F" w14:textId="77777777" w:rsidR="0073535A" w:rsidRPr="007C5A6E" w:rsidRDefault="0073535A" w:rsidP="0073535A">
      <w:pPr>
        <w:spacing w:after="160" w:line="259" w:lineRule="auto"/>
        <w:jc w:val="both"/>
        <w:rPr>
          <w:rFonts w:ascii="Times New Roman" w:eastAsiaTheme="minorHAnsi" w:hAnsi="Times New Roman" w:cstheme="minorBidi"/>
          <w:kern w:val="2"/>
          <w:sz w:val="24"/>
          <w:lang w:eastAsia="en-US"/>
          <w14:ligatures w14:val="standardContextual"/>
        </w:rPr>
        <w:sectPr w:rsidR="0073535A" w:rsidRPr="007C5A6E" w:rsidSect="006514BA">
          <w:footerReference w:type="default" r:id="rId82"/>
          <w:pgSz w:w="11907" w:h="16840" w:code="9"/>
          <w:pgMar w:top="1191" w:right="1361" w:bottom="1191" w:left="1361" w:header="709" w:footer="709" w:gutter="0"/>
          <w:cols w:space="708"/>
          <w:docGrid w:linePitch="360"/>
        </w:sectPr>
      </w:pPr>
    </w:p>
    <w:p w14:paraId="777E86F6" w14:textId="7FE27178" w:rsidR="0073535A" w:rsidRPr="007C5A6E" w:rsidRDefault="008D1FFC" w:rsidP="008D1FFC">
      <w:pPr>
        <w:pStyle w:val="Lgende"/>
        <w:spacing w:after="0"/>
        <w:rPr>
          <w:rFonts w:ascii="Times New Roman" w:eastAsiaTheme="minorHAnsi" w:hAnsi="Times New Roman"/>
          <w:i w:val="0"/>
          <w:iCs w:val="0"/>
          <w:color w:val="auto"/>
          <w:kern w:val="2"/>
          <w:sz w:val="24"/>
          <w:szCs w:val="24"/>
          <w:lang w:eastAsia="en-US"/>
          <w14:ligatures w14:val="standardContextual"/>
        </w:rPr>
      </w:pPr>
      <w:bookmarkStart w:id="169" w:name="_Toc183240967"/>
      <w:bookmarkStart w:id="170" w:name="_Toc183292209"/>
      <w:bookmarkStart w:id="171" w:name="_Toc183340489"/>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235203" w:rsidRPr="007C5A6E">
        <w:rPr>
          <w:rFonts w:ascii="Times New Roman" w:hAnsi="Times New Roman"/>
          <w:i w:val="0"/>
          <w:iCs w:val="0"/>
          <w:noProof/>
          <w:color w:val="auto"/>
          <w:sz w:val="24"/>
          <w:szCs w:val="24"/>
        </w:rPr>
        <w:t>5</w:t>
      </w:r>
      <w:r w:rsidRPr="007C5A6E">
        <w:rPr>
          <w:rFonts w:ascii="Times New Roman" w:hAnsi="Times New Roman"/>
          <w:i w:val="0"/>
          <w:iCs w:val="0"/>
          <w:color w:val="auto"/>
          <w:sz w:val="24"/>
          <w:szCs w:val="24"/>
        </w:rPr>
        <w:fldChar w:fldCharType="end"/>
      </w:r>
      <w:r w:rsidR="0073535A" w:rsidRPr="007C5A6E">
        <w:rPr>
          <w:rFonts w:ascii="Times New Roman" w:eastAsiaTheme="minorHAnsi" w:hAnsi="Times New Roman"/>
          <w:i w:val="0"/>
          <w:iCs w:val="0"/>
          <w:color w:val="auto"/>
          <w:kern w:val="2"/>
          <w:sz w:val="24"/>
          <w:szCs w:val="24"/>
          <w:lang w:eastAsia="en-US"/>
          <w14:ligatures w14:val="standardContextual"/>
        </w:rPr>
        <w:t xml:space="preserve"> : </w:t>
      </w:r>
      <w:r w:rsidRPr="007C5A6E">
        <w:rPr>
          <w:rFonts w:ascii="Times New Roman" w:eastAsiaTheme="minorHAnsi" w:hAnsi="Times New Roman"/>
          <w:i w:val="0"/>
          <w:iCs w:val="0"/>
          <w:color w:val="auto"/>
          <w:kern w:val="2"/>
          <w:sz w:val="24"/>
          <w:szCs w:val="24"/>
          <w:lang w:eastAsia="en-US"/>
          <w14:ligatures w14:val="standardContextual"/>
        </w:rPr>
        <w:t>V</w:t>
      </w:r>
      <w:r w:rsidR="0073535A" w:rsidRPr="007C5A6E">
        <w:rPr>
          <w:rFonts w:ascii="Times New Roman" w:eastAsiaTheme="minorHAnsi" w:hAnsi="Times New Roman"/>
          <w:i w:val="0"/>
          <w:iCs w:val="0"/>
          <w:color w:val="auto"/>
          <w:kern w:val="2"/>
          <w:sz w:val="24"/>
          <w:szCs w:val="24"/>
          <w:lang w:eastAsia="en-US"/>
          <w14:ligatures w14:val="standardContextual"/>
        </w:rPr>
        <w:t xml:space="preserve">ariables pluviométriques projetées en 2050 et 2100 suivant les </w:t>
      </w:r>
      <w:r w:rsidRPr="007C5A6E">
        <w:rPr>
          <w:rFonts w:ascii="Times New Roman" w:eastAsiaTheme="minorHAnsi" w:hAnsi="Times New Roman"/>
          <w:i w:val="0"/>
          <w:iCs w:val="0"/>
          <w:color w:val="auto"/>
          <w:kern w:val="2"/>
          <w:sz w:val="24"/>
          <w:szCs w:val="24"/>
          <w:lang w:eastAsia="en-US"/>
          <w14:ligatures w14:val="standardContextual"/>
        </w:rPr>
        <w:t>scénarios</w:t>
      </w:r>
      <w:r w:rsidR="0073535A" w:rsidRPr="007C5A6E">
        <w:rPr>
          <w:rFonts w:ascii="Times New Roman" w:eastAsiaTheme="minorHAnsi" w:hAnsi="Times New Roman"/>
          <w:i w:val="0"/>
          <w:iCs w:val="0"/>
          <w:color w:val="auto"/>
          <w:kern w:val="2"/>
          <w:sz w:val="24"/>
          <w:szCs w:val="24"/>
          <w:lang w:eastAsia="en-US"/>
          <w14:ligatures w14:val="standardContextual"/>
        </w:rPr>
        <w:t xml:space="preserve"> SSP245, SSP370 et SSP585</w:t>
      </w:r>
      <w:bookmarkEnd w:id="169"/>
      <w:bookmarkEnd w:id="170"/>
      <w:bookmarkEnd w:id="171"/>
    </w:p>
    <w:p w14:paraId="30D5D27E" w14:textId="77777777" w:rsidR="008D1FFC" w:rsidRPr="007C5A6E" w:rsidRDefault="008D1FFC" w:rsidP="008D1FFC">
      <w:pPr>
        <w:spacing w:after="0" w:line="240" w:lineRule="auto"/>
        <w:rPr>
          <w:lang w:eastAsia="en-US"/>
        </w:rPr>
      </w:pPr>
    </w:p>
    <w:tbl>
      <w:tblPr>
        <w:tblW w:w="12560" w:type="dxa"/>
        <w:tblCellMar>
          <w:left w:w="70" w:type="dxa"/>
          <w:right w:w="70" w:type="dxa"/>
        </w:tblCellMar>
        <w:tblLook w:val="04A0" w:firstRow="1" w:lastRow="0" w:firstColumn="1" w:lastColumn="0" w:noHBand="0" w:noVBand="1"/>
      </w:tblPr>
      <w:tblGrid>
        <w:gridCol w:w="1464"/>
        <w:gridCol w:w="1976"/>
        <w:gridCol w:w="854"/>
        <w:gridCol w:w="646"/>
        <w:gridCol w:w="780"/>
        <w:gridCol w:w="854"/>
        <w:gridCol w:w="646"/>
        <w:gridCol w:w="780"/>
        <w:gridCol w:w="854"/>
        <w:gridCol w:w="646"/>
        <w:gridCol w:w="780"/>
        <w:gridCol w:w="854"/>
        <w:gridCol w:w="646"/>
        <w:gridCol w:w="780"/>
      </w:tblGrid>
      <w:tr w:rsidR="0073535A" w:rsidRPr="007C5A6E" w14:paraId="114A230E" w14:textId="77777777" w:rsidTr="00457BED">
        <w:trPr>
          <w:trHeight w:val="300"/>
        </w:trPr>
        <w:tc>
          <w:tcPr>
            <w:tcW w:w="3440"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4C0C9190" w14:textId="77777777" w:rsidR="0073535A" w:rsidRPr="007C5A6E" w:rsidRDefault="0073535A" w:rsidP="008D1FFC">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A l'horizon 2050</w:t>
            </w:r>
          </w:p>
        </w:tc>
        <w:tc>
          <w:tcPr>
            <w:tcW w:w="2280" w:type="dxa"/>
            <w:gridSpan w:val="3"/>
            <w:tcBorders>
              <w:top w:val="single" w:sz="4" w:space="0" w:color="auto"/>
              <w:left w:val="nil"/>
              <w:bottom w:val="single" w:sz="4" w:space="0" w:color="auto"/>
              <w:right w:val="single" w:sz="4" w:space="0" w:color="auto"/>
            </w:tcBorders>
            <w:shd w:val="clear" w:color="auto" w:fill="auto"/>
            <w:noWrap/>
            <w:vAlign w:val="bottom"/>
            <w:hideMark/>
          </w:tcPr>
          <w:p w14:paraId="19392771" w14:textId="77777777" w:rsidR="0073535A" w:rsidRPr="007C5A6E" w:rsidRDefault="0073535A" w:rsidP="008D1FFC">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Historique 2000</w:t>
            </w:r>
          </w:p>
        </w:tc>
        <w:tc>
          <w:tcPr>
            <w:tcW w:w="2280" w:type="dxa"/>
            <w:gridSpan w:val="3"/>
            <w:tcBorders>
              <w:top w:val="single" w:sz="4" w:space="0" w:color="auto"/>
              <w:left w:val="nil"/>
              <w:bottom w:val="single" w:sz="4" w:space="0" w:color="auto"/>
              <w:right w:val="single" w:sz="4" w:space="0" w:color="auto"/>
            </w:tcBorders>
            <w:shd w:val="clear" w:color="auto" w:fill="auto"/>
            <w:noWrap/>
            <w:vAlign w:val="bottom"/>
            <w:hideMark/>
          </w:tcPr>
          <w:p w14:paraId="40AAE3A1" w14:textId="77777777" w:rsidR="0073535A" w:rsidRPr="007C5A6E" w:rsidRDefault="0073535A" w:rsidP="008D1FFC">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SSP245</w:t>
            </w:r>
          </w:p>
        </w:tc>
        <w:tc>
          <w:tcPr>
            <w:tcW w:w="2280" w:type="dxa"/>
            <w:gridSpan w:val="3"/>
            <w:tcBorders>
              <w:top w:val="single" w:sz="4" w:space="0" w:color="auto"/>
              <w:left w:val="nil"/>
              <w:bottom w:val="single" w:sz="4" w:space="0" w:color="auto"/>
              <w:right w:val="single" w:sz="4" w:space="0" w:color="auto"/>
            </w:tcBorders>
            <w:shd w:val="clear" w:color="auto" w:fill="auto"/>
            <w:noWrap/>
            <w:vAlign w:val="bottom"/>
            <w:hideMark/>
          </w:tcPr>
          <w:p w14:paraId="76EB7F90" w14:textId="77777777" w:rsidR="0073535A" w:rsidRPr="007C5A6E" w:rsidRDefault="0073535A" w:rsidP="008D1FFC">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SSP370</w:t>
            </w:r>
          </w:p>
        </w:tc>
        <w:tc>
          <w:tcPr>
            <w:tcW w:w="2280" w:type="dxa"/>
            <w:gridSpan w:val="3"/>
            <w:tcBorders>
              <w:top w:val="single" w:sz="4" w:space="0" w:color="auto"/>
              <w:left w:val="nil"/>
              <w:bottom w:val="single" w:sz="4" w:space="0" w:color="auto"/>
              <w:right w:val="single" w:sz="4" w:space="0" w:color="auto"/>
            </w:tcBorders>
            <w:shd w:val="clear" w:color="auto" w:fill="auto"/>
            <w:noWrap/>
            <w:vAlign w:val="bottom"/>
            <w:hideMark/>
          </w:tcPr>
          <w:p w14:paraId="43899C9E" w14:textId="77777777" w:rsidR="0073535A" w:rsidRPr="007C5A6E" w:rsidRDefault="0073535A" w:rsidP="008D1FFC">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SSP585</w:t>
            </w:r>
          </w:p>
        </w:tc>
      </w:tr>
      <w:tr w:rsidR="0073535A" w:rsidRPr="007C5A6E" w14:paraId="6EECA4A7" w14:textId="77777777" w:rsidTr="00457BED">
        <w:trPr>
          <w:trHeight w:val="300"/>
        </w:trPr>
        <w:tc>
          <w:tcPr>
            <w:tcW w:w="3440" w:type="dxa"/>
            <w:gridSpan w:val="2"/>
            <w:vMerge/>
            <w:tcBorders>
              <w:top w:val="single" w:sz="4" w:space="0" w:color="auto"/>
              <w:left w:val="single" w:sz="4" w:space="0" w:color="auto"/>
              <w:bottom w:val="single" w:sz="4" w:space="0" w:color="000000"/>
              <w:right w:val="single" w:sz="4" w:space="0" w:color="000000"/>
            </w:tcBorders>
            <w:vAlign w:val="center"/>
            <w:hideMark/>
          </w:tcPr>
          <w:p w14:paraId="642F98C4" w14:textId="77777777" w:rsidR="0073535A" w:rsidRPr="007C5A6E" w:rsidRDefault="0073535A" w:rsidP="008D1FFC">
            <w:pPr>
              <w:spacing w:after="0" w:line="240" w:lineRule="auto"/>
              <w:rPr>
                <w:rFonts w:ascii="Times New Roman" w:hAnsi="Times New Roman"/>
                <w:color w:val="000000"/>
                <w:sz w:val="20"/>
                <w:szCs w:val="20"/>
              </w:rPr>
            </w:pPr>
          </w:p>
        </w:tc>
        <w:tc>
          <w:tcPr>
            <w:tcW w:w="854" w:type="dxa"/>
            <w:tcBorders>
              <w:top w:val="nil"/>
              <w:left w:val="nil"/>
              <w:bottom w:val="single" w:sz="4" w:space="0" w:color="auto"/>
              <w:right w:val="single" w:sz="4" w:space="0" w:color="auto"/>
            </w:tcBorders>
            <w:shd w:val="clear" w:color="auto" w:fill="auto"/>
            <w:noWrap/>
            <w:vAlign w:val="bottom"/>
            <w:hideMark/>
          </w:tcPr>
          <w:p w14:paraId="11047863" w14:textId="77777777" w:rsidR="0073535A" w:rsidRPr="007C5A6E" w:rsidRDefault="0073535A" w:rsidP="008D1FFC">
            <w:pPr>
              <w:spacing w:after="0" w:line="240" w:lineRule="auto"/>
              <w:rPr>
                <w:rFonts w:ascii="Times New Roman" w:hAnsi="Times New Roman"/>
                <w:color w:val="000000"/>
                <w:sz w:val="20"/>
                <w:szCs w:val="20"/>
              </w:rPr>
            </w:pPr>
            <w:proofErr w:type="spellStart"/>
            <w:proofErr w:type="gramStart"/>
            <w:r w:rsidRPr="007C5A6E">
              <w:rPr>
                <w:rFonts w:ascii="Times New Roman" w:hAnsi="Times New Roman"/>
                <w:color w:val="000000"/>
                <w:sz w:val="20"/>
                <w:szCs w:val="20"/>
              </w:rPr>
              <w:t>median</w:t>
            </w:r>
            <w:proofErr w:type="spellEnd"/>
            <w:proofErr w:type="gramEnd"/>
          </w:p>
        </w:tc>
        <w:tc>
          <w:tcPr>
            <w:tcW w:w="646" w:type="dxa"/>
            <w:tcBorders>
              <w:top w:val="nil"/>
              <w:left w:val="nil"/>
              <w:bottom w:val="single" w:sz="4" w:space="0" w:color="auto"/>
              <w:right w:val="single" w:sz="4" w:space="0" w:color="auto"/>
            </w:tcBorders>
            <w:shd w:val="clear" w:color="auto" w:fill="auto"/>
            <w:noWrap/>
            <w:vAlign w:val="bottom"/>
            <w:hideMark/>
          </w:tcPr>
          <w:p w14:paraId="738B37FE" w14:textId="77777777" w:rsidR="0073535A" w:rsidRPr="007C5A6E" w:rsidRDefault="0073535A" w:rsidP="008D1FFC">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q</w:t>
            </w:r>
            <w:proofErr w:type="gramEnd"/>
            <w:r w:rsidRPr="007C5A6E">
              <w:rPr>
                <w:rFonts w:ascii="Times New Roman" w:hAnsi="Times New Roman"/>
                <w:color w:val="000000"/>
                <w:sz w:val="20"/>
                <w:szCs w:val="20"/>
              </w:rPr>
              <w:t>25</w:t>
            </w:r>
          </w:p>
        </w:tc>
        <w:tc>
          <w:tcPr>
            <w:tcW w:w="780" w:type="dxa"/>
            <w:tcBorders>
              <w:top w:val="nil"/>
              <w:left w:val="nil"/>
              <w:bottom w:val="single" w:sz="4" w:space="0" w:color="auto"/>
              <w:right w:val="single" w:sz="4" w:space="0" w:color="auto"/>
            </w:tcBorders>
            <w:shd w:val="clear" w:color="auto" w:fill="auto"/>
            <w:noWrap/>
            <w:vAlign w:val="bottom"/>
            <w:hideMark/>
          </w:tcPr>
          <w:p w14:paraId="3EEFF6CC" w14:textId="77777777" w:rsidR="0073535A" w:rsidRPr="007C5A6E" w:rsidRDefault="0073535A" w:rsidP="008D1FFC">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q</w:t>
            </w:r>
            <w:proofErr w:type="gramEnd"/>
            <w:r w:rsidRPr="007C5A6E">
              <w:rPr>
                <w:rFonts w:ascii="Times New Roman" w:hAnsi="Times New Roman"/>
                <w:color w:val="000000"/>
                <w:sz w:val="20"/>
                <w:szCs w:val="20"/>
              </w:rPr>
              <w:t>75</w:t>
            </w:r>
          </w:p>
        </w:tc>
        <w:tc>
          <w:tcPr>
            <w:tcW w:w="854" w:type="dxa"/>
            <w:tcBorders>
              <w:top w:val="nil"/>
              <w:left w:val="nil"/>
              <w:bottom w:val="single" w:sz="4" w:space="0" w:color="auto"/>
              <w:right w:val="single" w:sz="4" w:space="0" w:color="auto"/>
            </w:tcBorders>
            <w:shd w:val="clear" w:color="auto" w:fill="auto"/>
            <w:noWrap/>
            <w:vAlign w:val="bottom"/>
            <w:hideMark/>
          </w:tcPr>
          <w:p w14:paraId="16DBBCC4" w14:textId="77777777" w:rsidR="0073535A" w:rsidRPr="007C5A6E" w:rsidRDefault="0073535A" w:rsidP="008D1FFC">
            <w:pPr>
              <w:spacing w:after="0" w:line="240" w:lineRule="auto"/>
              <w:rPr>
                <w:rFonts w:ascii="Times New Roman" w:hAnsi="Times New Roman"/>
                <w:color w:val="000000"/>
                <w:sz w:val="20"/>
                <w:szCs w:val="20"/>
              </w:rPr>
            </w:pPr>
            <w:proofErr w:type="spellStart"/>
            <w:proofErr w:type="gramStart"/>
            <w:r w:rsidRPr="007C5A6E">
              <w:rPr>
                <w:rFonts w:ascii="Times New Roman" w:hAnsi="Times New Roman"/>
                <w:color w:val="000000"/>
                <w:sz w:val="20"/>
                <w:szCs w:val="20"/>
              </w:rPr>
              <w:t>median</w:t>
            </w:r>
            <w:proofErr w:type="spellEnd"/>
            <w:proofErr w:type="gramEnd"/>
          </w:p>
        </w:tc>
        <w:tc>
          <w:tcPr>
            <w:tcW w:w="646" w:type="dxa"/>
            <w:tcBorders>
              <w:top w:val="nil"/>
              <w:left w:val="nil"/>
              <w:bottom w:val="single" w:sz="4" w:space="0" w:color="auto"/>
              <w:right w:val="single" w:sz="4" w:space="0" w:color="auto"/>
            </w:tcBorders>
            <w:shd w:val="clear" w:color="auto" w:fill="auto"/>
            <w:noWrap/>
            <w:vAlign w:val="bottom"/>
            <w:hideMark/>
          </w:tcPr>
          <w:p w14:paraId="06E557B7" w14:textId="77777777" w:rsidR="0073535A" w:rsidRPr="007C5A6E" w:rsidRDefault="0073535A" w:rsidP="008D1FFC">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q</w:t>
            </w:r>
            <w:proofErr w:type="gramEnd"/>
            <w:r w:rsidRPr="007C5A6E">
              <w:rPr>
                <w:rFonts w:ascii="Times New Roman" w:hAnsi="Times New Roman"/>
                <w:color w:val="000000"/>
                <w:sz w:val="20"/>
                <w:szCs w:val="20"/>
              </w:rPr>
              <w:t>25</w:t>
            </w:r>
          </w:p>
        </w:tc>
        <w:tc>
          <w:tcPr>
            <w:tcW w:w="780" w:type="dxa"/>
            <w:tcBorders>
              <w:top w:val="nil"/>
              <w:left w:val="nil"/>
              <w:bottom w:val="single" w:sz="4" w:space="0" w:color="auto"/>
              <w:right w:val="single" w:sz="4" w:space="0" w:color="auto"/>
            </w:tcBorders>
            <w:shd w:val="clear" w:color="auto" w:fill="auto"/>
            <w:noWrap/>
            <w:vAlign w:val="bottom"/>
            <w:hideMark/>
          </w:tcPr>
          <w:p w14:paraId="2762B6E9" w14:textId="77777777" w:rsidR="0073535A" w:rsidRPr="007C5A6E" w:rsidRDefault="0073535A" w:rsidP="008D1FFC">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q</w:t>
            </w:r>
            <w:proofErr w:type="gramEnd"/>
            <w:r w:rsidRPr="007C5A6E">
              <w:rPr>
                <w:rFonts w:ascii="Times New Roman" w:hAnsi="Times New Roman"/>
                <w:color w:val="000000"/>
                <w:sz w:val="20"/>
                <w:szCs w:val="20"/>
              </w:rPr>
              <w:t>75</w:t>
            </w:r>
          </w:p>
        </w:tc>
        <w:tc>
          <w:tcPr>
            <w:tcW w:w="854" w:type="dxa"/>
            <w:tcBorders>
              <w:top w:val="nil"/>
              <w:left w:val="nil"/>
              <w:bottom w:val="single" w:sz="4" w:space="0" w:color="auto"/>
              <w:right w:val="single" w:sz="4" w:space="0" w:color="auto"/>
            </w:tcBorders>
            <w:shd w:val="clear" w:color="auto" w:fill="auto"/>
            <w:noWrap/>
            <w:vAlign w:val="bottom"/>
            <w:hideMark/>
          </w:tcPr>
          <w:p w14:paraId="110FE1AA" w14:textId="77777777" w:rsidR="0073535A" w:rsidRPr="007C5A6E" w:rsidRDefault="0073535A" w:rsidP="008D1FFC">
            <w:pPr>
              <w:spacing w:after="0" w:line="240" w:lineRule="auto"/>
              <w:rPr>
                <w:rFonts w:ascii="Times New Roman" w:hAnsi="Times New Roman"/>
                <w:color w:val="000000"/>
                <w:sz w:val="20"/>
                <w:szCs w:val="20"/>
              </w:rPr>
            </w:pPr>
            <w:proofErr w:type="spellStart"/>
            <w:proofErr w:type="gramStart"/>
            <w:r w:rsidRPr="007C5A6E">
              <w:rPr>
                <w:rFonts w:ascii="Times New Roman" w:hAnsi="Times New Roman"/>
                <w:color w:val="000000"/>
                <w:sz w:val="20"/>
                <w:szCs w:val="20"/>
              </w:rPr>
              <w:t>median</w:t>
            </w:r>
            <w:proofErr w:type="spellEnd"/>
            <w:proofErr w:type="gramEnd"/>
          </w:p>
        </w:tc>
        <w:tc>
          <w:tcPr>
            <w:tcW w:w="646" w:type="dxa"/>
            <w:tcBorders>
              <w:top w:val="nil"/>
              <w:left w:val="nil"/>
              <w:bottom w:val="single" w:sz="4" w:space="0" w:color="auto"/>
              <w:right w:val="single" w:sz="4" w:space="0" w:color="auto"/>
            </w:tcBorders>
            <w:shd w:val="clear" w:color="auto" w:fill="auto"/>
            <w:noWrap/>
            <w:vAlign w:val="bottom"/>
            <w:hideMark/>
          </w:tcPr>
          <w:p w14:paraId="2950E225" w14:textId="77777777" w:rsidR="0073535A" w:rsidRPr="007C5A6E" w:rsidRDefault="0073535A" w:rsidP="008D1FFC">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q</w:t>
            </w:r>
            <w:proofErr w:type="gramEnd"/>
            <w:r w:rsidRPr="007C5A6E">
              <w:rPr>
                <w:rFonts w:ascii="Times New Roman" w:hAnsi="Times New Roman"/>
                <w:color w:val="000000"/>
                <w:sz w:val="20"/>
                <w:szCs w:val="20"/>
              </w:rPr>
              <w:t>25</w:t>
            </w:r>
          </w:p>
        </w:tc>
        <w:tc>
          <w:tcPr>
            <w:tcW w:w="780" w:type="dxa"/>
            <w:tcBorders>
              <w:top w:val="nil"/>
              <w:left w:val="nil"/>
              <w:bottom w:val="single" w:sz="4" w:space="0" w:color="auto"/>
              <w:right w:val="single" w:sz="4" w:space="0" w:color="auto"/>
            </w:tcBorders>
            <w:shd w:val="clear" w:color="auto" w:fill="auto"/>
            <w:noWrap/>
            <w:vAlign w:val="bottom"/>
            <w:hideMark/>
          </w:tcPr>
          <w:p w14:paraId="1F005F70" w14:textId="77777777" w:rsidR="0073535A" w:rsidRPr="007C5A6E" w:rsidRDefault="0073535A" w:rsidP="008D1FFC">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q</w:t>
            </w:r>
            <w:proofErr w:type="gramEnd"/>
            <w:r w:rsidRPr="007C5A6E">
              <w:rPr>
                <w:rFonts w:ascii="Times New Roman" w:hAnsi="Times New Roman"/>
                <w:color w:val="000000"/>
                <w:sz w:val="20"/>
                <w:szCs w:val="20"/>
              </w:rPr>
              <w:t>75</w:t>
            </w:r>
          </w:p>
        </w:tc>
        <w:tc>
          <w:tcPr>
            <w:tcW w:w="854" w:type="dxa"/>
            <w:tcBorders>
              <w:top w:val="nil"/>
              <w:left w:val="nil"/>
              <w:bottom w:val="single" w:sz="4" w:space="0" w:color="auto"/>
              <w:right w:val="single" w:sz="4" w:space="0" w:color="auto"/>
            </w:tcBorders>
            <w:shd w:val="clear" w:color="auto" w:fill="auto"/>
            <w:noWrap/>
            <w:vAlign w:val="bottom"/>
            <w:hideMark/>
          </w:tcPr>
          <w:p w14:paraId="6C5A15CA" w14:textId="77777777" w:rsidR="0073535A" w:rsidRPr="007C5A6E" w:rsidRDefault="0073535A" w:rsidP="008D1FFC">
            <w:pPr>
              <w:spacing w:after="0" w:line="240" w:lineRule="auto"/>
              <w:rPr>
                <w:rFonts w:ascii="Times New Roman" w:hAnsi="Times New Roman"/>
                <w:color w:val="000000"/>
                <w:sz w:val="20"/>
                <w:szCs w:val="20"/>
              </w:rPr>
            </w:pPr>
            <w:proofErr w:type="spellStart"/>
            <w:proofErr w:type="gramStart"/>
            <w:r w:rsidRPr="007C5A6E">
              <w:rPr>
                <w:rFonts w:ascii="Times New Roman" w:hAnsi="Times New Roman"/>
                <w:color w:val="000000"/>
                <w:sz w:val="20"/>
                <w:szCs w:val="20"/>
              </w:rPr>
              <w:t>median</w:t>
            </w:r>
            <w:proofErr w:type="spellEnd"/>
            <w:proofErr w:type="gramEnd"/>
          </w:p>
        </w:tc>
        <w:tc>
          <w:tcPr>
            <w:tcW w:w="646" w:type="dxa"/>
            <w:tcBorders>
              <w:top w:val="nil"/>
              <w:left w:val="nil"/>
              <w:bottom w:val="single" w:sz="4" w:space="0" w:color="auto"/>
              <w:right w:val="single" w:sz="4" w:space="0" w:color="auto"/>
            </w:tcBorders>
            <w:shd w:val="clear" w:color="auto" w:fill="auto"/>
            <w:noWrap/>
            <w:vAlign w:val="bottom"/>
            <w:hideMark/>
          </w:tcPr>
          <w:p w14:paraId="5702D8DF" w14:textId="77777777" w:rsidR="0073535A" w:rsidRPr="007C5A6E" w:rsidRDefault="0073535A" w:rsidP="008D1FFC">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q</w:t>
            </w:r>
            <w:proofErr w:type="gramEnd"/>
            <w:r w:rsidRPr="007C5A6E">
              <w:rPr>
                <w:rFonts w:ascii="Times New Roman" w:hAnsi="Times New Roman"/>
                <w:color w:val="000000"/>
                <w:sz w:val="20"/>
                <w:szCs w:val="20"/>
              </w:rPr>
              <w:t>25</w:t>
            </w:r>
          </w:p>
        </w:tc>
        <w:tc>
          <w:tcPr>
            <w:tcW w:w="780" w:type="dxa"/>
            <w:tcBorders>
              <w:top w:val="nil"/>
              <w:left w:val="nil"/>
              <w:bottom w:val="single" w:sz="4" w:space="0" w:color="auto"/>
              <w:right w:val="single" w:sz="4" w:space="0" w:color="auto"/>
            </w:tcBorders>
            <w:shd w:val="clear" w:color="auto" w:fill="auto"/>
            <w:noWrap/>
            <w:vAlign w:val="bottom"/>
            <w:hideMark/>
          </w:tcPr>
          <w:p w14:paraId="2346D1D5" w14:textId="77777777" w:rsidR="0073535A" w:rsidRPr="007C5A6E" w:rsidRDefault="0073535A" w:rsidP="008D1FFC">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q</w:t>
            </w:r>
            <w:proofErr w:type="gramEnd"/>
            <w:r w:rsidRPr="007C5A6E">
              <w:rPr>
                <w:rFonts w:ascii="Times New Roman" w:hAnsi="Times New Roman"/>
                <w:color w:val="000000"/>
                <w:sz w:val="20"/>
                <w:szCs w:val="20"/>
              </w:rPr>
              <w:t>75</w:t>
            </w:r>
          </w:p>
        </w:tc>
      </w:tr>
      <w:tr w:rsidR="0073535A" w:rsidRPr="007C5A6E" w14:paraId="6625BFA2" w14:textId="77777777" w:rsidTr="00457BED">
        <w:trPr>
          <w:trHeight w:val="300"/>
        </w:trPr>
        <w:tc>
          <w:tcPr>
            <w:tcW w:w="14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75976D" w14:textId="77777777" w:rsidR="0073535A" w:rsidRPr="007C5A6E" w:rsidRDefault="0073535A" w:rsidP="008D1FFC">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Dori</w:t>
            </w:r>
          </w:p>
        </w:tc>
        <w:tc>
          <w:tcPr>
            <w:tcW w:w="1976" w:type="dxa"/>
            <w:tcBorders>
              <w:top w:val="single" w:sz="4" w:space="0" w:color="auto"/>
              <w:left w:val="nil"/>
              <w:bottom w:val="single" w:sz="4" w:space="0" w:color="auto"/>
              <w:right w:val="single" w:sz="4" w:space="0" w:color="000000"/>
            </w:tcBorders>
            <w:shd w:val="clear" w:color="auto" w:fill="auto"/>
            <w:noWrap/>
            <w:vAlign w:val="bottom"/>
            <w:hideMark/>
          </w:tcPr>
          <w:p w14:paraId="453EF4B5" w14:textId="77777777" w:rsidR="0073535A" w:rsidRPr="007C5A6E" w:rsidRDefault="0073535A" w:rsidP="008D1FFC">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cumul</w:t>
            </w:r>
            <w:proofErr w:type="gramEnd"/>
            <w:r w:rsidRPr="007C5A6E">
              <w:rPr>
                <w:rFonts w:ascii="Times New Roman" w:hAnsi="Times New Roman"/>
                <w:color w:val="000000"/>
                <w:sz w:val="20"/>
                <w:szCs w:val="20"/>
              </w:rPr>
              <w:t xml:space="preserve"> annuel</w:t>
            </w:r>
          </w:p>
        </w:tc>
        <w:tc>
          <w:tcPr>
            <w:tcW w:w="854" w:type="dxa"/>
            <w:tcBorders>
              <w:top w:val="nil"/>
              <w:left w:val="nil"/>
              <w:bottom w:val="single" w:sz="4" w:space="0" w:color="auto"/>
              <w:right w:val="single" w:sz="4" w:space="0" w:color="auto"/>
            </w:tcBorders>
            <w:shd w:val="clear" w:color="auto" w:fill="auto"/>
            <w:noWrap/>
            <w:vAlign w:val="bottom"/>
            <w:hideMark/>
          </w:tcPr>
          <w:p w14:paraId="1B3EA1DE"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369,1</w:t>
            </w:r>
          </w:p>
        </w:tc>
        <w:tc>
          <w:tcPr>
            <w:tcW w:w="646" w:type="dxa"/>
            <w:tcBorders>
              <w:top w:val="nil"/>
              <w:left w:val="nil"/>
              <w:bottom w:val="single" w:sz="4" w:space="0" w:color="auto"/>
              <w:right w:val="single" w:sz="4" w:space="0" w:color="auto"/>
            </w:tcBorders>
            <w:shd w:val="clear" w:color="auto" w:fill="auto"/>
            <w:noWrap/>
            <w:vAlign w:val="bottom"/>
            <w:hideMark/>
          </w:tcPr>
          <w:p w14:paraId="4CD47A85"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140,7</w:t>
            </w:r>
          </w:p>
        </w:tc>
        <w:tc>
          <w:tcPr>
            <w:tcW w:w="780" w:type="dxa"/>
            <w:tcBorders>
              <w:top w:val="nil"/>
              <w:left w:val="nil"/>
              <w:bottom w:val="single" w:sz="4" w:space="0" w:color="auto"/>
              <w:right w:val="single" w:sz="4" w:space="0" w:color="auto"/>
            </w:tcBorders>
            <w:shd w:val="clear" w:color="auto" w:fill="auto"/>
            <w:noWrap/>
            <w:vAlign w:val="bottom"/>
            <w:hideMark/>
          </w:tcPr>
          <w:p w14:paraId="0E6D14FD"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601,6</w:t>
            </w:r>
          </w:p>
        </w:tc>
        <w:tc>
          <w:tcPr>
            <w:tcW w:w="854" w:type="dxa"/>
            <w:tcBorders>
              <w:top w:val="nil"/>
              <w:left w:val="nil"/>
              <w:bottom w:val="single" w:sz="4" w:space="0" w:color="auto"/>
              <w:right w:val="single" w:sz="4" w:space="0" w:color="auto"/>
            </w:tcBorders>
            <w:shd w:val="clear" w:color="auto" w:fill="auto"/>
            <w:noWrap/>
            <w:vAlign w:val="bottom"/>
            <w:hideMark/>
          </w:tcPr>
          <w:p w14:paraId="09CAEB21"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436,6</w:t>
            </w:r>
          </w:p>
        </w:tc>
        <w:tc>
          <w:tcPr>
            <w:tcW w:w="646" w:type="dxa"/>
            <w:tcBorders>
              <w:top w:val="nil"/>
              <w:left w:val="nil"/>
              <w:bottom w:val="single" w:sz="4" w:space="0" w:color="auto"/>
              <w:right w:val="single" w:sz="4" w:space="0" w:color="auto"/>
            </w:tcBorders>
            <w:shd w:val="clear" w:color="auto" w:fill="auto"/>
            <w:noWrap/>
            <w:vAlign w:val="bottom"/>
            <w:hideMark/>
          </w:tcPr>
          <w:p w14:paraId="48AB13D3"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309,4</w:t>
            </w:r>
          </w:p>
        </w:tc>
        <w:tc>
          <w:tcPr>
            <w:tcW w:w="780" w:type="dxa"/>
            <w:tcBorders>
              <w:top w:val="nil"/>
              <w:left w:val="nil"/>
              <w:bottom w:val="single" w:sz="4" w:space="0" w:color="auto"/>
              <w:right w:val="single" w:sz="4" w:space="0" w:color="auto"/>
            </w:tcBorders>
            <w:shd w:val="clear" w:color="auto" w:fill="auto"/>
            <w:noWrap/>
            <w:vAlign w:val="bottom"/>
            <w:hideMark/>
          </w:tcPr>
          <w:p w14:paraId="66246063"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523,5</w:t>
            </w:r>
          </w:p>
        </w:tc>
        <w:tc>
          <w:tcPr>
            <w:tcW w:w="854" w:type="dxa"/>
            <w:tcBorders>
              <w:top w:val="nil"/>
              <w:left w:val="nil"/>
              <w:bottom w:val="single" w:sz="4" w:space="0" w:color="auto"/>
              <w:right w:val="single" w:sz="4" w:space="0" w:color="auto"/>
            </w:tcBorders>
            <w:shd w:val="clear" w:color="auto" w:fill="auto"/>
            <w:noWrap/>
            <w:vAlign w:val="bottom"/>
            <w:hideMark/>
          </w:tcPr>
          <w:p w14:paraId="1C92B4E5"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461,9</w:t>
            </w:r>
          </w:p>
        </w:tc>
        <w:tc>
          <w:tcPr>
            <w:tcW w:w="646" w:type="dxa"/>
            <w:tcBorders>
              <w:top w:val="nil"/>
              <w:left w:val="nil"/>
              <w:bottom w:val="single" w:sz="4" w:space="0" w:color="auto"/>
              <w:right w:val="single" w:sz="4" w:space="0" w:color="auto"/>
            </w:tcBorders>
            <w:shd w:val="clear" w:color="auto" w:fill="auto"/>
            <w:noWrap/>
            <w:vAlign w:val="bottom"/>
            <w:hideMark/>
          </w:tcPr>
          <w:p w14:paraId="4332837E"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410,9</w:t>
            </w:r>
          </w:p>
        </w:tc>
        <w:tc>
          <w:tcPr>
            <w:tcW w:w="780" w:type="dxa"/>
            <w:tcBorders>
              <w:top w:val="nil"/>
              <w:left w:val="nil"/>
              <w:bottom w:val="single" w:sz="4" w:space="0" w:color="auto"/>
              <w:right w:val="single" w:sz="4" w:space="0" w:color="auto"/>
            </w:tcBorders>
            <w:shd w:val="clear" w:color="auto" w:fill="auto"/>
            <w:noWrap/>
            <w:vAlign w:val="bottom"/>
            <w:hideMark/>
          </w:tcPr>
          <w:p w14:paraId="03EB4B80"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534,1</w:t>
            </w:r>
          </w:p>
        </w:tc>
        <w:tc>
          <w:tcPr>
            <w:tcW w:w="854" w:type="dxa"/>
            <w:tcBorders>
              <w:top w:val="nil"/>
              <w:left w:val="nil"/>
              <w:bottom w:val="single" w:sz="4" w:space="0" w:color="auto"/>
              <w:right w:val="single" w:sz="4" w:space="0" w:color="auto"/>
            </w:tcBorders>
            <w:shd w:val="clear" w:color="auto" w:fill="auto"/>
            <w:noWrap/>
            <w:vAlign w:val="bottom"/>
            <w:hideMark/>
          </w:tcPr>
          <w:p w14:paraId="74BC0EFD"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425,2</w:t>
            </w:r>
          </w:p>
        </w:tc>
        <w:tc>
          <w:tcPr>
            <w:tcW w:w="646" w:type="dxa"/>
            <w:tcBorders>
              <w:top w:val="nil"/>
              <w:left w:val="nil"/>
              <w:bottom w:val="single" w:sz="4" w:space="0" w:color="auto"/>
              <w:right w:val="single" w:sz="4" w:space="0" w:color="auto"/>
            </w:tcBorders>
            <w:shd w:val="clear" w:color="auto" w:fill="auto"/>
            <w:noWrap/>
            <w:vAlign w:val="bottom"/>
            <w:hideMark/>
          </w:tcPr>
          <w:p w14:paraId="6D980787"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248,5</w:t>
            </w:r>
          </w:p>
        </w:tc>
        <w:tc>
          <w:tcPr>
            <w:tcW w:w="780" w:type="dxa"/>
            <w:tcBorders>
              <w:top w:val="nil"/>
              <w:left w:val="nil"/>
              <w:bottom w:val="single" w:sz="4" w:space="0" w:color="auto"/>
              <w:right w:val="single" w:sz="4" w:space="0" w:color="auto"/>
            </w:tcBorders>
            <w:shd w:val="clear" w:color="auto" w:fill="auto"/>
            <w:noWrap/>
            <w:vAlign w:val="bottom"/>
            <w:hideMark/>
          </w:tcPr>
          <w:p w14:paraId="7C65BD8D"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586,4</w:t>
            </w:r>
          </w:p>
        </w:tc>
      </w:tr>
      <w:tr w:rsidR="0073535A" w:rsidRPr="007C5A6E" w14:paraId="187A367E" w14:textId="77777777" w:rsidTr="00457BED">
        <w:trPr>
          <w:trHeight w:val="300"/>
        </w:trPr>
        <w:tc>
          <w:tcPr>
            <w:tcW w:w="1464" w:type="dxa"/>
            <w:vMerge/>
            <w:tcBorders>
              <w:top w:val="nil"/>
              <w:left w:val="single" w:sz="4" w:space="0" w:color="auto"/>
              <w:bottom w:val="single" w:sz="4" w:space="0" w:color="auto"/>
              <w:right w:val="single" w:sz="4" w:space="0" w:color="auto"/>
            </w:tcBorders>
            <w:vAlign w:val="center"/>
            <w:hideMark/>
          </w:tcPr>
          <w:p w14:paraId="51359BF7" w14:textId="77777777" w:rsidR="0073535A" w:rsidRPr="007C5A6E" w:rsidRDefault="0073535A" w:rsidP="008D1FFC">
            <w:pPr>
              <w:spacing w:after="0" w:line="240" w:lineRule="auto"/>
              <w:rPr>
                <w:rFonts w:ascii="Times New Roman" w:hAnsi="Times New Roman"/>
                <w:color w:val="000000"/>
                <w:sz w:val="20"/>
                <w:szCs w:val="20"/>
              </w:rPr>
            </w:pPr>
          </w:p>
        </w:tc>
        <w:tc>
          <w:tcPr>
            <w:tcW w:w="1976" w:type="dxa"/>
            <w:tcBorders>
              <w:top w:val="single" w:sz="4" w:space="0" w:color="auto"/>
              <w:left w:val="nil"/>
              <w:bottom w:val="single" w:sz="4" w:space="0" w:color="auto"/>
              <w:right w:val="single" w:sz="4" w:space="0" w:color="000000"/>
            </w:tcBorders>
            <w:shd w:val="clear" w:color="auto" w:fill="auto"/>
            <w:noWrap/>
            <w:vAlign w:val="bottom"/>
            <w:hideMark/>
          </w:tcPr>
          <w:p w14:paraId="10AD4513" w14:textId="77777777" w:rsidR="0073535A" w:rsidRPr="007C5A6E" w:rsidRDefault="0073535A" w:rsidP="008D1FFC">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cumul</w:t>
            </w:r>
            <w:proofErr w:type="gramEnd"/>
            <w:r w:rsidRPr="007C5A6E">
              <w:rPr>
                <w:rFonts w:ascii="Times New Roman" w:hAnsi="Times New Roman"/>
                <w:color w:val="000000"/>
                <w:sz w:val="20"/>
                <w:szCs w:val="20"/>
              </w:rPr>
              <w:t xml:space="preserve"> max 5 jours</w:t>
            </w:r>
          </w:p>
        </w:tc>
        <w:tc>
          <w:tcPr>
            <w:tcW w:w="854" w:type="dxa"/>
            <w:tcBorders>
              <w:top w:val="nil"/>
              <w:left w:val="nil"/>
              <w:bottom w:val="single" w:sz="4" w:space="0" w:color="auto"/>
              <w:right w:val="single" w:sz="4" w:space="0" w:color="auto"/>
            </w:tcBorders>
            <w:shd w:val="clear" w:color="auto" w:fill="auto"/>
            <w:noWrap/>
            <w:vAlign w:val="bottom"/>
            <w:hideMark/>
          </w:tcPr>
          <w:p w14:paraId="623FA46B"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62,0</w:t>
            </w:r>
          </w:p>
        </w:tc>
        <w:tc>
          <w:tcPr>
            <w:tcW w:w="646" w:type="dxa"/>
            <w:tcBorders>
              <w:top w:val="nil"/>
              <w:left w:val="nil"/>
              <w:bottom w:val="single" w:sz="4" w:space="0" w:color="auto"/>
              <w:right w:val="single" w:sz="4" w:space="0" w:color="auto"/>
            </w:tcBorders>
            <w:shd w:val="clear" w:color="auto" w:fill="auto"/>
            <w:noWrap/>
            <w:vAlign w:val="bottom"/>
            <w:hideMark/>
          </w:tcPr>
          <w:p w14:paraId="3E9397C1"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32,1</w:t>
            </w:r>
          </w:p>
        </w:tc>
        <w:tc>
          <w:tcPr>
            <w:tcW w:w="780" w:type="dxa"/>
            <w:tcBorders>
              <w:top w:val="nil"/>
              <w:left w:val="nil"/>
              <w:bottom w:val="single" w:sz="4" w:space="0" w:color="auto"/>
              <w:right w:val="single" w:sz="4" w:space="0" w:color="auto"/>
            </w:tcBorders>
            <w:shd w:val="clear" w:color="auto" w:fill="auto"/>
            <w:noWrap/>
            <w:vAlign w:val="bottom"/>
            <w:hideMark/>
          </w:tcPr>
          <w:p w14:paraId="3F319CC2"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86,5</w:t>
            </w:r>
          </w:p>
        </w:tc>
        <w:tc>
          <w:tcPr>
            <w:tcW w:w="854" w:type="dxa"/>
            <w:tcBorders>
              <w:top w:val="nil"/>
              <w:left w:val="nil"/>
              <w:bottom w:val="single" w:sz="4" w:space="0" w:color="auto"/>
              <w:right w:val="single" w:sz="4" w:space="0" w:color="auto"/>
            </w:tcBorders>
            <w:shd w:val="clear" w:color="auto" w:fill="auto"/>
            <w:noWrap/>
            <w:vAlign w:val="bottom"/>
            <w:hideMark/>
          </w:tcPr>
          <w:p w14:paraId="6D57898D"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62,5</w:t>
            </w:r>
          </w:p>
        </w:tc>
        <w:tc>
          <w:tcPr>
            <w:tcW w:w="646" w:type="dxa"/>
            <w:tcBorders>
              <w:top w:val="nil"/>
              <w:left w:val="nil"/>
              <w:bottom w:val="single" w:sz="4" w:space="0" w:color="auto"/>
              <w:right w:val="single" w:sz="4" w:space="0" w:color="auto"/>
            </w:tcBorders>
            <w:shd w:val="clear" w:color="auto" w:fill="auto"/>
            <w:noWrap/>
            <w:vAlign w:val="bottom"/>
            <w:hideMark/>
          </w:tcPr>
          <w:p w14:paraId="5244E693"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48,2</w:t>
            </w:r>
          </w:p>
        </w:tc>
        <w:tc>
          <w:tcPr>
            <w:tcW w:w="780" w:type="dxa"/>
            <w:tcBorders>
              <w:top w:val="nil"/>
              <w:left w:val="nil"/>
              <w:bottom w:val="single" w:sz="4" w:space="0" w:color="auto"/>
              <w:right w:val="single" w:sz="4" w:space="0" w:color="auto"/>
            </w:tcBorders>
            <w:shd w:val="clear" w:color="auto" w:fill="auto"/>
            <w:noWrap/>
            <w:vAlign w:val="bottom"/>
            <w:hideMark/>
          </w:tcPr>
          <w:p w14:paraId="384E7516"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87,3</w:t>
            </w:r>
          </w:p>
        </w:tc>
        <w:tc>
          <w:tcPr>
            <w:tcW w:w="854" w:type="dxa"/>
            <w:tcBorders>
              <w:top w:val="nil"/>
              <w:left w:val="nil"/>
              <w:bottom w:val="single" w:sz="4" w:space="0" w:color="auto"/>
              <w:right w:val="single" w:sz="4" w:space="0" w:color="auto"/>
            </w:tcBorders>
            <w:shd w:val="clear" w:color="auto" w:fill="auto"/>
            <w:noWrap/>
            <w:vAlign w:val="bottom"/>
            <w:hideMark/>
          </w:tcPr>
          <w:p w14:paraId="34EEA51C"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92,8</w:t>
            </w:r>
          </w:p>
        </w:tc>
        <w:tc>
          <w:tcPr>
            <w:tcW w:w="646" w:type="dxa"/>
            <w:tcBorders>
              <w:top w:val="nil"/>
              <w:left w:val="nil"/>
              <w:bottom w:val="single" w:sz="4" w:space="0" w:color="auto"/>
              <w:right w:val="single" w:sz="4" w:space="0" w:color="auto"/>
            </w:tcBorders>
            <w:shd w:val="clear" w:color="auto" w:fill="auto"/>
            <w:noWrap/>
            <w:vAlign w:val="bottom"/>
            <w:hideMark/>
          </w:tcPr>
          <w:p w14:paraId="4240EE07"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57,8</w:t>
            </w:r>
          </w:p>
        </w:tc>
        <w:tc>
          <w:tcPr>
            <w:tcW w:w="780" w:type="dxa"/>
            <w:tcBorders>
              <w:top w:val="nil"/>
              <w:left w:val="nil"/>
              <w:bottom w:val="single" w:sz="4" w:space="0" w:color="auto"/>
              <w:right w:val="single" w:sz="4" w:space="0" w:color="auto"/>
            </w:tcBorders>
            <w:shd w:val="clear" w:color="auto" w:fill="auto"/>
            <w:noWrap/>
            <w:vAlign w:val="bottom"/>
            <w:hideMark/>
          </w:tcPr>
          <w:p w14:paraId="4FF847A0"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119,9</w:t>
            </w:r>
          </w:p>
        </w:tc>
        <w:tc>
          <w:tcPr>
            <w:tcW w:w="854" w:type="dxa"/>
            <w:tcBorders>
              <w:top w:val="nil"/>
              <w:left w:val="nil"/>
              <w:bottom w:val="single" w:sz="4" w:space="0" w:color="auto"/>
              <w:right w:val="single" w:sz="4" w:space="0" w:color="auto"/>
            </w:tcBorders>
            <w:shd w:val="clear" w:color="auto" w:fill="auto"/>
            <w:noWrap/>
            <w:vAlign w:val="bottom"/>
            <w:hideMark/>
          </w:tcPr>
          <w:p w14:paraId="02E0B11A"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73,7</w:t>
            </w:r>
          </w:p>
        </w:tc>
        <w:tc>
          <w:tcPr>
            <w:tcW w:w="646" w:type="dxa"/>
            <w:tcBorders>
              <w:top w:val="nil"/>
              <w:left w:val="nil"/>
              <w:bottom w:val="single" w:sz="4" w:space="0" w:color="auto"/>
              <w:right w:val="single" w:sz="4" w:space="0" w:color="auto"/>
            </w:tcBorders>
            <w:shd w:val="clear" w:color="auto" w:fill="auto"/>
            <w:noWrap/>
            <w:vAlign w:val="bottom"/>
            <w:hideMark/>
          </w:tcPr>
          <w:p w14:paraId="00F6DC1C"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55,4</w:t>
            </w:r>
          </w:p>
        </w:tc>
        <w:tc>
          <w:tcPr>
            <w:tcW w:w="780" w:type="dxa"/>
            <w:tcBorders>
              <w:top w:val="nil"/>
              <w:left w:val="nil"/>
              <w:bottom w:val="single" w:sz="4" w:space="0" w:color="auto"/>
              <w:right w:val="single" w:sz="4" w:space="0" w:color="auto"/>
            </w:tcBorders>
            <w:shd w:val="clear" w:color="auto" w:fill="auto"/>
            <w:noWrap/>
            <w:vAlign w:val="bottom"/>
            <w:hideMark/>
          </w:tcPr>
          <w:p w14:paraId="1966D15A"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89,5</w:t>
            </w:r>
          </w:p>
        </w:tc>
      </w:tr>
      <w:tr w:rsidR="0073535A" w:rsidRPr="007C5A6E" w14:paraId="3074140D" w14:textId="77777777" w:rsidTr="00457BED">
        <w:trPr>
          <w:trHeight w:val="300"/>
        </w:trPr>
        <w:tc>
          <w:tcPr>
            <w:tcW w:w="1464" w:type="dxa"/>
            <w:vMerge/>
            <w:tcBorders>
              <w:top w:val="nil"/>
              <w:left w:val="single" w:sz="4" w:space="0" w:color="auto"/>
              <w:bottom w:val="single" w:sz="4" w:space="0" w:color="auto"/>
              <w:right w:val="single" w:sz="4" w:space="0" w:color="auto"/>
            </w:tcBorders>
            <w:vAlign w:val="center"/>
            <w:hideMark/>
          </w:tcPr>
          <w:p w14:paraId="23894D75" w14:textId="77777777" w:rsidR="0073535A" w:rsidRPr="007C5A6E" w:rsidRDefault="0073535A" w:rsidP="008D1FFC">
            <w:pPr>
              <w:spacing w:after="0" w:line="240" w:lineRule="auto"/>
              <w:rPr>
                <w:rFonts w:ascii="Times New Roman" w:hAnsi="Times New Roman"/>
                <w:color w:val="000000"/>
                <w:sz w:val="20"/>
                <w:szCs w:val="20"/>
              </w:rPr>
            </w:pPr>
          </w:p>
        </w:tc>
        <w:tc>
          <w:tcPr>
            <w:tcW w:w="1976" w:type="dxa"/>
            <w:tcBorders>
              <w:top w:val="single" w:sz="4" w:space="0" w:color="auto"/>
              <w:left w:val="nil"/>
              <w:bottom w:val="single" w:sz="4" w:space="0" w:color="auto"/>
              <w:right w:val="single" w:sz="4" w:space="0" w:color="000000"/>
            </w:tcBorders>
            <w:shd w:val="clear" w:color="auto" w:fill="auto"/>
            <w:noWrap/>
            <w:vAlign w:val="bottom"/>
            <w:hideMark/>
          </w:tcPr>
          <w:p w14:paraId="656D4AB0" w14:textId="2CAB8CB4" w:rsidR="0073535A" w:rsidRPr="007C5A6E" w:rsidRDefault="0073535A" w:rsidP="008D1FFC">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pluie</w:t>
            </w:r>
            <w:proofErr w:type="gramEnd"/>
            <w:r w:rsidRPr="007C5A6E">
              <w:rPr>
                <w:rFonts w:ascii="Times New Roman" w:hAnsi="Times New Roman"/>
                <w:color w:val="000000"/>
                <w:sz w:val="20"/>
                <w:szCs w:val="20"/>
              </w:rPr>
              <w:t xml:space="preserve"> max </w:t>
            </w:r>
            <w:r w:rsidR="003236C5" w:rsidRPr="007C5A6E">
              <w:rPr>
                <w:rFonts w:ascii="Times New Roman" w:hAnsi="Times New Roman"/>
                <w:color w:val="000000"/>
                <w:sz w:val="20"/>
                <w:szCs w:val="20"/>
              </w:rPr>
              <w:t>journalière</w:t>
            </w:r>
          </w:p>
        </w:tc>
        <w:tc>
          <w:tcPr>
            <w:tcW w:w="854" w:type="dxa"/>
            <w:tcBorders>
              <w:top w:val="nil"/>
              <w:left w:val="nil"/>
              <w:bottom w:val="single" w:sz="4" w:space="0" w:color="auto"/>
              <w:right w:val="single" w:sz="4" w:space="0" w:color="auto"/>
            </w:tcBorders>
            <w:shd w:val="clear" w:color="auto" w:fill="auto"/>
            <w:noWrap/>
            <w:vAlign w:val="bottom"/>
            <w:hideMark/>
          </w:tcPr>
          <w:p w14:paraId="2CD73567"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23,5</w:t>
            </w:r>
          </w:p>
        </w:tc>
        <w:tc>
          <w:tcPr>
            <w:tcW w:w="646" w:type="dxa"/>
            <w:tcBorders>
              <w:top w:val="nil"/>
              <w:left w:val="nil"/>
              <w:bottom w:val="single" w:sz="4" w:space="0" w:color="auto"/>
              <w:right w:val="single" w:sz="4" w:space="0" w:color="auto"/>
            </w:tcBorders>
            <w:shd w:val="clear" w:color="auto" w:fill="auto"/>
            <w:noWrap/>
            <w:vAlign w:val="bottom"/>
            <w:hideMark/>
          </w:tcPr>
          <w:p w14:paraId="572886BC"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14,3</w:t>
            </w:r>
          </w:p>
        </w:tc>
        <w:tc>
          <w:tcPr>
            <w:tcW w:w="780" w:type="dxa"/>
            <w:tcBorders>
              <w:top w:val="nil"/>
              <w:left w:val="nil"/>
              <w:bottom w:val="single" w:sz="4" w:space="0" w:color="auto"/>
              <w:right w:val="single" w:sz="4" w:space="0" w:color="auto"/>
            </w:tcBorders>
            <w:shd w:val="clear" w:color="auto" w:fill="auto"/>
            <w:noWrap/>
            <w:vAlign w:val="bottom"/>
            <w:hideMark/>
          </w:tcPr>
          <w:p w14:paraId="48C5BDBA"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32,5</w:t>
            </w:r>
          </w:p>
        </w:tc>
        <w:tc>
          <w:tcPr>
            <w:tcW w:w="854" w:type="dxa"/>
            <w:tcBorders>
              <w:top w:val="nil"/>
              <w:left w:val="nil"/>
              <w:bottom w:val="single" w:sz="4" w:space="0" w:color="auto"/>
              <w:right w:val="single" w:sz="4" w:space="0" w:color="auto"/>
            </w:tcBorders>
            <w:shd w:val="clear" w:color="auto" w:fill="auto"/>
            <w:noWrap/>
            <w:vAlign w:val="bottom"/>
            <w:hideMark/>
          </w:tcPr>
          <w:p w14:paraId="650C63D5"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34,6</w:t>
            </w:r>
          </w:p>
        </w:tc>
        <w:tc>
          <w:tcPr>
            <w:tcW w:w="646" w:type="dxa"/>
            <w:tcBorders>
              <w:top w:val="nil"/>
              <w:left w:val="nil"/>
              <w:bottom w:val="single" w:sz="4" w:space="0" w:color="auto"/>
              <w:right w:val="single" w:sz="4" w:space="0" w:color="auto"/>
            </w:tcBorders>
            <w:shd w:val="clear" w:color="auto" w:fill="auto"/>
            <w:noWrap/>
            <w:vAlign w:val="bottom"/>
            <w:hideMark/>
          </w:tcPr>
          <w:p w14:paraId="275EC55C"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19,9</w:t>
            </w:r>
          </w:p>
        </w:tc>
        <w:tc>
          <w:tcPr>
            <w:tcW w:w="780" w:type="dxa"/>
            <w:tcBorders>
              <w:top w:val="nil"/>
              <w:left w:val="nil"/>
              <w:bottom w:val="single" w:sz="4" w:space="0" w:color="auto"/>
              <w:right w:val="single" w:sz="4" w:space="0" w:color="auto"/>
            </w:tcBorders>
            <w:shd w:val="clear" w:color="auto" w:fill="auto"/>
            <w:noWrap/>
            <w:vAlign w:val="bottom"/>
            <w:hideMark/>
          </w:tcPr>
          <w:p w14:paraId="79C6323C"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49,6</w:t>
            </w:r>
          </w:p>
        </w:tc>
        <w:tc>
          <w:tcPr>
            <w:tcW w:w="854" w:type="dxa"/>
            <w:tcBorders>
              <w:top w:val="nil"/>
              <w:left w:val="nil"/>
              <w:bottom w:val="single" w:sz="4" w:space="0" w:color="auto"/>
              <w:right w:val="single" w:sz="4" w:space="0" w:color="auto"/>
            </w:tcBorders>
            <w:shd w:val="clear" w:color="auto" w:fill="auto"/>
            <w:noWrap/>
            <w:vAlign w:val="bottom"/>
            <w:hideMark/>
          </w:tcPr>
          <w:p w14:paraId="43822381"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59,5</w:t>
            </w:r>
          </w:p>
        </w:tc>
        <w:tc>
          <w:tcPr>
            <w:tcW w:w="646" w:type="dxa"/>
            <w:tcBorders>
              <w:top w:val="nil"/>
              <w:left w:val="nil"/>
              <w:bottom w:val="single" w:sz="4" w:space="0" w:color="auto"/>
              <w:right w:val="single" w:sz="4" w:space="0" w:color="auto"/>
            </w:tcBorders>
            <w:shd w:val="clear" w:color="auto" w:fill="auto"/>
            <w:noWrap/>
            <w:vAlign w:val="bottom"/>
            <w:hideMark/>
          </w:tcPr>
          <w:p w14:paraId="7298E181"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30,1</w:t>
            </w:r>
          </w:p>
        </w:tc>
        <w:tc>
          <w:tcPr>
            <w:tcW w:w="780" w:type="dxa"/>
            <w:tcBorders>
              <w:top w:val="nil"/>
              <w:left w:val="nil"/>
              <w:bottom w:val="single" w:sz="4" w:space="0" w:color="auto"/>
              <w:right w:val="single" w:sz="4" w:space="0" w:color="auto"/>
            </w:tcBorders>
            <w:shd w:val="clear" w:color="auto" w:fill="auto"/>
            <w:noWrap/>
            <w:vAlign w:val="bottom"/>
            <w:hideMark/>
          </w:tcPr>
          <w:p w14:paraId="6E10034D"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87,7</w:t>
            </w:r>
          </w:p>
        </w:tc>
        <w:tc>
          <w:tcPr>
            <w:tcW w:w="854" w:type="dxa"/>
            <w:tcBorders>
              <w:top w:val="nil"/>
              <w:left w:val="nil"/>
              <w:bottom w:val="single" w:sz="4" w:space="0" w:color="auto"/>
              <w:right w:val="single" w:sz="4" w:space="0" w:color="auto"/>
            </w:tcBorders>
            <w:shd w:val="clear" w:color="auto" w:fill="auto"/>
            <w:noWrap/>
            <w:vAlign w:val="bottom"/>
            <w:hideMark/>
          </w:tcPr>
          <w:p w14:paraId="775BA179"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43,5</w:t>
            </w:r>
          </w:p>
        </w:tc>
        <w:tc>
          <w:tcPr>
            <w:tcW w:w="646" w:type="dxa"/>
            <w:tcBorders>
              <w:top w:val="nil"/>
              <w:left w:val="nil"/>
              <w:bottom w:val="single" w:sz="4" w:space="0" w:color="auto"/>
              <w:right w:val="single" w:sz="4" w:space="0" w:color="auto"/>
            </w:tcBorders>
            <w:shd w:val="clear" w:color="auto" w:fill="auto"/>
            <w:noWrap/>
            <w:vAlign w:val="bottom"/>
            <w:hideMark/>
          </w:tcPr>
          <w:p w14:paraId="114E8C95"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28,2</w:t>
            </w:r>
          </w:p>
        </w:tc>
        <w:tc>
          <w:tcPr>
            <w:tcW w:w="780" w:type="dxa"/>
            <w:tcBorders>
              <w:top w:val="nil"/>
              <w:left w:val="nil"/>
              <w:bottom w:val="single" w:sz="4" w:space="0" w:color="auto"/>
              <w:right w:val="single" w:sz="4" w:space="0" w:color="auto"/>
            </w:tcBorders>
            <w:shd w:val="clear" w:color="auto" w:fill="auto"/>
            <w:noWrap/>
            <w:vAlign w:val="bottom"/>
            <w:hideMark/>
          </w:tcPr>
          <w:p w14:paraId="0D73D9B8"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58,5</w:t>
            </w:r>
          </w:p>
        </w:tc>
      </w:tr>
      <w:tr w:rsidR="0073535A" w:rsidRPr="007C5A6E" w14:paraId="14BC8777" w14:textId="77777777" w:rsidTr="00457BED">
        <w:trPr>
          <w:trHeight w:val="300"/>
        </w:trPr>
        <w:tc>
          <w:tcPr>
            <w:tcW w:w="1464" w:type="dxa"/>
            <w:vMerge/>
            <w:tcBorders>
              <w:top w:val="nil"/>
              <w:left w:val="single" w:sz="4" w:space="0" w:color="auto"/>
              <w:bottom w:val="single" w:sz="4" w:space="0" w:color="auto"/>
              <w:right w:val="single" w:sz="4" w:space="0" w:color="auto"/>
            </w:tcBorders>
            <w:vAlign w:val="center"/>
            <w:hideMark/>
          </w:tcPr>
          <w:p w14:paraId="70321701" w14:textId="77777777" w:rsidR="0073535A" w:rsidRPr="007C5A6E" w:rsidRDefault="0073535A" w:rsidP="008D1FFC">
            <w:pPr>
              <w:spacing w:after="0" w:line="240" w:lineRule="auto"/>
              <w:rPr>
                <w:rFonts w:ascii="Times New Roman" w:hAnsi="Times New Roman"/>
                <w:color w:val="000000"/>
                <w:sz w:val="20"/>
                <w:szCs w:val="20"/>
              </w:rPr>
            </w:pPr>
          </w:p>
        </w:tc>
        <w:tc>
          <w:tcPr>
            <w:tcW w:w="1976" w:type="dxa"/>
            <w:tcBorders>
              <w:top w:val="single" w:sz="4" w:space="0" w:color="auto"/>
              <w:left w:val="nil"/>
              <w:bottom w:val="single" w:sz="4" w:space="0" w:color="auto"/>
              <w:right w:val="single" w:sz="4" w:space="0" w:color="000000"/>
            </w:tcBorders>
            <w:shd w:val="clear" w:color="auto" w:fill="auto"/>
            <w:noWrap/>
            <w:vAlign w:val="bottom"/>
            <w:hideMark/>
          </w:tcPr>
          <w:p w14:paraId="4CA96ADD"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854" w:type="dxa"/>
            <w:tcBorders>
              <w:top w:val="nil"/>
              <w:left w:val="nil"/>
              <w:bottom w:val="single" w:sz="4" w:space="0" w:color="auto"/>
              <w:right w:val="single" w:sz="4" w:space="0" w:color="auto"/>
            </w:tcBorders>
            <w:shd w:val="clear" w:color="auto" w:fill="auto"/>
            <w:noWrap/>
            <w:vAlign w:val="bottom"/>
            <w:hideMark/>
          </w:tcPr>
          <w:p w14:paraId="1A757089"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646" w:type="dxa"/>
            <w:tcBorders>
              <w:top w:val="nil"/>
              <w:left w:val="nil"/>
              <w:bottom w:val="single" w:sz="4" w:space="0" w:color="auto"/>
              <w:right w:val="single" w:sz="4" w:space="0" w:color="auto"/>
            </w:tcBorders>
            <w:shd w:val="clear" w:color="auto" w:fill="auto"/>
            <w:noWrap/>
            <w:vAlign w:val="bottom"/>
            <w:hideMark/>
          </w:tcPr>
          <w:p w14:paraId="266AFFDA"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780" w:type="dxa"/>
            <w:tcBorders>
              <w:top w:val="nil"/>
              <w:left w:val="nil"/>
              <w:bottom w:val="single" w:sz="4" w:space="0" w:color="auto"/>
              <w:right w:val="single" w:sz="4" w:space="0" w:color="auto"/>
            </w:tcBorders>
            <w:shd w:val="clear" w:color="auto" w:fill="auto"/>
            <w:noWrap/>
            <w:vAlign w:val="bottom"/>
            <w:hideMark/>
          </w:tcPr>
          <w:p w14:paraId="71E61DFE"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854" w:type="dxa"/>
            <w:tcBorders>
              <w:top w:val="nil"/>
              <w:left w:val="nil"/>
              <w:bottom w:val="single" w:sz="4" w:space="0" w:color="auto"/>
              <w:right w:val="single" w:sz="4" w:space="0" w:color="auto"/>
            </w:tcBorders>
            <w:shd w:val="clear" w:color="auto" w:fill="auto"/>
            <w:noWrap/>
            <w:vAlign w:val="bottom"/>
            <w:hideMark/>
          </w:tcPr>
          <w:p w14:paraId="24198446"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646" w:type="dxa"/>
            <w:tcBorders>
              <w:top w:val="nil"/>
              <w:left w:val="nil"/>
              <w:bottom w:val="single" w:sz="4" w:space="0" w:color="auto"/>
              <w:right w:val="single" w:sz="4" w:space="0" w:color="auto"/>
            </w:tcBorders>
            <w:shd w:val="clear" w:color="auto" w:fill="auto"/>
            <w:noWrap/>
            <w:vAlign w:val="bottom"/>
            <w:hideMark/>
          </w:tcPr>
          <w:p w14:paraId="01F43398"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780" w:type="dxa"/>
            <w:tcBorders>
              <w:top w:val="nil"/>
              <w:left w:val="nil"/>
              <w:bottom w:val="single" w:sz="4" w:space="0" w:color="auto"/>
              <w:right w:val="single" w:sz="4" w:space="0" w:color="auto"/>
            </w:tcBorders>
            <w:shd w:val="clear" w:color="auto" w:fill="auto"/>
            <w:noWrap/>
            <w:vAlign w:val="bottom"/>
            <w:hideMark/>
          </w:tcPr>
          <w:p w14:paraId="106C109C"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854" w:type="dxa"/>
            <w:tcBorders>
              <w:top w:val="nil"/>
              <w:left w:val="nil"/>
              <w:bottom w:val="single" w:sz="4" w:space="0" w:color="auto"/>
              <w:right w:val="single" w:sz="4" w:space="0" w:color="auto"/>
            </w:tcBorders>
            <w:shd w:val="clear" w:color="auto" w:fill="auto"/>
            <w:noWrap/>
            <w:vAlign w:val="bottom"/>
            <w:hideMark/>
          </w:tcPr>
          <w:p w14:paraId="1CC5E19B"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646" w:type="dxa"/>
            <w:tcBorders>
              <w:top w:val="nil"/>
              <w:left w:val="nil"/>
              <w:bottom w:val="single" w:sz="4" w:space="0" w:color="auto"/>
              <w:right w:val="single" w:sz="4" w:space="0" w:color="auto"/>
            </w:tcBorders>
            <w:shd w:val="clear" w:color="auto" w:fill="auto"/>
            <w:noWrap/>
            <w:vAlign w:val="bottom"/>
            <w:hideMark/>
          </w:tcPr>
          <w:p w14:paraId="6E6CB2E0"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780" w:type="dxa"/>
            <w:tcBorders>
              <w:top w:val="nil"/>
              <w:left w:val="nil"/>
              <w:bottom w:val="single" w:sz="4" w:space="0" w:color="auto"/>
              <w:right w:val="single" w:sz="4" w:space="0" w:color="auto"/>
            </w:tcBorders>
            <w:shd w:val="clear" w:color="auto" w:fill="auto"/>
            <w:noWrap/>
            <w:vAlign w:val="bottom"/>
            <w:hideMark/>
          </w:tcPr>
          <w:p w14:paraId="5B1724B9"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854" w:type="dxa"/>
            <w:tcBorders>
              <w:top w:val="nil"/>
              <w:left w:val="nil"/>
              <w:bottom w:val="single" w:sz="4" w:space="0" w:color="auto"/>
              <w:right w:val="single" w:sz="4" w:space="0" w:color="auto"/>
            </w:tcBorders>
            <w:shd w:val="clear" w:color="auto" w:fill="auto"/>
            <w:noWrap/>
            <w:vAlign w:val="bottom"/>
            <w:hideMark/>
          </w:tcPr>
          <w:p w14:paraId="21E8B609"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646" w:type="dxa"/>
            <w:tcBorders>
              <w:top w:val="nil"/>
              <w:left w:val="nil"/>
              <w:bottom w:val="single" w:sz="4" w:space="0" w:color="auto"/>
              <w:right w:val="single" w:sz="4" w:space="0" w:color="auto"/>
            </w:tcBorders>
            <w:shd w:val="clear" w:color="auto" w:fill="auto"/>
            <w:noWrap/>
            <w:vAlign w:val="bottom"/>
            <w:hideMark/>
          </w:tcPr>
          <w:p w14:paraId="779C2F2A"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780" w:type="dxa"/>
            <w:tcBorders>
              <w:top w:val="nil"/>
              <w:left w:val="nil"/>
              <w:bottom w:val="single" w:sz="4" w:space="0" w:color="auto"/>
              <w:right w:val="single" w:sz="4" w:space="0" w:color="auto"/>
            </w:tcBorders>
            <w:shd w:val="clear" w:color="auto" w:fill="auto"/>
            <w:noWrap/>
            <w:vAlign w:val="bottom"/>
            <w:hideMark/>
          </w:tcPr>
          <w:p w14:paraId="3DCA4B6E"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r>
      <w:tr w:rsidR="0073535A" w:rsidRPr="007C5A6E" w14:paraId="21607071" w14:textId="77777777" w:rsidTr="00457BED">
        <w:trPr>
          <w:trHeight w:val="300"/>
        </w:trPr>
        <w:tc>
          <w:tcPr>
            <w:tcW w:w="14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FA5A52B" w14:textId="77777777" w:rsidR="0073535A" w:rsidRPr="007C5A6E" w:rsidRDefault="0073535A" w:rsidP="008D1FFC">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Ouagadougou</w:t>
            </w:r>
          </w:p>
        </w:tc>
        <w:tc>
          <w:tcPr>
            <w:tcW w:w="1976" w:type="dxa"/>
            <w:tcBorders>
              <w:top w:val="single" w:sz="4" w:space="0" w:color="auto"/>
              <w:left w:val="nil"/>
              <w:bottom w:val="single" w:sz="4" w:space="0" w:color="auto"/>
              <w:right w:val="single" w:sz="4" w:space="0" w:color="000000"/>
            </w:tcBorders>
            <w:shd w:val="clear" w:color="auto" w:fill="auto"/>
            <w:noWrap/>
            <w:vAlign w:val="bottom"/>
            <w:hideMark/>
          </w:tcPr>
          <w:p w14:paraId="30BE1A4B" w14:textId="77777777" w:rsidR="0073535A" w:rsidRPr="007C5A6E" w:rsidRDefault="0073535A" w:rsidP="008D1FFC">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cumul</w:t>
            </w:r>
            <w:proofErr w:type="gramEnd"/>
            <w:r w:rsidRPr="007C5A6E">
              <w:rPr>
                <w:rFonts w:ascii="Times New Roman" w:hAnsi="Times New Roman"/>
                <w:color w:val="000000"/>
                <w:sz w:val="20"/>
                <w:szCs w:val="20"/>
              </w:rPr>
              <w:t xml:space="preserve"> annuel</w:t>
            </w:r>
          </w:p>
        </w:tc>
        <w:tc>
          <w:tcPr>
            <w:tcW w:w="854" w:type="dxa"/>
            <w:tcBorders>
              <w:top w:val="nil"/>
              <w:left w:val="nil"/>
              <w:bottom w:val="single" w:sz="4" w:space="0" w:color="auto"/>
              <w:right w:val="single" w:sz="4" w:space="0" w:color="auto"/>
            </w:tcBorders>
            <w:shd w:val="clear" w:color="auto" w:fill="auto"/>
            <w:noWrap/>
            <w:vAlign w:val="bottom"/>
            <w:hideMark/>
          </w:tcPr>
          <w:p w14:paraId="08038784"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641,2</w:t>
            </w:r>
          </w:p>
        </w:tc>
        <w:tc>
          <w:tcPr>
            <w:tcW w:w="646" w:type="dxa"/>
            <w:tcBorders>
              <w:top w:val="nil"/>
              <w:left w:val="nil"/>
              <w:bottom w:val="single" w:sz="4" w:space="0" w:color="auto"/>
              <w:right w:val="single" w:sz="4" w:space="0" w:color="auto"/>
            </w:tcBorders>
            <w:shd w:val="clear" w:color="auto" w:fill="auto"/>
            <w:noWrap/>
            <w:vAlign w:val="bottom"/>
            <w:hideMark/>
          </w:tcPr>
          <w:p w14:paraId="0A728562"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363,5</w:t>
            </w:r>
          </w:p>
        </w:tc>
        <w:tc>
          <w:tcPr>
            <w:tcW w:w="780" w:type="dxa"/>
            <w:tcBorders>
              <w:top w:val="nil"/>
              <w:left w:val="nil"/>
              <w:bottom w:val="single" w:sz="4" w:space="0" w:color="auto"/>
              <w:right w:val="single" w:sz="4" w:space="0" w:color="auto"/>
            </w:tcBorders>
            <w:shd w:val="clear" w:color="auto" w:fill="auto"/>
            <w:noWrap/>
            <w:vAlign w:val="bottom"/>
            <w:hideMark/>
          </w:tcPr>
          <w:p w14:paraId="6673BD71"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826,9</w:t>
            </w:r>
          </w:p>
        </w:tc>
        <w:tc>
          <w:tcPr>
            <w:tcW w:w="854" w:type="dxa"/>
            <w:tcBorders>
              <w:top w:val="nil"/>
              <w:left w:val="nil"/>
              <w:bottom w:val="single" w:sz="4" w:space="0" w:color="auto"/>
              <w:right w:val="single" w:sz="4" w:space="0" w:color="auto"/>
            </w:tcBorders>
            <w:shd w:val="clear" w:color="auto" w:fill="auto"/>
            <w:noWrap/>
            <w:vAlign w:val="bottom"/>
            <w:hideMark/>
          </w:tcPr>
          <w:p w14:paraId="013784C7"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737,4</w:t>
            </w:r>
          </w:p>
        </w:tc>
        <w:tc>
          <w:tcPr>
            <w:tcW w:w="646" w:type="dxa"/>
            <w:tcBorders>
              <w:top w:val="nil"/>
              <w:left w:val="nil"/>
              <w:bottom w:val="single" w:sz="4" w:space="0" w:color="auto"/>
              <w:right w:val="single" w:sz="4" w:space="0" w:color="auto"/>
            </w:tcBorders>
            <w:shd w:val="clear" w:color="auto" w:fill="auto"/>
            <w:noWrap/>
            <w:vAlign w:val="bottom"/>
            <w:hideMark/>
          </w:tcPr>
          <w:p w14:paraId="49ED68E9"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569,8</w:t>
            </w:r>
          </w:p>
        </w:tc>
        <w:tc>
          <w:tcPr>
            <w:tcW w:w="780" w:type="dxa"/>
            <w:tcBorders>
              <w:top w:val="nil"/>
              <w:left w:val="nil"/>
              <w:bottom w:val="single" w:sz="4" w:space="0" w:color="auto"/>
              <w:right w:val="single" w:sz="4" w:space="0" w:color="auto"/>
            </w:tcBorders>
            <w:shd w:val="clear" w:color="auto" w:fill="auto"/>
            <w:noWrap/>
            <w:vAlign w:val="bottom"/>
            <w:hideMark/>
          </w:tcPr>
          <w:p w14:paraId="33DE8957"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938,2</w:t>
            </w:r>
          </w:p>
        </w:tc>
        <w:tc>
          <w:tcPr>
            <w:tcW w:w="854" w:type="dxa"/>
            <w:tcBorders>
              <w:top w:val="nil"/>
              <w:left w:val="nil"/>
              <w:bottom w:val="single" w:sz="4" w:space="0" w:color="auto"/>
              <w:right w:val="single" w:sz="4" w:space="0" w:color="auto"/>
            </w:tcBorders>
            <w:shd w:val="clear" w:color="auto" w:fill="auto"/>
            <w:noWrap/>
            <w:vAlign w:val="bottom"/>
            <w:hideMark/>
          </w:tcPr>
          <w:p w14:paraId="7B47939C"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827,3</w:t>
            </w:r>
          </w:p>
        </w:tc>
        <w:tc>
          <w:tcPr>
            <w:tcW w:w="646" w:type="dxa"/>
            <w:tcBorders>
              <w:top w:val="nil"/>
              <w:left w:val="nil"/>
              <w:bottom w:val="single" w:sz="4" w:space="0" w:color="auto"/>
              <w:right w:val="single" w:sz="4" w:space="0" w:color="auto"/>
            </w:tcBorders>
            <w:shd w:val="clear" w:color="auto" w:fill="auto"/>
            <w:noWrap/>
            <w:vAlign w:val="bottom"/>
            <w:hideMark/>
          </w:tcPr>
          <w:p w14:paraId="03F6D30B"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563,5</w:t>
            </w:r>
          </w:p>
        </w:tc>
        <w:tc>
          <w:tcPr>
            <w:tcW w:w="780" w:type="dxa"/>
            <w:tcBorders>
              <w:top w:val="nil"/>
              <w:left w:val="nil"/>
              <w:bottom w:val="single" w:sz="4" w:space="0" w:color="auto"/>
              <w:right w:val="single" w:sz="4" w:space="0" w:color="auto"/>
            </w:tcBorders>
            <w:shd w:val="clear" w:color="auto" w:fill="auto"/>
            <w:noWrap/>
            <w:vAlign w:val="bottom"/>
            <w:hideMark/>
          </w:tcPr>
          <w:p w14:paraId="2F0AFAC7"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908,0</w:t>
            </w:r>
          </w:p>
        </w:tc>
        <w:tc>
          <w:tcPr>
            <w:tcW w:w="854" w:type="dxa"/>
            <w:tcBorders>
              <w:top w:val="nil"/>
              <w:left w:val="nil"/>
              <w:bottom w:val="single" w:sz="4" w:space="0" w:color="auto"/>
              <w:right w:val="single" w:sz="4" w:space="0" w:color="auto"/>
            </w:tcBorders>
            <w:shd w:val="clear" w:color="auto" w:fill="auto"/>
            <w:noWrap/>
            <w:vAlign w:val="bottom"/>
            <w:hideMark/>
          </w:tcPr>
          <w:p w14:paraId="53437D75"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788,0</w:t>
            </w:r>
          </w:p>
        </w:tc>
        <w:tc>
          <w:tcPr>
            <w:tcW w:w="646" w:type="dxa"/>
            <w:tcBorders>
              <w:top w:val="nil"/>
              <w:left w:val="nil"/>
              <w:bottom w:val="single" w:sz="4" w:space="0" w:color="auto"/>
              <w:right w:val="single" w:sz="4" w:space="0" w:color="auto"/>
            </w:tcBorders>
            <w:shd w:val="clear" w:color="auto" w:fill="auto"/>
            <w:noWrap/>
            <w:vAlign w:val="bottom"/>
            <w:hideMark/>
          </w:tcPr>
          <w:p w14:paraId="5F30D130"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477,0</w:t>
            </w:r>
          </w:p>
        </w:tc>
        <w:tc>
          <w:tcPr>
            <w:tcW w:w="780" w:type="dxa"/>
            <w:tcBorders>
              <w:top w:val="nil"/>
              <w:left w:val="nil"/>
              <w:bottom w:val="single" w:sz="4" w:space="0" w:color="auto"/>
              <w:right w:val="single" w:sz="4" w:space="0" w:color="auto"/>
            </w:tcBorders>
            <w:shd w:val="clear" w:color="auto" w:fill="auto"/>
            <w:noWrap/>
            <w:vAlign w:val="bottom"/>
            <w:hideMark/>
          </w:tcPr>
          <w:p w14:paraId="6ED5F68D"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1104,1</w:t>
            </w:r>
          </w:p>
        </w:tc>
      </w:tr>
      <w:tr w:rsidR="0073535A" w:rsidRPr="007C5A6E" w14:paraId="0542B166" w14:textId="77777777" w:rsidTr="00457BED">
        <w:trPr>
          <w:trHeight w:val="300"/>
        </w:trPr>
        <w:tc>
          <w:tcPr>
            <w:tcW w:w="1464" w:type="dxa"/>
            <w:vMerge/>
            <w:tcBorders>
              <w:top w:val="nil"/>
              <w:left w:val="single" w:sz="4" w:space="0" w:color="auto"/>
              <w:bottom w:val="single" w:sz="4" w:space="0" w:color="auto"/>
              <w:right w:val="single" w:sz="4" w:space="0" w:color="auto"/>
            </w:tcBorders>
            <w:vAlign w:val="center"/>
            <w:hideMark/>
          </w:tcPr>
          <w:p w14:paraId="0BC66437" w14:textId="77777777" w:rsidR="0073535A" w:rsidRPr="007C5A6E" w:rsidRDefault="0073535A" w:rsidP="008D1FFC">
            <w:pPr>
              <w:spacing w:after="0" w:line="240" w:lineRule="auto"/>
              <w:rPr>
                <w:rFonts w:ascii="Times New Roman" w:hAnsi="Times New Roman"/>
                <w:color w:val="000000"/>
                <w:sz w:val="20"/>
                <w:szCs w:val="20"/>
              </w:rPr>
            </w:pPr>
          </w:p>
        </w:tc>
        <w:tc>
          <w:tcPr>
            <w:tcW w:w="1976" w:type="dxa"/>
            <w:tcBorders>
              <w:top w:val="single" w:sz="4" w:space="0" w:color="auto"/>
              <w:left w:val="nil"/>
              <w:bottom w:val="single" w:sz="4" w:space="0" w:color="auto"/>
              <w:right w:val="single" w:sz="4" w:space="0" w:color="000000"/>
            </w:tcBorders>
            <w:shd w:val="clear" w:color="auto" w:fill="auto"/>
            <w:noWrap/>
            <w:vAlign w:val="bottom"/>
            <w:hideMark/>
          </w:tcPr>
          <w:p w14:paraId="54FF3831" w14:textId="77777777" w:rsidR="0073535A" w:rsidRPr="007C5A6E" w:rsidRDefault="0073535A" w:rsidP="008D1FFC">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cumul</w:t>
            </w:r>
            <w:proofErr w:type="gramEnd"/>
            <w:r w:rsidRPr="007C5A6E">
              <w:rPr>
                <w:rFonts w:ascii="Times New Roman" w:hAnsi="Times New Roman"/>
                <w:color w:val="000000"/>
                <w:sz w:val="20"/>
                <w:szCs w:val="20"/>
              </w:rPr>
              <w:t xml:space="preserve"> max 5 jours</w:t>
            </w:r>
          </w:p>
        </w:tc>
        <w:tc>
          <w:tcPr>
            <w:tcW w:w="854" w:type="dxa"/>
            <w:tcBorders>
              <w:top w:val="nil"/>
              <w:left w:val="nil"/>
              <w:bottom w:val="single" w:sz="4" w:space="0" w:color="auto"/>
              <w:right w:val="single" w:sz="4" w:space="0" w:color="auto"/>
            </w:tcBorders>
            <w:shd w:val="clear" w:color="auto" w:fill="auto"/>
            <w:noWrap/>
            <w:vAlign w:val="bottom"/>
            <w:hideMark/>
          </w:tcPr>
          <w:p w14:paraId="5E1BA211"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77,4</w:t>
            </w:r>
          </w:p>
        </w:tc>
        <w:tc>
          <w:tcPr>
            <w:tcW w:w="646" w:type="dxa"/>
            <w:tcBorders>
              <w:top w:val="nil"/>
              <w:left w:val="nil"/>
              <w:bottom w:val="single" w:sz="4" w:space="0" w:color="auto"/>
              <w:right w:val="single" w:sz="4" w:space="0" w:color="auto"/>
            </w:tcBorders>
            <w:shd w:val="clear" w:color="auto" w:fill="auto"/>
            <w:noWrap/>
            <w:vAlign w:val="bottom"/>
            <w:hideMark/>
          </w:tcPr>
          <w:p w14:paraId="65254016"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45,4</w:t>
            </w:r>
          </w:p>
        </w:tc>
        <w:tc>
          <w:tcPr>
            <w:tcW w:w="780" w:type="dxa"/>
            <w:tcBorders>
              <w:top w:val="nil"/>
              <w:left w:val="nil"/>
              <w:bottom w:val="single" w:sz="4" w:space="0" w:color="auto"/>
              <w:right w:val="single" w:sz="4" w:space="0" w:color="auto"/>
            </w:tcBorders>
            <w:shd w:val="clear" w:color="auto" w:fill="auto"/>
            <w:noWrap/>
            <w:vAlign w:val="bottom"/>
            <w:hideMark/>
          </w:tcPr>
          <w:p w14:paraId="61188AFE"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103,3</w:t>
            </w:r>
          </w:p>
        </w:tc>
        <w:tc>
          <w:tcPr>
            <w:tcW w:w="854" w:type="dxa"/>
            <w:tcBorders>
              <w:top w:val="nil"/>
              <w:left w:val="nil"/>
              <w:bottom w:val="single" w:sz="4" w:space="0" w:color="auto"/>
              <w:right w:val="single" w:sz="4" w:space="0" w:color="auto"/>
            </w:tcBorders>
            <w:shd w:val="clear" w:color="auto" w:fill="auto"/>
            <w:noWrap/>
            <w:vAlign w:val="bottom"/>
            <w:hideMark/>
          </w:tcPr>
          <w:p w14:paraId="05992DE9"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85,9</w:t>
            </w:r>
          </w:p>
        </w:tc>
        <w:tc>
          <w:tcPr>
            <w:tcW w:w="646" w:type="dxa"/>
            <w:tcBorders>
              <w:top w:val="nil"/>
              <w:left w:val="nil"/>
              <w:bottom w:val="single" w:sz="4" w:space="0" w:color="auto"/>
              <w:right w:val="single" w:sz="4" w:space="0" w:color="auto"/>
            </w:tcBorders>
            <w:shd w:val="clear" w:color="auto" w:fill="auto"/>
            <w:noWrap/>
            <w:vAlign w:val="bottom"/>
            <w:hideMark/>
          </w:tcPr>
          <w:p w14:paraId="6082EBE1"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55,3</w:t>
            </w:r>
          </w:p>
        </w:tc>
        <w:tc>
          <w:tcPr>
            <w:tcW w:w="780" w:type="dxa"/>
            <w:tcBorders>
              <w:top w:val="nil"/>
              <w:left w:val="nil"/>
              <w:bottom w:val="single" w:sz="4" w:space="0" w:color="auto"/>
              <w:right w:val="single" w:sz="4" w:space="0" w:color="auto"/>
            </w:tcBorders>
            <w:shd w:val="clear" w:color="auto" w:fill="auto"/>
            <w:noWrap/>
            <w:vAlign w:val="bottom"/>
            <w:hideMark/>
          </w:tcPr>
          <w:p w14:paraId="19A00556"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123,4</w:t>
            </w:r>
          </w:p>
        </w:tc>
        <w:tc>
          <w:tcPr>
            <w:tcW w:w="854" w:type="dxa"/>
            <w:tcBorders>
              <w:top w:val="nil"/>
              <w:left w:val="nil"/>
              <w:bottom w:val="single" w:sz="4" w:space="0" w:color="auto"/>
              <w:right w:val="single" w:sz="4" w:space="0" w:color="auto"/>
            </w:tcBorders>
            <w:shd w:val="clear" w:color="auto" w:fill="auto"/>
            <w:noWrap/>
            <w:vAlign w:val="bottom"/>
            <w:hideMark/>
          </w:tcPr>
          <w:p w14:paraId="2AF96B9E"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124,4</w:t>
            </w:r>
          </w:p>
        </w:tc>
        <w:tc>
          <w:tcPr>
            <w:tcW w:w="646" w:type="dxa"/>
            <w:tcBorders>
              <w:top w:val="nil"/>
              <w:left w:val="nil"/>
              <w:bottom w:val="single" w:sz="4" w:space="0" w:color="auto"/>
              <w:right w:val="single" w:sz="4" w:space="0" w:color="auto"/>
            </w:tcBorders>
            <w:shd w:val="clear" w:color="auto" w:fill="auto"/>
            <w:noWrap/>
            <w:vAlign w:val="bottom"/>
            <w:hideMark/>
          </w:tcPr>
          <w:p w14:paraId="3DA248CB"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62,0</w:t>
            </w:r>
          </w:p>
        </w:tc>
        <w:tc>
          <w:tcPr>
            <w:tcW w:w="780" w:type="dxa"/>
            <w:tcBorders>
              <w:top w:val="nil"/>
              <w:left w:val="nil"/>
              <w:bottom w:val="single" w:sz="4" w:space="0" w:color="auto"/>
              <w:right w:val="single" w:sz="4" w:space="0" w:color="auto"/>
            </w:tcBorders>
            <w:shd w:val="clear" w:color="auto" w:fill="auto"/>
            <w:noWrap/>
            <w:vAlign w:val="bottom"/>
            <w:hideMark/>
          </w:tcPr>
          <w:p w14:paraId="15CF56A9"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200,0</w:t>
            </w:r>
          </w:p>
        </w:tc>
        <w:tc>
          <w:tcPr>
            <w:tcW w:w="854" w:type="dxa"/>
            <w:tcBorders>
              <w:top w:val="nil"/>
              <w:left w:val="nil"/>
              <w:bottom w:val="single" w:sz="4" w:space="0" w:color="auto"/>
              <w:right w:val="single" w:sz="4" w:space="0" w:color="auto"/>
            </w:tcBorders>
            <w:shd w:val="clear" w:color="auto" w:fill="auto"/>
            <w:noWrap/>
            <w:vAlign w:val="bottom"/>
            <w:hideMark/>
          </w:tcPr>
          <w:p w14:paraId="4E3C4CBD"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129,3</w:t>
            </w:r>
          </w:p>
        </w:tc>
        <w:tc>
          <w:tcPr>
            <w:tcW w:w="646" w:type="dxa"/>
            <w:tcBorders>
              <w:top w:val="nil"/>
              <w:left w:val="nil"/>
              <w:bottom w:val="single" w:sz="4" w:space="0" w:color="auto"/>
              <w:right w:val="single" w:sz="4" w:space="0" w:color="auto"/>
            </w:tcBorders>
            <w:shd w:val="clear" w:color="auto" w:fill="auto"/>
            <w:noWrap/>
            <w:vAlign w:val="bottom"/>
            <w:hideMark/>
          </w:tcPr>
          <w:p w14:paraId="7A58C31A"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77,8</w:t>
            </w:r>
          </w:p>
        </w:tc>
        <w:tc>
          <w:tcPr>
            <w:tcW w:w="780" w:type="dxa"/>
            <w:tcBorders>
              <w:top w:val="nil"/>
              <w:left w:val="nil"/>
              <w:bottom w:val="single" w:sz="4" w:space="0" w:color="auto"/>
              <w:right w:val="single" w:sz="4" w:space="0" w:color="auto"/>
            </w:tcBorders>
            <w:shd w:val="clear" w:color="auto" w:fill="auto"/>
            <w:noWrap/>
            <w:vAlign w:val="bottom"/>
            <w:hideMark/>
          </w:tcPr>
          <w:p w14:paraId="3A41B17C"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170,8</w:t>
            </w:r>
          </w:p>
        </w:tc>
      </w:tr>
      <w:tr w:rsidR="0073535A" w:rsidRPr="007C5A6E" w14:paraId="3CF675BD" w14:textId="77777777" w:rsidTr="00457BED">
        <w:trPr>
          <w:trHeight w:val="300"/>
        </w:trPr>
        <w:tc>
          <w:tcPr>
            <w:tcW w:w="1464" w:type="dxa"/>
            <w:vMerge/>
            <w:tcBorders>
              <w:top w:val="nil"/>
              <w:left w:val="single" w:sz="4" w:space="0" w:color="auto"/>
              <w:bottom w:val="single" w:sz="4" w:space="0" w:color="auto"/>
              <w:right w:val="single" w:sz="4" w:space="0" w:color="auto"/>
            </w:tcBorders>
            <w:vAlign w:val="center"/>
            <w:hideMark/>
          </w:tcPr>
          <w:p w14:paraId="6A9C573D" w14:textId="77777777" w:rsidR="0073535A" w:rsidRPr="007C5A6E" w:rsidRDefault="0073535A" w:rsidP="008D1FFC">
            <w:pPr>
              <w:spacing w:after="0" w:line="240" w:lineRule="auto"/>
              <w:rPr>
                <w:rFonts w:ascii="Times New Roman" w:hAnsi="Times New Roman"/>
                <w:color w:val="000000"/>
                <w:sz w:val="20"/>
                <w:szCs w:val="20"/>
              </w:rPr>
            </w:pPr>
          </w:p>
        </w:tc>
        <w:tc>
          <w:tcPr>
            <w:tcW w:w="1976" w:type="dxa"/>
            <w:tcBorders>
              <w:top w:val="single" w:sz="4" w:space="0" w:color="auto"/>
              <w:left w:val="nil"/>
              <w:bottom w:val="single" w:sz="4" w:space="0" w:color="auto"/>
              <w:right w:val="single" w:sz="4" w:space="0" w:color="000000"/>
            </w:tcBorders>
            <w:shd w:val="clear" w:color="auto" w:fill="auto"/>
            <w:noWrap/>
            <w:vAlign w:val="bottom"/>
            <w:hideMark/>
          </w:tcPr>
          <w:p w14:paraId="0ACBC06A" w14:textId="0BCA4031" w:rsidR="0073535A" w:rsidRPr="007C5A6E" w:rsidRDefault="0073535A" w:rsidP="008D1FFC">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pluie</w:t>
            </w:r>
            <w:proofErr w:type="gramEnd"/>
            <w:r w:rsidRPr="007C5A6E">
              <w:rPr>
                <w:rFonts w:ascii="Times New Roman" w:hAnsi="Times New Roman"/>
                <w:color w:val="000000"/>
                <w:sz w:val="20"/>
                <w:szCs w:val="20"/>
              </w:rPr>
              <w:t xml:space="preserve"> max </w:t>
            </w:r>
            <w:r w:rsidR="003236C5" w:rsidRPr="007C5A6E">
              <w:rPr>
                <w:rFonts w:ascii="Times New Roman" w:hAnsi="Times New Roman"/>
                <w:color w:val="000000"/>
                <w:sz w:val="20"/>
                <w:szCs w:val="20"/>
              </w:rPr>
              <w:t>journalière</w:t>
            </w:r>
          </w:p>
        </w:tc>
        <w:tc>
          <w:tcPr>
            <w:tcW w:w="854" w:type="dxa"/>
            <w:tcBorders>
              <w:top w:val="nil"/>
              <w:left w:val="nil"/>
              <w:bottom w:val="single" w:sz="4" w:space="0" w:color="auto"/>
              <w:right w:val="single" w:sz="4" w:space="0" w:color="auto"/>
            </w:tcBorders>
            <w:shd w:val="clear" w:color="auto" w:fill="auto"/>
            <w:noWrap/>
            <w:vAlign w:val="bottom"/>
            <w:hideMark/>
          </w:tcPr>
          <w:p w14:paraId="45A162A5"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40,2</w:t>
            </w:r>
          </w:p>
        </w:tc>
        <w:tc>
          <w:tcPr>
            <w:tcW w:w="646" w:type="dxa"/>
            <w:tcBorders>
              <w:top w:val="nil"/>
              <w:left w:val="nil"/>
              <w:bottom w:val="single" w:sz="4" w:space="0" w:color="auto"/>
              <w:right w:val="single" w:sz="4" w:space="0" w:color="auto"/>
            </w:tcBorders>
            <w:shd w:val="clear" w:color="auto" w:fill="auto"/>
            <w:noWrap/>
            <w:vAlign w:val="bottom"/>
            <w:hideMark/>
          </w:tcPr>
          <w:p w14:paraId="5B52405C"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25,3</w:t>
            </w:r>
          </w:p>
        </w:tc>
        <w:tc>
          <w:tcPr>
            <w:tcW w:w="780" w:type="dxa"/>
            <w:tcBorders>
              <w:top w:val="nil"/>
              <w:left w:val="nil"/>
              <w:bottom w:val="single" w:sz="4" w:space="0" w:color="auto"/>
              <w:right w:val="single" w:sz="4" w:space="0" w:color="auto"/>
            </w:tcBorders>
            <w:shd w:val="clear" w:color="auto" w:fill="auto"/>
            <w:noWrap/>
            <w:vAlign w:val="bottom"/>
            <w:hideMark/>
          </w:tcPr>
          <w:p w14:paraId="7D7C0340"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50,5</w:t>
            </w:r>
          </w:p>
        </w:tc>
        <w:tc>
          <w:tcPr>
            <w:tcW w:w="854" w:type="dxa"/>
            <w:tcBorders>
              <w:top w:val="nil"/>
              <w:left w:val="nil"/>
              <w:bottom w:val="single" w:sz="4" w:space="0" w:color="auto"/>
              <w:right w:val="single" w:sz="4" w:space="0" w:color="auto"/>
            </w:tcBorders>
            <w:shd w:val="clear" w:color="auto" w:fill="auto"/>
            <w:noWrap/>
            <w:vAlign w:val="bottom"/>
            <w:hideMark/>
          </w:tcPr>
          <w:p w14:paraId="1995BBCB"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53,5</w:t>
            </w:r>
          </w:p>
        </w:tc>
        <w:tc>
          <w:tcPr>
            <w:tcW w:w="646" w:type="dxa"/>
            <w:tcBorders>
              <w:top w:val="nil"/>
              <w:left w:val="nil"/>
              <w:bottom w:val="single" w:sz="4" w:space="0" w:color="auto"/>
              <w:right w:val="single" w:sz="4" w:space="0" w:color="auto"/>
            </w:tcBorders>
            <w:shd w:val="clear" w:color="auto" w:fill="auto"/>
            <w:noWrap/>
            <w:vAlign w:val="bottom"/>
            <w:hideMark/>
          </w:tcPr>
          <w:p w14:paraId="205212DF"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27,1</w:t>
            </w:r>
          </w:p>
        </w:tc>
        <w:tc>
          <w:tcPr>
            <w:tcW w:w="780" w:type="dxa"/>
            <w:tcBorders>
              <w:top w:val="nil"/>
              <w:left w:val="nil"/>
              <w:bottom w:val="single" w:sz="4" w:space="0" w:color="auto"/>
              <w:right w:val="single" w:sz="4" w:space="0" w:color="auto"/>
            </w:tcBorders>
            <w:shd w:val="clear" w:color="auto" w:fill="auto"/>
            <w:noWrap/>
            <w:vAlign w:val="bottom"/>
            <w:hideMark/>
          </w:tcPr>
          <w:p w14:paraId="07AAAA5D"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87,3</w:t>
            </w:r>
          </w:p>
        </w:tc>
        <w:tc>
          <w:tcPr>
            <w:tcW w:w="854" w:type="dxa"/>
            <w:tcBorders>
              <w:top w:val="nil"/>
              <w:left w:val="nil"/>
              <w:bottom w:val="single" w:sz="4" w:space="0" w:color="auto"/>
              <w:right w:val="single" w:sz="4" w:space="0" w:color="auto"/>
            </w:tcBorders>
            <w:shd w:val="clear" w:color="auto" w:fill="auto"/>
            <w:noWrap/>
            <w:vAlign w:val="bottom"/>
            <w:hideMark/>
          </w:tcPr>
          <w:p w14:paraId="395671D9"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74,4</w:t>
            </w:r>
          </w:p>
        </w:tc>
        <w:tc>
          <w:tcPr>
            <w:tcW w:w="646" w:type="dxa"/>
            <w:tcBorders>
              <w:top w:val="nil"/>
              <w:left w:val="nil"/>
              <w:bottom w:val="single" w:sz="4" w:space="0" w:color="auto"/>
              <w:right w:val="single" w:sz="4" w:space="0" w:color="auto"/>
            </w:tcBorders>
            <w:shd w:val="clear" w:color="auto" w:fill="auto"/>
            <w:noWrap/>
            <w:vAlign w:val="bottom"/>
            <w:hideMark/>
          </w:tcPr>
          <w:p w14:paraId="445A7749"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40,6</w:t>
            </w:r>
          </w:p>
        </w:tc>
        <w:tc>
          <w:tcPr>
            <w:tcW w:w="780" w:type="dxa"/>
            <w:tcBorders>
              <w:top w:val="nil"/>
              <w:left w:val="nil"/>
              <w:bottom w:val="single" w:sz="4" w:space="0" w:color="auto"/>
              <w:right w:val="single" w:sz="4" w:space="0" w:color="auto"/>
            </w:tcBorders>
            <w:shd w:val="clear" w:color="auto" w:fill="auto"/>
            <w:noWrap/>
            <w:vAlign w:val="bottom"/>
            <w:hideMark/>
          </w:tcPr>
          <w:p w14:paraId="5D9F031C"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98,0</w:t>
            </w:r>
          </w:p>
        </w:tc>
        <w:tc>
          <w:tcPr>
            <w:tcW w:w="854" w:type="dxa"/>
            <w:tcBorders>
              <w:top w:val="nil"/>
              <w:left w:val="nil"/>
              <w:bottom w:val="single" w:sz="4" w:space="0" w:color="auto"/>
              <w:right w:val="single" w:sz="4" w:space="0" w:color="auto"/>
            </w:tcBorders>
            <w:shd w:val="clear" w:color="auto" w:fill="auto"/>
            <w:noWrap/>
            <w:vAlign w:val="bottom"/>
            <w:hideMark/>
          </w:tcPr>
          <w:p w14:paraId="38472FF9"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71,7</w:t>
            </w:r>
          </w:p>
        </w:tc>
        <w:tc>
          <w:tcPr>
            <w:tcW w:w="646" w:type="dxa"/>
            <w:tcBorders>
              <w:top w:val="nil"/>
              <w:left w:val="nil"/>
              <w:bottom w:val="single" w:sz="4" w:space="0" w:color="auto"/>
              <w:right w:val="single" w:sz="4" w:space="0" w:color="auto"/>
            </w:tcBorders>
            <w:shd w:val="clear" w:color="auto" w:fill="auto"/>
            <w:noWrap/>
            <w:vAlign w:val="bottom"/>
            <w:hideMark/>
          </w:tcPr>
          <w:p w14:paraId="1E084564"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34,5</w:t>
            </w:r>
          </w:p>
        </w:tc>
        <w:tc>
          <w:tcPr>
            <w:tcW w:w="780" w:type="dxa"/>
            <w:tcBorders>
              <w:top w:val="nil"/>
              <w:left w:val="nil"/>
              <w:bottom w:val="single" w:sz="4" w:space="0" w:color="auto"/>
              <w:right w:val="single" w:sz="4" w:space="0" w:color="auto"/>
            </w:tcBorders>
            <w:shd w:val="clear" w:color="auto" w:fill="auto"/>
            <w:noWrap/>
            <w:vAlign w:val="bottom"/>
            <w:hideMark/>
          </w:tcPr>
          <w:p w14:paraId="3E5AD050"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100,2</w:t>
            </w:r>
          </w:p>
        </w:tc>
      </w:tr>
      <w:tr w:rsidR="0073535A" w:rsidRPr="007C5A6E" w14:paraId="307267CD" w14:textId="77777777" w:rsidTr="00457BED">
        <w:trPr>
          <w:trHeight w:val="300"/>
        </w:trPr>
        <w:tc>
          <w:tcPr>
            <w:tcW w:w="1464" w:type="dxa"/>
            <w:vMerge/>
            <w:tcBorders>
              <w:top w:val="nil"/>
              <w:left w:val="single" w:sz="4" w:space="0" w:color="auto"/>
              <w:bottom w:val="single" w:sz="4" w:space="0" w:color="auto"/>
              <w:right w:val="single" w:sz="4" w:space="0" w:color="auto"/>
            </w:tcBorders>
            <w:vAlign w:val="center"/>
            <w:hideMark/>
          </w:tcPr>
          <w:p w14:paraId="560FA3FB" w14:textId="77777777" w:rsidR="0073535A" w:rsidRPr="007C5A6E" w:rsidRDefault="0073535A" w:rsidP="008D1FFC">
            <w:pPr>
              <w:spacing w:after="0" w:line="240" w:lineRule="auto"/>
              <w:rPr>
                <w:rFonts w:ascii="Times New Roman" w:hAnsi="Times New Roman"/>
                <w:color w:val="000000"/>
                <w:sz w:val="20"/>
                <w:szCs w:val="20"/>
              </w:rPr>
            </w:pPr>
          </w:p>
        </w:tc>
        <w:tc>
          <w:tcPr>
            <w:tcW w:w="1976" w:type="dxa"/>
            <w:tcBorders>
              <w:top w:val="single" w:sz="4" w:space="0" w:color="auto"/>
              <w:left w:val="nil"/>
              <w:bottom w:val="single" w:sz="4" w:space="0" w:color="auto"/>
              <w:right w:val="single" w:sz="4" w:space="0" w:color="000000"/>
            </w:tcBorders>
            <w:shd w:val="clear" w:color="auto" w:fill="auto"/>
            <w:noWrap/>
            <w:vAlign w:val="bottom"/>
            <w:hideMark/>
          </w:tcPr>
          <w:p w14:paraId="3112C999"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854" w:type="dxa"/>
            <w:tcBorders>
              <w:top w:val="nil"/>
              <w:left w:val="nil"/>
              <w:bottom w:val="single" w:sz="4" w:space="0" w:color="auto"/>
              <w:right w:val="single" w:sz="4" w:space="0" w:color="auto"/>
            </w:tcBorders>
            <w:shd w:val="clear" w:color="auto" w:fill="auto"/>
            <w:noWrap/>
            <w:vAlign w:val="bottom"/>
            <w:hideMark/>
          </w:tcPr>
          <w:p w14:paraId="38CCBE43"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646" w:type="dxa"/>
            <w:tcBorders>
              <w:top w:val="nil"/>
              <w:left w:val="nil"/>
              <w:bottom w:val="single" w:sz="4" w:space="0" w:color="auto"/>
              <w:right w:val="single" w:sz="4" w:space="0" w:color="auto"/>
            </w:tcBorders>
            <w:shd w:val="clear" w:color="auto" w:fill="auto"/>
            <w:noWrap/>
            <w:vAlign w:val="bottom"/>
            <w:hideMark/>
          </w:tcPr>
          <w:p w14:paraId="21ABD55A"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780" w:type="dxa"/>
            <w:tcBorders>
              <w:top w:val="nil"/>
              <w:left w:val="nil"/>
              <w:bottom w:val="single" w:sz="4" w:space="0" w:color="auto"/>
              <w:right w:val="single" w:sz="4" w:space="0" w:color="auto"/>
            </w:tcBorders>
            <w:shd w:val="clear" w:color="auto" w:fill="auto"/>
            <w:noWrap/>
            <w:vAlign w:val="bottom"/>
            <w:hideMark/>
          </w:tcPr>
          <w:p w14:paraId="58249C56"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854" w:type="dxa"/>
            <w:tcBorders>
              <w:top w:val="nil"/>
              <w:left w:val="nil"/>
              <w:bottom w:val="single" w:sz="4" w:space="0" w:color="auto"/>
              <w:right w:val="single" w:sz="4" w:space="0" w:color="auto"/>
            </w:tcBorders>
            <w:shd w:val="clear" w:color="auto" w:fill="auto"/>
            <w:noWrap/>
            <w:vAlign w:val="bottom"/>
            <w:hideMark/>
          </w:tcPr>
          <w:p w14:paraId="0F8E6364"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646" w:type="dxa"/>
            <w:tcBorders>
              <w:top w:val="nil"/>
              <w:left w:val="nil"/>
              <w:bottom w:val="single" w:sz="4" w:space="0" w:color="auto"/>
              <w:right w:val="single" w:sz="4" w:space="0" w:color="auto"/>
            </w:tcBorders>
            <w:shd w:val="clear" w:color="auto" w:fill="auto"/>
            <w:noWrap/>
            <w:vAlign w:val="bottom"/>
            <w:hideMark/>
          </w:tcPr>
          <w:p w14:paraId="6487A621"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780" w:type="dxa"/>
            <w:tcBorders>
              <w:top w:val="nil"/>
              <w:left w:val="nil"/>
              <w:bottom w:val="single" w:sz="4" w:space="0" w:color="auto"/>
              <w:right w:val="single" w:sz="4" w:space="0" w:color="auto"/>
            </w:tcBorders>
            <w:shd w:val="clear" w:color="auto" w:fill="auto"/>
            <w:noWrap/>
            <w:vAlign w:val="bottom"/>
            <w:hideMark/>
          </w:tcPr>
          <w:p w14:paraId="42FD1FAC"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854" w:type="dxa"/>
            <w:tcBorders>
              <w:top w:val="nil"/>
              <w:left w:val="nil"/>
              <w:bottom w:val="single" w:sz="4" w:space="0" w:color="auto"/>
              <w:right w:val="single" w:sz="4" w:space="0" w:color="auto"/>
            </w:tcBorders>
            <w:shd w:val="clear" w:color="auto" w:fill="auto"/>
            <w:noWrap/>
            <w:vAlign w:val="bottom"/>
            <w:hideMark/>
          </w:tcPr>
          <w:p w14:paraId="03B4E19B"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646" w:type="dxa"/>
            <w:tcBorders>
              <w:top w:val="nil"/>
              <w:left w:val="nil"/>
              <w:bottom w:val="single" w:sz="4" w:space="0" w:color="auto"/>
              <w:right w:val="single" w:sz="4" w:space="0" w:color="auto"/>
            </w:tcBorders>
            <w:shd w:val="clear" w:color="auto" w:fill="auto"/>
            <w:noWrap/>
            <w:vAlign w:val="bottom"/>
            <w:hideMark/>
          </w:tcPr>
          <w:p w14:paraId="4D3F9BCC"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780" w:type="dxa"/>
            <w:tcBorders>
              <w:top w:val="nil"/>
              <w:left w:val="nil"/>
              <w:bottom w:val="single" w:sz="4" w:space="0" w:color="auto"/>
              <w:right w:val="single" w:sz="4" w:space="0" w:color="auto"/>
            </w:tcBorders>
            <w:shd w:val="clear" w:color="auto" w:fill="auto"/>
            <w:noWrap/>
            <w:vAlign w:val="bottom"/>
            <w:hideMark/>
          </w:tcPr>
          <w:p w14:paraId="1C48CC8F"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854" w:type="dxa"/>
            <w:tcBorders>
              <w:top w:val="nil"/>
              <w:left w:val="nil"/>
              <w:bottom w:val="single" w:sz="4" w:space="0" w:color="auto"/>
              <w:right w:val="single" w:sz="4" w:space="0" w:color="auto"/>
            </w:tcBorders>
            <w:shd w:val="clear" w:color="auto" w:fill="auto"/>
            <w:noWrap/>
            <w:vAlign w:val="bottom"/>
            <w:hideMark/>
          </w:tcPr>
          <w:p w14:paraId="2FDC4F8F"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646" w:type="dxa"/>
            <w:tcBorders>
              <w:top w:val="nil"/>
              <w:left w:val="nil"/>
              <w:bottom w:val="single" w:sz="4" w:space="0" w:color="auto"/>
              <w:right w:val="single" w:sz="4" w:space="0" w:color="auto"/>
            </w:tcBorders>
            <w:shd w:val="clear" w:color="auto" w:fill="auto"/>
            <w:noWrap/>
            <w:vAlign w:val="bottom"/>
            <w:hideMark/>
          </w:tcPr>
          <w:p w14:paraId="31E4F0F9"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780" w:type="dxa"/>
            <w:tcBorders>
              <w:top w:val="nil"/>
              <w:left w:val="nil"/>
              <w:bottom w:val="single" w:sz="4" w:space="0" w:color="auto"/>
              <w:right w:val="single" w:sz="4" w:space="0" w:color="auto"/>
            </w:tcBorders>
            <w:shd w:val="clear" w:color="auto" w:fill="auto"/>
            <w:noWrap/>
            <w:vAlign w:val="bottom"/>
            <w:hideMark/>
          </w:tcPr>
          <w:p w14:paraId="36FD59FF"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r>
      <w:tr w:rsidR="0073535A" w:rsidRPr="007C5A6E" w14:paraId="1D616D84" w14:textId="77777777" w:rsidTr="00457BED">
        <w:trPr>
          <w:trHeight w:val="300"/>
        </w:trPr>
        <w:tc>
          <w:tcPr>
            <w:tcW w:w="1464" w:type="dxa"/>
            <w:vMerge w:val="restart"/>
            <w:tcBorders>
              <w:top w:val="nil"/>
              <w:left w:val="single" w:sz="4" w:space="0" w:color="auto"/>
              <w:bottom w:val="double" w:sz="6" w:space="0" w:color="000000"/>
              <w:right w:val="single" w:sz="4" w:space="0" w:color="auto"/>
            </w:tcBorders>
            <w:shd w:val="clear" w:color="auto" w:fill="auto"/>
            <w:noWrap/>
            <w:vAlign w:val="center"/>
            <w:hideMark/>
          </w:tcPr>
          <w:p w14:paraId="3004E6FC" w14:textId="77777777" w:rsidR="0073535A" w:rsidRPr="007C5A6E" w:rsidRDefault="0073535A" w:rsidP="008D1FFC">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Bobo-Dioulasso</w:t>
            </w:r>
          </w:p>
        </w:tc>
        <w:tc>
          <w:tcPr>
            <w:tcW w:w="1976" w:type="dxa"/>
            <w:tcBorders>
              <w:top w:val="single" w:sz="4" w:space="0" w:color="auto"/>
              <w:left w:val="nil"/>
              <w:bottom w:val="single" w:sz="4" w:space="0" w:color="auto"/>
              <w:right w:val="single" w:sz="4" w:space="0" w:color="000000"/>
            </w:tcBorders>
            <w:shd w:val="clear" w:color="auto" w:fill="auto"/>
            <w:noWrap/>
            <w:vAlign w:val="bottom"/>
            <w:hideMark/>
          </w:tcPr>
          <w:p w14:paraId="471E1E46" w14:textId="77777777" w:rsidR="0073535A" w:rsidRPr="007C5A6E" w:rsidRDefault="0073535A" w:rsidP="008D1FFC">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cumul</w:t>
            </w:r>
            <w:proofErr w:type="gramEnd"/>
            <w:r w:rsidRPr="007C5A6E">
              <w:rPr>
                <w:rFonts w:ascii="Times New Roman" w:hAnsi="Times New Roman"/>
                <w:color w:val="000000"/>
                <w:sz w:val="20"/>
                <w:szCs w:val="20"/>
              </w:rPr>
              <w:t xml:space="preserve"> annuel</w:t>
            </w:r>
          </w:p>
        </w:tc>
        <w:tc>
          <w:tcPr>
            <w:tcW w:w="854" w:type="dxa"/>
            <w:tcBorders>
              <w:top w:val="nil"/>
              <w:left w:val="nil"/>
              <w:bottom w:val="single" w:sz="4" w:space="0" w:color="auto"/>
              <w:right w:val="single" w:sz="4" w:space="0" w:color="auto"/>
            </w:tcBorders>
            <w:shd w:val="clear" w:color="auto" w:fill="auto"/>
            <w:noWrap/>
            <w:vAlign w:val="bottom"/>
            <w:hideMark/>
          </w:tcPr>
          <w:p w14:paraId="697C3D44"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1031,7</w:t>
            </w:r>
          </w:p>
        </w:tc>
        <w:tc>
          <w:tcPr>
            <w:tcW w:w="646" w:type="dxa"/>
            <w:tcBorders>
              <w:top w:val="nil"/>
              <w:left w:val="nil"/>
              <w:bottom w:val="single" w:sz="4" w:space="0" w:color="auto"/>
              <w:right w:val="single" w:sz="4" w:space="0" w:color="auto"/>
            </w:tcBorders>
            <w:shd w:val="clear" w:color="auto" w:fill="auto"/>
            <w:noWrap/>
            <w:vAlign w:val="bottom"/>
            <w:hideMark/>
          </w:tcPr>
          <w:p w14:paraId="5E4751BD"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713,9</w:t>
            </w:r>
          </w:p>
        </w:tc>
        <w:tc>
          <w:tcPr>
            <w:tcW w:w="780" w:type="dxa"/>
            <w:tcBorders>
              <w:top w:val="nil"/>
              <w:left w:val="nil"/>
              <w:bottom w:val="single" w:sz="4" w:space="0" w:color="auto"/>
              <w:right w:val="single" w:sz="4" w:space="0" w:color="auto"/>
            </w:tcBorders>
            <w:shd w:val="clear" w:color="auto" w:fill="auto"/>
            <w:noWrap/>
            <w:vAlign w:val="bottom"/>
            <w:hideMark/>
          </w:tcPr>
          <w:p w14:paraId="7117990C"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1373,4</w:t>
            </w:r>
          </w:p>
        </w:tc>
        <w:tc>
          <w:tcPr>
            <w:tcW w:w="854" w:type="dxa"/>
            <w:tcBorders>
              <w:top w:val="nil"/>
              <w:left w:val="nil"/>
              <w:bottom w:val="single" w:sz="4" w:space="0" w:color="auto"/>
              <w:right w:val="single" w:sz="4" w:space="0" w:color="auto"/>
            </w:tcBorders>
            <w:shd w:val="clear" w:color="auto" w:fill="auto"/>
            <w:noWrap/>
            <w:vAlign w:val="bottom"/>
            <w:hideMark/>
          </w:tcPr>
          <w:p w14:paraId="315755F3"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1080,2</w:t>
            </w:r>
          </w:p>
        </w:tc>
        <w:tc>
          <w:tcPr>
            <w:tcW w:w="646" w:type="dxa"/>
            <w:tcBorders>
              <w:top w:val="nil"/>
              <w:left w:val="nil"/>
              <w:bottom w:val="single" w:sz="4" w:space="0" w:color="auto"/>
              <w:right w:val="single" w:sz="4" w:space="0" w:color="auto"/>
            </w:tcBorders>
            <w:shd w:val="clear" w:color="auto" w:fill="auto"/>
            <w:noWrap/>
            <w:vAlign w:val="bottom"/>
            <w:hideMark/>
          </w:tcPr>
          <w:p w14:paraId="7E891707"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858,6</w:t>
            </w:r>
          </w:p>
        </w:tc>
        <w:tc>
          <w:tcPr>
            <w:tcW w:w="780" w:type="dxa"/>
            <w:tcBorders>
              <w:top w:val="nil"/>
              <w:left w:val="nil"/>
              <w:bottom w:val="single" w:sz="4" w:space="0" w:color="auto"/>
              <w:right w:val="single" w:sz="4" w:space="0" w:color="auto"/>
            </w:tcBorders>
            <w:shd w:val="clear" w:color="auto" w:fill="auto"/>
            <w:noWrap/>
            <w:vAlign w:val="bottom"/>
            <w:hideMark/>
          </w:tcPr>
          <w:p w14:paraId="6C4559E2"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1273,4</w:t>
            </w:r>
          </w:p>
        </w:tc>
        <w:tc>
          <w:tcPr>
            <w:tcW w:w="854" w:type="dxa"/>
            <w:tcBorders>
              <w:top w:val="nil"/>
              <w:left w:val="nil"/>
              <w:bottom w:val="single" w:sz="4" w:space="0" w:color="auto"/>
              <w:right w:val="single" w:sz="4" w:space="0" w:color="auto"/>
            </w:tcBorders>
            <w:shd w:val="clear" w:color="auto" w:fill="auto"/>
            <w:noWrap/>
            <w:vAlign w:val="bottom"/>
            <w:hideMark/>
          </w:tcPr>
          <w:p w14:paraId="3B961422"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1132,9</w:t>
            </w:r>
          </w:p>
        </w:tc>
        <w:tc>
          <w:tcPr>
            <w:tcW w:w="646" w:type="dxa"/>
            <w:tcBorders>
              <w:top w:val="nil"/>
              <w:left w:val="nil"/>
              <w:bottom w:val="single" w:sz="4" w:space="0" w:color="auto"/>
              <w:right w:val="single" w:sz="4" w:space="0" w:color="auto"/>
            </w:tcBorders>
            <w:shd w:val="clear" w:color="auto" w:fill="auto"/>
            <w:noWrap/>
            <w:vAlign w:val="bottom"/>
            <w:hideMark/>
          </w:tcPr>
          <w:p w14:paraId="078F3EE3"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854,7</w:t>
            </w:r>
          </w:p>
        </w:tc>
        <w:tc>
          <w:tcPr>
            <w:tcW w:w="780" w:type="dxa"/>
            <w:tcBorders>
              <w:top w:val="nil"/>
              <w:left w:val="nil"/>
              <w:bottom w:val="single" w:sz="4" w:space="0" w:color="auto"/>
              <w:right w:val="single" w:sz="4" w:space="0" w:color="auto"/>
            </w:tcBorders>
            <w:shd w:val="clear" w:color="auto" w:fill="auto"/>
            <w:noWrap/>
            <w:vAlign w:val="bottom"/>
            <w:hideMark/>
          </w:tcPr>
          <w:p w14:paraId="1D6C3879"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1302,4</w:t>
            </w:r>
          </w:p>
        </w:tc>
        <w:tc>
          <w:tcPr>
            <w:tcW w:w="854" w:type="dxa"/>
            <w:tcBorders>
              <w:top w:val="nil"/>
              <w:left w:val="nil"/>
              <w:bottom w:val="single" w:sz="4" w:space="0" w:color="auto"/>
              <w:right w:val="single" w:sz="4" w:space="0" w:color="auto"/>
            </w:tcBorders>
            <w:shd w:val="clear" w:color="auto" w:fill="auto"/>
            <w:noWrap/>
            <w:vAlign w:val="bottom"/>
            <w:hideMark/>
          </w:tcPr>
          <w:p w14:paraId="5BBF41A9"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1113,1</w:t>
            </w:r>
          </w:p>
        </w:tc>
        <w:tc>
          <w:tcPr>
            <w:tcW w:w="646" w:type="dxa"/>
            <w:tcBorders>
              <w:top w:val="nil"/>
              <w:left w:val="nil"/>
              <w:bottom w:val="single" w:sz="4" w:space="0" w:color="auto"/>
              <w:right w:val="single" w:sz="4" w:space="0" w:color="auto"/>
            </w:tcBorders>
            <w:shd w:val="clear" w:color="auto" w:fill="auto"/>
            <w:noWrap/>
            <w:vAlign w:val="bottom"/>
            <w:hideMark/>
          </w:tcPr>
          <w:p w14:paraId="5346EA14"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761,4</w:t>
            </w:r>
          </w:p>
        </w:tc>
        <w:tc>
          <w:tcPr>
            <w:tcW w:w="780" w:type="dxa"/>
            <w:tcBorders>
              <w:top w:val="nil"/>
              <w:left w:val="nil"/>
              <w:bottom w:val="single" w:sz="4" w:space="0" w:color="auto"/>
              <w:right w:val="single" w:sz="4" w:space="0" w:color="auto"/>
            </w:tcBorders>
            <w:shd w:val="clear" w:color="auto" w:fill="auto"/>
            <w:noWrap/>
            <w:vAlign w:val="bottom"/>
            <w:hideMark/>
          </w:tcPr>
          <w:p w14:paraId="628EDA81"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1520,5</w:t>
            </w:r>
          </w:p>
        </w:tc>
      </w:tr>
      <w:tr w:rsidR="0073535A" w:rsidRPr="007C5A6E" w14:paraId="0324E6FE" w14:textId="77777777" w:rsidTr="00457BED">
        <w:trPr>
          <w:trHeight w:val="300"/>
        </w:trPr>
        <w:tc>
          <w:tcPr>
            <w:tcW w:w="1464" w:type="dxa"/>
            <w:vMerge/>
            <w:tcBorders>
              <w:top w:val="nil"/>
              <w:left w:val="single" w:sz="4" w:space="0" w:color="auto"/>
              <w:bottom w:val="double" w:sz="6" w:space="0" w:color="000000"/>
              <w:right w:val="single" w:sz="4" w:space="0" w:color="auto"/>
            </w:tcBorders>
            <w:vAlign w:val="center"/>
            <w:hideMark/>
          </w:tcPr>
          <w:p w14:paraId="3DB334F3" w14:textId="77777777" w:rsidR="0073535A" w:rsidRPr="007C5A6E" w:rsidRDefault="0073535A" w:rsidP="008D1FFC">
            <w:pPr>
              <w:spacing w:after="0" w:line="240" w:lineRule="auto"/>
              <w:rPr>
                <w:rFonts w:ascii="Times New Roman" w:hAnsi="Times New Roman"/>
                <w:color w:val="000000"/>
                <w:sz w:val="20"/>
                <w:szCs w:val="20"/>
              </w:rPr>
            </w:pPr>
          </w:p>
        </w:tc>
        <w:tc>
          <w:tcPr>
            <w:tcW w:w="1976" w:type="dxa"/>
            <w:tcBorders>
              <w:top w:val="single" w:sz="4" w:space="0" w:color="auto"/>
              <w:left w:val="nil"/>
              <w:bottom w:val="single" w:sz="4" w:space="0" w:color="auto"/>
              <w:right w:val="single" w:sz="4" w:space="0" w:color="000000"/>
            </w:tcBorders>
            <w:shd w:val="clear" w:color="auto" w:fill="auto"/>
            <w:noWrap/>
            <w:vAlign w:val="bottom"/>
            <w:hideMark/>
          </w:tcPr>
          <w:p w14:paraId="1F031982" w14:textId="77777777" w:rsidR="0073535A" w:rsidRPr="007C5A6E" w:rsidRDefault="0073535A" w:rsidP="008D1FFC">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cumul</w:t>
            </w:r>
            <w:proofErr w:type="gramEnd"/>
            <w:r w:rsidRPr="007C5A6E">
              <w:rPr>
                <w:rFonts w:ascii="Times New Roman" w:hAnsi="Times New Roman"/>
                <w:color w:val="000000"/>
                <w:sz w:val="20"/>
                <w:szCs w:val="20"/>
              </w:rPr>
              <w:t xml:space="preserve"> max 5 jours</w:t>
            </w:r>
          </w:p>
        </w:tc>
        <w:tc>
          <w:tcPr>
            <w:tcW w:w="854" w:type="dxa"/>
            <w:tcBorders>
              <w:top w:val="nil"/>
              <w:left w:val="nil"/>
              <w:bottom w:val="single" w:sz="4" w:space="0" w:color="auto"/>
              <w:right w:val="single" w:sz="4" w:space="0" w:color="auto"/>
            </w:tcBorders>
            <w:shd w:val="clear" w:color="auto" w:fill="auto"/>
            <w:noWrap/>
            <w:vAlign w:val="bottom"/>
            <w:hideMark/>
          </w:tcPr>
          <w:p w14:paraId="54F651CA"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108,3</w:t>
            </w:r>
          </w:p>
        </w:tc>
        <w:tc>
          <w:tcPr>
            <w:tcW w:w="646" w:type="dxa"/>
            <w:tcBorders>
              <w:top w:val="nil"/>
              <w:left w:val="nil"/>
              <w:bottom w:val="single" w:sz="4" w:space="0" w:color="auto"/>
              <w:right w:val="single" w:sz="4" w:space="0" w:color="auto"/>
            </w:tcBorders>
            <w:shd w:val="clear" w:color="auto" w:fill="auto"/>
            <w:noWrap/>
            <w:vAlign w:val="bottom"/>
            <w:hideMark/>
          </w:tcPr>
          <w:p w14:paraId="08AC89C1"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74,0</w:t>
            </w:r>
          </w:p>
        </w:tc>
        <w:tc>
          <w:tcPr>
            <w:tcW w:w="780" w:type="dxa"/>
            <w:tcBorders>
              <w:top w:val="nil"/>
              <w:left w:val="nil"/>
              <w:bottom w:val="single" w:sz="4" w:space="0" w:color="auto"/>
              <w:right w:val="single" w:sz="4" w:space="0" w:color="auto"/>
            </w:tcBorders>
            <w:shd w:val="clear" w:color="auto" w:fill="auto"/>
            <w:noWrap/>
            <w:vAlign w:val="bottom"/>
            <w:hideMark/>
          </w:tcPr>
          <w:p w14:paraId="5E2D5CA5"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136,1</w:t>
            </w:r>
          </w:p>
        </w:tc>
        <w:tc>
          <w:tcPr>
            <w:tcW w:w="854" w:type="dxa"/>
            <w:tcBorders>
              <w:top w:val="nil"/>
              <w:left w:val="nil"/>
              <w:bottom w:val="single" w:sz="4" w:space="0" w:color="auto"/>
              <w:right w:val="single" w:sz="4" w:space="0" w:color="auto"/>
            </w:tcBorders>
            <w:shd w:val="clear" w:color="auto" w:fill="auto"/>
            <w:noWrap/>
            <w:vAlign w:val="bottom"/>
            <w:hideMark/>
          </w:tcPr>
          <w:p w14:paraId="0D48143D"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105,2</w:t>
            </w:r>
          </w:p>
        </w:tc>
        <w:tc>
          <w:tcPr>
            <w:tcW w:w="646" w:type="dxa"/>
            <w:tcBorders>
              <w:top w:val="nil"/>
              <w:left w:val="nil"/>
              <w:bottom w:val="single" w:sz="4" w:space="0" w:color="auto"/>
              <w:right w:val="single" w:sz="4" w:space="0" w:color="auto"/>
            </w:tcBorders>
            <w:shd w:val="clear" w:color="auto" w:fill="auto"/>
            <w:noWrap/>
            <w:vAlign w:val="bottom"/>
            <w:hideMark/>
          </w:tcPr>
          <w:p w14:paraId="213D2A06"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68,4</w:t>
            </w:r>
          </w:p>
        </w:tc>
        <w:tc>
          <w:tcPr>
            <w:tcW w:w="780" w:type="dxa"/>
            <w:tcBorders>
              <w:top w:val="nil"/>
              <w:left w:val="nil"/>
              <w:bottom w:val="single" w:sz="4" w:space="0" w:color="auto"/>
              <w:right w:val="single" w:sz="4" w:space="0" w:color="auto"/>
            </w:tcBorders>
            <w:shd w:val="clear" w:color="auto" w:fill="auto"/>
            <w:noWrap/>
            <w:vAlign w:val="bottom"/>
            <w:hideMark/>
          </w:tcPr>
          <w:p w14:paraId="4281F50E"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121,8</w:t>
            </w:r>
          </w:p>
        </w:tc>
        <w:tc>
          <w:tcPr>
            <w:tcW w:w="854" w:type="dxa"/>
            <w:tcBorders>
              <w:top w:val="nil"/>
              <w:left w:val="nil"/>
              <w:bottom w:val="single" w:sz="4" w:space="0" w:color="auto"/>
              <w:right w:val="single" w:sz="4" w:space="0" w:color="auto"/>
            </w:tcBorders>
            <w:shd w:val="clear" w:color="auto" w:fill="auto"/>
            <w:noWrap/>
            <w:vAlign w:val="bottom"/>
            <w:hideMark/>
          </w:tcPr>
          <w:p w14:paraId="0EA301DD"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154,7</w:t>
            </w:r>
          </w:p>
        </w:tc>
        <w:tc>
          <w:tcPr>
            <w:tcW w:w="646" w:type="dxa"/>
            <w:tcBorders>
              <w:top w:val="nil"/>
              <w:left w:val="nil"/>
              <w:bottom w:val="single" w:sz="4" w:space="0" w:color="auto"/>
              <w:right w:val="single" w:sz="4" w:space="0" w:color="auto"/>
            </w:tcBorders>
            <w:shd w:val="clear" w:color="auto" w:fill="auto"/>
            <w:noWrap/>
            <w:vAlign w:val="bottom"/>
            <w:hideMark/>
          </w:tcPr>
          <w:p w14:paraId="1E8B44B8"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94,6</w:t>
            </w:r>
          </w:p>
        </w:tc>
        <w:tc>
          <w:tcPr>
            <w:tcW w:w="780" w:type="dxa"/>
            <w:tcBorders>
              <w:top w:val="nil"/>
              <w:left w:val="nil"/>
              <w:bottom w:val="single" w:sz="4" w:space="0" w:color="auto"/>
              <w:right w:val="single" w:sz="4" w:space="0" w:color="auto"/>
            </w:tcBorders>
            <w:shd w:val="clear" w:color="auto" w:fill="auto"/>
            <w:noWrap/>
            <w:vAlign w:val="bottom"/>
            <w:hideMark/>
          </w:tcPr>
          <w:p w14:paraId="5FD7FA9E"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244,3</w:t>
            </w:r>
          </w:p>
        </w:tc>
        <w:tc>
          <w:tcPr>
            <w:tcW w:w="854" w:type="dxa"/>
            <w:tcBorders>
              <w:top w:val="nil"/>
              <w:left w:val="nil"/>
              <w:bottom w:val="single" w:sz="4" w:space="0" w:color="auto"/>
              <w:right w:val="single" w:sz="4" w:space="0" w:color="auto"/>
            </w:tcBorders>
            <w:shd w:val="clear" w:color="auto" w:fill="auto"/>
            <w:noWrap/>
            <w:vAlign w:val="bottom"/>
            <w:hideMark/>
          </w:tcPr>
          <w:p w14:paraId="7BB66CF1"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137,4</w:t>
            </w:r>
          </w:p>
        </w:tc>
        <w:tc>
          <w:tcPr>
            <w:tcW w:w="646" w:type="dxa"/>
            <w:tcBorders>
              <w:top w:val="nil"/>
              <w:left w:val="nil"/>
              <w:bottom w:val="single" w:sz="4" w:space="0" w:color="auto"/>
              <w:right w:val="single" w:sz="4" w:space="0" w:color="auto"/>
            </w:tcBorders>
            <w:shd w:val="clear" w:color="auto" w:fill="auto"/>
            <w:noWrap/>
            <w:vAlign w:val="bottom"/>
            <w:hideMark/>
          </w:tcPr>
          <w:p w14:paraId="207E48D2"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82,6</w:t>
            </w:r>
          </w:p>
        </w:tc>
        <w:tc>
          <w:tcPr>
            <w:tcW w:w="780" w:type="dxa"/>
            <w:tcBorders>
              <w:top w:val="nil"/>
              <w:left w:val="nil"/>
              <w:bottom w:val="single" w:sz="4" w:space="0" w:color="auto"/>
              <w:right w:val="single" w:sz="4" w:space="0" w:color="auto"/>
            </w:tcBorders>
            <w:shd w:val="clear" w:color="auto" w:fill="auto"/>
            <w:noWrap/>
            <w:vAlign w:val="bottom"/>
            <w:hideMark/>
          </w:tcPr>
          <w:p w14:paraId="27BC7017"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182,9</w:t>
            </w:r>
          </w:p>
        </w:tc>
      </w:tr>
      <w:tr w:rsidR="0073535A" w:rsidRPr="007C5A6E" w14:paraId="360DD169" w14:textId="77777777" w:rsidTr="00457BED">
        <w:trPr>
          <w:trHeight w:val="300"/>
        </w:trPr>
        <w:tc>
          <w:tcPr>
            <w:tcW w:w="1464" w:type="dxa"/>
            <w:vMerge/>
            <w:tcBorders>
              <w:top w:val="nil"/>
              <w:left w:val="single" w:sz="4" w:space="0" w:color="auto"/>
              <w:bottom w:val="double" w:sz="6" w:space="0" w:color="000000"/>
              <w:right w:val="single" w:sz="4" w:space="0" w:color="auto"/>
            </w:tcBorders>
            <w:vAlign w:val="center"/>
            <w:hideMark/>
          </w:tcPr>
          <w:p w14:paraId="39BE6070" w14:textId="77777777" w:rsidR="0073535A" w:rsidRPr="007C5A6E" w:rsidRDefault="0073535A" w:rsidP="008D1FFC">
            <w:pPr>
              <w:spacing w:after="0" w:line="240" w:lineRule="auto"/>
              <w:rPr>
                <w:rFonts w:ascii="Times New Roman" w:hAnsi="Times New Roman"/>
                <w:color w:val="000000"/>
                <w:sz w:val="20"/>
                <w:szCs w:val="20"/>
              </w:rPr>
            </w:pPr>
          </w:p>
        </w:tc>
        <w:tc>
          <w:tcPr>
            <w:tcW w:w="1976" w:type="dxa"/>
            <w:tcBorders>
              <w:top w:val="single" w:sz="4" w:space="0" w:color="auto"/>
              <w:left w:val="nil"/>
              <w:bottom w:val="single" w:sz="4" w:space="0" w:color="auto"/>
              <w:right w:val="single" w:sz="4" w:space="0" w:color="000000"/>
            </w:tcBorders>
            <w:shd w:val="clear" w:color="auto" w:fill="auto"/>
            <w:noWrap/>
            <w:vAlign w:val="bottom"/>
            <w:hideMark/>
          </w:tcPr>
          <w:p w14:paraId="57866B13" w14:textId="3DD1572E" w:rsidR="0073535A" w:rsidRPr="007C5A6E" w:rsidRDefault="0073535A" w:rsidP="008D1FFC">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pluie</w:t>
            </w:r>
            <w:proofErr w:type="gramEnd"/>
            <w:r w:rsidRPr="007C5A6E">
              <w:rPr>
                <w:rFonts w:ascii="Times New Roman" w:hAnsi="Times New Roman"/>
                <w:color w:val="000000"/>
                <w:sz w:val="20"/>
                <w:szCs w:val="20"/>
              </w:rPr>
              <w:t xml:space="preserve"> max </w:t>
            </w:r>
            <w:r w:rsidR="003236C5" w:rsidRPr="007C5A6E">
              <w:rPr>
                <w:rFonts w:ascii="Times New Roman" w:hAnsi="Times New Roman"/>
                <w:color w:val="000000"/>
                <w:sz w:val="20"/>
                <w:szCs w:val="20"/>
              </w:rPr>
              <w:t>journalière</w:t>
            </w:r>
          </w:p>
        </w:tc>
        <w:tc>
          <w:tcPr>
            <w:tcW w:w="854" w:type="dxa"/>
            <w:tcBorders>
              <w:top w:val="nil"/>
              <w:left w:val="nil"/>
              <w:bottom w:val="single" w:sz="4" w:space="0" w:color="auto"/>
              <w:right w:val="single" w:sz="4" w:space="0" w:color="auto"/>
            </w:tcBorders>
            <w:shd w:val="clear" w:color="auto" w:fill="auto"/>
            <w:noWrap/>
            <w:vAlign w:val="bottom"/>
            <w:hideMark/>
          </w:tcPr>
          <w:p w14:paraId="5AC6A632"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55,5</w:t>
            </w:r>
          </w:p>
        </w:tc>
        <w:tc>
          <w:tcPr>
            <w:tcW w:w="646" w:type="dxa"/>
            <w:tcBorders>
              <w:top w:val="nil"/>
              <w:left w:val="nil"/>
              <w:bottom w:val="single" w:sz="4" w:space="0" w:color="auto"/>
              <w:right w:val="single" w:sz="4" w:space="0" w:color="auto"/>
            </w:tcBorders>
            <w:shd w:val="clear" w:color="auto" w:fill="auto"/>
            <w:noWrap/>
            <w:vAlign w:val="bottom"/>
            <w:hideMark/>
          </w:tcPr>
          <w:p w14:paraId="11E2B464"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32,0</w:t>
            </w:r>
          </w:p>
        </w:tc>
        <w:tc>
          <w:tcPr>
            <w:tcW w:w="780" w:type="dxa"/>
            <w:tcBorders>
              <w:top w:val="nil"/>
              <w:left w:val="nil"/>
              <w:bottom w:val="single" w:sz="4" w:space="0" w:color="auto"/>
              <w:right w:val="single" w:sz="4" w:space="0" w:color="auto"/>
            </w:tcBorders>
            <w:shd w:val="clear" w:color="auto" w:fill="auto"/>
            <w:noWrap/>
            <w:vAlign w:val="bottom"/>
            <w:hideMark/>
          </w:tcPr>
          <w:p w14:paraId="412F2D34"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75,9</w:t>
            </w:r>
          </w:p>
        </w:tc>
        <w:tc>
          <w:tcPr>
            <w:tcW w:w="854" w:type="dxa"/>
            <w:tcBorders>
              <w:top w:val="nil"/>
              <w:left w:val="nil"/>
              <w:bottom w:val="single" w:sz="4" w:space="0" w:color="auto"/>
              <w:right w:val="single" w:sz="4" w:space="0" w:color="auto"/>
            </w:tcBorders>
            <w:shd w:val="clear" w:color="auto" w:fill="auto"/>
            <w:noWrap/>
            <w:vAlign w:val="bottom"/>
            <w:hideMark/>
          </w:tcPr>
          <w:p w14:paraId="49E60BAB"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54,9</w:t>
            </w:r>
          </w:p>
        </w:tc>
        <w:tc>
          <w:tcPr>
            <w:tcW w:w="646" w:type="dxa"/>
            <w:tcBorders>
              <w:top w:val="nil"/>
              <w:left w:val="nil"/>
              <w:bottom w:val="single" w:sz="4" w:space="0" w:color="auto"/>
              <w:right w:val="single" w:sz="4" w:space="0" w:color="auto"/>
            </w:tcBorders>
            <w:shd w:val="clear" w:color="auto" w:fill="auto"/>
            <w:noWrap/>
            <w:vAlign w:val="bottom"/>
            <w:hideMark/>
          </w:tcPr>
          <w:p w14:paraId="195A688E"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30,3</w:t>
            </w:r>
          </w:p>
        </w:tc>
        <w:tc>
          <w:tcPr>
            <w:tcW w:w="780" w:type="dxa"/>
            <w:tcBorders>
              <w:top w:val="nil"/>
              <w:left w:val="nil"/>
              <w:bottom w:val="single" w:sz="4" w:space="0" w:color="auto"/>
              <w:right w:val="single" w:sz="4" w:space="0" w:color="auto"/>
            </w:tcBorders>
            <w:shd w:val="clear" w:color="auto" w:fill="auto"/>
            <w:noWrap/>
            <w:vAlign w:val="bottom"/>
            <w:hideMark/>
          </w:tcPr>
          <w:p w14:paraId="3C69C35D"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63,4</w:t>
            </w:r>
          </w:p>
        </w:tc>
        <w:tc>
          <w:tcPr>
            <w:tcW w:w="854" w:type="dxa"/>
            <w:tcBorders>
              <w:top w:val="nil"/>
              <w:left w:val="nil"/>
              <w:bottom w:val="single" w:sz="4" w:space="0" w:color="auto"/>
              <w:right w:val="single" w:sz="4" w:space="0" w:color="auto"/>
            </w:tcBorders>
            <w:shd w:val="clear" w:color="auto" w:fill="auto"/>
            <w:noWrap/>
            <w:vAlign w:val="bottom"/>
            <w:hideMark/>
          </w:tcPr>
          <w:p w14:paraId="40788DF8"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100,5</w:t>
            </w:r>
          </w:p>
        </w:tc>
        <w:tc>
          <w:tcPr>
            <w:tcW w:w="646" w:type="dxa"/>
            <w:tcBorders>
              <w:top w:val="nil"/>
              <w:left w:val="nil"/>
              <w:bottom w:val="single" w:sz="4" w:space="0" w:color="auto"/>
              <w:right w:val="single" w:sz="4" w:space="0" w:color="auto"/>
            </w:tcBorders>
            <w:shd w:val="clear" w:color="auto" w:fill="auto"/>
            <w:noWrap/>
            <w:vAlign w:val="bottom"/>
            <w:hideMark/>
          </w:tcPr>
          <w:p w14:paraId="6BEB2BFF"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43,0</w:t>
            </w:r>
          </w:p>
        </w:tc>
        <w:tc>
          <w:tcPr>
            <w:tcW w:w="780" w:type="dxa"/>
            <w:tcBorders>
              <w:top w:val="nil"/>
              <w:left w:val="nil"/>
              <w:bottom w:val="single" w:sz="4" w:space="0" w:color="auto"/>
              <w:right w:val="single" w:sz="4" w:space="0" w:color="auto"/>
            </w:tcBorders>
            <w:shd w:val="clear" w:color="auto" w:fill="auto"/>
            <w:noWrap/>
            <w:vAlign w:val="bottom"/>
            <w:hideMark/>
          </w:tcPr>
          <w:p w14:paraId="3803CBB9"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169,9</w:t>
            </w:r>
          </w:p>
        </w:tc>
        <w:tc>
          <w:tcPr>
            <w:tcW w:w="854" w:type="dxa"/>
            <w:tcBorders>
              <w:top w:val="nil"/>
              <w:left w:val="nil"/>
              <w:bottom w:val="single" w:sz="4" w:space="0" w:color="auto"/>
              <w:right w:val="single" w:sz="4" w:space="0" w:color="auto"/>
            </w:tcBorders>
            <w:shd w:val="clear" w:color="auto" w:fill="auto"/>
            <w:noWrap/>
            <w:vAlign w:val="bottom"/>
            <w:hideMark/>
          </w:tcPr>
          <w:p w14:paraId="04AB5C3E"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69,5</w:t>
            </w:r>
          </w:p>
        </w:tc>
        <w:tc>
          <w:tcPr>
            <w:tcW w:w="646" w:type="dxa"/>
            <w:tcBorders>
              <w:top w:val="nil"/>
              <w:left w:val="nil"/>
              <w:bottom w:val="single" w:sz="4" w:space="0" w:color="auto"/>
              <w:right w:val="single" w:sz="4" w:space="0" w:color="auto"/>
            </w:tcBorders>
            <w:shd w:val="clear" w:color="auto" w:fill="auto"/>
            <w:noWrap/>
            <w:vAlign w:val="bottom"/>
            <w:hideMark/>
          </w:tcPr>
          <w:p w14:paraId="3CFE5672"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35,3</w:t>
            </w:r>
          </w:p>
        </w:tc>
        <w:tc>
          <w:tcPr>
            <w:tcW w:w="780" w:type="dxa"/>
            <w:tcBorders>
              <w:top w:val="nil"/>
              <w:left w:val="nil"/>
              <w:bottom w:val="single" w:sz="4" w:space="0" w:color="auto"/>
              <w:right w:val="single" w:sz="4" w:space="0" w:color="auto"/>
            </w:tcBorders>
            <w:shd w:val="clear" w:color="auto" w:fill="auto"/>
            <w:noWrap/>
            <w:vAlign w:val="bottom"/>
            <w:hideMark/>
          </w:tcPr>
          <w:p w14:paraId="0447156E"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108,4</w:t>
            </w:r>
          </w:p>
        </w:tc>
      </w:tr>
      <w:tr w:rsidR="0073535A" w:rsidRPr="007C5A6E" w14:paraId="17421ACE" w14:textId="77777777" w:rsidTr="00457BED">
        <w:trPr>
          <w:trHeight w:val="315"/>
        </w:trPr>
        <w:tc>
          <w:tcPr>
            <w:tcW w:w="1464" w:type="dxa"/>
            <w:vMerge/>
            <w:tcBorders>
              <w:top w:val="nil"/>
              <w:left w:val="single" w:sz="4" w:space="0" w:color="auto"/>
              <w:bottom w:val="double" w:sz="6" w:space="0" w:color="000000"/>
              <w:right w:val="single" w:sz="4" w:space="0" w:color="auto"/>
            </w:tcBorders>
            <w:vAlign w:val="center"/>
            <w:hideMark/>
          </w:tcPr>
          <w:p w14:paraId="4B2788AE" w14:textId="77777777" w:rsidR="0073535A" w:rsidRPr="007C5A6E" w:rsidRDefault="0073535A" w:rsidP="008D1FFC">
            <w:pPr>
              <w:spacing w:after="0" w:line="240" w:lineRule="auto"/>
              <w:rPr>
                <w:rFonts w:ascii="Times New Roman" w:hAnsi="Times New Roman"/>
                <w:color w:val="000000"/>
                <w:sz w:val="20"/>
                <w:szCs w:val="20"/>
              </w:rPr>
            </w:pPr>
          </w:p>
        </w:tc>
        <w:tc>
          <w:tcPr>
            <w:tcW w:w="1976" w:type="dxa"/>
            <w:tcBorders>
              <w:top w:val="single" w:sz="4" w:space="0" w:color="auto"/>
              <w:left w:val="nil"/>
              <w:bottom w:val="double" w:sz="6" w:space="0" w:color="auto"/>
              <w:right w:val="single" w:sz="4" w:space="0" w:color="000000"/>
            </w:tcBorders>
            <w:shd w:val="clear" w:color="auto" w:fill="auto"/>
            <w:noWrap/>
            <w:vAlign w:val="bottom"/>
            <w:hideMark/>
          </w:tcPr>
          <w:p w14:paraId="46B34564"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854" w:type="dxa"/>
            <w:tcBorders>
              <w:top w:val="single" w:sz="4" w:space="0" w:color="auto"/>
              <w:left w:val="nil"/>
              <w:bottom w:val="double" w:sz="6" w:space="0" w:color="auto"/>
              <w:right w:val="single" w:sz="4" w:space="0" w:color="auto"/>
            </w:tcBorders>
            <w:shd w:val="clear" w:color="auto" w:fill="auto"/>
            <w:noWrap/>
            <w:vAlign w:val="bottom"/>
            <w:hideMark/>
          </w:tcPr>
          <w:p w14:paraId="6679E06C"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646" w:type="dxa"/>
            <w:tcBorders>
              <w:top w:val="single" w:sz="4" w:space="0" w:color="auto"/>
              <w:left w:val="nil"/>
              <w:bottom w:val="double" w:sz="6" w:space="0" w:color="auto"/>
              <w:right w:val="single" w:sz="4" w:space="0" w:color="auto"/>
            </w:tcBorders>
            <w:shd w:val="clear" w:color="auto" w:fill="auto"/>
            <w:noWrap/>
            <w:vAlign w:val="bottom"/>
            <w:hideMark/>
          </w:tcPr>
          <w:p w14:paraId="6CA379EE"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780" w:type="dxa"/>
            <w:tcBorders>
              <w:top w:val="single" w:sz="4" w:space="0" w:color="auto"/>
              <w:left w:val="nil"/>
              <w:bottom w:val="double" w:sz="6" w:space="0" w:color="auto"/>
              <w:right w:val="single" w:sz="4" w:space="0" w:color="auto"/>
            </w:tcBorders>
            <w:shd w:val="clear" w:color="auto" w:fill="auto"/>
            <w:noWrap/>
            <w:vAlign w:val="bottom"/>
            <w:hideMark/>
          </w:tcPr>
          <w:p w14:paraId="5689927A"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854" w:type="dxa"/>
            <w:tcBorders>
              <w:top w:val="single" w:sz="4" w:space="0" w:color="auto"/>
              <w:left w:val="nil"/>
              <w:bottom w:val="double" w:sz="6" w:space="0" w:color="auto"/>
              <w:right w:val="single" w:sz="4" w:space="0" w:color="auto"/>
            </w:tcBorders>
            <w:shd w:val="clear" w:color="auto" w:fill="auto"/>
            <w:noWrap/>
            <w:vAlign w:val="bottom"/>
            <w:hideMark/>
          </w:tcPr>
          <w:p w14:paraId="76C52543"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646" w:type="dxa"/>
            <w:tcBorders>
              <w:top w:val="single" w:sz="4" w:space="0" w:color="auto"/>
              <w:left w:val="nil"/>
              <w:bottom w:val="double" w:sz="6" w:space="0" w:color="auto"/>
              <w:right w:val="single" w:sz="4" w:space="0" w:color="auto"/>
            </w:tcBorders>
            <w:shd w:val="clear" w:color="auto" w:fill="auto"/>
            <w:noWrap/>
            <w:vAlign w:val="bottom"/>
            <w:hideMark/>
          </w:tcPr>
          <w:p w14:paraId="04337E78"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780" w:type="dxa"/>
            <w:tcBorders>
              <w:top w:val="single" w:sz="4" w:space="0" w:color="auto"/>
              <w:left w:val="nil"/>
              <w:bottom w:val="double" w:sz="6" w:space="0" w:color="auto"/>
              <w:right w:val="single" w:sz="4" w:space="0" w:color="auto"/>
            </w:tcBorders>
            <w:shd w:val="clear" w:color="auto" w:fill="auto"/>
            <w:noWrap/>
            <w:vAlign w:val="bottom"/>
            <w:hideMark/>
          </w:tcPr>
          <w:p w14:paraId="46877046"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854" w:type="dxa"/>
            <w:tcBorders>
              <w:top w:val="single" w:sz="4" w:space="0" w:color="auto"/>
              <w:left w:val="nil"/>
              <w:bottom w:val="double" w:sz="6" w:space="0" w:color="auto"/>
              <w:right w:val="single" w:sz="4" w:space="0" w:color="auto"/>
            </w:tcBorders>
            <w:shd w:val="clear" w:color="auto" w:fill="auto"/>
            <w:noWrap/>
            <w:vAlign w:val="bottom"/>
            <w:hideMark/>
          </w:tcPr>
          <w:p w14:paraId="54EB0D7D"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646" w:type="dxa"/>
            <w:tcBorders>
              <w:top w:val="single" w:sz="4" w:space="0" w:color="auto"/>
              <w:left w:val="nil"/>
              <w:bottom w:val="double" w:sz="6" w:space="0" w:color="auto"/>
              <w:right w:val="single" w:sz="4" w:space="0" w:color="auto"/>
            </w:tcBorders>
            <w:shd w:val="clear" w:color="auto" w:fill="auto"/>
            <w:noWrap/>
            <w:vAlign w:val="bottom"/>
            <w:hideMark/>
          </w:tcPr>
          <w:p w14:paraId="58714901"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780" w:type="dxa"/>
            <w:tcBorders>
              <w:top w:val="single" w:sz="4" w:space="0" w:color="auto"/>
              <w:left w:val="nil"/>
              <w:bottom w:val="double" w:sz="6" w:space="0" w:color="auto"/>
              <w:right w:val="single" w:sz="4" w:space="0" w:color="auto"/>
            </w:tcBorders>
            <w:shd w:val="clear" w:color="auto" w:fill="auto"/>
            <w:noWrap/>
            <w:vAlign w:val="bottom"/>
            <w:hideMark/>
          </w:tcPr>
          <w:p w14:paraId="0D0A87FA"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854" w:type="dxa"/>
            <w:tcBorders>
              <w:top w:val="single" w:sz="4" w:space="0" w:color="auto"/>
              <w:left w:val="nil"/>
              <w:bottom w:val="double" w:sz="6" w:space="0" w:color="auto"/>
              <w:right w:val="single" w:sz="4" w:space="0" w:color="auto"/>
            </w:tcBorders>
            <w:shd w:val="clear" w:color="auto" w:fill="auto"/>
            <w:noWrap/>
            <w:vAlign w:val="bottom"/>
            <w:hideMark/>
          </w:tcPr>
          <w:p w14:paraId="680F48C6"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646" w:type="dxa"/>
            <w:tcBorders>
              <w:top w:val="single" w:sz="4" w:space="0" w:color="auto"/>
              <w:left w:val="nil"/>
              <w:bottom w:val="double" w:sz="6" w:space="0" w:color="auto"/>
              <w:right w:val="single" w:sz="4" w:space="0" w:color="auto"/>
            </w:tcBorders>
            <w:shd w:val="clear" w:color="auto" w:fill="auto"/>
            <w:noWrap/>
            <w:vAlign w:val="bottom"/>
            <w:hideMark/>
          </w:tcPr>
          <w:p w14:paraId="2D67D4A8"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780" w:type="dxa"/>
            <w:tcBorders>
              <w:top w:val="single" w:sz="4" w:space="0" w:color="auto"/>
              <w:left w:val="nil"/>
              <w:bottom w:val="double" w:sz="6" w:space="0" w:color="auto"/>
              <w:right w:val="single" w:sz="4" w:space="0" w:color="auto"/>
            </w:tcBorders>
            <w:shd w:val="clear" w:color="auto" w:fill="auto"/>
            <w:noWrap/>
            <w:vAlign w:val="bottom"/>
            <w:hideMark/>
          </w:tcPr>
          <w:p w14:paraId="03560D1F"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r>
      <w:tr w:rsidR="0073535A" w:rsidRPr="007C5A6E" w14:paraId="0DF97028" w14:textId="77777777" w:rsidTr="00457BED">
        <w:trPr>
          <w:trHeight w:val="315"/>
        </w:trPr>
        <w:tc>
          <w:tcPr>
            <w:tcW w:w="3440" w:type="dxa"/>
            <w:gridSpan w:val="2"/>
            <w:vMerge w:val="restart"/>
            <w:tcBorders>
              <w:top w:val="nil"/>
              <w:left w:val="single" w:sz="4" w:space="0" w:color="auto"/>
              <w:bottom w:val="single" w:sz="4" w:space="0" w:color="000000"/>
              <w:right w:val="single" w:sz="4" w:space="0" w:color="000000"/>
            </w:tcBorders>
            <w:shd w:val="clear" w:color="auto" w:fill="auto"/>
            <w:noWrap/>
            <w:vAlign w:val="center"/>
            <w:hideMark/>
          </w:tcPr>
          <w:p w14:paraId="5E0B21AF" w14:textId="77777777" w:rsidR="0073535A" w:rsidRPr="007C5A6E" w:rsidRDefault="0073535A" w:rsidP="008D1FFC">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A l'horizon 2100</w:t>
            </w:r>
          </w:p>
        </w:tc>
        <w:tc>
          <w:tcPr>
            <w:tcW w:w="2280" w:type="dxa"/>
            <w:gridSpan w:val="3"/>
            <w:tcBorders>
              <w:top w:val="nil"/>
              <w:left w:val="nil"/>
              <w:bottom w:val="single" w:sz="4" w:space="0" w:color="auto"/>
              <w:right w:val="single" w:sz="4" w:space="0" w:color="auto"/>
            </w:tcBorders>
            <w:shd w:val="clear" w:color="auto" w:fill="auto"/>
            <w:noWrap/>
            <w:vAlign w:val="bottom"/>
            <w:hideMark/>
          </w:tcPr>
          <w:p w14:paraId="6C181009" w14:textId="77777777" w:rsidR="0073535A" w:rsidRPr="007C5A6E" w:rsidRDefault="0073535A" w:rsidP="008D1FFC">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Historique 2000</w:t>
            </w:r>
          </w:p>
        </w:tc>
        <w:tc>
          <w:tcPr>
            <w:tcW w:w="2280" w:type="dxa"/>
            <w:gridSpan w:val="3"/>
            <w:tcBorders>
              <w:top w:val="nil"/>
              <w:left w:val="nil"/>
              <w:bottom w:val="single" w:sz="4" w:space="0" w:color="auto"/>
              <w:right w:val="single" w:sz="4" w:space="0" w:color="auto"/>
            </w:tcBorders>
            <w:shd w:val="clear" w:color="auto" w:fill="auto"/>
            <w:noWrap/>
            <w:vAlign w:val="bottom"/>
            <w:hideMark/>
          </w:tcPr>
          <w:p w14:paraId="722C24D3" w14:textId="77777777" w:rsidR="0073535A" w:rsidRPr="007C5A6E" w:rsidRDefault="0073535A" w:rsidP="008D1FFC">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SSP245</w:t>
            </w:r>
          </w:p>
        </w:tc>
        <w:tc>
          <w:tcPr>
            <w:tcW w:w="2280" w:type="dxa"/>
            <w:gridSpan w:val="3"/>
            <w:tcBorders>
              <w:top w:val="nil"/>
              <w:left w:val="nil"/>
              <w:bottom w:val="single" w:sz="4" w:space="0" w:color="auto"/>
              <w:right w:val="single" w:sz="4" w:space="0" w:color="auto"/>
            </w:tcBorders>
            <w:shd w:val="clear" w:color="auto" w:fill="auto"/>
            <w:noWrap/>
            <w:vAlign w:val="bottom"/>
            <w:hideMark/>
          </w:tcPr>
          <w:p w14:paraId="228DA0B9" w14:textId="77777777" w:rsidR="0073535A" w:rsidRPr="007C5A6E" w:rsidRDefault="0073535A" w:rsidP="008D1FFC">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SSP370</w:t>
            </w:r>
          </w:p>
        </w:tc>
        <w:tc>
          <w:tcPr>
            <w:tcW w:w="2280" w:type="dxa"/>
            <w:gridSpan w:val="3"/>
            <w:tcBorders>
              <w:top w:val="nil"/>
              <w:left w:val="nil"/>
              <w:bottom w:val="single" w:sz="4" w:space="0" w:color="auto"/>
              <w:right w:val="single" w:sz="4" w:space="0" w:color="auto"/>
            </w:tcBorders>
            <w:shd w:val="clear" w:color="auto" w:fill="auto"/>
            <w:noWrap/>
            <w:vAlign w:val="bottom"/>
            <w:hideMark/>
          </w:tcPr>
          <w:p w14:paraId="2E5BAC9B" w14:textId="77777777" w:rsidR="0073535A" w:rsidRPr="007C5A6E" w:rsidRDefault="0073535A" w:rsidP="008D1FFC">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SSP585</w:t>
            </w:r>
          </w:p>
        </w:tc>
      </w:tr>
      <w:tr w:rsidR="0073535A" w:rsidRPr="007C5A6E" w14:paraId="08BDC7BD" w14:textId="77777777" w:rsidTr="00457BED">
        <w:trPr>
          <w:trHeight w:val="300"/>
        </w:trPr>
        <w:tc>
          <w:tcPr>
            <w:tcW w:w="3440" w:type="dxa"/>
            <w:gridSpan w:val="2"/>
            <w:vMerge/>
            <w:tcBorders>
              <w:top w:val="nil"/>
              <w:left w:val="single" w:sz="4" w:space="0" w:color="auto"/>
              <w:bottom w:val="single" w:sz="4" w:space="0" w:color="000000"/>
              <w:right w:val="single" w:sz="4" w:space="0" w:color="000000"/>
            </w:tcBorders>
            <w:vAlign w:val="center"/>
            <w:hideMark/>
          </w:tcPr>
          <w:p w14:paraId="35506AB3" w14:textId="77777777" w:rsidR="0073535A" w:rsidRPr="007C5A6E" w:rsidRDefault="0073535A" w:rsidP="008D1FFC">
            <w:pPr>
              <w:spacing w:after="0" w:line="240" w:lineRule="auto"/>
              <w:rPr>
                <w:rFonts w:ascii="Times New Roman" w:hAnsi="Times New Roman"/>
                <w:color w:val="000000"/>
                <w:sz w:val="20"/>
                <w:szCs w:val="20"/>
              </w:rPr>
            </w:pPr>
          </w:p>
        </w:tc>
        <w:tc>
          <w:tcPr>
            <w:tcW w:w="854" w:type="dxa"/>
            <w:tcBorders>
              <w:top w:val="nil"/>
              <w:left w:val="nil"/>
              <w:bottom w:val="single" w:sz="4" w:space="0" w:color="auto"/>
              <w:right w:val="single" w:sz="4" w:space="0" w:color="auto"/>
            </w:tcBorders>
            <w:shd w:val="clear" w:color="auto" w:fill="auto"/>
            <w:noWrap/>
            <w:vAlign w:val="bottom"/>
            <w:hideMark/>
          </w:tcPr>
          <w:p w14:paraId="691A2965" w14:textId="77777777" w:rsidR="0073535A" w:rsidRPr="007C5A6E" w:rsidRDefault="0073535A" w:rsidP="008D1FFC">
            <w:pPr>
              <w:spacing w:after="0" w:line="240" w:lineRule="auto"/>
              <w:rPr>
                <w:rFonts w:ascii="Times New Roman" w:hAnsi="Times New Roman"/>
                <w:color w:val="000000"/>
                <w:sz w:val="20"/>
                <w:szCs w:val="20"/>
              </w:rPr>
            </w:pPr>
            <w:proofErr w:type="spellStart"/>
            <w:proofErr w:type="gramStart"/>
            <w:r w:rsidRPr="007C5A6E">
              <w:rPr>
                <w:rFonts w:ascii="Times New Roman" w:hAnsi="Times New Roman"/>
                <w:color w:val="000000"/>
                <w:sz w:val="20"/>
                <w:szCs w:val="20"/>
              </w:rPr>
              <w:t>median</w:t>
            </w:r>
            <w:proofErr w:type="spellEnd"/>
            <w:proofErr w:type="gramEnd"/>
          </w:p>
        </w:tc>
        <w:tc>
          <w:tcPr>
            <w:tcW w:w="646" w:type="dxa"/>
            <w:tcBorders>
              <w:top w:val="nil"/>
              <w:left w:val="nil"/>
              <w:bottom w:val="single" w:sz="4" w:space="0" w:color="auto"/>
              <w:right w:val="single" w:sz="4" w:space="0" w:color="auto"/>
            </w:tcBorders>
            <w:shd w:val="clear" w:color="auto" w:fill="auto"/>
            <w:noWrap/>
            <w:vAlign w:val="bottom"/>
            <w:hideMark/>
          </w:tcPr>
          <w:p w14:paraId="2BB2F5C3" w14:textId="77777777" w:rsidR="0073535A" w:rsidRPr="007C5A6E" w:rsidRDefault="0073535A" w:rsidP="008D1FFC">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q</w:t>
            </w:r>
            <w:proofErr w:type="gramEnd"/>
            <w:r w:rsidRPr="007C5A6E">
              <w:rPr>
                <w:rFonts w:ascii="Times New Roman" w:hAnsi="Times New Roman"/>
                <w:color w:val="000000"/>
                <w:sz w:val="20"/>
                <w:szCs w:val="20"/>
              </w:rPr>
              <w:t>25</w:t>
            </w:r>
          </w:p>
        </w:tc>
        <w:tc>
          <w:tcPr>
            <w:tcW w:w="780" w:type="dxa"/>
            <w:tcBorders>
              <w:top w:val="nil"/>
              <w:left w:val="nil"/>
              <w:bottom w:val="single" w:sz="4" w:space="0" w:color="auto"/>
              <w:right w:val="single" w:sz="4" w:space="0" w:color="auto"/>
            </w:tcBorders>
            <w:shd w:val="clear" w:color="auto" w:fill="auto"/>
            <w:noWrap/>
            <w:vAlign w:val="bottom"/>
            <w:hideMark/>
          </w:tcPr>
          <w:p w14:paraId="0B8B0D2A" w14:textId="77777777" w:rsidR="0073535A" w:rsidRPr="007C5A6E" w:rsidRDefault="0073535A" w:rsidP="008D1FFC">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q</w:t>
            </w:r>
            <w:proofErr w:type="gramEnd"/>
            <w:r w:rsidRPr="007C5A6E">
              <w:rPr>
                <w:rFonts w:ascii="Times New Roman" w:hAnsi="Times New Roman"/>
                <w:color w:val="000000"/>
                <w:sz w:val="20"/>
                <w:szCs w:val="20"/>
              </w:rPr>
              <w:t>75</w:t>
            </w:r>
          </w:p>
        </w:tc>
        <w:tc>
          <w:tcPr>
            <w:tcW w:w="854" w:type="dxa"/>
            <w:tcBorders>
              <w:top w:val="nil"/>
              <w:left w:val="nil"/>
              <w:bottom w:val="single" w:sz="4" w:space="0" w:color="auto"/>
              <w:right w:val="single" w:sz="4" w:space="0" w:color="auto"/>
            </w:tcBorders>
            <w:shd w:val="clear" w:color="auto" w:fill="auto"/>
            <w:noWrap/>
            <w:vAlign w:val="bottom"/>
            <w:hideMark/>
          </w:tcPr>
          <w:p w14:paraId="7084B722" w14:textId="77777777" w:rsidR="0073535A" w:rsidRPr="007C5A6E" w:rsidRDefault="0073535A" w:rsidP="008D1FFC">
            <w:pPr>
              <w:spacing w:after="0" w:line="240" w:lineRule="auto"/>
              <w:rPr>
                <w:rFonts w:ascii="Times New Roman" w:hAnsi="Times New Roman"/>
                <w:color w:val="000000"/>
                <w:sz w:val="20"/>
                <w:szCs w:val="20"/>
              </w:rPr>
            </w:pPr>
            <w:proofErr w:type="spellStart"/>
            <w:proofErr w:type="gramStart"/>
            <w:r w:rsidRPr="007C5A6E">
              <w:rPr>
                <w:rFonts w:ascii="Times New Roman" w:hAnsi="Times New Roman"/>
                <w:color w:val="000000"/>
                <w:sz w:val="20"/>
                <w:szCs w:val="20"/>
              </w:rPr>
              <w:t>median</w:t>
            </w:r>
            <w:proofErr w:type="spellEnd"/>
            <w:proofErr w:type="gramEnd"/>
          </w:p>
        </w:tc>
        <w:tc>
          <w:tcPr>
            <w:tcW w:w="646" w:type="dxa"/>
            <w:tcBorders>
              <w:top w:val="nil"/>
              <w:left w:val="nil"/>
              <w:bottom w:val="single" w:sz="4" w:space="0" w:color="auto"/>
              <w:right w:val="single" w:sz="4" w:space="0" w:color="auto"/>
            </w:tcBorders>
            <w:shd w:val="clear" w:color="auto" w:fill="auto"/>
            <w:noWrap/>
            <w:vAlign w:val="bottom"/>
            <w:hideMark/>
          </w:tcPr>
          <w:p w14:paraId="2E727A01" w14:textId="77777777" w:rsidR="0073535A" w:rsidRPr="007C5A6E" w:rsidRDefault="0073535A" w:rsidP="008D1FFC">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q</w:t>
            </w:r>
            <w:proofErr w:type="gramEnd"/>
            <w:r w:rsidRPr="007C5A6E">
              <w:rPr>
                <w:rFonts w:ascii="Times New Roman" w:hAnsi="Times New Roman"/>
                <w:color w:val="000000"/>
                <w:sz w:val="20"/>
                <w:szCs w:val="20"/>
              </w:rPr>
              <w:t>25</w:t>
            </w:r>
          </w:p>
        </w:tc>
        <w:tc>
          <w:tcPr>
            <w:tcW w:w="780" w:type="dxa"/>
            <w:tcBorders>
              <w:top w:val="nil"/>
              <w:left w:val="nil"/>
              <w:bottom w:val="single" w:sz="4" w:space="0" w:color="auto"/>
              <w:right w:val="single" w:sz="4" w:space="0" w:color="auto"/>
            </w:tcBorders>
            <w:shd w:val="clear" w:color="auto" w:fill="auto"/>
            <w:noWrap/>
            <w:vAlign w:val="bottom"/>
            <w:hideMark/>
          </w:tcPr>
          <w:p w14:paraId="78BF4C81" w14:textId="77777777" w:rsidR="0073535A" w:rsidRPr="007C5A6E" w:rsidRDefault="0073535A" w:rsidP="008D1FFC">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q</w:t>
            </w:r>
            <w:proofErr w:type="gramEnd"/>
            <w:r w:rsidRPr="007C5A6E">
              <w:rPr>
                <w:rFonts w:ascii="Times New Roman" w:hAnsi="Times New Roman"/>
                <w:color w:val="000000"/>
                <w:sz w:val="20"/>
                <w:szCs w:val="20"/>
              </w:rPr>
              <w:t>75</w:t>
            </w:r>
          </w:p>
        </w:tc>
        <w:tc>
          <w:tcPr>
            <w:tcW w:w="854" w:type="dxa"/>
            <w:tcBorders>
              <w:top w:val="nil"/>
              <w:left w:val="nil"/>
              <w:bottom w:val="single" w:sz="4" w:space="0" w:color="auto"/>
              <w:right w:val="single" w:sz="4" w:space="0" w:color="auto"/>
            </w:tcBorders>
            <w:shd w:val="clear" w:color="auto" w:fill="auto"/>
            <w:noWrap/>
            <w:vAlign w:val="bottom"/>
            <w:hideMark/>
          </w:tcPr>
          <w:p w14:paraId="5DE6F064" w14:textId="77777777" w:rsidR="0073535A" w:rsidRPr="007C5A6E" w:rsidRDefault="0073535A" w:rsidP="008D1FFC">
            <w:pPr>
              <w:spacing w:after="0" w:line="240" w:lineRule="auto"/>
              <w:rPr>
                <w:rFonts w:ascii="Times New Roman" w:hAnsi="Times New Roman"/>
                <w:color w:val="000000"/>
                <w:sz w:val="20"/>
                <w:szCs w:val="20"/>
              </w:rPr>
            </w:pPr>
            <w:proofErr w:type="spellStart"/>
            <w:proofErr w:type="gramStart"/>
            <w:r w:rsidRPr="007C5A6E">
              <w:rPr>
                <w:rFonts w:ascii="Times New Roman" w:hAnsi="Times New Roman"/>
                <w:color w:val="000000"/>
                <w:sz w:val="20"/>
                <w:szCs w:val="20"/>
              </w:rPr>
              <w:t>median</w:t>
            </w:r>
            <w:proofErr w:type="spellEnd"/>
            <w:proofErr w:type="gramEnd"/>
          </w:p>
        </w:tc>
        <w:tc>
          <w:tcPr>
            <w:tcW w:w="646" w:type="dxa"/>
            <w:tcBorders>
              <w:top w:val="nil"/>
              <w:left w:val="nil"/>
              <w:bottom w:val="single" w:sz="4" w:space="0" w:color="auto"/>
              <w:right w:val="single" w:sz="4" w:space="0" w:color="auto"/>
            </w:tcBorders>
            <w:shd w:val="clear" w:color="auto" w:fill="auto"/>
            <w:noWrap/>
            <w:vAlign w:val="bottom"/>
            <w:hideMark/>
          </w:tcPr>
          <w:p w14:paraId="7FA10C28" w14:textId="77777777" w:rsidR="0073535A" w:rsidRPr="007C5A6E" w:rsidRDefault="0073535A" w:rsidP="008D1FFC">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q</w:t>
            </w:r>
            <w:proofErr w:type="gramEnd"/>
            <w:r w:rsidRPr="007C5A6E">
              <w:rPr>
                <w:rFonts w:ascii="Times New Roman" w:hAnsi="Times New Roman"/>
                <w:color w:val="000000"/>
                <w:sz w:val="20"/>
                <w:szCs w:val="20"/>
              </w:rPr>
              <w:t>25</w:t>
            </w:r>
          </w:p>
        </w:tc>
        <w:tc>
          <w:tcPr>
            <w:tcW w:w="780" w:type="dxa"/>
            <w:tcBorders>
              <w:top w:val="nil"/>
              <w:left w:val="nil"/>
              <w:bottom w:val="single" w:sz="4" w:space="0" w:color="auto"/>
              <w:right w:val="single" w:sz="4" w:space="0" w:color="auto"/>
            </w:tcBorders>
            <w:shd w:val="clear" w:color="auto" w:fill="auto"/>
            <w:noWrap/>
            <w:vAlign w:val="bottom"/>
            <w:hideMark/>
          </w:tcPr>
          <w:p w14:paraId="605C66F2" w14:textId="77777777" w:rsidR="0073535A" w:rsidRPr="007C5A6E" w:rsidRDefault="0073535A" w:rsidP="008D1FFC">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q</w:t>
            </w:r>
            <w:proofErr w:type="gramEnd"/>
            <w:r w:rsidRPr="007C5A6E">
              <w:rPr>
                <w:rFonts w:ascii="Times New Roman" w:hAnsi="Times New Roman"/>
                <w:color w:val="000000"/>
                <w:sz w:val="20"/>
                <w:szCs w:val="20"/>
              </w:rPr>
              <w:t>75</w:t>
            </w:r>
          </w:p>
        </w:tc>
        <w:tc>
          <w:tcPr>
            <w:tcW w:w="854" w:type="dxa"/>
            <w:tcBorders>
              <w:top w:val="nil"/>
              <w:left w:val="nil"/>
              <w:bottom w:val="single" w:sz="4" w:space="0" w:color="auto"/>
              <w:right w:val="single" w:sz="4" w:space="0" w:color="auto"/>
            </w:tcBorders>
            <w:shd w:val="clear" w:color="auto" w:fill="auto"/>
            <w:noWrap/>
            <w:vAlign w:val="bottom"/>
            <w:hideMark/>
          </w:tcPr>
          <w:p w14:paraId="53E63B0A" w14:textId="77777777" w:rsidR="0073535A" w:rsidRPr="007C5A6E" w:rsidRDefault="0073535A" w:rsidP="008D1FFC">
            <w:pPr>
              <w:spacing w:after="0" w:line="240" w:lineRule="auto"/>
              <w:rPr>
                <w:rFonts w:ascii="Times New Roman" w:hAnsi="Times New Roman"/>
                <w:color w:val="000000"/>
                <w:sz w:val="20"/>
                <w:szCs w:val="20"/>
              </w:rPr>
            </w:pPr>
            <w:proofErr w:type="spellStart"/>
            <w:proofErr w:type="gramStart"/>
            <w:r w:rsidRPr="007C5A6E">
              <w:rPr>
                <w:rFonts w:ascii="Times New Roman" w:hAnsi="Times New Roman"/>
                <w:color w:val="000000"/>
                <w:sz w:val="20"/>
                <w:szCs w:val="20"/>
              </w:rPr>
              <w:t>median</w:t>
            </w:r>
            <w:proofErr w:type="spellEnd"/>
            <w:proofErr w:type="gramEnd"/>
          </w:p>
        </w:tc>
        <w:tc>
          <w:tcPr>
            <w:tcW w:w="646" w:type="dxa"/>
            <w:tcBorders>
              <w:top w:val="nil"/>
              <w:left w:val="nil"/>
              <w:bottom w:val="single" w:sz="4" w:space="0" w:color="auto"/>
              <w:right w:val="single" w:sz="4" w:space="0" w:color="auto"/>
            </w:tcBorders>
            <w:shd w:val="clear" w:color="auto" w:fill="auto"/>
            <w:noWrap/>
            <w:vAlign w:val="bottom"/>
            <w:hideMark/>
          </w:tcPr>
          <w:p w14:paraId="4273C267" w14:textId="77777777" w:rsidR="0073535A" w:rsidRPr="007C5A6E" w:rsidRDefault="0073535A" w:rsidP="008D1FFC">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q</w:t>
            </w:r>
            <w:proofErr w:type="gramEnd"/>
            <w:r w:rsidRPr="007C5A6E">
              <w:rPr>
                <w:rFonts w:ascii="Times New Roman" w:hAnsi="Times New Roman"/>
                <w:color w:val="000000"/>
                <w:sz w:val="20"/>
                <w:szCs w:val="20"/>
              </w:rPr>
              <w:t>25</w:t>
            </w:r>
          </w:p>
        </w:tc>
        <w:tc>
          <w:tcPr>
            <w:tcW w:w="780" w:type="dxa"/>
            <w:tcBorders>
              <w:top w:val="nil"/>
              <w:left w:val="nil"/>
              <w:bottom w:val="single" w:sz="4" w:space="0" w:color="auto"/>
              <w:right w:val="single" w:sz="4" w:space="0" w:color="auto"/>
            </w:tcBorders>
            <w:shd w:val="clear" w:color="auto" w:fill="auto"/>
            <w:noWrap/>
            <w:vAlign w:val="bottom"/>
            <w:hideMark/>
          </w:tcPr>
          <w:p w14:paraId="6DF5C61A" w14:textId="77777777" w:rsidR="0073535A" w:rsidRPr="007C5A6E" w:rsidRDefault="0073535A" w:rsidP="008D1FFC">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q</w:t>
            </w:r>
            <w:proofErr w:type="gramEnd"/>
            <w:r w:rsidRPr="007C5A6E">
              <w:rPr>
                <w:rFonts w:ascii="Times New Roman" w:hAnsi="Times New Roman"/>
                <w:color w:val="000000"/>
                <w:sz w:val="20"/>
                <w:szCs w:val="20"/>
              </w:rPr>
              <w:t>75</w:t>
            </w:r>
          </w:p>
        </w:tc>
      </w:tr>
      <w:tr w:rsidR="0073535A" w:rsidRPr="007C5A6E" w14:paraId="205B2068" w14:textId="77777777" w:rsidTr="00457BED">
        <w:trPr>
          <w:trHeight w:val="300"/>
        </w:trPr>
        <w:tc>
          <w:tcPr>
            <w:tcW w:w="14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A44D89" w14:textId="77777777" w:rsidR="0073535A" w:rsidRPr="007C5A6E" w:rsidRDefault="0073535A" w:rsidP="008D1FFC">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Dori</w:t>
            </w:r>
          </w:p>
        </w:tc>
        <w:tc>
          <w:tcPr>
            <w:tcW w:w="1976" w:type="dxa"/>
            <w:tcBorders>
              <w:top w:val="single" w:sz="4" w:space="0" w:color="auto"/>
              <w:left w:val="nil"/>
              <w:bottom w:val="single" w:sz="4" w:space="0" w:color="auto"/>
              <w:right w:val="single" w:sz="4" w:space="0" w:color="000000"/>
            </w:tcBorders>
            <w:shd w:val="clear" w:color="auto" w:fill="auto"/>
            <w:noWrap/>
            <w:vAlign w:val="bottom"/>
            <w:hideMark/>
          </w:tcPr>
          <w:p w14:paraId="013F8399" w14:textId="77777777" w:rsidR="0073535A" w:rsidRPr="007C5A6E" w:rsidRDefault="0073535A" w:rsidP="008D1FFC">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cumul</w:t>
            </w:r>
            <w:proofErr w:type="gramEnd"/>
            <w:r w:rsidRPr="007C5A6E">
              <w:rPr>
                <w:rFonts w:ascii="Times New Roman" w:hAnsi="Times New Roman"/>
                <w:color w:val="000000"/>
                <w:sz w:val="20"/>
                <w:szCs w:val="20"/>
              </w:rPr>
              <w:t xml:space="preserve"> annuel</w:t>
            </w:r>
          </w:p>
        </w:tc>
        <w:tc>
          <w:tcPr>
            <w:tcW w:w="854" w:type="dxa"/>
            <w:tcBorders>
              <w:top w:val="nil"/>
              <w:left w:val="nil"/>
              <w:bottom w:val="single" w:sz="4" w:space="0" w:color="auto"/>
              <w:right w:val="single" w:sz="4" w:space="0" w:color="auto"/>
            </w:tcBorders>
            <w:shd w:val="clear" w:color="auto" w:fill="auto"/>
            <w:noWrap/>
            <w:vAlign w:val="bottom"/>
            <w:hideMark/>
          </w:tcPr>
          <w:p w14:paraId="7CA83DC0"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369,1</w:t>
            </w:r>
          </w:p>
        </w:tc>
        <w:tc>
          <w:tcPr>
            <w:tcW w:w="646" w:type="dxa"/>
            <w:tcBorders>
              <w:top w:val="nil"/>
              <w:left w:val="nil"/>
              <w:bottom w:val="single" w:sz="4" w:space="0" w:color="auto"/>
              <w:right w:val="single" w:sz="4" w:space="0" w:color="auto"/>
            </w:tcBorders>
            <w:shd w:val="clear" w:color="auto" w:fill="auto"/>
            <w:noWrap/>
            <w:vAlign w:val="bottom"/>
            <w:hideMark/>
          </w:tcPr>
          <w:p w14:paraId="5D55DF4B"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140,7</w:t>
            </w:r>
          </w:p>
        </w:tc>
        <w:tc>
          <w:tcPr>
            <w:tcW w:w="780" w:type="dxa"/>
            <w:tcBorders>
              <w:top w:val="nil"/>
              <w:left w:val="nil"/>
              <w:bottom w:val="single" w:sz="4" w:space="0" w:color="auto"/>
              <w:right w:val="single" w:sz="4" w:space="0" w:color="auto"/>
            </w:tcBorders>
            <w:shd w:val="clear" w:color="auto" w:fill="auto"/>
            <w:noWrap/>
            <w:vAlign w:val="bottom"/>
            <w:hideMark/>
          </w:tcPr>
          <w:p w14:paraId="42641EE1"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601,6</w:t>
            </w:r>
          </w:p>
        </w:tc>
        <w:tc>
          <w:tcPr>
            <w:tcW w:w="854" w:type="dxa"/>
            <w:tcBorders>
              <w:top w:val="nil"/>
              <w:left w:val="nil"/>
              <w:bottom w:val="single" w:sz="4" w:space="0" w:color="auto"/>
              <w:right w:val="single" w:sz="4" w:space="0" w:color="auto"/>
            </w:tcBorders>
            <w:shd w:val="clear" w:color="auto" w:fill="auto"/>
            <w:noWrap/>
            <w:vAlign w:val="bottom"/>
            <w:hideMark/>
          </w:tcPr>
          <w:p w14:paraId="16018764"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481,7</w:t>
            </w:r>
          </w:p>
        </w:tc>
        <w:tc>
          <w:tcPr>
            <w:tcW w:w="646" w:type="dxa"/>
            <w:tcBorders>
              <w:top w:val="nil"/>
              <w:left w:val="nil"/>
              <w:bottom w:val="single" w:sz="4" w:space="0" w:color="auto"/>
              <w:right w:val="single" w:sz="4" w:space="0" w:color="auto"/>
            </w:tcBorders>
            <w:shd w:val="clear" w:color="auto" w:fill="auto"/>
            <w:noWrap/>
            <w:vAlign w:val="bottom"/>
            <w:hideMark/>
          </w:tcPr>
          <w:p w14:paraId="53B3BF26"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343,9</w:t>
            </w:r>
          </w:p>
        </w:tc>
        <w:tc>
          <w:tcPr>
            <w:tcW w:w="780" w:type="dxa"/>
            <w:tcBorders>
              <w:top w:val="nil"/>
              <w:left w:val="nil"/>
              <w:bottom w:val="single" w:sz="4" w:space="0" w:color="auto"/>
              <w:right w:val="single" w:sz="4" w:space="0" w:color="auto"/>
            </w:tcBorders>
            <w:shd w:val="clear" w:color="auto" w:fill="auto"/>
            <w:noWrap/>
            <w:vAlign w:val="bottom"/>
            <w:hideMark/>
          </w:tcPr>
          <w:p w14:paraId="31B8FB02"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668,4</w:t>
            </w:r>
          </w:p>
        </w:tc>
        <w:tc>
          <w:tcPr>
            <w:tcW w:w="854" w:type="dxa"/>
            <w:tcBorders>
              <w:top w:val="nil"/>
              <w:left w:val="nil"/>
              <w:bottom w:val="single" w:sz="4" w:space="0" w:color="auto"/>
              <w:right w:val="single" w:sz="4" w:space="0" w:color="auto"/>
            </w:tcBorders>
            <w:shd w:val="clear" w:color="auto" w:fill="auto"/>
            <w:noWrap/>
            <w:vAlign w:val="bottom"/>
            <w:hideMark/>
          </w:tcPr>
          <w:p w14:paraId="20824C47"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461,8</w:t>
            </w:r>
          </w:p>
        </w:tc>
        <w:tc>
          <w:tcPr>
            <w:tcW w:w="646" w:type="dxa"/>
            <w:tcBorders>
              <w:top w:val="nil"/>
              <w:left w:val="nil"/>
              <w:bottom w:val="single" w:sz="4" w:space="0" w:color="auto"/>
              <w:right w:val="single" w:sz="4" w:space="0" w:color="auto"/>
            </w:tcBorders>
            <w:shd w:val="clear" w:color="auto" w:fill="auto"/>
            <w:noWrap/>
            <w:vAlign w:val="bottom"/>
            <w:hideMark/>
          </w:tcPr>
          <w:p w14:paraId="41B4FD62"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375,0</w:t>
            </w:r>
          </w:p>
        </w:tc>
        <w:tc>
          <w:tcPr>
            <w:tcW w:w="780" w:type="dxa"/>
            <w:tcBorders>
              <w:top w:val="nil"/>
              <w:left w:val="nil"/>
              <w:bottom w:val="single" w:sz="4" w:space="0" w:color="auto"/>
              <w:right w:val="single" w:sz="4" w:space="0" w:color="auto"/>
            </w:tcBorders>
            <w:shd w:val="clear" w:color="auto" w:fill="auto"/>
            <w:noWrap/>
            <w:vAlign w:val="bottom"/>
            <w:hideMark/>
          </w:tcPr>
          <w:p w14:paraId="57697E47"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531,0</w:t>
            </w:r>
          </w:p>
        </w:tc>
        <w:tc>
          <w:tcPr>
            <w:tcW w:w="854" w:type="dxa"/>
            <w:tcBorders>
              <w:top w:val="nil"/>
              <w:left w:val="nil"/>
              <w:bottom w:val="single" w:sz="4" w:space="0" w:color="auto"/>
              <w:right w:val="single" w:sz="4" w:space="0" w:color="auto"/>
            </w:tcBorders>
            <w:shd w:val="clear" w:color="auto" w:fill="auto"/>
            <w:noWrap/>
            <w:vAlign w:val="bottom"/>
            <w:hideMark/>
          </w:tcPr>
          <w:p w14:paraId="051E564B"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642,6</w:t>
            </w:r>
          </w:p>
        </w:tc>
        <w:tc>
          <w:tcPr>
            <w:tcW w:w="646" w:type="dxa"/>
            <w:tcBorders>
              <w:top w:val="nil"/>
              <w:left w:val="nil"/>
              <w:bottom w:val="single" w:sz="4" w:space="0" w:color="auto"/>
              <w:right w:val="single" w:sz="4" w:space="0" w:color="auto"/>
            </w:tcBorders>
            <w:shd w:val="clear" w:color="auto" w:fill="auto"/>
            <w:noWrap/>
            <w:vAlign w:val="bottom"/>
            <w:hideMark/>
          </w:tcPr>
          <w:p w14:paraId="77E12F51"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398,0</w:t>
            </w:r>
          </w:p>
        </w:tc>
        <w:tc>
          <w:tcPr>
            <w:tcW w:w="780" w:type="dxa"/>
            <w:tcBorders>
              <w:top w:val="nil"/>
              <w:left w:val="nil"/>
              <w:bottom w:val="single" w:sz="4" w:space="0" w:color="auto"/>
              <w:right w:val="single" w:sz="4" w:space="0" w:color="auto"/>
            </w:tcBorders>
            <w:shd w:val="clear" w:color="auto" w:fill="auto"/>
            <w:noWrap/>
            <w:vAlign w:val="bottom"/>
            <w:hideMark/>
          </w:tcPr>
          <w:p w14:paraId="14E13FD9"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765,2</w:t>
            </w:r>
          </w:p>
        </w:tc>
      </w:tr>
      <w:tr w:rsidR="0073535A" w:rsidRPr="007C5A6E" w14:paraId="4E231CC6" w14:textId="77777777" w:rsidTr="00457BED">
        <w:trPr>
          <w:trHeight w:val="300"/>
        </w:trPr>
        <w:tc>
          <w:tcPr>
            <w:tcW w:w="1464" w:type="dxa"/>
            <w:vMerge/>
            <w:tcBorders>
              <w:top w:val="nil"/>
              <w:left w:val="single" w:sz="4" w:space="0" w:color="auto"/>
              <w:bottom w:val="single" w:sz="4" w:space="0" w:color="auto"/>
              <w:right w:val="single" w:sz="4" w:space="0" w:color="auto"/>
            </w:tcBorders>
            <w:vAlign w:val="center"/>
            <w:hideMark/>
          </w:tcPr>
          <w:p w14:paraId="62F6EE93" w14:textId="77777777" w:rsidR="0073535A" w:rsidRPr="007C5A6E" w:rsidRDefault="0073535A" w:rsidP="008D1FFC">
            <w:pPr>
              <w:spacing w:after="0" w:line="240" w:lineRule="auto"/>
              <w:rPr>
                <w:rFonts w:ascii="Times New Roman" w:hAnsi="Times New Roman"/>
                <w:color w:val="000000"/>
                <w:sz w:val="20"/>
                <w:szCs w:val="20"/>
              </w:rPr>
            </w:pPr>
          </w:p>
        </w:tc>
        <w:tc>
          <w:tcPr>
            <w:tcW w:w="1976" w:type="dxa"/>
            <w:tcBorders>
              <w:top w:val="single" w:sz="4" w:space="0" w:color="auto"/>
              <w:left w:val="nil"/>
              <w:bottom w:val="single" w:sz="4" w:space="0" w:color="auto"/>
              <w:right w:val="single" w:sz="4" w:space="0" w:color="000000"/>
            </w:tcBorders>
            <w:shd w:val="clear" w:color="auto" w:fill="auto"/>
            <w:noWrap/>
            <w:vAlign w:val="bottom"/>
            <w:hideMark/>
          </w:tcPr>
          <w:p w14:paraId="362B7178" w14:textId="77777777" w:rsidR="0073535A" w:rsidRPr="007C5A6E" w:rsidRDefault="0073535A" w:rsidP="008D1FFC">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cumul</w:t>
            </w:r>
            <w:proofErr w:type="gramEnd"/>
            <w:r w:rsidRPr="007C5A6E">
              <w:rPr>
                <w:rFonts w:ascii="Times New Roman" w:hAnsi="Times New Roman"/>
                <w:color w:val="000000"/>
                <w:sz w:val="20"/>
                <w:szCs w:val="20"/>
              </w:rPr>
              <w:t xml:space="preserve"> max 5 jours</w:t>
            </w:r>
          </w:p>
        </w:tc>
        <w:tc>
          <w:tcPr>
            <w:tcW w:w="854" w:type="dxa"/>
            <w:tcBorders>
              <w:top w:val="nil"/>
              <w:left w:val="nil"/>
              <w:bottom w:val="single" w:sz="4" w:space="0" w:color="auto"/>
              <w:right w:val="single" w:sz="4" w:space="0" w:color="auto"/>
            </w:tcBorders>
            <w:shd w:val="clear" w:color="auto" w:fill="auto"/>
            <w:noWrap/>
            <w:vAlign w:val="bottom"/>
            <w:hideMark/>
          </w:tcPr>
          <w:p w14:paraId="3BACC9EF"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62,0</w:t>
            </w:r>
          </w:p>
        </w:tc>
        <w:tc>
          <w:tcPr>
            <w:tcW w:w="646" w:type="dxa"/>
            <w:tcBorders>
              <w:top w:val="nil"/>
              <w:left w:val="nil"/>
              <w:bottom w:val="single" w:sz="4" w:space="0" w:color="auto"/>
              <w:right w:val="single" w:sz="4" w:space="0" w:color="auto"/>
            </w:tcBorders>
            <w:shd w:val="clear" w:color="auto" w:fill="auto"/>
            <w:noWrap/>
            <w:vAlign w:val="bottom"/>
            <w:hideMark/>
          </w:tcPr>
          <w:p w14:paraId="6ECB9848"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32,1</w:t>
            </w:r>
          </w:p>
        </w:tc>
        <w:tc>
          <w:tcPr>
            <w:tcW w:w="780" w:type="dxa"/>
            <w:tcBorders>
              <w:top w:val="nil"/>
              <w:left w:val="nil"/>
              <w:bottom w:val="single" w:sz="4" w:space="0" w:color="auto"/>
              <w:right w:val="single" w:sz="4" w:space="0" w:color="auto"/>
            </w:tcBorders>
            <w:shd w:val="clear" w:color="auto" w:fill="auto"/>
            <w:noWrap/>
            <w:vAlign w:val="bottom"/>
            <w:hideMark/>
          </w:tcPr>
          <w:p w14:paraId="139E06C8"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86,5</w:t>
            </w:r>
          </w:p>
        </w:tc>
        <w:tc>
          <w:tcPr>
            <w:tcW w:w="854" w:type="dxa"/>
            <w:tcBorders>
              <w:top w:val="nil"/>
              <w:left w:val="nil"/>
              <w:bottom w:val="single" w:sz="4" w:space="0" w:color="auto"/>
              <w:right w:val="single" w:sz="4" w:space="0" w:color="auto"/>
            </w:tcBorders>
            <w:shd w:val="clear" w:color="auto" w:fill="auto"/>
            <w:noWrap/>
            <w:vAlign w:val="bottom"/>
            <w:hideMark/>
          </w:tcPr>
          <w:p w14:paraId="3076ED9D"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74,2</w:t>
            </w:r>
          </w:p>
        </w:tc>
        <w:tc>
          <w:tcPr>
            <w:tcW w:w="646" w:type="dxa"/>
            <w:tcBorders>
              <w:top w:val="nil"/>
              <w:left w:val="nil"/>
              <w:bottom w:val="single" w:sz="4" w:space="0" w:color="auto"/>
              <w:right w:val="single" w:sz="4" w:space="0" w:color="auto"/>
            </w:tcBorders>
            <w:shd w:val="clear" w:color="auto" w:fill="auto"/>
            <w:noWrap/>
            <w:vAlign w:val="bottom"/>
            <w:hideMark/>
          </w:tcPr>
          <w:p w14:paraId="5D867A66"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54,1</w:t>
            </w:r>
          </w:p>
        </w:tc>
        <w:tc>
          <w:tcPr>
            <w:tcW w:w="780" w:type="dxa"/>
            <w:tcBorders>
              <w:top w:val="nil"/>
              <w:left w:val="nil"/>
              <w:bottom w:val="single" w:sz="4" w:space="0" w:color="auto"/>
              <w:right w:val="single" w:sz="4" w:space="0" w:color="auto"/>
            </w:tcBorders>
            <w:shd w:val="clear" w:color="auto" w:fill="auto"/>
            <w:noWrap/>
            <w:vAlign w:val="bottom"/>
            <w:hideMark/>
          </w:tcPr>
          <w:p w14:paraId="0B127725"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80,9</w:t>
            </w:r>
          </w:p>
        </w:tc>
        <w:tc>
          <w:tcPr>
            <w:tcW w:w="854" w:type="dxa"/>
            <w:tcBorders>
              <w:top w:val="nil"/>
              <w:left w:val="nil"/>
              <w:bottom w:val="single" w:sz="4" w:space="0" w:color="auto"/>
              <w:right w:val="single" w:sz="4" w:space="0" w:color="auto"/>
            </w:tcBorders>
            <w:shd w:val="clear" w:color="auto" w:fill="auto"/>
            <w:noWrap/>
            <w:vAlign w:val="bottom"/>
            <w:hideMark/>
          </w:tcPr>
          <w:p w14:paraId="5E7182FB"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83,4</w:t>
            </w:r>
          </w:p>
        </w:tc>
        <w:tc>
          <w:tcPr>
            <w:tcW w:w="646" w:type="dxa"/>
            <w:tcBorders>
              <w:top w:val="nil"/>
              <w:left w:val="nil"/>
              <w:bottom w:val="single" w:sz="4" w:space="0" w:color="auto"/>
              <w:right w:val="single" w:sz="4" w:space="0" w:color="auto"/>
            </w:tcBorders>
            <w:shd w:val="clear" w:color="auto" w:fill="auto"/>
            <w:noWrap/>
            <w:vAlign w:val="bottom"/>
            <w:hideMark/>
          </w:tcPr>
          <w:p w14:paraId="43BACE65"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71,6</w:t>
            </w:r>
          </w:p>
        </w:tc>
        <w:tc>
          <w:tcPr>
            <w:tcW w:w="780" w:type="dxa"/>
            <w:tcBorders>
              <w:top w:val="nil"/>
              <w:left w:val="nil"/>
              <w:bottom w:val="single" w:sz="4" w:space="0" w:color="auto"/>
              <w:right w:val="single" w:sz="4" w:space="0" w:color="auto"/>
            </w:tcBorders>
            <w:shd w:val="clear" w:color="auto" w:fill="auto"/>
            <w:noWrap/>
            <w:vAlign w:val="bottom"/>
            <w:hideMark/>
          </w:tcPr>
          <w:p w14:paraId="708CD227"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91,7</w:t>
            </w:r>
          </w:p>
        </w:tc>
        <w:tc>
          <w:tcPr>
            <w:tcW w:w="854" w:type="dxa"/>
            <w:tcBorders>
              <w:top w:val="nil"/>
              <w:left w:val="nil"/>
              <w:bottom w:val="single" w:sz="4" w:space="0" w:color="auto"/>
              <w:right w:val="single" w:sz="4" w:space="0" w:color="auto"/>
            </w:tcBorders>
            <w:shd w:val="clear" w:color="auto" w:fill="auto"/>
            <w:noWrap/>
            <w:vAlign w:val="bottom"/>
            <w:hideMark/>
          </w:tcPr>
          <w:p w14:paraId="65671DB9"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106,6</w:t>
            </w:r>
          </w:p>
        </w:tc>
        <w:tc>
          <w:tcPr>
            <w:tcW w:w="646" w:type="dxa"/>
            <w:tcBorders>
              <w:top w:val="nil"/>
              <w:left w:val="nil"/>
              <w:bottom w:val="single" w:sz="4" w:space="0" w:color="auto"/>
              <w:right w:val="single" w:sz="4" w:space="0" w:color="auto"/>
            </w:tcBorders>
            <w:shd w:val="clear" w:color="auto" w:fill="auto"/>
            <w:noWrap/>
            <w:vAlign w:val="bottom"/>
            <w:hideMark/>
          </w:tcPr>
          <w:p w14:paraId="3FEC3047"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53,0</w:t>
            </w:r>
          </w:p>
        </w:tc>
        <w:tc>
          <w:tcPr>
            <w:tcW w:w="780" w:type="dxa"/>
            <w:tcBorders>
              <w:top w:val="nil"/>
              <w:left w:val="nil"/>
              <w:bottom w:val="single" w:sz="4" w:space="0" w:color="auto"/>
              <w:right w:val="single" w:sz="4" w:space="0" w:color="auto"/>
            </w:tcBorders>
            <w:shd w:val="clear" w:color="auto" w:fill="auto"/>
            <w:noWrap/>
            <w:vAlign w:val="bottom"/>
            <w:hideMark/>
          </w:tcPr>
          <w:p w14:paraId="6304E71D"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173,4</w:t>
            </w:r>
          </w:p>
        </w:tc>
      </w:tr>
      <w:tr w:rsidR="0073535A" w:rsidRPr="007C5A6E" w14:paraId="6453D630" w14:textId="77777777" w:rsidTr="00457BED">
        <w:trPr>
          <w:trHeight w:val="300"/>
        </w:trPr>
        <w:tc>
          <w:tcPr>
            <w:tcW w:w="1464" w:type="dxa"/>
            <w:vMerge/>
            <w:tcBorders>
              <w:top w:val="nil"/>
              <w:left w:val="single" w:sz="4" w:space="0" w:color="auto"/>
              <w:bottom w:val="single" w:sz="4" w:space="0" w:color="auto"/>
              <w:right w:val="single" w:sz="4" w:space="0" w:color="auto"/>
            </w:tcBorders>
            <w:vAlign w:val="center"/>
            <w:hideMark/>
          </w:tcPr>
          <w:p w14:paraId="3413BE95" w14:textId="77777777" w:rsidR="0073535A" w:rsidRPr="007C5A6E" w:rsidRDefault="0073535A" w:rsidP="008D1FFC">
            <w:pPr>
              <w:spacing w:after="0" w:line="240" w:lineRule="auto"/>
              <w:rPr>
                <w:rFonts w:ascii="Times New Roman" w:hAnsi="Times New Roman"/>
                <w:color w:val="000000"/>
                <w:sz w:val="20"/>
                <w:szCs w:val="20"/>
              </w:rPr>
            </w:pPr>
          </w:p>
        </w:tc>
        <w:tc>
          <w:tcPr>
            <w:tcW w:w="1976" w:type="dxa"/>
            <w:tcBorders>
              <w:top w:val="single" w:sz="4" w:space="0" w:color="auto"/>
              <w:left w:val="nil"/>
              <w:bottom w:val="single" w:sz="4" w:space="0" w:color="auto"/>
              <w:right w:val="single" w:sz="4" w:space="0" w:color="000000"/>
            </w:tcBorders>
            <w:shd w:val="clear" w:color="auto" w:fill="auto"/>
            <w:noWrap/>
            <w:vAlign w:val="bottom"/>
            <w:hideMark/>
          </w:tcPr>
          <w:p w14:paraId="74832E1F" w14:textId="608197BA" w:rsidR="0073535A" w:rsidRPr="007C5A6E" w:rsidRDefault="0073535A" w:rsidP="008D1FFC">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pluie</w:t>
            </w:r>
            <w:proofErr w:type="gramEnd"/>
            <w:r w:rsidRPr="007C5A6E">
              <w:rPr>
                <w:rFonts w:ascii="Times New Roman" w:hAnsi="Times New Roman"/>
                <w:color w:val="000000"/>
                <w:sz w:val="20"/>
                <w:szCs w:val="20"/>
              </w:rPr>
              <w:t xml:space="preserve"> max </w:t>
            </w:r>
            <w:r w:rsidR="003236C5" w:rsidRPr="007C5A6E">
              <w:rPr>
                <w:rFonts w:ascii="Times New Roman" w:hAnsi="Times New Roman"/>
                <w:color w:val="000000"/>
                <w:sz w:val="20"/>
                <w:szCs w:val="20"/>
              </w:rPr>
              <w:t>journalière</w:t>
            </w:r>
          </w:p>
        </w:tc>
        <w:tc>
          <w:tcPr>
            <w:tcW w:w="854" w:type="dxa"/>
            <w:tcBorders>
              <w:top w:val="nil"/>
              <w:left w:val="nil"/>
              <w:bottom w:val="single" w:sz="4" w:space="0" w:color="auto"/>
              <w:right w:val="single" w:sz="4" w:space="0" w:color="auto"/>
            </w:tcBorders>
            <w:shd w:val="clear" w:color="auto" w:fill="auto"/>
            <w:noWrap/>
            <w:vAlign w:val="bottom"/>
            <w:hideMark/>
          </w:tcPr>
          <w:p w14:paraId="678D4CDA"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23,5</w:t>
            </w:r>
          </w:p>
        </w:tc>
        <w:tc>
          <w:tcPr>
            <w:tcW w:w="646" w:type="dxa"/>
            <w:tcBorders>
              <w:top w:val="nil"/>
              <w:left w:val="nil"/>
              <w:bottom w:val="single" w:sz="4" w:space="0" w:color="auto"/>
              <w:right w:val="single" w:sz="4" w:space="0" w:color="auto"/>
            </w:tcBorders>
            <w:shd w:val="clear" w:color="auto" w:fill="auto"/>
            <w:noWrap/>
            <w:vAlign w:val="bottom"/>
            <w:hideMark/>
          </w:tcPr>
          <w:p w14:paraId="32CA2F1F"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14,3</w:t>
            </w:r>
          </w:p>
        </w:tc>
        <w:tc>
          <w:tcPr>
            <w:tcW w:w="780" w:type="dxa"/>
            <w:tcBorders>
              <w:top w:val="nil"/>
              <w:left w:val="nil"/>
              <w:bottom w:val="single" w:sz="4" w:space="0" w:color="auto"/>
              <w:right w:val="single" w:sz="4" w:space="0" w:color="auto"/>
            </w:tcBorders>
            <w:shd w:val="clear" w:color="auto" w:fill="auto"/>
            <w:noWrap/>
            <w:vAlign w:val="bottom"/>
            <w:hideMark/>
          </w:tcPr>
          <w:p w14:paraId="117E8FA2"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32,5</w:t>
            </w:r>
          </w:p>
        </w:tc>
        <w:tc>
          <w:tcPr>
            <w:tcW w:w="854" w:type="dxa"/>
            <w:tcBorders>
              <w:top w:val="nil"/>
              <w:left w:val="nil"/>
              <w:bottom w:val="single" w:sz="4" w:space="0" w:color="auto"/>
              <w:right w:val="single" w:sz="4" w:space="0" w:color="auto"/>
            </w:tcBorders>
            <w:shd w:val="clear" w:color="auto" w:fill="auto"/>
            <w:noWrap/>
            <w:vAlign w:val="bottom"/>
            <w:hideMark/>
          </w:tcPr>
          <w:p w14:paraId="3F58E563"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36,1</w:t>
            </w:r>
          </w:p>
        </w:tc>
        <w:tc>
          <w:tcPr>
            <w:tcW w:w="646" w:type="dxa"/>
            <w:tcBorders>
              <w:top w:val="nil"/>
              <w:left w:val="nil"/>
              <w:bottom w:val="single" w:sz="4" w:space="0" w:color="auto"/>
              <w:right w:val="single" w:sz="4" w:space="0" w:color="auto"/>
            </w:tcBorders>
            <w:shd w:val="clear" w:color="auto" w:fill="auto"/>
            <w:noWrap/>
            <w:vAlign w:val="bottom"/>
            <w:hideMark/>
          </w:tcPr>
          <w:p w14:paraId="5064CEE5"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25,1</w:t>
            </w:r>
          </w:p>
        </w:tc>
        <w:tc>
          <w:tcPr>
            <w:tcW w:w="780" w:type="dxa"/>
            <w:tcBorders>
              <w:top w:val="nil"/>
              <w:left w:val="nil"/>
              <w:bottom w:val="single" w:sz="4" w:space="0" w:color="auto"/>
              <w:right w:val="single" w:sz="4" w:space="0" w:color="auto"/>
            </w:tcBorders>
            <w:shd w:val="clear" w:color="auto" w:fill="auto"/>
            <w:noWrap/>
            <w:vAlign w:val="bottom"/>
            <w:hideMark/>
          </w:tcPr>
          <w:p w14:paraId="46620F6B"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48,0</w:t>
            </w:r>
          </w:p>
        </w:tc>
        <w:tc>
          <w:tcPr>
            <w:tcW w:w="854" w:type="dxa"/>
            <w:tcBorders>
              <w:top w:val="nil"/>
              <w:left w:val="nil"/>
              <w:bottom w:val="single" w:sz="4" w:space="0" w:color="auto"/>
              <w:right w:val="single" w:sz="4" w:space="0" w:color="auto"/>
            </w:tcBorders>
            <w:shd w:val="clear" w:color="auto" w:fill="auto"/>
            <w:noWrap/>
            <w:vAlign w:val="bottom"/>
            <w:hideMark/>
          </w:tcPr>
          <w:p w14:paraId="3AF648C0"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41,9</w:t>
            </w:r>
          </w:p>
        </w:tc>
        <w:tc>
          <w:tcPr>
            <w:tcW w:w="646" w:type="dxa"/>
            <w:tcBorders>
              <w:top w:val="nil"/>
              <w:left w:val="nil"/>
              <w:bottom w:val="single" w:sz="4" w:space="0" w:color="auto"/>
              <w:right w:val="single" w:sz="4" w:space="0" w:color="auto"/>
            </w:tcBorders>
            <w:shd w:val="clear" w:color="auto" w:fill="auto"/>
            <w:noWrap/>
            <w:vAlign w:val="bottom"/>
            <w:hideMark/>
          </w:tcPr>
          <w:p w14:paraId="1551AF2A"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36,2</w:t>
            </w:r>
          </w:p>
        </w:tc>
        <w:tc>
          <w:tcPr>
            <w:tcW w:w="780" w:type="dxa"/>
            <w:tcBorders>
              <w:top w:val="nil"/>
              <w:left w:val="nil"/>
              <w:bottom w:val="single" w:sz="4" w:space="0" w:color="auto"/>
              <w:right w:val="single" w:sz="4" w:space="0" w:color="auto"/>
            </w:tcBorders>
            <w:shd w:val="clear" w:color="auto" w:fill="auto"/>
            <w:noWrap/>
            <w:vAlign w:val="bottom"/>
            <w:hideMark/>
          </w:tcPr>
          <w:p w14:paraId="79B9A7AF"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48,7</w:t>
            </w:r>
          </w:p>
        </w:tc>
        <w:tc>
          <w:tcPr>
            <w:tcW w:w="854" w:type="dxa"/>
            <w:tcBorders>
              <w:top w:val="nil"/>
              <w:left w:val="nil"/>
              <w:bottom w:val="single" w:sz="4" w:space="0" w:color="auto"/>
              <w:right w:val="single" w:sz="4" w:space="0" w:color="auto"/>
            </w:tcBorders>
            <w:shd w:val="clear" w:color="auto" w:fill="auto"/>
            <w:noWrap/>
            <w:vAlign w:val="bottom"/>
            <w:hideMark/>
          </w:tcPr>
          <w:p w14:paraId="6262E513"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49,9</w:t>
            </w:r>
          </w:p>
        </w:tc>
        <w:tc>
          <w:tcPr>
            <w:tcW w:w="646" w:type="dxa"/>
            <w:tcBorders>
              <w:top w:val="nil"/>
              <w:left w:val="nil"/>
              <w:bottom w:val="single" w:sz="4" w:space="0" w:color="auto"/>
              <w:right w:val="single" w:sz="4" w:space="0" w:color="auto"/>
            </w:tcBorders>
            <w:shd w:val="clear" w:color="auto" w:fill="auto"/>
            <w:noWrap/>
            <w:vAlign w:val="bottom"/>
            <w:hideMark/>
          </w:tcPr>
          <w:p w14:paraId="06FAF787"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34,7</w:t>
            </w:r>
          </w:p>
        </w:tc>
        <w:tc>
          <w:tcPr>
            <w:tcW w:w="780" w:type="dxa"/>
            <w:tcBorders>
              <w:top w:val="nil"/>
              <w:left w:val="nil"/>
              <w:bottom w:val="single" w:sz="4" w:space="0" w:color="auto"/>
              <w:right w:val="single" w:sz="4" w:space="0" w:color="auto"/>
            </w:tcBorders>
            <w:shd w:val="clear" w:color="auto" w:fill="auto"/>
            <w:noWrap/>
            <w:vAlign w:val="bottom"/>
            <w:hideMark/>
          </w:tcPr>
          <w:p w14:paraId="64F69F8D"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67,9</w:t>
            </w:r>
          </w:p>
        </w:tc>
      </w:tr>
      <w:tr w:rsidR="0073535A" w:rsidRPr="007C5A6E" w14:paraId="099B61A4" w14:textId="77777777" w:rsidTr="00457BED">
        <w:trPr>
          <w:trHeight w:val="300"/>
        </w:trPr>
        <w:tc>
          <w:tcPr>
            <w:tcW w:w="1464" w:type="dxa"/>
            <w:vMerge/>
            <w:tcBorders>
              <w:top w:val="nil"/>
              <w:left w:val="single" w:sz="4" w:space="0" w:color="auto"/>
              <w:bottom w:val="single" w:sz="4" w:space="0" w:color="auto"/>
              <w:right w:val="single" w:sz="4" w:space="0" w:color="auto"/>
            </w:tcBorders>
            <w:vAlign w:val="center"/>
            <w:hideMark/>
          </w:tcPr>
          <w:p w14:paraId="7F4CD3D6" w14:textId="77777777" w:rsidR="0073535A" w:rsidRPr="007C5A6E" w:rsidRDefault="0073535A" w:rsidP="008D1FFC">
            <w:pPr>
              <w:spacing w:after="0" w:line="240" w:lineRule="auto"/>
              <w:rPr>
                <w:rFonts w:ascii="Times New Roman" w:hAnsi="Times New Roman"/>
                <w:color w:val="000000"/>
                <w:sz w:val="20"/>
                <w:szCs w:val="20"/>
              </w:rPr>
            </w:pPr>
          </w:p>
        </w:tc>
        <w:tc>
          <w:tcPr>
            <w:tcW w:w="1976" w:type="dxa"/>
            <w:tcBorders>
              <w:top w:val="single" w:sz="4" w:space="0" w:color="auto"/>
              <w:left w:val="nil"/>
              <w:bottom w:val="single" w:sz="4" w:space="0" w:color="auto"/>
              <w:right w:val="single" w:sz="4" w:space="0" w:color="000000"/>
            </w:tcBorders>
            <w:shd w:val="clear" w:color="auto" w:fill="auto"/>
            <w:noWrap/>
            <w:vAlign w:val="bottom"/>
            <w:hideMark/>
          </w:tcPr>
          <w:p w14:paraId="4167C83B"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854" w:type="dxa"/>
            <w:tcBorders>
              <w:top w:val="nil"/>
              <w:left w:val="nil"/>
              <w:bottom w:val="single" w:sz="4" w:space="0" w:color="auto"/>
              <w:right w:val="single" w:sz="4" w:space="0" w:color="auto"/>
            </w:tcBorders>
            <w:shd w:val="clear" w:color="auto" w:fill="auto"/>
            <w:noWrap/>
            <w:vAlign w:val="bottom"/>
            <w:hideMark/>
          </w:tcPr>
          <w:p w14:paraId="45795347"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646" w:type="dxa"/>
            <w:tcBorders>
              <w:top w:val="nil"/>
              <w:left w:val="nil"/>
              <w:bottom w:val="single" w:sz="4" w:space="0" w:color="auto"/>
              <w:right w:val="single" w:sz="4" w:space="0" w:color="auto"/>
            </w:tcBorders>
            <w:shd w:val="clear" w:color="auto" w:fill="auto"/>
            <w:noWrap/>
            <w:vAlign w:val="bottom"/>
            <w:hideMark/>
          </w:tcPr>
          <w:p w14:paraId="5A7CAE72"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780" w:type="dxa"/>
            <w:tcBorders>
              <w:top w:val="nil"/>
              <w:left w:val="nil"/>
              <w:bottom w:val="single" w:sz="4" w:space="0" w:color="auto"/>
              <w:right w:val="single" w:sz="4" w:space="0" w:color="auto"/>
            </w:tcBorders>
            <w:shd w:val="clear" w:color="auto" w:fill="auto"/>
            <w:noWrap/>
            <w:vAlign w:val="bottom"/>
            <w:hideMark/>
          </w:tcPr>
          <w:p w14:paraId="7C3D3B94"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854" w:type="dxa"/>
            <w:tcBorders>
              <w:top w:val="nil"/>
              <w:left w:val="nil"/>
              <w:bottom w:val="single" w:sz="4" w:space="0" w:color="auto"/>
              <w:right w:val="single" w:sz="4" w:space="0" w:color="auto"/>
            </w:tcBorders>
            <w:shd w:val="clear" w:color="auto" w:fill="auto"/>
            <w:noWrap/>
            <w:vAlign w:val="bottom"/>
            <w:hideMark/>
          </w:tcPr>
          <w:p w14:paraId="542399BF"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646" w:type="dxa"/>
            <w:tcBorders>
              <w:top w:val="nil"/>
              <w:left w:val="nil"/>
              <w:bottom w:val="single" w:sz="4" w:space="0" w:color="auto"/>
              <w:right w:val="single" w:sz="4" w:space="0" w:color="auto"/>
            </w:tcBorders>
            <w:shd w:val="clear" w:color="auto" w:fill="auto"/>
            <w:noWrap/>
            <w:vAlign w:val="bottom"/>
            <w:hideMark/>
          </w:tcPr>
          <w:p w14:paraId="74CE0D53"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780" w:type="dxa"/>
            <w:tcBorders>
              <w:top w:val="nil"/>
              <w:left w:val="nil"/>
              <w:bottom w:val="single" w:sz="4" w:space="0" w:color="auto"/>
              <w:right w:val="single" w:sz="4" w:space="0" w:color="auto"/>
            </w:tcBorders>
            <w:shd w:val="clear" w:color="auto" w:fill="auto"/>
            <w:noWrap/>
            <w:vAlign w:val="bottom"/>
            <w:hideMark/>
          </w:tcPr>
          <w:p w14:paraId="1FE21A4C"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854" w:type="dxa"/>
            <w:tcBorders>
              <w:top w:val="nil"/>
              <w:left w:val="nil"/>
              <w:bottom w:val="single" w:sz="4" w:space="0" w:color="auto"/>
              <w:right w:val="single" w:sz="4" w:space="0" w:color="auto"/>
            </w:tcBorders>
            <w:shd w:val="clear" w:color="auto" w:fill="auto"/>
            <w:noWrap/>
            <w:vAlign w:val="bottom"/>
            <w:hideMark/>
          </w:tcPr>
          <w:p w14:paraId="401793E0"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646" w:type="dxa"/>
            <w:tcBorders>
              <w:top w:val="nil"/>
              <w:left w:val="nil"/>
              <w:bottom w:val="single" w:sz="4" w:space="0" w:color="auto"/>
              <w:right w:val="single" w:sz="4" w:space="0" w:color="auto"/>
            </w:tcBorders>
            <w:shd w:val="clear" w:color="auto" w:fill="auto"/>
            <w:noWrap/>
            <w:vAlign w:val="bottom"/>
            <w:hideMark/>
          </w:tcPr>
          <w:p w14:paraId="6390D00A"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780" w:type="dxa"/>
            <w:tcBorders>
              <w:top w:val="nil"/>
              <w:left w:val="nil"/>
              <w:bottom w:val="single" w:sz="4" w:space="0" w:color="auto"/>
              <w:right w:val="single" w:sz="4" w:space="0" w:color="auto"/>
            </w:tcBorders>
            <w:shd w:val="clear" w:color="auto" w:fill="auto"/>
            <w:noWrap/>
            <w:vAlign w:val="bottom"/>
            <w:hideMark/>
          </w:tcPr>
          <w:p w14:paraId="4589FD67"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854" w:type="dxa"/>
            <w:tcBorders>
              <w:top w:val="nil"/>
              <w:left w:val="nil"/>
              <w:bottom w:val="single" w:sz="4" w:space="0" w:color="auto"/>
              <w:right w:val="single" w:sz="4" w:space="0" w:color="auto"/>
            </w:tcBorders>
            <w:shd w:val="clear" w:color="auto" w:fill="auto"/>
            <w:noWrap/>
            <w:vAlign w:val="bottom"/>
            <w:hideMark/>
          </w:tcPr>
          <w:p w14:paraId="59CB363A"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646" w:type="dxa"/>
            <w:tcBorders>
              <w:top w:val="nil"/>
              <w:left w:val="nil"/>
              <w:bottom w:val="single" w:sz="4" w:space="0" w:color="auto"/>
              <w:right w:val="single" w:sz="4" w:space="0" w:color="auto"/>
            </w:tcBorders>
            <w:shd w:val="clear" w:color="auto" w:fill="auto"/>
            <w:noWrap/>
            <w:vAlign w:val="bottom"/>
            <w:hideMark/>
          </w:tcPr>
          <w:p w14:paraId="63EC38CB"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780" w:type="dxa"/>
            <w:tcBorders>
              <w:top w:val="nil"/>
              <w:left w:val="nil"/>
              <w:bottom w:val="single" w:sz="4" w:space="0" w:color="auto"/>
              <w:right w:val="single" w:sz="4" w:space="0" w:color="auto"/>
            </w:tcBorders>
            <w:shd w:val="clear" w:color="auto" w:fill="auto"/>
            <w:noWrap/>
            <w:vAlign w:val="bottom"/>
            <w:hideMark/>
          </w:tcPr>
          <w:p w14:paraId="784BA8E5"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r>
      <w:tr w:rsidR="0073535A" w:rsidRPr="007C5A6E" w14:paraId="58121FF5" w14:textId="77777777" w:rsidTr="00457BED">
        <w:trPr>
          <w:trHeight w:val="300"/>
        </w:trPr>
        <w:tc>
          <w:tcPr>
            <w:tcW w:w="14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FD7B37" w14:textId="77777777" w:rsidR="0073535A" w:rsidRPr="007C5A6E" w:rsidRDefault="0073535A" w:rsidP="008D1FFC">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Ouagadougou</w:t>
            </w:r>
          </w:p>
        </w:tc>
        <w:tc>
          <w:tcPr>
            <w:tcW w:w="1976" w:type="dxa"/>
            <w:tcBorders>
              <w:top w:val="single" w:sz="4" w:space="0" w:color="auto"/>
              <w:left w:val="nil"/>
              <w:bottom w:val="single" w:sz="4" w:space="0" w:color="auto"/>
              <w:right w:val="single" w:sz="4" w:space="0" w:color="000000"/>
            </w:tcBorders>
            <w:shd w:val="clear" w:color="auto" w:fill="auto"/>
            <w:noWrap/>
            <w:vAlign w:val="bottom"/>
            <w:hideMark/>
          </w:tcPr>
          <w:p w14:paraId="1F6CAE05" w14:textId="77777777" w:rsidR="0073535A" w:rsidRPr="007C5A6E" w:rsidRDefault="0073535A" w:rsidP="008D1FFC">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cumul</w:t>
            </w:r>
            <w:proofErr w:type="gramEnd"/>
            <w:r w:rsidRPr="007C5A6E">
              <w:rPr>
                <w:rFonts w:ascii="Times New Roman" w:hAnsi="Times New Roman"/>
                <w:color w:val="000000"/>
                <w:sz w:val="20"/>
                <w:szCs w:val="20"/>
              </w:rPr>
              <w:t xml:space="preserve"> annuel</w:t>
            </w:r>
          </w:p>
        </w:tc>
        <w:tc>
          <w:tcPr>
            <w:tcW w:w="854" w:type="dxa"/>
            <w:tcBorders>
              <w:top w:val="nil"/>
              <w:left w:val="nil"/>
              <w:bottom w:val="single" w:sz="4" w:space="0" w:color="auto"/>
              <w:right w:val="single" w:sz="4" w:space="0" w:color="auto"/>
            </w:tcBorders>
            <w:shd w:val="clear" w:color="auto" w:fill="auto"/>
            <w:noWrap/>
            <w:vAlign w:val="bottom"/>
            <w:hideMark/>
          </w:tcPr>
          <w:p w14:paraId="275CC2C5"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641,2</w:t>
            </w:r>
          </w:p>
        </w:tc>
        <w:tc>
          <w:tcPr>
            <w:tcW w:w="646" w:type="dxa"/>
            <w:tcBorders>
              <w:top w:val="nil"/>
              <w:left w:val="nil"/>
              <w:bottom w:val="single" w:sz="4" w:space="0" w:color="auto"/>
              <w:right w:val="single" w:sz="4" w:space="0" w:color="auto"/>
            </w:tcBorders>
            <w:shd w:val="clear" w:color="auto" w:fill="auto"/>
            <w:noWrap/>
            <w:vAlign w:val="bottom"/>
            <w:hideMark/>
          </w:tcPr>
          <w:p w14:paraId="2CA8C7F3"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363,5</w:t>
            </w:r>
          </w:p>
        </w:tc>
        <w:tc>
          <w:tcPr>
            <w:tcW w:w="780" w:type="dxa"/>
            <w:tcBorders>
              <w:top w:val="nil"/>
              <w:left w:val="nil"/>
              <w:bottom w:val="single" w:sz="4" w:space="0" w:color="auto"/>
              <w:right w:val="single" w:sz="4" w:space="0" w:color="auto"/>
            </w:tcBorders>
            <w:shd w:val="clear" w:color="auto" w:fill="auto"/>
            <w:noWrap/>
            <w:vAlign w:val="bottom"/>
            <w:hideMark/>
          </w:tcPr>
          <w:p w14:paraId="620B7A96"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826,9</w:t>
            </w:r>
          </w:p>
        </w:tc>
        <w:tc>
          <w:tcPr>
            <w:tcW w:w="854" w:type="dxa"/>
            <w:tcBorders>
              <w:top w:val="nil"/>
              <w:left w:val="nil"/>
              <w:bottom w:val="single" w:sz="4" w:space="0" w:color="auto"/>
              <w:right w:val="single" w:sz="4" w:space="0" w:color="auto"/>
            </w:tcBorders>
            <w:shd w:val="clear" w:color="auto" w:fill="auto"/>
            <w:noWrap/>
            <w:vAlign w:val="bottom"/>
            <w:hideMark/>
          </w:tcPr>
          <w:p w14:paraId="6D6AA701"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810,9</w:t>
            </w:r>
          </w:p>
        </w:tc>
        <w:tc>
          <w:tcPr>
            <w:tcW w:w="646" w:type="dxa"/>
            <w:tcBorders>
              <w:top w:val="nil"/>
              <w:left w:val="nil"/>
              <w:bottom w:val="single" w:sz="4" w:space="0" w:color="auto"/>
              <w:right w:val="single" w:sz="4" w:space="0" w:color="auto"/>
            </w:tcBorders>
            <w:shd w:val="clear" w:color="auto" w:fill="auto"/>
            <w:noWrap/>
            <w:vAlign w:val="bottom"/>
            <w:hideMark/>
          </w:tcPr>
          <w:p w14:paraId="2F95BB63"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517,3</w:t>
            </w:r>
          </w:p>
        </w:tc>
        <w:tc>
          <w:tcPr>
            <w:tcW w:w="780" w:type="dxa"/>
            <w:tcBorders>
              <w:top w:val="nil"/>
              <w:left w:val="nil"/>
              <w:bottom w:val="single" w:sz="4" w:space="0" w:color="auto"/>
              <w:right w:val="single" w:sz="4" w:space="0" w:color="auto"/>
            </w:tcBorders>
            <w:shd w:val="clear" w:color="auto" w:fill="auto"/>
            <w:noWrap/>
            <w:vAlign w:val="bottom"/>
            <w:hideMark/>
          </w:tcPr>
          <w:p w14:paraId="1E429FB5"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1164,5</w:t>
            </w:r>
          </w:p>
        </w:tc>
        <w:tc>
          <w:tcPr>
            <w:tcW w:w="854" w:type="dxa"/>
            <w:tcBorders>
              <w:top w:val="nil"/>
              <w:left w:val="nil"/>
              <w:bottom w:val="single" w:sz="4" w:space="0" w:color="auto"/>
              <w:right w:val="single" w:sz="4" w:space="0" w:color="auto"/>
            </w:tcBorders>
            <w:shd w:val="clear" w:color="auto" w:fill="auto"/>
            <w:noWrap/>
            <w:vAlign w:val="bottom"/>
            <w:hideMark/>
          </w:tcPr>
          <w:p w14:paraId="7CF594F4"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859,9</w:t>
            </w:r>
          </w:p>
        </w:tc>
        <w:tc>
          <w:tcPr>
            <w:tcW w:w="646" w:type="dxa"/>
            <w:tcBorders>
              <w:top w:val="nil"/>
              <w:left w:val="nil"/>
              <w:bottom w:val="single" w:sz="4" w:space="0" w:color="auto"/>
              <w:right w:val="single" w:sz="4" w:space="0" w:color="auto"/>
            </w:tcBorders>
            <w:shd w:val="clear" w:color="auto" w:fill="auto"/>
            <w:noWrap/>
            <w:vAlign w:val="bottom"/>
            <w:hideMark/>
          </w:tcPr>
          <w:p w14:paraId="7460494D"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574,0</w:t>
            </w:r>
          </w:p>
        </w:tc>
        <w:tc>
          <w:tcPr>
            <w:tcW w:w="780" w:type="dxa"/>
            <w:tcBorders>
              <w:top w:val="nil"/>
              <w:left w:val="nil"/>
              <w:bottom w:val="single" w:sz="4" w:space="0" w:color="auto"/>
              <w:right w:val="single" w:sz="4" w:space="0" w:color="auto"/>
            </w:tcBorders>
            <w:shd w:val="clear" w:color="auto" w:fill="auto"/>
            <w:noWrap/>
            <w:vAlign w:val="bottom"/>
            <w:hideMark/>
          </w:tcPr>
          <w:p w14:paraId="2CE90822"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1222,1</w:t>
            </w:r>
          </w:p>
        </w:tc>
        <w:tc>
          <w:tcPr>
            <w:tcW w:w="854" w:type="dxa"/>
            <w:tcBorders>
              <w:top w:val="nil"/>
              <w:left w:val="nil"/>
              <w:bottom w:val="single" w:sz="4" w:space="0" w:color="auto"/>
              <w:right w:val="single" w:sz="4" w:space="0" w:color="auto"/>
            </w:tcBorders>
            <w:shd w:val="clear" w:color="auto" w:fill="auto"/>
            <w:noWrap/>
            <w:vAlign w:val="bottom"/>
            <w:hideMark/>
          </w:tcPr>
          <w:p w14:paraId="02E9CF41"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805,7</w:t>
            </w:r>
          </w:p>
        </w:tc>
        <w:tc>
          <w:tcPr>
            <w:tcW w:w="646" w:type="dxa"/>
            <w:tcBorders>
              <w:top w:val="nil"/>
              <w:left w:val="nil"/>
              <w:bottom w:val="single" w:sz="4" w:space="0" w:color="auto"/>
              <w:right w:val="single" w:sz="4" w:space="0" w:color="auto"/>
            </w:tcBorders>
            <w:shd w:val="clear" w:color="auto" w:fill="auto"/>
            <w:noWrap/>
            <w:vAlign w:val="bottom"/>
            <w:hideMark/>
          </w:tcPr>
          <w:p w14:paraId="5EC0AE5A"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562,2</w:t>
            </w:r>
          </w:p>
        </w:tc>
        <w:tc>
          <w:tcPr>
            <w:tcW w:w="780" w:type="dxa"/>
            <w:tcBorders>
              <w:top w:val="nil"/>
              <w:left w:val="nil"/>
              <w:bottom w:val="single" w:sz="4" w:space="0" w:color="auto"/>
              <w:right w:val="single" w:sz="4" w:space="0" w:color="auto"/>
            </w:tcBorders>
            <w:shd w:val="clear" w:color="auto" w:fill="auto"/>
            <w:noWrap/>
            <w:vAlign w:val="bottom"/>
            <w:hideMark/>
          </w:tcPr>
          <w:p w14:paraId="20EDA650"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1030,4</w:t>
            </w:r>
          </w:p>
        </w:tc>
      </w:tr>
      <w:tr w:rsidR="0073535A" w:rsidRPr="007C5A6E" w14:paraId="57AEA4FE" w14:textId="77777777" w:rsidTr="00457BED">
        <w:trPr>
          <w:trHeight w:val="300"/>
        </w:trPr>
        <w:tc>
          <w:tcPr>
            <w:tcW w:w="1464" w:type="dxa"/>
            <w:vMerge/>
            <w:tcBorders>
              <w:top w:val="nil"/>
              <w:left w:val="single" w:sz="4" w:space="0" w:color="auto"/>
              <w:bottom w:val="single" w:sz="4" w:space="0" w:color="auto"/>
              <w:right w:val="single" w:sz="4" w:space="0" w:color="auto"/>
            </w:tcBorders>
            <w:vAlign w:val="center"/>
            <w:hideMark/>
          </w:tcPr>
          <w:p w14:paraId="4A60CC20" w14:textId="77777777" w:rsidR="0073535A" w:rsidRPr="007C5A6E" w:rsidRDefault="0073535A" w:rsidP="008D1FFC">
            <w:pPr>
              <w:spacing w:after="0" w:line="240" w:lineRule="auto"/>
              <w:rPr>
                <w:rFonts w:ascii="Times New Roman" w:hAnsi="Times New Roman"/>
                <w:color w:val="000000"/>
                <w:sz w:val="20"/>
                <w:szCs w:val="20"/>
              </w:rPr>
            </w:pPr>
          </w:p>
        </w:tc>
        <w:tc>
          <w:tcPr>
            <w:tcW w:w="1976" w:type="dxa"/>
            <w:tcBorders>
              <w:top w:val="single" w:sz="4" w:space="0" w:color="auto"/>
              <w:left w:val="nil"/>
              <w:bottom w:val="single" w:sz="4" w:space="0" w:color="auto"/>
              <w:right w:val="single" w:sz="4" w:space="0" w:color="000000"/>
            </w:tcBorders>
            <w:shd w:val="clear" w:color="auto" w:fill="auto"/>
            <w:noWrap/>
            <w:vAlign w:val="bottom"/>
            <w:hideMark/>
          </w:tcPr>
          <w:p w14:paraId="7E83C475" w14:textId="77777777" w:rsidR="0073535A" w:rsidRPr="007C5A6E" w:rsidRDefault="0073535A" w:rsidP="008D1FFC">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cumul</w:t>
            </w:r>
            <w:proofErr w:type="gramEnd"/>
            <w:r w:rsidRPr="007C5A6E">
              <w:rPr>
                <w:rFonts w:ascii="Times New Roman" w:hAnsi="Times New Roman"/>
                <w:color w:val="000000"/>
                <w:sz w:val="20"/>
                <w:szCs w:val="20"/>
              </w:rPr>
              <w:t xml:space="preserve"> max 5 jours</w:t>
            </w:r>
          </w:p>
        </w:tc>
        <w:tc>
          <w:tcPr>
            <w:tcW w:w="854" w:type="dxa"/>
            <w:tcBorders>
              <w:top w:val="nil"/>
              <w:left w:val="nil"/>
              <w:bottom w:val="single" w:sz="4" w:space="0" w:color="auto"/>
              <w:right w:val="single" w:sz="4" w:space="0" w:color="auto"/>
            </w:tcBorders>
            <w:shd w:val="clear" w:color="auto" w:fill="auto"/>
            <w:noWrap/>
            <w:vAlign w:val="bottom"/>
            <w:hideMark/>
          </w:tcPr>
          <w:p w14:paraId="2014BEBB"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77,4</w:t>
            </w:r>
          </w:p>
        </w:tc>
        <w:tc>
          <w:tcPr>
            <w:tcW w:w="646" w:type="dxa"/>
            <w:tcBorders>
              <w:top w:val="nil"/>
              <w:left w:val="nil"/>
              <w:bottom w:val="single" w:sz="4" w:space="0" w:color="auto"/>
              <w:right w:val="single" w:sz="4" w:space="0" w:color="auto"/>
            </w:tcBorders>
            <w:shd w:val="clear" w:color="auto" w:fill="auto"/>
            <w:noWrap/>
            <w:vAlign w:val="bottom"/>
            <w:hideMark/>
          </w:tcPr>
          <w:p w14:paraId="56E5DA15"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45,4</w:t>
            </w:r>
          </w:p>
        </w:tc>
        <w:tc>
          <w:tcPr>
            <w:tcW w:w="780" w:type="dxa"/>
            <w:tcBorders>
              <w:top w:val="nil"/>
              <w:left w:val="nil"/>
              <w:bottom w:val="single" w:sz="4" w:space="0" w:color="auto"/>
              <w:right w:val="single" w:sz="4" w:space="0" w:color="auto"/>
            </w:tcBorders>
            <w:shd w:val="clear" w:color="auto" w:fill="auto"/>
            <w:noWrap/>
            <w:vAlign w:val="bottom"/>
            <w:hideMark/>
          </w:tcPr>
          <w:p w14:paraId="4AEC42C7"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103,3</w:t>
            </w:r>
          </w:p>
        </w:tc>
        <w:tc>
          <w:tcPr>
            <w:tcW w:w="854" w:type="dxa"/>
            <w:tcBorders>
              <w:top w:val="nil"/>
              <w:left w:val="nil"/>
              <w:bottom w:val="single" w:sz="4" w:space="0" w:color="auto"/>
              <w:right w:val="single" w:sz="4" w:space="0" w:color="auto"/>
            </w:tcBorders>
            <w:shd w:val="clear" w:color="auto" w:fill="auto"/>
            <w:noWrap/>
            <w:vAlign w:val="bottom"/>
            <w:hideMark/>
          </w:tcPr>
          <w:p w14:paraId="64CA9C64"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100,7</w:t>
            </w:r>
          </w:p>
        </w:tc>
        <w:tc>
          <w:tcPr>
            <w:tcW w:w="646" w:type="dxa"/>
            <w:tcBorders>
              <w:top w:val="nil"/>
              <w:left w:val="nil"/>
              <w:bottom w:val="single" w:sz="4" w:space="0" w:color="auto"/>
              <w:right w:val="single" w:sz="4" w:space="0" w:color="auto"/>
            </w:tcBorders>
            <w:shd w:val="clear" w:color="auto" w:fill="auto"/>
            <w:noWrap/>
            <w:vAlign w:val="bottom"/>
            <w:hideMark/>
          </w:tcPr>
          <w:p w14:paraId="4BDE88D6"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48,8</w:t>
            </w:r>
          </w:p>
        </w:tc>
        <w:tc>
          <w:tcPr>
            <w:tcW w:w="780" w:type="dxa"/>
            <w:tcBorders>
              <w:top w:val="nil"/>
              <w:left w:val="nil"/>
              <w:bottom w:val="single" w:sz="4" w:space="0" w:color="auto"/>
              <w:right w:val="single" w:sz="4" w:space="0" w:color="auto"/>
            </w:tcBorders>
            <w:shd w:val="clear" w:color="auto" w:fill="auto"/>
            <w:noWrap/>
            <w:vAlign w:val="bottom"/>
            <w:hideMark/>
          </w:tcPr>
          <w:p w14:paraId="333451C9"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143,3</w:t>
            </w:r>
          </w:p>
        </w:tc>
        <w:tc>
          <w:tcPr>
            <w:tcW w:w="854" w:type="dxa"/>
            <w:tcBorders>
              <w:top w:val="nil"/>
              <w:left w:val="nil"/>
              <w:bottom w:val="single" w:sz="4" w:space="0" w:color="auto"/>
              <w:right w:val="single" w:sz="4" w:space="0" w:color="auto"/>
            </w:tcBorders>
            <w:shd w:val="clear" w:color="auto" w:fill="auto"/>
            <w:noWrap/>
            <w:vAlign w:val="bottom"/>
            <w:hideMark/>
          </w:tcPr>
          <w:p w14:paraId="79324FE7"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143,7</w:t>
            </w:r>
          </w:p>
        </w:tc>
        <w:tc>
          <w:tcPr>
            <w:tcW w:w="646" w:type="dxa"/>
            <w:tcBorders>
              <w:top w:val="nil"/>
              <w:left w:val="nil"/>
              <w:bottom w:val="single" w:sz="4" w:space="0" w:color="auto"/>
              <w:right w:val="single" w:sz="4" w:space="0" w:color="auto"/>
            </w:tcBorders>
            <w:shd w:val="clear" w:color="auto" w:fill="auto"/>
            <w:noWrap/>
            <w:vAlign w:val="bottom"/>
            <w:hideMark/>
          </w:tcPr>
          <w:p w14:paraId="1A30407D"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70,0</w:t>
            </w:r>
          </w:p>
        </w:tc>
        <w:tc>
          <w:tcPr>
            <w:tcW w:w="780" w:type="dxa"/>
            <w:tcBorders>
              <w:top w:val="nil"/>
              <w:left w:val="nil"/>
              <w:bottom w:val="single" w:sz="4" w:space="0" w:color="auto"/>
              <w:right w:val="single" w:sz="4" w:space="0" w:color="auto"/>
            </w:tcBorders>
            <w:shd w:val="clear" w:color="auto" w:fill="auto"/>
            <w:noWrap/>
            <w:vAlign w:val="bottom"/>
            <w:hideMark/>
          </w:tcPr>
          <w:p w14:paraId="4826C0B8"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183,2</w:t>
            </w:r>
          </w:p>
        </w:tc>
        <w:tc>
          <w:tcPr>
            <w:tcW w:w="854" w:type="dxa"/>
            <w:tcBorders>
              <w:top w:val="nil"/>
              <w:left w:val="nil"/>
              <w:bottom w:val="single" w:sz="4" w:space="0" w:color="auto"/>
              <w:right w:val="single" w:sz="4" w:space="0" w:color="auto"/>
            </w:tcBorders>
            <w:shd w:val="clear" w:color="auto" w:fill="auto"/>
            <w:noWrap/>
            <w:vAlign w:val="bottom"/>
            <w:hideMark/>
          </w:tcPr>
          <w:p w14:paraId="11BC2D5C"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124,0</w:t>
            </w:r>
          </w:p>
        </w:tc>
        <w:tc>
          <w:tcPr>
            <w:tcW w:w="646" w:type="dxa"/>
            <w:tcBorders>
              <w:top w:val="nil"/>
              <w:left w:val="nil"/>
              <w:bottom w:val="single" w:sz="4" w:space="0" w:color="auto"/>
              <w:right w:val="single" w:sz="4" w:space="0" w:color="auto"/>
            </w:tcBorders>
            <w:shd w:val="clear" w:color="auto" w:fill="auto"/>
            <w:noWrap/>
            <w:vAlign w:val="bottom"/>
            <w:hideMark/>
          </w:tcPr>
          <w:p w14:paraId="7B24E614"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67,3</w:t>
            </w:r>
          </w:p>
        </w:tc>
        <w:tc>
          <w:tcPr>
            <w:tcW w:w="780" w:type="dxa"/>
            <w:tcBorders>
              <w:top w:val="nil"/>
              <w:left w:val="nil"/>
              <w:bottom w:val="single" w:sz="4" w:space="0" w:color="auto"/>
              <w:right w:val="single" w:sz="4" w:space="0" w:color="auto"/>
            </w:tcBorders>
            <w:shd w:val="clear" w:color="auto" w:fill="auto"/>
            <w:noWrap/>
            <w:vAlign w:val="bottom"/>
            <w:hideMark/>
          </w:tcPr>
          <w:p w14:paraId="519B8E4B"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213,7</w:t>
            </w:r>
          </w:p>
        </w:tc>
      </w:tr>
      <w:tr w:rsidR="0073535A" w:rsidRPr="007C5A6E" w14:paraId="1661E58E" w14:textId="77777777" w:rsidTr="00457BED">
        <w:trPr>
          <w:trHeight w:val="300"/>
        </w:trPr>
        <w:tc>
          <w:tcPr>
            <w:tcW w:w="1464" w:type="dxa"/>
            <w:vMerge/>
            <w:tcBorders>
              <w:top w:val="nil"/>
              <w:left w:val="single" w:sz="4" w:space="0" w:color="auto"/>
              <w:bottom w:val="single" w:sz="4" w:space="0" w:color="auto"/>
              <w:right w:val="single" w:sz="4" w:space="0" w:color="auto"/>
            </w:tcBorders>
            <w:vAlign w:val="center"/>
            <w:hideMark/>
          </w:tcPr>
          <w:p w14:paraId="61FC84A1" w14:textId="77777777" w:rsidR="0073535A" w:rsidRPr="007C5A6E" w:rsidRDefault="0073535A" w:rsidP="008D1FFC">
            <w:pPr>
              <w:spacing w:after="0" w:line="240" w:lineRule="auto"/>
              <w:rPr>
                <w:rFonts w:ascii="Times New Roman" w:hAnsi="Times New Roman"/>
                <w:color w:val="000000"/>
                <w:sz w:val="20"/>
                <w:szCs w:val="20"/>
              </w:rPr>
            </w:pPr>
          </w:p>
        </w:tc>
        <w:tc>
          <w:tcPr>
            <w:tcW w:w="1976" w:type="dxa"/>
            <w:tcBorders>
              <w:top w:val="single" w:sz="4" w:space="0" w:color="auto"/>
              <w:left w:val="nil"/>
              <w:bottom w:val="single" w:sz="4" w:space="0" w:color="auto"/>
              <w:right w:val="single" w:sz="4" w:space="0" w:color="000000"/>
            </w:tcBorders>
            <w:shd w:val="clear" w:color="auto" w:fill="auto"/>
            <w:noWrap/>
            <w:vAlign w:val="bottom"/>
            <w:hideMark/>
          </w:tcPr>
          <w:p w14:paraId="2F7904F5" w14:textId="22D14CB4" w:rsidR="0073535A" w:rsidRPr="007C5A6E" w:rsidRDefault="0073535A" w:rsidP="008D1FFC">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pluie</w:t>
            </w:r>
            <w:proofErr w:type="gramEnd"/>
            <w:r w:rsidRPr="007C5A6E">
              <w:rPr>
                <w:rFonts w:ascii="Times New Roman" w:hAnsi="Times New Roman"/>
                <w:color w:val="000000"/>
                <w:sz w:val="20"/>
                <w:szCs w:val="20"/>
              </w:rPr>
              <w:t xml:space="preserve"> max </w:t>
            </w:r>
            <w:r w:rsidR="003236C5" w:rsidRPr="007C5A6E">
              <w:rPr>
                <w:rFonts w:ascii="Times New Roman" w:hAnsi="Times New Roman"/>
                <w:color w:val="000000"/>
                <w:sz w:val="20"/>
                <w:szCs w:val="20"/>
              </w:rPr>
              <w:t>journalière</w:t>
            </w:r>
          </w:p>
        </w:tc>
        <w:tc>
          <w:tcPr>
            <w:tcW w:w="854" w:type="dxa"/>
            <w:tcBorders>
              <w:top w:val="nil"/>
              <w:left w:val="nil"/>
              <w:bottom w:val="single" w:sz="4" w:space="0" w:color="auto"/>
              <w:right w:val="single" w:sz="4" w:space="0" w:color="auto"/>
            </w:tcBorders>
            <w:shd w:val="clear" w:color="auto" w:fill="auto"/>
            <w:noWrap/>
            <w:vAlign w:val="bottom"/>
            <w:hideMark/>
          </w:tcPr>
          <w:p w14:paraId="50BFF721"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40,2</w:t>
            </w:r>
          </w:p>
        </w:tc>
        <w:tc>
          <w:tcPr>
            <w:tcW w:w="646" w:type="dxa"/>
            <w:tcBorders>
              <w:top w:val="nil"/>
              <w:left w:val="nil"/>
              <w:bottom w:val="single" w:sz="4" w:space="0" w:color="auto"/>
              <w:right w:val="single" w:sz="4" w:space="0" w:color="auto"/>
            </w:tcBorders>
            <w:shd w:val="clear" w:color="auto" w:fill="auto"/>
            <w:noWrap/>
            <w:vAlign w:val="bottom"/>
            <w:hideMark/>
          </w:tcPr>
          <w:p w14:paraId="6F789BCE"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25,3</w:t>
            </w:r>
          </w:p>
        </w:tc>
        <w:tc>
          <w:tcPr>
            <w:tcW w:w="780" w:type="dxa"/>
            <w:tcBorders>
              <w:top w:val="nil"/>
              <w:left w:val="nil"/>
              <w:bottom w:val="single" w:sz="4" w:space="0" w:color="auto"/>
              <w:right w:val="single" w:sz="4" w:space="0" w:color="auto"/>
            </w:tcBorders>
            <w:shd w:val="clear" w:color="auto" w:fill="auto"/>
            <w:noWrap/>
            <w:vAlign w:val="bottom"/>
            <w:hideMark/>
          </w:tcPr>
          <w:p w14:paraId="00FE207B"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50,5</w:t>
            </w:r>
          </w:p>
        </w:tc>
        <w:tc>
          <w:tcPr>
            <w:tcW w:w="854" w:type="dxa"/>
            <w:tcBorders>
              <w:top w:val="nil"/>
              <w:left w:val="nil"/>
              <w:bottom w:val="single" w:sz="4" w:space="0" w:color="auto"/>
              <w:right w:val="single" w:sz="4" w:space="0" w:color="auto"/>
            </w:tcBorders>
            <w:shd w:val="clear" w:color="auto" w:fill="auto"/>
            <w:noWrap/>
            <w:vAlign w:val="bottom"/>
            <w:hideMark/>
          </w:tcPr>
          <w:p w14:paraId="3030BEDD"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57,9</w:t>
            </w:r>
          </w:p>
        </w:tc>
        <w:tc>
          <w:tcPr>
            <w:tcW w:w="646" w:type="dxa"/>
            <w:tcBorders>
              <w:top w:val="nil"/>
              <w:left w:val="nil"/>
              <w:bottom w:val="single" w:sz="4" w:space="0" w:color="auto"/>
              <w:right w:val="single" w:sz="4" w:space="0" w:color="auto"/>
            </w:tcBorders>
            <w:shd w:val="clear" w:color="auto" w:fill="auto"/>
            <w:noWrap/>
            <w:vAlign w:val="bottom"/>
            <w:hideMark/>
          </w:tcPr>
          <w:p w14:paraId="5916F642"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30,4</w:t>
            </w:r>
          </w:p>
        </w:tc>
        <w:tc>
          <w:tcPr>
            <w:tcW w:w="780" w:type="dxa"/>
            <w:tcBorders>
              <w:top w:val="nil"/>
              <w:left w:val="nil"/>
              <w:bottom w:val="single" w:sz="4" w:space="0" w:color="auto"/>
              <w:right w:val="single" w:sz="4" w:space="0" w:color="auto"/>
            </w:tcBorders>
            <w:shd w:val="clear" w:color="auto" w:fill="auto"/>
            <w:noWrap/>
            <w:vAlign w:val="bottom"/>
            <w:hideMark/>
          </w:tcPr>
          <w:p w14:paraId="60F21C60"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84,3</w:t>
            </w:r>
          </w:p>
        </w:tc>
        <w:tc>
          <w:tcPr>
            <w:tcW w:w="854" w:type="dxa"/>
            <w:tcBorders>
              <w:top w:val="nil"/>
              <w:left w:val="nil"/>
              <w:bottom w:val="single" w:sz="4" w:space="0" w:color="auto"/>
              <w:right w:val="single" w:sz="4" w:space="0" w:color="auto"/>
            </w:tcBorders>
            <w:shd w:val="clear" w:color="auto" w:fill="auto"/>
            <w:noWrap/>
            <w:vAlign w:val="bottom"/>
            <w:hideMark/>
          </w:tcPr>
          <w:p w14:paraId="433781AA"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87,8</w:t>
            </w:r>
          </w:p>
        </w:tc>
        <w:tc>
          <w:tcPr>
            <w:tcW w:w="646" w:type="dxa"/>
            <w:tcBorders>
              <w:top w:val="nil"/>
              <w:left w:val="nil"/>
              <w:bottom w:val="single" w:sz="4" w:space="0" w:color="auto"/>
              <w:right w:val="single" w:sz="4" w:space="0" w:color="auto"/>
            </w:tcBorders>
            <w:shd w:val="clear" w:color="auto" w:fill="auto"/>
            <w:noWrap/>
            <w:vAlign w:val="bottom"/>
            <w:hideMark/>
          </w:tcPr>
          <w:p w14:paraId="43763B16"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34,8</w:t>
            </w:r>
          </w:p>
        </w:tc>
        <w:tc>
          <w:tcPr>
            <w:tcW w:w="780" w:type="dxa"/>
            <w:tcBorders>
              <w:top w:val="nil"/>
              <w:left w:val="nil"/>
              <w:bottom w:val="single" w:sz="4" w:space="0" w:color="auto"/>
              <w:right w:val="single" w:sz="4" w:space="0" w:color="auto"/>
            </w:tcBorders>
            <w:shd w:val="clear" w:color="auto" w:fill="auto"/>
            <w:noWrap/>
            <w:vAlign w:val="bottom"/>
            <w:hideMark/>
          </w:tcPr>
          <w:p w14:paraId="29C59D26"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132,2</w:t>
            </w:r>
          </w:p>
        </w:tc>
        <w:tc>
          <w:tcPr>
            <w:tcW w:w="854" w:type="dxa"/>
            <w:tcBorders>
              <w:top w:val="nil"/>
              <w:left w:val="nil"/>
              <w:bottom w:val="single" w:sz="4" w:space="0" w:color="auto"/>
              <w:right w:val="single" w:sz="4" w:space="0" w:color="auto"/>
            </w:tcBorders>
            <w:shd w:val="clear" w:color="auto" w:fill="auto"/>
            <w:noWrap/>
            <w:vAlign w:val="bottom"/>
            <w:hideMark/>
          </w:tcPr>
          <w:p w14:paraId="1D2A92B3"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75,4</w:t>
            </w:r>
          </w:p>
        </w:tc>
        <w:tc>
          <w:tcPr>
            <w:tcW w:w="646" w:type="dxa"/>
            <w:tcBorders>
              <w:top w:val="nil"/>
              <w:left w:val="nil"/>
              <w:bottom w:val="single" w:sz="4" w:space="0" w:color="auto"/>
              <w:right w:val="single" w:sz="4" w:space="0" w:color="auto"/>
            </w:tcBorders>
            <w:shd w:val="clear" w:color="auto" w:fill="auto"/>
            <w:noWrap/>
            <w:vAlign w:val="bottom"/>
            <w:hideMark/>
          </w:tcPr>
          <w:p w14:paraId="054A92FB"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34,8</w:t>
            </w:r>
          </w:p>
        </w:tc>
        <w:tc>
          <w:tcPr>
            <w:tcW w:w="780" w:type="dxa"/>
            <w:tcBorders>
              <w:top w:val="nil"/>
              <w:left w:val="nil"/>
              <w:bottom w:val="single" w:sz="4" w:space="0" w:color="auto"/>
              <w:right w:val="single" w:sz="4" w:space="0" w:color="auto"/>
            </w:tcBorders>
            <w:shd w:val="clear" w:color="auto" w:fill="auto"/>
            <w:noWrap/>
            <w:vAlign w:val="bottom"/>
            <w:hideMark/>
          </w:tcPr>
          <w:p w14:paraId="18F55245"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129,6</w:t>
            </w:r>
          </w:p>
        </w:tc>
      </w:tr>
      <w:tr w:rsidR="0073535A" w:rsidRPr="007C5A6E" w14:paraId="4A11DCEA" w14:textId="77777777" w:rsidTr="00457BED">
        <w:trPr>
          <w:trHeight w:val="300"/>
        </w:trPr>
        <w:tc>
          <w:tcPr>
            <w:tcW w:w="1464" w:type="dxa"/>
            <w:vMerge/>
            <w:tcBorders>
              <w:top w:val="nil"/>
              <w:left w:val="single" w:sz="4" w:space="0" w:color="auto"/>
              <w:bottom w:val="single" w:sz="4" w:space="0" w:color="auto"/>
              <w:right w:val="single" w:sz="4" w:space="0" w:color="auto"/>
            </w:tcBorders>
            <w:vAlign w:val="center"/>
            <w:hideMark/>
          </w:tcPr>
          <w:p w14:paraId="44B02CD0" w14:textId="77777777" w:rsidR="0073535A" w:rsidRPr="007C5A6E" w:rsidRDefault="0073535A" w:rsidP="008D1FFC">
            <w:pPr>
              <w:spacing w:after="0" w:line="240" w:lineRule="auto"/>
              <w:rPr>
                <w:rFonts w:ascii="Times New Roman" w:hAnsi="Times New Roman"/>
                <w:color w:val="000000"/>
                <w:sz w:val="20"/>
                <w:szCs w:val="20"/>
              </w:rPr>
            </w:pPr>
          </w:p>
        </w:tc>
        <w:tc>
          <w:tcPr>
            <w:tcW w:w="1976" w:type="dxa"/>
            <w:tcBorders>
              <w:top w:val="single" w:sz="4" w:space="0" w:color="auto"/>
              <w:left w:val="nil"/>
              <w:bottom w:val="single" w:sz="4" w:space="0" w:color="auto"/>
              <w:right w:val="single" w:sz="4" w:space="0" w:color="000000"/>
            </w:tcBorders>
            <w:shd w:val="clear" w:color="auto" w:fill="auto"/>
            <w:noWrap/>
            <w:vAlign w:val="bottom"/>
            <w:hideMark/>
          </w:tcPr>
          <w:p w14:paraId="35B3F231"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854" w:type="dxa"/>
            <w:tcBorders>
              <w:top w:val="nil"/>
              <w:left w:val="nil"/>
              <w:bottom w:val="single" w:sz="4" w:space="0" w:color="auto"/>
              <w:right w:val="single" w:sz="4" w:space="0" w:color="auto"/>
            </w:tcBorders>
            <w:shd w:val="clear" w:color="auto" w:fill="auto"/>
            <w:noWrap/>
            <w:vAlign w:val="bottom"/>
            <w:hideMark/>
          </w:tcPr>
          <w:p w14:paraId="535F1858"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646" w:type="dxa"/>
            <w:tcBorders>
              <w:top w:val="nil"/>
              <w:left w:val="nil"/>
              <w:bottom w:val="single" w:sz="4" w:space="0" w:color="auto"/>
              <w:right w:val="single" w:sz="4" w:space="0" w:color="auto"/>
            </w:tcBorders>
            <w:shd w:val="clear" w:color="auto" w:fill="auto"/>
            <w:noWrap/>
            <w:vAlign w:val="bottom"/>
            <w:hideMark/>
          </w:tcPr>
          <w:p w14:paraId="0235B9F2"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780" w:type="dxa"/>
            <w:tcBorders>
              <w:top w:val="nil"/>
              <w:left w:val="nil"/>
              <w:bottom w:val="single" w:sz="4" w:space="0" w:color="auto"/>
              <w:right w:val="single" w:sz="4" w:space="0" w:color="auto"/>
            </w:tcBorders>
            <w:shd w:val="clear" w:color="auto" w:fill="auto"/>
            <w:noWrap/>
            <w:vAlign w:val="bottom"/>
            <w:hideMark/>
          </w:tcPr>
          <w:p w14:paraId="622B2173"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854" w:type="dxa"/>
            <w:tcBorders>
              <w:top w:val="nil"/>
              <w:left w:val="nil"/>
              <w:bottom w:val="single" w:sz="4" w:space="0" w:color="auto"/>
              <w:right w:val="single" w:sz="4" w:space="0" w:color="auto"/>
            </w:tcBorders>
            <w:shd w:val="clear" w:color="auto" w:fill="auto"/>
            <w:noWrap/>
            <w:vAlign w:val="bottom"/>
            <w:hideMark/>
          </w:tcPr>
          <w:p w14:paraId="2BAF1CE3"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646" w:type="dxa"/>
            <w:tcBorders>
              <w:top w:val="nil"/>
              <w:left w:val="nil"/>
              <w:bottom w:val="single" w:sz="4" w:space="0" w:color="auto"/>
              <w:right w:val="single" w:sz="4" w:space="0" w:color="auto"/>
            </w:tcBorders>
            <w:shd w:val="clear" w:color="auto" w:fill="auto"/>
            <w:noWrap/>
            <w:vAlign w:val="bottom"/>
            <w:hideMark/>
          </w:tcPr>
          <w:p w14:paraId="77F3EE5A"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780" w:type="dxa"/>
            <w:tcBorders>
              <w:top w:val="nil"/>
              <w:left w:val="nil"/>
              <w:bottom w:val="single" w:sz="4" w:space="0" w:color="auto"/>
              <w:right w:val="single" w:sz="4" w:space="0" w:color="auto"/>
            </w:tcBorders>
            <w:shd w:val="clear" w:color="auto" w:fill="auto"/>
            <w:noWrap/>
            <w:vAlign w:val="bottom"/>
            <w:hideMark/>
          </w:tcPr>
          <w:p w14:paraId="640BF43F"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854" w:type="dxa"/>
            <w:tcBorders>
              <w:top w:val="nil"/>
              <w:left w:val="nil"/>
              <w:bottom w:val="single" w:sz="4" w:space="0" w:color="auto"/>
              <w:right w:val="single" w:sz="4" w:space="0" w:color="auto"/>
            </w:tcBorders>
            <w:shd w:val="clear" w:color="auto" w:fill="auto"/>
            <w:noWrap/>
            <w:vAlign w:val="bottom"/>
            <w:hideMark/>
          </w:tcPr>
          <w:p w14:paraId="39A5F0F9"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646" w:type="dxa"/>
            <w:tcBorders>
              <w:top w:val="nil"/>
              <w:left w:val="nil"/>
              <w:bottom w:val="single" w:sz="4" w:space="0" w:color="auto"/>
              <w:right w:val="single" w:sz="4" w:space="0" w:color="auto"/>
            </w:tcBorders>
            <w:shd w:val="clear" w:color="auto" w:fill="auto"/>
            <w:noWrap/>
            <w:vAlign w:val="bottom"/>
            <w:hideMark/>
          </w:tcPr>
          <w:p w14:paraId="2E1A635D"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780" w:type="dxa"/>
            <w:tcBorders>
              <w:top w:val="nil"/>
              <w:left w:val="nil"/>
              <w:bottom w:val="single" w:sz="4" w:space="0" w:color="auto"/>
              <w:right w:val="single" w:sz="4" w:space="0" w:color="auto"/>
            </w:tcBorders>
            <w:shd w:val="clear" w:color="auto" w:fill="auto"/>
            <w:noWrap/>
            <w:vAlign w:val="bottom"/>
            <w:hideMark/>
          </w:tcPr>
          <w:p w14:paraId="4562B7A2"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854" w:type="dxa"/>
            <w:tcBorders>
              <w:top w:val="nil"/>
              <w:left w:val="nil"/>
              <w:bottom w:val="single" w:sz="4" w:space="0" w:color="auto"/>
              <w:right w:val="single" w:sz="4" w:space="0" w:color="auto"/>
            </w:tcBorders>
            <w:shd w:val="clear" w:color="auto" w:fill="auto"/>
            <w:noWrap/>
            <w:vAlign w:val="bottom"/>
            <w:hideMark/>
          </w:tcPr>
          <w:p w14:paraId="772B9B50"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646" w:type="dxa"/>
            <w:tcBorders>
              <w:top w:val="nil"/>
              <w:left w:val="nil"/>
              <w:bottom w:val="single" w:sz="4" w:space="0" w:color="auto"/>
              <w:right w:val="single" w:sz="4" w:space="0" w:color="auto"/>
            </w:tcBorders>
            <w:shd w:val="clear" w:color="auto" w:fill="auto"/>
            <w:noWrap/>
            <w:vAlign w:val="bottom"/>
            <w:hideMark/>
          </w:tcPr>
          <w:p w14:paraId="5EF2479E"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c>
          <w:tcPr>
            <w:tcW w:w="780" w:type="dxa"/>
            <w:tcBorders>
              <w:top w:val="nil"/>
              <w:left w:val="nil"/>
              <w:bottom w:val="single" w:sz="4" w:space="0" w:color="auto"/>
              <w:right w:val="single" w:sz="4" w:space="0" w:color="auto"/>
            </w:tcBorders>
            <w:shd w:val="clear" w:color="auto" w:fill="auto"/>
            <w:noWrap/>
            <w:vAlign w:val="bottom"/>
            <w:hideMark/>
          </w:tcPr>
          <w:p w14:paraId="0FB26679" w14:textId="77777777" w:rsidR="0073535A" w:rsidRPr="007C5A6E" w:rsidRDefault="0073535A" w:rsidP="008D1FFC">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w:t>
            </w:r>
          </w:p>
        </w:tc>
      </w:tr>
      <w:tr w:rsidR="0073535A" w:rsidRPr="007C5A6E" w14:paraId="265B8720" w14:textId="77777777" w:rsidTr="00457BED">
        <w:trPr>
          <w:trHeight w:val="300"/>
        </w:trPr>
        <w:tc>
          <w:tcPr>
            <w:tcW w:w="1464" w:type="dxa"/>
            <w:vMerge w:val="restart"/>
            <w:tcBorders>
              <w:top w:val="nil"/>
              <w:left w:val="single" w:sz="4" w:space="0" w:color="auto"/>
              <w:right w:val="single" w:sz="4" w:space="0" w:color="auto"/>
            </w:tcBorders>
            <w:shd w:val="clear" w:color="auto" w:fill="auto"/>
            <w:noWrap/>
            <w:vAlign w:val="center"/>
            <w:hideMark/>
          </w:tcPr>
          <w:p w14:paraId="2A54D640" w14:textId="77777777" w:rsidR="0073535A" w:rsidRPr="007C5A6E" w:rsidRDefault="0073535A" w:rsidP="008D1FFC">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Bobo-Dioulasso</w:t>
            </w:r>
          </w:p>
        </w:tc>
        <w:tc>
          <w:tcPr>
            <w:tcW w:w="1976" w:type="dxa"/>
            <w:tcBorders>
              <w:top w:val="single" w:sz="4" w:space="0" w:color="auto"/>
              <w:left w:val="nil"/>
              <w:bottom w:val="single" w:sz="4" w:space="0" w:color="auto"/>
              <w:right w:val="single" w:sz="4" w:space="0" w:color="000000"/>
            </w:tcBorders>
            <w:shd w:val="clear" w:color="auto" w:fill="auto"/>
            <w:noWrap/>
            <w:vAlign w:val="bottom"/>
            <w:hideMark/>
          </w:tcPr>
          <w:p w14:paraId="13AC158B" w14:textId="77777777" w:rsidR="0073535A" w:rsidRPr="007C5A6E" w:rsidRDefault="0073535A" w:rsidP="008D1FFC">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cumul</w:t>
            </w:r>
            <w:proofErr w:type="gramEnd"/>
            <w:r w:rsidRPr="007C5A6E">
              <w:rPr>
                <w:rFonts w:ascii="Times New Roman" w:hAnsi="Times New Roman"/>
                <w:color w:val="000000"/>
                <w:sz w:val="20"/>
                <w:szCs w:val="20"/>
              </w:rPr>
              <w:t xml:space="preserve"> annuel</w:t>
            </w:r>
          </w:p>
        </w:tc>
        <w:tc>
          <w:tcPr>
            <w:tcW w:w="854" w:type="dxa"/>
            <w:tcBorders>
              <w:top w:val="nil"/>
              <w:left w:val="nil"/>
              <w:bottom w:val="single" w:sz="4" w:space="0" w:color="auto"/>
              <w:right w:val="single" w:sz="4" w:space="0" w:color="auto"/>
            </w:tcBorders>
            <w:shd w:val="clear" w:color="auto" w:fill="auto"/>
            <w:noWrap/>
            <w:vAlign w:val="bottom"/>
            <w:hideMark/>
          </w:tcPr>
          <w:p w14:paraId="4BC32321"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1031,7</w:t>
            </w:r>
          </w:p>
        </w:tc>
        <w:tc>
          <w:tcPr>
            <w:tcW w:w="646" w:type="dxa"/>
            <w:tcBorders>
              <w:top w:val="nil"/>
              <w:left w:val="nil"/>
              <w:bottom w:val="single" w:sz="4" w:space="0" w:color="auto"/>
              <w:right w:val="single" w:sz="4" w:space="0" w:color="auto"/>
            </w:tcBorders>
            <w:shd w:val="clear" w:color="auto" w:fill="auto"/>
            <w:noWrap/>
            <w:vAlign w:val="bottom"/>
            <w:hideMark/>
          </w:tcPr>
          <w:p w14:paraId="18277438"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713,9</w:t>
            </w:r>
          </w:p>
        </w:tc>
        <w:tc>
          <w:tcPr>
            <w:tcW w:w="780" w:type="dxa"/>
            <w:tcBorders>
              <w:top w:val="nil"/>
              <w:left w:val="nil"/>
              <w:bottom w:val="single" w:sz="4" w:space="0" w:color="auto"/>
              <w:right w:val="single" w:sz="4" w:space="0" w:color="auto"/>
            </w:tcBorders>
            <w:shd w:val="clear" w:color="auto" w:fill="auto"/>
            <w:noWrap/>
            <w:vAlign w:val="bottom"/>
            <w:hideMark/>
          </w:tcPr>
          <w:p w14:paraId="3CA249E8"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1373,4</w:t>
            </w:r>
          </w:p>
        </w:tc>
        <w:tc>
          <w:tcPr>
            <w:tcW w:w="854" w:type="dxa"/>
            <w:tcBorders>
              <w:top w:val="nil"/>
              <w:left w:val="nil"/>
              <w:bottom w:val="single" w:sz="4" w:space="0" w:color="auto"/>
              <w:right w:val="single" w:sz="4" w:space="0" w:color="auto"/>
            </w:tcBorders>
            <w:shd w:val="clear" w:color="auto" w:fill="auto"/>
            <w:noWrap/>
            <w:vAlign w:val="bottom"/>
            <w:hideMark/>
          </w:tcPr>
          <w:p w14:paraId="38FA20A6"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1228,1</w:t>
            </w:r>
          </w:p>
        </w:tc>
        <w:tc>
          <w:tcPr>
            <w:tcW w:w="646" w:type="dxa"/>
            <w:tcBorders>
              <w:top w:val="nil"/>
              <w:left w:val="nil"/>
              <w:bottom w:val="single" w:sz="4" w:space="0" w:color="auto"/>
              <w:right w:val="single" w:sz="4" w:space="0" w:color="auto"/>
            </w:tcBorders>
            <w:shd w:val="clear" w:color="auto" w:fill="auto"/>
            <w:noWrap/>
            <w:vAlign w:val="bottom"/>
            <w:hideMark/>
          </w:tcPr>
          <w:p w14:paraId="6EC35233"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910,9</w:t>
            </w:r>
          </w:p>
        </w:tc>
        <w:tc>
          <w:tcPr>
            <w:tcW w:w="780" w:type="dxa"/>
            <w:tcBorders>
              <w:top w:val="nil"/>
              <w:left w:val="nil"/>
              <w:bottom w:val="single" w:sz="4" w:space="0" w:color="auto"/>
              <w:right w:val="single" w:sz="4" w:space="0" w:color="auto"/>
            </w:tcBorders>
            <w:shd w:val="clear" w:color="auto" w:fill="auto"/>
            <w:noWrap/>
            <w:vAlign w:val="bottom"/>
            <w:hideMark/>
          </w:tcPr>
          <w:p w14:paraId="56355CD2"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1623,4</w:t>
            </w:r>
          </w:p>
        </w:tc>
        <w:tc>
          <w:tcPr>
            <w:tcW w:w="854" w:type="dxa"/>
            <w:tcBorders>
              <w:top w:val="nil"/>
              <w:left w:val="nil"/>
              <w:bottom w:val="single" w:sz="4" w:space="0" w:color="auto"/>
              <w:right w:val="single" w:sz="4" w:space="0" w:color="auto"/>
            </w:tcBorders>
            <w:shd w:val="clear" w:color="auto" w:fill="auto"/>
            <w:noWrap/>
            <w:vAlign w:val="bottom"/>
            <w:hideMark/>
          </w:tcPr>
          <w:p w14:paraId="5836CC83"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1151,5</w:t>
            </w:r>
          </w:p>
        </w:tc>
        <w:tc>
          <w:tcPr>
            <w:tcW w:w="646" w:type="dxa"/>
            <w:tcBorders>
              <w:top w:val="nil"/>
              <w:left w:val="nil"/>
              <w:bottom w:val="single" w:sz="4" w:space="0" w:color="auto"/>
              <w:right w:val="single" w:sz="4" w:space="0" w:color="auto"/>
            </w:tcBorders>
            <w:shd w:val="clear" w:color="auto" w:fill="auto"/>
            <w:noWrap/>
            <w:vAlign w:val="bottom"/>
            <w:hideMark/>
          </w:tcPr>
          <w:p w14:paraId="4950B0D4"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678,7</w:t>
            </w:r>
          </w:p>
        </w:tc>
        <w:tc>
          <w:tcPr>
            <w:tcW w:w="780" w:type="dxa"/>
            <w:tcBorders>
              <w:top w:val="nil"/>
              <w:left w:val="nil"/>
              <w:bottom w:val="single" w:sz="4" w:space="0" w:color="auto"/>
              <w:right w:val="single" w:sz="4" w:space="0" w:color="auto"/>
            </w:tcBorders>
            <w:shd w:val="clear" w:color="auto" w:fill="auto"/>
            <w:noWrap/>
            <w:vAlign w:val="bottom"/>
            <w:hideMark/>
          </w:tcPr>
          <w:p w14:paraId="379C9CCB"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1620,2</w:t>
            </w:r>
          </w:p>
        </w:tc>
        <w:tc>
          <w:tcPr>
            <w:tcW w:w="854" w:type="dxa"/>
            <w:tcBorders>
              <w:top w:val="nil"/>
              <w:left w:val="nil"/>
              <w:bottom w:val="single" w:sz="4" w:space="0" w:color="auto"/>
              <w:right w:val="single" w:sz="4" w:space="0" w:color="auto"/>
            </w:tcBorders>
            <w:shd w:val="clear" w:color="auto" w:fill="auto"/>
            <w:noWrap/>
            <w:vAlign w:val="bottom"/>
            <w:hideMark/>
          </w:tcPr>
          <w:p w14:paraId="0E37E12E"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1187,4</w:t>
            </w:r>
          </w:p>
        </w:tc>
        <w:tc>
          <w:tcPr>
            <w:tcW w:w="646" w:type="dxa"/>
            <w:tcBorders>
              <w:top w:val="nil"/>
              <w:left w:val="nil"/>
              <w:bottom w:val="single" w:sz="4" w:space="0" w:color="auto"/>
              <w:right w:val="single" w:sz="4" w:space="0" w:color="auto"/>
            </w:tcBorders>
            <w:shd w:val="clear" w:color="auto" w:fill="auto"/>
            <w:noWrap/>
            <w:vAlign w:val="bottom"/>
            <w:hideMark/>
          </w:tcPr>
          <w:p w14:paraId="10C6557D"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841,4</w:t>
            </w:r>
          </w:p>
        </w:tc>
        <w:tc>
          <w:tcPr>
            <w:tcW w:w="780" w:type="dxa"/>
            <w:tcBorders>
              <w:top w:val="nil"/>
              <w:left w:val="nil"/>
              <w:bottom w:val="single" w:sz="4" w:space="0" w:color="auto"/>
              <w:right w:val="single" w:sz="4" w:space="0" w:color="auto"/>
            </w:tcBorders>
            <w:shd w:val="clear" w:color="auto" w:fill="auto"/>
            <w:noWrap/>
            <w:vAlign w:val="bottom"/>
            <w:hideMark/>
          </w:tcPr>
          <w:p w14:paraId="23CA6398"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1671,6</w:t>
            </w:r>
          </w:p>
        </w:tc>
      </w:tr>
      <w:tr w:rsidR="0073535A" w:rsidRPr="007C5A6E" w14:paraId="4BA0DE44" w14:textId="77777777" w:rsidTr="00457BED">
        <w:trPr>
          <w:trHeight w:val="300"/>
        </w:trPr>
        <w:tc>
          <w:tcPr>
            <w:tcW w:w="1464" w:type="dxa"/>
            <w:vMerge/>
            <w:tcBorders>
              <w:left w:val="single" w:sz="4" w:space="0" w:color="auto"/>
              <w:right w:val="single" w:sz="4" w:space="0" w:color="auto"/>
            </w:tcBorders>
            <w:shd w:val="clear" w:color="auto" w:fill="auto"/>
            <w:vAlign w:val="center"/>
            <w:hideMark/>
          </w:tcPr>
          <w:p w14:paraId="205BA65A" w14:textId="77777777" w:rsidR="0073535A" w:rsidRPr="007C5A6E" w:rsidRDefault="0073535A" w:rsidP="008D1FFC">
            <w:pPr>
              <w:spacing w:after="0" w:line="240" w:lineRule="auto"/>
              <w:rPr>
                <w:rFonts w:ascii="Times New Roman" w:hAnsi="Times New Roman"/>
                <w:color w:val="000000"/>
                <w:sz w:val="20"/>
                <w:szCs w:val="20"/>
              </w:rPr>
            </w:pPr>
          </w:p>
        </w:tc>
        <w:tc>
          <w:tcPr>
            <w:tcW w:w="1976" w:type="dxa"/>
            <w:tcBorders>
              <w:top w:val="single" w:sz="4" w:space="0" w:color="auto"/>
              <w:left w:val="nil"/>
              <w:bottom w:val="single" w:sz="4" w:space="0" w:color="auto"/>
              <w:right w:val="single" w:sz="4" w:space="0" w:color="000000"/>
            </w:tcBorders>
            <w:shd w:val="clear" w:color="auto" w:fill="auto"/>
            <w:noWrap/>
            <w:vAlign w:val="bottom"/>
            <w:hideMark/>
          </w:tcPr>
          <w:p w14:paraId="7709885C" w14:textId="77777777" w:rsidR="0073535A" w:rsidRPr="007C5A6E" w:rsidRDefault="0073535A" w:rsidP="008D1FFC">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cumul</w:t>
            </w:r>
            <w:proofErr w:type="gramEnd"/>
            <w:r w:rsidRPr="007C5A6E">
              <w:rPr>
                <w:rFonts w:ascii="Times New Roman" w:hAnsi="Times New Roman"/>
                <w:color w:val="000000"/>
                <w:sz w:val="20"/>
                <w:szCs w:val="20"/>
              </w:rPr>
              <w:t xml:space="preserve"> max 5 jours</w:t>
            </w:r>
          </w:p>
        </w:tc>
        <w:tc>
          <w:tcPr>
            <w:tcW w:w="854" w:type="dxa"/>
            <w:tcBorders>
              <w:top w:val="nil"/>
              <w:left w:val="nil"/>
              <w:bottom w:val="single" w:sz="4" w:space="0" w:color="auto"/>
              <w:right w:val="single" w:sz="4" w:space="0" w:color="auto"/>
            </w:tcBorders>
            <w:shd w:val="clear" w:color="auto" w:fill="auto"/>
            <w:noWrap/>
            <w:vAlign w:val="bottom"/>
            <w:hideMark/>
          </w:tcPr>
          <w:p w14:paraId="43C11E11"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108,3</w:t>
            </w:r>
          </w:p>
        </w:tc>
        <w:tc>
          <w:tcPr>
            <w:tcW w:w="646" w:type="dxa"/>
            <w:tcBorders>
              <w:top w:val="nil"/>
              <w:left w:val="nil"/>
              <w:bottom w:val="single" w:sz="4" w:space="0" w:color="auto"/>
              <w:right w:val="single" w:sz="4" w:space="0" w:color="auto"/>
            </w:tcBorders>
            <w:shd w:val="clear" w:color="auto" w:fill="auto"/>
            <w:noWrap/>
            <w:vAlign w:val="bottom"/>
            <w:hideMark/>
          </w:tcPr>
          <w:p w14:paraId="62AB5AB3"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74,0</w:t>
            </w:r>
          </w:p>
        </w:tc>
        <w:tc>
          <w:tcPr>
            <w:tcW w:w="780" w:type="dxa"/>
            <w:tcBorders>
              <w:top w:val="nil"/>
              <w:left w:val="nil"/>
              <w:bottom w:val="single" w:sz="4" w:space="0" w:color="auto"/>
              <w:right w:val="single" w:sz="4" w:space="0" w:color="auto"/>
            </w:tcBorders>
            <w:shd w:val="clear" w:color="auto" w:fill="auto"/>
            <w:noWrap/>
            <w:vAlign w:val="bottom"/>
            <w:hideMark/>
          </w:tcPr>
          <w:p w14:paraId="62C36DC6"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136,1</w:t>
            </w:r>
          </w:p>
        </w:tc>
        <w:tc>
          <w:tcPr>
            <w:tcW w:w="854" w:type="dxa"/>
            <w:tcBorders>
              <w:top w:val="nil"/>
              <w:left w:val="nil"/>
              <w:bottom w:val="single" w:sz="4" w:space="0" w:color="auto"/>
              <w:right w:val="single" w:sz="4" w:space="0" w:color="auto"/>
            </w:tcBorders>
            <w:shd w:val="clear" w:color="auto" w:fill="auto"/>
            <w:noWrap/>
            <w:vAlign w:val="bottom"/>
            <w:hideMark/>
          </w:tcPr>
          <w:p w14:paraId="7E574295"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139,2</w:t>
            </w:r>
          </w:p>
        </w:tc>
        <w:tc>
          <w:tcPr>
            <w:tcW w:w="646" w:type="dxa"/>
            <w:tcBorders>
              <w:top w:val="nil"/>
              <w:left w:val="nil"/>
              <w:bottom w:val="single" w:sz="4" w:space="0" w:color="auto"/>
              <w:right w:val="single" w:sz="4" w:space="0" w:color="auto"/>
            </w:tcBorders>
            <w:shd w:val="clear" w:color="auto" w:fill="auto"/>
            <w:noWrap/>
            <w:vAlign w:val="bottom"/>
            <w:hideMark/>
          </w:tcPr>
          <w:p w14:paraId="74A23F6B"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79,5</w:t>
            </w:r>
          </w:p>
        </w:tc>
        <w:tc>
          <w:tcPr>
            <w:tcW w:w="780" w:type="dxa"/>
            <w:tcBorders>
              <w:top w:val="nil"/>
              <w:left w:val="nil"/>
              <w:bottom w:val="single" w:sz="4" w:space="0" w:color="auto"/>
              <w:right w:val="single" w:sz="4" w:space="0" w:color="auto"/>
            </w:tcBorders>
            <w:shd w:val="clear" w:color="auto" w:fill="auto"/>
            <w:noWrap/>
            <w:vAlign w:val="bottom"/>
            <w:hideMark/>
          </w:tcPr>
          <w:p w14:paraId="0F67DE4A"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182,7</w:t>
            </w:r>
          </w:p>
        </w:tc>
        <w:tc>
          <w:tcPr>
            <w:tcW w:w="854" w:type="dxa"/>
            <w:tcBorders>
              <w:top w:val="nil"/>
              <w:left w:val="nil"/>
              <w:bottom w:val="single" w:sz="4" w:space="0" w:color="auto"/>
              <w:right w:val="single" w:sz="4" w:space="0" w:color="auto"/>
            </w:tcBorders>
            <w:shd w:val="clear" w:color="auto" w:fill="auto"/>
            <w:noWrap/>
            <w:vAlign w:val="bottom"/>
            <w:hideMark/>
          </w:tcPr>
          <w:p w14:paraId="1EC77E73"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156,9</w:t>
            </w:r>
          </w:p>
        </w:tc>
        <w:tc>
          <w:tcPr>
            <w:tcW w:w="646" w:type="dxa"/>
            <w:tcBorders>
              <w:top w:val="nil"/>
              <w:left w:val="nil"/>
              <w:bottom w:val="single" w:sz="4" w:space="0" w:color="auto"/>
              <w:right w:val="single" w:sz="4" w:space="0" w:color="auto"/>
            </w:tcBorders>
            <w:shd w:val="clear" w:color="auto" w:fill="auto"/>
            <w:noWrap/>
            <w:vAlign w:val="bottom"/>
            <w:hideMark/>
          </w:tcPr>
          <w:p w14:paraId="664AB2C7"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70,8</w:t>
            </w:r>
          </w:p>
        </w:tc>
        <w:tc>
          <w:tcPr>
            <w:tcW w:w="780" w:type="dxa"/>
            <w:tcBorders>
              <w:top w:val="nil"/>
              <w:left w:val="nil"/>
              <w:bottom w:val="single" w:sz="4" w:space="0" w:color="auto"/>
              <w:right w:val="single" w:sz="4" w:space="0" w:color="auto"/>
            </w:tcBorders>
            <w:shd w:val="clear" w:color="auto" w:fill="auto"/>
            <w:noWrap/>
            <w:vAlign w:val="bottom"/>
            <w:hideMark/>
          </w:tcPr>
          <w:p w14:paraId="5AB9748D"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259,2</w:t>
            </w:r>
          </w:p>
        </w:tc>
        <w:tc>
          <w:tcPr>
            <w:tcW w:w="854" w:type="dxa"/>
            <w:tcBorders>
              <w:top w:val="nil"/>
              <w:left w:val="nil"/>
              <w:bottom w:val="single" w:sz="4" w:space="0" w:color="auto"/>
              <w:right w:val="single" w:sz="4" w:space="0" w:color="auto"/>
            </w:tcBorders>
            <w:shd w:val="clear" w:color="auto" w:fill="auto"/>
            <w:noWrap/>
            <w:vAlign w:val="bottom"/>
            <w:hideMark/>
          </w:tcPr>
          <w:p w14:paraId="17B93385"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151,6</w:t>
            </w:r>
          </w:p>
        </w:tc>
        <w:tc>
          <w:tcPr>
            <w:tcW w:w="646" w:type="dxa"/>
            <w:tcBorders>
              <w:top w:val="nil"/>
              <w:left w:val="nil"/>
              <w:bottom w:val="single" w:sz="4" w:space="0" w:color="auto"/>
              <w:right w:val="single" w:sz="4" w:space="0" w:color="auto"/>
            </w:tcBorders>
            <w:shd w:val="clear" w:color="auto" w:fill="auto"/>
            <w:noWrap/>
            <w:vAlign w:val="bottom"/>
            <w:hideMark/>
          </w:tcPr>
          <w:p w14:paraId="36FA372E"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78,0</w:t>
            </w:r>
          </w:p>
        </w:tc>
        <w:tc>
          <w:tcPr>
            <w:tcW w:w="780" w:type="dxa"/>
            <w:tcBorders>
              <w:top w:val="nil"/>
              <w:left w:val="nil"/>
              <w:bottom w:val="single" w:sz="4" w:space="0" w:color="auto"/>
              <w:right w:val="single" w:sz="4" w:space="0" w:color="auto"/>
            </w:tcBorders>
            <w:shd w:val="clear" w:color="auto" w:fill="auto"/>
            <w:noWrap/>
            <w:vAlign w:val="bottom"/>
            <w:hideMark/>
          </w:tcPr>
          <w:p w14:paraId="3823AC97"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220,6</w:t>
            </w:r>
          </w:p>
        </w:tc>
      </w:tr>
      <w:tr w:rsidR="0073535A" w:rsidRPr="007C5A6E" w14:paraId="3AA33FD6" w14:textId="77777777" w:rsidTr="00457BED">
        <w:trPr>
          <w:trHeight w:val="300"/>
        </w:trPr>
        <w:tc>
          <w:tcPr>
            <w:tcW w:w="1464" w:type="dxa"/>
            <w:vMerge/>
            <w:tcBorders>
              <w:left w:val="single" w:sz="4" w:space="0" w:color="auto"/>
              <w:bottom w:val="single" w:sz="4" w:space="0" w:color="auto"/>
              <w:right w:val="single" w:sz="4" w:space="0" w:color="auto"/>
            </w:tcBorders>
            <w:shd w:val="clear" w:color="auto" w:fill="auto"/>
            <w:vAlign w:val="center"/>
            <w:hideMark/>
          </w:tcPr>
          <w:p w14:paraId="757BC67E" w14:textId="77777777" w:rsidR="0073535A" w:rsidRPr="007C5A6E" w:rsidRDefault="0073535A" w:rsidP="008D1FFC">
            <w:pPr>
              <w:spacing w:after="0" w:line="240" w:lineRule="auto"/>
              <w:rPr>
                <w:rFonts w:ascii="Times New Roman" w:hAnsi="Times New Roman"/>
                <w:color w:val="000000"/>
                <w:sz w:val="20"/>
                <w:szCs w:val="20"/>
              </w:rPr>
            </w:pPr>
          </w:p>
        </w:tc>
        <w:tc>
          <w:tcPr>
            <w:tcW w:w="1976" w:type="dxa"/>
            <w:tcBorders>
              <w:top w:val="single" w:sz="4" w:space="0" w:color="auto"/>
              <w:left w:val="nil"/>
              <w:bottom w:val="single" w:sz="4" w:space="0" w:color="auto"/>
              <w:right w:val="single" w:sz="4" w:space="0" w:color="000000"/>
            </w:tcBorders>
            <w:shd w:val="clear" w:color="auto" w:fill="auto"/>
            <w:noWrap/>
            <w:vAlign w:val="bottom"/>
            <w:hideMark/>
          </w:tcPr>
          <w:p w14:paraId="287AD047" w14:textId="6C7913D8" w:rsidR="0073535A" w:rsidRPr="007C5A6E" w:rsidRDefault="0073535A" w:rsidP="008D1FFC">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pluie</w:t>
            </w:r>
            <w:proofErr w:type="gramEnd"/>
            <w:r w:rsidRPr="007C5A6E">
              <w:rPr>
                <w:rFonts w:ascii="Times New Roman" w:hAnsi="Times New Roman"/>
                <w:color w:val="000000"/>
                <w:sz w:val="20"/>
                <w:szCs w:val="20"/>
              </w:rPr>
              <w:t xml:space="preserve"> max </w:t>
            </w:r>
            <w:r w:rsidR="003236C5" w:rsidRPr="007C5A6E">
              <w:rPr>
                <w:rFonts w:ascii="Times New Roman" w:hAnsi="Times New Roman"/>
                <w:color w:val="000000"/>
                <w:sz w:val="20"/>
                <w:szCs w:val="20"/>
              </w:rPr>
              <w:t>journalière</w:t>
            </w:r>
          </w:p>
        </w:tc>
        <w:tc>
          <w:tcPr>
            <w:tcW w:w="854" w:type="dxa"/>
            <w:tcBorders>
              <w:top w:val="nil"/>
              <w:left w:val="nil"/>
              <w:bottom w:val="single" w:sz="4" w:space="0" w:color="auto"/>
              <w:right w:val="single" w:sz="4" w:space="0" w:color="auto"/>
            </w:tcBorders>
            <w:shd w:val="clear" w:color="auto" w:fill="auto"/>
            <w:noWrap/>
            <w:vAlign w:val="bottom"/>
            <w:hideMark/>
          </w:tcPr>
          <w:p w14:paraId="0A94FB0E"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55,5</w:t>
            </w:r>
          </w:p>
        </w:tc>
        <w:tc>
          <w:tcPr>
            <w:tcW w:w="646" w:type="dxa"/>
            <w:tcBorders>
              <w:top w:val="nil"/>
              <w:left w:val="nil"/>
              <w:bottom w:val="single" w:sz="4" w:space="0" w:color="auto"/>
              <w:right w:val="single" w:sz="4" w:space="0" w:color="auto"/>
            </w:tcBorders>
            <w:shd w:val="clear" w:color="auto" w:fill="auto"/>
            <w:noWrap/>
            <w:vAlign w:val="bottom"/>
            <w:hideMark/>
          </w:tcPr>
          <w:p w14:paraId="106FF199"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32,0</w:t>
            </w:r>
          </w:p>
        </w:tc>
        <w:tc>
          <w:tcPr>
            <w:tcW w:w="780" w:type="dxa"/>
            <w:tcBorders>
              <w:top w:val="nil"/>
              <w:left w:val="nil"/>
              <w:bottom w:val="single" w:sz="4" w:space="0" w:color="auto"/>
              <w:right w:val="single" w:sz="4" w:space="0" w:color="auto"/>
            </w:tcBorders>
            <w:shd w:val="clear" w:color="auto" w:fill="auto"/>
            <w:noWrap/>
            <w:vAlign w:val="bottom"/>
            <w:hideMark/>
          </w:tcPr>
          <w:p w14:paraId="31944630"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75,9</w:t>
            </w:r>
          </w:p>
        </w:tc>
        <w:tc>
          <w:tcPr>
            <w:tcW w:w="854" w:type="dxa"/>
            <w:tcBorders>
              <w:top w:val="nil"/>
              <w:left w:val="nil"/>
              <w:bottom w:val="single" w:sz="4" w:space="0" w:color="auto"/>
              <w:right w:val="single" w:sz="4" w:space="0" w:color="auto"/>
            </w:tcBorders>
            <w:shd w:val="clear" w:color="auto" w:fill="auto"/>
            <w:noWrap/>
            <w:vAlign w:val="bottom"/>
            <w:hideMark/>
          </w:tcPr>
          <w:p w14:paraId="20555D7B"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76,4</w:t>
            </w:r>
          </w:p>
        </w:tc>
        <w:tc>
          <w:tcPr>
            <w:tcW w:w="646" w:type="dxa"/>
            <w:tcBorders>
              <w:top w:val="nil"/>
              <w:left w:val="nil"/>
              <w:bottom w:val="single" w:sz="4" w:space="0" w:color="auto"/>
              <w:right w:val="single" w:sz="4" w:space="0" w:color="auto"/>
            </w:tcBorders>
            <w:shd w:val="clear" w:color="auto" w:fill="auto"/>
            <w:noWrap/>
            <w:vAlign w:val="bottom"/>
            <w:hideMark/>
          </w:tcPr>
          <w:p w14:paraId="05EFFA73"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40,3</w:t>
            </w:r>
          </w:p>
        </w:tc>
        <w:tc>
          <w:tcPr>
            <w:tcW w:w="780" w:type="dxa"/>
            <w:tcBorders>
              <w:top w:val="nil"/>
              <w:left w:val="nil"/>
              <w:bottom w:val="single" w:sz="4" w:space="0" w:color="auto"/>
              <w:right w:val="single" w:sz="4" w:space="0" w:color="auto"/>
            </w:tcBorders>
            <w:shd w:val="clear" w:color="auto" w:fill="auto"/>
            <w:noWrap/>
            <w:vAlign w:val="bottom"/>
            <w:hideMark/>
          </w:tcPr>
          <w:p w14:paraId="6267BB2F"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90,7</w:t>
            </w:r>
          </w:p>
        </w:tc>
        <w:tc>
          <w:tcPr>
            <w:tcW w:w="854" w:type="dxa"/>
            <w:tcBorders>
              <w:top w:val="nil"/>
              <w:left w:val="nil"/>
              <w:bottom w:val="single" w:sz="4" w:space="0" w:color="auto"/>
              <w:right w:val="single" w:sz="4" w:space="0" w:color="auto"/>
            </w:tcBorders>
            <w:shd w:val="clear" w:color="auto" w:fill="auto"/>
            <w:noWrap/>
            <w:vAlign w:val="bottom"/>
            <w:hideMark/>
          </w:tcPr>
          <w:p w14:paraId="4084D6C3"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82,2</w:t>
            </w:r>
          </w:p>
        </w:tc>
        <w:tc>
          <w:tcPr>
            <w:tcW w:w="646" w:type="dxa"/>
            <w:tcBorders>
              <w:top w:val="nil"/>
              <w:left w:val="nil"/>
              <w:bottom w:val="single" w:sz="4" w:space="0" w:color="auto"/>
              <w:right w:val="single" w:sz="4" w:space="0" w:color="auto"/>
            </w:tcBorders>
            <w:shd w:val="clear" w:color="auto" w:fill="auto"/>
            <w:noWrap/>
            <w:vAlign w:val="bottom"/>
            <w:hideMark/>
          </w:tcPr>
          <w:p w14:paraId="432FC4C4"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41,5</w:t>
            </w:r>
          </w:p>
        </w:tc>
        <w:tc>
          <w:tcPr>
            <w:tcW w:w="780" w:type="dxa"/>
            <w:tcBorders>
              <w:top w:val="nil"/>
              <w:left w:val="nil"/>
              <w:bottom w:val="single" w:sz="4" w:space="0" w:color="auto"/>
              <w:right w:val="single" w:sz="4" w:space="0" w:color="auto"/>
            </w:tcBorders>
            <w:shd w:val="clear" w:color="auto" w:fill="auto"/>
            <w:noWrap/>
            <w:vAlign w:val="bottom"/>
            <w:hideMark/>
          </w:tcPr>
          <w:p w14:paraId="1A9C6973"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138,8</w:t>
            </w:r>
          </w:p>
        </w:tc>
        <w:tc>
          <w:tcPr>
            <w:tcW w:w="854" w:type="dxa"/>
            <w:tcBorders>
              <w:top w:val="nil"/>
              <w:left w:val="nil"/>
              <w:bottom w:val="single" w:sz="4" w:space="0" w:color="auto"/>
              <w:right w:val="single" w:sz="4" w:space="0" w:color="auto"/>
            </w:tcBorders>
            <w:shd w:val="clear" w:color="auto" w:fill="auto"/>
            <w:noWrap/>
            <w:vAlign w:val="bottom"/>
            <w:hideMark/>
          </w:tcPr>
          <w:p w14:paraId="7D8616DF"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95,5</w:t>
            </w:r>
          </w:p>
        </w:tc>
        <w:tc>
          <w:tcPr>
            <w:tcW w:w="646" w:type="dxa"/>
            <w:tcBorders>
              <w:top w:val="nil"/>
              <w:left w:val="nil"/>
              <w:bottom w:val="single" w:sz="4" w:space="0" w:color="auto"/>
              <w:right w:val="single" w:sz="4" w:space="0" w:color="auto"/>
            </w:tcBorders>
            <w:shd w:val="clear" w:color="auto" w:fill="auto"/>
            <w:noWrap/>
            <w:vAlign w:val="bottom"/>
            <w:hideMark/>
          </w:tcPr>
          <w:p w14:paraId="1C286EC3"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43,1</w:t>
            </w:r>
          </w:p>
        </w:tc>
        <w:tc>
          <w:tcPr>
            <w:tcW w:w="780" w:type="dxa"/>
            <w:tcBorders>
              <w:top w:val="nil"/>
              <w:left w:val="nil"/>
              <w:bottom w:val="single" w:sz="4" w:space="0" w:color="auto"/>
              <w:right w:val="single" w:sz="4" w:space="0" w:color="auto"/>
            </w:tcBorders>
            <w:shd w:val="clear" w:color="auto" w:fill="auto"/>
            <w:noWrap/>
            <w:vAlign w:val="bottom"/>
            <w:hideMark/>
          </w:tcPr>
          <w:p w14:paraId="562DEB28" w14:textId="77777777" w:rsidR="0073535A" w:rsidRPr="007C5A6E" w:rsidRDefault="0073535A" w:rsidP="008D1FFC">
            <w:pPr>
              <w:spacing w:after="0" w:line="240" w:lineRule="auto"/>
              <w:jc w:val="right"/>
              <w:rPr>
                <w:rFonts w:ascii="Times New Roman" w:hAnsi="Times New Roman"/>
                <w:color w:val="000000"/>
                <w:sz w:val="20"/>
                <w:szCs w:val="20"/>
              </w:rPr>
            </w:pPr>
            <w:r w:rsidRPr="007C5A6E">
              <w:rPr>
                <w:rFonts w:ascii="Times New Roman" w:hAnsi="Times New Roman"/>
                <w:color w:val="000000"/>
                <w:sz w:val="20"/>
                <w:szCs w:val="20"/>
              </w:rPr>
              <w:t>135,7</w:t>
            </w:r>
          </w:p>
        </w:tc>
      </w:tr>
    </w:tbl>
    <w:p w14:paraId="23D4DA92" w14:textId="77777777" w:rsidR="0073535A" w:rsidRPr="007C5A6E" w:rsidRDefault="0073535A" w:rsidP="008D1FFC">
      <w:pPr>
        <w:spacing w:after="0" w:line="240" w:lineRule="auto"/>
        <w:rPr>
          <w:rFonts w:ascii="Times New Roman" w:eastAsiaTheme="majorEastAsia" w:hAnsi="Times New Roman"/>
          <w:b/>
          <w:kern w:val="2"/>
          <w:sz w:val="26"/>
          <w:szCs w:val="24"/>
          <w:lang w:eastAsia="en-US"/>
          <w14:ligatures w14:val="standardContextual"/>
        </w:rPr>
      </w:pPr>
      <w:r w:rsidRPr="007C5A6E">
        <w:rPr>
          <w:rFonts w:ascii="Times New Roman" w:eastAsiaTheme="minorHAnsi" w:hAnsi="Times New Roman"/>
          <w:kern w:val="2"/>
          <w:sz w:val="24"/>
          <w:lang w:eastAsia="en-US"/>
          <w14:ligatures w14:val="standardContextual"/>
        </w:rPr>
        <w:br w:type="page"/>
      </w:r>
    </w:p>
    <w:p w14:paraId="37D1E71C" w14:textId="77777777" w:rsidR="0073535A" w:rsidRPr="007C5A6E" w:rsidRDefault="0073535A" w:rsidP="00704956">
      <w:pPr>
        <w:pStyle w:val="Titre3"/>
        <w:sectPr w:rsidR="0073535A" w:rsidRPr="007C5A6E" w:rsidSect="006514BA">
          <w:pgSz w:w="11907" w:h="16840" w:orient="landscape" w:code="9"/>
          <w:pgMar w:top="1191" w:right="1361" w:bottom="1191" w:left="1361" w:header="709" w:footer="709" w:gutter="0"/>
          <w:cols w:space="708"/>
          <w:docGrid w:linePitch="360"/>
        </w:sectPr>
      </w:pPr>
    </w:p>
    <w:p w14:paraId="0A9BEF5F" w14:textId="77777777" w:rsidR="0073535A" w:rsidRPr="007C5A6E" w:rsidRDefault="0073535A" w:rsidP="003F3821">
      <w:pPr>
        <w:pStyle w:val="Titre5"/>
        <w:numPr>
          <w:ilvl w:val="4"/>
          <w:numId w:val="4"/>
        </w:numPr>
        <w:ind w:left="907" w:hanging="907"/>
        <w:rPr>
          <w:rFonts w:ascii="Times New Roman" w:hAnsi="Times New Roman" w:cs="Times New Roman"/>
          <w:color w:val="auto"/>
          <w:u w:val="single"/>
          <w:lang w:eastAsia="en-US"/>
        </w:rPr>
      </w:pPr>
      <w:bookmarkStart w:id="172" w:name="_Toc183340053"/>
      <w:r w:rsidRPr="007C5A6E">
        <w:rPr>
          <w:rFonts w:ascii="Times New Roman" w:hAnsi="Times New Roman" w:cs="Times New Roman"/>
          <w:color w:val="auto"/>
          <w:u w:val="single"/>
          <w:lang w:eastAsia="en-US"/>
        </w:rPr>
        <w:t>En zone sahélienne</w:t>
      </w:r>
      <w:bookmarkEnd w:id="172"/>
    </w:p>
    <w:p w14:paraId="43888D9E" w14:textId="77777777" w:rsidR="00BC4843" w:rsidRPr="007C5A6E" w:rsidRDefault="00BC4843" w:rsidP="00C16EAB">
      <w:pPr>
        <w:pStyle w:val="Lgende"/>
        <w:spacing w:after="0"/>
        <w:jc w:val="both"/>
        <w:rPr>
          <w:rFonts w:ascii="Times New Roman" w:eastAsiaTheme="minorHAnsi" w:hAnsi="Times New Roman" w:cstheme="minorBidi"/>
          <w:i w:val="0"/>
          <w:iCs w:val="0"/>
          <w:color w:val="auto"/>
          <w:kern w:val="2"/>
          <w:sz w:val="24"/>
          <w:lang w:eastAsia="en-US"/>
          <w14:ligatures w14:val="standardContextual"/>
        </w:rPr>
      </w:pPr>
    </w:p>
    <w:p w14:paraId="0AA57147" w14:textId="42E43C6A" w:rsidR="00C16EAB" w:rsidRPr="007C5A6E" w:rsidRDefault="00C16EAB" w:rsidP="00C16EAB">
      <w:pPr>
        <w:pStyle w:val="Lgende"/>
        <w:spacing w:after="0"/>
        <w:jc w:val="both"/>
        <w:rPr>
          <w:rFonts w:ascii="Times New Roman" w:eastAsiaTheme="minorHAnsi" w:hAnsi="Times New Roman" w:cstheme="minorBidi"/>
          <w:i w:val="0"/>
          <w:iCs w:val="0"/>
          <w:color w:val="auto"/>
          <w:kern w:val="2"/>
          <w:sz w:val="24"/>
          <w:lang w:eastAsia="en-US"/>
          <w14:ligatures w14:val="standardContextual"/>
        </w:rPr>
      </w:pPr>
      <w:r w:rsidRPr="007C5A6E">
        <w:rPr>
          <w:rFonts w:ascii="Times New Roman" w:eastAsiaTheme="minorHAnsi" w:hAnsi="Times New Roman" w:cstheme="minorBidi"/>
          <w:i w:val="0"/>
          <w:iCs w:val="0"/>
          <w:noProof/>
          <w:color w:val="auto"/>
          <w:kern w:val="2"/>
          <w:sz w:val="24"/>
          <w:lang w:eastAsia="en-US"/>
          <w14:ligatures w14:val="standardContextual"/>
        </w:rPr>
        <w:drawing>
          <wp:anchor distT="0" distB="0" distL="114300" distR="114300" simplePos="0" relativeHeight="251686400" behindDoc="0" locked="0" layoutInCell="1" allowOverlap="1" wp14:anchorId="542289DF" wp14:editId="0C80059C">
            <wp:simplePos x="0" y="0"/>
            <wp:positionH relativeFrom="column">
              <wp:posOffset>43180</wp:posOffset>
            </wp:positionH>
            <wp:positionV relativeFrom="page">
              <wp:posOffset>6210300</wp:posOffset>
            </wp:positionV>
            <wp:extent cx="5867400" cy="2105025"/>
            <wp:effectExtent l="0" t="0" r="0" b="9525"/>
            <wp:wrapThrough wrapText="bothSides">
              <wp:wrapPolygon edited="0">
                <wp:start x="0" y="0"/>
                <wp:lineTo x="0" y="21502"/>
                <wp:lineTo x="21530" y="21502"/>
                <wp:lineTo x="21530" y="0"/>
                <wp:lineTo x="0" y="0"/>
              </wp:wrapPolygon>
            </wp:wrapThrough>
            <wp:docPr id="2146767822"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836351" name="Image 636836351"/>
                    <pic:cNvPicPr/>
                  </pic:nvPicPr>
                  <pic:blipFill>
                    <a:blip r:embed="rId83" cstate="email">
                      <a:extLst>
                        <a:ext uri="{BEBA8EAE-BF5A-486C-A8C5-ECC9F3942E4B}">
                          <a14:imgProps xmlns:a14="http://schemas.microsoft.com/office/drawing/2010/main">
                            <a14:imgLayer r:embed="rId84">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5867400" cy="2105025"/>
                    </a:xfrm>
                    <a:prstGeom prst="rect">
                      <a:avLst/>
                    </a:prstGeom>
                  </pic:spPr>
                </pic:pic>
              </a:graphicData>
            </a:graphic>
            <wp14:sizeRelH relativeFrom="margin">
              <wp14:pctWidth>0</wp14:pctWidth>
            </wp14:sizeRelH>
            <wp14:sizeRelV relativeFrom="margin">
              <wp14:pctHeight>0</wp14:pctHeight>
            </wp14:sizeRelV>
          </wp:anchor>
        </w:drawing>
      </w:r>
      <w:r w:rsidRPr="007C5A6E">
        <w:rPr>
          <w:rFonts w:ascii="Times New Roman" w:eastAsiaTheme="minorHAnsi" w:hAnsi="Times New Roman" w:cstheme="minorBidi"/>
          <w:i w:val="0"/>
          <w:iCs w:val="0"/>
          <w:noProof/>
          <w:color w:val="auto"/>
          <w:kern w:val="2"/>
          <w:sz w:val="24"/>
          <w:lang w:eastAsia="en-US"/>
          <w14:ligatures w14:val="standardContextual"/>
        </w:rPr>
        <w:drawing>
          <wp:anchor distT="0" distB="0" distL="114300" distR="114300" simplePos="0" relativeHeight="251685376" behindDoc="0" locked="0" layoutInCell="1" allowOverlap="1" wp14:anchorId="0BC2ADC2" wp14:editId="6D54A826">
            <wp:simplePos x="0" y="0"/>
            <wp:positionH relativeFrom="column">
              <wp:posOffset>43180</wp:posOffset>
            </wp:positionH>
            <wp:positionV relativeFrom="page">
              <wp:posOffset>4029075</wp:posOffset>
            </wp:positionV>
            <wp:extent cx="5867400" cy="2152650"/>
            <wp:effectExtent l="0" t="0" r="0" b="0"/>
            <wp:wrapThrough wrapText="bothSides">
              <wp:wrapPolygon edited="0">
                <wp:start x="0" y="0"/>
                <wp:lineTo x="0" y="21409"/>
                <wp:lineTo x="21530" y="21409"/>
                <wp:lineTo x="21530" y="0"/>
                <wp:lineTo x="0" y="0"/>
              </wp:wrapPolygon>
            </wp:wrapThrough>
            <wp:docPr id="868191380"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15991" name="Image 229215991"/>
                    <pic:cNvPicPr/>
                  </pic:nvPicPr>
                  <pic:blipFill>
                    <a:blip r:embed="rId85" cstate="email">
                      <a:extLst>
                        <a:ext uri="{28A0092B-C50C-407E-A947-70E740481C1C}">
                          <a14:useLocalDpi xmlns:a14="http://schemas.microsoft.com/office/drawing/2010/main"/>
                        </a:ext>
                      </a:extLst>
                    </a:blip>
                    <a:stretch>
                      <a:fillRect/>
                    </a:stretch>
                  </pic:blipFill>
                  <pic:spPr>
                    <a:xfrm>
                      <a:off x="0" y="0"/>
                      <a:ext cx="5867400" cy="2152650"/>
                    </a:xfrm>
                    <a:prstGeom prst="rect">
                      <a:avLst/>
                    </a:prstGeom>
                  </pic:spPr>
                </pic:pic>
              </a:graphicData>
            </a:graphic>
            <wp14:sizeRelH relativeFrom="margin">
              <wp14:pctWidth>0</wp14:pctWidth>
            </wp14:sizeRelH>
            <wp14:sizeRelV relativeFrom="margin">
              <wp14:pctHeight>0</wp14:pctHeight>
            </wp14:sizeRelV>
          </wp:anchor>
        </w:drawing>
      </w:r>
      <w:r w:rsidRPr="007C5A6E">
        <w:rPr>
          <w:rFonts w:ascii="Times New Roman" w:eastAsiaTheme="minorHAnsi" w:hAnsi="Times New Roman" w:cstheme="minorBidi"/>
          <w:i w:val="0"/>
          <w:iCs w:val="0"/>
          <w:noProof/>
          <w:color w:val="auto"/>
          <w:kern w:val="2"/>
          <w:sz w:val="24"/>
          <w:lang w:eastAsia="en-US"/>
          <w14:ligatures w14:val="standardContextual"/>
        </w:rPr>
        <w:drawing>
          <wp:anchor distT="0" distB="0" distL="114300" distR="114300" simplePos="0" relativeHeight="251684352" behindDoc="0" locked="0" layoutInCell="1" allowOverlap="1" wp14:anchorId="45EE9A90" wp14:editId="4E8E5FA9">
            <wp:simplePos x="0" y="0"/>
            <wp:positionH relativeFrom="column">
              <wp:posOffset>43180</wp:posOffset>
            </wp:positionH>
            <wp:positionV relativeFrom="paragraph">
              <wp:posOffset>718820</wp:posOffset>
            </wp:positionV>
            <wp:extent cx="5800725" cy="2095500"/>
            <wp:effectExtent l="0" t="0" r="9525" b="0"/>
            <wp:wrapThrough wrapText="bothSides">
              <wp:wrapPolygon edited="0">
                <wp:start x="0" y="0"/>
                <wp:lineTo x="0" y="21404"/>
                <wp:lineTo x="21565" y="21404"/>
                <wp:lineTo x="21565" y="0"/>
                <wp:lineTo x="0" y="0"/>
              </wp:wrapPolygon>
            </wp:wrapThrough>
            <wp:docPr id="1297761717"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471970" name="Image 1789471970"/>
                    <pic:cNvPicPr/>
                  </pic:nvPicPr>
                  <pic:blipFill>
                    <a:blip r:embed="rId86" cstate="email">
                      <a:extLst>
                        <a:ext uri="{28A0092B-C50C-407E-A947-70E740481C1C}">
                          <a14:useLocalDpi xmlns:a14="http://schemas.microsoft.com/office/drawing/2010/main"/>
                        </a:ext>
                      </a:extLst>
                    </a:blip>
                    <a:stretch>
                      <a:fillRect/>
                    </a:stretch>
                  </pic:blipFill>
                  <pic:spPr>
                    <a:xfrm>
                      <a:off x="0" y="0"/>
                      <a:ext cx="5800725" cy="2095500"/>
                    </a:xfrm>
                    <a:prstGeom prst="rect">
                      <a:avLst/>
                    </a:prstGeom>
                  </pic:spPr>
                </pic:pic>
              </a:graphicData>
            </a:graphic>
            <wp14:sizeRelH relativeFrom="margin">
              <wp14:pctWidth>0</wp14:pctWidth>
            </wp14:sizeRelH>
            <wp14:sizeRelV relativeFrom="margin">
              <wp14:pctHeight>0</wp14:pctHeight>
            </wp14:sizeRelV>
          </wp:anchor>
        </w:drawing>
      </w:r>
      <w:r w:rsidR="0073535A" w:rsidRPr="007C5A6E">
        <w:rPr>
          <w:rFonts w:ascii="Times New Roman" w:eastAsiaTheme="minorHAnsi" w:hAnsi="Times New Roman" w:cstheme="minorBidi"/>
          <w:i w:val="0"/>
          <w:iCs w:val="0"/>
          <w:color w:val="auto"/>
          <w:kern w:val="2"/>
          <w:sz w:val="24"/>
          <w:lang w:eastAsia="en-US"/>
          <w14:ligatures w14:val="standardContextual"/>
        </w:rPr>
        <w:t xml:space="preserve">De l’examen du tableau </w:t>
      </w:r>
      <w:r w:rsidR="00314978" w:rsidRPr="007C5A6E">
        <w:rPr>
          <w:rFonts w:ascii="Times New Roman" w:eastAsiaTheme="minorHAnsi" w:hAnsi="Times New Roman" w:cstheme="minorBidi"/>
          <w:i w:val="0"/>
          <w:iCs w:val="0"/>
          <w:color w:val="auto"/>
          <w:kern w:val="2"/>
          <w:sz w:val="24"/>
          <w:lang w:eastAsia="en-US"/>
          <w14:ligatures w14:val="standardContextual"/>
        </w:rPr>
        <w:t>5</w:t>
      </w:r>
      <w:r w:rsidR="0073535A" w:rsidRPr="007C5A6E">
        <w:rPr>
          <w:rFonts w:ascii="Times New Roman" w:eastAsiaTheme="minorHAnsi" w:hAnsi="Times New Roman" w:cstheme="minorBidi"/>
          <w:i w:val="0"/>
          <w:iCs w:val="0"/>
          <w:color w:val="auto"/>
          <w:kern w:val="2"/>
          <w:sz w:val="24"/>
          <w:lang w:eastAsia="en-US"/>
          <w14:ligatures w14:val="standardContextual"/>
        </w:rPr>
        <w:t xml:space="preserve"> et de la figure</w:t>
      </w:r>
      <w:r w:rsidR="000E628E" w:rsidRPr="007C5A6E">
        <w:rPr>
          <w:rFonts w:ascii="Times New Roman" w:eastAsiaTheme="minorHAnsi" w:hAnsi="Times New Roman" w:cstheme="minorBidi"/>
          <w:i w:val="0"/>
          <w:iCs w:val="0"/>
          <w:color w:val="auto"/>
          <w:kern w:val="2"/>
          <w:sz w:val="24"/>
          <w:lang w:eastAsia="en-US"/>
          <w14:ligatures w14:val="standardContextual"/>
        </w:rPr>
        <w:t xml:space="preserve"> </w:t>
      </w:r>
      <w:r w:rsidR="0073535A" w:rsidRPr="007C5A6E">
        <w:rPr>
          <w:rFonts w:ascii="Times New Roman" w:eastAsiaTheme="minorHAnsi" w:hAnsi="Times New Roman" w:cstheme="minorBidi"/>
          <w:i w:val="0"/>
          <w:iCs w:val="0"/>
          <w:color w:val="auto"/>
          <w:kern w:val="2"/>
          <w:sz w:val="24"/>
          <w:lang w:eastAsia="en-US"/>
          <w14:ligatures w14:val="standardContextual"/>
        </w:rPr>
        <w:t>22, pour la station de Dori, il ressort que tous les indices pluviométriques augmentent fortement en 2050 et 2100 par rapport aux valeurs de l’année 2000 et cela pour tous les scénarios. A long terme le risque de sécheresse devrait donc diminuer, mais celui des inondations augmenter.</w:t>
      </w:r>
      <w:r w:rsidRPr="007C5A6E">
        <w:rPr>
          <w:rFonts w:ascii="Times New Roman" w:eastAsiaTheme="minorHAnsi" w:hAnsi="Times New Roman" w:cstheme="minorBidi"/>
          <w:i w:val="0"/>
          <w:iCs w:val="0"/>
          <w:color w:val="auto"/>
          <w:kern w:val="2"/>
          <w:sz w:val="24"/>
          <w:lang w:eastAsia="en-US"/>
          <w14:ligatures w14:val="standardContextual"/>
        </w:rPr>
        <w:t xml:space="preserve"> </w:t>
      </w:r>
    </w:p>
    <w:p w14:paraId="040B5247" w14:textId="44C0E42D" w:rsidR="00C16EAB" w:rsidRPr="007C5A6E" w:rsidRDefault="00C16EAB" w:rsidP="00C16EAB">
      <w:pPr>
        <w:pStyle w:val="Lgende"/>
        <w:spacing w:after="0"/>
        <w:jc w:val="both"/>
        <w:rPr>
          <w:rFonts w:ascii="Times New Roman" w:eastAsiaTheme="minorHAnsi" w:hAnsi="Times New Roman"/>
          <w:kern w:val="2"/>
          <w:sz w:val="24"/>
          <w:szCs w:val="24"/>
          <w:lang w:eastAsia="en-US"/>
          <w14:ligatures w14:val="standardContextual"/>
        </w:rPr>
      </w:pPr>
      <w:bookmarkStart w:id="173" w:name="_Toc183230869"/>
      <w:bookmarkStart w:id="174" w:name="_Toc183240662"/>
      <w:bookmarkStart w:id="175" w:name="_Toc183340401"/>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235203" w:rsidRPr="007C5A6E">
        <w:rPr>
          <w:rFonts w:ascii="Times New Roman" w:hAnsi="Times New Roman"/>
          <w:noProof/>
          <w:color w:val="auto"/>
          <w:sz w:val="24"/>
          <w:szCs w:val="24"/>
        </w:rPr>
        <w:t>22</w:t>
      </w:r>
      <w:r w:rsidRPr="007C5A6E">
        <w:rPr>
          <w:rFonts w:ascii="Times New Roman" w:hAnsi="Times New Roman"/>
          <w:color w:val="auto"/>
          <w:sz w:val="24"/>
          <w:szCs w:val="24"/>
        </w:rPr>
        <w:fldChar w:fldCharType="end"/>
      </w:r>
      <w:r w:rsidRPr="007C5A6E">
        <w:rPr>
          <w:rFonts w:ascii="Times New Roman" w:eastAsiaTheme="minorHAnsi" w:hAnsi="Times New Roman"/>
          <w:color w:val="auto"/>
          <w:kern w:val="2"/>
          <w:sz w:val="24"/>
          <w:szCs w:val="24"/>
          <w:lang w:eastAsia="en-US"/>
          <w14:ligatures w14:val="standardContextual"/>
        </w:rPr>
        <w:t>. Dori : projections de la pluie annuelle, de la pluie maximale sur 5 jours et de la pluie maximale journalière</w:t>
      </w:r>
      <w:bookmarkEnd w:id="173"/>
      <w:bookmarkEnd w:id="174"/>
      <w:bookmarkEnd w:id="175"/>
    </w:p>
    <w:p w14:paraId="4F4471FA" w14:textId="037B9412" w:rsidR="0073535A" w:rsidRPr="007C5A6E" w:rsidRDefault="0073535A" w:rsidP="0073535A">
      <w:pPr>
        <w:spacing w:after="0" w:line="240" w:lineRule="auto"/>
        <w:jc w:val="both"/>
        <w:rPr>
          <w:rFonts w:ascii="Times New Roman" w:eastAsiaTheme="minorHAnsi" w:hAnsi="Times New Roman" w:cstheme="minorBidi"/>
          <w:b/>
          <w:bCs/>
          <w:kern w:val="2"/>
          <w:sz w:val="24"/>
          <w:lang w:eastAsia="en-US"/>
          <w14:ligatures w14:val="standardContextual"/>
        </w:rPr>
      </w:pPr>
    </w:p>
    <w:p w14:paraId="0FD55D83" w14:textId="1ACD60B9" w:rsidR="0073535A" w:rsidRPr="007C5A6E" w:rsidRDefault="0073535A" w:rsidP="003F3821">
      <w:pPr>
        <w:pStyle w:val="Titre5"/>
        <w:numPr>
          <w:ilvl w:val="4"/>
          <w:numId w:val="4"/>
        </w:numPr>
        <w:ind w:left="907" w:hanging="907"/>
        <w:rPr>
          <w:rFonts w:ascii="Times New Roman" w:hAnsi="Times New Roman" w:cs="Times New Roman"/>
          <w:color w:val="auto"/>
          <w:u w:val="single"/>
          <w:lang w:eastAsia="en-US"/>
        </w:rPr>
      </w:pPr>
      <w:bookmarkStart w:id="176" w:name="_Toc183340054"/>
      <w:r w:rsidRPr="007C5A6E">
        <w:rPr>
          <w:rFonts w:ascii="Times New Roman" w:hAnsi="Times New Roman" w:cs="Times New Roman"/>
          <w:color w:val="auto"/>
          <w:u w:val="single"/>
          <w:lang w:eastAsia="en-US"/>
        </w:rPr>
        <w:t>En zone soudano-sahélienne</w:t>
      </w:r>
      <w:bookmarkEnd w:id="176"/>
    </w:p>
    <w:p w14:paraId="07712E54" w14:textId="77777777" w:rsidR="0073535A" w:rsidRPr="007C5A6E" w:rsidRDefault="0073535A" w:rsidP="0073535A">
      <w:pPr>
        <w:spacing w:after="0" w:line="240" w:lineRule="auto"/>
        <w:rPr>
          <w:rFonts w:ascii="Times New Roman" w:eastAsiaTheme="minorHAnsi" w:hAnsi="Times New Roman" w:cstheme="minorBidi"/>
          <w:kern w:val="2"/>
          <w:sz w:val="24"/>
          <w:lang w:eastAsia="en-US"/>
          <w14:ligatures w14:val="standardContextual"/>
        </w:rPr>
      </w:pPr>
    </w:p>
    <w:p w14:paraId="1C0B07C9" w14:textId="1B96119D" w:rsidR="0073535A" w:rsidRPr="007C5A6E" w:rsidRDefault="00AE0C9D" w:rsidP="0073535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hAnsi="Times New Roman"/>
          <w:noProof/>
          <w:sz w:val="24"/>
          <w:szCs w:val="24"/>
        </w:rPr>
        <w:drawing>
          <wp:anchor distT="0" distB="0" distL="114300" distR="114300" simplePos="0" relativeHeight="251683328" behindDoc="1" locked="0" layoutInCell="1" allowOverlap="1" wp14:anchorId="4F53075B" wp14:editId="4C3CF7E5">
            <wp:simplePos x="0" y="0"/>
            <wp:positionH relativeFrom="column">
              <wp:posOffset>33655</wp:posOffset>
            </wp:positionH>
            <wp:positionV relativeFrom="page">
              <wp:posOffset>3505200</wp:posOffset>
            </wp:positionV>
            <wp:extent cx="5810250" cy="2314575"/>
            <wp:effectExtent l="0" t="0" r="0" b="9525"/>
            <wp:wrapThrough wrapText="bothSides">
              <wp:wrapPolygon edited="0">
                <wp:start x="0" y="0"/>
                <wp:lineTo x="0" y="21511"/>
                <wp:lineTo x="21529" y="21511"/>
                <wp:lineTo x="21529" y="0"/>
                <wp:lineTo x="0" y="0"/>
              </wp:wrapPolygon>
            </wp:wrapThrough>
            <wp:docPr id="381475829"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418401" name="Image 1303418401"/>
                    <pic:cNvPicPr/>
                  </pic:nvPicPr>
                  <pic:blipFill>
                    <a:blip r:embed="rId87" cstate="email">
                      <a:extLst>
                        <a:ext uri="{28A0092B-C50C-407E-A947-70E740481C1C}">
                          <a14:useLocalDpi xmlns:a14="http://schemas.microsoft.com/office/drawing/2010/main"/>
                        </a:ext>
                      </a:extLst>
                    </a:blip>
                    <a:stretch>
                      <a:fillRect/>
                    </a:stretch>
                  </pic:blipFill>
                  <pic:spPr>
                    <a:xfrm>
                      <a:off x="0" y="0"/>
                      <a:ext cx="5810250" cy="2314575"/>
                    </a:xfrm>
                    <a:prstGeom prst="rect">
                      <a:avLst/>
                    </a:prstGeom>
                  </pic:spPr>
                </pic:pic>
              </a:graphicData>
            </a:graphic>
            <wp14:sizeRelH relativeFrom="margin">
              <wp14:pctWidth>0</wp14:pctWidth>
            </wp14:sizeRelH>
            <wp14:sizeRelV relativeFrom="margin">
              <wp14:pctHeight>0</wp14:pctHeight>
            </wp14:sizeRelV>
          </wp:anchor>
        </w:drawing>
      </w:r>
      <w:r w:rsidRPr="007C5A6E">
        <w:rPr>
          <w:rFonts w:ascii="Times New Roman" w:eastAsiaTheme="minorHAnsi" w:hAnsi="Times New Roman" w:cstheme="minorBidi"/>
          <w:noProof/>
          <w:kern w:val="2"/>
          <w:sz w:val="24"/>
          <w:lang w:eastAsia="en-US"/>
          <w14:ligatures w14:val="standardContextual"/>
        </w:rPr>
        <w:drawing>
          <wp:anchor distT="0" distB="0" distL="114300" distR="114300" simplePos="0" relativeHeight="251687424" behindDoc="0" locked="0" layoutInCell="1" allowOverlap="1" wp14:anchorId="479F2915" wp14:editId="3BB7CDA2">
            <wp:simplePos x="0" y="0"/>
            <wp:positionH relativeFrom="column">
              <wp:posOffset>33655</wp:posOffset>
            </wp:positionH>
            <wp:positionV relativeFrom="page">
              <wp:posOffset>1485900</wp:posOffset>
            </wp:positionV>
            <wp:extent cx="5810250" cy="2019300"/>
            <wp:effectExtent l="0" t="0" r="0" b="0"/>
            <wp:wrapThrough wrapText="bothSides">
              <wp:wrapPolygon edited="0">
                <wp:start x="0" y="0"/>
                <wp:lineTo x="0" y="21396"/>
                <wp:lineTo x="21529" y="21396"/>
                <wp:lineTo x="21529" y="0"/>
                <wp:lineTo x="0" y="0"/>
              </wp:wrapPolygon>
            </wp:wrapThrough>
            <wp:docPr id="2084014503"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351295" name="Image 809351295"/>
                    <pic:cNvPicPr/>
                  </pic:nvPicPr>
                  <pic:blipFill>
                    <a:blip r:embed="rId88" cstate="email">
                      <a:extLst>
                        <a:ext uri="{28A0092B-C50C-407E-A947-70E740481C1C}">
                          <a14:useLocalDpi xmlns:a14="http://schemas.microsoft.com/office/drawing/2010/main"/>
                        </a:ext>
                      </a:extLst>
                    </a:blip>
                    <a:stretch>
                      <a:fillRect/>
                    </a:stretch>
                  </pic:blipFill>
                  <pic:spPr>
                    <a:xfrm>
                      <a:off x="0" y="0"/>
                      <a:ext cx="5810250" cy="2019300"/>
                    </a:xfrm>
                    <a:prstGeom prst="rect">
                      <a:avLst/>
                    </a:prstGeom>
                  </pic:spPr>
                </pic:pic>
              </a:graphicData>
            </a:graphic>
            <wp14:sizeRelH relativeFrom="page">
              <wp14:pctWidth>0</wp14:pctWidth>
            </wp14:sizeRelH>
            <wp14:sizeRelV relativeFrom="page">
              <wp14:pctHeight>0</wp14:pctHeight>
            </wp14:sizeRelV>
          </wp:anchor>
        </w:drawing>
      </w:r>
      <w:r w:rsidR="0073535A" w:rsidRPr="007C5A6E">
        <w:rPr>
          <w:rFonts w:ascii="Times New Roman" w:eastAsiaTheme="minorHAnsi" w:hAnsi="Times New Roman" w:cstheme="minorBidi"/>
          <w:kern w:val="2"/>
          <w:sz w:val="24"/>
          <w:lang w:eastAsia="en-US"/>
          <w14:ligatures w14:val="standardContextual"/>
        </w:rPr>
        <w:t xml:space="preserve">Sur la station de Ouagadougou (tableau </w:t>
      </w:r>
      <w:r w:rsidR="00EE5E3B" w:rsidRPr="007C5A6E">
        <w:rPr>
          <w:rFonts w:ascii="Times New Roman" w:eastAsiaTheme="minorHAnsi" w:hAnsi="Times New Roman" w:cstheme="minorBidi"/>
          <w:kern w:val="2"/>
          <w:sz w:val="24"/>
          <w:lang w:eastAsia="en-US"/>
          <w14:ligatures w14:val="standardContextual"/>
        </w:rPr>
        <w:t>5</w:t>
      </w:r>
      <w:r w:rsidR="0073535A" w:rsidRPr="007C5A6E">
        <w:rPr>
          <w:rFonts w:ascii="Times New Roman" w:eastAsiaTheme="minorHAnsi" w:hAnsi="Times New Roman" w:cstheme="minorBidi"/>
          <w:kern w:val="2"/>
          <w:sz w:val="24"/>
          <w:lang w:eastAsia="en-US"/>
          <w14:ligatures w14:val="standardContextual"/>
        </w:rPr>
        <w:t xml:space="preserve"> et figure </w:t>
      </w:r>
      <w:r w:rsidR="000E628E" w:rsidRPr="007C5A6E">
        <w:rPr>
          <w:rFonts w:ascii="Times New Roman" w:eastAsiaTheme="minorHAnsi" w:hAnsi="Times New Roman" w:cstheme="minorBidi"/>
          <w:kern w:val="2"/>
          <w:sz w:val="24"/>
          <w:lang w:eastAsia="en-US"/>
          <w14:ligatures w14:val="standardContextual"/>
        </w:rPr>
        <w:t>23</w:t>
      </w:r>
      <w:r w:rsidR="0073535A" w:rsidRPr="007C5A6E">
        <w:rPr>
          <w:rFonts w:ascii="Times New Roman" w:eastAsiaTheme="minorHAnsi" w:hAnsi="Times New Roman" w:cstheme="minorBidi"/>
          <w:kern w:val="2"/>
          <w:sz w:val="24"/>
          <w:lang w:eastAsia="en-US"/>
          <w14:ligatures w14:val="standardContextual"/>
        </w:rPr>
        <w:t>) les indices augmentent linéairement au même rythme pour les 3 scénarios jusqu’en 2050. A partir de là l’augmentation continue pour les scénarios SSP370 et SSP585 à un rythme moindre tandis qu’il y a stabilité pour SSP245.</w:t>
      </w:r>
    </w:p>
    <w:p w14:paraId="42FBC363" w14:textId="609D31A1" w:rsidR="00C16EAB" w:rsidRPr="007C5A6E" w:rsidRDefault="00807DEF" w:rsidP="0073535A">
      <w:pPr>
        <w:spacing w:after="0" w:line="240" w:lineRule="auto"/>
        <w:jc w:val="both"/>
        <w:rPr>
          <w:rFonts w:ascii="Times New Roman" w:eastAsiaTheme="minorHAnsi" w:hAnsi="Times New Roman" w:cstheme="minorBidi"/>
          <w:noProof/>
          <w:kern w:val="2"/>
          <w:sz w:val="24"/>
          <w:lang w:eastAsia="en-US"/>
          <w14:ligatures w14:val="standardContextual"/>
        </w:rPr>
      </w:pPr>
      <w:r w:rsidRPr="007C5A6E">
        <w:rPr>
          <w:rFonts w:ascii="Times New Roman" w:eastAsiaTheme="minorHAnsi" w:hAnsi="Times New Roman" w:cstheme="minorBidi"/>
          <w:noProof/>
          <w:kern w:val="2"/>
          <w:sz w:val="24"/>
          <w:lang w:eastAsia="en-US"/>
          <w14:ligatures w14:val="standardContextual"/>
        </w:rPr>
        <w:drawing>
          <wp:inline distT="0" distB="0" distL="0" distR="0" wp14:anchorId="0985D664" wp14:editId="7E499122">
            <wp:extent cx="5932805" cy="2219325"/>
            <wp:effectExtent l="0" t="0" r="0" b="9525"/>
            <wp:docPr id="320449220"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449220" name="Image 320449220"/>
                    <pic:cNvPicPr/>
                  </pic:nvPicPr>
                  <pic:blipFill>
                    <a:blip r:embed="rId89" cstate="email">
                      <a:extLst>
                        <a:ext uri="{28A0092B-C50C-407E-A947-70E740481C1C}">
                          <a14:useLocalDpi xmlns:a14="http://schemas.microsoft.com/office/drawing/2010/main"/>
                        </a:ext>
                      </a:extLst>
                    </a:blip>
                    <a:stretch>
                      <a:fillRect/>
                    </a:stretch>
                  </pic:blipFill>
                  <pic:spPr>
                    <a:xfrm>
                      <a:off x="0" y="0"/>
                      <a:ext cx="5932808" cy="2219326"/>
                    </a:xfrm>
                    <a:prstGeom prst="rect">
                      <a:avLst/>
                    </a:prstGeom>
                  </pic:spPr>
                </pic:pic>
              </a:graphicData>
            </a:graphic>
          </wp:inline>
        </w:drawing>
      </w:r>
    </w:p>
    <w:p w14:paraId="405DD09A" w14:textId="2E7B75B4" w:rsidR="00807DEF" w:rsidRPr="007C5A6E" w:rsidRDefault="00807DEF" w:rsidP="00807DEF">
      <w:pPr>
        <w:pStyle w:val="Lgende"/>
        <w:spacing w:after="0"/>
        <w:rPr>
          <w:rFonts w:ascii="Times New Roman" w:eastAsiaTheme="minorHAnsi" w:hAnsi="Times New Roman"/>
          <w:color w:val="auto"/>
          <w:kern w:val="2"/>
          <w:sz w:val="24"/>
          <w:szCs w:val="24"/>
          <w:lang w:eastAsia="en-US"/>
          <w14:ligatures w14:val="standardContextual"/>
        </w:rPr>
      </w:pPr>
      <w:bookmarkStart w:id="177" w:name="_Toc183230870"/>
      <w:bookmarkStart w:id="178" w:name="_Toc183240663"/>
      <w:bookmarkStart w:id="179" w:name="_Toc183340402"/>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23</w:t>
      </w:r>
      <w:r w:rsidRPr="007C5A6E">
        <w:rPr>
          <w:rFonts w:ascii="Times New Roman" w:hAnsi="Times New Roman"/>
          <w:color w:val="auto"/>
          <w:sz w:val="24"/>
          <w:szCs w:val="24"/>
        </w:rPr>
        <w:fldChar w:fldCharType="end"/>
      </w:r>
      <w:r w:rsidR="00E94E92" w:rsidRPr="007C5A6E">
        <w:rPr>
          <w:rFonts w:ascii="Times New Roman" w:eastAsiaTheme="minorHAnsi" w:hAnsi="Times New Roman"/>
          <w:color w:val="auto"/>
          <w:kern w:val="2"/>
          <w:sz w:val="24"/>
          <w:szCs w:val="24"/>
          <w:lang w:eastAsia="en-US"/>
          <w14:ligatures w14:val="standardContextual"/>
        </w:rPr>
        <w:t>.</w:t>
      </w:r>
      <w:r w:rsidRPr="007C5A6E">
        <w:rPr>
          <w:rFonts w:ascii="Times New Roman" w:eastAsiaTheme="minorHAnsi" w:hAnsi="Times New Roman"/>
          <w:color w:val="auto"/>
          <w:kern w:val="2"/>
          <w:sz w:val="24"/>
          <w:szCs w:val="24"/>
          <w:lang w:eastAsia="en-US"/>
          <w14:ligatures w14:val="standardContextual"/>
        </w:rPr>
        <w:t xml:space="preserve"> Ouagadougou : projections de la pluie annuelle, de la pluie maximale sur 5 jours et de la pluie maximale journalière</w:t>
      </w:r>
      <w:bookmarkEnd w:id="177"/>
      <w:bookmarkEnd w:id="178"/>
      <w:bookmarkEnd w:id="179"/>
    </w:p>
    <w:p w14:paraId="70D356D7" w14:textId="77777777" w:rsidR="00AE0C9D" w:rsidRPr="007C5A6E" w:rsidRDefault="00AE0C9D" w:rsidP="00AE0C9D">
      <w:pPr>
        <w:spacing w:after="0" w:line="240" w:lineRule="auto"/>
        <w:rPr>
          <w:rFonts w:eastAsiaTheme="minorHAnsi"/>
          <w:lang w:eastAsia="en-US"/>
        </w:rPr>
      </w:pPr>
    </w:p>
    <w:p w14:paraId="3A9315EF" w14:textId="77777777" w:rsidR="0073535A" w:rsidRPr="007C5A6E" w:rsidRDefault="0073535A" w:rsidP="003F3821">
      <w:pPr>
        <w:pStyle w:val="Titre5"/>
        <w:numPr>
          <w:ilvl w:val="4"/>
          <w:numId w:val="4"/>
        </w:numPr>
        <w:ind w:left="907" w:hanging="907"/>
        <w:rPr>
          <w:rFonts w:ascii="Times New Roman" w:hAnsi="Times New Roman" w:cs="Times New Roman"/>
          <w:color w:val="auto"/>
          <w:u w:val="single"/>
          <w:lang w:eastAsia="en-US"/>
        </w:rPr>
      </w:pPr>
      <w:bookmarkStart w:id="180" w:name="_Toc183340055"/>
      <w:r w:rsidRPr="007C5A6E">
        <w:rPr>
          <w:rFonts w:ascii="Times New Roman" w:hAnsi="Times New Roman" w:cs="Times New Roman"/>
          <w:color w:val="auto"/>
          <w:u w:val="single"/>
          <w:lang w:eastAsia="en-US"/>
        </w:rPr>
        <w:t>En zone soudanienne</w:t>
      </w:r>
      <w:bookmarkEnd w:id="180"/>
    </w:p>
    <w:p w14:paraId="37BD40B9" w14:textId="77777777" w:rsidR="0073535A" w:rsidRPr="007C5A6E" w:rsidRDefault="0073535A" w:rsidP="0073535A">
      <w:pPr>
        <w:spacing w:after="0" w:line="240" w:lineRule="auto"/>
        <w:jc w:val="both"/>
        <w:rPr>
          <w:rFonts w:ascii="Times New Roman" w:eastAsiaTheme="minorHAnsi" w:hAnsi="Times New Roman" w:cstheme="minorBidi"/>
          <w:kern w:val="2"/>
          <w:sz w:val="24"/>
          <w:lang w:eastAsia="en-US"/>
          <w14:ligatures w14:val="standardContextual"/>
        </w:rPr>
      </w:pPr>
    </w:p>
    <w:p w14:paraId="7268DD4F" w14:textId="19481CD9" w:rsidR="0073535A" w:rsidRPr="007C5A6E" w:rsidRDefault="0073535A" w:rsidP="0073535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 xml:space="preserve">Sur la station de Bobo-Dioulasso (tableau </w:t>
      </w:r>
      <w:r w:rsidR="00E94E92" w:rsidRPr="007C5A6E">
        <w:rPr>
          <w:rFonts w:ascii="Times New Roman" w:eastAsiaTheme="minorHAnsi" w:hAnsi="Times New Roman" w:cstheme="minorBidi"/>
          <w:kern w:val="2"/>
          <w:sz w:val="24"/>
          <w:lang w:eastAsia="en-US"/>
          <w14:ligatures w14:val="standardContextual"/>
        </w:rPr>
        <w:t>5</w:t>
      </w:r>
      <w:r w:rsidRPr="007C5A6E">
        <w:rPr>
          <w:rFonts w:ascii="Times New Roman" w:eastAsiaTheme="minorHAnsi" w:hAnsi="Times New Roman" w:cstheme="minorBidi"/>
          <w:kern w:val="2"/>
          <w:sz w:val="24"/>
          <w:lang w:eastAsia="en-US"/>
          <w14:ligatures w14:val="standardContextual"/>
        </w:rPr>
        <w:t xml:space="preserve"> et figure </w:t>
      </w:r>
      <w:r w:rsidR="000E628E" w:rsidRPr="007C5A6E">
        <w:rPr>
          <w:rFonts w:ascii="Times New Roman" w:eastAsiaTheme="minorHAnsi" w:hAnsi="Times New Roman" w:cstheme="minorBidi"/>
          <w:kern w:val="2"/>
          <w:sz w:val="24"/>
          <w:lang w:eastAsia="en-US"/>
          <w14:ligatures w14:val="standardContextual"/>
        </w:rPr>
        <w:t>24</w:t>
      </w:r>
      <w:r w:rsidRPr="007C5A6E">
        <w:rPr>
          <w:rFonts w:ascii="Times New Roman" w:eastAsiaTheme="minorHAnsi" w:hAnsi="Times New Roman" w:cstheme="minorBidi"/>
          <w:kern w:val="2"/>
          <w:sz w:val="24"/>
          <w:lang w:eastAsia="en-US"/>
          <w14:ligatures w14:val="standardContextual"/>
        </w:rPr>
        <w:t>), il est remarquable qu’après une phase d’augmentation par rapport aux valeurs de l’année 2000, les valeurs restent stables à partir de 2020 pour les scénarios SSP245 et SSP370 alors qu’elles augmentent de nouveau à partir de 2080 pour le scénario SSP585.</w:t>
      </w:r>
    </w:p>
    <w:p w14:paraId="60470801" w14:textId="7F9B7BCD" w:rsidR="00432BA7" w:rsidRPr="007C5A6E" w:rsidRDefault="00807DEF" w:rsidP="000E628E">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noProof/>
          <w:kern w:val="2"/>
          <w:sz w:val="24"/>
          <w:lang w:eastAsia="en-US"/>
          <w14:ligatures w14:val="standardContextual"/>
        </w:rPr>
        <w:drawing>
          <wp:inline distT="0" distB="0" distL="0" distR="0" wp14:anchorId="0AE959F7" wp14:editId="4063BC71">
            <wp:extent cx="5876925" cy="2343150"/>
            <wp:effectExtent l="0" t="0" r="9525" b="0"/>
            <wp:docPr id="204937340"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255161" name="Image 2121255161"/>
                    <pic:cNvPicPr/>
                  </pic:nvPicPr>
                  <pic:blipFill>
                    <a:blip r:embed="rId90" cstate="email">
                      <a:extLst>
                        <a:ext uri="{28A0092B-C50C-407E-A947-70E740481C1C}">
                          <a14:useLocalDpi xmlns:a14="http://schemas.microsoft.com/office/drawing/2010/main"/>
                        </a:ext>
                      </a:extLst>
                    </a:blip>
                    <a:stretch>
                      <a:fillRect/>
                    </a:stretch>
                  </pic:blipFill>
                  <pic:spPr>
                    <a:xfrm>
                      <a:off x="0" y="0"/>
                      <a:ext cx="5917748" cy="2359426"/>
                    </a:xfrm>
                    <a:prstGeom prst="rect">
                      <a:avLst/>
                    </a:prstGeom>
                  </pic:spPr>
                </pic:pic>
              </a:graphicData>
            </a:graphic>
          </wp:inline>
        </w:drawing>
      </w:r>
    </w:p>
    <w:p w14:paraId="34F164A6" w14:textId="63331A7F" w:rsidR="00432BA7" w:rsidRPr="007C5A6E" w:rsidRDefault="004A62FD" w:rsidP="004A62FD">
      <w:pPr>
        <w:pStyle w:val="Lgende"/>
        <w:spacing w:after="0"/>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 xml:space="preserve"> </w:t>
      </w:r>
      <w:r w:rsidR="00807DEF" w:rsidRPr="007C5A6E">
        <w:rPr>
          <w:rFonts w:ascii="Times New Roman" w:eastAsiaTheme="minorHAnsi" w:hAnsi="Times New Roman" w:cstheme="minorBidi"/>
          <w:noProof/>
          <w:kern w:val="2"/>
          <w:sz w:val="24"/>
          <w:lang w:eastAsia="en-US"/>
          <w14:ligatures w14:val="standardContextual"/>
        </w:rPr>
        <w:drawing>
          <wp:inline distT="0" distB="0" distL="0" distR="0" wp14:anchorId="3A8C6C67" wp14:editId="66ED734D">
            <wp:extent cx="5875655" cy="2324100"/>
            <wp:effectExtent l="0" t="0" r="0" b="0"/>
            <wp:docPr id="1616637649"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386075" name="Image 1105386075"/>
                    <pic:cNvPicPr/>
                  </pic:nvPicPr>
                  <pic:blipFill>
                    <a:blip r:embed="rId91" cstate="email">
                      <a:extLst>
                        <a:ext uri="{28A0092B-C50C-407E-A947-70E740481C1C}">
                          <a14:useLocalDpi xmlns:a14="http://schemas.microsoft.com/office/drawing/2010/main"/>
                        </a:ext>
                      </a:extLst>
                    </a:blip>
                    <a:stretch>
                      <a:fillRect/>
                    </a:stretch>
                  </pic:blipFill>
                  <pic:spPr>
                    <a:xfrm>
                      <a:off x="0" y="0"/>
                      <a:ext cx="5964381" cy="2359195"/>
                    </a:xfrm>
                    <a:prstGeom prst="rect">
                      <a:avLst/>
                    </a:prstGeom>
                  </pic:spPr>
                </pic:pic>
              </a:graphicData>
            </a:graphic>
          </wp:inline>
        </w:drawing>
      </w:r>
    </w:p>
    <w:p w14:paraId="2210F6E7" w14:textId="68115297" w:rsidR="0073535A" w:rsidRPr="007C5A6E" w:rsidRDefault="00807DEF" w:rsidP="004A62FD">
      <w:pPr>
        <w:spacing w:after="160" w:line="259" w:lineRule="auto"/>
        <w:rPr>
          <w:rFonts w:ascii="Times New Roman" w:eastAsiaTheme="majorEastAsia" w:hAnsi="Times New Roman" w:cstheme="majorBidi"/>
          <w:iCs/>
          <w:kern w:val="2"/>
          <w:sz w:val="24"/>
          <w:u w:val="single"/>
          <w:lang w:eastAsia="en-US"/>
          <w14:ligatures w14:val="standardContextual"/>
        </w:rPr>
      </w:pPr>
      <w:r w:rsidRPr="007C5A6E">
        <w:rPr>
          <w:rFonts w:ascii="Times New Roman" w:eastAsiaTheme="minorHAnsi" w:hAnsi="Times New Roman" w:cstheme="minorBidi"/>
          <w:noProof/>
          <w:kern w:val="2"/>
          <w:sz w:val="24"/>
          <w:lang w:eastAsia="en-US"/>
          <w14:ligatures w14:val="standardContextual"/>
        </w:rPr>
        <w:drawing>
          <wp:inline distT="0" distB="0" distL="0" distR="0" wp14:anchorId="7B9A4F08" wp14:editId="183BD332">
            <wp:extent cx="5876925" cy="2228850"/>
            <wp:effectExtent l="0" t="0" r="9525" b="0"/>
            <wp:docPr id="179932712"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062062" name="Image 1207062062"/>
                    <pic:cNvPicPr/>
                  </pic:nvPicPr>
                  <pic:blipFill>
                    <a:blip r:embed="rId92" cstate="email">
                      <a:extLst>
                        <a:ext uri="{28A0092B-C50C-407E-A947-70E740481C1C}">
                          <a14:useLocalDpi xmlns:a14="http://schemas.microsoft.com/office/drawing/2010/main"/>
                        </a:ext>
                      </a:extLst>
                    </a:blip>
                    <a:stretch>
                      <a:fillRect/>
                    </a:stretch>
                  </pic:blipFill>
                  <pic:spPr>
                    <a:xfrm>
                      <a:off x="0" y="0"/>
                      <a:ext cx="6031523" cy="2287482"/>
                    </a:xfrm>
                    <a:prstGeom prst="rect">
                      <a:avLst/>
                    </a:prstGeom>
                  </pic:spPr>
                </pic:pic>
              </a:graphicData>
            </a:graphic>
          </wp:inline>
        </w:drawing>
      </w:r>
    </w:p>
    <w:p w14:paraId="626EBFF2" w14:textId="22CA1683" w:rsidR="004A62FD" w:rsidRPr="007C5A6E" w:rsidRDefault="004A62FD" w:rsidP="00807DEF">
      <w:pPr>
        <w:pStyle w:val="Lgende"/>
        <w:spacing w:after="0"/>
        <w:rPr>
          <w:rFonts w:ascii="Times New Roman" w:eastAsiaTheme="minorHAnsi" w:hAnsi="Times New Roman"/>
          <w:color w:val="auto"/>
          <w:kern w:val="2"/>
          <w:sz w:val="24"/>
          <w:szCs w:val="24"/>
          <w:lang w:eastAsia="en-US"/>
          <w14:ligatures w14:val="standardContextual"/>
        </w:rPr>
      </w:pPr>
      <w:bookmarkStart w:id="181" w:name="_Toc183230871"/>
      <w:bookmarkStart w:id="182" w:name="_Toc183240664"/>
      <w:bookmarkStart w:id="183" w:name="_Toc183340403"/>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24</w:t>
      </w:r>
      <w:r w:rsidRPr="007C5A6E">
        <w:rPr>
          <w:rFonts w:ascii="Times New Roman" w:hAnsi="Times New Roman"/>
          <w:color w:val="auto"/>
          <w:sz w:val="24"/>
          <w:szCs w:val="24"/>
        </w:rPr>
        <w:fldChar w:fldCharType="end"/>
      </w:r>
      <w:r w:rsidR="005B4329" w:rsidRPr="007C5A6E">
        <w:rPr>
          <w:rFonts w:ascii="Times New Roman" w:hAnsi="Times New Roman"/>
          <w:color w:val="auto"/>
          <w:sz w:val="24"/>
          <w:szCs w:val="24"/>
        </w:rPr>
        <w:t>.</w:t>
      </w:r>
      <w:r w:rsidR="0073535A" w:rsidRPr="007C5A6E">
        <w:rPr>
          <w:rFonts w:ascii="Times New Roman" w:eastAsiaTheme="minorHAnsi" w:hAnsi="Times New Roman"/>
          <w:color w:val="auto"/>
          <w:kern w:val="2"/>
          <w:sz w:val="24"/>
          <w:szCs w:val="24"/>
          <w:lang w:eastAsia="en-US"/>
          <w14:ligatures w14:val="standardContextual"/>
        </w:rPr>
        <w:t xml:space="preserve"> Bobo-Dioulasso : projections de la pluie annuelle, de la pluie maximale sur 5 jours et de la pluie maximale journalière</w:t>
      </w:r>
      <w:bookmarkEnd w:id="181"/>
      <w:bookmarkEnd w:id="182"/>
      <w:bookmarkEnd w:id="183"/>
    </w:p>
    <w:p w14:paraId="75C333D3" w14:textId="77777777" w:rsidR="00AE0C9D" w:rsidRPr="007C5A6E" w:rsidRDefault="00AE0C9D" w:rsidP="009D1E01">
      <w:pPr>
        <w:spacing w:after="0"/>
        <w:rPr>
          <w:rFonts w:ascii="Times New Roman" w:eastAsiaTheme="minorHAnsi" w:hAnsi="Times New Roman"/>
          <w:lang w:eastAsia="en-US"/>
        </w:rPr>
      </w:pPr>
    </w:p>
    <w:p w14:paraId="62E2FF3E" w14:textId="77777777" w:rsidR="0073535A" w:rsidRPr="007C5A6E" w:rsidRDefault="0073535A" w:rsidP="00684FF8">
      <w:pPr>
        <w:pStyle w:val="Titre4"/>
      </w:pPr>
      <w:bookmarkStart w:id="184" w:name="_Toc182582657"/>
      <w:bookmarkStart w:id="185" w:name="_Toc183340056"/>
      <w:r w:rsidRPr="007C5A6E">
        <w:t>La température</w:t>
      </w:r>
      <w:bookmarkEnd w:id="184"/>
      <w:bookmarkEnd w:id="185"/>
    </w:p>
    <w:p w14:paraId="3966D287" w14:textId="77777777" w:rsidR="0073535A" w:rsidRPr="007C5A6E" w:rsidRDefault="0073535A" w:rsidP="004A62FD">
      <w:pPr>
        <w:spacing w:after="0" w:line="240" w:lineRule="auto"/>
        <w:rPr>
          <w:rFonts w:ascii="Times New Roman" w:eastAsiaTheme="minorHAnsi" w:hAnsi="Times New Roman" w:cstheme="minorBidi"/>
          <w:iCs/>
          <w:kern w:val="2"/>
          <w:sz w:val="24"/>
          <w:szCs w:val="24"/>
          <w:lang w:eastAsia="en-US"/>
          <w14:ligatures w14:val="standardContextual"/>
        </w:rPr>
      </w:pPr>
    </w:p>
    <w:p w14:paraId="38A75930" w14:textId="2F6F63AF" w:rsidR="0073535A" w:rsidRPr="007C5A6E" w:rsidRDefault="0073535A" w:rsidP="0073535A">
      <w:pPr>
        <w:spacing w:after="0" w:line="240" w:lineRule="auto"/>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 xml:space="preserve">Le tableau </w:t>
      </w:r>
      <w:r w:rsidR="005B4329" w:rsidRPr="007C5A6E">
        <w:rPr>
          <w:rFonts w:ascii="Times New Roman" w:eastAsiaTheme="minorHAnsi" w:hAnsi="Times New Roman" w:cstheme="minorBidi"/>
          <w:kern w:val="2"/>
          <w:sz w:val="24"/>
          <w:lang w:eastAsia="en-US"/>
          <w14:ligatures w14:val="standardContextual"/>
        </w:rPr>
        <w:t>6</w:t>
      </w:r>
      <w:r w:rsidRPr="007C5A6E">
        <w:rPr>
          <w:rFonts w:ascii="Times New Roman" w:eastAsiaTheme="minorHAnsi" w:hAnsi="Times New Roman" w:cstheme="minorBidi"/>
          <w:kern w:val="2"/>
          <w:sz w:val="24"/>
          <w:lang w:eastAsia="en-US"/>
          <w14:ligatures w14:val="standardContextual"/>
        </w:rPr>
        <w:t xml:space="preserve"> présente un récapitulatif de la projection des indicateurs de température en 2050 et en 2100 avec leurs valeurs de l’année 2000 en comparaison.</w:t>
      </w:r>
    </w:p>
    <w:p w14:paraId="07155F9B" w14:textId="77777777" w:rsidR="0073535A" w:rsidRPr="007C5A6E" w:rsidRDefault="0073535A" w:rsidP="0073535A">
      <w:pPr>
        <w:spacing w:after="0" w:line="240" w:lineRule="auto"/>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 xml:space="preserve"> </w:t>
      </w:r>
    </w:p>
    <w:p w14:paraId="5A0176A1" w14:textId="5F500B3C" w:rsidR="0073535A" w:rsidRPr="007C5A6E" w:rsidRDefault="004A62FD" w:rsidP="004A62FD">
      <w:pPr>
        <w:pStyle w:val="Lgende"/>
        <w:spacing w:after="0"/>
        <w:rPr>
          <w:rFonts w:ascii="Times New Roman" w:eastAsiaTheme="minorHAnsi" w:hAnsi="Times New Roman"/>
          <w:i w:val="0"/>
          <w:iCs w:val="0"/>
          <w:color w:val="auto"/>
          <w:kern w:val="2"/>
          <w:sz w:val="24"/>
          <w:szCs w:val="24"/>
          <w:lang w:eastAsia="en-US"/>
          <w14:ligatures w14:val="standardContextual"/>
        </w:rPr>
      </w:pPr>
      <w:bookmarkStart w:id="186" w:name="_Toc183240968"/>
      <w:bookmarkStart w:id="187" w:name="_Toc183292210"/>
      <w:bookmarkStart w:id="188" w:name="_Toc183340490"/>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3162F8" w:rsidRPr="007C5A6E">
        <w:rPr>
          <w:rFonts w:ascii="Times New Roman" w:hAnsi="Times New Roman"/>
          <w:i w:val="0"/>
          <w:iCs w:val="0"/>
          <w:noProof/>
          <w:color w:val="auto"/>
          <w:sz w:val="24"/>
          <w:szCs w:val="24"/>
        </w:rPr>
        <w:t>6</w:t>
      </w:r>
      <w:r w:rsidRPr="007C5A6E">
        <w:rPr>
          <w:rFonts w:ascii="Times New Roman" w:hAnsi="Times New Roman"/>
          <w:i w:val="0"/>
          <w:iCs w:val="0"/>
          <w:color w:val="auto"/>
          <w:sz w:val="24"/>
          <w:szCs w:val="24"/>
        </w:rPr>
        <w:fldChar w:fldCharType="end"/>
      </w:r>
      <w:r w:rsidR="005B4329" w:rsidRPr="007C5A6E">
        <w:rPr>
          <w:rFonts w:ascii="Times New Roman" w:hAnsi="Times New Roman"/>
          <w:i w:val="0"/>
          <w:iCs w:val="0"/>
          <w:color w:val="auto"/>
          <w:sz w:val="24"/>
          <w:szCs w:val="24"/>
        </w:rPr>
        <w:t xml:space="preserve"> </w:t>
      </w:r>
      <w:r w:rsidR="0073535A" w:rsidRPr="007C5A6E">
        <w:rPr>
          <w:rFonts w:ascii="Times New Roman" w:eastAsiaTheme="minorHAnsi" w:hAnsi="Times New Roman"/>
          <w:i w:val="0"/>
          <w:iCs w:val="0"/>
          <w:color w:val="auto"/>
          <w:kern w:val="2"/>
          <w:sz w:val="24"/>
          <w:szCs w:val="24"/>
          <w:lang w:eastAsia="en-US"/>
          <w14:ligatures w14:val="standardContextual"/>
        </w:rPr>
        <w:t>: projection de variables de températures en 2050 et 2100 au regard des valeurs de 2000</w:t>
      </w:r>
      <w:bookmarkEnd w:id="186"/>
      <w:bookmarkEnd w:id="187"/>
      <w:bookmarkEnd w:id="188"/>
    </w:p>
    <w:p w14:paraId="09062BE1" w14:textId="77777777" w:rsidR="004A62FD" w:rsidRPr="007C5A6E" w:rsidRDefault="004A62FD" w:rsidP="004A62FD">
      <w:pPr>
        <w:spacing w:after="0" w:line="240" w:lineRule="auto"/>
        <w:rPr>
          <w:rFonts w:ascii="Times New Roman" w:hAnsi="Times New Roman"/>
          <w:sz w:val="24"/>
          <w:szCs w:val="24"/>
          <w:lang w:eastAsia="en-US"/>
        </w:rPr>
      </w:pPr>
    </w:p>
    <w:tbl>
      <w:tblPr>
        <w:tblW w:w="0" w:type="auto"/>
        <w:jc w:val="center"/>
        <w:tblLayout w:type="fixed"/>
        <w:tblCellMar>
          <w:left w:w="70" w:type="dxa"/>
          <w:right w:w="70" w:type="dxa"/>
        </w:tblCellMar>
        <w:tblLook w:val="04A0" w:firstRow="1" w:lastRow="0" w:firstColumn="1" w:lastColumn="0" w:noHBand="0" w:noVBand="1"/>
      </w:tblPr>
      <w:tblGrid>
        <w:gridCol w:w="1065"/>
        <w:gridCol w:w="2269"/>
        <w:gridCol w:w="984"/>
        <w:gridCol w:w="858"/>
        <w:gridCol w:w="984"/>
        <w:gridCol w:w="859"/>
        <w:gridCol w:w="984"/>
        <w:gridCol w:w="859"/>
        <w:gridCol w:w="984"/>
        <w:gridCol w:w="859"/>
      </w:tblGrid>
      <w:tr w:rsidR="0073535A" w:rsidRPr="007C5A6E" w14:paraId="6659E7EC" w14:textId="77777777" w:rsidTr="004A62FD">
        <w:trPr>
          <w:jc w:val="center"/>
        </w:trPr>
        <w:tc>
          <w:tcPr>
            <w:tcW w:w="3334"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0530D69C"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Température à l'horizon 2050 en °C</w:t>
            </w:r>
          </w:p>
        </w:tc>
        <w:tc>
          <w:tcPr>
            <w:tcW w:w="1842" w:type="dxa"/>
            <w:gridSpan w:val="2"/>
            <w:tcBorders>
              <w:top w:val="single" w:sz="4" w:space="0" w:color="auto"/>
              <w:left w:val="nil"/>
              <w:bottom w:val="single" w:sz="4" w:space="0" w:color="auto"/>
              <w:right w:val="single" w:sz="4" w:space="0" w:color="auto"/>
            </w:tcBorders>
            <w:shd w:val="clear" w:color="auto" w:fill="auto"/>
            <w:noWrap/>
            <w:vAlign w:val="bottom"/>
            <w:hideMark/>
          </w:tcPr>
          <w:p w14:paraId="3DA5C32A"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Historique 2000</w:t>
            </w:r>
          </w:p>
        </w:tc>
        <w:tc>
          <w:tcPr>
            <w:tcW w:w="1843" w:type="dxa"/>
            <w:gridSpan w:val="2"/>
            <w:tcBorders>
              <w:top w:val="single" w:sz="4" w:space="0" w:color="auto"/>
              <w:left w:val="nil"/>
              <w:bottom w:val="single" w:sz="4" w:space="0" w:color="auto"/>
              <w:right w:val="single" w:sz="4" w:space="0" w:color="auto"/>
            </w:tcBorders>
            <w:shd w:val="clear" w:color="auto" w:fill="auto"/>
            <w:noWrap/>
            <w:vAlign w:val="bottom"/>
            <w:hideMark/>
          </w:tcPr>
          <w:p w14:paraId="1B3CE758"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SSP245</w:t>
            </w:r>
          </w:p>
        </w:tc>
        <w:tc>
          <w:tcPr>
            <w:tcW w:w="1843" w:type="dxa"/>
            <w:gridSpan w:val="2"/>
            <w:tcBorders>
              <w:top w:val="single" w:sz="4" w:space="0" w:color="auto"/>
              <w:left w:val="nil"/>
              <w:bottom w:val="single" w:sz="4" w:space="0" w:color="auto"/>
              <w:right w:val="single" w:sz="4" w:space="0" w:color="auto"/>
            </w:tcBorders>
            <w:shd w:val="clear" w:color="auto" w:fill="auto"/>
            <w:noWrap/>
            <w:vAlign w:val="bottom"/>
            <w:hideMark/>
          </w:tcPr>
          <w:p w14:paraId="0A83E095"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SSP370</w:t>
            </w:r>
          </w:p>
        </w:tc>
        <w:tc>
          <w:tcPr>
            <w:tcW w:w="1843" w:type="dxa"/>
            <w:gridSpan w:val="2"/>
            <w:tcBorders>
              <w:top w:val="single" w:sz="4" w:space="0" w:color="auto"/>
              <w:left w:val="nil"/>
              <w:bottom w:val="single" w:sz="4" w:space="0" w:color="auto"/>
              <w:right w:val="single" w:sz="4" w:space="0" w:color="auto"/>
            </w:tcBorders>
            <w:shd w:val="clear" w:color="auto" w:fill="auto"/>
            <w:noWrap/>
            <w:vAlign w:val="bottom"/>
            <w:hideMark/>
          </w:tcPr>
          <w:p w14:paraId="004B5DCB"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SSP585</w:t>
            </w:r>
          </w:p>
        </w:tc>
      </w:tr>
      <w:tr w:rsidR="0073535A" w:rsidRPr="007C5A6E" w14:paraId="05EA491E" w14:textId="77777777" w:rsidTr="004A62FD">
        <w:trPr>
          <w:jc w:val="center"/>
        </w:trPr>
        <w:tc>
          <w:tcPr>
            <w:tcW w:w="3334" w:type="dxa"/>
            <w:gridSpan w:val="2"/>
            <w:vMerge/>
            <w:tcBorders>
              <w:top w:val="single" w:sz="4" w:space="0" w:color="auto"/>
              <w:left w:val="single" w:sz="4" w:space="0" w:color="auto"/>
              <w:bottom w:val="single" w:sz="4" w:space="0" w:color="000000"/>
              <w:right w:val="single" w:sz="4" w:space="0" w:color="000000"/>
            </w:tcBorders>
            <w:vAlign w:val="center"/>
            <w:hideMark/>
          </w:tcPr>
          <w:p w14:paraId="222324E6" w14:textId="77777777" w:rsidR="0073535A" w:rsidRPr="007C5A6E" w:rsidRDefault="0073535A" w:rsidP="0073535A">
            <w:pPr>
              <w:spacing w:after="0" w:line="240" w:lineRule="auto"/>
              <w:rPr>
                <w:rFonts w:ascii="Times New Roman" w:hAnsi="Times New Roman"/>
                <w:color w:val="000000"/>
                <w:sz w:val="20"/>
                <w:szCs w:val="20"/>
              </w:rPr>
            </w:pPr>
          </w:p>
        </w:tc>
        <w:tc>
          <w:tcPr>
            <w:tcW w:w="984" w:type="dxa"/>
            <w:tcBorders>
              <w:top w:val="nil"/>
              <w:left w:val="nil"/>
              <w:bottom w:val="single" w:sz="4" w:space="0" w:color="auto"/>
              <w:right w:val="single" w:sz="4" w:space="0" w:color="auto"/>
            </w:tcBorders>
            <w:shd w:val="clear" w:color="auto" w:fill="auto"/>
            <w:noWrap/>
            <w:vAlign w:val="center"/>
            <w:hideMark/>
          </w:tcPr>
          <w:p w14:paraId="394B5D74" w14:textId="77777777" w:rsidR="0073535A" w:rsidRPr="007C5A6E" w:rsidRDefault="0073535A" w:rsidP="0073535A">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moyennes</w:t>
            </w:r>
            <w:proofErr w:type="gramEnd"/>
          </w:p>
        </w:tc>
        <w:tc>
          <w:tcPr>
            <w:tcW w:w="858" w:type="dxa"/>
            <w:tcBorders>
              <w:top w:val="nil"/>
              <w:left w:val="nil"/>
              <w:bottom w:val="single" w:sz="4" w:space="0" w:color="auto"/>
              <w:right w:val="single" w:sz="4" w:space="0" w:color="auto"/>
            </w:tcBorders>
            <w:shd w:val="clear" w:color="auto" w:fill="auto"/>
            <w:noWrap/>
            <w:vAlign w:val="center"/>
            <w:hideMark/>
          </w:tcPr>
          <w:p w14:paraId="1B4CF313" w14:textId="77777777" w:rsidR="0073535A" w:rsidRPr="007C5A6E" w:rsidRDefault="0073535A" w:rsidP="0073535A">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absolues</w:t>
            </w:r>
            <w:proofErr w:type="gramEnd"/>
          </w:p>
        </w:tc>
        <w:tc>
          <w:tcPr>
            <w:tcW w:w="984" w:type="dxa"/>
            <w:tcBorders>
              <w:top w:val="nil"/>
              <w:left w:val="nil"/>
              <w:bottom w:val="single" w:sz="4" w:space="0" w:color="auto"/>
              <w:right w:val="single" w:sz="4" w:space="0" w:color="auto"/>
            </w:tcBorders>
            <w:shd w:val="clear" w:color="auto" w:fill="auto"/>
            <w:noWrap/>
            <w:vAlign w:val="center"/>
            <w:hideMark/>
          </w:tcPr>
          <w:p w14:paraId="7215E1C3" w14:textId="77777777" w:rsidR="0073535A" w:rsidRPr="007C5A6E" w:rsidRDefault="0073535A" w:rsidP="0073535A">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moyennes</w:t>
            </w:r>
            <w:proofErr w:type="gramEnd"/>
          </w:p>
        </w:tc>
        <w:tc>
          <w:tcPr>
            <w:tcW w:w="859" w:type="dxa"/>
            <w:tcBorders>
              <w:top w:val="nil"/>
              <w:left w:val="nil"/>
              <w:bottom w:val="single" w:sz="4" w:space="0" w:color="auto"/>
              <w:right w:val="single" w:sz="4" w:space="0" w:color="auto"/>
            </w:tcBorders>
            <w:shd w:val="clear" w:color="auto" w:fill="auto"/>
            <w:noWrap/>
            <w:vAlign w:val="center"/>
            <w:hideMark/>
          </w:tcPr>
          <w:p w14:paraId="4C82E914" w14:textId="77777777" w:rsidR="0073535A" w:rsidRPr="007C5A6E" w:rsidRDefault="0073535A" w:rsidP="0073535A">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absolues</w:t>
            </w:r>
            <w:proofErr w:type="gramEnd"/>
          </w:p>
        </w:tc>
        <w:tc>
          <w:tcPr>
            <w:tcW w:w="984" w:type="dxa"/>
            <w:tcBorders>
              <w:top w:val="nil"/>
              <w:left w:val="nil"/>
              <w:bottom w:val="single" w:sz="4" w:space="0" w:color="auto"/>
              <w:right w:val="single" w:sz="4" w:space="0" w:color="auto"/>
            </w:tcBorders>
            <w:shd w:val="clear" w:color="auto" w:fill="auto"/>
            <w:noWrap/>
            <w:vAlign w:val="center"/>
            <w:hideMark/>
          </w:tcPr>
          <w:p w14:paraId="55348C31" w14:textId="77777777" w:rsidR="0073535A" w:rsidRPr="007C5A6E" w:rsidRDefault="0073535A" w:rsidP="0073535A">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moyennes</w:t>
            </w:r>
            <w:proofErr w:type="gramEnd"/>
          </w:p>
        </w:tc>
        <w:tc>
          <w:tcPr>
            <w:tcW w:w="859" w:type="dxa"/>
            <w:tcBorders>
              <w:top w:val="nil"/>
              <w:left w:val="nil"/>
              <w:bottom w:val="single" w:sz="4" w:space="0" w:color="auto"/>
              <w:right w:val="single" w:sz="4" w:space="0" w:color="auto"/>
            </w:tcBorders>
            <w:shd w:val="clear" w:color="auto" w:fill="auto"/>
            <w:noWrap/>
            <w:vAlign w:val="center"/>
            <w:hideMark/>
          </w:tcPr>
          <w:p w14:paraId="5BF30B2A" w14:textId="77777777" w:rsidR="0073535A" w:rsidRPr="007C5A6E" w:rsidRDefault="0073535A" w:rsidP="0073535A">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absolues</w:t>
            </w:r>
            <w:proofErr w:type="gramEnd"/>
          </w:p>
        </w:tc>
        <w:tc>
          <w:tcPr>
            <w:tcW w:w="984" w:type="dxa"/>
            <w:tcBorders>
              <w:top w:val="nil"/>
              <w:left w:val="nil"/>
              <w:bottom w:val="single" w:sz="4" w:space="0" w:color="auto"/>
              <w:right w:val="single" w:sz="4" w:space="0" w:color="auto"/>
            </w:tcBorders>
            <w:shd w:val="clear" w:color="auto" w:fill="auto"/>
            <w:noWrap/>
            <w:vAlign w:val="center"/>
            <w:hideMark/>
          </w:tcPr>
          <w:p w14:paraId="16004285" w14:textId="77777777" w:rsidR="0073535A" w:rsidRPr="007C5A6E" w:rsidRDefault="0073535A" w:rsidP="0073535A">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moyennes</w:t>
            </w:r>
            <w:proofErr w:type="gramEnd"/>
          </w:p>
        </w:tc>
        <w:tc>
          <w:tcPr>
            <w:tcW w:w="859" w:type="dxa"/>
            <w:tcBorders>
              <w:top w:val="nil"/>
              <w:left w:val="nil"/>
              <w:bottom w:val="single" w:sz="4" w:space="0" w:color="auto"/>
              <w:right w:val="single" w:sz="4" w:space="0" w:color="auto"/>
            </w:tcBorders>
            <w:shd w:val="clear" w:color="auto" w:fill="auto"/>
            <w:noWrap/>
            <w:vAlign w:val="center"/>
            <w:hideMark/>
          </w:tcPr>
          <w:p w14:paraId="2304B040" w14:textId="77777777" w:rsidR="0073535A" w:rsidRPr="007C5A6E" w:rsidRDefault="0073535A" w:rsidP="0073535A">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absolues</w:t>
            </w:r>
            <w:proofErr w:type="gramEnd"/>
          </w:p>
        </w:tc>
      </w:tr>
      <w:tr w:rsidR="0073535A" w:rsidRPr="007C5A6E" w14:paraId="308C3AE4" w14:textId="77777777" w:rsidTr="004A62FD">
        <w:trPr>
          <w:jc w:val="center"/>
        </w:trPr>
        <w:tc>
          <w:tcPr>
            <w:tcW w:w="1065" w:type="dxa"/>
            <w:tcBorders>
              <w:top w:val="nil"/>
              <w:left w:val="single" w:sz="4" w:space="0" w:color="auto"/>
              <w:bottom w:val="single" w:sz="4" w:space="0" w:color="auto"/>
              <w:right w:val="single" w:sz="4" w:space="0" w:color="auto"/>
            </w:tcBorders>
            <w:shd w:val="clear" w:color="auto" w:fill="auto"/>
            <w:vAlign w:val="center"/>
            <w:hideMark/>
          </w:tcPr>
          <w:p w14:paraId="0803AA6A"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Dori</w:t>
            </w:r>
          </w:p>
        </w:tc>
        <w:tc>
          <w:tcPr>
            <w:tcW w:w="2269" w:type="dxa"/>
            <w:tcBorders>
              <w:top w:val="single" w:sz="4" w:space="0" w:color="auto"/>
              <w:left w:val="nil"/>
              <w:bottom w:val="single" w:sz="4" w:space="0" w:color="auto"/>
              <w:right w:val="single" w:sz="4" w:space="0" w:color="000000"/>
            </w:tcBorders>
            <w:shd w:val="clear" w:color="auto" w:fill="auto"/>
            <w:noWrap/>
            <w:vAlign w:val="bottom"/>
            <w:hideMark/>
          </w:tcPr>
          <w:p w14:paraId="0FAD65EC" w14:textId="77777777" w:rsidR="0073535A" w:rsidRPr="007C5A6E" w:rsidRDefault="0073535A" w:rsidP="0073535A">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températures</w:t>
            </w:r>
            <w:proofErr w:type="gramEnd"/>
            <w:r w:rsidRPr="007C5A6E">
              <w:rPr>
                <w:rFonts w:ascii="Times New Roman" w:hAnsi="Times New Roman"/>
                <w:color w:val="000000"/>
                <w:sz w:val="20"/>
                <w:szCs w:val="20"/>
              </w:rPr>
              <w:t xml:space="preserve"> minimales</w:t>
            </w:r>
          </w:p>
        </w:tc>
        <w:tc>
          <w:tcPr>
            <w:tcW w:w="984" w:type="dxa"/>
            <w:tcBorders>
              <w:top w:val="nil"/>
              <w:left w:val="nil"/>
              <w:bottom w:val="single" w:sz="4" w:space="0" w:color="auto"/>
              <w:right w:val="single" w:sz="4" w:space="0" w:color="auto"/>
            </w:tcBorders>
            <w:shd w:val="clear" w:color="auto" w:fill="auto"/>
            <w:noWrap/>
            <w:vAlign w:val="center"/>
            <w:hideMark/>
          </w:tcPr>
          <w:p w14:paraId="0A2BD82B"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23,2</w:t>
            </w:r>
          </w:p>
        </w:tc>
        <w:tc>
          <w:tcPr>
            <w:tcW w:w="858" w:type="dxa"/>
            <w:tcBorders>
              <w:top w:val="nil"/>
              <w:left w:val="nil"/>
              <w:bottom w:val="single" w:sz="4" w:space="0" w:color="auto"/>
              <w:right w:val="single" w:sz="4" w:space="0" w:color="auto"/>
            </w:tcBorders>
            <w:shd w:val="clear" w:color="auto" w:fill="auto"/>
            <w:noWrap/>
            <w:vAlign w:val="center"/>
            <w:hideMark/>
          </w:tcPr>
          <w:p w14:paraId="4F109D65"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11,9</w:t>
            </w:r>
          </w:p>
        </w:tc>
        <w:tc>
          <w:tcPr>
            <w:tcW w:w="984" w:type="dxa"/>
            <w:tcBorders>
              <w:top w:val="nil"/>
              <w:left w:val="nil"/>
              <w:bottom w:val="single" w:sz="4" w:space="0" w:color="auto"/>
              <w:right w:val="single" w:sz="4" w:space="0" w:color="auto"/>
            </w:tcBorders>
            <w:shd w:val="clear" w:color="auto" w:fill="auto"/>
            <w:noWrap/>
            <w:vAlign w:val="center"/>
            <w:hideMark/>
          </w:tcPr>
          <w:p w14:paraId="4B73193C"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25,3</w:t>
            </w:r>
          </w:p>
        </w:tc>
        <w:tc>
          <w:tcPr>
            <w:tcW w:w="859" w:type="dxa"/>
            <w:tcBorders>
              <w:top w:val="nil"/>
              <w:left w:val="nil"/>
              <w:bottom w:val="single" w:sz="4" w:space="0" w:color="auto"/>
              <w:right w:val="single" w:sz="4" w:space="0" w:color="auto"/>
            </w:tcBorders>
            <w:shd w:val="clear" w:color="auto" w:fill="auto"/>
            <w:noWrap/>
            <w:vAlign w:val="center"/>
            <w:hideMark/>
          </w:tcPr>
          <w:p w14:paraId="199C0211"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14,3</w:t>
            </w:r>
          </w:p>
        </w:tc>
        <w:tc>
          <w:tcPr>
            <w:tcW w:w="984" w:type="dxa"/>
            <w:tcBorders>
              <w:top w:val="nil"/>
              <w:left w:val="nil"/>
              <w:bottom w:val="single" w:sz="4" w:space="0" w:color="auto"/>
              <w:right w:val="single" w:sz="4" w:space="0" w:color="auto"/>
            </w:tcBorders>
            <w:shd w:val="clear" w:color="auto" w:fill="auto"/>
            <w:noWrap/>
            <w:vAlign w:val="center"/>
            <w:hideMark/>
          </w:tcPr>
          <w:p w14:paraId="110815E7"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25,4</w:t>
            </w:r>
          </w:p>
        </w:tc>
        <w:tc>
          <w:tcPr>
            <w:tcW w:w="859" w:type="dxa"/>
            <w:tcBorders>
              <w:top w:val="nil"/>
              <w:left w:val="nil"/>
              <w:bottom w:val="single" w:sz="4" w:space="0" w:color="auto"/>
              <w:right w:val="single" w:sz="4" w:space="0" w:color="auto"/>
            </w:tcBorders>
            <w:shd w:val="clear" w:color="auto" w:fill="auto"/>
            <w:noWrap/>
            <w:vAlign w:val="center"/>
            <w:hideMark/>
          </w:tcPr>
          <w:p w14:paraId="7E3CFC95"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14,4</w:t>
            </w:r>
          </w:p>
        </w:tc>
        <w:tc>
          <w:tcPr>
            <w:tcW w:w="984" w:type="dxa"/>
            <w:tcBorders>
              <w:top w:val="nil"/>
              <w:left w:val="nil"/>
              <w:bottom w:val="single" w:sz="4" w:space="0" w:color="auto"/>
              <w:right w:val="single" w:sz="4" w:space="0" w:color="auto"/>
            </w:tcBorders>
            <w:shd w:val="clear" w:color="auto" w:fill="auto"/>
            <w:noWrap/>
            <w:vAlign w:val="center"/>
            <w:hideMark/>
          </w:tcPr>
          <w:p w14:paraId="04B2CCC7"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25,6</w:t>
            </w:r>
          </w:p>
        </w:tc>
        <w:tc>
          <w:tcPr>
            <w:tcW w:w="859" w:type="dxa"/>
            <w:tcBorders>
              <w:top w:val="nil"/>
              <w:left w:val="nil"/>
              <w:bottom w:val="single" w:sz="4" w:space="0" w:color="auto"/>
              <w:right w:val="single" w:sz="4" w:space="0" w:color="auto"/>
            </w:tcBorders>
            <w:shd w:val="clear" w:color="auto" w:fill="auto"/>
            <w:noWrap/>
            <w:vAlign w:val="center"/>
            <w:hideMark/>
          </w:tcPr>
          <w:p w14:paraId="5A66B074"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14,4</w:t>
            </w:r>
          </w:p>
        </w:tc>
      </w:tr>
      <w:tr w:rsidR="0073535A" w:rsidRPr="007C5A6E" w14:paraId="6F0315C3" w14:textId="77777777" w:rsidTr="004A62FD">
        <w:trPr>
          <w:jc w:val="center"/>
        </w:trPr>
        <w:tc>
          <w:tcPr>
            <w:tcW w:w="1065" w:type="dxa"/>
            <w:vMerge w:val="restart"/>
            <w:tcBorders>
              <w:top w:val="nil"/>
              <w:left w:val="single" w:sz="4" w:space="0" w:color="auto"/>
              <w:bottom w:val="single" w:sz="12" w:space="0" w:color="000000"/>
              <w:right w:val="single" w:sz="4" w:space="0" w:color="auto"/>
            </w:tcBorders>
            <w:shd w:val="clear" w:color="auto" w:fill="auto"/>
            <w:vAlign w:val="center"/>
            <w:hideMark/>
          </w:tcPr>
          <w:p w14:paraId="0EBC141F"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Bogandé</w:t>
            </w:r>
          </w:p>
        </w:tc>
        <w:tc>
          <w:tcPr>
            <w:tcW w:w="2269" w:type="dxa"/>
            <w:tcBorders>
              <w:top w:val="single" w:sz="4" w:space="0" w:color="auto"/>
              <w:left w:val="nil"/>
              <w:bottom w:val="single" w:sz="4" w:space="0" w:color="auto"/>
              <w:right w:val="single" w:sz="4" w:space="0" w:color="000000"/>
            </w:tcBorders>
            <w:shd w:val="clear" w:color="auto" w:fill="auto"/>
            <w:noWrap/>
            <w:vAlign w:val="bottom"/>
            <w:hideMark/>
          </w:tcPr>
          <w:p w14:paraId="605CB430" w14:textId="77777777" w:rsidR="0073535A" w:rsidRPr="007C5A6E" w:rsidRDefault="0073535A" w:rsidP="0073535A">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températures</w:t>
            </w:r>
            <w:proofErr w:type="gramEnd"/>
            <w:r w:rsidRPr="007C5A6E">
              <w:rPr>
                <w:rFonts w:ascii="Times New Roman" w:hAnsi="Times New Roman"/>
                <w:color w:val="000000"/>
                <w:sz w:val="20"/>
                <w:szCs w:val="20"/>
              </w:rPr>
              <w:t xml:space="preserve"> maximales</w:t>
            </w:r>
          </w:p>
        </w:tc>
        <w:tc>
          <w:tcPr>
            <w:tcW w:w="984" w:type="dxa"/>
            <w:tcBorders>
              <w:top w:val="nil"/>
              <w:left w:val="nil"/>
              <w:bottom w:val="single" w:sz="4" w:space="0" w:color="auto"/>
              <w:right w:val="single" w:sz="4" w:space="0" w:color="auto"/>
            </w:tcBorders>
            <w:shd w:val="clear" w:color="auto" w:fill="auto"/>
            <w:noWrap/>
            <w:vAlign w:val="center"/>
            <w:hideMark/>
          </w:tcPr>
          <w:p w14:paraId="5F7987DA"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34,3</w:t>
            </w:r>
          </w:p>
        </w:tc>
        <w:tc>
          <w:tcPr>
            <w:tcW w:w="858" w:type="dxa"/>
            <w:tcBorders>
              <w:top w:val="nil"/>
              <w:left w:val="nil"/>
              <w:bottom w:val="single" w:sz="4" w:space="0" w:color="auto"/>
              <w:right w:val="single" w:sz="4" w:space="0" w:color="auto"/>
            </w:tcBorders>
            <w:shd w:val="clear" w:color="auto" w:fill="auto"/>
            <w:noWrap/>
            <w:vAlign w:val="center"/>
            <w:hideMark/>
          </w:tcPr>
          <w:p w14:paraId="545D9E0C"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43,6</w:t>
            </w:r>
          </w:p>
        </w:tc>
        <w:tc>
          <w:tcPr>
            <w:tcW w:w="984" w:type="dxa"/>
            <w:tcBorders>
              <w:top w:val="nil"/>
              <w:left w:val="nil"/>
              <w:bottom w:val="single" w:sz="4" w:space="0" w:color="auto"/>
              <w:right w:val="single" w:sz="4" w:space="0" w:color="auto"/>
            </w:tcBorders>
            <w:shd w:val="clear" w:color="auto" w:fill="auto"/>
            <w:noWrap/>
            <w:vAlign w:val="center"/>
            <w:hideMark/>
          </w:tcPr>
          <w:p w14:paraId="268502C2"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35,5</w:t>
            </w:r>
          </w:p>
        </w:tc>
        <w:tc>
          <w:tcPr>
            <w:tcW w:w="859" w:type="dxa"/>
            <w:tcBorders>
              <w:top w:val="nil"/>
              <w:left w:val="nil"/>
              <w:bottom w:val="single" w:sz="4" w:space="0" w:color="auto"/>
              <w:right w:val="single" w:sz="4" w:space="0" w:color="auto"/>
            </w:tcBorders>
            <w:shd w:val="clear" w:color="auto" w:fill="auto"/>
            <w:noWrap/>
            <w:vAlign w:val="center"/>
            <w:hideMark/>
          </w:tcPr>
          <w:p w14:paraId="57C7A27E"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45,1</w:t>
            </w:r>
          </w:p>
        </w:tc>
        <w:tc>
          <w:tcPr>
            <w:tcW w:w="984" w:type="dxa"/>
            <w:tcBorders>
              <w:top w:val="nil"/>
              <w:left w:val="nil"/>
              <w:bottom w:val="single" w:sz="4" w:space="0" w:color="auto"/>
              <w:right w:val="single" w:sz="4" w:space="0" w:color="auto"/>
            </w:tcBorders>
            <w:shd w:val="clear" w:color="auto" w:fill="auto"/>
            <w:noWrap/>
            <w:vAlign w:val="center"/>
            <w:hideMark/>
          </w:tcPr>
          <w:p w14:paraId="20B1A9B2"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35,0</w:t>
            </w:r>
          </w:p>
        </w:tc>
        <w:tc>
          <w:tcPr>
            <w:tcW w:w="859" w:type="dxa"/>
            <w:tcBorders>
              <w:top w:val="nil"/>
              <w:left w:val="nil"/>
              <w:bottom w:val="single" w:sz="4" w:space="0" w:color="auto"/>
              <w:right w:val="single" w:sz="4" w:space="0" w:color="auto"/>
            </w:tcBorders>
            <w:shd w:val="clear" w:color="auto" w:fill="auto"/>
            <w:noWrap/>
            <w:vAlign w:val="center"/>
            <w:hideMark/>
          </w:tcPr>
          <w:p w14:paraId="5AC7D70C"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43,5</w:t>
            </w:r>
          </w:p>
        </w:tc>
        <w:tc>
          <w:tcPr>
            <w:tcW w:w="984" w:type="dxa"/>
            <w:tcBorders>
              <w:top w:val="nil"/>
              <w:left w:val="nil"/>
              <w:bottom w:val="single" w:sz="4" w:space="0" w:color="auto"/>
              <w:right w:val="single" w:sz="4" w:space="0" w:color="auto"/>
            </w:tcBorders>
            <w:shd w:val="clear" w:color="auto" w:fill="auto"/>
            <w:noWrap/>
            <w:vAlign w:val="center"/>
            <w:hideMark/>
          </w:tcPr>
          <w:p w14:paraId="3F91C8D7"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35,2</w:t>
            </w:r>
          </w:p>
        </w:tc>
        <w:tc>
          <w:tcPr>
            <w:tcW w:w="859" w:type="dxa"/>
            <w:tcBorders>
              <w:top w:val="nil"/>
              <w:left w:val="nil"/>
              <w:bottom w:val="single" w:sz="4" w:space="0" w:color="auto"/>
              <w:right w:val="single" w:sz="4" w:space="0" w:color="auto"/>
            </w:tcBorders>
            <w:shd w:val="clear" w:color="auto" w:fill="auto"/>
            <w:noWrap/>
            <w:vAlign w:val="center"/>
            <w:hideMark/>
          </w:tcPr>
          <w:p w14:paraId="56D2C602"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45,1</w:t>
            </w:r>
          </w:p>
        </w:tc>
      </w:tr>
      <w:tr w:rsidR="0073535A" w:rsidRPr="007C5A6E" w14:paraId="2BD0F0E2" w14:textId="77777777" w:rsidTr="004A62FD">
        <w:trPr>
          <w:jc w:val="center"/>
        </w:trPr>
        <w:tc>
          <w:tcPr>
            <w:tcW w:w="1065" w:type="dxa"/>
            <w:vMerge/>
            <w:tcBorders>
              <w:top w:val="nil"/>
              <w:left w:val="single" w:sz="4" w:space="0" w:color="auto"/>
              <w:bottom w:val="single" w:sz="12" w:space="0" w:color="000000"/>
              <w:right w:val="single" w:sz="4" w:space="0" w:color="auto"/>
            </w:tcBorders>
            <w:vAlign w:val="center"/>
            <w:hideMark/>
          </w:tcPr>
          <w:p w14:paraId="6466CE47" w14:textId="77777777" w:rsidR="0073535A" w:rsidRPr="007C5A6E" w:rsidRDefault="0073535A" w:rsidP="0073535A">
            <w:pPr>
              <w:spacing w:after="0" w:line="240" w:lineRule="auto"/>
              <w:rPr>
                <w:rFonts w:ascii="Times New Roman" w:hAnsi="Times New Roman"/>
                <w:color w:val="000000"/>
                <w:sz w:val="20"/>
                <w:szCs w:val="20"/>
              </w:rPr>
            </w:pPr>
          </w:p>
        </w:tc>
        <w:tc>
          <w:tcPr>
            <w:tcW w:w="2269" w:type="dxa"/>
            <w:tcBorders>
              <w:top w:val="single" w:sz="4" w:space="0" w:color="auto"/>
              <w:left w:val="nil"/>
              <w:bottom w:val="single" w:sz="12" w:space="0" w:color="auto"/>
              <w:right w:val="single" w:sz="4" w:space="0" w:color="000000"/>
            </w:tcBorders>
            <w:shd w:val="clear" w:color="auto" w:fill="auto"/>
            <w:noWrap/>
            <w:vAlign w:val="bottom"/>
            <w:hideMark/>
          </w:tcPr>
          <w:p w14:paraId="57045E1F" w14:textId="77777777" w:rsidR="0073535A" w:rsidRPr="007C5A6E" w:rsidRDefault="0073535A" w:rsidP="0073535A">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Nbre de jours T&gt;40°C</w:t>
            </w:r>
          </w:p>
        </w:tc>
        <w:tc>
          <w:tcPr>
            <w:tcW w:w="1842" w:type="dxa"/>
            <w:gridSpan w:val="2"/>
            <w:tcBorders>
              <w:top w:val="single" w:sz="4" w:space="0" w:color="auto"/>
              <w:left w:val="nil"/>
              <w:bottom w:val="single" w:sz="12" w:space="0" w:color="auto"/>
              <w:right w:val="single" w:sz="4" w:space="0" w:color="000000"/>
            </w:tcBorders>
            <w:shd w:val="clear" w:color="auto" w:fill="auto"/>
            <w:noWrap/>
            <w:vAlign w:val="center"/>
            <w:hideMark/>
          </w:tcPr>
          <w:p w14:paraId="5D9BAD6B"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50,9</w:t>
            </w:r>
          </w:p>
        </w:tc>
        <w:tc>
          <w:tcPr>
            <w:tcW w:w="1843" w:type="dxa"/>
            <w:gridSpan w:val="2"/>
            <w:tcBorders>
              <w:top w:val="single" w:sz="4" w:space="0" w:color="auto"/>
              <w:left w:val="nil"/>
              <w:bottom w:val="single" w:sz="12" w:space="0" w:color="auto"/>
              <w:right w:val="single" w:sz="4" w:space="0" w:color="000000"/>
            </w:tcBorders>
            <w:shd w:val="clear" w:color="auto" w:fill="auto"/>
            <w:noWrap/>
            <w:vAlign w:val="bottom"/>
            <w:hideMark/>
          </w:tcPr>
          <w:p w14:paraId="3858B9C3"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65,9</w:t>
            </w:r>
          </w:p>
        </w:tc>
        <w:tc>
          <w:tcPr>
            <w:tcW w:w="1843" w:type="dxa"/>
            <w:gridSpan w:val="2"/>
            <w:tcBorders>
              <w:top w:val="single" w:sz="4" w:space="0" w:color="auto"/>
              <w:left w:val="nil"/>
              <w:bottom w:val="single" w:sz="12" w:space="0" w:color="auto"/>
              <w:right w:val="single" w:sz="4" w:space="0" w:color="000000"/>
            </w:tcBorders>
            <w:shd w:val="clear" w:color="auto" w:fill="auto"/>
            <w:noWrap/>
            <w:vAlign w:val="bottom"/>
            <w:hideMark/>
          </w:tcPr>
          <w:p w14:paraId="3EDB4A27"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58,0</w:t>
            </w:r>
          </w:p>
        </w:tc>
        <w:tc>
          <w:tcPr>
            <w:tcW w:w="1843" w:type="dxa"/>
            <w:gridSpan w:val="2"/>
            <w:tcBorders>
              <w:top w:val="single" w:sz="4" w:space="0" w:color="auto"/>
              <w:left w:val="nil"/>
              <w:bottom w:val="single" w:sz="12" w:space="0" w:color="auto"/>
              <w:right w:val="single" w:sz="4" w:space="0" w:color="000000"/>
            </w:tcBorders>
            <w:shd w:val="clear" w:color="auto" w:fill="auto"/>
            <w:noWrap/>
            <w:vAlign w:val="bottom"/>
            <w:hideMark/>
          </w:tcPr>
          <w:p w14:paraId="7DB88B9D"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62,6</w:t>
            </w:r>
          </w:p>
        </w:tc>
      </w:tr>
      <w:tr w:rsidR="0073535A" w:rsidRPr="007C5A6E" w14:paraId="57E95BE8" w14:textId="77777777" w:rsidTr="004A62FD">
        <w:trPr>
          <w:jc w:val="center"/>
        </w:trPr>
        <w:tc>
          <w:tcPr>
            <w:tcW w:w="1065" w:type="dxa"/>
            <w:vMerge w:val="restart"/>
            <w:tcBorders>
              <w:top w:val="nil"/>
              <w:left w:val="single" w:sz="4" w:space="0" w:color="auto"/>
              <w:bottom w:val="single" w:sz="12" w:space="0" w:color="000000"/>
              <w:right w:val="single" w:sz="4" w:space="0" w:color="auto"/>
            </w:tcBorders>
            <w:shd w:val="clear" w:color="auto" w:fill="auto"/>
            <w:vAlign w:val="center"/>
            <w:hideMark/>
          </w:tcPr>
          <w:p w14:paraId="09B5E8D8" w14:textId="6D937882" w:rsidR="0073535A" w:rsidRPr="007C5A6E" w:rsidRDefault="003236C5"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Ouagadougou</w:t>
            </w:r>
          </w:p>
        </w:tc>
        <w:tc>
          <w:tcPr>
            <w:tcW w:w="2269" w:type="dxa"/>
            <w:tcBorders>
              <w:top w:val="single" w:sz="12" w:space="0" w:color="auto"/>
              <w:left w:val="nil"/>
              <w:bottom w:val="single" w:sz="4" w:space="0" w:color="auto"/>
              <w:right w:val="single" w:sz="4" w:space="0" w:color="000000"/>
            </w:tcBorders>
            <w:shd w:val="clear" w:color="auto" w:fill="auto"/>
            <w:noWrap/>
            <w:vAlign w:val="bottom"/>
            <w:hideMark/>
          </w:tcPr>
          <w:p w14:paraId="22B258AC" w14:textId="77777777" w:rsidR="0073535A" w:rsidRPr="007C5A6E" w:rsidRDefault="0073535A" w:rsidP="0073535A">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températures</w:t>
            </w:r>
            <w:proofErr w:type="gramEnd"/>
            <w:r w:rsidRPr="007C5A6E">
              <w:rPr>
                <w:rFonts w:ascii="Times New Roman" w:hAnsi="Times New Roman"/>
                <w:color w:val="000000"/>
                <w:sz w:val="20"/>
                <w:szCs w:val="20"/>
              </w:rPr>
              <w:t xml:space="preserve"> minimales</w:t>
            </w:r>
          </w:p>
        </w:tc>
        <w:tc>
          <w:tcPr>
            <w:tcW w:w="984" w:type="dxa"/>
            <w:tcBorders>
              <w:top w:val="nil"/>
              <w:left w:val="nil"/>
              <w:bottom w:val="single" w:sz="4" w:space="0" w:color="auto"/>
              <w:right w:val="single" w:sz="4" w:space="0" w:color="auto"/>
            </w:tcBorders>
            <w:shd w:val="clear" w:color="auto" w:fill="auto"/>
            <w:noWrap/>
            <w:vAlign w:val="center"/>
            <w:hideMark/>
          </w:tcPr>
          <w:p w14:paraId="2F008CC9"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22,7</w:t>
            </w:r>
          </w:p>
        </w:tc>
        <w:tc>
          <w:tcPr>
            <w:tcW w:w="858" w:type="dxa"/>
            <w:tcBorders>
              <w:top w:val="nil"/>
              <w:left w:val="nil"/>
              <w:bottom w:val="single" w:sz="4" w:space="0" w:color="auto"/>
              <w:right w:val="single" w:sz="4" w:space="0" w:color="auto"/>
            </w:tcBorders>
            <w:shd w:val="clear" w:color="auto" w:fill="auto"/>
            <w:noWrap/>
            <w:vAlign w:val="center"/>
            <w:hideMark/>
          </w:tcPr>
          <w:p w14:paraId="4325CDBE"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12,4</w:t>
            </w:r>
          </w:p>
        </w:tc>
        <w:tc>
          <w:tcPr>
            <w:tcW w:w="984" w:type="dxa"/>
            <w:tcBorders>
              <w:top w:val="nil"/>
              <w:left w:val="nil"/>
              <w:bottom w:val="single" w:sz="4" w:space="0" w:color="auto"/>
              <w:right w:val="single" w:sz="4" w:space="0" w:color="auto"/>
            </w:tcBorders>
            <w:shd w:val="clear" w:color="auto" w:fill="auto"/>
            <w:noWrap/>
            <w:vAlign w:val="center"/>
            <w:hideMark/>
          </w:tcPr>
          <w:p w14:paraId="1C52B9E2"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24,5</w:t>
            </w:r>
          </w:p>
        </w:tc>
        <w:tc>
          <w:tcPr>
            <w:tcW w:w="859" w:type="dxa"/>
            <w:tcBorders>
              <w:top w:val="nil"/>
              <w:left w:val="nil"/>
              <w:bottom w:val="single" w:sz="4" w:space="0" w:color="auto"/>
              <w:right w:val="single" w:sz="4" w:space="0" w:color="auto"/>
            </w:tcBorders>
            <w:shd w:val="clear" w:color="auto" w:fill="auto"/>
            <w:noWrap/>
            <w:vAlign w:val="center"/>
            <w:hideMark/>
          </w:tcPr>
          <w:p w14:paraId="2CB1CDFF"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14,4</w:t>
            </w:r>
          </w:p>
        </w:tc>
        <w:tc>
          <w:tcPr>
            <w:tcW w:w="984" w:type="dxa"/>
            <w:tcBorders>
              <w:top w:val="nil"/>
              <w:left w:val="nil"/>
              <w:bottom w:val="single" w:sz="4" w:space="0" w:color="auto"/>
              <w:right w:val="single" w:sz="4" w:space="0" w:color="auto"/>
            </w:tcBorders>
            <w:shd w:val="clear" w:color="auto" w:fill="auto"/>
            <w:noWrap/>
            <w:vAlign w:val="center"/>
            <w:hideMark/>
          </w:tcPr>
          <w:p w14:paraId="3C3880A2"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24,6</w:t>
            </w:r>
          </w:p>
        </w:tc>
        <w:tc>
          <w:tcPr>
            <w:tcW w:w="859" w:type="dxa"/>
            <w:tcBorders>
              <w:top w:val="nil"/>
              <w:left w:val="nil"/>
              <w:bottom w:val="single" w:sz="4" w:space="0" w:color="auto"/>
              <w:right w:val="single" w:sz="4" w:space="0" w:color="auto"/>
            </w:tcBorders>
            <w:shd w:val="clear" w:color="auto" w:fill="auto"/>
            <w:noWrap/>
            <w:vAlign w:val="center"/>
            <w:hideMark/>
          </w:tcPr>
          <w:p w14:paraId="5EABAE40"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14,4</w:t>
            </w:r>
          </w:p>
        </w:tc>
        <w:tc>
          <w:tcPr>
            <w:tcW w:w="984" w:type="dxa"/>
            <w:tcBorders>
              <w:top w:val="nil"/>
              <w:left w:val="nil"/>
              <w:bottom w:val="single" w:sz="4" w:space="0" w:color="auto"/>
              <w:right w:val="single" w:sz="4" w:space="0" w:color="auto"/>
            </w:tcBorders>
            <w:shd w:val="clear" w:color="auto" w:fill="auto"/>
            <w:noWrap/>
            <w:vAlign w:val="center"/>
            <w:hideMark/>
          </w:tcPr>
          <w:p w14:paraId="7B48C090"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24,7</w:t>
            </w:r>
          </w:p>
        </w:tc>
        <w:tc>
          <w:tcPr>
            <w:tcW w:w="859" w:type="dxa"/>
            <w:tcBorders>
              <w:top w:val="nil"/>
              <w:left w:val="nil"/>
              <w:bottom w:val="single" w:sz="4" w:space="0" w:color="auto"/>
              <w:right w:val="single" w:sz="4" w:space="0" w:color="auto"/>
            </w:tcBorders>
            <w:shd w:val="clear" w:color="auto" w:fill="auto"/>
            <w:noWrap/>
            <w:vAlign w:val="center"/>
            <w:hideMark/>
          </w:tcPr>
          <w:p w14:paraId="3110430F"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14,6</w:t>
            </w:r>
          </w:p>
        </w:tc>
      </w:tr>
      <w:tr w:rsidR="0073535A" w:rsidRPr="007C5A6E" w14:paraId="52F3961B" w14:textId="77777777" w:rsidTr="004A62FD">
        <w:trPr>
          <w:jc w:val="center"/>
        </w:trPr>
        <w:tc>
          <w:tcPr>
            <w:tcW w:w="1065" w:type="dxa"/>
            <w:vMerge/>
            <w:tcBorders>
              <w:top w:val="nil"/>
              <w:left w:val="single" w:sz="4" w:space="0" w:color="auto"/>
              <w:bottom w:val="single" w:sz="12" w:space="0" w:color="000000"/>
              <w:right w:val="single" w:sz="4" w:space="0" w:color="auto"/>
            </w:tcBorders>
            <w:vAlign w:val="center"/>
            <w:hideMark/>
          </w:tcPr>
          <w:p w14:paraId="2E77BBBC" w14:textId="77777777" w:rsidR="0073535A" w:rsidRPr="007C5A6E" w:rsidRDefault="0073535A" w:rsidP="0073535A">
            <w:pPr>
              <w:spacing w:after="0" w:line="240" w:lineRule="auto"/>
              <w:rPr>
                <w:rFonts w:ascii="Times New Roman" w:hAnsi="Times New Roman"/>
                <w:color w:val="000000"/>
                <w:sz w:val="20"/>
                <w:szCs w:val="20"/>
              </w:rPr>
            </w:pPr>
          </w:p>
        </w:tc>
        <w:tc>
          <w:tcPr>
            <w:tcW w:w="2269" w:type="dxa"/>
            <w:tcBorders>
              <w:top w:val="single" w:sz="4" w:space="0" w:color="auto"/>
              <w:left w:val="nil"/>
              <w:bottom w:val="single" w:sz="4" w:space="0" w:color="auto"/>
              <w:right w:val="single" w:sz="4" w:space="0" w:color="000000"/>
            </w:tcBorders>
            <w:shd w:val="clear" w:color="auto" w:fill="auto"/>
            <w:noWrap/>
            <w:vAlign w:val="bottom"/>
            <w:hideMark/>
          </w:tcPr>
          <w:p w14:paraId="4269D6B7" w14:textId="77777777" w:rsidR="0073535A" w:rsidRPr="007C5A6E" w:rsidRDefault="0073535A" w:rsidP="0073535A">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températures</w:t>
            </w:r>
            <w:proofErr w:type="gramEnd"/>
            <w:r w:rsidRPr="007C5A6E">
              <w:rPr>
                <w:rFonts w:ascii="Times New Roman" w:hAnsi="Times New Roman"/>
                <w:color w:val="000000"/>
                <w:sz w:val="20"/>
                <w:szCs w:val="20"/>
              </w:rPr>
              <w:t xml:space="preserve"> maximales</w:t>
            </w:r>
          </w:p>
        </w:tc>
        <w:tc>
          <w:tcPr>
            <w:tcW w:w="984" w:type="dxa"/>
            <w:tcBorders>
              <w:top w:val="nil"/>
              <w:left w:val="nil"/>
              <w:bottom w:val="single" w:sz="4" w:space="0" w:color="auto"/>
              <w:right w:val="single" w:sz="4" w:space="0" w:color="auto"/>
            </w:tcBorders>
            <w:shd w:val="clear" w:color="auto" w:fill="auto"/>
            <w:noWrap/>
            <w:vAlign w:val="center"/>
            <w:hideMark/>
          </w:tcPr>
          <w:p w14:paraId="715F05E4"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35,0</w:t>
            </w:r>
          </w:p>
        </w:tc>
        <w:tc>
          <w:tcPr>
            <w:tcW w:w="858" w:type="dxa"/>
            <w:tcBorders>
              <w:top w:val="nil"/>
              <w:left w:val="nil"/>
              <w:bottom w:val="single" w:sz="4" w:space="0" w:color="auto"/>
              <w:right w:val="single" w:sz="4" w:space="0" w:color="auto"/>
            </w:tcBorders>
            <w:shd w:val="clear" w:color="auto" w:fill="auto"/>
            <w:noWrap/>
            <w:vAlign w:val="center"/>
            <w:hideMark/>
          </w:tcPr>
          <w:p w14:paraId="6571ECBE"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44,8</w:t>
            </w:r>
          </w:p>
        </w:tc>
        <w:tc>
          <w:tcPr>
            <w:tcW w:w="984" w:type="dxa"/>
            <w:tcBorders>
              <w:top w:val="nil"/>
              <w:left w:val="nil"/>
              <w:bottom w:val="single" w:sz="4" w:space="0" w:color="auto"/>
              <w:right w:val="single" w:sz="4" w:space="0" w:color="auto"/>
            </w:tcBorders>
            <w:shd w:val="clear" w:color="auto" w:fill="auto"/>
            <w:noWrap/>
            <w:vAlign w:val="center"/>
            <w:hideMark/>
          </w:tcPr>
          <w:p w14:paraId="5E942B09"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36,1</w:t>
            </w:r>
          </w:p>
        </w:tc>
        <w:tc>
          <w:tcPr>
            <w:tcW w:w="859" w:type="dxa"/>
            <w:tcBorders>
              <w:top w:val="nil"/>
              <w:left w:val="nil"/>
              <w:bottom w:val="single" w:sz="4" w:space="0" w:color="auto"/>
              <w:right w:val="single" w:sz="4" w:space="0" w:color="auto"/>
            </w:tcBorders>
            <w:shd w:val="clear" w:color="auto" w:fill="auto"/>
            <w:noWrap/>
            <w:vAlign w:val="center"/>
            <w:hideMark/>
          </w:tcPr>
          <w:p w14:paraId="7543D554"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46,1</w:t>
            </w:r>
          </w:p>
        </w:tc>
        <w:tc>
          <w:tcPr>
            <w:tcW w:w="984" w:type="dxa"/>
            <w:tcBorders>
              <w:top w:val="nil"/>
              <w:left w:val="nil"/>
              <w:bottom w:val="single" w:sz="4" w:space="0" w:color="auto"/>
              <w:right w:val="single" w:sz="4" w:space="0" w:color="auto"/>
            </w:tcBorders>
            <w:shd w:val="clear" w:color="auto" w:fill="auto"/>
            <w:noWrap/>
            <w:vAlign w:val="center"/>
            <w:hideMark/>
          </w:tcPr>
          <w:p w14:paraId="465BE848"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35,9</w:t>
            </w:r>
          </w:p>
        </w:tc>
        <w:tc>
          <w:tcPr>
            <w:tcW w:w="859" w:type="dxa"/>
            <w:tcBorders>
              <w:top w:val="nil"/>
              <w:left w:val="nil"/>
              <w:bottom w:val="single" w:sz="4" w:space="0" w:color="auto"/>
              <w:right w:val="single" w:sz="4" w:space="0" w:color="auto"/>
            </w:tcBorders>
            <w:shd w:val="clear" w:color="auto" w:fill="auto"/>
            <w:noWrap/>
            <w:vAlign w:val="center"/>
            <w:hideMark/>
          </w:tcPr>
          <w:p w14:paraId="4EEAFA3B"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45,6</w:t>
            </w:r>
          </w:p>
        </w:tc>
        <w:tc>
          <w:tcPr>
            <w:tcW w:w="984" w:type="dxa"/>
            <w:tcBorders>
              <w:top w:val="nil"/>
              <w:left w:val="nil"/>
              <w:bottom w:val="single" w:sz="4" w:space="0" w:color="auto"/>
              <w:right w:val="single" w:sz="4" w:space="0" w:color="auto"/>
            </w:tcBorders>
            <w:shd w:val="clear" w:color="auto" w:fill="auto"/>
            <w:noWrap/>
            <w:vAlign w:val="center"/>
            <w:hideMark/>
          </w:tcPr>
          <w:p w14:paraId="278E8EBD"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36,3</w:t>
            </w:r>
          </w:p>
        </w:tc>
        <w:tc>
          <w:tcPr>
            <w:tcW w:w="859" w:type="dxa"/>
            <w:tcBorders>
              <w:top w:val="nil"/>
              <w:left w:val="nil"/>
              <w:bottom w:val="single" w:sz="4" w:space="0" w:color="auto"/>
              <w:right w:val="single" w:sz="4" w:space="0" w:color="auto"/>
            </w:tcBorders>
            <w:shd w:val="clear" w:color="auto" w:fill="auto"/>
            <w:noWrap/>
            <w:vAlign w:val="center"/>
            <w:hideMark/>
          </w:tcPr>
          <w:p w14:paraId="2306B251"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46,5</w:t>
            </w:r>
          </w:p>
        </w:tc>
      </w:tr>
      <w:tr w:rsidR="0073535A" w:rsidRPr="007C5A6E" w14:paraId="39853298" w14:textId="77777777" w:rsidTr="004A62FD">
        <w:trPr>
          <w:jc w:val="center"/>
        </w:trPr>
        <w:tc>
          <w:tcPr>
            <w:tcW w:w="1065" w:type="dxa"/>
            <w:vMerge/>
            <w:tcBorders>
              <w:top w:val="nil"/>
              <w:left w:val="single" w:sz="4" w:space="0" w:color="auto"/>
              <w:bottom w:val="single" w:sz="12" w:space="0" w:color="000000"/>
              <w:right w:val="single" w:sz="4" w:space="0" w:color="auto"/>
            </w:tcBorders>
            <w:vAlign w:val="center"/>
            <w:hideMark/>
          </w:tcPr>
          <w:p w14:paraId="65D26AFD" w14:textId="77777777" w:rsidR="0073535A" w:rsidRPr="007C5A6E" w:rsidRDefault="0073535A" w:rsidP="0073535A">
            <w:pPr>
              <w:spacing w:after="0" w:line="240" w:lineRule="auto"/>
              <w:rPr>
                <w:rFonts w:ascii="Times New Roman" w:hAnsi="Times New Roman"/>
                <w:color w:val="000000"/>
                <w:sz w:val="20"/>
                <w:szCs w:val="20"/>
              </w:rPr>
            </w:pPr>
          </w:p>
        </w:tc>
        <w:tc>
          <w:tcPr>
            <w:tcW w:w="2269" w:type="dxa"/>
            <w:tcBorders>
              <w:top w:val="single" w:sz="4" w:space="0" w:color="auto"/>
              <w:left w:val="nil"/>
              <w:bottom w:val="single" w:sz="12" w:space="0" w:color="auto"/>
              <w:right w:val="single" w:sz="4" w:space="0" w:color="000000"/>
            </w:tcBorders>
            <w:shd w:val="clear" w:color="auto" w:fill="auto"/>
            <w:noWrap/>
            <w:vAlign w:val="bottom"/>
            <w:hideMark/>
          </w:tcPr>
          <w:p w14:paraId="545F5C4D" w14:textId="77777777" w:rsidR="0073535A" w:rsidRPr="007C5A6E" w:rsidRDefault="0073535A" w:rsidP="0073535A">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Nbre de jours T&gt;40°C</w:t>
            </w:r>
          </w:p>
        </w:tc>
        <w:tc>
          <w:tcPr>
            <w:tcW w:w="1842" w:type="dxa"/>
            <w:gridSpan w:val="2"/>
            <w:tcBorders>
              <w:top w:val="single" w:sz="4" w:space="0" w:color="auto"/>
              <w:left w:val="nil"/>
              <w:bottom w:val="single" w:sz="12" w:space="0" w:color="auto"/>
              <w:right w:val="single" w:sz="4" w:space="0" w:color="000000"/>
            </w:tcBorders>
            <w:shd w:val="clear" w:color="auto" w:fill="auto"/>
            <w:noWrap/>
            <w:vAlign w:val="bottom"/>
            <w:hideMark/>
          </w:tcPr>
          <w:p w14:paraId="6964E17E"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58,8</w:t>
            </w:r>
          </w:p>
        </w:tc>
        <w:tc>
          <w:tcPr>
            <w:tcW w:w="1843" w:type="dxa"/>
            <w:gridSpan w:val="2"/>
            <w:tcBorders>
              <w:top w:val="single" w:sz="4" w:space="0" w:color="auto"/>
              <w:left w:val="nil"/>
              <w:bottom w:val="single" w:sz="12" w:space="0" w:color="auto"/>
              <w:right w:val="single" w:sz="4" w:space="0" w:color="000000"/>
            </w:tcBorders>
            <w:shd w:val="clear" w:color="auto" w:fill="auto"/>
            <w:noWrap/>
            <w:vAlign w:val="bottom"/>
            <w:hideMark/>
          </w:tcPr>
          <w:p w14:paraId="5E2B91B6"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84,3</w:t>
            </w:r>
          </w:p>
        </w:tc>
        <w:tc>
          <w:tcPr>
            <w:tcW w:w="1843" w:type="dxa"/>
            <w:gridSpan w:val="2"/>
            <w:tcBorders>
              <w:top w:val="single" w:sz="4" w:space="0" w:color="auto"/>
              <w:left w:val="nil"/>
              <w:bottom w:val="single" w:sz="12" w:space="0" w:color="auto"/>
              <w:right w:val="single" w:sz="4" w:space="0" w:color="000000"/>
            </w:tcBorders>
            <w:shd w:val="clear" w:color="auto" w:fill="auto"/>
            <w:noWrap/>
            <w:vAlign w:val="bottom"/>
            <w:hideMark/>
          </w:tcPr>
          <w:p w14:paraId="4881E562"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83,3</w:t>
            </w:r>
          </w:p>
        </w:tc>
        <w:tc>
          <w:tcPr>
            <w:tcW w:w="1843" w:type="dxa"/>
            <w:gridSpan w:val="2"/>
            <w:tcBorders>
              <w:top w:val="single" w:sz="4" w:space="0" w:color="auto"/>
              <w:left w:val="nil"/>
              <w:bottom w:val="single" w:sz="12" w:space="0" w:color="auto"/>
              <w:right w:val="single" w:sz="4" w:space="0" w:color="000000"/>
            </w:tcBorders>
            <w:shd w:val="clear" w:color="auto" w:fill="auto"/>
            <w:noWrap/>
            <w:vAlign w:val="bottom"/>
            <w:hideMark/>
          </w:tcPr>
          <w:p w14:paraId="3A49BA84"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90,7</w:t>
            </w:r>
          </w:p>
        </w:tc>
      </w:tr>
      <w:tr w:rsidR="0073535A" w:rsidRPr="007C5A6E" w14:paraId="76A39B9C" w14:textId="77777777" w:rsidTr="004A62FD">
        <w:trPr>
          <w:jc w:val="center"/>
        </w:trPr>
        <w:tc>
          <w:tcPr>
            <w:tcW w:w="1065" w:type="dxa"/>
            <w:vMerge w:val="restart"/>
            <w:tcBorders>
              <w:top w:val="nil"/>
              <w:left w:val="single" w:sz="4" w:space="0" w:color="auto"/>
              <w:bottom w:val="single" w:sz="4" w:space="0" w:color="auto"/>
              <w:right w:val="single" w:sz="4" w:space="0" w:color="auto"/>
            </w:tcBorders>
            <w:shd w:val="clear" w:color="auto" w:fill="auto"/>
            <w:vAlign w:val="center"/>
            <w:hideMark/>
          </w:tcPr>
          <w:p w14:paraId="45F2C67D"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Bobo-Dioulasso</w:t>
            </w:r>
          </w:p>
        </w:tc>
        <w:tc>
          <w:tcPr>
            <w:tcW w:w="2269" w:type="dxa"/>
            <w:tcBorders>
              <w:top w:val="nil"/>
              <w:left w:val="nil"/>
              <w:bottom w:val="single" w:sz="4" w:space="0" w:color="auto"/>
              <w:right w:val="single" w:sz="4" w:space="0" w:color="000000"/>
            </w:tcBorders>
            <w:shd w:val="clear" w:color="auto" w:fill="auto"/>
            <w:noWrap/>
            <w:vAlign w:val="bottom"/>
            <w:hideMark/>
          </w:tcPr>
          <w:p w14:paraId="0DB57803" w14:textId="77777777" w:rsidR="0073535A" w:rsidRPr="007C5A6E" w:rsidRDefault="0073535A" w:rsidP="0073535A">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températures</w:t>
            </w:r>
            <w:proofErr w:type="gramEnd"/>
            <w:r w:rsidRPr="007C5A6E">
              <w:rPr>
                <w:rFonts w:ascii="Times New Roman" w:hAnsi="Times New Roman"/>
                <w:color w:val="000000"/>
                <w:sz w:val="20"/>
                <w:szCs w:val="20"/>
              </w:rPr>
              <w:t xml:space="preserve"> minimales</w:t>
            </w:r>
          </w:p>
        </w:tc>
        <w:tc>
          <w:tcPr>
            <w:tcW w:w="984" w:type="dxa"/>
            <w:tcBorders>
              <w:top w:val="nil"/>
              <w:left w:val="nil"/>
              <w:bottom w:val="single" w:sz="4" w:space="0" w:color="auto"/>
              <w:right w:val="single" w:sz="4" w:space="0" w:color="auto"/>
            </w:tcBorders>
            <w:shd w:val="clear" w:color="auto" w:fill="auto"/>
            <w:noWrap/>
            <w:vAlign w:val="center"/>
            <w:hideMark/>
          </w:tcPr>
          <w:p w14:paraId="05C9D353"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22,1</w:t>
            </w:r>
          </w:p>
        </w:tc>
        <w:tc>
          <w:tcPr>
            <w:tcW w:w="858" w:type="dxa"/>
            <w:tcBorders>
              <w:top w:val="nil"/>
              <w:left w:val="nil"/>
              <w:bottom w:val="single" w:sz="4" w:space="0" w:color="auto"/>
              <w:right w:val="single" w:sz="4" w:space="0" w:color="auto"/>
            </w:tcBorders>
            <w:shd w:val="clear" w:color="auto" w:fill="auto"/>
            <w:noWrap/>
            <w:vAlign w:val="center"/>
            <w:hideMark/>
          </w:tcPr>
          <w:p w14:paraId="2ABCCE87"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12,8</w:t>
            </w:r>
          </w:p>
        </w:tc>
        <w:tc>
          <w:tcPr>
            <w:tcW w:w="984" w:type="dxa"/>
            <w:tcBorders>
              <w:top w:val="nil"/>
              <w:left w:val="nil"/>
              <w:bottom w:val="single" w:sz="4" w:space="0" w:color="auto"/>
              <w:right w:val="single" w:sz="4" w:space="0" w:color="auto"/>
            </w:tcBorders>
            <w:shd w:val="clear" w:color="auto" w:fill="auto"/>
            <w:noWrap/>
            <w:vAlign w:val="center"/>
            <w:hideMark/>
          </w:tcPr>
          <w:p w14:paraId="284BCD70"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23,7</w:t>
            </w:r>
          </w:p>
        </w:tc>
        <w:tc>
          <w:tcPr>
            <w:tcW w:w="859" w:type="dxa"/>
            <w:tcBorders>
              <w:top w:val="nil"/>
              <w:left w:val="nil"/>
              <w:bottom w:val="single" w:sz="4" w:space="0" w:color="auto"/>
              <w:right w:val="single" w:sz="4" w:space="0" w:color="auto"/>
            </w:tcBorders>
            <w:shd w:val="clear" w:color="auto" w:fill="auto"/>
            <w:noWrap/>
            <w:vAlign w:val="center"/>
            <w:hideMark/>
          </w:tcPr>
          <w:p w14:paraId="7F150498"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14,2</w:t>
            </w:r>
          </w:p>
        </w:tc>
        <w:tc>
          <w:tcPr>
            <w:tcW w:w="984" w:type="dxa"/>
            <w:tcBorders>
              <w:top w:val="nil"/>
              <w:left w:val="nil"/>
              <w:bottom w:val="single" w:sz="4" w:space="0" w:color="auto"/>
              <w:right w:val="single" w:sz="4" w:space="0" w:color="auto"/>
            </w:tcBorders>
            <w:shd w:val="clear" w:color="auto" w:fill="auto"/>
            <w:noWrap/>
            <w:vAlign w:val="center"/>
            <w:hideMark/>
          </w:tcPr>
          <w:p w14:paraId="645E4349"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23,9</w:t>
            </w:r>
          </w:p>
        </w:tc>
        <w:tc>
          <w:tcPr>
            <w:tcW w:w="859" w:type="dxa"/>
            <w:tcBorders>
              <w:top w:val="nil"/>
              <w:left w:val="nil"/>
              <w:bottom w:val="single" w:sz="4" w:space="0" w:color="auto"/>
              <w:right w:val="single" w:sz="4" w:space="0" w:color="auto"/>
            </w:tcBorders>
            <w:shd w:val="clear" w:color="auto" w:fill="auto"/>
            <w:noWrap/>
            <w:vAlign w:val="center"/>
            <w:hideMark/>
          </w:tcPr>
          <w:p w14:paraId="0F484255"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14,5</w:t>
            </w:r>
          </w:p>
        </w:tc>
        <w:tc>
          <w:tcPr>
            <w:tcW w:w="984" w:type="dxa"/>
            <w:tcBorders>
              <w:top w:val="nil"/>
              <w:left w:val="nil"/>
              <w:bottom w:val="single" w:sz="4" w:space="0" w:color="auto"/>
              <w:right w:val="single" w:sz="4" w:space="0" w:color="auto"/>
            </w:tcBorders>
            <w:shd w:val="clear" w:color="auto" w:fill="auto"/>
            <w:noWrap/>
            <w:vAlign w:val="center"/>
            <w:hideMark/>
          </w:tcPr>
          <w:p w14:paraId="62255F30"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24,0</w:t>
            </w:r>
          </w:p>
        </w:tc>
        <w:tc>
          <w:tcPr>
            <w:tcW w:w="859" w:type="dxa"/>
            <w:tcBorders>
              <w:top w:val="nil"/>
              <w:left w:val="nil"/>
              <w:bottom w:val="single" w:sz="4" w:space="0" w:color="auto"/>
              <w:right w:val="single" w:sz="4" w:space="0" w:color="auto"/>
            </w:tcBorders>
            <w:shd w:val="clear" w:color="auto" w:fill="auto"/>
            <w:noWrap/>
            <w:vAlign w:val="center"/>
            <w:hideMark/>
          </w:tcPr>
          <w:p w14:paraId="4EC1AA00"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14,6</w:t>
            </w:r>
          </w:p>
        </w:tc>
      </w:tr>
      <w:tr w:rsidR="0073535A" w:rsidRPr="007C5A6E" w14:paraId="4CE8F4FF" w14:textId="77777777" w:rsidTr="004A62FD">
        <w:trPr>
          <w:jc w:val="center"/>
        </w:trPr>
        <w:tc>
          <w:tcPr>
            <w:tcW w:w="1065" w:type="dxa"/>
            <w:vMerge/>
            <w:tcBorders>
              <w:top w:val="nil"/>
              <w:left w:val="single" w:sz="4" w:space="0" w:color="auto"/>
              <w:bottom w:val="single" w:sz="4" w:space="0" w:color="auto"/>
              <w:right w:val="single" w:sz="4" w:space="0" w:color="auto"/>
            </w:tcBorders>
            <w:vAlign w:val="center"/>
            <w:hideMark/>
          </w:tcPr>
          <w:p w14:paraId="7D95B929" w14:textId="77777777" w:rsidR="0073535A" w:rsidRPr="007C5A6E" w:rsidRDefault="0073535A" w:rsidP="0073535A">
            <w:pPr>
              <w:spacing w:after="0" w:line="240" w:lineRule="auto"/>
              <w:rPr>
                <w:rFonts w:ascii="Times New Roman" w:hAnsi="Times New Roman"/>
                <w:color w:val="000000"/>
                <w:sz w:val="20"/>
                <w:szCs w:val="20"/>
              </w:rPr>
            </w:pPr>
          </w:p>
        </w:tc>
        <w:tc>
          <w:tcPr>
            <w:tcW w:w="2269" w:type="dxa"/>
            <w:tcBorders>
              <w:top w:val="single" w:sz="4" w:space="0" w:color="auto"/>
              <w:left w:val="nil"/>
              <w:bottom w:val="single" w:sz="4" w:space="0" w:color="auto"/>
              <w:right w:val="single" w:sz="4" w:space="0" w:color="000000"/>
            </w:tcBorders>
            <w:shd w:val="clear" w:color="auto" w:fill="auto"/>
            <w:noWrap/>
            <w:vAlign w:val="bottom"/>
            <w:hideMark/>
          </w:tcPr>
          <w:p w14:paraId="73ED6615" w14:textId="77777777" w:rsidR="0073535A" w:rsidRPr="007C5A6E" w:rsidRDefault="0073535A" w:rsidP="0073535A">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températures</w:t>
            </w:r>
            <w:proofErr w:type="gramEnd"/>
            <w:r w:rsidRPr="007C5A6E">
              <w:rPr>
                <w:rFonts w:ascii="Times New Roman" w:hAnsi="Times New Roman"/>
                <w:color w:val="000000"/>
                <w:sz w:val="20"/>
                <w:szCs w:val="20"/>
              </w:rPr>
              <w:t xml:space="preserve"> maximales</w:t>
            </w:r>
          </w:p>
        </w:tc>
        <w:tc>
          <w:tcPr>
            <w:tcW w:w="984" w:type="dxa"/>
            <w:tcBorders>
              <w:top w:val="nil"/>
              <w:left w:val="nil"/>
              <w:bottom w:val="single" w:sz="4" w:space="0" w:color="auto"/>
              <w:right w:val="single" w:sz="4" w:space="0" w:color="auto"/>
            </w:tcBorders>
            <w:shd w:val="clear" w:color="auto" w:fill="auto"/>
            <w:noWrap/>
            <w:vAlign w:val="center"/>
            <w:hideMark/>
          </w:tcPr>
          <w:p w14:paraId="75722E22"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32,7</w:t>
            </w:r>
          </w:p>
        </w:tc>
        <w:tc>
          <w:tcPr>
            <w:tcW w:w="858" w:type="dxa"/>
            <w:tcBorders>
              <w:top w:val="nil"/>
              <w:left w:val="nil"/>
              <w:bottom w:val="single" w:sz="4" w:space="0" w:color="auto"/>
              <w:right w:val="single" w:sz="4" w:space="0" w:color="auto"/>
            </w:tcBorders>
            <w:shd w:val="clear" w:color="auto" w:fill="auto"/>
            <w:noWrap/>
            <w:vAlign w:val="center"/>
            <w:hideMark/>
          </w:tcPr>
          <w:p w14:paraId="3860CDF5"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40,9</w:t>
            </w:r>
          </w:p>
        </w:tc>
        <w:tc>
          <w:tcPr>
            <w:tcW w:w="984" w:type="dxa"/>
            <w:tcBorders>
              <w:top w:val="nil"/>
              <w:left w:val="nil"/>
              <w:bottom w:val="single" w:sz="4" w:space="0" w:color="auto"/>
              <w:right w:val="single" w:sz="4" w:space="0" w:color="auto"/>
            </w:tcBorders>
            <w:shd w:val="clear" w:color="auto" w:fill="auto"/>
            <w:noWrap/>
            <w:vAlign w:val="center"/>
            <w:hideMark/>
          </w:tcPr>
          <w:p w14:paraId="74C9F05D"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33,5</w:t>
            </w:r>
          </w:p>
        </w:tc>
        <w:tc>
          <w:tcPr>
            <w:tcW w:w="859" w:type="dxa"/>
            <w:tcBorders>
              <w:top w:val="nil"/>
              <w:left w:val="nil"/>
              <w:bottom w:val="single" w:sz="4" w:space="0" w:color="auto"/>
              <w:right w:val="single" w:sz="4" w:space="0" w:color="auto"/>
            </w:tcBorders>
            <w:shd w:val="clear" w:color="auto" w:fill="auto"/>
            <w:noWrap/>
            <w:vAlign w:val="center"/>
            <w:hideMark/>
          </w:tcPr>
          <w:p w14:paraId="0217211E"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42,0</w:t>
            </w:r>
          </w:p>
        </w:tc>
        <w:tc>
          <w:tcPr>
            <w:tcW w:w="984" w:type="dxa"/>
            <w:tcBorders>
              <w:top w:val="nil"/>
              <w:left w:val="nil"/>
              <w:bottom w:val="single" w:sz="4" w:space="0" w:color="auto"/>
              <w:right w:val="single" w:sz="4" w:space="0" w:color="auto"/>
            </w:tcBorders>
            <w:shd w:val="clear" w:color="auto" w:fill="auto"/>
            <w:noWrap/>
            <w:vAlign w:val="center"/>
            <w:hideMark/>
          </w:tcPr>
          <w:p w14:paraId="4C5E1CCB"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34,1</w:t>
            </w:r>
          </w:p>
        </w:tc>
        <w:tc>
          <w:tcPr>
            <w:tcW w:w="859" w:type="dxa"/>
            <w:tcBorders>
              <w:top w:val="nil"/>
              <w:left w:val="nil"/>
              <w:bottom w:val="single" w:sz="4" w:space="0" w:color="auto"/>
              <w:right w:val="single" w:sz="4" w:space="0" w:color="auto"/>
            </w:tcBorders>
            <w:shd w:val="clear" w:color="auto" w:fill="auto"/>
            <w:noWrap/>
            <w:vAlign w:val="center"/>
            <w:hideMark/>
          </w:tcPr>
          <w:p w14:paraId="5183679F"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43,1</w:t>
            </w:r>
          </w:p>
        </w:tc>
        <w:tc>
          <w:tcPr>
            <w:tcW w:w="984" w:type="dxa"/>
            <w:tcBorders>
              <w:top w:val="nil"/>
              <w:left w:val="nil"/>
              <w:bottom w:val="single" w:sz="4" w:space="0" w:color="auto"/>
              <w:right w:val="single" w:sz="4" w:space="0" w:color="auto"/>
            </w:tcBorders>
            <w:shd w:val="clear" w:color="auto" w:fill="auto"/>
            <w:noWrap/>
            <w:vAlign w:val="center"/>
            <w:hideMark/>
          </w:tcPr>
          <w:p w14:paraId="392B215E"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33,8</w:t>
            </w:r>
          </w:p>
        </w:tc>
        <w:tc>
          <w:tcPr>
            <w:tcW w:w="859" w:type="dxa"/>
            <w:tcBorders>
              <w:top w:val="nil"/>
              <w:left w:val="nil"/>
              <w:bottom w:val="single" w:sz="4" w:space="0" w:color="auto"/>
              <w:right w:val="single" w:sz="4" w:space="0" w:color="auto"/>
            </w:tcBorders>
            <w:shd w:val="clear" w:color="auto" w:fill="auto"/>
            <w:noWrap/>
            <w:vAlign w:val="center"/>
            <w:hideMark/>
          </w:tcPr>
          <w:p w14:paraId="46ABEE7C"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42,2</w:t>
            </w:r>
          </w:p>
        </w:tc>
      </w:tr>
      <w:tr w:rsidR="0073535A" w:rsidRPr="007C5A6E" w14:paraId="61A38BB2" w14:textId="77777777" w:rsidTr="004A62FD">
        <w:trPr>
          <w:jc w:val="center"/>
        </w:trPr>
        <w:tc>
          <w:tcPr>
            <w:tcW w:w="1065" w:type="dxa"/>
            <w:vMerge/>
            <w:tcBorders>
              <w:top w:val="nil"/>
              <w:left w:val="single" w:sz="4" w:space="0" w:color="auto"/>
              <w:bottom w:val="single" w:sz="4" w:space="0" w:color="auto"/>
              <w:right w:val="single" w:sz="4" w:space="0" w:color="auto"/>
            </w:tcBorders>
            <w:vAlign w:val="center"/>
            <w:hideMark/>
          </w:tcPr>
          <w:p w14:paraId="200BAE55" w14:textId="77777777" w:rsidR="0073535A" w:rsidRPr="007C5A6E" w:rsidRDefault="0073535A" w:rsidP="0073535A">
            <w:pPr>
              <w:spacing w:after="0" w:line="240" w:lineRule="auto"/>
              <w:rPr>
                <w:rFonts w:ascii="Times New Roman" w:hAnsi="Times New Roman"/>
                <w:color w:val="000000"/>
                <w:sz w:val="20"/>
                <w:szCs w:val="20"/>
              </w:rPr>
            </w:pPr>
          </w:p>
        </w:tc>
        <w:tc>
          <w:tcPr>
            <w:tcW w:w="2269" w:type="dxa"/>
            <w:tcBorders>
              <w:top w:val="single" w:sz="4" w:space="0" w:color="auto"/>
              <w:left w:val="nil"/>
              <w:bottom w:val="nil"/>
              <w:right w:val="single" w:sz="4" w:space="0" w:color="000000"/>
            </w:tcBorders>
            <w:shd w:val="clear" w:color="auto" w:fill="auto"/>
            <w:noWrap/>
            <w:vAlign w:val="bottom"/>
            <w:hideMark/>
          </w:tcPr>
          <w:p w14:paraId="7B2BC898" w14:textId="77777777" w:rsidR="0073535A" w:rsidRPr="007C5A6E" w:rsidRDefault="0073535A" w:rsidP="0073535A">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Nbre de jours T&gt;40°C</w:t>
            </w:r>
          </w:p>
        </w:tc>
        <w:tc>
          <w:tcPr>
            <w:tcW w:w="1842" w:type="dxa"/>
            <w:gridSpan w:val="2"/>
            <w:tcBorders>
              <w:top w:val="single" w:sz="4" w:space="0" w:color="auto"/>
              <w:left w:val="nil"/>
              <w:bottom w:val="nil"/>
              <w:right w:val="single" w:sz="4" w:space="0" w:color="000000"/>
            </w:tcBorders>
            <w:shd w:val="clear" w:color="auto" w:fill="auto"/>
            <w:noWrap/>
            <w:vAlign w:val="bottom"/>
            <w:hideMark/>
          </w:tcPr>
          <w:p w14:paraId="59BB67A1"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15,8</w:t>
            </w:r>
          </w:p>
        </w:tc>
        <w:tc>
          <w:tcPr>
            <w:tcW w:w="1843" w:type="dxa"/>
            <w:gridSpan w:val="2"/>
            <w:tcBorders>
              <w:top w:val="single" w:sz="4" w:space="0" w:color="auto"/>
              <w:left w:val="nil"/>
              <w:bottom w:val="nil"/>
              <w:right w:val="single" w:sz="4" w:space="0" w:color="000000"/>
            </w:tcBorders>
            <w:shd w:val="clear" w:color="auto" w:fill="auto"/>
            <w:noWrap/>
            <w:vAlign w:val="bottom"/>
            <w:hideMark/>
          </w:tcPr>
          <w:p w14:paraId="0583616F"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25,0</w:t>
            </w:r>
          </w:p>
        </w:tc>
        <w:tc>
          <w:tcPr>
            <w:tcW w:w="1843" w:type="dxa"/>
            <w:gridSpan w:val="2"/>
            <w:tcBorders>
              <w:top w:val="single" w:sz="4" w:space="0" w:color="auto"/>
              <w:left w:val="nil"/>
              <w:bottom w:val="nil"/>
              <w:right w:val="single" w:sz="4" w:space="0" w:color="000000"/>
            </w:tcBorders>
            <w:shd w:val="clear" w:color="auto" w:fill="auto"/>
            <w:noWrap/>
            <w:vAlign w:val="bottom"/>
            <w:hideMark/>
          </w:tcPr>
          <w:p w14:paraId="1C3D9FEA"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35,1</w:t>
            </w:r>
          </w:p>
        </w:tc>
        <w:tc>
          <w:tcPr>
            <w:tcW w:w="1843" w:type="dxa"/>
            <w:gridSpan w:val="2"/>
            <w:tcBorders>
              <w:top w:val="single" w:sz="4" w:space="0" w:color="auto"/>
              <w:left w:val="nil"/>
              <w:bottom w:val="nil"/>
              <w:right w:val="single" w:sz="4" w:space="0" w:color="000000"/>
            </w:tcBorders>
            <w:shd w:val="clear" w:color="auto" w:fill="auto"/>
            <w:noWrap/>
            <w:vAlign w:val="bottom"/>
            <w:hideMark/>
          </w:tcPr>
          <w:p w14:paraId="032C9D84"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27,4</w:t>
            </w:r>
          </w:p>
        </w:tc>
      </w:tr>
      <w:tr w:rsidR="0073535A" w:rsidRPr="007C5A6E" w14:paraId="1B496C67" w14:textId="77777777" w:rsidTr="004A62FD">
        <w:trPr>
          <w:jc w:val="center"/>
        </w:trPr>
        <w:tc>
          <w:tcPr>
            <w:tcW w:w="3334" w:type="dxa"/>
            <w:gridSpan w:val="2"/>
            <w:vMerge w:val="restart"/>
            <w:tcBorders>
              <w:top w:val="double" w:sz="6" w:space="0" w:color="auto"/>
              <w:left w:val="single" w:sz="4" w:space="0" w:color="auto"/>
              <w:bottom w:val="single" w:sz="4" w:space="0" w:color="000000"/>
              <w:right w:val="single" w:sz="4" w:space="0" w:color="000000"/>
            </w:tcBorders>
            <w:shd w:val="clear" w:color="auto" w:fill="auto"/>
            <w:noWrap/>
            <w:vAlign w:val="center"/>
            <w:hideMark/>
          </w:tcPr>
          <w:p w14:paraId="5A331517"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 xml:space="preserve">Température à l'horizon 2100 </w:t>
            </w:r>
            <w:proofErr w:type="gramStart"/>
            <w:r w:rsidRPr="007C5A6E">
              <w:rPr>
                <w:rFonts w:ascii="Times New Roman" w:hAnsi="Times New Roman"/>
                <w:color w:val="000000"/>
                <w:sz w:val="20"/>
                <w:szCs w:val="20"/>
              </w:rPr>
              <w:t>en  °</w:t>
            </w:r>
            <w:proofErr w:type="gramEnd"/>
            <w:r w:rsidRPr="007C5A6E">
              <w:rPr>
                <w:rFonts w:ascii="Times New Roman" w:hAnsi="Times New Roman"/>
                <w:color w:val="000000"/>
                <w:sz w:val="20"/>
                <w:szCs w:val="20"/>
              </w:rPr>
              <w:t>C</w:t>
            </w:r>
          </w:p>
        </w:tc>
        <w:tc>
          <w:tcPr>
            <w:tcW w:w="1842" w:type="dxa"/>
            <w:gridSpan w:val="2"/>
            <w:tcBorders>
              <w:top w:val="double" w:sz="6" w:space="0" w:color="auto"/>
              <w:left w:val="nil"/>
              <w:bottom w:val="single" w:sz="4" w:space="0" w:color="auto"/>
              <w:right w:val="single" w:sz="4" w:space="0" w:color="auto"/>
            </w:tcBorders>
            <w:shd w:val="clear" w:color="auto" w:fill="auto"/>
            <w:noWrap/>
            <w:vAlign w:val="bottom"/>
            <w:hideMark/>
          </w:tcPr>
          <w:p w14:paraId="74BCF3A3"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Historique 2000</w:t>
            </w:r>
          </w:p>
        </w:tc>
        <w:tc>
          <w:tcPr>
            <w:tcW w:w="1843" w:type="dxa"/>
            <w:gridSpan w:val="2"/>
            <w:tcBorders>
              <w:top w:val="double" w:sz="6" w:space="0" w:color="auto"/>
              <w:left w:val="nil"/>
              <w:bottom w:val="single" w:sz="4" w:space="0" w:color="auto"/>
              <w:right w:val="single" w:sz="4" w:space="0" w:color="auto"/>
            </w:tcBorders>
            <w:shd w:val="clear" w:color="auto" w:fill="auto"/>
            <w:noWrap/>
            <w:vAlign w:val="bottom"/>
            <w:hideMark/>
          </w:tcPr>
          <w:p w14:paraId="0FDB9DB8"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SSP245</w:t>
            </w:r>
          </w:p>
        </w:tc>
        <w:tc>
          <w:tcPr>
            <w:tcW w:w="1843" w:type="dxa"/>
            <w:gridSpan w:val="2"/>
            <w:tcBorders>
              <w:top w:val="double" w:sz="6" w:space="0" w:color="auto"/>
              <w:left w:val="nil"/>
              <w:bottom w:val="single" w:sz="4" w:space="0" w:color="auto"/>
              <w:right w:val="single" w:sz="4" w:space="0" w:color="auto"/>
            </w:tcBorders>
            <w:shd w:val="clear" w:color="auto" w:fill="auto"/>
            <w:noWrap/>
            <w:vAlign w:val="bottom"/>
            <w:hideMark/>
          </w:tcPr>
          <w:p w14:paraId="773E45BA"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SSP370</w:t>
            </w:r>
          </w:p>
        </w:tc>
        <w:tc>
          <w:tcPr>
            <w:tcW w:w="1843" w:type="dxa"/>
            <w:gridSpan w:val="2"/>
            <w:tcBorders>
              <w:top w:val="double" w:sz="6" w:space="0" w:color="auto"/>
              <w:left w:val="nil"/>
              <w:bottom w:val="single" w:sz="4" w:space="0" w:color="auto"/>
              <w:right w:val="single" w:sz="4" w:space="0" w:color="auto"/>
            </w:tcBorders>
            <w:shd w:val="clear" w:color="auto" w:fill="auto"/>
            <w:noWrap/>
            <w:vAlign w:val="bottom"/>
            <w:hideMark/>
          </w:tcPr>
          <w:p w14:paraId="2B05DF04"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SSP585</w:t>
            </w:r>
          </w:p>
        </w:tc>
      </w:tr>
      <w:tr w:rsidR="0073535A" w:rsidRPr="007C5A6E" w14:paraId="2BAFF6F6" w14:textId="77777777" w:rsidTr="004A62FD">
        <w:trPr>
          <w:jc w:val="center"/>
        </w:trPr>
        <w:tc>
          <w:tcPr>
            <w:tcW w:w="3334" w:type="dxa"/>
            <w:gridSpan w:val="2"/>
            <w:vMerge/>
            <w:tcBorders>
              <w:top w:val="double" w:sz="6" w:space="0" w:color="auto"/>
              <w:left w:val="single" w:sz="4" w:space="0" w:color="auto"/>
              <w:bottom w:val="single" w:sz="4" w:space="0" w:color="000000"/>
              <w:right w:val="single" w:sz="4" w:space="0" w:color="000000"/>
            </w:tcBorders>
            <w:vAlign w:val="center"/>
            <w:hideMark/>
          </w:tcPr>
          <w:p w14:paraId="6AD07DFD" w14:textId="77777777" w:rsidR="0073535A" w:rsidRPr="007C5A6E" w:rsidRDefault="0073535A" w:rsidP="0073535A">
            <w:pPr>
              <w:spacing w:after="0" w:line="240" w:lineRule="auto"/>
              <w:rPr>
                <w:rFonts w:ascii="Times New Roman" w:hAnsi="Times New Roman"/>
                <w:color w:val="000000"/>
                <w:sz w:val="20"/>
                <w:szCs w:val="20"/>
              </w:rPr>
            </w:pPr>
          </w:p>
        </w:tc>
        <w:tc>
          <w:tcPr>
            <w:tcW w:w="984" w:type="dxa"/>
            <w:tcBorders>
              <w:top w:val="nil"/>
              <w:left w:val="nil"/>
              <w:bottom w:val="single" w:sz="4" w:space="0" w:color="auto"/>
              <w:right w:val="single" w:sz="4" w:space="0" w:color="auto"/>
            </w:tcBorders>
            <w:shd w:val="clear" w:color="auto" w:fill="auto"/>
            <w:noWrap/>
            <w:vAlign w:val="center"/>
            <w:hideMark/>
          </w:tcPr>
          <w:p w14:paraId="5B7E3331" w14:textId="77777777" w:rsidR="0073535A" w:rsidRPr="007C5A6E" w:rsidRDefault="0073535A" w:rsidP="0073535A">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moyennes</w:t>
            </w:r>
            <w:proofErr w:type="gramEnd"/>
          </w:p>
        </w:tc>
        <w:tc>
          <w:tcPr>
            <w:tcW w:w="858" w:type="dxa"/>
            <w:tcBorders>
              <w:top w:val="nil"/>
              <w:left w:val="nil"/>
              <w:bottom w:val="single" w:sz="4" w:space="0" w:color="auto"/>
              <w:right w:val="single" w:sz="4" w:space="0" w:color="auto"/>
            </w:tcBorders>
            <w:shd w:val="clear" w:color="auto" w:fill="auto"/>
            <w:noWrap/>
            <w:vAlign w:val="center"/>
            <w:hideMark/>
          </w:tcPr>
          <w:p w14:paraId="137EC861" w14:textId="77777777" w:rsidR="0073535A" w:rsidRPr="007C5A6E" w:rsidRDefault="0073535A" w:rsidP="0073535A">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absolues</w:t>
            </w:r>
            <w:proofErr w:type="gramEnd"/>
          </w:p>
        </w:tc>
        <w:tc>
          <w:tcPr>
            <w:tcW w:w="984" w:type="dxa"/>
            <w:tcBorders>
              <w:top w:val="nil"/>
              <w:left w:val="nil"/>
              <w:bottom w:val="single" w:sz="4" w:space="0" w:color="auto"/>
              <w:right w:val="single" w:sz="4" w:space="0" w:color="auto"/>
            </w:tcBorders>
            <w:shd w:val="clear" w:color="auto" w:fill="auto"/>
            <w:noWrap/>
            <w:vAlign w:val="center"/>
            <w:hideMark/>
          </w:tcPr>
          <w:p w14:paraId="01D9E218" w14:textId="77777777" w:rsidR="0073535A" w:rsidRPr="007C5A6E" w:rsidRDefault="0073535A" w:rsidP="0073535A">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moyennes</w:t>
            </w:r>
            <w:proofErr w:type="gramEnd"/>
          </w:p>
        </w:tc>
        <w:tc>
          <w:tcPr>
            <w:tcW w:w="859" w:type="dxa"/>
            <w:tcBorders>
              <w:top w:val="nil"/>
              <w:left w:val="nil"/>
              <w:bottom w:val="single" w:sz="4" w:space="0" w:color="auto"/>
              <w:right w:val="single" w:sz="4" w:space="0" w:color="auto"/>
            </w:tcBorders>
            <w:shd w:val="clear" w:color="auto" w:fill="auto"/>
            <w:noWrap/>
            <w:vAlign w:val="center"/>
            <w:hideMark/>
          </w:tcPr>
          <w:p w14:paraId="1EC376AE" w14:textId="77777777" w:rsidR="0073535A" w:rsidRPr="007C5A6E" w:rsidRDefault="0073535A" w:rsidP="0073535A">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absolues</w:t>
            </w:r>
            <w:proofErr w:type="gramEnd"/>
          </w:p>
        </w:tc>
        <w:tc>
          <w:tcPr>
            <w:tcW w:w="984" w:type="dxa"/>
            <w:tcBorders>
              <w:top w:val="nil"/>
              <w:left w:val="nil"/>
              <w:bottom w:val="single" w:sz="4" w:space="0" w:color="auto"/>
              <w:right w:val="single" w:sz="4" w:space="0" w:color="auto"/>
            </w:tcBorders>
            <w:shd w:val="clear" w:color="auto" w:fill="auto"/>
            <w:noWrap/>
            <w:vAlign w:val="center"/>
            <w:hideMark/>
          </w:tcPr>
          <w:p w14:paraId="4BACC163" w14:textId="77777777" w:rsidR="0073535A" w:rsidRPr="007C5A6E" w:rsidRDefault="0073535A" w:rsidP="0073535A">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moyennes</w:t>
            </w:r>
            <w:proofErr w:type="gramEnd"/>
          </w:p>
        </w:tc>
        <w:tc>
          <w:tcPr>
            <w:tcW w:w="859" w:type="dxa"/>
            <w:tcBorders>
              <w:top w:val="nil"/>
              <w:left w:val="nil"/>
              <w:bottom w:val="single" w:sz="4" w:space="0" w:color="auto"/>
              <w:right w:val="single" w:sz="4" w:space="0" w:color="auto"/>
            </w:tcBorders>
            <w:shd w:val="clear" w:color="auto" w:fill="auto"/>
            <w:noWrap/>
            <w:vAlign w:val="center"/>
            <w:hideMark/>
          </w:tcPr>
          <w:p w14:paraId="3D83CB15" w14:textId="77777777" w:rsidR="0073535A" w:rsidRPr="007C5A6E" w:rsidRDefault="0073535A" w:rsidP="0073535A">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absolues</w:t>
            </w:r>
            <w:proofErr w:type="gramEnd"/>
          </w:p>
        </w:tc>
        <w:tc>
          <w:tcPr>
            <w:tcW w:w="984" w:type="dxa"/>
            <w:tcBorders>
              <w:top w:val="nil"/>
              <w:left w:val="nil"/>
              <w:bottom w:val="single" w:sz="4" w:space="0" w:color="auto"/>
              <w:right w:val="single" w:sz="4" w:space="0" w:color="auto"/>
            </w:tcBorders>
            <w:shd w:val="clear" w:color="auto" w:fill="auto"/>
            <w:noWrap/>
            <w:vAlign w:val="center"/>
            <w:hideMark/>
          </w:tcPr>
          <w:p w14:paraId="0412AF7C" w14:textId="77777777" w:rsidR="0073535A" w:rsidRPr="007C5A6E" w:rsidRDefault="0073535A" w:rsidP="0073535A">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moyennes</w:t>
            </w:r>
            <w:proofErr w:type="gramEnd"/>
          </w:p>
        </w:tc>
        <w:tc>
          <w:tcPr>
            <w:tcW w:w="859" w:type="dxa"/>
            <w:tcBorders>
              <w:top w:val="nil"/>
              <w:left w:val="nil"/>
              <w:bottom w:val="single" w:sz="4" w:space="0" w:color="auto"/>
              <w:right w:val="single" w:sz="4" w:space="0" w:color="auto"/>
            </w:tcBorders>
            <w:shd w:val="clear" w:color="auto" w:fill="auto"/>
            <w:noWrap/>
            <w:vAlign w:val="center"/>
            <w:hideMark/>
          </w:tcPr>
          <w:p w14:paraId="5BE2ED21" w14:textId="77777777" w:rsidR="0073535A" w:rsidRPr="007C5A6E" w:rsidRDefault="0073535A" w:rsidP="0073535A">
            <w:pPr>
              <w:spacing w:after="0" w:line="240" w:lineRule="auto"/>
              <w:jc w:val="center"/>
              <w:rPr>
                <w:rFonts w:ascii="Times New Roman" w:hAnsi="Times New Roman"/>
                <w:color w:val="000000"/>
                <w:sz w:val="20"/>
                <w:szCs w:val="20"/>
              </w:rPr>
            </w:pPr>
            <w:proofErr w:type="gramStart"/>
            <w:r w:rsidRPr="007C5A6E">
              <w:rPr>
                <w:rFonts w:ascii="Times New Roman" w:hAnsi="Times New Roman"/>
                <w:color w:val="000000"/>
                <w:sz w:val="20"/>
                <w:szCs w:val="20"/>
              </w:rPr>
              <w:t>absolues</w:t>
            </w:r>
            <w:proofErr w:type="gramEnd"/>
          </w:p>
        </w:tc>
      </w:tr>
      <w:tr w:rsidR="0073535A" w:rsidRPr="007C5A6E" w14:paraId="3C70C0C6" w14:textId="77777777" w:rsidTr="004A62FD">
        <w:trPr>
          <w:jc w:val="center"/>
        </w:trPr>
        <w:tc>
          <w:tcPr>
            <w:tcW w:w="1065" w:type="dxa"/>
            <w:tcBorders>
              <w:top w:val="nil"/>
              <w:left w:val="single" w:sz="4" w:space="0" w:color="auto"/>
              <w:bottom w:val="single" w:sz="4" w:space="0" w:color="auto"/>
              <w:right w:val="single" w:sz="4" w:space="0" w:color="auto"/>
            </w:tcBorders>
            <w:shd w:val="clear" w:color="auto" w:fill="auto"/>
            <w:vAlign w:val="center"/>
            <w:hideMark/>
          </w:tcPr>
          <w:p w14:paraId="18A20B65"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Dori</w:t>
            </w:r>
          </w:p>
        </w:tc>
        <w:tc>
          <w:tcPr>
            <w:tcW w:w="2269" w:type="dxa"/>
            <w:tcBorders>
              <w:top w:val="nil"/>
              <w:left w:val="nil"/>
              <w:bottom w:val="single" w:sz="4" w:space="0" w:color="auto"/>
              <w:right w:val="single" w:sz="4" w:space="0" w:color="000000"/>
            </w:tcBorders>
            <w:shd w:val="clear" w:color="auto" w:fill="auto"/>
            <w:noWrap/>
            <w:vAlign w:val="bottom"/>
            <w:hideMark/>
          </w:tcPr>
          <w:p w14:paraId="1B9BD4DF" w14:textId="77777777" w:rsidR="0073535A" w:rsidRPr="007C5A6E" w:rsidRDefault="0073535A" w:rsidP="0073535A">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températures</w:t>
            </w:r>
            <w:proofErr w:type="gramEnd"/>
            <w:r w:rsidRPr="007C5A6E">
              <w:rPr>
                <w:rFonts w:ascii="Times New Roman" w:hAnsi="Times New Roman"/>
                <w:color w:val="000000"/>
                <w:sz w:val="20"/>
                <w:szCs w:val="20"/>
              </w:rPr>
              <w:t xml:space="preserve"> minimales</w:t>
            </w:r>
          </w:p>
        </w:tc>
        <w:tc>
          <w:tcPr>
            <w:tcW w:w="984" w:type="dxa"/>
            <w:tcBorders>
              <w:top w:val="nil"/>
              <w:left w:val="nil"/>
              <w:bottom w:val="single" w:sz="4" w:space="0" w:color="auto"/>
              <w:right w:val="single" w:sz="4" w:space="0" w:color="auto"/>
            </w:tcBorders>
            <w:shd w:val="clear" w:color="auto" w:fill="auto"/>
            <w:noWrap/>
            <w:vAlign w:val="center"/>
            <w:hideMark/>
          </w:tcPr>
          <w:p w14:paraId="444224CF"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23,2</w:t>
            </w:r>
          </w:p>
        </w:tc>
        <w:tc>
          <w:tcPr>
            <w:tcW w:w="858" w:type="dxa"/>
            <w:tcBorders>
              <w:top w:val="nil"/>
              <w:left w:val="nil"/>
              <w:bottom w:val="single" w:sz="4" w:space="0" w:color="auto"/>
              <w:right w:val="single" w:sz="4" w:space="0" w:color="auto"/>
            </w:tcBorders>
            <w:shd w:val="clear" w:color="auto" w:fill="auto"/>
            <w:noWrap/>
            <w:vAlign w:val="center"/>
            <w:hideMark/>
          </w:tcPr>
          <w:p w14:paraId="388B0313"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11,9</w:t>
            </w:r>
          </w:p>
        </w:tc>
        <w:tc>
          <w:tcPr>
            <w:tcW w:w="984" w:type="dxa"/>
            <w:tcBorders>
              <w:top w:val="nil"/>
              <w:left w:val="nil"/>
              <w:bottom w:val="single" w:sz="4" w:space="0" w:color="auto"/>
              <w:right w:val="single" w:sz="4" w:space="0" w:color="auto"/>
            </w:tcBorders>
            <w:shd w:val="clear" w:color="auto" w:fill="auto"/>
            <w:noWrap/>
            <w:vAlign w:val="center"/>
            <w:hideMark/>
          </w:tcPr>
          <w:p w14:paraId="4801BCA1"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26,6</w:t>
            </w:r>
          </w:p>
        </w:tc>
        <w:tc>
          <w:tcPr>
            <w:tcW w:w="859" w:type="dxa"/>
            <w:tcBorders>
              <w:top w:val="nil"/>
              <w:left w:val="nil"/>
              <w:bottom w:val="single" w:sz="4" w:space="0" w:color="auto"/>
              <w:right w:val="single" w:sz="4" w:space="0" w:color="auto"/>
            </w:tcBorders>
            <w:shd w:val="clear" w:color="auto" w:fill="auto"/>
            <w:noWrap/>
            <w:vAlign w:val="center"/>
            <w:hideMark/>
          </w:tcPr>
          <w:p w14:paraId="05AE4655"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16,2</w:t>
            </w:r>
          </w:p>
        </w:tc>
        <w:tc>
          <w:tcPr>
            <w:tcW w:w="984" w:type="dxa"/>
            <w:tcBorders>
              <w:top w:val="nil"/>
              <w:left w:val="nil"/>
              <w:bottom w:val="single" w:sz="4" w:space="0" w:color="auto"/>
              <w:right w:val="single" w:sz="4" w:space="0" w:color="auto"/>
            </w:tcBorders>
            <w:shd w:val="clear" w:color="auto" w:fill="auto"/>
            <w:noWrap/>
            <w:vAlign w:val="center"/>
            <w:hideMark/>
          </w:tcPr>
          <w:p w14:paraId="09CCD631"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28,4</w:t>
            </w:r>
          </w:p>
        </w:tc>
        <w:tc>
          <w:tcPr>
            <w:tcW w:w="859" w:type="dxa"/>
            <w:tcBorders>
              <w:top w:val="nil"/>
              <w:left w:val="nil"/>
              <w:bottom w:val="single" w:sz="4" w:space="0" w:color="auto"/>
              <w:right w:val="single" w:sz="4" w:space="0" w:color="auto"/>
            </w:tcBorders>
            <w:shd w:val="clear" w:color="auto" w:fill="auto"/>
            <w:noWrap/>
            <w:vAlign w:val="center"/>
            <w:hideMark/>
          </w:tcPr>
          <w:p w14:paraId="1241C8D4"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17,0</w:t>
            </w:r>
          </w:p>
        </w:tc>
        <w:tc>
          <w:tcPr>
            <w:tcW w:w="984" w:type="dxa"/>
            <w:tcBorders>
              <w:top w:val="nil"/>
              <w:left w:val="nil"/>
              <w:bottom w:val="single" w:sz="4" w:space="0" w:color="auto"/>
              <w:right w:val="single" w:sz="4" w:space="0" w:color="auto"/>
            </w:tcBorders>
            <w:shd w:val="clear" w:color="auto" w:fill="auto"/>
            <w:noWrap/>
            <w:vAlign w:val="center"/>
            <w:hideMark/>
          </w:tcPr>
          <w:p w14:paraId="00C23B3F"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29,4</w:t>
            </w:r>
          </w:p>
        </w:tc>
        <w:tc>
          <w:tcPr>
            <w:tcW w:w="859" w:type="dxa"/>
            <w:tcBorders>
              <w:top w:val="nil"/>
              <w:left w:val="nil"/>
              <w:bottom w:val="single" w:sz="4" w:space="0" w:color="auto"/>
              <w:right w:val="single" w:sz="4" w:space="0" w:color="auto"/>
            </w:tcBorders>
            <w:shd w:val="clear" w:color="auto" w:fill="auto"/>
            <w:noWrap/>
            <w:vAlign w:val="center"/>
            <w:hideMark/>
          </w:tcPr>
          <w:p w14:paraId="36678547"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18,7</w:t>
            </w:r>
          </w:p>
        </w:tc>
      </w:tr>
      <w:tr w:rsidR="0073535A" w:rsidRPr="007C5A6E" w14:paraId="122B85C7" w14:textId="77777777" w:rsidTr="004A62FD">
        <w:trPr>
          <w:jc w:val="center"/>
        </w:trPr>
        <w:tc>
          <w:tcPr>
            <w:tcW w:w="1065" w:type="dxa"/>
            <w:vMerge w:val="restart"/>
            <w:tcBorders>
              <w:top w:val="nil"/>
              <w:left w:val="single" w:sz="4" w:space="0" w:color="auto"/>
              <w:bottom w:val="single" w:sz="12" w:space="0" w:color="000000"/>
              <w:right w:val="single" w:sz="4" w:space="0" w:color="auto"/>
            </w:tcBorders>
            <w:shd w:val="clear" w:color="auto" w:fill="auto"/>
            <w:vAlign w:val="center"/>
            <w:hideMark/>
          </w:tcPr>
          <w:p w14:paraId="4CA031EA"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Bogandé</w:t>
            </w:r>
          </w:p>
        </w:tc>
        <w:tc>
          <w:tcPr>
            <w:tcW w:w="2269" w:type="dxa"/>
            <w:tcBorders>
              <w:top w:val="single" w:sz="4" w:space="0" w:color="auto"/>
              <w:left w:val="nil"/>
              <w:bottom w:val="single" w:sz="4" w:space="0" w:color="auto"/>
              <w:right w:val="single" w:sz="4" w:space="0" w:color="000000"/>
            </w:tcBorders>
            <w:shd w:val="clear" w:color="auto" w:fill="auto"/>
            <w:noWrap/>
            <w:vAlign w:val="bottom"/>
            <w:hideMark/>
          </w:tcPr>
          <w:p w14:paraId="38A7AA83" w14:textId="77777777" w:rsidR="0073535A" w:rsidRPr="007C5A6E" w:rsidRDefault="0073535A" w:rsidP="0073535A">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températures</w:t>
            </w:r>
            <w:proofErr w:type="gramEnd"/>
            <w:r w:rsidRPr="007C5A6E">
              <w:rPr>
                <w:rFonts w:ascii="Times New Roman" w:hAnsi="Times New Roman"/>
                <w:color w:val="000000"/>
                <w:sz w:val="20"/>
                <w:szCs w:val="20"/>
              </w:rPr>
              <w:t xml:space="preserve"> maximales</w:t>
            </w:r>
          </w:p>
        </w:tc>
        <w:tc>
          <w:tcPr>
            <w:tcW w:w="984" w:type="dxa"/>
            <w:tcBorders>
              <w:top w:val="nil"/>
              <w:left w:val="nil"/>
              <w:bottom w:val="single" w:sz="4" w:space="0" w:color="auto"/>
              <w:right w:val="single" w:sz="4" w:space="0" w:color="auto"/>
            </w:tcBorders>
            <w:shd w:val="clear" w:color="auto" w:fill="auto"/>
            <w:noWrap/>
            <w:vAlign w:val="center"/>
            <w:hideMark/>
          </w:tcPr>
          <w:p w14:paraId="13452887"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34,3</w:t>
            </w:r>
          </w:p>
        </w:tc>
        <w:tc>
          <w:tcPr>
            <w:tcW w:w="858" w:type="dxa"/>
            <w:tcBorders>
              <w:top w:val="nil"/>
              <w:left w:val="nil"/>
              <w:bottom w:val="single" w:sz="4" w:space="0" w:color="auto"/>
              <w:right w:val="single" w:sz="4" w:space="0" w:color="auto"/>
            </w:tcBorders>
            <w:shd w:val="clear" w:color="auto" w:fill="auto"/>
            <w:noWrap/>
            <w:vAlign w:val="center"/>
            <w:hideMark/>
          </w:tcPr>
          <w:p w14:paraId="5F307AB7"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43,6</w:t>
            </w:r>
          </w:p>
        </w:tc>
        <w:tc>
          <w:tcPr>
            <w:tcW w:w="984" w:type="dxa"/>
            <w:tcBorders>
              <w:top w:val="nil"/>
              <w:left w:val="nil"/>
              <w:bottom w:val="single" w:sz="4" w:space="0" w:color="auto"/>
              <w:right w:val="single" w:sz="4" w:space="0" w:color="auto"/>
            </w:tcBorders>
            <w:shd w:val="clear" w:color="auto" w:fill="auto"/>
            <w:noWrap/>
            <w:vAlign w:val="center"/>
            <w:hideMark/>
          </w:tcPr>
          <w:p w14:paraId="61E096BF"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36,0</w:t>
            </w:r>
          </w:p>
        </w:tc>
        <w:tc>
          <w:tcPr>
            <w:tcW w:w="859" w:type="dxa"/>
            <w:tcBorders>
              <w:top w:val="nil"/>
              <w:left w:val="nil"/>
              <w:bottom w:val="single" w:sz="4" w:space="0" w:color="auto"/>
              <w:right w:val="single" w:sz="4" w:space="0" w:color="auto"/>
            </w:tcBorders>
            <w:shd w:val="clear" w:color="auto" w:fill="auto"/>
            <w:noWrap/>
            <w:vAlign w:val="center"/>
            <w:hideMark/>
          </w:tcPr>
          <w:p w14:paraId="0003F62E"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45,9</w:t>
            </w:r>
          </w:p>
        </w:tc>
        <w:tc>
          <w:tcPr>
            <w:tcW w:w="984" w:type="dxa"/>
            <w:tcBorders>
              <w:top w:val="nil"/>
              <w:left w:val="nil"/>
              <w:bottom w:val="single" w:sz="4" w:space="0" w:color="auto"/>
              <w:right w:val="single" w:sz="4" w:space="0" w:color="auto"/>
            </w:tcBorders>
            <w:shd w:val="clear" w:color="auto" w:fill="auto"/>
            <w:noWrap/>
            <w:vAlign w:val="center"/>
            <w:hideMark/>
          </w:tcPr>
          <w:p w14:paraId="3307FF8E"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36,4</w:t>
            </w:r>
          </w:p>
        </w:tc>
        <w:tc>
          <w:tcPr>
            <w:tcW w:w="859" w:type="dxa"/>
            <w:tcBorders>
              <w:top w:val="nil"/>
              <w:left w:val="nil"/>
              <w:bottom w:val="single" w:sz="4" w:space="0" w:color="auto"/>
              <w:right w:val="single" w:sz="4" w:space="0" w:color="auto"/>
            </w:tcBorders>
            <w:shd w:val="clear" w:color="auto" w:fill="auto"/>
            <w:noWrap/>
            <w:vAlign w:val="center"/>
            <w:hideMark/>
          </w:tcPr>
          <w:p w14:paraId="54E3B0F2"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45,0</w:t>
            </w:r>
          </w:p>
        </w:tc>
        <w:tc>
          <w:tcPr>
            <w:tcW w:w="984" w:type="dxa"/>
            <w:tcBorders>
              <w:top w:val="nil"/>
              <w:left w:val="nil"/>
              <w:bottom w:val="single" w:sz="4" w:space="0" w:color="auto"/>
              <w:right w:val="single" w:sz="4" w:space="0" w:color="auto"/>
            </w:tcBorders>
            <w:shd w:val="clear" w:color="auto" w:fill="auto"/>
            <w:noWrap/>
            <w:vAlign w:val="center"/>
            <w:hideMark/>
          </w:tcPr>
          <w:p w14:paraId="3E080AB8"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38,2</w:t>
            </w:r>
          </w:p>
        </w:tc>
        <w:tc>
          <w:tcPr>
            <w:tcW w:w="859" w:type="dxa"/>
            <w:tcBorders>
              <w:top w:val="nil"/>
              <w:left w:val="nil"/>
              <w:bottom w:val="single" w:sz="4" w:space="0" w:color="auto"/>
              <w:right w:val="single" w:sz="4" w:space="0" w:color="auto"/>
            </w:tcBorders>
            <w:shd w:val="clear" w:color="auto" w:fill="auto"/>
            <w:noWrap/>
            <w:vAlign w:val="center"/>
            <w:hideMark/>
          </w:tcPr>
          <w:p w14:paraId="55900C0F"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48,3</w:t>
            </w:r>
          </w:p>
        </w:tc>
      </w:tr>
      <w:tr w:rsidR="0073535A" w:rsidRPr="007C5A6E" w14:paraId="412B3D8F" w14:textId="77777777" w:rsidTr="004A62FD">
        <w:trPr>
          <w:jc w:val="center"/>
        </w:trPr>
        <w:tc>
          <w:tcPr>
            <w:tcW w:w="1065" w:type="dxa"/>
            <w:vMerge/>
            <w:tcBorders>
              <w:top w:val="nil"/>
              <w:left w:val="single" w:sz="4" w:space="0" w:color="auto"/>
              <w:bottom w:val="single" w:sz="12" w:space="0" w:color="000000"/>
              <w:right w:val="single" w:sz="4" w:space="0" w:color="auto"/>
            </w:tcBorders>
            <w:vAlign w:val="center"/>
            <w:hideMark/>
          </w:tcPr>
          <w:p w14:paraId="2AB7CD1B" w14:textId="77777777" w:rsidR="0073535A" w:rsidRPr="007C5A6E" w:rsidRDefault="0073535A" w:rsidP="0073535A">
            <w:pPr>
              <w:spacing w:after="0" w:line="240" w:lineRule="auto"/>
              <w:rPr>
                <w:rFonts w:ascii="Times New Roman" w:hAnsi="Times New Roman"/>
                <w:color w:val="000000"/>
                <w:sz w:val="20"/>
                <w:szCs w:val="20"/>
              </w:rPr>
            </w:pPr>
          </w:p>
        </w:tc>
        <w:tc>
          <w:tcPr>
            <w:tcW w:w="2269" w:type="dxa"/>
            <w:tcBorders>
              <w:top w:val="single" w:sz="4" w:space="0" w:color="auto"/>
              <w:left w:val="nil"/>
              <w:bottom w:val="single" w:sz="12" w:space="0" w:color="auto"/>
              <w:right w:val="single" w:sz="4" w:space="0" w:color="000000"/>
            </w:tcBorders>
            <w:shd w:val="clear" w:color="auto" w:fill="auto"/>
            <w:noWrap/>
            <w:vAlign w:val="bottom"/>
            <w:hideMark/>
          </w:tcPr>
          <w:p w14:paraId="684445EB" w14:textId="77777777" w:rsidR="0073535A" w:rsidRPr="007C5A6E" w:rsidRDefault="0073535A" w:rsidP="0073535A">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Nbre de jours T&gt;40°C</w:t>
            </w:r>
          </w:p>
        </w:tc>
        <w:tc>
          <w:tcPr>
            <w:tcW w:w="1842" w:type="dxa"/>
            <w:gridSpan w:val="2"/>
            <w:tcBorders>
              <w:top w:val="single" w:sz="4" w:space="0" w:color="auto"/>
              <w:left w:val="nil"/>
              <w:bottom w:val="single" w:sz="12" w:space="0" w:color="auto"/>
              <w:right w:val="single" w:sz="4" w:space="0" w:color="000000"/>
            </w:tcBorders>
            <w:shd w:val="clear" w:color="auto" w:fill="auto"/>
            <w:noWrap/>
            <w:vAlign w:val="bottom"/>
            <w:hideMark/>
          </w:tcPr>
          <w:p w14:paraId="1E3B42A8"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50,9</w:t>
            </w:r>
          </w:p>
        </w:tc>
        <w:tc>
          <w:tcPr>
            <w:tcW w:w="1843" w:type="dxa"/>
            <w:gridSpan w:val="2"/>
            <w:tcBorders>
              <w:top w:val="single" w:sz="4" w:space="0" w:color="auto"/>
              <w:left w:val="nil"/>
              <w:bottom w:val="single" w:sz="12" w:space="0" w:color="auto"/>
              <w:right w:val="single" w:sz="4" w:space="0" w:color="000000"/>
            </w:tcBorders>
            <w:shd w:val="clear" w:color="auto" w:fill="auto"/>
            <w:noWrap/>
            <w:vAlign w:val="bottom"/>
            <w:hideMark/>
          </w:tcPr>
          <w:p w14:paraId="6278EB4A"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65,9</w:t>
            </w:r>
          </w:p>
        </w:tc>
        <w:tc>
          <w:tcPr>
            <w:tcW w:w="1843" w:type="dxa"/>
            <w:gridSpan w:val="2"/>
            <w:tcBorders>
              <w:top w:val="single" w:sz="4" w:space="0" w:color="auto"/>
              <w:left w:val="nil"/>
              <w:bottom w:val="single" w:sz="12" w:space="0" w:color="auto"/>
              <w:right w:val="single" w:sz="4" w:space="0" w:color="000000"/>
            </w:tcBorders>
            <w:shd w:val="clear" w:color="auto" w:fill="auto"/>
            <w:noWrap/>
            <w:vAlign w:val="bottom"/>
            <w:hideMark/>
          </w:tcPr>
          <w:p w14:paraId="53E761EE"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58,0</w:t>
            </w:r>
          </w:p>
        </w:tc>
        <w:tc>
          <w:tcPr>
            <w:tcW w:w="1843" w:type="dxa"/>
            <w:gridSpan w:val="2"/>
            <w:tcBorders>
              <w:top w:val="single" w:sz="4" w:space="0" w:color="auto"/>
              <w:left w:val="nil"/>
              <w:bottom w:val="single" w:sz="12" w:space="0" w:color="auto"/>
              <w:right w:val="single" w:sz="4" w:space="0" w:color="000000"/>
            </w:tcBorders>
            <w:shd w:val="clear" w:color="auto" w:fill="auto"/>
            <w:noWrap/>
            <w:vAlign w:val="bottom"/>
            <w:hideMark/>
          </w:tcPr>
          <w:p w14:paraId="6EA4BE73"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62,6</w:t>
            </w:r>
          </w:p>
        </w:tc>
      </w:tr>
      <w:tr w:rsidR="0073535A" w:rsidRPr="007C5A6E" w14:paraId="1EA37CB5" w14:textId="77777777" w:rsidTr="004A62FD">
        <w:trPr>
          <w:jc w:val="center"/>
        </w:trPr>
        <w:tc>
          <w:tcPr>
            <w:tcW w:w="1065" w:type="dxa"/>
            <w:vMerge w:val="restart"/>
            <w:tcBorders>
              <w:top w:val="nil"/>
              <w:left w:val="single" w:sz="4" w:space="0" w:color="auto"/>
              <w:bottom w:val="single" w:sz="12" w:space="0" w:color="000000"/>
              <w:right w:val="single" w:sz="4" w:space="0" w:color="auto"/>
            </w:tcBorders>
            <w:shd w:val="clear" w:color="auto" w:fill="auto"/>
            <w:vAlign w:val="center"/>
            <w:hideMark/>
          </w:tcPr>
          <w:p w14:paraId="32E5737D" w14:textId="360951AD" w:rsidR="0073535A" w:rsidRPr="007C5A6E" w:rsidRDefault="003236C5"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Ouagadougou</w:t>
            </w:r>
          </w:p>
        </w:tc>
        <w:tc>
          <w:tcPr>
            <w:tcW w:w="2269" w:type="dxa"/>
            <w:tcBorders>
              <w:top w:val="single" w:sz="12" w:space="0" w:color="auto"/>
              <w:left w:val="nil"/>
              <w:bottom w:val="single" w:sz="4" w:space="0" w:color="auto"/>
              <w:right w:val="single" w:sz="4" w:space="0" w:color="000000"/>
            </w:tcBorders>
            <w:shd w:val="clear" w:color="auto" w:fill="auto"/>
            <w:noWrap/>
            <w:vAlign w:val="bottom"/>
            <w:hideMark/>
          </w:tcPr>
          <w:p w14:paraId="278C4267" w14:textId="77777777" w:rsidR="0073535A" w:rsidRPr="007C5A6E" w:rsidRDefault="0073535A" w:rsidP="0073535A">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températures</w:t>
            </w:r>
            <w:proofErr w:type="gramEnd"/>
            <w:r w:rsidRPr="007C5A6E">
              <w:rPr>
                <w:rFonts w:ascii="Times New Roman" w:hAnsi="Times New Roman"/>
                <w:color w:val="000000"/>
                <w:sz w:val="20"/>
                <w:szCs w:val="20"/>
              </w:rPr>
              <w:t xml:space="preserve"> minimales</w:t>
            </w:r>
          </w:p>
        </w:tc>
        <w:tc>
          <w:tcPr>
            <w:tcW w:w="984" w:type="dxa"/>
            <w:tcBorders>
              <w:top w:val="nil"/>
              <w:left w:val="nil"/>
              <w:bottom w:val="single" w:sz="4" w:space="0" w:color="auto"/>
              <w:right w:val="single" w:sz="4" w:space="0" w:color="auto"/>
            </w:tcBorders>
            <w:shd w:val="clear" w:color="auto" w:fill="auto"/>
            <w:noWrap/>
            <w:vAlign w:val="center"/>
            <w:hideMark/>
          </w:tcPr>
          <w:p w14:paraId="4ADC218A"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22,7</w:t>
            </w:r>
          </w:p>
        </w:tc>
        <w:tc>
          <w:tcPr>
            <w:tcW w:w="858" w:type="dxa"/>
            <w:tcBorders>
              <w:top w:val="nil"/>
              <w:left w:val="nil"/>
              <w:bottom w:val="single" w:sz="4" w:space="0" w:color="auto"/>
              <w:right w:val="single" w:sz="4" w:space="0" w:color="auto"/>
            </w:tcBorders>
            <w:shd w:val="clear" w:color="auto" w:fill="auto"/>
            <w:noWrap/>
            <w:vAlign w:val="center"/>
            <w:hideMark/>
          </w:tcPr>
          <w:p w14:paraId="79FF86D8"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12,4</w:t>
            </w:r>
          </w:p>
        </w:tc>
        <w:tc>
          <w:tcPr>
            <w:tcW w:w="984" w:type="dxa"/>
            <w:tcBorders>
              <w:top w:val="nil"/>
              <w:left w:val="nil"/>
              <w:bottom w:val="single" w:sz="4" w:space="0" w:color="auto"/>
              <w:right w:val="single" w:sz="4" w:space="0" w:color="auto"/>
            </w:tcBorders>
            <w:shd w:val="clear" w:color="auto" w:fill="auto"/>
            <w:noWrap/>
            <w:vAlign w:val="center"/>
            <w:hideMark/>
          </w:tcPr>
          <w:p w14:paraId="5AE4F2E5"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25,7</w:t>
            </w:r>
          </w:p>
        </w:tc>
        <w:tc>
          <w:tcPr>
            <w:tcW w:w="859" w:type="dxa"/>
            <w:tcBorders>
              <w:top w:val="nil"/>
              <w:left w:val="nil"/>
              <w:bottom w:val="single" w:sz="4" w:space="0" w:color="auto"/>
              <w:right w:val="single" w:sz="4" w:space="0" w:color="auto"/>
            </w:tcBorders>
            <w:shd w:val="clear" w:color="auto" w:fill="auto"/>
            <w:noWrap/>
            <w:vAlign w:val="center"/>
            <w:hideMark/>
          </w:tcPr>
          <w:p w14:paraId="1C4720B9"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16,4</w:t>
            </w:r>
          </w:p>
        </w:tc>
        <w:tc>
          <w:tcPr>
            <w:tcW w:w="984" w:type="dxa"/>
            <w:tcBorders>
              <w:top w:val="nil"/>
              <w:left w:val="nil"/>
              <w:bottom w:val="single" w:sz="4" w:space="0" w:color="auto"/>
              <w:right w:val="single" w:sz="4" w:space="0" w:color="auto"/>
            </w:tcBorders>
            <w:shd w:val="clear" w:color="auto" w:fill="auto"/>
            <w:noWrap/>
            <w:vAlign w:val="center"/>
            <w:hideMark/>
          </w:tcPr>
          <w:p w14:paraId="6FBF1167"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27,5</w:t>
            </w:r>
          </w:p>
        </w:tc>
        <w:tc>
          <w:tcPr>
            <w:tcW w:w="859" w:type="dxa"/>
            <w:tcBorders>
              <w:top w:val="nil"/>
              <w:left w:val="nil"/>
              <w:bottom w:val="single" w:sz="4" w:space="0" w:color="auto"/>
              <w:right w:val="single" w:sz="4" w:space="0" w:color="auto"/>
            </w:tcBorders>
            <w:shd w:val="clear" w:color="auto" w:fill="auto"/>
            <w:noWrap/>
            <w:vAlign w:val="center"/>
            <w:hideMark/>
          </w:tcPr>
          <w:p w14:paraId="100B7F1A"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16,9</w:t>
            </w:r>
          </w:p>
        </w:tc>
        <w:tc>
          <w:tcPr>
            <w:tcW w:w="984" w:type="dxa"/>
            <w:tcBorders>
              <w:top w:val="nil"/>
              <w:left w:val="nil"/>
              <w:bottom w:val="single" w:sz="4" w:space="0" w:color="auto"/>
              <w:right w:val="single" w:sz="4" w:space="0" w:color="auto"/>
            </w:tcBorders>
            <w:shd w:val="clear" w:color="auto" w:fill="auto"/>
            <w:noWrap/>
            <w:vAlign w:val="center"/>
            <w:hideMark/>
          </w:tcPr>
          <w:p w14:paraId="2417C477"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28,3</w:t>
            </w:r>
          </w:p>
        </w:tc>
        <w:tc>
          <w:tcPr>
            <w:tcW w:w="859" w:type="dxa"/>
            <w:tcBorders>
              <w:top w:val="nil"/>
              <w:left w:val="nil"/>
              <w:bottom w:val="single" w:sz="4" w:space="0" w:color="auto"/>
              <w:right w:val="single" w:sz="4" w:space="0" w:color="auto"/>
            </w:tcBorders>
            <w:shd w:val="clear" w:color="auto" w:fill="auto"/>
            <w:noWrap/>
            <w:vAlign w:val="center"/>
            <w:hideMark/>
          </w:tcPr>
          <w:p w14:paraId="3ED8CFAA"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18,6</w:t>
            </w:r>
          </w:p>
        </w:tc>
      </w:tr>
      <w:tr w:rsidR="0073535A" w:rsidRPr="007C5A6E" w14:paraId="67ED75BB" w14:textId="77777777" w:rsidTr="004A62FD">
        <w:trPr>
          <w:jc w:val="center"/>
        </w:trPr>
        <w:tc>
          <w:tcPr>
            <w:tcW w:w="1065" w:type="dxa"/>
            <w:vMerge/>
            <w:tcBorders>
              <w:top w:val="nil"/>
              <w:left w:val="single" w:sz="4" w:space="0" w:color="auto"/>
              <w:bottom w:val="single" w:sz="12" w:space="0" w:color="000000"/>
              <w:right w:val="single" w:sz="4" w:space="0" w:color="auto"/>
            </w:tcBorders>
            <w:vAlign w:val="center"/>
            <w:hideMark/>
          </w:tcPr>
          <w:p w14:paraId="00F3FE54" w14:textId="77777777" w:rsidR="0073535A" w:rsidRPr="007C5A6E" w:rsidRDefault="0073535A" w:rsidP="0073535A">
            <w:pPr>
              <w:spacing w:after="0" w:line="240" w:lineRule="auto"/>
              <w:rPr>
                <w:rFonts w:ascii="Times New Roman" w:hAnsi="Times New Roman"/>
                <w:color w:val="000000"/>
                <w:sz w:val="20"/>
                <w:szCs w:val="20"/>
              </w:rPr>
            </w:pPr>
          </w:p>
        </w:tc>
        <w:tc>
          <w:tcPr>
            <w:tcW w:w="2269" w:type="dxa"/>
            <w:tcBorders>
              <w:top w:val="single" w:sz="4" w:space="0" w:color="auto"/>
              <w:left w:val="nil"/>
              <w:bottom w:val="single" w:sz="4" w:space="0" w:color="auto"/>
              <w:right w:val="single" w:sz="4" w:space="0" w:color="000000"/>
            </w:tcBorders>
            <w:shd w:val="clear" w:color="auto" w:fill="auto"/>
            <w:noWrap/>
            <w:vAlign w:val="bottom"/>
            <w:hideMark/>
          </w:tcPr>
          <w:p w14:paraId="2B709670" w14:textId="77777777" w:rsidR="0073535A" w:rsidRPr="007C5A6E" w:rsidRDefault="0073535A" w:rsidP="0073535A">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températures</w:t>
            </w:r>
            <w:proofErr w:type="gramEnd"/>
            <w:r w:rsidRPr="007C5A6E">
              <w:rPr>
                <w:rFonts w:ascii="Times New Roman" w:hAnsi="Times New Roman"/>
                <w:color w:val="000000"/>
                <w:sz w:val="20"/>
                <w:szCs w:val="20"/>
              </w:rPr>
              <w:t xml:space="preserve"> maximales</w:t>
            </w:r>
          </w:p>
        </w:tc>
        <w:tc>
          <w:tcPr>
            <w:tcW w:w="984" w:type="dxa"/>
            <w:tcBorders>
              <w:top w:val="nil"/>
              <w:left w:val="nil"/>
              <w:bottom w:val="single" w:sz="4" w:space="0" w:color="auto"/>
              <w:right w:val="single" w:sz="4" w:space="0" w:color="auto"/>
            </w:tcBorders>
            <w:shd w:val="clear" w:color="auto" w:fill="auto"/>
            <w:noWrap/>
            <w:vAlign w:val="center"/>
            <w:hideMark/>
          </w:tcPr>
          <w:p w14:paraId="194809D4"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35,0</w:t>
            </w:r>
          </w:p>
        </w:tc>
        <w:tc>
          <w:tcPr>
            <w:tcW w:w="858" w:type="dxa"/>
            <w:tcBorders>
              <w:top w:val="nil"/>
              <w:left w:val="nil"/>
              <w:bottom w:val="single" w:sz="4" w:space="0" w:color="auto"/>
              <w:right w:val="single" w:sz="4" w:space="0" w:color="auto"/>
            </w:tcBorders>
            <w:shd w:val="clear" w:color="auto" w:fill="auto"/>
            <w:noWrap/>
            <w:vAlign w:val="center"/>
            <w:hideMark/>
          </w:tcPr>
          <w:p w14:paraId="7BADBF66"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44,8</w:t>
            </w:r>
          </w:p>
        </w:tc>
        <w:tc>
          <w:tcPr>
            <w:tcW w:w="984" w:type="dxa"/>
            <w:tcBorders>
              <w:top w:val="nil"/>
              <w:left w:val="nil"/>
              <w:bottom w:val="single" w:sz="4" w:space="0" w:color="auto"/>
              <w:right w:val="single" w:sz="4" w:space="0" w:color="auto"/>
            </w:tcBorders>
            <w:shd w:val="clear" w:color="auto" w:fill="auto"/>
            <w:noWrap/>
            <w:vAlign w:val="center"/>
            <w:hideMark/>
          </w:tcPr>
          <w:p w14:paraId="5394A926"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37,0</w:t>
            </w:r>
          </w:p>
        </w:tc>
        <w:tc>
          <w:tcPr>
            <w:tcW w:w="859" w:type="dxa"/>
            <w:tcBorders>
              <w:top w:val="nil"/>
              <w:left w:val="nil"/>
              <w:bottom w:val="single" w:sz="4" w:space="0" w:color="auto"/>
              <w:right w:val="single" w:sz="4" w:space="0" w:color="auto"/>
            </w:tcBorders>
            <w:shd w:val="clear" w:color="auto" w:fill="auto"/>
            <w:noWrap/>
            <w:vAlign w:val="center"/>
            <w:hideMark/>
          </w:tcPr>
          <w:p w14:paraId="0929E70E"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47,6</w:t>
            </w:r>
          </w:p>
        </w:tc>
        <w:tc>
          <w:tcPr>
            <w:tcW w:w="984" w:type="dxa"/>
            <w:tcBorders>
              <w:top w:val="nil"/>
              <w:left w:val="nil"/>
              <w:bottom w:val="single" w:sz="4" w:space="0" w:color="auto"/>
              <w:right w:val="single" w:sz="4" w:space="0" w:color="auto"/>
            </w:tcBorders>
            <w:shd w:val="clear" w:color="auto" w:fill="auto"/>
            <w:noWrap/>
            <w:vAlign w:val="center"/>
            <w:hideMark/>
          </w:tcPr>
          <w:p w14:paraId="2791CC2B"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37,9</w:t>
            </w:r>
          </w:p>
        </w:tc>
        <w:tc>
          <w:tcPr>
            <w:tcW w:w="859" w:type="dxa"/>
            <w:tcBorders>
              <w:top w:val="nil"/>
              <w:left w:val="nil"/>
              <w:bottom w:val="single" w:sz="4" w:space="0" w:color="auto"/>
              <w:right w:val="single" w:sz="4" w:space="0" w:color="auto"/>
            </w:tcBorders>
            <w:shd w:val="clear" w:color="auto" w:fill="auto"/>
            <w:noWrap/>
            <w:vAlign w:val="center"/>
            <w:hideMark/>
          </w:tcPr>
          <w:p w14:paraId="1F525D6C"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48,0</w:t>
            </w:r>
          </w:p>
        </w:tc>
        <w:tc>
          <w:tcPr>
            <w:tcW w:w="984" w:type="dxa"/>
            <w:tcBorders>
              <w:top w:val="nil"/>
              <w:left w:val="nil"/>
              <w:bottom w:val="single" w:sz="4" w:space="0" w:color="auto"/>
              <w:right w:val="single" w:sz="4" w:space="0" w:color="auto"/>
            </w:tcBorders>
            <w:shd w:val="clear" w:color="auto" w:fill="auto"/>
            <w:noWrap/>
            <w:vAlign w:val="center"/>
            <w:hideMark/>
          </w:tcPr>
          <w:p w14:paraId="35D6BCDF"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39,0</w:t>
            </w:r>
          </w:p>
        </w:tc>
        <w:tc>
          <w:tcPr>
            <w:tcW w:w="859" w:type="dxa"/>
            <w:tcBorders>
              <w:top w:val="nil"/>
              <w:left w:val="nil"/>
              <w:bottom w:val="single" w:sz="4" w:space="0" w:color="auto"/>
              <w:right w:val="single" w:sz="4" w:space="0" w:color="auto"/>
            </w:tcBorders>
            <w:shd w:val="clear" w:color="auto" w:fill="auto"/>
            <w:noWrap/>
            <w:vAlign w:val="center"/>
            <w:hideMark/>
          </w:tcPr>
          <w:p w14:paraId="0A18792D"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49,9</w:t>
            </w:r>
          </w:p>
        </w:tc>
      </w:tr>
      <w:tr w:rsidR="0073535A" w:rsidRPr="007C5A6E" w14:paraId="30D4256A" w14:textId="77777777" w:rsidTr="004A62FD">
        <w:trPr>
          <w:jc w:val="center"/>
        </w:trPr>
        <w:tc>
          <w:tcPr>
            <w:tcW w:w="1065" w:type="dxa"/>
            <w:vMerge/>
            <w:tcBorders>
              <w:top w:val="nil"/>
              <w:left w:val="single" w:sz="4" w:space="0" w:color="auto"/>
              <w:bottom w:val="single" w:sz="12" w:space="0" w:color="000000"/>
              <w:right w:val="single" w:sz="4" w:space="0" w:color="auto"/>
            </w:tcBorders>
            <w:vAlign w:val="center"/>
            <w:hideMark/>
          </w:tcPr>
          <w:p w14:paraId="1BCA8497" w14:textId="77777777" w:rsidR="0073535A" w:rsidRPr="007C5A6E" w:rsidRDefault="0073535A" w:rsidP="0073535A">
            <w:pPr>
              <w:spacing w:after="0" w:line="240" w:lineRule="auto"/>
              <w:rPr>
                <w:rFonts w:ascii="Times New Roman" w:hAnsi="Times New Roman"/>
                <w:color w:val="000000"/>
                <w:sz w:val="20"/>
                <w:szCs w:val="20"/>
              </w:rPr>
            </w:pPr>
          </w:p>
        </w:tc>
        <w:tc>
          <w:tcPr>
            <w:tcW w:w="2269" w:type="dxa"/>
            <w:tcBorders>
              <w:top w:val="single" w:sz="4" w:space="0" w:color="auto"/>
              <w:left w:val="nil"/>
              <w:bottom w:val="single" w:sz="12" w:space="0" w:color="auto"/>
              <w:right w:val="single" w:sz="4" w:space="0" w:color="000000"/>
            </w:tcBorders>
            <w:shd w:val="clear" w:color="auto" w:fill="auto"/>
            <w:noWrap/>
            <w:vAlign w:val="bottom"/>
            <w:hideMark/>
          </w:tcPr>
          <w:p w14:paraId="434D5FC9" w14:textId="77777777" w:rsidR="0073535A" w:rsidRPr="007C5A6E" w:rsidRDefault="0073535A" w:rsidP="0073535A">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Nbre de jours T&gt;40°C</w:t>
            </w:r>
          </w:p>
        </w:tc>
        <w:tc>
          <w:tcPr>
            <w:tcW w:w="1842" w:type="dxa"/>
            <w:gridSpan w:val="2"/>
            <w:tcBorders>
              <w:top w:val="single" w:sz="4" w:space="0" w:color="auto"/>
              <w:left w:val="nil"/>
              <w:bottom w:val="single" w:sz="12" w:space="0" w:color="auto"/>
              <w:right w:val="single" w:sz="4" w:space="0" w:color="000000"/>
            </w:tcBorders>
            <w:shd w:val="clear" w:color="auto" w:fill="auto"/>
            <w:noWrap/>
            <w:vAlign w:val="bottom"/>
            <w:hideMark/>
          </w:tcPr>
          <w:p w14:paraId="0A606E13"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58,8</w:t>
            </w:r>
          </w:p>
        </w:tc>
        <w:tc>
          <w:tcPr>
            <w:tcW w:w="1843" w:type="dxa"/>
            <w:gridSpan w:val="2"/>
            <w:tcBorders>
              <w:top w:val="single" w:sz="4" w:space="0" w:color="auto"/>
              <w:left w:val="nil"/>
              <w:bottom w:val="single" w:sz="12" w:space="0" w:color="auto"/>
              <w:right w:val="single" w:sz="4" w:space="0" w:color="000000"/>
            </w:tcBorders>
            <w:shd w:val="clear" w:color="auto" w:fill="auto"/>
            <w:noWrap/>
            <w:vAlign w:val="bottom"/>
            <w:hideMark/>
          </w:tcPr>
          <w:p w14:paraId="306B9064"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103,4</w:t>
            </w:r>
          </w:p>
        </w:tc>
        <w:tc>
          <w:tcPr>
            <w:tcW w:w="1843" w:type="dxa"/>
            <w:gridSpan w:val="2"/>
            <w:tcBorders>
              <w:top w:val="single" w:sz="4" w:space="0" w:color="auto"/>
              <w:left w:val="nil"/>
              <w:bottom w:val="single" w:sz="12" w:space="0" w:color="auto"/>
              <w:right w:val="single" w:sz="4" w:space="0" w:color="000000"/>
            </w:tcBorders>
            <w:shd w:val="clear" w:color="auto" w:fill="auto"/>
            <w:noWrap/>
            <w:vAlign w:val="bottom"/>
            <w:hideMark/>
          </w:tcPr>
          <w:p w14:paraId="298F1CBA"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137,2</w:t>
            </w:r>
          </w:p>
        </w:tc>
        <w:tc>
          <w:tcPr>
            <w:tcW w:w="1843" w:type="dxa"/>
            <w:gridSpan w:val="2"/>
            <w:tcBorders>
              <w:top w:val="single" w:sz="4" w:space="0" w:color="auto"/>
              <w:left w:val="nil"/>
              <w:bottom w:val="single" w:sz="12" w:space="0" w:color="auto"/>
              <w:right w:val="single" w:sz="4" w:space="0" w:color="000000"/>
            </w:tcBorders>
            <w:shd w:val="clear" w:color="auto" w:fill="auto"/>
            <w:noWrap/>
            <w:vAlign w:val="bottom"/>
            <w:hideMark/>
          </w:tcPr>
          <w:p w14:paraId="724DE196"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154,2</w:t>
            </w:r>
          </w:p>
        </w:tc>
      </w:tr>
      <w:tr w:rsidR="0073535A" w:rsidRPr="007C5A6E" w14:paraId="61D87C68" w14:textId="77777777" w:rsidTr="004A62FD">
        <w:trPr>
          <w:jc w:val="center"/>
        </w:trPr>
        <w:tc>
          <w:tcPr>
            <w:tcW w:w="1065" w:type="dxa"/>
            <w:vMerge w:val="restart"/>
            <w:tcBorders>
              <w:top w:val="nil"/>
              <w:left w:val="single" w:sz="4" w:space="0" w:color="auto"/>
              <w:bottom w:val="single" w:sz="4" w:space="0" w:color="auto"/>
              <w:right w:val="single" w:sz="4" w:space="0" w:color="auto"/>
            </w:tcBorders>
            <w:shd w:val="clear" w:color="auto" w:fill="auto"/>
            <w:vAlign w:val="center"/>
            <w:hideMark/>
          </w:tcPr>
          <w:p w14:paraId="55AC18F7"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Bobo-Dioulasso</w:t>
            </w:r>
          </w:p>
        </w:tc>
        <w:tc>
          <w:tcPr>
            <w:tcW w:w="2269" w:type="dxa"/>
            <w:tcBorders>
              <w:top w:val="nil"/>
              <w:left w:val="nil"/>
              <w:bottom w:val="single" w:sz="4" w:space="0" w:color="auto"/>
              <w:right w:val="single" w:sz="4" w:space="0" w:color="000000"/>
            </w:tcBorders>
            <w:shd w:val="clear" w:color="auto" w:fill="auto"/>
            <w:noWrap/>
            <w:vAlign w:val="bottom"/>
            <w:hideMark/>
          </w:tcPr>
          <w:p w14:paraId="4646A42E" w14:textId="77777777" w:rsidR="0073535A" w:rsidRPr="007C5A6E" w:rsidRDefault="0073535A" w:rsidP="0073535A">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températures</w:t>
            </w:r>
            <w:proofErr w:type="gramEnd"/>
            <w:r w:rsidRPr="007C5A6E">
              <w:rPr>
                <w:rFonts w:ascii="Times New Roman" w:hAnsi="Times New Roman"/>
                <w:color w:val="000000"/>
                <w:sz w:val="20"/>
                <w:szCs w:val="20"/>
              </w:rPr>
              <w:t xml:space="preserve"> minimales</w:t>
            </w:r>
          </w:p>
        </w:tc>
        <w:tc>
          <w:tcPr>
            <w:tcW w:w="984" w:type="dxa"/>
            <w:tcBorders>
              <w:top w:val="nil"/>
              <w:left w:val="nil"/>
              <w:bottom w:val="single" w:sz="4" w:space="0" w:color="auto"/>
              <w:right w:val="single" w:sz="4" w:space="0" w:color="auto"/>
            </w:tcBorders>
            <w:shd w:val="clear" w:color="auto" w:fill="auto"/>
            <w:noWrap/>
            <w:vAlign w:val="center"/>
            <w:hideMark/>
          </w:tcPr>
          <w:p w14:paraId="1F155A7F"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22,1</w:t>
            </w:r>
          </w:p>
        </w:tc>
        <w:tc>
          <w:tcPr>
            <w:tcW w:w="858" w:type="dxa"/>
            <w:tcBorders>
              <w:top w:val="nil"/>
              <w:left w:val="nil"/>
              <w:bottom w:val="single" w:sz="4" w:space="0" w:color="auto"/>
              <w:right w:val="single" w:sz="4" w:space="0" w:color="auto"/>
            </w:tcBorders>
            <w:shd w:val="clear" w:color="auto" w:fill="auto"/>
            <w:noWrap/>
            <w:vAlign w:val="center"/>
            <w:hideMark/>
          </w:tcPr>
          <w:p w14:paraId="113D6F30"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12,8</w:t>
            </w:r>
          </w:p>
        </w:tc>
        <w:tc>
          <w:tcPr>
            <w:tcW w:w="984" w:type="dxa"/>
            <w:tcBorders>
              <w:top w:val="nil"/>
              <w:left w:val="nil"/>
              <w:bottom w:val="single" w:sz="4" w:space="0" w:color="auto"/>
              <w:right w:val="single" w:sz="4" w:space="0" w:color="auto"/>
            </w:tcBorders>
            <w:shd w:val="clear" w:color="auto" w:fill="auto"/>
            <w:noWrap/>
            <w:vAlign w:val="center"/>
            <w:hideMark/>
          </w:tcPr>
          <w:p w14:paraId="7CDF4EFD"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24,8</w:t>
            </w:r>
          </w:p>
        </w:tc>
        <w:tc>
          <w:tcPr>
            <w:tcW w:w="859" w:type="dxa"/>
            <w:tcBorders>
              <w:top w:val="nil"/>
              <w:left w:val="nil"/>
              <w:bottom w:val="single" w:sz="4" w:space="0" w:color="auto"/>
              <w:right w:val="single" w:sz="4" w:space="0" w:color="auto"/>
            </w:tcBorders>
            <w:shd w:val="clear" w:color="auto" w:fill="auto"/>
            <w:noWrap/>
            <w:vAlign w:val="center"/>
            <w:hideMark/>
          </w:tcPr>
          <w:p w14:paraId="1DE635DA"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15,9</w:t>
            </w:r>
          </w:p>
        </w:tc>
        <w:tc>
          <w:tcPr>
            <w:tcW w:w="984" w:type="dxa"/>
            <w:tcBorders>
              <w:top w:val="nil"/>
              <w:left w:val="nil"/>
              <w:bottom w:val="single" w:sz="4" w:space="0" w:color="auto"/>
              <w:right w:val="single" w:sz="4" w:space="0" w:color="auto"/>
            </w:tcBorders>
            <w:shd w:val="clear" w:color="auto" w:fill="auto"/>
            <w:noWrap/>
            <w:vAlign w:val="center"/>
            <w:hideMark/>
          </w:tcPr>
          <w:p w14:paraId="23AC9C14"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26,9</w:t>
            </w:r>
          </w:p>
        </w:tc>
        <w:tc>
          <w:tcPr>
            <w:tcW w:w="859" w:type="dxa"/>
            <w:tcBorders>
              <w:top w:val="nil"/>
              <w:left w:val="nil"/>
              <w:bottom w:val="single" w:sz="4" w:space="0" w:color="auto"/>
              <w:right w:val="single" w:sz="4" w:space="0" w:color="auto"/>
            </w:tcBorders>
            <w:shd w:val="clear" w:color="auto" w:fill="auto"/>
            <w:noWrap/>
            <w:vAlign w:val="center"/>
            <w:hideMark/>
          </w:tcPr>
          <w:p w14:paraId="2FEC615D"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17,3</w:t>
            </w:r>
          </w:p>
        </w:tc>
        <w:tc>
          <w:tcPr>
            <w:tcW w:w="984" w:type="dxa"/>
            <w:tcBorders>
              <w:top w:val="nil"/>
              <w:left w:val="nil"/>
              <w:bottom w:val="single" w:sz="4" w:space="0" w:color="auto"/>
              <w:right w:val="single" w:sz="4" w:space="0" w:color="auto"/>
            </w:tcBorders>
            <w:shd w:val="clear" w:color="auto" w:fill="auto"/>
            <w:noWrap/>
            <w:vAlign w:val="center"/>
            <w:hideMark/>
          </w:tcPr>
          <w:p w14:paraId="1A600C2C"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27,7</w:t>
            </w:r>
          </w:p>
        </w:tc>
        <w:tc>
          <w:tcPr>
            <w:tcW w:w="859" w:type="dxa"/>
            <w:tcBorders>
              <w:top w:val="nil"/>
              <w:left w:val="nil"/>
              <w:bottom w:val="single" w:sz="4" w:space="0" w:color="auto"/>
              <w:right w:val="single" w:sz="4" w:space="0" w:color="auto"/>
            </w:tcBorders>
            <w:shd w:val="clear" w:color="auto" w:fill="auto"/>
            <w:noWrap/>
            <w:vAlign w:val="center"/>
            <w:hideMark/>
          </w:tcPr>
          <w:p w14:paraId="71BFB039"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18,9</w:t>
            </w:r>
          </w:p>
        </w:tc>
      </w:tr>
      <w:tr w:rsidR="0073535A" w:rsidRPr="007C5A6E" w14:paraId="61BA0560" w14:textId="77777777" w:rsidTr="004A62FD">
        <w:trPr>
          <w:jc w:val="center"/>
        </w:trPr>
        <w:tc>
          <w:tcPr>
            <w:tcW w:w="1065" w:type="dxa"/>
            <w:vMerge/>
            <w:tcBorders>
              <w:top w:val="nil"/>
              <w:left w:val="single" w:sz="4" w:space="0" w:color="auto"/>
              <w:bottom w:val="single" w:sz="4" w:space="0" w:color="auto"/>
              <w:right w:val="single" w:sz="4" w:space="0" w:color="auto"/>
            </w:tcBorders>
            <w:vAlign w:val="center"/>
            <w:hideMark/>
          </w:tcPr>
          <w:p w14:paraId="49298BCE" w14:textId="77777777" w:rsidR="0073535A" w:rsidRPr="007C5A6E" w:rsidRDefault="0073535A" w:rsidP="0073535A">
            <w:pPr>
              <w:spacing w:after="0" w:line="240" w:lineRule="auto"/>
              <w:rPr>
                <w:rFonts w:ascii="Times New Roman" w:hAnsi="Times New Roman"/>
                <w:color w:val="000000"/>
                <w:sz w:val="20"/>
                <w:szCs w:val="20"/>
              </w:rPr>
            </w:pPr>
          </w:p>
        </w:tc>
        <w:tc>
          <w:tcPr>
            <w:tcW w:w="2269" w:type="dxa"/>
            <w:tcBorders>
              <w:top w:val="single" w:sz="4" w:space="0" w:color="auto"/>
              <w:left w:val="nil"/>
              <w:bottom w:val="single" w:sz="4" w:space="0" w:color="auto"/>
              <w:right w:val="single" w:sz="4" w:space="0" w:color="000000"/>
            </w:tcBorders>
            <w:shd w:val="clear" w:color="auto" w:fill="auto"/>
            <w:noWrap/>
            <w:vAlign w:val="bottom"/>
            <w:hideMark/>
          </w:tcPr>
          <w:p w14:paraId="59E5387F" w14:textId="77777777" w:rsidR="0073535A" w:rsidRPr="007C5A6E" w:rsidRDefault="0073535A" w:rsidP="0073535A">
            <w:pPr>
              <w:spacing w:after="0" w:line="240" w:lineRule="auto"/>
              <w:rPr>
                <w:rFonts w:ascii="Times New Roman" w:hAnsi="Times New Roman"/>
                <w:color w:val="000000"/>
                <w:sz w:val="20"/>
                <w:szCs w:val="20"/>
              </w:rPr>
            </w:pPr>
            <w:proofErr w:type="gramStart"/>
            <w:r w:rsidRPr="007C5A6E">
              <w:rPr>
                <w:rFonts w:ascii="Times New Roman" w:hAnsi="Times New Roman"/>
                <w:color w:val="000000"/>
                <w:sz w:val="20"/>
                <w:szCs w:val="20"/>
              </w:rPr>
              <w:t>températures</w:t>
            </w:r>
            <w:proofErr w:type="gramEnd"/>
            <w:r w:rsidRPr="007C5A6E">
              <w:rPr>
                <w:rFonts w:ascii="Times New Roman" w:hAnsi="Times New Roman"/>
                <w:color w:val="000000"/>
                <w:sz w:val="20"/>
                <w:szCs w:val="20"/>
              </w:rPr>
              <w:t xml:space="preserve"> maximales</w:t>
            </w:r>
          </w:p>
        </w:tc>
        <w:tc>
          <w:tcPr>
            <w:tcW w:w="984" w:type="dxa"/>
            <w:tcBorders>
              <w:top w:val="nil"/>
              <w:left w:val="nil"/>
              <w:bottom w:val="single" w:sz="4" w:space="0" w:color="auto"/>
              <w:right w:val="single" w:sz="4" w:space="0" w:color="auto"/>
            </w:tcBorders>
            <w:shd w:val="clear" w:color="auto" w:fill="auto"/>
            <w:noWrap/>
            <w:vAlign w:val="center"/>
            <w:hideMark/>
          </w:tcPr>
          <w:p w14:paraId="49B55819"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32,7</w:t>
            </w:r>
          </w:p>
        </w:tc>
        <w:tc>
          <w:tcPr>
            <w:tcW w:w="858" w:type="dxa"/>
            <w:tcBorders>
              <w:top w:val="nil"/>
              <w:left w:val="nil"/>
              <w:bottom w:val="single" w:sz="4" w:space="0" w:color="auto"/>
              <w:right w:val="single" w:sz="4" w:space="0" w:color="auto"/>
            </w:tcBorders>
            <w:shd w:val="clear" w:color="auto" w:fill="auto"/>
            <w:noWrap/>
            <w:vAlign w:val="center"/>
            <w:hideMark/>
          </w:tcPr>
          <w:p w14:paraId="4D018981"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40,9</w:t>
            </w:r>
          </w:p>
        </w:tc>
        <w:tc>
          <w:tcPr>
            <w:tcW w:w="984" w:type="dxa"/>
            <w:tcBorders>
              <w:top w:val="nil"/>
              <w:left w:val="nil"/>
              <w:bottom w:val="single" w:sz="4" w:space="0" w:color="auto"/>
              <w:right w:val="single" w:sz="4" w:space="0" w:color="auto"/>
            </w:tcBorders>
            <w:shd w:val="clear" w:color="auto" w:fill="auto"/>
            <w:noWrap/>
            <w:vAlign w:val="center"/>
            <w:hideMark/>
          </w:tcPr>
          <w:p w14:paraId="4F04EC35"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34,4</w:t>
            </w:r>
          </w:p>
        </w:tc>
        <w:tc>
          <w:tcPr>
            <w:tcW w:w="859" w:type="dxa"/>
            <w:tcBorders>
              <w:top w:val="nil"/>
              <w:left w:val="nil"/>
              <w:bottom w:val="single" w:sz="4" w:space="0" w:color="auto"/>
              <w:right w:val="single" w:sz="4" w:space="0" w:color="auto"/>
            </w:tcBorders>
            <w:shd w:val="clear" w:color="auto" w:fill="auto"/>
            <w:noWrap/>
            <w:vAlign w:val="center"/>
            <w:hideMark/>
          </w:tcPr>
          <w:p w14:paraId="0AE69F00"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42,9</w:t>
            </w:r>
          </w:p>
        </w:tc>
        <w:tc>
          <w:tcPr>
            <w:tcW w:w="984" w:type="dxa"/>
            <w:tcBorders>
              <w:top w:val="nil"/>
              <w:left w:val="nil"/>
              <w:bottom w:val="single" w:sz="4" w:space="0" w:color="auto"/>
              <w:right w:val="single" w:sz="4" w:space="0" w:color="auto"/>
            </w:tcBorders>
            <w:shd w:val="clear" w:color="auto" w:fill="auto"/>
            <w:noWrap/>
            <w:vAlign w:val="center"/>
            <w:hideMark/>
          </w:tcPr>
          <w:p w14:paraId="4C6E6C23"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36,3</w:t>
            </w:r>
          </w:p>
        </w:tc>
        <w:tc>
          <w:tcPr>
            <w:tcW w:w="859" w:type="dxa"/>
            <w:tcBorders>
              <w:top w:val="nil"/>
              <w:left w:val="nil"/>
              <w:bottom w:val="single" w:sz="4" w:space="0" w:color="auto"/>
              <w:right w:val="single" w:sz="4" w:space="0" w:color="auto"/>
            </w:tcBorders>
            <w:shd w:val="clear" w:color="auto" w:fill="auto"/>
            <w:noWrap/>
            <w:vAlign w:val="center"/>
            <w:hideMark/>
          </w:tcPr>
          <w:p w14:paraId="433749D7"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44,9</w:t>
            </w:r>
          </w:p>
        </w:tc>
        <w:tc>
          <w:tcPr>
            <w:tcW w:w="984" w:type="dxa"/>
            <w:tcBorders>
              <w:top w:val="nil"/>
              <w:left w:val="nil"/>
              <w:bottom w:val="single" w:sz="4" w:space="0" w:color="auto"/>
              <w:right w:val="single" w:sz="4" w:space="0" w:color="auto"/>
            </w:tcBorders>
            <w:shd w:val="clear" w:color="auto" w:fill="auto"/>
            <w:noWrap/>
            <w:vAlign w:val="center"/>
            <w:hideMark/>
          </w:tcPr>
          <w:p w14:paraId="3B188FC1"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36,5</w:t>
            </w:r>
          </w:p>
        </w:tc>
        <w:tc>
          <w:tcPr>
            <w:tcW w:w="859" w:type="dxa"/>
            <w:tcBorders>
              <w:top w:val="nil"/>
              <w:left w:val="nil"/>
              <w:bottom w:val="single" w:sz="4" w:space="0" w:color="auto"/>
              <w:right w:val="single" w:sz="4" w:space="0" w:color="auto"/>
            </w:tcBorders>
            <w:shd w:val="clear" w:color="auto" w:fill="auto"/>
            <w:noWrap/>
            <w:vAlign w:val="center"/>
            <w:hideMark/>
          </w:tcPr>
          <w:p w14:paraId="384FA001"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45,4</w:t>
            </w:r>
          </w:p>
        </w:tc>
      </w:tr>
      <w:tr w:rsidR="0073535A" w:rsidRPr="007C5A6E" w14:paraId="44390B33" w14:textId="77777777" w:rsidTr="004A62FD">
        <w:trPr>
          <w:jc w:val="center"/>
        </w:trPr>
        <w:tc>
          <w:tcPr>
            <w:tcW w:w="1065" w:type="dxa"/>
            <w:vMerge/>
            <w:tcBorders>
              <w:top w:val="nil"/>
              <w:left w:val="single" w:sz="4" w:space="0" w:color="auto"/>
              <w:bottom w:val="single" w:sz="4" w:space="0" w:color="auto"/>
              <w:right w:val="single" w:sz="4" w:space="0" w:color="auto"/>
            </w:tcBorders>
            <w:vAlign w:val="center"/>
            <w:hideMark/>
          </w:tcPr>
          <w:p w14:paraId="386D2ADD" w14:textId="77777777" w:rsidR="0073535A" w:rsidRPr="007C5A6E" w:rsidRDefault="0073535A" w:rsidP="0073535A">
            <w:pPr>
              <w:spacing w:after="0" w:line="240" w:lineRule="auto"/>
              <w:rPr>
                <w:rFonts w:ascii="Times New Roman" w:hAnsi="Times New Roman"/>
                <w:color w:val="000000"/>
                <w:sz w:val="20"/>
                <w:szCs w:val="20"/>
              </w:rPr>
            </w:pPr>
          </w:p>
        </w:tc>
        <w:tc>
          <w:tcPr>
            <w:tcW w:w="2269" w:type="dxa"/>
            <w:tcBorders>
              <w:top w:val="single" w:sz="4" w:space="0" w:color="auto"/>
              <w:left w:val="nil"/>
              <w:bottom w:val="single" w:sz="4" w:space="0" w:color="auto"/>
              <w:right w:val="single" w:sz="4" w:space="0" w:color="000000"/>
            </w:tcBorders>
            <w:shd w:val="clear" w:color="auto" w:fill="auto"/>
            <w:noWrap/>
            <w:vAlign w:val="bottom"/>
            <w:hideMark/>
          </w:tcPr>
          <w:p w14:paraId="4F1224D8" w14:textId="77777777" w:rsidR="0073535A" w:rsidRPr="007C5A6E" w:rsidRDefault="0073535A" w:rsidP="0073535A">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Nbre de jours T&gt;40°C</w:t>
            </w:r>
          </w:p>
        </w:tc>
        <w:tc>
          <w:tcPr>
            <w:tcW w:w="1842"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61C5407"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15,8</w:t>
            </w:r>
          </w:p>
        </w:tc>
        <w:tc>
          <w:tcPr>
            <w:tcW w:w="1843"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7D0570E"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40,8</w:t>
            </w:r>
          </w:p>
        </w:tc>
        <w:tc>
          <w:tcPr>
            <w:tcW w:w="1843"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EA864A3"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82,9</w:t>
            </w:r>
          </w:p>
        </w:tc>
        <w:tc>
          <w:tcPr>
            <w:tcW w:w="1843"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D29B606" w14:textId="77777777" w:rsidR="0073535A" w:rsidRPr="007C5A6E" w:rsidRDefault="0073535A" w:rsidP="0073535A">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94,6</w:t>
            </w:r>
          </w:p>
        </w:tc>
      </w:tr>
    </w:tbl>
    <w:p w14:paraId="4844BD60" w14:textId="77777777" w:rsidR="00EF0411" w:rsidRPr="007C5A6E" w:rsidRDefault="00EF0411" w:rsidP="00EF0411">
      <w:pPr>
        <w:spacing w:after="0" w:line="240" w:lineRule="auto"/>
        <w:rPr>
          <w:rFonts w:ascii="Times New Roman" w:hAnsi="Times New Roman"/>
          <w:sz w:val="24"/>
          <w:szCs w:val="24"/>
          <w:lang w:eastAsia="en-US"/>
        </w:rPr>
      </w:pPr>
    </w:p>
    <w:p w14:paraId="6100BB9C" w14:textId="3C69F765" w:rsidR="0073535A" w:rsidRPr="007C5A6E" w:rsidRDefault="0073535A" w:rsidP="003F3821">
      <w:pPr>
        <w:pStyle w:val="Titre5"/>
        <w:numPr>
          <w:ilvl w:val="4"/>
          <w:numId w:val="4"/>
        </w:numPr>
        <w:spacing w:before="0"/>
        <w:ind w:left="907" w:hanging="907"/>
        <w:rPr>
          <w:rFonts w:ascii="Times New Roman" w:hAnsi="Times New Roman" w:cs="Times New Roman"/>
          <w:color w:val="auto"/>
          <w:u w:val="single"/>
          <w:lang w:eastAsia="en-US"/>
        </w:rPr>
      </w:pPr>
      <w:bookmarkStart w:id="189" w:name="_Toc183340057"/>
      <w:r w:rsidRPr="007C5A6E">
        <w:rPr>
          <w:rFonts w:ascii="Times New Roman" w:hAnsi="Times New Roman" w:cs="Times New Roman"/>
          <w:color w:val="auto"/>
          <w:u w:val="single"/>
          <w:lang w:eastAsia="en-US"/>
        </w:rPr>
        <w:t>Les températures minimales</w:t>
      </w:r>
      <w:bookmarkEnd w:id="189"/>
    </w:p>
    <w:p w14:paraId="742A37BF" w14:textId="77777777" w:rsidR="0073535A" w:rsidRPr="007C5A6E" w:rsidRDefault="0073535A" w:rsidP="000E628E">
      <w:pPr>
        <w:spacing w:after="0" w:line="240" w:lineRule="auto"/>
        <w:rPr>
          <w:rFonts w:ascii="Times New Roman" w:eastAsiaTheme="minorHAnsi" w:hAnsi="Times New Roman" w:cstheme="minorBidi"/>
          <w:kern w:val="2"/>
          <w:sz w:val="24"/>
          <w:lang w:eastAsia="en-US"/>
          <w14:ligatures w14:val="standardContextual"/>
        </w:rPr>
      </w:pPr>
    </w:p>
    <w:p w14:paraId="12A97FB1" w14:textId="146FA752" w:rsidR="0073535A" w:rsidRPr="007C5A6E" w:rsidRDefault="0073535A" w:rsidP="0073535A">
      <w:pPr>
        <w:spacing w:after="0" w:line="259"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 xml:space="preserve">Selon les figures </w:t>
      </w:r>
      <w:r w:rsidR="00EF0411" w:rsidRPr="007C5A6E">
        <w:rPr>
          <w:rFonts w:ascii="Times New Roman" w:eastAsiaTheme="minorHAnsi" w:hAnsi="Times New Roman" w:cstheme="minorBidi"/>
          <w:kern w:val="2"/>
          <w:sz w:val="24"/>
          <w:lang w:eastAsia="en-US"/>
          <w14:ligatures w14:val="standardContextual"/>
        </w:rPr>
        <w:t>25</w:t>
      </w:r>
      <w:r w:rsidRPr="007C5A6E">
        <w:rPr>
          <w:rFonts w:ascii="Times New Roman" w:eastAsiaTheme="minorHAnsi" w:hAnsi="Times New Roman" w:cstheme="minorBidi"/>
          <w:kern w:val="2"/>
          <w:sz w:val="24"/>
          <w:lang w:eastAsia="en-US"/>
          <w14:ligatures w14:val="standardContextual"/>
        </w:rPr>
        <w:t xml:space="preserve">, </w:t>
      </w:r>
      <w:r w:rsidR="00EF0411" w:rsidRPr="007C5A6E">
        <w:rPr>
          <w:rFonts w:ascii="Times New Roman" w:eastAsiaTheme="minorHAnsi" w:hAnsi="Times New Roman" w:cstheme="minorBidi"/>
          <w:kern w:val="2"/>
          <w:sz w:val="24"/>
          <w:lang w:eastAsia="en-US"/>
          <w14:ligatures w14:val="standardContextual"/>
        </w:rPr>
        <w:t>26</w:t>
      </w:r>
      <w:r w:rsidRPr="007C5A6E">
        <w:rPr>
          <w:rFonts w:ascii="Times New Roman" w:eastAsiaTheme="minorHAnsi" w:hAnsi="Times New Roman" w:cstheme="minorBidi"/>
          <w:kern w:val="2"/>
          <w:sz w:val="24"/>
          <w:lang w:eastAsia="en-US"/>
          <w14:ligatures w14:val="standardContextual"/>
        </w:rPr>
        <w:t xml:space="preserve"> et </w:t>
      </w:r>
      <w:r w:rsidR="00EF0411" w:rsidRPr="007C5A6E">
        <w:rPr>
          <w:rFonts w:ascii="Times New Roman" w:eastAsiaTheme="minorHAnsi" w:hAnsi="Times New Roman" w:cstheme="minorBidi"/>
          <w:kern w:val="2"/>
          <w:sz w:val="24"/>
          <w:lang w:eastAsia="en-US"/>
          <w14:ligatures w14:val="standardContextual"/>
        </w:rPr>
        <w:t>27</w:t>
      </w:r>
      <w:r w:rsidRPr="007C5A6E">
        <w:rPr>
          <w:rFonts w:ascii="Times New Roman" w:eastAsiaTheme="minorHAnsi" w:hAnsi="Times New Roman" w:cstheme="minorBidi"/>
          <w:kern w:val="2"/>
          <w:sz w:val="24"/>
          <w:lang w:eastAsia="en-US"/>
          <w14:ligatures w14:val="standardContextual"/>
        </w:rPr>
        <w:t xml:space="preserve"> les températures minimales moyennes et minimales absolues augmentent à peu près linéairement pour toutes les zones et au même rythme pour tous les scénarios jusque dans les années 2060 à 2070. Après les courbes des scénarios se séparent. SSP245 poursuit le même rythme d’augmentation, SSP370 accélère et SSP585 accélère encore plus.</w:t>
      </w:r>
    </w:p>
    <w:p w14:paraId="0B9472F5" w14:textId="77777777" w:rsidR="0073535A" w:rsidRPr="007C5A6E" w:rsidRDefault="0073535A" w:rsidP="0073535A">
      <w:pPr>
        <w:spacing w:after="0" w:line="259" w:lineRule="auto"/>
        <w:jc w:val="both"/>
        <w:rPr>
          <w:rFonts w:ascii="Times New Roman" w:eastAsiaTheme="minorHAnsi" w:hAnsi="Times New Roman" w:cstheme="minorBidi"/>
          <w:kern w:val="2"/>
          <w:sz w:val="24"/>
          <w:lang w:eastAsia="en-US"/>
          <w14:ligatures w14:val="standardContextual"/>
        </w:rPr>
      </w:pPr>
    </w:p>
    <w:p w14:paraId="590AE9AF" w14:textId="77777777" w:rsidR="0073535A" w:rsidRPr="007C5A6E" w:rsidRDefault="0073535A" w:rsidP="0073535A">
      <w:pPr>
        <w:spacing w:after="0" w:line="259" w:lineRule="auto"/>
        <w:jc w:val="both"/>
        <w:rPr>
          <w:rFonts w:ascii="Times New Roman" w:eastAsiaTheme="minorHAnsi" w:hAnsi="Times New Roman" w:cstheme="minorBidi"/>
          <w:kern w:val="2"/>
          <w:sz w:val="24"/>
          <w:lang w:eastAsia="en-US"/>
          <w14:ligatures w14:val="standardContextual"/>
        </w:rPr>
      </w:pPr>
    </w:p>
    <w:p w14:paraId="12B3BFC2" w14:textId="77777777" w:rsidR="0073535A" w:rsidRPr="007C5A6E" w:rsidRDefault="0073535A" w:rsidP="0073535A">
      <w:pPr>
        <w:spacing w:after="0" w:line="259"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br w:type="page"/>
      </w:r>
    </w:p>
    <w:p w14:paraId="14D03F82" w14:textId="77777777" w:rsidR="0073535A" w:rsidRPr="007C5A6E" w:rsidRDefault="0073535A" w:rsidP="0073535A">
      <w:pPr>
        <w:spacing w:after="0" w:line="240" w:lineRule="auto"/>
        <w:rPr>
          <w:rFonts w:ascii="Times New Roman" w:eastAsiaTheme="minorHAnsi" w:hAnsi="Times New Roman" w:cstheme="minorBidi"/>
          <w:kern w:val="2"/>
          <w:sz w:val="24"/>
          <w:lang w:eastAsia="en-US"/>
          <w14:ligatures w14:val="standardContextual"/>
        </w:rPr>
        <w:sectPr w:rsidR="0073535A" w:rsidRPr="007C5A6E" w:rsidSect="006514BA">
          <w:pgSz w:w="11907" w:h="16840" w:code="9"/>
          <w:pgMar w:top="1191" w:right="1361" w:bottom="1191" w:left="1361" w:header="709" w:footer="709" w:gutter="0"/>
          <w:cols w:space="708"/>
          <w:docGrid w:linePitch="360"/>
        </w:sectPr>
      </w:pPr>
    </w:p>
    <w:tbl>
      <w:tblPr>
        <w:tblStyle w:val="Grilledutableau"/>
        <w:tblW w:w="13040" w:type="dxa"/>
        <w:tblLayout w:type="fixed"/>
        <w:tblCellMar>
          <w:left w:w="0" w:type="dxa"/>
          <w:right w:w="0" w:type="dxa"/>
        </w:tblCellMar>
        <w:tblLook w:val="04A0" w:firstRow="1" w:lastRow="0" w:firstColumn="1" w:lastColumn="0" w:noHBand="0" w:noVBand="1"/>
      </w:tblPr>
      <w:tblGrid>
        <w:gridCol w:w="6520"/>
        <w:gridCol w:w="6520"/>
      </w:tblGrid>
      <w:tr w:rsidR="0073535A" w:rsidRPr="007C5A6E" w14:paraId="7012F565" w14:textId="77777777" w:rsidTr="00457BED">
        <w:trPr>
          <w:cantSplit/>
          <w:trHeight w:val="3815"/>
        </w:trPr>
        <w:tc>
          <w:tcPr>
            <w:tcW w:w="6520" w:type="dxa"/>
          </w:tcPr>
          <w:p w14:paraId="14212363" w14:textId="77777777" w:rsidR="0073535A" w:rsidRPr="007C5A6E" w:rsidRDefault="0073535A" w:rsidP="0073535A">
            <w:pPr>
              <w:spacing w:after="0" w:line="240" w:lineRule="auto"/>
              <w:rPr>
                <w:rFonts w:ascii="Times New Roman" w:eastAsiaTheme="minorHAnsi" w:hAnsi="Times New Roman" w:cstheme="minorBidi"/>
                <w:sz w:val="24"/>
                <w:lang w:eastAsia="en-US"/>
              </w:rPr>
            </w:pPr>
            <w:r w:rsidRPr="007C5A6E">
              <w:rPr>
                <w:rFonts w:ascii="Times New Roman" w:eastAsiaTheme="minorHAnsi" w:hAnsi="Times New Roman" w:cstheme="minorBidi"/>
                <w:noProof/>
                <w:sz w:val="24"/>
                <w:lang w:eastAsia="en-US"/>
              </w:rPr>
              <w:drawing>
                <wp:inline distT="0" distB="0" distL="0" distR="0" wp14:anchorId="00D8C16C" wp14:editId="51ED4773">
                  <wp:extent cx="4143983" cy="2418011"/>
                  <wp:effectExtent l="0" t="0" r="0" b="1905"/>
                  <wp:docPr id="714139033"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139033" name="Image 714139033"/>
                          <pic:cNvPicPr/>
                        </pic:nvPicPr>
                        <pic:blipFill>
                          <a:blip r:embed="rId93" cstate="email">
                            <a:extLst>
                              <a:ext uri="{28A0092B-C50C-407E-A947-70E740481C1C}">
                                <a14:useLocalDpi xmlns:a14="http://schemas.microsoft.com/office/drawing/2010/main"/>
                              </a:ext>
                            </a:extLst>
                          </a:blip>
                          <a:stretch>
                            <a:fillRect/>
                          </a:stretch>
                        </pic:blipFill>
                        <pic:spPr>
                          <a:xfrm>
                            <a:off x="0" y="0"/>
                            <a:ext cx="4175346" cy="2436311"/>
                          </a:xfrm>
                          <a:prstGeom prst="rect">
                            <a:avLst/>
                          </a:prstGeom>
                        </pic:spPr>
                      </pic:pic>
                    </a:graphicData>
                  </a:graphic>
                </wp:inline>
              </w:drawing>
            </w:r>
          </w:p>
        </w:tc>
        <w:tc>
          <w:tcPr>
            <w:tcW w:w="6520" w:type="dxa"/>
          </w:tcPr>
          <w:p w14:paraId="5657598A" w14:textId="77777777" w:rsidR="0073535A" w:rsidRPr="007C5A6E" w:rsidRDefault="0073535A" w:rsidP="0073535A">
            <w:pPr>
              <w:spacing w:after="0" w:line="240" w:lineRule="auto"/>
              <w:rPr>
                <w:rFonts w:ascii="Times New Roman" w:eastAsiaTheme="minorHAnsi" w:hAnsi="Times New Roman" w:cstheme="minorBidi"/>
                <w:sz w:val="24"/>
                <w:lang w:eastAsia="en-US"/>
              </w:rPr>
            </w:pPr>
            <w:r w:rsidRPr="007C5A6E">
              <w:rPr>
                <w:rFonts w:ascii="Times New Roman" w:eastAsiaTheme="minorHAnsi" w:hAnsi="Times New Roman" w:cstheme="minorBidi"/>
                <w:noProof/>
                <w:sz w:val="24"/>
                <w:lang w:eastAsia="en-US"/>
              </w:rPr>
              <w:drawing>
                <wp:inline distT="0" distB="0" distL="0" distR="0" wp14:anchorId="6E34F6E8" wp14:editId="2648CD00">
                  <wp:extent cx="4124325" cy="2417431"/>
                  <wp:effectExtent l="0" t="0" r="0" b="2540"/>
                  <wp:docPr id="1068368440"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368440" name="Image 1068368440"/>
                          <pic:cNvPicPr/>
                        </pic:nvPicPr>
                        <pic:blipFill>
                          <a:blip r:embed="rId94" cstate="email">
                            <a:extLst>
                              <a:ext uri="{28A0092B-C50C-407E-A947-70E740481C1C}">
                                <a14:useLocalDpi xmlns:a14="http://schemas.microsoft.com/office/drawing/2010/main"/>
                              </a:ext>
                            </a:extLst>
                          </a:blip>
                          <a:stretch>
                            <a:fillRect/>
                          </a:stretch>
                        </pic:blipFill>
                        <pic:spPr>
                          <a:xfrm>
                            <a:off x="0" y="0"/>
                            <a:ext cx="4162104" cy="2439575"/>
                          </a:xfrm>
                          <a:prstGeom prst="rect">
                            <a:avLst/>
                          </a:prstGeom>
                        </pic:spPr>
                      </pic:pic>
                    </a:graphicData>
                  </a:graphic>
                </wp:inline>
              </w:drawing>
            </w:r>
          </w:p>
        </w:tc>
      </w:tr>
    </w:tbl>
    <w:p w14:paraId="225D23F9" w14:textId="38DD3850" w:rsidR="0073535A" w:rsidRPr="007C5A6E" w:rsidRDefault="00EF0411" w:rsidP="00EF0411">
      <w:pPr>
        <w:pStyle w:val="Lgende"/>
        <w:spacing w:after="0"/>
        <w:rPr>
          <w:rFonts w:ascii="Times New Roman" w:eastAsiaTheme="minorHAnsi" w:hAnsi="Times New Roman"/>
          <w:color w:val="auto"/>
          <w:kern w:val="2"/>
          <w:sz w:val="24"/>
          <w:szCs w:val="24"/>
          <w:lang w:eastAsia="en-US"/>
          <w14:ligatures w14:val="standardContextual"/>
        </w:rPr>
      </w:pPr>
      <w:bookmarkStart w:id="190" w:name="_Toc183230872"/>
      <w:bookmarkStart w:id="191" w:name="_Toc183240665"/>
      <w:bookmarkStart w:id="192" w:name="_Toc183340404"/>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0C9D" w:rsidRPr="007C5A6E">
        <w:rPr>
          <w:rFonts w:ascii="Times New Roman" w:hAnsi="Times New Roman"/>
          <w:noProof/>
          <w:color w:val="auto"/>
          <w:sz w:val="24"/>
          <w:szCs w:val="24"/>
        </w:rPr>
        <w:t>25</w:t>
      </w:r>
      <w:r w:rsidRPr="007C5A6E">
        <w:rPr>
          <w:rFonts w:ascii="Times New Roman" w:hAnsi="Times New Roman"/>
          <w:color w:val="auto"/>
          <w:sz w:val="24"/>
          <w:szCs w:val="24"/>
        </w:rPr>
        <w:fldChar w:fldCharType="end"/>
      </w:r>
      <w:r w:rsidR="0073535A" w:rsidRPr="007C5A6E">
        <w:rPr>
          <w:rFonts w:ascii="Times New Roman" w:eastAsiaTheme="minorHAnsi" w:hAnsi="Times New Roman"/>
          <w:color w:val="auto"/>
          <w:kern w:val="2"/>
          <w:sz w:val="24"/>
          <w:szCs w:val="24"/>
          <w:lang w:eastAsia="en-US"/>
          <w14:ligatures w14:val="standardContextual"/>
        </w:rPr>
        <w:t>. Dori : graphiques de projection des températures minimales moyennes et absolues</w:t>
      </w:r>
      <w:bookmarkEnd w:id="190"/>
      <w:bookmarkEnd w:id="191"/>
      <w:bookmarkEnd w:id="192"/>
    </w:p>
    <w:p w14:paraId="6A39B9BB" w14:textId="77777777" w:rsidR="0073535A" w:rsidRPr="007C5A6E" w:rsidRDefault="0073535A" w:rsidP="0073535A">
      <w:pPr>
        <w:spacing w:after="0" w:line="240" w:lineRule="auto"/>
        <w:rPr>
          <w:rFonts w:ascii="Times New Roman" w:eastAsiaTheme="minorHAnsi" w:hAnsi="Times New Roman" w:cstheme="minorBidi"/>
          <w:kern w:val="2"/>
          <w:sz w:val="24"/>
          <w:lang w:eastAsia="en-US"/>
          <w14:ligatures w14:val="standardContextual"/>
        </w:rPr>
      </w:pPr>
    </w:p>
    <w:tbl>
      <w:tblPr>
        <w:tblStyle w:val="Grilledutableau"/>
        <w:tblW w:w="13040" w:type="dxa"/>
        <w:tblLayout w:type="fixed"/>
        <w:tblCellMar>
          <w:left w:w="0" w:type="dxa"/>
          <w:right w:w="0" w:type="dxa"/>
        </w:tblCellMar>
        <w:tblLook w:val="04A0" w:firstRow="1" w:lastRow="0" w:firstColumn="1" w:lastColumn="0" w:noHBand="0" w:noVBand="1"/>
      </w:tblPr>
      <w:tblGrid>
        <w:gridCol w:w="6520"/>
        <w:gridCol w:w="6520"/>
      </w:tblGrid>
      <w:tr w:rsidR="0073535A" w:rsidRPr="007C5A6E" w14:paraId="15909707" w14:textId="77777777" w:rsidTr="00457BED">
        <w:trPr>
          <w:cantSplit/>
          <w:trHeight w:val="3835"/>
        </w:trPr>
        <w:tc>
          <w:tcPr>
            <w:tcW w:w="6520" w:type="dxa"/>
          </w:tcPr>
          <w:p w14:paraId="43973691" w14:textId="77777777" w:rsidR="0073535A" w:rsidRPr="007C5A6E" w:rsidRDefault="0073535A" w:rsidP="0073535A">
            <w:pPr>
              <w:spacing w:after="0" w:line="240" w:lineRule="auto"/>
              <w:rPr>
                <w:rFonts w:ascii="Times New Roman" w:eastAsiaTheme="minorHAnsi" w:hAnsi="Times New Roman" w:cstheme="minorBidi"/>
                <w:sz w:val="24"/>
                <w:lang w:eastAsia="en-US"/>
              </w:rPr>
            </w:pPr>
            <w:r w:rsidRPr="007C5A6E">
              <w:rPr>
                <w:rFonts w:ascii="Times New Roman" w:eastAsiaTheme="minorHAnsi" w:hAnsi="Times New Roman" w:cstheme="minorBidi"/>
                <w:noProof/>
                <w:sz w:val="24"/>
                <w:lang w:eastAsia="en-US"/>
              </w:rPr>
              <w:drawing>
                <wp:inline distT="0" distB="0" distL="0" distR="0" wp14:anchorId="3E250C80" wp14:editId="1B47A31A">
                  <wp:extent cx="4085617" cy="2419985"/>
                  <wp:effectExtent l="0" t="0" r="0" b="0"/>
                  <wp:docPr id="728421451"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21451" name="Image 728421451"/>
                          <pic:cNvPicPr/>
                        </pic:nvPicPr>
                        <pic:blipFill>
                          <a:blip r:embed="rId95" cstate="email">
                            <a:extLst>
                              <a:ext uri="{28A0092B-C50C-407E-A947-70E740481C1C}">
                                <a14:useLocalDpi xmlns:a14="http://schemas.microsoft.com/office/drawing/2010/main"/>
                              </a:ext>
                            </a:extLst>
                          </a:blip>
                          <a:stretch>
                            <a:fillRect/>
                          </a:stretch>
                        </pic:blipFill>
                        <pic:spPr>
                          <a:xfrm>
                            <a:off x="0" y="0"/>
                            <a:ext cx="4130151" cy="2446363"/>
                          </a:xfrm>
                          <a:prstGeom prst="rect">
                            <a:avLst/>
                          </a:prstGeom>
                        </pic:spPr>
                      </pic:pic>
                    </a:graphicData>
                  </a:graphic>
                </wp:inline>
              </w:drawing>
            </w:r>
          </w:p>
        </w:tc>
        <w:tc>
          <w:tcPr>
            <w:tcW w:w="6520" w:type="dxa"/>
          </w:tcPr>
          <w:p w14:paraId="1B152747" w14:textId="77777777" w:rsidR="0073535A" w:rsidRPr="007C5A6E" w:rsidRDefault="0073535A" w:rsidP="0073535A">
            <w:pPr>
              <w:spacing w:after="0" w:line="240" w:lineRule="auto"/>
              <w:rPr>
                <w:rFonts w:ascii="Times New Roman" w:eastAsiaTheme="minorHAnsi" w:hAnsi="Times New Roman" w:cstheme="minorBidi"/>
                <w:sz w:val="24"/>
                <w:lang w:eastAsia="en-US"/>
              </w:rPr>
            </w:pPr>
            <w:r w:rsidRPr="007C5A6E">
              <w:rPr>
                <w:rFonts w:ascii="Times New Roman" w:eastAsiaTheme="minorHAnsi" w:hAnsi="Times New Roman" w:cstheme="minorBidi"/>
                <w:noProof/>
                <w:sz w:val="24"/>
                <w:lang w:eastAsia="en-US"/>
              </w:rPr>
              <w:drawing>
                <wp:inline distT="0" distB="0" distL="0" distR="0" wp14:anchorId="4DEDF11D" wp14:editId="5E7A7782">
                  <wp:extent cx="4124325" cy="2419985"/>
                  <wp:effectExtent l="0" t="0" r="9525" b="0"/>
                  <wp:docPr id="1647801914"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01914" name="Image 1647801914"/>
                          <pic:cNvPicPr/>
                        </pic:nvPicPr>
                        <pic:blipFill>
                          <a:blip r:embed="rId96" cstate="email">
                            <a:extLst>
                              <a:ext uri="{28A0092B-C50C-407E-A947-70E740481C1C}">
                                <a14:useLocalDpi xmlns:a14="http://schemas.microsoft.com/office/drawing/2010/main"/>
                              </a:ext>
                            </a:extLst>
                          </a:blip>
                          <a:stretch>
                            <a:fillRect/>
                          </a:stretch>
                        </pic:blipFill>
                        <pic:spPr>
                          <a:xfrm>
                            <a:off x="0" y="0"/>
                            <a:ext cx="4151969" cy="2436205"/>
                          </a:xfrm>
                          <a:prstGeom prst="rect">
                            <a:avLst/>
                          </a:prstGeom>
                        </pic:spPr>
                      </pic:pic>
                    </a:graphicData>
                  </a:graphic>
                </wp:inline>
              </w:drawing>
            </w:r>
          </w:p>
        </w:tc>
      </w:tr>
    </w:tbl>
    <w:p w14:paraId="66FE9EEA" w14:textId="5912E8A2" w:rsidR="0073535A" w:rsidRPr="007C5A6E" w:rsidRDefault="00AA1E63" w:rsidP="00AA1E63">
      <w:pPr>
        <w:pStyle w:val="Lgende"/>
        <w:spacing w:after="0"/>
        <w:rPr>
          <w:rFonts w:ascii="Times New Roman" w:hAnsi="Times New Roman"/>
          <w:color w:val="auto"/>
          <w:sz w:val="24"/>
          <w:szCs w:val="24"/>
        </w:rPr>
      </w:pPr>
      <w:bookmarkStart w:id="193" w:name="_Toc183230873"/>
      <w:bookmarkStart w:id="194" w:name="_Toc183240666"/>
      <w:bookmarkStart w:id="195" w:name="_Toc183340405"/>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26</w:t>
      </w:r>
      <w:r w:rsidRPr="007C5A6E">
        <w:rPr>
          <w:rFonts w:ascii="Times New Roman" w:hAnsi="Times New Roman"/>
          <w:color w:val="auto"/>
          <w:sz w:val="24"/>
          <w:szCs w:val="24"/>
        </w:rPr>
        <w:fldChar w:fldCharType="end"/>
      </w:r>
      <w:r w:rsidR="00B640D3" w:rsidRPr="007C5A6E">
        <w:rPr>
          <w:rFonts w:ascii="Times New Roman" w:hAnsi="Times New Roman"/>
          <w:color w:val="auto"/>
          <w:sz w:val="24"/>
          <w:szCs w:val="24"/>
        </w:rPr>
        <w:t>.</w:t>
      </w:r>
      <w:r w:rsidR="0073535A" w:rsidRPr="007C5A6E">
        <w:rPr>
          <w:rFonts w:ascii="Times New Roman" w:hAnsi="Times New Roman"/>
          <w:color w:val="auto"/>
          <w:sz w:val="24"/>
          <w:szCs w:val="24"/>
        </w:rPr>
        <w:t xml:space="preserve"> Ouagadougou : graphiques de projection des températures minimales moyennes et absolues</w:t>
      </w:r>
      <w:bookmarkEnd w:id="193"/>
      <w:bookmarkEnd w:id="194"/>
      <w:bookmarkEnd w:id="195"/>
    </w:p>
    <w:p w14:paraId="512359C3" w14:textId="77777777" w:rsidR="0073535A" w:rsidRPr="007C5A6E" w:rsidRDefault="0073535A" w:rsidP="0073535A">
      <w:pPr>
        <w:spacing w:after="0" w:line="240" w:lineRule="auto"/>
        <w:rPr>
          <w:rFonts w:ascii="Times New Roman" w:eastAsiaTheme="minorHAnsi" w:hAnsi="Times New Roman" w:cstheme="minorBidi"/>
          <w:kern w:val="2"/>
          <w:sz w:val="24"/>
          <w:lang w:eastAsia="en-US"/>
          <w14:ligatures w14:val="standardContextual"/>
        </w:rPr>
      </w:pPr>
    </w:p>
    <w:p w14:paraId="5437771D" w14:textId="77777777" w:rsidR="0073535A" w:rsidRPr="007C5A6E" w:rsidRDefault="0073535A" w:rsidP="0073535A">
      <w:pPr>
        <w:spacing w:after="0" w:line="240" w:lineRule="auto"/>
        <w:rPr>
          <w:rFonts w:ascii="Times New Roman" w:eastAsiaTheme="minorHAnsi" w:hAnsi="Times New Roman" w:cstheme="minorBidi"/>
          <w:kern w:val="2"/>
          <w:sz w:val="24"/>
          <w:lang w:eastAsia="en-US"/>
          <w14:ligatures w14:val="standardContextual"/>
        </w:rPr>
      </w:pPr>
    </w:p>
    <w:tbl>
      <w:tblPr>
        <w:tblStyle w:val="Grilledutableau"/>
        <w:tblW w:w="13040" w:type="dxa"/>
        <w:tblLayout w:type="fixed"/>
        <w:tblCellMar>
          <w:left w:w="0" w:type="dxa"/>
          <w:right w:w="0" w:type="dxa"/>
        </w:tblCellMar>
        <w:tblLook w:val="04A0" w:firstRow="1" w:lastRow="0" w:firstColumn="1" w:lastColumn="0" w:noHBand="0" w:noVBand="1"/>
      </w:tblPr>
      <w:tblGrid>
        <w:gridCol w:w="6520"/>
        <w:gridCol w:w="6520"/>
      </w:tblGrid>
      <w:tr w:rsidR="0073535A" w:rsidRPr="007C5A6E" w14:paraId="0814BBD9" w14:textId="77777777" w:rsidTr="00457BED">
        <w:trPr>
          <w:cantSplit/>
          <w:trHeight w:val="3812"/>
        </w:trPr>
        <w:tc>
          <w:tcPr>
            <w:tcW w:w="6520" w:type="dxa"/>
          </w:tcPr>
          <w:p w14:paraId="6EE1753D" w14:textId="77777777" w:rsidR="0073535A" w:rsidRPr="007C5A6E" w:rsidRDefault="0073535A" w:rsidP="0073535A">
            <w:pPr>
              <w:spacing w:after="0" w:line="240" w:lineRule="auto"/>
              <w:rPr>
                <w:rFonts w:ascii="Times New Roman" w:eastAsiaTheme="minorHAnsi" w:hAnsi="Times New Roman" w:cstheme="minorBidi"/>
                <w:sz w:val="24"/>
                <w:lang w:eastAsia="en-US"/>
              </w:rPr>
            </w:pPr>
            <w:r w:rsidRPr="007C5A6E">
              <w:rPr>
                <w:rFonts w:ascii="Times New Roman" w:eastAsiaTheme="minorHAnsi" w:hAnsi="Times New Roman" w:cstheme="minorBidi"/>
                <w:noProof/>
                <w:sz w:val="24"/>
                <w:lang w:eastAsia="en-US"/>
              </w:rPr>
              <w:drawing>
                <wp:inline distT="0" distB="0" distL="0" distR="0" wp14:anchorId="299C3F7E" wp14:editId="09C82685">
                  <wp:extent cx="4143983" cy="2411624"/>
                  <wp:effectExtent l="0" t="0" r="0" b="8255"/>
                  <wp:docPr id="1083274229"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74229" name="Image 1083274229"/>
                          <pic:cNvPicPr/>
                        </pic:nvPicPr>
                        <pic:blipFill>
                          <a:blip r:embed="rId97" cstate="email">
                            <a:extLst>
                              <a:ext uri="{28A0092B-C50C-407E-A947-70E740481C1C}">
                                <a14:useLocalDpi xmlns:a14="http://schemas.microsoft.com/office/drawing/2010/main"/>
                              </a:ext>
                            </a:extLst>
                          </a:blip>
                          <a:stretch>
                            <a:fillRect/>
                          </a:stretch>
                        </pic:blipFill>
                        <pic:spPr>
                          <a:xfrm>
                            <a:off x="0" y="0"/>
                            <a:ext cx="4162040" cy="2422132"/>
                          </a:xfrm>
                          <a:prstGeom prst="rect">
                            <a:avLst/>
                          </a:prstGeom>
                        </pic:spPr>
                      </pic:pic>
                    </a:graphicData>
                  </a:graphic>
                </wp:inline>
              </w:drawing>
            </w:r>
          </w:p>
        </w:tc>
        <w:tc>
          <w:tcPr>
            <w:tcW w:w="6520" w:type="dxa"/>
          </w:tcPr>
          <w:p w14:paraId="5A5B9FF7" w14:textId="77777777" w:rsidR="0073535A" w:rsidRPr="007C5A6E" w:rsidRDefault="0073535A" w:rsidP="0073535A">
            <w:pPr>
              <w:spacing w:after="0" w:line="240" w:lineRule="auto"/>
              <w:rPr>
                <w:rFonts w:ascii="Times New Roman" w:eastAsiaTheme="minorHAnsi" w:hAnsi="Times New Roman" w:cstheme="minorBidi"/>
                <w:sz w:val="24"/>
                <w:lang w:eastAsia="en-US"/>
              </w:rPr>
            </w:pPr>
            <w:r w:rsidRPr="007C5A6E">
              <w:rPr>
                <w:rFonts w:ascii="Times New Roman" w:eastAsiaTheme="minorHAnsi" w:hAnsi="Times New Roman" w:cstheme="minorBidi"/>
                <w:noProof/>
                <w:sz w:val="24"/>
                <w:lang w:eastAsia="en-US"/>
              </w:rPr>
              <w:drawing>
                <wp:inline distT="0" distB="0" distL="0" distR="0" wp14:anchorId="32A93E31" wp14:editId="443A4078">
                  <wp:extent cx="4134256" cy="2399030"/>
                  <wp:effectExtent l="0" t="0" r="0" b="1270"/>
                  <wp:docPr id="565580812"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580812" name="Image 565580812"/>
                          <pic:cNvPicPr/>
                        </pic:nvPicPr>
                        <pic:blipFill>
                          <a:blip r:embed="rId98" cstate="email">
                            <a:extLst>
                              <a:ext uri="{28A0092B-C50C-407E-A947-70E740481C1C}">
                                <a14:useLocalDpi xmlns:a14="http://schemas.microsoft.com/office/drawing/2010/main"/>
                              </a:ext>
                            </a:extLst>
                          </a:blip>
                          <a:stretch>
                            <a:fillRect/>
                          </a:stretch>
                        </pic:blipFill>
                        <pic:spPr>
                          <a:xfrm>
                            <a:off x="0" y="0"/>
                            <a:ext cx="4155450" cy="2411329"/>
                          </a:xfrm>
                          <a:prstGeom prst="rect">
                            <a:avLst/>
                          </a:prstGeom>
                        </pic:spPr>
                      </pic:pic>
                    </a:graphicData>
                  </a:graphic>
                </wp:inline>
              </w:drawing>
            </w:r>
          </w:p>
        </w:tc>
      </w:tr>
    </w:tbl>
    <w:p w14:paraId="1E7723A3" w14:textId="457384CA" w:rsidR="0073535A" w:rsidRPr="007C5A6E" w:rsidRDefault="00AA1E63" w:rsidP="00AA1E63">
      <w:pPr>
        <w:pStyle w:val="Lgende"/>
        <w:spacing w:after="0"/>
        <w:rPr>
          <w:rFonts w:ascii="Times New Roman" w:hAnsi="Times New Roman"/>
          <w:color w:val="auto"/>
          <w:sz w:val="24"/>
          <w:szCs w:val="24"/>
        </w:rPr>
      </w:pPr>
      <w:bookmarkStart w:id="196" w:name="_Toc183230874"/>
      <w:bookmarkStart w:id="197" w:name="_Toc183240667"/>
      <w:bookmarkStart w:id="198" w:name="_Toc183340406"/>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27</w:t>
      </w:r>
      <w:r w:rsidRPr="007C5A6E">
        <w:rPr>
          <w:rFonts w:ascii="Times New Roman" w:hAnsi="Times New Roman"/>
          <w:color w:val="auto"/>
          <w:sz w:val="24"/>
          <w:szCs w:val="24"/>
        </w:rPr>
        <w:fldChar w:fldCharType="end"/>
      </w:r>
      <w:r w:rsidR="0073535A" w:rsidRPr="007C5A6E">
        <w:rPr>
          <w:rFonts w:ascii="Times New Roman" w:hAnsi="Times New Roman"/>
          <w:color w:val="auto"/>
          <w:sz w:val="24"/>
          <w:szCs w:val="24"/>
        </w:rPr>
        <w:t>. Bobo-Dioulasso : graphiques de projection des températures minimales moyennes et absolues</w:t>
      </w:r>
      <w:bookmarkEnd w:id="196"/>
      <w:bookmarkEnd w:id="197"/>
      <w:bookmarkEnd w:id="198"/>
    </w:p>
    <w:p w14:paraId="5B9EF9B5" w14:textId="77777777" w:rsidR="0073535A" w:rsidRPr="007C5A6E" w:rsidRDefault="0073535A" w:rsidP="0073535A">
      <w:pPr>
        <w:spacing w:after="0" w:line="240" w:lineRule="auto"/>
        <w:rPr>
          <w:rFonts w:ascii="Times New Roman" w:eastAsiaTheme="minorHAnsi" w:hAnsi="Times New Roman" w:cstheme="minorBidi"/>
          <w:kern w:val="2"/>
          <w:sz w:val="24"/>
          <w:lang w:eastAsia="en-US"/>
          <w14:ligatures w14:val="standardContextual"/>
        </w:rPr>
      </w:pPr>
    </w:p>
    <w:p w14:paraId="7CDE7841" w14:textId="77777777" w:rsidR="0073535A" w:rsidRPr="007C5A6E" w:rsidRDefault="0073535A" w:rsidP="003F3821">
      <w:pPr>
        <w:pStyle w:val="Titre5"/>
        <w:numPr>
          <w:ilvl w:val="4"/>
          <w:numId w:val="4"/>
        </w:numPr>
        <w:ind w:left="907" w:hanging="907"/>
        <w:rPr>
          <w:rFonts w:ascii="Times New Roman" w:hAnsi="Times New Roman" w:cs="Times New Roman"/>
          <w:color w:val="auto"/>
          <w:u w:val="single"/>
          <w:lang w:eastAsia="en-US"/>
        </w:rPr>
      </w:pPr>
      <w:bookmarkStart w:id="199" w:name="_Toc183340058"/>
      <w:r w:rsidRPr="007C5A6E">
        <w:rPr>
          <w:rFonts w:ascii="Times New Roman" w:hAnsi="Times New Roman" w:cs="Times New Roman"/>
          <w:color w:val="auto"/>
          <w:u w:val="single"/>
          <w:lang w:eastAsia="en-US"/>
        </w:rPr>
        <w:t>Les températures maximales</w:t>
      </w:r>
      <w:bookmarkEnd w:id="199"/>
    </w:p>
    <w:p w14:paraId="7DB85E34" w14:textId="77777777" w:rsidR="0073535A" w:rsidRPr="007C5A6E" w:rsidRDefault="0073535A" w:rsidP="0073535A">
      <w:pPr>
        <w:spacing w:after="0" w:line="240" w:lineRule="auto"/>
        <w:jc w:val="both"/>
        <w:rPr>
          <w:rFonts w:ascii="Times New Roman" w:eastAsiaTheme="minorHAnsi" w:hAnsi="Times New Roman" w:cstheme="minorBidi"/>
          <w:kern w:val="2"/>
          <w:sz w:val="24"/>
          <w:lang w:eastAsia="en-US"/>
          <w14:ligatures w14:val="standardContextual"/>
        </w:rPr>
      </w:pPr>
    </w:p>
    <w:p w14:paraId="2502F631" w14:textId="77777777" w:rsidR="0073535A" w:rsidRPr="007C5A6E" w:rsidRDefault="0073535A" w:rsidP="0073535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 xml:space="preserve">En zone sahélienne les projections de température maximales n’ont pas pu être menées à bien pour la station de Dori, pour cause de médiocre corrélations du </w:t>
      </w:r>
      <w:proofErr w:type="spellStart"/>
      <w:r w:rsidRPr="007C5A6E">
        <w:rPr>
          <w:rFonts w:ascii="Times New Roman" w:eastAsiaTheme="minorHAnsi" w:hAnsi="Times New Roman" w:cstheme="minorBidi"/>
          <w:kern w:val="2"/>
          <w:sz w:val="24"/>
          <w:lang w:eastAsia="en-US"/>
          <w14:ligatures w14:val="standardContextual"/>
        </w:rPr>
        <w:t>multi-modèle</w:t>
      </w:r>
      <w:proofErr w:type="spellEnd"/>
      <w:r w:rsidRPr="007C5A6E">
        <w:rPr>
          <w:rFonts w:ascii="Times New Roman" w:eastAsiaTheme="minorHAnsi" w:hAnsi="Times New Roman" w:cstheme="minorBidi"/>
          <w:kern w:val="2"/>
          <w:sz w:val="24"/>
          <w:lang w:eastAsia="en-US"/>
          <w14:ligatures w14:val="standardContextual"/>
        </w:rPr>
        <w:t xml:space="preserve"> avec les données historiques. La station de Bogandé a été retenue à la place de Dori, mais force est de constater que seule la projection de la température maximale moyenne </w:t>
      </w:r>
      <w:proofErr w:type="gramStart"/>
      <w:r w:rsidRPr="007C5A6E">
        <w:rPr>
          <w:rFonts w:ascii="Times New Roman" w:eastAsiaTheme="minorHAnsi" w:hAnsi="Times New Roman" w:cstheme="minorBidi"/>
          <w:kern w:val="2"/>
          <w:sz w:val="24"/>
          <w:lang w:eastAsia="en-US"/>
          <w14:ligatures w14:val="standardContextual"/>
        </w:rPr>
        <w:t>a</w:t>
      </w:r>
      <w:proofErr w:type="gramEnd"/>
      <w:r w:rsidRPr="007C5A6E">
        <w:rPr>
          <w:rFonts w:ascii="Times New Roman" w:eastAsiaTheme="minorHAnsi" w:hAnsi="Times New Roman" w:cstheme="minorBidi"/>
          <w:kern w:val="2"/>
          <w:sz w:val="24"/>
          <w:lang w:eastAsia="en-US"/>
          <w14:ligatures w14:val="standardContextual"/>
        </w:rPr>
        <w:t xml:space="preserve"> une allure normale.</w:t>
      </w:r>
    </w:p>
    <w:p w14:paraId="2BF089D9" w14:textId="77777777" w:rsidR="00B640D3" w:rsidRPr="007C5A6E" w:rsidRDefault="00B640D3" w:rsidP="0073535A">
      <w:pPr>
        <w:spacing w:after="0" w:line="240" w:lineRule="auto"/>
        <w:jc w:val="both"/>
        <w:rPr>
          <w:rFonts w:ascii="Times New Roman" w:eastAsiaTheme="minorHAnsi" w:hAnsi="Times New Roman" w:cstheme="minorBidi"/>
          <w:kern w:val="2"/>
          <w:sz w:val="24"/>
          <w:lang w:eastAsia="en-US"/>
          <w14:ligatures w14:val="standardContextual"/>
        </w:rPr>
      </w:pPr>
    </w:p>
    <w:p w14:paraId="34C19128" w14:textId="7AADFA86" w:rsidR="0073535A" w:rsidRPr="007C5A6E" w:rsidRDefault="0073535A" w:rsidP="0073535A">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A Ouagadougou en zone soudano-sahélienne le constat est le même que pour les températures minimales, avec toutes fois une imbrication des courbes SSP245 et SSP370 pour les températures maximales absolues.</w:t>
      </w:r>
    </w:p>
    <w:p w14:paraId="00EA68E7" w14:textId="29D4B829" w:rsidR="0073535A" w:rsidRPr="007C5A6E" w:rsidRDefault="0073535A" w:rsidP="0073535A">
      <w:pPr>
        <w:spacing w:after="0" w:line="259"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A Bobo-Dioulasso en zone soudanienne ce sont SSP370 et SSP585 qui sont imbriquées en montée tandis que SSP245 reste linéaire cela pour les 3 indicateurs.</w:t>
      </w:r>
    </w:p>
    <w:p w14:paraId="3BC71054" w14:textId="77777777" w:rsidR="0073535A" w:rsidRPr="007C5A6E" w:rsidRDefault="0073535A" w:rsidP="0073535A">
      <w:pPr>
        <w:spacing w:after="0" w:line="259" w:lineRule="auto"/>
        <w:jc w:val="both"/>
        <w:rPr>
          <w:rFonts w:ascii="Times New Roman" w:eastAsiaTheme="minorHAnsi" w:hAnsi="Times New Roman" w:cstheme="minorBidi"/>
          <w:kern w:val="2"/>
          <w:sz w:val="24"/>
          <w:lang w:eastAsia="en-US"/>
          <w14:ligatures w14:val="standardContextual"/>
        </w:rPr>
      </w:pPr>
    </w:p>
    <w:p w14:paraId="5ECA3903" w14:textId="77777777" w:rsidR="0073535A" w:rsidRPr="007C5A6E" w:rsidRDefault="0073535A" w:rsidP="003F3821">
      <w:pPr>
        <w:pStyle w:val="Titre5"/>
        <w:numPr>
          <w:ilvl w:val="4"/>
          <w:numId w:val="4"/>
        </w:numPr>
        <w:ind w:left="907" w:hanging="907"/>
        <w:rPr>
          <w:rFonts w:ascii="Times New Roman" w:hAnsi="Times New Roman" w:cs="Times New Roman"/>
          <w:color w:val="auto"/>
          <w:u w:val="single"/>
          <w:lang w:eastAsia="en-US"/>
        </w:rPr>
      </w:pPr>
      <w:bookmarkStart w:id="200" w:name="_Toc183340059"/>
      <w:r w:rsidRPr="007C5A6E">
        <w:rPr>
          <w:rFonts w:ascii="Times New Roman" w:hAnsi="Times New Roman" w:cs="Times New Roman"/>
          <w:color w:val="auto"/>
          <w:u w:val="single"/>
          <w:lang w:eastAsia="en-US"/>
        </w:rPr>
        <w:t>Les nombres de jours où T &gt; 40°C</w:t>
      </w:r>
      <w:bookmarkEnd w:id="200"/>
    </w:p>
    <w:p w14:paraId="0EFA0CDF" w14:textId="77777777" w:rsidR="0073535A" w:rsidRPr="007C5A6E" w:rsidRDefault="0073535A" w:rsidP="0073535A">
      <w:pPr>
        <w:spacing w:after="0" w:line="240" w:lineRule="auto"/>
        <w:jc w:val="both"/>
        <w:rPr>
          <w:rFonts w:ascii="Times New Roman" w:eastAsiaTheme="minorHAnsi" w:hAnsi="Times New Roman" w:cstheme="minorBidi"/>
          <w:kern w:val="2"/>
          <w:sz w:val="24"/>
          <w:lang w:eastAsia="en-US"/>
          <w14:ligatures w14:val="standardContextual"/>
        </w:rPr>
      </w:pPr>
    </w:p>
    <w:p w14:paraId="29CC8641" w14:textId="7C9C9EB4" w:rsidR="0073535A" w:rsidRPr="007C5A6E" w:rsidRDefault="0073535A" w:rsidP="0073535A">
      <w:pPr>
        <w:spacing w:after="0" w:line="240" w:lineRule="auto"/>
        <w:jc w:val="both"/>
        <w:rPr>
          <w:rFonts w:ascii="Times New Roman" w:eastAsiaTheme="minorHAnsi" w:hAnsi="Times New Roman" w:cstheme="minorBidi"/>
          <w:kern w:val="2"/>
          <w:sz w:val="24"/>
          <w:lang w:eastAsia="en-US"/>
          <w14:ligatures w14:val="standardContextual"/>
        </w:rPr>
        <w:sectPr w:rsidR="0073535A" w:rsidRPr="007C5A6E" w:rsidSect="006514BA">
          <w:pgSz w:w="11907" w:h="16840" w:orient="landscape" w:code="9"/>
          <w:pgMar w:top="1191" w:right="1361" w:bottom="1191" w:left="1361" w:header="709" w:footer="709" w:gutter="0"/>
          <w:cols w:space="708"/>
          <w:docGrid w:linePitch="360"/>
        </w:sectPr>
      </w:pPr>
      <w:r w:rsidRPr="007C5A6E">
        <w:rPr>
          <w:rFonts w:ascii="Times New Roman" w:eastAsiaTheme="minorHAnsi" w:hAnsi="Times New Roman" w:cstheme="minorBidi"/>
          <w:kern w:val="2"/>
          <w:sz w:val="24"/>
          <w:lang w:eastAsia="en-US"/>
          <w14:ligatures w14:val="standardContextual"/>
        </w:rPr>
        <w:t xml:space="preserve">A Bogandé (figure </w:t>
      </w:r>
      <w:r w:rsidR="00AA1E63" w:rsidRPr="007C5A6E">
        <w:rPr>
          <w:rFonts w:ascii="Times New Roman" w:eastAsiaTheme="minorHAnsi" w:hAnsi="Times New Roman" w:cstheme="minorBidi"/>
          <w:kern w:val="2"/>
          <w:sz w:val="24"/>
          <w:lang w:eastAsia="en-US"/>
          <w14:ligatures w14:val="standardContextual"/>
        </w:rPr>
        <w:t>28</w:t>
      </w:r>
      <w:r w:rsidRPr="007C5A6E">
        <w:rPr>
          <w:rFonts w:ascii="Times New Roman" w:eastAsiaTheme="minorHAnsi" w:hAnsi="Times New Roman" w:cstheme="minorBidi"/>
          <w:kern w:val="2"/>
          <w:sz w:val="24"/>
          <w:lang w:eastAsia="en-US"/>
          <w14:ligatures w14:val="standardContextual"/>
        </w:rPr>
        <w:t xml:space="preserve">) le nombre de jours chauds augmente au même </w:t>
      </w:r>
      <w:r w:rsidR="00AA1E63" w:rsidRPr="007C5A6E">
        <w:rPr>
          <w:rFonts w:ascii="Times New Roman" w:eastAsiaTheme="minorHAnsi" w:hAnsi="Times New Roman" w:cstheme="minorBidi"/>
          <w:kern w:val="2"/>
          <w:sz w:val="24"/>
          <w:lang w:eastAsia="en-US"/>
          <w14:ligatures w14:val="standardContextual"/>
        </w:rPr>
        <w:t>rythme</w:t>
      </w:r>
      <w:r w:rsidRPr="007C5A6E">
        <w:rPr>
          <w:rFonts w:ascii="Times New Roman" w:eastAsiaTheme="minorHAnsi" w:hAnsi="Times New Roman" w:cstheme="minorBidi"/>
          <w:kern w:val="2"/>
          <w:sz w:val="24"/>
          <w:lang w:eastAsia="en-US"/>
          <w14:ligatures w14:val="standardContextual"/>
        </w:rPr>
        <w:t xml:space="preserve"> pour les 3 scénarios jusqu’en 2060 où le scénario SSP585 adopte une croissance beaucoup plus forte. A partir de 2080 SSP245 arrête l’augmentation tandis que SSP370 reste sur une augmentation linéaire.</w:t>
      </w:r>
    </w:p>
    <w:tbl>
      <w:tblPr>
        <w:tblStyle w:val="Grilledutableau"/>
        <w:tblpPr w:leftFromText="142" w:rightFromText="142" w:vertAnchor="page" w:horzAnchor="margin" w:tblpY="1165"/>
        <w:tblW w:w="9209" w:type="dxa"/>
        <w:tblLayout w:type="fixed"/>
        <w:tblCellMar>
          <w:left w:w="0" w:type="dxa"/>
          <w:right w:w="0" w:type="dxa"/>
        </w:tblCellMar>
        <w:tblLook w:val="04A0" w:firstRow="1" w:lastRow="0" w:firstColumn="1" w:lastColumn="0" w:noHBand="0" w:noVBand="1"/>
      </w:tblPr>
      <w:tblGrid>
        <w:gridCol w:w="9209"/>
      </w:tblGrid>
      <w:tr w:rsidR="0073535A" w:rsidRPr="007C5A6E" w14:paraId="1340F2DB" w14:textId="77777777" w:rsidTr="00AA1E63">
        <w:trPr>
          <w:trHeight w:val="3855"/>
        </w:trPr>
        <w:tc>
          <w:tcPr>
            <w:tcW w:w="9209" w:type="dxa"/>
            <w:shd w:val="clear" w:color="auto" w:fill="auto"/>
          </w:tcPr>
          <w:p w14:paraId="26472AC8" w14:textId="77777777" w:rsidR="0073535A" w:rsidRPr="007C5A6E" w:rsidRDefault="0073535A" w:rsidP="0073535A">
            <w:pPr>
              <w:spacing w:after="0" w:line="240" w:lineRule="auto"/>
              <w:rPr>
                <w:rFonts w:ascii="Times New Roman" w:eastAsiaTheme="minorHAnsi" w:hAnsi="Times New Roman" w:cstheme="minorBidi"/>
                <w:sz w:val="24"/>
                <w:lang w:eastAsia="en-US"/>
              </w:rPr>
            </w:pPr>
            <w:r w:rsidRPr="007C5A6E">
              <w:rPr>
                <w:rFonts w:ascii="Times New Roman" w:eastAsiaTheme="minorHAnsi" w:hAnsi="Times New Roman" w:cstheme="minorBidi"/>
                <w:noProof/>
                <w:sz w:val="24"/>
                <w:lang w:eastAsia="en-US"/>
              </w:rPr>
              <w:drawing>
                <wp:anchor distT="0" distB="0" distL="114300" distR="114300" simplePos="0" relativeHeight="251674112" behindDoc="0" locked="0" layoutInCell="1" allowOverlap="1" wp14:anchorId="69DF3D7A" wp14:editId="4AC35FAD">
                  <wp:simplePos x="0" y="0"/>
                  <wp:positionH relativeFrom="column">
                    <wp:posOffset>0</wp:posOffset>
                  </wp:positionH>
                  <wp:positionV relativeFrom="paragraph">
                    <wp:posOffset>0</wp:posOffset>
                  </wp:positionV>
                  <wp:extent cx="5819775" cy="2460625"/>
                  <wp:effectExtent l="0" t="0" r="9525" b="0"/>
                  <wp:wrapSquare wrapText="bothSides"/>
                  <wp:docPr id="533037533"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127083" name="Image 1804127083"/>
                          <pic:cNvPicPr/>
                        </pic:nvPicPr>
                        <pic:blipFill>
                          <a:blip r:embed="rId99" cstate="email">
                            <a:extLst>
                              <a:ext uri="{28A0092B-C50C-407E-A947-70E740481C1C}">
                                <a14:useLocalDpi xmlns:a14="http://schemas.microsoft.com/office/drawing/2010/main"/>
                              </a:ext>
                            </a:extLst>
                          </a:blip>
                          <a:stretch>
                            <a:fillRect/>
                          </a:stretch>
                        </pic:blipFill>
                        <pic:spPr>
                          <a:xfrm>
                            <a:off x="0" y="0"/>
                            <a:ext cx="5819775" cy="2460625"/>
                          </a:xfrm>
                          <a:prstGeom prst="rect">
                            <a:avLst/>
                          </a:prstGeom>
                        </pic:spPr>
                      </pic:pic>
                    </a:graphicData>
                  </a:graphic>
                  <wp14:sizeRelH relativeFrom="margin">
                    <wp14:pctWidth>0</wp14:pctWidth>
                  </wp14:sizeRelH>
                </wp:anchor>
              </w:drawing>
            </w:r>
            <w:r w:rsidRPr="007C5A6E">
              <w:rPr>
                <w:rFonts w:ascii="Times New Roman" w:eastAsiaTheme="minorHAnsi" w:hAnsi="Times New Roman" w:cstheme="minorBidi"/>
                <w:sz w:val="24"/>
                <w:lang w:eastAsia="en-US"/>
              </w:rPr>
              <w:t xml:space="preserve">                                                                                                                         </w:t>
            </w:r>
          </w:p>
        </w:tc>
      </w:tr>
      <w:tr w:rsidR="0073535A" w:rsidRPr="007C5A6E" w14:paraId="5C50AEAE" w14:textId="77777777" w:rsidTr="00AA1E63">
        <w:trPr>
          <w:trHeight w:val="4129"/>
        </w:trPr>
        <w:tc>
          <w:tcPr>
            <w:tcW w:w="9209" w:type="dxa"/>
            <w:shd w:val="clear" w:color="auto" w:fill="auto"/>
          </w:tcPr>
          <w:p w14:paraId="3DB177E0" w14:textId="77777777" w:rsidR="0073535A" w:rsidRPr="007C5A6E" w:rsidRDefault="0073535A" w:rsidP="0073535A">
            <w:pPr>
              <w:spacing w:after="0" w:line="240" w:lineRule="auto"/>
              <w:rPr>
                <w:rFonts w:ascii="Times New Roman" w:eastAsiaTheme="minorHAnsi" w:hAnsi="Times New Roman" w:cstheme="minorBidi"/>
                <w:sz w:val="24"/>
                <w:lang w:eastAsia="en-US"/>
              </w:rPr>
            </w:pPr>
            <w:r w:rsidRPr="007C5A6E">
              <w:rPr>
                <w:rFonts w:ascii="Times New Roman" w:eastAsiaTheme="minorHAnsi" w:hAnsi="Times New Roman" w:cstheme="minorBidi"/>
                <w:noProof/>
                <w:sz w:val="24"/>
                <w:lang w:eastAsia="en-US"/>
              </w:rPr>
              <w:drawing>
                <wp:anchor distT="0" distB="0" distL="114300" distR="114300" simplePos="0" relativeHeight="251675136" behindDoc="0" locked="0" layoutInCell="1" allowOverlap="1" wp14:anchorId="094523FB" wp14:editId="5202A6BC">
                  <wp:simplePos x="0" y="0"/>
                  <wp:positionH relativeFrom="column">
                    <wp:posOffset>0</wp:posOffset>
                  </wp:positionH>
                  <wp:positionV relativeFrom="paragraph">
                    <wp:posOffset>3175</wp:posOffset>
                  </wp:positionV>
                  <wp:extent cx="5819775" cy="2286000"/>
                  <wp:effectExtent l="0" t="0" r="9525" b="0"/>
                  <wp:wrapSquare wrapText="bothSides"/>
                  <wp:docPr id="1991586269"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744360" name="Image 1127744360"/>
                          <pic:cNvPicPr/>
                        </pic:nvPicPr>
                        <pic:blipFill>
                          <a:blip r:embed="rId100" cstate="email">
                            <a:extLst>
                              <a:ext uri="{28A0092B-C50C-407E-A947-70E740481C1C}">
                                <a14:useLocalDpi xmlns:a14="http://schemas.microsoft.com/office/drawing/2010/main"/>
                              </a:ext>
                            </a:extLst>
                          </a:blip>
                          <a:stretch>
                            <a:fillRect/>
                          </a:stretch>
                        </pic:blipFill>
                        <pic:spPr>
                          <a:xfrm>
                            <a:off x="0" y="0"/>
                            <a:ext cx="5819775" cy="2286000"/>
                          </a:xfrm>
                          <a:prstGeom prst="rect">
                            <a:avLst/>
                          </a:prstGeom>
                        </pic:spPr>
                      </pic:pic>
                    </a:graphicData>
                  </a:graphic>
                  <wp14:sizeRelH relativeFrom="margin">
                    <wp14:pctWidth>0</wp14:pctWidth>
                  </wp14:sizeRelH>
                  <wp14:sizeRelV relativeFrom="margin">
                    <wp14:pctHeight>0</wp14:pctHeight>
                  </wp14:sizeRelV>
                </wp:anchor>
              </w:drawing>
            </w:r>
          </w:p>
        </w:tc>
      </w:tr>
      <w:tr w:rsidR="0073535A" w:rsidRPr="007C5A6E" w14:paraId="66EC63CE" w14:textId="77777777" w:rsidTr="00AA1E63">
        <w:trPr>
          <w:trHeight w:val="3855"/>
        </w:trPr>
        <w:tc>
          <w:tcPr>
            <w:tcW w:w="9209" w:type="dxa"/>
            <w:shd w:val="clear" w:color="auto" w:fill="auto"/>
          </w:tcPr>
          <w:p w14:paraId="1E4A2F0A" w14:textId="77777777" w:rsidR="0073535A" w:rsidRPr="007C5A6E" w:rsidRDefault="0073535A" w:rsidP="0073535A">
            <w:pPr>
              <w:spacing w:after="0" w:line="240" w:lineRule="auto"/>
              <w:rPr>
                <w:rFonts w:ascii="Times New Roman" w:eastAsiaTheme="minorHAnsi" w:hAnsi="Times New Roman" w:cstheme="minorBidi"/>
                <w:sz w:val="24"/>
                <w:lang w:eastAsia="en-US"/>
              </w:rPr>
            </w:pPr>
            <w:r w:rsidRPr="007C5A6E">
              <w:rPr>
                <w:rFonts w:ascii="Times New Roman" w:eastAsiaTheme="minorHAnsi" w:hAnsi="Times New Roman" w:cstheme="minorBidi"/>
                <w:noProof/>
                <w:sz w:val="24"/>
                <w:lang w:eastAsia="en-US"/>
              </w:rPr>
              <w:drawing>
                <wp:anchor distT="0" distB="0" distL="114300" distR="114300" simplePos="0" relativeHeight="251676160" behindDoc="1" locked="0" layoutInCell="1" allowOverlap="1" wp14:anchorId="659A56FA" wp14:editId="3F7A4DAC">
                  <wp:simplePos x="0" y="0"/>
                  <wp:positionH relativeFrom="column">
                    <wp:posOffset>-3810</wp:posOffset>
                  </wp:positionH>
                  <wp:positionV relativeFrom="page">
                    <wp:posOffset>3810</wp:posOffset>
                  </wp:positionV>
                  <wp:extent cx="5743575" cy="2421890"/>
                  <wp:effectExtent l="0" t="0" r="9525" b="0"/>
                  <wp:wrapNone/>
                  <wp:docPr id="775560719"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460857" name="Image 556460857"/>
                          <pic:cNvPicPr/>
                        </pic:nvPicPr>
                        <pic:blipFill>
                          <a:blip r:embed="rId101" cstate="email">
                            <a:extLst>
                              <a:ext uri="{28A0092B-C50C-407E-A947-70E740481C1C}">
                                <a14:useLocalDpi xmlns:a14="http://schemas.microsoft.com/office/drawing/2010/main"/>
                              </a:ext>
                            </a:extLst>
                          </a:blip>
                          <a:stretch>
                            <a:fillRect/>
                          </a:stretch>
                        </pic:blipFill>
                        <pic:spPr>
                          <a:xfrm>
                            <a:off x="0" y="0"/>
                            <a:ext cx="5760425" cy="2428995"/>
                          </a:xfrm>
                          <a:prstGeom prst="rect">
                            <a:avLst/>
                          </a:prstGeom>
                        </pic:spPr>
                      </pic:pic>
                    </a:graphicData>
                  </a:graphic>
                  <wp14:sizeRelH relativeFrom="margin">
                    <wp14:pctWidth>0</wp14:pctWidth>
                  </wp14:sizeRelH>
                  <wp14:sizeRelV relativeFrom="margin">
                    <wp14:pctHeight>0</wp14:pctHeight>
                  </wp14:sizeRelV>
                </wp:anchor>
              </w:drawing>
            </w:r>
            <w:r w:rsidRPr="007C5A6E">
              <w:rPr>
                <w:rFonts w:ascii="Times New Roman" w:eastAsiaTheme="minorHAnsi" w:hAnsi="Times New Roman" w:cstheme="minorBidi"/>
                <w:sz w:val="24"/>
                <w:lang w:eastAsia="en-US"/>
              </w:rPr>
              <w:t xml:space="preserve">                                                             </w:t>
            </w:r>
          </w:p>
          <w:p w14:paraId="1EFB66B4" w14:textId="77777777" w:rsidR="0073535A" w:rsidRPr="007C5A6E" w:rsidRDefault="0073535A" w:rsidP="0073535A">
            <w:pPr>
              <w:spacing w:after="0" w:line="240" w:lineRule="auto"/>
              <w:rPr>
                <w:rFonts w:ascii="Times New Roman" w:eastAsiaTheme="minorHAnsi" w:hAnsi="Times New Roman" w:cstheme="minorBidi"/>
                <w:sz w:val="24"/>
                <w:lang w:eastAsia="en-US"/>
              </w:rPr>
            </w:pPr>
            <w:r w:rsidRPr="007C5A6E">
              <w:rPr>
                <w:rFonts w:ascii="Times New Roman" w:eastAsiaTheme="minorHAnsi" w:hAnsi="Times New Roman" w:cstheme="minorBidi"/>
                <w:sz w:val="24"/>
                <w:lang w:eastAsia="en-US"/>
              </w:rPr>
              <w:t xml:space="preserve">                                                           </w:t>
            </w:r>
          </w:p>
          <w:p w14:paraId="2D9FD997" w14:textId="77777777" w:rsidR="0073535A" w:rsidRPr="007C5A6E" w:rsidRDefault="0073535A" w:rsidP="0073535A">
            <w:pPr>
              <w:spacing w:after="0" w:line="240" w:lineRule="auto"/>
              <w:rPr>
                <w:rFonts w:ascii="Times New Roman" w:eastAsiaTheme="minorHAnsi" w:hAnsi="Times New Roman" w:cstheme="minorBidi"/>
                <w:sz w:val="24"/>
                <w:lang w:eastAsia="en-US"/>
              </w:rPr>
            </w:pPr>
            <w:r w:rsidRPr="007C5A6E">
              <w:rPr>
                <w:rFonts w:ascii="Times New Roman" w:eastAsiaTheme="minorHAnsi" w:hAnsi="Times New Roman" w:cstheme="minorBidi"/>
                <w:sz w:val="24"/>
                <w:lang w:eastAsia="en-US"/>
              </w:rPr>
              <w:t xml:space="preserve">                                                                  </w:t>
            </w:r>
          </w:p>
          <w:p w14:paraId="686B334B" w14:textId="77777777" w:rsidR="0073535A" w:rsidRPr="007C5A6E" w:rsidRDefault="0073535A" w:rsidP="0073535A">
            <w:pPr>
              <w:spacing w:after="0" w:line="240" w:lineRule="auto"/>
              <w:rPr>
                <w:rFonts w:ascii="Times New Roman" w:eastAsiaTheme="minorHAnsi" w:hAnsi="Times New Roman" w:cstheme="minorBidi"/>
                <w:sz w:val="24"/>
                <w:lang w:eastAsia="en-US"/>
              </w:rPr>
            </w:pPr>
            <w:r w:rsidRPr="007C5A6E">
              <w:rPr>
                <w:rFonts w:ascii="Times New Roman" w:eastAsiaTheme="minorHAnsi" w:hAnsi="Times New Roman" w:cstheme="minorBidi"/>
                <w:sz w:val="24"/>
                <w:lang w:eastAsia="en-US"/>
              </w:rPr>
              <w:t xml:space="preserve">                                                                                                      </w:t>
            </w:r>
          </w:p>
          <w:p w14:paraId="739BC259" w14:textId="77777777" w:rsidR="0073535A" w:rsidRPr="007C5A6E" w:rsidRDefault="0073535A" w:rsidP="0073535A">
            <w:pPr>
              <w:spacing w:after="0" w:line="240" w:lineRule="auto"/>
              <w:rPr>
                <w:rFonts w:ascii="Times New Roman" w:eastAsiaTheme="minorHAnsi" w:hAnsi="Times New Roman" w:cstheme="minorBidi"/>
                <w:sz w:val="24"/>
                <w:lang w:eastAsia="en-US"/>
              </w:rPr>
            </w:pPr>
            <w:r w:rsidRPr="007C5A6E">
              <w:rPr>
                <w:rFonts w:ascii="Times New Roman" w:eastAsiaTheme="minorHAnsi" w:hAnsi="Times New Roman" w:cstheme="minorBidi"/>
                <w:sz w:val="24"/>
                <w:lang w:eastAsia="en-US"/>
              </w:rPr>
              <w:t xml:space="preserve">                                                                                                        </w:t>
            </w:r>
          </w:p>
          <w:p w14:paraId="397BC512" w14:textId="77777777" w:rsidR="0073535A" w:rsidRPr="007C5A6E" w:rsidRDefault="0073535A" w:rsidP="0073535A">
            <w:pPr>
              <w:spacing w:after="0" w:line="240" w:lineRule="auto"/>
              <w:rPr>
                <w:rFonts w:ascii="Times New Roman" w:eastAsiaTheme="minorHAnsi" w:hAnsi="Times New Roman" w:cstheme="minorBidi"/>
                <w:sz w:val="24"/>
                <w:lang w:eastAsia="en-US"/>
              </w:rPr>
            </w:pPr>
          </w:p>
          <w:p w14:paraId="5C441D60" w14:textId="77777777" w:rsidR="0073535A" w:rsidRPr="007C5A6E" w:rsidRDefault="0073535A" w:rsidP="0073535A">
            <w:pPr>
              <w:spacing w:after="0" w:line="240" w:lineRule="auto"/>
              <w:rPr>
                <w:rFonts w:ascii="Times New Roman" w:eastAsiaTheme="minorHAnsi" w:hAnsi="Times New Roman" w:cstheme="minorBidi"/>
                <w:sz w:val="24"/>
                <w:lang w:eastAsia="en-US"/>
              </w:rPr>
            </w:pPr>
          </w:p>
          <w:p w14:paraId="3C27E3E9" w14:textId="77777777" w:rsidR="0073535A" w:rsidRPr="007C5A6E" w:rsidRDefault="0073535A" w:rsidP="0073535A">
            <w:pPr>
              <w:spacing w:after="0" w:line="240" w:lineRule="auto"/>
              <w:rPr>
                <w:rFonts w:ascii="Times New Roman" w:eastAsiaTheme="minorHAnsi" w:hAnsi="Times New Roman" w:cstheme="minorBidi"/>
                <w:sz w:val="24"/>
                <w:lang w:eastAsia="en-US"/>
              </w:rPr>
            </w:pPr>
          </w:p>
          <w:p w14:paraId="615F3B08" w14:textId="77777777" w:rsidR="0073535A" w:rsidRPr="007C5A6E" w:rsidRDefault="0073535A" w:rsidP="0073535A">
            <w:pPr>
              <w:spacing w:after="0" w:line="240" w:lineRule="auto"/>
              <w:rPr>
                <w:rFonts w:ascii="Times New Roman" w:eastAsiaTheme="minorHAnsi" w:hAnsi="Times New Roman" w:cstheme="minorBidi"/>
                <w:sz w:val="24"/>
                <w:lang w:eastAsia="en-US"/>
              </w:rPr>
            </w:pPr>
          </w:p>
          <w:p w14:paraId="1D68967F" w14:textId="77777777" w:rsidR="0073535A" w:rsidRPr="007C5A6E" w:rsidRDefault="0073535A" w:rsidP="0073535A">
            <w:pPr>
              <w:spacing w:after="0" w:line="240" w:lineRule="auto"/>
              <w:rPr>
                <w:rFonts w:ascii="Times New Roman" w:eastAsiaTheme="minorHAnsi" w:hAnsi="Times New Roman" w:cstheme="minorBidi"/>
                <w:sz w:val="24"/>
                <w:lang w:eastAsia="en-US"/>
              </w:rPr>
            </w:pPr>
          </w:p>
          <w:p w14:paraId="506251E3" w14:textId="77777777" w:rsidR="0073535A" w:rsidRPr="007C5A6E" w:rsidRDefault="0073535A" w:rsidP="0073535A">
            <w:pPr>
              <w:spacing w:after="0" w:line="240" w:lineRule="auto"/>
              <w:rPr>
                <w:rFonts w:ascii="Times New Roman" w:eastAsiaTheme="minorHAnsi" w:hAnsi="Times New Roman" w:cstheme="minorBidi"/>
                <w:sz w:val="24"/>
                <w:lang w:eastAsia="en-US"/>
              </w:rPr>
            </w:pPr>
            <w:r w:rsidRPr="007C5A6E">
              <w:rPr>
                <w:rFonts w:ascii="Times New Roman" w:eastAsiaTheme="minorHAnsi" w:hAnsi="Times New Roman" w:cstheme="minorBidi"/>
                <w:sz w:val="24"/>
                <w:lang w:eastAsia="en-US"/>
              </w:rPr>
              <w:t xml:space="preserve">                                                                                                          </w:t>
            </w:r>
          </w:p>
        </w:tc>
      </w:tr>
    </w:tbl>
    <w:p w14:paraId="7F227CEA" w14:textId="506FD7EF" w:rsidR="0073535A" w:rsidRPr="007C5A6E" w:rsidRDefault="00AA1E63" w:rsidP="00D904C4">
      <w:pPr>
        <w:pStyle w:val="Lgende"/>
        <w:spacing w:after="0"/>
        <w:rPr>
          <w:rFonts w:ascii="Times New Roman" w:hAnsi="Times New Roman"/>
          <w:color w:val="auto"/>
          <w:sz w:val="24"/>
          <w:szCs w:val="24"/>
        </w:rPr>
      </w:pPr>
      <w:bookmarkStart w:id="201" w:name="_Toc183230875"/>
      <w:bookmarkStart w:id="202" w:name="_Toc183240668"/>
      <w:bookmarkStart w:id="203" w:name="_Toc183340407"/>
      <w:bookmarkStart w:id="204" w:name="_Hlk178663724"/>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28</w:t>
      </w:r>
      <w:r w:rsidRPr="007C5A6E">
        <w:rPr>
          <w:rFonts w:ascii="Times New Roman" w:hAnsi="Times New Roman"/>
          <w:color w:val="auto"/>
          <w:sz w:val="24"/>
          <w:szCs w:val="24"/>
        </w:rPr>
        <w:fldChar w:fldCharType="end"/>
      </w:r>
      <w:r w:rsidR="0073535A" w:rsidRPr="007C5A6E">
        <w:rPr>
          <w:rFonts w:ascii="Times New Roman" w:hAnsi="Times New Roman"/>
          <w:color w:val="auto"/>
          <w:sz w:val="24"/>
          <w:szCs w:val="24"/>
        </w:rPr>
        <w:t>. Bogandé : graphiques de projection des températures maximales et du nombre de jours où T &gt; 40°C</w:t>
      </w:r>
      <w:bookmarkEnd w:id="201"/>
      <w:bookmarkEnd w:id="202"/>
      <w:bookmarkEnd w:id="203"/>
    </w:p>
    <w:p w14:paraId="3B226559" w14:textId="77777777" w:rsidR="00D904C4" w:rsidRPr="007C5A6E" w:rsidRDefault="00D904C4" w:rsidP="00D904C4">
      <w:pPr>
        <w:spacing w:after="0" w:line="240" w:lineRule="auto"/>
      </w:pPr>
    </w:p>
    <w:p w14:paraId="754FD039" w14:textId="77777777" w:rsidR="00D904C4" w:rsidRPr="007C5A6E" w:rsidRDefault="00D904C4" w:rsidP="00D904C4">
      <w:pPr>
        <w:spacing w:after="0" w:line="240" w:lineRule="auto"/>
        <w:jc w:val="both"/>
      </w:pPr>
      <w:r w:rsidRPr="007C5A6E">
        <w:rPr>
          <w:rFonts w:ascii="Times New Roman" w:eastAsiaTheme="minorHAnsi" w:hAnsi="Times New Roman" w:cstheme="minorBidi"/>
          <w:kern w:val="2"/>
          <w:sz w:val="24"/>
          <w:lang w:eastAsia="en-US"/>
          <w14:ligatures w14:val="standardContextual"/>
        </w:rPr>
        <w:t>A Ouagadougou (figure 29), le nombre de jours chauds augmente linéairement pour les 3 scénarios jusqu’en 2060 où l’augmentation se fait bien plus forte pour les Scénarios SSP370 et SSP585</w:t>
      </w:r>
    </w:p>
    <w:p w14:paraId="0A1478D6" w14:textId="77777777" w:rsidR="00D904C4" w:rsidRPr="007C5A6E" w:rsidRDefault="00D904C4" w:rsidP="00D904C4">
      <w:pPr>
        <w:spacing w:after="0" w:line="240" w:lineRule="auto"/>
      </w:pPr>
    </w:p>
    <w:p w14:paraId="4EDB1E39" w14:textId="77777777" w:rsidR="00310F25" w:rsidRPr="007C5A6E" w:rsidRDefault="00310F25" w:rsidP="00310F25">
      <w:pPr>
        <w:pStyle w:val="Lgende"/>
        <w:spacing w:after="0"/>
        <w:jc w:val="both"/>
        <w:rPr>
          <w:rFonts w:ascii="Times New Roman" w:eastAsiaTheme="minorHAnsi" w:hAnsi="Times New Roman"/>
          <w:color w:val="auto"/>
          <w:kern w:val="2"/>
          <w:sz w:val="24"/>
          <w:szCs w:val="24"/>
          <w:lang w:eastAsia="en-US"/>
          <w14:ligatures w14:val="standardContextual"/>
        </w:rPr>
      </w:pPr>
      <w:bookmarkStart w:id="205" w:name="_Toc183230876"/>
      <w:bookmarkStart w:id="206" w:name="_Toc183240669"/>
      <w:bookmarkStart w:id="207" w:name="_Toc183340408"/>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Pr="007C5A6E">
        <w:rPr>
          <w:rFonts w:ascii="Times New Roman" w:hAnsi="Times New Roman"/>
          <w:noProof/>
          <w:color w:val="auto"/>
          <w:sz w:val="24"/>
          <w:szCs w:val="24"/>
        </w:rPr>
        <w:t>29</w:t>
      </w:r>
      <w:r w:rsidRPr="007C5A6E">
        <w:rPr>
          <w:rFonts w:ascii="Times New Roman" w:hAnsi="Times New Roman"/>
          <w:color w:val="auto"/>
          <w:sz w:val="24"/>
          <w:szCs w:val="24"/>
        </w:rPr>
        <w:fldChar w:fldCharType="end"/>
      </w:r>
      <w:r w:rsidRPr="007C5A6E">
        <w:rPr>
          <w:rFonts w:ascii="Times New Roman" w:eastAsiaTheme="minorHAnsi" w:hAnsi="Times New Roman"/>
          <w:color w:val="auto"/>
          <w:kern w:val="2"/>
          <w:sz w:val="24"/>
          <w:szCs w:val="24"/>
          <w:lang w:eastAsia="en-US"/>
          <w14:ligatures w14:val="standardContextual"/>
        </w:rPr>
        <w:t>. Ouagadougou : graphiques de projection des températures maximales et du nombre de jours où T &gt; 40°C</w:t>
      </w:r>
      <w:bookmarkEnd w:id="205"/>
      <w:bookmarkEnd w:id="206"/>
      <w:bookmarkEnd w:id="207"/>
    </w:p>
    <w:p w14:paraId="00A5D090" w14:textId="77777777" w:rsidR="00D904C4" w:rsidRPr="007C5A6E" w:rsidRDefault="00D904C4" w:rsidP="00D904C4">
      <w:pPr>
        <w:spacing w:after="0" w:line="240" w:lineRule="auto"/>
      </w:pPr>
    </w:p>
    <w:tbl>
      <w:tblPr>
        <w:tblStyle w:val="Grilledutableau"/>
        <w:tblpPr w:leftFromText="142" w:rightFromText="142" w:vertAnchor="page" w:horzAnchor="margin" w:tblpY="1181"/>
        <w:tblW w:w="9291" w:type="dxa"/>
        <w:tblLayout w:type="fixed"/>
        <w:tblCellMar>
          <w:left w:w="0" w:type="dxa"/>
          <w:right w:w="0" w:type="dxa"/>
        </w:tblCellMar>
        <w:tblLook w:val="04A0" w:firstRow="1" w:lastRow="0" w:firstColumn="1" w:lastColumn="0" w:noHBand="0" w:noVBand="1"/>
      </w:tblPr>
      <w:tblGrid>
        <w:gridCol w:w="9291"/>
      </w:tblGrid>
      <w:tr w:rsidR="005A0B48" w:rsidRPr="007C5A6E" w14:paraId="782E0C05" w14:textId="77777777" w:rsidTr="00D904C4">
        <w:trPr>
          <w:trHeight w:val="3121"/>
        </w:trPr>
        <w:tc>
          <w:tcPr>
            <w:tcW w:w="9291" w:type="dxa"/>
            <w:shd w:val="clear" w:color="auto" w:fill="auto"/>
          </w:tcPr>
          <w:bookmarkEnd w:id="204"/>
          <w:p w14:paraId="64BE6B7A" w14:textId="77777777" w:rsidR="005A0B48" w:rsidRPr="007C5A6E" w:rsidRDefault="005A0B48" w:rsidP="00D904C4">
            <w:pPr>
              <w:spacing w:after="0" w:line="240" w:lineRule="auto"/>
              <w:rPr>
                <w:rFonts w:ascii="Times New Roman" w:eastAsiaTheme="minorHAnsi" w:hAnsi="Times New Roman" w:cstheme="minorBidi"/>
                <w:sz w:val="24"/>
                <w:lang w:eastAsia="en-US"/>
              </w:rPr>
            </w:pPr>
            <w:r w:rsidRPr="007C5A6E">
              <w:rPr>
                <w:rFonts w:ascii="Times New Roman" w:eastAsiaTheme="minorHAnsi" w:hAnsi="Times New Roman" w:cstheme="minorBidi"/>
                <w:noProof/>
                <w:sz w:val="24"/>
                <w:lang w:eastAsia="en-US"/>
              </w:rPr>
              <w:drawing>
                <wp:inline distT="0" distB="0" distL="0" distR="0" wp14:anchorId="20E3599A" wp14:editId="4622C8B3">
                  <wp:extent cx="5867400" cy="2181225"/>
                  <wp:effectExtent l="0" t="0" r="0" b="9525"/>
                  <wp:docPr id="290510009"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891562" name="Image 1889891562"/>
                          <pic:cNvPicPr/>
                        </pic:nvPicPr>
                        <pic:blipFill>
                          <a:blip r:embed="rId102" cstate="email">
                            <a:extLst>
                              <a:ext uri="{28A0092B-C50C-407E-A947-70E740481C1C}">
                                <a14:useLocalDpi xmlns:a14="http://schemas.microsoft.com/office/drawing/2010/main"/>
                              </a:ext>
                            </a:extLst>
                          </a:blip>
                          <a:stretch>
                            <a:fillRect/>
                          </a:stretch>
                        </pic:blipFill>
                        <pic:spPr>
                          <a:xfrm>
                            <a:off x="0" y="0"/>
                            <a:ext cx="5867400" cy="2181225"/>
                          </a:xfrm>
                          <a:prstGeom prst="rect">
                            <a:avLst/>
                          </a:prstGeom>
                        </pic:spPr>
                      </pic:pic>
                    </a:graphicData>
                  </a:graphic>
                </wp:inline>
              </w:drawing>
            </w:r>
          </w:p>
        </w:tc>
      </w:tr>
      <w:tr w:rsidR="005A0B48" w:rsidRPr="007C5A6E" w14:paraId="4947B549" w14:textId="77777777" w:rsidTr="00D904C4">
        <w:trPr>
          <w:trHeight w:val="3121"/>
        </w:trPr>
        <w:tc>
          <w:tcPr>
            <w:tcW w:w="9291" w:type="dxa"/>
            <w:shd w:val="clear" w:color="auto" w:fill="auto"/>
          </w:tcPr>
          <w:p w14:paraId="199020D1" w14:textId="77777777" w:rsidR="005A0B48" w:rsidRPr="007C5A6E" w:rsidRDefault="005A0B48" w:rsidP="00D904C4">
            <w:pPr>
              <w:spacing w:after="0" w:line="240" w:lineRule="auto"/>
              <w:rPr>
                <w:rFonts w:ascii="Times New Roman" w:eastAsiaTheme="minorHAnsi" w:hAnsi="Times New Roman" w:cstheme="minorBidi"/>
                <w:sz w:val="24"/>
                <w:lang w:eastAsia="en-US"/>
              </w:rPr>
            </w:pPr>
            <w:r w:rsidRPr="007C5A6E">
              <w:rPr>
                <w:rFonts w:ascii="Times New Roman" w:eastAsiaTheme="minorHAnsi" w:hAnsi="Times New Roman" w:cstheme="minorBidi"/>
                <w:noProof/>
                <w:sz w:val="24"/>
                <w:lang w:eastAsia="en-US"/>
              </w:rPr>
              <w:drawing>
                <wp:inline distT="0" distB="0" distL="0" distR="0" wp14:anchorId="59D92D07" wp14:editId="715ADED0">
                  <wp:extent cx="5866395" cy="2124075"/>
                  <wp:effectExtent l="0" t="0" r="1270" b="0"/>
                  <wp:docPr id="196962184"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425796" name="Image 1662425796"/>
                          <pic:cNvPicPr/>
                        </pic:nvPicPr>
                        <pic:blipFill>
                          <a:blip r:embed="rId103" cstate="email">
                            <a:extLst>
                              <a:ext uri="{28A0092B-C50C-407E-A947-70E740481C1C}">
                                <a14:useLocalDpi xmlns:a14="http://schemas.microsoft.com/office/drawing/2010/main"/>
                              </a:ext>
                            </a:extLst>
                          </a:blip>
                          <a:stretch>
                            <a:fillRect/>
                          </a:stretch>
                        </pic:blipFill>
                        <pic:spPr>
                          <a:xfrm>
                            <a:off x="0" y="0"/>
                            <a:ext cx="6000179" cy="2172515"/>
                          </a:xfrm>
                          <a:prstGeom prst="rect">
                            <a:avLst/>
                          </a:prstGeom>
                        </pic:spPr>
                      </pic:pic>
                    </a:graphicData>
                  </a:graphic>
                </wp:inline>
              </w:drawing>
            </w:r>
          </w:p>
        </w:tc>
      </w:tr>
      <w:tr w:rsidR="005A0B48" w:rsidRPr="007C5A6E" w14:paraId="015B2692" w14:textId="77777777" w:rsidTr="00D904C4">
        <w:trPr>
          <w:trHeight w:val="3286"/>
        </w:trPr>
        <w:tc>
          <w:tcPr>
            <w:tcW w:w="9291" w:type="dxa"/>
            <w:shd w:val="clear" w:color="auto" w:fill="auto"/>
          </w:tcPr>
          <w:p w14:paraId="5F0296AC" w14:textId="77777777" w:rsidR="005A0B48" w:rsidRPr="007C5A6E" w:rsidRDefault="005A0B48" w:rsidP="00D904C4">
            <w:pPr>
              <w:spacing w:after="0" w:line="240" w:lineRule="auto"/>
              <w:rPr>
                <w:rFonts w:ascii="Times New Roman" w:eastAsiaTheme="minorHAnsi" w:hAnsi="Times New Roman" w:cstheme="minorBidi"/>
                <w:sz w:val="24"/>
                <w:lang w:eastAsia="en-US"/>
              </w:rPr>
            </w:pPr>
            <w:r w:rsidRPr="007C5A6E">
              <w:rPr>
                <w:rFonts w:ascii="Times New Roman" w:eastAsiaTheme="minorHAnsi" w:hAnsi="Times New Roman" w:cstheme="minorBidi"/>
                <w:noProof/>
                <w:sz w:val="24"/>
                <w:lang w:eastAsia="en-US"/>
              </w:rPr>
              <w:drawing>
                <wp:inline distT="0" distB="0" distL="0" distR="0" wp14:anchorId="738DC9D5" wp14:editId="3AB94A0E">
                  <wp:extent cx="5867400" cy="2421890"/>
                  <wp:effectExtent l="0" t="0" r="0" b="0"/>
                  <wp:docPr id="355254032"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595255" name="Image 1641595255"/>
                          <pic:cNvPicPr/>
                        </pic:nvPicPr>
                        <pic:blipFill>
                          <a:blip r:embed="rId104" cstate="email">
                            <a:extLst>
                              <a:ext uri="{28A0092B-C50C-407E-A947-70E740481C1C}">
                                <a14:useLocalDpi xmlns:a14="http://schemas.microsoft.com/office/drawing/2010/main"/>
                              </a:ext>
                            </a:extLst>
                          </a:blip>
                          <a:stretch>
                            <a:fillRect/>
                          </a:stretch>
                        </pic:blipFill>
                        <pic:spPr>
                          <a:xfrm>
                            <a:off x="0" y="0"/>
                            <a:ext cx="5952578" cy="2457049"/>
                          </a:xfrm>
                          <a:prstGeom prst="rect">
                            <a:avLst/>
                          </a:prstGeom>
                        </pic:spPr>
                      </pic:pic>
                    </a:graphicData>
                  </a:graphic>
                </wp:inline>
              </w:drawing>
            </w:r>
          </w:p>
        </w:tc>
      </w:tr>
    </w:tbl>
    <w:p w14:paraId="2F00B897" w14:textId="0CA23E7C" w:rsidR="0073535A" w:rsidRPr="007C5A6E" w:rsidRDefault="0073535A" w:rsidP="00D904C4">
      <w:pPr>
        <w:spacing w:after="0" w:line="240" w:lineRule="auto"/>
        <w:jc w:val="both"/>
        <w:rPr>
          <w:rFonts w:ascii="Times New Roman" w:eastAsiaTheme="minorHAnsi" w:hAnsi="Times New Roman" w:cstheme="minorBidi"/>
          <w:kern w:val="2"/>
          <w:sz w:val="24"/>
          <w:lang w:eastAsia="en-US"/>
          <w14:ligatures w14:val="standardContextual"/>
        </w:rPr>
      </w:pPr>
      <w:r w:rsidRPr="007C5A6E">
        <w:rPr>
          <w:rFonts w:ascii="Times New Roman" w:eastAsiaTheme="minorHAnsi" w:hAnsi="Times New Roman" w:cstheme="minorBidi"/>
          <w:kern w:val="2"/>
          <w:sz w:val="24"/>
          <w:lang w:eastAsia="en-US"/>
          <w14:ligatures w14:val="standardContextual"/>
        </w:rPr>
        <w:t xml:space="preserve">A Bobo-Dioulasso (figure </w:t>
      </w:r>
      <w:r w:rsidR="00D904C4" w:rsidRPr="007C5A6E">
        <w:rPr>
          <w:rFonts w:ascii="Times New Roman" w:eastAsiaTheme="minorHAnsi" w:hAnsi="Times New Roman" w:cstheme="minorBidi"/>
          <w:kern w:val="2"/>
          <w:sz w:val="24"/>
          <w:lang w:eastAsia="en-US"/>
          <w14:ligatures w14:val="standardContextual"/>
        </w:rPr>
        <w:t>30</w:t>
      </w:r>
      <w:r w:rsidRPr="007C5A6E">
        <w:rPr>
          <w:rFonts w:ascii="Times New Roman" w:eastAsiaTheme="minorHAnsi" w:hAnsi="Times New Roman" w:cstheme="minorBidi"/>
          <w:kern w:val="2"/>
          <w:sz w:val="24"/>
          <w:lang w:eastAsia="en-US"/>
          <w14:ligatures w14:val="standardContextual"/>
        </w:rPr>
        <w:t xml:space="preserve">) le nombre de jours chauds est en augmentation linéaire jusqu’en 2050 pour les 3 scénarios. A partir de là l’augmentation devient vertigineuse pour SSP370 et SSP585 pendant qu’elle garde le même rythme linéaire pour SSP245. </w:t>
      </w:r>
    </w:p>
    <w:p w14:paraId="49B63E04" w14:textId="77777777" w:rsidR="0073535A" w:rsidRPr="007C5A6E" w:rsidRDefault="0073535A" w:rsidP="00D904C4">
      <w:pPr>
        <w:spacing w:after="0" w:line="240" w:lineRule="auto"/>
        <w:rPr>
          <w:rFonts w:ascii="Times New Roman" w:eastAsiaTheme="minorHAnsi" w:hAnsi="Times New Roman" w:cstheme="minorBidi"/>
          <w:kern w:val="2"/>
          <w:sz w:val="24"/>
          <w:lang w:eastAsia="en-US"/>
          <w14:ligatures w14:val="standardContextual"/>
        </w:rPr>
      </w:pPr>
    </w:p>
    <w:p w14:paraId="6F75EC07" w14:textId="77777777" w:rsidR="0073535A" w:rsidRPr="007C5A6E" w:rsidRDefault="0073535A" w:rsidP="00D904C4">
      <w:pPr>
        <w:spacing w:after="0" w:line="240" w:lineRule="auto"/>
        <w:rPr>
          <w:rFonts w:ascii="Times New Roman" w:eastAsiaTheme="minorHAnsi" w:hAnsi="Times New Roman" w:cstheme="minorBidi"/>
          <w:kern w:val="2"/>
          <w:sz w:val="24"/>
          <w:lang w:eastAsia="en-US"/>
          <w14:ligatures w14:val="standardContextual"/>
        </w:rPr>
      </w:pPr>
    </w:p>
    <w:p w14:paraId="19ECBAD0" w14:textId="77777777" w:rsidR="0073535A" w:rsidRPr="007C5A6E" w:rsidRDefault="0073535A" w:rsidP="00D904C4">
      <w:pPr>
        <w:spacing w:after="0" w:line="240" w:lineRule="auto"/>
        <w:rPr>
          <w:rFonts w:ascii="Times New Roman" w:eastAsiaTheme="minorHAnsi" w:hAnsi="Times New Roman" w:cstheme="minorBidi"/>
          <w:kern w:val="2"/>
          <w:sz w:val="24"/>
          <w:lang w:eastAsia="en-US"/>
          <w14:ligatures w14:val="standardContextual"/>
        </w:rPr>
      </w:pPr>
    </w:p>
    <w:p w14:paraId="29C77131" w14:textId="77777777" w:rsidR="0073535A" w:rsidRPr="007C5A6E" w:rsidRDefault="0073535A" w:rsidP="00D904C4">
      <w:pPr>
        <w:spacing w:after="0" w:line="240" w:lineRule="auto"/>
        <w:ind w:right="-233"/>
        <w:rPr>
          <w:rFonts w:ascii="Times New Roman" w:eastAsiaTheme="majorEastAsia" w:hAnsi="Times New Roman" w:cstheme="majorBidi"/>
          <w:b/>
          <w:kern w:val="2"/>
          <w:sz w:val="30"/>
          <w:szCs w:val="32"/>
          <w:lang w:eastAsia="en-US"/>
          <w14:ligatures w14:val="standardContextual"/>
        </w:rPr>
      </w:pPr>
    </w:p>
    <w:tbl>
      <w:tblPr>
        <w:tblStyle w:val="Grilledutableau"/>
        <w:tblpPr w:leftFromText="142" w:rightFromText="142" w:vertAnchor="page" w:tblpY="1419"/>
        <w:tblW w:w="9067" w:type="dxa"/>
        <w:tblLayout w:type="fixed"/>
        <w:tblCellMar>
          <w:left w:w="0" w:type="dxa"/>
          <w:right w:w="0" w:type="dxa"/>
        </w:tblCellMar>
        <w:tblLook w:val="04A0" w:firstRow="1" w:lastRow="0" w:firstColumn="1" w:lastColumn="0" w:noHBand="0" w:noVBand="1"/>
      </w:tblPr>
      <w:tblGrid>
        <w:gridCol w:w="9067"/>
      </w:tblGrid>
      <w:tr w:rsidR="0073535A" w:rsidRPr="007C5A6E" w14:paraId="46E38382" w14:textId="77777777" w:rsidTr="00D904C4">
        <w:trPr>
          <w:trHeight w:val="3855"/>
        </w:trPr>
        <w:tc>
          <w:tcPr>
            <w:tcW w:w="9067" w:type="dxa"/>
            <w:shd w:val="clear" w:color="auto" w:fill="auto"/>
          </w:tcPr>
          <w:p w14:paraId="634E1E0B" w14:textId="77777777" w:rsidR="0073535A" w:rsidRPr="007C5A6E" w:rsidRDefault="0073535A" w:rsidP="0073535A">
            <w:pPr>
              <w:spacing w:after="0" w:line="240" w:lineRule="auto"/>
              <w:rPr>
                <w:rFonts w:ascii="Times New Roman" w:eastAsiaTheme="minorHAnsi" w:hAnsi="Times New Roman" w:cstheme="minorBidi"/>
                <w:sz w:val="24"/>
                <w:lang w:eastAsia="en-US"/>
              </w:rPr>
            </w:pPr>
            <w:r w:rsidRPr="007C5A6E">
              <w:rPr>
                <w:rFonts w:ascii="Times New Roman" w:eastAsiaTheme="minorHAnsi" w:hAnsi="Times New Roman" w:cstheme="minorBidi"/>
                <w:noProof/>
                <w:sz w:val="24"/>
                <w:lang w:eastAsia="en-US"/>
              </w:rPr>
              <w:drawing>
                <wp:inline distT="0" distB="0" distL="0" distR="0" wp14:anchorId="662184A4" wp14:editId="3CB9B09D">
                  <wp:extent cx="5705475" cy="2519045"/>
                  <wp:effectExtent l="0" t="0" r="9525" b="0"/>
                  <wp:docPr id="1249580182"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26757" name="Image 1230726757"/>
                          <pic:cNvPicPr/>
                        </pic:nvPicPr>
                        <pic:blipFill>
                          <a:blip r:embed="rId105" cstate="email">
                            <a:extLst>
                              <a:ext uri="{28A0092B-C50C-407E-A947-70E740481C1C}">
                                <a14:useLocalDpi xmlns:a14="http://schemas.microsoft.com/office/drawing/2010/main"/>
                              </a:ext>
                            </a:extLst>
                          </a:blip>
                          <a:stretch>
                            <a:fillRect/>
                          </a:stretch>
                        </pic:blipFill>
                        <pic:spPr>
                          <a:xfrm>
                            <a:off x="0" y="0"/>
                            <a:ext cx="5748269" cy="2537939"/>
                          </a:xfrm>
                          <a:prstGeom prst="rect">
                            <a:avLst/>
                          </a:prstGeom>
                        </pic:spPr>
                      </pic:pic>
                    </a:graphicData>
                  </a:graphic>
                </wp:inline>
              </w:drawing>
            </w:r>
          </w:p>
        </w:tc>
      </w:tr>
      <w:tr w:rsidR="0073535A" w:rsidRPr="007C5A6E" w14:paraId="1E244C9A" w14:textId="77777777" w:rsidTr="00D904C4">
        <w:trPr>
          <w:trHeight w:val="3855"/>
        </w:trPr>
        <w:tc>
          <w:tcPr>
            <w:tcW w:w="9067" w:type="dxa"/>
            <w:shd w:val="clear" w:color="auto" w:fill="auto"/>
          </w:tcPr>
          <w:p w14:paraId="2138E134" w14:textId="77777777" w:rsidR="0073535A" w:rsidRPr="007C5A6E" w:rsidRDefault="0073535A" w:rsidP="0073535A">
            <w:pPr>
              <w:spacing w:after="0" w:line="240" w:lineRule="auto"/>
              <w:rPr>
                <w:rFonts w:ascii="Times New Roman" w:eastAsiaTheme="minorHAnsi" w:hAnsi="Times New Roman" w:cstheme="minorBidi"/>
                <w:sz w:val="24"/>
                <w:lang w:eastAsia="en-US"/>
              </w:rPr>
            </w:pPr>
            <w:r w:rsidRPr="007C5A6E">
              <w:rPr>
                <w:rFonts w:ascii="Times New Roman" w:eastAsiaTheme="minorHAnsi" w:hAnsi="Times New Roman" w:cstheme="minorBidi"/>
                <w:noProof/>
                <w:sz w:val="24"/>
                <w:lang w:eastAsia="en-US"/>
              </w:rPr>
              <w:drawing>
                <wp:inline distT="0" distB="0" distL="0" distR="0" wp14:anchorId="74B2E8FC" wp14:editId="5ECB6A4B">
                  <wp:extent cx="5705475" cy="2421836"/>
                  <wp:effectExtent l="0" t="0" r="0" b="0"/>
                  <wp:docPr id="1686606808"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51725" name="Image 1771351725"/>
                          <pic:cNvPicPr/>
                        </pic:nvPicPr>
                        <pic:blipFill>
                          <a:blip r:embed="rId106" cstate="email">
                            <a:extLst>
                              <a:ext uri="{28A0092B-C50C-407E-A947-70E740481C1C}">
                                <a14:useLocalDpi xmlns:a14="http://schemas.microsoft.com/office/drawing/2010/main"/>
                              </a:ext>
                            </a:extLst>
                          </a:blip>
                          <a:stretch>
                            <a:fillRect/>
                          </a:stretch>
                        </pic:blipFill>
                        <pic:spPr>
                          <a:xfrm>
                            <a:off x="0" y="0"/>
                            <a:ext cx="5779040" cy="2453062"/>
                          </a:xfrm>
                          <a:prstGeom prst="rect">
                            <a:avLst/>
                          </a:prstGeom>
                        </pic:spPr>
                      </pic:pic>
                    </a:graphicData>
                  </a:graphic>
                </wp:inline>
              </w:drawing>
            </w:r>
          </w:p>
        </w:tc>
      </w:tr>
      <w:tr w:rsidR="0073535A" w:rsidRPr="007C5A6E" w14:paraId="7480B287" w14:textId="77777777" w:rsidTr="00D904C4">
        <w:trPr>
          <w:trHeight w:val="3855"/>
        </w:trPr>
        <w:tc>
          <w:tcPr>
            <w:tcW w:w="9067" w:type="dxa"/>
            <w:shd w:val="clear" w:color="auto" w:fill="auto"/>
          </w:tcPr>
          <w:p w14:paraId="719B7913" w14:textId="77777777" w:rsidR="0073535A" w:rsidRPr="007C5A6E" w:rsidRDefault="0073535A" w:rsidP="0073535A">
            <w:pPr>
              <w:spacing w:after="0" w:line="240" w:lineRule="auto"/>
              <w:rPr>
                <w:rFonts w:ascii="Times New Roman" w:eastAsiaTheme="minorHAnsi" w:hAnsi="Times New Roman" w:cstheme="minorBidi"/>
                <w:sz w:val="24"/>
                <w:lang w:eastAsia="en-US"/>
              </w:rPr>
            </w:pPr>
            <w:r w:rsidRPr="007C5A6E">
              <w:rPr>
                <w:rFonts w:ascii="Times New Roman" w:eastAsiaTheme="minorHAnsi" w:hAnsi="Times New Roman" w:cstheme="minorBidi"/>
                <w:noProof/>
                <w:sz w:val="24"/>
                <w:lang w:eastAsia="en-US"/>
              </w:rPr>
              <w:drawing>
                <wp:inline distT="0" distB="0" distL="0" distR="0" wp14:anchorId="4F5E83C3" wp14:editId="04557DE5">
                  <wp:extent cx="5705475" cy="2451100"/>
                  <wp:effectExtent l="0" t="0" r="9525" b="6350"/>
                  <wp:docPr id="1698854595"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337173" name="Image 1932337173"/>
                          <pic:cNvPicPr/>
                        </pic:nvPicPr>
                        <pic:blipFill>
                          <a:blip r:embed="rId107" cstate="email">
                            <a:extLst>
                              <a:ext uri="{28A0092B-C50C-407E-A947-70E740481C1C}">
                                <a14:useLocalDpi xmlns:a14="http://schemas.microsoft.com/office/drawing/2010/main"/>
                              </a:ext>
                            </a:extLst>
                          </a:blip>
                          <a:stretch>
                            <a:fillRect/>
                          </a:stretch>
                        </pic:blipFill>
                        <pic:spPr>
                          <a:xfrm>
                            <a:off x="0" y="0"/>
                            <a:ext cx="5737891" cy="2465026"/>
                          </a:xfrm>
                          <a:prstGeom prst="rect">
                            <a:avLst/>
                          </a:prstGeom>
                        </pic:spPr>
                      </pic:pic>
                    </a:graphicData>
                  </a:graphic>
                </wp:inline>
              </w:drawing>
            </w:r>
          </w:p>
        </w:tc>
      </w:tr>
    </w:tbl>
    <w:p w14:paraId="66BFAD3C" w14:textId="77777777" w:rsidR="00D904C4" w:rsidRPr="007C5A6E" w:rsidRDefault="00D904C4" w:rsidP="00D904C4">
      <w:pPr>
        <w:pStyle w:val="Lgende"/>
        <w:spacing w:after="0"/>
        <w:jc w:val="both"/>
        <w:rPr>
          <w:rFonts w:ascii="Times New Roman" w:hAnsi="Times New Roman"/>
          <w:color w:val="auto"/>
          <w:sz w:val="24"/>
          <w:szCs w:val="24"/>
        </w:rPr>
      </w:pPr>
    </w:p>
    <w:p w14:paraId="011188D4" w14:textId="054882A3" w:rsidR="0073535A" w:rsidRPr="007C5A6E" w:rsidRDefault="00D904C4" w:rsidP="00D904C4">
      <w:pPr>
        <w:pStyle w:val="Lgende"/>
        <w:spacing w:after="0"/>
        <w:jc w:val="both"/>
        <w:rPr>
          <w:rFonts w:ascii="Times New Roman" w:eastAsiaTheme="minorHAnsi" w:hAnsi="Times New Roman"/>
          <w:color w:val="auto"/>
          <w:kern w:val="2"/>
          <w:sz w:val="24"/>
          <w:szCs w:val="24"/>
          <w:lang w:eastAsia="en-US"/>
          <w14:ligatures w14:val="standardContextual"/>
        </w:rPr>
      </w:pPr>
      <w:bookmarkStart w:id="208" w:name="_Toc183230877"/>
      <w:bookmarkStart w:id="209" w:name="_Toc183240670"/>
      <w:bookmarkStart w:id="210" w:name="_Toc183340409"/>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30</w:t>
      </w:r>
      <w:r w:rsidRPr="007C5A6E">
        <w:rPr>
          <w:rFonts w:ascii="Times New Roman" w:hAnsi="Times New Roman"/>
          <w:color w:val="auto"/>
          <w:sz w:val="24"/>
          <w:szCs w:val="24"/>
        </w:rPr>
        <w:fldChar w:fldCharType="end"/>
      </w:r>
      <w:r w:rsidR="0073535A" w:rsidRPr="007C5A6E">
        <w:rPr>
          <w:rFonts w:ascii="Times New Roman" w:eastAsiaTheme="minorHAnsi" w:hAnsi="Times New Roman"/>
          <w:color w:val="auto"/>
          <w:kern w:val="2"/>
          <w:sz w:val="24"/>
          <w:szCs w:val="24"/>
          <w:lang w:eastAsia="en-US"/>
          <w14:ligatures w14:val="standardContextual"/>
        </w:rPr>
        <w:t>. Bobo-Dioulasso : graphiques de projection des températures maximales et du nombre de jours où T &gt; 40°C</w:t>
      </w:r>
      <w:bookmarkEnd w:id="208"/>
      <w:bookmarkEnd w:id="209"/>
      <w:bookmarkEnd w:id="210"/>
    </w:p>
    <w:p w14:paraId="3AE37BD4" w14:textId="77777777" w:rsidR="00431FF2" w:rsidRPr="007C5A6E" w:rsidRDefault="00431FF2" w:rsidP="00431FF2">
      <w:pPr>
        <w:spacing w:after="0" w:line="240" w:lineRule="auto"/>
        <w:rPr>
          <w:rFonts w:ascii="Times New Roman" w:hAnsi="Times New Roman"/>
          <w:sz w:val="24"/>
          <w:szCs w:val="24"/>
        </w:rPr>
      </w:pPr>
    </w:p>
    <w:p w14:paraId="1140A6F4" w14:textId="77777777" w:rsidR="00A340F1" w:rsidRPr="007C5A6E" w:rsidRDefault="00A340F1" w:rsidP="00431FF2">
      <w:pPr>
        <w:spacing w:after="0" w:line="240" w:lineRule="auto"/>
        <w:rPr>
          <w:rFonts w:ascii="Times New Roman" w:hAnsi="Times New Roman"/>
          <w:sz w:val="24"/>
          <w:szCs w:val="24"/>
        </w:rPr>
      </w:pPr>
    </w:p>
    <w:p w14:paraId="6FEBB1B3" w14:textId="77777777" w:rsidR="00A340F1" w:rsidRPr="007C5A6E" w:rsidRDefault="00A340F1" w:rsidP="00431FF2">
      <w:pPr>
        <w:spacing w:after="0" w:line="240" w:lineRule="auto"/>
        <w:rPr>
          <w:rFonts w:ascii="Times New Roman" w:hAnsi="Times New Roman"/>
          <w:sz w:val="24"/>
          <w:szCs w:val="24"/>
        </w:rPr>
      </w:pPr>
    </w:p>
    <w:p w14:paraId="52DF4613" w14:textId="77777777" w:rsidR="00A340F1" w:rsidRPr="007C5A6E" w:rsidRDefault="00A340F1" w:rsidP="00431FF2">
      <w:pPr>
        <w:spacing w:after="0" w:line="240" w:lineRule="auto"/>
        <w:rPr>
          <w:rFonts w:ascii="Times New Roman" w:hAnsi="Times New Roman"/>
          <w:sz w:val="24"/>
          <w:szCs w:val="24"/>
        </w:rPr>
      </w:pPr>
    </w:p>
    <w:p w14:paraId="69ABE382" w14:textId="77777777" w:rsidR="00A340F1" w:rsidRPr="007C5A6E" w:rsidRDefault="00A340F1" w:rsidP="00431FF2">
      <w:pPr>
        <w:spacing w:after="0" w:line="240" w:lineRule="auto"/>
        <w:rPr>
          <w:rFonts w:ascii="Times New Roman" w:hAnsi="Times New Roman"/>
          <w:sz w:val="24"/>
          <w:szCs w:val="24"/>
        </w:rPr>
      </w:pPr>
    </w:p>
    <w:p w14:paraId="7694E7D8" w14:textId="4910F3B4" w:rsidR="005E7B17" w:rsidRPr="007C5A6E" w:rsidRDefault="00E17E61" w:rsidP="00F57A5C">
      <w:pPr>
        <w:pStyle w:val="Titre1"/>
        <w:spacing w:before="0"/>
        <w:ind w:left="510" w:hanging="510"/>
        <w:rPr>
          <w:bCs/>
          <w:szCs w:val="30"/>
        </w:rPr>
      </w:pPr>
      <w:bookmarkStart w:id="211" w:name="_Toc183340060"/>
      <w:r w:rsidRPr="007C5A6E">
        <w:rPr>
          <w:bCs/>
          <w:szCs w:val="30"/>
        </w:rPr>
        <w:t>ETAT ET DYNAMIQUES DES RESSOURCES EN EAU</w:t>
      </w:r>
      <w:bookmarkEnd w:id="211"/>
      <w:r w:rsidRPr="007C5A6E">
        <w:rPr>
          <w:bCs/>
          <w:szCs w:val="30"/>
        </w:rPr>
        <w:t xml:space="preserve"> </w:t>
      </w:r>
    </w:p>
    <w:p w14:paraId="0EBAD073" w14:textId="77777777" w:rsidR="00E17E61" w:rsidRPr="007C5A6E" w:rsidRDefault="00E17E61" w:rsidP="00431FF2">
      <w:pPr>
        <w:spacing w:after="0" w:line="240" w:lineRule="auto"/>
        <w:rPr>
          <w:rFonts w:ascii="Times New Roman" w:hAnsi="Times New Roman"/>
          <w:sz w:val="24"/>
          <w:szCs w:val="24"/>
        </w:rPr>
      </w:pPr>
    </w:p>
    <w:p w14:paraId="56D34AC3" w14:textId="77777777" w:rsidR="00ED7CDA" w:rsidRPr="007C5A6E" w:rsidRDefault="0049284E" w:rsidP="00ED7CDA">
      <w:pPr>
        <w:spacing w:after="0" w:line="240" w:lineRule="auto"/>
        <w:jc w:val="both"/>
        <w:rPr>
          <w:rFonts w:ascii="Times New Roman" w:hAnsi="Times New Roman"/>
          <w:sz w:val="24"/>
          <w:szCs w:val="24"/>
        </w:rPr>
      </w:pPr>
      <w:r w:rsidRPr="007C5A6E">
        <w:rPr>
          <w:rFonts w:ascii="Times New Roman" w:hAnsi="Times New Roman"/>
          <w:sz w:val="24"/>
          <w:szCs w:val="24"/>
        </w:rPr>
        <w:t>Les ressources en eau constituent une des composantes importantes de l’environnement. Son importance est d’autant plus avérée que l’eau est au centre non seulement des processus biologiques et physiologiques qui gouvernent la photosynthèse, mais également de la vie socioculturelle, économique et environnementale de la société.</w:t>
      </w:r>
    </w:p>
    <w:p w14:paraId="59A29119" w14:textId="1F816C42" w:rsidR="00ED7CDA" w:rsidRPr="007C5A6E" w:rsidRDefault="0049284E" w:rsidP="00ED7CDA">
      <w:pPr>
        <w:spacing w:after="0" w:line="240" w:lineRule="auto"/>
        <w:jc w:val="both"/>
        <w:rPr>
          <w:rFonts w:ascii="Times New Roman" w:hAnsi="Times New Roman"/>
          <w:bCs/>
          <w:sz w:val="24"/>
          <w:szCs w:val="24"/>
        </w:rPr>
      </w:pPr>
      <w:r w:rsidRPr="007C5A6E">
        <w:rPr>
          <w:rFonts w:ascii="Times New Roman" w:hAnsi="Times New Roman"/>
          <w:bCs/>
          <w:sz w:val="24"/>
          <w:szCs w:val="24"/>
        </w:rPr>
        <w:t>L’enjeu de l’évaluation périodique de l’état des ressources en eau et des dynamiques qu’elles</w:t>
      </w:r>
      <w:r w:rsidR="00ED7CDA" w:rsidRPr="007C5A6E">
        <w:rPr>
          <w:rFonts w:ascii="Times New Roman" w:hAnsi="Times New Roman"/>
          <w:bCs/>
          <w:sz w:val="24"/>
          <w:szCs w:val="24"/>
        </w:rPr>
        <w:t xml:space="preserve"> subissent réside principalement dans : </w:t>
      </w:r>
    </w:p>
    <w:p w14:paraId="4CA554E8" w14:textId="77777777" w:rsidR="00ED7CDA" w:rsidRPr="007C5A6E" w:rsidRDefault="00ED7CDA" w:rsidP="003F3821">
      <w:pPr>
        <w:numPr>
          <w:ilvl w:val="0"/>
          <w:numId w:val="5"/>
        </w:numPr>
        <w:spacing w:after="0" w:line="240" w:lineRule="auto"/>
        <w:ind w:left="357" w:hanging="357"/>
        <w:contextualSpacing/>
        <w:jc w:val="both"/>
        <w:rPr>
          <w:rFonts w:ascii="Times New Roman" w:hAnsi="Times New Roman"/>
          <w:bCs/>
          <w:sz w:val="24"/>
          <w:szCs w:val="24"/>
        </w:rPr>
      </w:pPr>
      <w:r w:rsidRPr="007C5A6E">
        <w:rPr>
          <w:rFonts w:ascii="Times New Roman" w:hAnsi="Times New Roman"/>
          <w:bCs/>
          <w:sz w:val="24"/>
          <w:szCs w:val="24"/>
        </w:rPr>
        <w:t xml:space="preserve">Le caractère transversal de l’eau qui met en jeu une multitude d’acteurs producteurs et consommateurs de données et informations sur l’eau et qui par conséquent rend difficile l’accès à ces dernières ; </w:t>
      </w:r>
    </w:p>
    <w:p w14:paraId="7DB7268A" w14:textId="77777777" w:rsidR="00ED7CDA" w:rsidRPr="007C5A6E" w:rsidRDefault="00ED7CDA" w:rsidP="003F3821">
      <w:pPr>
        <w:numPr>
          <w:ilvl w:val="0"/>
          <w:numId w:val="5"/>
        </w:numPr>
        <w:spacing w:after="0" w:line="240" w:lineRule="auto"/>
        <w:ind w:left="357" w:hanging="357"/>
        <w:contextualSpacing/>
        <w:jc w:val="both"/>
        <w:rPr>
          <w:rFonts w:ascii="Times New Roman" w:hAnsi="Times New Roman"/>
          <w:bCs/>
          <w:sz w:val="24"/>
          <w:szCs w:val="24"/>
        </w:rPr>
      </w:pPr>
      <w:r w:rsidRPr="007C5A6E">
        <w:rPr>
          <w:rFonts w:ascii="Times New Roman" w:hAnsi="Times New Roman"/>
          <w:bCs/>
          <w:sz w:val="24"/>
          <w:szCs w:val="24"/>
        </w:rPr>
        <w:t xml:space="preserve">Le manque de référentiels stables d’une année à l’autre (changement / fluctuation des points de suivi quantitatif et qualitatif des ressources en eau ; séries discontinues des données…) </w:t>
      </w:r>
    </w:p>
    <w:p w14:paraId="3A151634" w14:textId="764E694D" w:rsidR="00ED7CDA" w:rsidRPr="007C5A6E" w:rsidRDefault="00ED7CDA" w:rsidP="003F3821">
      <w:pPr>
        <w:numPr>
          <w:ilvl w:val="0"/>
          <w:numId w:val="5"/>
        </w:numPr>
        <w:spacing w:after="0" w:line="240" w:lineRule="auto"/>
        <w:ind w:left="357" w:hanging="357"/>
        <w:contextualSpacing/>
        <w:jc w:val="both"/>
        <w:rPr>
          <w:rFonts w:ascii="Times New Roman" w:hAnsi="Times New Roman"/>
          <w:bCs/>
          <w:sz w:val="24"/>
          <w:szCs w:val="24"/>
        </w:rPr>
      </w:pPr>
      <w:r w:rsidRPr="007C5A6E">
        <w:rPr>
          <w:rFonts w:ascii="Times New Roman" w:hAnsi="Times New Roman"/>
          <w:bCs/>
          <w:sz w:val="24"/>
          <w:szCs w:val="24"/>
        </w:rPr>
        <w:t>Le manque de « fraicheur » et la non mise à jour des données et informations souhaitées</w:t>
      </w:r>
    </w:p>
    <w:p w14:paraId="210FD960" w14:textId="77777777" w:rsidR="00ED7CDA" w:rsidRPr="007C5A6E" w:rsidRDefault="00ED7CDA" w:rsidP="00ED7CDA">
      <w:pPr>
        <w:spacing w:after="0" w:line="240" w:lineRule="auto"/>
        <w:jc w:val="both"/>
        <w:rPr>
          <w:rFonts w:ascii="Times New Roman" w:hAnsi="Times New Roman"/>
          <w:bCs/>
          <w:sz w:val="24"/>
          <w:szCs w:val="24"/>
        </w:rPr>
      </w:pPr>
    </w:p>
    <w:p w14:paraId="04D1F931" w14:textId="0659167C" w:rsidR="00ED7CDA" w:rsidRPr="007C5A6E" w:rsidRDefault="00ED7CDA" w:rsidP="00ED7CDA">
      <w:pPr>
        <w:spacing w:after="0" w:line="240" w:lineRule="auto"/>
        <w:jc w:val="both"/>
        <w:rPr>
          <w:rFonts w:ascii="Times New Roman" w:hAnsi="Times New Roman"/>
          <w:bCs/>
          <w:sz w:val="24"/>
          <w:szCs w:val="24"/>
        </w:rPr>
      </w:pPr>
      <w:r w:rsidRPr="007C5A6E">
        <w:rPr>
          <w:rFonts w:ascii="Times New Roman" w:hAnsi="Times New Roman"/>
          <w:bCs/>
          <w:sz w:val="24"/>
          <w:szCs w:val="24"/>
        </w:rPr>
        <w:t>L’eau de par sa structure moléculaire bipolaire (H+, OH-), et son mode d’écoulement, a une capacité de dissolution et de transport de nombreuses matières chimiques, physiques et organiques</w:t>
      </w:r>
      <w:r w:rsidR="00BC4843" w:rsidRPr="007C5A6E">
        <w:rPr>
          <w:rFonts w:ascii="Times New Roman" w:hAnsi="Times New Roman"/>
          <w:bCs/>
          <w:sz w:val="24"/>
          <w:szCs w:val="24"/>
        </w:rPr>
        <w:t>,</w:t>
      </w:r>
      <w:r w:rsidRPr="007C5A6E">
        <w:rPr>
          <w:rFonts w:ascii="Times New Roman" w:hAnsi="Times New Roman"/>
          <w:bCs/>
          <w:sz w:val="24"/>
          <w:szCs w:val="24"/>
        </w:rPr>
        <w:t xml:space="preserve"> qui modifient en retour sa composition sur les plans physico-chimique et organique. </w:t>
      </w:r>
    </w:p>
    <w:p w14:paraId="0651751E" w14:textId="0E4FF4E5" w:rsidR="00ED7CDA" w:rsidRPr="007C5A6E" w:rsidRDefault="00ED7CDA" w:rsidP="00ED7CDA">
      <w:pPr>
        <w:spacing w:after="0" w:line="240" w:lineRule="auto"/>
        <w:jc w:val="both"/>
        <w:rPr>
          <w:rFonts w:ascii="Times New Roman" w:hAnsi="Times New Roman"/>
          <w:bCs/>
          <w:sz w:val="24"/>
          <w:szCs w:val="24"/>
        </w:rPr>
      </w:pPr>
      <w:r w:rsidRPr="007C5A6E">
        <w:rPr>
          <w:rFonts w:ascii="Times New Roman" w:hAnsi="Times New Roman"/>
          <w:bCs/>
          <w:sz w:val="24"/>
          <w:szCs w:val="24"/>
        </w:rPr>
        <w:t xml:space="preserve">Autant l’eau est </w:t>
      </w:r>
      <w:r w:rsidR="00BC4843" w:rsidRPr="007C5A6E">
        <w:rPr>
          <w:rFonts w:ascii="Times New Roman" w:hAnsi="Times New Roman"/>
          <w:bCs/>
          <w:sz w:val="24"/>
          <w:szCs w:val="24"/>
        </w:rPr>
        <w:t xml:space="preserve">une ressource indispensable </w:t>
      </w:r>
      <w:r w:rsidRPr="007C5A6E">
        <w:rPr>
          <w:rFonts w:ascii="Times New Roman" w:hAnsi="Times New Roman"/>
          <w:bCs/>
          <w:sz w:val="24"/>
          <w:szCs w:val="24"/>
        </w:rPr>
        <w:t>dans tous les compartiments de la vie sociale, culturelle, économique et environnementale de la société, autant les activités qui en découlent l</w:t>
      </w:r>
      <w:r w:rsidR="00BC4843" w:rsidRPr="007C5A6E">
        <w:rPr>
          <w:rFonts w:ascii="Times New Roman" w:hAnsi="Times New Roman"/>
          <w:bCs/>
          <w:sz w:val="24"/>
          <w:szCs w:val="24"/>
        </w:rPr>
        <w:t xml:space="preserve">’épuisent et </w:t>
      </w:r>
      <w:r w:rsidRPr="007C5A6E">
        <w:rPr>
          <w:rFonts w:ascii="Times New Roman" w:hAnsi="Times New Roman"/>
          <w:bCs/>
          <w:sz w:val="24"/>
          <w:szCs w:val="24"/>
        </w:rPr>
        <w:t xml:space="preserve">la polluent de diverses manières et à des degrés divers. </w:t>
      </w:r>
    </w:p>
    <w:p w14:paraId="383DD050" w14:textId="77777777" w:rsidR="00BC4843" w:rsidRPr="007C5A6E" w:rsidRDefault="00ED7CDA" w:rsidP="00ED7CDA">
      <w:pPr>
        <w:spacing w:after="0" w:line="240" w:lineRule="auto"/>
        <w:jc w:val="both"/>
        <w:rPr>
          <w:rFonts w:ascii="Times New Roman" w:hAnsi="Times New Roman"/>
          <w:bCs/>
          <w:sz w:val="24"/>
          <w:szCs w:val="24"/>
        </w:rPr>
      </w:pPr>
      <w:r w:rsidRPr="007C5A6E">
        <w:rPr>
          <w:rFonts w:ascii="Times New Roman" w:hAnsi="Times New Roman"/>
          <w:bCs/>
          <w:sz w:val="24"/>
          <w:szCs w:val="24"/>
        </w:rPr>
        <w:t>E</w:t>
      </w:r>
      <w:r w:rsidR="00BC4843" w:rsidRPr="007C5A6E">
        <w:rPr>
          <w:rFonts w:ascii="Times New Roman" w:hAnsi="Times New Roman"/>
          <w:bCs/>
          <w:sz w:val="24"/>
          <w:szCs w:val="24"/>
        </w:rPr>
        <w:t xml:space="preserve">n tant que </w:t>
      </w:r>
      <w:r w:rsidRPr="007C5A6E">
        <w:rPr>
          <w:rFonts w:ascii="Times New Roman" w:hAnsi="Times New Roman"/>
          <w:bCs/>
          <w:sz w:val="24"/>
          <w:szCs w:val="24"/>
        </w:rPr>
        <w:t>ressource naturelle</w:t>
      </w:r>
      <w:r w:rsidR="00BC4843" w:rsidRPr="007C5A6E">
        <w:rPr>
          <w:rFonts w:ascii="Times New Roman" w:hAnsi="Times New Roman"/>
          <w:bCs/>
          <w:sz w:val="24"/>
          <w:szCs w:val="24"/>
        </w:rPr>
        <w:t xml:space="preserve"> renouvelable, elle est</w:t>
      </w:r>
      <w:r w:rsidRPr="007C5A6E">
        <w:rPr>
          <w:rFonts w:ascii="Times New Roman" w:hAnsi="Times New Roman"/>
          <w:bCs/>
          <w:sz w:val="24"/>
          <w:szCs w:val="24"/>
        </w:rPr>
        <w:t xml:space="preserve"> régie par les paramètres climatiques (pluie, vent, température, couverture végétale des sols …), </w:t>
      </w:r>
      <w:r w:rsidR="00BC4843" w:rsidRPr="007C5A6E">
        <w:rPr>
          <w:rFonts w:ascii="Times New Roman" w:hAnsi="Times New Roman"/>
          <w:bCs/>
          <w:sz w:val="24"/>
          <w:szCs w:val="24"/>
        </w:rPr>
        <w:t>et donc</w:t>
      </w:r>
      <w:r w:rsidRPr="007C5A6E">
        <w:rPr>
          <w:rFonts w:ascii="Times New Roman" w:hAnsi="Times New Roman"/>
          <w:bCs/>
          <w:sz w:val="24"/>
          <w:szCs w:val="24"/>
        </w:rPr>
        <w:t xml:space="preserve"> soumise à l’évaporation et aux déficits pluviométriques au gré des aléas d</w:t>
      </w:r>
      <w:r w:rsidR="00BC4843" w:rsidRPr="007C5A6E">
        <w:rPr>
          <w:rFonts w:ascii="Times New Roman" w:hAnsi="Times New Roman"/>
          <w:bCs/>
          <w:sz w:val="24"/>
          <w:szCs w:val="24"/>
        </w:rPr>
        <w:t>u climat.</w:t>
      </w:r>
    </w:p>
    <w:p w14:paraId="1ADE4273" w14:textId="77777777" w:rsidR="00BC4843" w:rsidRPr="007C5A6E" w:rsidRDefault="00BC4843" w:rsidP="00ED7CDA">
      <w:pPr>
        <w:spacing w:after="0" w:line="240" w:lineRule="auto"/>
        <w:jc w:val="both"/>
        <w:rPr>
          <w:rFonts w:ascii="Times New Roman" w:hAnsi="Times New Roman"/>
          <w:bCs/>
          <w:sz w:val="24"/>
          <w:szCs w:val="24"/>
        </w:rPr>
      </w:pPr>
    </w:p>
    <w:p w14:paraId="03EAF0FD" w14:textId="77777777" w:rsidR="00F57A5C" w:rsidRPr="007C5A6E" w:rsidRDefault="00F57A5C" w:rsidP="003F3821">
      <w:pPr>
        <w:pStyle w:val="Paragraphedeliste"/>
        <w:keepNext/>
        <w:keepLines/>
        <w:numPr>
          <w:ilvl w:val="0"/>
          <w:numId w:val="4"/>
        </w:numPr>
        <w:spacing w:after="0" w:line="240" w:lineRule="auto"/>
        <w:contextualSpacing w:val="0"/>
        <w:outlineLvl w:val="1"/>
        <w:rPr>
          <w:rFonts w:ascii="Times New Roman" w:hAnsi="Times New Roman"/>
          <w:b/>
          <w:bCs/>
          <w:vanish/>
          <w:sz w:val="28"/>
          <w:szCs w:val="28"/>
        </w:rPr>
      </w:pPr>
      <w:bookmarkStart w:id="212" w:name="_Toc183287819"/>
      <w:bookmarkStart w:id="213" w:name="_Toc183291060"/>
      <w:bookmarkStart w:id="214" w:name="_Toc183291464"/>
      <w:bookmarkStart w:id="215" w:name="_Toc183291868"/>
      <w:bookmarkStart w:id="216" w:name="_Toc183340061"/>
      <w:bookmarkEnd w:id="212"/>
      <w:bookmarkEnd w:id="213"/>
      <w:bookmarkEnd w:id="214"/>
      <w:bookmarkEnd w:id="215"/>
      <w:bookmarkEnd w:id="216"/>
    </w:p>
    <w:p w14:paraId="57246C53" w14:textId="5643D90F" w:rsidR="00BC4843" w:rsidRPr="007C5A6E" w:rsidRDefault="00BC4843" w:rsidP="00712C43">
      <w:pPr>
        <w:pStyle w:val="Titre2"/>
      </w:pPr>
      <w:bookmarkStart w:id="217" w:name="_Toc183340062"/>
      <w:r w:rsidRPr="007C5A6E">
        <w:t>Les pressions sur les ressources en eau</w:t>
      </w:r>
      <w:bookmarkEnd w:id="217"/>
      <w:r w:rsidRPr="007C5A6E">
        <w:t xml:space="preserve"> </w:t>
      </w:r>
    </w:p>
    <w:p w14:paraId="456FFDB8" w14:textId="77777777" w:rsidR="00BC4843" w:rsidRPr="007C5A6E" w:rsidRDefault="00BC4843" w:rsidP="00ED7CDA">
      <w:pPr>
        <w:spacing w:after="0" w:line="240" w:lineRule="auto"/>
        <w:jc w:val="both"/>
        <w:rPr>
          <w:rFonts w:ascii="Times New Roman" w:hAnsi="Times New Roman"/>
          <w:bCs/>
          <w:sz w:val="24"/>
          <w:szCs w:val="24"/>
        </w:rPr>
      </w:pPr>
    </w:p>
    <w:p w14:paraId="4D8C7DAF" w14:textId="6BBA07CE" w:rsidR="00BC4843" w:rsidRPr="007C5A6E" w:rsidRDefault="00BC4843" w:rsidP="00BC4843">
      <w:pPr>
        <w:spacing w:after="0" w:line="240" w:lineRule="auto"/>
        <w:jc w:val="both"/>
        <w:rPr>
          <w:rFonts w:ascii="Times New Roman" w:hAnsi="Times New Roman"/>
          <w:bCs/>
          <w:sz w:val="24"/>
          <w:szCs w:val="24"/>
        </w:rPr>
      </w:pPr>
      <w:r w:rsidRPr="007C5A6E">
        <w:rPr>
          <w:rFonts w:ascii="Times New Roman" w:hAnsi="Times New Roman"/>
          <w:bCs/>
          <w:sz w:val="24"/>
          <w:szCs w:val="24"/>
        </w:rPr>
        <w:t>Il découle de ce qui précède que (i) les principales pressions qui s’exercent sur les ressources en eau du Burkina Faso, sont la pollution, les déficits pluviométriques et les prélèvements, (ii) les facteurs (porteurs) de ces pressions qui impactent les ressources en eau sur les plans qualitatif et quantitatif sont d’ordre climatique et anthropique.</w:t>
      </w:r>
    </w:p>
    <w:p w14:paraId="1227B393" w14:textId="77777777" w:rsidR="00BC4843" w:rsidRPr="007C5A6E" w:rsidRDefault="00BC4843" w:rsidP="004122D6">
      <w:pPr>
        <w:spacing w:after="0" w:line="240" w:lineRule="auto"/>
        <w:jc w:val="both"/>
        <w:rPr>
          <w:rFonts w:ascii="Times New Roman" w:hAnsi="Times New Roman"/>
          <w:bCs/>
          <w:sz w:val="24"/>
          <w:szCs w:val="24"/>
        </w:rPr>
      </w:pPr>
    </w:p>
    <w:p w14:paraId="5795F6B0" w14:textId="77777777" w:rsidR="00ED7CDA" w:rsidRPr="007C5A6E" w:rsidRDefault="00ED7CDA" w:rsidP="004122D6">
      <w:pPr>
        <w:pStyle w:val="Titre3"/>
      </w:pPr>
      <w:bookmarkStart w:id="218" w:name="_Toc182606015"/>
      <w:bookmarkStart w:id="219" w:name="_Toc183340063"/>
      <w:r w:rsidRPr="007C5A6E">
        <w:t>La pollution des ressources en eau</w:t>
      </w:r>
      <w:bookmarkEnd w:id="218"/>
      <w:bookmarkEnd w:id="219"/>
      <w:r w:rsidRPr="007C5A6E">
        <w:t xml:space="preserve"> </w:t>
      </w:r>
    </w:p>
    <w:p w14:paraId="3E7AE6BA" w14:textId="77777777" w:rsidR="00BC4843" w:rsidRPr="007C5A6E" w:rsidRDefault="00BC4843" w:rsidP="004122D6">
      <w:pPr>
        <w:spacing w:after="0" w:line="240" w:lineRule="auto"/>
        <w:rPr>
          <w:rFonts w:eastAsia="Calibri"/>
          <w:lang w:eastAsia="en-US"/>
        </w:rPr>
      </w:pPr>
    </w:p>
    <w:p w14:paraId="2F259934" w14:textId="77777777" w:rsidR="00ED7CDA" w:rsidRPr="007C5A6E" w:rsidRDefault="00ED7CDA" w:rsidP="00684FF8">
      <w:pPr>
        <w:pStyle w:val="Titre4"/>
      </w:pPr>
      <w:bookmarkStart w:id="220" w:name="_Toc182606016"/>
      <w:bookmarkStart w:id="221" w:name="_Toc183340064"/>
      <w:r w:rsidRPr="007C5A6E">
        <w:t>Les types et formes de pollution des ressources en eau</w:t>
      </w:r>
      <w:bookmarkEnd w:id="220"/>
      <w:bookmarkEnd w:id="221"/>
    </w:p>
    <w:p w14:paraId="754DAD0F" w14:textId="77777777" w:rsidR="00BC4843" w:rsidRPr="007C5A6E" w:rsidRDefault="00BC4843" w:rsidP="004122D6">
      <w:pPr>
        <w:spacing w:after="0" w:line="240" w:lineRule="auto"/>
        <w:rPr>
          <w:rFonts w:eastAsia="Calibri"/>
          <w:lang w:eastAsia="en-US"/>
        </w:rPr>
      </w:pPr>
    </w:p>
    <w:p w14:paraId="28589A73" w14:textId="7B95D9CE" w:rsidR="004122D6" w:rsidRPr="007C5A6E" w:rsidRDefault="004122D6" w:rsidP="00BC4843">
      <w:pPr>
        <w:spacing w:after="0" w:line="240" w:lineRule="auto"/>
        <w:jc w:val="both"/>
        <w:rPr>
          <w:rFonts w:ascii="Times New Roman" w:hAnsi="Times New Roman"/>
          <w:sz w:val="24"/>
          <w:szCs w:val="24"/>
        </w:rPr>
      </w:pPr>
      <w:r w:rsidRPr="007C5A6E">
        <w:rPr>
          <w:rFonts w:ascii="Times New Roman" w:hAnsi="Times New Roman"/>
        </w:rPr>
        <w:t>Selon l’étude diagnostique de la pollution au Burkina Faso, réalisée en vue de l’é</w:t>
      </w:r>
      <w:r w:rsidR="00ED7CDA" w:rsidRPr="007C5A6E">
        <w:rPr>
          <w:rFonts w:ascii="Times New Roman" w:hAnsi="Times New Roman"/>
        </w:rPr>
        <w:t>laboration des textes sur la taxe de pollution de l’eau</w:t>
      </w:r>
      <w:r w:rsidRPr="007C5A6E">
        <w:rPr>
          <w:rFonts w:ascii="Times New Roman" w:hAnsi="Times New Roman"/>
        </w:rPr>
        <w:t xml:space="preserve"> (DGRE, 2018), l</w:t>
      </w:r>
      <w:r w:rsidR="00ED7CDA" w:rsidRPr="007C5A6E">
        <w:rPr>
          <w:rFonts w:ascii="Times New Roman" w:hAnsi="Times New Roman"/>
          <w:sz w:val="24"/>
          <w:szCs w:val="24"/>
        </w:rPr>
        <w:t>es types de pollution des ressources en eau, vécue</w:t>
      </w:r>
      <w:r w:rsidRPr="007C5A6E">
        <w:rPr>
          <w:rFonts w:ascii="Times New Roman" w:hAnsi="Times New Roman"/>
          <w:sz w:val="24"/>
          <w:szCs w:val="24"/>
        </w:rPr>
        <w:t>s</w:t>
      </w:r>
      <w:r w:rsidR="00ED7CDA" w:rsidRPr="007C5A6E">
        <w:rPr>
          <w:rFonts w:ascii="Times New Roman" w:hAnsi="Times New Roman"/>
          <w:sz w:val="24"/>
          <w:szCs w:val="24"/>
        </w:rPr>
        <w:t xml:space="preserve"> au Burkina Faso sont principalement (i) la pollution physique, (ii) la pollution chimique et (iii) la pollution organique ou biologique.</w:t>
      </w:r>
      <w:r w:rsidRPr="007C5A6E">
        <w:rPr>
          <w:rFonts w:ascii="Times New Roman" w:hAnsi="Times New Roman"/>
          <w:sz w:val="24"/>
          <w:szCs w:val="24"/>
        </w:rPr>
        <w:t xml:space="preserve"> </w:t>
      </w:r>
    </w:p>
    <w:p w14:paraId="4C2B9E57" w14:textId="5E3B69D9" w:rsidR="00ED7CDA" w:rsidRPr="007C5A6E" w:rsidRDefault="00ED7CDA" w:rsidP="00BC4843">
      <w:pPr>
        <w:spacing w:after="0" w:line="240" w:lineRule="auto"/>
        <w:jc w:val="both"/>
        <w:rPr>
          <w:rFonts w:ascii="Times New Roman" w:hAnsi="Times New Roman"/>
          <w:sz w:val="24"/>
          <w:szCs w:val="24"/>
        </w:rPr>
      </w:pPr>
      <w:r w:rsidRPr="007C5A6E">
        <w:rPr>
          <w:rFonts w:ascii="Times New Roman" w:hAnsi="Times New Roman"/>
          <w:sz w:val="24"/>
          <w:szCs w:val="24"/>
        </w:rPr>
        <w:t>La pollution physique de l’eau résulte de l’entrainement d’éléments minéraux en suspension (sable fin, limon ou argiles) et des rejets de matières en suspension inertes ou fermentescibles. Les indicateurs de mesure sont notamment la turbidité de l’eau.</w:t>
      </w:r>
    </w:p>
    <w:p w14:paraId="40664540" w14:textId="77777777" w:rsidR="00ED7CDA" w:rsidRPr="007C5A6E" w:rsidRDefault="00ED7CDA" w:rsidP="00BC4843">
      <w:pPr>
        <w:spacing w:after="0" w:line="240" w:lineRule="auto"/>
        <w:jc w:val="both"/>
        <w:rPr>
          <w:rFonts w:ascii="Times New Roman" w:hAnsi="Times New Roman"/>
          <w:sz w:val="24"/>
          <w:szCs w:val="24"/>
        </w:rPr>
      </w:pPr>
      <w:r w:rsidRPr="007C5A6E">
        <w:rPr>
          <w:rFonts w:ascii="Times New Roman" w:hAnsi="Times New Roman"/>
          <w:sz w:val="24"/>
          <w:szCs w:val="24"/>
        </w:rPr>
        <w:t xml:space="preserve">La pollution chimique de l’eau est engendrée par le rejet des substances chimiques normalement absentes, ou présentes dans l'environnement dans des concentrations naturelles plus faibles, et qui se retrouvent dans l’eau. </w:t>
      </w:r>
    </w:p>
    <w:p w14:paraId="2E7B7354" w14:textId="4322E609" w:rsidR="00ED7CDA" w:rsidRPr="007C5A6E" w:rsidRDefault="00ED7CDA" w:rsidP="00BC4843">
      <w:pPr>
        <w:spacing w:after="0" w:line="240" w:lineRule="auto"/>
        <w:jc w:val="both"/>
        <w:rPr>
          <w:rFonts w:ascii="Times New Roman" w:hAnsi="Times New Roman"/>
          <w:bCs/>
          <w:color w:val="FF0000"/>
          <w:sz w:val="24"/>
          <w:szCs w:val="24"/>
        </w:rPr>
      </w:pPr>
      <w:r w:rsidRPr="007C5A6E">
        <w:rPr>
          <w:rFonts w:ascii="Times New Roman" w:hAnsi="Times New Roman"/>
          <w:sz w:val="24"/>
          <w:szCs w:val="24"/>
        </w:rPr>
        <w:t>La pollution organique ou biologique de l’eau se compose de substances qui, en se décomposant, consomment l'oxygène présent dans le milieu aquatique et peut provoquer l'asphyxie des espèces animales. Dans cette catégorie, les pollutions naturelles ont pour origine principale les manifestations de la vie végétale et animale.</w:t>
      </w:r>
    </w:p>
    <w:p w14:paraId="51043781" w14:textId="77777777" w:rsidR="00ED7CDA" w:rsidRPr="007C5A6E" w:rsidRDefault="00ED7CDA" w:rsidP="00BC4843">
      <w:pPr>
        <w:spacing w:after="0" w:line="240" w:lineRule="auto"/>
        <w:jc w:val="both"/>
        <w:rPr>
          <w:rFonts w:ascii="Times New Roman" w:hAnsi="Times New Roman"/>
          <w:bCs/>
          <w:sz w:val="24"/>
          <w:szCs w:val="24"/>
        </w:rPr>
      </w:pPr>
      <w:r w:rsidRPr="007C5A6E">
        <w:rPr>
          <w:rFonts w:ascii="Times New Roman" w:hAnsi="Times New Roman"/>
          <w:bCs/>
          <w:sz w:val="24"/>
          <w:szCs w:val="24"/>
        </w:rPr>
        <w:t xml:space="preserve">Du point de vue de la forme, la pollution s’exerce sur les ressources en eau sous forme diffuse ou sous forme ponctuelle (Etude DGRE sur taxe de pollution). </w:t>
      </w:r>
    </w:p>
    <w:p w14:paraId="29D22F79" w14:textId="77777777" w:rsidR="00ED7CDA" w:rsidRPr="007C5A6E" w:rsidRDefault="00ED7CDA" w:rsidP="00BC4843">
      <w:pPr>
        <w:spacing w:after="0" w:line="240" w:lineRule="auto"/>
        <w:jc w:val="both"/>
        <w:rPr>
          <w:rFonts w:ascii="Times New Roman" w:hAnsi="Times New Roman"/>
          <w:color w:val="FF0000"/>
          <w:sz w:val="24"/>
          <w:szCs w:val="24"/>
        </w:rPr>
      </w:pPr>
      <w:r w:rsidRPr="007C5A6E">
        <w:rPr>
          <w:rFonts w:ascii="Times New Roman" w:hAnsi="Times New Roman"/>
          <w:sz w:val="24"/>
          <w:szCs w:val="24"/>
        </w:rPr>
        <w:t>La pollution ponctuelle est due à des rejets directs dans le milieu, et provenant généralement d’un point unique et identifiable</w:t>
      </w:r>
      <w:r w:rsidRPr="007C5A6E">
        <w:rPr>
          <w:rFonts w:ascii="Times New Roman" w:hAnsi="Times New Roman"/>
          <w:color w:val="FF0000"/>
          <w:sz w:val="24"/>
          <w:szCs w:val="24"/>
        </w:rPr>
        <w:t>.</w:t>
      </w:r>
    </w:p>
    <w:p w14:paraId="7F74061A" w14:textId="16B93A39" w:rsidR="00ED7CDA" w:rsidRPr="007C5A6E" w:rsidRDefault="00ED7CDA" w:rsidP="00BC4843">
      <w:pPr>
        <w:spacing w:after="0" w:line="240" w:lineRule="auto"/>
        <w:jc w:val="both"/>
        <w:rPr>
          <w:rFonts w:ascii="Times New Roman" w:hAnsi="Times New Roman"/>
          <w:sz w:val="24"/>
          <w:szCs w:val="24"/>
        </w:rPr>
      </w:pPr>
      <w:r w:rsidRPr="007C5A6E">
        <w:rPr>
          <w:rFonts w:ascii="Times New Roman" w:hAnsi="Times New Roman"/>
          <w:sz w:val="24"/>
          <w:szCs w:val="24"/>
        </w:rPr>
        <w:t>La pollution diffuse (indirecte) est la pollution la plus répandue dans le pays et la plus pernicieuse et néfaste. Elle contamine l'eau sur de longues périodes. Généralement, elle s’applique en petites doses répétées régulièrement et sur de grandes surfaces à travers les écoulements de surface des eaux résiduelles vers les eaux souterraines ou par infiltration/percolation d'eau polluée et diffusion des polluants dans les nappes phréatiques des aquifère</w:t>
      </w:r>
      <w:r w:rsidR="002C5057" w:rsidRPr="007C5A6E">
        <w:rPr>
          <w:rFonts w:ascii="Times New Roman" w:hAnsi="Times New Roman"/>
          <w:sz w:val="24"/>
          <w:szCs w:val="24"/>
        </w:rPr>
        <w:t>s</w:t>
      </w:r>
      <w:r w:rsidRPr="007C5A6E">
        <w:rPr>
          <w:rFonts w:ascii="Times New Roman" w:hAnsi="Times New Roman"/>
          <w:sz w:val="24"/>
          <w:szCs w:val="24"/>
        </w:rPr>
        <w:t>.</w:t>
      </w:r>
    </w:p>
    <w:p w14:paraId="3D70C0CD" w14:textId="77777777" w:rsidR="00BC4843" w:rsidRPr="007C5A6E" w:rsidRDefault="00BC4843" w:rsidP="00BC4843">
      <w:pPr>
        <w:spacing w:after="0" w:line="240" w:lineRule="auto"/>
        <w:jc w:val="both"/>
        <w:rPr>
          <w:rFonts w:ascii="Times New Roman" w:hAnsi="Times New Roman"/>
          <w:sz w:val="24"/>
          <w:szCs w:val="24"/>
        </w:rPr>
      </w:pPr>
    </w:p>
    <w:p w14:paraId="211B08C9" w14:textId="77777777" w:rsidR="00ED7CDA" w:rsidRPr="007C5A6E" w:rsidRDefault="00ED7CDA" w:rsidP="00684FF8">
      <w:pPr>
        <w:pStyle w:val="Titre4"/>
      </w:pPr>
      <w:bookmarkStart w:id="222" w:name="_Toc182606017"/>
      <w:bookmarkStart w:id="223" w:name="_Toc183340065"/>
      <w:r w:rsidRPr="007C5A6E">
        <w:t>Les indicateurs et les sites de pollution des ressources en eau</w:t>
      </w:r>
      <w:bookmarkEnd w:id="222"/>
      <w:bookmarkEnd w:id="223"/>
    </w:p>
    <w:p w14:paraId="7AC4A736" w14:textId="77777777" w:rsidR="00BC4843" w:rsidRPr="007C5A6E" w:rsidRDefault="00BC4843" w:rsidP="00BC4843">
      <w:pPr>
        <w:spacing w:after="0" w:line="240" w:lineRule="auto"/>
        <w:jc w:val="both"/>
        <w:rPr>
          <w:rFonts w:ascii="Times New Roman" w:hAnsi="Times New Roman"/>
          <w:bCs/>
          <w:sz w:val="24"/>
          <w:szCs w:val="24"/>
        </w:rPr>
      </w:pPr>
    </w:p>
    <w:p w14:paraId="252CCBE1" w14:textId="3FE62275" w:rsidR="00ED7CDA" w:rsidRPr="007C5A6E" w:rsidRDefault="00ED7CDA" w:rsidP="00BC4843">
      <w:pPr>
        <w:spacing w:after="0" w:line="240" w:lineRule="auto"/>
        <w:jc w:val="both"/>
        <w:rPr>
          <w:rFonts w:ascii="Times New Roman" w:hAnsi="Times New Roman"/>
          <w:bCs/>
          <w:sz w:val="24"/>
          <w:szCs w:val="24"/>
        </w:rPr>
      </w:pPr>
      <w:r w:rsidRPr="007C5A6E">
        <w:rPr>
          <w:rFonts w:ascii="Times New Roman" w:hAnsi="Times New Roman"/>
          <w:bCs/>
          <w:sz w:val="24"/>
          <w:szCs w:val="24"/>
        </w:rPr>
        <w:t>La qualité des ressources en eau s’apprécie au regard des utilisations que l’on veut en faire et sur la base d’indicateurs qui sont reconnus selon les pays, au niveau international, et/ou au niveau national. Ces indicateurs permettent d’apprécier indirectement la qualité des ressources en eau à travers la mesure de leurs niveaux d’impact sur l’eau.</w:t>
      </w:r>
    </w:p>
    <w:p w14:paraId="42964DCE" w14:textId="577988E6" w:rsidR="00ED7CDA" w:rsidRPr="007C5A6E" w:rsidRDefault="00ED7CDA" w:rsidP="00BC4843">
      <w:pPr>
        <w:spacing w:after="0" w:line="240" w:lineRule="auto"/>
        <w:jc w:val="both"/>
        <w:rPr>
          <w:rFonts w:ascii="Times New Roman" w:hAnsi="Times New Roman"/>
          <w:bCs/>
          <w:sz w:val="24"/>
          <w:szCs w:val="24"/>
        </w:rPr>
      </w:pPr>
      <w:r w:rsidRPr="007C5A6E">
        <w:rPr>
          <w:rFonts w:ascii="Times New Roman" w:hAnsi="Times New Roman"/>
          <w:bCs/>
          <w:sz w:val="24"/>
          <w:szCs w:val="24"/>
        </w:rPr>
        <w:t xml:space="preserve">Le tableau </w:t>
      </w:r>
      <w:r w:rsidR="005B4329" w:rsidRPr="007C5A6E">
        <w:rPr>
          <w:rFonts w:ascii="Times New Roman" w:hAnsi="Times New Roman"/>
          <w:bCs/>
          <w:sz w:val="24"/>
          <w:szCs w:val="24"/>
        </w:rPr>
        <w:t>7</w:t>
      </w:r>
      <w:r w:rsidRPr="007C5A6E">
        <w:rPr>
          <w:rFonts w:ascii="Times New Roman" w:hAnsi="Times New Roman"/>
          <w:bCs/>
          <w:sz w:val="24"/>
          <w:szCs w:val="24"/>
        </w:rPr>
        <w:t xml:space="preserve"> donne les indicateurs (non exhaustifs) généralement mesurés au Burkina Faso selon les objectifs de qualité poursuivis.</w:t>
      </w:r>
    </w:p>
    <w:p w14:paraId="1E5430C4" w14:textId="77777777" w:rsidR="004122D6" w:rsidRPr="007C5A6E" w:rsidRDefault="004122D6" w:rsidP="00BC4843">
      <w:pPr>
        <w:spacing w:after="0" w:line="240" w:lineRule="auto"/>
        <w:jc w:val="both"/>
        <w:rPr>
          <w:rFonts w:ascii="Times New Roman" w:hAnsi="Times New Roman"/>
          <w:bCs/>
          <w:sz w:val="24"/>
          <w:szCs w:val="24"/>
        </w:rPr>
      </w:pPr>
    </w:p>
    <w:p w14:paraId="2409FCC2" w14:textId="7E877D0F" w:rsidR="004122D6" w:rsidRPr="007C5A6E" w:rsidRDefault="004122D6" w:rsidP="004122D6">
      <w:pPr>
        <w:pStyle w:val="Lgende"/>
        <w:spacing w:after="0"/>
        <w:rPr>
          <w:rFonts w:ascii="Times New Roman" w:hAnsi="Times New Roman"/>
          <w:i w:val="0"/>
          <w:iCs w:val="0"/>
          <w:color w:val="auto"/>
          <w:sz w:val="24"/>
          <w:szCs w:val="24"/>
          <w:lang w:eastAsia="da-DK"/>
        </w:rPr>
      </w:pPr>
      <w:bookmarkStart w:id="224" w:name="_Toc182605855"/>
      <w:bookmarkStart w:id="225" w:name="_Toc183240969"/>
      <w:bookmarkStart w:id="226" w:name="_Toc183292211"/>
      <w:bookmarkStart w:id="227" w:name="_Toc183340491"/>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AE0C9D" w:rsidRPr="007C5A6E">
        <w:rPr>
          <w:rFonts w:ascii="Times New Roman" w:hAnsi="Times New Roman"/>
          <w:i w:val="0"/>
          <w:iCs w:val="0"/>
          <w:noProof/>
          <w:color w:val="auto"/>
          <w:sz w:val="24"/>
          <w:szCs w:val="24"/>
        </w:rPr>
        <w:t>7</w:t>
      </w:r>
      <w:r w:rsidRPr="007C5A6E">
        <w:rPr>
          <w:rFonts w:ascii="Times New Roman" w:hAnsi="Times New Roman"/>
          <w:i w:val="0"/>
          <w:iCs w:val="0"/>
          <w:color w:val="auto"/>
          <w:sz w:val="24"/>
          <w:szCs w:val="24"/>
        </w:rPr>
        <w:fldChar w:fldCharType="end"/>
      </w:r>
      <w:r w:rsidR="00ED7CDA" w:rsidRPr="007C5A6E">
        <w:rPr>
          <w:rFonts w:ascii="Times New Roman" w:hAnsi="Times New Roman"/>
          <w:i w:val="0"/>
          <w:iCs w:val="0"/>
          <w:color w:val="auto"/>
          <w:sz w:val="24"/>
          <w:szCs w:val="24"/>
          <w:lang w:eastAsia="da-DK"/>
        </w:rPr>
        <w:t xml:space="preserve"> : Aperçu des indicateurs généralement mesurés</w:t>
      </w:r>
      <w:bookmarkEnd w:id="224"/>
      <w:bookmarkEnd w:id="225"/>
      <w:bookmarkEnd w:id="226"/>
      <w:bookmarkEnd w:id="227"/>
      <w:r w:rsidR="00ED7CDA" w:rsidRPr="007C5A6E">
        <w:rPr>
          <w:rFonts w:ascii="Times New Roman" w:hAnsi="Times New Roman"/>
          <w:i w:val="0"/>
          <w:iCs w:val="0"/>
          <w:color w:val="auto"/>
          <w:sz w:val="24"/>
          <w:szCs w:val="24"/>
          <w:lang w:eastAsia="da-DK"/>
        </w:rPr>
        <w:t xml:space="preserve"> </w:t>
      </w:r>
    </w:p>
    <w:p w14:paraId="1B33B43A" w14:textId="7AD04C3F" w:rsidR="00ED7CDA" w:rsidRPr="007C5A6E" w:rsidRDefault="00ED7CDA" w:rsidP="004122D6">
      <w:pPr>
        <w:pStyle w:val="Lgende"/>
        <w:spacing w:after="0"/>
        <w:rPr>
          <w:rFonts w:ascii="Times New Roman" w:hAnsi="Times New Roman"/>
          <w:bCs/>
          <w:i w:val="0"/>
          <w:iCs w:val="0"/>
          <w:color w:val="auto"/>
          <w:sz w:val="24"/>
          <w:szCs w:val="24"/>
          <w:lang w:eastAsia="da-DK"/>
        </w:rPr>
      </w:pPr>
      <w:r w:rsidRPr="007C5A6E">
        <w:rPr>
          <w:rFonts w:ascii="Times New Roman" w:hAnsi="Times New Roman"/>
          <w:i w:val="0"/>
          <w:iCs w:val="0"/>
          <w:color w:val="auto"/>
          <w:sz w:val="24"/>
          <w:szCs w:val="24"/>
          <w:lang w:eastAsia="da-DK"/>
        </w:rPr>
        <w:t xml:space="preserve">    </w:t>
      </w:r>
    </w:p>
    <w:tbl>
      <w:tblPr>
        <w:tblStyle w:val="Grilledutableau1"/>
        <w:tblW w:w="5000" w:type="pct"/>
        <w:tblLook w:val="04A0" w:firstRow="1" w:lastRow="0" w:firstColumn="1" w:lastColumn="0" w:noHBand="0" w:noVBand="1"/>
      </w:tblPr>
      <w:tblGrid>
        <w:gridCol w:w="1717"/>
        <w:gridCol w:w="4307"/>
        <w:gridCol w:w="3151"/>
      </w:tblGrid>
      <w:tr w:rsidR="00ED7CDA" w:rsidRPr="007C5A6E" w14:paraId="478192A2" w14:textId="77777777" w:rsidTr="00F64FD7">
        <w:tc>
          <w:tcPr>
            <w:tcW w:w="936" w:type="pct"/>
            <w:vAlign w:val="center"/>
          </w:tcPr>
          <w:p w14:paraId="2995C720" w14:textId="77777777" w:rsidR="00ED7CDA" w:rsidRPr="007C5A6E" w:rsidRDefault="00ED7CDA" w:rsidP="00BC4843">
            <w:pPr>
              <w:spacing w:after="0" w:line="240" w:lineRule="auto"/>
              <w:rPr>
                <w:rFonts w:ascii="Times New Roman" w:hAnsi="Times New Roman"/>
                <w:b/>
                <w:sz w:val="21"/>
                <w:szCs w:val="21"/>
              </w:rPr>
            </w:pPr>
            <w:r w:rsidRPr="007C5A6E">
              <w:rPr>
                <w:rFonts w:ascii="Times New Roman" w:hAnsi="Times New Roman"/>
                <w:b/>
                <w:sz w:val="21"/>
                <w:szCs w:val="21"/>
              </w:rPr>
              <w:t>Types de pollution</w:t>
            </w:r>
          </w:p>
        </w:tc>
        <w:tc>
          <w:tcPr>
            <w:tcW w:w="2347" w:type="pct"/>
            <w:vAlign w:val="center"/>
          </w:tcPr>
          <w:p w14:paraId="7204D6FC" w14:textId="77777777" w:rsidR="00ED7CDA" w:rsidRPr="007C5A6E" w:rsidRDefault="00ED7CDA" w:rsidP="00BC4843">
            <w:pPr>
              <w:spacing w:after="0" w:line="240" w:lineRule="auto"/>
              <w:rPr>
                <w:rFonts w:ascii="Times New Roman" w:hAnsi="Times New Roman"/>
                <w:b/>
                <w:sz w:val="21"/>
                <w:szCs w:val="21"/>
              </w:rPr>
            </w:pPr>
            <w:r w:rsidRPr="007C5A6E">
              <w:rPr>
                <w:rFonts w:ascii="Times New Roman" w:hAnsi="Times New Roman"/>
                <w:b/>
                <w:sz w:val="21"/>
                <w:szCs w:val="21"/>
              </w:rPr>
              <w:t xml:space="preserve">Paramètres / indicateurs </w:t>
            </w:r>
          </w:p>
        </w:tc>
        <w:tc>
          <w:tcPr>
            <w:tcW w:w="1717" w:type="pct"/>
          </w:tcPr>
          <w:p w14:paraId="3EB882E0" w14:textId="77777777" w:rsidR="00ED7CDA" w:rsidRPr="007C5A6E" w:rsidRDefault="00ED7CDA" w:rsidP="00BC4843">
            <w:pPr>
              <w:spacing w:after="0" w:line="240" w:lineRule="auto"/>
              <w:rPr>
                <w:rFonts w:ascii="Times New Roman" w:hAnsi="Times New Roman"/>
                <w:b/>
                <w:sz w:val="21"/>
                <w:szCs w:val="21"/>
              </w:rPr>
            </w:pPr>
            <w:r w:rsidRPr="007C5A6E">
              <w:rPr>
                <w:rFonts w:ascii="Times New Roman" w:hAnsi="Times New Roman"/>
                <w:b/>
                <w:sz w:val="21"/>
                <w:szCs w:val="21"/>
              </w:rPr>
              <w:t>Polluants rencontrés</w:t>
            </w:r>
          </w:p>
        </w:tc>
      </w:tr>
      <w:tr w:rsidR="00ED7CDA" w:rsidRPr="007C5A6E" w14:paraId="491A7627" w14:textId="77777777" w:rsidTr="00F64FD7">
        <w:tc>
          <w:tcPr>
            <w:tcW w:w="936" w:type="pct"/>
            <w:vAlign w:val="center"/>
          </w:tcPr>
          <w:p w14:paraId="50E320B9" w14:textId="77777777" w:rsidR="00ED7CDA" w:rsidRPr="007C5A6E" w:rsidRDefault="00ED7CDA" w:rsidP="00BC4843">
            <w:pPr>
              <w:spacing w:after="0" w:line="240" w:lineRule="auto"/>
              <w:rPr>
                <w:rFonts w:ascii="Times New Roman" w:hAnsi="Times New Roman"/>
                <w:bCs/>
                <w:sz w:val="21"/>
                <w:szCs w:val="21"/>
              </w:rPr>
            </w:pPr>
            <w:r w:rsidRPr="007C5A6E">
              <w:rPr>
                <w:rFonts w:ascii="Times New Roman" w:hAnsi="Times New Roman"/>
                <w:bCs/>
                <w:sz w:val="21"/>
                <w:szCs w:val="21"/>
              </w:rPr>
              <w:t>Pollution physique</w:t>
            </w:r>
          </w:p>
        </w:tc>
        <w:tc>
          <w:tcPr>
            <w:tcW w:w="2347" w:type="pct"/>
            <w:vAlign w:val="center"/>
          </w:tcPr>
          <w:p w14:paraId="346B4B2D" w14:textId="77777777" w:rsidR="00ED7CDA" w:rsidRPr="007C5A6E" w:rsidRDefault="00ED7CDA" w:rsidP="00BC4843">
            <w:pPr>
              <w:spacing w:after="0" w:line="240" w:lineRule="auto"/>
              <w:rPr>
                <w:rFonts w:ascii="Times New Roman" w:hAnsi="Times New Roman"/>
                <w:bCs/>
                <w:sz w:val="21"/>
                <w:szCs w:val="21"/>
              </w:rPr>
            </w:pPr>
            <w:r w:rsidRPr="007C5A6E">
              <w:rPr>
                <w:rFonts w:ascii="Times New Roman" w:hAnsi="Times New Roman"/>
                <w:bCs/>
                <w:sz w:val="21"/>
                <w:szCs w:val="21"/>
              </w:rPr>
              <w:t>Turbidité de l’eau, Température</w:t>
            </w:r>
          </w:p>
        </w:tc>
        <w:tc>
          <w:tcPr>
            <w:tcW w:w="1717" w:type="pct"/>
          </w:tcPr>
          <w:p w14:paraId="132FBB64" w14:textId="77777777" w:rsidR="00ED7CDA" w:rsidRPr="007C5A6E" w:rsidRDefault="00ED7CDA" w:rsidP="00BC4843">
            <w:pPr>
              <w:spacing w:after="0" w:line="240" w:lineRule="auto"/>
              <w:rPr>
                <w:rFonts w:ascii="Times New Roman" w:hAnsi="Times New Roman"/>
                <w:sz w:val="21"/>
                <w:szCs w:val="21"/>
              </w:rPr>
            </w:pPr>
            <w:r w:rsidRPr="007C5A6E">
              <w:rPr>
                <w:rFonts w:ascii="Times New Roman" w:hAnsi="Times New Roman"/>
                <w:sz w:val="21"/>
                <w:szCs w:val="21"/>
              </w:rPr>
              <w:t>Déchets plastiques ; Ordures ménagères ; Déchets des manufactures et Déchets électroménagers</w:t>
            </w:r>
          </w:p>
          <w:p w14:paraId="2934AE17" w14:textId="77777777" w:rsidR="00ED7CDA" w:rsidRPr="007C5A6E" w:rsidRDefault="00ED7CDA" w:rsidP="00BC4843">
            <w:pPr>
              <w:spacing w:after="0" w:line="240" w:lineRule="auto"/>
              <w:rPr>
                <w:rFonts w:ascii="Times New Roman" w:hAnsi="Times New Roman"/>
                <w:sz w:val="21"/>
                <w:szCs w:val="21"/>
              </w:rPr>
            </w:pPr>
            <w:r w:rsidRPr="007C5A6E">
              <w:rPr>
                <w:rFonts w:ascii="Times New Roman" w:hAnsi="Times New Roman"/>
                <w:sz w:val="21"/>
                <w:szCs w:val="21"/>
              </w:rPr>
              <w:t xml:space="preserve">Cartons, barriques, déchets métalliques, </w:t>
            </w:r>
          </w:p>
          <w:p w14:paraId="65077C20" w14:textId="77777777" w:rsidR="00ED7CDA" w:rsidRPr="007C5A6E" w:rsidRDefault="00ED7CDA" w:rsidP="00BC4843">
            <w:pPr>
              <w:spacing w:after="0" w:line="240" w:lineRule="auto"/>
              <w:rPr>
                <w:rFonts w:ascii="Times New Roman" w:hAnsi="Times New Roman"/>
                <w:sz w:val="21"/>
                <w:szCs w:val="21"/>
              </w:rPr>
            </w:pPr>
            <w:r w:rsidRPr="007C5A6E">
              <w:rPr>
                <w:rFonts w:ascii="Times New Roman" w:hAnsi="Times New Roman"/>
                <w:sz w:val="21"/>
                <w:szCs w:val="21"/>
              </w:rPr>
              <w:t xml:space="preserve">Poussière de ciment </w:t>
            </w:r>
          </w:p>
          <w:p w14:paraId="6CDF2EFC" w14:textId="669DEB59" w:rsidR="00ED7CDA" w:rsidRPr="007C5A6E" w:rsidRDefault="00ED7CDA" w:rsidP="00BC4843">
            <w:pPr>
              <w:spacing w:after="0" w:line="240" w:lineRule="auto"/>
              <w:rPr>
                <w:rFonts w:ascii="Times New Roman" w:hAnsi="Times New Roman"/>
                <w:sz w:val="21"/>
                <w:szCs w:val="21"/>
              </w:rPr>
            </w:pPr>
            <w:r w:rsidRPr="007C5A6E">
              <w:rPr>
                <w:rFonts w:ascii="Times New Roman" w:hAnsi="Times New Roman"/>
                <w:sz w:val="21"/>
                <w:szCs w:val="21"/>
              </w:rPr>
              <w:t>Résidus agricoles…</w:t>
            </w:r>
          </w:p>
        </w:tc>
      </w:tr>
      <w:tr w:rsidR="00ED7CDA" w:rsidRPr="007C5A6E" w14:paraId="0BD5AC8C" w14:textId="77777777" w:rsidTr="00F64FD7">
        <w:tc>
          <w:tcPr>
            <w:tcW w:w="936" w:type="pct"/>
            <w:vAlign w:val="center"/>
          </w:tcPr>
          <w:p w14:paraId="173392B5" w14:textId="77777777" w:rsidR="00ED7CDA" w:rsidRPr="007C5A6E" w:rsidRDefault="00ED7CDA" w:rsidP="00BC4843">
            <w:pPr>
              <w:spacing w:after="0" w:line="240" w:lineRule="auto"/>
              <w:rPr>
                <w:rFonts w:ascii="Times New Roman" w:hAnsi="Times New Roman"/>
                <w:bCs/>
                <w:sz w:val="21"/>
                <w:szCs w:val="21"/>
              </w:rPr>
            </w:pPr>
            <w:r w:rsidRPr="007C5A6E">
              <w:rPr>
                <w:rFonts w:ascii="Times New Roman" w:hAnsi="Times New Roman"/>
                <w:bCs/>
                <w:sz w:val="21"/>
                <w:szCs w:val="21"/>
              </w:rPr>
              <w:t>Pollution chimique</w:t>
            </w:r>
          </w:p>
        </w:tc>
        <w:tc>
          <w:tcPr>
            <w:tcW w:w="2347" w:type="pct"/>
            <w:vAlign w:val="center"/>
          </w:tcPr>
          <w:p w14:paraId="308FE9BE" w14:textId="6F568E4C" w:rsidR="00ED7CDA" w:rsidRPr="007C5A6E" w:rsidRDefault="00ED7CDA" w:rsidP="00BC4843">
            <w:pPr>
              <w:spacing w:after="0" w:line="240" w:lineRule="auto"/>
              <w:rPr>
                <w:rFonts w:ascii="Times New Roman" w:hAnsi="Times New Roman"/>
                <w:sz w:val="21"/>
                <w:szCs w:val="21"/>
              </w:rPr>
            </w:pPr>
            <w:r w:rsidRPr="007C5A6E">
              <w:rPr>
                <w:rFonts w:ascii="Times New Roman" w:hAnsi="Times New Roman"/>
                <w:sz w:val="21"/>
                <w:szCs w:val="21"/>
              </w:rPr>
              <w:t xml:space="preserve">Conductivité électrique ; potentiel hydrogène (pH) ; Nitrates ; Indice de </w:t>
            </w:r>
            <w:proofErr w:type="spellStart"/>
            <w:r w:rsidRPr="007C5A6E">
              <w:rPr>
                <w:rFonts w:ascii="Times New Roman" w:hAnsi="Times New Roman"/>
                <w:sz w:val="21"/>
                <w:szCs w:val="21"/>
              </w:rPr>
              <w:t>Ryznar</w:t>
            </w:r>
            <w:proofErr w:type="spellEnd"/>
            <w:r w:rsidRPr="007C5A6E">
              <w:rPr>
                <w:rFonts w:ascii="Times New Roman" w:hAnsi="Times New Roman"/>
                <w:sz w:val="21"/>
                <w:szCs w:val="21"/>
              </w:rPr>
              <w:t xml:space="preserve"> ou indice d’agressivité ; Arsenic ; Mercure ; </w:t>
            </w:r>
            <w:proofErr w:type="gramStart"/>
            <w:r w:rsidRPr="007C5A6E">
              <w:rPr>
                <w:rFonts w:ascii="Times New Roman" w:hAnsi="Times New Roman"/>
                <w:sz w:val="21"/>
                <w:szCs w:val="21"/>
              </w:rPr>
              <w:t>Cadmium;</w:t>
            </w:r>
            <w:proofErr w:type="gramEnd"/>
            <w:r w:rsidRPr="007C5A6E">
              <w:rPr>
                <w:rFonts w:ascii="Times New Roman" w:hAnsi="Times New Roman"/>
                <w:sz w:val="21"/>
                <w:szCs w:val="21"/>
              </w:rPr>
              <w:t xml:space="preserve"> </w:t>
            </w:r>
          </w:p>
          <w:p w14:paraId="1C06FC83" w14:textId="2CDFBABE" w:rsidR="00ED7CDA" w:rsidRPr="007C5A6E" w:rsidRDefault="00ED7CDA" w:rsidP="00BC4843">
            <w:pPr>
              <w:spacing w:after="0" w:line="240" w:lineRule="auto"/>
              <w:rPr>
                <w:rFonts w:ascii="Times New Roman" w:hAnsi="Times New Roman"/>
                <w:bCs/>
                <w:sz w:val="21"/>
                <w:szCs w:val="21"/>
              </w:rPr>
            </w:pPr>
            <w:r w:rsidRPr="007C5A6E">
              <w:rPr>
                <w:rFonts w:ascii="Times New Roman" w:hAnsi="Times New Roman"/>
                <w:sz w:val="21"/>
                <w:szCs w:val="21"/>
              </w:rPr>
              <w:t xml:space="preserve">Calcium ; Magnésium ; Potassium ; Sodium ; Chlorure ; Nitrates ; Nitrites ; Orto Phosphates ; Sulfate ; Ammonium ; Carbonate ; Bicarbonates ; MES ; </w:t>
            </w:r>
            <w:r w:rsidRPr="007C5A6E">
              <w:rPr>
                <w:rFonts w:ascii="Times New Roman" w:hAnsi="Times New Roman"/>
                <w:bCs/>
                <w:sz w:val="21"/>
                <w:szCs w:val="21"/>
              </w:rPr>
              <w:t>Métaux et m</w:t>
            </w:r>
            <w:r w:rsidR="00E966B6" w:rsidRPr="007C5A6E">
              <w:rPr>
                <w:rFonts w:ascii="Times New Roman" w:hAnsi="Times New Roman"/>
                <w:bCs/>
                <w:sz w:val="21"/>
                <w:szCs w:val="21"/>
              </w:rPr>
              <w:t>é</w:t>
            </w:r>
            <w:r w:rsidRPr="007C5A6E">
              <w:rPr>
                <w:rFonts w:ascii="Times New Roman" w:hAnsi="Times New Roman"/>
                <w:bCs/>
                <w:sz w:val="21"/>
                <w:szCs w:val="21"/>
              </w:rPr>
              <w:t xml:space="preserve">talloïdes (Arsenic ; Mercure ; Cadmium ; Chrome ; Cuivre ; Zinc, Fer ; Nikel ; Plomb ; Argent ; Manganèse…) ; </w:t>
            </w:r>
            <w:r w:rsidRPr="007C5A6E">
              <w:rPr>
                <w:rFonts w:ascii="Times New Roman" w:hAnsi="Times New Roman"/>
                <w:sz w:val="21"/>
                <w:szCs w:val="21"/>
              </w:rPr>
              <w:t>Chrome ; Cuivre ; Zinc, Fer ; Nikel ; Plomb ; Argent ; Manganèse…</w:t>
            </w:r>
          </w:p>
        </w:tc>
        <w:tc>
          <w:tcPr>
            <w:tcW w:w="1717" w:type="pct"/>
          </w:tcPr>
          <w:p w14:paraId="5311E2F0" w14:textId="77777777" w:rsidR="00ED7CDA" w:rsidRPr="007C5A6E" w:rsidRDefault="00ED7CDA" w:rsidP="00BC4843">
            <w:pPr>
              <w:spacing w:after="0" w:line="240" w:lineRule="auto"/>
              <w:rPr>
                <w:rFonts w:ascii="Times New Roman" w:hAnsi="Times New Roman"/>
                <w:sz w:val="21"/>
                <w:szCs w:val="21"/>
              </w:rPr>
            </w:pPr>
            <w:r w:rsidRPr="007C5A6E">
              <w:rPr>
                <w:rFonts w:ascii="Times New Roman" w:hAnsi="Times New Roman"/>
                <w:sz w:val="21"/>
                <w:szCs w:val="21"/>
              </w:rPr>
              <w:t>Pesticides ; Nitrates ; Phosphates ; Potassium ;</w:t>
            </w:r>
          </w:p>
          <w:p w14:paraId="703BF79D" w14:textId="77777777" w:rsidR="00ED7CDA" w:rsidRPr="007C5A6E" w:rsidRDefault="00ED7CDA" w:rsidP="00BC4843">
            <w:pPr>
              <w:spacing w:after="0" w:line="240" w:lineRule="auto"/>
              <w:rPr>
                <w:rFonts w:ascii="Times New Roman" w:hAnsi="Times New Roman"/>
                <w:sz w:val="21"/>
                <w:szCs w:val="21"/>
              </w:rPr>
            </w:pPr>
            <w:r w:rsidRPr="007C5A6E">
              <w:rPr>
                <w:rFonts w:ascii="Times New Roman" w:hAnsi="Times New Roman"/>
                <w:sz w:val="21"/>
                <w:szCs w:val="21"/>
              </w:rPr>
              <w:t>Mercure ; Cyanure ; Acides ; sels de sodium et d’ammonium ; Cuivre, Arsenic ;</w:t>
            </w:r>
          </w:p>
          <w:p w14:paraId="4797277D" w14:textId="77777777" w:rsidR="00ED7CDA" w:rsidRPr="007C5A6E" w:rsidRDefault="00ED7CDA" w:rsidP="00BC4843">
            <w:pPr>
              <w:spacing w:after="0" w:line="240" w:lineRule="auto"/>
              <w:rPr>
                <w:rFonts w:ascii="Times New Roman" w:hAnsi="Times New Roman"/>
                <w:sz w:val="21"/>
                <w:szCs w:val="21"/>
              </w:rPr>
            </w:pPr>
            <w:r w:rsidRPr="007C5A6E">
              <w:rPr>
                <w:rFonts w:ascii="Times New Roman" w:hAnsi="Times New Roman"/>
                <w:sz w:val="21"/>
                <w:szCs w:val="21"/>
              </w:rPr>
              <w:t xml:space="preserve">Pesticides, Déchets Biomédicaux pour traitement ; </w:t>
            </w:r>
          </w:p>
          <w:p w14:paraId="0CD2BE28" w14:textId="77777777" w:rsidR="00ED7CDA" w:rsidRPr="007C5A6E" w:rsidRDefault="00ED7CDA" w:rsidP="00BC4843">
            <w:pPr>
              <w:spacing w:after="0" w:line="240" w:lineRule="auto"/>
              <w:rPr>
                <w:rFonts w:ascii="Times New Roman" w:hAnsi="Times New Roman"/>
                <w:sz w:val="21"/>
                <w:szCs w:val="21"/>
              </w:rPr>
            </w:pPr>
            <w:r w:rsidRPr="007C5A6E">
              <w:rPr>
                <w:rFonts w:ascii="Times New Roman" w:hAnsi="Times New Roman"/>
                <w:sz w:val="21"/>
                <w:szCs w:val="21"/>
              </w:rPr>
              <w:t>Combustibles ; produits de nettoyage ; Huiles de vidange…</w:t>
            </w:r>
          </w:p>
        </w:tc>
      </w:tr>
      <w:tr w:rsidR="00ED7CDA" w:rsidRPr="007C5A6E" w14:paraId="5D544EE9" w14:textId="77777777" w:rsidTr="00F64FD7">
        <w:tc>
          <w:tcPr>
            <w:tcW w:w="936" w:type="pct"/>
            <w:vAlign w:val="center"/>
          </w:tcPr>
          <w:p w14:paraId="1F492A30" w14:textId="77777777" w:rsidR="00ED7CDA" w:rsidRPr="007C5A6E" w:rsidRDefault="00ED7CDA" w:rsidP="00BC4843">
            <w:pPr>
              <w:spacing w:after="0" w:line="240" w:lineRule="auto"/>
              <w:rPr>
                <w:rFonts w:ascii="Times New Roman" w:hAnsi="Times New Roman"/>
                <w:bCs/>
                <w:sz w:val="21"/>
                <w:szCs w:val="21"/>
              </w:rPr>
            </w:pPr>
            <w:r w:rsidRPr="007C5A6E">
              <w:rPr>
                <w:rFonts w:ascii="Times New Roman" w:hAnsi="Times New Roman"/>
                <w:bCs/>
                <w:sz w:val="21"/>
                <w:szCs w:val="21"/>
              </w:rPr>
              <w:t>Pollution organique ou biologique</w:t>
            </w:r>
          </w:p>
          <w:p w14:paraId="54E4372C" w14:textId="77777777" w:rsidR="00ED7CDA" w:rsidRPr="007C5A6E" w:rsidRDefault="00ED7CDA" w:rsidP="00BC4843">
            <w:pPr>
              <w:spacing w:after="0" w:line="240" w:lineRule="auto"/>
              <w:rPr>
                <w:rFonts w:ascii="Times New Roman" w:hAnsi="Times New Roman"/>
                <w:bCs/>
                <w:sz w:val="21"/>
                <w:szCs w:val="21"/>
              </w:rPr>
            </w:pPr>
          </w:p>
        </w:tc>
        <w:tc>
          <w:tcPr>
            <w:tcW w:w="2347" w:type="pct"/>
            <w:vAlign w:val="center"/>
          </w:tcPr>
          <w:p w14:paraId="5225749D" w14:textId="77777777" w:rsidR="00ED7CDA" w:rsidRPr="007C5A6E" w:rsidRDefault="00ED7CDA" w:rsidP="00BC4843">
            <w:pPr>
              <w:spacing w:after="0" w:line="240" w:lineRule="auto"/>
              <w:jc w:val="both"/>
              <w:rPr>
                <w:rFonts w:ascii="Times New Roman" w:hAnsi="Times New Roman"/>
                <w:sz w:val="21"/>
                <w:szCs w:val="21"/>
              </w:rPr>
            </w:pPr>
            <w:r w:rsidRPr="007C5A6E">
              <w:rPr>
                <w:rFonts w:ascii="Times New Roman" w:hAnsi="Times New Roman"/>
                <w:sz w:val="21"/>
                <w:szCs w:val="21"/>
              </w:rPr>
              <w:t>Oxygène dissout ; TAC ; TA ;</w:t>
            </w:r>
          </w:p>
          <w:p w14:paraId="01F79EE1" w14:textId="77777777" w:rsidR="00ED7CDA" w:rsidRPr="007C5A6E" w:rsidRDefault="00ED7CDA" w:rsidP="00BC4843">
            <w:pPr>
              <w:spacing w:after="0" w:line="240" w:lineRule="auto"/>
              <w:jc w:val="both"/>
              <w:rPr>
                <w:rFonts w:ascii="Calibri Light" w:hAnsi="Calibri Light"/>
                <w:sz w:val="21"/>
                <w:szCs w:val="21"/>
              </w:rPr>
            </w:pPr>
            <w:r w:rsidRPr="007C5A6E">
              <w:rPr>
                <w:rFonts w:ascii="Times New Roman" w:hAnsi="Times New Roman"/>
                <w:sz w:val="21"/>
                <w:szCs w:val="21"/>
              </w:rPr>
              <w:t>DCO ; Demande biochimique en oxygène sur cinq jours (DBO5) ; Carbone organique total (COT) ; Microorganismes (Escherichia Coli ; Coliformes fécaux ; streptocoques fécaux</w:t>
            </w:r>
          </w:p>
        </w:tc>
        <w:tc>
          <w:tcPr>
            <w:tcW w:w="1717" w:type="pct"/>
          </w:tcPr>
          <w:p w14:paraId="1396CA2C" w14:textId="77777777" w:rsidR="00ED7CDA" w:rsidRPr="007C5A6E" w:rsidRDefault="00ED7CDA" w:rsidP="00BC4843">
            <w:pPr>
              <w:spacing w:after="0" w:line="240" w:lineRule="auto"/>
              <w:rPr>
                <w:rFonts w:ascii="Times New Roman" w:hAnsi="Times New Roman"/>
                <w:bCs/>
                <w:sz w:val="21"/>
                <w:szCs w:val="21"/>
              </w:rPr>
            </w:pPr>
            <w:r w:rsidRPr="007C5A6E">
              <w:rPr>
                <w:rFonts w:ascii="Times New Roman" w:hAnsi="Times New Roman"/>
                <w:bCs/>
                <w:sz w:val="21"/>
                <w:szCs w:val="21"/>
              </w:rPr>
              <w:t>Fumier organique ;</w:t>
            </w:r>
          </w:p>
          <w:p w14:paraId="1AD6C8D0" w14:textId="77777777" w:rsidR="00ED7CDA" w:rsidRPr="007C5A6E" w:rsidRDefault="00ED7CDA" w:rsidP="00BC4843">
            <w:pPr>
              <w:spacing w:after="0" w:line="240" w:lineRule="auto"/>
              <w:rPr>
                <w:rFonts w:ascii="Times New Roman" w:hAnsi="Times New Roman"/>
                <w:bCs/>
                <w:sz w:val="21"/>
                <w:szCs w:val="21"/>
              </w:rPr>
            </w:pPr>
            <w:r w:rsidRPr="007C5A6E">
              <w:rPr>
                <w:rFonts w:ascii="Times New Roman" w:hAnsi="Times New Roman"/>
                <w:bCs/>
                <w:sz w:val="21"/>
                <w:szCs w:val="21"/>
              </w:rPr>
              <w:t>Déjection et défécation des animaux ; restes d’aliment pour bétail ; Phosphate ; levure ;</w:t>
            </w:r>
          </w:p>
          <w:p w14:paraId="3CE2A157" w14:textId="77777777" w:rsidR="00ED7CDA" w:rsidRPr="007C5A6E" w:rsidRDefault="00ED7CDA" w:rsidP="00BC4843">
            <w:pPr>
              <w:spacing w:after="0" w:line="240" w:lineRule="auto"/>
              <w:rPr>
                <w:rFonts w:ascii="Times New Roman" w:hAnsi="Times New Roman"/>
                <w:bCs/>
                <w:sz w:val="21"/>
                <w:szCs w:val="21"/>
              </w:rPr>
            </w:pPr>
            <w:r w:rsidRPr="007C5A6E">
              <w:rPr>
                <w:rFonts w:ascii="Times New Roman" w:hAnsi="Times New Roman"/>
                <w:bCs/>
                <w:sz w:val="21"/>
                <w:szCs w:val="21"/>
              </w:rPr>
              <w:t>Effluents et déchets …</w:t>
            </w:r>
          </w:p>
        </w:tc>
      </w:tr>
    </w:tbl>
    <w:p w14:paraId="0664255A" w14:textId="77777777" w:rsidR="00ED7CDA" w:rsidRPr="007C5A6E" w:rsidRDefault="00ED7CDA" w:rsidP="00BC4843">
      <w:pPr>
        <w:spacing w:after="0" w:line="240" w:lineRule="auto"/>
        <w:jc w:val="both"/>
        <w:rPr>
          <w:rFonts w:ascii="Times New Roman" w:hAnsi="Times New Roman"/>
          <w:sz w:val="20"/>
          <w:szCs w:val="20"/>
        </w:rPr>
      </w:pPr>
      <w:r w:rsidRPr="007C5A6E">
        <w:rPr>
          <w:rFonts w:ascii="Times New Roman" w:hAnsi="Times New Roman"/>
          <w:sz w:val="20"/>
          <w:szCs w:val="20"/>
        </w:rPr>
        <w:t>Source : REEB2 et Rapport sur l’optimisation des réseaux de suivi (DGRE-PAEA)</w:t>
      </w:r>
    </w:p>
    <w:p w14:paraId="7DC9E429" w14:textId="77777777" w:rsidR="004122D6" w:rsidRPr="007C5A6E" w:rsidRDefault="004122D6" w:rsidP="00BC4843">
      <w:pPr>
        <w:spacing w:after="0" w:line="240" w:lineRule="auto"/>
        <w:jc w:val="both"/>
        <w:rPr>
          <w:rFonts w:ascii="Times New Roman" w:hAnsi="Times New Roman"/>
          <w:bCs/>
          <w:sz w:val="24"/>
          <w:szCs w:val="24"/>
        </w:rPr>
      </w:pPr>
    </w:p>
    <w:p w14:paraId="4AF9A5F7" w14:textId="11D42998" w:rsidR="00ED7CDA" w:rsidRPr="007C5A6E" w:rsidRDefault="00ED7CDA" w:rsidP="00BC4843">
      <w:pPr>
        <w:spacing w:after="0" w:line="240" w:lineRule="auto"/>
        <w:jc w:val="both"/>
        <w:rPr>
          <w:rFonts w:ascii="Times New Roman" w:hAnsi="Times New Roman"/>
          <w:bCs/>
          <w:sz w:val="24"/>
          <w:szCs w:val="24"/>
        </w:rPr>
      </w:pPr>
      <w:r w:rsidRPr="007C5A6E">
        <w:rPr>
          <w:rFonts w:ascii="Times New Roman" w:hAnsi="Times New Roman"/>
          <w:bCs/>
          <w:sz w:val="24"/>
          <w:szCs w:val="24"/>
        </w:rPr>
        <w:t>Selon l’étude DGRE, les principaux sites de pollution des eaux au Burkina Faso sont</w:t>
      </w:r>
      <w:r w:rsidR="004122D6" w:rsidRPr="007C5A6E">
        <w:rPr>
          <w:rFonts w:ascii="Times New Roman" w:hAnsi="Times New Roman"/>
          <w:bCs/>
          <w:sz w:val="24"/>
          <w:szCs w:val="24"/>
        </w:rPr>
        <w:t> :</w:t>
      </w:r>
    </w:p>
    <w:p w14:paraId="6660DE61" w14:textId="77777777" w:rsidR="00ED7CDA" w:rsidRPr="007C5A6E" w:rsidRDefault="00ED7CDA" w:rsidP="003F3821">
      <w:pPr>
        <w:numPr>
          <w:ilvl w:val="0"/>
          <w:numId w:val="9"/>
        </w:numPr>
        <w:spacing w:after="0" w:line="240" w:lineRule="auto"/>
        <w:contextualSpacing/>
        <w:jc w:val="both"/>
        <w:rPr>
          <w:rFonts w:ascii="Times New Roman" w:hAnsi="Times New Roman"/>
          <w:sz w:val="24"/>
          <w:szCs w:val="24"/>
        </w:rPr>
      </w:pPr>
      <w:r w:rsidRPr="007C5A6E">
        <w:rPr>
          <w:rFonts w:ascii="Times New Roman" w:hAnsi="Times New Roman"/>
          <w:sz w:val="24"/>
          <w:szCs w:val="24"/>
        </w:rPr>
        <w:t>Les zones de production agricoles pluviales notamment de la zone cotonnière ;</w:t>
      </w:r>
    </w:p>
    <w:p w14:paraId="2D400D6D" w14:textId="77777777" w:rsidR="00ED7CDA" w:rsidRPr="007C5A6E" w:rsidRDefault="00ED7CDA" w:rsidP="003F3821">
      <w:pPr>
        <w:numPr>
          <w:ilvl w:val="0"/>
          <w:numId w:val="9"/>
        </w:numPr>
        <w:spacing w:after="0" w:line="240" w:lineRule="auto"/>
        <w:contextualSpacing/>
        <w:jc w:val="both"/>
        <w:rPr>
          <w:rFonts w:ascii="Times New Roman" w:hAnsi="Times New Roman"/>
          <w:sz w:val="24"/>
          <w:szCs w:val="24"/>
        </w:rPr>
      </w:pPr>
      <w:r w:rsidRPr="007C5A6E">
        <w:rPr>
          <w:rFonts w:ascii="Times New Roman" w:hAnsi="Times New Roman"/>
          <w:sz w:val="24"/>
          <w:szCs w:val="24"/>
        </w:rPr>
        <w:t>Les zones d’exploitation anarchique des berges des cours d’eau ;</w:t>
      </w:r>
    </w:p>
    <w:p w14:paraId="0D4FCE71" w14:textId="77777777" w:rsidR="00ED7CDA" w:rsidRPr="007C5A6E" w:rsidRDefault="00ED7CDA" w:rsidP="003F3821">
      <w:pPr>
        <w:numPr>
          <w:ilvl w:val="0"/>
          <w:numId w:val="9"/>
        </w:numPr>
        <w:spacing w:after="0" w:line="240" w:lineRule="auto"/>
        <w:contextualSpacing/>
        <w:jc w:val="both"/>
        <w:rPr>
          <w:rFonts w:ascii="Times New Roman" w:hAnsi="Times New Roman"/>
          <w:sz w:val="24"/>
          <w:szCs w:val="24"/>
        </w:rPr>
      </w:pPr>
      <w:r w:rsidRPr="007C5A6E">
        <w:rPr>
          <w:rFonts w:ascii="Times New Roman" w:hAnsi="Times New Roman"/>
          <w:sz w:val="24"/>
          <w:szCs w:val="24"/>
        </w:rPr>
        <w:t>Les zones de cultures irriguées caractérisées par l’agriculture intensive ;</w:t>
      </w:r>
    </w:p>
    <w:p w14:paraId="49AF6F3C" w14:textId="77777777" w:rsidR="00ED7CDA" w:rsidRPr="007C5A6E" w:rsidRDefault="00ED7CDA" w:rsidP="003F3821">
      <w:pPr>
        <w:numPr>
          <w:ilvl w:val="0"/>
          <w:numId w:val="9"/>
        </w:numPr>
        <w:spacing w:after="0" w:line="240" w:lineRule="auto"/>
        <w:contextualSpacing/>
        <w:jc w:val="both"/>
        <w:rPr>
          <w:rFonts w:ascii="Times New Roman" w:hAnsi="Times New Roman"/>
          <w:sz w:val="24"/>
          <w:szCs w:val="24"/>
        </w:rPr>
      </w:pPr>
      <w:r w:rsidRPr="007C5A6E">
        <w:rPr>
          <w:rFonts w:ascii="Times New Roman" w:hAnsi="Times New Roman"/>
          <w:sz w:val="24"/>
          <w:szCs w:val="24"/>
        </w:rPr>
        <w:t>Les zones d’élevage et de production aquacole ;</w:t>
      </w:r>
    </w:p>
    <w:p w14:paraId="6A4B34C0" w14:textId="77777777" w:rsidR="00ED7CDA" w:rsidRPr="007C5A6E" w:rsidRDefault="00ED7CDA" w:rsidP="003F3821">
      <w:pPr>
        <w:numPr>
          <w:ilvl w:val="0"/>
          <w:numId w:val="9"/>
        </w:numPr>
        <w:spacing w:after="0" w:line="240" w:lineRule="auto"/>
        <w:contextualSpacing/>
        <w:jc w:val="both"/>
        <w:rPr>
          <w:rFonts w:ascii="Times New Roman" w:hAnsi="Times New Roman"/>
          <w:sz w:val="24"/>
          <w:szCs w:val="24"/>
        </w:rPr>
      </w:pPr>
      <w:r w:rsidRPr="007C5A6E">
        <w:rPr>
          <w:rFonts w:ascii="Times New Roman" w:hAnsi="Times New Roman"/>
          <w:sz w:val="24"/>
          <w:szCs w:val="24"/>
        </w:rPr>
        <w:t>Les sociétés de production d’eau et d’électricité ;</w:t>
      </w:r>
    </w:p>
    <w:p w14:paraId="62338F6D" w14:textId="77777777" w:rsidR="00ED7CDA" w:rsidRPr="007C5A6E" w:rsidRDefault="00ED7CDA" w:rsidP="003F3821">
      <w:pPr>
        <w:numPr>
          <w:ilvl w:val="0"/>
          <w:numId w:val="9"/>
        </w:numPr>
        <w:spacing w:after="0" w:line="240" w:lineRule="auto"/>
        <w:contextualSpacing/>
        <w:jc w:val="both"/>
        <w:rPr>
          <w:rFonts w:ascii="Times New Roman" w:hAnsi="Times New Roman"/>
          <w:sz w:val="24"/>
          <w:szCs w:val="24"/>
        </w:rPr>
      </w:pPr>
      <w:r w:rsidRPr="007C5A6E">
        <w:rPr>
          <w:rFonts w:ascii="Times New Roman" w:hAnsi="Times New Roman"/>
          <w:sz w:val="24"/>
          <w:szCs w:val="24"/>
        </w:rPr>
        <w:t>Les industries agroalimentaires des villes de l’EC du SAGE ;</w:t>
      </w:r>
    </w:p>
    <w:p w14:paraId="6F123517" w14:textId="77777777" w:rsidR="00ED7CDA" w:rsidRPr="007C5A6E" w:rsidRDefault="00ED7CDA" w:rsidP="003F3821">
      <w:pPr>
        <w:numPr>
          <w:ilvl w:val="0"/>
          <w:numId w:val="9"/>
        </w:numPr>
        <w:spacing w:after="0" w:line="240" w:lineRule="auto"/>
        <w:contextualSpacing/>
        <w:jc w:val="both"/>
        <w:rPr>
          <w:rFonts w:ascii="Times New Roman" w:hAnsi="Times New Roman"/>
          <w:sz w:val="24"/>
          <w:szCs w:val="24"/>
        </w:rPr>
      </w:pPr>
      <w:r w:rsidRPr="007C5A6E">
        <w:rPr>
          <w:rFonts w:ascii="Times New Roman" w:hAnsi="Times New Roman"/>
          <w:sz w:val="24"/>
          <w:szCs w:val="24"/>
        </w:rPr>
        <w:t>Les cimenteries ;</w:t>
      </w:r>
    </w:p>
    <w:p w14:paraId="288BB429" w14:textId="77777777" w:rsidR="00ED7CDA" w:rsidRPr="007C5A6E" w:rsidRDefault="00ED7CDA" w:rsidP="003F3821">
      <w:pPr>
        <w:numPr>
          <w:ilvl w:val="0"/>
          <w:numId w:val="9"/>
        </w:numPr>
        <w:spacing w:after="0" w:line="240" w:lineRule="auto"/>
        <w:contextualSpacing/>
        <w:jc w:val="both"/>
        <w:rPr>
          <w:rFonts w:ascii="Times New Roman" w:hAnsi="Times New Roman"/>
          <w:sz w:val="24"/>
          <w:szCs w:val="24"/>
        </w:rPr>
      </w:pPr>
      <w:r w:rsidRPr="007C5A6E">
        <w:rPr>
          <w:rFonts w:ascii="Times New Roman" w:hAnsi="Times New Roman"/>
          <w:sz w:val="24"/>
          <w:szCs w:val="24"/>
        </w:rPr>
        <w:t>Les abattoirs et les tanneries ;</w:t>
      </w:r>
    </w:p>
    <w:p w14:paraId="128B45AA" w14:textId="77777777" w:rsidR="00ED7CDA" w:rsidRPr="007C5A6E" w:rsidRDefault="00ED7CDA" w:rsidP="003F3821">
      <w:pPr>
        <w:numPr>
          <w:ilvl w:val="0"/>
          <w:numId w:val="9"/>
        </w:numPr>
        <w:spacing w:after="0" w:line="240" w:lineRule="auto"/>
        <w:contextualSpacing/>
        <w:jc w:val="both"/>
        <w:rPr>
          <w:rFonts w:ascii="Times New Roman" w:hAnsi="Times New Roman"/>
          <w:sz w:val="24"/>
          <w:szCs w:val="24"/>
        </w:rPr>
      </w:pPr>
      <w:r w:rsidRPr="007C5A6E">
        <w:rPr>
          <w:rFonts w:ascii="Times New Roman" w:hAnsi="Times New Roman"/>
          <w:sz w:val="24"/>
          <w:szCs w:val="24"/>
        </w:rPr>
        <w:t>Les laboratoires d’analyse et les centres de santé (hôpitaux notamment</w:t>
      </w:r>
      <w:proofErr w:type="gramStart"/>
      <w:r w:rsidRPr="007C5A6E">
        <w:rPr>
          <w:rFonts w:ascii="Times New Roman" w:hAnsi="Times New Roman"/>
          <w:sz w:val="24"/>
          <w:szCs w:val="24"/>
        </w:rPr>
        <w:t>);</w:t>
      </w:r>
      <w:proofErr w:type="gramEnd"/>
    </w:p>
    <w:p w14:paraId="03FC4A27" w14:textId="77777777" w:rsidR="00ED7CDA" w:rsidRPr="007C5A6E" w:rsidRDefault="00ED7CDA" w:rsidP="003F3821">
      <w:pPr>
        <w:numPr>
          <w:ilvl w:val="0"/>
          <w:numId w:val="9"/>
        </w:numPr>
        <w:spacing w:after="0" w:line="240" w:lineRule="auto"/>
        <w:contextualSpacing/>
        <w:jc w:val="both"/>
        <w:rPr>
          <w:rFonts w:ascii="Times New Roman" w:hAnsi="Times New Roman"/>
          <w:sz w:val="24"/>
          <w:szCs w:val="24"/>
        </w:rPr>
      </w:pPr>
      <w:r w:rsidRPr="007C5A6E">
        <w:rPr>
          <w:rFonts w:ascii="Times New Roman" w:hAnsi="Times New Roman"/>
          <w:sz w:val="24"/>
          <w:szCs w:val="24"/>
        </w:rPr>
        <w:t>Les transports ;</w:t>
      </w:r>
    </w:p>
    <w:p w14:paraId="00B560E9" w14:textId="77777777" w:rsidR="00ED7CDA" w:rsidRPr="007C5A6E" w:rsidRDefault="00ED7CDA" w:rsidP="003F3821">
      <w:pPr>
        <w:numPr>
          <w:ilvl w:val="0"/>
          <w:numId w:val="9"/>
        </w:numPr>
        <w:spacing w:after="0" w:line="240" w:lineRule="auto"/>
        <w:ind w:left="714" w:hanging="357"/>
        <w:jc w:val="both"/>
        <w:rPr>
          <w:rFonts w:ascii="Times New Roman" w:hAnsi="Times New Roman"/>
          <w:sz w:val="24"/>
          <w:szCs w:val="24"/>
        </w:rPr>
      </w:pPr>
      <w:r w:rsidRPr="007C5A6E">
        <w:rPr>
          <w:rFonts w:ascii="Times New Roman" w:hAnsi="Times New Roman"/>
          <w:sz w:val="24"/>
          <w:szCs w:val="24"/>
        </w:rPr>
        <w:t>Les garages et les stations de service d’essence, de vidange et de lavage de voitures…</w:t>
      </w:r>
    </w:p>
    <w:p w14:paraId="73AF84F4" w14:textId="77777777" w:rsidR="004122D6" w:rsidRPr="007C5A6E" w:rsidRDefault="004122D6" w:rsidP="00BC4843">
      <w:pPr>
        <w:spacing w:after="0" w:line="240" w:lineRule="auto"/>
        <w:jc w:val="both"/>
        <w:rPr>
          <w:rFonts w:ascii="Times New Roman" w:hAnsi="Times New Roman"/>
          <w:sz w:val="24"/>
          <w:szCs w:val="24"/>
        </w:rPr>
      </w:pPr>
    </w:p>
    <w:p w14:paraId="49537A99" w14:textId="091F2152" w:rsidR="00ED7CDA" w:rsidRPr="007C5A6E" w:rsidRDefault="00ED7CDA" w:rsidP="00BC4843">
      <w:pPr>
        <w:spacing w:after="0" w:line="240" w:lineRule="auto"/>
        <w:jc w:val="both"/>
        <w:rPr>
          <w:rFonts w:ascii="Times New Roman" w:hAnsi="Times New Roman"/>
          <w:sz w:val="24"/>
          <w:szCs w:val="24"/>
        </w:rPr>
      </w:pPr>
      <w:r w:rsidRPr="007C5A6E">
        <w:rPr>
          <w:rFonts w:ascii="Times New Roman" w:hAnsi="Times New Roman"/>
          <w:sz w:val="24"/>
          <w:szCs w:val="24"/>
        </w:rPr>
        <w:t xml:space="preserve">A titre illustratif, le tableau </w:t>
      </w:r>
      <w:r w:rsidR="00DB613A" w:rsidRPr="007C5A6E">
        <w:rPr>
          <w:rFonts w:ascii="Times New Roman" w:hAnsi="Times New Roman"/>
          <w:sz w:val="24"/>
          <w:szCs w:val="24"/>
        </w:rPr>
        <w:t>8</w:t>
      </w:r>
      <w:r w:rsidR="007C03EF" w:rsidRPr="007C5A6E">
        <w:rPr>
          <w:rFonts w:ascii="Times New Roman" w:hAnsi="Times New Roman"/>
          <w:sz w:val="24"/>
          <w:szCs w:val="24"/>
        </w:rPr>
        <w:t xml:space="preserve"> ci-après</w:t>
      </w:r>
      <w:r w:rsidRPr="007C5A6E">
        <w:rPr>
          <w:rFonts w:ascii="Times New Roman" w:hAnsi="Times New Roman"/>
          <w:sz w:val="24"/>
          <w:szCs w:val="24"/>
        </w:rPr>
        <w:t xml:space="preserve"> donne un aperçu des polluants chimiques rejetés par certaines unités industrielles et le transport.</w:t>
      </w:r>
    </w:p>
    <w:p w14:paraId="3CCB647A" w14:textId="77777777" w:rsidR="004122D6" w:rsidRPr="007C5A6E" w:rsidRDefault="004122D6" w:rsidP="00BC4843">
      <w:pPr>
        <w:spacing w:after="0" w:line="240" w:lineRule="auto"/>
        <w:jc w:val="both"/>
        <w:rPr>
          <w:rFonts w:ascii="Times New Roman" w:hAnsi="Times New Roman"/>
          <w:sz w:val="24"/>
          <w:szCs w:val="24"/>
        </w:rPr>
      </w:pPr>
    </w:p>
    <w:p w14:paraId="22932304" w14:textId="7C27D501" w:rsidR="00ED7CDA" w:rsidRPr="007C5A6E" w:rsidRDefault="00ED7CDA" w:rsidP="00BC4843">
      <w:pPr>
        <w:tabs>
          <w:tab w:val="left" w:pos="1134"/>
        </w:tabs>
        <w:spacing w:after="0" w:line="240" w:lineRule="auto"/>
        <w:ind w:left="1134" w:hanging="1134"/>
        <w:rPr>
          <w:rFonts w:ascii="Times New Roman" w:hAnsi="Times New Roman"/>
          <w:iCs/>
          <w:sz w:val="24"/>
          <w:szCs w:val="24"/>
          <w:lang w:eastAsia="da-DK"/>
        </w:rPr>
      </w:pPr>
      <w:bookmarkStart w:id="228" w:name="_Toc182605856"/>
      <w:bookmarkStart w:id="229" w:name="_Toc183240970"/>
      <w:bookmarkStart w:id="230" w:name="_Toc183292212"/>
      <w:bookmarkStart w:id="231" w:name="_Toc183340492"/>
      <w:r w:rsidRPr="007C5A6E">
        <w:rPr>
          <w:rFonts w:ascii="Times New Roman" w:hAnsi="Times New Roman"/>
          <w:iCs/>
          <w:sz w:val="24"/>
          <w:szCs w:val="24"/>
          <w:lang w:eastAsia="da-DK"/>
        </w:rPr>
        <w:t xml:space="preserve">Tableau </w:t>
      </w:r>
      <w:r w:rsidRPr="007C5A6E">
        <w:rPr>
          <w:rFonts w:ascii="Times New Roman" w:hAnsi="Times New Roman"/>
          <w:iCs/>
          <w:sz w:val="24"/>
          <w:szCs w:val="24"/>
          <w:lang w:eastAsia="da-DK"/>
        </w:rPr>
        <w:fldChar w:fldCharType="begin"/>
      </w:r>
      <w:r w:rsidRPr="007C5A6E">
        <w:rPr>
          <w:rFonts w:ascii="Times New Roman" w:hAnsi="Times New Roman"/>
          <w:iCs/>
          <w:sz w:val="24"/>
          <w:szCs w:val="24"/>
          <w:lang w:eastAsia="da-DK"/>
        </w:rPr>
        <w:instrText xml:space="preserve"> SEQ Tableau \* ARABIC </w:instrText>
      </w:r>
      <w:r w:rsidRPr="007C5A6E">
        <w:rPr>
          <w:rFonts w:ascii="Times New Roman" w:hAnsi="Times New Roman"/>
          <w:iCs/>
          <w:sz w:val="24"/>
          <w:szCs w:val="24"/>
          <w:lang w:eastAsia="da-DK"/>
        </w:rPr>
        <w:fldChar w:fldCharType="separate"/>
      </w:r>
      <w:r w:rsidR="003162F8" w:rsidRPr="007C5A6E">
        <w:rPr>
          <w:rFonts w:ascii="Times New Roman" w:hAnsi="Times New Roman"/>
          <w:iCs/>
          <w:noProof/>
          <w:sz w:val="24"/>
          <w:szCs w:val="24"/>
          <w:lang w:eastAsia="da-DK"/>
        </w:rPr>
        <w:t>8</w:t>
      </w:r>
      <w:r w:rsidRPr="007C5A6E">
        <w:rPr>
          <w:rFonts w:ascii="Times New Roman" w:hAnsi="Times New Roman"/>
          <w:iCs/>
          <w:sz w:val="24"/>
          <w:szCs w:val="24"/>
          <w:lang w:eastAsia="da-DK"/>
        </w:rPr>
        <w:fldChar w:fldCharType="end"/>
      </w:r>
      <w:r w:rsidRPr="007C5A6E">
        <w:rPr>
          <w:rFonts w:ascii="Times New Roman" w:hAnsi="Times New Roman"/>
          <w:iCs/>
          <w:sz w:val="24"/>
          <w:szCs w:val="24"/>
          <w:lang w:eastAsia="da-DK"/>
        </w:rPr>
        <w:t> : types de substances polluantes déversées par les industries et les transports</w:t>
      </w:r>
      <w:bookmarkEnd w:id="228"/>
      <w:bookmarkEnd w:id="229"/>
      <w:bookmarkEnd w:id="230"/>
      <w:bookmarkEnd w:id="231"/>
      <w:r w:rsidRPr="007C5A6E">
        <w:rPr>
          <w:rFonts w:ascii="Times New Roman" w:hAnsi="Times New Roman"/>
          <w:iCs/>
          <w:sz w:val="24"/>
          <w:szCs w:val="24"/>
          <w:lang w:eastAsia="da-DK"/>
        </w:rPr>
        <w:t xml:space="preserve"> </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02"/>
        <w:gridCol w:w="2314"/>
        <w:gridCol w:w="5074"/>
      </w:tblGrid>
      <w:tr w:rsidR="00ED7CDA" w:rsidRPr="007C5A6E" w14:paraId="012A7DF1" w14:textId="77777777" w:rsidTr="00F64FD7">
        <w:trPr>
          <w:cantSplit/>
        </w:trPr>
        <w:tc>
          <w:tcPr>
            <w:tcW w:w="3916" w:type="dxa"/>
            <w:gridSpan w:val="2"/>
            <w:shd w:val="clear" w:color="auto" w:fill="002060"/>
            <w:vAlign w:val="center"/>
          </w:tcPr>
          <w:p w14:paraId="01B310D2" w14:textId="2E263288"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Sources</w:t>
            </w:r>
            <w:r w:rsidR="007C03EF" w:rsidRPr="007C5A6E">
              <w:rPr>
                <w:rFonts w:ascii="Times New Roman" w:hAnsi="Times New Roman"/>
                <w:sz w:val="21"/>
                <w:szCs w:val="21"/>
                <w:lang w:eastAsia="da-DK"/>
              </w:rPr>
              <w:t xml:space="preserve"> de pollution des eaux </w:t>
            </w:r>
          </w:p>
        </w:tc>
        <w:tc>
          <w:tcPr>
            <w:tcW w:w="5074" w:type="dxa"/>
            <w:shd w:val="clear" w:color="auto" w:fill="002060"/>
            <w:vAlign w:val="center"/>
          </w:tcPr>
          <w:p w14:paraId="4D98FCE3"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Polluants rejetés</w:t>
            </w:r>
          </w:p>
        </w:tc>
      </w:tr>
      <w:tr w:rsidR="00ED7CDA" w:rsidRPr="007C5A6E" w14:paraId="75C2959F" w14:textId="77777777" w:rsidTr="00F64FD7">
        <w:trPr>
          <w:cantSplit/>
        </w:trPr>
        <w:tc>
          <w:tcPr>
            <w:tcW w:w="1602" w:type="dxa"/>
            <w:vMerge w:val="restart"/>
            <w:vAlign w:val="center"/>
          </w:tcPr>
          <w:p w14:paraId="562E3920" w14:textId="77777777" w:rsidR="00ED7CDA" w:rsidRPr="007C5A6E" w:rsidRDefault="00ED7CDA" w:rsidP="00BC4843">
            <w:pPr>
              <w:spacing w:after="0" w:line="240" w:lineRule="auto"/>
              <w:rPr>
                <w:rFonts w:ascii="Times New Roman" w:hAnsi="Times New Roman"/>
                <w:sz w:val="21"/>
                <w:szCs w:val="21"/>
                <w:lang w:eastAsia="da-DK"/>
              </w:rPr>
            </w:pPr>
          </w:p>
          <w:p w14:paraId="465271C5" w14:textId="77777777" w:rsidR="00ED7CDA" w:rsidRPr="007C5A6E" w:rsidRDefault="00ED7CDA" w:rsidP="00BC4843">
            <w:pPr>
              <w:spacing w:after="0" w:line="240" w:lineRule="auto"/>
              <w:rPr>
                <w:rFonts w:ascii="Times New Roman" w:hAnsi="Times New Roman"/>
                <w:sz w:val="21"/>
                <w:szCs w:val="21"/>
                <w:lang w:eastAsia="da-DK"/>
              </w:rPr>
            </w:pPr>
          </w:p>
          <w:p w14:paraId="63E35C25" w14:textId="77777777" w:rsidR="00ED7CDA" w:rsidRPr="007C5A6E" w:rsidRDefault="00ED7CDA" w:rsidP="00BC4843">
            <w:pPr>
              <w:spacing w:after="0" w:line="240" w:lineRule="auto"/>
              <w:rPr>
                <w:rFonts w:ascii="Times New Roman" w:hAnsi="Times New Roman"/>
                <w:sz w:val="21"/>
                <w:szCs w:val="21"/>
                <w:lang w:eastAsia="da-DK"/>
              </w:rPr>
            </w:pPr>
          </w:p>
          <w:p w14:paraId="2452DF85" w14:textId="77777777" w:rsidR="00ED7CDA" w:rsidRPr="007C5A6E" w:rsidRDefault="00ED7CDA" w:rsidP="00BC4843">
            <w:pPr>
              <w:spacing w:after="0" w:line="240" w:lineRule="auto"/>
              <w:rPr>
                <w:rFonts w:ascii="Times New Roman" w:hAnsi="Times New Roman"/>
                <w:sz w:val="21"/>
                <w:szCs w:val="21"/>
                <w:lang w:eastAsia="da-DK"/>
              </w:rPr>
            </w:pPr>
          </w:p>
          <w:p w14:paraId="1A55B042" w14:textId="77777777" w:rsidR="00ED7CDA" w:rsidRPr="007C5A6E" w:rsidRDefault="00ED7CDA" w:rsidP="00BC4843">
            <w:pPr>
              <w:spacing w:after="0" w:line="240" w:lineRule="auto"/>
              <w:rPr>
                <w:rFonts w:ascii="Times New Roman" w:hAnsi="Times New Roman"/>
                <w:sz w:val="21"/>
                <w:szCs w:val="21"/>
                <w:lang w:eastAsia="da-DK"/>
              </w:rPr>
            </w:pPr>
          </w:p>
          <w:p w14:paraId="64579DA1"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Industries</w:t>
            </w:r>
          </w:p>
          <w:p w14:paraId="10471889"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 xml:space="preserve"> </w:t>
            </w:r>
          </w:p>
        </w:tc>
        <w:tc>
          <w:tcPr>
            <w:tcW w:w="2314" w:type="dxa"/>
            <w:vAlign w:val="center"/>
          </w:tcPr>
          <w:p w14:paraId="1284FA97"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Brasseries</w:t>
            </w:r>
          </w:p>
        </w:tc>
        <w:tc>
          <w:tcPr>
            <w:tcW w:w="5074" w:type="dxa"/>
            <w:vAlign w:val="center"/>
          </w:tcPr>
          <w:p w14:paraId="128E3CE3"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Soude, levure, triméthane…</w:t>
            </w:r>
          </w:p>
        </w:tc>
      </w:tr>
      <w:tr w:rsidR="00ED7CDA" w:rsidRPr="007C5A6E" w14:paraId="0EAB5C52" w14:textId="77777777" w:rsidTr="00F64FD7">
        <w:trPr>
          <w:cantSplit/>
        </w:trPr>
        <w:tc>
          <w:tcPr>
            <w:tcW w:w="1602" w:type="dxa"/>
            <w:vMerge/>
            <w:vAlign w:val="center"/>
          </w:tcPr>
          <w:p w14:paraId="44F2E7B4" w14:textId="77777777" w:rsidR="00ED7CDA" w:rsidRPr="007C5A6E" w:rsidRDefault="00ED7CDA" w:rsidP="00BC4843">
            <w:pPr>
              <w:spacing w:after="0" w:line="240" w:lineRule="auto"/>
              <w:rPr>
                <w:rFonts w:ascii="Times New Roman" w:hAnsi="Times New Roman"/>
                <w:sz w:val="21"/>
                <w:szCs w:val="21"/>
                <w:lang w:eastAsia="da-DK"/>
              </w:rPr>
            </w:pPr>
          </w:p>
        </w:tc>
        <w:tc>
          <w:tcPr>
            <w:tcW w:w="2314" w:type="dxa"/>
            <w:vAlign w:val="center"/>
          </w:tcPr>
          <w:p w14:paraId="35AFB072"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Hôpitaux</w:t>
            </w:r>
          </w:p>
        </w:tc>
        <w:tc>
          <w:tcPr>
            <w:tcW w:w="5074" w:type="dxa"/>
            <w:vAlign w:val="center"/>
          </w:tcPr>
          <w:p w14:paraId="3010C6E7"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Savon, sang, médicaments, produits divers, …</w:t>
            </w:r>
          </w:p>
        </w:tc>
      </w:tr>
      <w:tr w:rsidR="00ED7CDA" w:rsidRPr="007C5A6E" w14:paraId="16496F97" w14:textId="77777777" w:rsidTr="00F64FD7">
        <w:trPr>
          <w:cantSplit/>
        </w:trPr>
        <w:tc>
          <w:tcPr>
            <w:tcW w:w="1602" w:type="dxa"/>
            <w:vMerge/>
            <w:vAlign w:val="center"/>
          </w:tcPr>
          <w:p w14:paraId="5F016571" w14:textId="77777777" w:rsidR="00ED7CDA" w:rsidRPr="007C5A6E" w:rsidRDefault="00ED7CDA" w:rsidP="00BC4843">
            <w:pPr>
              <w:spacing w:after="0" w:line="240" w:lineRule="auto"/>
              <w:rPr>
                <w:rFonts w:ascii="Times New Roman" w:hAnsi="Times New Roman"/>
                <w:sz w:val="21"/>
                <w:szCs w:val="21"/>
                <w:lang w:eastAsia="da-DK"/>
              </w:rPr>
            </w:pPr>
          </w:p>
        </w:tc>
        <w:tc>
          <w:tcPr>
            <w:tcW w:w="2314" w:type="dxa"/>
            <w:vAlign w:val="center"/>
          </w:tcPr>
          <w:p w14:paraId="539D8DF8"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 xml:space="preserve">Agroalimentaire </w:t>
            </w:r>
          </w:p>
        </w:tc>
        <w:tc>
          <w:tcPr>
            <w:tcW w:w="5074" w:type="dxa"/>
            <w:vAlign w:val="center"/>
          </w:tcPr>
          <w:p w14:paraId="5E5C4ED7"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Savon, acide nitrique, soude, glycérine, sels, graisses…</w:t>
            </w:r>
          </w:p>
        </w:tc>
      </w:tr>
      <w:tr w:rsidR="00ED7CDA" w:rsidRPr="007C5A6E" w14:paraId="266A58E8" w14:textId="77777777" w:rsidTr="00F64FD7">
        <w:trPr>
          <w:cantSplit/>
        </w:trPr>
        <w:tc>
          <w:tcPr>
            <w:tcW w:w="1602" w:type="dxa"/>
            <w:vMerge/>
            <w:vAlign w:val="center"/>
          </w:tcPr>
          <w:p w14:paraId="1A4AB366" w14:textId="77777777" w:rsidR="00ED7CDA" w:rsidRPr="007C5A6E" w:rsidRDefault="00ED7CDA" w:rsidP="00BC4843">
            <w:pPr>
              <w:spacing w:after="0" w:line="240" w:lineRule="auto"/>
              <w:rPr>
                <w:rFonts w:ascii="Times New Roman" w:hAnsi="Times New Roman"/>
                <w:sz w:val="21"/>
                <w:szCs w:val="21"/>
                <w:lang w:eastAsia="da-DK"/>
              </w:rPr>
            </w:pPr>
          </w:p>
        </w:tc>
        <w:tc>
          <w:tcPr>
            <w:tcW w:w="2314" w:type="dxa"/>
            <w:vAlign w:val="center"/>
          </w:tcPr>
          <w:p w14:paraId="3ED104BB"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 xml:space="preserve">Imprimerie </w:t>
            </w:r>
          </w:p>
        </w:tc>
        <w:tc>
          <w:tcPr>
            <w:tcW w:w="5074" w:type="dxa"/>
            <w:vAlign w:val="center"/>
          </w:tcPr>
          <w:p w14:paraId="73AF4802"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Fixateur, encre, hydrocarbures, …</w:t>
            </w:r>
          </w:p>
        </w:tc>
      </w:tr>
      <w:tr w:rsidR="00ED7CDA" w:rsidRPr="007C5A6E" w14:paraId="0B5B3334" w14:textId="77777777" w:rsidTr="00F64FD7">
        <w:trPr>
          <w:cantSplit/>
        </w:trPr>
        <w:tc>
          <w:tcPr>
            <w:tcW w:w="1602" w:type="dxa"/>
            <w:vMerge/>
            <w:vAlign w:val="center"/>
          </w:tcPr>
          <w:p w14:paraId="58E19093" w14:textId="77777777" w:rsidR="00ED7CDA" w:rsidRPr="007C5A6E" w:rsidRDefault="00ED7CDA" w:rsidP="00BC4843">
            <w:pPr>
              <w:spacing w:after="0" w:line="240" w:lineRule="auto"/>
              <w:rPr>
                <w:rFonts w:ascii="Times New Roman" w:hAnsi="Times New Roman"/>
                <w:sz w:val="21"/>
                <w:szCs w:val="21"/>
                <w:lang w:eastAsia="da-DK"/>
              </w:rPr>
            </w:pPr>
          </w:p>
        </w:tc>
        <w:tc>
          <w:tcPr>
            <w:tcW w:w="2314" w:type="dxa"/>
            <w:vAlign w:val="center"/>
          </w:tcPr>
          <w:p w14:paraId="60743E81"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Industrie phytosanitaire (SAPHYTO)</w:t>
            </w:r>
          </w:p>
        </w:tc>
        <w:tc>
          <w:tcPr>
            <w:tcW w:w="5074" w:type="dxa"/>
            <w:vAlign w:val="center"/>
          </w:tcPr>
          <w:p w14:paraId="668EB24D"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Organophosphorés, pyréthrinoïdes</w:t>
            </w:r>
          </w:p>
        </w:tc>
      </w:tr>
      <w:tr w:rsidR="00ED7CDA" w:rsidRPr="007C5A6E" w14:paraId="15BD12A4" w14:textId="77777777" w:rsidTr="00F64FD7">
        <w:trPr>
          <w:cantSplit/>
        </w:trPr>
        <w:tc>
          <w:tcPr>
            <w:tcW w:w="1602" w:type="dxa"/>
            <w:vMerge/>
            <w:vAlign w:val="center"/>
          </w:tcPr>
          <w:p w14:paraId="44C815B3" w14:textId="77777777" w:rsidR="00ED7CDA" w:rsidRPr="007C5A6E" w:rsidRDefault="00ED7CDA" w:rsidP="00BC4843">
            <w:pPr>
              <w:spacing w:after="0" w:line="240" w:lineRule="auto"/>
              <w:rPr>
                <w:rFonts w:ascii="Times New Roman" w:hAnsi="Times New Roman"/>
                <w:sz w:val="21"/>
                <w:szCs w:val="21"/>
                <w:lang w:eastAsia="da-DK"/>
              </w:rPr>
            </w:pPr>
          </w:p>
        </w:tc>
        <w:tc>
          <w:tcPr>
            <w:tcW w:w="2314" w:type="dxa"/>
            <w:vAlign w:val="center"/>
          </w:tcPr>
          <w:p w14:paraId="4AF55CA0"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 xml:space="preserve">Industries mécaniques /métallurgiques (SIFA, CBTM) </w:t>
            </w:r>
          </w:p>
        </w:tc>
        <w:tc>
          <w:tcPr>
            <w:tcW w:w="5074" w:type="dxa"/>
            <w:vAlign w:val="center"/>
          </w:tcPr>
          <w:p w14:paraId="41EF55D8"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 xml:space="preserve">Acides, cyanures, </w:t>
            </w:r>
            <w:proofErr w:type="spellStart"/>
            <w:r w:rsidRPr="007C5A6E">
              <w:rPr>
                <w:rFonts w:ascii="Times New Roman" w:hAnsi="Times New Roman"/>
                <w:sz w:val="21"/>
                <w:szCs w:val="21"/>
                <w:lang w:eastAsia="da-DK"/>
              </w:rPr>
              <w:t>aquazur</w:t>
            </w:r>
            <w:proofErr w:type="spellEnd"/>
            <w:r w:rsidRPr="007C5A6E">
              <w:rPr>
                <w:rFonts w:ascii="Times New Roman" w:hAnsi="Times New Roman"/>
                <w:sz w:val="21"/>
                <w:szCs w:val="21"/>
                <w:lang w:eastAsia="da-DK"/>
              </w:rPr>
              <w:t>, détergents, acide nitrique, soude caustique, phosphate…</w:t>
            </w:r>
          </w:p>
        </w:tc>
      </w:tr>
      <w:tr w:rsidR="00ED7CDA" w:rsidRPr="007C5A6E" w14:paraId="6059E15A" w14:textId="77777777" w:rsidTr="00F64FD7">
        <w:trPr>
          <w:cantSplit/>
        </w:trPr>
        <w:tc>
          <w:tcPr>
            <w:tcW w:w="1602" w:type="dxa"/>
            <w:vMerge/>
            <w:vAlign w:val="center"/>
          </w:tcPr>
          <w:p w14:paraId="1180E8E2" w14:textId="77777777" w:rsidR="00ED7CDA" w:rsidRPr="007C5A6E" w:rsidRDefault="00ED7CDA" w:rsidP="00BC4843">
            <w:pPr>
              <w:spacing w:after="0" w:line="240" w:lineRule="auto"/>
              <w:rPr>
                <w:rFonts w:ascii="Times New Roman" w:hAnsi="Times New Roman"/>
                <w:sz w:val="21"/>
                <w:szCs w:val="21"/>
                <w:lang w:eastAsia="da-DK"/>
              </w:rPr>
            </w:pPr>
          </w:p>
        </w:tc>
        <w:tc>
          <w:tcPr>
            <w:tcW w:w="2314" w:type="dxa"/>
            <w:vAlign w:val="center"/>
          </w:tcPr>
          <w:p w14:paraId="1972EEA3"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 xml:space="preserve">Textile </w:t>
            </w:r>
          </w:p>
        </w:tc>
        <w:tc>
          <w:tcPr>
            <w:tcW w:w="5074" w:type="dxa"/>
            <w:vAlign w:val="center"/>
          </w:tcPr>
          <w:p w14:paraId="69399018"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Acide sulfurique, mouillant, …</w:t>
            </w:r>
          </w:p>
        </w:tc>
      </w:tr>
      <w:tr w:rsidR="00ED7CDA" w:rsidRPr="007C5A6E" w14:paraId="0C7D731B" w14:textId="77777777" w:rsidTr="00F64FD7">
        <w:trPr>
          <w:cantSplit/>
        </w:trPr>
        <w:tc>
          <w:tcPr>
            <w:tcW w:w="1602" w:type="dxa"/>
            <w:vMerge/>
            <w:vAlign w:val="center"/>
          </w:tcPr>
          <w:p w14:paraId="73272477" w14:textId="77777777" w:rsidR="00ED7CDA" w:rsidRPr="007C5A6E" w:rsidRDefault="00ED7CDA" w:rsidP="00BC4843">
            <w:pPr>
              <w:spacing w:after="0" w:line="240" w:lineRule="auto"/>
              <w:rPr>
                <w:rFonts w:ascii="Times New Roman" w:hAnsi="Times New Roman"/>
                <w:sz w:val="21"/>
                <w:szCs w:val="21"/>
                <w:lang w:eastAsia="da-DK"/>
              </w:rPr>
            </w:pPr>
          </w:p>
        </w:tc>
        <w:tc>
          <w:tcPr>
            <w:tcW w:w="2314" w:type="dxa"/>
            <w:vAlign w:val="center"/>
          </w:tcPr>
          <w:p w14:paraId="3FAEE337"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Electricité (SONABEL)</w:t>
            </w:r>
          </w:p>
        </w:tc>
        <w:tc>
          <w:tcPr>
            <w:tcW w:w="5074" w:type="dxa"/>
            <w:vAlign w:val="center"/>
          </w:tcPr>
          <w:p w14:paraId="334F83BB"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Huile, DDO, hydrocarbures</w:t>
            </w:r>
          </w:p>
        </w:tc>
      </w:tr>
      <w:tr w:rsidR="00ED7CDA" w:rsidRPr="007C5A6E" w14:paraId="35BD83E5" w14:textId="77777777" w:rsidTr="00F64FD7">
        <w:trPr>
          <w:cantSplit/>
        </w:trPr>
        <w:tc>
          <w:tcPr>
            <w:tcW w:w="1602" w:type="dxa"/>
            <w:vMerge w:val="restart"/>
            <w:vAlign w:val="center"/>
          </w:tcPr>
          <w:p w14:paraId="43B581F0" w14:textId="77777777" w:rsidR="00ED7CDA" w:rsidRPr="007C5A6E" w:rsidRDefault="00ED7CDA" w:rsidP="00BC4843">
            <w:pPr>
              <w:spacing w:after="0" w:line="240" w:lineRule="auto"/>
              <w:rPr>
                <w:rFonts w:ascii="Times New Roman" w:hAnsi="Times New Roman"/>
                <w:sz w:val="21"/>
                <w:szCs w:val="21"/>
                <w:lang w:eastAsia="da-DK"/>
              </w:rPr>
            </w:pPr>
          </w:p>
          <w:p w14:paraId="2546B7B2"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Transports</w:t>
            </w:r>
          </w:p>
        </w:tc>
        <w:tc>
          <w:tcPr>
            <w:tcW w:w="2314" w:type="dxa"/>
            <w:vAlign w:val="center"/>
          </w:tcPr>
          <w:p w14:paraId="2501E389"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Transport routier (accidents)</w:t>
            </w:r>
          </w:p>
        </w:tc>
        <w:tc>
          <w:tcPr>
            <w:tcW w:w="5074" w:type="dxa"/>
            <w:vAlign w:val="center"/>
          </w:tcPr>
          <w:p w14:paraId="5482B744"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Carburant, lubrifiants</w:t>
            </w:r>
          </w:p>
        </w:tc>
      </w:tr>
      <w:tr w:rsidR="00ED7CDA" w:rsidRPr="007C5A6E" w14:paraId="2DD6C010" w14:textId="77777777" w:rsidTr="00F64FD7">
        <w:trPr>
          <w:cantSplit/>
        </w:trPr>
        <w:tc>
          <w:tcPr>
            <w:tcW w:w="1602" w:type="dxa"/>
            <w:vMerge/>
            <w:vAlign w:val="center"/>
          </w:tcPr>
          <w:p w14:paraId="4279BA03" w14:textId="77777777" w:rsidR="00ED7CDA" w:rsidRPr="007C5A6E" w:rsidRDefault="00ED7CDA" w:rsidP="00BC4843">
            <w:pPr>
              <w:spacing w:after="0" w:line="240" w:lineRule="auto"/>
              <w:rPr>
                <w:rFonts w:ascii="Times New Roman" w:hAnsi="Times New Roman"/>
                <w:sz w:val="21"/>
                <w:szCs w:val="21"/>
                <w:lang w:eastAsia="da-DK"/>
              </w:rPr>
            </w:pPr>
          </w:p>
        </w:tc>
        <w:tc>
          <w:tcPr>
            <w:tcW w:w="2314" w:type="dxa"/>
            <w:vAlign w:val="center"/>
          </w:tcPr>
          <w:p w14:paraId="52E1EC6A"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SITARAIL</w:t>
            </w:r>
          </w:p>
        </w:tc>
        <w:tc>
          <w:tcPr>
            <w:tcW w:w="5074" w:type="dxa"/>
            <w:vAlign w:val="center"/>
          </w:tcPr>
          <w:p w14:paraId="40378ADB" w14:textId="77777777" w:rsidR="00ED7CDA" w:rsidRPr="007C5A6E" w:rsidRDefault="00ED7CDA" w:rsidP="00BC4843">
            <w:pPr>
              <w:spacing w:after="0" w:line="240" w:lineRule="auto"/>
              <w:rPr>
                <w:rFonts w:ascii="Times New Roman" w:hAnsi="Times New Roman"/>
                <w:sz w:val="21"/>
                <w:szCs w:val="21"/>
                <w:lang w:eastAsia="da-DK"/>
              </w:rPr>
            </w:pPr>
            <w:r w:rsidRPr="007C5A6E">
              <w:rPr>
                <w:rFonts w:ascii="Times New Roman" w:hAnsi="Times New Roman"/>
                <w:sz w:val="21"/>
                <w:szCs w:val="21"/>
                <w:lang w:eastAsia="da-DK"/>
              </w:rPr>
              <w:t xml:space="preserve">Huiles, DDO, solvants, savon, soude, peintures… </w:t>
            </w:r>
          </w:p>
        </w:tc>
      </w:tr>
    </w:tbl>
    <w:p w14:paraId="2292EAC0" w14:textId="77777777" w:rsidR="00ED7CDA" w:rsidRPr="007C5A6E" w:rsidRDefault="00ED7CDA" w:rsidP="00BC4843">
      <w:pPr>
        <w:spacing w:after="0" w:line="240" w:lineRule="auto"/>
        <w:rPr>
          <w:rFonts w:ascii="Times New Roman" w:hAnsi="Times New Roman"/>
          <w:sz w:val="20"/>
          <w:szCs w:val="20"/>
          <w:lang w:eastAsia="da-DK"/>
        </w:rPr>
      </w:pPr>
      <w:r w:rsidRPr="007C5A6E">
        <w:rPr>
          <w:rFonts w:ascii="Times New Roman" w:hAnsi="Times New Roman"/>
          <w:sz w:val="20"/>
          <w:szCs w:val="20"/>
          <w:lang w:eastAsia="da-DK"/>
        </w:rPr>
        <w:t>Source : MEE/DGH – 2000 : Évaluation des sources de pollution et de leur état de suivi</w:t>
      </w:r>
    </w:p>
    <w:p w14:paraId="0A6D9006" w14:textId="77777777" w:rsidR="00170041" w:rsidRPr="007C5A6E" w:rsidRDefault="00170041" w:rsidP="00BC4843">
      <w:pPr>
        <w:spacing w:after="0" w:line="240" w:lineRule="auto"/>
        <w:rPr>
          <w:rFonts w:ascii="Times New Roman" w:hAnsi="Times New Roman"/>
          <w:szCs w:val="20"/>
          <w:lang w:eastAsia="da-DK"/>
        </w:rPr>
      </w:pPr>
    </w:p>
    <w:p w14:paraId="79447F6B" w14:textId="77777777" w:rsidR="00ED7CDA" w:rsidRPr="007C5A6E" w:rsidRDefault="00ED7CDA" w:rsidP="00684FF8">
      <w:pPr>
        <w:pStyle w:val="Titre4"/>
      </w:pPr>
      <w:bookmarkStart w:id="232" w:name="_Toc182606018"/>
      <w:bookmarkStart w:id="233" w:name="_Toc183340066"/>
      <w:r w:rsidRPr="007C5A6E">
        <w:t>Les facteurs de pollution des ressources en eau</w:t>
      </w:r>
      <w:bookmarkEnd w:id="232"/>
      <w:bookmarkEnd w:id="233"/>
      <w:r w:rsidRPr="007C5A6E">
        <w:t xml:space="preserve"> </w:t>
      </w:r>
    </w:p>
    <w:p w14:paraId="790E2D96" w14:textId="77777777" w:rsidR="00170041" w:rsidRPr="007C5A6E" w:rsidRDefault="00170041" w:rsidP="00170041">
      <w:pPr>
        <w:spacing w:after="0" w:line="240" w:lineRule="auto"/>
        <w:rPr>
          <w:rFonts w:ascii="Times New Roman" w:eastAsia="Calibri" w:hAnsi="Times New Roman"/>
          <w:sz w:val="24"/>
          <w:szCs w:val="24"/>
        </w:rPr>
      </w:pPr>
    </w:p>
    <w:p w14:paraId="53D92A80" w14:textId="77777777" w:rsidR="00ED7CDA" w:rsidRPr="007C5A6E" w:rsidRDefault="00ED7CDA" w:rsidP="003F3821">
      <w:pPr>
        <w:pStyle w:val="Titre5"/>
        <w:numPr>
          <w:ilvl w:val="4"/>
          <w:numId w:val="4"/>
        </w:numPr>
        <w:ind w:left="907" w:hanging="907"/>
        <w:rPr>
          <w:rFonts w:ascii="Times New Roman" w:hAnsi="Times New Roman" w:cs="Times New Roman"/>
          <w:color w:val="auto"/>
          <w:u w:val="single"/>
          <w:lang w:eastAsia="en-US"/>
        </w:rPr>
      </w:pPr>
      <w:bookmarkStart w:id="234" w:name="_Toc183340067"/>
      <w:r w:rsidRPr="007C5A6E">
        <w:rPr>
          <w:rFonts w:ascii="Times New Roman" w:hAnsi="Times New Roman" w:cs="Times New Roman"/>
          <w:color w:val="auto"/>
          <w:u w:val="single"/>
          <w:lang w:eastAsia="en-US"/>
        </w:rPr>
        <w:t>Les facteurs de pollution d’ordre climatique</w:t>
      </w:r>
      <w:bookmarkEnd w:id="234"/>
      <w:r w:rsidRPr="007C5A6E">
        <w:rPr>
          <w:rFonts w:ascii="Times New Roman" w:hAnsi="Times New Roman" w:cs="Times New Roman"/>
          <w:color w:val="auto"/>
          <w:u w:val="single"/>
          <w:lang w:eastAsia="en-US"/>
        </w:rPr>
        <w:t xml:space="preserve"> </w:t>
      </w:r>
    </w:p>
    <w:p w14:paraId="5EE5C6C5" w14:textId="77777777" w:rsidR="00170041" w:rsidRPr="007C5A6E" w:rsidRDefault="00170041" w:rsidP="00170041">
      <w:pPr>
        <w:spacing w:after="0" w:line="240" w:lineRule="auto"/>
        <w:ind w:left="720"/>
        <w:contextualSpacing/>
        <w:jc w:val="both"/>
        <w:rPr>
          <w:rFonts w:ascii="Times New Roman" w:eastAsia="Calibri" w:hAnsi="Times New Roman"/>
          <w:b/>
          <w:bCs/>
          <w:i/>
          <w:iCs/>
          <w:sz w:val="24"/>
          <w:szCs w:val="24"/>
          <w:lang w:eastAsia="en-US"/>
        </w:rPr>
      </w:pPr>
    </w:p>
    <w:p w14:paraId="4D404970" w14:textId="1F78230F" w:rsidR="00ED7CDA" w:rsidRPr="007C5A6E" w:rsidRDefault="00ED7CDA" w:rsidP="003F3821">
      <w:pPr>
        <w:numPr>
          <w:ilvl w:val="0"/>
          <w:numId w:val="12"/>
        </w:numPr>
        <w:spacing w:after="0" w:line="240" w:lineRule="auto"/>
        <w:ind w:left="357" w:hanging="357"/>
        <w:contextualSpacing/>
        <w:jc w:val="both"/>
        <w:rPr>
          <w:rFonts w:ascii="Times New Roman" w:eastAsia="Calibri" w:hAnsi="Times New Roman"/>
          <w:b/>
          <w:bCs/>
          <w:i/>
          <w:iCs/>
          <w:sz w:val="24"/>
          <w:szCs w:val="24"/>
          <w:lang w:eastAsia="en-US"/>
        </w:rPr>
      </w:pPr>
      <w:r w:rsidRPr="007C5A6E">
        <w:rPr>
          <w:rFonts w:ascii="Times New Roman" w:eastAsia="Calibri" w:hAnsi="Times New Roman"/>
          <w:b/>
          <w:bCs/>
          <w:i/>
          <w:iCs/>
          <w:sz w:val="24"/>
          <w:szCs w:val="24"/>
          <w:lang w:eastAsia="en-US"/>
        </w:rPr>
        <w:t xml:space="preserve">L’air  </w:t>
      </w:r>
    </w:p>
    <w:p w14:paraId="364E3ED5" w14:textId="77777777" w:rsidR="00ED7CDA" w:rsidRPr="007C5A6E" w:rsidRDefault="00ED7CDA" w:rsidP="00BC4843">
      <w:pPr>
        <w:spacing w:after="0" w:line="240" w:lineRule="auto"/>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Selon la qualité de l’air, les eaux de pluie avant d’atteindre le niveau du sol peuvent dissoudre et transporter des polluants chimiques (rejets gazeux…) et des matières solides (poussière…) en suspension. Ce faisant, ces eaux polluées peuvent répandre la pollution sur les zones ainsi arrosées. Il en est ainsi notamment pour certaines « premières pluies » au Burkina Faso et il arrive que certains pays enregistrent des pluies acides.</w:t>
      </w:r>
    </w:p>
    <w:p w14:paraId="72CD2F7E" w14:textId="77777777" w:rsidR="00ED7CDA" w:rsidRPr="007C5A6E" w:rsidRDefault="00ED7CDA" w:rsidP="00BC4843">
      <w:pPr>
        <w:spacing w:after="0" w:line="240" w:lineRule="auto"/>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 xml:space="preserve">Selon le rapport sur la « Contribution déterminée au niveau national (CDN) du Burkina Faso -2021 – 2025 (VF octobre 2021) », les principaux gaz à effet de serre introduits dans l’atmosphère par les activités humaines au Burkina Faso sont notamment : </w:t>
      </w:r>
    </w:p>
    <w:p w14:paraId="44A3E4DE" w14:textId="77777777" w:rsidR="00ED7CDA" w:rsidRPr="007C5A6E" w:rsidRDefault="00ED7CDA" w:rsidP="003F3821">
      <w:pPr>
        <w:numPr>
          <w:ilvl w:val="0"/>
          <w:numId w:val="13"/>
        </w:numPr>
        <w:spacing w:after="0" w:line="240" w:lineRule="auto"/>
        <w:ind w:left="397" w:hanging="397"/>
        <w:contextualSpacing/>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 xml:space="preserve">Le dioxyde de carbone (CO2) provenant principalement de l’usage de combustibles fossiles, de certaines activités industrielles, de la déforestation et dégradation des forêts et de certaines pratiques agro-pastorales ; </w:t>
      </w:r>
    </w:p>
    <w:p w14:paraId="5E8FE84C" w14:textId="77777777" w:rsidR="00ED7CDA" w:rsidRPr="007C5A6E" w:rsidRDefault="00ED7CDA" w:rsidP="003F3821">
      <w:pPr>
        <w:numPr>
          <w:ilvl w:val="0"/>
          <w:numId w:val="13"/>
        </w:numPr>
        <w:spacing w:after="0" w:line="240" w:lineRule="auto"/>
        <w:ind w:left="397" w:hanging="397"/>
        <w:contextualSpacing/>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 xml:space="preserve">L’oxyde nitreux (N2O) lié à l’épandage d’engrais ; </w:t>
      </w:r>
    </w:p>
    <w:p w14:paraId="51CF88AB" w14:textId="77777777" w:rsidR="00ED7CDA" w:rsidRPr="007C5A6E" w:rsidRDefault="00ED7CDA" w:rsidP="003F3821">
      <w:pPr>
        <w:numPr>
          <w:ilvl w:val="0"/>
          <w:numId w:val="13"/>
        </w:numPr>
        <w:spacing w:after="0" w:line="240" w:lineRule="auto"/>
        <w:ind w:left="397" w:hanging="397"/>
        <w:contextualSpacing/>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Le méthane (CH4) provenant de la fermentation entérique, de la digestion des ruminants, des décharges et du traitement des eaux usées ;</w:t>
      </w:r>
    </w:p>
    <w:p w14:paraId="21BAF8E4" w14:textId="77777777" w:rsidR="00ED7CDA" w:rsidRPr="007C5A6E" w:rsidRDefault="00ED7CDA" w:rsidP="003F3821">
      <w:pPr>
        <w:numPr>
          <w:ilvl w:val="0"/>
          <w:numId w:val="13"/>
        </w:numPr>
        <w:spacing w:after="0" w:line="240" w:lineRule="auto"/>
        <w:ind w:left="397" w:hanging="397"/>
        <w:contextualSpacing/>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 xml:space="preserve">Les gaz fluorés, utilisés comme agents réfrigérants, isolants électriques ou conducteurs de chaleur. </w:t>
      </w:r>
    </w:p>
    <w:p w14:paraId="1CEB0478" w14:textId="6ADCAF32" w:rsidR="00ED7CDA" w:rsidRPr="007C5A6E" w:rsidRDefault="00ED7CDA" w:rsidP="00BC4843">
      <w:pPr>
        <w:spacing w:after="0" w:line="240" w:lineRule="auto"/>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 xml:space="preserve">La figure </w:t>
      </w:r>
      <w:r w:rsidR="002777D8" w:rsidRPr="007C5A6E">
        <w:rPr>
          <w:rFonts w:ascii="Times New Roman" w:eastAsia="Calibri" w:hAnsi="Times New Roman"/>
          <w:sz w:val="24"/>
          <w:szCs w:val="24"/>
          <w:lang w:eastAsia="en-US"/>
        </w:rPr>
        <w:t xml:space="preserve">31 </w:t>
      </w:r>
      <w:r w:rsidRPr="007C5A6E">
        <w:rPr>
          <w:rFonts w:ascii="Times New Roman" w:eastAsia="Calibri" w:hAnsi="Times New Roman"/>
          <w:sz w:val="24"/>
          <w:szCs w:val="24"/>
          <w:lang w:eastAsia="en-US"/>
        </w:rPr>
        <w:t xml:space="preserve">ci-après indique l’évolution de ces gaz rejetés dans l’air entre 1995 et 2017 </w:t>
      </w:r>
    </w:p>
    <w:p w14:paraId="4847E1DE" w14:textId="77777777" w:rsidR="002777D8" w:rsidRPr="007C5A6E" w:rsidRDefault="002777D8" w:rsidP="00BC4843">
      <w:pPr>
        <w:spacing w:after="0" w:line="240" w:lineRule="auto"/>
        <w:jc w:val="both"/>
        <w:rPr>
          <w:rFonts w:ascii="Times New Roman" w:eastAsia="Calibri" w:hAnsi="Times New Roman"/>
          <w:sz w:val="24"/>
          <w:szCs w:val="24"/>
          <w:lang w:eastAsia="en-US"/>
        </w:rPr>
      </w:pPr>
    </w:p>
    <w:p w14:paraId="7F172790" w14:textId="77777777" w:rsidR="00ED7CDA" w:rsidRPr="007C5A6E" w:rsidRDefault="00ED7CDA" w:rsidP="00BC4843">
      <w:pPr>
        <w:spacing w:after="0" w:line="240" w:lineRule="auto"/>
        <w:jc w:val="both"/>
        <w:rPr>
          <w:rFonts w:ascii="Times New Roman" w:eastAsia="Calibri" w:hAnsi="Times New Roman"/>
          <w:sz w:val="24"/>
          <w:szCs w:val="24"/>
          <w:lang w:eastAsia="en-US"/>
        </w:rPr>
      </w:pPr>
      <w:r w:rsidRPr="007C5A6E">
        <w:rPr>
          <w:rFonts w:ascii="Times New Roman" w:eastAsia="Calibri" w:hAnsi="Times New Roman"/>
          <w:noProof/>
          <w:sz w:val="24"/>
          <w:szCs w:val="24"/>
          <w:lang w:eastAsia="en-US"/>
        </w:rPr>
        <w:drawing>
          <wp:inline distT="0" distB="0" distL="0" distR="0" wp14:anchorId="38C5BE6A" wp14:editId="1D13995B">
            <wp:extent cx="5759450" cy="1924050"/>
            <wp:effectExtent l="0" t="0" r="0" b="0"/>
            <wp:docPr id="6095248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24836" name=""/>
                    <pic:cNvPicPr/>
                  </pic:nvPicPr>
                  <pic:blipFill>
                    <a:blip r:embed="rId108" cstate="email">
                      <a:extLst>
                        <a:ext uri="{28A0092B-C50C-407E-A947-70E740481C1C}">
                          <a14:useLocalDpi xmlns:a14="http://schemas.microsoft.com/office/drawing/2010/main"/>
                        </a:ext>
                      </a:extLst>
                    </a:blip>
                    <a:stretch>
                      <a:fillRect/>
                    </a:stretch>
                  </pic:blipFill>
                  <pic:spPr>
                    <a:xfrm>
                      <a:off x="0" y="0"/>
                      <a:ext cx="5759450" cy="1924050"/>
                    </a:xfrm>
                    <a:prstGeom prst="rect">
                      <a:avLst/>
                    </a:prstGeom>
                  </pic:spPr>
                </pic:pic>
              </a:graphicData>
            </a:graphic>
          </wp:inline>
        </w:drawing>
      </w:r>
    </w:p>
    <w:p w14:paraId="1D0E483C" w14:textId="5FD2BC43" w:rsidR="002777D8" w:rsidRPr="007C5A6E" w:rsidRDefault="00ED06B6" w:rsidP="002777D8">
      <w:pPr>
        <w:spacing w:after="0" w:line="240" w:lineRule="auto"/>
        <w:jc w:val="both"/>
        <w:rPr>
          <w:rFonts w:ascii="Times New Roman" w:eastAsia="Calibri" w:hAnsi="Times New Roman"/>
          <w:sz w:val="20"/>
          <w:szCs w:val="20"/>
          <w:lang w:eastAsia="en-US"/>
        </w:rPr>
      </w:pPr>
      <w:bookmarkStart w:id="235" w:name="_Toc182605872"/>
      <w:r w:rsidRPr="007C5A6E">
        <w:rPr>
          <w:rFonts w:ascii="Times New Roman" w:eastAsia="Calibri" w:hAnsi="Times New Roman"/>
          <w:sz w:val="20"/>
          <w:szCs w:val="20"/>
          <w:lang w:eastAsia="en-US"/>
        </w:rPr>
        <w:t>(</w:t>
      </w:r>
      <w:r w:rsidR="002777D8" w:rsidRPr="007C5A6E">
        <w:rPr>
          <w:rFonts w:ascii="Times New Roman" w:eastAsia="Calibri" w:hAnsi="Times New Roman"/>
          <w:sz w:val="20"/>
          <w:szCs w:val="20"/>
          <w:lang w:eastAsia="en-US"/>
        </w:rPr>
        <w:t>Source : Inventaire national GES, 2021</w:t>
      </w:r>
      <w:r w:rsidRPr="007C5A6E">
        <w:rPr>
          <w:rFonts w:ascii="Times New Roman" w:eastAsia="Calibri" w:hAnsi="Times New Roman"/>
          <w:sz w:val="20"/>
          <w:szCs w:val="20"/>
          <w:lang w:eastAsia="en-US"/>
        </w:rPr>
        <w:t>)</w:t>
      </w:r>
    </w:p>
    <w:p w14:paraId="3655B374" w14:textId="056C3CA1" w:rsidR="00ED7CDA" w:rsidRPr="007C5A6E" w:rsidRDefault="00ED7CDA" w:rsidP="00BC4843">
      <w:pPr>
        <w:tabs>
          <w:tab w:val="left" w:pos="1134"/>
        </w:tabs>
        <w:spacing w:after="0" w:line="240" w:lineRule="auto"/>
        <w:ind w:left="1134" w:hanging="1134"/>
        <w:rPr>
          <w:rFonts w:ascii="Times New Roman" w:hAnsi="Times New Roman"/>
          <w:i/>
          <w:sz w:val="24"/>
          <w:szCs w:val="24"/>
          <w:lang w:eastAsia="da-DK"/>
        </w:rPr>
      </w:pPr>
      <w:bookmarkStart w:id="236" w:name="_Toc183230878"/>
      <w:bookmarkStart w:id="237" w:name="_Toc183240671"/>
      <w:bookmarkStart w:id="238" w:name="_Toc183340410"/>
      <w:r w:rsidRPr="007C5A6E">
        <w:rPr>
          <w:rFonts w:ascii="Times New Roman" w:hAnsi="Times New Roman"/>
          <w:i/>
          <w:sz w:val="24"/>
          <w:szCs w:val="24"/>
          <w:lang w:eastAsia="da-DK"/>
        </w:rPr>
        <w:t xml:space="preserve">Figure </w:t>
      </w:r>
      <w:r w:rsidRPr="007C5A6E">
        <w:rPr>
          <w:rFonts w:ascii="Times New Roman" w:hAnsi="Times New Roman"/>
          <w:i/>
          <w:sz w:val="24"/>
          <w:szCs w:val="24"/>
          <w:lang w:eastAsia="da-DK"/>
        </w:rPr>
        <w:fldChar w:fldCharType="begin"/>
      </w:r>
      <w:r w:rsidRPr="007C5A6E">
        <w:rPr>
          <w:rFonts w:ascii="Times New Roman" w:hAnsi="Times New Roman"/>
          <w:i/>
          <w:sz w:val="24"/>
          <w:szCs w:val="24"/>
          <w:lang w:eastAsia="da-DK"/>
        </w:rPr>
        <w:instrText xml:space="preserve"> SEQ Figure \* ARABIC </w:instrText>
      </w:r>
      <w:r w:rsidRPr="007C5A6E">
        <w:rPr>
          <w:rFonts w:ascii="Times New Roman" w:hAnsi="Times New Roman"/>
          <w:i/>
          <w:sz w:val="24"/>
          <w:szCs w:val="24"/>
          <w:lang w:eastAsia="da-DK"/>
        </w:rPr>
        <w:fldChar w:fldCharType="separate"/>
      </w:r>
      <w:r w:rsidR="00AE0C9D" w:rsidRPr="007C5A6E">
        <w:rPr>
          <w:rFonts w:ascii="Times New Roman" w:hAnsi="Times New Roman"/>
          <w:i/>
          <w:noProof/>
          <w:sz w:val="24"/>
          <w:szCs w:val="24"/>
          <w:lang w:eastAsia="da-DK"/>
        </w:rPr>
        <w:t>31</w:t>
      </w:r>
      <w:r w:rsidRPr="007C5A6E">
        <w:rPr>
          <w:rFonts w:ascii="Times New Roman" w:hAnsi="Times New Roman"/>
          <w:i/>
          <w:sz w:val="24"/>
          <w:szCs w:val="24"/>
          <w:lang w:eastAsia="da-DK"/>
        </w:rPr>
        <w:fldChar w:fldCharType="end"/>
      </w:r>
      <w:r w:rsidR="00ED06B6" w:rsidRPr="007C5A6E">
        <w:rPr>
          <w:rFonts w:ascii="Times New Roman" w:hAnsi="Times New Roman"/>
          <w:i/>
          <w:sz w:val="24"/>
          <w:szCs w:val="24"/>
          <w:lang w:eastAsia="da-DK"/>
        </w:rPr>
        <w:t>.</w:t>
      </w:r>
      <w:r w:rsidRPr="007C5A6E">
        <w:rPr>
          <w:rFonts w:ascii="Times New Roman" w:hAnsi="Times New Roman"/>
          <w:i/>
          <w:sz w:val="24"/>
          <w:szCs w:val="24"/>
          <w:lang w:eastAsia="da-DK"/>
        </w:rPr>
        <w:t xml:space="preserve">  Évolution des émissions nationales de GES en </w:t>
      </w:r>
      <w:proofErr w:type="spellStart"/>
      <w:r w:rsidRPr="007C5A6E">
        <w:rPr>
          <w:rFonts w:ascii="Times New Roman" w:hAnsi="Times New Roman"/>
          <w:i/>
          <w:sz w:val="24"/>
          <w:szCs w:val="24"/>
          <w:lang w:eastAsia="da-DK"/>
        </w:rPr>
        <w:t>Gg</w:t>
      </w:r>
      <w:proofErr w:type="spellEnd"/>
      <w:r w:rsidRPr="007C5A6E">
        <w:rPr>
          <w:rFonts w:ascii="Times New Roman" w:hAnsi="Times New Roman"/>
          <w:i/>
          <w:sz w:val="24"/>
          <w:szCs w:val="24"/>
          <w:lang w:eastAsia="da-DK"/>
        </w:rPr>
        <w:t xml:space="preserve"> équivalent CO2 de 1995 à 2017</w:t>
      </w:r>
      <w:bookmarkEnd w:id="235"/>
      <w:bookmarkEnd w:id="236"/>
      <w:bookmarkEnd w:id="237"/>
      <w:bookmarkEnd w:id="238"/>
      <w:r w:rsidRPr="007C5A6E">
        <w:rPr>
          <w:rFonts w:ascii="Times New Roman" w:hAnsi="Times New Roman"/>
          <w:i/>
          <w:sz w:val="24"/>
          <w:szCs w:val="24"/>
          <w:lang w:eastAsia="da-DK"/>
        </w:rPr>
        <w:t xml:space="preserve">   </w:t>
      </w:r>
    </w:p>
    <w:p w14:paraId="336430B7" w14:textId="77777777" w:rsidR="00170041" w:rsidRPr="007C5A6E" w:rsidRDefault="00170041" w:rsidP="00BC4843">
      <w:pPr>
        <w:spacing w:after="0" w:line="240" w:lineRule="auto"/>
        <w:jc w:val="both"/>
        <w:rPr>
          <w:rFonts w:ascii="Times New Roman" w:eastAsia="Calibri" w:hAnsi="Times New Roman"/>
          <w:sz w:val="20"/>
          <w:szCs w:val="20"/>
          <w:lang w:eastAsia="en-US"/>
        </w:rPr>
      </w:pPr>
    </w:p>
    <w:p w14:paraId="6AC586DB" w14:textId="77777777" w:rsidR="00ED7CDA" w:rsidRPr="007C5A6E" w:rsidRDefault="00ED7CDA" w:rsidP="003F3821">
      <w:pPr>
        <w:pStyle w:val="Titre5"/>
        <w:numPr>
          <w:ilvl w:val="4"/>
          <w:numId w:val="4"/>
        </w:numPr>
        <w:ind w:left="907" w:hanging="907"/>
        <w:rPr>
          <w:rFonts w:ascii="Times New Roman" w:hAnsi="Times New Roman" w:cs="Times New Roman"/>
          <w:color w:val="auto"/>
          <w:u w:val="single"/>
          <w:lang w:eastAsia="en-US"/>
        </w:rPr>
      </w:pPr>
      <w:bookmarkStart w:id="239" w:name="_Toc183340068"/>
      <w:r w:rsidRPr="007C5A6E">
        <w:rPr>
          <w:rFonts w:ascii="Times New Roman" w:hAnsi="Times New Roman" w:cs="Times New Roman"/>
          <w:color w:val="auto"/>
          <w:u w:val="single"/>
          <w:lang w:eastAsia="en-US"/>
        </w:rPr>
        <w:t>Les facteurs de pollution d’ordre anthropique</w:t>
      </w:r>
      <w:bookmarkEnd w:id="239"/>
    </w:p>
    <w:p w14:paraId="1189385F" w14:textId="77777777" w:rsidR="00170041" w:rsidRPr="007C5A6E" w:rsidRDefault="00170041" w:rsidP="00170041">
      <w:pPr>
        <w:spacing w:after="0" w:line="240" w:lineRule="auto"/>
        <w:contextualSpacing/>
        <w:jc w:val="both"/>
        <w:rPr>
          <w:rFonts w:ascii="Times New Roman" w:eastAsia="Calibri" w:hAnsi="Times New Roman"/>
          <w:sz w:val="24"/>
          <w:szCs w:val="24"/>
          <w:lang w:eastAsia="en-US"/>
        </w:rPr>
      </w:pPr>
    </w:p>
    <w:p w14:paraId="36D37C51" w14:textId="25ADA46A" w:rsidR="00ED7CDA" w:rsidRPr="007C5A6E" w:rsidRDefault="00ED7CDA" w:rsidP="003F3821">
      <w:pPr>
        <w:numPr>
          <w:ilvl w:val="0"/>
          <w:numId w:val="12"/>
        </w:numPr>
        <w:spacing w:after="0" w:line="240" w:lineRule="auto"/>
        <w:ind w:left="357" w:hanging="357"/>
        <w:contextualSpacing/>
        <w:jc w:val="both"/>
        <w:rPr>
          <w:rFonts w:ascii="Times New Roman" w:eastAsia="Calibri" w:hAnsi="Times New Roman"/>
          <w:b/>
          <w:bCs/>
          <w:i/>
          <w:iCs/>
          <w:sz w:val="24"/>
          <w:szCs w:val="24"/>
          <w:lang w:eastAsia="en-US"/>
        </w:rPr>
      </w:pPr>
      <w:r w:rsidRPr="007C5A6E">
        <w:rPr>
          <w:rFonts w:ascii="Times New Roman" w:eastAsia="Calibri" w:hAnsi="Times New Roman"/>
          <w:b/>
          <w:bCs/>
          <w:i/>
          <w:iCs/>
          <w:sz w:val="24"/>
          <w:szCs w:val="24"/>
          <w:lang w:eastAsia="en-US"/>
        </w:rPr>
        <w:t xml:space="preserve">L’urbanisation et les activités domestiques </w:t>
      </w:r>
    </w:p>
    <w:p w14:paraId="6A54F389" w14:textId="77777777" w:rsidR="00ED7CDA" w:rsidRPr="007C5A6E" w:rsidRDefault="00ED7CDA" w:rsidP="00BC4843">
      <w:pPr>
        <w:spacing w:after="0" w:line="240" w:lineRule="auto"/>
        <w:jc w:val="both"/>
        <w:rPr>
          <w:rFonts w:ascii="Times New Roman" w:hAnsi="Times New Roman"/>
          <w:bCs/>
          <w:sz w:val="24"/>
          <w:szCs w:val="24"/>
        </w:rPr>
      </w:pPr>
      <w:r w:rsidRPr="007C5A6E">
        <w:rPr>
          <w:rFonts w:ascii="Times New Roman" w:hAnsi="Times New Roman"/>
          <w:bCs/>
          <w:sz w:val="24"/>
          <w:szCs w:val="24"/>
        </w:rPr>
        <w:t xml:space="preserve">Les activités domestiques sont à l’origine de nombreux rejets solides et liquides d’ordures ménagères (lessives, vaisselles, toilettes, latrines, fosses septiques…). </w:t>
      </w:r>
    </w:p>
    <w:p w14:paraId="580FACE1" w14:textId="77777777" w:rsidR="00ED7CDA" w:rsidRPr="007C5A6E" w:rsidRDefault="00ED7CDA" w:rsidP="00BC4843">
      <w:pPr>
        <w:spacing w:after="0" w:line="240" w:lineRule="auto"/>
        <w:jc w:val="both"/>
        <w:rPr>
          <w:rFonts w:ascii="Times New Roman" w:hAnsi="Times New Roman"/>
          <w:bCs/>
          <w:sz w:val="24"/>
          <w:szCs w:val="24"/>
        </w:rPr>
      </w:pPr>
      <w:r w:rsidRPr="007C5A6E">
        <w:rPr>
          <w:rFonts w:ascii="Times New Roman" w:hAnsi="Times New Roman"/>
          <w:bCs/>
          <w:sz w:val="24"/>
          <w:szCs w:val="24"/>
        </w:rPr>
        <w:t xml:space="preserve">Conjuguées au </w:t>
      </w:r>
      <w:r w:rsidRPr="007C5A6E">
        <w:rPr>
          <w:rFonts w:ascii="Times New Roman" w:hAnsi="Times New Roman"/>
          <w:sz w:val="24"/>
          <w:szCs w:val="24"/>
          <w:lang w:eastAsia="en-US"/>
        </w:rPr>
        <w:t>faible niveau d’assainissement des villes et des campagnes notamment en matière d’eaux usées et excrétas, </w:t>
      </w:r>
      <w:r w:rsidRPr="007C5A6E">
        <w:rPr>
          <w:rFonts w:ascii="Times New Roman" w:hAnsi="Times New Roman"/>
          <w:bCs/>
          <w:sz w:val="24"/>
          <w:szCs w:val="24"/>
        </w:rPr>
        <w:t xml:space="preserve">elles engendrent par voie de percolation, drainage, dissolution, des pollutions diverses de nature physique, organique et bactériologique et même chimique des ressources en eau.  </w:t>
      </w:r>
    </w:p>
    <w:p w14:paraId="72D9D656" w14:textId="77777777" w:rsidR="00170041" w:rsidRPr="007C5A6E" w:rsidRDefault="00170041" w:rsidP="00BC4843">
      <w:pPr>
        <w:spacing w:after="0" w:line="240" w:lineRule="auto"/>
        <w:jc w:val="both"/>
        <w:rPr>
          <w:rFonts w:ascii="Times New Roman" w:hAnsi="Times New Roman"/>
          <w:bCs/>
          <w:sz w:val="24"/>
          <w:szCs w:val="24"/>
        </w:rPr>
      </w:pPr>
    </w:p>
    <w:p w14:paraId="6C6812F8" w14:textId="77777777" w:rsidR="00ED7CDA" w:rsidRPr="007C5A6E" w:rsidRDefault="00ED7CDA" w:rsidP="003F3821">
      <w:pPr>
        <w:numPr>
          <w:ilvl w:val="0"/>
          <w:numId w:val="12"/>
        </w:numPr>
        <w:spacing w:after="0" w:line="240" w:lineRule="auto"/>
        <w:ind w:left="357" w:hanging="357"/>
        <w:contextualSpacing/>
        <w:jc w:val="both"/>
        <w:rPr>
          <w:rFonts w:ascii="Times New Roman" w:eastAsia="Calibri" w:hAnsi="Times New Roman"/>
          <w:b/>
          <w:bCs/>
          <w:i/>
          <w:iCs/>
          <w:sz w:val="24"/>
          <w:szCs w:val="24"/>
          <w:lang w:eastAsia="en-US"/>
        </w:rPr>
      </w:pPr>
      <w:r w:rsidRPr="007C5A6E">
        <w:rPr>
          <w:rFonts w:ascii="Times New Roman" w:eastAsia="Calibri" w:hAnsi="Times New Roman"/>
          <w:b/>
          <w:bCs/>
          <w:i/>
          <w:iCs/>
          <w:sz w:val="24"/>
          <w:szCs w:val="24"/>
          <w:lang w:eastAsia="en-US"/>
        </w:rPr>
        <w:t>Les activités agro-</w:t>
      </w:r>
      <w:proofErr w:type="spellStart"/>
      <w:r w:rsidRPr="007C5A6E">
        <w:rPr>
          <w:rFonts w:ascii="Times New Roman" w:eastAsia="Calibri" w:hAnsi="Times New Roman"/>
          <w:b/>
          <w:bCs/>
          <w:i/>
          <w:iCs/>
          <w:sz w:val="24"/>
          <w:szCs w:val="24"/>
          <w:lang w:eastAsia="en-US"/>
        </w:rPr>
        <w:t>sylvo</w:t>
      </w:r>
      <w:proofErr w:type="spellEnd"/>
      <w:r w:rsidRPr="007C5A6E">
        <w:rPr>
          <w:rFonts w:ascii="Times New Roman" w:eastAsia="Calibri" w:hAnsi="Times New Roman"/>
          <w:b/>
          <w:bCs/>
          <w:i/>
          <w:iCs/>
          <w:sz w:val="24"/>
          <w:szCs w:val="24"/>
          <w:lang w:eastAsia="en-US"/>
        </w:rPr>
        <w:t>-pastorales et halieutiques</w:t>
      </w:r>
    </w:p>
    <w:p w14:paraId="6FACAF20" w14:textId="77777777" w:rsidR="00ED7CDA" w:rsidRPr="007C5A6E" w:rsidRDefault="00ED7CDA" w:rsidP="00BC4843">
      <w:pPr>
        <w:spacing w:after="0" w:line="240" w:lineRule="auto"/>
        <w:jc w:val="both"/>
        <w:rPr>
          <w:rFonts w:ascii="Times New Roman" w:hAnsi="Times New Roman"/>
          <w:bCs/>
          <w:sz w:val="24"/>
          <w:szCs w:val="24"/>
        </w:rPr>
      </w:pPr>
      <w:r w:rsidRPr="007C5A6E">
        <w:rPr>
          <w:rFonts w:ascii="Times New Roman" w:hAnsi="Times New Roman"/>
          <w:sz w:val="24"/>
          <w:szCs w:val="24"/>
        </w:rPr>
        <w:t>Les défriches, la culture dans les lits des cours d’eau, les feux de brousse, le recours massif et mal contrôlé aux pesticides et engrais, les prélèvements incontrôlés de l’eau constituent dans le domaine de l’agriculture, des facteurs importants qui favorisent (i) l’érosion des sols et par conséquent le comblement des lits des cours d’eau et des lacs d’eau de surface, et (ii) la pollution de l’eau.</w:t>
      </w:r>
    </w:p>
    <w:p w14:paraId="4EC7425B" w14:textId="77777777" w:rsidR="00ED7CDA" w:rsidRPr="007C5A6E" w:rsidRDefault="00ED7CDA" w:rsidP="00BC4843">
      <w:pPr>
        <w:spacing w:after="0" w:line="240" w:lineRule="auto"/>
        <w:jc w:val="both"/>
        <w:rPr>
          <w:rFonts w:ascii="Times New Roman" w:hAnsi="Times New Roman"/>
          <w:bCs/>
          <w:sz w:val="24"/>
          <w:szCs w:val="24"/>
        </w:rPr>
      </w:pPr>
      <w:r w:rsidRPr="007C5A6E">
        <w:rPr>
          <w:rFonts w:ascii="Times New Roman" w:hAnsi="Times New Roman"/>
          <w:bCs/>
          <w:sz w:val="24"/>
          <w:szCs w:val="24"/>
        </w:rPr>
        <w:t xml:space="preserve">Les activités pastorales (élevage extensif et intensif) et d’exploitation forestière contribuent également à la modification du couvert végétal des sols. Les activités pastorales contribuent en particulier à la </w:t>
      </w:r>
      <w:r w:rsidRPr="007C5A6E">
        <w:rPr>
          <w:rFonts w:ascii="Times New Roman" w:hAnsi="Times New Roman"/>
          <w:sz w:val="24"/>
          <w:szCs w:val="24"/>
        </w:rPr>
        <w:t xml:space="preserve">dégradation des berges des cours d’eau, </w:t>
      </w:r>
      <w:r w:rsidRPr="007C5A6E">
        <w:rPr>
          <w:rFonts w:ascii="Times New Roman" w:hAnsi="Times New Roman"/>
          <w:bCs/>
          <w:sz w:val="24"/>
          <w:szCs w:val="24"/>
        </w:rPr>
        <w:t>à la pollution notamment organique (déjections, produits de traitement des animaux</w:t>
      </w:r>
      <w:r w:rsidRPr="007C5A6E">
        <w:rPr>
          <w:rFonts w:ascii="Times New Roman" w:hAnsi="Times New Roman"/>
          <w:sz w:val="24"/>
          <w:szCs w:val="24"/>
        </w:rPr>
        <w:t xml:space="preserve"> …).</w:t>
      </w:r>
      <w:r w:rsidRPr="007C5A6E">
        <w:rPr>
          <w:rFonts w:ascii="Times New Roman" w:hAnsi="Times New Roman"/>
          <w:bCs/>
          <w:sz w:val="24"/>
          <w:szCs w:val="24"/>
        </w:rPr>
        <w:t xml:space="preserve"> </w:t>
      </w:r>
    </w:p>
    <w:p w14:paraId="4D496DE8" w14:textId="5A05C3CD" w:rsidR="00ED7CDA" w:rsidRPr="007C5A6E" w:rsidRDefault="00ED7CDA" w:rsidP="00BC4843">
      <w:pPr>
        <w:spacing w:after="0" w:line="240" w:lineRule="auto"/>
        <w:jc w:val="both"/>
        <w:rPr>
          <w:rFonts w:ascii="Times New Roman" w:hAnsi="Times New Roman"/>
          <w:bCs/>
          <w:sz w:val="24"/>
          <w:szCs w:val="24"/>
        </w:rPr>
      </w:pPr>
      <w:r w:rsidRPr="007C5A6E">
        <w:rPr>
          <w:rFonts w:ascii="Times New Roman" w:hAnsi="Times New Roman"/>
          <w:bCs/>
          <w:sz w:val="24"/>
          <w:szCs w:val="24"/>
        </w:rPr>
        <w:t>Les mauvaises pratiques en matière de pêche (</w:t>
      </w:r>
      <w:r w:rsidRPr="007C5A6E">
        <w:rPr>
          <w:rFonts w:ascii="Times New Roman" w:hAnsi="Times New Roman"/>
          <w:sz w:val="24"/>
          <w:szCs w:val="24"/>
        </w:rPr>
        <w:t>empoisonnement de l’eau des lacs pour récupérer le poisson mort) </w:t>
      </w:r>
      <w:r w:rsidRPr="007C5A6E">
        <w:rPr>
          <w:rFonts w:ascii="Times New Roman" w:hAnsi="Times New Roman"/>
          <w:bCs/>
          <w:sz w:val="24"/>
          <w:szCs w:val="24"/>
        </w:rPr>
        <w:t xml:space="preserve">et de pisciculture (introduction d’aliment dans </w:t>
      </w:r>
      <w:r w:rsidR="00664B54" w:rsidRPr="007C5A6E">
        <w:rPr>
          <w:rFonts w:ascii="Times New Roman" w:hAnsi="Times New Roman"/>
          <w:bCs/>
          <w:sz w:val="24"/>
          <w:szCs w:val="24"/>
        </w:rPr>
        <w:t xml:space="preserve">des </w:t>
      </w:r>
      <w:r w:rsidRPr="007C5A6E">
        <w:rPr>
          <w:rFonts w:ascii="Times New Roman" w:hAnsi="Times New Roman"/>
          <w:bCs/>
          <w:sz w:val="24"/>
          <w:szCs w:val="24"/>
        </w:rPr>
        <w:t>cages flottantes…) constituent le principal facteur de pollution liée à ces activités.</w:t>
      </w:r>
    </w:p>
    <w:p w14:paraId="150A36C0" w14:textId="38034CFD" w:rsidR="00ED7CDA" w:rsidRPr="007C5A6E" w:rsidRDefault="00ED7CDA" w:rsidP="00BC4843">
      <w:pPr>
        <w:spacing w:after="0" w:line="240" w:lineRule="auto"/>
        <w:jc w:val="both"/>
        <w:rPr>
          <w:rFonts w:ascii="Times New Roman" w:hAnsi="Times New Roman"/>
          <w:bCs/>
          <w:sz w:val="24"/>
          <w:szCs w:val="24"/>
        </w:rPr>
      </w:pPr>
      <w:r w:rsidRPr="007C5A6E">
        <w:rPr>
          <w:rFonts w:ascii="Times New Roman" w:hAnsi="Times New Roman"/>
          <w:bCs/>
          <w:sz w:val="24"/>
          <w:szCs w:val="24"/>
        </w:rPr>
        <w:t>La dissolution, l’infiltration et le transport de ces polluants dans les cours d’eau, les lacs d’eau de surface et dans les ouvrages d’eau souterraine mal protégés constituent le principal mécanisme par lequel les ressources en eau sont impactées sur le plan qualitatif et quantitatif.</w:t>
      </w:r>
    </w:p>
    <w:p w14:paraId="0CB15DE5" w14:textId="77777777" w:rsidR="00672FAF" w:rsidRPr="007C5A6E" w:rsidRDefault="00672FAF" w:rsidP="00BC4843">
      <w:pPr>
        <w:spacing w:after="0" w:line="240" w:lineRule="auto"/>
        <w:jc w:val="both"/>
        <w:rPr>
          <w:rFonts w:ascii="Times New Roman" w:hAnsi="Times New Roman"/>
          <w:bCs/>
          <w:sz w:val="24"/>
          <w:szCs w:val="24"/>
        </w:rPr>
      </w:pPr>
    </w:p>
    <w:p w14:paraId="794CA5C2" w14:textId="77777777" w:rsidR="00ED7CDA" w:rsidRPr="007C5A6E" w:rsidRDefault="00ED7CDA" w:rsidP="003F3821">
      <w:pPr>
        <w:numPr>
          <w:ilvl w:val="0"/>
          <w:numId w:val="12"/>
        </w:numPr>
        <w:spacing w:after="0" w:line="240" w:lineRule="auto"/>
        <w:ind w:left="357" w:hanging="357"/>
        <w:contextualSpacing/>
        <w:jc w:val="both"/>
        <w:rPr>
          <w:rFonts w:ascii="Times New Roman" w:eastAsia="Calibri" w:hAnsi="Times New Roman"/>
          <w:b/>
          <w:bCs/>
          <w:i/>
          <w:iCs/>
          <w:sz w:val="24"/>
          <w:szCs w:val="24"/>
          <w:lang w:eastAsia="en-US"/>
        </w:rPr>
      </w:pPr>
      <w:r w:rsidRPr="007C5A6E">
        <w:rPr>
          <w:rFonts w:ascii="Times New Roman" w:eastAsia="Calibri" w:hAnsi="Times New Roman"/>
          <w:b/>
          <w:bCs/>
          <w:i/>
          <w:iCs/>
          <w:sz w:val="24"/>
          <w:szCs w:val="24"/>
          <w:lang w:eastAsia="en-US"/>
        </w:rPr>
        <w:t xml:space="preserve">Les activités artisanales, industrielles et minières </w:t>
      </w:r>
    </w:p>
    <w:p w14:paraId="0C7FF632" w14:textId="77777777" w:rsidR="00ED7CDA" w:rsidRPr="007C5A6E" w:rsidRDefault="00ED7CDA" w:rsidP="00BC4843">
      <w:pPr>
        <w:spacing w:after="0" w:line="240" w:lineRule="auto"/>
        <w:jc w:val="both"/>
        <w:rPr>
          <w:rFonts w:ascii="Times New Roman" w:hAnsi="Times New Roman"/>
          <w:sz w:val="24"/>
          <w:szCs w:val="24"/>
          <w:lang w:eastAsia="en-US"/>
        </w:rPr>
      </w:pPr>
      <w:r w:rsidRPr="007C5A6E">
        <w:rPr>
          <w:rFonts w:ascii="Times New Roman" w:hAnsi="Times New Roman"/>
          <w:sz w:val="24"/>
          <w:szCs w:val="24"/>
          <w:lang w:eastAsia="en-US"/>
        </w:rPr>
        <w:t>Les activités artisanales, industrielles et minières sont des sources importantes de rejets solides et liquides dans ou à la surface des sols. Ces rejets qui sont parfois, voire le plus souvent peu ou non traités contribuent à la pollution chimique et organique des ressources en eau.</w:t>
      </w:r>
    </w:p>
    <w:p w14:paraId="712DD2F9" w14:textId="77777777" w:rsidR="00170041" w:rsidRPr="007C5A6E" w:rsidRDefault="00170041" w:rsidP="00BC4843">
      <w:pPr>
        <w:spacing w:after="0" w:line="240" w:lineRule="auto"/>
        <w:jc w:val="both"/>
        <w:rPr>
          <w:rFonts w:ascii="Times New Roman" w:hAnsi="Times New Roman"/>
          <w:sz w:val="24"/>
          <w:szCs w:val="24"/>
          <w:lang w:eastAsia="en-US"/>
        </w:rPr>
      </w:pPr>
    </w:p>
    <w:p w14:paraId="2414933D" w14:textId="77777777" w:rsidR="00ED7CDA" w:rsidRPr="007C5A6E" w:rsidRDefault="00ED7CDA" w:rsidP="003F3821">
      <w:pPr>
        <w:numPr>
          <w:ilvl w:val="0"/>
          <w:numId w:val="12"/>
        </w:numPr>
        <w:spacing w:after="0" w:line="240" w:lineRule="auto"/>
        <w:ind w:left="357" w:hanging="357"/>
        <w:contextualSpacing/>
        <w:jc w:val="both"/>
        <w:rPr>
          <w:rFonts w:ascii="Times New Roman" w:eastAsia="Calibri" w:hAnsi="Times New Roman"/>
          <w:b/>
          <w:bCs/>
          <w:i/>
          <w:iCs/>
          <w:sz w:val="24"/>
          <w:szCs w:val="24"/>
          <w:lang w:eastAsia="en-US"/>
        </w:rPr>
      </w:pPr>
      <w:r w:rsidRPr="007C5A6E">
        <w:rPr>
          <w:rFonts w:ascii="Times New Roman" w:eastAsia="Calibri" w:hAnsi="Times New Roman"/>
          <w:b/>
          <w:bCs/>
          <w:i/>
          <w:iCs/>
          <w:sz w:val="24"/>
          <w:szCs w:val="24"/>
          <w:lang w:eastAsia="en-US"/>
        </w:rPr>
        <w:t xml:space="preserve">La dégradation de l’état physique des bassins hydrographiques des cours d’eau </w:t>
      </w:r>
    </w:p>
    <w:p w14:paraId="4461520B" w14:textId="77777777" w:rsidR="00ED7CDA" w:rsidRPr="007C5A6E" w:rsidRDefault="00ED7CDA" w:rsidP="00BC4843">
      <w:pPr>
        <w:spacing w:after="0" w:line="240" w:lineRule="auto"/>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Les bassins hydrographiques des cours d’eau constituent les réceptacles et les aires de drainage des eaux de pluie. Leur état physique est un facteur important qui régit non seulement l’importance des écoulements et des infiltrations des eaux de surface, mais également la qualité et le pouvoir érosif des eaux de ruissellement.</w:t>
      </w:r>
    </w:p>
    <w:p w14:paraId="64954364" w14:textId="77777777" w:rsidR="00ED7CDA" w:rsidRPr="007C5A6E" w:rsidRDefault="00ED7CDA" w:rsidP="00BC4843">
      <w:pPr>
        <w:spacing w:after="0" w:line="240" w:lineRule="auto"/>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 xml:space="preserve"> Il s’en suit que l’occupation des sols, joue un rôle particulier notamment dans la pollution physique (turbidité) des ressources en eau.</w:t>
      </w:r>
    </w:p>
    <w:p w14:paraId="53A47351" w14:textId="77777777" w:rsidR="00170041" w:rsidRPr="007C5A6E" w:rsidRDefault="00170041" w:rsidP="00BC4843">
      <w:pPr>
        <w:spacing w:after="0" w:line="240" w:lineRule="auto"/>
        <w:jc w:val="both"/>
        <w:rPr>
          <w:rFonts w:ascii="Times New Roman" w:eastAsia="Calibri" w:hAnsi="Times New Roman"/>
          <w:sz w:val="24"/>
          <w:szCs w:val="24"/>
          <w:lang w:eastAsia="en-US"/>
        </w:rPr>
      </w:pPr>
    </w:p>
    <w:p w14:paraId="4D473389" w14:textId="77777777" w:rsidR="00ED7CDA" w:rsidRPr="007C5A6E" w:rsidRDefault="00ED7CDA" w:rsidP="00170041">
      <w:pPr>
        <w:pStyle w:val="Titre3"/>
      </w:pPr>
      <w:bookmarkStart w:id="240" w:name="_Toc182606019"/>
      <w:bookmarkStart w:id="241" w:name="_Toc183340069"/>
      <w:r w:rsidRPr="007C5A6E">
        <w:t>Les déficits pluviométriques</w:t>
      </w:r>
      <w:bookmarkEnd w:id="240"/>
      <w:bookmarkEnd w:id="241"/>
      <w:r w:rsidRPr="007C5A6E">
        <w:t xml:space="preserve"> </w:t>
      </w:r>
    </w:p>
    <w:p w14:paraId="0A035EC9" w14:textId="77777777" w:rsidR="00170041" w:rsidRPr="007C5A6E" w:rsidRDefault="00170041" w:rsidP="00BC4843">
      <w:pPr>
        <w:spacing w:after="0" w:line="240" w:lineRule="auto"/>
        <w:jc w:val="both"/>
        <w:rPr>
          <w:rFonts w:ascii="Times New Roman" w:eastAsia="Calibri" w:hAnsi="Times New Roman"/>
          <w:sz w:val="24"/>
          <w:szCs w:val="24"/>
          <w:lang w:eastAsia="en-US"/>
        </w:rPr>
      </w:pPr>
    </w:p>
    <w:p w14:paraId="3F90F14D" w14:textId="66E8BF64" w:rsidR="00ED7CDA" w:rsidRPr="007C5A6E" w:rsidRDefault="00ED7CDA" w:rsidP="00BC4843">
      <w:pPr>
        <w:spacing w:after="0" w:line="240" w:lineRule="auto"/>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Les échanges en eau entre aquifères sont non étudiés et assez limités du fait de la nature rocheuse des formations géologiques dominées par le socle cristallin. Il s’en suit que les pluies constituent au Burkina Faso la principale source des apports en eau du pays à travers notamment les phénomènes de ruissellement et d’infiltration des volumes d’eau tombée.</w:t>
      </w:r>
      <w:r w:rsidRPr="007C5A6E">
        <w:rPr>
          <w:rFonts w:ascii="Times New Roman" w:eastAsia="Calibri" w:hAnsi="Times New Roman"/>
          <w:color w:val="FF0000"/>
          <w:sz w:val="24"/>
          <w:szCs w:val="24"/>
          <w:lang w:eastAsia="en-US"/>
        </w:rPr>
        <w:t xml:space="preserve"> </w:t>
      </w:r>
    </w:p>
    <w:p w14:paraId="3685EB58" w14:textId="77777777" w:rsidR="00ED7CDA" w:rsidRPr="007C5A6E" w:rsidRDefault="00ED7CDA" w:rsidP="00BC4843">
      <w:pPr>
        <w:spacing w:after="0" w:line="240" w:lineRule="auto"/>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Les pluies alimentent ainsi les nappes des aquifères, les cours d’eau et les lacs d’eau de surface qui constituent ensemble, les principales ressources en eau du pays.</w:t>
      </w:r>
    </w:p>
    <w:p w14:paraId="446DB2CB" w14:textId="77777777" w:rsidR="00170041" w:rsidRPr="007C5A6E" w:rsidRDefault="00170041" w:rsidP="00BC4843">
      <w:pPr>
        <w:spacing w:after="0" w:line="240" w:lineRule="auto"/>
        <w:jc w:val="both"/>
        <w:rPr>
          <w:rFonts w:ascii="Times New Roman" w:eastAsia="Calibri" w:hAnsi="Times New Roman"/>
          <w:sz w:val="24"/>
          <w:szCs w:val="24"/>
          <w:lang w:eastAsia="en-US"/>
        </w:rPr>
      </w:pPr>
    </w:p>
    <w:p w14:paraId="4AA256AD" w14:textId="6B9C02AE" w:rsidR="00ED7CDA" w:rsidRPr="007C5A6E" w:rsidRDefault="00ED7CDA" w:rsidP="003F3821">
      <w:pPr>
        <w:numPr>
          <w:ilvl w:val="0"/>
          <w:numId w:val="11"/>
        </w:numPr>
        <w:spacing w:after="0" w:line="240" w:lineRule="auto"/>
        <w:ind w:left="357" w:hanging="357"/>
        <w:rPr>
          <w:rFonts w:ascii="Times New Roman" w:eastAsia="Calibri" w:hAnsi="Times New Roman"/>
          <w:b/>
          <w:bCs/>
          <w:i/>
          <w:iCs/>
          <w:sz w:val="24"/>
          <w:szCs w:val="24"/>
          <w:lang w:eastAsia="en-US"/>
        </w:rPr>
      </w:pPr>
      <w:r w:rsidRPr="007C5A6E">
        <w:rPr>
          <w:rFonts w:ascii="Times New Roman" w:eastAsia="Calibri" w:hAnsi="Times New Roman"/>
          <w:b/>
          <w:bCs/>
          <w:i/>
          <w:iCs/>
          <w:sz w:val="24"/>
          <w:szCs w:val="24"/>
          <w:lang w:eastAsia="en-US"/>
        </w:rPr>
        <w:t xml:space="preserve">Le principal facteur des déficits </w:t>
      </w:r>
      <w:r w:rsidR="002777D8" w:rsidRPr="007C5A6E">
        <w:rPr>
          <w:rFonts w:ascii="Times New Roman" w:eastAsia="Calibri" w:hAnsi="Times New Roman"/>
          <w:b/>
          <w:bCs/>
          <w:i/>
          <w:iCs/>
          <w:sz w:val="24"/>
          <w:szCs w:val="24"/>
          <w:lang w:eastAsia="en-US"/>
        </w:rPr>
        <w:t>pluviométriques</w:t>
      </w:r>
      <w:r w:rsidRPr="007C5A6E">
        <w:rPr>
          <w:rFonts w:ascii="Times New Roman" w:eastAsia="Calibri" w:hAnsi="Times New Roman"/>
          <w:b/>
          <w:bCs/>
          <w:i/>
          <w:iCs/>
          <w:sz w:val="24"/>
          <w:szCs w:val="24"/>
          <w:lang w:eastAsia="en-US"/>
        </w:rPr>
        <w:t xml:space="preserve"> </w:t>
      </w:r>
    </w:p>
    <w:p w14:paraId="50E3FE2B" w14:textId="77777777" w:rsidR="00ED7CDA" w:rsidRPr="007C5A6E" w:rsidRDefault="00ED7CDA" w:rsidP="00BC4843">
      <w:pPr>
        <w:spacing w:after="0" w:line="240" w:lineRule="auto"/>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 xml:space="preserve">Les pluies sont variables dans l’espace et dans le temps d’une année à l’autre et sont à l’origine de la fluctuation des ressources en eau renouvelable et particulièrement des déficits en eau. </w:t>
      </w:r>
    </w:p>
    <w:p w14:paraId="44D3C791" w14:textId="0543F3E8" w:rsidR="00ED7CDA" w:rsidRPr="007C5A6E" w:rsidRDefault="00ED7CDA" w:rsidP="002777D8">
      <w:pPr>
        <w:spacing w:after="0" w:line="240" w:lineRule="auto"/>
        <w:jc w:val="both"/>
        <w:rPr>
          <w:rFonts w:eastAsia="Calibri" w:cs="Calibri"/>
          <w:i/>
          <w:sz w:val="21"/>
          <w:szCs w:val="20"/>
          <w:lang w:eastAsia="da-DK"/>
        </w:rPr>
      </w:pPr>
      <w:r w:rsidRPr="007C5A6E">
        <w:rPr>
          <w:rFonts w:ascii="Times New Roman" w:eastAsia="Calibri" w:hAnsi="Times New Roman"/>
          <w:sz w:val="24"/>
          <w:szCs w:val="24"/>
          <w:lang w:eastAsia="en-US"/>
        </w:rPr>
        <w:t>La variabilité de la pluviométrie constitue en lien avec le changement climatique, le principal facteur de pression à l’origine des déficits pluviométriques qui réduisent sur le plan quantitatif les apports en eau renouvelables du pays. Elle diffère au niveau du pays, d’une zone climatique à l’autre</w:t>
      </w:r>
      <w:r w:rsidR="002777D8" w:rsidRPr="007C5A6E">
        <w:rPr>
          <w:rFonts w:ascii="Times New Roman" w:eastAsia="Calibri" w:hAnsi="Times New Roman"/>
          <w:sz w:val="24"/>
          <w:szCs w:val="24"/>
          <w:lang w:eastAsia="en-US"/>
        </w:rPr>
        <w:t xml:space="preserve"> (cf. section 2.1)</w:t>
      </w:r>
      <w:r w:rsidRPr="007C5A6E">
        <w:rPr>
          <w:rFonts w:ascii="Times New Roman" w:eastAsia="Calibri" w:hAnsi="Times New Roman"/>
          <w:sz w:val="24"/>
          <w:szCs w:val="24"/>
          <w:lang w:eastAsia="en-US"/>
        </w:rPr>
        <w:t xml:space="preserve">. </w:t>
      </w:r>
    </w:p>
    <w:p w14:paraId="7A0150D8" w14:textId="77777777" w:rsidR="00ED7CDA" w:rsidRPr="007C5A6E" w:rsidRDefault="00ED7CDA" w:rsidP="00BC4843">
      <w:pPr>
        <w:spacing w:after="0" w:line="240" w:lineRule="auto"/>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Les mécanismes qui conduisent aux déficits pluviométriques sont notamment les suivants :</w:t>
      </w:r>
    </w:p>
    <w:p w14:paraId="1F876947" w14:textId="77777777" w:rsidR="00ED7CDA" w:rsidRPr="007C5A6E" w:rsidRDefault="00ED7CDA" w:rsidP="003F3821">
      <w:pPr>
        <w:numPr>
          <w:ilvl w:val="0"/>
          <w:numId w:val="14"/>
        </w:numPr>
        <w:spacing w:after="0" w:line="240" w:lineRule="auto"/>
        <w:ind w:left="360"/>
        <w:contextualSpacing/>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La variation du nombre total de jours de pluie par an ;</w:t>
      </w:r>
    </w:p>
    <w:p w14:paraId="28DE978B" w14:textId="77777777" w:rsidR="00ED7CDA" w:rsidRPr="007C5A6E" w:rsidRDefault="00ED7CDA" w:rsidP="003F3821">
      <w:pPr>
        <w:numPr>
          <w:ilvl w:val="0"/>
          <w:numId w:val="14"/>
        </w:numPr>
        <w:spacing w:after="0" w:line="240" w:lineRule="auto"/>
        <w:ind w:left="360"/>
        <w:contextualSpacing/>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L’intensité et la durée des épisodes pluvieux ;</w:t>
      </w:r>
    </w:p>
    <w:p w14:paraId="7E6885A9" w14:textId="77777777" w:rsidR="00ED7CDA" w:rsidRPr="007C5A6E" w:rsidRDefault="00ED7CDA" w:rsidP="003F3821">
      <w:pPr>
        <w:numPr>
          <w:ilvl w:val="0"/>
          <w:numId w:val="14"/>
        </w:numPr>
        <w:spacing w:after="0" w:line="240" w:lineRule="auto"/>
        <w:ind w:left="360"/>
        <w:contextualSpacing/>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Les séquences sèches de pluie.</w:t>
      </w:r>
    </w:p>
    <w:p w14:paraId="17A36360" w14:textId="77777777" w:rsidR="00170041" w:rsidRPr="007C5A6E" w:rsidRDefault="00170041" w:rsidP="00672FAF">
      <w:pPr>
        <w:spacing w:after="0" w:line="240" w:lineRule="auto"/>
        <w:ind w:left="360"/>
        <w:contextualSpacing/>
        <w:jc w:val="both"/>
        <w:rPr>
          <w:rFonts w:ascii="Times New Roman" w:eastAsia="Calibri" w:hAnsi="Times New Roman"/>
          <w:sz w:val="24"/>
          <w:szCs w:val="24"/>
          <w:lang w:eastAsia="en-US"/>
        </w:rPr>
      </w:pPr>
    </w:p>
    <w:p w14:paraId="0ADCA041" w14:textId="77777777" w:rsidR="00ED7CDA" w:rsidRPr="007C5A6E" w:rsidRDefault="00ED7CDA" w:rsidP="00672FAF">
      <w:pPr>
        <w:pStyle w:val="Titre3"/>
      </w:pPr>
      <w:bookmarkStart w:id="242" w:name="_Toc182606020"/>
      <w:bookmarkStart w:id="243" w:name="_Toc183340070"/>
      <w:r w:rsidRPr="007C5A6E">
        <w:t>Les prélèvements des ressources en eau</w:t>
      </w:r>
      <w:bookmarkEnd w:id="242"/>
      <w:bookmarkEnd w:id="243"/>
      <w:r w:rsidRPr="007C5A6E">
        <w:t xml:space="preserve"> </w:t>
      </w:r>
    </w:p>
    <w:p w14:paraId="05AC0656" w14:textId="77777777" w:rsidR="00170041" w:rsidRPr="007C5A6E" w:rsidRDefault="00170041" w:rsidP="00672FAF">
      <w:pPr>
        <w:spacing w:after="0" w:line="240" w:lineRule="auto"/>
        <w:rPr>
          <w:rFonts w:eastAsia="Calibri"/>
          <w:lang w:eastAsia="en-US"/>
        </w:rPr>
      </w:pPr>
    </w:p>
    <w:p w14:paraId="4CFC9AD4" w14:textId="77777777" w:rsidR="00ED7CDA" w:rsidRPr="007C5A6E" w:rsidRDefault="00ED7CDA" w:rsidP="003F3821">
      <w:pPr>
        <w:numPr>
          <w:ilvl w:val="1"/>
          <w:numId w:val="6"/>
        </w:numPr>
        <w:spacing w:after="0" w:line="240" w:lineRule="auto"/>
        <w:outlineLvl w:val="2"/>
        <w:rPr>
          <w:rFonts w:ascii="Times New Roman" w:eastAsia="Calibri" w:hAnsi="Times New Roman"/>
          <w:b/>
          <w:bCs/>
          <w:i/>
          <w:iCs/>
          <w:vanish/>
          <w:sz w:val="24"/>
          <w:szCs w:val="24"/>
          <w:lang w:eastAsia="en-US"/>
        </w:rPr>
      </w:pPr>
      <w:bookmarkStart w:id="244" w:name="_Toc182605814"/>
      <w:bookmarkStart w:id="245" w:name="_Toc182606021"/>
      <w:bookmarkStart w:id="246" w:name="_Toc183287829"/>
      <w:bookmarkStart w:id="247" w:name="_Toc183291070"/>
      <w:bookmarkStart w:id="248" w:name="_Toc183291474"/>
      <w:bookmarkStart w:id="249" w:name="_Toc183291878"/>
      <w:bookmarkStart w:id="250" w:name="_Toc183340071"/>
      <w:bookmarkEnd w:id="244"/>
      <w:bookmarkEnd w:id="245"/>
      <w:bookmarkEnd w:id="246"/>
      <w:bookmarkEnd w:id="247"/>
      <w:bookmarkEnd w:id="248"/>
      <w:bookmarkEnd w:id="249"/>
      <w:bookmarkEnd w:id="250"/>
    </w:p>
    <w:p w14:paraId="11CCA038" w14:textId="77777777" w:rsidR="00ED7CDA" w:rsidRPr="007C5A6E" w:rsidRDefault="00ED7CDA" w:rsidP="00684FF8">
      <w:pPr>
        <w:pStyle w:val="Titre4"/>
      </w:pPr>
      <w:bookmarkStart w:id="251" w:name="_Toc182606022"/>
      <w:bookmarkStart w:id="252" w:name="_Toc183340072"/>
      <w:r w:rsidRPr="007C5A6E">
        <w:t>Les modes de prélèvement des ressources en eau</w:t>
      </w:r>
      <w:bookmarkEnd w:id="251"/>
      <w:bookmarkEnd w:id="252"/>
    </w:p>
    <w:p w14:paraId="260CBBFD" w14:textId="77777777" w:rsidR="00170041" w:rsidRPr="007C5A6E" w:rsidRDefault="00170041" w:rsidP="00672FAF">
      <w:pPr>
        <w:spacing w:after="0" w:line="240" w:lineRule="auto"/>
        <w:jc w:val="both"/>
        <w:rPr>
          <w:rFonts w:ascii="Times New Roman" w:eastAsia="Calibri" w:hAnsi="Times New Roman"/>
          <w:sz w:val="24"/>
          <w:szCs w:val="24"/>
          <w:lang w:eastAsia="en-US"/>
        </w:rPr>
      </w:pPr>
    </w:p>
    <w:p w14:paraId="7F2BC368" w14:textId="6AB52953" w:rsidR="00ED7CDA" w:rsidRPr="007C5A6E" w:rsidRDefault="00ED7CDA" w:rsidP="00672FAF">
      <w:pPr>
        <w:spacing w:after="0" w:line="240" w:lineRule="auto"/>
        <w:jc w:val="both"/>
        <w:rPr>
          <w:rFonts w:cs="Calibri"/>
          <w:i/>
          <w:sz w:val="21"/>
          <w:szCs w:val="20"/>
          <w:lang w:eastAsia="da-DK"/>
        </w:rPr>
      </w:pPr>
      <w:r w:rsidRPr="007C5A6E">
        <w:rPr>
          <w:rFonts w:ascii="Times New Roman" w:eastAsia="Calibri" w:hAnsi="Times New Roman"/>
          <w:sz w:val="24"/>
          <w:szCs w:val="24"/>
          <w:lang w:eastAsia="en-US"/>
        </w:rPr>
        <w:t>Les principaux modes de prélèvement des ressources en eau sont (i) l’évaporation des plans d’eau de surface et (ii) la mobilisation des ressources en eau au moyen d’infrastructures hydrauliques d’eau souterraine et de surface.</w:t>
      </w:r>
      <w:r w:rsidR="00672FAF" w:rsidRPr="007C5A6E">
        <w:rPr>
          <w:rFonts w:ascii="Times New Roman" w:eastAsia="Calibri" w:hAnsi="Times New Roman"/>
          <w:sz w:val="24"/>
          <w:szCs w:val="24"/>
          <w:lang w:eastAsia="en-US"/>
        </w:rPr>
        <w:t xml:space="preserve"> </w:t>
      </w:r>
      <w:r w:rsidRPr="007C5A6E">
        <w:rPr>
          <w:rFonts w:ascii="Times New Roman" w:eastAsia="Calibri" w:hAnsi="Times New Roman"/>
          <w:sz w:val="24"/>
          <w:szCs w:val="24"/>
          <w:lang w:eastAsia="en-US"/>
        </w:rPr>
        <w:t xml:space="preserve">Le tableau </w:t>
      </w:r>
      <w:r w:rsidR="00DB613A" w:rsidRPr="007C5A6E">
        <w:rPr>
          <w:rFonts w:ascii="Times New Roman" w:eastAsia="Calibri" w:hAnsi="Times New Roman"/>
          <w:sz w:val="24"/>
          <w:szCs w:val="24"/>
          <w:lang w:eastAsia="en-US"/>
        </w:rPr>
        <w:t>9</w:t>
      </w:r>
      <w:r w:rsidR="00672FAF" w:rsidRPr="007C5A6E">
        <w:rPr>
          <w:rFonts w:ascii="Times New Roman" w:eastAsia="Calibri" w:hAnsi="Times New Roman"/>
          <w:sz w:val="24"/>
          <w:szCs w:val="24"/>
          <w:lang w:eastAsia="en-US"/>
        </w:rPr>
        <w:t xml:space="preserve"> </w:t>
      </w:r>
      <w:r w:rsidRPr="007C5A6E">
        <w:rPr>
          <w:rFonts w:ascii="Times New Roman" w:eastAsia="Calibri" w:hAnsi="Times New Roman"/>
          <w:sz w:val="24"/>
          <w:szCs w:val="24"/>
          <w:lang w:eastAsia="en-US"/>
        </w:rPr>
        <w:t>ci-après donne un aperçu sur les valeurs moyennes interannuelles de l’évaporation</w:t>
      </w:r>
      <w:r w:rsidRPr="007C5A6E">
        <w:rPr>
          <w:rFonts w:cs="Calibri"/>
          <w:i/>
          <w:sz w:val="21"/>
          <w:szCs w:val="20"/>
          <w:lang w:eastAsia="da-DK"/>
        </w:rPr>
        <w:t xml:space="preserve">. </w:t>
      </w:r>
    </w:p>
    <w:p w14:paraId="053CEBF1" w14:textId="77777777" w:rsidR="00672FAF" w:rsidRPr="007C5A6E" w:rsidRDefault="00672FAF" w:rsidP="00672FAF">
      <w:pPr>
        <w:tabs>
          <w:tab w:val="left" w:pos="1134"/>
        </w:tabs>
        <w:spacing w:after="0" w:line="240" w:lineRule="auto"/>
        <w:ind w:left="1134" w:hanging="1134"/>
        <w:rPr>
          <w:rFonts w:ascii="Times New Roman" w:hAnsi="Times New Roman"/>
          <w:i/>
          <w:sz w:val="24"/>
          <w:szCs w:val="24"/>
          <w:lang w:eastAsia="da-DK"/>
        </w:rPr>
      </w:pPr>
      <w:bookmarkStart w:id="253" w:name="_Toc182605857"/>
    </w:p>
    <w:p w14:paraId="4CF46198" w14:textId="7EA230EA" w:rsidR="00ED7CDA" w:rsidRPr="007C5A6E" w:rsidRDefault="00ED7CDA" w:rsidP="00672FAF">
      <w:pPr>
        <w:tabs>
          <w:tab w:val="left" w:pos="1134"/>
        </w:tabs>
        <w:spacing w:after="0" w:line="240" w:lineRule="auto"/>
        <w:ind w:left="1134" w:hanging="1134"/>
        <w:rPr>
          <w:rFonts w:ascii="Times New Roman" w:hAnsi="Times New Roman"/>
          <w:iCs/>
          <w:sz w:val="24"/>
          <w:szCs w:val="24"/>
          <w:lang w:eastAsia="da-DK"/>
        </w:rPr>
      </w:pPr>
      <w:bookmarkStart w:id="254" w:name="_Toc183240971"/>
      <w:bookmarkStart w:id="255" w:name="_Toc183292213"/>
      <w:bookmarkStart w:id="256" w:name="_Toc183340493"/>
      <w:r w:rsidRPr="007C5A6E">
        <w:rPr>
          <w:rFonts w:ascii="Times New Roman" w:hAnsi="Times New Roman"/>
          <w:iCs/>
          <w:sz w:val="24"/>
          <w:szCs w:val="24"/>
          <w:lang w:eastAsia="da-DK"/>
        </w:rPr>
        <w:t xml:space="preserve">Tableau </w:t>
      </w:r>
      <w:r w:rsidRPr="007C5A6E">
        <w:rPr>
          <w:rFonts w:ascii="Times New Roman" w:hAnsi="Times New Roman"/>
          <w:iCs/>
          <w:sz w:val="24"/>
          <w:szCs w:val="24"/>
          <w:lang w:eastAsia="da-DK"/>
        </w:rPr>
        <w:fldChar w:fldCharType="begin"/>
      </w:r>
      <w:r w:rsidRPr="007C5A6E">
        <w:rPr>
          <w:rFonts w:ascii="Times New Roman" w:hAnsi="Times New Roman"/>
          <w:iCs/>
          <w:sz w:val="24"/>
          <w:szCs w:val="24"/>
          <w:lang w:eastAsia="da-DK"/>
        </w:rPr>
        <w:instrText xml:space="preserve"> SEQ Tableau \* ARABIC </w:instrText>
      </w:r>
      <w:r w:rsidRPr="007C5A6E">
        <w:rPr>
          <w:rFonts w:ascii="Times New Roman" w:hAnsi="Times New Roman"/>
          <w:iCs/>
          <w:sz w:val="24"/>
          <w:szCs w:val="24"/>
          <w:lang w:eastAsia="da-DK"/>
        </w:rPr>
        <w:fldChar w:fldCharType="separate"/>
      </w:r>
      <w:r w:rsidR="00AE0C9D" w:rsidRPr="007C5A6E">
        <w:rPr>
          <w:rFonts w:ascii="Times New Roman" w:hAnsi="Times New Roman"/>
          <w:iCs/>
          <w:noProof/>
          <w:sz w:val="24"/>
          <w:szCs w:val="24"/>
          <w:lang w:eastAsia="da-DK"/>
        </w:rPr>
        <w:t>9</w:t>
      </w:r>
      <w:r w:rsidRPr="007C5A6E">
        <w:rPr>
          <w:rFonts w:ascii="Times New Roman" w:hAnsi="Times New Roman"/>
          <w:iCs/>
          <w:sz w:val="24"/>
          <w:szCs w:val="24"/>
          <w:lang w:eastAsia="da-DK"/>
        </w:rPr>
        <w:fldChar w:fldCharType="end"/>
      </w:r>
      <w:r w:rsidRPr="007C5A6E">
        <w:rPr>
          <w:rFonts w:ascii="Times New Roman" w:hAnsi="Times New Roman"/>
          <w:iCs/>
          <w:sz w:val="24"/>
          <w:szCs w:val="24"/>
          <w:lang w:eastAsia="da-DK"/>
        </w:rPr>
        <w:t> : Evolution interannuelle de l'évaporation dans les principales stations (en mm)</w:t>
      </w:r>
      <w:bookmarkEnd w:id="253"/>
      <w:bookmarkEnd w:id="254"/>
      <w:bookmarkEnd w:id="255"/>
      <w:bookmarkEnd w:id="256"/>
      <w:r w:rsidRPr="007C5A6E">
        <w:rPr>
          <w:rFonts w:ascii="Times New Roman" w:hAnsi="Times New Roman"/>
          <w:iCs/>
          <w:sz w:val="24"/>
          <w:szCs w:val="24"/>
          <w:lang w:eastAsia="da-DK"/>
        </w:rPr>
        <w:t xml:space="preserve">          </w:t>
      </w:r>
    </w:p>
    <w:p w14:paraId="5650E4F3" w14:textId="77777777" w:rsidR="00ED7CDA" w:rsidRPr="007C5A6E" w:rsidRDefault="00ED7CDA" w:rsidP="00BC4843">
      <w:pPr>
        <w:spacing w:after="0" w:line="240" w:lineRule="auto"/>
        <w:jc w:val="both"/>
        <w:rPr>
          <w:rFonts w:ascii="Times New Roman" w:eastAsia="Calibri" w:hAnsi="Times New Roman"/>
          <w:color w:val="FF0000"/>
          <w:sz w:val="24"/>
          <w:szCs w:val="24"/>
          <w:lang w:eastAsia="en-US"/>
        </w:rPr>
      </w:pPr>
      <w:r w:rsidRPr="007C5A6E">
        <w:rPr>
          <w:rFonts w:ascii="Times New Roman" w:eastAsia="Calibri" w:hAnsi="Times New Roman"/>
          <w:noProof/>
          <w:color w:val="FF0000"/>
          <w:sz w:val="24"/>
          <w:szCs w:val="24"/>
          <w:lang w:eastAsia="en-US"/>
        </w:rPr>
        <w:drawing>
          <wp:inline distT="0" distB="0" distL="0" distR="0" wp14:anchorId="07574BE9" wp14:editId="6A5063B1">
            <wp:extent cx="5759450" cy="1952625"/>
            <wp:effectExtent l="0" t="0" r="0" b="9525"/>
            <wp:docPr id="19825986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598657" name=""/>
                    <pic:cNvPicPr/>
                  </pic:nvPicPr>
                  <pic:blipFill>
                    <a:blip r:embed="rId109" cstate="email">
                      <a:extLst>
                        <a:ext uri="{28A0092B-C50C-407E-A947-70E740481C1C}">
                          <a14:useLocalDpi xmlns:a14="http://schemas.microsoft.com/office/drawing/2010/main"/>
                        </a:ext>
                      </a:extLst>
                    </a:blip>
                    <a:stretch>
                      <a:fillRect/>
                    </a:stretch>
                  </pic:blipFill>
                  <pic:spPr>
                    <a:xfrm>
                      <a:off x="0" y="0"/>
                      <a:ext cx="5759450" cy="1952625"/>
                    </a:xfrm>
                    <a:prstGeom prst="rect">
                      <a:avLst/>
                    </a:prstGeom>
                  </pic:spPr>
                </pic:pic>
              </a:graphicData>
            </a:graphic>
          </wp:inline>
        </w:drawing>
      </w:r>
    </w:p>
    <w:p w14:paraId="786C2B38" w14:textId="77777777" w:rsidR="00ED7CDA" w:rsidRPr="007C5A6E" w:rsidRDefault="00ED7CDA" w:rsidP="00BC4843">
      <w:pPr>
        <w:spacing w:after="0" w:line="240" w:lineRule="auto"/>
        <w:jc w:val="both"/>
        <w:rPr>
          <w:rFonts w:ascii="Times New Roman" w:eastAsia="Calibri" w:hAnsi="Times New Roman"/>
          <w:sz w:val="20"/>
          <w:szCs w:val="20"/>
          <w:lang w:eastAsia="en-US"/>
        </w:rPr>
      </w:pPr>
      <w:r w:rsidRPr="007C5A6E">
        <w:rPr>
          <w:rFonts w:ascii="Times New Roman" w:eastAsia="Calibri" w:hAnsi="Times New Roman"/>
          <w:sz w:val="20"/>
          <w:szCs w:val="20"/>
          <w:lang w:eastAsia="en-US"/>
        </w:rPr>
        <w:t>Source : Annuaire des statistiques agro-</w:t>
      </w:r>
      <w:proofErr w:type="spellStart"/>
      <w:r w:rsidRPr="007C5A6E">
        <w:rPr>
          <w:rFonts w:ascii="Times New Roman" w:eastAsia="Calibri" w:hAnsi="Times New Roman"/>
          <w:sz w:val="20"/>
          <w:szCs w:val="20"/>
          <w:lang w:eastAsia="en-US"/>
        </w:rPr>
        <w:t>sylvo</w:t>
      </w:r>
      <w:proofErr w:type="spellEnd"/>
      <w:r w:rsidRPr="007C5A6E">
        <w:rPr>
          <w:rFonts w:ascii="Times New Roman" w:eastAsia="Calibri" w:hAnsi="Times New Roman"/>
          <w:sz w:val="20"/>
          <w:szCs w:val="20"/>
          <w:lang w:eastAsia="en-US"/>
        </w:rPr>
        <w:t>-pastorales -2021</w:t>
      </w:r>
    </w:p>
    <w:p w14:paraId="2A3929E2" w14:textId="77777777" w:rsidR="00AE0C9D" w:rsidRPr="007C5A6E" w:rsidRDefault="00AE0C9D" w:rsidP="00BC4843">
      <w:pPr>
        <w:spacing w:after="0" w:line="240" w:lineRule="auto"/>
        <w:jc w:val="both"/>
        <w:rPr>
          <w:rFonts w:ascii="Times New Roman" w:eastAsia="Calibri" w:hAnsi="Times New Roman"/>
          <w:sz w:val="20"/>
          <w:szCs w:val="20"/>
          <w:lang w:eastAsia="en-US"/>
        </w:rPr>
      </w:pPr>
    </w:p>
    <w:p w14:paraId="68C30797" w14:textId="77777777" w:rsidR="00ED7CDA" w:rsidRPr="007C5A6E" w:rsidRDefault="00ED7CDA" w:rsidP="00684FF8">
      <w:pPr>
        <w:pStyle w:val="Titre4"/>
      </w:pPr>
      <w:bookmarkStart w:id="257" w:name="_Toc182606023"/>
      <w:bookmarkStart w:id="258" w:name="_Toc183340073"/>
      <w:r w:rsidRPr="007C5A6E">
        <w:t>Les principaux facteurs de prélèvement des ressources en eau</w:t>
      </w:r>
      <w:bookmarkEnd w:id="257"/>
      <w:bookmarkEnd w:id="258"/>
    </w:p>
    <w:p w14:paraId="24608842" w14:textId="77777777" w:rsidR="00170041" w:rsidRPr="007C5A6E" w:rsidRDefault="00170041" w:rsidP="009C4C26">
      <w:pPr>
        <w:spacing w:after="0" w:line="240" w:lineRule="auto"/>
        <w:rPr>
          <w:rFonts w:ascii="Times New Roman" w:eastAsia="Calibri" w:hAnsi="Times New Roman"/>
          <w:sz w:val="24"/>
          <w:szCs w:val="24"/>
          <w:lang w:eastAsia="en-US"/>
        </w:rPr>
      </w:pPr>
    </w:p>
    <w:p w14:paraId="1D071CA0" w14:textId="77777777" w:rsidR="00ED7CDA" w:rsidRPr="007C5A6E" w:rsidRDefault="00ED7CDA" w:rsidP="003F3821">
      <w:pPr>
        <w:pStyle w:val="Titre5"/>
        <w:keepNext w:val="0"/>
        <w:keepLines w:val="0"/>
        <w:numPr>
          <w:ilvl w:val="4"/>
          <w:numId w:val="4"/>
        </w:numPr>
        <w:ind w:left="907" w:hanging="907"/>
        <w:rPr>
          <w:rFonts w:ascii="Times New Roman" w:hAnsi="Times New Roman" w:cs="Times New Roman"/>
          <w:color w:val="auto"/>
          <w:u w:val="single"/>
          <w:lang w:eastAsia="en-US"/>
        </w:rPr>
      </w:pPr>
      <w:bookmarkStart w:id="259" w:name="_Toc183340074"/>
      <w:r w:rsidRPr="007C5A6E">
        <w:rPr>
          <w:rFonts w:ascii="Times New Roman" w:hAnsi="Times New Roman" w:cs="Times New Roman"/>
          <w:color w:val="auto"/>
          <w:u w:val="single"/>
          <w:lang w:eastAsia="en-US"/>
        </w:rPr>
        <w:t>Les facteurs de prélèvement d’ordre climatique</w:t>
      </w:r>
      <w:bookmarkEnd w:id="259"/>
      <w:r w:rsidRPr="007C5A6E">
        <w:rPr>
          <w:rFonts w:ascii="Times New Roman" w:hAnsi="Times New Roman" w:cs="Times New Roman"/>
          <w:color w:val="auto"/>
          <w:u w:val="single"/>
          <w:lang w:eastAsia="en-US"/>
        </w:rPr>
        <w:t xml:space="preserve"> </w:t>
      </w:r>
    </w:p>
    <w:p w14:paraId="34E1E7C3" w14:textId="77777777" w:rsidR="00ED7CDA" w:rsidRPr="007C5A6E" w:rsidRDefault="00ED7CDA" w:rsidP="003F3821">
      <w:pPr>
        <w:numPr>
          <w:ilvl w:val="0"/>
          <w:numId w:val="11"/>
        </w:numPr>
        <w:spacing w:after="0" w:line="240" w:lineRule="auto"/>
        <w:contextualSpacing/>
        <w:rPr>
          <w:rFonts w:ascii="Times New Roman" w:eastAsia="Calibri" w:hAnsi="Times New Roman"/>
          <w:b/>
          <w:bCs/>
          <w:i/>
          <w:iCs/>
          <w:sz w:val="24"/>
          <w:szCs w:val="24"/>
          <w:lang w:eastAsia="en-US"/>
        </w:rPr>
      </w:pPr>
      <w:r w:rsidRPr="007C5A6E">
        <w:rPr>
          <w:rFonts w:ascii="Times New Roman" w:eastAsia="Calibri" w:hAnsi="Times New Roman"/>
          <w:b/>
          <w:bCs/>
          <w:i/>
          <w:iCs/>
          <w:sz w:val="24"/>
          <w:szCs w:val="24"/>
          <w:lang w:eastAsia="en-US"/>
        </w:rPr>
        <w:t xml:space="preserve">La température, le vent </w:t>
      </w:r>
    </w:p>
    <w:p w14:paraId="5985022C" w14:textId="77777777" w:rsidR="00ED7CDA" w:rsidRPr="007C5A6E" w:rsidRDefault="00ED7CDA" w:rsidP="009C4C26">
      <w:pPr>
        <w:spacing w:after="0" w:line="240" w:lineRule="auto"/>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Les températures et les vents sont des facteurs qui sont variables dans le temps et dans l’espace. Ils favorisent à des degrés variables, les phénomènes d’évapotranspiration en général et d’évaporation des plans d’eau de surface en particulier.</w:t>
      </w:r>
    </w:p>
    <w:p w14:paraId="5EB1461F" w14:textId="77777777" w:rsidR="00ED7CDA" w:rsidRPr="007C5A6E" w:rsidRDefault="00ED7CDA" w:rsidP="009C4C26">
      <w:pPr>
        <w:spacing w:after="0" w:line="240" w:lineRule="auto"/>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Ils sont à travers l’air, les principaux vecteurs de l’évaporation des plans d’eau de surface.</w:t>
      </w:r>
    </w:p>
    <w:p w14:paraId="4E810B07" w14:textId="77777777" w:rsidR="00672FAF" w:rsidRPr="007C5A6E" w:rsidRDefault="00672FAF" w:rsidP="009C4C26">
      <w:pPr>
        <w:spacing w:after="0" w:line="240" w:lineRule="auto"/>
        <w:jc w:val="both"/>
        <w:rPr>
          <w:rFonts w:ascii="Times New Roman" w:eastAsia="Calibri" w:hAnsi="Times New Roman"/>
          <w:color w:val="FF0000"/>
          <w:sz w:val="24"/>
          <w:szCs w:val="24"/>
          <w:lang w:eastAsia="en-US"/>
        </w:rPr>
      </w:pPr>
    </w:p>
    <w:p w14:paraId="51DC01EE" w14:textId="77777777" w:rsidR="00ED7CDA" w:rsidRPr="007C5A6E" w:rsidRDefault="00ED7CDA" w:rsidP="003F3821">
      <w:pPr>
        <w:pStyle w:val="Titre5"/>
        <w:keepNext w:val="0"/>
        <w:keepLines w:val="0"/>
        <w:numPr>
          <w:ilvl w:val="4"/>
          <w:numId w:val="4"/>
        </w:numPr>
        <w:ind w:left="907" w:hanging="907"/>
        <w:rPr>
          <w:rFonts w:ascii="Times New Roman" w:hAnsi="Times New Roman" w:cs="Times New Roman"/>
          <w:color w:val="auto"/>
          <w:u w:val="single"/>
          <w:lang w:eastAsia="en-US"/>
        </w:rPr>
      </w:pPr>
      <w:bookmarkStart w:id="260" w:name="_Toc183340075"/>
      <w:r w:rsidRPr="007C5A6E">
        <w:rPr>
          <w:rFonts w:ascii="Times New Roman" w:hAnsi="Times New Roman" w:cs="Times New Roman"/>
          <w:color w:val="auto"/>
          <w:u w:val="single"/>
          <w:lang w:eastAsia="en-US"/>
        </w:rPr>
        <w:t>Les facteurs de prélèvement d’ordre anthropique</w:t>
      </w:r>
      <w:bookmarkEnd w:id="260"/>
    </w:p>
    <w:p w14:paraId="3894CDA9" w14:textId="77777777" w:rsidR="00170041" w:rsidRPr="007C5A6E" w:rsidRDefault="00170041" w:rsidP="009C4C26">
      <w:pPr>
        <w:spacing w:after="0" w:line="240" w:lineRule="auto"/>
        <w:rPr>
          <w:rFonts w:ascii="Times New Roman" w:eastAsia="Calibri" w:hAnsi="Times New Roman"/>
          <w:lang w:eastAsia="en-US"/>
        </w:rPr>
      </w:pPr>
    </w:p>
    <w:p w14:paraId="0042EC2B" w14:textId="77777777" w:rsidR="00ED7CDA" w:rsidRPr="007C5A6E" w:rsidRDefault="00ED7CDA" w:rsidP="003F3821">
      <w:pPr>
        <w:numPr>
          <w:ilvl w:val="0"/>
          <w:numId w:val="7"/>
        </w:numPr>
        <w:spacing w:after="0" w:line="240" w:lineRule="auto"/>
        <w:outlineLvl w:val="2"/>
        <w:rPr>
          <w:rFonts w:ascii="Times New Roman" w:eastAsia="Calibri" w:hAnsi="Times New Roman"/>
          <w:b/>
          <w:bCs/>
          <w:i/>
          <w:iCs/>
          <w:vanish/>
          <w:sz w:val="24"/>
          <w:szCs w:val="24"/>
          <w:lang w:eastAsia="en-US"/>
        </w:rPr>
      </w:pPr>
      <w:bookmarkStart w:id="261" w:name="_Toc177805762"/>
      <w:bookmarkStart w:id="262" w:name="_Toc178045673"/>
      <w:bookmarkStart w:id="263" w:name="_Toc178067856"/>
      <w:bookmarkStart w:id="264" w:name="_Toc178068078"/>
      <w:bookmarkStart w:id="265" w:name="_Toc178083907"/>
      <w:bookmarkStart w:id="266" w:name="_Toc178095818"/>
      <w:bookmarkStart w:id="267" w:name="_Toc178121844"/>
      <w:bookmarkStart w:id="268" w:name="_Toc179203671"/>
      <w:bookmarkStart w:id="269" w:name="_Toc179301309"/>
      <w:bookmarkStart w:id="270" w:name="_Toc179330632"/>
      <w:bookmarkStart w:id="271" w:name="_Toc179331336"/>
      <w:bookmarkStart w:id="272" w:name="_Toc179476063"/>
      <w:bookmarkStart w:id="273" w:name="_Toc179492176"/>
      <w:bookmarkStart w:id="274" w:name="_Toc179492652"/>
      <w:bookmarkStart w:id="275" w:name="_Toc179492747"/>
      <w:bookmarkStart w:id="276" w:name="_Toc180078067"/>
      <w:bookmarkStart w:id="277" w:name="_Toc182605817"/>
      <w:bookmarkStart w:id="278" w:name="_Toc182606024"/>
      <w:bookmarkStart w:id="279" w:name="_Toc183287834"/>
      <w:bookmarkStart w:id="280" w:name="_Toc183291075"/>
      <w:bookmarkStart w:id="281" w:name="_Toc183291479"/>
      <w:bookmarkStart w:id="282" w:name="_Toc183291883"/>
      <w:bookmarkStart w:id="283" w:name="_Toc183340076"/>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p>
    <w:p w14:paraId="226AE5E5" w14:textId="77777777" w:rsidR="00ED7CDA" w:rsidRPr="007C5A6E" w:rsidRDefault="00ED7CDA" w:rsidP="003F3821">
      <w:pPr>
        <w:numPr>
          <w:ilvl w:val="1"/>
          <w:numId w:val="7"/>
        </w:numPr>
        <w:spacing w:after="0" w:line="240" w:lineRule="auto"/>
        <w:outlineLvl w:val="2"/>
        <w:rPr>
          <w:rFonts w:ascii="Times New Roman" w:eastAsia="Calibri" w:hAnsi="Times New Roman"/>
          <w:b/>
          <w:bCs/>
          <w:i/>
          <w:iCs/>
          <w:vanish/>
          <w:sz w:val="24"/>
          <w:szCs w:val="24"/>
          <w:lang w:eastAsia="en-US"/>
        </w:rPr>
      </w:pPr>
      <w:bookmarkStart w:id="284" w:name="_Toc177805763"/>
      <w:bookmarkStart w:id="285" w:name="_Toc178045674"/>
      <w:bookmarkStart w:id="286" w:name="_Toc178067857"/>
      <w:bookmarkStart w:id="287" w:name="_Toc178068079"/>
      <w:bookmarkStart w:id="288" w:name="_Toc178083908"/>
      <w:bookmarkStart w:id="289" w:name="_Toc178095819"/>
      <w:bookmarkStart w:id="290" w:name="_Toc178121845"/>
      <w:bookmarkStart w:id="291" w:name="_Toc179203672"/>
      <w:bookmarkStart w:id="292" w:name="_Toc179301310"/>
      <w:bookmarkStart w:id="293" w:name="_Toc179330633"/>
      <w:bookmarkStart w:id="294" w:name="_Toc179331337"/>
      <w:bookmarkStart w:id="295" w:name="_Toc179476064"/>
      <w:bookmarkStart w:id="296" w:name="_Toc179492177"/>
      <w:bookmarkStart w:id="297" w:name="_Toc179492653"/>
      <w:bookmarkStart w:id="298" w:name="_Toc179492748"/>
      <w:bookmarkStart w:id="299" w:name="_Toc180078068"/>
      <w:bookmarkStart w:id="300" w:name="_Toc182605818"/>
      <w:bookmarkStart w:id="301" w:name="_Toc182606025"/>
      <w:bookmarkStart w:id="302" w:name="_Toc183287835"/>
      <w:bookmarkStart w:id="303" w:name="_Toc183291076"/>
      <w:bookmarkStart w:id="304" w:name="_Toc183291480"/>
      <w:bookmarkStart w:id="305" w:name="_Toc183291884"/>
      <w:bookmarkStart w:id="306" w:name="_Toc183340077"/>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p>
    <w:p w14:paraId="7A02457A" w14:textId="77777777" w:rsidR="00ED7CDA" w:rsidRPr="007C5A6E" w:rsidRDefault="00ED7CDA" w:rsidP="003F3821">
      <w:pPr>
        <w:numPr>
          <w:ilvl w:val="0"/>
          <w:numId w:val="11"/>
        </w:numPr>
        <w:spacing w:after="0" w:line="240" w:lineRule="auto"/>
        <w:rPr>
          <w:rFonts w:ascii="Times New Roman" w:eastAsia="Calibri" w:hAnsi="Times New Roman"/>
          <w:b/>
          <w:bCs/>
          <w:i/>
          <w:iCs/>
          <w:sz w:val="24"/>
          <w:szCs w:val="24"/>
          <w:lang w:eastAsia="en-US"/>
        </w:rPr>
      </w:pPr>
      <w:r w:rsidRPr="007C5A6E">
        <w:rPr>
          <w:rFonts w:ascii="Times New Roman" w:eastAsia="Calibri" w:hAnsi="Times New Roman"/>
          <w:b/>
          <w:bCs/>
          <w:i/>
          <w:iCs/>
          <w:sz w:val="24"/>
          <w:szCs w:val="24"/>
          <w:lang w:eastAsia="en-US"/>
        </w:rPr>
        <w:t xml:space="preserve">L’urbanisation et les activités domestiques </w:t>
      </w:r>
    </w:p>
    <w:p w14:paraId="443045E4" w14:textId="0E436740" w:rsidR="00ED7CDA" w:rsidRPr="007C5A6E" w:rsidRDefault="00ED7CDA" w:rsidP="009C4C26">
      <w:pPr>
        <w:spacing w:after="0" w:line="240" w:lineRule="auto"/>
        <w:jc w:val="both"/>
        <w:rPr>
          <w:rFonts w:ascii="Times New Roman" w:hAnsi="Times New Roman"/>
          <w:sz w:val="24"/>
          <w:szCs w:val="24"/>
        </w:rPr>
      </w:pPr>
      <w:r w:rsidRPr="007C5A6E">
        <w:rPr>
          <w:rFonts w:ascii="Times New Roman" w:hAnsi="Times New Roman"/>
          <w:bCs/>
          <w:sz w:val="24"/>
          <w:szCs w:val="24"/>
        </w:rPr>
        <w:t>L’urbanisation de par l’occupation des espaces qu’elle engendre, modifie le plus souvent les écoulements et étanchéise les zones d’infiltration naturels des eaux de ruissellement.</w:t>
      </w:r>
      <w:r w:rsidRPr="007C5A6E">
        <w:rPr>
          <w:rFonts w:ascii="Times New Roman" w:hAnsi="Times New Roman"/>
          <w:sz w:val="24"/>
          <w:szCs w:val="24"/>
        </w:rPr>
        <w:t xml:space="preserve"> Par ailleurs, elle engendre l’accroissement de la demande en eau domestique (boisson, lessive, cuisine, « levage domestique…).</w:t>
      </w:r>
    </w:p>
    <w:p w14:paraId="3C7B6273" w14:textId="77777777" w:rsidR="004122D6" w:rsidRPr="007C5A6E" w:rsidRDefault="004122D6" w:rsidP="009C4C26">
      <w:pPr>
        <w:spacing w:after="0" w:line="240" w:lineRule="auto"/>
        <w:jc w:val="both"/>
        <w:rPr>
          <w:rFonts w:ascii="Times New Roman" w:hAnsi="Times New Roman"/>
          <w:bCs/>
          <w:color w:val="FF0000"/>
          <w:sz w:val="24"/>
          <w:szCs w:val="24"/>
        </w:rPr>
      </w:pPr>
    </w:p>
    <w:p w14:paraId="0AF61D50" w14:textId="77777777" w:rsidR="00ED7CDA" w:rsidRPr="007C5A6E" w:rsidRDefault="00ED7CDA" w:rsidP="003F3821">
      <w:pPr>
        <w:numPr>
          <w:ilvl w:val="0"/>
          <w:numId w:val="11"/>
        </w:numPr>
        <w:spacing w:after="0" w:line="240" w:lineRule="auto"/>
        <w:rPr>
          <w:rFonts w:ascii="Times New Roman" w:eastAsia="Calibri" w:hAnsi="Times New Roman"/>
          <w:b/>
          <w:bCs/>
          <w:i/>
          <w:iCs/>
          <w:sz w:val="24"/>
          <w:szCs w:val="24"/>
          <w:lang w:eastAsia="en-US"/>
        </w:rPr>
      </w:pPr>
      <w:r w:rsidRPr="007C5A6E">
        <w:rPr>
          <w:rFonts w:ascii="Times New Roman" w:eastAsia="Calibri" w:hAnsi="Times New Roman"/>
          <w:b/>
          <w:bCs/>
          <w:i/>
          <w:iCs/>
          <w:sz w:val="24"/>
          <w:szCs w:val="24"/>
          <w:lang w:eastAsia="en-US"/>
        </w:rPr>
        <w:t>Les activités agro-</w:t>
      </w:r>
      <w:proofErr w:type="spellStart"/>
      <w:r w:rsidRPr="007C5A6E">
        <w:rPr>
          <w:rFonts w:ascii="Times New Roman" w:eastAsia="Calibri" w:hAnsi="Times New Roman"/>
          <w:b/>
          <w:bCs/>
          <w:i/>
          <w:iCs/>
          <w:sz w:val="24"/>
          <w:szCs w:val="24"/>
          <w:lang w:eastAsia="en-US"/>
        </w:rPr>
        <w:t>sylvo</w:t>
      </w:r>
      <w:proofErr w:type="spellEnd"/>
      <w:r w:rsidRPr="007C5A6E">
        <w:rPr>
          <w:rFonts w:ascii="Times New Roman" w:eastAsia="Calibri" w:hAnsi="Times New Roman"/>
          <w:b/>
          <w:bCs/>
          <w:i/>
          <w:iCs/>
          <w:sz w:val="24"/>
          <w:szCs w:val="24"/>
          <w:lang w:eastAsia="en-US"/>
        </w:rPr>
        <w:t>-pastorales et halieutiques</w:t>
      </w:r>
    </w:p>
    <w:p w14:paraId="5B792718" w14:textId="4E931349" w:rsidR="00FF4A30" w:rsidRPr="007C5A6E" w:rsidRDefault="00FF4A30" w:rsidP="009C4C26">
      <w:pPr>
        <w:spacing w:after="0" w:line="240" w:lineRule="auto"/>
        <w:jc w:val="both"/>
        <w:rPr>
          <w:rFonts w:ascii="Times New Roman" w:hAnsi="Times New Roman"/>
          <w:bCs/>
          <w:sz w:val="24"/>
          <w:szCs w:val="24"/>
        </w:rPr>
      </w:pPr>
      <w:r w:rsidRPr="007C5A6E">
        <w:rPr>
          <w:rFonts w:ascii="Times New Roman" w:hAnsi="Times New Roman"/>
          <w:bCs/>
          <w:sz w:val="24"/>
          <w:szCs w:val="24"/>
        </w:rPr>
        <w:t xml:space="preserve">L’agriculture irriguée, l’élevage, la pêche et l’aquaculture sont des activités en forte croissance et sont fortement consommatrices d’eau. Les demandes en eau sont les plus fortes en raison du nombre et de l’importance des besoins. A titre illustratif, on a : (i) Production végétale irriguée : environ 8 000 à 20 000 m3/ha/cycle ; (ii) Cheptel : environ 40 litres/jour/Unité de Bétail Tropical (UBT). </w:t>
      </w:r>
    </w:p>
    <w:p w14:paraId="1C4DAA63" w14:textId="77777777" w:rsidR="004122D6" w:rsidRPr="007C5A6E" w:rsidRDefault="004122D6" w:rsidP="009C4C26">
      <w:pPr>
        <w:spacing w:after="0" w:line="240" w:lineRule="auto"/>
        <w:jc w:val="both"/>
        <w:rPr>
          <w:rFonts w:ascii="Times New Roman" w:hAnsi="Times New Roman"/>
          <w:bCs/>
          <w:sz w:val="24"/>
          <w:szCs w:val="24"/>
        </w:rPr>
      </w:pPr>
    </w:p>
    <w:p w14:paraId="7E42349E" w14:textId="77777777" w:rsidR="00ED7CDA" w:rsidRPr="007C5A6E" w:rsidRDefault="00ED7CDA" w:rsidP="003F3821">
      <w:pPr>
        <w:numPr>
          <w:ilvl w:val="0"/>
          <w:numId w:val="11"/>
        </w:numPr>
        <w:spacing w:after="0" w:line="240" w:lineRule="auto"/>
        <w:rPr>
          <w:rFonts w:ascii="Times New Roman" w:eastAsia="Calibri" w:hAnsi="Times New Roman"/>
          <w:b/>
          <w:bCs/>
          <w:i/>
          <w:iCs/>
          <w:sz w:val="24"/>
          <w:szCs w:val="24"/>
          <w:lang w:eastAsia="en-US"/>
        </w:rPr>
      </w:pPr>
      <w:r w:rsidRPr="007C5A6E">
        <w:rPr>
          <w:rFonts w:ascii="Times New Roman" w:eastAsia="Calibri" w:hAnsi="Times New Roman"/>
          <w:b/>
          <w:bCs/>
          <w:i/>
          <w:iCs/>
          <w:sz w:val="24"/>
          <w:szCs w:val="24"/>
          <w:lang w:eastAsia="en-US"/>
        </w:rPr>
        <w:t xml:space="preserve">Les activités artisanales, industrielles et minières </w:t>
      </w:r>
    </w:p>
    <w:p w14:paraId="4CE99BF1" w14:textId="4ADCBC65" w:rsidR="00ED7CDA" w:rsidRPr="007C5A6E" w:rsidRDefault="00ED7CDA" w:rsidP="009C4C26">
      <w:pPr>
        <w:spacing w:after="0" w:line="240" w:lineRule="auto"/>
        <w:jc w:val="both"/>
        <w:rPr>
          <w:rFonts w:ascii="Times New Roman" w:hAnsi="Times New Roman"/>
          <w:iCs/>
          <w:sz w:val="24"/>
          <w:szCs w:val="24"/>
        </w:rPr>
      </w:pPr>
      <w:r w:rsidRPr="007C5A6E">
        <w:rPr>
          <w:rFonts w:ascii="Times New Roman" w:hAnsi="Times New Roman"/>
          <w:sz w:val="24"/>
          <w:szCs w:val="24"/>
          <w:lang w:eastAsia="en-US"/>
        </w:rPr>
        <w:t xml:space="preserve">Les activités artisanales, industrielles et minières sont à des degrés moindres que l’AEP et l’irrigation, consommatrices d’eau.  </w:t>
      </w:r>
    </w:p>
    <w:p w14:paraId="1EEB3B85" w14:textId="77777777" w:rsidR="009C4C26" w:rsidRPr="007C5A6E" w:rsidRDefault="009C4C26" w:rsidP="009C4C26">
      <w:pPr>
        <w:spacing w:after="0" w:line="240" w:lineRule="auto"/>
        <w:rPr>
          <w:rFonts w:ascii="Times New Roman" w:hAnsi="Times New Roman"/>
          <w:sz w:val="24"/>
          <w:szCs w:val="24"/>
        </w:rPr>
      </w:pPr>
    </w:p>
    <w:p w14:paraId="0963886A" w14:textId="00543DCC" w:rsidR="00FF4A30" w:rsidRPr="007C5A6E" w:rsidRDefault="00FF4A30" w:rsidP="009C4C26">
      <w:pPr>
        <w:spacing w:after="0" w:line="240" w:lineRule="auto"/>
        <w:rPr>
          <w:rFonts w:ascii="Times New Roman" w:hAnsi="Times New Roman"/>
          <w:sz w:val="24"/>
          <w:szCs w:val="24"/>
        </w:rPr>
      </w:pPr>
      <w:r w:rsidRPr="007C5A6E">
        <w:rPr>
          <w:rFonts w:ascii="Times New Roman" w:hAnsi="Times New Roman"/>
          <w:sz w:val="24"/>
          <w:szCs w:val="24"/>
        </w:rPr>
        <w:t>Le tableau</w:t>
      </w:r>
      <w:r w:rsidR="009C4C26" w:rsidRPr="007C5A6E">
        <w:rPr>
          <w:rFonts w:ascii="Times New Roman" w:hAnsi="Times New Roman"/>
          <w:sz w:val="24"/>
          <w:szCs w:val="24"/>
        </w:rPr>
        <w:t xml:space="preserve"> </w:t>
      </w:r>
      <w:r w:rsidR="00E53E4E" w:rsidRPr="007C5A6E">
        <w:rPr>
          <w:rFonts w:ascii="Times New Roman" w:hAnsi="Times New Roman"/>
          <w:sz w:val="24"/>
          <w:szCs w:val="24"/>
        </w:rPr>
        <w:t>10</w:t>
      </w:r>
      <w:r w:rsidR="009C4C26" w:rsidRPr="007C5A6E">
        <w:rPr>
          <w:rFonts w:ascii="Times New Roman" w:hAnsi="Times New Roman"/>
          <w:sz w:val="24"/>
          <w:szCs w:val="24"/>
        </w:rPr>
        <w:t>,</w:t>
      </w:r>
      <w:r w:rsidRPr="007C5A6E">
        <w:rPr>
          <w:rFonts w:ascii="Times New Roman" w:hAnsi="Times New Roman"/>
          <w:sz w:val="24"/>
          <w:szCs w:val="24"/>
        </w:rPr>
        <w:t xml:space="preserve"> renseigné en 2010</w:t>
      </w:r>
      <w:r w:rsidR="009C4C26" w:rsidRPr="007C5A6E">
        <w:rPr>
          <w:rFonts w:ascii="Times New Roman" w:hAnsi="Times New Roman"/>
          <w:sz w:val="24"/>
          <w:szCs w:val="24"/>
        </w:rPr>
        <w:t>,</w:t>
      </w:r>
      <w:r w:rsidRPr="007C5A6E">
        <w:rPr>
          <w:rFonts w:ascii="Times New Roman" w:hAnsi="Times New Roman"/>
          <w:sz w:val="24"/>
          <w:szCs w:val="24"/>
        </w:rPr>
        <w:t xml:space="preserve"> illustre à titre indicatif les niveaux des demandes en eau  </w:t>
      </w:r>
    </w:p>
    <w:p w14:paraId="61323995" w14:textId="77777777" w:rsidR="00FF4A30" w:rsidRPr="007C5A6E" w:rsidRDefault="00FF4A30" w:rsidP="009C4C26">
      <w:pPr>
        <w:pStyle w:val="Lgende"/>
        <w:spacing w:after="0"/>
        <w:rPr>
          <w:rFonts w:ascii="Times New Roman" w:hAnsi="Times New Roman"/>
          <w:color w:val="auto"/>
          <w:sz w:val="24"/>
          <w:szCs w:val="24"/>
        </w:rPr>
      </w:pPr>
      <w:bookmarkStart w:id="307" w:name="_Toc183137940"/>
    </w:p>
    <w:p w14:paraId="4A74FF1B" w14:textId="6800819A" w:rsidR="00FF4A30" w:rsidRPr="007C5A6E" w:rsidRDefault="00FF4A30" w:rsidP="009C4C26">
      <w:pPr>
        <w:pStyle w:val="Lgende"/>
        <w:spacing w:after="0"/>
        <w:rPr>
          <w:rFonts w:ascii="Times New Roman" w:hAnsi="Times New Roman"/>
          <w:i w:val="0"/>
          <w:iCs w:val="0"/>
          <w:color w:val="auto"/>
          <w:sz w:val="24"/>
          <w:szCs w:val="24"/>
        </w:rPr>
      </w:pPr>
      <w:bookmarkStart w:id="308" w:name="_Toc183240972"/>
      <w:bookmarkStart w:id="309" w:name="_Toc183292214"/>
      <w:bookmarkStart w:id="310" w:name="_Toc183340494"/>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3162F8" w:rsidRPr="007C5A6E">
        <w:rPr>
          <w:rFonts w:ascii="Times New Roman" w:hAnsi="Times New Roman"/>
          <w:i w:val="0"/>
          <w:iCs w:val="0"/>
          <w:noProof/>
          <w:color w:val="auto"/>
          <w:sz w:val="24"/>
          <w:szCs w:val="24"/>
        </w:rPr>
        <w:t>10</w:t>
      </w:r>
      <w:r w:rsidRPr="007C5A6E">
        <w:rPr>
          <w:rFonts w:ascii="Times New Roman" w:hAnsi="Times New Roman"/>
          <w:i w:val="0"/>
          <w:iCs w:val="0"/>
          <w:color w:val="auto"/>
          <w:sz w:val="24"/>
          <w:szCs w:val="24"/>
        </w:rPr>
        <w:fldChar w:fldCharType="end"/>
      </w:r>
      <w:r w:rsidRPr="007C5A6E">
        <w:rPr>
          <w:rFonts w:ascii="Times New Roman" w:hAnsi="Times New Roman"/>
          <w:i w:val="0"/>
          <w:iCs w:val="0"/>
          <w:color w:val="auto"/>
          <w:sz w:val="24"/>
          <w:szCs w:val="24"/>
        </w:rPr>
        <w:t> : Aperçu indicatif de l’importance des demandes en eau</w:t>
      </w:r>
      <w:bookmarkEnd w:id="307"/>
      <w:bookmarkEnd w:id="308"/>
      <w:bookmarkEnd w:id="309"/>
      <w:bookmarkEnd w:id="310"/>
      <w:r w:rsidRPr="007C5A6E">
        <w:rPr>
          <w:rFonts w:ascii="Times New Roman" w:hAnsi="Times New Roman"/>
          <w:i w:val="0"/>
          <w:iCs w:val="0"/>
          <w:color w:val="auto"/>
          <w:sz w:val="24"/>
          <w:szCs w:val="24"/>
        </w:rPr>
        <w:t xml:space="preserve">       </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0"/>
        <w:gridCol w:w="876"/>
        <w:gridCol w:w="1351"/>
        <w:gridCol w:w="1337"/>
        <w:gridCol w:w="1387"/>
        <w:gridCol w:w="1216"/>
        <w:gridCol w:w="1172"/>
      </w:tblGrid>
      <w:tr w:rsidR="000E58F3" w:rsidRPr="007C5A6E" w14:paraId="6167AEA0" w14:textId="77777777" w:rsidTr="00FF4A30">
        <w:tc>
          <w:tcPr>
            <w:tcW w:w="2300" w:type="dxa"/>
            <w:vMerge w:val="restart"/>
            <w:shd w:val="clear" w:color="auto" w:fill="F7CAAC" w:themeFill="accent2" w:themeFillTint="66"/>
            <w:vAlign w:val="center"/>
          </w:tcPr>
          <w:p w14:paraId="5221D0C4" w14:textId="77777777" w:rsidR="000E58F3" w:rsidRPr="007C5A6E" w:rsidRDefault="000E58F3" w:rsidP="009C4C26">
            <w:pPr>
              <w:spacing w:after="0" w:line="240" w:lineRule="auto"/>
              <w:rPr>
                <w:rFonts w:ascii="Times New Roman" w:hAnsi="Times New Roman"/>
                <w:b/>
                <w:sz w:val="21"/>
                <w:szCs w:val="21"/>
              </w:rPr>
            </w:pPr>
            <w:r w:rsidRPr="007C5A6E">
              <w:rPr>
                <w:rFonts w:ascii="Times New Roman" w:hAnsi="Times New Roman"/>
                <w:b/>
                <w:sz w:val="21"/>
                <w:szCs w:val="21"/>
              </w:rPr>
              <w:t>Bassin hydrographique</w:t>
            </w:r>
          </w:p>
        </w:tc>
        <w:tc>
          <w:tcPr>
            <w:tcW w:w="7339" w:type="dxa"/>
            <w:gridSpan w:val="6"/>
            <w:shd w:val="clear" w:color="auto" w:fill="002060"/>
            <w:vAlign w:val="center"/>
          </w:tcPr>
          <w:p w14:paraId="7652CBF7" w14:textId="77777777" w:rsidR="000E58F3" w:rsidRPr="007C5A6E" w:rsidRDefault="000E58F3" w:rsidP="009C4C26">
            <w:pPr>
              <w:spacing w:after="0" w:line="240" w:lineRule="auto"/>
              <w:jc w:val="center"/>
              <w:rPr>
                <w:rFonts w:ascii="Times New Roman" w:hAnsi="Times New Roman"/>
                <w:b/>
                <w:sz w:val="21"/>
                <w:szCs w:val="21"/>
              </w:rPr>
            </w:pPr>
            <w:r w:rsidRPr="007C5A6E">
              <w:rPr>
                <w:rFonts w:ascii="Times New Roman" w:hAnsi="Times New Roman"/>
                <w:b/>
                <w:sz w:val="21"/>
                <w:szCs w:val="21"/>
              </w:rPr>
              <w:t>Demande en eau (Mm3)</w:t>
            </w:r>
          </w:p>
        </w:tc>
      </w:tr>
      <w:tr w:rsidR="000E58F3" w:rsidRPr="007C5A6E" w14:paraId="2885C199" w14:textId="77777777" w:rsidTr="00FF4A30">
        <w:tc>
          <w:tcPr>
            <w:tcW w:w="2300" w:type="dxa"/>
            <w:vMerge/>
            <w:shd w:val="clear" w:color="auto" w:fill="F7CAAC" w:themeFill="accent2" w:themeFillTint="66"/>
            <w:vAlign w:val="center"/>
          </w:tcPr>
          <w:p w14:paraId="61A31F8B" w14:textId="77777777" w:rsidR="000E58F3" w:rsidRPr="007C5A6E" w:rsidRDefault="000E58F3" w:rsidP="009C4C26">
            <w:pPr>
              <w:spacing w:after="0" w:line="240" w:lineRule="auto"/>
              <w:rPr>
                <w:rFonts w:ascii="Times New Roman" w:hAnsi="Times New Roman"/>
                <w:sz w:val="21"/>
                <w:szCs w:val="21"/>
              </w:rPr>
            </w:pPr>
          </w:p>
        </w:tc>
        <w:tc>
          <w:tcPr>
            <w:tcW w:w="876" w:type="dxa"/>
            <w:shd w:val="clear" w:color="auto" w:fill="B4C6E7" w:themeFill="accent1" w:themeFillTint="66"/>
            <w:vAlign w:val="center"/>
          </w:tcPr>
          <w:p w14:paraId="49FDF528" w14:textId="77777777" w:rsidR="000E58F3" w:rsidRPr="007C5A6E" w:rsidRDefault="000E58F3" w:rsidP="009C4C26">
            <w:pPr>
              <w:spacing w:after="0" w:line="240" w:lineRule="auto"/>
              <w:rPr>
                <w:rFonts w:ascii="Times New Roman" w:hAnsi="Times New Roman"/>
                <w:bCs/>
                <w:sz w:val="21"/>
                <w:szCs w:val="21"/>
              </w:rPr>
            </w:pPr>
            <w:r w:rsidRPr="007C5A6E">
              <w:rPr>
                <w:rFonts w:ascii="Times New Roman" w:hAnsi="Times New Roman"/>
                <w:bCs/>
                <w:sz w:val="21"/>
                <w:szCs w:val="21"/>
              </w:rPr>
              <w:t>AEP</w:t>
            </w:r>
          </w:p>
        </w:tc>
        <w:tc>
          <w:tcPr>
            <w:tcW w:w="1351" w:type="dxa"/>
            <w:shd w:val="clear" w:color="auto" w:fill="B4C6E7" w:themeFill="accent1" w:themeFillTint="66"/>
            <w:vAlign w:val="center"/>
          </w:tcPr>
          <w:p w14:paraId="2EB2DB52" w14:textId="77777777" w:rsidR="000E58F3" w:rsidRPr="007C5A6E" w:rsidRDefault="000E58F3" w:rsidP="009C4C26">
            <w:pPr>
              <w:spacing w:after="0" w:line="240" w:lineRule="auto"/>
              <w:rPr>
                <w:rFonts w:ascii="Times New Roman" w:hAnsi="Times New Roman"/>
                <w:bCs/>
                <w:sz w:val="21"/>
                <w:szCs w:val="21"/>
              </w:rPr>
            </w:pPr>
            <w:r w:rsidRPr="007C5A6E">
              <w:rPr>
                <w:rFonts w:ascii="Times New Roman" w:hAnsi="Times New Roman"/>
                <w:bCs/>
                <w:sz w:val="21"/>
                <w:szCs w:val="21"/>
              </w:rPr>
              <w:t>Agricole</w:t>
            </w:r>
          </w:p>
        </w:tc>
        <w:tc>
          <w:tcPr>
            <w:tcW w:w="1337" w:type="dxa"/>
            <w:shd w:val="clear" w:color="auto" w:fill="B4C6E7" w:themeFill="accent1" w:themeFillTint="66"/>
            <w:vAlign w:val="center"/>
          </w:tcPr>
          <w:p w14:paraId="1E949FD3" w14:textId="77777777" w:rsidR="000E58F3" w:rsidRPr="007C5A6E" w:rsidRDefault="000E58F3" w:rsidP="009C4C26">
            <w:pPr>
              <w:spacing w:after="0" w:line="240" w:lineRule="auto"/>
              <w:rPr>
                <w:rFonts w:ascii="Times New Roman" w:hAnsi="Times New Roman"/>
                <w:bCs/>
                <w:sz w:val="21"/>
                <w:szCs w:val="21"/>
              </w:rPr>
            </w:pPr>
            <w:r w:rsidRPr="007C5A6E">
              <w:rPr>
                <w:rFonts w:ascii="Times New Roman" w:hAnsi="Times New Roman"/>
                <w:bCs/>
                <w:sz w:val="21"/>
                <w:szCs w:val="21"/>
              </w:rPr>
              <w:t>Pastorale</w:t>
            </w:r>
          </w:p>
        </w:tc>
        <w:tc>
          <w:tcPr>
            <w:tcW w:w="1387" w:type="dxa"/>
            <w:shd w:val="clear" w:color="auto" w:fill="B4C6E7" w:themeFill="accent1" w:themeFillTint="66"/>
            <w:vAlign w:val="center"/>
          </w:tcPr>
          <w:p w14:paraId="46C41C9F" w14:textId="77777777" w:rsidR="000E58F3" w:rsidRPr="007C5A6E" w:rsidRDefault="000E58F3" w:rsidP="009C4C26">
            <w:pPr>
              <w:spacing w:after="0" w:line="240" w:lineRule="auto"/>
              <w:rPr>
                <w:rFonts w:ascii="Times New Roman" w:hAnsi="Times New Roman"/>
                <w:bCs/>
                <w:sz w:val="21"/>
                <w:szCs w:val="21"/>
              </w:rPr>
            </w:pPr>
            <w:r w:rsidRPr="007C5A6E">
              <w:rPr>
                <w:rFonts w:ascii="Times New Roman" w:hAnsi="Times New Roman"/>
                <w:bCs/>
                <w:sz w:val="21"/>
                <w:szCs w:val="21"/>
              </w:rPr>
              <w:t>Industrie &amp;mines</w:t>
            </w:r>
          </w:p>
        </w:tc>
        <w:tc>
          <w:tcPr>
            <w:tcW w:w="1216" w:type="dxa"/>
            <w:shd w:val="clear" w:color="auto" w:fill="B4C6E7" w:themeFill="accent1" w:themeFillTint="66"/>
            <w:vAlign w:val="center"/>
          </w:tcPr>
          <w:p w14:paraId="6C8AD7BA" w14:textId="77777777" w:rsidR="000E58F3" w:rsidRPr="007C5A6E" w:rsidRDefault="000E58F3" w:rsidP="009C4C26">
            <w:pPr>
              <w:spacing w:after="0" w:line="240" w:lineRule="auto"/>
              <w:rPr>
                <w:rFonts w:ascii="Times New Roman" w:hAnsi="Times New Roman"/>
                <w:bCs/>
                <w:sz w:val="21"/>
                <w:szCs w:val="21"/>
              </w:rPr>
            </w:pPr>
            <w:r w:rsidRPr="007C5A6E">
              <w:rPr>
                <w:rFonts w:ascii="Times New Roman" w:hAnsi="Times New Roman"/>
                <w:bCs/>
                <w:sz w:val="21"/>
                <w:szCs w:val="21"/>
              </w:rPr>
              <w:t>Hydro-électricité</w:t>
            </w:r>
          </w:p>
        </w:tc>
        <w:tc>
          <w:tcPr>
            <w:tcW w:w="1172" w:type="dxa"/>
            <w:shd w:val="clear" w:color="auto" w:fill="B4C6E7" w:themeFill="accent1" w:themeFillTint="66"/>
            <w:vAlign w:val="center"/>
          </w:tcPr>
          <w:p w14:paraId="2582DDDA" w14:textId="77777777" w:rsidR="000E58F3" w:rsidRPr="007C5A6E" w:rsidRDefault="000E58F3" w:rsidP="009C4C26">
            <w:pPr>
              <w:spacing w:after="0" w:line="240" w:lineRule="auto"/>
              <w:rPr>
                <w:rFonts w:ascii="Times New Roman" w:hAnsi="Times New Roman"/>
                <w:bCs/>
                <w:sz w:val="21"/>
                <w:szCs w:val="21"/>
              </w:rPr>
            </w:pPr>
            <w:r w:rsidRPr="007C5A6E">
              <w:rPr>
                <w:rFonts w:ascii="Times New Roman" w:hAnsi="Times New Roman"/>
                <w:bCs/>
                <w:sz w:val="21"/>
                <w:szCs w:val="21"/>
              </w:rPr>
              <w:t>Totale</w:t>
            </w:r>
          </w:p>
        </w:tc>
      </w:tr>
      <w:tr w:rsidR="000E58F3" w:rsidRPr="007C5A6E" w14:paraId="3BECEDA5" w14:textId="77777777" w:rsidTr="00F23EE9">
        <w:tc>
          <w:tcPr>
            <w:tcW w:w="2300" w:type="dxa"/>
            <w:shd w:val="clear" w:color="auto" w:fill="auto"/>
            <w:vAlign w:val="center"/>
          </w:tcPr>
          <w:p w14:paraId="2E60D669" w14:textId="77777777" w:rsidR="000E58F3" w:rsidRPr="007C5A6E" w:rsidRDefault="000E58F3" w:rsidP="009C4C26">
            <w:pPr>
              <w:spacing w:after="0" w:line="240" w:lineRule="auto"/>
              <w:rPr>
                <w:rFonts w:ascii="Times New Roman" w:hAnsi="Times New Roman"/>
                <w:sz w:val="21"/>
                <w:szCs w:val="21"/>
              </w:rPr>
            </w:pPr>
            <w:r w:rsidRPr="007C5A6E">
              <w:rPr>
                <w:rFonts w:ascii="Times New Roman" w:hAnsi="Times New Roman"/>
                <w:sz w:val="21"/>
                <w:szCs w:val="21"/>
              </w:rPr>
              <w:t>Comoé *</w:t>
            </w:r>
          </w:p>
        </w:tc>
        <w:tc>
          <w:tcPr>
            <w:tcW w:w="876" w:type="dxa"/>
            <w:shd w:val="clear" w:color="auto" w:fill="auto"/>
            <w:vAlign w:val="center"/>
          </w:tcPr>
          <w:p w14:paraId="540E4D17"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5,68</w:t>
            </w:r>
          </w:p>
        </w:tc>
        <w:tc>
          <w:tcPr>
            <w:tcW w:w="1351" w:type="dxa"/>
            <w:shd w:val="clear" w:color="auto" w:fill="auto"/>
            <w:vAlign w:val="center"/>
          </w:tcPr>
          <w:p w14:paraId="43B0481E"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59</w:t>
            </w:r>
          </w:p>
        </w:tc>
        <w:tc>
          <w:tcPr>
            <w:tcW w:w="1337" w:type="dxa"/>
            <w:shd w:val="clear" w:color="auto" w:fill="auto"/>
            <w:vAlign w:val="center"/>
          </w:tcPr>
          <w:p w14:paraId="5CCB7BCA"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11.20</w:t>
            </w:r>
          </w:p>
        </w:tc>
        <w:tc>
          <w:tcPr>
            <w:tcW w:w="1387" w:type="dxa"/>
            <w:shd w:val="clear" w:color="auto" w:fill="auto"/>
            <w:vAlign w:val="center"/>
          </w:tcPr>
          <w:p w14:paraId="0558ECDF"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3,66</w:t>
            </w:r>
          </w:p>
        </w:tc>
        <w:tc>
          <w:tcPr>
            <w:tcW w:w="1216" w:type="dxa"/>
            <w:shd w:val="clear" w:color="auto" w:fill="auto"/>
            <w:vAlign w:val="center"/>
          </w:tcPr>
          <w:p w14:paraId="3F83DD7C"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w:t>
            </w:r>
          </w:p>
        </w:tc>
        <w:tc>
          <w:tcPr>
            <w:tcW w:w="1172" w:type="dxa"/>
            <w:shd w:val="clear" w:color="auto" w:fill="auto"/>
            <w:vAlign w:val="center"/>
          </w:tcPr>
          <w:p w14:paraId="40D4B9E9"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79.54</w:t>
            </w:r>
          </w:p>
        </w:tc>
      </w:tr>
      <w:tr w:rsidR="000E58F3" w:rsidRPr="007C5A6E" w14:paraId="475A775A" w14:textId="77777777" w:rsidTr="00F23EE9">
        <w:tc>
          <w:tcPr>
            <w:tcW w:w="2300" w:type="dxa"/>
            <w:shd w:val="clear" w:color="auto" w:fill="auto"/>
            <w:vAlign w:val="center"/>
          </w:tcPr>
          <w:p w14:paraId="0B65B028" w14:textId="77777777" w:rsidR="000E58F3" w:rsidRPr="007C5A6E" w:rsidRDefault="000E58F3" w:rsidP="009C4C26">
            <w:pPr>
              <w:spacing w:after="0" w:line="240" w:lineRule="auto"/>
              <w:rPr>
                <w:rFonts w:ascii="Times New Roman" w:hAnsi="Times New Roman"/>
                <w:sz w:val="21"/>
                <w:szCs w:val="21"/>
              </w:rPr>
            </w:pPr>
            <w:r w:rsidRPr="007C5A6E">
              <w:rPr>
                <w:rFonts w:ascii="Times New Roman" w:hAnsi="Times New Roman"/>
                <w:sz w:val="21"/>
                <w:szCs w:val="21"/>
              </w:rPr>
              <w:t>Mouhoun*</w:t>
            </w:r>
          </w:p>
        </w:tc>
        <w:tc>
          <w:tcPr>
            <w:tcW w:w="876" w:type="dxa"/>
            <w:shd w:val="clear" w:color="auto" w:fill="auto"/>
            <w:vAlign w:val="center"/>
          </w:tcPr>
          <w:p w14:paraId="5723A082"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45,8</w:t>
            </w:r>
          </w:p>
        </w:tc>
        <w:tc>
          <w:tcPr>
            <w:tcW w:w="1351" w:type="dxa"/>
            <w:shd w:val="clear" w:color="auto" w:fill="auto"/>
            <w:vAlign w:val="center"/>
          </w:tcPr>
          <w:p w14:paraId="0CD17AFD"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190,9</w:t>
            </w:r>
          </w:p>
        </w:tc>
        <w:tc>
          <w:tcPr>
            <w:tcW w:w="1337" w:type="dxa"/>
            <w:shd w:val="clear" w:color="auto" w:fill="auto"/>
            <w:vAlign w:val="center"/>
          </w:tcPr>
          <w:p w14:paraId="5B67F4A1"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66,2</w:t>
            </w:r>
          </w:p>
        </w:tc>
        <w:tc>
          <w:tcPr>
            <w:tcW w:w="1387" w:type="dxa"/>
            <w:shd w:val="clear" w:color="auto" w:fill="auto"/>
            <w:vAlign w:val="center"/>
          </w:tcPr>
          <w:p w14:paraId="3E20B196"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1,3</w:t>
            </w:r>
          </w:p>
        </w:tc>
        <w:tc>
          <w:tcPr>
            <w:tcW w:w="1216" w:type="dxa"/>
            <w:shd w:val="clear" w:color="auto" w:fill="auto"/>
            <w:vAlign w:val="center"/>
          </w:tcPr>
          <w:p w14:paraId="07498CF4"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w:t>
            </w:r>
          </w:p>
        </w:tc>
        <w:tc>
          <w:tcPr>
            <w:tcW w:w="1172" w:type="dxa"/>
            <w:shd w:val="clear" w:color="auto" w:fill="auto"/>
            <w:vAlign w:val="center"/>
          </w:tcPr>
          <w:p w14:paraId="2BB12EBB"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304,2</w:t>
            </w:r>
          </w:p>
        </w:tc>
      </w:tr>
      <w:tr w:rsidR="000E58F3" w:rsidRPr="007C5A6E" w14:paraId="657D6865" w14:textId="77777777" w:rsidTr="00F23EE9">
        <w:tc>
          <w:tcPr>
            <w:tcW w:w="2300" w:type="dxa"/>
            <w:shd w:val="clear" w:color="auto" w:fill="auto"/>
            <w:vAlign w:val="center"/>
          </w:tcPr>
          <w:p w14:paraId="74A1931B" w14:textId="77777777" w:rsidR="000E58F3" w:rsidRPr="007C5A6E" w:rsidRDefault="000E58F3" w:rsidP="009C4C26">
            <w:pPr>
              <w:spacing w:after="0" w:line="240" w:lineRule="auto"/>
              <w:rPr>
                <w:rFonts w:ascii="Times New Roman" w:hAnsi="Times New Roman"/>
                <w:sz w:val="21"/>
                <w:szCs w:val="21"/>
              </w:rPr>
            </w:pPr>
            <w:r w:rsidRPr="007C5A6E">
              <w:rPr>
                <w:rFonts w:ascii="Times New Roman" w:hAnsi="Times New Roman"/>
                <w:sz w:val="21"/>
                <w:szCs w:val="21"/>
              </w:rPr>
              <w:t>Nakanbé**</w:t>
            </w:r>
          </w:p>
        </w:tc>
        <w:tc>
          <w:tcPr>
            <w:tcW w:w="876" w:type="dxa"/>
            <w:shd w:val="clear" w:color="auto" w:fill="auto"/>
            <w:vAlign w:val="center"/>
          </w:tcPr>
          <w:p w14:paraId="759563B9"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61.12</w:t>
            </w:r>
          </w:p>
        </w:tc>
        <w:tc>
          <w:tcPr>
            <w:tcW w:w="1351" w:type="dxa"/>
            <w:shd w:val="clear" w:color="auto" w:fill="auto"/>
            <w:vAlign w:val="center"/>
          </w:tcPr>
          <w:p w14:paraId="7F1FA637"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110,32</w:t>
            </w:r>
          </w:p>
        </w:tc>
        <w:tc>
          <w:tcPr>
            <w:tcW w:w="1337" w:type="dxa"/>
            <w:shd w:val="clear" w:color="auto" w:fill="auto"/>
            <w:vAlign w:val="center"/>
          </w:tcPr>
          <w:p w14:paraId="7C388F7A"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49,28</w:t>
            </w:r>
          </w:p>
        </w:tc>
        <w:tc>
          <w:tcPr>
            <w:tcW w:w="1387" w:type="dxa"/>
            <w:shd w:val="clear" w:color="auto" w:fill="auto"/>
            <w:vAlign w:val="center"/>
          </w:tcPr>
          <w:p w14:paraId="20E53322"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3</w:t>
            </w:r>
          </w:p>
        </w:tc>
        <w:tc>
          <w:tcPr>
            <w:tcW w:w="1216" w:type="dxa"/>
            <w:shd w:val="clear" w:color="auto" w:fill="auto"/>
            <w:vAlign w:val="center"/>
          </w:tcPr>
          <w:p w14:paraId="13E763EA"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924</w:t>
            </w:r>
          </w:p>
        </w:tc>
        <w:tc>
          <w:tcPr>
            <w:tcW w:w="1172" w:type="dxa"/>
            <w:shd w:val="clear" w:color="auto" w:fill="auto"/>
            <w:vAlign w:val="center"/>
          </w:tcPr>
          <w:p w14:paraId="2EF0C334"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1 148,01</w:t>
            </w:r>
          </w:p>
        </w:tc>
      </w:tr>
      <w:tr w:rsidR="000E58F3" w:rsidRPr="007C5A6E" w14:paraId="4B0073ED" w14:textId="77777777" w:rsidTr="00F23EE9">
        <w:tc>
          <w:tcPr>
            <w:tcW w:w="2300" w:type="dxa"/>
            <w:shd w:val="clear" w:color="auto" w:fill="auto"/>
            <w:vAlign w:val="center"/>
          </w:tcPr>
          <w:p w14:paraId="171AE7F9" w14:textId="77777777" w:rsidR="000E58F3" w:rsidRPr="007C5A6E" w:rsidRDefault="000E58F3" w:rsidP="009C4C26">
            <w:pPr>
              <w:spacing w:after="0" w:line="240" w:lineRule="auto"/>
              <w:rPr>
                <w:rFonts w:ascii="Times New Roman" w:hAnsi="Times New Roman"/>
                <w:sz w:val="21"/>
                <w:szCs w:val="21"/>
              </w:rPr>
            </w:pPr>
            <w:r w:rsidRPr="007C5A6E">
              <w:rPr>
                <w:rFonts w:ascii="Times New Roman" w:hAnsi="Times New Roman"/>
                <w:sz w:val="21"/>
                <w:szCs w:val="21"/>
              </w:rPr>
              <w:t>Niger (en 2001)</w:t>
            </w:r>
          </w:p>
        </w:tc>
        <w:tc>
          <w:tcPr>
            <w:tcW w:w="876" w:type="dxa"/>
            <w:shd w:val="clear" w:color="auto" w:fill="auto"/>
            <w:vAlign w:val="center"/>
          </w:tcPr>
          <w:p w14:paraId="7E4209E7"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17,82</w:t>
            </w:r>
          </w:p>
        </w:tc>
        <w:tc>
          <w:tcPr>
            <w:tcW w:w="1351" w:type="dxa"/>
            <w:shd w:val="clear" w:color="auto" w:fill="auto"/>
            <w:vAlign w:val="center"/>
          </w:tcPr>
          <w:p w14:paraId="4682E9F0"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12,30</w:t>
            </w:r>
          </w:p>
        </w:tc>
        <w:tc>
          <w:tcPr>
            <w:tcW w:w="1337" w:type="dxa"/>
            <w:shd w:val="clear" w:color="auto" w:fill="auto"/>
            <w:vAlign w:val="center"/>
          </w:tcPr>
          <w:p w14:paraId="27558251"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22,32</w:t>
            </w:r>
          </w:p>
        </w:tc>
        <w:tc>
          <w:tcPr>
            <w:tcW w:w="1387" w:type="dxa"/>
            <w:shd w:val="clear" w:color="auto" w:fill="auto"/>
            <w:vAlign w:val="center"/>
          </w:tcPr>
          <w:p w14:paraId="16752702"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0,35</w:t>
            </w:r>
          </w:p>
        </w:tc>
        <w:tc>
          <w:tcPr>
            <w:tcW w:w="1216" w:type="dxa"/>
            <w:shd w:val="clear" w:color="auto" w:fill="auto"/>
            <w:vAlign w:val="center"/>
          </w:tcPr>
          <w:p w14:paraId="27663971"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0</w:t>
            </w:r>
          </w:p>
        </w:tc>
        <w:tc>
          <w:tcPr>
            <w:tcW w:w="1172" w:type="dxa"/>
            <w:shd w:val="clear" w:color="auto" w:fill="auto"/>
            <w:vAlign w:val="center"/>
          </w:tcPr>
          <w:p w14:paraId="17B662FE" w14:textId="77777777" w:rsidR="000E58F3" w:rsidRPr="007C5A6E" w:rsidRDefault="000E58F3" w:rsidP="009C4C26">
            <w:pPr>
              <w:spacing w:after="0" w:line="240" w:lineRule="auto"/>
              <w:jc w:val="center"/>
              <w:rPr>
                <w:rFonts w:ascii="Times New Roman" w:hAnsi="Times New Roman"/>
                <w:sz w:val="21"/>
                <w:szCs w:val="21"/>
              </w:rPr>
            </w:pPr>
            <w:r w:rsidRPr="007C5A6E">
              <w:rPr>
                <w:rFonts w:ascii="Times New Roman" w:hAnsi="Times New Roman"/>
                <w:sz w:val="21"/>
                <w:szCs w:val="21"/>
              </w:rPr>
              <w:t>52,79</w:t>
            </w:r>
          </w:p>
        </w:tc>
      </w:tr>
      <w:tr w:rsidR="000E58F3" w:rsidRPr="007C5A6E" w14:paraId="33EFB13D" w14:textId="77777777" w:rsidTr="00F23EE9">
        <w:tc>
          <w:tcPr>
            <w:tcW w:w="2300" w:type="dxa"/>
            <w:shd w:val="clear" w:color="auto" w:fill="auto"/>
            <w:vAlign w:val="center"/>
          </w:tcPr>
          <w:p w14:paraId="6B6C3A24" w14:textId="77777777" w:rsidR="000E58F3" w:rsidRPr="007C5A6E" w:rsidRDefault="000E58F3" w:rsidP="009C4C26">
            <w:pPr>
              <w:spacing w:after="0" w:line="240" w:lineRule="auto"/>
              <w:rPr>
                <w:rFonts w:ascii="Times New Roman" w:hAnsi="Times New Roman"/>
                <w:b/>
                <w:sz w:val="21"/>
                <w:szCs w:val="21"/>
              </w:rPr>
            </w:pPr>
            <w:r w:rsidRPr="007C5A6E">
              <w:rPr>
                <w:rFonts w:ascii="Times New Roman" w:hAnsi="Times New Roman"/>
                <w:b/>
                <w:sz w:val="21"/>
                <w:szCs w:val="21"/>
              </w:rPr>
              <w:t>Total Burkina Faso</w:t>
            </w:r>
          </w:p>
        </w:tc>
        <w:tc>
          <w:tcPr>
            <w:tcW w:w="876" w:type="dxa"/>
            <w:shd w:val="clear" w:color="auto" w:fill="auto"/>
            <w:vAlign w:val="center"/>
          </w:tcPr>
          <w:p w14:paraId="31FF5843" w14:textId="77777777" w:rsidR="000E58F3" w:rsidRPr="007C5A6E" w:rsidRDefault="000E58F3" w:rsidP="009C4C26">
            <w:pPr>
              <w:spacing w:after="0" w:line="240" w:lineRule="auto"/>
              <w:jc w:val="center"/>
              <w:rPr>
                <w:rFonts w:ascii="Times New Roman" w:hAnsi="Times New Roman"/>
                <w:b/>
                <w:sz w:val="21"/>
                <w:szCs w:val="21"/>
              </w:rPr>
            </w:pPr>
            <w:r w:rsidRPr="007C5A6E">
              <w:rPr>
                <w:rFonts w:ascii="Times New Roman" w:hAnsi="Times New Roman"/>
                <w:b/>
                <w:sz w:val="21"/>
                <w:szCs w:val="21"/>
              </w:rPr>
              <w:t>130,42</w:t>
            </w:r>
          </w:p>
        </w:tc>
        <w:tc>
          <w:tcPr>
            <w:tcW w:w="1351" w:type="dxa"/>
            <w:shd w:val="clear" w:color="auto" w:fill="auto"/>
            <w:vAlign w:val="center"/>
          </w:tcPr>
          <w:p w14:paraId="2BE9CC72" w14:textId="77777777" w:rsidR="000E58F3" w:rsidRPr="007C5A6E" w:rsidRDefault="000E58F3" w:rsidP="009C4C26">
            <w:pPr>
              <w:spacing w:after="0" w:line="240" w:lineRule="auto"/>
              <w:jc w:val="center"/>
              <w:rPr>
                <w:rFonts w:ascii="Times New Roman" w:hAnsi="Times New Roman"/>
                <w:b/>
                <w:sz w:val="21"/>
                <w:szCs w:val="21"/>
              </w:rPr>
            </w:pPr>
            <w:r w:rsidRPr="007C5A6E">
              <w:rPr>
                <w:rFonts w:ascii="Times New Roman" w:hAnsi="Times New Roman"/>
                <w:b/>
                <w:sz w:val="21"/>
                <w:szCs w:val="21"/>
              </w:rPr>
              <w:t>372,52</w:t>
            </w:r>
          </w:p>
        </w:tc>
        <w:tc>
          <w:tcPr>
            <w:tcW w:w="1337" w:type="dxa"/>
            <w:shd w:val="clear" w:color="auto" w:fill="auto"/>
            <w:vAlign w:val="center"/>
          </w:tcPr>
          <w:p w14:paraId="4354FD8B" w14:textId="77777777" w:rsidR="000E58F3" w:rsidRPr="007C5A6E" w:rsidRDefault="000E58F3" w:rsidP="009C4C26">
            <w:pPr>
              <w:spacing w:after="0" w:line="240" w:lineRule="auto"/>
              <w:jc w:val="center"/>
              <w:rPr>
                <w:rFonts w:ascii="Times New Roman" w:hAnsi="Times New Roman"/>
                <w:b/>
                <w:sz w:val="21"/>
                <w:szCs w:val="21"/>
              </w:rPr>
            </w:pPr>
            <w:r w:rsidRPr="007C5A6E">
              <w:rPr>
                <w:rFonts w:ascii="Times New Roman" w:hAnsi="Times New Roman"/>
                <w:b/>
                <w:sz w:val="21"/>
                <w:szCs w:val="21"/>
              </w:rPr>
              <w:t>149</w:t>
            </w:r>
          </w:p>
        </w:tc>
        <w:tc>
          <w:tcPr>
            <w:tcW w:w="1387" w:type="dxa"/>
            <w:shd w:val="clear" w:color="auto" w:fill="auto"/>
            <w:vAlign w:val="center"/>
          </w:tcPr>
          <w:p w14:paraId="2E8F85F4" w14:textId="77777777" w:rsidR="000E58F3" w:rsidRPr="007C5A6E" w:rsidRDefault="000E58F3" w:rsidP="009C4C26">
            <w:pPr>
              <w:spacing w:after="0" w:line="240" w:lineRule="auto"/>
              <w:jc w:val="center"/>
              <w:rPr>
                <w:rFonts w:ascii="Times New Roman" w:hAnsi="Times New Roman"/>
                <w:b/>
                <w:sz w:val="21"/>
                <w:szCs w:val="21"/>
              </w:rPr>
            </w:pPr>
            <w:r w:rsidRPr="007C5A6E">
              <w:rPr>
                <w:rFonts w:ascii="Times New Roman" w:hAnsi="Times New Roman"/>
                <w:b/>
                <w:sz w:val="21"/>
                <w:szCs w:val="21"/>
              </w:rPr>
              <w:t>8,31</w:t>
            </w:r>
          </w:p>
        </w:tc>
        <w:tc>
          <w:tcPr>
            <w:tcW w:w="1216" w:type="dxa"/>
            <w:shd w:val="clear" w:color="auto" w:fill="auto"/>
            <w:vAlign w:val="center"/>
          </w:tcPr>
          <w:p w14:paraId="5312ADEB" w14:textId="77777777" w:rsidR="000E58F3" w:rsidRPr="007C5A6E" w:rsidRDefault="000E58F3" w:rsidP="009C4C26">
            <w:pPr>
              <w:spacing w:after="0" w:line="240" w:lineRule="auto"/>
              <w:jc w:val="center"/>
              <w:rPr>
                <w:rFonts w:ascii="Times New Roman" w:hAnsi="Times New Roman"/>
                <w:b/>
                <w:sz w:val="21"/>
                <w:szCs w:val="21"/>
              </w:rPr>
            </w:pPr>
            <w:r w:rsidRPr="007C5A6E">
              <w:rPr>
                <w:rFonts w:ascii="Times New Roman" w:hAnsi="Times New Roman"/>
                <w:b/>
                <w:sz w:val="21"/>
                <w:szCs w:val="21"/>
              </w:rPr>
              <w:t>&gt;924</w:t>
            </w:r>
          </w:p>
        </w:tc>
        <w:tc>
          <w:tcPr>
            <w:tcW w:w="1172" w:type="dxa"/>
            <w:shd w:val="clear" w:color="auto" w:fill="auto"/>
            <w:vAlign w:val="center"/>
          </w:tcPr>
          <w:p w14:paraId="0EA6E6C4" w14:textId="77777777" w:rsidR="000E58F3" w:rsidRPr="007C5A6E" w:rsidRDefault="000E58F3" w:rsidP="009C4C26">
            <w:pPr>
              <w:spacing w:after="0" w:line="240" w:lineRule="auto"/>
              <w:jc w:val="center"/>
              <w:rPr>
                <w:rFonts w:ascii="Times New Roman" w:hAnsi="Times New Roman"/>
                <w:b/>
                <w:sz w:val="21"/>
                <w:szCs w:val="21"/>
              </w:rPr>
            </w:pPr>
            <w:r w:rsidRPr="007C5A6E">
              <w:rPr>
                <w:rFonts w:ascii="Times New Roman" w:hAnsi="Times New Roman"/>
                <w:b/>
                <w:sz w:val="21"/>
                <w:szCs w:val="21"/>
              </w:rPr>
              <w:t>52,79</w:t>
            </w:r>
          </w:p>
        </w:tc>
      </w:tr>
    </w:tbl>
    <w:p w14:paraId="0D6F484E" w14:textId="77777777" w:rsidR="000E58F3" w:rsidRPr="007C5A6E" w:rsidRDefault="000E58F3" w:rsidP="009C4C26">
      <w:pPr>
        <w:spacing w:after="0" w:line="240" w:lineRule="auto"/>
        <w:rPr>
          <w:rFonts w:ascii="Times New Roman" w:hAnsi="Times New Roman"/>
          <w:sz w:val="20"/>
          <w:szCs w:val="20"/>
        </w:rPr>
      </w:pPr>
      <w:r w:rsidRPr="007C5A6E">
        <w:rPr>
          <w:rFonts w:ascii="Times New Roman" w:hAnsi="Times New Roman"/>
          <w:sz w:val="20"/>
          <w:szCs w:val="20"/>
        </w:rPr>
        <w:t>* source : MAHRH/VREO- 2009-2010 : Avant-projet de SDAGE Mouhoun et Comoé</w:t>
      </w:r>
    </w:p>
    <w:p w14:paraId="05195BF3" w14:textId="01359555" w:rsidR="000E58F3" w:rsidRPr="007C5A6E" w:rsidRDefault="000E58F3" w:rsidP="009C4C26">
      <w:pPr>
        <w:spacing w:after="0" w:line="240" w:lineRule="auto"/>
        <w:contextualSpacing/>
        <w:jc w:val="both"/>
        <w:rPr>
          <w:rFonts w:ascii="Times New Roman" w:hAnsi="Times New Roman"/>
          <w:sz w:val="24"/>
          <w:szCs w:val="24"/>
          <w:lang w:eastAsia="en-US"/>
        </w:rPr>
      </w:pPr>
      <w:r w:rsidRPr="007C5A6E">
        <w:rPr>
          <w:rFonts w:ascii="Times New Roman" w:hAnsi="Times New Roman"/>
          <w:sz w:val="20"/>
          <w:szCs w:val="20"/>
        </w:rPr>
        <w:t>** source : MAHRH/DGRE-2010 : Etat des lieux des ressources en eau du bassin du Nakanbé</w:t>
      </w:r>
    </w:p>
    <w:p w14:paraId="61B1F8F3" w14:textId="77777777" w:rsidR="000E58F3" w:rsidRPr="007C5A6E" w:rsidRDefault="000E58F3" w:rsidP="009C4C26">
      <w:pPr>
        <w:spacing w:after="0" w:line="240" w:lineRule="auto"/>
        <w:contextualSpacing/>
        <w:jc w:val="both"/>
        <w:rPr>
          <w:rFonts w:ascii="Times New Roman" w:hAnsi="Times New Roman"/>
          <w:sz w:val="24"/>
          <w:szCs w:val="24"/>
          <w:lang w:eastAsia="en-US"/>
        </w:rPr>
      </w:pPr>
    </w:p>
    <w:p w14:paraId="3B37FA33" w14:textId="77777777" w:rsidR="00FF4A30" w:rsidRPr="007C5A6E" w:rsidRDefault="00FF4A30" w:rsidP="003F3821">
      <w:pPr>
        <w:numPr>
          <w:ilvl w:val="0"/>
          <w:numId w:val="11"/>
        </w:numPr>
        <w:spacing w:after="0" w:line="240" w:lineRule="auto"/>
        <w:ind w:left="714" w:hanging="357"/>
        <w:rPr>
          <w:rFonts w:ascii="Times New Roman" w:eastAsia="Calibri" w:hAnsi="Times New Roman"/>
          <w:b/>
          <w:bCs/>
          <w:i/>
          <w:iCs/>
          <w:sz w:val="24"/>
          <w:szCs w:val="24"/>
          <w:lang w:eastAsia="en-US"/>
        </w:rPr>
      </w:pPr>
      <w:r w:rsidRPr="007C5A6E">
        <w:rPr>
          <w:rFonts w:ascii="Times New Roman" w:eastAsia="Calibri" w:hAnsi="Times New Roman"/>
          <w:b/>
          <w:bCs/>
          <w:i/>
          <w:iCs/>
          <w:sz w:val="24"/>
          <w:szCs w:val="24"/>
          <w:lang w:eastAsia="en-US"/>
        </w:rPr>
        <w:t xml:space="preserve">La faible performance de la gestion des activités anthropiques </w:t>
      </w:r>
    </w:p>
    <w:p w14:paraId="6D864F51" w14:textId="77777777" w:rsidR="00FF4A30" w:rsidRPr="007C5A6E" w:rsidRDefault="00FF4A30" w:rsidP="009C4C26">
      <w:pPr>
        <w:spacing w:after="0" w:line="240" w:lineRule="auto"/>
        <w:jc w:val="both"/>
        <w:rPr>
          <w:rFonts w:ascii="Times New Roman" w:hAnsi="Times New Roman"/>
          <w:sz w:val="24"/>
          <w:szCs w:val="24"/>
          <w:lang w:eastAsia="en-US"/>
        </w:rPr>
      </w:pPr>
      <w:r w:rsidRPr="007C5A6E">
        <w:rPr>
          <w:rFonts w:ascii="Times New Roman" w:hAnsi="Times New Roman"/>
          <w:sz w:val="24"/>
          <w:szCs w:val="24"/>
          <w:lang w:eastAsia="en-US"/>
        </w:rPr>
        <w:t>Le principal facteur de pression essentiellement le gaspillage des ressources en eau à travers notamment :</w:t>
      </w:r>
    </w:p>
    <w:p w14:paraId="41E74236" w14:textId="1E0BCBD7" w:rsidR="00FF4A30" w:rsidRPr="007C5A6E" w:rsidRDefault="00FF4A30" w:rsidP="003F3821">
      <w:pPr>
        <w:numPr>
          <w:ilvl w:val="0"/>
          <w:numId w:val="10"/>
        </w:numPr>
        <w:spacing w:after="0" w:line="240" w:lineRule="auto"/>
        <w:ind w:left="360"/>
        <w:contextualSpacing/>
        <w:jc w:val="both"/>
        <w:rPr>
          <w:rFonts w:ascii="Times New Roman" w:hAnsi="Times New Roman"/>
          <w:i/>
          <w:iCs/>
          <w:sz w:val="24"/>
          <w:szCs w:val="24"/>
          <w:lang w:eastAsia="en-US"/>
        </w:rPr>
      </w:pPr>
      <w:r w:rsidRPr="007C5A6E">
        <w:rPr>
          <w:rFonts w:ascii="Times New Roman" w:hAnsi="Times New Roman"/>
          <w:sz w:val="24"/>
          <w:szCs w:val="24"/>
          <w:lang w:eastAsia="en-US"/>
        </w:rPr>
        <w:t>Le recours massif à des modes d’irrigation peu économes en eau</w:t>
      </w:r>
      <w:r w:rsidR="009C4C26" w:rsidRPr="007C5A6E">
        <w:rPr>
          <w:rFonts w:ascii="Times New Roman" w:hAnsi="Times New Roman"/>
          <w:sz w:val="24"/>
          <w:szCs w:val="24"/>
          <w:lang w:eastAsia="en-US"/>
        </w:rPr>
        <w:t xml:space="preserve">. </w:t>
      </w:r>
      <w:r w:rsidR="009C4C26" w:rsidRPr="007C5A6E">
        <w:rPr>
          <w:rFonts w:ascii="Times New Roman" w:hAnsi="Times New Roman"/>
          <w:i/>
          <w:iCs/>
          <w:sz w:val="24"/>
          <w:szCs w:val="24"/>
          <w:lang w:eastAsia="en-US"/>
        </w:rPr>
        <w:t>L</w:t>
      </w:r>
      <w:r w:rsidRPr="007C5A6E">
        <w:rPr>
          <w:rFonts w:ascii="Times New Roman" w:hAnsi="Times New Roman"/>
          <w:i/>
          <w:iCs/>
          <w:sz w:val="24"/>
          <w:szCs w:val="24"/>
          <w:lang w:eastAsia="en-US"/>
        </w:rPr>
        <w:t>es modes d’irrigation les plus r</w:t>
      </w:r>
      <w:r w:rsidR="00664B54" w:rsidRPr="007C5A6E">
        <w:rPr>
          <w:rFonts w:ascii="Times New Roman" w:hAnsi="Times New Roman"/>
          <w:i/>
          <w:iCs/>
          <w:sz w:val="24"/>
          <w:szCs w:val="24"/>
          <w:lang w:eastAsia="en-US"/>
        </w:rPr>
        <w:t>épa</w:t>
      </w:r>
      <w:r w:rsidRPr="007C5A6E">
        <w:rPr>
          <w:rFonts w:ascii="Times New Roman" w:hAnsi="Times New Roman"/>
          <w:i/>
          <w:iCs/>
          <w:sz w:val="24"/>
          <w:szCs w:val="24"/>
          <w:lang w:eastAsia="en-US"/>
        </w:rPr>
        <w:t>ndus sont le système gravitaire et le semi californien dans une moindre mesure. L’efficience de ces réseaux est de l’ordre de 50 à 60% soit une perte d’eau de l’ordre de 50 à 40 m3 pour 100 m3 utilisés. A titre d’exemple pour l’irrigation du riz, sur près 20 000 m3/ha et par cycle, la perte d’eau est de l’ordre 8 000 à 10 000 m3/ha soit pour 100 ha de riz, 800 000 m3 à 1 000 000 m3 d’eau perdue ;</w:t>
      </w:r>
    </w:p>
    <w:p w14:paraId="5FE3DA99" w14:textId="77777777" w:rsidR="00FF4A30" w:rsidRPr="007C5A6E" w:rsidRDefault="00FF4A30" w:rsidP="003F3821">
      <w:pPr>
        <w:numPr>
          <w:ilvl w:val="0"/>
          <w:numId w:val="10"/>
        </w:numPr>
        <w:spacing w:after="0" w:line="240" w:lineRule="auto"/>
        <w:ind w:left="360"/>
        <w:contextualSpacing/>
        <w:jc w:val="both"/>
        <w:rPr>
          <w:rFonts w:ascii="Times New Roman" w:hAnsi="Times New Roman"/>
          <w:sz w:val="24"/>
          <w:szCs w:val="24"/>
          <w:lang w:eastAsia="en-US"/>
        </w:rPr>
      </w:pPr>
      <w:r w:rsidRPr="007C5A6E">
        <w:rPr>
          <w:rFonts w:ascii="Times New Roman" w:hAnsi="Times New Roman"/>
          <w:sz w:val="24"/>
          <w:szCs w:val="24"/>
          <w:lang w:eastAsia="en-US"/>
        </w:rPr>
        <w:t>Le mauvais état des infrastructures hydrauliques en général et des réseaux d’irrigation en particulier. Ceci entraine en sus de la faible efficience des modes d’irrigation, des pertes d’eau supplémentaires parfois importantes ;</w:t>
      </w:r>
    </w:p>
    <w:p w14:paraId="4345F646" w14:textId="77777777" w:rsidR="00FF4A30" w:rsidRPr="007C5A6E" w:rsidRDefault="00FF4A30" w:rsidP="003F3821">
      <w:pPr>
        <w:numPr>
          <w:ilvl w:val="0"/>
          <w:numId w:val="10"/>
        </w:numPr>
        <w:spacing w:after="0" w:line="240" w:lineRule="auto"/>
        <w:ind w:left="360"/>
        <w:contextualSpacing/>
        <w:jc w:val="both"/>
        <w:rPr>
          <w:rFonts w:ascii="Times New Roman" w:hAnsi="Times New Roman"/>
          <w:sz w:val="24"/>
          <w:szCs w:val="24"/>
          <w:lang w:eastAsia="en-US"/>
        </w:rPr>
      </w:pPr>
      <w:r w:rsidRPr="007C5A6E">
        <w:rPr>
          <w:rFonts w:ascii="Times New Roman" w:hAnsi="Times New Roman"/>
          <w:sz w:val="24"/>
          <w:szCs w:val="24"/>
          <w:lang w:eastAsia="en-US"/>
        </w:rPr>
        <w:t>La mauvaise gestion des ressources en eau mobilisées.</w:t>
      </w:r>
    </w:p>
    <w:p w14:paraId="25927C74" w14:textId="77777777" w:rsidR="00ED7CDA" w:rsidRPr="007C5A6E" w:rsidRDefault="00ED7CDA" w:rsidP="003F3821">
      <w:pPr>
        <w:numPr>
          <w:ilvl w:val="0"/>
          <w:numId w:val="11"/>
        </w:numPr>
        <w:spacing w:after="0" w:line="240" w:lineRule="auto"/>
        <w:ind w:left="714" w:hanging="357"/>
        <w:rPr>
          <w:rFonts w:ascii="Times New Roman" w:eastAsia="Calibri" w:hAnsi="Times New Roman"/>
          <w:b/>
          <w:bCs/>
          <w:i/>
          <w:iCs/>
          <w:sz w:val="24"/>
          <w:szCs w:val="24"/>
          <w:lang w:eastAsia="en-US"/>
        </w:rPr>
      </w:pPr>
      <w:r w:rsidRPr="007C5A6E">
        <w:rPr>
          <w:rFonts w:ascii="Times New Roman" w:eastAsia="Calibri" w:hAnsi="Times New Roman"/>
          <w:b/>
          <w:bCs/>
          <w:i/>
          <w:iCs/>
          <w:sz w:val="24"/>
          <w:szCs w:val="24"/>
          <w:lang w:eastAsia="en-US"/>
        </w:rPr>
        <w:t xml:space="preserve">La dégradation de l’état physique des bassins hydrographiques des cours d’eau </w:t>
      </w:r>
    </w:p>
    <w:p w14:paraId="602234E6" w14:textId="05A5BDDE" w:rsidR="0049284E" w:rsidRPr="007C5A6E" w:rsidRDefault="00ED7CDA" w:rsidP="009C4C26">
      <w:pPr>
        <w:spacing w:after="0" w:line="240" w:lineRule="auto"/>
        <w:jc w:val="both"/>
        <w:rPr>
          <w:rFonts w:ascii="Times New Roman" w:hAnsi="Times New Roman"/>
          <w:bCs/>
          <w:sz w:val="24"/>
          <w:szCs w:val="24"/>
        </w:rPr>
      </w:pPr>
      <w:r w:rsidRPr="007C5A6E">
        <w:rPr>
          <w:rFonts w:ascii="Times New Roman" w:eastAsia="Calibri" w:hAnsi="Times New Roman"/>
          <w:sz w:val="24"/>
          <w:szCs w:val="24"/>
          <w:lang w:eastAsia="en-US"/>
        </w:rPr>
        <w:t>L’occupation des sols joue un rôle particulier dans le comblement des lits des cours et des lacs d’eau de surface et contribue ainsi à la réduction en particulier de leurs capacités de stockage et par conséquent une perte de volume d’eau importante particulièrement dans les lacs d’eau de surface.</w:t>
      </w:r>
      <w:r w:rsidR="00FF4A30" w:rsidRPr="007C5A6E">
        <w:rPr>
          <w:rFonts w:ascii="Times New Roman" w:eastAsia="Calibri" w:hAnsi="Times New Roman"/>
          <w:sz w:val="24"/>
          <w:szCs w:val="24"/>
          <w:lang w:eastAsia="en-US"/>
        </w:rPr>
        <w:t xml:space="preserve"> </w:t>
      </w:r>
      <w:r w:rsidR="0049284E" w:rsidRPr="007C5A6E">
        <w:rPr>
          <w:rFonts w:ascii="Times New Roman" w:hAnsi="Times New Roman"/>
          <w:bCs/>
          <w:sz w:val="24"/>
          <w:szCs w:val="24"/>
        </w:rPr>
        <w:t xml:space="preserve">Le caractère transversal de l’eau qui met en jeu une multitude d’acteurs producteurs et consommateurs de données et informations sur l’eau et qui par conséquent rend difficile l’accès à ces dernières ; </w:t>
      </w:r>
    </w:p>
    <w:p w14:paraId="1B54426F" w14:textId="77777777" w:rsidR="0049284E" w:rsidRPr="007C5A6E" w:rsidRDefault="0049284E" w:rsidP="003F3821">
      <w:pPr>
        <w:numPr>
          <w:ilvl w:val="0"/>
          <w:numId w:val="5"/>
        </w:numPr>
        <w:spacing w:after="0" w:line="240" w:lineRule="auto"/>
        <w:ind w:left="357" w:hanging="357"/>
        <w:contextualSpacing/>
        <w:jc w:val="both"/>
        <w:rPr>
          <w:rFonts w:ascii="Times New Roman" w:hAnsi="Times New Roman"/>
          <w:bCs/>
          <w:sz w:val="24"/>
          <w:szCs w:val="24"/>
        </w:rPr>
      </w:pPr>
      <w:r w:rsidRPr="007C5A6E">
        <w:rPr>
          <w:rFonts w:ascii="Times New Roman" w:hAnsi="Times New Roman"/>
          <w:bCs/>
          <w:sz w:val="24"/>
          <w:szCs w:val="24"/>
        </w:rPr>
        <w:t xml:space="preserve">Le manque de référentiels stables d’une année à l’autre (changement / fluctuation des points de suivi quantitatif et qualitatif des ressources en eau ; séries discontinues des données…) </w:t>
      </w:r>
    </w:p>
    <w:p w14:paraId="0A855EDD" w14:textId="0EF5EB5F" w:rsidR="0049284E" w:rsidRPr="007C5A6E" w:rsidRDefault="0049284E" w:rsidP="003F3821">
      <w:pPr>
        <w:numPr>
          <w:ilvl w:val="0"/>
          <w:numId w:val="5"/>
        </w:numPr>
        <w:spacing w:after="0" w:line="240" w:lineRule="auto"/>
        <w:ind w:left="357" w:hanging="357"/>
        <w:contextualSpacing/>
        <w:jc w:val="both"/>
        <w:rPr>
          <w:rFonts w:ascii="Times New Roman" w:hAnsi="Times New Roman"/>
          <w:bCs/>
          <w:sz w:val="24"/>
          <w:szCs w:val="24"/>
        </w:rPr>
      </w:pPr>
      <w:r w:rsidRPr="007C5A6E">
        <w:rPr>
          <w:rFonts w:ascii="Times New Roman" w:hAnsi="Times New Roman"/>
          <w:bCs/>
          <w:sz w:val="24"/>
          <w:szCs w:val="24"/>
        </w:rPr>
        <w:t xml:space="preserve">Le manque de « fraicheur » et la non mise à jour des données et informations </w:t>
      </w:r>
      <w:r w:rsidR="00ED7CDA" w:rsidRPr="007C5A6E">
        <w:rPr>
          <w:rFonts w:ascii="Times New Roman" w:hAnsi="Times New Roman"/>
          <w:bCs/>
          <w:sz w:val="24"/>
          <w:szCs w:val="24"/>
        </w:rPr>
        <w:t>nécessaires à l’établissement d’un état des lieux fiable</w:t>
      </w:r>
      <w:r w:rsidRPr="007C5A6E">
        <w:rPr>
          <w:rFonts w:ascii="Times New Roman" w:hAnsi="Times New Roman"/>
          <w:bCs/>
          <w:sz w:val="24"/>
          <w:szCs w:val="24"/>
        </w:rPr>
        <w:t>.</w:t>
      </w:r>
    </w:p>
    <w:p w14:paraId="287EA8EA" w14:textId="77777777" w:rsidR="0049284E" w:rsidRPr="007C5A6E" w:rsidRDefault="0049284E" w:rsidP="009C4C26">
      <w:pPr>
        <w:spacing w:after="0" w:line="240" w:lineRule="auto"/>
        <w:rPr>
          <w:rFonts w:ascii="Times New Roman" w:hAnsi="Times New Roman"/>
          <w:sz w:val="24"/>
          <w:szCs w:val="24"/>
        </w:rPr>
      </w:pPr>
    </w:p>
    <w:p w14:paraId="06704A0C" w14:textId="77777777" w:rsidR="006F72B3" w:rsidRPr="007C5A6E" w:rsidRDefault="006F72B3" w:rsidP="009C4C26">
      <w:pPr>
        <w:pStyle w:val="Titre3"/>
        <w:keepNext w:val="0"/>
        <w:keepLines w:val="0"/>
      </w:pPr>
      <w:bookmarkStart w:id="311" w:name="_Toc182606027"/>
      <w:bookmarkStart w:id="312" w:name="_Toc183340078"/>
      <w:r w:rsidRPr="007C5A6E">
        <w:t>Les mécanismes de pression sur les ressources en eau</w:t>
      </w:r>
      <w:bookmarkEnd w:id="311"/>
      <w:bookmarkEnd w:id="312"/>
    </w:p>
    <w:p w14:paraId="5324C9E3" w14:textId="77777777" w:rsidR="009C4C26" w:rsidRPr="007C5A6E" w:rsidRDefault="009C4C26" w:rsidP="009C4C26">
      <w:pPr>
        <w:spacing w:after="0" w:line="240" w:lineRule="auto"/>
        <w:jc w:val="both"/>
        <w:rPr>
          <w:rFonts w:ascii="Times New Roman" w:hAnsi="Times New Roman"/>
          <w:sz w:val="24"/>
          <w:szCs w:val="24"/>
        </w:rPr>
      </w:pPr>
    </w:p>
    <w:p w14:paraId="1CD553FA" w14:textId="46AF6E3C" w:rsidR="006F72B3" w:rsidRPr="007C5A6E" w:rsidRDefault="006F72B3" w:rsidP="009C4C26">
      <w:pPr>
        <w:spacing w:after="0" w:line="240" w:lineRule="auto"/>
        <w:jc w:val="both"/>
        <w:rPr>
          <w:rFonts w:ascii="Times New Roman" w:hAnsi="Times New Roman"/>
          <w:sz w:val="24"/>
          <w:szCs w:val="24"/>
        </w:rPr>
      </w:pPr>
      <w:r w:rsidRPr="007C5A6E">
        <w:rPr>
          <w:rFonts w:ascii="Times New Roman" w:hAnsi="Times New Roman"/>
          <w:sz w:val="24"/>
          <w:szCs w:val="24"/>
        </w:rPr>
        <w:t>Les prélèvements des ressources en eau se font au moyen (i) d’ouvrages hydrauliques souterrains et de surface artificiels ou naturels et (ii) par évaporation des plans d’eau de surface.</w:t>
      </w:r>
    </w:p>
    <w:p w14:paraId="3F035857" w14:textId="77777777" w:rsidR="006F72B3" w:rsidRPr="007C5A6E" w:rsidRDefault="006F72B3" w:rsidP="009C4C26">
      <w:pPr>
        <w:spacing w:after="0" w:line="240" w:lineRule="auto"/>
        <w:jc w:val="both"/>
        <w:rPr>
          <w:rFonts w:ascii="Times New Roman" w:hAnsi="Times New Roman"/>
          <w:sz w:val="24"/>
          <w:szCs w:val="24"/>
        </w:rPr>
      </w:pPr>
      <w:r w:rsidRPr="007C5A6E">
        <w:rPr>
          <w:rFonts w:ascii="Times New Roman" w:hAnsi="Times New Roman"/>
          <w:sz w:val="24"/>
          <w:szCs w:val="24"/>
        </w:rPr>
        <w:t xml:space="preserve">Le mécanisme de la pollution des ressources en eau, est régi par les principaux moteurs que sont (i) le pouvoir dissolvant de l’eau, (ii) sa capacité de transport et de destruction, (iii) les relations de continuité que l’eau établit entre la surface du sol et le sous-sol, entre les régions et entre les pays (la pollution peut à partir de son point d’impact initial localisé et se propager par le biais de l’eau vers des zones très éloignées voire vers les pays voisins) ; (iv) la capacité de transport des vents et (v) l’état des sols. </w:t>
      </w:r>
    </w:p>
    <w:p w14:paraId="67171C80" w14:textId="77777777" w:rsidR="009C4C26" w:rsidRPr="007C5A6E" w:rsidRDefault="009C4C26" w:rsidP="009C4C26">
      <w:pPr>
        <w:spacing w:after="0" w:line="240" w:lineRule="auto"/>
        <w:jc w:val="both"/>
        <w:rPr>
          <w:rFonts w:ascii="Times New Roman" w:hAnsi="Times New Roman"/>
          <w:sz w:val="24"/>
          <w:szCs w:val="24"/>
        </w:rPr>
      </w:pPr>
    </w:p>
    <w:p w14:paraId="06A05722" w14:textId="6CC18452" w:rsidR="006F72B3" w:rsidRPr="007C5A6E" w:rsidRDefault="006F72B3" w:rsidP="009C4C26">
      <w:pPr>
        <w:spacing w:before="120" w:after="120" w:line="240" w:lineRule="auto"/>
        <w:jc w:val="both"/>
        <w:rPr>
          <w:rFonts w:ascii="Times New Roman" w:hAnsi="Times New Roman"/>
          <w:sz w:val="24"/>
          <w:szCs w:val="24"/>
        </w:rPr>
      </w:pPr>
      <w:r w:rsidRPr="007C5A6E">
        <w:rPr>
          <w:rFonts w:ascii="Times New Roman" w:hAnsi="Times New Roman"/>
          <w:sz w:val="24"/>
          <w:szCs w:val="24"/>
        </w:rPr>
        <w:t xml:space="preserve">Les figures </w:t>
      </w:r>
      <w:r w:rsidR="00684647" w:rsidRPr="007C5A6E">
        <w:rPr>
          <w:rFonts w:ascii="Times New Roman" w:hAnsi="Times New Roman"/>
          <w:sz w:val="24"/>
          <w:szCs w:val="24"/>
        </w:rPr>
        <w:t xml:space="preserve">32 et 33 </w:t>
      </w:r>
      <w:r w:rsidRPr="007C5A6E">
        <w:rPr>
          <w:rFonts w:ascii="Times New Roman" w:hAnsi="Times New Roman"/>
          <w:sz w:val="24"/>
          <w:szCs w:val="24"/>
        </w:rPr>
        <w:t>ci-après illustrent les mécanismes de pollution physique, chimique et bactériologique de l’eau.</w:t>
      </w:r>
    </w:p>
    <w:p w14:paraId="503B7690" w14:textId="77777777" w:rsidR="006F72B3" w:rsidRPr="007C5A6E" w:rsidRDefault="006F72B3" w:rsidP="009C4C26">
      <w:pPr>
        <w:spacing w:after="0" w:line="240" w:lineRule="auto"/>
        <w:jc w:val="both"/>
        <w:rPr>
          <w:rFonts w:ascii="Times New Roman" w:hAnsi="Times New Roman"/>
        </w:rPr>
      </w:pPr>
      <w:r w:rsidRPr="007C5A6E">
        <w:rPr>
          <w:rFonts w:ascii="Times New Roman" w:hAnsi="Times New Roman"/>
          <w:noProof/>
          <w14:ligatures w14:val="standardContextual"/>
        </w:rPr>
        <mc:AlternateContent>
          <mc:Choice Requires="wpg">
            <w:drawing>
              <wp:anchor distT="0" distB="0" distL="114300" distR="114300" simplePos="0" relativeHeight="251688448" behindDoc="0" locked="0" layoutInCell="1" allowOverlap="1" wp14:anchorId="0A31DA28" wp14:editId="4FB89B46">
                <wp:simplePos x="0" y="0"/>
                <wp:positionH relativeFrom="column">
                  <wp:posOffset>112824</wp:posOffset>
                </wp:positionH>
                <wp:positionV relativeFrom="paragraph">
                  <wp:posOffset>135718</wp:posOffset>
                </wp:positionV>
                <wp:extent cx="5716222" cy="1944130"/>
                <wp:effectExtent l="0" t="0" r="18415" b="18415"/>
                <wp:wrapNone/>
                <wp:docPr id="1120524714" name="Groupe 95"/>
                <wp:cNvGraphicFramePr/>
                <a:graphic xmlns:a="http://schemas.openxmlformats.org/drawingml/2006/main">
                  <a:graphicData uri="http://schemas.microsoft.com/office/word/2010/wordprocessingGroup">
                    <wpg:wgp>
                      <wpg:cNvGrpSpPr/>
                      <wpg:grpSpPr>
                        <a:xfrm>
                          <a:off x="0" y="0"/>
                          <a:ext cx="5716222" cy="1944130"/>
                          <a:chOff x="0" y="0"/>
                          <a:chExt cx="5716222" cy="1652443"/>
                        </a:xfrm>
                      </wpg:grpSpPr>
                      <wps:wsp>
                        <wps:cNvPr id="1117878527" name="Connecteur droit 9"/>
                        <wps:cNvCnPr>
                          <a:cxnSpLocks noChangeShapeType="1"/>
                        </wps:cNvCnPr>
                        <wps:spPr bwMode="auto">
                          <a:xfrm>
                            <a:off x="229822" y="649523"/>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1427613" name="Zone de texte 15"/>
                        <wps:cNvSpPr txBox="1">
                          <a:spLocks noChangeArrowheads="1"/>
                        </wps:cNvSpPr>
                        <wps:spPr bwMode="auto">
                          <a:xfrm>
                            <a:off x="0" y="0"/>
                            <a:ext cx="1485900" cy="624840"/>
                          </a:xfrm>
                          <a:prstGeom prst="rect">
                            <a:avLst/>
                          </a:prstGeom>
                          <a:solidFill>
                            <a:srgbClr val="FFFFFF"/>
                          </a:solidFill>
                          <a:ln w="9525">
                            <a:solidFill>
                              <a:srgbClr val="000000"/>
                            </a:solidFill>
                            <a:miter lim="800000"/>
                            <a:headEnd/>
                            <a:tailEnd/>
                          </a:ln>
                        </wps:spPr>
                        <wps:txbx>
                          <w:txbxContent>
                            <w:p w14:paraId="2C7489FB" w14:textId="77777777" w:rsidR="006F72B3" w:rsidRPr="00551DAB" w:rsidRDefault="006F72B3" w:rsidP="006F72B3">
                              <w:pPr>
                                <w:pStyle w:val="Table"/>
                                <w:spacing w:before="0" w:after="0" w:line="240" w:lineRule="auto"/>
                                <w:rPr>
                                  <w:szCs w:val="22"/>
                                  <w:lang w:val="fr-FR" w:eastAsia="fr-FR"/>
                                </w:rPr>
                              </w:pPr>
                              <w:r w:rsidRPr="00551DAB">
                                <w:rPr>
                                  <w:szCs w:val="22"/>
                                  <w:lang w:val="fr-FR" w:eastAsia="fr-FR"/>
                                </w:rPr>
                                <w:t>Rejets liquides et solides sur ou dans le sol</w:t>
                              </w:r>
                            </w:p>
                          </w:txbxContent>
                        </wps:txbx>
                        <wps:bodyPr rot="0" vert="horz" wrap="square" lIns="91440" tIns="45720" rIns="91440" bIns="45720" anchor="t" anchorCtr="0" upright="1">
                          <a:noAutofit/>
                        </wps:bodyPr>
                      </wps:wsp>
                      <wps:wsp>
                        <wps:cNvPr id="1390499072" name="Connecteur droit 12"/>
                        <wps:cNvCnPr>
                          <a:cxnSpLocks noChangeShapeType="1"/>
                        </wps:cNvCnPr>
                        <wps:spPr bwMode="auto">
                          <a:xfrm>
                            <a:off x="1029464" y="464280"/>
                            <a:ext cx="0" cy="685800"/>
                          </a:xfrm>
                          <a:prstGeom prst="line">
                            <a:avLst/>
                          </a:prstGeom>
                          <a:noFill/>
                          <a:ln w="38100" cmpd="dbl">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31982993" name="Connecteur droit 13"/>
                        <wps:cNvCnPr>
                          <a:cxnSpLocks noChangeShapeType="1"/>
                        </wps:cNvCnPr>
                        <wps:spPr bwMode="auto">
                          <a:xfrm>
                            <a:off x="1373536" y="283288"/>
                            <a:ext cx="800100" cy="0"/>
                          </a:xfrm>
                          <a:prstGeom prst="line">
                            <a:avLst/>
                          </a:prstGeom>
                          <a:noFill/>
                          <a:ln w="38100" cmpd="dbl">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cNvPr id="1587012721" name="Groupe 11"/>
                        <wpg:cNvGrpSpPr>
                          <a:grpSpLocks/>
                        </wpg:cNvGrpSpPr>
                        <wpg:grpSpPr bwMode="auto">
                          <a:xfrm>
                            <a:off x="3657600" y="665018"/>
                            <a:ext cx="228600" cy="987425"/>
                            <a:chOff x="4838" y="11874"/>
                            <a:chExt cx="360" cy="1555"/>
                          </a:xfrm>
                        </wpg:grpSpPr>
                        <wps:wsp>
                          <wps:cNvPr id="593726398" name="Line 7"/>
                          <wps:cNvCnPr>
                            <a:cxnSpLocks noChangeShapeType="1"/>
                          </wps:cNvCnPr>
                          <wps:spPr bwMode="auto">
                            <a:xfrm>
                              <a:off x="4838" y="11874"/>
                              <a:ext cx="0" cy="15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88206527" name="Line 8"/>
                          <wps:cNvCnPr>
                            <a:cxnSpLocks noChangeShapeType="1"/>
                          </wps:cNvCnPr>
                          <wps:spPr bwMode="auto">
                            <a:xfrm>
                              <a:off x="5198" y="11874"/>
                              <a:ext cx="0" cy="15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63273399" name="Line 9"/>
                          <wps:cNvCnPr>
                            <a:cxnSpLocks noChangeShapeType="1"/>
                          </wps:cNvCnPr>
                          <wps:spPr bwMode="auto">
                            <a:xfrm>
                              <a:off x="4838" y="13429"/>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193593799" name="Zone de texte 14"/>
                        <wps:cNvSpPr txBox="1">
                          <a:spLocks noChangeArrowheads="1"/>
                        </wps:cNvSpPr>
                        <wps:spPr bwMode="auto">
                          <a:xfrm>
                            <a:off x="3774956" y="183083"/>
                            <a:ext cx="914400" cy="441960"/>
                          </a:xfrm>
                          <a:prstGeom prst="rect">
                            <a:avLst/>
                          </a:prstGeom>
                          <a:solidFill>
                            <a:srgbClr val="FFFFFF"/>
                          </a:solidFill>
                          <a:ln w="9525">
                            <a:solidFill>
                              <a:srgbClr val="000000"/>
                            </a:solidFill>
                            <a:miter lim="800000"/>
                            <a:headEnd/>
                            <a:tailEnd/>
                          </a:ln>
                        </wps:spPr>
                        <wps:txbx>
                          <w:txbxContent>
                            <w:p w14:paraId="0DDE2CD1" w14:textId="77777777" w:rsidR="006F72B3" w:rsidRPr="00684647" w:rsidRDefault="006F72B3" w:rsidP="00684647">
                              <w:pPr>
                                <w:spacing w:after="0" w:line="240" w:lineRule="auto"/>
                                <w:rPr>
                                  <w:rFonts w:ascii="Times New Roman" w:hAnsi="Times New Roman"/>
                                  <w:sz w:val="20"/>
                                </w:rPr>
                              </w:pPr>
                              <w:r w:rsidRPr="00684647">
                                <w:rPr>
                                  <w:rFonts w:ascii="Times New Roman" w:hAnsi="Times New Roman"/>
                                  <w:sz w:val="20"/>
                                </w:rPr>
                                <w:t xml:space="preserve">Latrines, </w:t>
                              </w:r>
                            </w:p>
                            <w:p w14:paraId="1F69FE1B" w14:textId="77777777" w:rsidR="006F72B3" w:rsidRPr="00684647" w:rsidRDefault="006F72B3" w:rsidP="00684647">
                              <w:pPr>
                                <w:spacing w:after="0" w:line="240" w:lineRule="auto"/>
                                <w:rPr>
                                  <w:rFonts w:ascii="Times New Roman" w:hAnsi="Times New Roman"/>
                                </w:rPr>
                              </w:pPr>
                              <w:r w:rsidRPr="00684647">
                                <w:rPr>
                                  <w:rFonts w:ascii="Times New Roman" w:hAnsi="Times New Roman"/>
                                  <w:sz w:val="20"/>
                                </w:rPr>
                                <w:t>Puisards</w:t>
                              </w:r>
                            </w:p>
                          </w:txbxContent>
                        </wps:txbx>
                        <wps:bodyPr rot="0" vert="horz" wrap="square" lIns="91440" tIns="45720" rIns="91440" bIns="45720" anchor="t" anchorCtr="0" upright="1">
                          <a:noAutofit/>
                        </wps:bodyPr>
                      </wps:wsp>
                      <wpg:grpSp>
                        <wpg:cNvPr id="334576790" name="Groupe 10"/>
                        <wpg:cNvGrpSpPr>
                          <a:grpSpLocks/>
                        </wpg:cNvGrpSpPr>
                        <wpg:grpSpPr bwMode="auto">
                          <a:xfrm>
                            <a:off x="3886149" y="665018"/>
                            <a:ext cx="800100" cy="756285"/>
                            <a:chOff x="5738" y="11874"/>
                            <a:chExt cx="1260" cy="1191"/>
                          </a:xfrm>
                        </wpg:grpSpPr>
                        <wps:wsp>
                          <wps:cNvPr id="2037008373" name="Line 12"/>
                          <wps:cNvCnPr>
                            <a:cxnSpLocks noChangeShapeType="1"/>
                          </wps:cNvCnPr>
                          <wps:spPr bwMode="auto">
                            <a:xfrm>
                              <a:off x="6098" y="11874"/>
                              <a:ext cx="0" cy="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82597411" name="Line 13"/>
                          <wps:cNvCnPr>
                            <a:cxnSpLocks noChangeShapeType="1"/>
                          </wps:cNvCnPr>
                          <wps:spPr bwMode="auto">
                            <a:xfrm>
                              <a:off x="6638" y="11874"/>
                              <a:ext cx="0" cy="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031257" name="Line 14"/>
                          <wps:cNvCnPr>
                            <a:cxnSpLocks noChangeShapeType="1"/>
                          </wps:cNvCnPr>
                          <wps:spPr bwMode="auto">
                            <a:xfrm>
                              <a:off x="6098" y="12705"/>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2379030" name="Freeform 15"/>
                          <wps:cNvSpPr>
                            <a:spLocks/>
                          </wps:cNvSpPr>
                          <wps:spPr bwMode="auto">
                            <a:xfrm>
                              <a:off x="6098" y="12211"/>
                              <a:ext cx="540" cy="360"/>
                            </a:xfrm>
                            <a:custGeom>
                              <a:avLst/>
                              <a:gdLst>
                                <a:gd name="T0" fmla="*/ 0 w 559"/>
                                <a:gd name="T1" fmla="*/ 135 h 255"/>
                                <a:gd name="T2" fmla="*/ 120 w 559"/>
                                <a:gd name="T3" fmla="*/ 15 h 255"/>
                                <a:gd name="T4" fmla="*/ 180 w 559"/>
                                <a:gd name="T5" fmla="*/ 90 h 255"/>
                                <a:gd name="T6" fmla="*/ 330 w 559"/>
                                <a:gd name="T7" fmla="*/ 210 h 255"/>
                                <a:gd name="T8" fmla="*/ 525 w 559"/>
                                <a:gd name="T9" fmla="*/ 105 h 255"/>
                                <a:gd name="T10" fmla="*/ 555 w 559"/>
                                <a:gd name="T11" fmla="*/ 150 h 255"/>
                                <a:gd name="T12" fmla="*/ 540 w 559"/>
                                <a:gd name="T13" fmla="*/ 255 h 255"/>
                              </a:gdLst>
                              <a:ahLst/>
                              <a:cxnLst>
                                <a:cxn ang="0">
                                  <a:pos x="T0" y="T1"/>
                                </a:cxn>
                                <a:cxn ang="0">
                                  <a:pos x="T2" y="T3"/>
                                </a:cxn>
                                <a:cxn ang="0">
                                  <a:pos x="T4" y="T5"/>
                                </a:cxn>
                                <a:cxn ang="0">
                                  <a:pos x="T6" y="T7"/>
                                </a:cxn>
                                <a:cxn ang="0">
                                  <a:pos x="T8" y="T9"/>
                                </a:cxn>
                                <a:cxn ang="0">
                                  <a:pos x="T10" y="T11"/>
                                </a:cxn>
                                <a:cxn ang="0">
                                  <a:pos x="T12" y="T13"/>
                                </a:cxn>
                              </a:cxnLst>
                              <a:rect l="0" t="0" r="r" b="b"/>
                              <a:pathLst>
                                <a:path w="559" h="255">
                                  <a:moveTo>
                                    <a:pt x="0" y="135"/>
                                  </a:moveTo>
                                  <a:cubicBezTo>
                                    <a:pt x="35" y="83"/>
                                    <a:pt x="68" y="50"/>
                                    <a:pt x="120" y="15"/>
                                  </a:cubicBezTo>
                                  <a:cubicBezTo>
                                    <a:pt x="218" y="48"/>
                                    <a:pt x="117" y="0"/>
                                    <a:pt x="180" y="90"/>
                                  </a:cubicBezTo>
                                  <a:cubicBezTo>
                                    <a:pt x="237" y="171"/>
                                    <a:pt x="258" y="174"/>
                                    <a:pt x="330" y="210"/>
                                  </a:cubicBezTo>
                                  <a:cubicBezTo>
                                    <a:pt x="398" y="176"/>
                                    <a:pt x="453" y="129"/>
                                    <a:pt x="525" y="105"/>
                                  </a:cubicBezTo>
                                  <a:cubicBezTo>
                                    <a:pt x="535" y="120"/>
                                    <a:pt x="553" y="132"/>
                                    <a:pt x="555" y="150"/>
                                  </a:cubicBezTo>
                                  <a:cubicBezTo>
                                    <a:pt x="559" y="185"/>
                                    <a:pt x="540" y="255"/>
                                    <a:pt x="540" y="25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7196433" name="Line 16"/>
                          <wps:cNvCnPr>
                            <a:cxnSpLocks noChangeShapeType="1"/>
                          </wps:cNvCnPr>
                          <wps:spPr bwMode="auto">
                            <a:xfrm flipH="1">
                              <a:off x="5738" y="12705"/>
                              <a:ext cx="360" cy="36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27108947" name="Line 17"/>
                          <wps:cNvCnPr>
                            <a:cxnSpLocks noChangeShapeType="1"/>
                          </wps:cNvCnPr>
                          <wps:spPr bwMode="auto">
                            <a:xfrm flipH="1">
                              <a:off x="5738" y="12368"/>
                              <a:ext cx="360" cy="36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08799037" name="Line 18"/>
                          <wps:cNvCnPr>
                            <a:cxnSpLocks noChangeShapeType="1"/>
                          </wps:cNvCnPr>
                          <wps:spPr bwMode="auto">
                            <a:xfrm>
                              <a:off x="6458" y="12705"/>
                              <a:ext cx="0" cy="36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099076984" name="Line 19"/>
                          <wps:cNvCnPr>
                            <a:cxnSpLocks noChangeShapeType="1"/>
                          </wps:cNvCnPr>
                          <wps:spPr bwMode="auto">
                            <a:xfrm>
                              <a:off x="6638" y="12368"/>
                              <a:ext cx="360" cy="18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913943869" name="Line 20"/>
                          <wps:cNvCnPr>
                            <a:cxnSpLocks noChangeShapeType="1"/>
                          </wps:cNvCnPr>
                          <wps:spPr bwMode="auto">
                            <a:xfrm>
                              <a:off x="6638" y="12705"/>
                              <a:ext cx="360" cy="18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s:wsp>
                        <wps:cNvPr id="1061222995" name="Connecteur droit 7"/>
                        <wps:cNvCnPr>
                          <a:cxnSpLocks noChangeShapeType="1"/>
                        </wps:cNvCnPr>
                        <wps:spPr bwMode="auto">
                          <a:xfrm>
                            <a:off x="117356" y="982667"/>
                            <a:ext cx="1600200" cy="0"/>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561187736" name="Connecteur droit 4"/>
                        <wps:cNvCnPr>
                          <a:cxnSpLocks noChangeShapeType="1"/>
                        </wps:cNvCnPr>
                        <wps:spPr bwMode="auto">
                          <a:xfrm>
                            <a:off x="229822" y="1100023"/>
                            <a:ext cx="914400" cy="635"/>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1098426367" name="Connecteur droit 3"/>
                        <wps:cNvCnPr>
                          <a:cxnSpLocks noChangeShapeType="1"/>
                        </wps:cNvCnPr>
                        <wps:spPr bwMode="auto">
                          <a:xfrm flipH="1">
                            <a:off x="459645" y="1212490"/>
                            <a:ext cx="228600" cy="0"/>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1512908757" name="Connecteur droit 8"/>
                        <wps:cNvCnPr>
                          <a:cxnSpLocks noChangeShapeType="1"/>
                        </wps:cNvCnPr>
                        <wps:spPr bwMode="auto">
                          <a:xfrm>
                            <a:off x="2973022" y="982667"/>
                            <a:ext cx="1600200" cy="0"/>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100513241" name="Connecteur droit 5"/>
                        <wps:cNvCnPr>
                          <a:cxnSpLocks noChangeShapeType="1"/>
                        </wps:cNvCnPr>
                        <wps:spPr bwMode="auto">
                          <a:xfrm>
                            <a:off x="3315311" y="1100023"/>
                            <a:ext cx="914400" cy="635"/>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g:wgp>
                  </a:graphicData>
                </a:graphic>
                <wp14:sizeRelV relativeFrom="margin">
                  <wp14:pctHeight>0</wp14:pctHeight>
                </wp14:sizeRelV>
              </wp:anchor>
            </w:drawing>
          </mc:Choice>
          <mc:Fallback>
            <w:pict>
              <v:group w14:anchorId="0A31DA28" id="Groupe 95" o:spid="_x0000_s1089" style="position:absolute;left:0;text-align:left;margin-left:8.9pt;margin-top:10.7pt;width:450.1pt;height:153.1pt;z-index:251688448;mso-height-relative:margin" coordsize="57162,16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">
                <v:line id="Connecteur droit 9" o:spid="_x0000_s1090" style="position:absolute;visibility:visible;mso-wrap-style:square" from="2298,6495" to="57162,6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"/>
                <v:shape id="Zone de texte 15" o:spid="_x0000_s1091" type="#_x0000_t202" style="position:absolute;width:14859;height:6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">
                  <v:textbox>
                    <w:txbxContent>
                      <w:p w14:paraId="2C7489FB" w14:textId="77777777" w:rsidR="006F72B3" w:rsidRPr="00551DAB" w:rsidRDefault="006F72B3" w:rsidP="006F72B3">
                        <w:pPr>
                          <w:pStyle w:val="Table"/>
                          <w:spacing w:before="0" w:after="0" w:line="240" w:lineRule="auto"/>
                          <w:rPr>
                            <w:szCs w:val="22"/>
                            <w:lang w:val="fr-FR" w:eastAsia="fr-FR"/>
                          </w:rPr>
                        </w:pPr>
                        <w:r w:rsidRPr="00551DAB">
                          <w:rPr>
                            <w:szCs w:val="22"/>
                            <w:lang w:val="fr-FR" w:eastAsia="fr-FR"/>
                          </w:rPr>
                          <w:t>Rejets liquides et solides sur ou dans le sol</w:t>
                        </w:r>
                      </w:p>
                    </w:txbxContent>
                  </v:textbox>
                </v:shape>
                <v:line id="Connecteur droit 12" o:spid="_x0000_s1092" style="position:absolute;visibility:visible;mso-wrap-style:square" from="10294,4642" to="10294,11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" strokecolor="red" strokeweight="3pt">
                  <v:stroke endarrow="block" linestyle="thinThin"/>
                </v:line>
                <v:line id="Connecteur droit 13" o:spid="_x0000_s1093" style="position:absolute;visibility:visible;mso-wrap-style:square" from="13735,2832" to="21736,2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" strokecolor="red" strokeweight="3pt">
                  <v:stroke endarrow="block" linestyle="thinThin"/>
                </v:line>
                <v:group id="Groupe 11" o:spid="_x0000_s1094" style="position:absolute;left:36576;top:6650;width:2286;height:9874" coordorigin="4838,11874" coordsize="360,1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">
                  <v:line id="Line 7" o:spid="_x0000_s1095" style="position:absolute;visibility:visible;mso-wrap-style:square" from="4838,11874" to="4838,1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"/>
                  <v:line id="Line 8" o:spid="_x0000_s1096" style="position:absolute;visibility:visible;mso-wrap-style:square" from="5198,11874" to="5198,1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"/>
                  <v:line id="Line 9" o:spid="_x0000_s1097" style="position:absolute;visibility:visible;mso-wrap-style:square" from="4838,13429" to="5198,1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"/>
                </v:group>
                <v:shape id="Zone de texte 14" o:spid="_x0000_s1098" type="#_x0000_t202" style="position:absolute;left:37749;top:1830;width:9144;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">
                  <v:textbox>
                    <w:txbxContent>
                      <w:p w14:paraId="0DDE2CD1" w14:textId="77777777" w:rsidR="006F72B3" w:rsidRPr="00684647" w:rsidRDefault="006F72B3" w:rsidP="00684647">
                        <w:pPr>
                          <w:spacing w:after="0" w:line="240" w:lineRule="auto"/>
                          <w:rPr>
                            <w:rFonts w:ascii="Times New Roman" w:hAnsi="Times New Roman"/>
                            <w:sz w:val="20"/>
                          </w:rPr>
                        </w:pPr>
                        <w:r w:rsidRPr="00684647">
                          <w:rPr>
                            <w:rFonts w:ascii="Times New Roman" w:hAnsi="Times New Roman"/>
                            <w:sz w:val="20"/>
                          </w:rPr>
                          <w:t xml:space="preserve">Latrines, </w:t>
                        </w:r>
                      </w:p>
                      <w:p w14:paraId="1F69FE1B" w14:textId="77777777" w:rsidR="006F72B3" w:rsidRPr="00684647" w:rsidRDefault="006F72B3" w:rsidP="00684647">
                        <w:pPr>
                          <w:spacing w:after="0" w:line="240" w:lineRule="auto"/>
                          <w:rPr>
                            <w:rFonts w:ascii="Times New Roman" w:hAnsi="Times New Roman"/>
                          </w:rPr>
                        </w:pPr>
                        <w:r w:rsidRPr="00684647">
                          <w:rPr>
                            <w:rFonts w:ascii="Times New Roman" w:hAnsi="Times New Roman"/>
                            <w:sz w:val="20"/>
                          </w:rPr>
                          <w:t>Puisards</w:t>
                        </w:r>
                      </w:p>
                    </w:txbxContent>
                  </v:textbox>
                </v:shape>
                <v:group id="Groupe 10" o:spid="_x0000_s1099" style="position:absolute;left:38861;top:6650;width:8001;height:7563" coordorigin="5738,11874" coordsize="1260,1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">
                  <v:line id="Line 12" o:spid="_x0000_s1100" style="position:absolute;visibility:visible;mso-wrap-style:square" from="6098,11874" to="6098,12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"/>
                  <v:line id="Line 13" o:spid="_x0000_s1101" style="position:absolute;visibility:visible;mso-wrap-style:square" from="6638,11874" to="6638,12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"/>
                  <v:line id="Line 14" o:spid="_x0000_s1102" style="position:absolute;visibility:visible;mso-wrap-style:square" from="6098,12705" to="6638,12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"/>
                  <v:shape id="Freeform 15" o:spid="_x0000_s1103" style="position:absolute;left:6098;top:12211;width:540;height:360;visibility:visible;mso-wrap-style:square;v-text-anchor:top" coordsize="559,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" path="m,135c35,83,68,50,120,15,218,48,117,,180,90v57,81,78,84,150,120c398,176,453,129,525,105v10,15,28,27,30,45c559,185,540,255,540,255e" filled="f">
                    <v:path arrowok="t" o:connecttype="custom" o:connectlocs="0,191;116,21;174,127;319,296;507,148;536,212;522,360" o:connectangles="0,0,0,0,0,0,0"/>
                  </v:shape>
                  <v:line id="Line 16" o:spid="_x0000_s1104" style="position:absolute;flip:x;visibility:visible;mso-wrap-style:square" from="5738,12705" to="6098,13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" strokecolor="red">
                    <v:stroke endarrow="block"/>
                  </v:line>
                  <v:line id="Line 17" o:spid="_x0000_s1105" style="position:absolute;flip:x;visibility:visible;mso-wrap-style:square" from="5738,12368" to="6098,12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" strokecolor="red">
                    <v:stroke endarrow="block"/>
                  </v:line>
                  <v:line id="Line 18" o:spid="_x0000_s1106" style="position:absolute;visibility:visible;mso-wrap-style:square" from="6458,12705" to="6458,13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" strokecolor="red">
                    <v:stroke endarrow="block"/>
                  </v:line>
                  <v:line id="Line 19" o:spid="_x0000_s1107" style="position:absolute;visibility:visible;mso-wrap-style:square" from="6638,12368" to="6998,12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" strokecolor="red">
                    <v:stroke endarrow="block"/>
                  </v:line>
                  <v:line id="Line 20" o:spid="_x0000_s1108" style="position:absolute;visibility:visible;mso-wrap-style:square" from="6638,12705" to="6998,12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" strokecolor="red">
                    <v:stroke endarrow="block"/>
                  </v:line>
                </v:group>
                <v:line id="Connecteur droit 7" o:spid="_x0000_s1109" style="position:absolute;visibility:visible;mso-wrap-style:square" from="1173,9826" to="17175,9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" strokecolor="blue"/>
                <v:line id="Connecteur droit 4" o:spid="_x0000_s1110" style="position:absolute;visibility:visible;mso-wrap-style:square" from="2298,11000" to="11442,11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" strokecolor="blue"/>
                <v:line id="Connecteur droit 3" o:spid="_x0000_s1111" style="position:absolute;flip:x;visibility:visible;mso-wrap-style:square" from="4596,12124" to="6882,12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" strokecolor="blue"/>
                <v:line id="Connecteur droit 8" o:spid="_x0000_s1112" style="position:absolute;visibility:visible;mso-wrap-style:square" from="29730,9826" to="45732,9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" strokecolor="blue"/>
                <v:line id="Connecteur droit 5" o:spid="_x0000_s1113" style="position:absolute;visibility:visible;mso-wrap-style:square" from="33153,11000" to="42297,11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" strokecolor="blue"/>
              </v:group>
            </w:pict>
          </mc:Fallback>
        </mc:AlternateContent>
      </w:r>
    </w:p>
    <w:p w14:paraId="14404988" w14:textId="77777777" w:rsidR="006F72B3" w:rsidRPr="007C5A6E" w:rsidRDefault="006F72B3" w:rsidP="009C4C26">
      <w:pPr>
        <w:spacing w:after="0" w:line="240" w:lineRule="auto"/>
        <w:jc w:val="both"/>
        <w:rPr>
          <w:rFonts w:ascii="Times New Roman" w:hAnsi="Times New Roman"/>
          <w:sz w:val="20"/>
        </w:rPr>
      </w:pPr>
      <w:r w:rsidRPr="007C5A6E">
        <w:rPr>
          <w:rFonts w:ascii="Times New Roman" w:hAnsi="Times New Roman"/>
        </w:rPr>
        <w:t xml:space="preserve">                                              </w:t>
      </w:r>
      <w:r w:rsidRPr="007C5A6E">
        <w:rPr>
          <w:rFonts w:ascii="Times New Roman" w:hAnsi="Times New Roman"/>
          <w:sz w:val="20"/>
        </w:rPr>
        <w:t>Transport vers cours d’eau, lacs d’eau de surface</w:t>
      </w:r>
    </w:p>
    <w:p w14:paraId="0151AA5F" w14:textId="77777777" w:rsidR="006F72B3" w:rsidRPr="007C5A6E" w:rsidRDefault="006F72B3" w:rsidP="009C4C26">
      <w:pPr>
        <w:spacing w:after="0" w:line="240" w:lineRule="auto"/>
        <w:jc w:val="both"/>
        <w:rPr>
          <w:rFonts w:ascii="Times New Roman" w:hAnsi="Times New Roman"/>
          <w:sz w:val="20"/>
        </w:rPr>
      </w:pPr>
    </w:p>
    <w:p w14:paraId="3501A853" w14:textId="77777777" w:rsidR="006F72B3" w:rsidRPr="007C5A6E" w:rsidRDefault="006F72B3" w:rsidP="009C4C26">
      <w:pPr>
        <w:spacing w:after="0" w:line="240" w:lineRule="auto"/>
        <w:jc w:val="both"/>
        <w:rPr>
          <w:rFonts w:ascii="Times New Roman" w:hAnsi="Times New Roman"/>
          <w:sz w:val="20"/>
        </w:rPr>
      </w:pPr>
      <w:r w:rsidRPr="007C5A6E">
        <w:rPr>
          <w:rFonts w:ascii="Times New Roman" w:hAnsi="Times New Roman"/>
        </w:rPr>
        <w:tab/>
      </w:r>
      <w:r w:rsidRPr="007C5A6E">
        <w:rPr>
          <w:rFonts w:ascii="Times New Roman" w:hAnsi="Times New Roman"/>
        </w:rPr>
        <w:tab/>
      </w:r>
      <w:r w:rsidRPr="007C5A6E">
        <w:rPr>
          <w:rFonts w:ascii="Times New Roman" w:hAnsi="Times New Roman"/>
        </w:rPr>
        <w:tab/>
      </w:r>
      <w:r w:rsidRPr="007C5A6E">
        <w:rPr>
          <w:rFonts w:ascii="Times New Roman" w:hAnsi="Times New Roman"/>
        </w:rPr>
        <w:tab/>
      </w:r>
      <w:r w:rsidRPr="007C5A6E">
        <w:rPr>
          <w:rFonts w:ascii="Times New Roman" w:hAnsi="Times New Roman"/>
          <w:sz w:val="20"/>
        </w:rPr>
        <w:t>(Vents et ruissellements)</w:t>
      </w:r>
    </w:p>
    <w:p w14:paraId="1BA33945" w14:textId="77777777" w:rsidR="006F72B3" w:rsidRPr="007C5A6E" w:rsidRDefault="006F72B3" w:rsidP="009C4C26">
      <w:pPr>
        <w:spacing w:after="0" w:line="240" w:lineRule="auto"/>
        <w:jc w:val="both"/>
        <w:rPr>
          <w:rFonts w:ascii="Times New Roman" w:hAnsi="Times New Roman"/>
        </w:rPr>
      </w:pPr>
    </w:p>
    <w:p w14:paraId="5FD8C51F" w14:textId="77777777" w:rsidR="006F72B3" w:rsidRPr="007C5A6E" w:rsidRDefault="006F72B3" w:rsidP="009C4C26">
      <w:pPr>
        <w:spacing w:after="0" w:line="240" w:lineRule="auto"/>
        <w:jc w:val="both"/>
        <w:rPr>
          <w:rFonts w:ascii="Times New Roman" w:hAnsi="Times New Roman"/>
        </w:rPr>
      </w:pPr>
    </w:p>
    <w:p w14:paraId="1A0F2F89" w14:textId="77777777" w:rsidR="006F72B3" w:rsidRPr="007C5A6E" w:rsidRDefault="006F72B3" w:rsidP="009C4C26">
      <w:pPr>
        <w:spacing w:after="0" w:line="240" w:lineRule="auto"/>
        <w:jc w:val="both"/>
        <w:rPr>
          <w:rFonts w:ascii="Times New Roman" w:hAnsi="Times New Roman"/>
          <w:sz w:val="20"/>
        </w:rPr>
      </w:pPr>
      <w:r w:rsidRPr="007C5A6E">
        <w:rPr>
          <w:rFonts w:ascii="Times New Roman" w:hAnsi="Times New Roman"/>
          <w:sz w:val="20"/>
        </w:rPr>
        <w:t xml:space="preserve">Dissolution, percolation, diffusion </w:t>
      </w:r>
    </w:p>
    <w:p w14:paraId="539F60E7" w14:textId="77777777" w:rsidR="006F72B3" w:rsidRPr="007C5A6E" w:rsidRDefault="006F72B3" w:rsidP="009C4C26">
      <w:pPr>
        <w:spacing w:after="0" w:line="240" w:lineRule="auto"/>
        <w:jc w:val="both"/>
        <w:rPr>
          <w:rFonts w:ascii="Times New Roman" w:hAnsi="Times New Roman"/>
          <w:sz w:val="20"/>
        </w:rPr>
      </w:pPr>
      <w:r w:rsidRPr="007C5A6E">
        <w:rPr>
          <w:rFonts w:ascii="Times New Roman" w:hAnsi="Times New Roman"/>
          <w:sz w:val="20"/>
        </w:rPr>
        <w:t>NS</w:t>
      </w:r>
    </w:p>
    <w:p w14:paraId="2455585C" w14:textId="77777777" w:rsidR="006F72B3" w:rsidRPr="007C5A6E" w:rsidRDefault="006F72B3" w:rsidP="009C4C26">
      <w:pPr>
        <w:spacing w:after="0" w:line="240" w:lineRule="auto"/>
        <w:jc w:val="both"/>
        <w:rPr>
          <w:rFonts w:ascii="Times New Roman" w:hAnsi="Times New Roman"/>
        </w:rPr>
      </w:pPr>
      <w:r w:rsidRPr="007C5A6E">
        <w:rPr>
          <w:rFonts w:ascii="Times New Roman" w:hAnsi="Times New Roman"/>
          <w:noProof/>
          <w:sz w:val="20"/>
        </w:rPr>
        <mc:AlternateContent>
          <mc:Choice Requires="wps">
            <w:drawing>
              <wp:anchor distT="0" distB="0" distL="114300" distR="114300" simplePos="0" relativeHeight="251689472" behindDoc="0" locked="0" layoutInCell="1" allowOverlap="1" wp14:anchorId="2E4E1BE6" wp14:editId="0591056C">
                <wp:simplePos x="0" y="0"/>
                <wp:positionH relativeFrom="column">
                  <wp:posOffset>3771900</wp:posOffset>
                </wp:positionH>
                <wp:positionV relativeFrom="paragraph">
                  <wp:posOffset>132715</wp:posOffset>
                </wp:positionV>
                <wp:extent cx="228600" cy="0"/>
                <wp:effectExtent l="5080" t="8890" r="13970" b="10160"/>
                <wp:wrapNone/>
                <wp:docPr id="1023791405" name="Connecteur droit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019F43" id="Connecteur droit 6" o:spid="_x0000_s1026" style="position:absolute;flip:x;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pt,10.45pt" to="31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" strokecolor="blue"/>
            </w:pict>
          </mc:Fallback>
        </mc:AlternateContent>
      </w:r>
      <w:r w:rsidRPr="007C5A6E">
        <w:rPr>
          <w:rFonts w:ascii="Times New Roman" w:hAnsi="Times New Roman"/>
        </w:rPr>
        <w:tab/>
      </w:r>
      <w:r w:rsidRPr="007C5A6E">
        <w:rPr>
          <w:rFonts w:ascii="Times New Roman" w:hAnsi="Times New Roman"/>
        </w:rPr>
        <w:tab/>
      </w:r>
      <w:r w:rsidRPr="007C5A6E">
        <w:rPr>
          <w:rFonts w:ascii="Times New Roman" w:hAnsi="Times New Roman"/>
        </w:rPr>
        <w:tab/>
      </w:r>
      <w:r w:rsidRPr="007C5A6E">
        <w:rPr>
          <w:rFonts w:ascii="Times New Roman" w:hAnsi="Times New Roman"/>
        </w:rPr>
        <w:tab/>
      </w:r>
      <w:r w:rsidRPr="007C5A6E">
        <w:rPr>
          <w:rFonts w:ascii="Times New Roman" w:hAnsi="Times New Roman"/>
        </w:rPr>
        <w:tab/>
      </w:r>
      <w:r w:rsidRPr="007C5A6E">
        <w:rPr>
          <w:rFonts w:ascii="Times New Roman" w:hAnsi="Times New Roman"/>
        </w:rPr>
        <w:tab/>
      </w:r>
    </w:p>
    <w:p w14:paraId="792B7E1C" w14:textId="77777777" w:rsidR="006F72B3" w:rsidRPr="007C5A6E" w:rsidRDefault="006F72B3" w:rsidP="009C4C26">
      <w:pPr>
        <w:spacing w:after="0" w:line="240" w:lineRule="auto"/>
        <w:jc w:val="both"/>
        <w:rPr>
          <w:rFonts w:ascii="Times New Roman" w:hAnsi="Times New Roman"/>
          <w:sz w:val="20"/>
        </w:rPr>
      </w:pPr>
    </w:p>
    <w:p w14:paraId="1491FD53" w14:textId="77777777" w:rsidR="006F72B3" w:rsidRPr="007C5A6E" w:rsidRDefault="006F72B3" w:rsidP="009C4C26">
      <w:pPr>
        <w:spacing w:after="0" w:line="240" w:lineRule="auto"/>
        <w:ind w:left="5664" w:firstLine="708"/>
        <w:jc w:val="both"/>
        <w:rPr>
          <w:rFonts w:ascii="Times New Roman" w:hAnsi="Times New Roman"/>
          <w:sz w:val="20"/>
        </w:rPr>
      </w:pPr>
      <w:r w:rsidRPr="007C5A6E">
        <w:rPr>
          <w:rFonts w:ascii="Times New Roman" w:hAnsi="Times New Roman"/>
          <w:sz w:val="20"/>
        </w:rPr>
        <w:t>Pollution bactérienne…</w:t>
      </w:r>
    </w:p>
    <w:p w14:paraId="30DD2FBB" w14:textId="77777777" w:rsidR="00684647" w:rsidRPr="007C5A6E" w:rsidRDefault="00684647" w:rsidP="009C4C26">
      <w:pPr>
        <w:tabs>
          <w:tab w:val="left" w:pos="1134"/>
        </w:tabs>
        <w:spacing w:after="0" w:line="250" w:lineRule="atLeast"/>
        <w:ind w:left="1134" w:hanging="1134"/>
        <w:rPr>
          <w:rFonts w:ascii="Times New Roman" w:hAnsi="Times New Roman"/>
          <w:i/>
          <w:sz w:val="24"/>
          <w:szCs w:val="24"/>
          <w:lang w:eastAsia="da-DK"/>
        </w:rPr>
      </w:pPr>
      <w:bookmarkStart w:id="313" w:name="_Toc182605877"/>
    </w:p>
    <w:p w14:paraId="43079849" w14:textId="77777777" w:rsidR="00684647" w:rsidRPr="007C5A6E" w:rsidRDefault="00684647" w:rsidP="009C4C26">
      <w:pPr>
        <w:tabs>
          <w:tab w:val="left" w:pos="1134"/>
        </w:tabs>
        <w:spacing w:after="0" w:line="250" w:lineRule="atLeast"/>
        <w:ind w:left="1134" w:hanging="1134"/>
        <w:rPr>
          <w:rFonts w:ascii="Times New Roman" w:hAnsi="Times New Roman"/>
          <w:i/>
          <w:sz w:val="24"/>
          <w:szCs w:val="24"/>
          <w:lang w:eastAsia="da-DK"/>
        </w:rPr>
      </w:pPr>
    </w:p>
    <w:p w14:paraId="1E063F50" w14:textId="1700804A" w:rsidR="00684647" w:rsidRPr="007C5A6E" w:rsidRDefault="003C07DE" w:rsidP="009C4C26">
      <w:pPr>
        <w:tabs>
          <w:tab w:val="left" w:pos="1134"/>
        </w:tabs>
        <w:spacing w:after="0" w:line="250" w:lineRule="atLeast"/>
        <w:ind w:left="1134" w:hanging="1134"/>
        <w:rPr>
          <w:rFonts w:ascii="Times New Roman" w:hAnsi="Times New Roman"/>
          <w:i/>
          <w:sz w:val="20"/>
          <w:szCs w:val="20"/>
          <w:lang w:eastAsia="da-DK"/>
        </w:rPr>
      </w:pPr>
      <w:r w:rsidRPr="007C5A6E">
        <w:rPr>
          <w:rFonts w:ascii="Times New Roman" w:hAnsi="Times New Roman"/>
          <w:i/>
          <w:sz w:val="20"/>
          <w:szCs w:val="20"/>
          <w:lang w:eastAsia="da-DK"/>
        </w:rPr>
        <w:t>(</w:t>
      </w:r>
      <w:r w:rsidR="00684647" w:rsidRPr="007C5A6E">
        <w:rPr>
          <w:rFonts w:ascii="Times New Roman" w:hAnsi="Times New Roman"/>
          <w:iCs/>
          <w:sz w:val="20"/>
          <w:szCs w:val="20"/>
          <w:lang w:eastAsia="da-DK"/>
        </w:rPr>
        <w:t>Source : REEB-2</w:t>
      </w:r>
      <w:r w:rsidRPr="007C5A6E">
        <w:rPr>
          <w:rFonts w:ascii="Times New Roman" w:hAnsi="Times New Roman"/>
          <w:i/>
          <w:sz w:val="20"/>
          <w:szCs w:val="20"/>
          <w:lang w:eastAsia="da-DK"/>
        </w:rPr>
        <w:t>)</w:t>
      </w:r>
    </w:p>
    <w:p w14:paraId="3FB00416" w14:textId="4792055A" w:rsidR="006F72B3" w:rsidRPr="007C5A6E" w:rsidRDefault="006F72B3" w:rsidP="009C4C26">
      <w:pPr>
        <w:tabs>
          <w:tab w:val="left" w:pos="1134"/>
        </w:tabs>
        <w:spacing w:after="0" w:line="250" w:lineRule="atLeast"/>
        <w:ind w:left="1134" w:hanging="1134"/>
        <w:rPr>
          <w:rFonts w:eastAsia="Calibri" w:cs="Calibri"/>
          <w:i/>
          <w:sz w:val="20"/>
          <w:szCs w:val="20"/>
          <w:lang w:eastAsia="en-US"/>
        </w:rPr>
      </w:pPr>
      <w:bookmarkStart w:id="314" w:name="_Toc183230879"/>
      <w:bookmarkStart w:id="315" w:name="_Toc183240672"/>
      <w:bookmarkStart w:id="316" w:name="_Toc183340411"/>
      <w:r w:rsidRPr="007C5A6E">
        <w:rPr>
          <w:rFonts w:ascii="Times New Roman" w:hAnsi="Times New Roman"/>
          <w:i/>
          <w:sz w:val="24"/>
          <w:szCs w:val="24"/>
          <w:lang w:eastAsia="da-DK"/>
        </w:rPr>
        <w:t xml:space="preserve">Figure </w:t>
      </w:r>
      <w:r w:rsidRPr="007C5A6E">
        <w:rPr>
          <w:rFonts w:ascii="Times New Roman" w:hAnsi="Times New Roman"/>
          <w:i/>
          <w:sz w:val="24"/>
          <w:szCs w:val="24"/>
          <w:lang w:eastAsia="da-DK"/>
        </w:rPr>
        <w:fldChar w:fldCharType="begin"/>
      </w:r>
      <w:r w:rsidRPr="007C5A6E">
        <w:rPr>
          <w:rFonts w:ascii="Times New Roman" w:hAnsi="Times New Roman"/>
          <w:i/>
          <w:sz w:val="24"/>
          <w:szCs w:val="24"/>
          <w:lang w:eastAsia="da-DK"/>
        </w:rPr>
        <w:instrText xml:space="preserve"> SEQ Figure \* ARABIC </w:instrText>
      </w:r>
      <w:r w:rsidRPr="007C5A6E">
        <w:rPr>
          <w:rFonts w:ascii="Times New Roman" w:hAnsi="Times New Roman"/>
          <w:i/>
          <w:sz w:val="24"/>
          <w:szCs w:val="24"/>
          <w:lang w:eastAsia="da-DK"/>
        </w:rPr>
        <w:fldChar w:fldCharType="separate"/>
      </w:r>
      <w:r w:rsidR="00AE0C9D" w:rsidRPr="007C5A6E">
        <w:rPr>
          <w:rFonts w:ascii="Times New Roman" w:hAnsi="Times New Roman"/>
          <w:i/>
          <w:noProof/>
          <w:sz w:val="24"/>
          <w:szCs w:val="24"/>
          <w:lang w:eastAsia="da-DK"/>
        </w:rPr>
        <w:t>32</w:t>
      </w:r>
      <w:r w:rsidRPr="007C5A6E">
        <w:rPr>
          <w:rFonts w:ascii="Times New Roman" w:hAnsi="Times New Roman"/>
          <w:i/>
          <w:sz w:val="24"/>
          <w:szCs w:val="24"/>
          <w:lang w:eastAsia="da-DK"/>
        </w:rPr>
        <w:fldChar w:fldCharType="end"/>
      </w:r>
      <w:r w:rsidR="009513D0" w:rsidRPr="007C5A6E">
        <w:rPr>
          <w:rFonts w:ascii="Times New Roman" w:hAnsi="Times New Roman"/>
          <w:i/>
          <w:sz w:val="24"/>
          <w:szCs w:val="24"/>
          <w:lang w:eastAsia="da-DK"/>
        </w:rPr>
        <w:t>.</w:t>
      </w:r>
      <w:r w:rsidRPr="007C5A6E">
        <w:rPr>
          <w:rFonts w:ascii="Times New Roman" w:hAnsi="Times New Roman"/>
          <w:i/>
          <w:sz w:val="24"/>
          <w:szCs w:val="24"/>
          <w:lang w:eastAsia="da-DK"/>
        </w:rPr>
        <w:t xml:space="preserve">  Mécanisme de transport des polluants</w:t>
      </w:r>
      <w:bookmarkEnd w:id="313"/>
      <w:bookmarkEnd w:id="314"/>
      <w:bookmarkEnd w:id="315"/>
      <w:bookmarkEnd w:id="316"/>
    </w:p>
    <w:p w14:paraId="5E999CE7" w14:textId="77777777" w:rsidR="006F72B3" w:rsidRPr="007C5A6E" w:rsidRDefault="006F72B3" w:rsidP="009C4C26">
      <w:pPr>
        <w:spacing w:after="0" w:line="240" w:lineRule="auto"/>
        <w:rPr>
          <w:rFonts w:ascii="Times New Roman" w:hAnsi="Times New Roman"/>
          <w:sz w:val="20"/>
          <w:szCs w:val="20"/>
        </w:rPr>
      </w:pPr>
      <w:r w:rsidRPr="007C5A6E">
        <w:rPr>
          <w:rFonts w:ascii="Times New Roman" w:hAnsi="Times New Roman"/>
          <w:sz w:val="20"/>
          <w:szCs w:val="20"/>
        </w:rPr>
        <w:t xml:space="preserve">NS : Niveau statique de la nappe phréatique </w:t>
      </w:r>
    </w:p>
    <w:p w14:paraId="46252CC0" w14:textId="77777777" w:rsidR="006F72B3" w:rsidRPr="007C5A6E" w:rsidRDefault="006F72B3" w:rsidP="009C4C26">
      <w:pPr>
        <w:spacing w:after="0" w:line="240" w:lineRule="auto"/>
        <w:jc w:val="both"/>
        <w:rPr>
          <w:rFonts w:ascii="Times New Roman" w:hAnsi="Times New Roman"/>
        </w:rPr>
        <w:sectPr w:rsidR="006F72B3" w:rsidRPr="007C5A6E" w:rsidSect="006514BA">
          <w:footerReference w:type="default" r:id="rId110"/>
          <w:pgSz w:w="11907" w:h="16840" w:code="9"/>
          <w:pgMar w:top="1191" w:right="1361" w:bottom="1191" w:left="1361" w:header="709" w:footer="709" w:gutter="0"/>
          <w:cols w:space="708"/>
          <w:titlePg/>
          <w:docGrid w:linePitch="360"/>
        </w:sectPr>
      </w:pPr>
    </w:p>
    <w:p w14:paraId="1B328BA2" w14:textId="1EB6B68F" w:rsidR="006F72B3" w:rsidRPr="007C5A6E" w:rsidRDefault="00275392" w:rsidP="006F72B3">
      <w:pPr>
        <w:spacing w:after="0" w:line="240" w:lineRule="auto"/>
        <w:jc w:val="both"/>
        <w:rPr>
          <w:rFonts w:ascii="Times New Roman" w:hAnsi="Times New Roman"/>
        </w:rPr>
      </w:pPr>
      <w:r w:rsidRPr="007C5A6E">
        <w:rPr>
          <w:rFonts w:ascii="Times New Roman" w:hAnsi="Times New Roman"/>
          <w:noProof/>
          <w14:ligatures w14:val="standardContextual"/>
        </w:rPr>
        <mc:AlternateContent>
          <mc:Choice Requires="wpg">
            <w:drawing>
              <wp:anchor distT="0" distB="0" distL="114300" distR="114300" simplePos="0" relativeHeight="251693568" behindDoc="0" locked="0" layoutInCell="1" allowOverlap="1" wp14:anchorId="1F3FFC94" wp14:editId="74EA1FBC">
                <wp:simplePos x="0" y="0"/>
                <wp:positionH relativeFrom="column">
                  <wp:posOffset>467051</wp:posOffset>
                </wp:positionH>
                <wp:positionV relativeFrom="paragraph">
                  <wp:posOffset>71635</wp:posOffset>
                </wp:positionV>
                <wp:extent cx="7190740" cy="3822357"/>
                <wp:effectExtent l="0" t="0" r="48260" b="26035"/>
                <wp:wrapNone/>
                <wp:docPr id="2106758989" name="Groupe 103"/>
                <wp:cNvGraphicFramePr/>
                <a:graphic xmlns:a="http://schemas.openxmlformats.org/drawingml/2006/main">
                  <a:graphicData uri="http://schemas.microsoft.com/office/word/2010/wordprocessingGroup">
                    <wpg:wgp>
                      <wpg:cNvGrpSpPr/>
                      <wpg:grpSpPr>
                        <a:xfrm>
                          <a:off x="0" y="0"/>
                          <a:ext cx="7190740" cy="3822357"/>
                          <a:chOff x="0" y="13799"/>
                          <a:chExt cx="7190740" cy="3603661"/>
                        </a:xfrm>
                      </wpg:grpSpPr>
                      <wpg:grpSp>
                        <wpg:cNvPr id="441382124" name="Groupe 97"/>
                        <wpg:cNvGrpSpPr/>
                        <wpg:grpSpPr>
                          <a:xfrm>
                            <a:off x="0" y="13799"/>
                            <a:ext cx="7190740" cy="3603661"/>
                            <a:chOff x="0" y="65636"/>
                            <a:chExt cx="7190968" cy="3489072"/>
                          </a:xfrm>
                        </wpg:grpSpPr>
                        <wpg:grpSp>
                          <wpg:cNvPr id="602064882" name="Groupe 35"/>
                          <wpg:cNvGrpSpPr>
                            <a:grpSpLocks/>
                          </wpg:cNvGrpSpPr>
                          <wpg:grpSpPr bwMode="auto">
                            <a:xfrm>
                              <a:off x="0" y="65636"/>
                              <a:ext cx="7190968" cy="3489072"/>
                              <a:chOff x="1058" y="1531"/>
                              <a:chExt cx="11880" cy="6007"/>
                            </a:xfrm>
                          </wpg:grpSpPr>
                          <wpg:grpSp>
                            <wpg:cNvPr id="450549632" name="Group 114"/>
                            <wpg:cNvGrpSpPr>
                              <a:grpSpLocks/>
                            </wpg:cNvGrpSpPr>
                            <wpg:grpSpPr bwMode="auto">
                              <a:xfrm>
                                <a:off x="7358" y="2858"/>
                                <a:ext cx="4500" cy="4500"/>
                                <a:chOff x="7358" y="2858"/>
                                <a:chExt cx="4500" cy="4500"/>
                              </a:xfrm>
                            </wpg:grpSpPr>
                            <wps:wsp>
                              <wps:cNvPr id="1180240283" name="Line 115"/>
                              <wps:cNvCnPr>
                                <a:cxnSpLocks noChangeShapeType="1"/>
                              </wps:cNvCnPr>
                              <wps:spPr bwMode="auto">
                                <a:xfrm>
                                  <a:off x="7366" y="2858"/>
                                  <a:ext cx="0" cy="4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6728052" name="Line 116"/>
                              <wps:cNvCnPr>
                                <a:cxnSpLocks noChangeShapeType="1"/>
                              </wps:cNvCnPr>
                              <wps:spPr bwMode="auto">
                                <a:xfrm>
                                  <a:off x="7358" y="7358"/>
                                  <a:ext cx="4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560211" name="Line 117"/>
                              <wps:cNvCnPr>
                                <a:cxnSpLocks noChangeShapeType="1"/>
                              </wps:cNvCnPr>
                              <wps:spPr bwMode="auto">
                                <a:xfrm flipV="1">
                                  <a:off x="11858" y="5378"/>
                                  <a:ext cx="0" cy="19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05748622" name="Line 118"/>
                              <wps:cNvCnPr>
                                <a:cxnSpLocks noChangeShapeType="1"/>
                              </wps:cNvCnPr>
                              <wps:spPr bwMode="auto">
                                <a:xfrm flipH="1">
                                  <a:off x="10598" y="5378"/>
                                  <a:ext cx="1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9648076" name="Line 119"/>
                              <wps:cNvCnPr>
                                <a:cxnSpLocks noChangeShapeType="1"/>
                              </wps:cNvCnPr>
                              <wps:spPr bwMode="auto">
                                <a:xfrm flipV="1">
                                  <a:off x="10598" y="2858"/>
                                  <a:ext cx="0" cy="25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30593" name="Line 120"/>
                              <wps:cNvCnPr>
                                <a:cxnSpLocks noChangeShapeType="1"/>
                              </wps:cNvCnPr>
                              <wps:spPr bwMode="auto">
                                <a:xfrm flipH="1">
                                  <a:off x="7358" y="2858"/>
                                  <a:ext cx="3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974328169" name="Group 121"/>
                            <wpg:cNvGrpSpPr>
                              <a:grpSpLocks/>
                            </wpg:cNvGrpSpPr>
                            <wpg:grpSpPr bwMode="auto">
                              <a:xfrm>
                                <a:off x="1058" y="1531"/>
                                <a:ext cx="11880" cy="6007"/>
                                <a:chOff x="1058" y="2071"/>
                                <a:chExt cx="11880" cy="6007"/>
                              </a:xfrm>
                            </wpg:grpSpPr>
                            <wpg:grpSp>
                              <wpg:cNvPr id="1613568522" name="Group 122"/>
                              <wpg:cNvGrpSpPr>
                                <a:grpSpLocks/>
                              </wpg:cNvGrpSpPr>
                              <wpg:grpSpPr bwMode="auto">
                                <a:xfrm>
                                  <a:off x="1238" y="3398"/>
                                  <a:ext cx="5040" cy="3060"/>
                                  <a:chOff x="1238" y="1058"/>
                                  <a:chExt cx="5040" cy="3060"/>
                                </a:xfrm>
                              </wpg:grpSpPr>
                              <wps:wsp>
                                <wps:cNvPr id="863957855" name="Text Box 123"/>
                                <wps:cNvSpPr txBox="1">
                                  <a:spLocks noChangeArrowheads="1"/>
                                </wps:cNvSpPr>
                                <wps:spPr bwMode="auto">
                                  <a:xfrm>
                                    <a:off x="2498" y="1058"/>
                                    <a:ext cx="1620" cy="720"/>
                                  </a:xfrm>
                                  <a:prstGeom prst="rect">
                                    <a:avLst/>
                                  </a:prstGeom>
                                  <a:solidFill>
                                    <a:srgbClr val="FFFFFF"/>
                                  </a:solidFill>
                                  <a:ln w="9525">
                                    <a:solidFill>
                                      <a:srgbClr val="000000"/>
                                    </a:solidFill>
                                    <a:miter lim="800000"/>
                                    <a:headEnd/>
                                    <a:tailEnd/>
                                  </a:ln>
                                </wps:spPr>
                                <wps:txbx>
                                  <w:txbxContent>
                                    <w:p w14:paraId="404623C8" w14:textId="77777777" w:rsidR="006F72B3" w:rsidRPr="00684647" w:rsidRDefault="006F72B3" w:rsidP="00275392">
                                      <w:pPr>
                                        <w:spacing w:after="0" w:line="240" w:lineRule="auto"/>
                                        <w:jc w:val="center"/>
                                        <w:rPr>
                                          <w:rFonts w:ascii="Times New Roman" w:hAnsi="Times New Roman"/>
                                          <w:b/>
                                          <w:sz w:val="18"/>
                                          <w:szCs w:val="18"/>
                                        </w:rPr>
                                      </w:pPr>
                                      <w:r w:rsidRPr="00684647">
                                        <w:rPr>
                                          <w:rFonts w:ascii="Times New Roman" w:hAnsi="Times New Roman"/>
                                          <w:b/>
                                          <w:sz w:val="18"/>
                                          <w:szCs w:val="18"/>
                                        </w:rPr>
                                        <w:t>Agriculture Elevage</w:t>
                                      </w:r>
                                    </w:p>
                                  </w:txbxContent>
                                </wps:txbx>
                                <wps:bodyPr rot="0" vert="horz" wrap="square" lIns="91440" tIns="45720" rIns="91440" bIns="45720" anchor="t" anchorCtr="0" upright="1">
                                  <a:noAutofit/>
                                </wps:bodyPr>
                              </wps:wsp>
                              <wps:wsp>
                                <wps:cNvPr id="1337057270" name="Oval 124"/>
                                <wps:cNvSpPr>
                                  <a:spLocks noChangeArrowheads="1"/>
                                </wps:cNvSpPr>
                                <wps:spPr bwMode="auto">
                                  <a:xfrm>
                                    <a:off x="2858" y="2138"/>
                                    <a:ext cx="2160" cy="900"/>
                                  </a:xfrm>
                                  <a:prstGeom prst="ellipse">
                                    <a:avLst/>
                                  </a:prstGeom>
                                  <a:solidFill>
                                    <a:srgbClr val="CCFFCC"/>
                                  </a:solidFill>
                                  <a:ln w="9525">
                                    <a:solidFill>
                                      <a:srgbClr val="000000"/>
                                    </a:solidFill>
                                    <a:round/>
                                    <a:headEnd/>
                                    <a:tailEnd/>
                                  </a:ln>
                                </wps:spPr>
                                <wps:txbx>
                                  <w:txbxContent>
                                    <w:p w14:paraId="2F1EF1B1" w14:textId="77777777" w:rsidR="006F72B3" w:rsidRPr="00684647" w:rsidRDefault="006F72B3" w:rsidP="00684647">
                                      <w:pPr>
                                        <w:spacing w:after="0" w:line="240" w:lineRule="auto"/>
                                        <w:rPr>
                                          <w:rFonts w:ascii="Times New Roman" w:hAnsi="Times New Roman"/>
                                          <w:b/>
                                          <w:sz w:val="18"/>
                                          <w:szCs w:val="18"/>
                                        </w:rPr>
                                      </w:pPr>
                                      <w:r w:rsidRPr="00684647">
                                        <w:rPr>
                                          <w:rFonts w:ascii="Times New Roman" w:hAnsi="Times New Roman"/>
                                          <w:b/>
                                          <w:sz w:val="18"/>
                                          <w:szCs w:val="18"/>
                                        </w:rPr>
                                        <w:t>LES USAGES DE L’EAU</w:t>
                                      </w:r>
                                    </w:p>
                                  </w:txbxContent>
                                </wps:txbx>
                                <wps:bodyPr rot="0" vert="horz" wrap="square" lIns="91440" tIns="45720" rIns="91440" bIns="45720" anchor="t" anchorCtr="0" upright="1">
                                  <a:noAutofit/>
                                </wps:bodyPr>
                              </wps:wsp>
                              <wps:wsp>
                                <wps:cNvPr id="2089858434" name="Text Box 125"/>
                                <wps:cNvSpPr txBox="1">
                                  <a:spLocks noChangeArrowheads="1"/>
                                </wps:cNvSpPr>
                                <wps:spPr bwMode="auto">
                                  <a:xfrm>
                                    <a:off x="1477" y="3218"/>
                                    <a:ext cx="1189" cy="900"/>
                                  </a:xfrm>
                                  <a:prstGeom prst="rect">
                                    <a:avLst/>
                                  </a:prstGeom>
                                  <a:solidFill>
                                    <a:srgbClr val="FFFFFF"/>
                                  </a:solidFill>
                                  <a:ln w="9525">
                                    <a:solidFill>
                                      <a:srgbClr val="000000"/>
                                    </a:solidFill>
                                    <a:miter lim="800000"/>
                                    <a:headEnd/>
                                    <a:tailEnd/>
                                  </a:ln>
                                </wps:spPr>
                                <wps:txbx>
                                  <w:txbxContent>
                                    <w:p w14:paraId="74F56579" w14:textId="77777777" w:rsidR="006F72B3" w:rsidRPr="00684647" w:rsidRDefault="006F72B3" w:rsidP="00275392">
                                      <w:pPr>
                                        <w:spacing w:after="0" w:line="240" w:lineRule="auto"/>
                                        <w:jc w:val="center"/>
                                        <w:rPr>
                                          <w:rFonts w:ascii="Times New Roman" w:hAnsi="Times New Roman"/>
                                          <w:b/>
                                          <w:sz w:val="18"/>
                                          <w:szCs w:val="18"/>
                                        </w:rPr>
                                      </w:pPr>
                                      <w:r w:rsidRPr="00684647">
                                        <w:rPr>
                                          <w:rFonts w:ascii="Times New Roman" w:hAnsi="Times New Roman"/>
                                          <w:b/>
                                          <w:sz w:val="18"/>
                                          <w:szCs w:val="18"/>
                                        </w:rPr>
                                        <w:t>Industrie</w:t>
                                      </w:r>
                                    </w:p>
                                    <w:p w14:paraId="0542D483" w14:textId="77777777" w:rsidR="006F72B3" w:rsidRPr="00684647" w:rsidRDefault="006F72B3" w:rsidP="00275392">
                                      <w:pPr>
                                        <w:spacing w:after="0" w:line="240" w:lineRule="auto"/>
                                        <w:jc w:val="center"/>
                                        <w:rPr>
                                          <w:rFonts w:ascii="Times New Roman" w:hAnsi="Times New Roman"/>
                                          <w:b/>
                                          <w:sz w:val="18"/>
                                          <w:szCs w:val="18"/>
                                        </w:rPr>
                                      </w:pPr>
                                      <w:r w:rsidRPr="00684647">
                                        <w:rPr>
                                          <w:rFonts w:ascii="Times New Roman" w:hAnsi="Times New Roman"/>
                                          <w:b/>
                                          <w:sz w:val="18"/>
                                          <w:szCs w:val="18"/>
                                        </w:rPr>
                                        <w:t>Artisanat</w:t>
                                      </w:r>
                                    </w:p>
                                    <w:p w14:paraId="6FDF5B50" w14:textId="77777777" w:rsidR="006F72B3" w:rsidRPr="00275392" w:rsidRDefault="006F72B3" w:rsidP="00275392">
                                      <w:pPr>
                                        <w:spacing w:after="0" w:line="240" w:lineRule="auto"/>
                                        <w:jc w:val="center"/>
                                        <w:rPr>
                                          <w:rFonts w:ascii="Times New Roman" w:hAnsi="Times New Roman"/>
                                          <w:b/>
                                          <w:sz w:val="18"/>
                                          <w:szCs w:val="18"/>
                                        </w:rPr>
                                      </w:pPr>
                                      <w:r w:rsidRPr="00275392">
                                        <w:rPr>
                                          <w:rFonts w:ascii="Times New Roman" w:hAnsi="Times New Roman"/>
                                          <w:b/>
                                          <w:sz w:val="18"/>
                                          <w:szCs w:val="18"/>
                                        </w:rPr>
                                        <w:t>Mines</w:t>
                                      </w:r>
                                    </w:p>
                                  </w:txbxContent>
                                </wps:txbx>
                                <wps:bodyPr rot="0" vert="horz" wrap="square" lIns="91440" tIns="45720" rIns="91440" bIns="45720" anchor="t" anchorCtr="0" upright="1">
                                  <a:noAutofit/>
                                </wps:bodyPr>
                              </wps:wsp>
                              <wps:wsp>
                                <wps:cNvPr id="698211996" name="Text Box 126"/>
                                <wps:cNvSpPr txBox="1">
                                  <a:spLocks noChangeArrowheads="1"/>
                                </wps:cNvSpPr>
                                <wps:spPr bwMode="auto">
                                  <a:xfrm>
                                    <a:off x="1238" y="2138"/>
                                    <a:ext cx="1260" cy="720"/>
                                  </a:xfrm>
                                  <a:prstGeom prst="rect">
                                    <a:avLst/>
                                  </a:prstGeom>
                                  <a:solidFill>
                                    <a:srgbClr val="FFFFFF"/>
                                  </a:solidFill>
                                  <a:ln w="9525">
                                    <a:solidFill>
                                      <a:srgbClr val="000000"/>
                                    </a:solidFill>
                                    <a:miter lim="800000"/>
                                    <a:headEnd/>
                                    <a:tailEnd/>
                                  </a:ln>
                                </wps:spPr>
                                <wps:txbx>
                                  <w:txbxContent>
                                    <w:p w14:paraId="45E270F1" w14:textId="4275A485" w:rsidR="006F72B3" w:rsidRPr="00684647" w:rsidRDefault="006F72B3" w:rsidP="00275392">
                                      <w:pPr>
                                        <w:spacing w:after="0" w:line="240" w:lineRule="auto"/>
                                        <w:jc w:val="center"/>
                                        <w:rPr>
                                          <w:rFonts w:ascii="Times New Roman" w:hAnsi="Times New Roman"/>
                                          <w:b/>
                                          <w:sz w:val="18"/>
                                          <w:szCs w:val="18"/>
                                        </w:rPr>
                                      </w:pPr>
                                      <w:r w:rsidRPr="00684647">
                                        <w:rPr>
                                          <w:rFonts w:ascii="Times New Roman" w:hAnsi="Times New Roman"/>
                                          <w:b/>
                                          <w:sz w:val="18"/>
                                          <w:szCs w:val="18"/>
                                        </w:rPr>
                                        <w:t>Sport et</w:t>
                                      </w:r>
                                    </w:p>
                                    <w:p w14:paraId="1B13A705" w14:textId="77777777" w:rsidR="006F72B3" w:rsidRPr="00684647" w:rsidRDefault="006F72B3" w:rsidP="00275392">
                                      <w:pPr>
                                        <w:spacing w:after="0" w:line="240" w:lineRule="auto"/>
                                        <w:jc w:val="center"/>
                                        <w:rPr>
                                          <w:rFonts w:ascii="Times New Roman" w:hAnsi="Times New Roman"/>
                                          <w:b/>
                                          <w:sz w:val="18"/>
                                          <w:szCs w:val="18"/>
                                        </w:rPr>
                                      </w:pPr>
                                      <w:r w:rsidRPr="00684647">
                                        <w:rPr>
                                          <w:rFonts w:ascii="Times New Roman" w:hAnsi="Times New Roman"/>
                                          <w:b/>
                                          <w:sz w:val="18"/>
                                          <w:szCs w:val="18"/>
                                        </w:rPr>
                                        <w:t>Loisirs</w:t>
                                      </w:r>
                                    </w:p>
                                  </w:txbxContent>
                                </wps:txbx>
                                <wps:bodyPr rot="0" vert="horz" wrap="square" lIns="91440" tIns="45720" rIns="91440" bIns="45720" anchor="t" anchorCtr="0" upright="1">
                                  <a:noAutofit/>
                                </wps:bodyPr>
                              </wps:wsp>
                              <wps:wsp>
                                <wps:cNvPr id="1412265101" name="Text Box 127"/>
                                <wps:cNvSpPr txBox="1">
                                  <a:spLocks noChangeArrowheads="1"/>
                                </wps:cNvSpPr>
                                <wps:spPr bwMode="auto">
                                  <a:xfrm>
                                    <a:off x="2858" y="3398"/>
                                    <a:ext cx="1620" cy="720"/>
                                  </a:xfrm>
                                  <a:prstGeom prst="rect">
                                    <a:avLst/>
                                  </a:prstGeom>
                                  <a:solidFill>
                                    <a:srgbClr val="FFFFFF"/>
                                  </a:solidFill>
                                  <a:ln w="9525">
                                    <a:solidFill>
                                      <a:srgbClr val="000000"/>
                                    </a:solidFill>
                                    <a:miter lim="800000"/>
                                    <a:headEnd/>
                                    <a:tailEnd/>
                                  </a:ln>
                                </wps:spPr>
                                <wps:txbx>
                                  <w:txbxContent>
                                    <w:p w14:paraId="4F440F8A" w14:textId="28C1AF89" w:rsidR="006F72B3" w:rsidRPr="00275392" w:rsidRDefault="006F72B3" w:rsidP="00275392">
                                      <w:pPr>
                                        <w:spacing w:after="0" w:line="240" w:lineRule="auto"/>
                                        <w:jc w:val="center"/>
                                        <w:rPr>
                                          <w:rFonts w:ascii="Times New Roman" w:hAnsi="Times New Roman"/>
                                          <w:b/>
                                          <w:sz w:val="18"/>
                                          <w:szCs w:val="18"/>
                                        </w:rPr>
                                      </w:pPr>
                                      <w:r w:rsidRPr="00275392">
                                        <w:rPr>
                                          <w:rFonts w:ascii="Times New Roman" w:hAnsi="Times New Roman"/>
                                          <w:b/>
                                          <w:sz w:val="18"/>
                                          <w:szCs w:val="18"/>
                                        </w:rPr>
                                        <w:t>AEP</w:t>
                                      </w:r>
                                      <w:r w:rsidR="00275392">
                                        <w:rPr>
                                          <w:rFonts w:ascii="Times New Roman" w:hAnsi="Times New Roman"/>
                                          <w:b/>
                                          <w:sz w:val="18"/>
                                          <w:szCs w:val="18"/>
                                        </w:rPr>
                                        <w:t xml:space="preserve"> </w:t>
                                      </w:r>
                                      <w:r w:rsidRPr="00275392">
                                        <w:rPr>
                                          <w:rFonts w:ascii="Times New Roman" w:hAnsi="Times New Roman"/>
                                          <w:b/>
                                          <w:sz w:val="18"/>
                                          <w:szCs w:val="18"/>
                                        </w:rPr>
                                        <w:t>Assainissement</w:t>
                                      </w:r>
                                    </w:p>
                                  </w:txbxContent>
                                </wps:txbx>
                                <wps:bodyPr rot="0" vert="horz" wrap="square" lIns="91440" tIns="45720" rIns="91440" bIns="45720" anchor="t" anchorCtr="0" upright="1">
                                  <a:noAutofit/>
                                </wps:bodyPr>
                              </wps:wsp>
                              <wps:wsp>
                                <wps:cNvPr id="1573370614" name="Text Box 128"/>
                                <wps:cNvSpPr txBox="1">
                                  <a:spLocks noChangeArrowheads="1"/>
                                </wps:cNvSpPr>
                                <wps:spPr bwMode="auto">
                                  <a:xfrm>
                                    <a:off x="4478" y="1058"/>
                                    <a:ext cx="1440" cy="720"/>
                                  </a:xfrm>
                                  <a:prstGeom prst="rect">
                                    <a:avLst/>
                                  </a:prstGeom>
                                  <a:solidFill>
                                    <a:srgbClr val="FFFFFF"/>
                                  </a:solidFill>
                                  <a:ln w="9525">
                                    <a:solidFill>
                                      <a:srgbClr val="000000"/>
                                    </a:solidFill>
                                    <a:miter lim="800000"/>
                                    <a:headEnd/>
                                    <a:tailEnd/>
                                  </a:ln>
                                </wps:spPr>
                                <wps:txbx>
                                  <w:txbxContent>
                                    <w:p w14:paraId="1D740E0E" w14:textId="77777777" w:rsidR="006F72B3" w:rsidRPr="00684647" w:rsidRDefault="006F72B3" w:rsidP="00684647">
                                      <w:pPr>
                                        <w:spacing w:after="0" w:line="240" w:lineRule="auto"/>
                                        <w:rPr>
                                          <w:rFonts w:ascii="Times New Roman" w:hAnsi="Times New Roman"/>
                                          <w:b/>
                                          <w:sz w:val="18"/>
                                          <w:szCs w:val="18"/>
                                        </w:rPr>
                                      </w:pPr>
                                      <w:r w:rsidRPr="00684647">
                                        <w:rPr>
                                          <w:rFonts w:ascii="Times New Roman" w:hAnsi="Times New Roman"/>
                                          <w:b/>
                                          <w:sz w:val="18"/>
                                          <w:szCs w:val="18"/>
                                        </w:rPr>
                                        <w:t>Commerce</w:t>
                                      </w:r>
                                    </w:p>
                                    <w:p w14:paraId="084BE03E" w14:textId="77777777" w:rsidR="006F72B3" w:rsidRPr="00684647" w:rsidRDefault="006F72B3" w:rsidP="00684647">
                                      <w:pPr>
                                        <w:spacing w:after="0" w:line="240" w:lineRule="auto"/>
                                        <w:rPr>
                                          <w:rFonts w:ascii="Times New Roman" w:hAnsi="Times New Roman"/>
                                          <w:b/>
                                          <w:sz w:val="18"/>
                                          <w:szCs w:val="18"/>
                                        </w:rPr>
                                      </w:pPr>
                                      <w:r w:rsidRPr="00684647">
                                        <w:rPr>
                                          <w:rFonts w:ascii="Times New Roman" w:hAnsi="Times New Roman"/>
                                          <w:b/>
                                          <w:sz w:val="18"/>
                                          <w:szCs w:val="18"/>
                                        </w:rPr>
                                        <w:t>Transport</w:t>
                                      </w:r>
                                    </w:p>
                                  </w:txbxContent>
                                </wps:txbx>
                                <wps:bodyPr rot="0" vert="horz" wrap="square" lIns="91440" tIns="45720" rIns="91440" bIns="45720" anchor="t" anchorCtr="0" upright="1">
                                  <a:noAutofit/>
                                </wps:bodyPr>
                              </wps:wsp>
                              <wps:wsp>
                                <wps:cNvPr id="1747674329" name="Text Box 129"/>
                                <wps:cNvSpPr txBox="1">
                                  <a:spLocks noChangeArrowheads="1"/>
                                </wps:cNvSpPr>
                                <wps:spPr bwMode="auto">
                                  <a:xfrm>
                                    <a:off x="4658" y="3398"/>
                                    <a:ext cx="1620" cy="540"/>
                                  </a:xfrm>
                                  <a:prstGeom prst="rect">
                                    <a:avLst/>
                                  </a:prstGeom>
                                  <a:solidFill>
                                    <a:srgbClr val="FFFFFF"/>
                                  </a:solidFill>
                                  <a:ln w="9525">
                                    <a:solidFill>
                                      <a:srgbClr val="000000"/>
                                    </a:solidFill>
                                    <a:miter lim="800000"/>
                                    <a:headEnd/>
                                    <a:tailEnd/>
                                  </a:ln>
                                </wps:spPr>
                                <wps:txbx>
                                  <w:txbxContent>
                                    <w:p w14:paraId="60502979" w14:textId="77777777" w:rsidR="006F72B3" w:rsidRPr="00275392" w:rsidRDefault="006F72B3" w:rsidP="00275392">
                                      <w:pPr>
                                        <w:spacing w:after="0" w:line="240" w:lineRule="auto"/>
                                        <w:jc w:val="center"/>
                                        <w:rPr>
                                          <w:rFonts w:ascii="Times New Roman" w:hAnsi="Times New Roman"/>
                                          <w:b/>
                                          <w:sz w:val="18"/>
                                          <w:szCs w:val="18"/>
                                        </w:rPr>
                                      </w:pPr>
                                      <w:r w:rsidRPr="00275392">
                                        <w:rPr>
                                          <w:rFonts w:ascii="Times New Roman" w:hAnsi="Times New Roman"/>
                                          <w:b/>
                                          <w:sz w:val="18"/>
                                          <w:szCs w:val="18"/>
                                        </w:rPr>
                                        <w:t>Environnement</w:t>
                                      </w:r>
                                    </w:p>
                                  </w:txbxContent>
                                </wps:txbx>
                                <wps:bodyPr rot="0" vert="horz" wrap="square" lIns="91440" tIns="45720" rIns="91440" bIns="45720" anchor="t" anchorCtr="0" upright="1">
                                  <a:noAutofit/>
                                </wps:bodyPr>
                              </wps:wsp>
                            </wpg:grpSp>
                            <wpg:grpSp>
                              <wpg:cNvPr id="754319511" name="Group 130"/>
                              <wpg:cNvGrpSpPr>
                                <a:grpSpLocks/>
                              </wpg:cNvGrpSpPr>
                              <wpg:grpSpPr bwMode="auto">
                                <a:xfrm>
                                  <a:off x="1058" y="2071"/>
                                  <a:ext cx="11880" cy="6007"/>
                                  <a:chOff x="1058" y="2071"/>
                                  <a:chExt cx="11880" cy="6007"/>
                                </a:xfrm>
                              </wpg:grpSpPr>
                              <wps:wsp>
                                <wps:cNvPr id="1287601621" name="Text Box 131"/>
                                <wps:cNvSpPr txBox="1">
                                  <a:spLocks noChangeArrowheads="1"/>
                                </wps:cNvSpPr>
                                <wps:spPr bwMode="auto">
                                  <a:xfrm>
                                    <a:off x="8798" y="3218"/>
                                    <a:ext cx="1440" cy="540"/>
                                  </a:xfrm>
                                  <a:prstGeom prst="rect">
                                    <a:avLst/>
                                  </a:prstGeom>
                                  <a:solidFill>
                                    <a:srgbClr val="FFFFFF"/>
                                  </a:solidFill>
                                  <a:ln w="9525">
                                    <a:solidFill>
                                      <a:srgbClr val="000000"/>
                                    </a:solidFill>
                                    <a:miter lim="800000"/>
                                    <a:headEnd/>
                                    <a:tailEnd/>
                                  </a:ln>
                                </wps:spPr>
                                <wps:txbx>
                                  <w:txbxContent>
                                    <w:p w14:paraId="7536C902" w14:textId="77777777" w:rsidR="006F72B3" w:rsidRPr="00275392" w:rsidRDefault="006F72B3" w:rsidP="00275392">
                                      <w:pPr>
                                        <w:spacing w:after="0" w:line="240" w:lineRule="auto"/>
                                        <w:jc w:val="center"/>
                                        <w:rPr>
                                          <w:rFonts w:ascii="Times New Roman" w:hAnsi="Times New Roman"/>
                                          <w:b/>
                                          <w:sz w:val="18"/>
                                          <w:szCs w:val="18"/>
                                        </w:rPr>
                                      </w:pPr>
                                      <w:r w:rsidRPr="00275392">
                                        <w:rPr>
                                          <w:rFonts w:ascii="Times New Roman" w:hAnsi="Times New Roman"/>
                                          <w:b/>
                                          <w:sz w:val="18"/>
                                          <w:szCs w:val="18"/>
                                        </w:rPr>
                                        <w:t>Air</w:t>
                                      </w:r>
                                    </w:p>
                                  </w:txbxContent>
                                </wps:txbx>
                                <wps:bodyPr rot="0" vert="horz" wrap="square" lIns="91440" tIns="45720" rIns="91440" bIns="45720" anchor="t" anchorCtr="0" upright="1">
                                  <a:noAutofit/>
                                </wps:bodyPr>
                              </wps:wsp>
                              <wps:wsp>
                                <wps:cNvPr id="1982836375" name="Text Box 132"/>
                                <wps:cNvSpPr txBox="1">
                                  <a:spLocks noChangeArrowheads="1"/>
                                </wps:cNvSpPr>
                                <wps:spPr bwMode="auto">
                                  <a:xfrm>
                                    <a:off x="10778" y="3218"/>
                                    <a:ext cx="1620" cy="540"/>
                                  </a:xfrm>
                                  <a:prstGeom prst="rect">
                                    <a:avLst/>
                                  </a:prstGeom>
                                  <a:solidFill>
                                    <a:srgbClr val="FFFFFF"/>
                                  </a:solidFill>
                                  <a:ln w="9525">
                                    <a:solidFill>
                                      <a:srgbClr val="000000"/>
                                    </a:solidFill>
                                    <a:miter lim="800000"/>
                                    <a:headEnd/>
                                    <a:tailEnd/>
                                  </a:ln>
                                </wps:spPr>
                                <wps:txbx>
                                  <w:txbxContent>
                                    <w:p w14:paraId="584BB980" w14:textId="77777777" w:rsidR="006F72B3" w:rsidRPr="00275392" w:rsidRDefault="006F72B3" w:rsidP="00275392">
                                      <w:pPr>
                                        <w:spacing w:after="0" w:line="240" w:lineRule="auto"/>
                                        <w:jc w:val="center"/>
                                        <w:rPr>
                                          <w:rFonts w:ascii="Times New Roman" w:hAnsi="Times New Roman"/>
                                          <w:b/>
                                          <w:sz w:val="18"/>
                                          <w:szCs w:val="18"/>
                                        </w:rPr>
                                      </w:pPr>
                                      <w:r w:rsidRPr="00275392">
                                        <w:rPr>
                                          <w:rFonts w:ascii="Times New Roman" w:hAnsi="Times New Roman"/>
                                          <w:b/>
                                          <w:sz w:val="18"/>
                                          <w:szCs w:val="18"/>
                                        </w:rPr>
                                        <w:t>Pluies</w:t>
                                      </w:r>
                                    </w:p>
                                  </w:txbxContent>
                                </wps:txbx>
                                <wps:bodyPr rot="0" vert="horz" wrap="square" lIns="91440" tIns="45720" rIns="91440" bIns="45720" anchor="t" anchorCtr="0" upright="1">
                                  <a:noAutofit/>
                                </wps:bodyPr>
                              </wps:wsp>
                              <wpg:grpSp>
                                <wpg:cNvPr id="2009378956" name="Group 133"/>
                                <wpg:cNvGrpSpPr>
                                  <a:grpSpLocks/>
                                </wpg:cNvGrpSpPr>
                                <wpg:grpSpPr bwMode="auto">
                                  <a:xfrm>
                                    <a:off x="1058" y="2071"/>
                                    <a:ext cx="11880" cy="6007"/>
                                    <a:chOff x="1058" y="2071"/>
                                    <a:chExt cx="11880" cy="6007"/>
                                  </a:xfrm>
                                </wpg:grpSpPr>
                                <wps:wsp>
                                  <wps:cNvPr id="597164917" name="Oval 134"/>
                                  <wps:cNvSpPr>
                                    <a:spLocks noChangeArrowheads="1"/>
                                  </wps:cNvSpPr>
                                  <wps:spPr bwMode="auto">
                                    <a:xfrm>
                                      <a:off x="7898" y="4478"/>
                                      <a:ext cx="2520" cy="900"/>
                                    </a:xfrm>
                                    <a:prstGeom prst="ellipse">
                                      <a:avLst/>
                                    </a:prstGeom>
                                    <a:solidFill>
                                      <a:srgbClr val="FFCC99"/>
                                    </a:solidFill>
                                    <a:ln w="9525">
                                      <a:solidFill>
                                        <a:srgbClr val="000000"/>
                                      </a:solidFill>
                                      <a:round/>
                                      <a:headEnd/>
                                      <a:tailEnd/>
                                    </a:ln>
                                  </wps:spPr>
                                  <wps:txbx>
                                    <w:txbxContent>
                                      <w:p w14:paraId="7D03B596" w14:textId="77777777" w:rsidR="006F72B3" w:rsidRPr="00551DAB" w:rsidRDefault="006F72B3" w:rsidP="006F72B3">
                                        <w:pPr>
                                          <w:rPr>
                                            <w:b/>
                                            <w:sz w:val="18"/>
                                            <w:szCs w:val="18"/>
                                          </w:rPr>
                                        </w:pPr>
                                      </w:p>
                                      <w:p w14:paraId="125A43CA" w14:textId="77777777" w:rsidR="006F72B3" w:rsidRPr="00551DAB" w:rsidRDefault="006F72B3" w:rsidP="006F72B3">
                                        <w:pPr>
                                          <w:rPr>
                                            <w:b/>
                                            <w:sz w:val="18"/>
                                            <w:szCs w:val="18"/>
                                          </w:rPr>
                                        </w:pPr>
                                        <w:r w:rsidRPr="00551DAB">
                                          <w:rPr>
                                            <w:b/>
                                            <w:sz w:val="18"/>
                                            <w:szCs w:val="18"/>
                                          </w:rPr>
                                          <w:t>RECEPTACLES</w:t>
                                        </w:r>
                                      </w:p>
                                    </w:txbxContent>
                                  </wps:txbx>
                                  <wps:bodyPr rot="0" vert="horz" wrap="square" lIns="91440" tIns="45720" rIns="91440" bIns="45720" anchor="t" anchorCtr="0" upright="1">
                                    <a:noAutofit/>
                                  </wps:bodyPr>
                                </wps:wsp>
                                <wpg:grpSp>
                                  <wpg:cNvPr id="1124785360" name="Group 135"/>
                                  <wpg:cNvGrpSpPr>
                                    <a:grpSpLocks/>
                                  </wpg:cNvGrpSpPr>
                                  <wpg:grpSpPr bwMode="auto">
                                    <a:xfrm>
                                      <a:off x="1058" y="2071"/>
                                      <a:ext cx="11880" cy="6007"/>
                                      <a:chOff x="1058" y="2071"/>
                                      <a:chExt cx="11880" cy="6007"/>
                                    </a:xfrm>
                                  </wpg:grpSpPr>
                                  <wpg:grpSp>
                                    <wpg:cNvPr id="1914856964" name="Group 136"/>
                                    <wpg:cNvGrpSpPr>
                                      <a:grpSpLocks/>
                                    </wpg:cNvGrpSpPr>
                                    <wpg:grpSpPr bwMode="auto">
                                      <a:xfrm>
                                        <a:off x="1058" y="2071"/>
                                        <a:ext cx="11880" cy="6007"/>
                                        <a:chOff x="1058" y="2071"/>
                                        <a:chExt cx="11880" cy="6007"/>
                                      </a:xfrm>
                                    </wpg:grpSpPr>
                                    <wps:wsp>
                                      <wps:cNvPr id="1270982543" name="Text Box 137"/>
                                      <wps:cNvSpPr txBox="1">
                                        <a:spLocks noChangeArrowheads="1"/>
                                      </wps:cNvSpPr>
                                      <wps:spPr bwMode="auto">
                                        <a:xfrm>
                                          <a:off x="7538" y="5738"/>
                                          <a:ext cx="1620" cy="540"/>
                                        </a:xfrm>
                                        <a:prstGeom prst="rect">
                                          <a:avLst/>
                                        </a:prstGeom>
                                        <a:solidFill>
                                          <a:srgbClr val="FFFFFF"/>
                                        </a:solidFill>
                                        <a:ln w="9525">
                                          <a:solidFill>
                                            <a:srgbClr val="000000"/>
                                          </a:solidFill>
                                          <a:miter lim="800000"/>
                                          <a:headEnd/>
                                          <a:tailEnd/>
                                        </a:ln>
                                      </wps:spPr>
                                      <wps:txbx>
                                        <w:txbxContent>
                                          <w:p w14:paraId="664561B1" w14:textId="77777777" w:rsidR="006F72B3" w:rsidRPr="00275392" w:rsidRDefault="006F72B3" w:rsidP="00275392">
                                            <w:pPr>
                                              <w:spacing w:after="0" w:line="240" w:lineRule="auto"/>
                                              <w:jc w:val="center"/>
                                              <w:rPr>
                                                <w:rFonts w:ascii="Times New Roman" w:hAnsi="Times New Roman"/>
                                                <w:b/>
                                                <w:sz w:val="18"/>
                                                <w:szCs w:val="18"/>
                                              </w:rPr>
                                            </w:pPr>
                                            <w:r w:rsidRPr="00275392">
                                              <w:rPr>
                                                <w:rFonts w:ascii="Times New Roman" w:hAnsi="Times New Roman"/>
                                                <w:b/>
                                                <w:sz w:val="18"/>
                                                <w:szCs w:val="18"/>
                                              </w:rPr>
                                              <w:t>Cours d’eau</w:t>
                                            </w:r>
                                          </w:p>
                                        </w:txbxContent>
                                      </wps:txbx>
                                      <wps:bodyPr rot="0" vert="horz" wrap="square" lIns="91440" tIns="45720" rIns="91440" bIns="45720" anchor="t" anchorCtr="0" upright="1">
                                        <a:noAutofit/>
                                      </wps:bodyPr>
                                    </wps:wsp>
                                    <wps:wsp>
                                      <wps:cNvPr id="2128302000" name="Text Box 138"/>
                                      <wps:cNvSpPr txBox="1">
                                        <a:spLocks noChangeArrowheads="1"/>
                                      </wps:cNvSpPr>
                                      <wps:spPr bwMode="auto">
                                        <a:xfrm>
                                          <a:off x="9878" y="5558"/>
                                          <a:ext cx="1620" cy="360"/>
                                        </a:xfrm>
                                        <a:prstGeom prst="rect">
                                          <a:avLst/>
                                        </a:prstGeom>
                                        <a:solidFill>
                                          <a:srgbClr val="FFFFFF"/>
                                        </a:solidFill>
                                        <a:ln w="9525">
                                          <a:solidFill>
                                            <a:srgbClr val="000000"/>
                                          </a:solidFill>
                                          <a:miter lim="800000"/>
                                          <a:headEnd/>
                                          <a:tailEnd/>
                                        </a:ln>
                                      </wps:spPr>
                                      <wps:txbx>
                                        <w:txbxContent>
                                          <w:p w14:paraId="386AD513" w14:textId="77777777" w:rsidR="006F72B3" w:rsidRPr="00275392" w:rsidRDefault="006F72B3" w:rsidP="00275392">
                                            <w:pPr>
                                              <w:spacing w:after="0" w:line="240" w:lineRule="auto"/>
                                              <w:jc w:val="center"/>
                                              <w:rPr>
                                                <w:rFonts w:ascii="Times New Roman" w:hAnsi="Times New Roman"/>
                                                <w:b/>
                                                <w:sz w:val="18"/>
                                                <w:szCs w:val="18"/>
                                              </w:rPr>
                                            </w:pPr>
                                            <w:r w:rsidRPr="00275392">
                                              <w:rPr>
                                                <w:rFonts w:ascii="Times New Roman" w:hAnsi="Times New Roman"/>
                                                <w:b/>
                                                <w:sz w:val="18"/>
                                                <w:szCs w:val="18"/>
                                              </w:rPr>
                                              <w:t>Sols et sous-sols</w:t>
                                            </w:r>
                                          </w:p>
                                        </w:txbxContent>
                                      </wps:txbx>
                                      <wps:bodyPr rot="0" vert="horz" wrap="square" lIns="91440" tIns="45720" rIns="91440" bIns="45720" anchor="t" anchorCtr="0" upright="1">
                                        <a:noAutofit/>
                                      </wps:bodyPr>
                                    </wps:wsp>
                                    <wps:wsp>
                                      <wps:cNvPr id="625502648" name="Line 139"/>
                                      <wps:cNvCnPr>
                                        <a:cxnSpLocks noChangeShapeType="1"/>
                                      </wps:cNvCnPr>
                                      <wps:spPr bwMode="auto">
                                        <a:xfrm flipV="1">
                                          <a:off x="3398" y="6818"/>
                                          <a:ext cx="0" cy="1260"/>
                                        </a:xfrm>
                                        <a:prstGeom prst="line">
                                          <a:avLst/>
                                        </a:prstGeom>
                                        <a:noFill/>
                                        <a:ln w="38100" cmpd="dbl">
                                          <a:solidFill>
                                            <a:srgbClr val="0000FF"/>
                                          </a:solidFill>
                                          <a:round/>
                                          <a:headEnd/>
                                          <a:tailEnd type="triangle" w="med" len="med"/>
                                        </a:ln>
                                        <a:extLst>
                                          <a:ext uri="{909E8E84-426E-40DD-AFC4-6F175D3DCCD1}">
                                            <a14:hiddenFill xmlns:a14="http://schemas.microsoft.com/office/drawing/2010/main">
                                              <a:noFill/>
                                            </a14:hiddenFill>
                                          </a:ext>
                                        </a:extLst>
                                      </wps:spPr>
                                      <wps:bodyPr/>
                                    </wps:wsp>
                                    <wpg:grpSp>
                                      <wpg:cNvPr id="1988514186" name="Group 140"/>
                                      <wpg:cNvGrpSpPr>
                                        <a:grpSpLocks/>
                                      </wpg:cNvGrpSpPr>
                                      <wpg:grpSpPr bwMode="auto">
                                        <a:xfrm>
                                          <a:off x="1058" y="2071"/>
                                          <a:ext cx="11880" cy="6007"/>
                                          <a:chOff x="1058" y="2078"/>
                                          <a:chExt cx="11880" cy="6007"/>
                                        </a:xfrm>
                                      </wpg:grpSpPr>
                                      <wps:wsp>
                                        <wps:cNvPr id="1467195872" name="Text Box 141"/>
                                        <wps:cNvSpPr txBox="1">
                                          <a:spLocks noChangeArrowheads="1"/>
                                        </wps:cNvSpPr>
                                        <wps:spPr bwMode="auto">
                                          <a:xfrm>
                                            <a:off x="8438" y="6465"/>
                                            <a:ext cx="1440" cy="720"/>
                                          </a:xfrm>
                                          <a:prstGeom prst="rect">
                                            <a:avLst/>
                                          </a:prstGeom>
                                          <a:solidFill>
                                            <a:srgbClr val="FFFFFF"/>
                                          </a:solidFill>
                                          <a:ln w="9525">
                                            <a:solidFill>
                                              <a:srgbClr val="000000"/>
                                            </a:solidFill>
                                            <a:miter lim="800000"/>
                                            <a:headEnd/>
                                            <a:tailEnd/>
                                          </a:ln>
                                        </wps:spPr>
                                        <wps:txbx>
                                          <w:txbxContent>
                                            <w:p w14:paraId="57C4D037" w14:textId="77777777" w:rsidR="006F72B3" w:rsidRPr="00275392" w:rsidRDefault="006F72B3" w:rsidP="00275392">
                                              <w:pPr>
                                                <w:spacing w:after="0" w:line="240" w:lineRule="auto"/>
                                                <w:jc w:val="center"/>
                                                <w:rPr>
                                                  <w:rFonts w:ascii="Times New Roman" w:hAnsi="Times New Roman"/>
                                                  <w:b/>
                                                  <w:sz w:val="18"/>
                                                  <w:szCs w:val="18"/>
                                                </w:rPr>
                                              </w:pPr>
                                              <w:r w:rsidRPr="00275392">
                                                <w:rPr>
                                                  <w:rFonts w:ascii="Times New Roman" w:hAnsi="Times New Roman"/>
                                                  <w:b/>
                                                  <w:sz w:val="18"/>
                                                  <w:szCs w:val="18"/>
                                                </w:rPr>
                                                <w:t>Lacs d’eau de surface</w:t>
                                              </w:r>
                                            </w:p>
                                          </w:txbxContent>
                                        </wps:txbx>
                                        <wps:bodyPr rot="0" vert="horz" wrap="square" lIns="91440" tIns="45720" rIns="91440" bIns="45720" anchor="t" anchorCtr="0" upright="1">
                                          <a:noAutofit/>
                                        </wps:bodyPr>
                                      </wps:wsp>
                                      <wps:wsp>
                                        <wps:cNvPr id="1342118586" name="Line 142"/>
                                        <wps:cNvCnPr>
                                          <a:cxnSpLocks noChangeShapeType="1"/>
                                        </wps:cNvCnPr>
                                        <wps:spPr bwMode="auto">
                                          <a:xfrm>
                                            <a:off x="8078" y="6278"/>
                                            <a:ext cx="0" cy="1800"/>
                                          </a:xfrm>
                                          <a:prstGeom prst="line">
                                            <a:avLst/>
                                          </a:prstGeom>
                                          <a:noFill/>
                                          <a:ln w="38100" cmpd="dbl">
                                            <a:solidFill>
                                              <a:srgbClr val="0000FF"/>
                                            </a:solidFill>
                                            <a:round/>
                                            <a:headEnd/>
                                            <a:tailEnd/>
                                          </a:ln>
                                          <a:extLst>
                                            <a:ext uri="{909E8E84-426E-40DD-AFC4-6F175D3DCCD1}">
                                              <a14:hiddenFill xmlns:a14="http://schemas.microsoft.com/office/drawing/2010/main">
                                                <a:noFill/>
                                              </a14:hiddenFill>
                                            </a:ext>
                                          </a:extLst>
                                        </wps:spPr>
                                        <wps:bodyPr/>
                                      </wps:wsp>
                                      <wps:wsp>
                                        <wps:cNvPr id="1423211408" name="Line 143"/>
                                        <wps:cNvCnPr>
                                          <a:cxnSpLocks noChangeShapeType="1"/>
                                        </wps:cNvCnPr>
                                        <wps:spPr bwMode="auto">
                                          <a:xfrm>
                                            <a:off x="9338" y="7178"/>
                                            <a:ext cx="0" cy="900"/>
                                          </a:xfrm>
                                          <a:prstGeom prst="line">
                                            <a:avLst/>
                                          </a:prstGeom>
                                          <a:noFill/>
                                          <a:ln w="38100" cmpd="dbl">
                                            <a:solidFill>
                                              <a:srgbClr val="0000FF"/>
                                            </a:solidFill>
                                            <a:round/>
                                            <a:headEnd/>
                                            <a:tailEnd/>
                                          </a:ln>
                                          <a:extLst>
                                            <a:ext uri="{909E8E84-426E-40DD-AFC4-6F175D3DCCD1}">
                                              <a14:hiddenFill xmlns:a14="http://schemas.microsoft.com/office/drawing/2010/main">
                                                <a:noFill/>
                                              </a14:hiddenFill>
                                            </a:ext>
                                          </a:extLst>
                                        </wps:spPr>
                                        <wps:bodyPr/>
                                      </wps:wsp>
                                      <wps:wsp>
                                        <wps:cNvPr id="603300096" name="Line 144"/>
                                        <wps:cNvCnPr>
                                          <a:cxnSpLocks noChangeShapeType="1"/>
                                        </wps:cNvCnPr>
                                        <wps:spPr bwMode="auto">
                                          <a:xfrm>
                                            <a:off x="10778" y="6638"/>
                                            <a:ext cx="0" cy="1440"/>
                                          </a:xfrm>
                                          <a:prstGeom prst="line">
                                            <a:avLst/>
                                          </a:prstGeom>
                                          <a:noFill/>
                                          <a:ln w="38100" cmpd="dbl">
                                            <a:solidFill>
                                              <a:srgbClr val="0000FF"/>
                                            </a:solidFill>
                                            <a:round/>
                                            <a:headEnd/>
                                            <a:tailEnd/>
                                          </a:ln>
                                          <a:extLst>
                                            <a:ext uri="{909E8E84-426E-40DD-AFC4-6F175D3DCCD1}">
                                              <a14:hiddenFill xmlns:a14="http://schemas.microsoft.com/office/drawing/2010/main">
                                                <a:noFill/>
                                              </a14:hiddenFill>
                                            </a:ext>
                                          </a:extLst>
                                        </wps:spPr>
                                        <wps:bodyPr/>
                                      </wps:wsp>
                                      <wps:wsp>
                                        <wps:cNvPr id="462437185" name="Text Box 145"/>
                                        <wps:cNvSpPr txBox="1">
                                          <a:spLocks noChangeArrowheads="1"/>
                                        </wps:cNvSpPr>
                                        <wps:spPr bwMode="auto">
                                          <a:xfrm>
                                            <a:off x="10058" y="6285"/>
                                            <a:ext cx="1800" cy="360"/>
                                          </a:xfrm>
                                          <a:prstGeom prst="rect">
                                            <a:avLst/>
                                          </a:prstGeom>
                                          <a:solidFill>
                                            <a:srgbClr val="FFFFFF"/>
                                          </a:solidFill>
                                          <a:ln w="9525">
                                            <a:solidFill>
                                              <a:srgbClr val="000000"/>
                                            </a:solidFill>
                                            <a:miter lim="800000"/>
                                            <a:headEnd/>
                                            <a:tailEnd/>
                                          </a:ln>
                                        </wps:spPr>
                                        <wps:txbx>
                                          <w:txbxContent>
                                            <w:p w14:paraId="7C50DE32" w14:textId="77777777" w:rsidR="006F72B3" w:rsidRPr="00275392" w:rsidRDefault="006F72B3" w:rsidP="00275392">
                                              <w:pPr>
                                                <w:spacing w:after="0" w:line="240" w:lineRule="auto"/>
                                                <w:jc w:val="center"/>
                                                <w:rPr>
                                                  <w:rFonts w:ascii="Times New Roman" w:hAnsi="Times New Roman"/>
                                                  <w:b/>
                                                  <w:sz w:val="18"/>
                                                  <w:szCs w:val="18"/>
                                                </w:rPr>
                                              </w:pPr>
                                              <w:r w:rsidRPr="00275392">
                                                <w:rPr>
                                                  <w:rFonts w:ascii="Times New Roman" w:hAnsi="Times New Roman"/>
                                                  <w:b/>
                                                  <w:sz w:val="18"/>
                                                  <w:szCs w:val="18"/>
                                                </w:rPr>
                                                <w:t>Puits et forages...</w:t>
                                              </w:r>
                                            </w:p>
                                          </w:txbxContent>
                                        </wps:txbx>
                                        <wps:bodyPr rot="0" vert="horz" wrap="square" lIns="91440" tIns="45720" rIns="91440" bIns="45720" anchor="t" anchorCtr="0" upright="1">
                                          <a:noAutofit/>
                                        </wps:bodyPr>
                                      </wps:wsp>
                                      <wps:wsp>
                                        <wps:cNvPr id="840256908" name="Line 146"/>
                                        <wps:cNvCnPr>
                                          <a:cxnSpLocks noChangeShapeType="1"/>
                                        </wps:cNvCnPr>
                                        <wps:spPr bwMode="auto">
                                          <a:xfrm>
                                            <a:off x="10778" y="5925"/>
                                            <a:ext cx="0" cy="360"/>
                                          </a:xfrm>
                                          <a:prstGeom prst="line">
                                            <a:avLst/>
                                          </a:prstGeom>
                                          <a:noFill/>
                                          <a:ln w="38100" cmpd="dbl">
                                            <a:solidFill>
                                              <a:srgbClr val="0000FF"/>
                                            </a:solidFill>
                                            <a:round/>
                                            <a:headEnd/>
                                            <a:tailEnd/>
                                          </a:ln>
                                          <a:extLst>
                                            <a:ext uri="{909E8E84-426E-40DD-AFC4-6F175D3DCCD1}">
                                              <a14:hiddenFill xmlns:a14="http://schemas.microsoft.com/office/drawing/2010/main">
                                                <a:noFill/>
                                              </a14:hiddenFill>
                                            </a:ext>
                                          </a:extLst>
                                        </wps:spPr>
                                        <wps:bodyPr/>
                                      </wps:wsp>
                                      <wpg:grpSp>
                                        <wpg:cNvPr id="1278878082" name="Group 147"/>
                                        <wpg:cNvGrpSpPr>
                                          <a:grpSpLocks/>
                                        </wpg:cNvGrpSpPr>
                                        <wpg:grpSpPr bwMode="auto">
                                          <a:xfrm>
                                            <a:off x="1058" y="2078"/>
                                            <a:ext cx="11880" cy="6007"/>
                                            <a:chOff x="1058" y="2071"/>
                                            <a:chExt cx="11880" cy="6007"/>
                                          </a:xfrm>
                                        </wpg:grpSpPr>
                                        <wpg:grpSp>
                                          <wpg:cNvPr id="1273096783" name="Group 148"/>
                                          <wpg:cNvGrpSpPr>
                                            <a:grpSpLocks/>
                                          </wpg:cNvGrpSpPr>
                                          <wpg:grpSpPr bwMode="auto">
                                            <a:xfrm>
                                              <a:off x="5378" y="4478"/>
                                              <a:ext cx="2340" cy="720"/>
                                              <a:chOff x="5198" y="4478"/>
                                              <a:chExt cx="2340" cy="720"/>
                                            </a:xfrm>
                                          </wpg:grpSpPr>
                                          <wps:wsp>
                                            <wps:cNvPr id="1029064268" name="AutoShape 149"/>
                                            <wps:cNvSpPr>
                                              <a:spLocks noChangeArrowheads="1"/>
                                            </wps:cNvSpPr>
                                            <wps:spPr bwMode="auto">
                                              <a:xfrm>
                                                <a:off x="5198" y="4838"/>
                                                <a:ext cx="2340" cy="360"/>
                                              </a:xfrm>
                                              <a:prstGeom prst="rightArrow">
                                                <a:avLst>
                                                  <a:gd name="adj1" fmla="val 50000"/>
                                                  <a:gd name="adj2" fmla="val 162500"/>
                                                </a:avLst>
                                              </a:prstGeom>
                                              <a:solidFill>
                                                <a:srgbClr val="FFFFFF"/>
                                              </a:solidFill>
                                              <a:ln w="76200" cmpd="tri">
                                                <a:solidFill>
                                                  <a:srgbClr val="FF6600"/>
                                                </a:solidFill>
                                                <a:miter lim="800000"/>
                                                <a:headEnd/>
                                                <a:tailEnd/>
                                              </a:ln>
                                            </wps:spPr>
                                            <wps:bodyPr rot="0" vert="horz" wrap="square" lIns="91440" tIns="45720" rIns="91440" bIns="45720" anchor="t" anchorCtr="0" upright="1">
                                              <a:noAutofit/>
                                            </wps:bodyPr>
                                          </wps:wsp>
                                          <wps:wsp>
                                            <wps:cNvPr id="1910532058" name="Text Box 150"/>
                                            <wps:cNvSpPr txBox="1">
                                              <a:spLocks noChangeArrowheads="1"/>
                                            </wps:cNvSpPr>
                                            <wps:spPr bwMode="auto">
                                              <a:xfrm>
                                                <a:off x="5198" y="4478"/>
                                                <a:ext cx="162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1DB676" w14:textId="77777777" w:rsidR="006F72B3" w:rsidRPr="00275392" w:rsidRDefault="006F72B3" w:rsidP="00275392">
                                                  <w:pPr>
                                                    <w:jc w:val="center"/>
                                                    <w:rPr>
                                                      <w:rFonts w:ascii="Times New Roman" w:hAnsi="Times New Roman"/>
                                                      <w:color w:val="FF0000"/>
                                                      <w:sz w:val="18"/>
                                                      <w:szCs w:val="18"/>
                                                    </w:rPr>
                                                  </w:pPr>
                                                  <w:r w:rsidRPr="00275392">
                                                    <w:rPr>
                                                      <w:rFonts w:ascii="Times New Roman" w:hAnsi="Times New Roman"/>
                                                      <w:color w:val="FF0000"/>
                                                      <w:sz w:val="18"/>
                                                      <w:szCs w:val="18"/>
                                                    </w:rPr>
                                                    <w:t>Rejets polluants</w:t>
                                                  </w:r>
                                                </w:p>
                                              </w:txbxContent>
                                            </wps:txbx>
                                            <wps:bodyPr rot="0" vert="horz" wrap="square" lIns="91440" tIns="45720" rIns="91440" bIns="45720" anchor="t" anchorCtr="0" upright="1">
                                              <a:noAutofit/>
                                            </wps:bodyPr>
                                          </wps:wsp>
                                        </wpg:grpSp>
                                        <wps:wsp>
                                          <wps:cNvPr id="487226099" name="Line 151"/>
                                          <wps:cNvCnPr>
                                            <a:cxnSpLocks noChangeShapeType="1"/>
                                          </wps:cNvCnPr>
                                          <wps:spPr bwMode="auto">
                                            <a:xfrm flipH="1">
                                              <a:off x="3398" y="8078"/>
                                              <a:ext cx="7380" cy="0"/>
                                            </a:xfrm>
                                            <a:prstGeom prst="line">
                                              <a:avLst/>
                                            </a:prstGeom>
                                            <a:noFill/>
                                            <a:ln w="38100" cmpd="dbl">
                                              <a:solidFill>
                                                <a:srgbClr val="0000FF"/>
                                              </a:solidFill>
                                              <a:round/>
                                              <a:headEnd/>
                                              <a:tailEnd/>
                                            </a:ln>
                                            <a:extLst>
                                              <a:ext uri="{909E8E84-426E-40DD-AFC4-6F175D3DCCD1}">
                                                <a14:hiddenFill xmlns:a14="http://schemas.microsoft.com/office/drawing/2010/main">
                                                  <a:noFill/>
                                                </a14:hiddenFill>
                                              </a:ext>
                                            </a:extLst>
                                          </wps:spPr>
                                          <wps:bodyPr/>
                                        </wps:wsp>
                                        <wpg:grpSp>
                                          <wpg:cNvPr id="374018403" name="Group 152"/>
                                          <wpg:cNvGrpSpPr>
                                            <a:grpSpLocks/>
                                          </wpg:cNvGrpSpPr>
                                          <wpg:grpSpPr bwMode="auto">
                                            <a:xfrm>
                                              <a:off x="1058" y="3038"/>
                                              <a:ext cx="5400" cy="3780"/>
                                              <a:chOff x="1058" y="3038"/>
                                              <a:chExt cx="5400" cy="3780"/>
                                            </a:xfrm>
                                          </wpg:grpSpPr>
                                          <wps:wsp>
                                            <wps:cNvPr id="838214182" name="Line 153"/>
                                            <wps:cNvCnPr>
                                              <a:cxnSpLocks noChangeShapeType="1"/>
                                            </wps:cNvCnPr>
                                            <wps:spPr bwMode="auto">
                                              <a:xfrm>
                                                <a:off x="1058" y="6818"/>
                                                <a:ext cx="5400" cy="0"/>
                                              </a:xfrm>
                                              <a:prstGeom prst="line">
                                                <a:avLst/>
                                              </a:prstGeom>
                                              <a:noFill/>
                                              <a:ln w="57150">
                                                <a:solidFill>
                                                  <a:srgbClr val="0000FF"/>
                                                </a:solidFill>
                                                <a:round/>
                                                <a:headEnd/>
                                                <a:tailEnd/>
                                              </a:ln>
                                              <a:extLst>
                                                <a:ext uri="{909E8E84-426E-40DD-AFC4-6F175D3DCCD1}">
                                                  <a14:hiddenFill xmlns:a14="http://schemas.microsoft.com/office/drawing/2010/main">
                                                    <a:noFill/>
                                                  </a14:hiddenFill>
                                                </a:ext>
                                              </a:extLst>
                                            </wps:spPr>
                                            <wps:bodyPr/>
                                          </wps:wsp>
                                          <wps:wsp>
                                            <wps:cNvPr id="640056626" name="Line 154"/>
                                            <wps:cNvCnPr>
                                              <a:cxnSpLocks noChangeShapeType="1"/>
                                            </wps:cNvCnPr>
                                            <wps:spPr bwMode="auto">
                                              <a:xfrm flipV="1">
                                                <a:off x="1058" y="3038"/>
                                                <a:ext cx="0" cy="3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0590890" name="Line 155"/>
                                            <wps:cNvCnPr>
                                              <a:cxnSpLocks noChangeShapeType="1"/>
                                            </wps:cNvCnPr>
                                            <wps:spPr bwMode="auto">
                                              <a:xfrm>
                                                <a:off x="1058" y="3038"/>
                                                <a:ext cx="5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4043387" name="Line 156"/>
                                            <wps:cNvCnPr>
                                              <a:cxnSpLocks noChangeShapeType="1"/>
                                            </wps:cNvCnPr>
                                            <wps:spPr bwMode="auto">
                                              <a:xfrm>
                                                <a:off x="6458" y="3038"/>
                                                <a:ext cx="0" cy="3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187964580" name="Line 157"/>
                                          <wps:cNvCnPr>
                                            <a:cxnSpLocks noChangeShapeType="1"/>
                                          </wps:cNvCnPr>
                                          <wps:spPr bwMode="auto">
                                            <a:xfrm>
                                              <a:off x="7718" y="4118"/>
                                              <a:ext cx="5220"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g:grpSp>
                                          <wpg:cNvPr id="835513760" name="Group 158"/>
                                          <wpg:cNvGrpSpPr>
                                            <a:grpSpLocks/>
                                          </wpg:cNvGrpSpPr>
                                          <wpg:grpSpPr bwMode="auto">
                                            <a:xfrm>
                                              <a:off x="3578" y="3398"/>
                                              <a:ext cx="7740" cy="4500"/>
                                              <a:chOff x="3578" y="3398"/>
                                              <a:chExt cx="7740" cy="4500"/>
                                            </a:xfrm>
                                          </wpg:grpSpPr>
                                          <wps:wsp>
                                            <wps:cNvPr id="1554333752" name="Line 159"/>
                                            <wps:cNvCnPr>
                                              <a:cxnSpLocks noChangeShapeType="1"/>
                                            </wps:cNvCnPr>
                                            <wps:spPr bwMode="auto">
                                              <a:xfrm flipV="1">
                                                <a:off x="9338" y="3758"/>
                                                <a:ext cx="0" cy="720"/>
                                              </a:xfrm>
                                              <a:prstGeom prst="line">
                                                <a:avLst/>
                                              </a:prstGeom>
                                              <a:noFill/>
                                              <a:ln w="28575">
                                                <a:solidFill>
                                                  <a:srgbClr val="FF66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1803446977" name="Line 160"/>
                                            <wps:cNvCnPr>
                                              <a:cxnSpLocks noChangeShapeType="1"/>
                                            </wps:cNvCnPr>
                                            <wps:spPr bwMode="auto">
                                              <a:xfrm>
                                                <a:off x="9338" y="5378"/>
                                                <a:ext cx="0" cy="1080"/>
                                              </a:xfrm>
                                              <a:prstGeom prst="line">
                                                <a:avLst/>
                                              </a:prstGeom>
                                              <a:noFill/>
                                              <a:ln w="19050">
                                                <a:solidFill>
                                                  <a:srgbClr val="FF6600"/>
                                                </a:solidFill>
                                                <a:round/>
                                                <a:headEnd/>
                                                <a:tailEnd type="triangle" w="med" len="med"/>
                                              </a:ln>
                                              <a:extLst>
                                                <a:ext uri="{909E8E84-426E-40DD-AFC4-6F175D3DCCD1}">
                                                  <a14:hiddenFill xmlns:a14="http://schemas.microsoft.com/office/drawing/2010/main">
                                                    <a:noFill/>
                                                  </a14:hiddenFill>
                                                </a:ext>
                                              </a:extLst>
                                            </wps:spPr>
                                            <wps:bodyPr/>
                                          </wps:wsp>
                                          <wps:wsp>
                                            <wps:cNvPr id="536390927" name="Line 161"/>
                                            <wps:cNvCnPr>
                                              <a:cxnSpLocks noChangeShapeType="1"/>
                                            </wps:cNvCnPr>
                                            <wps:spPr bwMode="auto">
                                              <a:xfrm>
                                                <a:off x="10238" y="3398"/>
                                                <a:ext cx="540" cy="0"/>
                                              </a:xfrm>
                                              <a:prstGeom prst="line">
                                                <a:avLst/>
                                              </a:prstGeom>
                                              <a:noFill/>
                                              <a:ln w="28575">
                                                <a:solidFill>
                                                  <a:srgbClr val="FF66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158041557" name="Line 162"/>
                                            <wps:cNvCnPr>
                                              <a:cxnSpLocks noChangeShapeType="1"/>
                                            </wps:cNvCnPr>
                                            <wps:spPr bwMode="auto">
                                              <a:xfrm>
                                                <a:off x="11318" y="3758"/>
                                                <a:ext cx="0" cy="360"/>
                                              </a:xfrm>
                                              <a:prstGeom prst="line">
                                                <a:avLst/>
                                              </a:prstGeom>
                                              <a:noFill/>
                                              <a:ln w="19050">
                                                <a:solidFill>
                                                  <a:srgbClr val="FF6600"/>
                                                </a:solidFill>
                                                <a:round/>
                                                <a:headEnd/>
                                                <a:tailEnd type="triangle" w="med" len="med"/>
                                              </a:ln>
                                              <a:extLst>
                                                <a:ext uri="{909E8E84-426E-40DD-AFC4-6F175D3DCCD1}">
                                                  <a14:hiddenFill xmlns:a14="http://schemas.microsoft.com/office/drawing/2010/main">
                                                    <a:noFill/>
                                                  </a14:hiddenFill>
                                                </a:ext>
                                              </a:extLst>
                                            </wps:spPr>
                                            <wps:bodyPr/>
                                          </wps:wsp>
                                          <wps:wsp>
                                            <wps:cNvPr id="713051276" name="Line 163"/>
                                            <wps:cNvCnPr>
                                              <a:cxnSpLocks noChangeShapeType="1"/>
                                            </wps:cNvCnPr>
                                            <wps:spPr bwMode="auto">
                                              <a:xfrm>
                                                <a:off x="10238" y="5198"/>
                                                <a:ext cx="0" cy="360"/>
                                              </a:xfrm>
                                              <a:prstGeom prst="line">
                                                <a:avLst/>
                                              </a:prstGeom>
                                              <a:noFill/>
                                              <a:ln w="19050">
                                                <a:solidFill>
                                                  <a:srgbClr val="FF6600"/>
                                                </a:solidFill>
                                                <a:round/>
                                                <a:headEnd/>
                                                <a:tailEnd type="triangle" w="med" len="med"/>
                                              </a:ln>
                                              <a:extLst>
                                                <a:ext uri="{909E8E84-426E-40DD-AFC4-6F175D3DCCD1}">
                                                  <a14:hiddenFill xmlns:a14="http://schemas.microsoft.com/office/drawing/2010/main">
                                                    <a:noFill/>
                                                  </a14:hiddenFill>
                                                </a:ext>
                                              </a:extLst>
                                            </wps:spPr>
                                            <wps:bodyPr/>
                                          </wps:wsp>
                                          <wps:wsp>
                                            <wps:cNvPr id="516157156" name="Line 164"/>
                                            <wps:cNvCnPr>
                                              <a:cxnSpLocks noChangeShapeType="1"/>
                                            </wps:cNvCnPr>
                                            <wps:spPr bwMode="auto">
                                              <a:xfrm>
                                                <a:off x="10238" y="5918"/>
                                                <a:ext cx="0" cy="360"/>
                                              </a:xfrm>
                                              <a:prstGeom prst="line">
                                                <a:avLst/>
                                              </a:prstGeom>
                                              <a:noFill/>
                                              <a:ln w="19050">
                                                <a:solidFill>
                                                  <a:srgbClr val="FF6600"/>
                                                </a:solidFill>
                                                <a:round/>
                                                <a:headEnd/>
                                                <a:tailEnd type="triangle" w="med" len="med"/>
                                              </a:ln>
                                              <a:extLst>
                                                <a:ext uri="{909E8E84-426E-40DD-AFC4-6F175D3DCCD1}">
                                                  <a14:hiddenFill xmlns:a14="http://schemas.microsoft.com/office/drawing/2010/main">
                                                    <a:noFill/>
                                                  </a14:hiddenFill>
                                                </a:ext>
                                              </a:extLst>
                                            </wps:spPr>
                                            <wps:bodyPr/>
                                          </wps:wsp>
                                          <wps:wsp>
                                            <wps:cNvPr id="1554086119" name="Line 165"/>
                                            <wps:cNvCnPr>
                                              <a:cxnSpLocks noChangeShapeType="1"/>
                                            </wps:cNvCnPr>
                                            <wps:spPr bwMode="auto">
                                              <a:xfrm>
                                                <a:off x="8798" y="6278"/>
                                                <a:ext cx="0" cy="180"/>
                                              </a:xfrm>
                                              <a:prstGeom prst="line">
                                                <a:avLst/>
                                              </a:prstGeom>
                                              <a:noFill/>
                                              <a:ln w="19050">
                                                <a:solidFill>
                                                  <a:srgbClr val="FF6600"/>
                                                </a:solidFill>
                                                <a:round/>
                                                <a:headEnd/>
                                                <a:tailEnd type="triangle" w="med" len="med"/>
                                              </a:ln>
                                              <a:extLst>
                                                <a:ext uri="{909E8E84-426E-40DD-AFC4-6F175D3DCCD1}">
                                                  <a14:hiddenFill xmlns:a14="http://schemas.microsoft.com/office/drawing/2010/main">
                                                    <a:noFill/>
                                                  </a14:hiddenFill>
                                                </a:ext>
                                              </a:extLst>
                                            </wps:spPr>
                                            <wps:bodyPr/>
                                          </wps:wsp>
                                          <wps:wsp>
                                            <wps:cNvPr id="1750100905" name="Line 166"/>
                                            <wps:cNvCnPr>
                                              <a:cxnSpLocks noChangeShapeType="1"/>
                                            </wps:cNvCnPr>
                                            <wps:spPr bwMode="auto">
                                              <a:xfrm>
                                                <a:off x="8258" y="6278"/>
                                                <a:ext cx="0" cy="1620"/>
                                              </a:xfrm>
                                              <a:prstGeom prst="line">
                                                <a:avLst/>
                                              </a:prstGeom>
                                              <a:noFill/>
                                              <a:ln w="19050">
                                                <a:solidFill>
                                                  <a:srgbClr val="FF6600"/>
                                                </a:solidFill>
                                                <a:round/>
                                                <a:headEnd/>
                                                <a:tailEnd/>
                                              </a:ln>
                                              <a:extLst>
                                                <a:ext uri="{909E8E84-426E-40DD-AFC4-6F175D3DCCD1}">
                                                  <a14:hiddenFill xmlns:a14="http://schemas.microsoft.com/office/drawing/2010/main">
                                                    <a:noFill/>
                                                  </a14:hiddenFill>
                                                </a:ext>
                                              </a:extLst>
                                            </wps:spPr>
                                            <wps:bodyPr/>
                                          </wps:wsp>
                                          <wps:wsp>
                                            <wps:cNvPr id="773436146" name="Line 167"/>
                                            <wps:cNvCnPr>
                                              <a:cxnSpLocks noChangeShapeType="1"/>
                                            </wps:cNvCnPr>
                                            <wps:spPr bwMode="auto">
                                              <a:xfrm>
                                                <a:off x="9158" y="7178"/>
                                                <a:ext cx="0" cy="720"/>
                                              </a:xfrm>
                                              <a:prstGeom prst="line">
                                                <a:avLst/>
                                              </a:prstGeom>
                                              <a:noFill/>
                                              <a:ln w="19050">
                                                <a:solidFill>
                                                  <a:srgbClr val="FF6600"/>
                                                </a:solidFill>
                                                <a:round/>
                                                <a:headEnd/>
                                                <a:tailEnd/>
                                              </a:ln>
                                              <a:extLst>
                                                <a:ext uri="{909E8E84-426E-40DD-AFC4-6F175D3DCCD1}">
                                                  <a14:hiddenFill xmlns:a14="http://schemas.microsoft.com/office/drawing/2010/main">
                                                    <a:noFill/>
                                                  </a14:hiddenFill>
                                                </a:ext>
                                              </a:extLst>
                                            </wps:spPr>
                                            <wps:bodyPr/>
                                          </wps:wsp>
                                          <wps:wsp>
                                            <wps:cNvPr id="673257972" name="Line 168"/>
                                            <wps:cNvCnPr>
                                              <a:cxnSpLocks noChangeShapeType="1"/>
                                            </wps:cNvCnPr>
                                            <wps:spPr bwMode="auto">
                                              <a:xfrm>
                                                <a:off x="10238" y="6638"/>
                                                <a:ext cx="0" cy="1260"/>
                                              </a:xfrm>
                                              <a:prstGeom prst="line">
                                                <a:avLst/>
                                              </a:prstGeom>
                                              <a:noFill/>
                                              <a:ln w="19050">
                                                <a:solidFill>
                                                  <a:srgbClr val="FF6600"/>
                                                </a:solidFill>
                                                <a:round/>
                                                <a:headEnd/>
                                                <a:tailEnd/>
                                              </a:ln>
                                              <a:extLst>
                                                <a:ext uri="{909E8E84-426E-40DD-AFC4-6F175D3DCCD1}">
                                                  <a14:hiddenFill xmlns:a14="http://schemas.microsoft.com/office/drawing/2010/main">
                                                    <a:noFill/>
                                                  </a14:hiddenFill>
                                                </a:ext>
                                              </a:extLst>
                                            </wps:spPr>
                                            <wps:bodyPr/>
                                          </wps:wsp>
                                          <wps:wsp>
                                            <wps:cNvPr id="853917729" name="Line 169"/>
                                            <wps:cNvCnPr>
                                              <a:cxnSpLocks noChangeShapeType="1"/>
                                            </wps:cNvCnPr>
                                            <wps:spPr bwMode="auto">
                                              <a:xfrm flipH="1">
                                                <a:off x="3578" y="7898"/>
                                                <a:ext cx="6660" cy="0"/>
                                              </a:xfrm>
                                              <a:prstGeom prst="line">
                                                <a:avLst/>
                                              </a:prstGeom>
                                              <a:noFill/>
                                              <a:ln w="19050">
                                                <a:solidFill>
                                                  <a:srgbClr val="FF6600"/>
                                                </a:solidFill>
                                                <a:round/>
                                                <a:headEnd/>
                                                <a:tailEnd/>
                                              </a:ln>
                                              <a:extLst>
                                                <a:ext uri="{909E8E84-426E-40DD-AFC4-6F175D3DCCD1}">
                                                  <a14:hiddenFill xmlns:a14="http://schemas.microsoft.com/office/drawing/2010/main">
                                                    <a:noFill/>
                                                  </a14:hiddenFill>
                                                </a:ext>
                                              </a:extLst>
                                            </wps:spPr>
                                            <wps:bodyPr/>
                                          </wps:wsp>
                                          <wps:wsp>
                                            <wps:cNvPr id="839234114" name="Line 170"/>
                                            <wps:cNvCnPr>
                                              <a:cxnSpLocks noChangeShapeType="1"/>
                                            </wps:cNvCnPr>
                                            <wps:spPr bwMode="auto">
                                              <a:xfrm flipV="1">
                                                <a:off x="3578" y="6818"/>
                                                <a:ext cx="0" cy="1080"/>
                                              </a:xfrm>
                                              <a:prstGeom prst="line">
                                                <a:avLst/>
                                              </a:prstGeom>
                                              <a:noFill/>
                                              <a:ln w="19050">
                                                <a:solidFill>
                                                  <a:srgbClr val="FF6600"/>
                                                </a:solidFill>
                                                <a:round/>
                                                <a:headEnd/>
                                                <a:tailEnd type="triangle" w="med" len="med"/>
                                              </a:ln>
                                              <a:extLst>
                                                <a:ext uri="{909E8E84-426E-40DD-AFC4-6F175D3DCCD1}">
                                                  <a14:hiddenFill xmlns:a14="http://schemas.microsoft.com/office/drawing/2010/main">
                                                    <a:noFill/>
                                                  </a14:hiddenFill>
                                                </a:ext>
                                              </a:extLst>
                                            </wps:spPr>
                                            <wps:bodyPr/>
                                          </wps:wsp>
                                          <wps:wsp>
                                            <wps:cNvPr id="18673505" name="Line 171"/>
                                            <wps:cNvCnPr>
                                              <a:cxnSpLocks noChangeShapeType="1"/>
                                            </wps:cNvCnPr>
                                            <wps:spPr bwMode="auto">
                                              <a:xfrm>
                                                <a:off x="8258" y="5198"/>
                                                <a:ext cx="0" cy="540"/>
                                              </a:xfrm>
                                              <a:prstGeom prst="line">
                                                <a:avLst/>
                                              </a:prstGeom>
                                              <a:noFill/>
                                              <a:ln w="19050">
                                                <a:solidFill>
                                                  <a:srgbClr val="FF6600"/>
                                                </a:solidFill>
                                                <a:round/>
                                                <a:headEnd/>
                                                <a:tailEnd type="triangle" w="med" len="med"/>
                                              </a:ln>
                                              <a:extLst>
                                                <a:ext uri="{909E8E84-426E-40DD-AFC4-6F175D3DCCD1}">
                                                  <a14:hiddenFill xmlns:a14="http://schemas.microsoft.com/office/drawing/2010/main">
                                                    <a:noFill/>
                                                  </a14:hiddenFill>
                                                </a:ext>
                                              </a:extLst>
                                            </wps:spPr>
                                            <wps:bodyPr/>
                                          </wps:wsp>
                                        </wpg:grpSp>
                                        <wpg:grpSp>
                                          <wpg:cNvPr id="1703349410" name="Group 172"/>
                                          <wpg:cNvGrpSpPr>
                                            <a:grpSpLocks/>
                                          </wpg:cNvGrpSpPr>
                                          <wpg:grpSpPr bwMode="auto">
                                            <a:xfrm>
                                              <a:off x="7718" y="3578"/>
                                              <a:ext cx="5220" cy="900"/>
                                              <a:chOff x="7718" y="3578"/>
                                              <a:chExt cx="5220" cy="900"/>
                                            </a:xfrm>
                                          </wpg:grpSpPr>
                                          <wps:wsp>
                                            <wps:cNvPr id="996005099" name="AutoShape 173"/>
                                            <wps:cNvSpPr>
                                              <a:spLocks noChangeArrowheads="1"/>
                                            </wps:cNvSpPr>
                                            <wps:spPr bwMode="auto">
                                              <a:xfrm>
                                                <a:off x="7718" y="4118"/>
                                                <a:ext cx="180" cy="180"/>
                                              </a:xfrm>
                                              <a:prstGeom prst="downArrow">
                                                <a:avLst>
                                                  <a:gd name="adj1" fmla="val 50000"/>
                                                  <a:gd name="adj2" fmla="val 25000"/>
                                                </a:avLst>
                                              </a:prstGeom>
                                              <a:solidFill>
                                                <a:srgbClr val="0000FF"/>
                                              </a:solidFill>
                                              <a:ln w="9525">
                                                <a:solidFill>
                                                  <a:srgbClr val="0000FF"/>
                                                </a:solidFill>
                                                <a:miter lim="800000"/>
                                                <a:headEnd/>
                                                <a:tailEnd/>
                                              </a:ln>
                                            </wps:spPr>
                                            <wps:bodyPr rot="0" vert="horz" wrap="square" lIns="91440" tIns="45720" rIns="91440" bIns="45720" anchor="t" anchorCtr="0" upright="1">
                                              <a:noAutofit/>
                                            </wps:bodyPr>
                                          </wps:wsp>
                                          <wps:wsp>
                                            <wps:cNvPr id="597584191" name="AutoShape 174"/>
                                            <wps:cNvSpPr>
                                              <a:spLocks noChangeArrowheads="1"/>
                                            </wps:cNvSpPr>
                                            <wps:spPr bwMode="auto">
                                              <a:xfrm>
                                                <a:off x="8618" y="4118"/>
                                                <a:ext cx="180" cy="180"/>
                                              </a:xfrm>
                                              <a:prstGeom prst="downArrow">
                                                <a:avLst>
                                                  <a:gd name="adj1" fmla="val 50000"/>
                                                  <a:gd name="adj2" fmla="val 25000"/>
                                                </a:avLst>
                                              </a:prstGeom>
                                              <a:solidFill>
                                                <a:srgbClr val="0000FF"/>
                                              </a:solidFill>
                                              <a:ln w="9525">
                                                <a:solidFill>
                                                  <a:srgbClr val="0000FF"/>
                                                </a:solidFill>
                                                <a:miter lim="800000"/>
                                                <a:headEnd/>
                                                <a:tailEnd/>
                                              </a:ln>
                                            </wps:spPr>
                                            <wps:bodyPr rot="0" vert="horz" wrap="square" lIns="91440" tIns="45720" rIns="91440" bIns="45720" anchor="t" anchorCtr="0" upright="1">
                                              <a:noAutofit/>
                                            </wps:bodyPr>
                                          </wps:wsp>
                                          <wps:wsp>
                                            <wps:cNvPr id="9799237" name="AutoShape 175"/>
                                            <wps:cNvSpPr>
                                              <a:spLocks noChangeArrowheads="1"/>
                                            </wps:cNvSpPr>
                                            <wps:spPr bwMode="auto">
                                              <a:xfrm>
                                                <a:off x="9518" y="4118"/>
                                                <a:ext cx="180" cy="180"/>
                                              </a:xfrm>
                                              <a:prstGeom prst="downArrow">
                                                <a:avLst>
                                                  <a:gd name="adj1" fmla="val 50000"/>
                                                  <a:gd name="adj2" fmla="val 25000"/>
                                                </a:avLst>
                                              </a:prstGeom>
                                              <a:solidFill>
                                                <a:srgbClr val="0000FF"/>
                                              </a:solidFill>
                                              <a:ln w="9525">
                                                <a:solidFill>
                                                  <a:srgbClr val="0000FF"/>
                                                </a:solidFill>
                                                <a:miter lim="800000"/>
                                                <a:headEnd/>
                                                <a:tailEnd/>
                                              </a:ln>
                                            </wps:spPr>
                                            <wps:bodyPr rot="0" vert="horz" wrap="square" lIns="91440" tIns="45720" rIns="91440" bIns="45720" anchor="t" anchorCtr="0" upright="1">
                                              <a:noAutofit/>
                                            </wps:bodyPr>
                                          </wps:wsp>
                                          <wps:wsp>
                                            <wps:cNvPr id="1791942503" name="AutoShape 176"/>
                                            <wps:cNvSpPr>
                                              <a:spLocks noChangeArrowheads="1"/>
                                            </wps:cNvSpPr>
                                            <wps:spPr bwMode="auto">
                                              <a:xfrm>
                                                <a:off x="10418" y="4118"/>
                                                <a:ext cx="180" cy="180"/>
                                              </a:xfrm>
                                              <a:prstGeom prst="downArrow">
                                                <a:avLst>
                                                  <a:gd name="adj1" fmla="val 50000"/>
                                                  <a:gd name="adj2" fmla="val 25000"/>
                                                </a:avLst>
                                              </a:prstGeom>
                                              <a:solidFill>
                                                <a:srgbClr val="0000FF"/>
                                              </a:solidFill>
                                              <a:ln w="9525">
                                                <a:solidFill>
                                                  <a:srgbClr val="0000FF"/>
                                                </a:solidFill>
                                                <a:miter lim="800000"/>
                                                <a:headEnd/>
                                                <a:tailEnd/>
                                              </a:ln>
                                            </wps:spPr>
                                            <wps:bodyPr rot="0" vert="horz" wrap="square" lIns="91440" tIns="45720" rIns="91440" bIns="45720" anchor="t" anchorCtr="0" upright="1">
                                              <a:noAutofit/>
                                            </wps:bodyPr>
                                          </wps:wsp>
                                          <wps:wsp>
                                            <wps:cNvPr id="1785903527" name="AutoShape 177"/>
                                            <wps:cNvSpPr>
                                              <a:spLocks noChangeArrowheads="1"/>
                                            </wps:cNvSpPr>
                                            <wps:spPr bwMode="auto">
                                              <a:xfrm>
                                                <a:off x="11138" y="4118"/>
                                                <a:ext cx="180" cy="180"/>
                                              </a:xfrm>
                                              <a:prstGeom prst="downArrow">
                                                <a:avLst>
                                                  <a:gd name="adj1" fmla="val 50000"/>
                                                  <a:gd name="adj2" fmla="val 25000"/>
                                                </a:avLst>
                                              </a:prstGeom>
                                              <a:solidFill>
                                                <a:srgbClr val="0000FF"/>
                                              </a:solidFill>
                                              <a:ln w="9525">
                                                <a:solidFill>
                                                  <a:srgbClr val="0000FF"/>
                                                </a:solidFill>
                                                <a:miter lim="800000"/>
                                                <a:headEnd/>
                                                <a:tailEnd/>
                                              </a:ln>
                                            </wps:spPr>
                                            <wps:bodyPr rot="0" vert="horz" wrap="square" lIns="91440" tIns="45720" rIns="91440" bIns="45720" anchor="t" anchorCtr="0" upright="1">
                                              <a:noAutofit/>
                                            </wps:bodyPr>
                                          </wps:wsp>
                                          <wps:wsp>
                                            <wps:cNvPr id="619307507" name="AutoShape 178"/>
                                            <wps:cNvSpPr>
                                              <a:spLocks noChangeArrowheads="1"/>
                                            </wps:cNvSpPr>
                                            <wps:spPr bwMode="auto">
                                              <a:xfrm>
                                                <a:off x="11858" y="4118"/>
                                                <a:ext cx="180" cy="180"/>
                                              </a:xfrm>
                                              <a:prstGeom prst="downArrow">
                                                <a:avLst>
                                                  <a:gd name="adj1" fmla="val 50000"/>
                                                  <a:gd name="adj2" fmla="val 25000"/>
                                                </a:avLst>
                                              </a:prstGeom>
                                              <a:solidFill>
                                                <a:srgbClr val="0000FF"/>
                                              </a:solidFill>
                                              <a:ln w="9525">
                                                <a:solidFill>
                                                  <a:srgbClr val="0000FF"/>
                                                </a:solidFill>
                                                <a:miter lim="800000"/>
                                                <a:headEnd/>
                                                <a:tailEnd/>
                                              </a:ln>
                                            </wps:spPr>
                                            <wps:bodyPr rot="0" vert="horz" wrap="square" lIns="91440" tIns="45720" rIns="91440" bIns="45720" anchor="t" anchorCtr="0" upright="1">
                                              <a:noAutofit/>
                                            </wps:bodyPr>
                                          </wps:wsp>
                                          <wps:wsp>
                                            <wps:cNvPr id="1695969601" name="AutoShape 179"/>
                                            <wps:cNvSpPr>
                                              <a:spLocks noChangeArrowheads="1"/>
                                            </wps:cNvSpPr>
                                            <wps:spPr bwMode="auto">
                                              <a:xfrm>
                                                <a:off x="12758" y="4118"/>
                                                <a:ext cx="180" cy="180"/>
                                              </a:xfrm>
                                              <a:prstGeom prst="downArrow">
                                                <a:avLst>
                                                  <a:gd name="adj1" fmla="val 50000"/>
                                                  <a:gd name="adj2" fmla="val 25000"/>
                                                </a:avLst>
                                              </a:prstGeom>
                                              <a:solidFill>
                                                <a:srgbClr val="0000FF"/>
                                              </a:solidFill>
                                              <a:ln w="9525">
                                                <a:solidFill>
                                                  <a:srgbClr val="0000FF"/>
                                                </a:solidFill>
                                                <a:miter lim="800000"/>
                                                <a:headEnd/>
                                                <a:tailEnd/>
                                              </a:ln>
                                            </wps:spPr>
                                            <wps:bodyPr rot="0" vert="horz" wrap="square" lIns="91440" tIns="45720" rIns="91440" bIns="45720" anchor="t" anchorCtr="0" upright="1">
                                              <a:noAutofit/>
                                            </wps:bodyPr>
                                          </wps:wsp>
                                          <wps:wsp>
                                            <wps:cNvPr id="1617625655" name="AutoShape 180"/>
                                            <wps:cNvSpPr>
                                              <a:spLocks noChangeArrowheads="1"/>
                                            </wps:cNvSpPr>
                                            <wps:spPr bwMode="auto">
                                              <a:xfrm>
                                                <a:off x="11498" y="3758"/>
                                                <a:ext cx="540" cy="360"/>
                                              </a:xfrm>
                                              <a:prstGeom prst="downArrow">
                                                <a:avLst>
                                                  <a:gd name="adj1" fmla="val 50000"/>
                                                  <a:gd name="adj2" fmla="val 25000"/>
                                                </a:avLst>
                                              </a:prstGeom>
                                              <a:solidFill>
                                                <a:srgbClr val="0000FF"/>
                                              </a:solidFill>
                                              <a:ln w="9525">
                                                <a:solidFill>
                                                  <a:srgbClr val="0000FF"/>
                                                </a:solidFill>
                                                <a:miter lim="800000"/>
                                                <a:headEnd/>
                                                <a:tailEnd/>
                                              </a:ln>
                                            </wps:spPr>
                                            <wps:bodyPr rot="0" vert="horz" wrap="square" lIns="91440" tIns="45720" rIns="91440" bIns="45720" anchor="t" anchorCtr="0" upright="1">
                                              <a:noAutofit/>
                                            </wps:bodyPr>
                                          </wps:wsp>
                                          <wps:wsp>
                                            <wps:cNvPr id="913160887" name="Line 181"/>
                                            <wps:cNvCnPr>
                                              <a:cxnSpLocks noChangeShapeType="1"/>
                                            </wps:cNvCnPr>
                                            <wps:spPr bwMode="auto">
                                              <a:xfrm>
                                                <a:off x="10058" y="4118"/>
                                                <a:ext cx="0" cy="180"/>
                                              </a:xfrm>
                                              <a:prstGeom prst="line">
                                                <a:avLst/>
                                              </a:prstGeom>
                                              <a:noFill/>
                                              <a:ln w="9525">
                                                <a:solidFill>
                                                  <a:srgbClr val="FF6600"/>
                                                </a:solidFill>
                                                <a:round/>
                                                <a:headEnd/>
                                                <a:tailEnd type="triangle" w="med" len="med"/>
                                              </a:ln>
                                              <a:extLst>
                                                <a:ext uri="{909E8E84-426E-40DD-AFC4-6F175D3DCCD1}">
                                                  <a14:hiddenFill xmlns:a14="http://schemas.microsoft.com/office/drawing/2010/main">
                                                    <a:noFill/>
                                                  </a14:hiddenFill>
                                                </a:ext>
                                              </a:extLst>
                                            </wps:spPr>
                                            <wps:bodyPr/>
                                          </wps:wsp>
                                          <wps:wsp>
                                            <wps:cNvPr id="1588564983" name="Line 182"/>
                                            <wps:cNvCnPr>
                                              <a:cxnSpLocks noChangeShapeType="1"/>
                                            </wps:cNvCnPr>
                                            <wps:spPr bwMode="auto">
                                              <a:xfrm>
                                                <a:off x="8258" y="4118"/>
                                                <a:ext cx="0" cy="180"/>
                                              </a:xfrm>
                                              <a:prstGeom prst="line">
                                                <a:avLst/>
                                              </a:prstGeom>
                                              <a:noFill/>
                                              <a:ln w="9525">
                                                <a:solidFill>
                                                  <a:srgbClr val="FF6600"/>
                                                </a:solidFill>
                                                <a:round/>
                                                <a:headEnd/>
                                                <a:tailEnd type="triangle" w="med" len="med"/>
                                              </a:ln>
                                              <a:extLst>
                                                <a:ext uri="{909E8E84-426E-40DD-AFC4-6F175D3DCCD1}">
                                                  <a14:hiddenFill xmlns:a14="http://schemas.microsoft.com/office/drawing/2010/main">
                                                    <a:noFill/>
                                                  </a14:hiddenFill>
                                                </a:ext>
                                              </a:extLst>
                                            </wps:spPr>
                                            <wps:bodyPr/>
                                          </wps:wsp>
                                          <wps:wsp>
                                            <wps:cNvPr id="1080816953" name="Line 183"/>
                                            <wps:cNvCnPr>
                                              <a:cxnSpLocks noChangeShapeType="1"/>
                                            </wps:cNvCnPr>
                                            <wps:spPr bwMode="auto">
                                              <a:xfrm>
                                                <a:off x="12398" y="4118"/>
                                                <a:ext cx="0" cy="180"/>
                                              </a:xfrm>
                                              <a:prstGeom prst="line">
                                                <a:avLst/>
                                              </a:prstGeom>
                                              <a:noFill/>
                                              <a:ln w="9525">
                                                <a:solidFill>
                                                  <a:srgbClr val="FF6600"/>
                                                </a:solidFill>
                                                <a:round/>
                                                <a:headEnd/>
                                                <a:tailEnd type="triangle" w="med" len="med"/>
                                              </a:ln>
                                              <a:extLst>
                                                <a:ext uri="{909E8E84-426E-40DD-AFC4-6F175D3DCCD1}">
                                                  <a14:hiddenFill xmlns:a14="http://schemas.microsoft.com/office/drawing/2010/main">
                                                    <a:noFill/>
                                                  </a14:hiddenFill>
                                                </a:ext>
                                              </a:extLst>
                                            </wps:spPr>
                                            <wps:bodyPr/>
                                          </wps:wsp>
                                          <wps:wsp>
                                            <wps:cNvPr id="1474133972" name="Line 184"/>
                                            <wps:cNvCnPr>
                                              <a:cxnSpLocks noChangeShapeType="1"/>
                                            </wps:cNvCnPr>
                                            <wps:spPr bwMode="auto">
                                              <a:xfrm flipV="1">
                                                <a:off x="9158" y="3758"/>
                                                <a:ext cx="0" cy="720"/>
                                              </a:xfrm>
                                              <a:prstGeom prst="line">
                                                <a:avLst/>
                                              </a:prstGeom>
                                              <a:noFill/>
                                              <a:ln w="28575">
                                                <a:solidFill>
                                                  <a:srgbClr val="0000FF"/>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460855172" name="Line 185"/>
                                            <wps:cNvCnPr>
                                              <a:cxnSpLocks noChangeShapeType="1"/>
                                            </wps:cNvCnPr>
                                            <wps:spPr bwMode="auto">
                                              <a:xfrm>
                                                <a:off x="10238" y="3578"/>
                                                <a:ext cx="540" cy="0"/>
                                              </a:xfrm>
                                              <a:prstGeom prst="line">
                                                <a:avLst/>
                                              </a:prstGeom>
                                              <a:noFill/>
                                              <a:ln w="28575">
                                                <a:solidFill>
                                                  <a:srgbClr val="0000FF"/>
                                                </a:solidFill>
                                                <a:prstDash val="sysDot"/>
                                                <a:round/>
                                                <a:headEnd/>
                                                <a:tailEnd type="triangle" w="med" len="med"/>
                                              </a:ln>
                                              <a:extLst>
                                                <a:ext uri="{909E8E84-426E-40DD-AFC4-6F175D3DCCD1}">
                                                  <a14:hiddenFill xmlns:a14="http://schemas.microsoft.com/office/drawing/2010/main">
                                                    <a:noFill/>
                                                  </a14:hiddenFill>
                                                </a:ext>
                                              </a:extLst>
                                            </wps:spPr>
                                            <wps:bodyPr/>
                                          </wps:wsp>
                                        </wpg:grpSp>
                                        <wps:wsp>
                                          <wps:cNvPr id="477287916" name="Text Box 186"/>
                                          <wps:cNvSpPr txBox="1">
                                            <a:spLocks noChangeArrowheads="1"/>
                                          </wps:cNvSpPr>
                                          <wps:spPr bwMode="auto">
                                            <a:xfrm>
                                              <a:off x="5378" y="2071"/>
                                              <a:ext cx="3420" cy="847"/>
                                            </a:xfrm>
                                            <a:prstGeom prst="rect">
                                              <a:avLst/>
                                            </a:prstGeom>
                                            <a:solidFill>
                                              <a:srgbClr val="FFFFFF"/>
                                            </a:solidFill>
                                            <a:ln w="9525">
                                              <a:solidFill>
                                                <a:srgbClr val="000000"/>
                                              </a:solidFill>
                                              <a:miter lim="800000"/>
                                              <a:headEnd/>
                                              <a:tailEnd/>
                                            </a:ln>
                                          </wps:spPr>
                                          <wps:txbx>
                                            <w:txbxContent>
                                              <w:p w14:paraId="2FE9F3D8" w14:textId="77777777" w:rsidR="006F72B3" w:rsidRPr="00684647" w:rsidRDefault="006F72B3" w:rsidP="00275392">
                                                <w:pPr>
                                                  <w:spacing w:after="0" w:line="240" w:lineRule="auto"/>
                                                  <w:jc w:val="center"/>
                                                  <w:rPr>
                                                    <w:rFonts w:ascii="Times New Roman" w:hAnsi="Times New Roman"/>
                                                    <w:sz w:val="18"/>
                                                    <w:szCs w:val="18"/>
                                                  </w:rPr>
                                                </w:pPr>
                                                <w:r w:rsidRPr="00684647">
                                                  <w:rPr>
                                                    <w:rFonts w:ascii="Times New Roman" w:hAnsi="Times New Roman"/>
                                                    <w:b/>
                                                    <w:bCs/>
                                                    <w:color w:val="C00000"/>
                                                    <w:sz w:val="18"/>
                                                    <w:szCs w:val="18"/>
                                                  </w:rPr>
                                                  <w:t>POLUTION</w:t>
                                                </w:r>
                                                <w:r w:rsidRPr="00684647">
                                                  <w:rPr>
                                                    <w:rFonts w:ascii="Times New Roman" w:hAnsi="Times New Roman"/>
                                                    <w:color w:val="C00000"/>
                                                    <w:sz w:val="18"/>
                                                    <w:szCs w:val="18"/>
                                                  </w:rPr>
                                                  <w:t xml:space="preserve"> </w:t>
                                                </w:r>
                                                <w:r w:rsidRPr="00684647">
                                                  <w:rPr>
                                                    <w:rFonts w:ascii="Times New Roman" w:hAnsi="Times New Roman"/>
                                                    <w:sz w:val="18"/>
                                                    <w:szCs w:val="18"/>
                                                  </w:rPr>
                                                  <w:t>(Pesticides, engrais, huiles, gaz, rejets urbains, industriels, poussières, ...)</w:t>
                                                </w:r>
                                              </w:p>
                                            </w:txbxContent>
                                          </wps:txbx>
                                          <wps:bodyPr rot="0" vert="horz" wrap="square" lIns="91440" tIns="45720" rIns="91440" bIns="45720" anchor="t" anchorCtr="0" upright="1">
                                            <a:noAutofit/>
                                          </wps:bodyPr>
                                        </wps:wsp>
                                        <wps:wsp>
                                          <wps:cNvPr id="969964996" name="Line 187"/>
                                          <wps:cNvCnPr>
                                            <a:cxnSpLocks noChangeShapeType="1"/>
                                          </wps:cNvCnPr>
                                          <wps:spPr bwMode="auto">
                                            <a:xfrm>
                                              <a:off x="6952" y="2931"/>
                                              <a:ext cx="0" cy="19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s:wsp>
                                    <wps:cNvPr id="1058119188" name="Line 188"/>
                                    <wps:cNvCnPr>
                                      <a:cxnSpLocks noChangeShapeType="1"/>
                                    </wps:cNvCnPr>
                                    <wps:spPr bwMode="auto">
                                      <a:xfrm>
                                        <a:off x="9158" y="5918"/>
                                        <a:ext cx="720" cy="0"/>
                                      </a:xfrm>
                                      <a:prstGeom prst="line">
                                        <a:avLst/>
                                      </a:prstGeom>
                                      <a:noFill/>
                                      <a:ln w="9525">
                                        <a:solidFill>
                                          <a:srgbClr val="FF99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g:grpSp>
                            </wpg:grpSp>
                          </wpg:grpSp>
                        </wpg:grpSp>
                        <wpg:grpSp>
                          <wpg:cNvPr id="577415099" name="Groupe 96"/>
                          <wpg:cNvGrpSpPr/>
                          <wpg:grpSpPr>
                            <a:xfrm>
                              <a:off x="796025" y="1236110"/>
                              <a:ext cx="1530520" cy="963095"/>
                              <a:chOff x="0" y="0"/>
                              <a:chExt cx="1530520" cy="963095"/>
                            </a:xfrm>
                          </wpg:grpSpPr>
                          <wps:wsp>
                            <wps:cNvPr id="1028469741" name="Connecteur droit 31"/>
                            <wps:cNvCnPr>
                              <a:cxnSpLocks noChangeShapeType="1"/>
                            </wps:cNvCnPr>
                            <wps:spPr bwMode="auto">
                              <a:xfrm flipH="1">
                                <a:off x="54298" y="473296"/>
                                <a:ext cx="228600" cy="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g:grpSp>
                            <wpg:cNvPr id="642465323" name="Groupe 95"/>
                            <wpg:cNvGrpSpPr/>
                            <wpg:grpSpPr>
                              <a:xfrm>
                                <a:off x="0" y="0"/>
                                <a:ext cx="1530520" cy="963095"/>
                                <a:chOff x="0" y="0"/>
                                <a:chExt cx="1530520" cy="963095"/>
                              </a:xfrm>
                            </wpg:grpSpPr>
                            <wps:wsp>
                              <wps:cNvPr id="371358381" name="Connecteur droit 32"/>
                              <wps:cNvCnPr>
                                <a:cxnSpLocks noChangeShapeType="1"/>
                              </wps:cNvCnPr>
                              <wps:spPr bwMode="auto">
                                <a:xfrm flipV="1">
                                  <a:off x="689467" y="0"/>
                                  <a:ext cx="0" cy="22860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193777111" name="Connecteur droit 33"/>
                              <wps:cNvCnPr>
                                <a:cxnSpLocks noChangeShapeType="1"/>
                              </wps:cNvCnPr>
                              <wps:spPr bwMode="auto">
                                <a:xfrm flipV="1">
                                  <a:off x="1510960" y="0"/>
                                  <a:ext cx="0" cy="34290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994665912" name="Connecteur droit 29"/>
                              <wps:cNvCnPr>
                                <a:cxnSpLocks noChangeShapeType="1"/>
                              </wps:cNvCnPr>
                              <wps:spPr bwMode="auto">
                                <a:xfrm>
                                  <a:off x="1530520" y="602469"/>
                                  <a:ext cx="0" cy="34290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1250711913" name="Connecteur droit 28"/>
                              <wps:cNvCnPr>
                                <a:cxnSpLocks noChangeShapeType="1"/>
                              </wps:cNvCnPr>
                              <wps:spPr bwMode="auto">
                                <a:xfrm>
                                  <a:off x="704137" y="734495"/>
                                  <a:ext cx="0" cy="22860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066700199" name="Connecteur droit 30"/>
                              <wps:cNvCnPr>
                                <a:cxnSpLocks noChangeShapeType="1"/>
                              </wps:cNvCnPr>
                              <wps:spPr bwMode="auto">
                                <a:xfrm flipH="1">
                                  <a:off x="0" y="589640"/>
                                  <a:ext cx="342900" cy="22860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g:grpSp>
                        </wpg:grpSp>
                      </wpg:grpSp>
                      <wps:wsp>
                        <wps:cNvPr id="1162057051" name="Text Box 123"/>
                        <wps:cNvSpPr txBox="1">
                          <a:spLocks noChangeArrowheads="1"/>
                        </wps:cNvSpPr>
                        <wps:spPr bwMode="auto">
                          <a:xfrm>
                            <a:off x="542772" y="122205"/>
                            <a:ext cx="1764140" cy="280674"/>
                          </a:xfrm>
                          <a:prstGeom prst="rect">
                            <a:avLst/>
                          </a:prstGeom>
                          <a:solidFill>
                            <a:srgbClr val="FFFFFF"/>
                          </a:solidFill>
                          <a:ln w="9525">
                            <a:solidFill>
                              <a:srgbClr val="C00000"/>
                            </a:solidFill>
                            <a:miter lim="800000"/>
                            <a:headEnd/>
                            <a:tailEnd/>
                          </a:ln>
                        </wps:spPr>
                        <wps:txbx>
                          <w:txbxContent>
                            <w:p w14:paraId="53B37977" w14:textId="77777777" w:rsidR="006F72B3" w:rsidRPr="00684647" w:rsidRDefault="006F72B3" w:rsidP="006F72B3">
                              <w:pPr>
                                <w:jc w:val="center"/>
                                <w:rPr>
                                  <w:rFonts w:ascii="Times New Roman" w:hAnsi="Times New Roman"/>
                                  <w:b/>
                                  <w:color w:val="C00000"/>
                                  <w:sz w:val="18"/>
                                  <w:szCs w:val="18"/>
                                </w:rPr>
                              </w:pPr>
                              <w:r w:rsidRPr="00684647">
                                <w:rPr>
                                  <w:rFonts w:ascii="Times New Roman" w:hAnsi="Times New Roman"/>
                                  <w:b/>
                                  <w:color w:val="C00000"/>
                                  <w:sz w:val="18"/>
                                  <w:szCs w:val="18"/>
                                </w:rPr>
                                <w:t>PRELEVEMENT DE L’EAU</w:t>
                              </w:r>
                            </w:p>
                          </w:txbxContent>
                        </wps:txbx>
                        <wps:bodyPr rot="0" vert="horz" wrap="square" lIns="91440" tIns="45720" rIns="91440" bIns="45720" anchor="t" anchorCtr="0" upright="1">
                          <a:noAutofit/>
                        </wps:bodyPr>
                      </wps:wsp>
                      <wps:wsp>
                        <wps:cNvPr id="1627855467" name="Flèche : haut 102"/>
                        <wps:cNvSpPr/>
                        <wps:spPr>
                          <a:xfrm>
                            <a:off x="1397985" y="483585"/>
                            <a:ext cx="171654" cy="205882"/>
                          </a:xfrm>
                          <a:prstGeom prst="upArrow">
                            <a:avLst/>
                          </a:prstGeom>
                          <a:solidFill>
                            <a:srgbClr val="C0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F3FFC94" id="Groupe 103" o:spid="_x0000_s1114" style="position:absolute;left:0;text-align:left;margin-left:36.8pt;margin-top:5.65pt;width:566.2pt;height:300.95pt;z-index:251693568;mso-height-relative:margin" coordorigin=",137" coordsize="71907,36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">
                <v:group id="Groupe 97" o:spid="_x0000_s1115" style="position:absolute;top:137;width:71907;height:36037" coordorigin=",656" coordsize="71909,34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">
                  <v:group id="Groupe 35" o:spid="_x0000_s1116" style="position:absolute;top:656;width:71909;height:34891" coordorigin="1058,1531" coordsize="11880,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">
                    <v:group id="Group 114" o:spid="_x0000_s1117" style="position:absolute;left:7358;top:2858;width:4500;height:4500" coordorigin="7358,2858" coordsize="4500,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">
                      <v:line id="Line 115" o:spid="_x0000_s1118" style="position:absolute;visibility:visible;mso-wrap-style:square" from="7366,2858" to="7366,7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"/>
                      <v:line id="Line 116" o:spid="_x0000_s1119" style="position:absolute;visibility:visible;mso-wrap-style:square" from="7358,7358" to="11858,7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"/>
                      <v:line id="Line 117" o:spid="_x0000_s1120" style="position:absolute;flip:y;visibility:visible;mso-wrap-style:square" from="11858,5378" to="11858,7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"/>
                      <v:line id="Line 118" o:spid="_x0000_s1121" style="position:absolute;flip:x;visibility:visible;mso-wrap-style:square" from="10598,5378" to="11858,5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"/>
                      <v:line id="Line 119" o:spid="_x0000_s1122" style="position:absolute;flip:y;visibility:visible;mso-wrap-style:square" from="10598,2858" to="10598,5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"/>
                      <v:line id="Line 120" o:spid="_x0000_s1123" style="position:absolute;flip:x;visibility:visible;mso-wrap-style:square" from="7358,2858" to="10598,2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"/>
                    </v:group>
                    <v:group id="Group 121" o:spid="_x0000_s1124" style="position:absolute;left:1058;top:1531;width:11880;height:6007" coordorigin="1058,2071" coordsize="11880,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">
                      <v:group id="Group 122" o:spid="_x0000_s1125" style="position:absolute;left:1238;top:3398;width:5040;height:3060" coordorigin="1238,1058" coordsize="5040,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">
                        <v:shape id="Text Box 123" o:spid="_x0000_s1126" type="#_x0000_t202" style="position:absolute;left:2498;top:1058;width:16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">
                          <v:textbox>
                            <w:txbxContent>
                              <w:p w14:paraId="404623C8" w14:textId="77777777" w:rsidR="006F72B3" w:rsidRPr="00684647" w:rsidRDefault="006F72B3" w:rsidP="00275392">
                                <w:pPr>
                                  <w:spacing w:after="0" w:line="240" w:lineRule="auto"/>
                                  <w:jc w:val="center"/>
                                  <w:rPr>
                                    <w:rFonts w:ascii="Times New Roman" w:hAnsi="Times New Roman"/>
                                    <w:b/>
                                    <w:sz w:val="18"/>
                                    <w:szCs w:val="18"/>
                                  </w:rPr>
                                </w:pPr>
                                <w:r w:rsidRPr="00684647">
                                  <w:rPr>
                                    <w:rFonts w:ascii="Times New Roman" w:hAnsi="Times New Roman"/>
                                    <w:b/>
                                    <w:sz w:val="18"/>
                                    <w:szCs w:val="18"/>
                                  </w:rPr>
                                  <w:t>Agriculture Elevage</w:t>
                                </w:r>
                              </w:p>
                            </w:txbxContent>
                          </v:textbox>
                        </v:shape>
                        <v:oval id="Oval 124" o:spid="_x0000_s1127" style="position:absolute;left:2858;top:2138;width:216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" fillcolor="#cfc">
                          <v:textbox>
                            <w:txbxContent>
                              <w:p w14:paraId="2F1EF1B1" w14:textId="77777777" w:rsidR="006F72B3" w:rsidRPr="00684647" w:rsidRDefault="006F72B3" w:rsidP="00684647">
                                <w:pPr>
                                  <w:spacing w:after="0" w:line="240" w:lineRule="auto"/>
                                  <w:rPr>
                                    <w:rFonts w:ascii="Times New Roman" w:hAnsi="Times New Roman"/>
                                    <w:b/>
                                    <w:sz w:val="18"/>
                                    <w:szCs w:val="18"/>
                                  </w:rPr>
                                </w:pPr>
                                <w:r w:rsidRPr="00684647">
                                  <w:rPr>
                                    <w:rFonts w:ascii="Times New Roman" w:hAnsi="Times New Roman"/>
                                    <w:b/>
                                    <w:sz w:val="18"/>
                                    <w:szCs w:val="18"/>
                                  </w:rPr>
                                  <w:t>LES USAGES DE L’EAU</w:t>
                                </w:r>
                              </w:p>
                            </w:txbxContent>
                          </v:textbox>
                        </v:oval>
                        <v:shape id="Text Box 125" o:spid="_x0000_s1128" type="#_x0000_t202" style="position:absolute;left:1477;top:3218;width:1189;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">
                          <v:textbox>
                            <w:txbxContent>
                              <w:p w14:paraId="74F56579" w14:textId="77777777" w:rsidR="006F72B3" w:rsidRPr="00684647" w:rsidRDefault="006F72B3" w:rsidP="00275392">
                                <w:pPr>
                                  <w:spacing w:after="0" w:line="240" w:lineRule="auto"/>
                                  <w:jc w:val="center"/>
                                  <w:rPr>
                                    <w:rFonts w:ascii="Times New Roman" w:hAnsi="Times New Roman"/>
                                    <w:b/>
                                    <w:sz w:val="18"/>
                                    <w:szCs w:val="18"/>
                                  </w:rPr>
                                </w:pPr>
                                <w:r w:rsidRPr="00684647">
                                  <w:rPr>
                                    <w:rFonts w:ascii="Times New Roman" w:hAnsi="Times New Roman"/>
                                    <w:b/>
                                    <w:sz w:val="18"/>
                                    <w:szCs w:val="18"/>
                                  </w:rPr>
                                  <w:t>Industrie</w:t>
                                </w:r>
                              </w:p>
                              <w:p w14:paraId="0542D483" w14:textId="77777777" w:rsidR="006F72B3" w:rsidRPr="00684647" w:rsidRDefault="006F72B3" w:rsidP="00275392">
                                <w:pPr>
                                  <w:spacing w:after="0" w:line="240" w:lineRule="auto"/>
                                  <w:jc w:val="center"/>
                                  <w:rPr>
                                    <w:rFonts w:ascii="Times New Roman" w:hAnsi="Times New Roman"/>
                                    <w:b/>
                                    <w:sz w:val="18"/>
                                    <w:szCs w:val="18"/>
                                  </w:rPr>
                                </w:pPr>
                                <w:r w:rsidRPr="00684647">
                                  <w:rPr>
                                    <w:rFonts w:ascii="Times New Roman" w:hAnsi="Times New Roman"/>
                                    <w:b/>
                                    <w:sz w:val="18"/>
                                    <w:szCs w:val="18"/>
                                  </w:rPr>
                                  <w:t>Artisanat</w:t>
                                </w:r>
                              </w:p>
                              <w:p w14:paraId="6FDF5B50" w14:textId="77777777" w:rsidR="006F72B3" w:rsidRPr="00275392" w:rsidRDefault="006F72B3" w:rsidP="00275392">
                                <w:pPr>
                                  <w:spacing w:after="0" w:line="240" w:lineRule="auto"/>
                                  <w:jc w:val="center"/>
                                  <w:rPr>
                                    <w:rFonts w:ascii="Times New Roman" w:hAnsi="Times New Roman"/>
                                    <w:b/>
                                    <w:sz w:val="18"/>
                                    <w:szCs w:val="18"/>
                                  </w:rPr>
                                </w:pPr>
                                <w:r w:rsidRPr="00275392">
                                  <w:rPr>
                                    <w:rFonts w:ascii="Times New Roman" w:hAnsi="Times New Roman"/>
                                    <w:b/>
                                    <w:sz w:val="18"/>
                                    <w:szCs w:val="18"/>
                                  </w:rPr>
                                  <w:t>Mines</w:t>
                                </w:r>
                              </w:p>
                            </w:txbxContent>
                          </v:textbox>
                        </v:shape>
                        <v:shape id="Text Box 126" o:spid="_x0000_s1129" type="#_x0000_t202" style="position:absolute;left:1238;top:2138;width:126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">
                          <v:textbox>
                            <w:txbxContent>
                              <w:p w14:paraId="45E270F1" w14:textId="4275A485" w:rsidR="006F72B3" w:rsidRPr="00684647" w:rsidRDefault="006F72B3" w:rsidP="00275392">
                                <w:pPr>
                                  <w:spacing w:after="0" w:line="240" w:lineRule="auto"/>
                                  <w:jc w:val="center"/>
                                  <w:rPr>
                                    <w:rFonts w:ascii="Times New Roman" w:hAnsi="Times New Roman"/>
                                    <w:b/>
                                    <w:sz w:val="18"/>
                                    <w:szCs w:val="18"/>
                                  </w:rPr>
                                </w:pPr>
                                <w:r w:rsidRPr="00684647">
                                  <w:rPr>
                                    <w:rFonts w:ascii="Times New Roman" w:hAnsi="Times New Roman"/>
                                    <w:b/>
                                    <w:sz w:val="18"/>
                                    <w:szCs w:val="18"/>
                                  </w:rPr>
                                  <w:t>Sport et</w:t>
                                </w:r>
                              </w:p>
                              <w:p w14:paraId="1B13A705" w14:textId="77777777" w:rsidR="006F72B3" w:rsidRPr="00684647" w:rsidRDefault="006F72B3" w:rsidP="00275392">
                                <w:pPr>
                                  <w:spacing w:after="0" w:line="240" w:lineRule="auto"/>
                                  <w:jc w:val="center"/>
                                  <w:rPr>
                                    <w:rFonts w:ascii="Times New Roman" w:hAnsi="Times New Roman"/>
                                    <w:b/>
                                    <w:sz w:val="18"/>
                                    <w:szCs w:val="18"/>
                                  </w:rPr>
                                </w:pPr>
                                <w:r w:rsidRPr="00684647">
                                  <w:rPr>
                                    <w:rFonts w:ascii="Times New Roman" w:hAnsi="Times New Roman"/>
                                    <w:b/>
                                    <w:sz w:val="18"/>
                                    <w:szCs w:val="18"/>
                                  </w:rPr>
                                  <w:t>Loisirs</w:t>
                                </w:r>
                              </w:p>
                            </w:txbxContent>
                          </v:textbox>
                        </v:shape>
                        <v:shape id="Text Box 127" o:spid="_x0000_s1130" type="#_x0000_t202" style="position:absolute;left:2858;top:3398;width:16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">
                          <v:textbox>
                            <w:txbxContent>
                              <w:p w14:paraId="4F440F8A" w14:textId="28C1AF89" w:rsidR="006F72B3" w:rsidRPr="00275392" w:rsidRDefault="006F72B3" w:rsidP="00275392">
                                <w:pPr>
                                  <w:spacing w:after="0" w:line="240" w:lineRule="auto"/>
                                  <w:jc w:val="center"/>
                                  <w:rPr>
                                    <w:rFonts w:ascii="Times New Roman" w:hAnsi="Times New Roman"/>
                                    <w:b/>
                                    <w:sz w:val="18"/>
                                    <w:szCs w:val="18"/>
                                  </w:rPr>
                                </w:pPr>
                                <w:r w:rsidRPr="00275392">
                                  <w:rPr>
                                    <w:rFonts w:ascii="Times New Roman" w:hAnsi="Times New Roman"/>
                                    <w:b/>
                                    <w:sz w:val="18"/>
                                    <w:szCs w:val="18"/>
                                  </w:rPr>
                                  <w:t>AEP</w:t>
                                </w:r>
                                <w:r w:rsidR="00275392">
                                  <w:rPr>
                                    <w:rFonts w:ascii="Times New Roman" w:hAnsi="Times New Roman"/>
                                    <w:b/>
                                    <w:sz w:val="18"/>
                                    <w:szCs w:val="18"/>
                                  </w:rPr>
                                  <w:t xml:space="preserve"> </w:t>
                                </w:r>
                                <w:r w:rsidRPr="00275392">
                                  <w:rPr>
                                    <w:rFonts w:ascii="Times New Roman" w:hAnsi="Times New Roman"/>
                                    <w:b/>
                                    <w:sz w:val="18"/>
                                    <w:szCs w:val="18"/>
                                  </w:rPr>
                                  <w:t>Assainissement</w:t>
                                </w:r>
                              </w:p>
                            </w:txbxContent>
                          </v:textbox>
                        </v:shape>
                        <v:shape id="Text Box 128" o:spid="_x0000_s1131" type="#_x0000_t202" style="position:absolute;left:4478;top:1058;width:14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">
                          <v:textbox>
                            <w:txbxContent>
                              <w:p w14:paraId="1D740E0E" w14:textId="77777777" w:rsidR="006F72B3" w:rsidRPr="00684647" w:rsidRDefault="006F72B3" w:rsidP="00684647">
                                <w:pPr>
                                  <w:spacing w:after="0" w:line="240" w:lineRule="auto"/>
                                  <w:rPr>
                                    <w:rFonts w:ascii="Times New Roman" w:hAnsi="Times New Roman"/>
                                    <w:b/>
                                    <w:sz w:val="18"/>
                                    <w:szCs w:val="18"/>
                                  </w:rPr>
                                </w:pPr>
                                <w:r w:rsidRPr="00684647">
                                  <w:rPr>
                                    <w:rFonts w:ascii="Times New Roman" w:hAnsi="Times New Roman"/>
                                    <w:b/>
                                    <w:sz w:val="18"/>
                                    <w:szCs w:val="18"/>
                                  </w:rPr>
                                  <w:t>Commerce</w:t>
                                </w:r>
                              </w:p>
                              <w:p w14:paraId="084BE03E" w14:textId="77777777" w:rsidR="006F72B3" w:rsidRPr="00684647" w:rsidRDefault="006F72B3" w:rsidP="00684647">
                                <w:pPr>
                                  <w:spacing w:after="0" w:line="240" w:lineRule="auto"/>
                                  <w:rPr>
                                    <w:rFonts w:ascii="Times New Roman" w:hAnsi="Times New Roman"/>
                                    <w:b/>
                                    <w:sz w:val="18"/>
                                    <w:szCs w:val="18"/>
                                  </w:rPr>
                                </w:pPr>
                                <w:r w:rsidRPr="00684647">
                                  <w:rPr>
                                    <w:rFonts w:ascii="Times New Roman" w:hAnsi="Times New Roman"/>
                                    <w:b/>
                                    <w:sz w:val="18"/>
                                    <w:szCs w:val="18"/>
                                  </w:rPr>
                                  <w:t>Transport</w:t>
                                </w:r>
                              </w:p>
                            </w:txbxContent>
                          </v:textbox>
                        </v:shape>
                        <v:shape id="Text Box 129" o:spid="_x0000_s1132" type="#_x0000_t202" style="position:absolute;left:4658;top:3398;width:16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">
                          <v:textbox>
                            <w:txbxContent>
                              <w:p w14:paraId="60502979" w14:textId="77777777" w:rsidR="006F72B3" w:rsidRPr="00275392" w:rsidRDefault="006F72B3" w:rsidP="00275392">
                                <w:pPr>
                                  <w:spacing w:after="0" w:line="240" w:lineRule="auto"/>
                                  <w:jc w:val="center"/>
                                  <w:rPr>
                                    <w:rFonts w:ascii="Times New Roman" w:hAnsi="Times New Roman"/>
                                    <w:b/>
                                    <w:sz w:val="18"/>
                                    <w:szCs w:val="18"/>
                                  </w:rPr>
                                </w:pPr>
                                <w:r w:rsidRPr="00275392">
                                  <w:rPr>
                                    <w:rFonts w:ascii="Times New Roman" w:hAnsi="Times New Roman"/>
                                    <w:b/>
                                    <w:sz w:val="18"/>
                                    <w:szCs w:val="18"/>
                                  </w:rPr>
                                  <w:t>Environnement</w:t>
                                </w:r>
                              </w:p>
                            </w:txbxContent>
                          </v:textbox>
                        </v:shape>
                      </v:group>
                      <v:group id="Group 130" o:spid="_x0000_s1133" style="position:absolute;left:1058;top:2071;width:11880;height:6007" coordorigin="1058,2071" coordsize="11880,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">
                        <v:shape id="Text Box 131" o:spid="_x0000_s1134" type="#_x0000_t202" style="position:absolute;left:8798;top:3218;width:14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">
                          <v:textbox>
                            <w:txbxContent>
                              <w:p w14:paraId="7536C902" w14:textId="77777777" w:rsidR="006F72B3" w:rsidRPr="00275392" w:rsidRDefault="006F72B3" w:rsidP="00275392">
                                <w:pPr>
                                  <w:spacing w:after="0" w:line="240" w:lineRule="auto"/>
                                  <w:jc w:val="center"/>
                                  <w:rPr>
                                    <w:rFonts w:ascii="Times New Roman" w:hAnsi="Times New Roman"/>
                                    <w:b/>
                                    <w:sz w:val="18"/>
                                    <w:szCs w:val="18"/>
                                  </w:rPr>
                                </w:pPr>
                                <w:r w:rsidRPr="00275392">
                                  <w:rPr>
                                    <w:rFonts w:ascii="Times New Roman" w:hAnsi="Times New Roman"/>
                                    <w:b/>
                                    <w:sz w:val="18"/>
                                    <w:szCs w:val="18"/>
                                  </w:rPr>
                                  <w:t>Air</w:t>
                                </w:r>
                              </w:p>
                            </w:txbxContent>
                          </v:textbox>
                        </v:shape>
                        <v:shape id="Text Box 132" o:spid="_x0000_s1135" type="#_x0000_t202" style="position:absolute;left:10778;top:3218;width:16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">
                          <v:textbox>
                            <w:txbxContent>
                              <w:p w14:paraId="584BB980" w14:textId="77777777" w:rsidR="006F72B3" w:rsidRPr="00275392" w:rsidRDefault="006F72B3" w:rsidP="00275392">
                                <w:pPr>
                                  <w:spacing w:after="0" w:line="240" w:lineRule="auto"/>
                                  <w:jc w:val="center"/>
                                  <w:rPr>
                                    <w:rFonts w:ascii="Times New Roman" w:hAnsi="Times New Roman"/>
                                    <w:b/>
                                    <w:sz w:val="18"/>
                                    <w:szCs w:val="18"/>
                                  </w:rPr>
                                </w:pPr>
                                <w:r w:rsidRPr="00275392">
                                  <w:rPr>
                                    <w:rFonts w:ascii="Times New Roman" w:hAnsi="Times New Roman"/>
                                    <w:b/>
                                    <w:sz w:val="18"/>
                                    <w:szCs w:val="18"/>
                                  </w:rPr>
                                  <w:t>Pluies</w:t>
                                </w:r>
                              </w:p>
                            </w:txbxContent>
                          </v:textbox>
                        </v:shape>
                        <v:group id="Group 133" o:spid="_x0000_s1136" style="position:absolute;left:1058;top:2071;width:11880;height:6007" coordorigin="1058,2071" coordsize="11880,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">
                          <v:oval id="Oval 134" o:spid="_x0000_s1137" style="position:absolute;left:7898;top:4478;width:252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" fillcolor="#fc9">
                            <v:textbox>
                              <w:txbxContent>
                                <w:p w14:paraId="7D03B596" w14:textId="77777777" w:rsidR="006F72B3" w:rsidRPr="00551DAB" w:rsidRDefault="006F72B3" w:rsidP="006F72B3">
                                  <w:pPr>
                                    <w:rPr>
                                      <w:b/>
                                      <w:sz w:val="18"/>
                                      <w:szCs w:val="18"/>
                                    </w:rPr>
                                  </w:pPr>
                                </w:p>
                                <w:p w14:paraId="125A43CA" w14:textId="77777777" w:rsidR="006F72B3" w:rsidRPr="00551DAB" w:rsidRDefault="006F72B3" w:rsidP="006F72B3">
                                  <w:pPr>
                                    <w:rPr>
                                      <w:b/>
                                      <w:sz w:val="18"/>
                                      <w:szCs w:val="18"/>
                                    </w:rPr>
                                  </w:pPr>
                                  <w:r w:rsidRPr="00551DAB">
                                    <w:rPr>
                                      <w:b/>
                                      <w:sz w:val="18"/>
                                      <w:szCs w:val="18"/>
                                    </w:rPr>
                                    <w:t>RECEPTACLES</w:t>
                                  </w:r>
                                </w:p>
                              </w:txbxContent>
                            </v:textbox>
                          </v:oval>
                          <v:group id="Group 135" o:spid="_x0000_s1138" style="position:absolute;left:1058;top:2071;width:11880;height:6007" coordorigin="1058,2071" coordsize="11880,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">
                            <v:group id="Group 136" o:spid="_x0000_s1139" style="position:absolute;left:1058;top:2071;width:11880;height:6007" coordorigin="1058,2071" coordsize="11880,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">
                              <v:shape id="Text Box 137" o:spid="_x0000_s1140" type="#_x0000_t202" style="position:absolute;left:7538;top:5738;width:16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">
                                <v:textbox>
                                  <w:txbxContent>
                                    <w:p w14:paraId="664561B1" w14:textId="77777777" w:rsidR="006F72B3" w:rsidRPr="00275392" w:rsidRDefault="006F72B3" w:rsidP="00275392">
                                      <w:pPr>
                                        <w:spacing w:after="0" w:line="240" w:lineRule="auto"/>
                                        <w:jc w:val="center"/>
                                        <w:rPr>
                                          <w:rFonts w:ascii="Times New Roman" w:hAnsi="Times New Roman"/>
                                          <w:b/>
                                          <w:sz w:val="18"/>
                                          <w:szCs w:val="18"/>
                                        </w:rPr>
                                      </w:pPr>
                                      <w:r w:rsidRPr="00275392">
                                        <w:rPr>
                                          <w:rFonts w:ascii="Times New Roman" w:hAnsi="Times New Roman"/>
                                          <w:b/>
                                          <w:sz w:val="18"/>
                                          <w:szCs w:val="18"/>
                                        </w:rPr>
                                        <w:t>Cours d’eau</w:t>
                                      </w:r>
                                    </w:p>
                                  </w:txbxContent>
                                </v:textbox>
                              </v:shape>
                              <v:shape id="Text Box 138" o:spid="_x0000_s1141" type="#_x0000_t202" style="position:absolute;left:9878;top:5558;width:16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">
                                <v:textbox>
                                  <w:txbxContent>
                                    <w:p w14:paraId="386AD513" w14:textId="77777777" w:rsidR="006F72B3" w:rsidRPr="00275392" w:rsidRDefault="006F72B3" w:rsidP="00275392">
                                      <w:pPr>
                                        <w:spacing w:after="0" w:line="240" w:lineRule="auto"/>
                                        <w:jc w:val="center"/>
                                        <w:rPr>
                                          <w:rFonts w:ascii="Times New Roman" w:hAnsi="Times New Roman"/>
                                          <w:b/>
                                          <w:sz w:val="18"/>
                                          <w:szCs w:val="18"/>
                                        </w:rPr>
                                      </w:pPr>
                                      <w:r w:rsidRPr="00275392">
                                        <w:rPr>
                                          <w:rFonts w:ascii="Times New Roman" w:hAnsi="Times New Roman"/>
                                          <w:b/>
                                          <w:sz w:val="18"/>
                                          <w:szCs w:val="18"/>
                                        </w:rPr>
                                        <w:t>Sols et sous-sols</w:t>
                                      </w:r>
                                    </w:p>
                                  </w:txbxContent>
                                </v:textbox>
                              </v:shape>
                              <v:line id="Line 139" o:spid="_x0000_s1142" style="position:absolute;flip:y;visibility:visible;mso-wrap-style:square" from="3398,6818" to="3398,8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" strokecolor="blue" strokeweight="3pt">
                                <v:stroke endarrow="block" linestyle="thinThin"/>
                              </v:line>
                              <v:group id="Group 140" o:spid="_x0000_s1143" style="position:absolute;left:1058;top:2071;width:11880;height:6007" coordorigin="1058,2078" coordsize="11880,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">
                                <v:shape id="Text Box 141" o:spid="_x0000_s1144" type="#_x0000_t202" style="position:absolute;left:8438;top:6465;width:14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">
                                  <v:textbox>
                                    <w:txbxContent>
                                      <w:p w14:paraId="57C4D037" w14:textId="77777777" w:rsidR="006F72B3" w:rsidRPr="00275392" w:rsidRDefault="006F72B3" w:rsidP="00275392">
                                        <w:pPr>
                                          <w:spacing w:after="0" w:line="240" w:lineRule="auto"/>
                                          <w:jc w:val="center"/>
                                          <w:rPr>
                                            <w:rFonts w:ascii="Times New Roman" w:hAnsi="Times New Roman"/>
                                            <w:b/>
                                            <w:sz w:val="18"/>
                                            <w:szCs w:val="18"/>
                                          </w:rPr>
                                        </w:pPr>
                                        <w:r w:rsidRPr="00275392">
                                          <w:rPr>
                                            <w:rFonts w:ascii="Times New Roman" w:hAnsi="Times New Roman"/>
                                            <w:b/>
                                            <w:sz w:val="18"/>
                                            <w:szCs w:val="18"/>
                                          </w:rPr>
                                          <w:t>Lacs d’eau de surface</w:t>
                                        </w:r>
                                      </w:p>
                                    </w:txbxContent>
                                  </v:textbox>
                                </v:shape>
                                <v:line id="Line 142" o:spid="_x0000_s1145" style="position:absolute;visibility:visible;mso-wrap-style:square" from="8078,6278" to="8078,8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" strokecolor="blue" strokeweight="3pt">
                                  <v:stroke linestyle="thinThin"/>
                                </v:line>
                                <v:line id="Line 143" o:spid="_x0000_s1146" style="position:absolute;visibility:visible;mso-wrap-style:square" from="9338,7178" to="9338,8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" strokecolor="blue" strokeweight="3pt">
                                  <v:stroke linestyle="thinThin"/>
                                </v:line>
                                <v:line id="Line 144" o:spid="_x0000_s1147" style="position:absolute;visibility:visible;mso-wrap-style:square" from="10778,6638" to="10778,8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" strokecolor="blue" strokeweight="3pt">
                                  <v:stroke linestyle="thinThin"/>
                                </v:line>
                                <v:shape id="Text Box 145" o:spid="_x0000_s1148" type="#_x0000_t202" style="position:absolute;left:10058;top:6285;width:18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">
                                  <v:textbox>
                                    <w:txbxContent>
                                      <w:p w14:paraId="7C50DE32" w14:textId="77777777" w:rsidR="006F72B3" w:rsidRPr="00275392" w:rsidRDefault="006F72B3" w:rsidP="00275392">
                                        <w:pPr>
                                          <w:spacing w:after="0" w:line="240" w:lineRule="auto"/>
                                          <w:jc w:val="center"/>
                                          <w:rPr>
                                            <w:rFonts w:ascii="Times New Roman" w:hAnsi="Times New Roman"/>
                                            <w:b/>
                                            <w:sz w:val="18"/>
                                            <w:szCs w:val="18"/>
                                          </w:rPr>
                                        </w:pPr>
                                        <w:r w:rsidRPr="00275392">
                                          <w:rPr>
                                            <w:rFonts w:ascii="Times New Roman" w:hAnsi="Times New Roman"/>
                                            <w:b/>
                                            <w:sz w:val="18"/>
                                            <w:szCs w:val="18"/>
                                          </w:rPr>
                                          <w:t>Puits et forages...</w:t>
                                        </w:r>
                                      </w:p>
                                    </w:txbxContent>
                                  </v:textbox>
                                </v:shape>
                                <v:line id="Line 146" o:spid="_x0000_s1149" style="position:absolute;visibility:visible;mso-wrap-style:square" from="10778,5925" to="10778,6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" strokecolor="blue" strokeweight="3pt">
                                  <v:stroke linestyle="thinThin"/>
                                </v:line>
                                <v:group id="Group 147" o:spid="_x0000_s1150" style="position:absolute;left:1058;top:2078;width:11880;height:6007" coordorigin="1058,2071" coordsize="11880,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">
                                  <v:group id="Group 148" o:spid="_x0000_s1151" style="position:absolute;left:5378;top:4478;width:2340;height:720" coordorigin="5198,4478" coordsize="23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49" o:spid="_x0000_s1152" type="#_x0000_t13" style="position:absolute;left:5198;top:4838;width:23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" strokecolor="#f60" strokeweight="6pt">
                                      <v:stroke linestyle="thickBetweenThin"/>
                                    </v:shape>
                                    <v:shape id="Text Box 150" o:spid="_x0000_s1153" type="#_x0000_t202" style="position:absolute;left:5198;top:4478;width:16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" stroked="f">
                                      <v:textbox>
                                        <w:txbxContent>
                                          <w:p w14:paraId="6E1DB676" w14:textId="77777777" w:rsidR="006F72B3" w:rsidRPr="00275392" w:rsidRDefault="006F72B3" w:rsidP="00275392">
                                            <w:pPr>
                                              <w:jc w:val="center"/>
                                              <w:rPr>
                                                <w:rFonts w:ascii="Times New Roman" w:hAnsi="Times New Roman"/>
                                                <w:color w:val="FF0000"/>
                                                <w:sz w:val="18"/>
                                                <w:szCs w:val="18"/>
                                              </w:rPr>
                                            </w:pPr>
                                            <w:r w:rsidRPr="00275392">
                                              <w:rPr>
                                                <w:rFonts w:ascii="Times New Roman" w:hAnsi="Times New Roman"/>
                                                <w:color w:val="FF0000"/>
                                                <w:sz w:val="18"/>
                                                <w:szCs w:val="18"/>
                                              </w:rPr>
                                              <w:t>Rejets polluants</w:t>
                                            </w:r>
                                          </w:p>
                                        </w:txbxContent>
                                      </v:textbox>
                                    </v:shape>
                                  </v:group>
                                  <v:line id="Line 151" o:spid="_x0000_s1154" style="position:absolute;flip:x;visibility:visible;mso-wrap-style:square" from="3398,8078" to="10778,8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" strokecolor="blue" strokeweight="3pt">
                                    <v:stroke linestyle="thinThin"/>
                                  </v:line>
                                  <v:group id="Group 152" o:spid="_x0000_s1155" style="position:absolute;left:1058;top:3038;width:5400;height:3780" coordorigin="1058,3038" coordsize="5400,3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">
                                    <v:line id="Line 153" o:spid="_x0000_s1156" style="position:absolute;visibility:visible;mso-wrap-style:square" from="1058,6818" to="6458,6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" strokecolor="blue" strokeweight="4.5pt"/>
                                    <v:line id="Line 154" o:spid="_x0000_s1157" style="position:absolute;flip:y;visibility:visible;mso-wrap-style:square" from="1058,3038" to="1058,6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"/>
                                    <v:line id="Line 155" o:spid="_x0000_s1158" style="position:absolute;visibility:visible;mso-wrap-style:square" from="1058,3038" to="6458,3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"/>
                                    <v:line id="Line 156" o:spid="_x0000_s1159" style="position:absolute;visibility:visible;mso-wrap-style:square" from="6458,3038" to="6458,6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"/>
                                  </v:group>
                                  <v:line id="Line 157" o:spid="_x0000_s1160" style="position:absolute;visibility:visible;mso-wrap-style:square" from="7718,4118" to="12938,4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" strokecolor="blue" strokeweight="1.5pt"/>
                                  <v:group id="Group 158" o:spid="_x0000_s1161" style="position:absolute;left:3578;top:3398;width:7740;height:4500" coordorigin="3578,3398" coordsize="7740,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">
                                    <v:line id="Line 159" o:spid="_x0000_s1162" style="position:absolute;flip:y;visibility:visible;mso-wrap-style:square" from="9338,3758" to="9338,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" strokecolor="#f60" strokeweight="2.25pt">
                                      <v:stroke dashstyle="1 1" endarrow="block"/>
                                    </v:line>
                                    <v:line id="Line 160" o:spid="_x0000_s1163" style="position:absolute;visibility:visible;mso-wrap-style:square" from="9338,5378" to="9338,6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" strokecolor="#f60" strokeweight="1.5pt">
                                      <v:stroke endarrow="block"/>
                                    </v:line>
                                    <v:line id="Line 161" o:spid="_x0000_s1164" style="position:absolute;visibility:visible;mso-wrap-style:square" from="10238,3398" to="10778,3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" strokecolor="#f60" strokeweight="2.25pt">
                                      <v:stroke dashstyle="1 1" endarrow="block"/>
                                    </v:line>
                                    <v:line id="Line 162" o:spid="_x0000_s1165" style="position:absolute;visibility:visible;mso-wrap-style:square" from="11318,3758" to="11318,4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" strokecolor="#f60" strokeweight="1.5pt">
                                      <v:stroke endarrow="block"/>
                                    </v:line>
                                    <v:line id="Line 163" o:spid="_x0000_s1166" style="position:absolute;visibility:visible;mso-wrap-style:square" from="10238,5198" to="10238,5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" strokecolor="#f60" strokeweight="1.5pt">
                                      <v:stroke endarrow="block"/>
                                    </v:line>
                                    <v:line id="Line 164" o:spid="_x0000_s1167" style="position:absolute;visibility:visible;mso-wrap-style:square" from="10238,5918" to="10238,6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" strokecolor="#f60" strokeweight="1.5pt">
                                      <v:stroke endarrow="block"/>
                                    </v:line>
                                    <v:line id="Line 165" o:spid="_x0000_s1168" style="position:absolute;visibility:visible;mso-wrap-style:square" from="8798,6278" to="8798,6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" strokecolor="#f60" strokeweight="1.5pt">
                                      <v:stroke endarrow="block"/>
                                    </v:line>
                                    <v:line id="Line 166" o:spid="_x0000_s1169" style="position:absolute;visibility:visible;mso-wrap-style:square" from="8258,6278" to="8258,7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" strokecolor="#f60" strokeweight="1.5pt"/>
                                    <v:line id="Line 167" o:spid="_x0000_s1170" style="position:absolute;visibility:visible;mso-wrap-style:square" from="9158,7178" to="9158,7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" strokecolor="#f60" strokeweight="1.5pt"/>
                                    <v:line id="Line 168" o:spid="_x0000_s1171" style="position:absolute;visibility:visible;mso-wrap-style:square" from="10238,6638" to="10238,7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" strokecolor="#f60" strokeweight="1.5pt"/>
                                    <v:line id="Line 169" o:spid="_x0000_s1172" style="position:absolute;flip:x;visibility:visible;mso-wrap-style:square" from="3578,7898" to="10238,7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" strokecolor="#f60" strokeweight="1.5pt"/>
                                    <v:line id="Line 170" o:spid="_x0000_s1173" style="position:absolute;flip:y;visibility:visible;mso-wrap-style:square" from="3578,6818" to="3578,7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" strokecolor="#f60" strokeweight="1.5pt">
                                      <v:stroke endarrow="block"/>
                                    </v:line>
                                    <v:line id="Line 171" o:spid="_x0000_s1174" style="position:absolute;visibility:visible;mso-wrap-style:square" from="8258,5198" to="8258,5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" strokecolor="#f60" strokeweight="1.5pt">
                                      <v:stroke endarrow="block"/>
                                    </v:line>
                                  </v:group>
                                  <v:group id="Group 172" o:spid="_x0000_s1175" style="position:absolute;left:7718;top:3578;width:5220;height:900" coordorigin="7718,3578" coordsize="522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73" o:spid="_x0000_s1176" type="#_x0000_t67" style="position:absolute;left:7718;top:4118;width:18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" fillcolor="blue" strokecolor="blue"/>
                                    <v:shape id="AutoShape 174" o:spid="_x0000_s1177" type="#_x0000_t67" style="position:absolute;left:8618;top:4118;width:18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" fillcolor="blue" strokecolor="blue"/>
                                    <v:shape id="AutoShape 175" o:spid="_x0000_s1178" type="#_x0000_t67" style="position:absolute;left:9518;top:4118;width:18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" fillcolor="blue" strokecolor="blue"/>
                                    <v:shape id="AutoShape 176" o:spid="_x0000_s1179" type="#_x0000_t67" style="position:absolute;left:10418;top:4118;width:18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" fillcolor="blue" strokecolor="blue"/>
                                    <v:shape id="AutoShape 177" o:spid="_x0000_s1180" type="#_x0000_t67" style="position:absolute;left:11138;top:4118;width:18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" fillcolor="blue" strokecolor="blue"/>
                                    <v:shape id="AutoShape 178" o:spid="_x0000_s1181" type="#_x0000_t67" style="position:absolute;left:11858;top:4118;width:18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" fillcolor="blue" strokecolor="blue"/>
                                    <v:shape id="AutoShape 179" o:spid="_x0000_s1182" type="#_x0000_t67" style="position:absolute;left:12758;top:4118;width:18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" fillcolor="blue" strokecolor="blue"/>
                                    <v:shape id="AutoShape 180" o:spid="_x0000_s1183" type="#_x0000_t67" style="position:absolute;left:11498;top:3758;width:5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" fillcolor="blue" strokecolor="blue"/>
                                    <v:line id="Line 181" o:spid="_x0000_s1184" style="position:absolute;visibility:visible;mso-wrap-style:square" from="10058,4118" to="10058,4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" strokecolor="#f60">
                                      <v:stroke endarrow="block"/>
                                    </v:line>
                                    <v:line id="Line 182" o:spid="_x0000_s1185" style="position:absolute;visibility:visible;mso-wrap-style:square" from="8258,4118" to="8258,4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" strokecolor="#f60">
                                      <v:stroke endarrow="block"/>
                                    </v:line>
                                    <v:line id="Line 183" o:spid="_x0000_s1186" style="position:absolute;visibility:visible;mso-wrap-style:square" from="12398,4118" to="12398,4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" strokecolor="#f60">
                                      <v:stroke endarrow="block"/>
                                    </v:line>
                                    <v:line id="Line 184" o:spid="_x0000_s1187" style="position:absolute;flip:y;visibility:visible;mso-wrap-style:square" from="9158,3758" to="9158,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" strokecolor="blue" strokeweight="2.25pt">
                                      <v:stroke dashstyle="1 1" endarrow="block"/>
                                    </v:line>
                                    <v:line id="Line 185" o:spid="_x0000_s1188" style="position:absolute;visibility:visible;mso-wrap-style:square" from="10238,3578" to="10778,3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" strokecolor="blue" strokeweight="2.25pt">
                                      <v:stroke dashstyle="1 1" endarrow="block"/>
                                    </v:line>
                                  </v:group>
                                  <v:shape id="Text Box 186" o:spid="_x0000_s1189" type="#_x0000_t202" style="position:absolute;left:5378;top:2071;width:3420;height: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">
                                    <v:textbox>
                                      <w:txbxContent>
                                        <w:p w14:paraId="2FE9F3D8" w14:textId="77777777" w:rsidR="006F72B3" w:rsidRPr="00684647" w:rsidRDefault="006F72B3" w:rsidP="00275392">
                                          <w:pPr>
                                            <w:spacing w:after="0" w:line="240" w:lineRule="auto"/>
                                            <w:jc w:val="center"/>
                                            <w:rPr>
                                              <w:rFonts w:ascii="Times New Roman" w:hAnsi="Times New Roman"/>
                                              <w:sz w:val="18"/>
                                              <w:szCs w:val="18"/>
                                            </w:rPr>
                                          </w:pPr>
                                          <w:r w:rsidRPr="00684647">
                                            <w:rPr>
                                              <w:rFonts w:ascii="Times New Roman" w:hAnsi="Times New Roman"/>
                                              <w:b/>
                                              <w:bCs/>
                                              <w:color w:val="C00000"/>
                                              <w:sz w:val="18"/>
                                              <w:szCs w:val="18"/>
                                            </w:rPr>
                                            <w:t>POLUTION</w:t>
                                          </w:r>
                                          <w:r w:rsidRPr="00684647">
                                            <w:rPr>
                                              <w:rFonts w:ascii="Times New Roman" w:hAnsi="Times New Roman"/>
                                              <w:color w:val="C00000"/>
                                              <w:sz w:val="18"/>
                                              <w:szCs w:val="18"/>
                                            </w:rPr>
                                            <w:t xml:space="preserve"> </w:t>
                                          </w:r>
                                          <w:r w:rsidRPr="00684647">
                                            <w:rPr>
                                              <w:rFonts w:ascii="Times New Roman" w:hAnsi="Times New Roman"/>
                                              <w:sz w:val="18"/>
                                              <w:szCs w:val="18"/>
                                            </w:rPr>
                                            <w:t>(Pesticides, engrais, huiles, gaz, rejets urbains, industriels, poussières, ...)</w:t>
                                          </w:r>
                                        </w:p>
                                      </w:txbxContent>
                                    </v:textbox>
                                  </v:shape>
                                  <v:line id="Line 187" o:spid="_x0000_s1190" style="position:absolute;visibility:visible;mso-wrap-style:square" from="6952,2931" to="6952,4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"/>
                                </v:group>
                              </v:group>
                            </v:group>
                            <v:line id="Line 188" o:spid="_x0000_s1191" style="position:absolute;visibility:visible;mso-wrap-style:square" from="9158,5918" to="9878,5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" strokecolor="#f90">
                              <v:stroke startarrow="block" endarrow="block"/>
                            </v:line>
                          </v:group>
                        </v:group>
                      </v:group>
                    </v:group>
                  </v:group>
                  <v:group id="Groupe 96" o:spid="_x0000_s1192" style="position:absolute;left:7960;top:12361;width:15305;height:9631" coordsize="15305,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">
                    <v:line id="Connecteur droit 31" o:spid="_x0000_s1193" style="position:absolute;flip:x;visibility:visible;mso-wrap-style:square" from="542,4732" to="2828,4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" strokecolor="blue" strokeweight="2.25pt">
                      <v:stroke endarrow="block"/>
                    </v:line>
                    <v:group id="_x0000_s1194" style="position:absolute;width:15305;height:9630" coordsize="15305,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">
                      <v:line id="Connecteur droit 32" o:spid="_x0000_s1195" style="position:absolute;flip:y;visibility:visible;mso-wrap-style:square" from="6894,0" to="6894,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" strokecolor="blue" strokeweight="2.25pt">
                        <v:stroke endarrow="block"/>
                      </v:line>
                      <v:line id="Connecteur droit 33" o:spid="_x0000_s1196" style="position:absolute;flip:y;visibility:visible;mso-wrap-style:square" from="15109,0" to="15109,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" strokecolor="blue" strokeweight="2.25pt">
                        <v:stroke endarrow="block"/>
                      </v:line>
                      <v:line id="Connecteur droit 29" o:spid="_x0000_s1197" style="position:absolute;visibility:visible;mso-wrap-style:square" from="15305,6024" to="15305,9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" strokecolor="blue" strokeweight="2.25pt">
                        <v:stroke endarrow="block"/>
                      </v:line>
                      <v:line id="Connecteur droit 28" o:spid="_x0000_s1198" style="position:absolute;visibility:visible;mso-wrap-style:square" from="7041,7344" to="7041,9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" strokecolor="blue" strokeweight="2.25pt">
                        <v:stroke endarrow="block"/>
                      </v:line>
                      <v:line id="Connecteur droit 30" o:spid="_x0000_s1199" style="position:absolute;flip:x;visibility:visible;mso-wrap-style:square" from="0,5896" to="3429,8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" strokecolor="blue" strokeweight="2.25pt">
                        <v:stroke endarrow="block"/>
                      </v:line>
                    </v:group>
                  </v:group>
                </v:group>
                <v:shape id="Text Box 123" o:spid="_x0000_s1200" type="#_x0000_t202" style="position:absolute;left:5427;top:1222;width:17642;height:2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" strokecolor="#c00000">
                  <v:textbox>
                    <w:txbxContent>
                      <w:p w14:paraId="53B37977" w14:textId="77777777" w:rsidR="006F72B3" w:rsidRPr="00684647" w:rsidRDefault="006F72B3" w:rsidP="006F72B3">
                        <w:pPr>
                          <w:jc w:val="center"/>
                          <w:rPr>
                            <w:rFonts w:ascii="Times New Roman" w:hAnsi="Times New Roman"/>
                            <w:b/>
                            <w:color w:val="C00000"/>
                            <w:sz w:val="18"/>
                            <w:szCs w:val="18"/>
                          </w:rPr>
                        </w:pPr>
                        <w:r w:rsidRPr="00684647">
                          <w:rPr>
                            <w:rFonts w:ascii="Times New Roman" w:hAnsi="Times New Roman"/>
                            <w:b/>
                            <w:color w:val="C00000"/>
                            <w:sz w:val="18"/>
                            <w:szCs w:val="18"/>
                          </w:rPr>
                          <w:t>PRELEVEMENT DE L’EAU</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 haut 102" o:spid="_x0000_s1201" type="#_x0000_t68" style="position:absolute;left:13979;top:4835;width:171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" adj="9004" fillcolor="#c00000" strokecolor="#c00000" strokeweight="1pt"/>
              </v:group>
            </w:pict>
          </mc:Fallback>
        </mc:AlternateContent>
      </w:r>
      <w:r w:rsidR="006F72B3" w:rsidRPr="007C5A6E">
        <w:rPr>
          <w:rFonts w:ascii="Times New Roman" w:hAnsi="Times New Roman"/>
          <w:noProof/>
        </w:rPr>
        <mc:AlternateContent>
          <mc:Choice Requires="wps">
            <w:drawing>
              <wp:anchor distT="0" distB="0" distL="114300" distR="114300" simplePos="0" relativeHeight="251690496" behindDoc="0" locked="0" layoutInCell="1" allowOverlap="1" wp14:anchorId="2789C2EC" wp14:editId="6C1EA18F">
                <wp:simplePos x="0" y="0"/>
                <wp:positionH relativeFrom="column">
                  <wp:posOffset>4229100</wp:posOffset>
                </wp:positionH>
                <wp:positionV relativeFrom="paragraph">
                  <wp:posOffset>3025140</wp:posOffset>
                </wp:positionV>
                <wp:extent cx="0" cy="0"/>
                <wp:effectExtent l="9525" t="53340" r="19050" b="60960"/>
                <wp:wrapNone/>
                <wp:docPr id="824751016" name="Connecteur droit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CAE2B8" id="Connecteur droit 34" o:spid="_x0000_s1026" style="position:absolute;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3pt,238.2pt" to="333pt,23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">
                <v:stroke endarrow="block"/>
              </v:line>
            </w:pict>
          </mc:Fallback>
        </mc:AlternateContent>
      </w:r>
    </w:p>
    <w:p w14:paraId="7D237D12" w14:textId="77777777" w:rsidR="006F72B3" w:rsidRPr="007C5A6E" w:rsidRDefault="006F72B3" w:rsidP="006F72B3">
      <w:pPr>
        <w:spacing w:after="0" w:line="240" w:lineRule="auto"/>
        <w:jc w:val="both"/>
        <w:rPr>
          <w:rFonts w:ascii="Times New Roman" w:hAnsi="Times New Roman"/>
        </w:rPr>
      </w:pPr>
    </w:p>
    <w:p w14:paraId="558216B8" w14:textId="77777777" w:rsidR="006F72B3" w:rsidRPr="007C5A6E" w:rsidRDefault="006F72B3" w:rsidP="006F72B3">
      <w:pPr>
        <w:spacing w:after="0" w:line="240" w:lineRule="auto"/>
        <w:jc w:val="both"/>
        <w:rPr>
          <w:rFonts w:ascii="Times New Roman" w:hAnsi="Times New Roman"/>
        </w:rPr>
      </w:pPr>
    </w:p>
    <w:p w14:paraId="7AAE825B" w14:textId="77777777" w:rsidR="006F72B3" w:rsidRPr="007C5A6E" w:rsidRDefault="006F72B3" w:rsidP="006F72B3">
      <w:pPr>
        <w:spacing w:after="0" w:line="240" w:lineRule="auto"/>
        <w:jc w:val="both"/>
        <w:rPr>
          <w:rFonts w:ascii="Times New Roman" w:hAnsi="Times New Roman"/>
        </w:rPr>
      </w:pPr>
    </w:p>
    <w:p w14:paraId="13CBE462" w14:textId="77777777" w:rsidR="006F72B3" w:rsidRPr="007C5A6E" w:rsidRDefault="006F72B3" w:rsidP="006F72B3">
      <w:pPr>
        <w:spacing w:after="0" w:line="240" w:lineRule="auto"/>
        <w:jc w:val="both"/>
        <w:rPr>
          <w:rFonts w:ascii="Times New Roman" w:hAnsi="Times New Roman"/>
        </w:rPr>
      </w:pPr>
    </w:p>
    <w:p w14:paraId="100538E1" w14:textId="77777777" w:rsidR="006F72B3" w:rsidRPr="007C5A6E" w:rsidRDefault="006F72B3" w:rsidP="006F72B3">
      <w:pPr>
        <w:spacing w:after="0" w:line="240" w:lineRule="auto"/>
        <w:jc w:val="both"/>
        <w:rPr>
          <w:rFonts w:ascii="Times New Roman" w:hAnsi="Times New Roman"/>
        </w:rPr>
      </w:pPr>
    </w:p>
    <w:p w14:paraId="3363C8D6" w14:textId="77777777" w:rsidR="006F72B3" w:rsidRPr="007C5A6E" w:rsidRDefault="006F72B3" w:rsidP="006F72B3">
      <w:pPr>
        <w:spacing w:after="0" w:line="240" w:lineRule="auto"/>
        <w:jc w:val="both"/>
        <w:rPr>
          <w:rFonts w:ascii="Times New Roman" w:hAnsi="Times New Roman"/>
        </w:rPr>
      </w:pPr>
    </w:p>
    <w:p w14:paraId="161C7CF5" w14:textId="77777777" w:rsidR="006F72B3" w:rsidRPr="007C5A6E" w:rsidRDefault="006F72B3" w:rsidP="006F72B3">
      <w:pPr>
        <w:spacing w:after="0" w:line="240" w:lineRule="auto"/>
        <w:jc w:val="both"/>
        <w:rPr>
          <w:rFonts w:ascii="Times New Roman" w:hAnsi="Times New Roman"/>
        </w:rPr>
      </w:pPr>
    </w:p>
    <w:p w14:paraId="5DF273DB" w14:textId="77777777" w:rsidR="006F72B3" w:rsidRPr="007C5A6E" w:rsidRDefault="006F72B3" w:rsidP="006F72B3">
      <w:pPr>
        <w:spacing w:after="0" w:line="240" w:lineRule="auto"/>
        <w:jc w:val="both"/>
        <w:rPr>
          <w:rFonts w:ascii="Times New Roman" w:hAnsi="Times New Roman"/>
        </w:rPr>
      </w:pPr>
    </w:p>
    <w:p w14:paraId="395382E2" w14:textId="46F8C031" w:rsidR="006F72B3" w:rsidRPr="007C5A6E" w:rsidRDefault="00CC796F" w:rsidP="00CC796F">
      <w:pPr>
        <w:tabs>
          <w:tab w:val="left" w:pos="7920"/>
        </w:tabs>
        <w:spacing w:after="0" w:line="240" w:lineRule="auto"/>
        <w:jc w:val="both"/>
        <w:rPr>
          <w:rFonts w:ascii="Times New Roman" w:hAnsi="Times New Roman"/>
        </w:rPr>
      </w:pPr>
      <w:r w:rsidRPr="007C5A6E">
        <w:rPr>
          <w:rFonts w:ascii="Times New Roman" w:hAnsi="Times New Roman"/>
        </w:rPr>
        <w:tab/>
      </w:r>
    </w:p>
    <w:p w14:paraId="53D0E846" w14:textId="77777777" w:rsidR="006F72B3" w:rsidRPr="007C5A6E" w:rsidRDefault="006F72B3" w:rsidP="006F72B3">
      <w:pPr>
        <w:spacing w:after="0" w:line="240" w:lineRule="auto"/>
        <w:jc w:val="both"/>
        <w:rPr>
          <w:rFonts w:ascii="Times New Roman" w:hAnsi="Times New Roman"/>
        </w:rPr>
      </w:pPr>
    </w:p>
    <w:p w14:paraId="106BACE9" w14:textId="77777777" w:rsidR="006F72B3" w:rsidRPr="007C5A6E" w:rsidRDefault="006F72B3" w:rsidP="006F72B3">
      <w:pPr>
        <w:spacing w:after="0" w:line="240" w:lineRule="auto"/>
        <w:jc w:val="both"/>
        <w:rPr>
          <w:rFonts w:ascii="Times New Roman" w:hAnsi="Times New Roman"/>
        </w:rPr>
      </w:pPr>
    </w:p>
    <w:p w14:paraId="0DD51434" w14:textId="77777777" w:rsidR="006F72B3" w:rsidRPr="007C5A6E" w:rsidRDefault="006F72B3" w:rsidP="006F72B3">
      <w:pPr>
        <w:spacing w:after="0" w:line="240" w:lineRule="auto"/>
        <w:jc w:val="both"/>
        <w:rPr>
          <w:rFonts w:ascii="Times New Roman" w:hAnsi="Times New Roman"/>
        </w:rPr>
      </w:pPr>
    </w:p>
    <w:p w14:paraId="4274D327" w14:textId="77777777" w:rsidR="006F72B3" w:rsidRPr="007C5A6E" w:rsidRDefault="006F72B3" w:rsidP="006F72B3">
      <w:pPr>
        <w:spacing w:after="0" w:line="240" w:lineRule="auto"/>
        <w:jc w:val="both"/>
        <w:rPr>
          <w:rFonts w:ascii="Times New Roman" w:hAnsi="Times New Roman"/>
        </w:rPr>
      </w:pPr>
    </w:p>
    <w:p w14:paraId="16D544DB" w14:textId="77777777" w:rsidR="006F72B3" w:rsidRPr="007C5A6E" w:rsidRDefault="006F72B3" w:rsidP="006F72B3">
      <w:pPr>
        <w:spacing w:after="0" w:line="240" w:lineRule="auto"/>
        <w:jc w:val="both"/>
        <w:rPr>
          <w:rFonts w:ascii="Times New Roman" w:hAnsi="Times New Roman"/>
        </w:rPr>
      </w:pPr>
    </w:p>
    <w:p w14:paraId="0EBF3631" w14:textId="77777777" w:rsidR="006F72B3" w:rsidRPr="007C5A6E" w:rsidRDefault="006F72B3" w:rsidP="006F72B3">
      <w:pPr>
        <w:spacing w:after="0" w:line="240" w:lineRule="auto"/>
        <w:jc w:val="both"/>
        <w:rPr>
          <w:rFonts w:ascii="Times New Roman" w:hAnsi="Times New Roman"/>
        </w:rPr>
      </w:pPr>
    </w:p>
    <w:p w14:paraId="588EA4DB" w14:textId="77777777" w:rsidR="006F72B3" w:rsidRPr="007C5A6E" w:rsidRDefault="006F72B3" w:rsidP="006F72B3">
      <w:pPr>
        <w:spacing w:after="0" w:line="240" w:lineRule="auto"/>
        <w:jc w:val="both"/>
        <w:rPr>
          <w:rFonts w:ascii="Times New Roman" w:hAnsi="Times New Roman"/>
        </w:rPr>
      </w:pPr>
    </w:p>
    <w:p w14:paraId="73574218" w14:textId="77777777" w:rsidR="006F72B3" w:rsidRPr="007C5A6E" w:rsidRDefault="006F72B3" w:rsidP="006F72B3">
      <w:pPr>
        <w:spacing w:after="0" w:line="240" w:lineRule="auto"/>
        <w:jc w:val="both"/>
        <w:rPr>
          <w:rFonts w:ascii="Times New Roman" w:hAnsi="Times New Roman"/>
        </w:rPr>
      </w:pPr>
    </w:p>
    <w:p w14:paraId="758F7911" w14:textId="77777777" w:rsidR="006F72B3" w:rsidRPr="007C5A6E" w:rsidRDefault="006F72B3" w:rsidP="006F72B3">
      <w:pPr>
        <w:spacing w:after="0" w:line="240" w:lineRule="auto"/>
        <w:jc w:val="both"/>
        <w:rPr>
          <w:rFonts w:ascii="Times New Roman" w:hAnsi="Times New Roman"/>
        </w:rPr>
      </w:pPr>
    </w:p>
    <w:p w14:paraId="1C24862D" w14:textId="77777777" w:rsidR="006F72B3" w:rsidRPr="007C5A6E" w:rsidRDefault="006F72B3" w:rsidP="006F72B3">
      <w:pPr>
        <w:spacing w:after="0" w:line="240" w:lineRule="auto"/>
        <w:jc w:val="both"/>
        <w:rPr>
          <w:rFonts w:ascii="Times New Roman" w:hAnsi="Times New Roman"/>
        </w:rPr>
      </w:pPr>
    </w:p>
    <w:p w14:paraId="403C2FB5" w14:textId="77777777" w:rsidR="006F72B3" w:rsidRPr="007C5A6E" w:rsidRDefault="006F72B3" w:rsidP="006F72B3">
      <w:pPr>
        <w:keepNext/>
        <w:keepLines/>
        <w:suppressAutoHyphens/>
        <w:spacing w:after="0" w:line="240" w:lineRule="auto"/>
        <w:jc w:val="both"/>
        <w:rPr>
          <w:rFonts w:ascii="Times New Roman" w:hAnsi="Times New Roman"/>
        </w:rPr>
      </w:pPr>
    </w:p>
    <w:p w14:paraId="5FFF17E8" w14:textId="77777777" w:rsidR="006F72B3" w:rsidRPr="007C5A6E" w:rsidRDefault="006F72B3" w:rsidP="006F72B3">
      <w:pPr>
        <w:keepNext/>
        <w:keepLines/>
        <w:suppressAutoHyphens/>
        <w:spacing w:after="0" w:line="240" w:lineRule="auto"/>
        <w:jc w:val="both"/>
        <w:rPr>
          <w:rFonts w:ascii="Times New Roman" w:hAnsi="Times New Roman"/>
        </w:rPr>
      </w:pPr>
    </w:p>
    <w:p w14:paraId="5774D9A4" w14:textId="77777777" w:rsidR="00275392" w:rsidRPr="007C5A6E" w:rsidRDefault="00275392" w:rsidP="006F72B3">
      <w:pPr>
        <w:keepNext/>
        <w:keepLines/>
        <w:suppressAutoHyphens/>
        <w:spacing w:after="0" w:line="240" w:lineRule="auto"/>
        <w:jc w:val="both"/>
        <w:rPr>
          <w:rFonts w:ascii="Times New Roman" w:hAnsi="Times New Roman"/>
        </w:rPr>
      </w:pPr>
    </w:p>
    <w:p w14:paraId="470BFF6F" w14:textId="77777777" w:rsidR="00275392" w:rsidRPr="007C5A6E" w:rsidRDefault="00275392" w:rsidP="006F72B3">
      <w:pPr>
        <w:keepNext/>
        <w:keepLines/>
        <w:suppressAutoHyphens/>
        <w:spacing w:after="0" w:line="240" w:lineRule="auto"/>
        <w:jc w:val="both"/>
        <w:rPr>
          <w:rFonts w:ascii="Times New Roman" w:hAnsi="Times New Roman"/>
        </w:rPr>
      </w:pPr>
    </w:p>
    <w:p w14:paraId="3A9757A7" w14:textId="77777777" w:rsidR="00275392" w:rsidRPr="007C5A6E" w:rsidRDefault="00275392" w:rsidP="006F72B3">
      <w:pPr>
        <w:keepNext/>
        <w:keepLines/>
        <w:suppressAutoHyphens/>
        <w:spacing w:after="0" w:line="240" w:lineRule="auto"/>
        <w:jc w:val="both"/>
        <w:rPr>
          <w:rFonts w:ascii="Times New Roman" w:hAnsi="Times New Roman"/>
        </w:rPr>
      </w:pPr>
    </w:p>
    <w:p w14:paraId="5845015C" w14:textId="77777777" w:rsidR="006F72B3" w:rsidRPr="007C5A6E" w:rsidRDefault="006F72B3" w:rsidP="006F72B3">
      <w:pPr>
        <w:keepNext/>
        <w:keepLines/>
        <w:suppressAutoHyphens/>
        <w:spacing w:after="0" w:line="240" w:lineRule="auto"/>
        <w:jc w:val="both"/>
        <w:rPr>
          <w:rFonts w:ascii="Times New Roman" w:hAnsi="Times New Roman"/>
        </w:rPr>
      </w:pPr>
      <w:r w:rsidRPr="007C5A6E">
        <w:rPr>
          <w:rFonts w:ascii="Times New Roman" w:hAnsi="Times New Roman"/>
          <w:noProof/>
        </w:rPr>
        <mc:AlternateContent>
          <mc:Choice Requires="wps">
            <w:drawing>
              <wp:anchor distT="0" distB="0" distL="114300" distR="114300" simplePos="0" relativeHeight="251691520" behindDoc="0" locked="0" layoutInCell="1" allowOverlap="1" wp14:anchorId="72590830" wp14:editId="5C9C0AA7">
                <wp:simplePos x="0" y="0"/>
                <wp:positionH relativeFrom="column">
                  <wp:posOffset>114300</wp:posOffset>
                </wp:positionH>
                <wp:positionV relativeFrom="paragraph">
                  <wp:posOffset>137795</wp:posOffset>
                </wp:positionV>
                <wp:extent cx="342900" cy="0"/>
                <wp:effectExtent l="9525" t="13970" r="9525" b="14605"/>
                <wp:wrapNone/>
                <wp:docPr id="483762399" name="Connecteur droit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07A04F" id="Connecteur droit 27" o:spid="_x0000_s1026" style="position:absolute;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0.85pt" to="36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" strokecolor="blue" strokeweight="1.5pt"/>
            </w:pict>
          </mc:Fallback>
        </mc:AlternateContent>
      </w:r>
      <w:r w:rsidRPr="007C5A6E">
        <w:rPr>
          <w:rFonts w:ascii="Times New Roman" w:hAnsi="Times New Roman"/>
        </w:rPr>
        <w:tab/>
        <w:t xml:space="preserve">  Circuit de l’eau</w:t>
      </w:r>
    </w:p>
    <w:p w14:paraId="6A521DB5" w14:textId="77777777" w:rsidR="006F72B3" w:rsidRPr="007C5A6E" w:rsidRDefault="006F72B3" w:rsidP="006F72B3">
      <w:pPr>
        <w:keepNext/>
        <w:keepLines/>
        <w:suppressAutoHyphens/>
        <w:spacing w:after="0" w:line="240" w:lineRule="auto"/>
        <w:jc w:val="both"/>
        <w:rPr>
          <w:rFonts w:ascii="Times New Roman" w:hAnsi="Times New Roman"/>
        </w:rPr>
      </w:pPr>
      <w:r w:rsidRPr="007C5A6E">
        <w:rPr>
          <w:rFonts w:ascii="Times New Roman" w:hAnsi="Times New Roman"/>
          <w:noProof/>
        </w:rPr>
        <mc:AlternateContent>
          <mc:Choice Requires="wps">
            <w:drawing>
              <wp:anchor distT="0" distB="0" distL="114300" distR="114300" simplePos="0" relativeHeight="251692544" behindDoc="0" locked="0" layoutInCell="1" allowOverlap="1" wp14:anchorId="69519430" wp14:editId="79AEE860">
                <wp:simplePos x="0" y="0"/>
                <wp:positionH relativeFrom="column">
                  <wp:posOffset>114300</wp:posOffset>
                </wp:positionH>
                <wp:positionV relativeFrom="paragraph">
                  <wp:posOffset>76835</wp:posOffset>
                </wp:positionV>
                <wp:extent cx="342900" cy="0"/>
                <wp:effectExtent l="9525" t="10160" r="9525" b="18415"/>
                <wp:wrapNone/>
                <wp:docPr id="618986384" name="Connecteur droit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19050">
                          <a:solidFill>
                            <a:srgbClr val="FF66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384B7C" id="Connecteur droit 26" o:spid="_x0000_s1026" style="position:absolute;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6.05pt" to="36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" strokecolor="#f60" strokeweight="1.5pt"/>
            </w:pict>
          </mc:Fallback>
        </mc:AlternateContent>
      </w:r>
      <w:r w:rsidRPr="007C5A6E">
        <w:rPr>
          <w:rFonts w:ascii="Times New Roman" w:hAnsi="Times New Roman"/>
        </w:rPr>
        <w:tab/>
        <w:t xml:space="preserve">  Circuit de la pollution</w:t>
      </w:r>
    </w:p>
    <w:p w14:paraId="6B4A892F" w14:textId="2F46748D" w:rsidR="006F72B3" w:rsidRPr="007C5A6E" w:rsidRDefault="006F72B3" w:rsidP="006F72B3">
      <w:pPr>
        <w:keepNext/>
        <w:tabs>
          <w:tab w:val="left" w:pos="1134"/>
        </w:tabs>
        <w:spacing w:after="0" w:line="250" w:lineRule="atLeast"/>
        <w:ind w:left="1134" w:hanging="1134"/>
        <w:rPr>
          <w:rFonts w:eastAsia="Calibri" w:cs="Calibri"/>
          <w:i/>
          <w:sz w:val="20"/>
          <w:szCs w:val="20"/>
          <w:lang w:eastAsia="en-US"/>
        </w:rPr>
      </w:pPr>
      <w:bookmarkStart w:id="317" w:name="_Toc182605878"/>
      <w:bookmarkStart w:id="318" w:name="_Toc183230880"/>
      <w:bookmarkStart w:id="319" w:name="_Toc183240673"/>
      <w:bookmarkStart w:id="320" w:name="_Toc183340412"/>
      <w:r w:rsidRPr="007C5A6E">
        <w:rPr>
          <w:rFonts w:ascii="Times New Roman" w:hAnsi="Times New Roman"/>
          <w:i/>
          <w:sz w:val="24"/>
          <w:szCs w:val="24"/>
          <w:lang w:eastAsia="da-DK"/>
        </w:rPr>
        <w:t xml:space="preserve">Figure </w:t>
      </w:r>
      <w:r w:rsidRPr="007C5A6E">
        <w:rPr>
          <w:rFonts w:ascii="Times New Roman" w:hAnsi="Times New Roman"/>
          <w:i/>
          <w:sz w:val="24"/>
          <w:szCs w:val="24"/>
          <w:lang w:eastAsia="da-DK"/>
        </w:rPr>
        <w:fldChar w:fldCharType="begin"/>
      </w:r>
      <w:r w:rsidRPr="007C5A6E">
        <w:rPr>
          <w:rFonts w:ascii="Times New Roman" w:hAnsi="Times New Roman"/>
          <w:i/>
          <w:sz w:val="24"/>
          <w:szCs w:val="24"/>
          <w:lang w:eastAsia="da-DK"/>
        </w:rPr>
        <w:instrText xml:space="preserve"> SEQ Figure \* ARABIC </w:instrText>
      </w:r>
      <w:r w:rsidRPr="007C5A6E">
        <w:rPr>
          <w:rFonts w:ascii="Times New Roman" w:hAnsi="Times New Roman"/>
          <w:i/>
          <w:sz w:val="24"/>
          <w:szCs w:val="24"/>
          <w:lang w:eastAsia="da-DK"/>
        </w:rPr>
        <w:fldChar w:fldCharType="separate"/>
      </w:r>
      <w:r w:rsidR="00AE756D" w:rsidRPr="007C5A6E">
        <w:rPr>
          <w:rFonts w:ascii="Times New Roman" w:hAnsi="Times New Roman"/>
          <w:i/>
          <w:noProof/>
          <w:sz w:val="24"/>
          <w:szCs w:val="24"/>
          <w:lang w:eastAsia="da-DK"/>
        </w:rPr>
        <w:t>33</w:t>
      </w:r>
      <w:r w:rsidRPr="007C5A6E">
        <w:rPr>
          <w:rFonts w:ascii="Times New Roman" w:hAnsi="Times New Roman"/>
          <w:i/>
          <w:sz w:val="24"/>
          <w:szCs w:val="24"/>
          <w:lang w:eastAsia="da-DK"/>
        </w:rPr>
        <w:fldChar w:fldCharType="end"/>
      </w:r>
      <w:r w:rsidR="009513D0" w:rsidRPr="007C5A6E">
        <w:rPr>
          <w:rFonts w:ascii="Times New Roman" w:hAnsi="Times New Roman"/>
          <w:i/>
          <w:sz w:val="24"/>
          <w:szCs w:val="24"/>
          <w:lang w:eastAsia="da-DK"/>
        </w:rPr>
        <w:t>.</w:t>
      </w:r>
      <w:r w:rsidRPr="007C5A6E">
        <w:rPr>
          <w:rFonts w:ascii="Times New Roman" w:hAnsi="Times New Roman"/>
          <w:i/>
          <w:sz w:val="24"/>
          <w:szCs w:val="24"/>
          <w:lang w:eastAsia="da-DK"/>
        </w:rPr>
        <w:t xml:space="preserve">  Mécanismes de prélèvement et de pollution des ressources en eau par les activités anthropiques</w:t>
      </w:r>
      <w:bookmarkEnd w:id="317"/>
      <w:bookmarkEnd w:id="318"/>
      <w:bookmarkEnd w:id="319"/>
      <w:bookmarkEnd w:id="320"/>
    </w:p>
    <w:p w14:paraId="257DC783" w14:textId="77777777" w:rsidR="006F72B3" w:rsidRPr="007C5A6E" w:rsidRDefault="006F72B3" w:rsidP="006F72B3">
      <w:pPr>
        <w:spacing w:after="0" w:line="240" w:lineRule="auto"/>
        <w:rPr>
          <w:rFonts w:ascii="Times New Roman" w:hAnsi="Times New Roman"/>
          <w:sz w:val="24"/>
          <w:szCs w:val="24"/>
        </w:rPr>
      </w:pPr>
    </w:p>
    <w:p w14:paraId="655BB4BE" w14:textId="77777777" w:rsidR="006F72B3" w:rsidRPr="007C5A6E" w:rsidRDefault="006F72B3" w:rsidP="006F72B3">
      <w:pPr>
        <w:spacing w:after="0" w:line="240" w:lineRule="auto"/>
        <w:rPr>
          <w:rFonts w:ascii="Times New Roman" w:hAnsi="Times New Roman"/>
          <w:sz w:val="24"/>
          <w:szCs w:val="24"/>
        </w:rPr>
        <w:sectPr w:rsidR="006F72B3" w:rsidRPr="007C5A6E" w:rsidSect="006514BA">
          <w:pgSz w:w="11907" w:h="16840" w:orient="landscape" w:code="9"/>
          <w:pgMar w:top="1191" w:right="1361" w:bottom="1191" w:left="1361" w:header="709" w:footer="709" w:gutter="0"/>
          <w:cols w:space="708"/>
          <w:titlePg/>
          <w:docGrid w:linePitch="360"/>
        </w:sectPr>
      </w:pPr>
    </w:p>
    <w:p w14:paraId="20D951A1" w14:textId="77777777" w:rsidR="00530291" w:rsidRPr="007C5A6E" w:rsidRDefault="00530291" w:rsidP="003F3821">
      <w:pPr>
        <w:pStyle w:val="Paragraphedeliste"/>
        <w:numPr>
          <w:ilvl w:val="0"/>
          <w:numId w:val="2"/>
        </w:numPr>
        <w:spacing w:after="0" w:line="240" w:lineRule="auto"/>
        <w:outlineLvl w:val="1"/>
        <w:rPr>
          <w:rFonts w:ascii="Times New Roman" w:hAnsi="Times New Roman"/>
          <w:b/>
          <w:bCs/>
          <w:vanish/>
          <w:sz w:val="24"/>
          <w:szCs w:val="24"/>
        </w:rPr>
      </w:pPr>
      <w:bookmarkStart w:id="321" w:name="_Toc183287837"/>
      <w:bookmarkStart w:id="322" w:name="_Toc183291078"/>
      <w:bookmarkStart w:id="323" w:name="_Toc183291482"/>
      <w:bookmarkStart w:id="324" w:name="_Toc183291886"/>
      <w:bookmarkStart w:id="325" w:name="_Toc183340079"/>
      <w:bookmarkEnd w:id="321"/>
      <w:bookmarkEnd w:id="322"/>
      <w:bookmarkEnd w:id="323"/>
      <w:bookmarkEnd w:id="324"/>
      <w:bookmarkEnd w:id="325"/>
    </w:p>
    <w:p w14:paraId="5C6F6ACD" w14:textId="3D7A5A98" w:rsidR="00B94F95" w:rsidRPr="007C5A6E" w:rsidRDefault="00B94F95" w:rsidP="00712C43">
      <w:pPr>
        <w:pStyle w:val="Titre2"/>
      </w:pPr>
      <w:bookmarkStart w:id="326" w:name="_Toc183340080"/>
      <w:r w:rsidRPr="007C5A6E">
        <w:t>L’état des ressources en eau</w:t>
      </w:r>
      <w:bookmarkEnd w:id="326"/>
    </w:p>
    <w:p w14:paraId="01382ED0" w14:textId="77777777" w:rsidR="00B94F95" w:rsidRPr="007C5A6E" w:rsidRDefault="00B94F95" w:rsidP="009969E0">
      <w:pPr>
        <w:spacing w:after="0" w:line="240" w:lineRule="auto"/>
        <w:rPr>
          <w:rFonts w:ascii="Times New Roman" w:hAnsi="Times New Roman"/>
          <w:sz w:val="24"/>
          <w:szCs w:val="24"/>
        </w:rPr>
      </w:pPr>
    </w:p>
    <w:p w14:paraId="6AFB0EB6" w14:textId="77777777" w:rsidR="0005266E" w:rsidRPr="007C5A6E" w:rsidRDefault="0005266E" w:rsidP="009969E0">
      <w:pPr>
        <w:spacing w:after="0" w:line="240" w:lineRule="auto"/>
        <w:jc w:val="both"/>
        <w:rPr>
          <w:rFonts w:ascii="Times New Roman" w:hAnsi="Times New Roman"/>
          <w:bCs/>
          <w:sz w:val="24"/>
          <w:szCs w:val="24"/>
        </w:rPr>
      </w:pPr>
      <w:r w:rsidRPr="007C5A6E">
        <w:rPr>
          <w:rFonts w:ascii="Times New Roman" w:hAnsi="Times New Roman"/>
          <w:bCs/>
          <w:sz w:val="24"/>
          <w:szCs w:val="24"/>
        </w:rPr>
        <w:t>L’état des ressources en eau est ici vu sous l’angle de l’état actuel de leur qualité, des ressources renouvelables et du niveau de leur prélèvement.</w:t>
      </w:r>
    </w:p>
    <w:p w14:paraId="35AB40C2" w14:textId="5685EDA7" w:rsidR="0005266E" w:rsidRPr="007C5A6E" w:rsidRDefault="0005266E" w:rsidP="009969E0">
      <w:pPr>
        <w:spacing w:after="0" w:line="240" w:lineRule="auto"/>
        <w:jc w:val="both"/>
        <w:rPr>
          <w:rFonts w:ascii="Times New Roman" w:hAnsi="Times New Roman"/>
          <w:bCs/>
          <w:sz w:val="24"/>
          <w:szCs w:val="24"/>
        </w:rPr>
      </w:pPr>
      <w:r w:rsidRPr="007C5A6E">
        <w:rPr>
          <w:rFonts w:ascii="Times New Roman" w:hAnsi="Times New Roman"/>
          <w:bCs/>
          <w:sz w:val="24"/>
          <w:szCs w:val="24"/>
        </w:rPr>
        <w:t xml:space="preserve"> </w:t>
      </w:r>
      <w:bookmarkStart w:id="327" w:name="_Toc177805773"/>
      <w:bookmarkEnd w:id="327"/>
    </w:p>
    <w:p w14:paraId="05E019D0" w14:textId="77777777" w:rsidR="0005266E" w:rsidRPr="007C5A6E" w:rsidRDefault="0005266E" w:rsidP="003F3821">
      <w:pPr>
        <w:numPr>
          <w:ilvl w:val="0"/>
          <w:numId w:val="17"/>
        </w:numPr>
        <w:spacing w:after="0" w:line="240" w:lineRule="auto"/>
        <w:jc w:val="both"/>
        <w:outlineLvl w:val="1"/>
        <w:rPr>
          <w:rFonts w:ascii="Times New Roman" w:eastAsia="Calibri" w:hAnsi="Times New Roman"/>
          <w:b/>
          <w:bCs/>
          <w:vanish/>
          <w:color w:val="002060"/>
          <w:sz w:val="24"/>
          <w:szCs w:val="24"/>
          <w:lang w:eastAsia="en-US"/>
        </w:rPr>
      </w:pPr>
      <w:bookmarkStart w:id="328" w:name="_Toc178045684"/>
      <w:bookmarkStart w:id="329" w:name="_Toc178067867"/>
      <w:bookmarkStart w:id="330" w:name="_Toc178068089"/>
      <w:bookmarkStart w:id="331" w:name="_Toc178083918"/>
      <w:bookmarkStart w:id="332" w:name="_Toc178095829"/>
      <w:bookmarkStart w:id="333" w:name="_Toc178121855"/>
      <w:bookmarkStart w:id="334" w:name="_Toc179203675"/>
      <w:bookmarkStart w:id="335" w:name="_Toc179301313"/>
      <w:bookmarkStart w:id="336" w:name="_Toc179330636"/>
      <w:bookmarkStart w:id="337" w:name="_Toc179331340"/>
      <w:bookmarkStart w:id="338" w:name="_Toc179476067"/>
      <w:bookmarkStart w:id="339" w:name="_Toc179492180"/>
      <w:bookmarkStart w:id="340" w:name="_Toc179492656"/>
      <w:bookmarkStart w:id="341" w:name="_Toc179492751"/>
      <w:bookmarkStart w:id="342" w:name="_Toc180078071"/>
      <w:bookmarkStart w:id="343" w:name="_Toc182605822"/>
      <w:bookmarkStart w:id="344" w:name="_Toc182606029"/>
      <w:bookmarkStart w:id="345" w:name="_Toc183287839"/>
      <w:bookmarkStart w:id="346" w:name="_Toc183291080"/>
      <w:bookmarkStart w:id="347" w:name="_Toc183291484"/>
      <w:bookmarkStart w:id="348" w:name="_Toc183291888"/>
      <w:bookmarkStart w:id="349" w:name="_Toc183340081"/>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p>
    <w:p w14:paraId="014AF10C" w14:textId="77777777" w:rsidR="0005266E" w:rsidRPr="007C5A6E" w:rsidRDefault="0005266E" w:rsidP="003F3821">
      <w:pPr>
        <w:numPr>
          <w:ilvl w:val="0"/>
          <w:numId w:val="17"/>
        </w:numPr>
        <w:spacing w:after="0" w:line="240" w:lineRule="auto"/>
        <w:jc w:val="both"/>
        <w:outlineLvl w:val="1"/>
        <w:rPr>
          <w:rFonts w:ascii="Times New Roman" w:eastAsia="Calibri" w:hAnsi="Times New Roman"/>
          <w:b/>
          <w:bCs/>
          <w:vanish/>
          <w:color w:val="002060"/>
          <w:sz w:val="24"/>
          <w:szCs w:val="24"/>
          <w:lang w:eastAsia="en-US"/>
        </w:rPr>
      </w:pPr>
      <w:bookmarkStart w:id="350" w:name="_Toc178045685"/>
      <w:bookmarkStart w:id="351" w:name="_Toc178067868"/>
      <w:bookmarkStart w:id="352" w:name="_Toc178068090"/>
      <w:bookmarkStart w:id="353" w:name="_Toc178083919"/>
      <w:bookmarkStart w:id="354" w:name="_Toc178095830"/>
      <w:bookmarkStart w:id="355" w:name="_Toc178121856"/>
      <w:bookmarkStart w:id="356" w:name="_Toc179203676"/>
      <w:bookmarkStart w:id="357" w:name="_Toc179301314"/>
      <w:bookmarkStart w:id="358" w:name="_Toc179330637"/>
      <w:bookmarkStart w:id="359" w:name="_Toc179331341"/>
      <w:bookmarkStart w:id="360" w:name="_Toc179476068"/>
      <w:bookmarkStart w:id="361" w:name="_Toc179492181"/>
      <w:bookmarkStart w:id="362" w:name="_Toc179492657"/>
      <w:bookmarkStart w:id="363" w:name="_Toc179492752"/>
      <w:bookmarkStart w:id="364" w:name="_Toc180078072"/>
      <w:bookmarkStart w:id="365" w:name="_Toc182605823"/>
      <w:bookmarkStart w:id="366" w:name="_Toc182606030"/>
      <w:bookmarkStart w:id="367" w:name="_Toc183287840"/>
      <w:bookmarkStart w:id="368" w:name="_Toc183291081"/>
      <w:bookmarkStart w:id="369" w:name="_Toc183291485"/>
      <w:bookmarkStart w:id="370" w:name="_Toc183291889"/>
      <w:bookmarkStart w:id="371" w:name="_Toc183340082"/>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p>
    <w:p w14:paraId="330DFA7B" w14:textId="448C65DD" w:rsidR="0005266E" w:rsidRPr="007C5A6E" w:rsidRDefault="00643AF0" w:rsidP="009969E0">
      <w:pPr>
        <w:pStyle w:val="Titre3"/>
        <w:keepNext w:val="0"/>
        <w:keepLines w:val="0"/>
      </w:pPr>
      <w:bookmarkStart w:id="372" w:name="_Toc182606031"/>
      <w:bookmarkStart w:id="373" w:name="_Toc183340083"/>
      <w:r w:rsidRPr="007C5A6E">
        <w:t>État</w:t>
      </w:r>
      <w:r w:rsidR="0005266E" w:rsidRPr="007C5A6E">
        <w:t xml:space="preserve"> de la qualité des ressources en eau</w:t>
      </w:r>
      <w:bookmarkEnd w:id="372"/>
      <w:bookmarkEnd w:id="373"/>
      <w:r w:rsidR="0005266E" w:rsidRPr="007C5A6E">
        <w:t xml:space="preserve">  </w:t>
      </w:r>
    </w:p>
    <w:p w14:paraId="3EB530D5" w14:textId="77777777" w:rsidR="0005266E" w:rsidRPr="007C5A6E" w:rsidRDefault="0005266E" w:rsidP="009969E0">
      <w:pPr>
        <w:spacing w:after="0" w:line="240" w:lineRule="auto"/>
        <w:jc w:val="both"/>
        <w:rPr>
          <w:rFonts w:ascii="Times New Roman" w:hAnsi="Times New Roman"/>
          <w:bCs/>
          <w:sz w:val="24"/>
          <w:szCs w:val="24"/>
        </w:rPr>
      </w:pPr>
    </w:p>
    <w:p w14:paraId="3A4EFF1A" w14:textId="6F8E3C88" w:rsidR="0005266E" w:rsidRPr="007C5A6E" w:rsidRDefault="0005266E" w:rsidP="009969E0">
      <w:pPr>
        <w:spacing w:after="0" w:line="240" w:lineRule="auto"/>
        <w:jc w:val="both"/>
        <w:rPr>
          <w:rFonts w:ascii="Times New Roman" w:hAnsi="Times New Roman"/>
          <w:sz w:val="24"/>
          <w:szCs w:val="24"/>
        </w:rPr>
      </w:pPr>
      <w:r w:rsidRPr="007C5A6E">
        <w:rPr>
          <w:rFonts w:ascii="Times New Roman" w:hAnsi="Times New Roman"/>
          <w:bCs/>
          <w:sz w:val="24"/>
          <w:szCs w:val="24"/>
        </w:rPr>
        <w:t xml:space="preserve">Les paramètres de suivi des indicateurs physicochimiques, bactériologiques, des nitrates, des métaux et métalloïdes notamment, </w:t>
      </w:r>
      <w:r w:rsidRPr="007C5A6E">
        <w:rPr>
          <w:rFonts w:ascii="Times New Roman" w:hAnsi="Times New Roman"/>
          <w:sz w:val="24"/>
          <w:szCs w:val="24"/>
        </w:rPr>
        <w:t>permettent d’apprécier l’état de qualité des ressources à travers, les niveaux notamment,</w:t>
      </w:r>
    </w:p>
    <w:p w14:paraId="039D5331" w14:textId="77777777" w:rsidR="0005266E" w:rsidRPr="007C5A6E" w:rsidRDefault="0005266E" w:rsidP="003F3821">
      <w:pPr>
        <w:numPr>
          <w:ilvl w:val="0"/>
          <w:numId w:val="9"/>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De matières en suspension dans l’eau ;</w:t>
      </w:r>
    </w:p>
    <w:p w14:paraId="458D2637" w14:textId="77777777" w:rsidR="0005266E" w:rsidRPr="007C5A6E" w:rsidRDefault="0005266E" w:rsidP="003F3821">
      <w:pPr>
        <w:numPr>
          <w:ilvl w:val="0"/>
          <w:numId w:val="9"/>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D’acidité de l’eau ;</w:t>
      </w:r>
    </w:p>
    <w:p w14:paraId="52FFD449" w14:textId="77777777" w:rsidR="0005266E" w:rsidRPr="007C5A6E" w:rsidRDefault="0005266E" w:rsidP="003F3821">
      <w:pPr>
        <w:numPr>
          <w:ilvl w:val="0"/>
          <w:numId w:val="9"/>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De minéralisation ;</w:t>
      </w:r>
    </w:p>
    <w:p w14:paraId="3B7FD939" w14:textId="77777777" w:rsidR="0005266E" w:rsidRPr="007C5A6E" w:rsidRDefault="0005266E" w:rsidP="003F3821">
      <w:pPr>
        <w:numPr>
          <w:ilvl w:val="0"/>
          <w:numId w:val="9"/>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D’agressivité de l’eau ;</w:t>
      </w:r>
    </w:p>
    <w:p w14:paraId="6DFF1165" w14:textId="03D4098A" w:rsidR="0005266E" w:rsidRPr="007C5A6E" w:rsidRDefault="0005266E" w:rsidP="003F3821">
      <w:pPr>
        <w:numPr>
          <w:ilvl w:val="0"/>
          <w:numId w:val="9"/>
        </w:numPr>
        <w:spacing w:after="0" w:line="240" w:lineRule="auto"/>
        <w:ind w:left="354" w:hanging="357"/>
        <w:jc w:val="both"/>
        <w:rPr>
          <w:rFonts w:ascii="Times New Roman" w:hAnsi="Times New Roman"/>
          <w:sz w:val="24"/>
          <w:szCs w:val="24"/>
        </w:rPr>
      </w:pPr>
      <w:r w:rsidRPr="007C5A6E">
        <w:rPr>
          <w:rFonts w:ascii="Times New Roman" w:hAnsi="Times New Roman"/>
          <w:sz w:val="24"/>
          <w:szCs w:val="24"/>
        </w:rPr>
        <w:t xml:space="preserve">De dangerosité de l’eau (nitrate, métaux lourds, eutrophisation…) pour la santé humaine, animale et floristique et pour certains usages (agricoles, AEP…). </w:t>
      </w:r>
    </w:p>
    <w:p w14:paraId="2F966BA7" w14:textId="77777777" w:rsidR="0005266E" w:rsidRPr="007C5A6E" w:rsidRDefault="0005266E" w:rsidP="009969E0">
      <w:pPr>
        <w:spacing w:after="0" w:line="240" w:lineRule="auto"/>
        <w:ind w:left="354"/>
        <w:jc w:val="both"/>
        <w:rPr>
          <w:rFonts w:ascii="Times New Roman" w:hAnsi="Times New Roman"/>
          <w:sz w:val="24"/>
          <w:szCs w:val="24"/>
        </w:rPr>
      </w:pPr>
    </w:p>
    <w:p w14:paraId="210D7942" w14:textId="77777777" w:rsidR="0005266E" w:rsidRPr="007C5A6E" w:rsidRDefault="0005266E" w:rsidP="003F3821">
      <w:pPr>
        <w:numPr>
          <w:ilvl w:val="0"/>
          <w:numId w:val="8"/>
        </w:numPr>
        <w:spacing w:after="0" w:line="240" w:lineRule="auto"/>
        <w:outlineLvl w:val="2"/>
        <w:rPr>
          <w:rFonts w:ascii="Times New Roman" w:eastAsia="Calibri" w:hAnsi="Times New Roman"/>
          <w:b/>
          <w:bCs/>
          <w:i/>
          <w:iCs/>
          <w:vanish/>
          <w:color w:val="0070C0"/>
          <w:sz w:val="24"/>
          <w:szCs w:val="24"/>
          <w:lang w:eastAsia="en-US"/>
        </w:rPr>
      </w:pPr>
      <w:bookmarkStart w:id="374" w:name="_Toc178045687"/>
      <w:bookmarkStart w:id="375" w:name="_Toc178067870"/>
      <w:bookmarkStart w:id="376" w:name="_Toc178068092"/>
      <w:bookmarkStart w:id="377" w:name="_Toc178083921"/>
      <w:bookmarkStart w:id="378" w:name="_Toc178095832"/>
      <w:bookmarkStart w:id="379" w:name="_Toc178121858"/>
      <w:bookmarkStart w:id="380" w:name="_Toc179203678"/>
      <w:bookmarkStart w:id="381" w:name="_Toc179301316"/>
      <w:bookmarkStart w:id="382" w:name="_Toc179330639"/>
      <w:bookmarkStart w:id="383" w:name="_Toc179331343"/>
      <w:bookmarkStart w:id="384" w:name="_Toc179476070"/>
      <w:bookmarkStart w:id="385" w:name="_Toc179492183"/>
      <w:bookmarkStart w:id="386" w:name="_Toc179492659"/>
      <w:bookmarkStart w:id="387" w:name="_Toc179492754"/>
      <w:bookmarkStart w:id="388" w:name="_Toc180078074"/>
      <w:bookmarkStart w:id="389" w:name="_Toc182605825"/>
      <w:bookmarkStart w:id="390" w:name="_Toc182606032"/>
      <w:bookmarkStart w:id="391" w:name="_Toc183287842"/>
      <w:bookmarkStart w:id="392" w:name="_Toc183291083"/>
      <w:bookmarkStart w:id="393" w:name="_Toc183291487"/>
      <w:bookmarkStart w:id="394" w:name="_Toc183291891"/>
      <w:bookmarkStart w:id="395" w:name="_Toc183340084"/>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p>
    <w:p w14:paraId="1CF190CD" w14:textId="77777777" w:rsidR="0005266E" w:rsidRPr="007C5A6E" w:rsidRDefault="0005266E" w:rsidP="003F3821">
      <w:pPr>
        <w:numPr>
          <w:ilvl w:val="0"/>
          <w:numId w:val="8"/>
        </w:numPr>
        <w:spacing w:after="0" w:line="240" w:lineRule="auto"/>
        <w:outlineLvl w:val="2"/>
        <w:rPr>
          <w:rFonts w:ascii="Times New Roman" w:eastAsia="Calibri" w:hAnsi="Times New Roman"/>
          <w:b/>
          <w:bCs/>
          <w:i/>
          <w:iCs/>
          <w:vanish/>
          <w:color w:val="0070C0"/>
          <w:sz w:val="24"/>
          <w:szCs w:val="24"/>
          <w:lang w:eastAsia="en-US"/>
        </w:rPr>
      </w:pPr>
      <w:bookmarkStart w:id="396" w:name="_Toc178045688"/>
      <w:bookmarkStart w:id="397" w:name="_Toc178067871"/>
      <w:bookmarkStart w:id="398" w:name="_Toc178068093"/>
      <w:bookmarkStart w:id="399" w:name="_Toc178083922"/>
      <w:bookmarkStart w:id="400" w:name="_Toc178095833"/>
      <w:bookmarkStart w:id="401" w:name="_Toc178121859"/>
      <w:bookmarkStart w:id="402" w:name="_Toc179203679"/>
      <w:bookmarkStart w:id="403" w:name="_Toc179301317"/>
      <w:bookmarkStart w:id="404" w:name="_Toc179330640"/>
      <w:bookmarkStart w:id="405" w:name="_Toc179331344"/>
      <w:bookmarkStart w:id="406" w:name="_Toc179476071"/>
      <w:bookmarkStart w:id="407" w:name="_Toc179492184"/>
      <w:bookmarkStart w:id="408" w:name="_Toc179492660"/>
      <w:bookmarkStart w:id="409" w:name="_Toc179492755"/>
      <w:bookmarkStart w:id="410" w:name="_Toc180078075"/>
      <w:bookmarkStart w:id="411" w:name="_Toc182605826"/>
      <w:bookmarkStart w:id="412" w:name="_Toc182606033"/>
      <w:bookmarkStart w:id="413" w:name="_Toc183287843"/>
      <w:bookmarkStart w:id="414" w:name="_Toc183291084"/>
      <w:bookmarkStart w:id="415" w:name="_Toc183291488"/>
      <w:bookmarkStart w:id="416" w:name="_Toc183291892"/>
      <w:bookmarkStart w:id="417" w:name="_Toc18334008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p>
    <w:p w14:paraId="7A4CC84F" w14:textId="77777777" w:rsidR="0005266E" w:rsidRPr="007C5A6E" w:rsidRDefault="0005266E" w:rsidP="003F3821">
      <w:pPr>
        <w:numPr>
          <w:ilvl w:val="1"/>
          <w:numId w:val="8"/>
        </w:numPr>
        <w:spacing w:after="0" w:line="240" w:lineRule="auto"/>
        <w:outlineLvl w:val="2"/>
        <w:rPr>
          <w:rFonts w:ascii="Times New Roman" w:eastAsia="Calibri" w:hAnsi="Times New Roman"/>
          <w:b/>
          <w:bCs/>
          <w:i/>
          <w:iCs/>
          <w:vanish/>
          <w:color w:val="0070C0"/>
          <w:sz w:val="24"/>
          <w:szCs w:val="24"/>
          <w:lang w:eastAsia="en-US"/>
        </w:rPr>
      </w:pPr>
      <w:bookmarkStart w:id="418" w:name="_Toc178045689"/>
      <w:bookmarkStart w:id="419" w:name="_Toc178067872"/>
      <w:bookmarkStart w:id="420" w:name="_Toc178068094"/>
      <w:bookmarkStart w:id="421" w:name="_Toc178083923"/>
      <w:bookmarkStart w:id="422" w:name="_Toc178095834"/>
      <w:bookmarkStart w:id="423" w:name="_Toc178121860"/>
      <w:bookmarkStart w:id="424" w:name="_Toc179203680"/>
      <w:bookmarkStart w:id="425" w:name="_Toc179301318"/>
      <w:bookmarkStart w:id="426" w:name="_Toc179330641"/>
      <w:bookmarkStart w:id="427" w:name="_Toc179331345"/>
      <w:bookmarkStart w:id="428" w:name="_Toc179476072"/>
      <w:bookmarkStart w:id="429" w:name="_Toc179492185"/>
      <w:bookmarkStart w:id="430" w:name="_Toc179492661"/>
      <w:bookmarkStart w:id="431" w:name="_Toc179492756"/>
      <w:bookmarkStart w:id="432" w:name="_Toc180078076"/>
      <w:bookmarkStart w:id="433" w:name="_Toc182605827"/>
      <w:bookmarkStart w:id="434" w:name="_Toc182606034"/>
      <w:bookmarkStart w:id="435" w:name="_Toc183287844"/>
      <w:bookmarkStart w:id="436" w:name="_Toc183291085"/>
      <w:bookmarkStart w:id="437" w:name="_Toc183291489"/>
      <w:bookmarkStart w:id="438" w:name="_Toc183291893"/>
      <w:bookmarkStart w:id="439" w:name="_Toc183340086"/>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p>
    <w:p w14:paraId="6EAD759C" w14:textId="77777777" w:rsidR="0005266E" w:rsidRPr="007C5A6E" w:rsidRDefault="0005266E" w:rsidP="00684FF8">
      <w:pPr>
        <w:pStyle w:val="Titre4"/>
      </w:pPr>
      <w:bookmarkStart w:id="440" w:name="_Toc182606035"/>
      <w:bookmarkStart w:id="441" w:name="_Toc183340087"/>
      <w:r w:rsidRPr="007C5A6E">
        <w:t>Qualité des ressources en eau souterraine</w:t>
      </w:r>
      <w:bookmarkEnd w:id="440"/>
      <w:bookmarkEnd w:id="441"/>
      <w:r w:rsidRPr="007C5A6E">
        <w:t xml:space="preserve"> </w:t>
      </w:r>
    </w:p>
    <w:p w14:paraId="7CB51C67" w14:textId="77777777" w:rsidR="0005266E" w:rsidRPr="007C5A6E" w:rsidRDefault="0005266E" w:rsidP="009969E0">
      <w:pPr>
        <w:spacing w:after="0" w:line="240" w:lineRule="auto"/>
        <w:jc w:val="both"/>
        <w:rPr>
          <w:rFonts w:ascii="Times New Roman" w:hAnsi="Times New Roman"/>
          <w:sz w:val="24"/>
          <w:szCs w:val="24"/>
        </w:rPr>
      </w:pPr>
    </w:p>
    <w:p w14:paraId="0F85C5B4" w14:textId="6D4B4C25" w:rsidR="0005266E" w:rsidRPr="007C5A6E" w:rsidRDefault="0005266E" w:rsidP="009969E0">
      <w:pPr>
        <w:spacing w:after="0" w:line="240" w:lineRule="auto"/>
        <w:jc w:val="both"/>
        <w:rPr>
          <w:rFonts w:ascii="Times New Roman" w:hAnsi="Times New Roman"/>
          <w:sz w:val="24"/>
          <w:szCs w:val="24"/>
        </w:rPr>
      </w:pPr>
      <w:r w:rsidRPr="007C5A6E">
        <w:rPr>
          <w:rFonts w:ascii="Times New Roman" w:hAnsi="Times New Roman"/>
          <w:sz w:val="24"/>
          <w:szCs w:val="24"/>
        </w:rPr>
        <w:t>Il y a eu très peu, voire manque de données capitalisées sur la qualité ressources en eau souterraine. Les quelques données disponibles se rapportent au bassin national de la Comoé et au bassin du fleuve Mouhoun mais qui datent déjà de 12 ans.</w:t>
      </w:r>
    </w:p>
    <w:p w14:paraId="375C15E2" w14:textId="77777777" w:rsidR="0005266E" w:rsidRPr="007C5A6E" w:rsidRDefault="0005266E" w:rsidP="009969E0">
      <w:pPr>
        <w:spacing w:after="0" w:line="240" w:lineRule="auto"/>
        <w:jc w:val="both"/>
        <w:rPr>
          <w:rFonts w:ascii="Times New Roman" w:hAnsi="Times New Roman"/>
          <w:color w:val="FF0000"/>
          <w:sz w:val="24"/>
          <w:szCs w:val="24"/>
        </w:rPr>
      </w:pPr>
    </w:p>
    <w:p w14:paraId="19FE50C0" w14:textId="77777777" w:rsidR="0005266E" w:rsidRPr="007C5A6E" w:rsidRDefault="0005266E" w:rsidP="003F3821">
      <w:pPr>
        <w:pStyle w:val="Titre5"/>
        <w:numPr>
          <w:ilvl w:val="4"/>
          <w:numId w:val="4"/>
        </w:numPr>
        <w:ind w:left="907" w:hanging="907"/>
        <w:rPr>
          <w:rFonts w:ascii="Times New Roman" w:hAnsi="Times New Roman" w:cs="Times New Roman"/>
          <w:color w:val="auto"/>
          <w:u w:val="single"/>
          <w:lang w:eastAsia="en-US"/>
        </w:rPr>
      </w:pPr>
      <w:bookmarkStart w:id="442" w:name="_Toc183340088"/>
      <w:r w:rsidRPr="007C5A6E">
        <w:rPr>
          <w:rFonts w:ascii="Times New Roman" w:hAnsi="Times New Roman" w:cs="Times New Roman"/>
          <w:color w:val="auto"/>
          <w:u w:val="single"/>
          <w:lang w:eastAsia="en-US"/>
        </w:rPr>
        <w:t>Qualité des ressources en eau souterraine du bassin national de la Comoé</w:t>
      </w:r>
      <w:bookmarkEnd w:id="442"/>
    </w:p>
    <w:p w14:paraId="5ADA1F86" w14:textId="77777777" w:rsidR="00F311B5" w:rsidRPr="007C5A6E" w:rsidRDefault="00F311B5" w:rsidP="009969E0">
      <w:pPr>
        <w:spacing w:after="0" w:line="240" w:lineRule="auto"/>
        <w:jc w:val="both"/>
        <w:rPr>
          <w:rFonts w:ascii="Times New Roman" w:hAnsi="Times New Roman"/>
          <w:sz w:val="24"/>
          <w:szCs w:val="24"/>
        </w:rPr>
      </w:pPr>
    </w:p>
    <w:p w14:paraId="4C6C9EBB" w14:textId="599FE0AF" w:rsidR="0005266E" w:rsidRPr="007C5A6E" w:rsidRDefault="0005266E" w:rsidP="009969E0">
      <w:pPr>
        <w:spacing w:after="0" w:line="240" w:lineRule="auto"/>
        <w:jc w:val="both"/>
        <w:rPr>
          <w:rFonts w:ascii="Times New Roman" w:hAnsi="Times New Roman"/>
          <w:sz w:val="24"/>
          <w:szCs w:val="24"/>
        </w:rPr>
      </w:pPr>
      <w:r w:rsidRPr="007C5A6E">
        <w:rPr>
          <w:rFonts w:ascii="Times New Roman" w:hAnsi="Times New Roman"/>
          <w:sz w:val="24"/>
          <w:szCs w:val="24"/>
        </w:rPr>
        <w:t xml:space="preserve">L’évaluation de la qualité des ressources en eau souterraine a été faite en 2012 par des prélèvements au niveau de 196 forages. Le tableau </w:t>
      </w:r>
      <w:r w:rsidR="009C4C26" w:rsidRPr="007C5A6E">
        <w:rPr>
          <w:rFonts w:ascii="Times New Roman" w:hAnsi="Times New Roman"/>
          <w:sz w:val="24"/>
          <w:szCs w:val="24"/>
        </w:rPr>
        <w:t>1</w:t>
      </w:r>
      <w:r w:rsidR="00E53E4E" w:rsidRPr="007C5A6E">
        <w:rPr>
          <w:rFonts w:ascii="Times New Roman" w:hAnsi="Times New Roman"/>
          <w:sz w:val="24"/>
          <w:szCs w:val="24"/>
        </w:rPr>
        <w:t>1</w:t>
      </w:r>
      <w:r w:rsidRPr="007C5A6E">
        <w:rPr>
          <w:rFonts w:ascii="Times New Roman" w:hAnsi="Times New Roman"/>
          <w:sz w:val="24"/>
          <w:szCs w:val="24"/>
        </w:rPr>
        <w:t xml:space="preserve"> ci-dessous récapitule à titre indicatif, la qualité des eaux souterraines</w:t>
      </w:r>
      <w:bookmarkStart w:id="443" w:name="_Toc342299260"/>
      <w:r w:rsidRPr="007C5A6E">
        <w:rPr>
          <w:rFonts w:ascii="Times New Roman" w:hAnsi="Times New Roman"/>
          <w:sz w:val="24"/>
          <w:szCs w:val="24"/>
        </w:rPr>
        <w:t xml:space="preserve">. </w:t>
      </w:r>
    </w:p>
    <w:p w14:paraId="06BC7743" w14:textId="77777777" w:rsidR="0005266E" w:rsidRPr="007C5A6E" w:rsidRDefault="0005266E" w:rsidP="009969E0">
      <w:pPr>
        <w:spacing w:after="0" w:line="240" w:lineRule="auto"/>
        <w:jc w:val="both"/>
        <w:rPr>
          <w:rFonts w:cs="Calibri"/>
        </w:rPr>
      </w:pPr>
    </w:p>
    <w:p w14:paraId="48928A66" w14:textId="69651AAA" w:rsidR="0005266E" w:rsidRPr="007C5A6E" w:rsidRDefault="0005266E" w:rsidP="009969E0">
      <w:pPr>
        <w:tabs>
          <w:tab w:val="left" w:pos="1134"/>
        </w:tabs>
        <w:spacing w:after="0" w:line="240" w:lineRule="auto"/>
        <w:ind w:left="1134" w:hanging="1134"/>
        <w:rPr>
          <w:rFonts w:ascii="Times New Roman" w:hAnsi="Times New Roman"/>
          <w:iCs/>
          <w:sz w:val="24"/>
          <w:szCs w:val="24"/>
          <w:lang w:eastAsia="da-DK"/>
        </w:rPr>
      </w:pPr>
      <w:bookmarkStart w:id="444" w:name="_Toc478807535"/>
      <w:bookmarkStart w:id="445" w:name="_Toc182605858"/>
      <w:bookmarkStart w:id="446" w:name="_Toc183240973"/>
      <w:bookmarkStart w:id="447" w:name="_Toc183292215"/>
      <w:bookmarkStart w:id="448" w:name="_Toc183340495"/>
      <w:bookmarkStart w:id="449" w:name="_Hlk179446243"/>
      <w:r w:rsidRPr="007C5A6E">
        <w:rPr>
          <w:rFonts w:ascii="Times New Roman" w:hAnsi="Times New Roman"/>
          <w:iCs/>
          <w:sz w:val="24"/>
          <w:szCs w:val="24"/>
          <w:lang w:eastAsia="da-DK"/>
        </w:rPr>
        <w:t xml:space="preserve">Tableau </w:t>
      </w:r>
      <w:r w:rsidRPr="007C5A6E">
        <w:rPr>
          <w:rFonts w:ascii="Times New Roman" w:hAnsi="Times New Roman"/>
          <w:iCs/>
          <w:sz w:val="24"/>
          <w:szCs w:val="24"/>
          <w:lang w:eastAsia="da-DK"/>
        </w:rPr>
        <w:fldChar w:fldCharType="begin"/>
      </w:r>
      <w:r w:rsidRPr="007C5A6E">
        <w:rPr>
          <w:rFonts w:ascii="Times New Roman" w:hAnsi="Times New Roman"/>
          <w:iCs/>
          <w:sz w:val="24"/>
          <w:szCs w:val="24"/>
          <w:lang w:eastAsia="da-DK"/>
        </w:rPr>
        <w:instrText xml:space="preserve"> SEQ Tableau \* ARABIC </w:instrText>
      </w:r>
      <w:r w:rsidRPr="007C5A6E">
        <w:rPr>
          <w:rFonts w:ascii="Times New Roman" w:hAnsi="Times New Roman"/>
          <w:iCs/>
          <w:sz w:val="24"/>
          <w:szCs w:val="24"/>
          <w:lang w:eastAsia="da-DK"/>
        </w:rPr>
        <w:fldChar w:fldCharType="separate"/>
      </w:r>
      <w:r w:rsidR="00AE0C9D" w:rsidRPr="007C5A6E">
        <w:rPr>
          <w:rFonts w:ascii="Times New Roman" w:hAnsi="Times New Roman"/>
          <w:iCs/>
          <w:noProof/>
          <w:sz w:val="24"/>
          <w:szCs w:val="24"/>
          <w:lang w:eastAsia="da-DK"/>
        </w:rPr>
        <w:t>11</w:t>
      </w:r>
      <w:r w:rsidRPr="007C5A6E">
        <w:rPr>
          <w:rFonts w:ascii="Times New Roman" w:hAnsi="Times New Roman"/>
          <w:iCs/>
          <w:sz w:val="24"/>
          <w:szCs w:val="24"/>
          <w:lang w:eastAsia="da-DK"/>
        </w:rPr>
        <w:fldChar w:fldCharType="end"/>
      </w:r>
      <w:r w:rsidR="00F55559" w:rsidRPr="007C5A6E">
        <w:rPr>
          <w:rFonts w:ascii="Times New Roman" w:hAnsi="Times New Roman"/>
          <w:iCs/>
          <w:sz w:val="24"/>
          <w:szCs w:val="24"/>
          <w:lang w:eastAsia="da-DK"/>
        </w:rPr>
        <w:t xml:space="preserve"> </w:t>
      </w:r>
      <w:r w:rsidRPr="007C5A6E">
        <w:rPr>
          <w:rFonts w:ascii="Times New Roman" w:hAnsi="Times New Roman"/>
          <w:iCs/>
          <w:sz w:val="24"/>
          <w:szCs w:val="24"/>
          <w:lang w:eastAsia="da-DK"/>
        </w:rPr>
        <w:t>: Etat de la qualité des eaux souterraines</w:t>
      </w:r>
      <w:bookmarkEnd w:id="444"/>
      <w:bookmarkEnd w:id="445"/>
      <w:bookmarkEnd w:id="446"/>
      <w:bookmarkEnd w:id="447"/>
      <w:bookmarkEnd w:id="448"/>
    </w:p>
    <w:tbl>
      <w:tblPr>
        <w:tblW w:w="5533" w:type="dxa"/>
        <w:tblInd w:w="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66"/>
        <w:gridCol w:w="700"/>
        <w:gridCol w:w="580"/>
        <w:gridCol w:w="1087"/>
      </w:tblGrid>
      <w:tr w:rsidR="0005266E" w:rsidRPr="007C5A6E" w14:paraId="5150FB3D" w14:textId="77777777" w:rsidTr="0005266E">
        <w:trPr>
          <w:trHeight w:val="170"/>
        </w:trPr>
        <w:tc>
          <w:tcPr>
            <w:tcW w:w="3166" w:type="dxa"/>
            <w:shd w:val="clear" w:color="auto" w:fill="002060"/>
            <w:noWrap/>
            <w:vAlign w:val="center"/>
            <w:hideMark/>
          </w:tcPr>
          <w:bookmarkEnd w:id="443"/>
          <w:bookmarkEnd w:id="449"/>
          <w:p w14:paraId="1D92D409" w14:textId="77777777" w:rsidR="0005266E" w:rsidRPr="007C5A6E" w:rsidRDefault="0005266E" w:rsidP="009969E0">
            <w:pPr>
              <w:spacing w:after="0" w:line="240" w:lineRule="auto"/>
              <w:jc w:val="both"/>
              <w:rPr>
                <w:rFonts w:ascii="Times New Roman" w:hAnsi="Times New Roman"/>
                <w:sz w:val="21"/>
                <w:szCs w:val="21"/>
              </w:rPr>
            </w:pPr>
            <w:r w:rsidRPr="007C5A6E">
              <w:rPr>
                <w:rFonts w:ascii="Times New Roman" w:hAnsi="Times New Roman"/>
                <w:i/>
                <w:sz w:val="21"/>
                <w:szCs w:val="21"/>
              </w:rPr>
              <w:t xml:space="preserve"> </w:t>
            </w:r>
            <w:r w:rsidRPr="007C5A6E">
              <w:rPr>
                <w:rFonts w:ascii="Times New Roman" w:hAnsi="Times New Roman"/>
                <w:sz w:val="21"/>
                <w:szCs w:val="21"/>
              </w:rPr>
              <w:t>Qualité de l’eau </w:t>
            </w:r>
          </w:p>
        </w:tc>
        <w:tc>
          <w:tcPr>
            <w:tcW w:w="700" w:type="dxa"/>
            <w:shd w:val="clear" w:color="auto" w:fill="002060"/>
            <w:noWrap/>
            <w:vAlign w:val="center"/>
            <w:hideMark/>
          </w:tcPr>
          <w:p w14:paraId="24DD23EE" w14:textId="77777777" w:rsidR="0005266E" w:rsidRPr="007C5A6E" w:rsidRDefault="0005266E" w:rsidP="009969E0">
            <w:pPr>
              <w:spacing w:after="0" w:line="240" w:lineRule="auto"/>
              <w:jc w:val="center"/>
              <w:rPr>
                <w:rFonts w:ascii="Times New Roman" w:hAnsi="Times New Roman"/>
                <w:sz w:val="21"/>
                <w:szCs w:val="21"/>
              </w:rPr>
            </w:pPr>
            <w:proofErr w:type="gramStart"/>
            <w:r w:rsidRPr="007C5A6E">
              <w:rPr>
                <w:rFonts w:ascii="Times New Roman" w:hAnsi="Times New Roman"/>
                <w:sz w:val="21"/>
                <w:szCs w:val="21"/>
              </w:rPr>
              <w:t>pH</w:t>
            </w:r>
            <w:proofErr w:type="gramEnd"/>
          </w:p>
        </w:tc>
        <w:tc>
          <w:tcPr>
            <w:tcW w:w="580" w:type="dxa"/>
            <w:shd w:val="clear" w:color="auto" w:fill="002060"/>
            <w:noWrap/>
            <w:vAlign w:val="center"/>
            <w:hideMark/>
          </w:tcPr>
          <w:p w14:paraId="52B81FF3"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IR*</w:t>
            </w:r>
          </w:p>
        </w:tc>
        <w:tc>
          <w:tcPr>
            <w:tcW w:w="1087" w:type="dxa"/>
            <w:shd w:val="clear" w:color="auto" w:fill="002060"/>
            <w:noWrap/>
            <w:vAlign w:val="center"/>
            <w:hideMark/>
          </w:tcPr>
          <w:p w14:paraId="7CAE99D8"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Moyenne</w:t>
            </w:r>
          </w:p>
        </w:tc>
      </w:tr>
      <w:tr w:rsidR="0005266E" w:rsidRPr="007C5A6E" w14:paraId="738040C9" w14:textId="77777777" w:rsidTr="00457BED">
        <w:trPr>
          <w:trHeight w:val="170"/>
        </w:trPr>
        <w:tc>
          <w:tcPr>
            <w:tcW w:w="3166" w:type="dxa"/>
            <w:shd w:val="clear" w:color="auto" w:fill="auto"/>
            <w:noWrap/>
            <w:vAlign w:val="center"/>
            <w:hideMark/>
          </w:tcPr>
          <w:p w14:paraId="2AC33219" w14:textId="77777777" w:rsidR="0005266E" w:rsidRPr="007C5A6E" w:rsidRDefault="0005266E" w:rsidP="009969E0">
            <w:pPr>
              <w:spacing w:after="0" w:line="240" w:lineRule="auto"/>
              <w:jc w:val="both"/>
              <w:rPr>
                <w:rFonts w:ascii="Times New Roman" w:hAnsi="Times New Roman"/>
                <w:bCs/>
              </w:rPr>
            </w:pPr>
            <w:bookmarkStart w:id="450" w:name="_Hlk178116247"/>
            <w:r w:rsidRPr="007C5A6E">
              <w:rPr>
                <w:rFonts w:ascii="Times New Roman" w:hAnsi="Times New Roman"/>
                <w:bCs/>
              </w:rPr>
              <w:t>Nombre échantillons observés</w:t>
            </w:r>
          </w:p>
        </w:tc>
        <w:tc>
          <w:tcPr>
            <w:tcW w:w="700" w:type="dxa"/>
            <w:shd w:val="clear" w:color="auto" w:fill="auto"/>
            <w:noWrap/>
            <w:vAlign w:val="center"/>
            <w:hideMark/>
          </w:tcPr>
          <w:p w14:paraId="1D65A1E1" w14:textId="77777777" w:rsidR="0005266E" w:rsidRPr="007C5A6E" w:rsidRDefault="0005266E" w:rsidP="009969E0">
            <w:pPr>
              <w:spacing w:after="0" w:line="240" w:lineRule="auto"/>
              <w:jc w:val="center"/>
              <w:rPr>
                <w:rFonts w:ascii="Times New Roman" w:hAnsi="Times New Roman"/>
                <w:bCs/>
              </w:rPr>
            </w:pPr>
            <w:r w:rsidRPr="007C5A6E">
              <w:rPr>
                <w:rFonts w:ascii="Times New Roman" w:hAnsi="Times New Roman"/>
                <w:bCs/>
              </w:rPr>
              <w:t>196</w:t>
            </w:r>
          </w:p>
        </w:tc>
        <w:tc>
          <w:tcPr>
            <w:tcW w:w="580" w:type="dxa"/>
            <w:shd w:val="clear" w:color="auto" w:fill="auto"/>
            <w:noWrap/>
            <w:vAlign w:val="center"/>
            <w:hideMark/>
          </w:tcPr>
          <w:p w14:paraId="5F000270" w14:textId="77777777" w:rsidR="0005266E" w:rsidRPr="007C5A6E" w:rsidRDefault="0005266E" w:rsidP="009969E0">
            <w:pPr>
              <w:spacing w:after="0" w:line="240" w:lineRule="auto"/>
              <w:jc w:val="center"/>
              <w:rPr>
                <w:rFonts w:ascii="Times New Roman" w:hAnsi="Times New Roman"/>
                <w:bCs/>
              </w:rPr>
            </w:pPr>
            <w:r w:rsidRPr="007C5A6E">
              <w:rPr>
                <w:rFonts w:ascii="Times New Roman" w:hAnsi="Times New Roman"/>
                <w:bCs/>
              </w:rPr>
              <w:t>194</w:t>
            </w:r>
          </w:p>
        </w:tc>
        <w:tc>
          <w:tcPr>
            <w:tcW w:w="1087" w:type="dxa"/>
            <w:shd w:val="clear" w:color="auto" w:fill="auto"/>
            <w:noWrap/>
            <w:vAlign w:val="center"/>
            <w:hideMark/>
          </w:tcPr>
          <w:p w14:paraId="1E6A6A64" w14:textId="77777777" w:rsidR="0005266E" w:rsidRPr="007C5A6E" w:rsidRDefault="0005266E" w:rsidP="009969E0">
            <w:pPr>
              <w:spacing w:after="0" w:line="240" w:lineRule="auto"/>
              <w:jc w:val="center"/>
              <w:rPr>
                <w:rFonts w:ascii="Times New Roman" w:hAnsi="Times New Roman"/>
                <w:bCs/>
              </w:rPr>
            </w:pPr>
            <w:r w:rsidRPr="007C5A6E">
              <w:rPr>
                <w:rFonts w:ascii="Times New Roman" w:hAnsi="Times New Roman"/>
                <w:bCs/>
              </w:rPr>
              <w:t>196</w:t>
            </w:r>
          </w:p>
        </w:tc>
      </w:tr>
      <w:tr w:rsidR="0005266E" w:rsidRPr="007C5A6E" w14:paraId="2E23FE27" w14:textId="77777777" w:rsidTr="00457BED">
        <w:trPr>
          <w:trHeight w:val="170"/>
        </w:trPr>
        <w:tc>
          <w:tcPr>
            <w:tcW w:w="3166" w:type="dxa"/>
            <w:shd w:val="clear" w:color="auto" w:fill="auto"/>
            <w:noWrap/>
            <w:vAlign w:val="center"/>
            <w:hideMark/>
          </w:tcPr>
          <w:p w14:paraId="1A4263A5" w14:textId="77777777" w:rsidR="0005266E" w:rsidRPr="007C5A6E" w:rsidRDefault="0005266E" w:rsidP="009969E0">
            <w:pPr>
              <w:spacing w:after="0" w:line="240" w:lineRule="auto"/>
              <w:jc w:val="both"/>
              <w:rPr>
                <w:rFonts w:ascii="Times New Roman" w:hAnsi="Times New Roman"/>
                <w:bCs/>
              </w:rPr>
            </w:pPr>
            <w:r w:rsidRPr="007C5A6E">
              <w:rPr>
                <w:rFonts w:ascii="Times New Roman" w:hAnsi="Times New Roman"/>
                <w:bCs/>
              </w:rPr>
              <w:t>Information disponible</w:t>
            </w:r>
          </w:p>
        </w:tc>
        <w:tc>
          <w:tcPr>
            <w:tcW w:w="700" w:type="dxa"/>
            <w:shd w:val="clear" w:color="auto" w:fill="auto"/>
            <w:noWrap/>
            <w:vAlign w:val="center"/>
            <w:hideMark/>
          </w:tcPr>
          <w:p w14:paraId="7FF577E5" w14:textId="77777777" w:rsidR="0005266E" w:rsidRPr="007C5A6E" w:rsidRDefault="0005266E" w:rsidP="009969E0">
            <w:pPr>
              <w:spacing w:after="0" w:line="240" w:lineRule="auto"/>
              <w:jc w:val="center"/>
              <w:rPr>
                <w:rFonts w:ascii="Times New Roman" w:hAnsi="Times New Roman"/>
                <w:bCs/>
              </w:rPr>
            </w:pPr>
            <w:r w:rsidRPr="007C5A6E">
              <w:rPr>
                <w:rFonts w:ascii="Times New Roman" w:hAnsi="Times New Roman"/>
                <w:bCs/>
              </w:rPr>
              <w:t>100%</w:t>
            </w:r>
          </w:p>
        </w:tc>
        <w:tc>
          <w:tcPr>
            <w:tcW w:w="580" w:type="dxa"/>
            <w:shd w:val="clear" w:color="auto" w:fill="auto"/>
            <w:noWrap/>
            <w:vAlign w:val="center"/>
            <w:hideMark/>
          </w:tcPr>
          <w:p w14:paraId="07058CEC" w14:textId="77777777" w:rsidR="0005266E" w:rsidRPr="007C5A6E" w:rsidRDefault="0005266E" w:rsidP="009969E0">
            <w:pPr>
              <w:spacing w:after="0" w:line="240" w:lineRule="auto"/>
              <w:jc w:val="center"/>
              <w:rPr>
                <w:rFonts w:ascii="Times New Roman" w:hAnsi="Times New Roman"/>
                <w:bCs/>
              </w:rPr>
            </w:pPr>
            <w:r w:rsidRPr="007C5A6E">
              <w:rPr>
                <w:rFonts w:ascii="Times New Roman" w:hAnsi="Times New Roman"/>
                <w:bCs/>
              </w:rPr>
              <w:t>99%</w:t>
            </w:r>
          </w:p>
        </w:tc>
        <w:tc>
          <w:tcPr>
            <w:tcW w:w="1087" w:type="dxa"/>
            <w:shd w:val="clear" w:color="auto" w:fill="auto"/>
            <w:noWrap/>
            <w:vAlign w:val="center"/>
            <w:hideMark/>
          </w:tcPr>
          <w:p w14:paraId="7AFBEF9B" w14:textId="77777777" w:rsidR="0005266E" w:rsidRPr="007C5A6E" w:rsidRDefault="0005266E" w:rsidP="009969E0">
            <w:pPr>
              <w:spacing w:after="0" w:line="240" w:lineRule="auto"/>
              <w:jc w:val="center"/>
              <w:rPr>
                <w:rFonts w:ascii="Times New Roman" w:hAnsi="Times New Roman"/>
                <w:bCs/>
              </w:rPr>
            </w:pPr>
          </w:p>
        </w:tc>
      </w:tr>
      <w:tr w:rsidR="0005266E" w:rsidRPr="007C5A6E" w14:paraId="1410C634" w14:textId="77777777" w:rsidTr="00457BED">
        <w:trPr>
          <w:trHeight w:val="170"/>
        </w:trPr>
        <w:tc>
          <w:tcPr>
            <w:tcW w:w="3166" w:type="dxa"/>
            <w:shd w:val="clear" w:color="auto" w:fill="auto"/>
            <w:noWrap/>
            <w:vAlign w:val="center"/>
            <w:hideMark/>
          </w:tcPr>
          <w:p w14:paraId="35D9E6ED" w14:textId="77777777" w:rsidR="0005266E" w:rsidRPr="007C5A6E" w:rsidRDefault="0005266E" w:rsidP="009969E0">
            <w:pPr>
              <w:spacing w:after="0" w:line="240" w:lineRule="auto"/>
              <w:jc w:val="both"/>
              <w:rPr>
                <w:rFonts w:ascii="Times New Roman" w:hAnsi="Times New Roman"/>
                <w:bCs/>
              </w:rPr>
            </w:pPr>
            <w:r w:rsidRPr="007C5A6E">
              <w:rPr>
                <w:rFonts w:ascii="Times New Roman" w:hAnsi="Times New Roman"/>
                <w:bCs/>
              </w:rPr>
              <w:t>Bonne qualité</w:t>
            </w:r>
          </w:p>
        </w:tc>
        <w:tc>
          <w:tcPr>
            <w:tcW w:w="700" w:type="dxa"/>
            <w:shd w:val="clear" w:color="auto" w:fill="auto"/>
            <w:noWrap/>
            <w:vAlign w:val="center"/>
            <w:hideMark/>
          </w:tcPr>
          <w:p w14:paraId="037CD3E4" w14:textId="77777777" w:rsidR="0005266E" w:rsidRPr="007C5A6E" w:rsidRDefault="0005266E" w:rsidP="009969E0">
            <w:pPr>
              <w:spacing w:after="0" w:line="240" w:lineRule="auto"/>
              <w:jc w:val="center"/>
              <w:rPr>
                <w:rFonts w:ascii="Times New Roman" w:hAnsi="Times New Roman"/>
                <w:bCs/>
              </w:rPr>
            </w:pPr>
            <w:r w:rsidRPr="007C5A6E">
              <w:rPr>
                <w:rFonts w:ascii="Times New Roman" w:hAnsi="Times New Roman"/>
                <w:bCs/>
              </w:rPr>
              <w:t>76%</w:t>
            </w:r>
          </w:p>
        </w:tc>
        <w:tc>
          <w:tcPr>
            <w:tcW w:w="580" w:type="dxa"/>
            <w:shd w:val="clear" w:color="auto" w:fill="auto"/>
            <w:noWrap/>
            <w:vAlign w:val="center"/>
            <w:hideMark/>
          </w:tcPr>
          <w:p w14:paraId="66D9715F" w14:textId="77777777" w:rsidR="0005266E" w:rsidRPr="007C5A6E" w:rsidRDefault="0005266E" w:rsidP="009969E0">
            <w:pPr>
              <w:spacing w:after="0" w:line="240" w:lineRule="auto"/>
              <w:jc w:val="center"/>
              <w:rPr>
                <w:rFonts w:ascii="Times New Roman" w:hAnsi="Times New Roman"/>
                <w:bCs/>
              </w:rPr>
            </w:pPr>
            <w:r w:rsidRPr="007C5A6E">
              <w:rPr>
                <w:rFonts w:ascii="Times New Roman" w:hAnsi="Times New Roman"/>
                <w:bCs/>
              </w:rPr>
              <w:t>12%</w:t>
            </w:r>
          </w:p>
        </w:tc>
        <w:tc>
          <w:tcPr>
            <w:tcW w:w="1087" w:type="dxa"/>
            <w:shd w:val="clear" w:color="auto" w:fill="auto"/>
            <w:noWrap/>
            <w:vAlign w:val="center"/>
            <w:hideMark/>
          </w:tcPr>
          <w:p w14:paraId="3EDF3569" w14:textId="77777777" w:rsidR="0005266E" w:rsidRPr="007C5A6E" w:rsidRDefault="0005266E" w:rsidP="009969E0">
            <w:pPr>
              <w:spacing w:after="0" w:line="240" w:lineRule="auto"/>
              <w:jc w:val="center"/>
              <w:rPr>
                <w:rFonts w:ascii="Times New Roman" w:hAnsi="Times New Roman"/>
                <w:bCs/>
              </w:rPr>
            </w:pPr>
            <w:r w:rsidRPr="007C5A6E">
              <w:rPr>
                <w:rFonts w:ascii="Times New Roman" w:hAnsi="Times New Roman"/>
                <w:bCs/>
              </w:rPr>
              <w:t>7%</w:t>
            </w:r>
          </w:p>
        </w:tc>
      </w:tr>
      <w:tr w:rsidR="0005266E" w:rsidRPr="007C5A6E" w14:paraId="10A18143" w14:textId="77777777" w:rsidTr="00457BED">
        <w:trPr>
          <w:trHeight w:val="170"/>
        </w:trPr>
        <w:tc>
          <w:tcPr>
            <w:tcW w:w="3166" w:type="dxa"/>
            <w:shd w:val="clear" w:color="auto" w:fill="auto"/>
            <w:noWrap/>
            <w:vAlign w:val="center"/>
            <w:hideMark/>
          </w:tcPr>
          <w:p w14:paraId="62907030" w14:textId="77777777" w:rsidR="0005266E" w:rsidRPr="007C5A6E" w:rsidRDefault="0005266E" w:rsidP="009969E0">
            <w:pPr>
              <w:spacing w:after="0" w:line="240" w:lineRule="auto"/>
              <w:jc w:val="both"/>
              <w:rPr>
                <w:rFonts w:ascii="Times New Roman" w:hAnsi="Times New Roman"/>
                <w:bCs/>
              </w:rPr>
            </w:pPr>
            <w:r w:rsidRPr="007C5A6E">
              <w:rPr>
                <w:rFonts w:ascii="Times New Roman" w:hAnsi="Times New Roman"/>
                <w:bCs/>
              </w:rPr>
              <w:t>Qualité acceptable</w:t>
            </w:r>
          </w:p>
        </w:tc>
        <w:tc>
          <w:tcPr>
            <w:tcW w:w="700" w:type="dxa"/>
            <w:shd w:val="clear" w:color="auto" w:fill="auto"/>
            <w:noWrap/>
            <w:vAlign w:val="center"/>
            <w:hideMark/>
          </w:tcPr>
          <w:p w14:paraId="5A2CBD39" w14:textId="77777777" w:rsidR="0005266E" w:rsidRPr="007C5A6E" w:rsidRDefault="0005266E" w:rsidP="009969E0">
            <w:pPr>
              <w:spacing w:after="0" w:line="240" w:lineRule="auto"/>
              <w:jc w:val="center"/>
              <w:rPr>
                <w:rFonts w:ascii="Times New Roman" w:hAnsi="Times New Roman"/>
                <w:bCs/>
              </w:rPr>
            </w:pPr>
            <w:r w:rsidRPr="007C5A6E">
              <w:rPr>
                <w:rFonts w:ascii="Times New Roman" w:hAnsi="Times New Roman"/>
                <w:bCs/>
              </w:rPr>
              <w:t>0%</w:t>
            </w:r>
          </w:p>
        </w:tc>
        <w:tc>
          <w:tcPr>
            <w:tcW w:w="580" w:type="dxa"/>
            <w:shd w:val="clear" w:color="auto" w:fill="auto"/>
            <w:noWrap/>
            <w:vAlign w:val="center"/>
            <w:hideMark/>
          </w:tcPr>
          <w:p w14:paraId="0164211B" w14:textId="77777777" w:rsidR="0005266E" w:rsidRPr="007C5A6E" w:rsidRDefault="0005266E" w:rsidP="009969E0">
            <w:pPr>
              <w:spacing w:after="0" w:line="240" w:lineRule="auto"/>
              <w:jc w:val="center"/>
              <w:rPr>
                <w:rFonts w:ascii="Times New Roman" w:hAnsi="Times New Roman"/>
                <w:bCs/>
              </w:rPr>
            </w:pPr>
            <w:r w:rsidRPr="007C5A6E">
              <w:rPr>
                <w:rFonts w:ascii="Times New Roman" w:hAnsi="Times New Roman"/>
                <w:bCs/>
              </w:rPr>
              <w:t>0%</w:t>
            </w:r>
          </w:p>
        </w:tc>
        <w:tc>
          <w:tcPr>
            <w:tcW w:w="1087" w:type="dxa"/>
            <w:shd w:val="clear" w:color="auto" w:fill="auto"/>
            <w:noWrap/>
            <w:vAlign w:val="center"/>
            <w:hideMark/>
          </w:tcPr>
          <w:p w14:paraId="7956C3C6" w14:textId="77777777" w:rsidR="0005266E" w:rsidRPr="007C5A6E" w:rsidRDefault="0005266E" w:rsidP="009969E0">
            <w:pPr>
              <w:spacing w:after="0" w:line="240" w:lineRule="auto"/>
              <w:jc w:val="center"/>
              <w:rPr>
                <w:rFonts w:ascii="Times New Roman" w:hAnsi="Times New Roman"/>
                <w:bCs/>
              </w:rPr>
            </w:pPr>
            <w:r w:rsidRPr="007C5A6E">
              <w:rPr>
                <w:rFonts w:ascii="Times New Roman" w:hAnsi="Times New Roman"/>
                <w:bCs/>
              </w:rPr>
              <w:t>88%</w:t>
            </w:r>
          </w:p>
        </w:tc>
      </w:tr>
      <w:tr w:rsidR="0005266E" w:rsidRPr="007C5A6E" w14:paraId="0D1059A6" w14:textId="77777777" w:rsidTr="00457BED">
        <w:trPr>
          <w:trHeight w:val="170"/>
        </w:trPr>
        <w:tc>
          <w:tcPr>
            <w:tcW w:w="3166" w:type="dxa"/>
            <w:shd w:val="clear" w:color="auto" w:fill="auto"/>
            <w:noWrap/>
            <w:vAlign w:val="center"/>
            <w:hideMark/>
          </w:tcPr>
          <w:p w14:paraId="1EE8AFCC" w14:textId="77777777" w:rsidR="0005266E" w:rsidRPr="007C5A6E" w:rsidRDefault="0005266E" w:rsidP="009969E0">
            <w:pPr>
              <w:spacing w:after="0" w:line="240" w:lineRule="auto"/>
              <w:jc w:val="both"/>
              <w:rPr>
                <w:rFonts w:ascii="Times New Roman" w:hAnsi="Times New Roman"/>
                <w:bCs/>
              </w:rPr>
            </w:pPr>
            <w:r w:rsidRPr="007C5A6E">
              <w:rPr>
                <w:rFonts w:ascii="Times New Roman" w:hAnsi="Times New Roman"/>
                <w:bCs/>
              </w:rPr>
              <w:t>Mauvaise qualité</w:t>
            </w:r>
          </w:p>
        </w:tc>
        <w:tc>
          <w:tcPr>
            <w:tcW w:w="700" w:type="dxa"/>
            <w:shd w:val="clear" w:color="auto" w:fill="auto"/>
            <w:noWrap/>
            <w:vAlign w:val="center"/>
            <w:hideMark/>
          </w:tcPr>
          <w:p w14:paraId="5FACF163" w14:textId="77777777" w:rsidR="0005266E" w:rsidRPr="007C5A6E" w:rsidRDefault="0005266E" w:rsidP="009969E0">
            <w:pPr>
              <w:spacing w:after="0" w:line="240" w:lineRule="auto"/>
              <w:jc w:val="center"/>
              <w:rPr>
                <w:rFonts w:ascii="Times New Roman" w:hAnsi="Times New Roman"/>
                <w:bCs/>
              </w:rPr>
            </w:pPr>
            <w:r w:rsidRPr="007C5A6E">
              <w:rPr>
                <w:rFonts w:ascii="Times New Roman" w:hAnsi="Times New Roman"/>
                <w:bCs/>
              </w:rPr>
              <w:t>24%</w:t>
            </w:r>
          </w:p>
        </w:tc>
        <w:tc>
          <w:tcPr>
            <w:tcW w:w="580" w:type="dxa"/>
            <w:shd w:val="clear" w:color="auto" w:fill="auto"/>
            <w:noWrap/>
            <w:vAlign w:val="center"/>
            <w:hideMark/>
          </w:tcPr>
          <w:p w14:paraId="08B5395C" w14:textId="77777777" w:rsidR="0005266E" w:rsidRPr="007C5A6E" w:rsidRDefault="0005266E" w:rsidP="009969E0">
            <w:pPr>
              <w:spacing w:after="0" w:line="240" w:lineRule="auto"/>
              <w:jc w:val="center"/>
              <w:rPr>
                <w:rFonts w:ascii="Times New Roman" w:hAnsi="Times New Roman"/>
                <w:bCs/>
              </w:rPr>
            </w:pPr>
            <w:r w:rsidRPr="007C5A6E">
              <w:rPr>
                <w:rFonts w:ascii="Times New Roman" w:hAnsi="Times New Roman"/>
                <w:bCs/>
              </w:rPr>
              <w:t>88%</w:t>
            </w:r>
          </w:p>
        </w:tc>
        <w:tc>
          <w:tcPr>
            <w:tcW w:w="1087" w:type="dxa"/>
            <w:shd w:val="clear" w:color="auto" w:fill="auto"/>
            <w:noWrap/>
            <w:vAlign w:val="center"/>
            <w:hideMark/>
          </w:tcPr>
          <w:p w14:paraId="2B664275" w14:textId="77777777" w:rsidR="0005266E" w:rsidRPr="007C5A6E" w:rsidRDefault="0005266E" w:rsidP="009969E0">
            <w:pPr>
              <w:spacing w:after="0" w:line="240" w:lineRule="auto"/>
              <w:jc w:val="center"/>
              <w:rPr>
                <w:rFonts w:ascii="Times New Roman" w:hAnsi="Times New Roman"/>
                <w:bCs/>
              </w:rPr>
            </w:pPr>
            <w:r w:rsidRPr="007C5A6E">
              <w:rPr>
                <w:rFonts w:ascii="Times New Roman" w:hAnsi="Times New Roman"/>
                <w:bCs/>
              </w:rPr>
              <w:t>5%</w:t>
            </w:r>
          </w:p>
        </w:tc>
      </w:tr>
    </w:tbl>
    <w:bookmarkEnd w:id="450"/>
    <w:p w14:paraId="474BF24C" w14:textId="77777777" w:rsidR="0005266E" w:rsidRPr="007C5A6E" w:rsidRDefault="0005266E" w:rsidP="009969E0">
      <w:pPr>
        <w:spacing w:after="0" w:line="240" w:lineRule="auto"/>
        <w:rPr>
          <w:rFonts w:ascii="Times New Roman" w:hAnsi="Times New Roman"/>
          <w:sz w:val="20"/>
          <w:szCs w:val="20"/>
        </w:rPr>
      </w:pPr>
      <w:r w:rsidRPr="007C5A6E">
        <w:rPr>
          <w:rFonts w:ascii="Times New Roman" w:hAnsi="Times New Roman"/>
          <w:sz w:val="20"/>
          <w:szCs w:val="20"/>
        </w:rPr>
        <w:t>Source : Etat des lieux des ressources en eau du bassin de la Comoé –MAHRH/MCA/COWI-2012 ;</w:t>
      </w:r>
      <w:r w:rsidRPr="007C5A6E">
        <w:rPr>
          <w:rFonts w:ascii="Times New Roman" w:hAnsi="Times New Roman"/>
          <w:sz w:val="24"/>
          <w:szCs w:val="24"/>
        </w:rPr>
        <w:t xml:space="preserve"> </w:t>
      </w:r>
      <w:r w:rsidRPr="007C5A6E">
        <w:rPr>
          <w:rFonts w:ascii="Times New Roman" w:hAnsi="Times New Roman"/>
          <w:sz w:val="20"/>
          <w:szCs w:val="20"/>
        </w:rPr>
        <w:t xml:space="preserve">(*Indice de </w:t>
      </w:r>
      <w:proofErr w:type="spellStart"/>
      <w:r w:rsidRPr="007C5A6E">
        <w:rPr>
          <w:rFonts w:ascii="Times New Roman" w:hAnsi="Times New Roman"/>
          <w:sz w:val="20"/>
          <w:szCs w:val="20"/>
        </w:rPr>
        <w:t>Ryznar</w:t>
      </w:r>
      <w:proofErr w:type="spellEnd"/>
      <w:r w:rsidRPr="007C5A6E">
        <w:rPr>
          <w:rFonts w:ascii="Times New Roman" w:hAnsi="Times New Roman"/>
          <w:sz w:val="20"/>
          <w:szCs w:val="20"/>
        </w:rPr>
        <w:t>)</w:t>
      </w:r>
    </w:p>
    <w:p w14:paraId="479B21E7" w14:textId="77777777" w:rsidR="0005266E" w:rsidRPr="007C5A6E" w:rsidRDefault="0005266E" w:rsidP="009969E0">
      <w:pPr>
        <w:spacing w:after="0" w:line="240" w:lineRule="auto"/>
        <w:rPr>
          <w:rFonts w:ascii="Times New Roman" w:hAnsi="Times New Roman"/>
          <w:sz w:val="20"/>
          <w:szCs w:val="20"/>
        </w:rPr>
      </w:pPr>
    </w:p>
    <w:p w14:paraId="6838D141" w14:textId="7B038555" w:rsidR="0005266E" w:rsidRPr="007C5A6E" w:rsidRDefault="0005266E" w:rsidP="009969E0">
      <w:pPr>
        <w:tabs>
          <w:tab w:val="left" w:pos="1134"/>
        </w:tabs>
        <w:spacing w:after="0" w:line="240" w:lineRule="auto"/>
        <w:ind w:left="1134" w:hanging="1134"/>
        <w:rPr>
          <w:rFonts w:ascii="Times New Roman" w:hAnsi="Times New Roman"/>
          <w:iCs/>
          <w:sz w:val="24"/>
          <w:szCs w:val="24"/>
          <w:lang w:eastAsia="da-DK"/>
        </w:rPr>
      </w:pPr>
      <w:bookmarkStart w:id="451" w:name="_Toc182605859"/>
      <w:bookmarkStart w:id="452" w:name="_Toc183240974"/>
      <w:bookmarkStart w:id="453" w:name="_Toc183292216"/>
      <w:bookmarkStart w:id="454" w:name="_Toc183340496"/>
      <w:r w:rsidRPr="007C5A6E">
        <w:rPr>
          <w:rFonts w:ascii="Times New Roman" w:hAnsi="Times New Roman"/>
          <w:iCs/>
          <w:sz w:val="24"/>
          <w:szCs w:val="24"/>
          <w:lang w:eastAsia="da-DK"/>
        </w:rPr>
        <w:t xml:space="preserve">Tableau </w:t>
      </w:r>
      <w:r w:rsidRPr="007C5A6E">
        <w:rPr>
          <w:rFonts w:ascii="Times New Roman" w:hAnsi="Times New Roman"/>
          <w:iCs/>
          <w:sz w:val="24"/>
          <w:szCs w:val="24"/>
          <w:lang w:eastAsia="da-DK"/>
        </w:rPr>
        <w:fldChar w:fldCharType="begin"/>
      </w:r>
      <w:r w:rsidRPr="007C5A6E">
        <w:rPr>
          <w:rFonts w:ascii="Times New Roman" w:hAnsi="Times New Roman"/>
          <w:iCs/>
          <w:sz w:val="24"/>
          <w:szCs w:val="24"/>
          <w:lang w:eastAsia="da-DK"/>
        </w:rPr>
        <w:instrText xml:space="preserve"> SEQ Tableau \* ARABIC </w:instrText>
      </w:r>
      <w:r w:rsidRPr="007C5A6E">
        <w:rPr>
          <w:rFonts w:ascii="Times New Roman" w:hAnsi="Times New Roman"/>
          <w:iCs/>
          <w:sz w:val="24"/>
          <w:szCs w:val="24"/>
          <w:lang w:eastAsia="da-DK"/>
        </w:rPr>
        <w:fldChar w:fldCharType="separate"/>
      </w:r>
      <w:r w:rsidR="003162F8" w:rsidRPr="007C5A6E">
        <w:rPr>
          <w:rFonts w:ascii="Times New Roman" w:hAnsi="Times New Roman"/>
          <w:iCs/>
          <w:noProof/>
          <w:sz w:val="24"/>
          <w:szCs w:val="24"/>
          <w:lang w:eastAsia="da-DK"/>
        </w:rPr>
        <w:t>12</w:t>
      </w:r>
      <w:r w:rsidRPr="007C5A6E">
        <w:rPr>
          <w:rFonts w:ascii="Times New Roman" w:hAnsi="Times New Roman"/>
          <w:iCs/>
          <w:sz w:val="24"/>
          <w:szCs w:val="24"/>
          <w:lang w:eastAsia="da-DK"/>
        </w:rPr>
        <w:fldChar w:fldCharType="end"/>
      </w:r>
      <w:r w:rsidR="00F55559" w:rsidRPr="007C5A6E">
        <w:rPr>
          <w:rFonts w:ascii="Times New Roman" w:hAnsi="Times New Roman"/>
          <w:iCs/>
          <w:sz w:val="24"/>
          <w:szCs w:val="24"/>
          <w:lang w:eastAsia="da-DK"/>
        </w:rPr>
        <w:t xml:space="preserve"> </w:t>
      </w:r>
      <w:r w:rsidRPr="007C5A6E">
        <w:rPr>
          <w:rFonts w:ascii="Times New Roman" w:hAnsi="Times New Roman"/>
          <w:iCs/>
          <w:sz w:val="24"/>
          <w:szCs w:val="24"/>
          <w:lang w:eastAsia="da-DK"/>
        </w:rPr>
        <w:t>: Etat des risques liés à la qualité des eaux souterraines</w:t>
      </w:r>
      <w:bookmarkEnd w:id="451"/>
      <w:bookmarkEnd w:id="452"/>
      <w:bookmarkEnd w:id="453"/>
      <w:bookmarkEnd w:id="454"/>
    </w:p>
    <w:tbl>
      <w:tblPr>
        <w:tblW w:w="94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3"/>
        <w:gridCol w:w="1293"/>
        <w:gridCol w:w="5806"/>
      </w:tblGrid>
      <w:tr w:rsidR="0005266E" w:rsidRPr="007C5A6E" w14:paraId="48C6C70C" w14:textId="77777777" w:rsidTr="0005266E">
        <w:trPr>
          <w:cantSplit/>
          <w:trHeight w:val="20"/>
          <w:tblHeader/>
        </w:trPr>
        <w:tc>
          <w:tcPr>
            <w:tcW w:w="2393" w:type="dxa"/>
            <w:shd w:val="clear" w:color="auto" w:fill="002060"/>
            <w:vAlign w:val="center"/>
          </w:tcPr>
          <w:p w14:paraId="66C0A9D7" w14:textId="77777777" w:rsidR="0005266E" w:rsidRPr="007C5A6E" w:rsidRDefault="0005266E" w:rsidP="009969E0">
            <w:pPr>
              <w:spacing w:after="0" w:line="240" w:lineRule="auto"/>
              <w:jc w:val="center"/>
              <w:rPr>
                <w:rFonts w:ascii="Times New Roman" w:hAnsi="Times New Roman"/>
                <w:sz w:val="21"/>
                <w:szCs w:val="21"/>
                <w:lang w:eastAsia="da-DK"/>
              </w:rPr>
            </w:pPr>
            <w:r w:rsidRPr="007C5A6E">
              <w:rPr>
                <w:rFonts w:ascii="Times New Roman" w:hAnsi="Times New Roman"/>
                <w:sz w:val="21"/>
                <w:szCs w:val="21"/>
                <w:lang w:eastAsia="da-DK"/>
              </w:rPr>
              <w:t>Paramètre</w:t>
            </w:r>
          </w:p>
        </w:tc>
        <w:tc>
          <w:tcPr>
            <w:tcW w:w="1293" w:type="dxa"/>
            <w:shd w:val="clear" w:color="auto" w:fill="002060"/>
            <w:vAlign w:val="center"/>
          </w:tcPr>
          <w:p w14:paraId="08408748" w14:textId="77777777" w:rsidR="0005266E" w:rsidRPr="007C5A6E" w:rsidRDefault="0005266E" w:rsidP="009969E0">
            <w:pPr>
              <w:spacing w:after="0" w:line="240" w:lineRule="auto"/>
              <w:jc w:val="center"/>
              <w:rPr>
                <w:rFonts w:ascii="Times New Roman" w:hAnsi="Times New Roman"/>
                <w:sz w:val="21"/>
                <w:szCs w:val="21"/>
                <w:lang w:eastAsia="da-DK"/>
              </w:rPr>
            </w:pPr>
            <w:r w:rsidRPr="007C5A6E">
              <w:rPr>
                <w:rFonts w:ascii="Times New Roman" w:hAnsi="Times New Roman"/>
                <w:sz w:val="21"/>
                <w:szCs w:val="21"/>
                <w:lang w:eastAsia="da-DK"/>
              </w:rPr>
              <w:t>Niveau de risque</w:t>
            </w:r>
          </w:p>
        </w:tc>
        <w:tc>
          <w:tcPr>
            <w:tcW w:w="5806" w:type="dxa"/>
            <w:shd w:val="clear" w:color="auto" w:fill="002060"/>
            <w:vAlign w:val="center"/>
          </w:tcPr>
          <w:p w14:paraId="2E929765" w14:textId="77777777" w:rsidR="0005266E" w:rsidRPr="007C5A6E" w:rsidRDefault="0005266E" w:rsidP="009969E0">
            <w:pPr>
              <w:spacing w:after="0" w:line="240" w:lineRule="auto"/>
              <w:jc w:val="center"/>
              <w:rPr>
                <w:rFonts w:ascii="Times New Roman" w:hAnsi="Times New Roman"/>
                <w:sz w:val="21"/>
                <w:szCs w:val="21"/>
                <w:lang w:eastAsia="da-DK"/>
              </w:rPr>
            </w:pPr>
            <w:r w:rsidRPr="007C5A6E">
              <w:rPr>
                <w:rFonts w:ascii="Times New Roman" w:hAnsi="Times New Roman"/>
                <w:sz w:val="21"/>
                <w:szCs w:val="21"/>
                <w:lang w:eastAsia="da-DK"/>
              </w:rPr>
              <w:t>Commentaire</w:t>
            </w:r>
          </w:p>
        </w:tc>
      </w:tr>
      <w:tr w:rsidR="0005266E" w:rsidRPr="007C5A6E" w14:paraId="4E28E78D" w14:textId="77777777" w:rsidTr="00457BED">
        <w:trPr>
          <w:cantSplit/>
          <w:trHeight w:val="20"/>
        </w:trPr>
        <w:tc>
          <w:tcPr>
            <w:tcW w:w="2393" w:type="dxa"/>
            <w:shd w:val="clear" w:color="auto" w:fill="auto"/>
            <w:vAlign w:val="center"/>
          </w:tcPr>
          <w:p w14:paraId="0CCEEA89" w14:textId="77777777" w:rsidR="0005266E" w:rsidRPr="007C5A6E" w:rsidRDefault="0005266E" w:rsidP="009969E0">
            <w:pPr>
              <w:spacing w:after="0" w:line="240" w:lineRule="auto"/>
              <w:rPr>
                <w:rFonts w:ascii="Times New Roman" w:hAnsi="Times New Roman"/>
                <w:bCs/>
                <w:lang w:eastAsia="da-DK"/>
              </w:rPr>
            </w:pPr>
            <w:r w:rsidRPr="007C5A6E">
              <w:rPr>
                <w:rFonts w:ascii="Times New Roman" w:hAnsi="Times New Roman"/>
                <w:bCs/>
                <w:lang w:eastAsia="da-DK"/>
              </w:rPr>
              <w:t>Nitrates</w:t>
            </w:r>
          </w:p>
        </w:tc>
        <w:tc>
          <w:tcPr>
            <w:tcW w:w="1293" w:type="dxa"/>
            <w:shd w:val="clear" w:color="auto" w:fill="auto"/>
            <w:vAlign w:val="center"/>
          </w:tcPr>
          <w:p w14:paraId="79082EB5" w14:textId="77777777" w:rsidR="0005266E" w:rsidRPr="007C5A6E" w:rsidRDefault="0005266E" w:rsidP="009969E0">
            <w:pPr>
              <w:spacing w:after="0" w:line="240" w:lineRule="auto"/>
              <w:rPr>
                <w:rFonts w:ascii="Times New Roman" w:hAnsi="Times New Roman"/>
                <w:bCs/>
                <w:lang w:eastAsia="da-DK"/>
              </w:rPr>
            </w:pPr>
            <w:r w:rsidRPr="007C5A6E">
              <w:rPr>
                <w:rFonts w:ascii="Times New Roman" w:hAnsi="Times New Roman"/>
                <w:bCs/>
                <w:lang w:eastAsia="da-DK"/>
              </w:rPr>
              <w:t>Elevé</w:t>
            </w:r>
          </w:p>
        </w:tc>
        <w:tc>
          <w:tcPr>
            <w:tcW w:w="5806" w:type="dxa"/>
            <w:shd w:val="clear" w:color="auto" w:fill="auto"/>
            <w:vAlign w:val="center"/>
          </w:tcPr>
          <w:p w14:paraId="49F4C4A6" w14:textId="77777777" w:rsidR="0005266E" w:rsidRPr="007C5A6E" w:rsidRDefault="0005266E" w:rsidP="003F3821">
            <w:pPr>
              <w:numPr>
                <w:ilvl w:val="0"/>
                <w:numId w:val="23"/>
              </w:numPr>
              <w:spacing w:after="0" w:line="240" w:lineRule="auto"/>
              <w:ind w:left="107" w:hanging="107"/>
              <w:rPr>
                <w:rFonts w:ascii="Times New Roman" w:hAnsi="Times New Roman"/>
                <w:bCs/>
                <w:lang w:eastAsia="da-DK"/>
              </w:rPr>
            </w:pPr>
            <w:r w:rsidRPr="007C5A6E">
              <w:rPr>
                <w:rFonts w:ascii="Times New Roman" w:hAnsi="Times New Roman"/>
                <w:bCs/>
                <w:lang w:eastAsia="da-DK"/>
              </w:rPr>
              <w:t>Origine naturelle (décomposition végétale ou animale) ou anthropique (activités agricoles, élevage…)</w:t>
            </w:r>
          </w:p>
        </w:tc>
      </w:tr>
      <w:tr w:rsidR="0005266E" w:rsidRPr="007C5A6E" w14:paraId="6F65956E" w14:textId="77777777" w:rsidTr="00457BED">
        <w:trPr>
          <w:cantSplit/>
          <w:trHeight w:val="20"/>
        </w:trPr>
        <w:tc>
          <w:tcPr>
            <w:tcW w:w="2393" w:type="dxa"/>
            <w:shd w:val="clear" w:color="auto" w:fill="auto"/>
            <w:vAlign w:val="center"/>
          </w:tcPr>
          <w:p w14:paraId="1247DE7F" w14:textId="77777777" w:rsidR="0005266E" w:rsidRPr="007C5A6E" w:rsidRDefault="0005266E" w:rsidP="009969E0">
            <w:pPr>
              <w:spacing w:after="0" w:line="240" w:lineRule="auto"/>
              <w:rPr>
                <w:rFonts w:ascii="Times New Roman" w:hAnsi="Times New Roman"/>
                <w:bCs/>
                <w:lang w:eastAsia="da-DK"/>
              </w:rPr>
            </w:pPr>
            <w:r w:rsidRPr="007C5A6E">
              <w:rPr>
                <w:rFonts w:ascii="Times New Roman" w:hAnsi="Times New Roman"/>
                <w:bCs/>
                <w:lang w:eastAsia="da-DK"/>
              </w:rPr>
              <w:t>Nitrites</w:t>
            </w:r>
          </w:p>
        </w:tc>
        <w:tc>
          <w:tcPr>
            <w:tcW w:w="1293" w:type="dxa"/>
            <w:shd w:val="clear" w:color="auto" w:fill="auto"/>
            <w:vAlign w:val="center"/>
          </w:tcPr>
          <w:p w14:paraId="6A2F728B" w14:textId="77777777" w:rsidR="0005266E" w:rsidRPr="007C5A6E" w:rsidRDefault="0005266E" w:rsidP="009969E0">
            <w:pPr>
              <w:spacing w:after="0" w:line="240" w:lineRule="auto"/>
              <w:rPr>
                <w:rFonts w:ascii="Times New Roman" w:hAnsi="Times New Roman"/>
                <w:bCs/>
                <w:lang w:eastAsia="da-DK"/>
              </w:rPr>
            </w:pPr>
            <w:r w:rsidRPr="007C5A6E">
              <w:rPr>
                <w:rFonts w:ascii="Times New Roman" w:hAnsi="Times New Roman"/>
                <w:bCs/>
                <w:lang w:eastAsia="da-DK"/>
              </w:rPr>
              <w:t>Moyen</w:t>
            </w:r>
          </w:p>
        </w:tc>
        <w:tc>
          <w:tcPr>
            <w:tcW w:w="5806" w:type="dxa"/>
            <w:shd w:val="clear" w:color="auto" w:fill="auto"/>
            <w:vAlign w:val="center"/>
          </w:tcPr>
          <w:p w14:paraId="394A387B" w14:textId="77777777" w:rsidR="0005266E" w:rsidRPr="007C5A6E" w:rsidRDefault="0005266E" w:rsidP="003F3821">
            <w:pPr>
              <w:numPr>
                <w:ilvl w:val="0"/>
                <w:numId w:val="23"/>
              </w:numPr>
              <w:spacing w:after="0" w:line="240" w:lineRule="auto"/>
              <w:ind w:left="107" w:hanging="107"/>
              <w:rPr>
                <w:rFonts w:ascii="Times New Roman" w:hAnsi="Times New Roman"/>
                <w:bCs/>
                <w:lang w:eastAsia="da-DK"/>
              </w:rPr>
            </w:pPr>
            <w:r w:rsidRPr="007C5A6E">
              <w:rPr>
                <w:rFonts w:ascii="Times New Roman" w:hAnsi="Times New Roman"/>
                <w:bCs/>
                <w:lang w:eastAsia="da-DK"/>
              </w:rPr>
              <w:t>Oxydation incomplète de l’ammoniaque, ou réduction des nitrates sous l’influence d’une action dénitrifiante</w:t>
            </w:r>
          </w:p>
        </w:tc>
      </w:tr>
      <w:tr w:rsidR="0005266E" w:rsidRPr="007C5A6E" w14:paraId="6132976A" w14:textId="77777777" w:rsidTr="00457BED">
        <w:trPr>
          <w:cantSplit/>
          <w:trHeight w:val="20"/>
        </w:trPr>
        <w:tc>
          <w:tcPr>
            <w:tcW w:w="2393" w:type="dxa"/>
            <w:shd w:val="clear" w:color="auto" w:fill="auto"/>
            <w:vAlign w:val="center"/>
          </w:tcPr>
          <w:p w14:paraId="2722997E" w14:textId="77777777" w:rsidR="0005266E" w:rsidRPr="007C5A6E" w:rsidRDefault="0005266E" w:rsidP="009969E0">
            <w:pPr>
              <w:spacing w:after="0" w:line="240" w:lineRule="auto"/>
              <w:rPr>
                <w:rFonts w:ascii="Times New Roman" w:hAnsi="Times New Roman"/>
                <w:bCs/>
                <w:lang w:eastAsia="da-DK"/>
              </w:rPr>
            </w:pPr>
            <w:r w:rsidRPr="007C5A6E">
              <w:rPr>
                <w:rFonts w:ascii="Times New Roman" w:hAnsi="Times New Roman"/>
                <w:bCs/>
                <w:lang w:eastAsia="da-DK"/>
              </w:rPr>
              <w:t>Cyanure</w:t>
            </w:r>
          </w:p>
        </w:tc>
        <w:tc>
          <w:tcPr>
            <w:tcW w:w="1293" w:type="dxa"/>
            <w:shd w:val="clear" w:color="auto" w:fill="auto"/>
            <w:vAlign w:val="center"/>
          </w:tcPr>
          <w:p w14:paraId="75674C6A" w14:textId="77777777" w:rsidR="0005266E" w:rsidRPr="007C5A6E" w:rsidRDefault="0005266E" w:rsidP="009969E0">
            <w:pPr>
              <w:spacing w:after="0" w:line="240" w:lineRule="auto"/>
              <w:rPr>
                <w:rFonts w:ascii="Times New Roman" w:hAnsi="Times New Roman"/>
                <w:bCs/>
                <w:lang w:eastAsia="da-DK"/>
              </w:rPr>
            </w:pPr>
            <w:r w:rsidRPr="007C5A6E">
              <w:rPr>
                <w:rFonts w:ascii="Times New Roman" w:hAnsi="Times New Roman"/>
                <w:bCs/>
                <w:lang w:eastAsia="da-DK"/>
              </w:rPr>
              <w:t>Elevé</w:t>
            </w:r>
          </w:p>
        </w:tc>
        <w:tc>
          <w:tcPr>
            <w:tcW w:w="5806" w:type="dxa"/>
            <w:shd w:val="clear" w:color="auto" w:fill="auto"/>
            <w:vAlign w:val="center"/>
          </w:tcPr>
          <w:p w14:paraId="16EB6FF4" w14:textId="77777777" w:rsidR="0005266E" w:rsidRPr="007C5A6E" w:rsidRDefault="0005266E" w:rsidP="003F3821">
            <w:pPr>
              <w:numPr>
                <w:ilvl w:val="0"/>
                <w:numId w:val="23"/>
              </w:numPr>
              <w:spacing w:after="0" w:line="240" w:lineRule="auto"/>
              <w:ind w:left="107" w:hanging="107"/>
              <w:rPr>
                <w:rFonts w:ascii="Times New Roman" w:hAnsi="Times New Roman"/>
                <w:bCs/>
                <w:lang w:eastAsia="da-DK"/>
              </w:rPr>
            </w:pPr>
            <w:r w:rsidRPr="007C5A6E">
              <w:rPr>
                <w:rFonts w:ascii="Times New Roman" w:hAnsi="Times New Roman"/>
                <w:bCs/>
                <w:lang w:eastAsia="da-DK"/>
              </w:rPr>
              <w:t xml:space="preserve">Zones </w:t>
            </w:r>
            <w:proofErr w:type="spellStart"/>
            <w:r w:rsidRPr="007C5A6E">
              <w:rPr>
                <w:rFonts w:ascii="Times New Roman" w:hAnsi="Times New Roman"/>
                <w:bCs/>
                <w:lang w:eastAsia="da-DK"/>
              </w:rPr>
              <w:t>volcano</w:t>
            </w:r>
            <w:proofErr w:type="spellEnd"/>
            <w:r w:rsidRPr="007C5A6E">
              <w:rPr>
                <w:rFonts w:ascii="Times New Roman" w:hAnsi="Times New Roman"/>
                <w:bCs/>
                <w:lang w:eastAsia="da-DK"/>
              </w:rPr>
              <w:t>-sédimentaires (pollution des ressources au niveau des sites aurifères actifs et zones d’orpaillage)</w:t>
            </w:r>
          </w:p>
        </w:tc>
      </w:tr>
      <w:tr w:rsidR="0005266E" w:rsidRPr="007C5A6E" w14:paraId="32B4FD8A" w14:textId="77777777" w:rsidTr="00457BED">
        <w:trPr>
          <w:cantSplit/>
          <w:trHeight w:val="20"/>
        </w:trPr>
        <w:tc>
          <w:tcPr>
            <w:tcW w:w="2393" w:type="dxa"/>
            <w:shd w:val="clear" w:color="auto" w:fill="auto"/>
            <w:vAlign w:val="center"/>
          </w:tcPr>
          <w:p w14:paraId="6CE7AB0D" w14:textId="77777777" w:rsidR="0005266E" w:rsidRPr="007C5A6E" w:rsidRDefault="0005266E" w:rsidP="009969E0">
            <w:pPr>
              <w:spacing w:after="0" w:line="240" w:lineRule="auto"/>
              <w:rPr>
                <w:rFonts w:ascii="Times New Roman" w:hAnsi="Times New Roman"/>
                <w:bCs/>
                <w:lang w:eastAsia="da-DK"/>
              </w:rPr>
            </w:pPr>
            <w:r w:rsidRPr="007C5A6E">
              <w:rPr>
                <w:rFonts w:ascii="Times New Roman" w:hAnsi="Times New Roman"/>
                <w:bCs/>
                <w:lang w:eastAsia="da-DK"/>
              </w:rPr>
              <w:t>Arsenic</w:t>
            </w:r>
          </w:p>
        </w:tc>
        <w:tc>
          <w:tcPr>
            <w:tcW w:w="1293" w:type="dxa"/>
            <w:shd w:val="clear" w:color="auto" w:fill="auto"/>
            <w:vAlign w:val="center"/>
          </w:tcPr>
          <w:p w14:paraId="0E9A00FF" w14:textId="77777777" w:rsidR="0005266E" w:rsidRPr="007C5A6E" w:rsidRDefault="0005266E" w:rsidP="009969E0">
            <w:pPr>
              <w:spacing w:after="0" w:line="240" w:lineRule="auto"/>
              <w:rPr>
                <w:rFonts w:ascii="Times New Roman" w:hAnsi="Times New Roman"/>
                <w:bCs/>
                <w:lang w:eastAsia="da-DK"/>
              </w:rPr>
            </w:pPr>
            <w:r w:rsidRPr="007C5A6E">
              <w:rPr>
                <w:rFonts w:ascii="Times New Roman" w:hAnsi="Times New Roman"/>
                <w:bCs/>
                <w:lang w:eastAsia="da-DK"/>
              </w:rPr>
              <w:t>Local</w:t>
            </w:r>
          </w:p>
        </w:tc>
        <w:tc>
          <w:tcPr>
            <w:tcW w:w="5806" w:type="dxa"/>
            <w:shd w:val="clear" w:color="auto" w:fill="auto"/>
            <w:vAlign w:val="center"/>
          </w:tcPr>
          <w:p w14:paraId="4524E012" w14:textId="77777777" w:rsidR="0005266E" w:rsidRPr="007C5A6E" w:rsidRDefault="0005266E" w:rsidP="003F3821">
            <w:pPr>
              <w:numPr>
                <w:ilvl w:val="0"/>
                <w:numId w:val="23"/>
              </w:numPr>
              <w:spacing w:after="0" w:line="240" w:lineRule="auto"/>
              <w:ind w:left="107" w:hanging="107"/>
              <w:rPr>
                <w:rFonts w:ascii="Times New Roman" w:hAnsi="Times New Roman"/>
                <w:bCs/>
                <w:lang w:eastAsia="da-DK"/>
              </w:rPr>
            </w:pPr>
            <w:r w:rsidRPr="007C5A6E">
              <w:rPr>
                <w:rFonts w:ascii="Times New Roman" w:hAnsi="Times New Roman"/>
                <w:bCs/>
                <w:lang w:eastAsia="da-DK"/>
              </w:rPr>
              <w:t xml:space="preserve">Zones </w:t>
            </w:r>
            <w:proofErr w:type="spellStart"/>
            <w:r w:rsidRPr="007C5A6E">
              <w:rPr>
                <w:rFonts w:ascii="Times New Roman" w:hAnsi="Times New Roman"/>
                <w:bCs/>
                <w:lang w:eastAsia="da-DK"/>
              </w:rPr>
              <w:t>volcano</w:t>
            </w:r>
            <w:proofErr w:type="spellEnd"/>
            <w:r w:rsidRPr="007C5A6E">
              <w:rPr>
                <w:rFonts w:ascii="Times New Roman" w:hAnsi="Times New Roman"/>
                <w:bCs/>
                <w:lang w:eastAsia="da-DK"/>
              </w:rPr>
              <w:t>-sédimentaires</w:t>
            </w:r>
          </w:p>
        </w:tc>
      </w:tr>
      <w:tr w:rsidR="0005266E" w:rsidRPr="007C5A6E" w14:paraId="13A4F864" w14:textId="77777777" w:rsidTr="00457BED">
        <w:trPr>
          <w:cantSplit/>
          <w:trHeight w:val="20"/>
        </w:trPr>
        <w:tc>
          <w:tcPr>
            <w:tcW w:w="2393" w:type="dxa"/>
            <w:shd w:val="clear" w:color="auto" w:fill="auto"/>
            <w:vAlign w:val="center"/>
          </w:tcPr>
          <w:p w14:paraId="646F594B" w14:textId="77777777" w:rsidR="0005266E" w:rsidRPr="007C5A6E" w:rsidRDefault="0005266E" w:rsidP="009969E0">
            <w:pPr>
              <w:spacing w:after="0" w:line="240" w:lineRule="auto"/>
              <w:rPr>
                <w:rFonts w:ascii="Times New Roman" w:hAnsi="Times New Roman"/>
                <w:bCs/>
                <w:lang w:eastAsia="da-DK"/>
              </w:rPr>
            </w:pPr>
            <w:r w:rsidRPr="007C5A6E">
              <w:rPr>
                <w:rFonts w:ascii="Times New Roman" w:hAnsi="Times New Roman"/>
                <w:bCs/>
                <w:lang w:eastAsia="da-DK"/>
              </w:rPr>
              <w:t>Autres métaux lourds</w:t>
            </w:r>
          </w:p>
        </w:tc>
        <w:tc>
          <w:tcPr>
            <w:tcW w:w="1293" w:type="dxa"/>
            <w:shd w:val="clear" w:color="auto" w:fill="auto"/>
            <w:vAlign w:val="center"/>
          </w:tcPr>
          <w:p w14:paraId="1EC17B00" w14:textId="77777777" w:rsidR="0005266E" w:rsidRPr="007C5A6E" w:rsidRDefault="0005266E" w:rsidP="009969E0">
            <w:pPr>
              <w:spacing w:after="0" w:line="240" w:lineRule="auto"/>
              <w:rPr>
                <w:rFonts w:ascii="Times New Roman" w:hAnsi="Times New Roman"/>
                <w:bCs/>
                <w:lang w:eastAsia="da-DK"/>
              </w:rPr>
            </w:pPr>
            <w:r w:rsidRPr="007C5A6E">
              <w:rPr>
                <w:rFonts w:ascii="Times New Roman" w:hAnsi="Times New Roman"/>
                <w:bCs/>
                <w:lang w:eastAsia="da-DK"/>
              </w:rPr>
              <w:t>Moyen</w:t>
            </w:r>
          </w:p>
        </w:tc>
        <w:tc>
          <w:tcPr>
            <w:tcW w:w="5806" w:type="dxa"/>
            <w:shd w:val="clear" w:color="auto" w:fill="auto"/>
            <w:vAlign w:val="center"/>
          </w:tcPr>
          <w:p w14:paraId="7F985FED" w14:textId="77777777" w:rsidR="0005266E" w:rsidRPr="007C5A6E" w:rsidRDefault="0005266E" w:rsidP="003F3821">
            <w:pPr>
              <w:numPr>
                <w:ilvl w:val="0"/>
                <w:numId w:val="23"/>
              </w:numPr>
              <w:spacing w:after="0" w:line="240" w:lineRule="auto"/>
              <w:ind w:left="107" w:hanging="107"/>
              <w:rPr>
                <w:rFonts w:ascii="Times New Roman" w:hAnsi="Times New Roman"/>
                <w:bCs/>
                <w:lang w:eastAsia="da-DK"/>
              </w:rPr>
            </w:pPr>
            <w:r w:rsidRPr="007C5A6E">
              <w:rPr>
                <w:rFonts w:ascii="Times New Roman" w:hAnsi="Times New Roman"/>
                <w:bCs/>
                <w:lang w:eastAsia="da-DK"/>
              </w:rPr>
              <w:t xml:space="preserve">Présents par endroits. </w:t>
            </w:r>
          </w:p>
        </w:tc>
      </w:tr>
    </w:tbl>
    <w:p w14:paraId="3AD9E062" w14:textId="77777777" w:rsidR="0005266E" w:rsidRPr="007C5A6E" w:rsidRDefault="0005266E" w:rsidP="009969E0">
      <w:pPr>
        <w:spacing w:after="0" w:line="240" w:lineRule="auto"/>
        <w:rPr>
          <w:rFonts w:ascii="Times New Roman" w:hAnsi="Times New Roman"/>
          <w:i/>
          <w:sz w:val="20"/>
          <w:szCs w:val="20"/>
        </w:rPr>
      </w:pPr>
      <w:r w:rsidRPr="007C5A6E">
        <w:rPr>
          <w:rFonts w:ascii="Times New Roman" w:hAnsi="Times New Roman"/>
          <w:i/>
          <w:sz w:val="20"/>
          <w:szCs w:val="20"/>
        </w:rPr>
        <w:t>Source : COWI (SDAGE Comoé 2012)</w:t>
      </w:r>
    </w:p>
    <w:p w14:paraId="5381D117" w14:textId="77777777" w:rsidR="0005266E" w:rsidRPr="007C5A6E" w:rsidRDefault="0005266E" w:rsidP="009969E0">
      <w:pPr>
        <w:spacing w:after="0" w:line="240" w:lineRule="auto"/>
        <w:jc w:val="both"/>
        <w:rPr>
          <w:rFonts w:ascii="Times New Roman" w:hAnsi="Times New Roman"/>
          <w:sz w:val="24"/>
          <w:szCs w:val="24"/>
        </w:rPr>
      </w:pPr>
      <w:r w:rsidRPr="007C5A6E">
        <w:rPr>
          <w:rFonts w:ascii="Times New Roman" w:hAnsi="Times New Roman"/>
          <w:sz w:val="24"/>
          <w:szCs w:val="24"/>
        </w:rPr>
        <w:t xml:space="preserve">Il est ressorti des analyses qu’en général, les eaux souterraines du bassin de la Comoé sont moyennement ferrugineuses et manganeuses avec un pH en grande partie acide et une agressivité allant de moyenne à très forte. </w:t>
      </w:r>
    </w:p>
    <w:p w14:paraId="3D6F5982" w14:textId="77777777" w:rsidR="00F311B5" w:rsidRPr="007C5A6E" w:rsidRDefault="00F311B5" w:rsidP="009969E0">
      <w:pPr>
        <w:spacing w:after="0" w:line="240" w:lineRule="auto"/>
        <w:jc w:val="both"/>
        <w:rPr>
          <w:rFonts w:ascii="Times New Roman" w:hAnsi="Times New Roman"/>
          <w:b/>
          <w:bCs/>
          <w:i/>
          <w:iCs/>
          <w:sz w:val="24"/>
          <w:szCs w:val="24"/>
        </w:rPr>
      </w:pPr>
    </w:p>
    <w:p w14:paraId="363F2FC1" w14:textId="070A9E80" w:rsidR="0005266E" w:rsidRPr="007C5A6E" w:rsidRDefault="0005266E" w:rsidP="009969E0">
      <w:pPr>
        <w:spacing w:after="0" w:line="240" w:lineRule="auto"/>
        <w:jc w:val="both"/>
        <w:rPr>
          <w:rFonts w:ascii="Times New Roman" w:hAnsi="Times New Roman"/>
          <w:b/>
          <w:bCs/>
          <w:i/>
          <w:iCs/>
          <w:sz w:val="24"/>
          <w:szCs w:val="24"/>
        </w:rPr>
      </w:pPr>
      <w:r w:rsidRPr="007C5A6E">
        <w:rPr>
          <w:rFonts w:ascii="Times New Roman" w:hAnsi="Times New Roman"/>
          <w:b/>
          <w:bCs/>
          <w:i/>
          <w:iCs/>
          <w:sz w:val="24"/>
          <w:szCs w:val="24"/>
        </w:rPr>
        <w:t xml:space="preserve">Il n’y a pas eu de données nouvelles sur l’état de la qualité des ressources en eau souterraine à l’échelle du bassin depuis cette date. </w:t>
      </w:r>
    </w:p>
    <w:p w14:paraId="24352E24" w14:textId="77777777" w:rsidR="0005266E" w:rsidRPr="007C5A6E" w:rsidRDefault="0005266E" w:rsidP="009969E0">
      <w:pPr>
        <w:spacing w:after="0" w:line="240" w:lineRule="auto"/>
        <w:jc w:val="both"/>
        <w:rPr>
          <w:rFonts w:ascii="Times New Roman" w:hAnsi="Times New Roman"/>
          <w:i/>
          <w:iCs/>
          <w:sz w:val="24"/>
          <w:szCs w:val="24"/>
        </w:rPr>
      </w:pPr>
    </w:p>
    <w:p w14:paraId="3117D522" w14:textId="77777777" w:rsidR="0005266E" w:rsidRPr="007C5A6E" w:rsidRDefault="0005266E" w:rsidP="003F3821">
      <w:pPr>
        <w:pStyle w:val="Titre5"/>
        <w:numPr>
          <w:ilvl w:val="4"/>
          <w:numId w:val="4"/>
        </w:numPr>
        <w:spacing w:before="0"/>
        <w:ind w:left="907" w:hanging="907"/>
        <w:rPr>
          <w:rFonts w:ascii="Times New Roman" w:hAnsi="Times New Roman" w:cs="Times New Roman"/>
          <w:color w:val="auto"/>
          <w:u w:val="single"/>
          <w:lang w:eastAsia="en-US"/>
        </w:rPr>
      </w:pPr>
      <w:bookmarkStart w:id="455" w:name="_Toc183340089"/>
      <w:r w:rsidRPr="007C5A6E">
        <w:rPr>
          <w:rFonts w:ascii="Times New Roman" w:hAnsi="Times New Roman" w:cs="Times New Roman"/>
          <w:color w:val="auto"/>
          <w:u w:val="single"/>
          <w:lang w:eastAsia="en-US"/>
        </w:rPr>
        <w:t>Qualité des ressources en eau souterraine du bassin du Mouhoun</w:t>
      </w:r>
      <w:bookmarkEnd w:id="455"/>
    </w:p>
    <w:p w14:paraId="0DF72DCD" w14:textId="77777777" w:rsidR="00F311B5" w:rsidRPr="007C5A6E" w:rsidRDefault="00F311B5" w:rsidP="009C4C26">
      <w:pPr>
        <w:spacing w:after="0" w:line="240" w:lineRule="auto"/>
        <w:jc w:val="both"/>
        <w:rPr>
          <w:rFonts w:ascii="Times New Roman" w:hAnsi="Times New Roman"/>
          <w:sz w:val="24"/>
          <w:szCs w:val="24"/>
        </w:rPr>
      </w:pPr>
    </w:p>
    <w:p w14:paraId="7A5840E8" w14:textId="6BA0AC19" w:rsidR="0005266E" w:rsidRPr="007C5A6E" w:rsidRDefault="0005266E" w:rsidP="009C4C26">
      <w:pPr>
        <w:spacing w:after="0" w:line="240" w:lineRule="auto"/>
        <w:jc w:val="both"/>
        <w:rPr>
          <w:rFonts w:ascii="Times New Roman" w:hAnsi="Times New Roman"/>
          <w:sz w:val="24"/>
          <w:szCs w:val="24"/>
        </w:rPr>
      </w:pPr>
      <w:r w:rsidRPr="007C5A6E">
        <w:rPr>
          <w:rFonts w:ascii="Times New Roman" w:hAnsi="Times New Roman"/>
          <w:sz w:val="24"/>
          <w:szCs w:val="24"/>
        </w:rPr>
        <w:t>L’état des lieux effectué des ressources en eau souterraine du bassin du Mouhoun fait en 2012 indique que les eaux souterraines sont moyennement ferrugineuses et manganeuses avec des Ph en grande partie acide et d’une agressivité moyenne à très forte.</w:t>
      </w:r>
    </w:p>
    <w:p w14:paraId="1C3A6C95" w14:textId="77777777" w:rsidR="00F311B5" w:rsidRPr="007C5A6E" w:rsidRDefault="00F311B5" w:rsidP="009C4C26">
      <w:pPr>
        <w:spacing w:after="0" w:line="240" w:lineRule="auto"/>
        <w:jc w:val="both"/>
        <w:rPr>
          <w:rFonts w:ascii="Times New Roman" w:hAnsi="Times New Roman"/>
          <w:b/>
          <w:bCs/>
          <w:i/>
          <w:iCs/>
          <w:sz w:val="24"/>
          <w:szCs w:val="24"/>
        </w:rPr>
      </w:pPr>
    </w:p>
    <w:p w14:paraId="26BEF008" w14:textId="73C9B53A" w:rsidR="0005266E" w:rsidRPr="007C5A6E" w:rsidRDefault="0005266E" w:rsidP="009C4C26">
      <w:pPr>
        <w:spacing w:after="0" w:line="240" w:lineRule="auto"/>
        <w:jc w:val="both"/>
        <w:rPr>
          <w:rFonts w:ascii="Times New Roman" w:hAnsi="Times New Roman"/>
          <w:b/>
          <w:bCs/>
          <w:i/>
          <w:iCs/>
          <w:sz w:val="24"/>
          <w:szCs w:val="24"/>
        </w:rPr>
      </w:pPr>
      <w:r w:rsidRPr="007C5A6E">
        <w:rPr>
          <w:rFonts w:ascii="Times New Roman" w:hAnsi="Times New Roman"/>
          <w:b/>
          <w:bCs/>
          <w:i/>
          <w:iCs/>
          <w:sz w:val="24"/>
          <w:szCs w:val="24"/>
        </w:rPr>
        <w:t>De 2012 à nos jours, il n’y a pas eu de données nouvelles sur la qualité des ressources en eau souterraine du bassin.</w:t>
      </w:r>
    </w:p>
    <w:p w14:paraId="339FDC8F" w14:textId="77777777" w:rsidR="0005266E" w:rsidRPr="007C5A6E" w:rsidRDefault="0005266E" w:rsidP="009C4C26">
      <w:pPr>
        <w:spacing w:after="0" w:line="240" w:lineRule="auto"/>
        <w:jc w:val="both"/>
        <w:rPr>
          <w:rFonts w:ascii="Times New Roman" w:hAnsi="Times New Roman"/>
          <w:i/>
          <w:iCs/>
          <w:sz w:val="24"/>
          <w:szCs w:val="24"/>
        </w:rPr>
      </w:pPr>
    </w:p>
    <w:p w14:paraId="060B1E2E" w14:textId="77777777" w:rsidR="0005266E" w:rsidRPr="007C5A6E" w:rsidRDefault="0005266E" w:rsidP="00684FF8">
      <w:pPr>
        <w:pStyle w:val="Titre4"/>
      </w:pPr>
      <w:bookmarkStart w:id="456" w:name="_Toc182606036"/>
      <w:bookmarkStart w:id="457" w:name="_Toc183340090"/>
      <w:r w:rsidRPr="007C5A6E">
        <w:t>Qualité des ressources en eau de surface</w:t>
      </w:r>
      <w:bookmarkEnd w:id="456"/>
      <w:bookmarkEnd w:id="457"/>
    </w:p>
    <w:p w14:paraId="6CB92FBA" w14:textId="77777777" w:rsidR="0005266E" w:rsidRPr="007C5A6E" w:rsidRDefault="0005266E" w:rsidP="009C4C26">
      <w:pPr>
        <w:spacing w:after="0" w:line="240" w:lineRule="auto"/>
        <w:jc w:val="both"/>
        <w:rPr>
          <w:rFonts w:ascii="Times New Roman" w:hAnsi="Times New Roman"/>
          <w:bCs/>
          <w:sz w:val="24"/>
          <w:szCs w:val="24"/>
        </w:rPr>
      </w:pPr>
    </w:p>
    <w:p w14:paraId="739171D2" w14:textId="1467C9E6" w:rsidR="0005266E" w:rsidRPr="007C5A6E" w:rsidRDefault="0005266E" w:rsidP="009C4C26">
      <w:pPr>
        <w:spacing w:after="0" w:line="240" w:lineRule="auto"/>
        <w:jc w:val="both"/>
        <w:rPr>
          <w:rFonts w:ascii="Times New Roman" w:hAnsi="Times New Roman"/>
          <w:bCs/>
          <w:sz w:val="24"/>
          <w:szCs w:val="24"/>
        </w:rPr>
      </w:pPr>
      <w:r w:rsidRPr="007C5A6E">
        <w:rPr>
          <w:rFonts w:ascii="Times New Roman" w:hAnsi="Times New Roman"/>
          <w:bCs/>
          <w:sz w:val="24"/>
          <w:szCs w:val="24"/>
        </w:rPr>
        <w:t xml:space="preserve">Seules les ressources en eau de surface des bassins du Mouhoun et du Nakanbé ont fait l’objet d’analyses physico chimiques par le PAEA en 2022. </w:t>
      </w:r>
    </w:p>
    <w:p w14:paraId="011A3256" w14:textId="77777777" w:rsidR="0005266E" w:rsidRPr="007C5A6E" w:rsidRDefault="0005266E" w:rsidP="009C4C26">
      <w:pPr>
        <w:spacing w:after="0" w:line="240" w:lineRule="auto"/>
        <w:jc w:val="both"/>
        <w:rPr>
          <w:rFonts w:ascii="Times New Roman" w:hAnsi="Times New Roman"/>
          <w:bCs/>
          <w:sz w:val="24"/>
          <w:szCs w:val="24"/>
        </w:rPr>
      </w:pPr>
    </w:p>
    <w:p w14:paraId="2DC87E73" w14:textId="77777777" w:rsidR="0005266E" w:rsidRPr="007C5A6E" w:rsidRDefault="0005266E" w:rsidP="003F3821">
      <w:pPr>
        <w:pStyle w:val="Titre5"/>
        <w:numPr>
          <w:ilvl w:val="4"/>
          <w:numId w:val="4"/>
        </w:numPr>
        <w:spacing w:before="0"/>
        <w:ind w:left="907" w:hanging="907"/>
        <w:rPr>
          <w:rFonts w:ascii="Times New Roman" w:hAnsi="Times New Roman" w:cs="Times New Roman"/>
          <w:color w:val="auto"/>
          <w:u w:val="single"/>
          <w:lang w:eastAsia="en-US"/>
        </w:rPr>
      </w:pPr>
      <w:bookmarkStart w:id="458" w:name="_Toc183340091"/>
      <w:r w:rsidRPr="007C5A6E">
        <w:rPr>
          <w:rFonts w:ascii="Times New Roman" w:hAnsi="Times New Roman" w:cs="Times New Roman"/>
          <w:color w:val="auto"/>
          <w:u w:val="single"/>
          <w:lang w:eastAsia="en-US"/>
        </w:rPr>
        <w:t>Qualité des ressources en eau de surface des bassins nationaux de la Comoé et du Niger</w:t>
      </w:r>
      <w:bookmarkEnd w:id="458"/>
      <w:r w:rsidRPr="007C5A6E">
        <w:rPr>
          <w:rFonts w:ascii="Times New Roman" w:hAnsi="Times New Roman" w:cs="Times New Roman"/>
          <w:color w:val="auto"/>
          <w:u w:val="single"/>
          <w:lang w:eastAsia="en-US"/>
        </w:rPr>
        <w:t xml:space="preserve"> </w:t>
      </w:r>
    </w:p>
    <w:p w14:paraId="7E3C1D82" w14:textId="77777777" w:rsidR="0005266E" w:rsidRPr="007C5A6E" w:rsidRDefault="0005266E" w:rsidP="009C4C26">
      <w:pPr>
        <w:spacing w:after="0" w:line="240" w:lineRule="auto"/>
        <w:jc w:val="both"/>
        <w:rPr>
          <w:rFonts w:ascii="Times New Roman" w:hAnsi="Times New Roman"/>
          <w:bCs/>
          <w:i/>
          <w:iCs/>
          <w:sz w:val="24"/>
          <w:szCs w:val="24"/>
        </w:rPr>
      </w:pPr>
    </w:p>
    <w:p w14:paraId="7FA7D0AC" w14:textId="392709B0" w:rsidR="0005266E" w:rsidRPr="007C5A6E" w:rsidRDefault="0005266E" w:rsidP="009C4C26">
      <w:pPr>
        <w:spacing w:after="0" w:line="240" w:lineRule="auto"/>
        <w:jc w:val="both"/>
        <w:rPr>
          <w:rFonts w:ascii="Times New Roman" w:hAnsi="Times New Roman"/>
          <w:bCs/>
          <w:sz w:val="24"/>
          <w:szCs w:val="24"/>
        </w:rPr>
      </w:pPr>
      <w:r w:rsidRPr="007C5A6E">
        <w:rPr>
          <w:rFonts w:ascii="Times New Roman" w:hAnsi="Times New Roman"/>
          <w:bCs/>
          <w:sz w:val="24"/>
          <w:szCs w:val="24"/>
        </w:rPr>
        <w:t xml:space="preserve">Il n’y a pas des données sur la qualité des ressources en eau de surface </w:t>
      </w:r>
      <w:r w:rsidR="00F311B5" w:rsidRPr="007C5A6E">
        <w:rPr>
          <w:rFonts w:ascii="Times New Roman" w:hAnsi="Times New Roman"/>
          <w:bCs/>
          <w:sz w:val="24"/>
          <w:szCs w:val="24"/>
        </w:rPr>
        <w:t>dans ces deux bassins jusqu’à</w:t>
      </w:r>
      <w:r w:rsidRPr="007C5A6E">
        <w:rPr>
          <w:rFonts w:ascii="Times New Roman" w:hAnsi="Times New Roman"/>
          <w:bCs/>
          <w:sz w:val="24"/>
          <w:szCs w:val="24"/>
        </w:rPr>
        <w:t xml:space="preserve"> nos jours. </w:t>
      </w:r>
    </w:p>
    <w:p w14:paraId="4002A93C" w14:textId="77777777" w:rsidR="0005266E" w:rsidRPr="007C5A6E" w:rsidRDefault="0005266E" w:rsidP="009C4C26">
      <w:pPr>
        <w:spacing w:after="0" w:line="240" w:lineRule="auto"/>
        <w:jc w:val="both"/>
        <w:rPr>
          <w:rFonts w:ascii="Times New Roman" w:hAnsi="Times New Roman"/>
          <w:bCs/>
          <w:i/>
          <w:iCs/>
          <w:sz w:val="24"/>
          <w:szCs w:val="24"/>
        </w:rPr>
      </w:pPr>
    </w:p>
    <w:p w14:paraId="63FD60F3" w14:textId="77777777" w:rsidR="0005266E" w:rsidRPr="007C5A6E" w:rsidRDefault="0005266E" w:rsidP="003F3821">
      <w:pPr>
        <w:pStyle w:val="Titre5"/>
        <w:numPr>
          <w:ilvl w:val="4"/>
          <w:numId w:val="4"/>
        </w:numPr>
        <w:spacing w:before="0"/>
        <w:ind w:left="907" w:hanging="907"/>
        <w:rPr>
          <w:rFonts w:ascii="Times New Roman" w:hAnsi="Times New Roman" w:cs="Times New Roman"/>
          <w:color w:val="auto"/>
          <w:u w:val="single"/>
          <w:lang w:eastAsia="en-US"/>
        </w:rPr>
      </w:pPr>
      <w:bookmarkStart w:id="459" w:name="_Toc183340092"/>
      <w:r w:rsidRPr="007C5A6E">
        <w:rPr>
          <w:rFonts w:ascii="Times New Roman" w:hAnsi="Times New Roman" w:cs="Times New Roman"/>
          <w:color w:val="auto"/>
          <w:u w:val="single"/>
          <w:lang w:eastAsia="en-US"/>
        </w:rPr>
        <w:t>Qualité des ressources en eau de surface du bassin du Nakanbé</w:t>
      </w:r>
      <w:bookmarkEnd w:id="459"/>
    </w:p>
    <w:p w14:paraId="33E361B0" w14:textId="77777777" w:rsidR="00F311B5" w:rsidRPr="007C5A6E" w:rsidRDefault="00F311B5" w:rsidP="009C4C26">
      <w:pPr>
        <w:spacing w:after="0" w:line="240" w:lineRule="auto"/>
        <w:jc w:val="both"/>
        <w:rPr>
          <w:rFonts w:ascii="Times New Roman" w:hAnsi="Times New Roman"/>
          <w:bCs/>
          <w:sz w:val="24"/>
          <w:szCs w:val="24"/>
        </w:rPr>
      </w:pPr>
    </w:p>
    <w:p w14:paraId="01BC3816" w14:textId="2A9C5F2B" w:rsidR="0005266E" w:rsidRPr="007C5A6E" w:rsidRDefault="0005266E" w:rsidP="009C4C26">
      <w:pPr>
        <w:spacing w:after="0" w:line="240" w:lineRule="auto"/>
        <w:jc w:val="both"/>
        <w:rPr>
          <w:rFonts w:ascii="Times New Roman" w:hAnsi="Times New Roman"/>
          <w:bCs/>
          <w:iCs/>
          <w:sz w:val="24"/>
          <w:szCs w:val="24"/>
        </w:rPr>
      </w:pPr>
      <w:r w:rsidRPr="007C5A6E">
        <w:rPr>
          <w:rFonts w:ascii="Times New Roman" w:hAnsi="Times New Roman"/>
          <w:bCs/>
          <w:sz w:val="24"/>
          <w:szCs w:val="24"/>
        </w:rPr>
        <w:t>En 2013, l’état de la qualité des ressources en eau a porté sur les eaux de 5 barrages (</w:t>
      </w:r>
      <w:r w:rsidRPr="007C5A6E">
        <w:rPr>
          <w:rFonts w:ascii="Times New Roman" w:eastAsia="Calibri" w:hAnsi="Times New Roman"/>
          <w:bCs/>
          <w:iCs/>
          <w:sz w:val="24"/>
          <w:szCs w:val="24"/>
          <w:lang w:eastAsia="en-US"/>
        </w:rPr>
        <w:t>Barrage Bagré, Nakanbé/</w:t>
      </w:r>
      <w:proofErr w:type="spellStart"/>
      <w:r w:rsidRPr="007C5A6E">
        <w:rPr>
          <w:rFonts w:ascii="Times New Roman" w:eastAsia="Calibri" w:hAnsi="Times New Roman"/>
          <w:bCs/>
          <w:iCs/>
          <w:sz w:val="24"/>
          <w:szCs w:val="24"/>
          <w:lang w:eastAsia="en-US"/>
        </w:rPr>
        <w:t>Wayen</w:t>
      </w:r>
      <w:proofErr w:type="spellEnd"/>
      <w:r w:rsidRPr="007C5A6E">
        <w:rPr>
          <w:rFonts w:ascii="Times New Roman" w:eastAsia="Calibri" w:hAnsi="Times New Roman"/>
          <w:bCs/>
          <w:iCs/>
          <w:sz w:val="24"/>
          <w:szCs w:val="24"/>
          <w:lang w:eastAsia="en-US"/>
        </w:rPr>
        <w:t xml:space="preserve">, Loumbila, Barrage N°3, </w:t>
      </w:r>
      <w:proofErr w:type="spellStart"/>
      <w:r w:rsidRPr="007C5A6E">
        <w:rPr>
          <w:rFonts w:ascii="Times New Roman" w:eastAsia="Calibri" w:hAnsi="Times New Roman"/>
          <w:bCs/>
          <w:iCs/>
          <w:sz w:val="24"/>
          <w:szCs w:val="24"/>
          <w:lang w:eastAsia="en-US"/>
        </w:rPr>
        <w:t>Goinré</w:t>
      </w:r>
      <w:proofErr w:type="spellEnd"/>
      <w:r w:rsidRPr="007C5A6E">
        <w:rPr>
          <w:rFonts w:ascii="Times New Roman" w:eastAsia="Calibri" w:hAnsi="Times New Roman"/>
          <w:bCs/>
          <w:iCs/>
          <w:sz w:val="24"/>
          <w:szCs w:val="24"/>
          <w:lang w:eastAsia="en-US"/>
        </w:rPr>
        <w:t>) et le lac Bam.</w:t>
      </w:r>
      <w:r w:rsidR="00F311B5" w:rsidRPr="007C5A6E">
        <w:rPr>
          <w:rFonts w:ascii="Times New Roman" w:eastAsia="Calibri" w:hAnsi="Times New Roman"/>
          <w:bCs/>
          <w:iCs/>
          <w:sz w:val="24"/>
          <w:szCs w:val="24"/>
          <w:lang w:eastAsia="en-US"/>
        </w:rPr>
        <w:t xml:space="preserve"> </w:t>
      </w:r>
      <w:r w:rsidRPr="007C5A6E">
        <w:rPr>
          <w:rFonts w:ascii="Times New Roman" w:eastAsia="Calibri" w:hAnsi="Times New Roman"/>
          <w:bCs/>
          <w:iCs/>
          <w:sz w:val="24"/>
          <w:szCs w:val="24"/>
          <w:lang w:eastAsia="en-US"/>
        </w:rPr>
        <w:t>Les appréciations se sont limitées aux anomalies détectées sur les Nitrate</w:t>
      </w:r>
      <w:r w:rsidR="0062702B" w:rsidRPr="007C5A6E">
        <w:rPr>
          <w:rFonts w:ascii="Times New Roman" w:eastAsia="Calibri" w:hAnsi="Times New Roman"/>
          <w:bCs/>
          <w:iCs/>
          <w:sz w:val="24"/>
          <w:szCs w:val="24"/>
          <w:lang w:eastAsia="en-US"/>
        </w:rPr>
        <w:t>s</w:t>
      </w:r>
      <w:r w:rsidRPr="007C5A6E">
        <w:rPr>
          <w:rFonts w:ascii="Times New Roman" w:eastAsia="Calibri" w:hAnsi="Times New Roman"/>
          <w:bCs/>
          <w:iCs/>
          <w:sz w:val="24"/>
          <w:szCs w:val="24"/>
          <w:lang w:eastAsia="en-US"/>
        </w:rPr>
        <w:t xml:space="preserve">, ortho-phosphate et la turbidité. </w:t>
      </w:r>
      <w:r w:rsidRPr="007C5A6E">
        <w:rPr>
          <w:rFonts w:ascii="Times New Roman" w:hAnsi="Times New Roman"/>
          <w:bCs/>
          <w:iCs/>
          <w:sz w:val="24"/>
          <w:szCs w:val="24"/>
        </w:rPr>
        <w:t>En outre, les données relatives à la qualité physico chimique de ces eaux ont fait défaut.</w:t>
      </w:r>
    </w:p>
    <w:p w14:paraId="2CC058D1" w14:textId="30C58498" w:rsidR="0005266E" w:rsidRPr="007C5A6E" w:rsidRDefault="0005266E" w:rsidP="009C4C26">
      <w:pPr>
        <w:spacing w:after="0" w:line="240" w:lineRule="auto"/>
        <w:jc w:val="both"/>
        <w:rPr>
          <w:rFonts w:ascii="Times New Roman" w:hAnsi="Times New Roman"/>
          <w:bCs/>
          <w:sz w:val="24"/>
          <w:szCs w:val="24"/>
        </w:rPr>
      </w:pPr>
      <w:r w:rsidRPr="007C5A6E">
        <w:rPr>
          <w:rFonts w:ascii="Times New Roman" w:hAnsi="Times New Roman"/>
          <w:bCs/>
          <w:sz w:val="24"/>
          <w:szCs w:val="24"/>
        </w:rPr>
        <w:t>En 2023, il est ressorti des analyses de l’étude menée par le PAEA et la DGRE que,</w:t>
      </w:r>
    </w:p>
    <w:p w14:paraId="6A1C25F0" w14:textId="2EDE58AF" w:rsidR="0005266E" w:rsidRPr="007C5A6E" w:rsidRDefault="0005266E" w:rsidP="003F3821">
      <w:pPr>
        <w:numPr>
          <w:ilvl w:val="0"/>
          <w:numId w:val="18"/>
        </w:numPr>
        <w:spacing w:after="0" w:line="240" w:lineRule="auto"/>
        <w:ind w:left="357" w:hanging="357"/>
        <w:jc w:val="both"/>
        <w:rPr>
          <w:rFonts w:ascii="Times New Roman" w:hAnsi="Times New Roman"/>
          <w:bCs/>
          <w:sz w:val="24"/>
          <w:szCs w:val="24"/>
        </w:rPr>
      </w:pPr>
      <w:r w:rsidRPr="007C5A6E">
        <w:rPr>
          <w:rFonts w:ascii="Times New Roman" w:hAnsi="Times New Roman"/>
          <w:bCs/>
          <w:sz w:val="24"/>
          <w:szCs w:val="24"/>
        </w:rPr>
        <w:t xml:space="preserve">Le pH varie de 6,04 (Koubri Tanvi) dans le Kadiogo à 9,23 (Bourzanga </w:t>
      </w:r>
      <w:proofErr w:type="spellStart"/>
      <w:r w:rsidRPr="007C5A6E">
        <w:rPr>
          <w:rFonts w:ascii="Times New Roman" w:hAnsi="Times New Roman"/>
          <w:bCs/>
          <w:sz w:val="24"/>
          <w:szCs w:val="24"/>
        </w:rPr>
        <w:t>Kourro</w:t>
      </w:r>
      <w:proofErr w:type="spellEnd"/>
      <w:r w:rsidRPr="007C5A6E">
        <w:rPr>
          <w:rFonts w:ascii="Times New Roman" w:hAnsi="Times New Roman"/>
          <w:bCs/>
          <w:sz w:val="24"/>
          <w:szCs w:val="24"/>
        </w:rPr>
        <w:t xml:space="preserve">) dans le Bam. En dehors de trois retenues dont les eaux sont basiques et de deux autres dont les eaux sont acides, les eaux de toutes les autres retenues sont dans les normes de l’Organisation Mondiale de la Santé (OMS) pour l’eau de boisson, à savoir 6,5&lt;pH (cf. </w:t>
      </w:r>
      <w:r w:rsidR="00F311B5" w:rsidRPr="007C5A6E">
        <w:rPr>
          <w:rFonts w:ascii="Times New Roman" w:hAnsi="Times New Roman"/>
          <w:bCs/>
          <w:sz w:val="24"/>
          <w:szCs w:val="24"/>
        </w:rPr>
        <w:t xml:space="preserve">figure </w:t>
      </w:r>
      <w:r w:rsidR="000B0DAF" w:rsidRPr="007C5A6E">
        <w:rPr>
          <w:rFonts w:ascii="Times New Roman" w:hAnsi="Times New Roman"/>
          <w:bCs/>
          <w:sz w:val="24"/>
          <w:szCs w:val="24"/>
        </w:rPr>
        <w:t>34</w:t>
      </w:r>
      <w:r w:rsidRPr="007C5A6E">
        <w:rPr>
          <w:rFonts w:ascii="Times New Roman" w:hAnsi="Times New Roman"/>
          <w:bCs/>
          <w:sz w:val="24"/>
          <w:szCs w:val="24"/>
        </w:rPr>
        <w:t xml:space="preserve"> </w:t>
      </w:r>
      <w:r w:rsidR="000B0DAF" w:rsidRPr="007C5A6E">
        <w:rPr>
          <w:rFonts w:ascii="Times New Roman" w:hAnsi="Times New Roman"/>
          <w:bCs/>
          <w:sz w:val="24"/>
          <w:szCs w:val="24"/>
        </w:rPr>
        <w:t>en page suivante</w:t>
      </w:r>
      <w:r w:rsidRPr="007C5A6E">
        <w:rPr>
          <w:rFonts w:ascii="Times New Roman" w:hAnsi="Times New Roman"/>
          <w:bCs/>
          <w:sz w:val="24"/>
          <w:szCs w:val="24"/>
        </w:rPr>
        <w:t>)</w:t>
      </w:r>
    </w:p>
    <w:p w14:paraId="38130680" w14:textId="15CD6A86" w:rsidR="000B0DAF" w:rsidRPr="007C5A6E" w:rsidRDefault="000B0DAF" w:rsidP="003F3821">
      <w:pPr>
        <w:numPr>
          <w:ilvl w:val="0"/>
          <w:numId w:val="18"/>
        </w:numPr>
        <w:spacing w:after="0" w:line="240" w:lineRule="auto"/>
        <w:ind w:left="357" w:hanging="357"/>
        <w:jc w:val="both"/>
        <w:rPr>
          <w:rFonts w:ascii="Times New Roman" w:hAnsi="Times New Roman"/>
          <w:bCs/>
          <w:sz w:val="24"/>
          <w:szCs w:val="24"/>
        </w:rPr>
      </w:pPr>
      <w:r w:rsidRPr="007C5A6E">
        <w:rPr>
          <w:rFonts w:ascii="Times New Roman" w:hAnsi="Times New Roman"/>
          <w:bCs/>
          <w:sz w:val="24"/>
          <w:szCs w:val="24"/>
        </w:rPr>
        <w:t>La conductivité électrique mesurée des eaux de 37 barrages du bassin du Nakanbé, varie de 44 µS/cm (Manga) à 419 µS/cm (Ouagadougou Tanghin). En dehors des barrages de Koubri et de Ouagadougou (Tanghin) qui présentent des eaux de minéralisation importante (conductivité comprise entre 333 µS/cm et 1000µS/cm), tous les autres barrages présentent des eaux de faible minéralisation (cf. figure 35)</w:t>
      </w:r>
    </w:p>
    <w:p w14:paraId="65602173" w14:textId="5EA962D8" w:rsidR="000B0DAF" w:rsidRPr="007C5A6E" w:rsidRDefault="000B0DAF" w:rsidP="003F3821">
      <w:pPr>
        <w:numPr>
          <w:ilvl w:val="0"/>
          <w:numId w:val="18"/>
        </w:numPr>
        <w:spacing w:after="0" w:line="240" w:lineRule="auto"/>
        <w:ind w:left="357" w:hanging="357"/>
        <w:jc w:val="both"/>
        <w:rPr>
          <w:rFonts w:ascii="Times New Roman" w:hAnsi="Times New Roman"/>
          <w:bCs/>
          <w:sz w:val="24"/>
          <w:szCs w:val="24"/>
        </w:rPr>
      </w:pPr>
      <w:r w:rsidRPr="007C5A6E">
        <w:rPr>
          <w:rFonts w:ascii="Times New Roman" w:hAnsi="Times New Roman"/>
          <w:bCs/>
          <w:sz w:val="24"/>
          <w:szCs w:val="24"/>
        </w:rPr>
        <w:t>La turbidité mesurée au niveau de 161 échantillons de plans d’eau, varie de 0,01 NTU (Ouagadougou Tanghin) à 553,6 NTU (Tenkodogo). En dehors du barrage de Ouagadougou (Tanghin) et de celui de Koubri qui présentent des eaux limpides (turbidité comprise entre 0 et 5 NTU), tous les autres barrages présentent des eaux moyennement à très troubles (turbidité supérieure à 30 NTU) (cf. figure 36)</w:t>
      </w:r>
    </w:p>
    <w:p w14:paraId="54E85B20" w14:textId="77777777" w:rsidR="0005266E" w:rsidRPr="007C5A6E" w:rsidRDefault="0005266E" w:rsidP="009969E0">
      <w:pPr>
        <w:spacing w:after="0" w:line="240" w:lineRule="auto"/>
        <w:jc w:val="both"/>
        <w:rPr>
          <w:rFonts w:ascii="Times New Roman" w:hAnsi="Times New Roman"/>
          <w:bCs/>
          <w:color w:val="FF0000"/>
          <w:sz w:val="24"/>
          <w:szCs w:val="24"/>
        </w:rPr>
      </w:pPr>
      <w:r w:rsidRPr="007C5A6E">
        <w:rPr>
          <w:rFonts w:ascii="Times New Roman" w:hAnsi="Times New Roman"/>
          <w:bCs/>
          <w:noProof/>
          <w:color w:val="FF0000"/>
          <w:sz w:val="24"/>
          <w:szCs w:val="24"/>
        </w:rPr>
        <w:drawing>
          <wp:inline distT="0" distB="0" distL="0" distR="0" wp14:anchorId="5CA019C6" wp14:editId="0DCC1BBA">
            <wp:extent cx="5210175" cy="3467100"/>
            <wp:effectExtent l="0" t="0" r="9525" b="0"/>
            <wp:docPr id="13198277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827716" name=""/>
                    <pic:cNvPicPr/>
                  </pic:nvPicPr>
                  <pic:blipFill>
                    <a:blip r:embed="rId111" cstate="email">
                      <a:extLst>
                        <a:ext uri="{28A0092B-C50C-407E-A947-70E740481C1C}">
                          <a14:useLocalDpi xmlns:a14="http://schemas.microsoft.com/office/drawing/2010/main"/>
                        </a:ext>
                      </a:extLst>
                    </a:blip>
                    <a:stretch>
                      <a:fillRect/>
                    </a:stretch>
                  </pic:blipFill>
                  <pic:spPr>
                    <a:xfrm>
                      <a:off x="0" y="0"/>
                      <a:ext cx="5216778" cy="3471494"/>
                    </a:xfrm>
                    <a:prstGeom prst="rect">
                      <a:avLst/>
                    </a:prstGeom>
                  </pic:spPr>
                </pic:pic>
              </a:graphicData>
            </a:graphic>
          </wp:inline>
        </w:drawing>
      </w:r>
    </w:p>
    <w:p w14:paraId="70FCCCE3" w14:textId="15D8F55A" w:rsidR="0005266E" w:rsidRPr="007C5A6E" w:rsidRDefault="0005266E" w:rsidP="009969E0">
      <w:pPr>
        <w:tabs>
          <w:tab w:val="left" w:pos="1134"/>
        </w:tabs>
        <w:spacing w:after="0" w:line="240" w:lineRule="auto"/>
        <w:ind w:left="1134" w:hanging="1134"/>
        <w:rPr>
          <w:rFonts w:ascii="Times New Roman" w:hAnsi="Times New Roman"/>
          <w:i/>
          <w:sz w:val="24"/>
          <w:szCs w:val="24"/>
          <w:lang w:eastAsia="da-DK"/>
        </w:rPr>
      </w:pPr>
      <w:bookmarkStart w:id="460" w:name="_Toc182605879"/>
      <w:bookmarkStart w:id="461" w:name="_Toc183230881"/>
      <w:bookmarkStart w:id="462" w:name="_Toc183240674"/>
      <w:bookmarkStart w:id="463" w:name="_Toc183340413"/>
      <w:r w:rsidRPr="007C5A6E">
        <w:rPr>
          <w:rFonts w:ascii="Times New Roman" w:hAnsi="Times New Roman"/>
          <w:i/>
          <w:sz w:val="24"/>
          <w:szCs w:val="24"/>
          <w:lang w:eastAsia="da-DK"/>
        </w:rPr>
        <w:t xml:space="preserve">Figure </w:t>
      </w:r>
      <w:r w:rsidRPr="007C5A6E">
        <w:rPr>
          <w:rFonts w:ascii="Times New Roman" w:hAnsi="Times New Roman"/>
          <w:i/>
          <w:sz w:val="24"/>
          <w:szCs w:val="24"/>
          <w:lang w:eastAsia="da-DK"/>
        </w:rPr>
        <w:fldChar w:fldCharType="begin"/>
      </w:r>
      <w:r w:rsidRPr="007C5A6E">
        <w:rPr>
          <w:rFonts w:ascii="Times New Roman" w:hAnsi="Times New Roman"/>
          <w:i/>
          <w:sz w:val="24"/>
          <w:szCs w:val="24"/>
          <w:lang w:eastAsia="da-DK"/>
        </w:rPr>
        <w:instrText xml:space="preserve"> SEQ Figure \* ARABIC </w:instrText>
      </w:r>
      <w:r w:rsidRPr="007C5A6E">
        <w:rPr>
          <w:rFonts w:ascii="Times New Roman" w:hAnsi="Times New Roman"/>
          <w:i/>
          <w:sz w:val="24"/>
          <w:szCs w:val="24"/>
          <w:lang w:eastAsia="da-DK"/>
        </w:rPr>
        <w:fldChar w:fldCharType="separate"/>
      </w:r>
      <w:r w:rsidR="00AE756D" w:rsidRPr="007C5A6E">
        <w:rPr>
          <w:rFonts w:ascii="Times New Roman" w:hAnsi="Times New Roman"/>
          <w:i/>
          <w:noProof/>
          <w:sz w:val="24"/>
          <w:szCs w:val="24"/>
          <w:lang w:eastAsia="da-DK"/>
        </w:rPr>
        <w:t>34</w:t>
      </w:r>
      <w:r w:rsidRPr="007C5A6E">
        <w:rPr>
          <w:rFonts w:ascii="Times New Roman" w:hAnsi="Times New Roman"/>
          <w:i/>
          <w:sz w:val="24"/>
          <w:szCs w:val="24"/>
          <w:lang w:eastAsia="da-DK"/>
        </w:rPr>
        <w:fldChar w:fldCharType="end"/>
      </w:r>
      <w:r w:rsidR="003C07DE" w:rsidRPr="007C5A6E">
        <w:rPr>
          <w:rFonts w:ascii="Times New Roman" w:hAnsi="Times New Roman"/>
          <w:i/>
          <w:sz w:val="24"/>
          <w:szCs w:val="24"/>
          <w:lang w:eastAsia="da-DK"/>
        </w:rPr>
        <w:t>.</w:t>
      </w:r>
      <w:r w:rsidRPr="007C5A6E">
        <w:rPr>
          <w:rFonts w:ascii="Times New Roman" w:hAnsi="Times New Roman"/>
          <w:i/>
          <w:sz w:val="24"/>
          <w:szCs w:val="24"/>
          <w:lang w:eastAsia="da-DK"/>
        </w:rPr>
        <w:t xml:space="preserve">  Cart</w:t>
      </w:r>
      <w:r w:rsidR="000B0DAF" w:rsidRPr="007C5A6E">
        <w:rPr>
          <w:rFonts w:ascii="Times New Roman" w:hAnsi="Times New Roman"/>
          <w:i/>
          <w:sz w:val="24"/>
          <w:szCs w:val="24"/>
          <w:lang w:eastAsia="da-DK"/>
        </w:rPr>
        <w:t xml:space="preserve">e </w:t>
      </w:r>
      <w:r w:rsidRPr="007C5A6E">
        <w:rPr>
          <w:rFonts w:ascii="Times New Roman" w:hAnsi="Times New Roman"/>
          <w:i/>
          <w:sz w:val="24"/>
          <w:szCs w:val="24"/>
          <w:lang w:eastAsia="da-DK"/>
        </w:rPr>
        <w:t>des pH des eaux de surface du bassin du Nakanbé</w:t>
      </w:r>
      <w:bookmarkEnd w:id="460"/>
      <w:bookmarkEnd w:id="461"/>
      <w:bookmarkEnd w:id="462"/>
      <w:bookmarkEnd w:id="463"/>
    </w:p>
    <w:p w14:paraId="28D30066" w14:textId="77777777" w:rsidR="000B0DAF" w:rsidRPr="007C5A6E" w:rsidRDefault="000B0DAF" w:rsidP="009969E0">
      <w:pPr>
        <w:tabs>
          <w:tab w:val="left" w:pos="1134"/>
        </w:tabs>
        <w:spacing w:after="0" w:line="240" w:lineRule="auto"/>
        <w:ind w:left="1134" w:hanging="1134"/>
        <w:rPr>
          <w:rFonts w:ascii="Times New Roman" w:eastAsia="Calibri" w:hAnsi="Times New Roman"/>
          <w:i/>
          <w:sz w:val="20"/>
          <w:szCs w:val="20"/>
          <w:lang w:eastAsia="en-US"/>
        </w:rPr>
      </w:pPr>
    </w:p>
    <w:p w14:paraId="7D5CDC06" w14:textId="77777777" w:rsidR="0005266E" w:rsidRPr="007C5A6E" w:rsidRDefault="0005266E" w:rsidP="009969E0">
      <w:pPr>
        <w:spacing w:after="0" w:line="240" w:lineRule="auto"/>
        <w:jc w:val="both"/>
        <w:rPr>
          <w:rFonts w:ascii="Times New Roman" w:hAnsi="Times New Roman"/>
          <w:bCs/>
          <w:color w:val="FF0000"/>
          <w:sz w:val="24"/>
          <w:szCs w:val="24"/>
        </w:rPr>
      </w:pPr>
      <w:r w:rsidRPr="007C5A6E">
        <w:rPr>
          <w:rFonts w:ascii="Times New Roman" w:hAnsi="Times New Roman"/>
          <w:bCs/>
          <w:noProof/>
          <w:color w:val="FF0000"/>
          <w:sz w:val="24"/>
          <w:szCs w:val="24"/>
        </w:rPr>
        <w:drawing>
          <wp:inline distT="0" distB="0" distL="0" distR="0" wp14:anchorId="615A317F" wp14:editId="4FF203EC">
            <wp:extent cx="5210175" cy="3181350"/>
            <wp:effectExtent l="0" t="0" r="9525" b="0"/>
            <wp:docPr id="2622594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259411" name=""/>
                    <pic:cNvPicPr/>
                  </pic:nvPicPr>
                  <pic:blipFill>
                    <a:blip r:embed="rId112" cstate="email">
                      <a:extLst>
                        <a:ext uri="{28A0092B-C50C-407E-A947-70E740481C1C}">
                          <a14:useLocalDpi xmlns:a14="http://schemas.microsoft.com/office/drawing/2010/main"/>
                        </a:ext>
                      </a:extLst>
                    </a:blip>
                    <a:stretch>
                      <a:fillRect/>
                    </a:stretch>
                  </pic:blipFill>
                  <pic:spPr>
                    <a:xfrm>
                      <a:off x="0" y="0"/>
                      <a:ext cx="5228698" cy="3192660"/>
                    </a:xfrm>
                    <a:prstGeom prst="rect">
                      <a:avLst/>
                    </a:prstGeom>
                  </pic:spPr>
                </pic:pic>
              </a:graphicData>
            </a:graphic>
          </wp:inline>
        </w:drawing>
      </w:r>
    </w:p>
    <w:p w14:paraId="3F6C9126" w14:textId="4AEBC68F" w:rsidR="00F311B5" w:rsidRPr="007C5A6E" w:rsidRDefault="003C07DE" w:rsidP="009969E0">
      <w:pPr>
        <w:tabs>
          <w:tab w:val="left" w:pos="1134"/>
        </w:tabs>
        <w:spacing w:after="0" w:line="240" w:lineRule="auto"/>
        <w:ind w:left="1134" w:hanging="1134"/>
        <w:rPr>
          <w:rFonts w:ascii="Times New Roman" w:hAnsi="Times New Roman"/>
          <w:i/>
          <w:sz w:val="20"/>
          <w:szCs w:val="20"/>
          <w:lang w:eastAsia="da-DK"/>
        </w:rPr>
      </w:pPr>
      <w:bookmarkStart w:id="464" w:name="_Toc182605880"/>
      <w:r w:rsidRPr="007C5A6E">
        <w:rPr>
          <w:rFonts w:ascii="Times New Roman" w:hAnsi="Times New Roman"/>
          <w:i/>
          <w:sz w:val="20"/>
          <w:szCs w:val="20"/>
          <w:lang w:eastAsia="da-DK"/>
        </w:rPr>
        <w:t>(</w:t>
      </w:r>
      <w:r w:rsidR="00F311B5" w:rsidRPr="007C5A6E">
        <w:rPr>
          <w:rFonts w:ascii="Times New Roman" w:hAnsi="Times New Roman"/>
          <w:iCs/>
          <w:sz w:val="20"/>
          <w:szCs w:val="20"/>
          <w:lang w:eastAsia="da-DK"/>
        </w:rPr>
        <w:t>Source : Etude PAEA, DGRE</w:t>
      </w:r>
      <w:r w:rsidRPr="007C5A6E">
        <w:rPr>
          <w:rFonts w:ascii="Times New Roman" w:hAnsi="Times New Roman"/>
          <w:i/>
          <w:sz w:val="20"/>
          <w:szCs w:val="20"/>
          <w:lang w:eastAsia="da-DK"/>
        </w:rPr>
        <w:t>)</w:t>
      </w:r>
      <w:r w:rsidR="00F311B5" w:rsidRPr="007C5A6E">
        <w:rPr>
          <w:rFonts w:ascii="Times New Roman" w:hAnsi="Times New Roman"/>
          <w:i/>
          <w:sz w:val="20"/>
          <w:szCs w:val="20"/>
          <w:lang w:eastAsia="da-DK"/>
        </w:rPr>
        <w:t xml:space="preserve"> </w:t>
      </w:r>
    </w:p>
    <w:p w14:paraId="6E71C725" w14:textId="52BF8507" w:rsidR="0005266E" w:rsidRPr="007C5A6E" w:rsidRDefault="0005266E" w:rsidP="009969E0">
      <w:pPr>
        <w:tabs>
          <w:tab w:val="left" w:pos="1134"/>
        </w:tabs>
        <w:spacing w:after="0" w:line="240" w:lineRule="auto"/>
        <w:ind w:left="1134" w:hanging="1134"/>
        <w:rPr>
          <w:rFonts w:ascii="Times New Roman" w:hAnsi="Times New Roman"/>
          <w:i/>
          <w:sz w:val="24"/>
          <w:szCs w:val="24"/>
          <w:lang w:eastAsia="da-DK"/>
        </w:rPr>
      </w:pPr>
      <w:bookmarkStart w:id="465" w:name="_Toc183230882"/>
      <w:bookmarkStart w:id="466" w:name="_Toc183240675"/>
      <w:bookmarkStart w:id="467" w:name="_Toc183340414"/>
      <w:r w:rsidRPr="007C5A6E">
        <w:rPr>
          <w:rFonts w:ascii="Times New Roman" w:hAnsi="Times New Roman"/>
          <w:i/>
          <w:sz w:val="24"/>
          <w:szCs w:val="24"/>
          <w:lang w:eastAsia="da-DK"/>
        </w:rPr>
        <w:t xml:space="preserve">Figure </w:t>
      </w:r>
      <w:r w:rsidRPr="007C5A6E">
        <w:rPr>
          <w:rFonts w:ascii="Times New Roman" w:hAnsi="Times New Roman"/>
          <w:i/>
          <w:sz w:val="24"/>
          <w:szCs w:val="24"/>
          <w:lang w:eastAsia="da-DK"/>
        </w:rPr>
        <w:fldChar w:fldCharType="begin"/>
      </w:r>
      <w:r w:rsidRPr="007C5A6E">
        <w:rPr>
          <w:rFonts w:ascii="Times New Roman" w:hAnsi="Times New Roman"/>
          <w:i/>
          <w:sz w:val="24"/>
          <w:szCs w:val="24"/>
          <w:lang w:eastAsia="da-DK"/>
        </w:rPr>
        <w:instrText xml:space="preserve"> SEQ Figure \* ARABIC </w:instrText>
      </w:r>
      <w:r w:rsidRPr="007C5A6E">
        <w:rPr>
          <w:rFonts w:ascii="Times New Roman" w:hAnsi="Times New Roman"/>
          <w:i/>
          <w:sz w:val="24"/>
          <w:szCs w:val="24"/>
          <w:lang w:eastAsia="da-DK"/>
        </w:rPr>
        <w:fldChar w:fldCharType="separate"/>
      </w:r>
      <w:r w:rsidR="00AE756D" w:rsidRPr="007C5A6E">
        <w:rPr>
          <w:rFonts w:ascii="Times New Roman" w:hAnsi="Times New Roman"/>
          <w:i/>
          <w:noProof/>
          <w:sz w:val="24"/>
          <w:szCs w:val="24"/>
          <w:lang w:eastAsia="da-DK"/>
        </w:rPr>
        <w:t>35</w:t>
      </w:r>
      <w:r w:rsidRPr="007C5A6E">
        <w:rPr>
          <w:rFonts w:ascii="Times New Roman" w:hAnsi="Times New Roman"/>
          <w:i/>
          <w:sz w:val="24"/>
          <w:szCs w:val="24"/>
          <w:lang w:eastAsia="da-DK"/>
        </w:rPr>
        <w:fldChar w:fldCharType="end"/>
      </w:r>
      <w:r w:rsidR="003C07DE" w:rsidRPr="007C5A6E">
        <w:rPr>
          <w:rFonts w:ascii="Times New Roman" w:hAnsi="Times New Roman"/>
          <w:i/>
          <w:sz w:val="24"/>
          <w:szCs w:val="24"/>
          <w:lang w:eastAsia="da-DK"/>
        </w:rPr>
        <w:t>.</w:t>
      </w:r>
      <w:r w:rsidRPr="007C5A6E">
        <w:rPr>
          <w:rFonts w:ascii="Times New Roman" w:hAnsi="Times New Roman"/>
          <w:i/>
          <w:sz w:val="24"/>
          <w:szCs w:val="24"/>
          <w:lang w:eastAsia="da-DK"/>
        </w:rPr>
        <w:t xml:space="preserve">  Cart</w:t>
      </w:r>
      <w:r w:rsidR="000B0DAF" w:rsidRPr="007C5A6E">
        <w:rPr>
          <w:rFonts w:ascii="Times New Roman" w:hAnsi="Times New Roman"/>
          <w:i/>
          <w:sz w:val="24"/>
          <w:szCs w:val="24"/>
          <w:lang w:eastAsia="da-DK"/>
        </w:rPr>
        <w:t xml:space="preserve">e </w:t>
      </w:r>
      <w:r w:rsidRPr="007C5A6E">
        <w:rPr>
          <w:rFonts w:ascii="Times New Roman" w:hAnsi="Times New Roman"/>
          <w:i/>
          <w:sz w:val="24"/>
          <w:szCs w:val="24"/>
          <w:lang w:eastAsia="da-DK"/>
        </w:rPr>
        <w:t>des conductivités électriques des eaux de surface du bassin du Nakanbé</w:t>
      </w:r>
      <w:bookmarkEnd w:id="464"/>
      <w:bookmarkEnd w:id="465"/>
      <w:bookmarkEnd w:id="466"/>
      <w:bookmarkEnd w:id="467"/>
    </w:p>
    <w:p w14:paraId="5CD38297" w14:textId="77777777" w:rsidR="0005266E" w:rsidRPr="007C5A6E" w:rsidRDefault="0005266E" w:rsidP="009969E0">
      <w:pPr>
        <w:spacing w:after="0" w:line="240" w:lineRule="auto"/>
        <w:rPr>
          <w:rFonts w:ascii="Times New Roman" w:eastAsia="Calibri" w:hAnsi="Times New Roman"/>
          <w:sz w:val="24"/>
          <w:szCs w:val="24"/>
          <w:lang w:eastAsia="da-DK"/>
        </w:rPr>
      </w:pPr>
    </w:p>
    <w:p w14:paraId="44B2E57F" w14:textId="77777777" w:rsidR="0005266E" w:rsidRPr="007C5A6E" w:rsidRDefault="0005266E" w:rsidP="009969E0">
      <w:pPr>
        <w:spacing w:after="0" w:line="240" w:lineRule="auto"/>
        <w:jc w:val="both"/>
        <w:rPr>
          <w:rFonts w:ascii="Times New Roman" w:hAnsi="Times New Roman"/>
          <w:bCs/>
          <w:color w:val="FF0000"/>
          <w:sz w:val="24"/>
          <w:szCs w:val="24"/>
        </w:rPr>
      </w:pPr>
      <w:r w:rsidRPr="007C5A6E">
        <w:rPr>
          <w:rFonts w:ascii="Times New Roman" w:hAnsi="Times New Roman"/>
          <w:bCs/>
          <w:noProof/>
          <w:color w:val="FF0000"/>
          <w:sz w:val="24"/>
          <w:szCs w:val="24"/>
        </w:rPr>
        <w:drawing>
          <wp:inline distT="0" distB="0" distL="0" distR="0" wp14:anchorId="4A2130D7" wp14:editId="57BCD36B">
            <wp:extent cx="5381625" cy="2806432"/>
            <wp:effectExtent l="0" t="0" r="0" b="0"/>
            <wp:docPr id="15337047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704710" name=""/>
                    <pic:cNvPicPr/>
                  </pic:nvPicPr>
                  <pic:blipFill>
                    <a:blip r:embed="rId113"/>
                    <a:stretch>
                      <a:fillRect/>
                    </a:stretch>
                  </pic:blipFill>
                  <pic:spPr>
                    <a:xfrm>
                      <a:off x="0" y="0"/>
                      <a:ext cx="5474815" cy="2855029"/>
                    </a:xfrm>
                    <a:prstGeom prst="rect">
                      <a:avLst/>
                    </a:prstGeom>
                  </pic:spPr>
                </pic:pic>
              </a:graphicData>
            </a:graphic>
          </wp:inline>
        </w:drawing>
      </w:r>
    </w:p>
    <w:p w14:paraId="14EBE3CF" w14:textId="75ABE3E7" w:rsidR="000B0DAF" w:rsidRPr="007C5A6E" w:rsidRDefault="00544858" w:rsidP="009969E0">
      <w:pPr>
        <w:tabs>
          <w:tab w:val="left" w:pos="1134"/>
        </w:tabs>
        <w:spacing w:after="0" w:line="240" w:lineRule="auto"/>
        <w:ind w:left="1134" w:hanging="1134"/>
        <w:rPr>
          <w:rFonts w:ascii="Times New Roman" w:hAnsi="Times New Roman"/>
          <w:iCs/>
          <w:sz w:val="20"/>
          <w:szCs w:val="20"/>
          <w:lang w:eastAsia="da-DK"/>
        </w:rPr>
      </w:pPr>
      <w:bookmarkStart w:id="468" w:name="_Toc182605881"/>
      <w:r w:rsidRPr="007C5A6E">
        <w:rPr>
          <w:rFonts w:ascii="Times New Roman" w:hAnsi="Times New Roman"/>
          <w:iCs/>
          <w:sz w:val="20"/>
          <w:szCs w:val="20"/>
          <w:lang w:eastAsia="da-DK"/>
        </w:rPr>
        <w:t>(</w:t>
      </w:r>
      <w:r w:rsidR="000B0DAF" w:rsidRPr="007C5A6E">
        <w:rPr>
          <w:rFonts w:ascii="Times New Roman" w:hAnsi="Times New Roman"/>
          <w:iCs/>
          <w:sz w:val="20"/>
          <w:szCs w:val="20"/>
          <w:lang w:eastAsia="da-DK"/>
        </w:rPr>
        <w:t>Source : Etude PAEA, DGRE</w:t>
      </w:r>
      <w:r w:rsidR="00450AB2" w:rsidRPr="007C5A6E">
        <w:rPr>
          <w:rFonts w:ascii="Times New Roman" w:hAnsi="Times New Roman"/>
          <w:iCs/>
          <w:sz w:val="20"/>
          <w:szCs w:val="20"/>
          <w:lang w:eastAsia="da-DK"/>
        </w:rPr>
        <w:t>)</w:t>
      </w:r>
      <w:r w:rsidR="000B0DAF" w:rsidRPr="007C5A6E">
        <w:rPr>
          <w:rFonts w:ascii="Times New Roman" w:hAnsi="Times New Roman"/>
          <w:iCs/>
          <w:sz w:val="20"/>
          <w:szCs w:val="20"/>
          <w:lang w:eastAsia="da-DK"/>
        </w:rPr>
        <w:t xml:space="preserve"> </w:t>
      </w:r>
    </w:p>
    <w:p w14:paraId="1E1B1440" w14:textId="6BD0F861" w:rsidR="0005266E" w:rsidRPr="007C5A6E" w:rsidRDefault="0005266E" w:rsidP="009969E0">
      <w:pPr>
        <w:tabs>
          <w:tab w:val="left" w:pos="1134"/>
        </w:tabs>
        <w:spacing w:after="0" w:line="240" w:lineRule="auto"/>
        <w:ind w:left="1134" w:hanging="1134"/>
        <w:rPr>
          <w:rFonts w:ascii="Times New Roman" w:hAnsi="Times New Roman"/>
          <w:i/>
          <w:sz w:val="24"/>
          <w:szCs w:val="24"/>
          <w:lang w:eastAsia="da-DK"/>
        </w:rPr>
      </w:pPr>
      <w:bookmarkStart w:id="469" w:name="_Toc183230883"/>
      <w:bookmarkStart w:id="470" w:name="_Toc183240676"/>
      <w:bookmarkStart w:id="471" w:name="_Toc183340415"/>
      <w:r w:rsidRPr="007C5A6E">
        <w:rPr>
          <w:rFonts w:ascii="Times New Roman" w:hAnsi="Times New Roman"/>
          <w:i/>
          <w:sz w:val="24"/>
          <w:szCs w:val="24"/>
          <w:lang w:eastAsia="da-DK"/>
        </w:rPr>
        <w:t xml:space="preserve">Figure </w:t>
      </w:r>
      <w:r w:rsidRPr="007C5A6E">
        <w:rPr>
          <w:rFonts w:ascii="Times New Roman" w:hAnsi="Times New Roman"/>
          <w:i/>
          <w:sz w:val="24"/>
          <w:szCs w:val="24"/>
          <w:lang w:eastAsia="da-DK"/>
        </w:rPr>
        <w:fldChar w:fldCharType="begin"/>
      </w:r>
      <w:r w:rsidRPr="007C5A6E">
        <w:rPr>
          <w:rFonts w:ascii="Times New Roman" w:hAnsi="Times New Roman"/>
          <w:i/>
          <w:sz w:val="24"/>
          <w:szCs w:val="24"/>
          <w:lang w:eastAsia="da-DK"/>
        </w:rPr>
        <w:instrText xml:space="preserve"> SEQ Figure \* ARABIC </w:instrText>
      </w:r>
      <w:r w:rsidRPr="007C5A6E">
        <w:rPr>
          <w:rFonts w:ascii="Times New Roman" w:hAnsi="Times New Roman"/>
          <w:i/>
          <w:sz w:val="24"/>
          <w:szCs w:val="24"/>
          <w:lang w:eastAsia="da-DK"/>
        </w:rPr>
        <w:fldChar w:fldCharType="separate"/>
      </w:r>
      <w:r w:rsidR="00AE0C9D" w:rsidRPr="007C5A6E">
        <w:rPr>
          <w:rFonts w:ascii="Times New Roman" w:hAnsi="Times New Roman"/>
          <w:i/>
          <w:noProof/>
          <w:sz w:val="24"/>
          <w:szCs w:val="24"/>
          <w:lang w:eastAsia="da-DK"/>
        </w:rPr>
        <w:t>36</w:t>
      </w:r>
      <w:r w:rsidRPr="007C5A6E">
        <w:rPr>
          <w:rFonts w:ascii="Times New Roman" w:hAnsi="Times New Roman"/>
          <w:i/>
          <w:sz w:val="24"/>
          <w:szCs w:val="24"/>
          <w:lang w:eastAsia="da-DK"/>
        </w:rPr>
        <w:fldChar w:fldCharType="end"/>
      </w:r>
      <w:r w:rsidR="00544858" w:rsidRPr="007C5A6E">
        <w:rPr>
          <w:rFonts w:ascii="Times New Roman" w:hAnsi="Times New Roman"/>
          <w:i/>
          <w:sz w:val="24"/>
          <w:szCs w:val="24"/>
          <w:lang w:eastAsia="da-DK"/>
        </w:rPr>
        <w:t>.</w:t>
      </w:r>
      <w:r w:rsidRPr="007C5A6E">
        <w:rPr>
          <w:rFonts w:ascii="Times New Roman" w:hAnsi="Times New Roman"/>
          <w:i/>
          <w:sz w:val="24"/>
          <w:szCs w:val="24"/>
          <w:lang w:eastAsia="da-DK"/>
        </w:rPr>
        <w:t xml:space="preserve">  Cart</w:t>
      </w:r>
      <w:r w:rsidR="000B0DAF" w:rsidRPr="007C5A6E">
        <w:rPr>
          <w:rFonts w:ascii="Times New Roman" w:hAnsi="Times New Roman"/>
          <w:i/>
          <w:sz w:val="24"/>
          <w:szCs w:val="24"/>
          <w:lang w:eastAsia="da-DK"/>
        </w:rPr>
        <w:t xml:space="preserve">e </w:t>
      </w:r>
      <w:r w:rsidRPr="007C5A6E">
        <w:rPr>
          <w:rFonts w:ascii="Times New Roman" w:hAnsi="Times New Roman"/>
          <w:i/>
          <w:sz w:val="24"/>
          <w:szCs w:val="24"/>
          <w:lang w:eastAsia="da-DK"/>
        </w:rPr>
        <w:t>de la turbidité des eaux de surface du bassin du Nakanbé</w:t>
      </w:r>
      <w:bookmarkEnd w:id="468"/>
      <w:bookmarkEnd w:id="469"/>
      <w:bookmarkEnd w:id="470"/>
      <w:bookmarkEnd w:id="471"/>
    </w:p>
    <w:p w14:paraId="05B64995" w14:textId="77777777" w:rsidR="000B0DAF" w:rsidRPr="007C5A6E" w:rsidRDefault="000B0DAF" w:rsidP="009969E0">
      <w:pPr>
        <w:tabs>
          <w:tab w:val="left" w:pos="1134"/>
        </w:tabs>
        <w:spacing w:after="0" w:line="240" w:lineRule="auto"/>
        <w:ind w:left="1134" w:hanging="1134"/>
        <w:rPr>
          <w:rFonts w:ascii="Times New Roman" w:eastAsia="Calibri" w:hAnsi="Times New Roman"/>
          <w:i/>
          <w:sz w:val="20"/>
          <w:szCs w:val="20"/>
          <w:lang w:eastAsia="en-US"/>
        </w:rPr>
      </w:pPr>
    </w:p>
    <w:p w14:paraId="534C0D4E" w14:textId="77777777" w:rsidR="0005266E" w:rsidRPr="007C5A6E" w:rsidRDefault="0005266E" w:rsidP="003F3821">
      <w:pPr>
        <w:pStyle w:val="Titre5"/>
        <w:numPr>
          <w:ilvl w:val="4"/>
          <w:numId w:val="4"/>
        </w:numPr>
        <w:ind w:left="907" w:hanging="907"/>
        <w:rPr>
          <w:rFonts w:ascii="Times New Roman" w:hAnsi="Times New Roman" w:cs="Times New Roman"/>
          <w:color w:val="auto"/>
          <w:u w:val="single"/>
          <w:lang w:eastAsia="en-US"/>
        </w:rPr>
      </w:pPr>
      <w:bookmarkStart w:id="472" w:name="_Toc183340093"/>
      <w:r w:rsidRPr="007C5A6E">
        <w:rPr>
          <w:rFonts w:ascii="Times New Roman" w:hAnsi="Times New Roman" w:cs="Times New Roman"/>
          <w:color w:val="auto"/>
          <w:u w:val="single"/>
          <w:lang w:eastAsia="en-US"/>
        </w:rPr>
        <w:t>Qualité des ressources en eau de surface du fleuve Mouhoun</w:t>
      </w:r>
      <w:bookmarkEnd w:id="472"/>
    </w:p>
    <w:p w14:paraId="64857A11" w14:textId="77777777" w:rsidR="000B0DAF" w:rsidRPr="007C5A6E" w:rsidRDefault="000B0DAF" w:rsidP="009969E0">
      <w:pPr>
        <w:spacing w:after="0" w:line="240" w:lineRule="auto"/>
        <w:jc w:val="both"/>
        <w:rPr>
          <w:rFonts w:ascii="Times New Roman" w:hAnsi="Times New Roman"/>
          <w:bCs/>
          <w:sz w:val="24"/>
          <w:szCs w:val="24"/>
        </w:rPr>
      </w:pPr>
    </w:p>
    <w:p w14:paraId="27A73DEF" w14:textId="675371E3" w:rsidR="0005266E" w:rsidRPr="007C5A6E" w:rsidRDefault="0005266E" w:rsidP="009969E0">
      <w:pPr>
        <w:spacing w:after="0" w:line="240" w:lineRule="auto"/>
        <w:jc w:val="both"/>
        <w:rPr>
          <w:rFonts w:ascii="Times New Roman" w:hAnsi="Times New Roman"/>
          <w:bCs/>
          <w:sz w:val="24"/>
          <w:szCs w:val="24"/>
        </w:rPr>
      </w:pPr>
      <w:r w:rsidRPr="007C5A6E">
        <w:rPr>
          <w:rFonts w:ascii="Times New Roman" w:hAnsi="Times New Roman"/>
          <w:bCs/>
          <w:sz w:val="24"/>
          <w:szCs w:val="24"/>
        </w:rPr>
        <w:t>L’étude menée dans le cadre de la DGRE et du PAEA (mars 2022) a permis d’apprécier la qualité des ressources en eau de surface de l’espace du bassin du fleuve Mouhoun. Il en ressort les résultats ci-après</w:t>
      </w:r>
      <w:r w:rsidR="003E77AE" w:rsidRPr="007C5A6E">
        <w:rPr>
          <w:rFonts w:ascii="Times New Roman" w:hAnsi="Times New Roman"/>
          <w:bCs/>
          <w:sz w:val="24"/>
          <w:szCs w:val="24"/>
        </w:rPr>
        <w:t xml:space="preserve"> (cf. figures 37 à 39 ci-après)</w:t>
      </w:r>
      <w:r w:rsidRPr="007C5A6E">
        <w:rPr>
          <w:rFonts w:ascii="Times New Roman" w:hAnsi="Times New Roman"/>
          <w:bCs/>
          <w:sz w:val="24"/>
          <w:szCs w:val="24"/>
        </w:rPr>
        <w:t>.</w:t>
      </w:r>
    </w:p>
    <w:p w14:paraId="55FFB012" w14:textId="77777777" w:rsidR="0005266E" w:rsidRPr="007C5A6E" w:rsidRDefault="0005266E" w:rsidP="0050608A">
      <w:pPr>
        <w:numPr>
          <w:ilvl w:val="0"/>
          <w:numId w:val="18"/>
        </w:numPr>
        <w:spacing w:line="240" w:lineRule="auto"/>
        <w:ind w:left="357" w:hanging="357"/>
        <w:jc w:val="both"/>
        <w:rPr>
          <w:rFonts w:ascii="Times New Roman" w:hAnsi="Times New Roman"/>
          <w:bCs/>
          <w:sz w:val="24"/>
          <w:szCs w:val="24"/>
        </w:rPr>
      </w:pPr>
      <w:r w:rsidRPr="007C5A6E">
        <w:rPr>
          <w:rFonts w:ascii="Times New Roman" w:hAnsi="Times New Roman"/>
          <w:bCs/>
          <w:sz w:val="24"/>
          <w:szCs w:val="24"/>
        </w:rPr>
        <w:t xml:space="preserve">Le pH varie de 4,08 à 8,5 montrant des termes acides et des termes basiques des eaux de surface du bassin du Mouhoun. On observe que les eaux sont acides pour cinq barrages, trois cours d’eau, une mare et un </w:t>
      </w:r>
      <w:proofErr w:type="spellStart"/>
      <w:r w:rsidRPr="007C5A6E">
        <w:rPr>
          <w:rFonts w:ascii="Times New Roman" w:hAnsi="Times New Roman"/>
          <w:bCs/>
          <w:sz w:val="24"/>
          <w:szCs w:val="24"/>
        </w:rPr>
        <w:t>bouli</w:t>
      </w:r>
      <w:proofErr w:type="spellEnd"/>
      <w:r w:rsidRPr="007C5A6E">
        <w:rPr>
          <w:rFonts w:ascii="Times New Roman" w:hAnsi="Times New Roman"/>
          <w:bCs/>
          <w:sz w:val="24"/>
          <w:szCs w:val="24"/>
        </w:rPr>
        <w:t>. Tous les autres points d’eau prélevés ont des eaux dans les normes de l’OMS pour les eaux de boisson (6,5 &lt; pH &lt; 8,5)</w:t>
      </w:r>
    </w:p>
    <w:p w14:paraId="6E361FAD" w14:textId="1C82772C" w:rsidR="000B0DAF" w:rsidRPr="007C5A6E" w:rsidRDefault="000B0DAF" w:rsidP="0050608A">
      <w:pPr>
        <w:numPr>
          <w:ilvl w:val="0"/>
          <w:numId w:val="18"/>
        </w:numPr>
        <w:spacing w:line="240" w:lineRule="auto"/>
        <w:ind w:left="357" w:hanging="357"/>
        <w:jc w:val="both"/>
        <w:rPr>
          <w:rFonts w:ascii="Times New Roman" w:hAnsi="Times New Roman"/>
          <w:bCs/>
          <w:sz w:val="24"/>
          <w:szCs w:val="24"/>
        </w:rPr>
      </w:pPr>
      <w:r w:rsidRPr="007C5A6E">
        <w:rPr>
          <w:rFonts w:ascii="Times New Roman" w:hAnsi="Times New Roman"/>
          <w:bCs/>
          <w:sz w:val="24"/>
          <w:szCs w:val="24"/>
        </w:rPr>
        <w:t>La conductivité électrique des eaux de surface varie de 12 (Samorogouan) à 1490 µS/cm (</w:t>
      </w:r>
      <w:proofErr w:type="spellStart"/>
      <w:r w:rsidRPr="007C5A6E">
        <w:rPr>
          <w:rFonts w:ascii="Times New Roman" w:hAnsi="Times New Roman"/>
          <w:bCs/>
          <w:sz w:val="24"/>
          <w:szCs w:val="24"/>
        </w:rPr>
        <w:t>Nadiolo</w:t>
      </w:r>
      <w:proofErr w:type="spellEnd"/>
      <w:r w:rsidRPr="007C5A6E">
        <w:rPr>
          <w:rFonts w:ascii="Times New Roman" w:hAnsi="Times New Roman"/>
          <w:bCs/>
          <w:sz w:val="24"/>
          <w:szCs w:val="24"/>
        </w:rPr>
        <w:t xml:space="preserve">). Le premier quartile est à 42 µS/cm et le troisième quartile à 78 µS/cm, toute chose qui traduit la faible minéralisation des eaux de surface. La valeur extrême de 1 490 µS/cm observée au barrage de </w:t>
      </w:r>
      <w:proofErr w:type="spellStart"/>
      <w:r w:rsidRPr="007C5A6E">
        <w:rPr>
          <w:rFonts w:ascii="Times New Roman" w:hAnsi="Times New Roman"/>
          <w:bCs/>
          <w:sz w:val="24"/>
          <w:szCs w:val="24"/>
        </w:rPr>
        <w:t>Nadiolo</w:t>
      </w:r>
      <w:proofErr w:type="spellEnd"/>
      <w:r w:rsidRPr="007C5A6E">
        <w:rPr>
          <w:rFonts w:ascii="Times New Roman" w:hAnsi="Times New Roman"/>
          <w:bCs/>
          <w:sz w:val="24"/>
          <w:szCs w:val="24"/>
        </w:rPr>
        <w:t xml:space="preserve">, département de Sabou (province du </w:t>
      </w:r>
      <w:proofErr w:type="spellStart"/>
      <w:r w:rsidRPr="007C5A6E">
        <w:rPr>
          <w:rFonts w:ascii="Times New Roman" w:hAnsi="Times New Roman"/>
          <w:bCs/>
          <w:sz w:val="24"/>
          <w:szCs w:val="24"/>
        </w:rPr>
        <w:t>Bulkiemdé</w:t>
      </w:r>
      <w:proofErr w:type="spellEnd"/>
      <w:r w:rsidRPr="007C5A6E">
        <w:rPr>
          <w:rFonts w:ascii="Times New Roman" w:hAnsi="Times New Roman"/>
          <w:bCs/>
          <w:sz w:val="24"/>
          <w:szCs w:val="24"/>
        </w:rPr>
        <w:t>) est exceptionnelle et pourrait être liée à une pollution anthropique. Par contre, la faible valeur minimale de 12 est similaire à une eau de pluie et laisse penser que l’échantillon serait prélevé juste après une pluie au barrage de Samorogouan le 06 juin 2019.</w:t>
      </w:r>
    </w:p>
    <w:p w14:paraId="0007F5C0" w14:textId="43A5B8A8" w:rsidR="000B0DAF" w:rsidRPr="007C5A6E" w:rsidRDefault="000B0DAF" w:rsidP="0050608A">
      <w:pPr>
        <w:numPr>
          <w:ilvl w:val="0"/>
          <w:numId w:val="18"/>
        </w:numPr>
        <w:spacing w:line="240" w:lineRule="auto"/>
        <w:ind w:left="357" w:hanging="357"/>
        <w:jc w:val="both"/>
        <w:rPr>
          <w:rFonts w:ascii="Times New Roman" w:hAnsi="Times New Roman"/>
          <w:bCs/>
          <w:sz w:val="24"/>
          <w:szCs w:val="24"/>
        </w:rPr>
      </w:pPr>
      <w:r w:rsidRPr="007C5A6E">
        <w:rPr>
          <w:rFonts w:ascii="Times New Roman" w:hAnsi="Times New Roman"/>
          <w:bCs/>
          <w:sz w:val="24"/>
          <w:szCs w:val="24"/>
        </w:rPr>
        <w:t xml:space="preserve">Les valeurs de turbidité varient de 0,14 à 1100 NTU, c’est-à-dire de l’eau claire à de l’eau très trouble. Dans la localité de </w:t>
      </w:r>
      <w:proofErr w:type="spellStart"/>
      <w:r w:rsidRPr="007C5A6E">
        <w:rPr>
          <w:rFonts w:ascii="Times New Roman" w:hAnsi="Times New Roman"/>
          <w:bCs/>
          <w:sz w:val="24"/>
          <w:szCs w:val="24"/>
        </w:rPr>
        <w:t>Yaran</w:t>
      </w:r>
      <w:proofErr w:type="spellEnd"/>
      <w:r w:rsidRPr="007C5A6E">
        <w:rPr>
          <w:rFonts w:ascii="Times New Roman" w:hAnsi="Times New Roman"/>
          <w:bCs/>
          <w:sz w:val="24"/>
          <w:szCs w:val="24"/>
        </w:rPr>
        <w:t xml:space="preserve"> par exemple, le 08 août 2018 la turbidité est la plus faible de la série, sans doute pendant une poche de sécheresse et avant l’ouverture des vannes du barrage/écluse de Léry sur le Sourou. On signale qu’à </w:t>
      </w:r>
      <w:proofErr w:type="spellStart"/>
      <w:r w:rsidRPr="007C5A6E">
        <w:rPr>
          <w:rFonts w:ascii="Times New Roman" w:hAnsi="Times New Roman"/>
          <w:bCs/>
          <w:sz w:val="24"/>
          <w:szCs w:val="24"/>
        </w:rPr>
        <w:t>Yaran</w:t>
      </w:r>
      <w:proofErr w:type="spellEnd"/>
      <w:r w:rsidRPr="007C5A6E">
        <w:rPr>
          <w:rFonts w:ascii="Times New Roman" w:hAnsi="Times New Roman"/>
          <w:bCs/>
          <w:sz w:val="24"/>
          <w:szCs w:val="24"/>
        </w:rPr>
        <w:t xml:space="preserve"> il y a une station hydrométrique du réseau de suivi de la DGRE située sur les berges du Sourou à moins de 30 km du barrage/écluse de Léry. Par ailleurs, au barrage de </w:t>
      </w:r>
      <w:proofErr w:type="spellStart"/>
      <w:r w:rsidRPr="007C5A6E">
        <w:rPr>
          <w:rFonts w:ascii="Times New Roman" w:hAnsi="Times New Roman"/>
          <w:bCs/>
          <w:sz w:val="24"/>
          <w:szCs w:val="24"/>
        </w:rPr>
        <w:t>Roumtenga</w:t>
      </w:r>
      <w:proofErr w:type="spellEnd"/>
      <w:r w:rsidRPr="007C5A6E">
        <w:rPr>
          <w:rFonts w:ascii="Times New Roman" w:hAnsi="Times New Roman"/>
          <w:bCs/>
          <w:sz w:val="24"/>
          <w:szCs w:val="24"/>
        </w:rPr>
        <w:t xml:space="preserve"> dans la province du Passoré, on enregistre une forte turbidité de 1100 NTU le 13 juillet 2019, sans doute du fait des écoulements turbulents des eaux de ruissellement chargées qui se sont déversées dans le plan d’eau.  Pour la série de points d’eau considérés (39), le 1er quartile est de 24 et le 3eme quartile est de 354 TU</w:t>
      </w:r>
    </w:p>
    <w:p w14:paraId="4D128FDC" w14:textId="77777777" w:rsidR="0005266E" w:rsidRPr="007C5A6E" w:rsidRDefault="0005266E" w:rsidP="009969E0">
      <w:pPr>
        <w:spacing w:after="0" w:line="240" w:lineRule="auto"/>
        <w:jc w:val="both"/>
        <w:rPr>
          <w:rFonts w:ascii="Times New Roman" w:hAnsi="Times New Roman"/>
          <w:bCs/>
          <w:sz w:val="24"/>
          <w:szCs w:val="24"/>
        </w:rPr>
      </w:pPr>
    </w:p>
    <w:p w14:paraId="5C25C549" w14:textId="77777777" w:rsidR="0005266E" w:rsidRPr="007C5A6E" w:rsidRDefault="0005266E" w:rsidP="009969E0">
      <w:pPr>
        <w:spacing w:after="0" w:line="240" w:lineRule="auto"/>
        <w:jc w:val="both"/>
        <w:rPr>
          <w:rFonts w:ascii="Times New Roman" w:hAnsi="Times New Roman"/>
          <w:bCs/>
          <w:color w:val="FF0000"/>
          <w:sz w:val="24"/>
          <w:szCs w:val="24"/>
        </w:rPr>
      </w:pPr>
      <w:r w:rsidRPr="007C5A6E">
        <w:rPr>
          <w:rFonts w:ascii="Times New Roman" w:hAnsi="Times New Roman"/>
          <w:bCs/>
          <w:noProof/>
          <w:color w:val="FF0000"/>
          <w:sz w:val="24"/>
          <w:szCs w:val="24"/>
        </w:rPr>
        <w:drawing>
          <wp:inline distT="0" distB="0" distL="0" distR="0" wp14:anchorId="2FF98E10" wp14:editId="39915F51">
            <wp:extent cx="4065905" cy="6000750"/>
            <wp:effectExtent l="0" t="0" r="0" b="0"/>
            <wp:docPr id="13487386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738680" name=""/>
                    <pic:cNvPicPr/>
                  </pic:nvPicPr>
                  <pic:blipFill>
                    <a:blip r:embed="rId114" cstate="email">
                      <a:extLst>
                        <a:ext uri="{28A0092B-C50C-407E-A947-70E740481C1C}">
                          <a14:useLocalDpi xmlns:a14="http://schemas.microsoft.com/office/drawing/2010/main"/>
                        </a:ext>
                      </a:extLst>
                    </a:blip>
                    <a:stretch>
                      <a:fillRect/>
                    </a:stretch>
                  </pic:blipFill>
                  <pic:spPr>
                    <a:xfrm>
                      <a:off x="0" y="0"/>
                      <a:ext cx="4073634" cy="6012157"/>
                    </a:xfrm>
                    <a:prstGeom prst="rect">
                      <a:avLst/>
                    </a:prstGeom>
                  </pic:spPr>
                </pic:pic>
              </a:graphicData>
            </a:graphic>
          </wp:inline>
        </w:drawing>
      </w:r>
    </w:p>
    <w:p w14:paraId="2A64DF15" w14:textId="574C2543" w:rsidR="003E77AE" w:rsidRPr="007C5A6E" w:rsidRDefault="00A75EAA" w:rsidP="009969E0">
      <w:pPr>
        <w:tabs>
          <w:tab w:val="left" w:pos="1134"/>
        </w:tabs>
        <w:spacing w:after="0" w:line="240" w:lineRule="auto"/>
        <w:ind w:left="1134" w:hanging="1134"/>
        <w:rPr>
          <w:rFonts w:ascii="Times New Roman" w:hAnsi="Times New Roman"/>
          <w:iCs/>
          <w:sz w:val="20"/>
          <w:szCs w:val="20"/>
          <w:lang w:eastAsia="da-DK"/>
        </w:rPr>
      </w:pPr>
      <w:bookmarkStart w:id="473" w:name="_Toc182605882"/>
      <w:bookmarkStart w:id="474" w:name="_Hlk177943214"/>
      <w:r w:rsidRPr="007C5A6E">
        <w:rPr>
          <w:rFonts w:ascii="Times New Roman" w:hAnsi="Times New Roman"/>
          <w:iCs/>
          <w:sz w:val="20"/>
          <w:szCs w:val="20"/>
          <w:lang w:eastAsia="da-DK"/>
        </w:rPr>
        <w:t>(</w:t>
      </w:r>
      <w:r w:rsidR="003E77AE" w:rsidRPr="007C5A6E">
        <w:rPr>
          <w:rFonts w:ascii="Times New Roman" w:hAnsi="Times New Roman"/>
          <w:iCs/>
          <w:sz w:val="20"/>
          <w:szCs w:val="20"/>
          <w:lang w:eastAsia="da-DK"/>
        </w:rPr>
        <w:t>Source : Etude PAEA / Etude d’optimisation des réseaux de suivi</w:t>
      </w:r>
      <w:r w:rsidRPr="007C5A6E">
        <w:rPr>
          <w:rFonts w:ascii="Times New Roman" w:hAnsi="Times New Roman"/>
          <w:iCs/>
          <w:sz w:val="20"/>
          <w:szCs w:val="20"/>
          <w:lang w:eastAsia="da-DK"/>
        </w:rPr>
        <w:t>)</w:t>
      </w:r>
    </w:p>
    <w:p w14:paraId="300E5D9C" w14:textId="484EE9EE" w:rsidR="0005266E" w:rsidRPr="007C5A6E" w:rsidRDefault="0005266E" w:rsidP="009969E0">
      <w:pPr>
        <w:tabs>
          <w:tab w:val="left" w:pos="1134"/>
        </w:tabs>
        <w:spacing w:after="0" w:line="240" w:lineRule="auto"/>
        <w:ind w:left="1134" w:hanging="1134"/>
        <w:rPr>
          <w:rFonts w:ascii="Times New Roman" w:eastAsia="Calibri" w:hAnsi="Times New Roman"/>
          <w:i/>
          <w:sz w:val="20"/>
          <w:szCs w:val="20"/>
          <w:lang w:eastAsia="en-US"/>
        </w:rPr>
      </w:pPr>
      <w:bookmarkStart w:id="475" w:name="_Toc183230884"/>
      <w:bookmarkStart w:id="476" w:name="_Toc183240677"/>
      <w:bookmarkStart w:id="477" w:name="_Toc183340416"/>
      <w:r w:rsidRPr="007C5A6E">
        <w:rPr>
          <w:rFonts w:ascii="Times New Roman" w:hAnsi="Times New Roman"/>
          <w:i/>
          <w:sz w:val="24"/>
          <w:szCs w:val="24"/>
          <w:lang w:eastAsia="da-DK"/>
        </w:rPr>
        <w:t xml:space="preserve">Figure </w:t>
      </w:r>
      <w:r w:rsidRPr="007C5A6E">
        <w:rPr>
          <w:rFonts w:ascii="Times New Roman" w:hAnsi="Times New Roman"/>
          <w:i/>
          <w:sz w:val="24"/>
          <w:szCs w:val="24"/>
          <w:lang w:eastAsia="da-DK"/>
        </w:rPr>
        <w:fldChar w:fldCharType="begin"/>
      </w:r>
      <w:r w:rsidRPr="007C5A6E">
        <w:rPr>
          <w:rFonts w:ascii="Times New Roman" w:hAnsi="Times New Roman"/>
          <w:i/>
          <w:sz w:val="24"/>
          <w:szCs w:val="24"/>
          <w:lang w:eastAsia="da-DK"/>
        </w:rPr>
        <w:instrText xml:space="preserve"> SEQ Figure \* ARABIC </w:instrText>
      </w:r>
      <w:r w:rsidRPr="007C5A6E">
        <w:rPr>
          <w:rFonts w:ascii="Times New Roman" w:hAnsi="Times New Roman"/>
          <w:i/>
          <w:sz w:val="24"/>
          <w:szCs w:val="24"/>
          <w:lang w:eastAsia="da-DK"/>
        </w:rPr>
        <w:fldChar w:fldCharType="separate"/>
      </w:r>
      <w:r w:rsidR="00A75EAA" w:rsidRPr="007C5A6E">
        <w:rPr>
          <w:rFonts w:ascii="Times New Roman" w:hAnsi="Times New Roman"/>
          <w:i/>
          <w:noProof/>
          <w:sz w:val="24"/>
          <w:szCs w:val="24"/>
          <w:lang w:eastAsia="da-DK"/>
        </w:rPr>
        <w:t>37</w:t>
      </w:r>
      <w:r w:rsidRPr="007C5A6E">
        <w:rPr>
          <w:rFonts w:ascii="Times New Roman" w:hAnsi="Times New Roman"/>
          <w:i/>
          <w:sz w:val="24"/>
          <w:szCs w:val="24"/>
          <w:lang w:eastAsia="da-DK"/>
        </w:rPr>
        <w:fldChar w:fldCharType="end"/>
      </w:r>
      <w:r w:rsidR="00A75EAA" w:rsidRPr="007C5A6E">
        <w:rPr>
          <w:rFonts w:ascii="Times New Roman" w:hAnsi="Times New Roman"/>
          <w:i/>
          <w:sz w:val="24"/>
          <w:szCs w:val="24"/>
          <w:lang w:eastAsia="da-DK"/>
        </w:rPr>
        <w:t>.</w:t>
      </w:r>
      <w:r w:rsidRPr="007C5A6E">
        <w:rPr>
          <w:rFonts w:ascii="Times New Roman" w:hAnsi="Times New Roman"/>
          <w:i/>
          <w:sz w:val="24"/>
          <w:szCs w:val="24"/>
          <w:lang w:eastAsia="da-DK"/>
        </w:rPr>
        <w:t xml:space="preserve">  Cartographie des pH des eaux de surface du fleuve Mouhoun</w:t>
      </w:r>
      <w:bookmarkEnd w:id="473"/>
      <w:bookmarkEnd w:id="475"/>
      <w:bookmarkEnd w:id="476"/>
      <w:bookmarkEnd w:id="477"/>
    </w:p>
    <w:bookmarkEnd w:id="474"/>
    <w:p w14:paraId="7D9A4A7A" w14:textId="77777777" w:rsidR="0005266E" w:rsidRPr="007C5A6E" w:rsidRDefault="0005266E" w:rsidP="009969E0">
      <w:pPr>
        <w:spacing w:after="0" w:line="240" w:lineRule="auto"/>
        <w:jc w:val="both"/>
        <w:rPr>
          <w:rFonts w:ascii="Times New Roman" w:hAnsi="Times New Roman"/>
          <w:bCs/>
          <w:noProof/>
          <w:color w:val="FF0000"/>
          <w:sz w:val="24"/>
          <w:szCs w:val="24"/>
        </w:rPr>
      </w:pPr>
    </w:p>
    <w:p w14:paraId="232825E1" w14:textId="77777777" w:rsidR="0005266E" w:rsidRPr="007C5A6E" w:rsidRDefault="0005266E" w:rsidP="009969E0">
      <w:pPr>
        <w:spacing w:after="0" w:line="240" w:lineRule="auto"/>
        <w:jc w:val="both"/>
        <w:rPr>
          <w:rFonts w:ascii="Times New Roman" w:hAnsi="Times New Roman"/>
          <w:bCs/>
          <w:color w:val="FF0000"/>
          <w:sz w:val="24"/>
          <w:szCs w:val="24"/>
        </w:rPr>
      </w:pPr>
      <w:r w:rsidRPr="007C5A6E">
        <w:rPr>
          <w:rFonts w:ascii="Times New Roman" w:hAnsi="Times New Roman"/>
          <w:bCs/>
          <w:noProof/>
          <w:color w:val="FF0000"/>
          <w:sz w:val="24"/>
          <w:szCs w:val="24"/>
        </w:rPr>
        <w:drawing>
          <wp:inline distT="0" distB="0" distL="0" distR="0" wp14:anchorId="0963AC4C" wp14:editId="07072E8C">
            <wp:extent cx="3722370" cy="6524625"/>
            <wp:effectExtent l="0" t="0" r="0" b="9525"/>
            <wp:docPr id="3074344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34495" name=""/>
                    <pic:cNvPicPr/>
                  </pic:nvPicPr>
                  <pic:blipFill>
                    <a:blip r:embed="rId115" cstate="email">
                      <a:extLst>
                        <a:ext uri="{28A0092B-C50C-407E-A947-70E740481C1C}">
                          <a14:useLocalDpi xmlns:a14="http://schemas.microsoft.com/office/drawing/2010/main"/>
                        </a:ext>
                      </a:extLst>
                    </a:blip>
                    <a:stretch>
                      <a:fillRect/>
                    </a:stretch>
                  </pic:blipFill>
                  <pic:spPr>
                    <a:xfrm>
                      <a:off x="0" y="0"/>
                      <a:ext cx="3751005" cy="6574817"/>
                    </a:xfrm>
                    <a:prstGeom prst="rect">
                      <a:avLst/>
                    </a:prstGeom>
                  </pic:spPr>
                </pic:pic>
              </a:graphicData>
            </a:graphic>
          </wp:inline>
        </w:drawing>
      </w:r>
    </w:p>
    <w:p w14:paraId="3462261D" w14:textId="6EAF561D" w:rsidR="003E77AE" w:rsidRPr="007C5A6E" w:rsidRDefault="000C4F1D" w:rsidP="009969E0">
      <w:pPr>
        <w:tabs>
          <w:tab w:val="left" w:pos="1134"/>
        </w:tabs>
        <w:spacing w:after="0" w:line="240" w:lineRule="auto"/>
        <w:ind w:left="1134" w:hanging="1134"/>
        <w:rPr>
          <w:rFonts w:ascii="Times New Roman" w:hAnsi="Times New Roman"/>
          <w:iCs/>
          <w:sz w:val="20"/>
          <w:szCs w:val="20"/>
          <w:lang w:eastAsia="da-DK"/>
        </w:rPr>
      </w:pPr>
      <w:bookmarkStart w:id="478" w:name="_Toc182605883"/>
      <w:r w:rsidRPr="007C5A6E">
        <w:rPr>
          <w:rFonts w:ascii="Times New Roman" w:hAnsi="Times New Roman"/>
          <w:iCs/>
          <w:sz w:val="20"/>
          <w:szCs w:val="20"/>
          <w:lang w:eastAsia="da-DK"/>
        </w:rPr>
        <w:t>(</w:t>
      </w:r>
      <w:r w:rsidR="003E77AE" w:rsidRPr="007C5A6E">
        <w:rPr>
          <w:rFonts w:ascii="Times New Roman" w:hAnsi="Times New Roman"/>
          <w:iCs/>
          <w:sz w:val="20"/>
          <w:szCs w:val="20"/>
          <w:lang w:eastAsia="da-DK"/>
        </w:rPr>
        <w:t>Source : Etude PAEA</w:t>
      </w:r>
      <w:r w:rsidRPr="007C5A6E">
        <w:rPr>
          <w:rFonts w:ascii="Times New Roman" w:hAnsi="Times New Roman"/>
          <w:iCs/>
          <w:sz w:val="20"/>
          <w:szCs w:val="20"/>
          <w:lang w:eastAsia="da-DK"/>
        </w:rPr>
        <w:t>)</w:t>
      </w:r>
      <w:r w:rsidR="003E77AE" w:rsidRPr="007C5A6E">
        <w:rPr>
          <w:rFonts w:ascii="Times New Roman" w:hAnsi="Times New Roman"/>
          <w:iCs/>
          <w:sz w:val="20"/>
          <w:szCs w:val="20"/>
          <w:lang w:eastAsia="da-DK"/>
        </w:rPr>
        <w:t xml:space="preserve"> </w:t>
      </w:r>
    </w:p>
    <w:p w14:paraId="5641F072" w14:textId="5C6072B5" w:rsidR="0005266E" w:rsidRPr="007C5A6E" w:rsidRDefault="0005266E" w:rsidP="009969E0">
      <w:pPr>
        <w:tabs>
          <w:tab w:val="left" w:pos="1134"/>
        </w:tabs>
        <w:spacing w:after="0" w:line="240" w:lineRule="auto"/>
        <w:ind w:left="1134" w:hanging="1134"/>
        <w:rPr>
          <w:rFonts w:ascii="Times New Roman" w:eastAsia="Calibri" w:hAnsi="Times New Roman"/>
          <w:i/>
          <w:sz w:val="20"/>
          <w:szCs w:val="20"/>
          <w:lang w:eastAsia="en-US"/>
        </w:rPr>
      </w:pPr>
      <w:bookmarkStart w:id="479" w:name="_Toc183230885"/>
      <w:bookmarkStart w:id="480" w:name="_Toc183240678"/>
      <w:bookmarkStart w:id="481" w:name="_Toc183340417"/>
      <w:r w:rsidRPr="007C5A6E">
        <w:rPr>
          <w:rFonts w:ascii="Times New Roman" w:hAnsi="Times New Roman"/>
          <w:i/>
          <w:sz w:val="24"/>
          <w:szCs w:val="24"/>
          <w:lang w:eastAsia="da-DK"/>
        </w:rPr>
        <w:t xml:space="preserve">Figure </w:t>
      </w:r>
      <w:r w:rsidRPr="007C5A6E">
        <w:rPr>
          <w:rFonts w:ascii="Times New Roman" w:hAnsi="Times New Roman"/>
          <w:i/>
          <w:sz w:val="24"/>
          <w:szCs w:val="24"/>
          <w:lang w:eastAsia="da-DK"/>
        </w:rPr>
        <w:fldChar w:fldCharType="begin"/>
      </w:r>
      <w:r w:rsidRPr="007C5A6E">
        <w:rPr>
          <w:rFonts w:ascii="Times New Roman" w:hAnsi="Times New Roman"/>
          <w:i/>
          <w:sz w:val="24"/>
          <w:szCs w:val="24"/>
          <w:lang w:eastAsia="da-DK"/>
        </w:rPr>
        <w:instrText xml:space="preserve"> SEQ Figure \* ARABIC </w:instrText>
      </w:r>
      <w:r w:rsidRPr="007C5A6E">
        <w:rPr>
          <w:rFonts w:ascii="Times New Roman" w:hAnsi="Times New Roman"/>
          <w:i/>
          <w:sz w:val="24"/>
          <w:szCs w:val="24"/>
          <w:lang w:eastAsia="da-DK"/>
        </w:rPr>
        <w:fldChar w:fldCharType="separate"/>
      </w:r>
      <w:r w:rsidR="00AE756D" w:rsidRPr="007C5A6E">
        <w:rPr>
          <w:rFonts w:ascii="Times New Roman" w:hAnsi="Times New Roman"/>
          <w:i/>
          <w:noProof/>
          <w:sz w:val="24"/>
          <w:szCs w:val="24"/>
          <w:lang w:eastAsia="da-DK"/>
        </w:rPr>
        <w:t>38</w:t>
      </w:r>
      <w:r w:rsidRPr="007C5A6E">
        <w:rPr>
          <w:rFonts w:ascii="Times New Roman" w:hAnsi="Times New Roman"/>
          <w:i/>
          <w:sz w:val="24"/>
          <w:szCs w:val="24"/>
          <w:lang w:eastAsia="da-DK"/>
        </w:rPr>
        <w:fldChar w:fldCharType="end"/>
      </w:r>
      <w:r w:rsidR="0050608A" w:rsidRPr="007C5A6E">
        <w:rPr>
          <w:rFonts w:ascii="Times New Roman" w:hAnsi="Times New Roman"/>
          <w:i/>
          <w:sz w:val="24"/>
          <w:szCs w:val="24"/>
          <w:lang w:eastAsia="da-DK"/>
        </w:rPr>
        <w:t>.</w:t>
      </w:r>
      <w:r w:rsidRPr="007C5A6E">
        <w:rPr>
          <w:rFonts w:ascii="Times New Roman" w:hAnsi="Times New Roman"/>
          <w:i/>
          <w:sz w:val="24"/>
          <w:szCs w:val="24"/>
          <w:lang w:eastAsia="da-DK"/>
        </w:rPr>
        <w:t xml:space="preserve">  Cartographie des conductivités électriques des eaux de surface du fleuve Mouhoun</w:t>
      </w:r>
      <w:bookmarkEnd w:id="478"/>
      <w:bookmarkEnd w:id="479"/>
      <w:bookmarkEnd w:id="480"/>
      <w:bookmarkEnd w:id="481"/>
    </w:p>
    <w:p w14:paraId="0953176D" w14:textId="77777777" w:rsidR="0005266E" w:rsidRPr="007C5A6E" w:rsidRDefault="0005266E" w:rsidP="009969E0">
      <w:pPr>
        <w:spacing w:after="0" w:line="240" w:lineRule="auto"/>
        <w:jc w:val="both"/>
        <w:rPr>
          <w:rFonts w:ascii="Times New Roman" w:hAnsi="Times New Roman"/>
          <w:bCs/>
          <w:sz w:val="24"/>
          <w:szCs w:val="24"/>
        </w:rPr>
      </w:pPr>
      <w:r w:rsidRPr="007C5A6E">
        <w:rPr>
          <w:rFonts w:ascii="Times New Roman" w:hAnsi="Times New Roman"/>
          <w:bCs/>
          <w:noProof/>
          <w:sz w:val="24"/>
          <w:szCs w:val="24"/>
        </w:rPr>
        <w:drawing>
          <wp:inline distT="0" distB="0" distL="0" distR="0" wp14:anchorId="51446FF9" wp14:editId="04C7FB7A">
            <wp:extent cx="3594100" cy="4724400"/>
            <wp:effectExtent l="0" t="0" r="6350" b="0"/>
            <wp:docPr id="11112269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226911" name=""/>
                    <pic:cNvPicPr/>
                  </pic:nvPicPr>
                  <pic:blipFill>
                    <a:blip r:embed="rId116" cstate="email">
                      <a:extLst>
                        <a:ext uri="{28A0092B-C50C-407E-A947-70E740481C1C}">
                          <a14:useLocalDpi xmlns:a14="http://schemas.microsoft.com/office/drawing/2010/main"/>
                        </a:ext>
                      </a:extLst>
                    </a:blip>
                    <a:stretch>
                      <a:fillRect/>
                    </a:stretch>
                  </pic:blipFill>
                  <pic:spPr>
                    <a:xfrm>
                      <a:off x="0" y="0"/>
                      <a:ext cx="3611601" cy="4747405"/>
                    </a:xfrm>
                    <a:prstGeom prst="rect">
                      <a:avLst/>
                    </a:prstGeom>
                  </pic:spPr>
                </pic:pic>
              </a:graphicData>
            </a:graphic>
          </wp:inline>
        </w:drawing>
      </w:r>
    </w:p>
    <w:p w14:paraId="562F1CBF" w14:textId="046FE7DC" w:rsidR="003E77AE" w:rsidRPr="007C5A6E" w:rsidRDefault="000C4F1D" w:rsidP="009969E0">
      <w:pPr>
        <w:tabs>
          <w:tab w:val="left" w:pos="1134"/>
        </w:tabs>
        <w:spacing w:after="0" w:line="240" w:lineRule="auto"/>
        <w:ind w:left="1134" w:hanging="1134"/>
        <w:rPr>
          <w:rFonts w:ascii="Times New Roman" w:hAnsi="Times New Roman"/>
          <w:iCs/>
          <w:sz w:val="20"/>
          <w:szCs w:val="20"/>
          <w:lang w:eastAsia="da-DK"/>
        </w:rPr>
      </w:pPr>
      <w:bookmarkStart w:id="482" w:name="_Toc182605884"/>
      <w:r w:rsidRPr="007C5A6E">
        <w:rPr>
          <w:rFonts w:ascii="Times New Roman" w:hAnsi="Times New Roman"/>
          <w:iCs/>
          <w:sz w:val="20"/>
          <w:szCs w:val="20"/>
          <w:lang w:eastAsia="da-DK"/>
        </w:rPr>
        <w:t>(</w:t>
      </w:r>
      <w:r w:rsidR="003E77AE" w:rsidRPr="007C5A6E">
        <w:rPr>
          <w:rFonts w:ascii="Times New Roman" w:hAnsi="Times New Roman"/>
          <w:iCs/>
          <w:sz w:val="20"/>
          <w:szCs w:val="20"/>
          <w:lang w:eastAsia="da-DK"/>
        </w:rPr>
        <w:t>Source : Etude PAEA</w:t>
      </w:r>
      <w:r w:rsidRPr="007C5A6E">
        <w:rPr>
          <w:rFonts w:ascii="Times New Roman" w:hAnsi="Times New Roman"/>
          <w:iCs/>
          <w:sz w:val="20"/>
          <w:szCs w:val="20"/>
          <w:lang w:eastAsia="da-DK"/>
        </w:rPr>
        <w:t>)</w:t>
      </w:r>
      <w:r w:rsidR="003E77AE" w:rsidRPr="007C5A6E">
        <w:rPr>
          <w:rFonts w:ascii="Times New Roman" w:hAnsi="Times New Roman"/>
          <w:iCs/>
          <w:sz w:val="20"/>
          <w:szCs w:val="20"/>
          <w:lang w:eastAsia="da-DK"/>
        </w:rPr>
        <w:t xml:space="preserve"> </w:t>
      </w:r>
    </w:p>
    <w:p w14:paraId="53B65E3A" w14:textId="6BA27AEF" w:rsidR="0005266E" w:rsidRPr="007C5A6E" w:rsidRDefault="0005266E" w:rsidP="009969E0">
      <w:pPr>
        <w:tabs>
          <w:tab w:val="left" w:pos="1134"/>
        </w:tabs>
        <w:spacing w:after="0" w:line="240" w:lineRule="auto"/>
        <w:ind w:left="1134" w:hanging="1134"/>
        <w:rPr>
          <w:rFonts w:ascii="Times New Roman" w:hAnsi="Times New Roman"/>
          <w:i/>
          <w:sz w:val="24"/>
          <w:szCs w:val="24"/>
          <w:lang w:eastAsia="da-DK"/>
        </w:rPr>
      </w:pPr>
      <w:bookmarkStart w:id="483" w:name="_Toc183230886"/>
      <w:bookmarkStart w:id="484" w:name="_Toc183240679"/>
      <w:bookmarkStart w:id="485" w:name="_Toc183340418"/>
      <w:r w:rsidRPr="007C5A6E">
        <w:rPr>
          <w:rFonts w:ascii="Times New Roman" w:hAnsi="Times New Roman"/>
          <w:i/>
          <w:sz w:val="24"/>
          <w:szCs w:val="24"/>
          <w:lang w:eastAsia="da-DK"/>
        </w:rPr>
        <w:t xml:space="preserve">Figure </w:t>
      </w:r>
      <w:r w:rsidRPr="007C5A6E">
        <w:rPr>
          <w:rFonts w:ascii="Times New Roman" w:hAnsi="Times New Roman"/>
          <w:i/>
          <w:sz w:val="24"/>
          <w:szCs w:val="24"/>
          <w:lang w:eastAsia="da-DK"/>
        </w:rPr>
        <w:fldChar w:fldCharType="begin"/>
      </w:r>
      <w:r w:rsidRPr="007C5A6E">
        <w:rPr>
          <w:rFonts w:ascii="Times New Roman" w:hAnsi="Times New Roman"/>
          <w:i/>
          <w:sz w:val="24"/>
          <w:szCs w:val="24"/>
          <w:lang w:eastAsia="da-DK"/>
        </w:rPr>
        <w:instrText xml:space="preserve"> SEQ Figure \* ARABIC </w:instrText>
      </w:r>
      <w:r w:rsidRPr="007C5A6E">
        <w:rPr>
          <w:rFonts w:ascii="Times New Roman" w:hAnsi="Times New Roman"/>
          <w:i/>
          <w:sz w:val="24"/>
          <w:szCs w:val="24"/>
          <w:lang w:eastAsia="da-DK"/>
        </w:rPr>
        <w:fldChar w:fldCharType="separate"/>
      </w:r>
      <w:r w:rsidR="00AE756D" w:rsidRPr="007C5A6E">
        <w:rPr>
          <w:rFonts w:ascii="Times New Roman" w:hAnsi="Times New Roman"/>
          <w:i/>
          <w:noProof/>
          <w:sz w:val="24"/>
          <w:szCs w:val="24"/>
          <w:lang w:eastAsia="da-DK"/>
        </w:rPr>
        <w:t>39</w:t>
      </w:r>
      <w:r w:rsidRPr="007C5A6E">
        <w:rPr>
          <w:rFonts w:ascii="Times New Roman" w:hAnsi="Times New Roman"/>
          <w:i/>
          <w:sz w:val="24"/>
          <w:szCs w:val="24"/>
          <w:lang w:eastAsia="da-DK"/>
        </w:rPr>
        <w:fldChar w:fldCharType="end"/>
      </w:r>
      <w:r w:rsidR="0050608A" w:rsidRPr="007C5A6E">
        <w:rPr>
          <w:rFonts w:ascii="Times New Roman" w:hAnsi="Times New Roman"/>
          <w:i/>
          <w:sz w:val="24"/>
          <w:szCs w:val="24"/>
          <w:lang w:eastAsia="da-DK"/>
        </w:rPr>
        <w:t>.</w:t>
      </w:r>
      <w:r w:rsidRPr="007C5A6E">
        <w:rPr>
          <w:rFonts w:ascii="Times New Roman" w:hAnsi="Times New Roman"/>
          <w:i/>
          <w:sz w:val="24"/>
          <w:szCs w:val="24"/>
          <w:lang w:eastAsia="da-DK"/>
        </w:rPr>
        <w:t xml:space="preserve">  Cartographie de la turbidité des eaux de surface du fleuve Mouhoun</w:t>
      </w:r>
      <w:bookmarkEnd w:id="482"/>
      <w:bookmarkEnd w:id="483"/>
      <w:bookmarkEnd w:id="484"/>
      <w:bookmarkEnd w:id="485"/>
    </w:p>
    <w:p w14:paraId="13799E71" w14:textId="77777777" w:rsidR="003E77AE" w:rsidRPr="007C5A6E" w:rsidRDefault="003E77AE" w:rsidP="009969E0">
      <w:pPr>
        <w:tabs>
          <w:tab w:val="left" w:pos="1134"/>
        </w:tabs>
        <w:spacing w:after="0" w:line="240" w:lineRule="auto"/>
        <w:rPr>
          <w:rFonts w:ascii="Times New Roman" w:eastAsia="Calibri" w:hAnsi="Times New Roman"/>
          <w:i/>
          <w:sz w:val="20"/>
          <w:szCs w:val="20"/>
          <w:lang w:eastAsia="en-US"/>
        </w:rPr>
      </w:pPr>
    </w:p>
    <w:p w14:paraId="03001B4E" w14:textId="04F5C8D8" w:rsidR="003E77AE" w:rsidRPr="007C5A6E" w:rsidRDefault="003E77AE" w:rsidP="009969E0">
      <w:pPr>
        <w:shd w:val="clear" w:color="auto" w:fill="D0CECE" w:themeFill="background2" w:themeFillShade="E6"/>
        <w:spacing w:after="0" w:line="240" w:lineRule="auto"/>
        <w:jc w:val="both"/>
        <w:rPr>
          <w:rFonts w:ascii="Times New Roman" w:hAnsi="Times New Roman"/>
          <w:i/>
          <w:iCs/>
        </w:rPr>
      </w:pPr>
      <w:r w:rsidRPr="007C5A6E">
        <w:rPr>
          <w:rFonts w:ascii="Times New Roman" w:hAnsi="Times New Roman"/>
          <w:i/>
          <w:iCs/>
        </w:rPr>
        <w:t xml:space="preserve">A l’exception des eaux de surface des bassins du Mouhoun et du Nakanbé, qui ont fait l’objet d’analyse partielle récente en 2022 sur leur qualité physicochimique (T°, turbidité, pH, indice </w:t>
      </w:r>
      <w:proofErr w:type="spellStart"/>
      <w:r w:rsidRPr="007C5A6E">
        <w:rPr>
          <w:rFonts w:ascii="Times New Roman" w:hAnsi="Times New Roman"/>
          <w:i/>
          <w:iCs/>
        </w:rPr>
        <w:t>Ryznar</w:t>
      </w:r>
      <w:proofErr w:type="spellEnd"/>
      <w:r w:rsidRPr="007C5A6E">
        <w:rPr>
          <w:rFonts w:ascii="Times New Roman" w:hAnsi="Times New Roman"/>
          <w:i/>
          <w:iCs/>
        </w:rPr>
        <w:t xml:space="preserve"> pour l’agressivité, conductivité électrique), l’état des ressources en eau souterraine et de surface à l’échelle du territoire national, n’a pas fait l’objet d’évaluation généralisée de la plupart des indicateurs. Cette situation résulte du non apport de réponses appropriées, organisées, systématisées et régulières sur les ressources en eau à l’échelle du pays tout entier, les mesures ne se faisant qu’au gré des circonstances de projets notamment.</w:t>
      </w:r>
    </w:p>
    <w:p w14:paraId="26A41CE4" w14:textId="77777777" w:rsidR="003E77AE" w:rsidRPr="007C5A6E" w:rsidRDefault="003E77AE" w:rsidP="009969E0">
      <w:pPr>
        <w:tabs>
          <w:tab w:val="left" w:pos="1134"/>
        </w:tabs>
        <w:spacing w:after="0" w:line="240" w:lineRule="auto"/>
        <w:rPr>
          <w:rFonts w:ascii="Times New Roman" w:eastAsia="Calibri" w:hAnsi="Times New Roman"/>
          <w:i/>
          <w:sz w:val="20"/>
          <w:szCs w:val="20"/>
          <w:lang w:eastAsia="en-US"/>
        </w:rPr>
      </w:pPr>
    </w:p>
    <w:p w14:paraId="62134126" w14:textId="236C2AC3" w:rsidR="0005266E" w:rsidRPr="007C5A6E" w:rsidRDefault="00643AF0" w:rsidP="009969E0">
      <w:pPr>
        <w:pStyle w:val="Titre3"/>
        <w:keepNext w:val="0"/>
        <w:keepLines w:val="0"/>
      </w:pPr>
      <w:bookmarkStart w:id="486" w:name="_Toc182606037"/>
      <w:bookmarkStart w:id="487" w:name="_Toc183340094"/>
      <w:r w:rsidRPr="007C5A6E">
        <w:t>État</w:t>
      </w:r>
      <w:r w:rsidR="0005266E" w:rsidRPr="007C5A6E">
        <w:t xml:space="preserve"> des déficits pluviométriques et des ressources en eau renouvelables</w:t>
      </w:r>
      <w:bookmarkEnd w:id="486"/>
      <w:bookmarkEnd w:id="487"/>
    </w:p>
    <w:p w14:paraId="6D856BFF" w14:textId="77777777" w:rsidR="003E77AE" w:rsidRPr="007C5A6E" w:rsidRDefault="003E77AE" w:rsidP="009969E0">
      <w:pPr>
        <w:spacing w:after="0" w:line="240" w:lineRule="auto"/>
        <w:rPr>
          <w:rFonts w:ascii="Times New Roman" w:eastAsia="Calibri" w:hAnsi="Times New Roman"/>
          <w:sz w:val="24"/>
          <w:szCs w:val="24"/>
          <w:lang w:eastAsia="en-US"/>
        </w:rPr>
      </w:pPr>
    </w:p>
    <w:p w14:paraId="17B73C5B" w14:textId="77777777" w:rsidR="0005266E" w:rsidRPr="007C5A6E" w:rsidRDefault="0005266E" w:rsidP="00684FF8">
      <w:pPr>
        <w:pStyle w:val="Titre4"/>
      </w:pPr>
      <w:bookmarkStart w:id="488" w:name="_Toc182606038"/>
      <w:bookmarkStart w:id="489" w:name="_Toc183340095"/>
      <w:r w:rsidRPr="007C5A6E">
        <w:t>Etat des déficits pluviométriques</w:t>
      </w:r>
      <w:bookmarkEnd w:id="488"/>
      <w:bookmarkEnd w:id="489"/>
    </w:p>
    <w:p w14:paraId="20E4BD0C" w14:textId="77777777" w:rsidR="003E77AE" w:rsidRPr="007C5A6E" w:rsidRDefault="003E77AE" w:rsidP="009969E0">
      <w:pPr>
        <w:spacing w:after="0" w:line="240" w:lineRule="auto"/>
        <w:jc w:val="both"/>
        <w:rPr>
          <w:rFonts w:ascii="Times New Roman" w:eastAsia="Calibri" w:hAnsi="Times New Roman"/>
          <w:sz w:val="24"/>
          <w:szCs w:val="24"/>
          <w:lang w:eastAsia="en-US"/>
        </w:rPr>
      </w:pPr>
    </w:p>
    <w:p w14:paraId="6B93289A" w14:textId="142D1754" w:rsidR="0005266E" w:rsidRPr="007C5A6E" w:rsidRDefault="0005266E" w:rsidP="009969E0">
      <w:pPr>
        <w:spacing w:after="0" w:line="240" w:lineRule="auto"/>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Les valeurs moyennes de la pluviométrie annuelles sont estimées à</w:t>
      </w:r>
    </w:p>
    <w:p w14:paraId="078988F8" w14:textId="77777777" w:rsidR="0005266E" w:rsidRPr="007C5A6E" w:rsidRDefault="0005266E" w:rsidP="003F3821">
      <w:pPr>
        <w:numPr>
          <w:ilvl w:val="0"/>
          <w:numId w:val="14"/>
        </w:numPr>
        <w:spacing w:after="0" w:line="240" w:lineRule="auto"/>
        <w:contextualSpacing/>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300 à 600 mm en zone sahélienne</w:t>
      </w:r>
    </w:p>
    <w:p w14:paraId="425850A9" w14:textId="77777777" w:rsidR="0005266E" w:rsidRPr="007C5A6E" w:rsidRDefault="0005266E" w:rsidP="003F3821">
      <w:pPr>
        <w:numPr>
          <w:ilvl w:val="0"/>
          <w:numId w:val="14"/>
        </w:numPr>
        <w:spacing w:after="0" w:line="240" w:lineRule="auto"/>
        <w:contextualSpacing/>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 xml:space="preserve">600 à 900 mm en zone soudano-sahélienne </w:t>
      </w:r>
    </w:p>
    <w:p w14:paraId="511B3092" w14:textId="77777777" w:rsidR="0005266E" w:rsidRPr="007C5A6E" w:rsidRDefault="0005266E" w:rsidP="003F3821">
      <w:pPr>
        <w:numPr>
          <w:ilvl w:val="0"/>
          <w:numId w:val="14"/>
        </w:numPr>
        <w:spacing w:after="0" w:line="240" w:lineRule="auto"/>
        <w:contextualSpacing/>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900 à 1200 mm en zone soudanienne</w:t>
      </w:r>
    </w:p>
    <w:p w14:paraId="1B232E54" w14:textId="51305977" w:rsidR="0005266E" w:rsidRPr="007C5A6E" w:rsidRDefault="0005266E" w:rsidP="009969E0">
      <w:pPr>
        <w:spacing w:after="0" w:line="240" w:lineRule="auto"/>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En considérant les moyennes de la plage de valeurs de chaque zone climatique, on peut dire que depuis ou après 2015, toutes les zones climatiques du pays sont en situation pluviométrique excédentaire tout au moins pour les villes de Dori, Ouagadougou et de Bobo Dioulasso (cf.</w:t>
      </w:r>
      <w:r w:rsidR="003E77AE" w:rsidRPr="007C5A6E">
        <w:rPr>
          <w:rFonts w:ascii="Times New Roman" w:eastAsia="Calibri" w:hAnsi="Times New Roman"/>
          <w:sz w:val="24"/>
          <w:szCs w:val="24"/>
          <w:lang w:eastAsia="en-US"/>
        </w:rPr>
        <w:t xml:space="preserve"> section 2.1). </w:t>
      </w:r>
      <w:r w:rsidRPr="007C5A6E">
        <w:rPr>
          <w:rFonts w:ascii="Times New Roman" w:eastAsia="Calibri" w:hAnsi="Times New Roman"/>
          <w:sz w:val="24"/>
          <w:szCs w:val="24"/>
          <w:lang w:eastAsia="en-US"/>
        </w:rPr>
        <w:t xml:space="preserve"> </w:t>
      </w:r>
    </w:p>
    <w:p w14:paraId="2CF4B3C4" w14:textId="77777777" w:rsidR="0044787D" w:rsidRPr="007C5A6E" w:rsidRDefault="0044787D" w:rsidP="009969E0">
      <w:pPr>
        <w:spacing w:after="0" w:line="240" w:lineRule="auto"/>
        <w:jc w:val="both"/>
        <w:rPr>
          <w:rFonts w:ascii="Times New Roman" w:eastAsia="Calibri" w:hAnsi="Times New Roman"/>
          <w:sz w:val="24"/>
          <w:szCs w:val="24"/>
          <w:lang w:eastAsia="en-US"/>
        </w:rPr>
      </w:pPr>
    </w:p>
    <w:p w14:paraId="3340DEA1" w14:textId="77777777" w:rsidR="0005266E" w:rsidRPr="007C5A6E" w:rsidRDefault="0005266E" w:rsidP="00684FF8">
      <w:pPr>
        <w:pStyle w:val="Titre4"/>
      </w:pPr>
      <w:bookmarkStart w:id="490" w:name="_Toc182606039"/>
      <w:bookmarkStart w:id="491" w:name="_Toc183340096"/>
      <w:r w:rsidRPr="007C5A6E">
        <w:t>Etat des ressources en eau renouvelables</w:t>
      </w:r>
      <w:bookmarkEnd w:id="490"/>
      <w:bookmarkEnd w:id="491"/>
    </w:p>
    <w:p w14:paraId="35D03D94" w14:textId="77777777" w:rsidR="003E77AE" w:rsidRPr="007C5A6E" w:rsidRDefault="003E77AE" w:rsidP="009969E0">
      <w:pPr>
        <w:spacing w:after="0" w:line="240" w:lineRule="auto"/>
        <w:jc w:val="both"/>
        <w:rPr>
          <w:rFonts w:ascii="Times New Roman" w:hAnsi="Times New Roman"/>
          <w:sz w:val="24"/>
          <w:szCs w:val="24"/>
        </w:rPr>
      </w:pPr>
    </w:p>
    <w:p w14:paraId="5AA99A68" w14:textId="6FC89F59" w:rsidR="0005266E" w:rsidRPr="007C5A6E" w:rsidRDefault="0005266E" w:rsidP="0044787D">
      <w:pPr>
        <w:spacing w:after="0" w:line="240" w:lineRule="auto"/>
        <w:jc w:val="both"/>
        <w:rPr>
          <w:rFonts w:ascii="Times New Roman" w:hAnsi="Times New Roman"/>
          <w:sz w:val="24"/>
          <w:szCs w:val="24"/>
        </w:rPr>
      </w:pPr>
      <w:r w:rsidRPr="007C5A6E">
        <w:rPr>
          <w:rFonts w:ascii="Times New Roman" w:hAnsi="Times New Roman"/>
          <w:sz w:val="24"/>
          <w:szCs w:val="24"/>
        </w:rPr>
        <w:t xml:space="preserve">Les ressources en eau renouvelables sont celles générées annuellement par les pluies, les écoulements et les infiltrations des eaux pluviales. Si la mesure de la pluviométrie est aisément faite à travers les réseaux météorologiques, celle par contre des infiltrations et des écoulements sont plus complexes car </w:t>
      </w:r>
      <w:r w:rsidR="009255ED" w:rsidRPr="007C5A6E">
        <w:rPr>
          <w:rFonts w:ascii="Times New Roman" w:hAnsi="Times New Roman"/>
          <w:sz w:val="24"/>
          <w:szCs w:val="24"/>
        </w:rPr>
        <w:t xml:space="preserve">elles </w:t>
      </w:r>
      <w:r w:rsidRPr="007C5A6E">
        <w:rPr>
          <w:rFonts w:ascii="Times New Roman" w:hAnsi="Times New Roman"/>
          <w:sz w:val="24"/>
          <w:szCs w:val="24"/>
        </w:rPr>
        <w:t>se font à partir de coefficients variables dans le temps et l’espace.</w:t>
      </w:r>
    </w:p>
    <w:p w14:paraId="37957268" w14:textId="77777777" w:rsidR="0005266E" w:rsidRPr="007C5A6E" w:rsidRDefault="0005266E" w:rsidP="0044787D">
      <w:pPr>
        <w:spacing w:after="0" w:line="240" w:lineRule="auto"/>
        <w:jc w:val="both"/>
        <w:rPr>
          <w:rFonts w:ascii="Times New Roman" w:hAnsi="Times New Roman"/>
          <w:sz w:val="24"/>
          <w:szCs w:val="24"/>
        </w:rPr>
      </w:pPr>
      <w:r w:rsidRPr="007C5A6E">
        <w:rPr>
          <w:rFonts w:ascii="Times New Roman" w:hAnsi="Times New Roman"/>
          <w:sz w:val="24"/>
          <w:szCs w:val="24"/>
        </w:rPr>
        <w:t>Pour l’ensemble des 4 bassins versants nationaux, on peut noter les valeurs suivantes d’après l’étude PAEA - DGRE :</w:t>
      </w:r>
    </w:p>
    <w:p w14:paraId="7B52C576" w14:textId="77777777" w:rsidR="0005266E" w:rsidRPr="007C5A6E" w:rsidRDefault="0005266E" w:rsidP="003F3821">
      <w:pPr>
        <w:numPr>
          <w:ilvl w:val="0"/>
          <w:numId w:val="20"/>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Volume interannuel (1955 à 2019)</w:t>
      </w:r>
      <w:r w:rsidRPr="007C5A6E">
        <w:rPr>
          <w:rFonts w:ascii="Times New Roman" w:hAnsi="Times New Roman"/>
          <w:sz w:val="18"/>
          <w:szCs w:val="18"/>
        </w:rPr>
        <w:t xml:space="preserve"> </w:t>
      </w:r>
      <w:r w:rsidRPr="007C5A6E">
        <w:rPr>
          <w:rFonts w:ascii="Times New Roman" w:hAnsi="Times New Roman"/>
          <w:sz w:val="24"/>
          <w:szCs w:val="24"/>
        </w:rPr>
        <w:t>de pluie, reçu : 211 112 hm3 (211,1 milliards de m3)</w:t>
      </w:r>
    </w:p>
    <w:p w14:paraId="316E3D39" w14:textId="77777777" w:rsidR="0005266E" w:rsidRPr="007C5A6E" w:rsidRDefault="0005266E" w:rsidP="003F3821">
      <w:pPr>
        <w:numPr>
          <w:ilvl w:val="0"/>
          <w:numId w:val="20"/>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Ecoulement interannuel (1955 à 2019) : 13 874 hm3 (13,87 milliards de m3)</w:t>
      </w:r>
    </w:p>
    <w:p w14:paraId="6D2F8933" w14:textId="77777777" w:rsidR="0005266E" w:rsidRPr="007C5A6E" w:rsidRDefault="0005266E" w:rsidP="003F3821">
      <w:pPr>
        <w:numPr>
          <w:ilvl w:val="0"/>
          <w:numId w:val="20"/>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Capacité de stockage des retenues au plan d’eau normal (PEN) : 6 596 hm3 (6,59 milliards de m3)</w:t>
      </w:r>
    </w:p>
    <w:p w14:paraId="53AF4D08" w14:textId="77777777" w:rsidR="0005266E" w:rsidRPr="007C5A6E" w:rsidRDefault="0005266E" w:rsidP="003F3821">
      <w:pPr>
        <w:numPr>
          <w:ilvl w:val="0"/>
          <w:numId w:val="20"/>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 xml:space="preserve">Infiltration : </w:t>
      </w:r>
      <w:bookmarkStart w:id="492" w:name="_Hlk178000217"/>
      <w:r w:rsidRPr="007C5A6E">
        <w:rPr>
          <w:rFonts w:ascii="Times New Roman" w:hAnsi="Times New Roman"/>
          <w:sz w:val="24"/>
          <w:szCs w:val="24"/>
        </w:rPr>
        <w:t xml:space="preserve">24 200 </w:t>
      </w:r>
      <w:bookmarkEnd w:id="492"/>
      <w:r w:rsidRPr="007C5A6E">
        <w:rPr>
          <w:rFonts w:ascii="Times New Roman" w:hAnsi="Times New Roman"/>
          <w:sz w:val="24"/>
          <w:szCs w:val="24"/>
        </w:rPr>
        <w:t>hm3 (24,2 milliards de m3)</w:t>
      </w:r>
    </w:p>
    <w:p w14:paraId="072B0E24" w14:textId="77777777" w:rsidR="0005266E" w:rsidRPr="007C5A6E" w:rsidRDefault="0005266E" w:rsidP="003F3821">
      <w:pPr>
        <w:numPr>
          <w:ilvl w:val="0"/>
          <w:numId w:val="20"/>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Recharge moyenne des nappes : 2 929 hm3 (2,929 milliards de m3) pour les seuls bassins de la Comoé et du Mouhoun</w:t>
      </w:r>
    </w:p>
    <w:p w14:paraId="19CA3394" w14:textId="77777777" w:rsidR="0005266E" w:rsidRPr="007C5A6E" w:rsidRDefault="0005266E" w:rsidP="003F3821">
      <w:pPr>
        <w:numPr>
          <w:ilvl w:val="0"/>
          <w:numId w:val="20"/>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Volume d’eau écoulés aux sorties du pays :  13 864 hm3 (13,86 milliards de m3).</w:t>
      </w:r>
    </w:p>
    <w:p w14:paraId="148FB241" w14:textId="77777777" w:rsidR="009969E0" w:rsidRPr="007C5A6E" w:rsidRDefault="009969E0" w:rsidP="0044787D">
      <w:pPr>
        <w:spacing w:after="0" w:line="240" w:lineRule="auto"/>
        <w:jc w:val="both"/>
        <w:rPr>
          <w:rFonts w:ascii="Times New Roman" w:hAnsi="Times New Roman"/>
          <w:sz w:val="24"/>
          <w:szCs w:val="24"/>
        </w:rPr>
      </w:pPr>
    </w:p>
    <w:p w14:paraId="7D296697" w14:textId="1404A82F" w:rsidR="0005266E" w:rsidRPr="007C5A6E" w:rsidRDefault="0005266E" w:rsidP="0044787D">
      <w:pPr>
        <w:spacing w:after="0" w:line="240" w:lineRule="auto"/>
        <w:jc w:val="both"/>
        <w:rPr>
          <w:rFonts w:ascii="Times New Roman" w:hAnsi="Times New Roman"/>
          <w:sz w:val="24"/>
          <w:szCs w:val="24"/>
        </w:rPr>
      </w:pPr>
      <w:r w:rsidRPr="007C5A6E">
        <w:rPr>
          <w:rFonts w:ascii="Times New Roman" w:hAnsi="Times New Roman"/>
          <w:sz w:val="24"/>
          <w:szCs w:val="24"/>
        </w:rPr>
        <w:t xml:space="preserve">Le tableau </w:t>
      </w:r>
      <w:r w:rsidR="009969E0" w:rsidRPr="007C5A6E">
        <w:rPr>
          <w:rFonts w:ascii="Times New Roman" w:hAnsi="Times New Roman"/>
          <w:sz w:val="24"/>
          <w:szCs w:val="24"/>
        </w:rPr>
        <w:t>1</w:t>
      </w:r>
      <w:r w:rsidR="00BF70FF" w:rsidRPr="007C5A6E">
        <w:rPr>
          <w:rFonts w:ascii="Times New Roman" w:hAnsi="Times New Roman"/>
          <w:sz w:val="24"/>
          <w:szCs w:val="24"/>
        </w:rPr>
        <w:t>3</w:t>
      </w:r>
      <w:r w:rsidR="009969E0" w:rsidRPr="007C5A6E">
        <w:rPr>
          <w:rFonts w:ascii="Times New Roman" w:hAnsi="Times New Roman"/>
          <w:sz w:val="24"/>
          <w:szCs w:val="24"/>
        </w:rPr>
        <w:t xml:space="preserve"> </w:t>
      </w:r>
      <w:r w:rsidRPr="007C5A6E">
        <w:rPr>
          <w:rFonts w:ascii="Times New Roman" w:hAnsi="Times New Roman"/>
          <w:sz w:val="24"/>
          <w:szCs w:val="24"/>
        </w:rPr>
        <w:t>ci-après donne par bassin hydrographique national, un aperçu des valeurs moyennes interannuelles des ressources en eau renouvelables estimées.</w:t>
      </w:r>
    </w:p>
    <w:p w14:paraId="53FFE793" w14:textId="77777777" w:rsidR="009969E0" w:rsidRPr="007C5A6E" w:rsidRDefault="009969E0" w:rsidP="0044787D">
      <w:pPr>
        <w:tabs>
          <w:tab w:val="left" w:pos="1134"/>
        </w:tabs>
        <w:spacing w:after="0" w:line="240" w:lineRule="auto"/>
        <w:ind w:left="1134" w:hanging="1134"/>
        <w:rPr>
          <w:rFonts w:ascii="Times New Roman" w:hAnsi="Times New Roman"/>
          <w:i/>
          <w:sz w:val="24"/>
          <w:szCs w:val="24"/>
          <w:lang w:eastAsia="da-DK"/>
        </w:rPr>
      </w:pPr>
      <w:bookmarkStart w:id="493" w:name="_Toc182605860"/>
    </w:p>
    <w:p w14:paraId="04993E77" w14:textId="36F3DCC1" w:rsidR="0005266E" w:rsidRPr="007C5A6E" w:rsidRDefault="0005266E" w:rsidP="0044787D">
      <w:pPr>
        <w:tabs>
          <w:tab w:val="left" w:pos="1134"/>
        </w:tabs>
        <w:spacing w:after="0" w:line="240" w:lineRule="auto"/>
        <w:ind w:left="1134" w:hanging="1134"/>
        <w:rPr>
          <w:rFonts w:ascii="Times New Roman" w:hAnsi="Times New Roman"/>
          <w:iCs/>
          <w:sz w:val="24"/>
          <w:szCs w:val="24"/>
          <w:lang w:eastAsia="da-DK"/>
        </w:rPr>
      </w:pPr>
      <w:bookmarkStart w:id="494" w:name="_Toc183240975"/>
      <w:bookmarkStart w:id="495" w:name="_Toc183292217"/>
      <w:bookmarkStart w:id="496" w:name="_Toc183340497"/>
      <w:r w:rsidRPr="007C5A6E">
        <w:rPr>
          <w:rFonts w:ascii="Times New Roman" w:hAnsi="Times New Roman"/>
          <w:iCs/>
          <w:sz w:val="24"/>
          <w:szCs w:val="24"/>
          <w:lang w:eastAsia="da-DK"/>
        </w:rPr>
        <w:t xml:space="preserve">Tableau </w:t>
      </w:r>
      <w:r w:rsidRPr="007C5A6E">
        <w:rPr>
          <w:rFonts w:ascii="Times New Roman" w:hAnsi="Times New Roman"/>
          <w:iCs/>
          <w:sz w:val="24"/>
          <w:szCs w:val="24"/>
          <w:lang w:eastAsia="da-DK"/>
        </w:rPr>
        <w:fldChar w:fldCharType="begin"/>
      </w:r>
      <w:r w:rsidRPr="007C5A6E">
        <w:rPr>
          <w:rFonts w:ascii="Times New Roman" w:hAnsi="Times New Roman"/>
          <w:iCs/>
          <w:sz w:val="24"/>
          <w:szCs w:val="24"/>
          <w:lang w:eastAsia="da-DK"/>
        </w:rPr>
        <w:instrText xml:space="preserve"> SEQ Tableau \* ARABIC </w:instrText>
      </w:r>
      <w:r w:rsidRPr="007C5A6E">
        <w:rPr>
          <w:rFonts w:ascii="Times New Roman" w:hAnsi="Times New Roman"/>
          <w:iCs/>
          <w:sz w:val="24"/>
          <w:szCs w:val="24"/>
          <w:lang w:eastAsia="da-DK"/>
        </w:rPr>
        <w:fldChar w:fldCharType="separate"/>
      </w:r>
      <w:r w:rsidR="00AE0C9D" w:rsidRPr="007C5A6E">
        <w:rPr>
          <w:rFonts w:ascii="Times New Roman" w:hAnsi="Times New Roman"/>
          <w:iCs/>
          <w:noProof/>
          <w:sz w:val="24"/>
          <w:szCs w:val="24"/>
          <w:lang w:eastAsia="da-DK"/>
        </w:rPr>
        <w:t>13</w:t>
      </w:r>
      <w:r w:rsidRPr="007C5A6E">
        <w:rPr>
          <w:rFonts w:ascii="Times New Roman" w:hAnsi="Times New Roman"/>
          <w:iCs/>
          <w:sz w:val="24"/>
          <w:szCs w:val="24"/>
          <w:lang w:eastAsia="da-DK"/>
        </w:rPr>
        <w:fldChar w:fldCharType="end"/>
      </w:r>
      <w:r w:rsidR="00BF70FF" w:rsidRPr="007C5A6E">
        <w:rPr>
          <w:rFonts w:ascii="Times New Roman" w:hAnsi="Times New Roman"/>
          <w:iCs/>
          <w:sz w:val="24"/>
          <w:szCs w:val="24"/>
          <w:lang w:eastAsia="da-DK"/>
        </w:rPr>
        <w:t xml:space="preserve"> </w:t>
      </w:r>
      <w:r w:rsidRPr="007C5A6E">
        <w:rPr>
          <w:rFonts w:ascii="Times New Roman" w:hAnsi="Times New Roman"/>
          <w:iCs/>
          <w:sz w:val="24"/>
          <w:szCs w:val="24"/>
          <w:lang w:eastAsia="da-DK"/>
        </w:rPr>
        <w:t xml:space="preserve">: </w:t>
      </w:r>
      <w:r w:rsidR="009969E0" w:rsidRPr="007C5A6E">
        <w:rPr>
          <w:rFonts w:ascii="Times New Roman" w:hAnsi="Times New Roman"/>
          <w:iCs/>
          <w:sz w:val="24"/>
          <w:szCs w:val="24"/>
          <w:lang w:eastAsia="da-DK"/>
        </w:rPr>
        <w:t>Etat</w:t>
      </w:r>
      <w:r w:rsidRPr="007C5A6E">
        <w:rPr>
          <w:rFonts w:ascii="Times New Roman" w:hAnsi="Times New Roman"/>
          <w:iCs/>
          <w:sz w:val="24"/>
          <w:szCs w:val="24"/>
          <w:lang w:eastAsia="da-DK"/>
        </w:rPr>
        <w:t xml:space="preserve"> des ressources en eau renouvelables</w:t>
      </w:r>
      <w:bookmarkEnd w:id="493"/>
      <w:r w:rsidR="009969E0" w:rsidRPr="007C5A6E">
        <w:rPr>
          <w:rFonts w:ascii="Times New Roman" w:hAnsi="Times New Roman"/>
          <w:iCs/>
          <w:sz w:val="24"/>
          <w:szCs w:val="24"/>
          <w:lang w:eastAsia="da-DK"/>
        </w:rPr>
        <w:t xml:space="preserve"> du Burkina Faso en 2022</w:t>
      </w:r>
      <w:bookmarkEnd w:id="494"/>
      <w:bookmarkEnd w:id="495"/>
      <w:bookmarkEnd w:id="496"/>
    </w:p>
    <w:tbl>
      <w:tblPr>
        <w:tblW w:w="9686" w:type="dxa"/>
        <w:tblCellMar>
          <w:left w:w="70" w:type="dxa"/>
          <w:right w:w="70" w:type="dxa"/>
        </w:tblCellMar>
        <w:tblLook w:val="04A0" w:firstRow="1" w:lastRow="0" w:firstColumn="1" w:lastColumn="0" w:noHBand="0" w:noVBand="1"/>
      </w:tblPr>
      <w:tblGrid>
        <w:gridCol w:w="1530"/>
        <w:gridCol w:w="1276"/>
        <w:gridCol w:w="1246"/>
        <w:gridCol w:w="972"/>
        <w:gridCol w:w="1134"/>
        <w:gridCol w:w="1085"/>
        <w:gridCol w:w="1115"/>
        <w:gridCol w:w="1328"/>
      </w:tblGrid>
      <w:tr w:rsidR="0044787D" w:rsidRPr="007C5A6E" w14:paraId="33E043EB" w14:textId="77777777" w:rsidTr="0044787D">
        <w:trPr>
          <w:trHeight w:val="1240"/>
        </w:trPr>
        <w:tc>
          <w:tcPr>
            <w:tcW w:w="153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5FE12E8" w14:textId="77777777" w:rsidR="0005266E" w:rsidRPr="007C5A6E" w:rsidRDefault="0005266E" w:rsidP="0044787D">
            <w:pPr>
              <w:spacing w:after="0" w:line="240" w:lineRule="auto"/>
              <w:jc w:val="both"/>
              <w:rPr>
                <w:rFonts w:ascii="Times New Roman" w:hAnsi="Times New Roman"/>
                <w:b/>
                <w:bCs/>
                <w:sz w:val="20"/>
                <w:szCs w:val="20"/>
              </w:rPr>
            </w:pPr>
            <w:r w:rsidRPr="007C5A6E">
              <w:rPr>
                <w:rFonts w:ascii="Times New Roman" w:hAnsi="Times New Roman"/>
                <w:b/>
                <w:bCs/>
                <w:sz w:val="20"/>
                <w:szCs w:val="20"/>
              </w:rPr>
              <w:t>Bassin hydrographique</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7F28002E" w14:textId="77777777" w:rsidR="0005266E" w:rsidRPr="007C5A6E" w:rsidRDefault="0005266E" w:rsidP="0044787D">
            <w:pPr>
              <w:spacing w:after="0" w:line="240" w:lineRule="auto"/>
              <w:jc w:val="both"/>
              <w:rPr>
                <w:rFonts w:ascii="Times New Roman" w:hAnsi="Times New Roman"/>
                <w:b/>
                <w:bCs/>
                <w:sz w:val="20"/>
                <w:szCs w:val="20"/>
              </w:rPr>
            </w:pPr>
            <w:r w:rsidRPr="007C5A6E">
              <w:rPr>
                <w:rFonts w:ascii="Times New Roman" w:hAnsi="Times New Roman"/>
                <w:b/>
                <w:bCs/>
                <w:sz w:val="20"/>
                <w:szCs w:val="20"/>
              </w:rPr>
              <w:t>Superficie bassin versant (km²)</w:t>
            </w:r>
          </w:p>
        </w:tc>
        <w:tc>
          <w:tcPr>
            <w:tcW w:w="1246" w:type="dxa"/>
            <w:tcBorders>
              <w:top w:val="single" w:sz="4" w:space="0" w:color="auto"/>
              <w:left w:val="nil"/>
              <w:bottom w:val="single" w:sz="4" w:space="0" w:color="auto"/>
              <w:right w:val="single" w:sz="4" w:space="0" w:color="auto"/>
            </w:tcBorders>
            <w:shd w:val="clear" w:color="auto" w:fill="002060"/>
            <w:vAlign w:val="center"/>
            <w:hideMark/>
          </w:tcPr>
          <w:p w14:paraId="3C9BE3DD" w14:textId="77777777" w:rsidR="0005266E" w:rsidRPr="007C5A6E" w:rsidRDefault="0005266E" w:rsidP="0044787D">
            <w:pPr>
              <w:spacing w:after="0" w:line="240" w:lineRule="auto"/>
              <w:jc w:val="both"/>
              <w:rPr>
                <w:rFonts w:ascii="Times New Roman" w:hAnsi="Times New Roman"/>
                <w:sz w:val="20"/>
                <w:szCs w:val="20"/>
              </w:rPr>
            </w:pPr>
            <w:r w:rsidRPr="007C5A6E">
              <w:rPr>
                <w:rFonts w:ascii="Times New Roman" w:hAnsi="Times New Roman"/>
                <w:sz w:val="20"/>
                <w:szCs w:val="20"/>
              </w:rPr>
              <w:t>Pluie interannuelle (1955 à 2019) reçue/an (hm3)</w:t>
            </w:r>
          </w:p>
        </w:tc>
        <w:tc>
          <w:tcPr>
            <w:tcW w:w="972" w:type="dxa"/>
            <w:tcBorders>
              <w:top w:val="single" w:sz="4" w:space="0" w:color="auto"/>
              <w:left w:val="nil"/>
              <w:bottom w:val="single" w:sz="4" w:space="0" w:color="auto"/>
              <w:right w:val="single" w:sz="4" w:space="0" w:color="auto"/>
            </w:tcBorders>
            <w:shd w:val="clear" w:color="auto" w:fill="002060"/>
            <w:vAlign w:val="center"/>
            <w:hideMark/>
          </w:tcPr>
          <w:p w14:paraId="43817891" w14:textId="77777777" w:rsidR="0005266E" w:rsidRPr="007C5A6E" w:rsidRDefault="0005266E" w:rsidP="0044787D">
            <w:pPr>
              <w:spacing w:after="0" w:line="240" w:lineRule="auto"/>
              <w:jc w:val="both"/>
              <w:rPr>
                <w:rFonts w:ascii="Times New Roman" w:hAnsi="Times New Roman"/>
                <w:sz w:val="20"/>
                <w:szCs w:val="20"/>
              </w:rPr>
            </w:pPr>
            <w:r w:rsidRPr="007C5A6E">
              <w:rPr>
                <w:rFonts w:ascii="Times New Roman" w:hAnsi="Times New Roman"/>
                <w:sz w:val="20"/>
                <w:szCs w:val="20"/>
              </w:rPr>
              <w:t>Capacité au PEN (hm3)</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58FB2000" w14:textId="77777777" w:rsidR="0005266E" w:rsidRPr="007C5A6E" w:rsidRDefault="0005266E" w:rsidP="0044787D">
            <w:pPr>
              <w:spacing w:after="0" w:line="240" w:lineRule="auto"/>
              <w:rPr>
                <w:rFonts w:ascii="Times New Roman" w:hAnsi="Times New Roman"/>
                <w:sz w:val="20"/>
                <w:szCs w:val="20"/>
              </w:rPr>
            </w:pPr>
            <w:r w:rsidRPr="007C5A6E">
              <w:rPr>
                <w:rFonts w:ascii="Times New Roman" w:hAnsi="Times New Roman"/>
                <w:sz w:val="20"/>
                <w:szCs w:val="20"/>
              </w:rPr>
              <w:t>Ecoulement interannuel (1955 à 2019) (hm3)</w:t>
            </w:r>
          </w:p>
        </w:tc>
        <w:tc>
          <w:tcPr>
            <w:tcW w:w="1085" w:type="dxa"/>
            <w:tcBorders>
              <w:top w:val="single" w:sz="4" w:space="0" w:color="auto"/>
              <w:left w:val="nil"/>
              <w:bottom w:val="single" w:sz="4" w:space="0" w:color="auto"/>
              <w:right w:val="single" w:sz="4" w:space="0" w:color="auto"/>
            </w:tcBorders>
            <w:shd w:val="clear" w:color="auto" w:fill="002060"/>
            <w:vAlign w:val="center"/>
            <w:hideMark/>
          </w:tcPr>
          <w:p w14:paraId="35078B39" w14:textId="77777777" w:rsidR="0005266E" w:rsidRPr="007C5A6E" w:rsidRDefault="0005266E" w:rsidP="0044787D">
            <w:pPr>
              <w:spacing w:after="0" w:line="240" w:lineRule="auto"/>
              <w:jc w:val="both"/>
              <w:rPr>
                <w:rFonts w:ascii="Times New Roman" w:hAnsi="Times New Roman"/>
                <w:sz w:val="20"/>
                <w:szCs w:val="20"/>
              </w:rPr>
            </w:pPr>
            <w:r w:rsidRPr="007C5A6E">
              <w:rPr>
                <w:rFonts w:ascii="Times New Roman" w:hAnsi="Times New Roman"/>
                <w:sz w:val="20"/>
                <w:szCs w:val="20"/>
              </w:rPr>
              <w:t>Infiltrations (hm3)</w:t>
            </w:r>
          </w:p>
        </w:tc>
        <w:tc>
          <w:tcPr>
            <w:tcW w:w="1115" w:type="dxa"/>
            <w:tcBorders>
              <w:top w:val="single" w:sz="4" w:space="0" w:color="auto"/>
              <w:left w:val="nil"/>
              <w:bottom w:val="single" w:sz="4" w:space="0" w:color="auto"/>
              <w:right w:val="single" w:sz="4" w:space="0" w:color="auto"/>
            </w:tcBorders>
            <w:shd w:val="clear" w:color="auto" w:fill="002060"/>
            <w:vAlign w:val="center"/>
            <w:hideMark/>
          </w:tcPr>
          <w:p w14:paraId="7D74E0C5" w14:textId="77777777" w:rsidR="0005266E" w:rsidRPr="007C5A6E" w:rsidRDefault="0005266E" w:rsidP="0044787D">
            <w:pPr>
              <w:spacing w:after="0" w:line="240" w:lineRule="auto"/>
              <w:jc w:val="both"/>
              <w:rPr>
                <w:rFonts w:ascii="Times New Roman" w:hAnsi="Times New Roman"/>
                <w:sz w:val="20"/>
                <w:szCs w:val="20"/>
              </w:rPr>
            </w:pPr>
            <w:r w:rsidRPr="007C5A6E">
              <w:rPr>
                <w:rFonts w:ascii="Times New Roman" w:hAnsi="Times New Roman"/>
                <w:sz w:val="20"/>
                <w:szCs w:val="20"/>
              </w:rPr>
              <w:t>Recharge moyenne des nappes /an (hm3)</w:t>
            </w:r>
          </w:p>
        </w:tc>
        <w:tc>
          <w:tcPr>
            <w:tcW w:w="1328" w:type="dxa"/>
            <w:tcBorders>
              <w:top w:val="single" w:sz="4" w:space="0" w:color="auto"/>
              <w:left w:val="nil"/>
              <w:bottom w:val="single" w:sz="4" w:space="0" w:color="auto"/>
              <w:right w:val="single" w:sz="4" w:space="0" w:color="auto"/>
            </w:tcBorders>
            <w:shd w:val="clear" w:color="auto" w:fill="002060"/>
            <w:vAlign w:val="center"/>
            <w:hideMark/>
          </w:tcPr>
          <w:p w14:paraId="07DFE852" w14:textId="77777777" w:rsidR="0005266E" w:rsidRPr="007C5A6E" w:rsidRDefault="0005266E" w:rsidP="0044787D">
            <w:pPr>
              <w:spacing w:after="0" w:line="240" w:lineRule="auto"/>
              <w:jc w:val="both"/>
              <w:rPr>
                <w:rFonts w:ascii="Times New Roman" w:hAnsi="Times New Roman"/>
                <w:sz w:val="20"/>
                <w:szCs w:val="20"/>
              </w:rPr>
            </w:pPr>
            <w:r w:rsidRPr="007C5A6E">
              <w:rPr>
                <w:rFonts w:ascii="Times New Roman" w:hAnsi="Times New Roman"/>
                <w:sz w:val="20"/>
                <w:szCs w:val="20"/>
              </w:rPr>
              <w:t>Restitué hors territoire national (hm3)</w:t>
            </w:r>
          </w:p>
        </w:tc>
      </w:tr>
      <w:tr w:rsidR="0005266E" w:rsidRPr="007C5A6E" w14:paraId="373DE610" w14:textId="77777777" w:rsidTr="0044787D">
        <w:trPr>
          <w:trHeight w:val="372"/>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3D9A55B4" w14:textId="77777777" w:rsidR="0005266E" w:rsidRPr="007C5A6E" w:rsidRDefault="0005266E" w:rsidP="009969E0">
            <w:pPr>
              <w:spacing w:after="0" w:line="240" w:lineRule="auto"/>
              <w:jc w:val="both"/>
              <w:rPr>
                <w:rFonts w:ascii="Times New Roman" w:hAnsi="Times New Roman"/>
                <w:sz w:val="21"/>
                <w:szCs w:val="21"/>
              </w:rPr>
            </w:pPr>
            <w:r w:rsidRPr="007C5A6E">
              <w:rPr>
                <w:rFonts w:ascii="Times New Roman" w:hAnsi="Times New Roman"/>
                <w:sz w:val="21"/>
                <w:szCs w:val="21"/>
              </w:rPr>
              <w:t xml:space="preserve">Comoé </w:t>
            </w:r>
          </w:p>
        </w:tc>
        <w:tc>
          <w:tcPr>
            <w:tcW w:w="1276" w:type="dxa"/>
            <w:tcBorders>
              <w:top w:val="nil"/>
              <w:left w:val="nil"/>
              <w:bottom w:val="single" w:sz="4" w:space="0" w:color="auto"/>
              <w:right w:val="single" w:sz="4" w:space="0" w:color="auto"/>
            </w:tcBorders>
            <w:shd w:val="clear" w:color="auto" w:fill="auto"/>
            <w:noWrap/>
            <w:vAlign w:val="center"/>
            <w:hideMark/>
          </w:tcPr>
          <w:p w14:paraId="64D6B13B"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17 620</w:t>
            </w:r>
          </w:p>
        </w:tc>
        <w:tc>
          <w:tcPr>
            <w:tcW w:w="1246" w:type="dxa"/>
            <w:tcBorders>
              <w:top w:val="nil"/>
              <w:left w:val="nil"/>
              <w:bottom w:val="single" w:sz="4" w:space="0" w:color="auto"/>
              <w:right w:val="single" w:sz="4" w:space="0" w:color="auto"/>
            </w:tcBorders>
            <w:shd w:val="clear" w:color="auto" w:fill="auto"/>
            <w:vAlign w:val="center"/>
            <w:hideMark/>
          </w:tcPr>
          <w:p w14:paraId="1B5A1248"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19 003</w:t>
            </w:r>
          </w:p>
        </w:tc>
        <w:tc>
          <w:tcPr>
            <w:tcW w:w="972" w:type="dxa"/>
            <w:tcBorders>
              <w:top w:val="nil"/>
              <w:left w:val="nil"/>
              <w:bottom w:val="single" w:sz="4" w:space="0" w:color="auto"/>
              <w:right w:val="single" w:sz="4" w:space="0" w:color="auto"/>
            </w:tcBorders>
            <w:shd w:val="clear" w:color="auto" w:fill="auto"/>
            <w:noWrap/>
            <w:vAlign w:val="center"/>
            <w:hideMark/>
          </w:tcPr>
          <w:p w14:paraId="697C1292"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107</w:t>
            </w:r>
          </w:p>
        </w:tc>
        <w:tc>
          <w:tcPr>
            <w:tcW w:w="1134" w:type="dxa"/>
            <w:tcBorders>
              <w:top w:val="nil"/>
              <w:left w:val="nil"/>
              <w:bottom w:val="single" w:sz="4" w:space="0" w:color="auto"/>
              <w:right w:val="single" w:sz="4" w:space="0" w:color="auto"/>
            </w:tcBorders>
            <w:shd w:val="clear" w:color="auto" w:fill="auto"/>
            <w:noWrap/>
            <w:vAlign w:val="center"/>
            <w:hideMark/>
          </w:tcPr>
          <w:p w14:paraId="57E150A4"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2 116</w:t>
            </w:r>
          </w:p>
        </w:tc>
        <w:tc>
          <w:tcPr>
            <w:tcW w:w="1085" w:type="dxa"/>
            <w:tcBorders>
              <w:top w:val="nil"/>
              <w:left w:val="nil"/>
              <w:bottom w:val="single" w:sz="4" w:space="0" w:color="auto"/>
              <w:right w:val="single" w:sz="4" w:space="0" w:color="auto"/>
            </w:tcBorders>
            <w:shd w:val="clear" w:color="auto" w:fill="auto"/>
            <w:vAlign w:val="center"/>
            <w:hideMark/>
          </w:tcPr>
          <w:p w14:paraId="79DF891A"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1 900</w:t>
            </w:r>
          </w:p>
        </w:tc>
        <w:tc>
          <w:tcPr>
            <w:tcW w:w="1115" w:type="dxa"/>
            <w:tcBorders>
              <w:top w:val="nil"/>
              <w:left w:val="nil"/>
              <w:bottom w:val="single" w:sz="4" w:space="0" w:color="auto"/>
              <w:right w:val="single" w:sz="4" w:space="0" w:color="auto"/>
            </w:tcBorders>
            <w:shd w:val="clear" w:color="auto" w:fill="auto"/>
            <w:vAlign w:val="center"/>
            <w:hideMark/>
          </w:tcPr>
          <w:p w14:paraId="0F9BAF5F"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939</w:t>
            </w:r>
          </w:p>
        </w:tc>
        <w:tc>
          <w:tcPr>
            <w:tcW w:w="1328" w:type="dxa"/>
            <w:tcBorders>
              <w:top w:val="nil"/>
              <w:left w:val="nil"/>
              <w:bottom w:val="single" w:sz="4" w:space="0" w:color="auto"/>
              <w:right w:val="single" w:sz="4" w:space="0" w:color="auto"/>
            </w:tcBorders>
            <w:shd w:val="clear" w:color="auto" w:fill="auto"/>
            <w:noWrap/>
            <w:vAlign w:val="center"/>
            <w:hideMark/>
          </w:tcPr>
          <w:p w14:paraId="62A38BFA"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2 116</w:t>
            </w:r>
          </w:p>
        </w:tc>
      </w:tr>
      <w:tr w:rsidR="0005266E" w:rsidRPr="007C5A6E" w14:paraId="0BA0348D" w14:textId="77777777" w:rsidTr="0044787D">
        <w:trPr>
          <w:trHeight w:val="310"/>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5CAFD166" w14:textId="77777777" w:rsidR="0005266E" w:rsidRPr="007C5A6E" w:rsidRDefault="0005266E" w:rsidP="009969E0">
            <w:pPr>
              <w:spacing w:after="0" w:line="240" w:lineRule="auto"/>
              <w:jc w:val="both"/>
              <w:rPr>
                <w:rFonts w:ascii="Times New Roman" w:hAnsi="Times New Roman"/>
                <w:sz w:val="21"/>
                <w:szCs w:val="21"/>
              </w:rPr>
            </w:pPr>
            <w:r w:rsidRPr="007C5A6E">
              <w:rPr>
                <w:rFonts w:ascii="Times New Roman" w:hAnsi="Times New Roman"/>
                <w:sz w:val="21"/>
                <w:szCs w:val="21"/>
              </w:rPr>
              <w:t xml:space="preserve">Mouhoun </w:t>
            </w:r>
          </w:p>
        </w:tc>
        <w:tc>
          <w:tcPr>
            <w:tcW w:w="1276" w:type="dxa"/>
            <w:tcBorders>
              <w:top w:val="nil"/>
              <w:left w:val="nil"/>
              <w:bottom w:val="single" w:sz="4" w:space="0" w:color="auto"/>
              <w:right w:val="single" w:sz="4" w:space="0" w:color="auto"/>
            </w:tcBorders>
            <w:shd w:val="clear" w:color="auto" w:fill="auto"/>
            <w:noWrap/>
            <w:vAlign w:val="center"/>
            <w:hideMark/>
          </w:tcPr>
          <w:p w14:paraId="60010ADF"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91 036</w:t>
            </w:r>
          </w:p>
        </w:tc>
        <w:tc>
          <w:tcPr>
            <w:tcW w:w="1246" w:type="dxa"/>
            <w:tcBorders>
              <w:top w:val="nil"/>
              <w:left w:val="nil"/>
              <w:bottom w:val="single" w:sz="4" w:space="0" w:color="auto"/>
              <w:right w:val="single" w:sz="4" w:space="0" w:color="auto"/>
            </w:tcBorders>
            <w:shd w:val="clear" w:color="auto" w:fill="auto"/>
            <w:vAlign w:val="center"/>
            <w:hideMark/>
          </w:tcPr>
          <w:p w14:paraId="230AFE88"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78 709</w:t>
            </w:r>
          </w:p>
        </w:tc>
        <w:tc>
          <w:tcPr>
            <w:tcW w:w="972" w:type="dxa"/>
            <w:tcBorders>
              <w:top w:val="single" w:sz="4" w:space="0" w:color="auto"/>
              <w:left w:val="nil"/>
              <w:bottom w:val="single" w:sz="4" w:space="0" w:color="auto"/>
              <w:right w:val="nil"/>
            </w:tcBorders>
            <w:shd w:val="clear" w:color="auto" w:fill="auto"/>
            <w:noWrap/>
            <w:vAlign w:val="center"/>
            <w:hideMark/>
          </w:tcPr>
          <w:p w14:paraId="77D361FF"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1 851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63757E"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4 858</w:t>
            </w:r>
          </w:p>
        </w:tc>
        <w:tc>
          <w:tcPr>
            <w:tcW w:w="1085" w:type="dxa"/>
            <w:tcBorders>
              <w:top w:val="nil"/>
              <w:left w:val="nil"/>
              <w:bottom w:val="single" w:sz="4" w:space="0" w:color="auto"/>
              <w:right w:val="single" w:sz="4" w:space="0" w:color="auto"/>
            </w:tcBorders>
            <w:shd w:val="clear" w:color="auto" w:fill="auto"/>
            <w:vAlign w:val="center"/>
            <w:hideMark/>
          </w:tcPr>
          <w:p w14:paraId="199F0E02"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4 800</w:t>
            </w:r>
          </w:p>
        </w:tc>
        <w:tc>
          <w:tcPr>
            <w:tcW w:w="1115" w:type="dxa"/>
            <w:tcBorders>
              <w:top w:val="nil"/>
              <w:left w:val="nil"/>
              <w:bottom w:val="single" w:sz="4" w:space="0" w:color="auto"/>
              <w:right w:val="single" w:sz="4" w:space="0" w:color="auto"/>
            </w:tcBorders>
            <w:shd w:val="clear" w:color="auto" w:fill="auto"/>
            <w:vAlign w:val="center"/>
            <w:hideMark/>
          </w:tcPr>
          <w:p w14:paraId="05E93527"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1 990</w:t>
            </w:r>
          </w:p>
        </w:tc>
        <w:tc>
          <w:tcPr>
            <w:tcW w:w="1328" w:type="dxa"/>
            <w:tcBorders>
              <w:top w:val="nil"/>
              <w:left w:val="nil"/>
              <w:bottom w:val="single" w:sz="4" w:space="0" w:color="auto"/>
              <w:right w:val="single" w:sz="4" w:space="0" w:color="auto"/>
            </w:tcBorders>
            <w:shd w:val="clear" w:color="auto" w:fill="auto"/>
            <w:noWrap/>
            <w:vAlign w:val="center"/>
            <w:hideMark/>
          </w:tcPr>
          <w:p w14:paraId="5EA8C526"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4 858</w:t>
            </w:r>
          </w:p>
        </w:tc>
      </w:tr>
      <w:tr w:rsidR="0005266E" w:rsidRPr="007C5A6E" w14:paraId="0F09150D" w14:textId="77777777" w:rsidTr="0044787D">
        <w:trPr>
          <w:trHeight w:val="310"/>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1C0CAE5C" w14:textId="77777777" w:rsidR="0005266E" w:rsidRPr="007C5A6E" w:rsidRDefault="0005266E" w:rsidP="009969E0">
            <w:pPr>
              <w:spacing w:after="0" w:line="240" w:lineRule="auto"/>
              <w:jc w:val="both"/>
              <w:rPr>
                <w:rFonts w:ascii="Times New Roman" w:hAnsi="Times New Roman"/>
                <w:sz w:val="21"/>
                <w:szCs w:val="21"/>
              </w:rPr>
            </w:pPr>
            <w:r w:rsidRPr="007C5A6E">
              <w:rPr>
                <w:rFonts w:ascii="Times New Roman" w:hAnsi="Times New Roman"/>
                <w:sz w:val="21"/>
                <w:szCs w:val="21"/>
              </w:rPr>
              <w:t>Nakanbé</w:t>
            </w:r>
          </w:p>
        </w:tc>
        <w:tc>
          <w:tcPr>
            <w:tcW w:w="1276" w:type="dxa"/>
            <w:tcBorders>
              <w:top w:val="nil"/>
              <w:left w:val="nil"/>
              <w:bottom w:val="single" w:sz="4" w:space="0" w:color="auto"/>
              <w:right w:val="single" w:sz="4" w:space="0" w:color="auto"/>
            </w:tcBorders>
            <w:shd w:val="clear" w:color="auto" w:fill="auto"/>
            <w:noWrap/>
            <w:vAlign w:val="center"/>
            <w:hideMark/>
          </w:tcPr>
          <w:p w14:paraId="2D89CE8C"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81 932</w:t>
            </w:r>
          </w:p>
        </w:tc>
        <w:tc>
          <w:tcPr>
            <w:tcW w:w="1246" w:type="dxa"/>
            <w:tcBorders>
              <w:top w:val="nil"/>
              <w:left w:val="nil"/>
              <w:bottom w:val="single" w:sz="4" w:space="0" w:color="auto"/>
              <w:right w:val="single" w:sz="4" w:space="0" w:color="auto"/>
            </w:tcBorders>
            <w:shd w:val="clear" w:color="auto" w:fill="auto"/>
            <w:vAlign w:val="center"/>
            <w:hideMark/>
          </w:tcPr>
          <w:p w14:paraId="1AC5A382"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62 300</w:t>
            </w:r>
          </w:p>
        </w:tc>
        <w:tc>
          <w:tcPr>
            <w:tcW w:w="972" w:type="dxa"/>
            <w:tcBorders>
              <w:top w:val="single" w:sz="4" w:space="0" w:color="auto"/>
              <w:left w:val="nil"/>
              <w:bottom w:val="single" w:sz="4" w:space="0" w:color="auto"/>
              <w:right w:val="single" w:sz="4" w:space="0" w:color="auto"/>
            </w:tcBorders>
            <w:shd w:val="clear" w:color="auto" w:fill="auto"/>
            <w:noWrap/>
            <w:vAlign w:val="center"/>
            <w:hideMark/>
          </w:tcPr>
          <w:p w14:paraId="2B1E731E"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4 482</w:t>
            </w:r>
          </w:p>
        </w:tc>
        <w:tc>
          <w:tcPr>
            <w:tcW w:w="1134" w:type="dxa"/>
            <w:tcBorders>
              <w:top w:val="single" w:sz="4" w:space="0" w:color="auto"/>
              <w:left w:val="single" w:sz="4" w:space="0" w:color="auto"/>
              <w:bottom w:val="single" w:sz="4" w:space="0" w:color="auto"/>
              <w:right w:val="nil"/>
            </w:tcBorders>
            <w:shd w:val="clear" w:color="auto" w:fill="auto"/>
            <w:noWrap/>
            <w:vAlign w:val="center"/>
            <w:hideMark/>
          </w:tcPr>
          <w:p w14:paraId="4A3304EA"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2 970</w:t>
            </w:r>
          </w:p>
        </w:tc>
        <w:tc>
          <w:tcPr>
            <w:tcW w:w="1085" w:type="dxa"/>
            <w:tcBorders>
              <w:top w:val="nil"/>
              <w:left w:val="single" w:sz="4" w:space="0" w:color="auto"/>
              <w:bottom w:val="single" w:sz="4" w:space="0" w:color="auto"/>
              <w:right w:val="single" w:sz="4" w:space="0" w:color="auto"/>
            </w:tcBorders>
            <w:shd w:val="clear" w:color="auto" w:fill="auto"/>
            <w:vAlign w:val="center"/>
            <w:hideMark/>
          </w:tcPr>
          <w:p w14:paraId="225055A2"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8 400</w:t>
            </w:r>
          </w:p>
        </w:tc>
        <w:tc>
          <w:tcPr>
            <w:tcW w:w="1115" w:type="dxa"/>
            <w:tcBorders>
              <w:top w:val="nil"/>
              <w:left w:val="nil"/>
              <w:bottom w:val="single" w:sz="4" w:space="0" w:color="auto"/>
              <w:right w:val="single" w:sz="4" w:space="0" w:color="auto"/>
            </w:tcBorders>
            <w:shd w:val="clear" w:color="auto" w:fill="auto"/>
            <w:vAlign w:val="center"/>
            <w:hideMark/>
          </w:tcPr>
          <w:p w14:paraId="7EF1EC68"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w:t>
            </w:r>
          </w:p>
        </w:tc>
        <w:tc>
          <w:tcPr>
            <w:tcW w:w="1328" w:type="dxa"/>
            <w:tcBorders>
              <w:top w:val="nil"/>
              <w:left w:val="nil"/>
              <w:bottom w:val="single" w:sz="4" w:space="0" w:color="auto"/>
              <w:right w:val="single" w:sz="4" w:space="0" w:color="auto"/>
            </w:tcBorders>
            <w:shd w:val="clear" w:color="auto" w:fill="auto"/>
            <w:noWrap/>
            <w:vAlign w:val="center"/>
            <w:hideMark/>
          </w:tcPr>
          <w:p w14:paraId="220759B4"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2 960</w:t>
            </w:r>
          </w:p>
        </w:tc>
      </w:tr>
      <w:tr w:rsidR="0005266E" w:rsidRPr="007C5A6E" w14:paraId="11BCF1AC" w14:textId="77777777" w:rsidTr="0044787D">
        <w:trPr>
          <w:trHeight w:val="310"/>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6A795236" w14:textId="77777777" w:rsidR="0005266E" w:rsidRPr="007C5A6E" w:rsidRDefault="0005266E" w:rsidP="009969E0">
            <w:pPr>
              <w:spacing w:after="0" w:line="240" w:lineRule="auto"/>
              <w:jc w:val="both"/>
              <w:rPr>
                <w:rFonts w:ascii="Times New Roman" w:hAnsi="Times New Roman"/>
                <w:sz w:val="21"/>
                <w:szCs w:val="21"/>
              </w:rPr>
            </w:pPr>
            <w:r w:rsidRPr="007C5A6E">
              <w:rPr>
                <w:rFonts w:ascii="Times New Roman" w:hAnsi="Times New Roman"/>
                <w:sz w:val="21"/>
                <w:szCs w:val="21"/>
              </w:rPr>
              <w:t xml:space="preserve">Niger </w:t>
            </w:r>
          </w:p>
        </w:tc>
        <w:tc>
          <w:tcPr>
            <w:tcW w:w="1276" w:type="dxa"/>
            <w:tcBorders>
              <w:top w:val="nil"/>
              <w:left w:val="nil"/>
              <w:bottom w:val="single" w:sz="4" w:space="0" w:color="auto"/>
              <w:right w:val="single" w:sz="4" w:space="0" w:color="auto"/>
            </w:tcBorders>
            <w:shd w:val="clear" w:color="auto" w:fill="auto"/>
            <w:noWrap/>
            <w:vAlign w:val="center"/>
            <w:hideMark/>
          </w:tcPr>
          <w:p w14:paraId="4B53CE30"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83 442</w:t>
            </w:r>
          </w:p>
        </w:tc>
        <w:tc>
          <w:tcPr>
            <w:tcW w:w="1246" w:type="dxa"/>
            <w:tcBorders>
              <w:top w:val="nil"/>
              <w:left w:val="nil"/>
              <w:bottom w:val="single" w:sz="4" w:space="0" w:color="auto"/>
              <w:right w:val="single" w:sz="4" w:space="0" w:color="auto"/>
            </w:tcBorders>
            <w:shd w:val="clear" w:color="auto" w:fill="auto"/>
            <w:vAlign w:val="center"/>
            <w:hideMark/>
          </w:tcPr>
          <w:p w14:paraId="6919E8D8"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51 100</w:t>
            </w:r>
          </w:p>
        </w:tc>
        <w:tc>
          <w:tcPr>
            <w:tcW w:w="972" w:type="dxa"/>
            <w:tcBorders>
              <w:top w:val="single" w:sz="4" w:space="0" w:color="auto"/>
              <w:left w:val="nil"/>
              <w:bottom w:val="single" w:sz="4" w:space="0" w:color="auto"/>
              <w:right w:val="single" w:sz="4" w:space="0" w:color="auto"/>
            </w:tcBorders>
            <w:shd w:val="clear" w:color="auto" w:fill="auto"/>
            <w:noWrap/>
            <w:vAlign w:val="center"/>
            <w:hideMark/>
          </w:tcPr>
          <w:p w14:paraId="22068568"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157</w:t>
            </w:r>
          </w:p>
        </w:tc>
        <w:tc>
          <w:tcPr>
            <w:tcW w:w="1134" w:type="dxa"/>
            <w:tcBorders>
              <w:top w:val="single" w:sz="4" w:space="0" w:color="auto"/>
              <w:left w:val="single" w:sz="4" w:space="0" w:color="auto"/>
              <w:bottom w:val="single" w:sz="4" w:space="0" w:color="auto"/>
              <w:right w:val="nil"/>
            </w:tcBorders>
            <w:shd w:val="clear" w:color="auto" w:fill="auto"/>
            <w:noWrap/>
            <w:vAlign w:val="center"/>
            <w:hideMark/>
          </w:tcPr>
          <w:p w14:paraId="6F389F93"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3 930</w:t>
            </w:r>
          </w:p>
        </w:tc>
        <w:tc>
          <w:tcPr>
            <w:tcW w:w="1085" w:type="dxa"/>
            <w:tcBorders>
              <w:top w:val="nil"/>
              <w:left w:val="single" w:sz="4" w:space="0" w:color="auto"/>
              <w:bottom w:val="single" w:sz="4" w:space="0" w:color="auto"/>
              <w:right w:val="single" w:sz="4" w:space="0" w:color="auto"/>
            </w:tcBorders>
            <w:shd w:val="clear" w:color="auto" w:fill="auto"/>
            <w:vAlign w:val="center"/>
            <w:hideMark/>
          </w:tcPr>
          <w:p w14:paraId="6A4EBE77"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9 100</w:t>
            </w:r>
          </w:p>
        </w:tc>
        <w:tc>
          <w:tcPr>
            <w:tcW w:w="1115" w:type="dxa"/>
            <w:tcBorders>
              <w:top w:val="nil"/>
              <w:left w:val="nil"/>
              <w:bottom w:val="single" w:sz="4" w:space="0" w:color="auto"/>
              <w:right w:val="single" w:sz="4" w:space="0" w:color="auto"/>
            </w:tcBorders>
            <w:shd w:val="clear" w:color="auto" w:fill="auto"/>
            <w:vAlign w:val="center"/>
            <w:hideMark/>
          </w:tcPr>
          <w:p w14:paraId="69EDC301"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w:t>
            </w:r>
          </w:p>
        </w:tc>
        <w:tc>
          <w:tcPr>
            <w:tcW w:w="1328" w:type="dxa"/>
            <w:tcBorders>
              <w:top w:val="nil"/>
              <w:left w:val="nil"/>
              <w:bottom w:val="single" w:sz="4" w:space="0" w:color="auto"/>
              <w:right w:val="single" w:sz="4" w:space="0" w:color="auto"/>
            </w:tcBorders>
            <w:shd w:val="clear" w:color="auto" w:fill="auto"/>
            <w:noWrap/>
            <w:vAlign w:val="center"/>
            <w:hideMark/>
          </w:tcPr>
          <w:p w14:paraId="615EED28"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3 930</w:t>
            </w:r>
          </w:p>
        </w:tc>
      </w:tr>
      <w:tr w:rsidR="0005266E" w:rsidRPr="007C5A6E" w14:paraId="2A132A1D" w14:textId="77777777" w:rsidTr="0044787D">
        <w:trPr>
          <w:trHeight w:val="310"/>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18901AAB" w14:textId="77777777" w:rsidR="0005266E" w:rsidRPr="007C5A6E" w:rsidRDefault="0005266E" w:rsidP="009969E0">
            <w:pPr>
              <w:spacing w:after="0" w:line="240" w:lineRule="auto"/>
              <w:jc w:val="both"/>
              <w:rPr>
                <w:rFonts w:ascii="Times New Roman" w:hAnsi="Times New Roman"/>
                <w:b/>
                <w:bCs/>
                <w:sz w:val="21"/>
                <w:szCs w:val="21"/>
              </w:rPr>
            </w:pPr>
            <w:r w:rsidRPr="007C5A6E">
              <w:rPr>
                <w:rFonts w:ascii="Times New Roman" w:hAnsi="Times New Roman"/>
                <w:b/>
                <w:bCs/>
                <w:sz w:val="21"/>
                <w:szCs w:val="21"/>
              </w:rPr>
              <w:t>National</w:t>
            </w:r>
          </w:p>
        </w:tc>
        <w:tc>
          <w:tcPr>
            <w:tcW w:w="1276" w:type="dxa"/>
            <w:tcBorders>
              <w:top w:val="nil"/>
              <w:left w:val="nil"/>
              <w:bottom w:val="single" w:sz="4" w:space="0" w:color="auto"/>
              <w:right w:val="single" w:sz="4" w:space="0" w:color="auto"/>
            </w:tcBorders>
            <w:shd w:val="clear" w:color="auto" w:fill="auto"/>
            <w:noWrap/>
            <w:vAlign w:val="center"/>
            <w:hideMark/>
          </w:tcPr>
          <w:p w14:paraId="6B5BDB06"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274 034</w:t>
            </w:r>
          </w:p>
        </w:tc>
        <w:tc>
          <w:tcPr>
            <w:tcW w:w="1246" w:type="dxa"/>
            <w:tcBorders>
              <w:top w:val="nil"/>
              <w:left w:val="nil"/>
              <w:bottom w:val="single" w:sz="4" w:space="0" w:color="auto"/>
              <w:right w:val="single" w:sz="4" w:space="0" w:color="auto"/>
            </w:tcBorders>
            <w:shd w:val="clear" w:color="auto" w:fill="auto"/>
            <w:vAlign w:val="center"/>
            <w:hideMark/>
          </w:tcPr>
          <w:p w14:paraId="3DEE6B44" w14:textId="77777777" w:rsidR="0005266E" w:rsidRPr="007C5A6E" w:rsidRDefault="0005266E" w:rsidP="009969E0">
            <w:pPr>
              <w:spacing w:after="0" w:line="240" w:lineRule="auto"/>
              <w:jc w:val="center"/>
              <w:rPr>
                <w:rFonts w:ascii="Times New Roman" w:hAnsi="Times New Roman"/>
                <w:b/>
                <w:bCs/>
                <w:sz w:val="21"/>
                <w:szCs w:val="21"/>
              </w:rPr>
            </w:pPr>
            <w:r w:rsidRPr="007C5A6E">
              <w:rPr>
                <w:rFonts w:ascii="Times New Roman" w:hAnsi="Times New Roman"/>
                <w:b/>
                <w:bCs/>
                <w:sz w:val="21"/>
                <w:szCs w:val="21"/>
              </w:rPr>
              <w:t>211 112</w:t>
            </w:r>
          </w:p>
        </w:tc>
        <w:tc>
          <w:tcPr>
            <w:tcW w:w="972" w:type="dxa"/>
            <w:tcBorders>
              <w:top w:val="single" w:sz="4" w:space="0" w:color="auto"/>
              <w:left w:val="nil"/>
              <w:bottom w:val="single" w:sz="4" w:space="0" w:color="auto"/>
              <w:right w:val="single" w:sz="4" w:space="0" w:color="auto"/>
            </w:tcBorders>
            <w:shd w:val="clear" w:color="auto" w:fill="auto"/>
            <w:noWrap/>
            <w:vAlign w:val="center"/>
            <w:hideMark/>
          </w:tcPr>
          <w:p w14:paraId="7E95F3BB"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6 596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9B43994" w14:textId="77777777" w:rsidR="0005266E" w:rsidRPr="007C5A6E" w:rsidRDefault="0005266E" w:rsidP="009969E0">
            <w:pPr>
              <w:spacing w:after="0" w:line="240" w:lineRule="auto"/>
              <w:jc w:val="center"/>
              <w:rPr>
                <w:rFonts w:ascii="Times New Roman" w:hAnsi="Times New Roman"/>
                <w:b/>
                <w:bCs/>
                <w:sz w:val="21"/>
                <w:szCs w:val="21"/>
              </w:rPr>
            </w:pPr>
            <w:r w:rsidRPr="007C5A6E">
              <w:rPr>
                <w:rFonts w:ascii="Times New Roman" w:hAnsi="Times New Roman"/>
                <w:b/>
                <w:bCs/>
                <w:sz w:val="21"/>
                <w:szCs w:val="21"/>
              </w:rPr>
              <w:t>13 874</w:t>
            </w:r>
          </w:p>
        </w:tc>
        <w:tc>
          <w:tcPr>
            <w:tcW w:w="1085" w:type="dxa"/>
            <w:tcBorders>
              <w:top w:val="nil"/>
              <w:left w:val="nil"/>
              <w:bottom w:val="single" w:sz="4" w:space="0" w:color="auto"/>
              <w:right w:val="single" w:sz="4" w:space="0" w:color="auto"/>
            </w:tcBorders>
            <w:shd w:val="clear" w:color="auto" w:fill="auto"/>
            <w:vAlign w:val="center"/>
            <w:hideMark/>
          </w:tcPr>
          <w:p w14:paraId="7211CB4A" w14:textId="77777777" w:rsidR="0005266E" w:rsidRPr="007C5A6E" w:rsidRDefault="0005266E" w:rsidP="009969E0">
            <w:pPr>
              <w:spacing w:after="0" w:line="240" w:lineRule="auto"/>
              <w:jc w:val="center"/>
              <w:rPr>
                <w:rFonts w:ascii="Times New Roman" w:hAnsi="Times New Roman"/>
                <w:b/>
                <w:bCs/>
                <w:sz w:val="21"/>
                <w:szCs w:val="21"/>
              </w:rPr>
            </w:pPr>
            <w:r w:rsidRPr="007C5A6E">
              <w:rPr>
                <w:rFonts w:ascii="Times New Roman" w:hAnsi="Times New Roman"/>
                <w:b/>
                <w:bCs/>
                <w:sz w:val="21"/>
                <w:szCs w:val="21"/>
              </w:rPr>
              <w:t>24 200</w:t>
            </w:r>
          </w:p>
        </w:tc>
        <w:tc>
          <w:tcPr>
            <w:tcW w:w="1115" w:type="dxa"/>
            <w:tcBorders>
              <w:top w:val="nil"/>
              <w:left w:val="nil"/>
              <w:bottom w:val="single" w:sz="4" w:space="0" w:color="auto"/>
              <w:right w:val="single" w:sz="4" w:space="0" w:color="auto"/>
            </w:tcBorders>
            <w:shd w:val="clear" w:color="auto" w:fill="auto"/>
            <w:vAlign w:val="center"/>
            <w:hideMark/>
          </w:tcPr>
          <w:p w14:paraId="2FB0BEA2" w14:textId="77777777" w:rsidR="0005266E" w:rsidRPr="007C5A6E" w:rsidRDefault="0005266E" w:rsidP="009969E0">
            <w:pPr>
              <w:spacing w:after="0" w:line="240" w:lineRule="auto"/>
              <w:jc w:val="center"/>
              <w:rPr>
                <w:rFonts w:ascii="Times New Roman" w:hAnsi="Times New Roman"/>
                <w:b/>
                <w:bCs/>
                <w:sz w:val="21"/>
                <w:szCs w:val="21"/>
              </w:rPr>
            </w:pPr>
            <w:r w:rsidRPr="007C5A6E">
              <w:rPr>
                <w:rFonts w:ascii="Times New Roman" w:hAnsi="Times New Roman"/>
                <w:b/>
                <w:bCs/>
                <w:sz w:val="21"/>
                <w:szCs w:val="21"/>
              </w:rPr>
              <w:t>-</w:t>
            </w:r>
          </w:p>
        </w:tc>
        <w:tc>
          <w:tcPr>
            <w:tcW w:w="1328" w:type="dxa"/>
            <w:tcBorders>
              <w:top w:val="nil"/>
              <w:left w:val="nil"/>
              <w:bottom w:val="single" w:sz="4" w:space="0" w:color="auto"/>
              <w:right w:val="single" w:sz="4" w:space="0" w:color="auto"/>
            </w:tcBorders>
            <w:shd w:val="clear" w:color="auto" w:fill="auto"/>
            <w:noWrap/>
            <w:vAlign w:val="center"/>
            <w:hideMark/>
          </w:tcPr>
          <w:p w14:paraId="2A8E244B" w14:textId="77777777" w:rsidR="0005266E" w:rsidRPr="007C5A6E" w:rsidRDefault="0005266E" w:rsidP="009969E0">
            <w:pPr>
              <w:spacing w:after="0" w:line="240" w:lineRule="auto"/>
              <w:jc w:val="center"/>
              <w:rPr>
                <w:rFonts w:ascii="Times New Roman" w:hAnsi="Times New Roman"/>
                <w:b/>
                <w:bCs/>
                <w:sz w:val="21"/>
                <w:szCs w:val="21"/>
              </w:rPr>
            </w:pPr>
            <w:bookmarkStart w:id="497" w:name="_Hlk178001868"/>
            <w:r w:rsidRPr="007C5A6E">
              <w:rPr>
                <w:rFonts w:ascii="Times New Roman" w:hAnsi="Times New Roman"/>
                <w:b/>
                <w:bCs/>
                <w:sz w:val="21"/>
                <w:szCs w:val="21"/>
              </w:rPr>
              <w:t>13 864</w:t>
            </w:r>
            <w:bookmarkEnd w:id="497"/>
          </w:p>
        </w:tc>
      </w:tr>
    </w:tbl>
    <w:p w14:paraId="3C435E59" w14:textId="77777777" w:rsidR="0005266E" w:rsidRPr="007C5A6E" w:rsidRDefault="0005266E" w:rsidP="009969E0">
      <w:pPr>
        <w:spacing w:after="0" w:line="240" w:lineRule="auto"/>
        <w:rPr>
          <w:rFonts w:ascii="Times New Roman" w:hAnsi="Times New Roman"/>
          <w:sz w:val="20"/>
          <w:szCs w:val="20"/>
        </w:rPr>
      </w:pPr>
      <w:r w:rsidRPr="007C5A6E">
        <w:rPr>
          <w:rFonts w:ascii="Times New Roman" w:hAnsi="Times New Roman"/>
          <w:sz w:val="20"/>
          <w:szCs w:val="20"/>
        </w:rPr>
        <w:t>Source : Etude PAEA, DGRE 2022</w:t>
      </w:r>
    </w:p>
    <w:p w14:paraId="38388901" w14:textId="77777777" w:rsidR="009969E0" w:rsidRPr="007C5A6E" w:rsidRDefault="009969E0" w:rsidP="009969E0">
      <w:pPr>
        <w:spacing w:after="0" w:line="240" w:lineRule="auto"/>
        <w:rPr>
          <w:rFonts w:ascii="Times New Roman" w:hAnsi="Times New Roman"/>
          <w:b/>
          <w:bCs/>
        </w:rPr>
      </w:pPr>
    </w:p>
    <w:p w14:paraId="7F873E91" w14:textId="35CE8E21" w:rsidR="0005266E" w:rsidRPr="007C5A6E" w:rsidRDefault="00643AF0" w:rsidP="009969E0">
      <w:pPr>
        <w:pStyle w:val="Titre3"/>
        <w:keepNext w:val="0"/>
        <w:keepLines w:val="0"/>
      </w:pPr>
      <w:bookmarkStart w:id="498" w:name="_Toc182606040"/>
      <w:bookmarkStart w:id="499" w:name="_Toc183340097"/>
      <w:r w:rsidRPr="007C5A6E">
        <w:t>État</w:t>
      </w:r>
      <w:r w:rsidR="0005266E" w:rsidRPr="007C5A6E">
        <w:t xml:space="preserve"> de prélèvement des ressources en eau</w:t>
      </w:r>
      <w:bookmarkEnd w:id="498"/>
      <w:bookmarkEnd w:id="499"/>
      <w:r w:rsidR="0005266E" w:rsidRPr="007C5A6E">
        <w:t xml:space="preserve"> </w:t>
      </w:r>
    </w:p>
    <w:p w14:paraId="7686DFDA" w14:textId="77777777" w:rsidR="009969E0" w:rsidRPr="007C5A6E" w:rsidRDefault="009969E0" w:rsidP="009969E0">
      <w:pPr>
        <w:spacing w:after="0" w:line="240" w:lineRule="auto"/>
        <w:jc w:val="both"/>
        <w:rPr>
          <w:rFonts w:ascii="Times New Roman" w:hAnsi="Times New Roman"/>
          <w:sz w:val="24"/>
          <w:szCs w:val="24"/>
        </w:rPr>
      </w:pPr>
    </w:p>
    <w:p w14:paraId="02783066" w14:textId="6BECCD24" w:rsidR="0005266E" w:rsidRPr="007C5A6E" w:rsidRDefault="0005266E" w:rsidP="009969E0">
      <w:pPr>
        <w:spacing w:after="0" w:line="240" w:lineRule="auto"/>
        <w:jc w:val="both"/>
        <w:rPr>
          <w:rFonts w:ascii="Times New Roman" w:hAnsi="Times New Roman"/>
          <w:sz w:val="24"/>
          <w:szCs w:val="24"/>
        </w:rPr>
      </w:pPr>
      <w:r w:rsidRPr="007C5A6E">
        <w:rPr>
          <w:rFonts w:ascii="Times New Roman" w:hAnsi="Times New Roman"/>
          <w:sz w:val="24"/>
          <w:szCs w:val="24"/>
        </w:rPr>
        <w:t xml:space="preserve">Le prélèvement des ressources en eau se fait à travers (i) l’évaporation naturelle des plans d’eau de surface et (ii) la mobilisation au moyen d’infrastructures hydrauliques d’eau souterraine et de surface, dans le but de couvrir les demandes en eau des activités socioéconomiques et des écosystèmes environnementaux. </w:t>
      </w:r>
    </w:p>
    <w:p w14:paraId="131F70E9" w14:textId="77777777" w:rsidR="009969E0" w:rsidRPr="007C5A6E" w:rsidRDefault="009969E0" w:rsidP="009969E0">
      <w:pPr>
        <w:spacing w:after="0" w:line="240" w:lineRule="auto"/>
        <w:jc w:val="both"/>
        <w:rPr>
          <w:rFonts w:ascii="Times New Roman" w:hAnsi="Times New Roman"/>
          <w:b/>
          <w:bCs/>
          <w:i/>
          <w:iCs/>
          <w:sz w:val="24"/>
          <w:szCs w:val="24"/>
        </w:rPr>
      </w:pPr>
    </w:p>
    <w:p w14:paraId="57E565F0" w14:textId="77777777" w:rsidR="0005266E" w:rsidRPr="007C5A6E" w:rsidRDefault="0005266E" w:rsidP="00684FF8">
      <w:pPr>
        <w:pStyle w:val="Titre4"/>
      </w:pPr>
      <w:bookmarkStart w:id="500" w:name="_Toc182606041"/>
      <w:bookmarkStart w:id="501" w:name="_Toc183340098"/>
      <w:r w:rsidRPr="007C5A6E">
        <w:t>Etat de prélèvement des ressources en eau souterraine</w:t>
      </w:r>
      <w:bookmarkEnd w:id="500"/>
      <w:bookmarkEnd w:id="501"/>
      <w:r w:rsidRPr="007C5A6E">
        <w:t xml:space="preserve"> </w:t>
      </w:r>
    </w:p>
    <w:p w14:paraId="59EB21FF" w14:textId="77777777" w:rsidR="009969E0" w:rsidRPr="007C5A6E" w:rsidRDefault="009969E0" w:rsidP="0044787D">
      <w:pPr>
        <w:tabs>
          <w:tab w:val="left" w:pos="0"/>
        </w:tabs>
        <w:spacing w:after="0" w:line="240" w:lineRule="auto"/>
        <w:jc w:val="both"/>
        <w:rPr>
          <w:rFonts w:ascii="Times New Roman" w:hAnsi="Times New Roman"/>
          <w:sz w:val="24"/>
          <w:szCs w:val="24"/>
        </w:rPr>
      </w:pPr>
      <w:bookmarkStart w:id="502" w:name="_Toc177186211"/>
    </w:p>
    <w:p w14:paraId="735ADC47" w14:textId="1A7FF3DA" w:rsidR="0005266E" w:rsidRPr="007C5A6E" w:rsidRDefault="0005266E" w:rsidP="0044787D">
      <w:pPr>
        <w:tabs>
          <w:tab w:val="left" w:pos="0"/>
        </w:tabs>
        <w:spacing w:after="0" w:line="240" w:lineRule="auto"/>
        <w:jc w:val="both"/>
        <w:rPr>
          <w:rFonts w:ascii="Times New Roman" w:hAnsi="Times New Roman"/>
          <w:sz w:val="24"/>
          <w:szCs w:val="24"/>
        </w:rPr>
      </w:pPr>
      <w:r w:rsidRPr="007C5A6E">
        <w:rPr>
          <w:rFonts w:ascii="Times New Roman" w:hAnsi="Times New Roman"/>
          <w:sz w:val="24"/>
          <w:szCs w:val="24"/>
        </w:rPr>
        <w:t xml:space="preserve">Les inventaires des ouvrages (INO) réalisés au niveau national par la DGEP dont le dernier date de 2023 ont servi de base pour l’appréciation de l’état de mobilisation des ressources en eau souterraine. </w:t>
      </w:r>
      <w:r w:rsidR="0044787D" w:rsidRPr="007C5A6E">
        <w:rPr>
          <w:rFonts w:ascii="Times New Roman" w:hAnsi="Times New Roman"/>
          <w:sz w:val="24"/>
          <w:szCs w:val="24"/>
        </w:rPr>
        <w:t>Celles-ci</w:t>
      </w:r>
      <w:r w:rsidRPr="007C5A6E">
        <w:rPr>
          <w:rFonts w:ascii="Times New Roman" w:hAnsi="Times New Roman"/>
          <w:sz w:val="24"/>
          <w:szCs w:val="24"/>
        </w:rPr>
        <w:t xml:space="preserve"> sont mobilisées principalement au moyen de puisards, puits et de forages. Selon leurs débits d’exploitation, ces ouvrages sont équipés ou non, en pompe à motricité humaine (PMH), en système de poste d’eau autonome (PEA), en système d’adduction d’eau potable simplifié (AEPS) et en système classique (urbain) d’adduction d’eau potable.</w:t>
      </w:r>
      <w:r w:rsidR="009969E0" w:rsidRPr="007C5A6E">
        <w:rPr>
          <w:rFonts w:ascii="Times New Roman" w:hAnsi="Times New Roman"/>
          <w:sz w:val="24"/>
          <w:szCs w:val="24"/>
        </w:rPr>
        <w:t xml:space="preserve"> </w:t>
      </w:r>
      <w:r w:rsidRPr="007C5A6E">
        <w:rPr>
          <w:rFonts w:ascii="Times New Roman" w:hAnsi="Times New Roman"/>
          <w:sz w:val="24"/>
          <w:szCs w:val="24"/>
        </w:rPr>
        <w:t>Les tableaux ci-après</w:t>
      </w:r>
      <w:r w:rsidR="00784461" w:rsidRPr="007C5A6E">
        <w:rPr>
          <w:rFonts w:ascii="Times New Roman" w:hAnsi="Times New Roman"/>
          <w:sz w:val="24"/>
          <w:szCs w:val="24"/>
        </w:rPr>
        <w:t xml:space="preserve"> (14 et 15)</w:t>
      </w:r>
      <w:r w:rsidRPr="007C5A6E">
        <w:rPr>
          <w:rFonts w:ascii="Times New Roman" w:hAnsi="Times New Roman"/>
          <w:sz w:val="24"/>
          <w:szCs w:val="24"/>
        </w:rPr>
        <w:t xml:space="preserve"> récapitulent par région, les infrastructures hydrauliques d’eau souterraine réalisés en 2023 et les volumes d’eau prélevables correspondants. </w:t>
      </w:r>
    </w:p>
    <w:bookmarkEnd w:id="502"/>
    <w:p w14:paraId="7FC180B5" w14:textId="77777777" w:rsidR="0005266E" w:rsidRPr="007C5A6E" w:rsidRDefault="0005266E" w:rsidP="0044787D">
      <w:pPr>
        <w:spacing w:after="0" w:line="240" w:lineRule="auto"/>
        <w:jc w:val="both"/>
        <w:rPr>
          <w:rFonts w:ascii="Times New Roman" w:hAnsi="Times New Roman"/>
          <w:color w:val="FF0000"/>
          <w:sz w:val="24"/>
          <w:szCs w:val="24"/>
        </w:rPr>
        <w:sectPr w:rsidR="0005266E" w:rsidRPr="007C5A6E" w:rsidSect="006514BA">
          <w:pgSz w:w="11907" w:h="16840" w:code="9"/>
          <w:pgMar w:top="1191" w:right="1361" w:bottom="1191" w:left="1361" w:header="709" w:footer="709" w:gutter="0"/>
          <w:cols w:space="708"/>
          <w:docGrid w:linePitch="360"/>
        </w:sectPr>
      </w:pPr>
    </w:p>
    <w:p w14:paraId="3D7395C4" w14:textId="58F4A7CC" w:rsidR="0005266E" w:rsidRPr="007C5A6E" w:rsidRDefault="0005266E" w:rsidP="009969E0">
      <w:pPr>
        <w:tabs>
          <w:tab w:val="left" w:pos="1134"/>
        </w:tabs>
        <w:spacing w:after="0" w:line="240" w:lineRule="auto"/>
        <w:ind w:left="1134" w:hanging="1134"/>
        <w:rPr>
          <w:rFonts w:ascii="Times New Roman" w:hAnsi="Times New Roman"/>
          <w:iCs/>
          <w:sz w:val="24"/>
          <w:szCs w:val="24"/>
          <w:lang w:eastAsia="da-DK"/>
        </w:rPr>
      </w:pPr>
      <w:bookmarkStart w:id="503" w:name="_Toc182605861"/>
      <w:bookmarkStart w:id="504" w:name="_Toc183240976"/>
      <w:bookmarkStart w:id="505" w:name="_Toc183292218"/>
      <w:bookmarkStart w:id="506" w:name="_Toc183340498"/>
      <w:r w:rsidRPr="007C5A6E">
        <w:rPr>
          <w:rFonts w:ascii="Times New Roman" w:hAnsi="Times New Roman"/>
          <w:iCs/>
          <w:sz w:val="24"/>
          <w:szCs w:val="24"/>
          <w:lang w:eastAsia="da-DK"/>
        </w:rPr>
        <w:t xml:space="preserve">Tableau </w:t>
      </w:r>
      <w:r w:rsidRPr="007C5A6E">
        <w:rPr>
          <w:rFonts w:ascii="Times New Roman" w:hAnsi="Times New Roman"/>
          <w:iCs/>
          <w:sz w:val="24"/>
          <w:szCs w:val="24"/>
          <w:lang w:eastAsia="da-DK"/>
        </w:rPr>
        <w:fldChar w:fldCharType="begin"/>
      </w:r>
      <w:r w:rsidRPr="007C5A6E">
        <w:rPr>
          <w:rFonts w:ascii="Times New Roman" w:hAnsi="Times New Roman"/>
          <w:iCs/>
          <w:sz w:val="24"/>
          <w:szCs w:val="24"/>
          <w:lang w:eastAsia="da-DK"/>
        </w:rPr>
        <w:instrText xml:space="preserve"> SEQ Tableau \* ARABIC </w:instrText>
      </w:r>
      <w:r w:rsidRPr="007C5A6E">
        <w:rPr>
          <w:rFonts w:ascii="Times New Roman" w:hAnsi="Times New Roman"/>
          <w:iCs/>
          <w:sz w:val="24"/>
          <w:szCs w:val="24"/>
          <w:lang w:eastAsia="da-DK"/>
        </w:rPr>
        <w:fldChar w:fldCharType="separate"/>
      </w:r>
      <w:r w:rsidR="00AE0C9D" w:rsidRPr="007C5A6E">
        <w:rPr>
          <w:rFonts w:ascii="Times New Roman" w:hAnsi="Times New Roman"/>
          <w:iCs/>
          <w:noProof/>
          <w:sz w:val="24"/>
          <w:szCs w:val="24"/>
          <w:lang w:eastAsia="da-DK"/>
        </w:rPr>
        <w:t>14</w:t>
      </w:r>
      <w:r w:rsidRPr="007C5A6E">
        <w:rPr>
          <w:rFonts w:ascii="Times New Roman" w:hAnsi="Times New Roman"/>
          <w:iCs/>
          <w:sz w:val="24"/>
          <w:szCs w:val="24"/>
          <w:lang w:eastAsia="da-DK"/>
        </w:rPr>
        <w:fldChar w:fldCharType="end"/>
      </w:r>
      <w:r w:rsidRPr="007C5A6E">
        <w:rPr>
          <w:rFonts w:ascii="Times New Roman" w:hAnsi="Times New Roman"/>
          <w:iCs/>
          <w:sz w:val="24"/>
          <w:szCs w:val="24"/>
          <w:lang w:eastAsia="da-DK"/>
        </w:rPr>
        <w:t> : Réalisations et volumes d’eau prélevables par les PEM équipés de PMH de 2016 à 2023</w:t>
      </w:r>
      <w:bookmarkEnd w:id="503"/>
      <w:bookmarkEnd w:id="504"/>
      <w:bookmarkEnd w:id="505"/>
      <w:bookmarkEnd w:id="506"/>
    </w:p>
    <w:p w14:paraId="6023A251" w14:textId="77777777" w:rsidR="0044787D" w:rsidRPr="007C5A6E" w:rsidRDefault="0044787D" w:rsidP="009969E0">
      <w:pPr>
        <w:tabs>
          <w:tab w:val="left" w:pos="1134"/>
        </w:tabs>
        <w:spacing w:after="0" w:line="240" w:lineRule="auto"/>
        <w:ind w:left="1134" w:hanging="1134"/>
        <w:rPr>
          <w:rFonts w:ascii="Times New Roman" w:hAnsi="Times New Roman"/>
          <w:iCs/>
          <w:sz w:val="24"/>
          <w:szCs w:val="24"/>
          <w:lang w:eastAsia="da-DK"/>
        </w:rPr>
      </w:pPr>
    </w:p>
    <w:tbl>
      <w:tblPr>
        <w:tblStyle w:val="TableauGrille4-Accentuation11"/>
        <w:tblW w:w="12895" w:type="dxa"/>
        <w:tblLayout w:type="fixed"/>
        <w:tblLook w:val="04A0" w:firstRow="1" w:lastRow="0" w:firstColumn="1" w:lastColumn="0" w:noHBand="0" w:noVBand="1"/>
      </w:tblPr>
      <w:tblGrid>
        <w:gridCol w:w="1696"/>
        <w:gridCol w:w="851"/>
        <w:gridCol w:w="851"/>
        <w:gridCol w:w="850"/>
        <w:gridCol w:w="850"/>
        <w:gridCol w:w="850"/>
        <w:gridCol w:w="828"/>
        <w:gridCol w:w="873"/>
        <w:gridCol w:w="851"/>
        <w:gridCol w:w="1843"/>
        <w:gridCol w:w="2552"/>
      </w:tblGrid>
      <w:tr w:rsidR="007C5A6E" w:rsidRPr="007C5A6E" w14:paraId="13A6D7B4" w14:textId="77777777" w:rsidTr="0005266E">
        <w:trPr>
          <w:cnfStyle w:val="100000000000" w:firstRow="1" w:lastRow="0" w:firstColumn="0" w:lastColumn="0" w:oddVBand="0" w:evenVBand="0" w:oddHBand="0" w:evenHBand="0" w:firstRowFirstColumn="0" w:firstRowLastColumn="0" w:lastRowFirstColumn="0" w:lastRowLastColumn="0"/>
          <w:trHeight w:val="755"/>
        </w:trPr>
        <w:tc>
          <w:tcPr>
            <w:cnfStyle w:val="001000000000" w:firstRow="0" w:lastRow="0" w:firstColumn="1" w:lastColumn="0" w:oddVBand="0" w:evenVBand="0" w:oddHBand="0" w:evenHBand="0" w:firstRowFirstColumn="0" w:firstRowLastColumn="0" w:lastRowFirstColumn="0" w:lastRowLastColumn="0"/>
            <w:tcW w:w="1696" w:type="dxa"/>
            <w:shd w:val="clear" w:color="auto" w:fill="D0CECE"/>
            <w:noWrap/>
            <w:vAlign w:val="center"/>
            <w:hideMark/>
          </w:tcPr>
          <w:p w14:paraId="16455D58"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REGION</w:t>
            </w:r>
          </w:p>
        </w:tc>
        <w:tc>
          <w:tcPr>
            <w:tcW w:w="851" w:type="dxa"/>
            <w:shd w:val="clear" w:color="auto" w:fill="D0CECE"/>
            <w:noWrap/>
            <w:vAlign w:val="center"/>
            <w:hideMark/>
          </w:tcPr>
          <w:p w14:paraId="7E1AA3F9" w14:textId="77777777" w:rsidR="0005266E" w:rsidRPr="007C5A6E" w:rsidRDefault="0005266E" w:rsidP="009969E0">
            <w:pPr>
              <w:tabs>
                <w:tab w:val="left" w:pos="1134"/>
              </w:tabs>
              <w:spacing w:after="0" w:line="240" w:lineRule="auto"/>
              <w:ind w:left="1134" w:hanging="113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7C5A6E">
              <w:rPr>
                <w:rFonts w:ascii="Times New Roman" w:hAnsi="Times New Roman"/>
                <w:color w:val="auto"/>
                <w:sz w:val="18"/>
                <w:szCs w:val="18"/>
              </w:rPr>
              <w:t>2016</w:t>
            </w:r>
          </w:p>
        </w:tc>
        <w:tc>
          <w:tcPr>
            <w:tcW w:w="851" w:type="dxa"/>
            <w:shd w:val="clear" w:color="auto" w:fill="D0CECE"/>
            <w:noWrap/>
            <w:vAlign w:val="center"/>
            <w:hideMark/>
          </w:tcPr>
          <w:p w14:paraId="5F1191B3" w14:textId="77777777" w:rsidR="0005266E" w:rsidRPr="007C5A6E" w:rsidRDefault="0005266E" w:rsidP="009969E0">
            <w:pPr>
              <w:tabs>
                <w:tab w:val="left" w:pos="1134"/>
              </w:tabs>
              <w:spacing w:after="0" w:line="240" w:lineRule="auto"/>
              <w:ind w:left="1134" w:hanging="113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2017</w:t>
            </w:r>
          </w:p>
        </w:tc>
        <w:tc>
          <w:tcPr>
            <w:tcW w:w="850" w:type="dxa"/>
            <w:shd w:val="clear" w:color="auto" w:fill="D0CECE"/>
            <w:noWrap/>
            <w:vAlign w:val="center"/>
            <w:hideMark/>
          </w:tcPr>
          <w:p w14:paraId="400F5ED0" w14:textId="77777777" w:rsidR="0005266E" w:rsidRPr="007C5A6E" w:rsidRDefault="0005266E" w:rsidP="009969E0">
            <w:pPr>
              <w:tabs>
                <w:tab w:val="left" w:pos="1134"/>
              </w:tabs>
              <w:spacing w:after="0" w:line="240" w:lineRule="auto"/>
              <w:ind w:left="1134" w:hanging="113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2018</w:t>
            </w:r>
          </w:p>
        </w:tc>
        <w:tc>
          <w:tcPr>
            <w:tcW w:w="850" w:type="dxa"/>
            <w:shd w:val="clear" w:color="auto" w:fill="D0CECE"/>
            <w:noWrap/>
            <w:vAlign w:val="center"/>
            <w:hideMark/>
          </w:tcPr>
          <w:p w14:paraId="28B522C9" w14:textId="77777777" w:rsidR="0005266E" w:rsidRPr="007C5A6E" w:rsidRDefault="0005266E" w:rsidP="009969E0">
            <w:pPr>
              <w:tabs>
                <w:tab w:val="left" w:pos="1134"/>
              </w:tabs>
              <w:spacing w:after="0" w:line="240" w:lineRule="auto"/>
              <w:ind w:left="1134" w:hanging="113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2019</w:t>
            </w:r>
          </w:p>
        </w:tc>
        <w:tc>
          <w:tcPr>
            <w:tcW w:w="850" w:type="dxa"/>
            <w:shd w:val="clear" w:color="auto" w:fill="D0CECE"/>
            <w:noWrap/>
            <w:vAlign w:val="center"/>
            <w:hideMark/>
          </w:tcPr>
          <w:p w14:paraId="48044EF6" w14:textId="77777777" w:rsidR="0005266E" w:rsidRPr="007C5A6E" w:rsidRDefault="0005266E" w:rsidP="009969E0">
            <w:pPr>
              <w:tabs>
                <w:tab w:val="left" w:pos="1134"/>
              </w:tabs>
              <w:spacing w:after="0" w:line="240" w:lineRule="auto"/>
              <w:ind w:left="1134" w:hanging="113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2020</w:t>
            </w:r>
          </w:p>
        </w:tc>
        <w:tc>
          <w:tcPr>
            <w:tcW w:w="828" w:type="dxa"/>
            <w:shd w:val="clear" w:color="auto" w:fill="D0CECE"/>
            <w:vAlign w:val="center"/>
            <w:hideMark/>
          </w:tcPr>
          <w:p w14:paraId="68561A51" w14:textId="77777777" w:rsidR="0005266E" w:rsidRPr="007C5A6E" w:rsidRDefault="0005266E" w:rsidP="009969E0">
            <w:pPr>
              <w:tabs>
                <w:tab w:val="left" w:pos="1134"/>
              </w:tabs>
              <w:spacing w:after="0" w:line="240" w:lineRule="auto"/>
              <w:ind w:left="1134" w:hanging="113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2021</w:t>
            </w:r>
          </w:p>
        </w:tc>
        <w:tc>
          <w:tcPr>
            <w:tcW w:w="873" w:type="dxa"/>
            <w:shd w:val="clear" w:color="auto" w:fill="D0CECE"/>
            <w:vAlign w:val="center"/>
            <w:hideMark/>
          </w:tcPr>
          <w:p w14:paraId="4A3C854B" w14:textId="77777777" w:rsidR="0005266E" w:rsidRPr="007C5A6E" w:rsidRDefault="0005266E" w:rsidP="009969E0">
            <w:pPr>
              <w:tabs>
                <w:tab w:val="left" w:pos="1134"/>
              </w:tabs>
              <w:spacing w:after="0" w:line="240" w:lineRule="auto"/>
              <w:ind w:left="1134" w:hanging="113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7C5A6E">
              <w:rPr>
                <w:rFonts w:ascii="Times New Roman" w:hAnsi="Times New Roman"/>
                <w:color w:val="auto"/>
                <w:sz w:val="18"/>
                <w:szCs w:val="18"/>
              </w:rPr>
              <w:t>2022</w:t>
            </w:r>
          </w:p>
        </w:tc>
        <w:tc>
          <w:tcPr>
            <w:tcW w:w="851" w:type="dxa"/>
            <w:shd w:val="clear" w:color="auto" w:fill="D0CECE"/>
            <w:vAlign w:val="center"/>
          </w:tcPr>
          <w:p w14:paraId="0ED26F5B" w14:textId="77777777" w:rsidR="0005266E" w:rsidRPr="007C5A6E" w:rsidRDefault="0005266E" w:rsidP="009969E0">
            <w:pPr>
              <w:tabs>
                <w:tab w:val="left" w:pos="1134"/>
              </w:tabs>
              <w:spacing w:after="0" w:line="240" w:lineRule="auto"/>
              <w:ind w:left="1134" w:hanging="113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7C5A6E">
              <w:rPr>
                <w:rFonts w:ascii="Times New Roman" w:hAnsi="Times New Roman"/>
                <w:color w:val="0070C0"/>
                <w:sz w:val="18"/>
                <w:szCs w:val="18"/>
              </w:rPr>
              <w:t>2023</w:t>
            </w:r>
          </w:p>
        </w:tc>
        <w:tc>
          <w:tcPr>
            <w:tcW w:w="1843" w:type="dxa"/>
            <w:shd w:val="clear" w:color="auto" w:fill="D0CECE"/>
            <w:vAlign w:val="center"/>
            <w:hideMark/>
          </w:tcPr>
          <w:p w14:paraId="3A06B91F" w14:textId="77777777" w:rsidR="0005266E" w:rsidRPr="007C5A6E" w:rsidRDefault="0005266E" w:rsidP="0044787D">
            <w:pPr>
              <w:tabs>
                <w:tab w:val="left" w:pos="1134"/>
              </w:tabs>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Total réalisation 2016-2023</w:t>
            </w:r>
          </w:p>
        </w:tc>
        <w:tc>
          <w:tcPr>
            <w:tcW w:w="2552" w:type="dxa"/>
            <w:shd w:val="clear" w:color="auto" w:fill="D0CECE"/>
            <w:vAlign w:val="center"/>
          </w:tcPr>
          <w:p w14:paraId="2EF8A38B" w14:textId="77777777" w:rsidR="0005266E" w:rsidRPr="007C5A6E" w:rsidRDefault="0005266E" w:rsidP="0044787D">
            <w:pPr>
              <w:tabs>
                <w:tab w:val="left" w:pos="1134"/>
              </w:tabs>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auto"/>
                <w:sz w:val="18"/>
                <w:szCs w:val="18"/>
              </w:rPr>
              <w:t>Volume d'eau mobilisable en 2023 (m3)</w:t>
            </w:r>
          </w:p>
        </w:tc>
      </w:tr>
      <w:tr w:rsidR="0005266E" w:rsidRPr="007C5A6E" w14:paraId="6BD04A28" w14:textId="77777777" w:rsidTr="0005266E">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02ADBD75" w14:textId="77777777" w:rsidR="0005266E" w:rsidRPr="007C5A6E" w:rsidRDefault="0005266E" w:rsidP="0044787D">
            <w:pPr>
              <w:tabs>
                <w:tab w:val="left" w:pos="1134"/>
              </w:tabs>
              <w:spacing w:after="0" w:line="240" w:lineRule="auto"/>
              <w:rPr>
                <w:rFonts w:ascii="Times New Roman" w:hAnsi="Times New Roman"/>
                <w:color w:val="000000"/>
                <w:sz w:val="18"/>
                <w:szCs w:val="18"/>
              </w:rPr>
            </w:pPr>
            <w:r w:rsidRPr="007C5A6E">
              <w:rPr>
                <w:rFonts w:ascii="Times New Roman" w:hAnsi="Times New Roman"/>
                <w:color w:val="000000"/>
                <w:sz w:val="18"/>
                <w:szCs w:val="18"/>
              </w:rPr>
              <w:t>Boucle du Mouhoun</w:t>
            </w:r>
          </w:p>
        </w:tc>
        <w:tc>
          <w:tcPr>
            <w:tcW w:w="851" w:type="dxa"/>
            <w:vAlign w:val="center"/>
            <w:hideMark/>
          </w:tcPr>
          <w:p w14:paraId="5E49D34C"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95</w:t>
            </w:r>
          </w:p>
        </w:tc>
        <w:tc>
          <w:tcPr>
            <w:tcW w:w="851" w:type="dxa"/>
            <w:vAlign w:val="center"/>
            <w:hideMark/>
          </w:tcPr>
          <w:p w14:paraId="513BE161"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180</w:t>
            </w:r>
          </w:p>
        </w:tc>
        <w:tc>
          <w:tcPr>
            <w:tcW w:w="850" w:type="dxa"/>
            <w:vAlign w:val="center"/>
            <w:hideMark/>
          </w:tcPr>
          <w:p w14:paraId="01421DC2"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293</w:t>
            </w:r>
          </w:p>
        </w:tc>
        <w:tc>
          <w:tcPr>
            <w:tcW w:w="850" w:type="dxa"/>
            <w:vAlign w:val="center"/>
            <w:hideMark/>
          </w:tcPr>
          <w:p w14:paraId="607C54F2"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184</w:t>
            </w:r>
          </w:p>
        </w:tc>
        <w:tc>
          <w:tcPr>
            <w:tcW w:w="850" w:type="dxa"/>
            <w:vAlign w:val="center"/>
            <w:hideMark/>
          </w:tcPr>
          <w:p w14:paraId="1CD3ADF8"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326</w:t>
            </w:r>
          </w:p>
        </w:tc>
        <w:tc>
          <w:tcPr>
            <w:tcW w:w="828" w:type="dxa"/>
            <w:vAlign w:val="center"/>
            <w:hideMark/>
          </w:tcPr>
          <w:p w14:paraId="7FC5D12A"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352</w:t>
            </w:r>
          </w:p>
        </w:tc>
        <w:tc>
          <w:tcPr>
            <w:tcW w:w="873" w:type="dxa"/>
            <w:vAlign w:val="center"/>
            <w:hideMark/>
          </w:tcPr>
          <w:p w14:paraId="62F642CC"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185</w:t>
            </w:r>
          </w:p>
        </w:tc>
        <w:tc>
          <w:tcPr>
            <w:tcW w:w="851" w:type="dxa"/>
            <w:vAlign w:val="center"/>
          </w:tcPr>
          <w:p w14:paraId="1C6D86C5"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70C0"/>
                <w:sz w:val="18"/>
                <w:szCs w:val="18"/>
              </w:rPr>
            </w:pPr>
            <w:r w:rsidRPr="007C5A6E">
              <w:rPr>
                <w:rFonts w:ascii="Times New Roman" w:hAnsi="Times New Roman"/>
                <w:color w:val="0070C0"/>
                <w:sz w:val="18"/>
                <w:szCs w:val="18"/>
              </w:rPr>
              <w:t>112</w:t>
            </w:r>
          </w:p>
        </w:tc>
        <w:tc>
          <w:tcPr>
            <w:tcW w:w="1843" w:type="dxa"/>
            <w:vAlign w:val="center"/>
            <w:hideMark/>
          </w:tcPr>
          <w:p w14:paraId="30D7F44E"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sz w:val="18"/>
                <w:szCs w:val="18"/>
              </w:rPr>
              <w:t>1 727</w:t>
            </w:r>
          </w:p>
        </w:tc>
        <w:tc>
          <w:tcPr>
            <w:tcW w:w="2552" w:type="dxa"/>
            <w:vAlign w:val="center"/>
          </w:tcPr>
          <w:p w14:paraId="67C42BC6"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6 303 550</w:t>
            </w:r>
          </w:p>
        </w:tc>
      </w:tr>
      <w:tr w:rsidR="0005266E" w:rsidRPr="007C5A6E" w14:paraId="5503B258" w14:textId="77777777" w:rsidTr="00457BED">
        <w:trPr>
          <w:trHeight w:val="31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30B9CAB5"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Cascades</w:t>
            </w:r>
          </w:p>
        </w:tc>
        <w:tc>
          <w:tcPr>
            <w:tcW w:w="851" w:type="dxa"/>
            <w:vAlign w:val="center"/>
            <w:hideMark/>
          </w:tcPr>
          <w:p w14:paraId="62A24410"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89</w:t>
            </w:r>
          </w:p>
        </w:tc>
        <w:tc>
          <w:tcPr>
            <w:tcW w:w="851" w:type="dxa"/>
            <w:vAlign w:val="center"/>
            <w:hideMark/>
          </w:tcPr>
          <w:p w14:paraId="061A1081"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135</w:t>
            </w:r>
          </w:p>
        </w:tc>
        <w:tc>
          <w:tcPr>
            <w:tcW w:w="850" w:type="dxa"/>
            <w:vAlign w:val="center"/>
            <w:hideMark/>
          </w:tcPr>
          <w:p w14:paraId="30F7CD8D"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125</w:t>
            </w:r>
          </w:p>
        </w:tc>
        <w:tc>
          <w:tcPr>
            <w:tcW w:w="850" w:type="dxa"/>
            <w:vAlign w:val="center"/>
            <w:hideMark/>
          </w:tcPr>
          <w:p w14:paraId="2D9565E7"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47</w:t>
            </w:r>
          </w:p>
        </w:tc>
        <w:tc>
          <w:tcPr>
            <w:tcW w:w="850" w:type="dxa"/>
            <w:vAlign w:val="center"/>
            <w:hideMark/>
          </w:tcPr>
          <w:p w14:paraId="577313ED"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180</w:t>
            </w:r>
          </w:p>
        </w:tc>
        <w:tc>
          <w:tcPr>
            <w:tcW w:w="828" w:type="dxa"/>
            <w:vAlign w:val="center"/>
            <w:hideMark/>
          </w:tcPr>
          <w:p w14:paraId="74D05019"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208</w:t>
            </w:r>
          </w:p>
        </w:tc>
        <w:tc>
          <w:tcPr>
            <w:tcW w:w="873" w:type="dxa"/>
            <w:vAlign w:val="center"/>
            <w:hideMark/>
          </w:tcPr>
          <w:p w14:paraId="769DC996"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141</w:t>
            </w:r>
          </w:p>
        </w:tc>
        <w:tc>
          <w:tcPr>
            <w:tcW w:w="851" w:type="dxa"/>
            <w:vAlign w:val="center"/>
          </w:tcPr>
          <w:p w14:paraId="1E4B7F19"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70C0"/>
                <w:sz w:val="18"/>
                <w:szCs w:val="18"/>
              </w:rPr>
            </w:pPr>
            <w:r w:rsidRPr="007C5A6E">
              <w:rPr>
                <w:rFonts w:ascii="Times New Roman" w:hAnsi="Times New Roman"/>
                <w:color w:val="0070C0"/>
                <w:sz w:val="18"/>
                <w:szCs w:val="18"/>
              </w:rPr>
              <w:t>86</w:t>
            </w:r>
          </w:p>
        </w:tc>
        <w:tc>
          <w:tcPr>
            <w:tcW w:w="1843" w:type="dxa"/>
            <w:vAlign w:val="center"/>
            <w:hideMark/>
          </w:tcPr>
          <w:p w14:paraId="5157A272"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sz w:val="18"/>
                <w:szCs w:val="18"/>
              </w:rPr>
              <w:t>1 011</w:t>
            </w:r>
          </w:p>
        </w:tc>
        <w:tc>
          <w:tcPr>
            <w:tcW w:w="2552" w:type="dxa"/>
            <w:vAlign w:val="center"/>
          </w:tcPr>
          <w:p w14:paraId="29FFCA61"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3 690 150</w:t>
            </w:r>
          </w:p>
        </w:tc>
      </w:tr>
      <w:tr w:rsidR="0005266E" w:rsidRPr="007C5A6E" w14:paraId="0BE61BB5" w14:textId="77777777" w:rsidTr="0005266E">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09DDC246"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Centre</w:t>
            </w:r>
          </w:p>
        </w:tc>
        <w:tc>
          <w:tcPr>
            <w:tcW w:w="851" w:type="dxa"/>
            <w:vAlign w:val="center"/>
            <w:hideMark/>
          </w:tcPr>
          <w:p w14:paraId="1B72A4EA"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50</w:t>
            </w:r>
          </w:p>
        </w:tc>
        <w:tc>
          <w:tcPr>
            <w:tcW w:w="851" w:type="dxa"/>
            <w:vAlign w:val="center"/>
            <w:hideMark/>
          </w:tcPr>
          <w:p w14:paraId="182D624D"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112</w:t>
            </w:r>
          </w:p>
        </w:tc>
        <w:tc>
          <w:tcPr>
            <w:tcW w:w="850" w:type="dxa"/>
            <w:vAlign w:val="center"/>
            <w:hideMark/>
          </w:tcPr>
          <w:p w14:paraId="2020EDC7"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163</w:t>
            </w:r>
          </w:p>
        </w:tc>
        <w:tc>
          <w:tcPr>
            <w:tcW w:w="850" w:type="dxa"/>
            <w:vAlign w:val="center"/>
            <w:hideMark/>
          </w:tcPr>
          <w:p w14:paraId="2A4EC1E9"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68</w:t>
            </w:r>
          </w:p>
        </w:tc>
        <w:tc>
          <w:tcPr>
            <w:tcW w:w="850" w:type="dxa"/>
            <w:vAlign w:val="center"/>
            <w:hideMark/>
          </w:tcPr>
          <w:p w14:paraId="2A71E096"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79</w:t>
            </w:r>
          </w:p>
        </w:tc>
        <w:tc>
          <w:tcPr>
            <w:tcW w:w="828" w:type="dxa"/>
            <w:vAlign w:val="center"/>
            <w:hideMark/>
          </w:tcPr>
          <w:p w14:paraId="6DC1A545"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51</w:t>
            </w:r>
          </w:p>
        </w:tc>
        <w:tc>
          <w:tcPr>
            <w:tcW w:w="873" w:type="dxa"/>
            <w:vAlign w:val="center"/>
            <w:hideMark/>
          </w:tcPr>
          <w:p w14:paraId="38EE2C8C"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48</w:t>
            </w:r>
          </w:p>
        </w:tc>
        <w:tc>
          <w:tcPr>
            <w:tcW w:w="851" w:type="dxa"/>
            <w:vAlign w:val="center"/>
          </w:tcPr>
          <w:p w14:paraId="242FC0AA"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70C0"/>
                <w:sz w:val="18"/>
                <w:szCs w:val="18"/>
              </w:rPr>
            </w:pPr>
            <w:r w:rsidRPr="007C5A6E">
              <w:rPr>
                <w:rFonts w:ascii="Times New Roman" w:hAnsi="Times New Roman"/>
                <w:color w:val="0070C0"/>
                <w:sz w:val="18"/>
                <w:szCs w:val="18"/>
              </w:rPr>
              <w:t>79</w:t>
            </w:r>
          </w:p>
        </w:tc>
        <w:tc>
          <w:tcPr>
            <w:tcW w:w="1843" w:type="dxa"/>
            <w:vAlign w:val="center"/>
            <w:hideMark/>
          </w:tcPr>
          <w:p w14:paraId="56FF1060"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sz w:val="18"/>
                <w:szCs w:val="18"/>
              </w:rPr>
              <w:t>650</w:t>
            </w:r>
          </w:p>
        </w:tc>
        <w:tc>
          <w:tcPr>
            <w:tcW w:w="2552" w:type="dxa"/>
            <w:vAlign w:val="center"/>
          </w:tcPr>
          <w:p w14:paraId="12240BD1"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2 372 500</w:t>
            </w:r>
          </w:p>
        </w:tc>
      </w:tr>
      <w:tr w:rsidR="0005266E" w:rsidRPr="007C5A6E" w14:paraId="3B4A9201" w14:textId="77777777" w:rsidTr="00457BED">
        <w:trPr>
          <w:trHeight w:val="31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15C1ACDF"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Centre-Est</w:t>
            </w:r>
          </w:p>
        </w:tc>
        <w:tc>
          <w:tcPr>
            <w:tcW w:w="851" w:type="dxa"/>
            <w:vAlign w:val="center"/>
            <w:hideMark/>
          </w:tcPr>
          <w:p w14:paraId="4211B0BE"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232</w:t>
            </w:r>
          </w:p>
        </w:tc>
        <w:tc>
          <w:tcPr>
            <w:tcW w:w="851" w:type="dxa"/>
            <w:vAlign w:val="center"/>
            <w:hideMark/>
          </w:tcPr>
          <w:p w14:paraId="3BB638AC"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312</w:t>
            </w:r>
          </w:p>
        </w:tc>
        <w:tc>
          <w:tcPr>
            <w:tcW w:w="850" w:type="dxa"/>
            <w:vAlign w:val="center"/>
            <w:hideMark/>
          </w:tcPr>
          <w:p w14:paraId="58A8FB8B"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225</w:t>
            </w:r>
          </w:p>
        </w:tc>
        <w:tc>
          <w:tcPr>
            <w:tcW w:w="850" w:type="dxa"/>
            <w:vAlign w:val="center"/>
            <w:hideMark/>
          </w:tcPr>
          <w:p w14:paraId="65C6F443"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197</w:t>
            </w:r>
          </w:p>
        </w:tc>
        <w:tc>
          <w:tcPr>
            <w:tcW w:w="850" w:type="dxa"/>
            <w:vAlign w:val="center"/>
            <w:hideMark/>
          </w:tcPr>
          <w:p w14:paraId="1C959658"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348</w:t>
            </w:r>
          </w:p>
        </w:tc>
        <w:tc>
          <w:tcPr>
            <w:tcW w:w="828" w:type="dxa"/>
            <w:vAlign w:val="center"/>
            <w:hideMark/>
          </w:tcPr>
          <w:p w14:paraId="31B565F1"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317</w:t>
            </w:r>
          </w:p>
        </w:tc>
        <w:tc>
          <w:tcPr>
            <w:tcW w:w="873" w:type="dxa"/>
            <w:vAlign w:val="center"/>
            <w:hideMark/>
          </w:tcPr>
          <w:p w14:paraId="17149C54"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207</w:t>
            </w:r>
          </w:p>
        </w:tc>
        <w:tc>
          <w:tcPr>
            <w:tcW w:w="851" w:type="dxa"/>
            <w:vAlign w:val="center"/>
          </w:tcPr>
          <w:p w14:paraId="0CBE0AD3"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70C0"/>
                <w:sz w:val="18"/>
                <w:szCs w:val="18"/>
              </w:rPr>
            </w:pPr>
            <w:r w:rsidRPr="007C5A6E">
              <w:rPr>
                <w:rFonts w:ascii="Times New Roman" w:hAnsi="Times New Roman"/>
                <w:color w:val="0070C0"/>
                <w:sz w:val="18"/>
                <w:szCs w:val="18"/>
              </w:rPr>
              <w:t>198</w:t>
            </w:r>
          </w:p>
        </w:tc>
        <w:tc>
          <w:tcPr>
            <w:tcW w:w="1843" w:type="dxa"/>
            <w:vAlign w:val="center"/>
            <w:hideMark/>
          </w:tcPr>
          <w:p w14:paraId="71B1FEFD"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sz w:val="18"/>
                <w:szCs w:val="18"/>
              </w:rPr>
              <w:t>2 036</w:t>
            </w:r>
          </w:p>
        </w:tc>
        <w:tc>
          <w:tcPr>
            <w:tcW w:w="2552" w:type="dxa"/>
            <w:vAlign w:val="center"/>
          </w:tcPr>
          <w:p w14:paraId="549034E8"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7 431 400</w:t>
            </w:r>
          </w:p>
        </w:tc>
      </w:tr>
      <w:tr w:rsidR="0005266E" w:rsidRPr="007C5A6E" w14:paraId="72839FC5" w14:textId="77777777" w:rsidTr="0005266E">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36D01584"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Centre-Nord</w:t>
            </w:r>
          </w:p>
        </w:tc>
        <w:tc>
          <w:tcPr>
            <w:tcW w:w="851" w:type="dxa"/>
            <w:vAlign w:val="center"/>
            <w:hideMark/>
          </w:tcPr>
          <w:p w14:paraId="67D64B08"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141</w:t>
            </w:r>
          </w:p>
        </w:tc>
        <w:tc>
          <w:tcPr>
            <w:tcW w:w="851" w:type="dxa"/>
            <w:vAlign w:val="center"/>
            <w:hideMark/>
          </w:tcPr>
          <w:p w14:paraId="23096932"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228</w:t>
            </w:r>
          </w:p>
        </w:tc>
        <w:tc>
          <w:tcPr>
            <w:tcW w:w="850" w:type="dxa"/>
            <w:vAlign w:val="center"/>
            <w:hideMark/>
          </w:tcPr>
          <w:p w14:paraId="3B155D3C"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152</w:t>
            </w:r>
          </w:p>
        </w:tc>
        <w:tc>
          <w:tcPr>
            <w:tcW w:w="850" w:type="dxa"/>
            <w:vAlign w:val="center"/>
            <w:hideMark/>
          </w:tcPr>
          <w:p w14:paraId="3DA697DF"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138</w:t>
            </w:r>
          </w:p>
        </w:tc>
        <w:tc>
          <w:tcPr>
            <w:tcW w:w="850" w:type="dxa"/>
            <w:vAlign w:val="center"/>
            <w:hideMark/>
          </w:tcPr>
          <w:p w14:paraId="3B1D0E05"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292</w:t>
            </w:r>
          </w:p>
        </w:tc>
        <w:tc>
          <w:tcPr>
            <w:tcW w:w="828" w:type="dxa"/>
            <w:vAlign w:val="center"/>
            <w:hideMark/>
          </w:tcPr>
          <w:p w14:paraId="64AF9EA5"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216</w:t>
            </w:r>
          </w:p>
        </w:tc>
        <w:tc>
          <w:tcPr>
            <w:tcW w:w="873" w:type="dxa"/>
            <w:vAlign w:val="center"/>
            <w:hideMark/>
          </w:tcPr>
          <w:p w14:paraId="40660F0F"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214</w:t>
            </w:r>
          </w:p>
        </w:tc>
        <w:tc>
          <w:tcPr>
            <w:tcW w:w="851" w:type="dxa"/>
            <w:vAlign w:val="center"/>
          </w:tcPr>
          <w:p w14:paraId="265C9A9A"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70C0"/>
                <w:sz w:val="18"/>
                <w:szCs w:val="18"/>
              </w:rPr>
            </w:pPr>
            <w:r w:rsidRPr="007C5A6E">
              <w:rPr>
                <w:rFonts w:ascii="Times New Roman" w:hAnsi="Times New Roman"/>
                <w:color w:val="0070C0"/>
                <w:sz w:val="18"/>
                <w:szCs w:val="18"/>
              </w:rPr>
              <w:t>150</w:t>
            </w:r>
          </w:p>
        </w:tc>
        <w:tc>
          <w:tcPr>
            <w:tcW w:w="1843" w:type="dxa"/>
            <w:vAlign w:val="center"/>
            <w:hideMark/>
          </w:tcPr>
          <w:p w14:paraId="49A3CBDA"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sz w:val="18"/>
                <w:szCs w:val="18"/>
              </w:rPr>
              <w:t>1 531</w:t>
            </w:r>
          </w:p>
        </w:tc>
        <w:tc>
          <w:tcPr>
            <w:tcW w:w="2552" w:type="dxa"/>
            <w:vAlign w:val="center"/>
          </w:tcPr>
          <w:p w14:paraId="2BD05618"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5 588 150</w:t>
            </w:r>
          </w:p>
        </w:tc>
      </w:tr>
      <w:tr w:rsidR="0005266E" w:rsidRPr="007C5A6E" w14:paraId="07E06569" w14:textId="77777777" w:rsidTr="00457BED">
        <w:trPr>
          <w:trHeight w:val="31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3E954C97"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Centre-ouest</w:t>
            </w:r>
          </w:p>
        </w:tc>
        <w:tc>
          <w:tcPr>
            <w:tcW w:w="851" w:type="dxa"/>
            <w:vAlign w:val="center"/>
            <w:hideMark/>
          </w:tcPr>
          <w:p w14:paraId="00A818CC"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120</w:t>
            </w:r>
          </w:p>
        </w:tc>
        <w:tc>
          <w:tcPr>
            <w:tcW w:w="851" w:type="dxa"/>
            <w:vAlign w:val="center"/>
            <w:hideMark/>
          </w:tcPr>
          <w:p w14:paraId="4BCBF8B7"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184</w:t>
            </w:r>
          </w:p>
        </w:tc>
        <w:tc>
          <w:tcPr>
            <w:tcW w:w="850" w:type="dxa"/>
            <w:vAlign w:val="center"/>
            <w:hideMark/>
          </w:tcPr>
          <w:p w14:paraId="6B115D92"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245</w:t>
            </w:r>
          </w:p>
        </w:tc>
        <w:tc>
          <w:tcPr>
            <w:tcW w:w="850" w:type="dxa"/>
            <w:vAlign w:val="center"/>
            <w:hideMark/>
          </w:tcPr>
          <w:p w14:paraId="143F8E39"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156</w:t>
            </w:r>
          </w:p>
        </w:tc>
        <w:tc>
          <w:tcPr>
            <w:tcW w:w="850" w:type="dxa"/>
            <w:vAlign w:val="center"/>
            <w:hideMark/>
          </w:tcPr>
          <w:p w14:paraId="653FCEA3"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288</w:t>
            </w:r>
          </w:p>
        </w:tc>
        <w:tc>
          <w:tcPr>
            <w:tcW w:w="828" w:type="dxa"/>
            <w:vAlign w:val="center"/>
            <w:hideMark/>
          </w:tcPr>
          <w:p w14:paraId="5BE72A51"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219</w:t>
            </w:r>
          </w:p>
        </w:tc>
        <w:tc>
          <w:tcPr>
            <w:tcW w:w="873" w:type="dxa"/>
            <w:vAlign w:val="center"/>
            <w:hideMark/>
          </w:tcPr>
          <w:p w14:paraId="4E4F3CDE"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174</w:t>
            </w:r>
          </w:p>
        </w:tc>
        <w:tc>
          <w:tcPr>
            <w:tcW w:w="851" w:type="dxa"/>
            <w:vAlign w:val="center"/>
          </w:tcPr>
          <w:p w14:paraId="50DEE983"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70C0"/>
                <w:sz w:val="18"/>
                <w:szCs w:val="18"/>
              </w:rPr>
            </w:pPr>
            <w:r w:rsidRPr="007C5A6E">
              <w:rPr>
                <w:rFonts w:ascii="Times New Roman" w:hAnsi="Times New Roman"/>
                <w:color w:val="0070C0"/>
                <w:sz w:val="18"/>
                <w:szCs w:val="18"/>
              </w:rPr>
              <w:t>279</w:t>
            </w:r>
          </w:p>
        </w:tc>
        <w:tc>
          <w:tcPr>
            <w:tcW w:w="1843" w:type="dxa"/>
            <w:vAlign w:val="center"/>
            <w:hideMark/>
          </w:tcPr>
          <w:p w14:paraId="12B130C4"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sz w:val="18"/>
                <w:szCs w:val="18"/>
              </w:rPr>
              <w:t>1 665</w:t>
            </w:r>
          </w:p>
        </w:tc>
        <w:tc>
          <w:tcPr>
            <w:tcW w:w="2552" w:type="dxa"/>
            <w:vAlign w:val="center"/>
          </w:tcPr>
          <w:p w14:paraId="32A89171"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6 077 250</w:t>
            </w:r>
          </w:p>
        </w:tc>
      </w:tr>
      <w:tr w:rsidR="0005266E" w:rsidRPr="007C5A6E" w14:paraId="2DEFB607" w14:textId="77777777" w:rsidTr="0005266E">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469F19F4"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Centre-Sud</w:t>
            </w:r>
          </w:p>
        </w:tc>
        <w:tc>
          <w:tcPr>
            <w:tcW w:w="851" w:type="dxa"/>
            <w:vAlign w:val="center"/>
            <w:hideMark/>
          </w:tcPr>
          <w:p w14:paraId="60B370F1"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213</w:t>
            </w:r>
          </w:p>
        </w:tc>
        <w:tc>
          <w:tcPr>
            <w:tcW w:w="851" w:type="dxa"/>
            <w:vAlign w:val="center"/>
            <w:hideMark/>
          </w:tcPr>
          <w:p w14:paraId="5F00BC71"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170</w:t>
            </w:r>
          </w:p>
        </w:tc>
        <w:tc>
          <w:tcPr>
            <w:tcW w:w="850" w:type="dxa"/>
            <w:vAlign w:val="center"/>
            <w:hideMark/>
          </w:tcPr>
          <w:p w14:paraId="3A4A34A9"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195</w:t>
            </w:r>
          </w:p>
        </w:tc>
        <w:tc>
          <w:tcPr>
            <w:tcW w:w="850" w:type="dxa"/>
            <w:vAlign w:val="center"/>
            <w:hideMark/>
          </w:tcPr>
          <w:p w14:paraId="4BD309AA"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200</w:t>
            </w:r>
          </w:p>
        </w:tc>
        <w:tc>
          <w:tcPr>
            <w:tcW w:w="850" w:type="dxa"/>
            <w:vAlign w:val="center"/>
            <w:hideMark/>
          </w:tcPr>
          <w:p w14:paraId="7A26A987"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202</w:t>
            </w:r>
          </w:p>
        </w:tc>
        <w:tc>
          <w:tcPr>
            <w:tcW w:w="828" w:type="dxa"/>
            <w:vAlign w:val="center"/>
            <w:hideMark/>
          </w:tcPr>
          <w:p w14:paraId="38429A07"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172</w:t>
            </w:r>
          </w:p>
        </w:tc>
        <w:tc>
          <w:tcPr>
            <w:tcW w:w="873" w:type="dxa"/>
            <w:vAlign w:val="center"/>
            <w:hideMark/>
          </w:tcPr>
          <w:p w14:paraId="6E1BCD4A"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169</w:t>
            </w:r>
          </w:p>
        </w:tc>
        <w:tc>
          <w:tcPr>
            <w:tcW w:w="851" w:type="dxa"/>
            <w:vAlign w:val="center"/>
          </w:tcPr>
          <w:p w14:paraId="3B9F8C6A"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70C0"/>
                <w:sz w:val="18"/>
                <w:szCs w:val="18"/>
              </w:rPr>
            </w:pPr>
            <w:r w:rsidRPr="007C5A6E">
              <w:rPr>
                <w:rFonts w:ascii="Times New Roman" w:hAnsi="Times New Roman"/>
                <w:color w:val="0070C0"/>
                <w:sz w:val="18"/>
                <w:szCs w:val="18"/>
              </w:rPr>
              <w:t>130</w:t>
            </w:r>
          </w:p>
        </w:tc>
        <w:tc>
          <w:tcPr>
            <w:tcW w:w="1843" w:type="dxa"/>
            <w:vAlign w:val="center"/>
            <w:hideMark/>
          </w:tcPr>
          <w:p w14:paraId="72DA9426"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sz w:val="18"/>
                <w:szCs w:val="18"/>
              </w:rPr>
              <w:t>1 451</w:t>
            </w:r>
          </w:p>
        </w:tc>
        <w:tc>
          <w:tcPr>
            <w:tcW w:w="2552" w:type="dxa"/>
            <w:vAlign w:val="center"/>
          </w:tcPr>
          <w:p w14:paraId="4672673F"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5 296 150</w:t>
            </w:r>
          </w:p>
        </w:tc>
      </w:tr>
      <w:tr w:rsidR="0005266E" w:rsidRPr="007C5A6E" w14:paraId="221993B8" w14:textId="77777777" w:rsidTr="00457BED">
        <w:trPr>
          <w:trHeight w:val="31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6026F1B9"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Est</w:t>
            </w:r>
          </w:p>
        </w:tc>
        <w:tc>
          <w:tcPr>
            <w:tcW w:w="851" w:type="dxa"/>
            <w:vAlign w:val="center"/>
            <w:hideMark/>
          </w:tcPr>
          <w:p w14:paraId="5114357A"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186</w:t>
            </w:r>
          </w:p>
        </w:tc>
        <w:tc>
          <w:tcPr>
            <w:tcW w:w="851" w:type="dxa"/>
            <w:vAlign w:val="center"/>
            <w:hideMark/>
          </w:tcPr>
          <w:p w14:paraId="0F54590C"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253</w:t>
            </w:r>
          </w:p>
        </w:tc>
        <w:tc>
          <w:tcPr>
            <w:tcW w:w="850" w:type="dxa"/>
            <w:vAlign w:val="center"/>
            <w:hideMark/>
          </w:tcPr>
          <w:p w14:paraId="31E8DF07"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218</w:t>
            </w:r>
          </w:p>
        </w:tc>
        <w:tc>
          <w:tcPr>
            <w:tcW w:w="850" w:type="dxa"/>
            <w:vAlign w:val="center"/>
            <w:hideMark/>
          </w:tcPr>
          <w:p w14:paraId="4DC0D5D3"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272</w:t>
            </w:r>
          </w:p>
        </w:tc>
        <w:tc>
          <w:tcPr>
            <w:tcW w:w="850" w:type="dxa"/>
            <w:vAlign w:val="center"/>
            <w:hideMark/>
          </w:tcPr>
          <w:p w14:paraId="79D7E806"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304</w:t>
            </w:r>
          </w:p>
        </w:tc>
        <w:tc>
          <w:tcPr>
            <w:tcW w:w="828" w:type="dxa"/>
            <w:vAlign w:val="center"/>
            <w:hideMark/>
          </w:tcPr>
          <w:p w14:paraId="6AED2F5B"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257</w:t>
            </w:r>
          </w:p>
        </w:tc>
        <w:tc>
          <w:tcPr>
            <w:tcW w:w="873" w:type="dxa"/>
            <w:vAlign w:val="center"/>
            <w:hideMark/>
          </w:tcPr>
          <w:p w14:paraId="283E9598"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109</w:t>
            </w:r>
          </w:p>
        </w:tc>
        <w:tc>
          <w:tcPr>
            <w:tcW w:w="851" w:type="dxa"/>
            <w:vAlign w:val="center"/>
          </w:tcPr>
          <w:p w14:paraId="03FDB27A"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70C0"/>
                <w:sz w:val="18"/>
                <w:szCs w:val="18"/>
              </w:rPr>
            </w:pPr>
            <w:r w:rsidRPr="007C5A6E">
              <w:rPr>
                <w:rFonts w:ascii="Times New Roman" w:hAnsi="Times New Roman"/>
                <w:color w:val="0070C0"/>
                <w:sz w:val="18"/>
                <w:szCs w:val="18"/>
              </w:rPr>
              <w:t>74</w:t>
            </w:r>
          </w:p>
        </w:tc>
        <w:tc>
          <w:tcPr>
            <w:tcW w:w="1843" w:type="dxa"/>
            <w:vAlign w:val="center"/>
            <w:hideMark/>
          </w:tcPr>
          <w:p w14:paraId="36B4A606"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sz w:val="18"/>
                <w:szCs w:val="18"/>
              </w:rPr>
              <w:t>1 673</w:t>
            </w:r>
          </w:p>
        </w:tc>
        <w:tc>
          <w:tcPr>
            <w:tcW w:w="2552" w:type="dxa"/>
            <w:vAlign w:val="center"/>
          </w:tcPr>
          <w:p w14:paraId="4B51F465"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6 106 450</w:t>
            </w:r>
          </w:p>
        </w:tc>
      </w:tr>
      <w:tr w:rsidR="0005266E" w:rsidRPr="007C5A6E" w14:paraId="4799BFEC" w14:textId="77777777" w:rsidTr="0005266E">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4A44C931"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Hauts-Bassins</w:t>
            </w:r>
          </w:p>
        </w:tc>
        <w:tc>
          <w:tcPr>
            <w:tcW w:w="851" w:type="dxa"/>
            <w:vAlign w:val="center"/>
            <w:hideMark/>
          </w:tcPr>
          <w:p w14:paraId="4BE7445A"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64</w:t>
            </w:r>
          </w:p>
        </w:tc>
        <w:tc>
          <w:tcPr>
            <w:tcW w:w="851" w:type="dxa"/>
            <w:vAlign w:val="center"/>
            <w:hideMark/>
          </w:tcPr>
          <w:p w14:paraId="02360B96"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171</w:t>
            </w:r>
          </w:p>
        </w:tc>
        <w:tc>
          <w:tcPr>
            <w:tcW w:w="850" w:type="dxa"/>
            <w:vAlign w:val="center"/>
            <w:hideMark/>
          </w:tcPr>
          <w:p w14:paraId="6E6739A1"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282</w:t>
            </w:r>
          </w:p>
        </w:tc>
        <w:tc>
          <w:tcPr>
            <w:tcW w:w="850" w:type="dxa"/>
            <w:vAlign w:val="center"/>
            <w:hideMark/>
          </w:tcPr>
          <w:p w14:paraId="091AC1EA"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118</w:t>
            </w:r>
          </w:p>
        </w:tc>
        <w:tc>
          <w:tcPr>
            <w:tcW w:w="850" w:type="dxa"/>
            <w:vAlign w:val="center"/>
            <w:hideMark/>
          </w:tcPr>
          <w:p w14:paraId="628DF21E"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292</w:t>
            </w:r>
          </w:p>
        </w:tc>
        <w:tc>
          <w:tcPr>
            <w:tcW w:w="828" w:type="dxa"/>
            <w:vAlign w:val="center"/>
            <w:hideMark/>
          </w:tcPr>
          <w:p w14:paraId="7A8E4701"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154</w:t>
            </w:r>
          </w:p>
        </w:tc>
        <w:tc>
          <w:tcPr>
            <w:tcW w:w="873" w:type="dxa"/>
            <w:vAlign w:val="center"/>
            <w:hideMark/>
          </w:tcPr>
          <w:p w14:paraId="3F46F6F6"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162</w:t>
            </w:r>
          </w:p>
        </w:tc>
        <w:tc>
          <w:tcPr>
            <w:tcW w:w="851" w:type="dxa"/>
            <w:vAlign w:val="center"/>
          </w:tcPr>
          <w:p w14:paraId="207D101D"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70C0"/>
                <w:sz w:val="18"/>
                <w:szCs w:val="18"/>
              </w:rPr>
            </w:pPr>
            <w:r w:rsidRPr="007C5A6E">
              <w:rPr>
                <w:rFonts w:ascii="Times New Roman" w:hAnsi="Times New Roman"/>
                <w:color w:val="0070C0"/>
                <w:sz w:val="18"/>
                <w:szCs w:val="18"/>
              </w:rPr>
              <w:t>76</w:t>
            </w:r>
          </w:p>
        </w:tc>
        <w:tc>
          <w:tcPr>
            <w:tcW w:w="1843" w:type="dxa"/>
            <w:vAlign w:val="center"/>
            <w:hideMark/>
          </w:tcPr>
          <w:p w14:paraId="78DFECB7"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sz w:val="18"/>
                <w:szCs w:val="18"/>
              </w:rPr>
              <w:t>1 319</w:t>
            </w:r>
          </w:p>
        </w:tc>
        <w:tc>
          <w:tcPr>
            <w:tcW w:w="2552" w:type="dxa"/>
            <w:vAlign w:val="center"/>
          </w:tcPr>
          <w:p w14:paraId="418933EC"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4 814 350</w:t>
            </w:r>
          </w:p>
        </w:tc>
      </w:tr>
      <w:tr w:rsidR="0005266E" w:rsidRPr="007C5A6E" w14:paraId="2100265A" w14:textId="77777777" w:rsidTr="00457BED">
        <w:trPr>
          <w:trHeight w:val="31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70649CBE"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Nord</w:t>
            </w:r>
          </w:p>
        </w:tc>
        <w:tc>
          <w:tcPr>
            <w:tcW w:w="851" w:type="dxa"/>
            <w:vAlign w:val="center"/>
            <w:hideMark/>
          </w:tcPr>
          <w:p w14:paraId="5EDE2752"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127</w:t>
            </w:r>
          </w:p>
        </w:tc>
        <w:tc>
          <w:tcPr>
            <w:tcW w:w="851" w:type="dxa"/>
            <w:vAlign w:val="center"/>
            <w:hideMark/>
          </w:tcPr>
          <w:p w14:paraId="0B977033"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135</w:t>
            </w:r>
          </w:p>
        </w:tc>
        <w:tc>
          <w:tcPr>
            <w:tcW w:w="850" w:type="dxa"/>
            <w:vAlign w:val="center"/>
            <w:hideMark/>
          </w:tcPr>
          <w:p w14:paraId="4BB80E39"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149</w:t>
            </w:r>
          </w:p>
        </w:tc>
        <w:tc>
          <w:tcPr>
            <w:tcW w:w="850" w:type="dxa"/>
            <w:vAlign w:val="center"/>
            <w:hideMark/>
          </w:tcPr>
          <w:p w14:paraId="6F06754C"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132</w:t>
            </w:r>
          </w:p>
        </w:tc>
        <w:tc>
          <w:tcPr>
            <w:tcW w:w="850" w:type="dxa"/>
            <w:vAlign w:val="center"/>
            <w:hideMark/>
          </w:tcPr>
          <w:p w14:paraId="65CEE795"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159</w:t>
            </w:r>
          </w:p>
        </w:tc>
        <w:tc>
          <w:tcPr>
            <w:tcW w:w="828" w:type="dxa"/>
            <w:vAlign w:val="center"/>
            <w:hideMark/>
          </w:tcPr>
          <w:p w14:paraId="4D972C73"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143</w:t>
            </w:r>
          </w:p>
        </w:tc>
        <w:tc>
          <w:tcPr>
            <w:tcW w:w="873" w:type="dxa"/>
            <w:vAlign w:val="center"/>
            <w:hideMark/>
          </w:tcPr>
          <w:p w14:paraId="3B911224"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181</w:t>
            </w:r>
          </w:p>
        </w:tc>
        <w:tc>
          <w:tcPr>
            <w:tcW w:w="851" w:type="dxa"/>
            <w:vAlign w:val="center"/>
          </w:tcPr>
          <w:p w14:paraId="4771CB2A"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70C0"/>
                <w:sz w:val="18"/>
                <w:szCs w:val="18"/>
              </w:rPr>
            </w:pPr>
            <w:r w:rsidRPr="007C5A6E">
              <w:rPr>
                <w:rFonts w:ascii="Times New Roman" w:hAnsi="Times New Roman"/>
                <w:color w:val="0070C0"/>
                <w:sz w:val="18"/>
                <w:szCs w:val="18"/>
              </w:rPr>
              <w:t>142</w:t>
            </w:r>
          </w:p>
        </w:tc>
        <w:tc>
          <w:tcPr>
            <w:tcW w:w="1843" w:type="dxa"/>
            <w:vAlign w:val="center"/>
            <w:hideMark/>
          </w:tcPr>
          <w:p w14:paraId="738BED29"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sz w:val="18"/>
                <w:szCs w:val="18"/>
              </w:rPr>
              <w:t>1 168</w:t>
            </w:r>
          </w:p>
        </w:tc>
        <w:tc>
          <w:tcPr>
            <w:tcW w:w="2552" w:type="dxa"/>
            <w:vAlign w:val="center"/>
          </w:tcPr>
          <w:p w14:paraId="5A16351B"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4 263 200</w:t>
            </w:r>
          </w:p>
        </w:tc>
      </w:tr>
      <w:tr w:rsidR="0005266E" w:rsidRPr="007C5A6E" w14:paraId="0FED6033" w14:textId="77777777" w:rsidTr="0005266E">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1DCC007F"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Plateau Central</w:t>
            </w:r>
          </w:p>
        </w:tc>
        <w:tc>
          <w:tcPr>
            <w:tcW w:w="851" w:type="dxa"/>
            <w:vAlign w:val="center"/>
            <w:hideMark/>
          </w:tcPr>
          <w:p w14:paraId="363BCBA6"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101</w:t>
            </w:r>
          </w:p>
        </w:tc>
        <w:tc>
          <w:tcPr>
            <w:tcW w:w="851" w:type="dxa"/>
            <w:vAlign w:val="center"/>
            <w:hideMark/>
          </w:tcPr>
          <w:p w14:paraId="2F006C08"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159</w:t>
            </w:r>
          </w:p>
        </w:tc>
        <w:tc>
          <w:tcPr>
            <w:tcW w:w="850" w:type="dxa"/>
            <w:vAlign w:val="center"/>
            <w:hideMark/>
          </w:tcPr>
          <w:p w14:paraId="3E3D48BF"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151</w:t>
            </w:r>
          </w:p>
        </w:tc>
        <w:tc>
          <w:tcPr>
            <w:tcW w:w="850" w:type="dxa"/>
            <w:vAlign w:val="center"/>
            <w:hideMark/>
          </w:tcPr>
          <w:p w14:paraId="501C990F"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92</w:t>
            </w:r>
          </w:p>
        </w:tc>
        <w:tc>
          <w:tcPr>
            <w:tcW w:w="850" w:type="dxa"/>
            <w:vAlign w:val="center"/>
            <w:hideMark/>
          </w:tcPr>
          <w:p w14:paraId="7428ADD6"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213</w:t>
            </w:r>
          </w:p>
        </w:tc>
        <w:tc>
          <w:tcPr>
            <w:tcW w:w="828" w:type="dxa"/>
            <w:vAlign w:val="center"/>
            <w:hideMark/>
          </w:tcPr>
          <w:p w14:paraId="57A1DF54"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196</w:t>
            </w:r>
          </w:p>
        </w:tc>
        <w:tc>
          <w:tcPr>
            <w:tcW w:w="873" w:type="dxa"/>
            <w:vAlign w:val="center"/>
            <w:hideMark/>
          </w:tcPr>
          <w:p w14:paraId="78018BA1"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129</w:t>
            </w:r>
          </w:p>
        </w:tc>
        <w:tc>
          <w:tcPr>
            <w:tcW w:w="851" w:type="dxa"/>
            <w:vAlign w:val="center"/>
          </w:tcPr>
          <w:p w14:paraId="6E5691D4"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70C0"/>
                <w:sz w:val="18"/>
                <w:szCs w:val="18"/>
              </w:rPr>
            </w:pPr>
            <w:r w:rsidRPr="007C5A6E">
              <w:rPr>
                <w:rFonts w:ascii="Times New Roman" w:hAnsi="Times New Roman"/>
                <w:color w:val="0070C0"/>
                <w:sz w:val="18"/>
                <w:szCs w:val="18"/>
              </w:rPr>
              <w:t>186</w:t>
            </w:r>
          </w:p>
        </w:tc>
        <w:tc>
          <w:tcPr>
            <w:tcW w:w="1843" w:type="dxa"/>
            <w:vAlign w:val="center"/>
            <w:hideMark/>
          </w:tcPr>
          <w:p w14:paraId="0A25530D"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sz w:val="18"/>
                <w:szCs w:val="18"/>
              </w:rPr>
              <w:t>1 227</w:t>
            </w:r>
          </w:p>
        </w:tc>
        <w:tc>
          <w:tcPr>
            <w:tcW w:w="2552" w:type="dxa"/>
            <w:vAlign w:val="center"/>
          </w:tcPr>
          <w:p w14:paraId="54EFD5E4"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4 478 550</w:t>
            </w:r>
          </w:p>
        </w:tc>
      </w:tr>
      <w:tr w:rsidR="0005266E" w:rsidRPr="007C5A6E" w14:paraId="43814BBF" w14:textId="77777777" w:rsidTr="00457BED">
        <w:trPr>
          <w:trHeight w:val="31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20904C3C"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Sahel</w:t>
            </w:r>
          </w:p>
        </w:tc>
        <w:tc>
          <w:tcPr>
            <w:tcW w:w="851" w:type="dxa"/>
            <w:vAlign w:val="center"/>
            <w:hideMark/>
          </w:tcPr>
          <w:p w14:paraId="5AC96D1E"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86</w:t>
            </w:r>
          </w:p>
        </w:tc>
        <w:tc>
          <w:tcPr>
            <w:tcW w:w="851" w:type="dxa"/>
            <w:vAlign w:val="center"/>
            <w:hideMark/>
          </w:tcPr>
          <w:p w14:paraId="7C6BF122"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165</w:t>
            </w:r>
          </w:p>
        </w:tc>
        <w:tc>
          <w:tcPr>
            <w:tcW w:w="850" w:type="dxa"/>
            <w:vAlign w:val="center"/>
            <w:hideMark/>
          </w:tcPr>
          <w:p w14:paraId="540EB25E"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108</w:t>
            </w:r>
          </w:p>
        </w:tc>
        <w:tc>
          <w:tcPr>
            <w:tcW w:w="850" w:type="dxa"/>
            <w:vAlign w:val="center"/>
            <w:hideMark/>
          </w:tcPr>
          <w:p w14:paraId="52DD944B"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127</w:t>
            </w:r>
          </w:p>
        </w:tc>
        <w:tc>
          <w:tcPr>
            <w:tcW w:w="850" w:type="dxa"/>
            <w:vAlign w:val="center"/>
            <w:hideMark/>
          </w:tcPr>
          <w:p w14:paraId="198EDA6A"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68</w:t>
            </w:r>
          </w:p>
        </w:tc>
        <w:tc>
          <w:tcPr>
            <w:tcW w:w="828" w:type="dxa"/>
            <w:vAlign w:val="center"/>
            <w:hideMark/>
          </w:tcPr>
          <w:p w14:paraId="185DCDD5"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45</w:t>
            </w:r>
          </w:p>
        </w:tc>
        <w:tc>
          <w:tcPr>
            <w:tcW w:w="873" w:type="dxa"/>
            <w:vAlign w:val="center"/>
            <w:hideMark/>
          </w:tcPr>
          <w:p w14:paraId="61AE1621"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55</w:t>
            </w:r>
          </w:p>
        </w:tc>
        <w:tc>
          <w:tcPr>
            <w:tcW w:w="851" w:type="dxa"/>
            <w:vAlign w:val="center"/>
          </w:tcPr>
          <w:p w14:paraId="6E93E134"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70C0"/>
                <w:sz w:val="18"/>
                <w:szCs w:val="18"/>
              </w:rPr>
            </w:pPr>
            <w:r w:rsidRPr="007C5A6E">
              <w:rPr>
                <w:rFonts w:ascii="Times New Roman" w:hAnsi="Times New Roman"/>
                <w:color w:val="0070C0"/>
                <w:sz w:val="18"/>
                <w:szCs w:val="18"/>
              </w:rPr>
              <w:t>38</w:t>
            </w:r>
          </w:p>
        </w:tc>
        <w:tc>
          <w:tcPr>
            <w:tcW w:w="1843" w:type="dxa"/>
            <w:vAlign w:val="center"/>
            <w:hideMark/>
          </w:tcPr>
          <w:p w14:paraId="3A337357"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sz w:val="18"/>
                <w:szCs w:val="18"/>
              </w:rPr>
              <w:t>692</w:t>
            </w:r>
          </w:p>
        </w:tc>
        <w:tc>
          <w:tcPr>
            <w:tcW w:w="2552" w:type="dxa"/>
            <w:vAlign w:val="center"/>
          </w:tcPr>
          <w:p w14:paraId="62DC965D"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2 525 800</w:t>
            </w:r>
          </w:p>
        </w:tc>
      </w:tr>
      <w:tr w:rsidR="0005266E" w:rsidRPr="007C5A6E" w14:paraId="032B2BB9" w14:textId="77777777" w:rsidTr="0005266E">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5243AFAF"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Sud-Ouest</w:t>
            </w:r>
          </w:p>
        </w:tc>
        <w:tc>
          <w:tcPr>
            <w:tcW w:w="851" w:type="dxa"/>
            <w:vAlign w:val="center"/>
            <w:hideMark/>
          </w:tcPr>
          <w:p w14:paraId="09B7A97D"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115</w:t>
            </w:r>
          </w:p>
        </w:tc>
        <w:tc>
          <w:tcPr>
            <w:tcW w:w="851" w:type="dxa"/>
            <w:vAlign w:val="center"/>
            <w:hideMark/>
          </w:tcPr>
          <w:p w14:paraId="65EDDCE0"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132</w:t>
            </w:r>
          </w:p>
        </w:tc>
        <w:tc>
          <w:tcPr>
            <w:tcW w:w="850" w:type="dxa"/>
            <w:vAlign w:val="center"/>
            <w:hideMark/>
          </w:tcPr>
          <w:p w14:paraId="713F6D9D"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185</w:t>
            </w:r>
          </w:p>
        </w:tc>
        <w:tc>
          <w:tcPr>
            <w:tcW w:w="850" w:type="dxa"/>
            <w:vAlign w:val="center"/>
            <w:hideMark/>
          </w:tcPr>
          <w:p w14:paraId="295D23FC"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112</w:t>
            </w:r>
          </w:p>
        </w:tc>
        <w:tc>
          <w:tcPr>
            <w:tcW w:w="850" w:type="dxa"/>
            <w:vAlign w:val="center"/>
            <w:hideMark/>
          </w:tcPr>
          <w:p w14:paraId="753A4F70"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305</w:t>
            </w:r>
          </w:p>
        </w:tc>
        <w:tc>
          <w:tcPr>
            <w:tcW w:w="828" w:type="dxa"/>
            <w:vAlign w:val="center"/>
            <w:hideMark/>
          </w:tcPr>
          <w:p w14:paraId="5906742C"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175</w:t>
            </w:r>
          </w:p>
        </w:tc>
        <w:tc>
          <w:tcPr>
            <w:tcW w:w="873" w:type="dxa"/>
            <w:vAlign w:val="center"/>
            <w:hideMark/>
          </w:tcPr>
          <w:p w14:paraId="67A398D2"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119</w:t>
            </w:r>
          </w:p>
        </w:tc>
        <w:tc>
          <w:tcPr>
            <w:tcW w:w="851" w:type="dxa"/>
            <w:vAlign w:val="center"/>
          </w:tcPr>
          <w:p w14:paraId="0A2A8C28"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70C0"/>
                <w:sz w:val="18"/>
                <w:szCs w:val="18"/>
              </w:rPr>
            </w:pPr>
            <w:r w:rsidRPr="007C5A6E">
              <w:rPr>
                <w:rFonts w:ascii="Times New Roman" w:hAnsi="Times New Roman"/>
                <w:color w:val="0070C0"/>
                <w:sz w:val="18"/>
                <w:szCs w:val="18"/>
              </w:rPr>
              <w:t>133</w:t>
            </w:r>
          </w:p>
        </w:tc>
        <w:tc>
          <w:tcPr>
            <w:tcW w:w="1843" w:type="dxa"/>
            <w:vAlign w:val="center"/>
            <w:hideMark/>
          </w:tcPr>
          <w:p w14:paraId="1D4F822C"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sz w:val="18"/>
                <w:szCs w:val="18"/>
              </w:rPr>
              <w:t>1 276</w:t>
            </w:r>
          </w:p>
        </w:tc>
        <w:tc>
          <w:tcPr>
            <w:tcW w:w="2552" w:type="dxa"/>
            <w:vAlign w:val="center"/>
          </w:tcPr>
          <w:p w14:paraId="0E4188D6"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4 657 400</w:t>
            </w:r>
          </w:p>
        </w:tc>
      </w:tr>
      <w:tr w:rsidR="0005266E" w:rsidRPr="007C5A6E" w14:paraId="47809EBC" w14:textId="77777777" w:rsidTr="00457BED">
        <w:trPr>
          <w:trHeight w:val="600"/>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2A39119B"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Total</w:t>
            </w:r>
          </w:p>
        </w:tc>
        <w:tc>
          <w:tcPr>
            <w:tcW w:w="851" w:type="dxa"/>
            <w:vAlign w:val="center"/>
            <w:hideMark/>
          </w:tcPr>
          <w:p w14:paraId="6A652008"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1 619</w:t>
            </w:r>
          </w:p>
        </w:tc>
        <w:tc>
          <w:tcPr>
            <w:tcW w:w="851" w:type="dxa"/>
            <w:vAlign w:val="center"/>
            <w:hideMark/>
          </w:tcPr>
          <w:p w14:paraId="448AB0A4"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2 336</w:t>
            </w:r>
          </w:p>
        </w:tc>
        <w:tc>
          <w:tcPr>
            <w:tcW w:w="850" w:type="dxa"/>
            <w:vAlign w:val="center"/>
            <w:hideMark/>
          </w:tcPr>
          <w:p w14:paraId="17A76656"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2 491</w:t>
            </w:r>
          </w:p>
        </w:tc>
        <w:tc>
          <w:tcPr>
            <w:tcW w:w="850" w:type="dxa"/>
            <w:vAlign w:val="center"/>
            <w:hideMark/>
          </w:tcPr>
          <w:p w14:paraId="0C0DB428"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1 843</w:t>
            </w:r>
          </w:p>
        </w:tc>
        <w:tc>
          <w:tcPr>
            <w:tcW w:w="850" w:type="dxa"/>
            <w:vAlign w:val="center"/>
            <w:hideMark/>
          </w:tcPr>
          <w:p w14:paraId="04C51DE1"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3 056</w:t>
            </w:r>
          </w:p>
        </w:tc>
        <w:tc>
          <w:tcPr>
            <w:tcW w:w="828" w:type="dxa"/>
            <w:vAlign w:val="center"/>
            <w:hideMark/>
          </w:tcPr>
          <w:p w14:paraId="1917EED2"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2 505</w:t>
            </w:r>
          </w:p>
        </w:tc>
        <w:tc>
          <w:tcPr>
            <w:tcW w:w="873" w:type="dxa"/>
            <w:vAlign w:val="center"/>
            <w:hideMark/>
          </w:tcPr>
          <w:p w14:paraId="4631BCF7"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1 893</w:t>
            </w:r>
          </w:p>
        </w:tc>
        <w:tc>
          <w:tcPr>
            <w:tcW w:w="851" w:type="dxa"/>
            <w:vAlign w:val="center"/>
          </w:tcPr>
          <w:p w14:paraId="7D2B1EED"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70C0"/>
                <w:sz w:val="18"/>
                <w:szCs w:val="18"/>
              </w:rPr>
            </w:pPr>
            <w:r w:rsidRPr="007C5A6E">
              <w:rPr>
                <w:rFonts w:ascii="Times New Roman" w:hAnsi="Times New Roman"/>
                <w:b/>
                <w:bCs/>
                <w:color w:val="0070C0"/>
                <w:sz w:val="18"/>
                <w:szCs w:val="18"/>
              </w:rPr>
              <w:t>1 683</w:t>
            </w:r>
          </w:p>
        </w:tc>
        <w:tc>
          <w:tcPr>
            <w:tcW w:w="1843" w:type="dxa"/>
            <w:vAlign w:val="center"/>
            <w:hideMark/>
          </w:tcPr>
          <w:p w14:paraId="7A4E6A12"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sz w:val="18"/>
                <w:szCs w:val="18"/>
              </w:rPr>
              <w:t>17 426</w:t>
            </w:r>
          </w:p>
        </w:tc>
        <w:tc>
          <w:tcPr>
            <w:tcW w:w="2552" w:type="dxa"/>
            <w:vAlign w:val="center"/>
          </w:tcPr>
          <w:p w14:paraId="2D483E09"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63 604 900</w:t>
            </w:r>
          </w:p>
        </w:tc>
      </w:tr>
    </w:tbl>
    <w:p w14:paraId="2C56665E" w14:textId="77777777" w:rsidR="0005266E" w:rsidRPr="007C5A6E" w:rsidRDefault="0005266E" w:rsidP="009969E0">
      <w:pPr>
        <w:spacing w:after="0" w:line="240" w:lineRule="auto"/>
        <w:rPr>
          <w:rFonts w:ascii="Times New Roman" w:hAnsi="Times New Roman"/>
          <w:sz w:val="20"/>
          <w:szCs w:val="20"/>
        </w:rPr>
      </w:pPr>
      <w:r w:rsidRPr="007C5A6E">
        <w:rPr>
          <w:rFonts w:ascii="Times New Roman" w:hAnsi="Times New Roman"/>
          <w:sz w:val="20"/>
          <w:szCs w:val="20"/>
        </w:rPr>
        <w:t>Source : DGEP- INO 2014 à 2023</w:t>
      </w:r>
    </w:p>
    <w:p w14:paraId="09A1F659" w14:textId="77777777" w:rsidR="0005266E" w:rsidRPr="007C5A6E" w:rsidRDefault="0005266E" w:rsidP="009969E0">
      <w:pPr>
        <w:spacing w:after="0" w:line="240" w:lineRule="auto"/>
        <w:rPr>
          <w:rFonts w:ascii="Times New Roman" w:hAnsi="Times New Roman"/>
          <w:sz w:val="20"/>
          <w:szCs w:val="20"/>
        </w:rPr>
      </w:pPr>
      <w:r w:rsidRPr="007C5A6E">
        <w:rPr>
          <w:rFonts w:ascii="Times New Roman" w:hAnsi="Times New Roman"/>
          <w:sz w:val="20"/>
          <w:szCs w:val="20"/>
        </w:rPr>
        <w:t>Hypothèses indicatives : prélèvement de 10 m3/jour par PMH et 100 m3/jour par AEPS/PEA</w:t>
      </w:r>
    </w:p>
    <w:p w14:paraId="257471C6" w14:textId="77777777" w:rsidR="0005266E" w:rsidRPr="007C5A6E" w:rsidRDefault="0005266E" w:rsidP="009969E0">
      <w:pPr>
        <w:spacing w:after="0" w:line="240" w:lineRule="auto"/>
        <w:rPr>
          <w:rFonts w:ascii="Times New Roman" w:hAnsi="Times New Roman"/>
          <w:sz w:val="24"/>
          <w:szCs w:val="24"/>
        </w:rPr>
      </w:pPr>
    </w:p>
    <w:p w14:paraId="7F3D90AB" w14:textId="77777777" w:rsidR="0005266E" w:rsidRPr="007C5A6E" w:rsidRDefault="0005266E" w:rsidP="009969E0">
      <w:pPr>
        <w:spacing w:after="0" w:line="240" w:lineRule="auto"/>
        <w:rPr>
          <w:rFonts w:ascii="Times New Roman" w:hAnsi="Times New Roman"/>
          <w:color w:val="FF0000"/>
          <w:sz w:val="24"/>
          <w:szCs w:val="24"/>
        </w:rPr>
      </w:pPr>
    </w:p>
    <w:p w14:paraId="77E3E4DB" w14:textId="77777777" w:rsidR="0005266E" w:rsidRPr="007C5A6E" w:rsidRDefault="0005266E" w:rsidP="009969E0">
      <w:pPr>
        <w:tabs>
          <w:tab w:val="left" w:pos="1134"/>
        </w:tabs>
        <w:spacing w:after="0" w:line="240" w:lineRule="auto"/>
        <w:ind w:left="1134" w:hanging="1134"/>
        <w:rPr>
          <w:rFonts w:ascii="Times New Roman" w:hAnsi="Times New Roman"/>
          <w:iCs/>
          <w:sz w:val="24"/>
          <w:szCs w:val="24"/>
          <w:lang w:eastAsia="da-DK"/>
        </w:rPr>
        <w:sectPr w:rsidR="0005266E" w:rsidRPr="007C5A6E" w:rsidSect="006514BA">
          <w:pgSz w:w="11907" w:h="16840" w:orient="landscape" w:code="9"/>
          <w:pgMar w:top="1191" w:right="1361" w:bottom="1191" w:left="1361" w:header="709" w:footer="709" w:gutter="0"/>
          <w:cols w:space="708"/>
          <w:docGrid w:linePitch="360"/>
        </w:sectPr>
      </w:pPr>
      <w:bookmarkStart w:id="507" w:name="_Toc177186212"/>
    </w:p>
    <w:p w14:paraId="7CCFA5C2" w14:textId="5CF450D2" w:rsidR="0005266E" w:rsidRPr="007C5A6E" w:rsidRDefault="0005266E" w:rsidP="009969E0">
      <w:pPr>
        <w:tabs>
          <w:tab w:val="left" w:pos="1134"/>
        </w:tabs>
        <w:spacing w:after="0" w:line="240" w:lineRule="auto"/>
        <w:ind w:left="1134" w:hanging="1134"/>
        <w:rPr>
          <w:rFonts w:ascii="Times New Roman" w:hAnsi="Times New Roman"/>
          <w:iCs/>
          <w:sz w:val="24"/>
          <w:szCs w:val="24"/>
          <w:lang w:eastAsia="da-DK"/>
        </w:rPr>
      </w:pPr>
      <w:bookmarkStart w:id="508" w:name="_Toc182605862"/>
      <w:bookmarkStart w:id="509" w:name="_Toc183240977"/>
      <w:bookmarkStart w:id="510" w:name="_Toc183292219"/>
      <w:bookmarkStart w:id="511" w:name="_Toc183340499"/>
      <w:r w:rsidRPr="007C5A6E">
        <w:rPr>
          <w:rFonts w:ascii="Times New Roman" w:hAnsi="Times New Roman"/>
          <w:iCs/>
          <w:sz w:val="24"/>
          <w:szCs w:val="24"/>
          <w:lang w:eastAsia="da-DK"/>
        </w:rPr>
        <w:t xml:space="preserve">Tableau </w:t>
      </w:r>
      <w:r w:rsidRPr="007C5A6E">
        <w:rPr>
          <w:rFonts w:ascii="Times New Roman" w:hAnsi="Times New Roman"/>
          <w:iCs/>
          <w:sz w:val="24"/>
          <w:szCs w:val="24"/>
          <w:lang w:eastAsia="da-DK"/>
        </w:rPr>
        <w:fldChar w:fldCharType="begin"/>
      </w:r>
      <w:r w:rsidRPr="007C5A6E">
        <w:rPr>
          <w:rFonts w:ascii="Times New Roman" w:hAnsi="Times New Roman"/>
          <w:iCs/>
          <w:sz w:val="24"/>
          <w:szCs w:val="24"/>
          <w:lang w:eastAsia="da-DK"/>
        </w:rPr>
        <w:instrText xml:space="preserve"> SEQ Tableau \* ARABIC </w:instrText>
      </w:r>
      <w:r w:rsidRPr="007C5A6E">
        <w:rPr>
          <w:rFonts w:ascii="Times New Roman" w:hAnsi="Times New Roman"/>
          <w:iCs/>
          <w:sz w:val="24"/>
          <w:szCs w:val="24"/>
          <w:lang w:eastAsia="da-DK"/>
        </w:rPr>
        <w:fldChar w:fldCharType="separate"/>
      </w:r>
      <w:r w:rsidR="003162F8" w:rsidRPr="007C5A6E">
        <w:rPr>
          <w:rFonts w:ascii="Times New Roman" w:hAnsi="Times New Roman"/>
          <w:iCs/>
          <w:noProof/>
          <w:sz w:val="24"/>
          <w:szCs w:val="24"/>
          <w:lang w:eastAsia="da-DK"/>
        </w:rPr>
        <w:t>15</w:t>
      </w:r>
      <w:r w:rsidRPr="007C5A6E">
        <w:rPr>
          <w:rFonts w:ascii="Times New Roman" w:hAnsi="Times New Roman"/>
          <w:iCs/>
          <w:sz w:val="24"/>
          <w:szCs w:val="24"/>
          <w:lang w:eastAsia="da-DK"/>
        </w:rPr>
        <w:fldChar w:fldCharType="end"/>
      </w:r>
      <w:r w:rsidRPr="007C5A6E">
        <w:rPr>
          <w:rFonts w:ascii="Times New Roman" w:hAnsi="Times New Roman"/>
          <w:iCs/>
          <w:sz w:val="24"/>
          <w:szCs w:val="24"/>
          <w:lang w:eastAsia="da-DK"/>
        </w:rPr>
        <w:t> : Réalisations et volumes d’eau prélevables par les systèmes d’Adduction d’Eau Potable Simplifié (AEPS) et de Poste d’Eau Autonome (PEA) en 2022</w:t>
      </w:r>
      <w:bookmarkEnd w:id="507"/>
      <w:bookmarkEnd w:id="508"/>
      <w:bookmarkEnd w:id="509"/>
      <w:bookmarkEnd w:id="510"/>
      <w:bookmarkEnd w:id="511"/>
    </w:p>
    <w:p w14:paraId="095C07D6" w14:textId="77777777" w:rsidR="0044787D" w:rsidRPr="007C5A6E" w:rsidRDefault="0044787D" w:rsidP="009969E0">
      <w:pPr>
        <w:tabs>
          <w:tab w:val="left" w:pos="1134"/>
        </w:tabs>
        <w:spacing w:after="0" w:line="240" w:lineRule="auto"/>
        <w:ind w:left="1134" w:hanging="1134"/>
        <w:rPr>
          <w:rFonts w:ascii="Times New Roman" w:hAnsi="Times New Roman"/>
          <w:iCs/>
          <w:sz w:val="24"/>
          <w:szCs w:val="24"/>
          <w:lang w:eastAsia="da-DK"/>
        </w:rPr>
      </w:pPr>
    </w:p>
    <w:tbl>
      <w:tblPr>
        <w:tblStyle w:val="TableauGrille4-Accentuation11"/>
        <w:tblW w:w="12182" w:type="dxa"/>
        <w:tblLayout w:type="fixed"/>
        <w:tblLook w:val="04A0" w:firstRow="1" w:lastRow="0" w:firstColumn="1" w:lastColumn="0" w:noHBand="0" w:noVBand="1"/>
      </w:tblPr>
      <w:tblGrid>
        <w:gridCol w:w="1413"/>
        <w:gridCol w:w="709"/>
        <w:gridCol w:w="709"/>
        <w:gridCol w:w="709"/>
        <w:gridCol w:w="709"/>
        <w:gridCol w:w="709"/>
        <w:gridCol w:w="708"/>
        <w:gridCol w:w="709"/>
        <w:gridCol w:w="1419"/>
        <w:gridCol w:w="1840"/>
        <w:gridCol w:w="2548"/>
      </w:tblGrid>
      <w:tr w:rsidR="007C5A6E" w:rsidRPr="007C5A6E" w14:paraId="1D8F703E" w14:textId="77777777" w:rsidTr="0005266E">
        <w:trPr>
          <w:cnfStyle w:val="100000000000" w:firstRow="1" w:lastRow="0" w:firstColumn="0" w:lastColumn="0" w:oddVBand="0" w:evenVBand="0" w:oddHBand="0" w:evenHBand="0" w:firstRowFirstColumn="0" w:firstRowLastColumn="0" w:lastRowFirstColumn="0" w:lastRowLastColumn="0"/>
          <w:trHeight w:val="717"/>
        </w:trPr>
        <w:tc>
          <w:tcPr>
            <w:cnfStyle w:val="001000000000" w:firstRow="0" w:lastRow="0" w:firstColumn="1" w:lastColumn="0" w:oddVBand="0" w:evenVBand="0" w:oddHBand="0" w:evenHBand="0" w:firstRowFirstColumn="0" w:firstRowLastColumn="0" w:lastRowFirstColumn="0" w:lastRowLastColumn="0"/>
            <w:tcW w:w="1413" w:type="dxa"/>
            <w:shd w:val="clear" w:color="auto" w:fill="D0CECE"/>
            <w:noWrap/>
            <w:vAlign w:val="center"/>
            <w:hideMark/>
          </w:tcPr>
          <w:p w14:paraId="4516FB96"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REGION</w:t>
            </w:r>
          </w:p>
        </w:tc>
        <w:tc>
          <w:tcPr>
            <w:tcW w:w="709" w:type="dxa"/>
            <w:shd w:val="clear" w:color="auto" w:fill="D0CECE"/>
            <w:noWrap/>
            <w:vAlign w:val="center"/>
            <w:hideMark/>
          </w:tcPr>
          <w:p w14:paraId="1DBE89ED" w14:textId="77777777" w:rsidR="0005266E" w:rsidRPr="007C5A6E" w:rsidRDefault="0005266E" w:rsidP="009969E0">
            <w:pPr>
              <w:tabs>
                <w:tab w:val="left" w:pos="1134"/>
              </w:tabs>
              <w:spacing w:after="0" w:line="240" w:lineRule="auto"/>
              <w:ind w:left="1134" w:hanging="113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7C5A6E">
              <w:rPr>
                <w:rFonts w:ascii="Times New Roman" w:hAnsi="Times New Roman"/>
                <w:color w:val="auto"/>
                <w:sz w:val="18"/>
                <w:szCs w:val="18"/>
              </w:rPr>
              <w:t>2016</w:t>
            </w:r>
          </w:p>
        </w:tc>
        <w:tc>
          <w:tcPr>
            <w:tcW w:w="709" w:type="dxa"/>
            <w:shd w:val="clear" w:color="auto" w:fill="D0CECE"/>
            <w:noWrap/>
            <w:vAlign w:val="center"/>
            <w:hideMark/>
          </w:tcPr>
          <w:p w14:paraId="31BE1A2C" w14:textId="77777777" w:rsidR="0005266E" w:rsidRPr="007C5A6E" w:rsidRDefault="0005266E" w:rsidP="009969E0">
            <w:pPr>
              <w:tabs>
                <w:tab w:val="left" w:pos="1134"/>
              </w:tabs>
              <w:spacing w:after="0" w:line="240" w:lineRule="auto"/>
              <w:ind w:left="1134" w:hanging="113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2017</w:t>
            </w:r>
          </w:p>
        </w:tc>
        <w:tc>
          <w:tcPr>
            <w:tcW w:w="709" w:type="dxa"/>
            <w:shd w:val="clear" w:color="auto" w:fill="D0CECE"/>
            <w:noWrap/>
            <w:vAlign w:val="center"/>
            <w:hideMark/>
          </w:tcPr>
          <w:p w14:paraId="64FED1FD" w14:textId="77777777" w:rsidR="0005266E" w:rsidRPr="007C5A6E" w:rsidRDefault="0005266E" w:rsidP="009969E0">
            <w:pPr>
              <w:tabs>
                <w:tab w:val="left" w:pos="1134"/>
              </w:tabs>
              <w:spacing w:after="0" w:line="240" w:lineRule="auto"/>
              <w:ind w:left="1134" w:hanging="113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2018</w:t>
            </w:r>
          </w:p>
        </w:tc>
        <w:tc>
          <w:tcPr>
            <w:tcW w:w="709" w:type="dxa"/>
            <w:shd w:val="clear" w:color="auto" w:fill="D0CECE"/>
            <w:noWrap/>
            <w:vAlign w:val="center"/>
            <w:hideMark/>
          </w:tcPr>
          <w:p w14:paraId="1ECAC61B" w14:textId="77777777" w:rsidR="0005266E" w:rsidRPr="007C5A6E" w:rsidRDefault="0005266E" w:rsidP="009969E0">
            <w:pPr>
              <w:tabs>
                <w:tab w:val="left" w:pos="1134"/>
              </w:tabs>
              <w:spacing w:after="0" w:line="240" w:lineRule="auto"/>
              <w:ind w:left="1134" w:hanging="113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2019</w:t>
            </w:r>
          </w:p>
        </w:tc>
        <w:tc>
          <w:tcPr>
            <w:tcW w:w="709" w:type="dxa"/>
            <w:shd w:val="clear" w:color="auto" w:fill="D0CECE"/>
            <w:noWrap/>
            <w:vAlign w:val="center"/>
            <w:hideMark/>
          </w:tcPr>
          <w:p w14:paraId="641EC290" w14:textId="77777777" w:rsidR="0005266E" w:rsidRPr="007C5A6E" w:rsidRDefault="0005266E" w:rsidP="009969E0">
            <w:pPr>
              <w:tabs>
                <w:tab w:val="left" w:pos="1134"/>
              </w:tabs>
              <w:spacing w:after="0" w:line="240" w:lineRule="auto"/>
              <w:ind w:left="1134" w:hanging="113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2020</w:t>
            </w:r>
          </w:p>
        </w:tc>
        <w:tc>
          <w:tcPr>
            <w:tcW w:w="708" w:type="dxa"/>
            <w:shd w:val="clear" w:color="auto" w:fill="D0CECE"/>
            <w:vAlign w:val="center"/>
            <w:hideMark/>
          </w:tcPr>
          <w:p w14:paraId="0B1AF677" w14:textId="77777777" w:rsidR="0005266E" w:rsidRPr="007C5A6E" w:rsidRDefault="0005266E" w:rsidP="009969E0">
            <w:pPr>
              <w:tabs>
                <w:tab w:val="left" w:pos="1134"/>
              </w:tabs>
              <w:spacing w:after="0" w:line="240" w:lineRule="auto"/>
              <w:ind w:left="1134" w:hanging="113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2021</w:t>
            </w:r>
          </w:p>
        </w:tc>
        <w:tc>
          <w:tcPr>
            <w:tcW w:w="709" w:type="dxa"/>
            <w:shd w:val="clear" w:color="auto" w:fill="D0CECE"/>
            <w:vAlign w:val="center"/>
            <w:hideMark/>
          </w:tcPr>
          <w:p w14:paraId="246DF924" w14:textId="77777777" w:rsidR="0005266E" w:rsidRPr="007C5A6E" w:rsidRDefault="0005266E" w:rsidP="009969E0">
            <w:pPr>
              <w:tabs>
                <w:tab w:val="left" w:pos="1134"/>
              </w:tabs>
              <w:spacing w:after="0" w:line="240" w:lineRule="auto"/>
              <w:ind w:left="1134" w:hanging="113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7C5A6E">
              <w:rPr>
                <w:rFonts w:ascii="Times New Roman" w:hAnsi="Times New Roman"/>
                <w:color w:val="auto"/>
                <w:sz w:val="18"/>
                <w:szCs w:val="18"/>
              </w:rPr>
              <w:t>2022</w:t>
            </w:r>
          </w:p>
        </w:tc>
        <w:tc>
          <w:tcPr>
            <w:tcW w:w="1419" w:type="dxa"/>
            <w:shd w:val="clear" w:color="auto" w:fill="D0CECE"/>
            <w:vAlign w:val="center"/>
          </w:tcPr>
          <w:p w14:paraId="29FB9F9D" w14:textId="77777777" w:rsidR="0005266E" w:rsidRPr="007C5A6E" w:rsidRDefault="0005266E" w:rsidP="009969E0">
            <w:pPr>
              <w:tabs>
                <w:tab w:val="left" w:pos="1134"/>
              </w:tabs>
              <w:spacing w:after="0" w:line="240" w:lineRule="auto"/>
              <w:ind w:left="1134" w:hanging="113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2023</w:t>
            </w:r>
          </w:p>
        </w:tc>
        <w:tc>
          <w:tcPr>
            <w:tcW w:w="1840" w:type="dxa"/>
            <w:shd w:val="clear" w:color="auto" w:fill="D0CECE"/>
            <w:vAlign w:val="center"/>
            <w:hideMark/>
          </w:tcPr>
          <w:p w14:paraId="35271317" w14:textId="77777777" w:rsidR="0005266E" w:rsidRPr="007C5A6E" w:rsidRDefault="0005266E" w:rsidP="0044787D">
            <w:pPr>
              <w:tabs>
                <w:tab w:val="left" w:pos="1134"/>
              </w:tabs>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Total réalisation 2016-2023</w:t>
            </w:r>
          </w:p>
        </w:tc>
        <w:tc>
          <w:tcPr>
            <w:tcW w:w="2548" w:type="dxa"/>
            <w:shd w:val="clear" w:color="auto" w:fill="D0CECE"/>
            <w:vAlign w:val="center"/>
          </w:tcPr>
          <w:p w14:paraId="37143704" w14:textId="77777777" w:rsidR="0005266E" w:rsidRPr="007C5A6E" w:rsidRDefault="0005266E" w:rsidP="0044787D">
            <w:pPr>
              <w:tabs>
                <w:tab w:val="left" w:pos="1134"/>
              </w:tabs>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7C5A6E">
              <w:rPr>
                <w:rFonts w:ascii="Times New Roman" w:hAnsi="Times New Roman"/>
                <w:color w:val="auto"/>
                <w:sz w:val="18"/>
                <w:szCs w:val="18"/>
              </w:rPr>
              <w:t>Volume d’eau annuel mobilisable (m3)</w:t>
            </w:r>
          </w:p>
        </w:tc>
      </w:tr>
      <w:tr w:rsidR="0005266E" w:rsidRPr="007C5A6E" w14:paraId="5D64E4F5" w14:textId="77777777" w:rsidTr="0005266E">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22D1C18F" w14:textId="77777777" w:rsidR="0005266E" w:rsidRPr="007C5A6E" w:rsidRDefault="0005266E" w:rsidP="0044787D">
            <w:pPr>
              <w:tabs>
                <w:tab w:val="left" w:pos="1134"/>
              </w:tabs>
              <w:spacing w:after="0" w:line="240" w:lineRule="auto"/>
              <w:rPr>
                <w:rFonts w:ascii="Times New Roman" w:hAnsi="Times New Roman"/>
                <w:color w:val="000000"/>
                <w:sz w:val="18"/>
                <w:szCs w:val="18"/>
              </w:rPr>
            </w:pPr>
            <w:r w:rsidRPr="007C5A6E">
              <w:rPr>
                <w:rFonts w:ascii="Times New Roman" w:hAnsi="Times New Roman"/>
                <w:color w:val="000000"/>
                <w:sz w:val="18"/>
                <w:szCs w:val="18"/>
              </w:rPr>
              <w:t>Boucle du Mouhoun</w:t>
            </w:r>
          </w:p>
        </w:tc>
        <w:tc>
          <w:tcPr>
            <w:tcW w:w="709" w:type="dxa"/>
            <w:vAlign w:val="center"/>
            <w:hideMark/>
          </w:tcPr>
          <w:p w14:paraId="63FB45EA"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9</w:t>
            </w:r>
          </w:p>
        </w:tc>
        <w:tc>
          <w:tcPr>
            <w:tcW w:w="709" w:type="dxa"/>
            <w:vAlign w:val="center"/>
            <w:hideMark/>
          </w:tcPr>
          <w:p w14:paraId="39B62056"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18</w:t>
            </w:r>
          </w:p>
        </w:tc>
        <w:tc>
          <w:tcPr>
            <w:tcW w:w="709" w:type="dxa"/>
            <w:vAlign w:val="center"/>
            <w:hideMark/>
          </w:tcPr>
          <w:p w14:paraId="1B036686"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9</w:t>
            </w:r>
          </w:p>
        </w:tc>
        <w:tc>
          <w:tcPr>
            <w:tcW w:w="709" w:type="dxa"/>
            <w:vAlign w:val="center"/>
            <w:hideMark/>
          </w:tcPr>
          <w:p w14:paraId="6C80F001"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17</w:t>
            </w:r>
          </w:p>
        </w:tc>
        <w:tc>
          <w:tcPr>
            <w:tcW w:w="709" w:type="dxa"/>
            <w:vAlign w:val="center"/>
            <w:hideMark/>
          </w:tcPr>
          <w:p w14:paraId="29844196"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36</w:t>
            </w:r>
          </w:p>
        </w:tc>
        <w:tc>
          <w:tcPr>
            <w:tcW w:w="708" w:type="dxa"/>
            <w:vAlign w:val="center"/>
            <w:hideMark/>
          </w:tcPr>
          <w:p w14:paraId="51D4EEA2"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44</w:t>
            </w:r>
          </w:p>
        </w:tc>
        <w:tc>
          <w:tcPr>
            <w:tcW w:w="709" w:type="dxa"/>
            <w:vAlign w:val="center"/>
            <w:hideMark/>
          </w:tcPr>
          <w:p w14:paraId="70D3A034"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64</w:t>
            </w:r>
          </w:p>
        </w:tc>
        <w:tc>
          <w:tcPr>
            <w:tcW w:w="1419" w:type="dxa"/>
            <w:vAlign w:val="center"/>
          </w:tcPr>
          <w:p w14:paraId="01B5E58D"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57</w:t>
            </w:r>
          </w:p>
        </w:tc>
        <w:tc>
          <w:tcPr>
            <w:tcW w:w="1840" w:type="dxa"/>
            <w:vAlign w:val="center"/>
            <w:hideMark/>
          </w:tcPr>
          <w:p w14:paraId="3A341309"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197</w:t>
            </w:r>
          </w:p>
        </w:tc>
        <w:tc>
          <w:tcPr>
            <w:tcW w:w="2548" w:type="dxa"/>
            <w:vAlign w:val="center"/>
          </w:tcPr>
          <w:p w14:paraId="7ACB1EAE"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 xml:space="preserve">   7 190 500   </w:t>
            </w:r>
          </w:p>
        </w:tc>
      </w:tr>
      <w:tr w:rsidR="0005266E" w:rsidRPr="007C5A6E" w14:paraId="65730FCA" w14:textId="77777777" w:rsidTr="00457BED">
        <w:trPr>
          <w:trHeight w:val="31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02B06CA4"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Cascades</w:t>
            </w:r>
          </w:p>
        </w:tc>
        <w:tc>
          <w:tcPr>
            <w:tcW w:w="709" w:type="dxa"/>
            <w:vAlign w:val="center"/>
            <w:hideMark/>
          </w:tcPr>
          <w:p w14:paraId="454476B1"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2</w:t>
            </w:r>
          </w:p>
        </w:tc>
        <w:tc>
          <w:tcPr>
            <w:tcW w:w="709" w:type="dxa"/>
            <w:vAlign w:val="center"/>
            <w:hideMark/>
          </w:tcPr>
          <w:p w14:paraId="6E8A3719"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8</w:t>
            </w:r>
          </w:p>
        </w:tc>
        <w:tc>
          <w:tcPr>
            <w:tcW w:w="709" w:type="dxa"/>
            <w:vAlign w:val="center"/>
            <w:hideMark/>
          </w:tcPr>
          <w:p w14:paraId="47709FE9"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6</w:t>
            </w:r>
          </w:p>
        </w:tc>
        <w:tc>
          <w:tcPr>
            <w:tcW w:w="709" w:type="dxa"/>
            <w:vAlign w:val="center"/>
            <w:hideMark/>
          </w:tcPr>
          <w:p w14:paraId="46B381CA"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6</w:t>
            </w:r>
          </w:p>
        </w:tc>
        <w:tc>
          <w:tcPr>
            <w:tcW w:w="709" w:type="dxa"/>
            <w:vAlign w:val="center"/>
            <w:hideMark/>
          </w:tcPr>
          <w:p w14:paraId="6F86FB8B"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5</w:t>
            </w:r>
          </w:p>
        </w:tc>
        <w:tc>
          <w:tcPr>
            <w:tcW w:w="708" w:type="dxa"/>
            <w:vAlign w:val="center"/>
            <w:hideMark/>
          </w:tcPr>
          <w:p w14:paraId="286D098B"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19</w:t>
            </w:r>
          </w:p>
        </w:tc>
        <w:tc>
          <w:tcPr>
            <w:tcW w:w="709" w:type="dxa"/>
            <w:vAlign w:val="center"/>
            <w:hideMark/>
          </w:tcPr>
          <w:p w14:paraId="7A13F1AF"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17</w:t>
            </w:r>
          </w:p>
        </w:tc>
        <w:tc>
          <w:tcPr>
            <w:tcW w:w="1419" w:type="dxa"/>
            <w:vAlign w:val="center"/>
          </w:tcPr>
          <w:p w14:paraId="6A2BBEC2"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25</w:t>
            </w:r>
          </w:p>
        </w:tc>
        <w:tc>
          <w:tcPr>
            <w:tcW w:w="1840" w:type="dxa"/>
            <w:vAlign w:val="center"/>
            <w:hideMark/>
          </w:tcPr>
          <w:p w14:paraId="2B41FFCE"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63</w:t>
            </w:r>
          </w:p>
        </w:tc>
        <w:tc>
          <w:tcPr>
            <w:tcW w:w="2548" w:type="dxa"/>
            <w:vAlign w:val="center"/>
          </w:tcPr>
          <w:p w14:paraId="1DFF47D2"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 xml:space="preserve">   2 299 500   </w:t>
            </w:r>
          </w:p>
        </w:tc>
      </w:tr>
      <w:tr w:rsidR="0005266E" w:rsidRPr="007C5A6E" w14:paraId="16DFC1D3" w14:textId="77777777" w:rsidTr="0005266E">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0A31A3AF"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Centre</w:t>
            </w:r>
          </w:p>
        </w:tc>
        <w:tc>
          <w:tcPr>
            <w:tcW w:w="709" w:type="dxa"/>
            <w:vAlign w:val="center"/>
            <w:hideMark/>
          </w:tcPr>
          <w:p w14:paraId="2D61283F"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2</w:t>
            </w:r>
          </w:p>
        </w:tc>
        <w:tc>
          <w:tcPr>
            <w:tcW w:w="709" w:type="dxa"/>
            <w:vAlign w:val="center"/>
            <w:hideMark/>
          </w:tcPr>
          <w:p w14:paraId="0351D128"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7</w:t>
            </w:r>
          </w:p>
        </w:tc>
        <w:tc>
          <w:tcPr>
            <w:tcW w:w="709" w:type="dxa"/>
            <w:vAlign w:val="center"/>
            <w:hideMark/>
          </w:tcPr>
          <w:p w14:paraId="74D19DF5"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20</w:t>
            </w:r>
          </w:p>
        </w:tc>
        <w:tc>
          <w:tcPr>
            <w:tcW w:w="709" w:type="dxa"/>
            <w:vAlign w:val="center"/>
            <w:hideMark/>
          </w:tcPr>
          <w:p w14:paraId="28A5A337"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10</w:t>
            </w:r>
          </w:p>
        </w:tc>
        <w:tc>
          <w:tcPr>
            <w:tcW w:w="709" w:type="dxa"/>
            <w:vAlign w:val="center"/>
            <w:hideMark/>
          </w:tcPr>
          <w:p w14:paraId="75732C0D"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37</w:t>
            </w:r>
          </w:p>
        </w:tc>
        <w:tc>
          <w:tcPr>
            <w:tcW w:w="708" w:type="dxa"/>
            <w:vAlign w:val="center"/>
            <w:hideMark/>
          </w:tcPr>
          <w:p w14:paraId="5E6DDBF7"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35</w:t>
            </w:r>
          </w:p>
        </w:tc>
        <w:tc>
          <w:tcPr>
            <w:tcW w:w="709" w:type="dxa"/>
            <w:vAlign w:val="center"/>
            <w:hideMark/>
          </w:tcPr>
          <w:p w14:paraId="379C8CA4"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124</w:t>
            </w:r>
          </w:p>
        </w:tc>
        <w:tc>
          <w:tcPr>
            <w:tcW w:w="1419" w:type="dxa"/>
            <w:vAlign w:val="center"/>
          </w:tcPr>
          <w:p w14:paraId="0BCC375D"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75</w:t>
            </w:r>
          </w:p>
        </w:tc>
        <w:tc>
          <w:tcPr>
            <w:tcW w:w="1840" w:type="dxa"/>
            <w:vAlign w:val="center"/>
            <w:hideMark/>
          </w:tcPr>
          <w:p w14:paraId="34749EB6"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235</w:t>
            </w:r>
          </w:p>
        </w:tc>
        <w:tc>
          <w:tcPr>
            <w:tcW w:w="2548" w:type="dxa"/>
            <w:vAlign w:val="center"/>
          </w:tcPr>
          <w:p w14:paraId="78F9813C"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 xml:space="preserve">   8 577 500   </w:t>
            </w:r>
          </w:p>
        </w:tc>
      </w:tr>
      <w:tr w:rsidR="0005266E" w:rsidRPr="007C5A6E" w14:paraId="45874509" w14:textId="77777777" w:rsidTr="00457BED">
        <w:trPr>
          <w:trHeight w:val="31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211B8C34"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Centre-Est</w:t>
            </w:r>
          </w:p>
        </w:tc>
        <w:tc>
          <w:tcPr>
            <w:tcW w:w="709" w:type="dxa"/>
            <w:vAlign w:val="center"/>
            <w:hideMark/>
          </w:tcPr>
          <w:p w14:paraId="38DE647C"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3</w:t>
            </w:r>
          </w:p>
        </w:tc>
        <w:tc>
          <w:tcPr>
            <w:tcW w:w="709" w:type="dxa"/>
            <w:vAlign w:val="center"/>
            <w:hideMark/>
          </w:tcPr>
          <w:p w14:paraId="46C1A85C"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w:t>
            </w:r>
          </w:p>
        </w:tc>
        <w:tc>
          <w:tcPr>
            <w:tcW w:w="709" w:type="dxa"/>
            <w:vAlign w:val="center"/>
            <w:hideMark/>
          </w:tcPr>
          <w:p w14:paraId="0E64BDEC"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19</w:t>
            </w:r>
          </w:p>
        </w:tc>
        <w:tc>
          <w:tcPr>
            <w:tcW w:w="709" w:type="dxa"/>
            <w:vAlign w:val="center"/>
            <w:hideMark/>
          </w:tcPr>
          <w:p w14:paraId="49D6BACF"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11</w:t>
            </w:r>
          </w:p>
        </w:tc>
        <w:tc>
          <w:tcPr>
            <w:tcW w:w="709" w:type="dxa"/>
            <w:vAlign w:val="center"/>
            <w:hideMark/>
          </w:tcPr>
          <w:p w14:paraId="4DC97A41"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30</w:t>
            </w:r>
          </w:p>
        </w:tc>
        <w:tc>
          <w:tcPr>
            <w:tcW w:w="708" w:type="dxa"/>
            <w:vAlign w:val="center"/>
            <w:hideMark/>
          </w:tcPr>
          <w:p w14:paraId="4563EE66"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32</w:t>
            </w:r>
          </w:p>
        </w:tc>
        <w:tc>
          <w:tcPr>
            <w:tcW w:w="709" w:type="dxa"/>
            <w:vAlign w:val="center"/>
            <w:hideMark/>
          </w:tcPr>
          <w:p w14:paraId="25BD9047"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45</w:t>
            </w:r>
          </w:p>
        </w:tc>
        <w:tc>
          <w:tcPr>
            <w:tcW w:w="1419" w:type="dxa"/>
            <w:vAlign w:val="center"/>
          </w:tcPr>
          <w:p w14:paraId="7454C9BC"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49</w:t>
            </w:r>
          </w:p>
        </w:tc>
        <w:tc>
          <w:tcPr>
            <w:tcW w:w="1840" w:type="dxa"/>
            <w:vAlign w:val="center"/>
            <w:hideMark/>
          </w:tcPr>
          <w:p w14:paraId="73CC183F"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142</w:t>
            </w:r>
          </w:p>
        </w:tc>
        <w:tc>
          <w:tcPr>
            <w:tcW w:w="2548" w:type="dxa"/>
            <w:vAlign w:val="center"/>
          </w:tcPr>
          <w:p w14:paraId="77CB18E7"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 xml:space="preserve">   5 183 000   </w:t>
            </w:r>
          </w:p>
        </w:tc>
      </w:tr>
      <w:tr w:rsidR="0005266E" w:rsidRPr="007C5A6E" w14:paraId="0E419557" w14:textId="77777777" w:rsidTr="0005266E">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7170527E"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Centre-Nord</w:t>
            </w:r>
          </w:p>
        </w:tc>
        <w:tc>
          <w:tcPr>
            <w:tcW w:w="709" w:type="dxa"/>
            <w:vAlign w:val="center"/>
            <w:hideMark/>
          </w:tcPr>
          <w:p w14:paraId="7D199F02"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4</w:t>
            </w:r>
          </w:p>
        </w:tc>
        <w:tc>
          <w:tcPr>
            <w:tcW w:w="709" w:type="dxa"/>
            <w:vAlign w:val="center"/>
            <w:hideMark/>
          </w:tcPr>
          <w:p w14:paraId="5AF61E04"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10</w:t>
            </w:r>
          </w:p>
        </w:tc>
        <w:tc>
          <w:tcPr>
            <w:tcW w:w="709" w:type="dxa"/>
            <w:vAlign w:val="center"/>
            <w:hideMark/>
          </w:tcPr>
          <w:p w14:paraId="2EEA56E5"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16</w:t>
            </w:r>
          </w:p>
        </w:tc>
        <w:tc>
          <w:tcPr>
            <w:tcW w:w="709" w:type="dxa"/>
            <w:vAlign w:val="center"/>
            <w:hideMark/>
          </w:tcPr>
          <w:p w14:paraId="6F14680E"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17</w:t>
            </w:r>
          </w:p>
        </w:tc>
        <w:tc>
          <w:tcPr>
            <w:tcW w:w="709" w:type="dxa"/>
            <w:vAlign w:val="center"/>
            <w:hideMark/>
          </w:tcPr>
          <w:p w14:paraId="7CE8CB42"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68</w:t>
            </w:r>
          </w:p>
        </w:tc>
        <w:tc>
          <w:tcPr>
            <w:tcW w:w="708" w:type="dxa"/>
            <w:vAlign w:val="center"/>
            <w:hideMark/>
          </w:tcPr>
          <w:p w14:paraId="09CA8BA8"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65</w:t>
            </w:r>
          </w:p>
        </w:tc>
        <w:tc>
          <w:tcPr>
            <w:tcW w:w="709" w:type="dxa"/>
            <w:vAlign w:val="center"/>
            <w:hideMark/>
          </w:tcPr>
          <w:p w14:paraId="3A5C5611"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63</w:t>
            </w:r>
          </w:p>
        </w:tc>
        <w:tc>
          <w:tcPr>
            <w:tcW w:w="1419" w:type="dxa"/>
            <w:vAlign w:val="center"/>
          </w:tcPr>
          <w:p w14:paraId="035EA033"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105</w:t>
            </w:r>
          </w:p>
        </w:tc>
        <w:tc>
          <w:tcPr>
            <w:tcW w:w="1840" w:type="dxa"/>
            <w:vAlign w:val="center"/>
            <w:hideMark/>
          </w:tcPr>
          <w:p w14:paraId="603465B8"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243</w:t>
            </w:r>
          </w:p>
        </w:tc>
        <w:tc>
          <w:tcPr>
            <w:tcW w:w="2548" w:type="dxa"/>
            <w:vAlign w:val="center"/>
          </w:tcPr>
          <w:p w14:paraId="552F2F97"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 xml:space="preserve">   8 869 500   </w:t>
            </w:r>
          </w:p>
        </w:tc>
      </w:tr>
      <w:tr w:rsidR="0005266E" w:rsidRPr="007C5A6E" w14:paraId="490A8BF9" w14:textId="77777777" w:rsidTr="00457BED">
        <w:trPr>
          <w:trHeight w:val="31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050AEA26"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Centre-ouest</w:t>
            </w:r>
          </w:p>
        </w:tc>
        <w:tc>
          <w:tcPr>
            <w:tcW w:w="709" w:type="dxa"/>
            <w:vAlign w:val="center"/>
            <w:hideMark/>
          </w:tcPr>
          <w:p w14:paraId="0EC5687C"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8</w:t>
            </w:r>
          </w:p>
        </w:tc>
        <w:tc>
          <w:tcPr>
            <w:tcW w:w="709" w:type="dxa"/>
            <w:vAlign w:val="center"/>
            <w:hideMark/>
          </w:tcPr>
          <w:p w14:paraId="464604C2"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7</w:t>
            </w:r>
          </w:p>
        </w:tc>
        <w:tc>
          <w:tcPr>
            <w:tcW w:w="709" w:type="dxa"/>
            <w:vAlign w:val="center"/>
            <w:hideMark/>
          </w:tcPr>
          <w:p w14:paraId="07316AA9"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6</w:t>
            </w:r>
          </w:p>
        </w:tc>
        <w:tc>
          <w:tcPr>
            <w:tcW w:w="709" w:type="dxa"/>
            <w:vAlign w:val="center"/>
            <w:hideMark/>
          </w:tcPr>
          <w:p w14:paraId="0DD58341"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16</w:t>
            </w:r>
          </w:p>
        </w:tc>
        <w:tc>
          <w:tcPr>
            <w:tcW w:w="709" w:type="dxa"/>
            <w:vAlign w:val="center"/>
            <w:hideMark/>
          </w:tcPr>
          <w:p w14:paraId="53190E62"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15</w:t>
            </w:r>
          </w:p>
        </w:tc>
        <w:tc>
          <w:tcPr>
            <w:tcW w:w="708" w:type="dxa"/>
            <w:vAlign w:val="center"/>
            <w:hideMark/>
          </w:tcPr>
          <w:p w14:paraId="0349A12B"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22</w:t>
            </w:r>
          </w:p>
        </w:tc>
        <w:tc>
          <w:tcPr>
            <w:tcW w:w="709" w:type="dxa"/>
            <w:vAlign w:val="center"/>
            <w:hideMark/>
          </w:tcPr>
          <w:p w14:paraId="3AB8A0C0"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31</w:t>
            </w:r>
          </w:p>
        </w:tc>
        <w:tc>
          <w:tcPr>
            <w:tcW w:w="1419" w:type="dxa"/>
            <w:vAlign w:val="center"/>
          </w:tcPr>
          <w:p w14:paraId="57FBAD15"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41</w:t>
            </w:r>
          </w:p>
        </w:tc>
        <w:tc>
          <w:tcPr>
            <w:tcW w:w="1840" w:type="dxa"/>
            <w:vAlign w:val="center"/>
            <w:hideMark/>
          </w:tcPr>
          <w:p w14:paraId="6D2BEC79"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105</w:t>
            </w:r>
          </w:p>
        </w:tc>
        <w:tc>
          <w:tcPr>
            <w:tcW w:w="2548" w:type="dxa"/>
            <w:vAlign w:val="center"/>
          </w:tcPr>
          <w:p w14:paraId="491BC2BC"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 xml:space="preserve">   3 832 500   </w:t>
            </w:r>
          </w:p>
        </w:tc>
      </w:tr>
      <w:tr w:rsidR="0005266E" w:rsidRPr="007C5A6E" w14:paraId="68318755" w14:textId="77777777" w:rsidTr="0005266E">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34A8BBF4"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Centre-Sud</w:t>
            </w:r>
          </w:p>
        </w:tc>
        <w:tc>
          <w:tcPr>
            <w:tcW w:w="709" w:type="dxa"/>
            <w:vAlign w:val="center"/>
            <w:hideMark/>
          </w:tcPr>
          <w:p w14:paraId="483F5A14"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8</w:t>
            </w:r>
          </w:p>
        </w:tc>
        <w:tc>
          <w:tcPr>
            <w:tcW w:w="709" w:type="dxa"/>
            <w:vAlign w:val="center"/>
            <w:hideMark/>
          </w:tcPr>
          <w:p w14:paraId="416F9452"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18</w:t>
            </w:r>
          </w:p>
        </w:tc>
        <w:tc>
          <w:tcPr>
            <w:tcW w:w="709" w:type="dxa"/>
            <w:vAlign w:val="center"/>
            <w:hideMark/>
          </w:tcPr>
          <w:p w14:paraId="7099EC92"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24</w:t>
            </w:r>
          </w:p>
        </w:tc>
        <w:tc>
          <w:tcPr>
            <w:tcW w:w="709" w:type="dxa"/>
            <w:vAlign w:val="center"/>
            <w:hideMark/>
          </w:tcPr>
          <w:p w14:paraId="5C1594A0"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14</w:t>
            </w:r>
          </w:p>
        </w:tc>
        <w:tc>
          <w:tcPr>
            <w:tcW w:w="709" w:type="dxa"/>
            <w:vAlign w:val="center"/>
            <w:hideMark/>
          </w:tcPr>
          <w:p w14:paraId="42F39411"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32</w:t>
            </w:r>
          </w:p>
        </w:tc>
        <w:tc>
          <w:tcPr>
            <w:tcW w:w="708" w:type="dxa"/>
            <w:vAlign w:val="center"/>
            <w:hideMark/>
          </w:tcPr>
          <w:p w14:paraId="15843721"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52</w:t>
            </w:r>
          </w:p>
        </w:tc>
        <w:tc>
          <w:tcPr>
            <w:tcW w:w="709" w:type="dxa"/>
            <w:vAlign w:val="center"/>
            <w:hideMark/>
          </w:tcPr>
          <w:p w14:paraId="0C43B67F"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72</w:t>
            </w:r>
          </w:p>
        </w:tc>
        <w:tc>
          <w:tcPr>
            <w:tcW w:w="1419" w:type="dxa"/>
            <w:vAlign w:val="center"/>
          </w:tcPr>
          <w:p w14:paraId="1CBCE0E2"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57</w:t>
            </w:r>
          </w:p>
        </w:tc>
        <w:tc>
          <w:tcPr>
            <w:tcW w:w="1840" w:type="dxa"/>
            <w:vAlign w:val="center"/>
            <w:hideMark/>
          </w:tcPr>
          <w:p w14:paraId="150C012A"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220</w:t>
            </w:r>
          </w:p>
        </w:tc>
        <w:tc>
          <w:tcPr>
            <w:tcW w:w="2548" w:type="dxa"/>
            <w:vAlign w:val="center"/>
          </w:tcPr>
          <w:p w14:paraId="0895718B"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 xml:space="preserve">   8 030 000   </w:t>
            </w:r>
          </w:p>
        </w:tc>
      </w:tr>
      <w:tr w:rsidR="0005266E" w:rsidRPr="007C5A6E" w14:paraId="7242C505" w14:textId="77777777" w:rsidTr="00457BED">
        <w:trPr>
          <w:trHeight w:val="31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4F21BDAA"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Est</w:t>
            </w:r>
          </w:p>
        </w:tc>
        <w:tc>
          <w:tcPr>
            <w:tcW w:w="709" w:type="dxa"/>
            <w:vAlign w:val="center"/>
            <w:hideMark/>
          </w:tcPr>
          <w:p w14:paraId="5C761147"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7</w:t>
            </w:r>
          </w:p>
        </w:tc>
        <w:tc>
          <w:tcPr>
            <w:tcW w:w="709" w:type="dxa"/>
            <w:vAlign w:val="center"/>
            <w:hideMark/>
          </w:tcPr>
          <w:p w14:paraId="3881A790"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13</w:t>
            </w:r>
          </w:p>
        </w:tc>
        <w:tc>
          <w:tcPr>
            <w:tcW w:w="709" w:type="dxa"/>
            <w:vAlign w:val="center"/>
            <w:hideMark/>
          </w:tcPr>
          <w:p w14:paraId="6105FFD3"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10</w:t>
            </w:r>
          </w:p>
        </w:tc>
        <w:tc>
          <w:tcPr>
            <w:tcW w:w="709" w:type="dxa"/>
            <w:vAlign w:val="center"/>
            <w:hideMark/>
          </w:tcPr>
          <w:p w14:paraId="3E342A8D"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16</w:t>
            </w:r>
          </w:p>
        </w:tc>
        <w:tc>
          <w:tcPr>
            <w:tcW w:w="709" w:type="dxa"/>
            <w:vAlign w:val="center"/>
            <w:hideMark/>
          </w:tcPr>
          <w:p w14:paraId="72514873"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28</w:t>
            </w:r>
          </w:p>
        </w:tc>
        <w:tc>
          <w:tcPr>
            <w:tcW w:w="708" w:type="dxa"/>
            <w:vAlign w:val="center"/>
            <w:hideMark/>
          </w:tcPr>
          <w:p w14:paraId="33554CD4"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30</w:t>
            </w:r>
          </w:p>
        </w:tc>
        <w:tc>
          <w:tcPr>
            <w:tcW w:w="709" w:type="dxa"/>
            <w:vAlign w:val="center"/>
            <w:hideMark/>
          </w:tcPr>
          <w:p w14:paraId="6A712DF7"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28</w:t>
            </w:r>
          </w:p>
        </w:tc>
        <w:tc>
          <w:tcPr>
            <w:tcW w:w="1419" w:type="dxa"/>
            <w:vAlign w:val="center"/>
          </w:tcPr>
          <w:p w14:paraId="12FD4B7A"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43</w:t>
            </w:r>
          </w:p>
        </w:tc>
        <w:tc>
          <w:tcPr>
            <w:tcW w:w="1840" w:type="dxa"/>
            <w:vAlign w:val="center"/>
            <w:hideMark/>
          </w:tcPr>
          <w:p w14:paraId="1A454CA2"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132</w:t>
            </w:r>
          </w:p>
        </w:tc>
        <w:tc>
          <w:tcPr>
            <w:tcW w:w="2548" w:type="dxa"/>
            <w:vAlign w:val="center"/>
          </w:tcPr>
          <w:p w14:paraId="6F999700"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 xml:space="preserve">   4 818 000   </w:t>
            </w:r>
          </w:p>
        </w:tc>
      </w:tr>
      <w:tr w:rsidR="0005266E" w:rsidRPr="007C5A6E" w14:paraId="15CE0CF2" w14:textId="77777777" w:rsidTr="0005266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068D51EC"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Hauts-Bassins</w:t>
            </w:r>
          </w:p>
        </w:tc>
        <w:tc>
          <w:tcPr>
            <w:tcW w:w="709" w:type="dxa"/>
            <w:vAlign w:val="center"/>
            <w:hideMark/>
          </w:tcPr>
          <w:p w14:paraId="768C7D02"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5</w:t>
            </w:r>
          </w:p>
        </w:tc>
        <w:tc>
          <w:tcPr>
            <w:tcW w:w="709" w:type="dxa"/>
            <w:vAlign w:val="center"/>
            <w:hideMark/>
          </w:tcPr>
          <w:p w14:paraId="06A4B15D"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9</w:t>
            </w:r>
          </w:p>
        </w:tc>
        <w:tc>
          <w:tcPr>
            <w:tcW w:w="709" w:type="dxa"/>
            <w:vAlign w:val="center"/>
            <w:hideMark/>
          </w:tcPr>
          <w:p w14:paraId="7734E52B"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8</w:t>
            </w:r>
          </w:p>
        </w:tc>
        <w:tc>
          <w:tcPr>
            <w:tcW w:w="709" w:type="dxa"/>
            <w:vAlign w:val="center"/>
            <w:hideMark/>
          </w:tcPr>
          <w:p w14:paraId="43489F27"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18</w:t>
            </w:r>
          </w:p>
        </w:tc>
        <w:tc>
          <w:tcPr>
            <w:tcW w:w="709" w:type="dxa"/>
            <w:vAlign w:val="center"/>
            <w:hideMark/>
          </w:tcPr>
          <w:p w14:paraId="540E70CF"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38</w:t>
            </w:r>
          </w:p>
        </w:tc>
        <w:tc>
          <w:tcPr>
            <w:tcW w:w="708" w:type="dxa"/>
            <w:vAlign w:val="center"/>
            <w:hideMark/>
          </w:tcPr>
          <w:p w14:paraId="490AA6A4"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57</w:t>
            </w:r>
          </w:p>
        </w:tc>
        <w:tc>
          <w:tcPr>
            <w:tcW w:w="709" w:type="dxa"/>
            <w:vAlign w:val="center"/>
            <w:hideMark/>
          </w:tcPr>
          <w:p w14:paraId="38A7BB91"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24</w:t>
            </w:r>
          </w:p>
        </w:tc>
        <w:tc>
          <w:tcPr>
            <w:tcW w:w="1419" w:type="dxa"/>
            <w:vAlign w:val="center"/>
          </w:tcPr>
          <w:p w14:paraId="15D3894A"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47</w:t>
            </w:r>
          </w:p>
        </w:tc>
        <w:tc>
          <w:tcPr>
            <w:tcW w:w="1840" w:type="dxa"/>
            <w:vAlign w:val="center"/>
            <w:hideMark/>
          </w:tcPr>
          <w:p w14:paraId="6F4686AA"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159</w:t>
            </w:r>
          </w:p>
        </w:tc>
        <w:tc>
          <w:tcPr>
            <w:tcW w:w="2548" w:type="dxa"/>
            <w:vAlign w:val="center"/>
          </w:tcPr>
          <w:p w14:paraId="7FA91D18"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 xml:space="preserve">   5 803 500   </w:t>
            </w:r>
          </w:p>
        </w:tc>
      </w:tr>
      <w:tr w:rsidR="0005266E" w:rsidRPr="007C5A6E" w14:paraId="00BC832F" w14:textId="77777777" w:rsidTr="00457BED">
        <w:trPr>
          <w:trHeight w:val="33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1CD350B2"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Nord</w:t>
            </w:r>
          </w:p>
        </w:tc>
        <w:tc>
          <w:tcPr>
            <w:tcW w:w="709" w:type="dxa"/>
            <w:vAlign w:val="center"/>
            <w:hideMark/>
          </w:tcPr>
          <w:p w14:paraId="71CB79A7"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6</w:t>
            </w:r>
          </w:p>
        </w:tc>
        <w:tc>
          <w:tcPr>
            <w:tcW w:w="709" w:type="dxa"/>
            <w:vAlign w:val="center"/>
            <w:hideMark/>
          </w:tcPr>
          <w:p w14:paraId="2606F654"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10</w:t>
            </w:r>
          </w:p>
        </w:tc>
        <w:tc>
          <w:tcPr>
            <w:tcW w:w="709" w:type="dxa"/>
            <w:vAlign w:val="center"/>
            <w:hideMark/>
          </w:tcPr>
          <w:p w14:paraId="7424B553"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7</w:t>
            </w:r>
          </w:p>
        </w:tc>
        <w:tc>
          <w:tcPr>
            <w:tcW w:w="709" w:type="dxa"/>
            <w:vAlign w:val="center"/>
            <w:hideMark/>
          </w:tcPr>
          <w:p w14:paraId="3F4D35ED"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7</w:t>
            </w:r>
          </w:p>
        </w:tc>
        <w:tc>
          <w:tcPr>
            <w:tcW w:w="709" w:type="dxa"/>
            <w:vAlign w:val="center"/>
            <w:hideMark/>
          </w:tcPr>
          <w:p w14:paraId="101A99D8"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25</w:t>
            </w:r>
          </w:p>
        </w:tc>
        <w:tc>
          <w:tcPr>
            <w:tcW w:w="708" w:type="dxa"/>
            <w:vAlign w:val="center"/>
            <w:hideMark/>
          </w:tcPr>
          <w:p w14:paraId="678CB7A7"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36</w:t>
            </w:r>
          </w:p>
        </w:tc>
        <w:tc>
          <w:tcPr>
            <w:tcW w:w="709" w:type="dxa"/>
            <w:vAlign w:val="center"/>
            <w:hideMark/>
          </w:tcPr>
          <w:p w14:paraId="1C6E66C0"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45</w:t>
            </w:r>
          </w:p>
        </w:tc>
        <w:tc>
          <w:tcPr>
            <w:tcW w:w="1419" w:type="dxa"/>
            <w:vAlign w:val="center"/>
          </w:tcPr>
          <w:p w14:paraId="52688880"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31</w:t>
            </w:r>
          </w:p>
        </w:tc>
        <w:tc>
          <w:tcPr>
            <w:tcW w:w="1840" w:type="dxa"/>
            <w:vAlign w:val="center"/>
            <w:hideMark/>
          </w:tcPr>
          <w:p w14:paraId="0F496B8C"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136</w:t>
            </w:r>
          </w:p>
        </w:tc>
        <w:tc>
          <w:tcPr>
            <w:tcW w:w="2548" w:type="dxa"/>
            <w:vAlign w:val="center"/>
          </w:tcPr>
          <w:p w14:paraId="0EAF938F"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 xml:space="preserve">   4 964 000   </w:t>
            </w:r>
          </w:p>
        </w:tc>
      </w:tr>
      <w:tr w:rsidR="0005266E" w:rsidRPr="007C5A6E" w14:paraId="21FC53A4" w14:textId="77777777" w:rsidTr="0005266E">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5B015852" w14:textId="77777777" w:rsidR="0005266E" w:rsidRPr="007C5A6E" w:rsidRDefault="0005266E" w:rsidP="0044787D">
            <w:pPr>
              <w:tabs>
                <w:tab w:val="left" w:pos="1134"/>
              </w:tabs>
              <w:spacing w:after="0" w:line="240" w:lineRule="auto"/>
              <w:rPr>
                <w:rFonts w:ascii="Times New Roman" w:hAnsi="Times New Roman"/>
                <w:color w:val="000000"/>
                <w:sz w:val="18"/>
                <w:szCs w:val="18"/>
              </w:rPr>
            </w:pPr>
            <w:r w:rsidRPr="007C5A6E">
              <w:rPr>
                <w:rFonts w:ascii="Times New Roman" w:hAnsi="Times New Roman"/>
                <w:color w:val="000000"/>
                <w:sz w:val="18"/>
                <w:szCs w:val="18"/>
              </w:rPr>
              <w:t>Plateau Central</w:t>
            </w:r>
          </w:p>
        </w:tc>
        <w:tc>
          <w:tcPr>
            <w:tcW w:w="709" w:type="dxa"/>
            <w:vAlign w:val="center"/>
            <w:hideMark/>
          </w:tcPr>
          <w:p w14:paraId="5DA62F1C"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11</w:t>
            </w:r>
          </w:p>
        </w:tc>
        <w:tc>
          <w:tcPr>
            <w:tcW w:w="709" w:type="dxa"/>
            <w:vAlign w:val="center"/>
            <w:hideMark/>
          </w:tcPr>
          <w:p w14:paraId="4B6A2B00"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18</w:t>
            </w:r>
          </w:p>
        </w:tc>
        <w:tc>
          <w:tcPr>
            <w:tcW w:w="709" w:type="dxa"/>
            <w:vAlign w:val="center"/>
            <w:hideMark/>
          </w:tcPr>
          <w:p w14:paraId="43007312"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12</w:t>
            </w:r>
          </w:p>
        </w:tc>
        <w:tc>
          <w:tcPr>
            <w:tcW w:w="709" w:type="dxa"/>
            <w:vAlign w:val="center"/>
            <w:hideMark/>
          </w:tcPr>
          <w:p w14:paraId="034B4BBD"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13</w:t>
            </w:r>
          </w:p>
        </w:tc>
        <w:tc>
          <w:tcPr>
            <w:tcW w:w="709" w:type="dxa"/>
            <w:vAlign w:val="center"/>
            <w:hideMark/>
          </w:tcPr>
          <w:p w14:paraId="7AA54F19"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32</w:t>
            </w:r>
          </w:p>
        </w:tc>
        <w:tc>
          <w:tcPr>
            <w:tcW w:w="708" w:type="dxa"/>
            <w:vAlign w:val="center"/>
            <w:hideMark/>
          </w:tcPr>
          <w:p w14:paraId="32D87031"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57</w:t>
            </w:r>
          </w:p>
        </w:tc>
        <w:tc>
          <w:tcPr>
            <w:tcW w:w="709" w:type="dxa"/>
            <w:vAlign w:val="center"/>
            <w:hideMark/>
          </w:tcPr>
          <w:p w14:paraId="3454C6D1"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75</w:t>
            </w:r>
          </w:p>
        </w:tc>
        <w:tc>
          <w:tcPr>
            <w:tcW w:w="1419" w:type="dxa"/>
            <w:vAlign w:val="center"/>
          </w:tcPr>
          <w:p w14:paraId="335C108D"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90</w:t>
            </w:r>
          </w:p>
        </w:tc>
        <w:tc>
          <w:tcPr>
            <w:tcW w:w="1840" w:type="dxa"/>
            <w:vAlign w:val="center"/>
            <w:hideMark/>
          </w:tcPr>
          <w:p w14:paraId="6DF3B5C8"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218</w:t>
            </w:r>
          </w:p>
        </w:tc>
        <w:tc>
          <w:tcPr>
            <w:tcW w:w="2548" w:type="dxa"/>
            <w:vAlign w:val="center"/>
          </w:tcPr>
          <w:p w14:paraId="39919B37"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 xml:space="preserve">   7 957 000   </w:t>
            </w:r>
          </w:p>
        </w:tc>
      </w:tr>
      <w:tr w:rsidR="0005266E" w:rsidRPr="007C5A6E" w14:paraId="400AE9E5" w14:textId="77777777" w:rsidTr="00457BED">
        <w:trPr>
          <w:trHeight w:val="31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68217911"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Sahel</w:t>
            </w:r>
          </w:p>
        </w:tc>
        <w:tc>
          <w:tcPr>
            <w:tcW w:w="709" w:type="dxa"/>
            <w:vAlign w:val="center"/>
            <w:hideMark/>
          </w:tcPr>
          <w:p w14:paraId="672E6DBF"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16</w:t>
            </w:r>
          </w:p>
        </w:tc>
        <w:tc>
          <w:tcPr>
            <w:tcW w:w="709" w:type="dxa"/>
            <w:vAlign w:val="center"/>
            <w:hideMark/>
          </w:tcPr>
          <w:p w14:paraId="7B3519CA"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10</w:t>
            </w:r>
          </w:p>
        </w:tc>
        <w:tc>
          <w:tcPr>
            <w:tcW w:w="709" w:type="dxa"/>
            <w:vAlign w:val="center"/>
            <w:hideMark/>
          </w:tcPr>
          <w:p w14:paraId="3F2B5FAE"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9</w:t>
            </w:r>
          </w:p>
        </w:tc>
        <w:tc>
          <w:tcPr>
            <w:tcW w:w="709" w:type="dxa"/>
            <w:vAlign w:val="center"/>
            <w:hideMark/>
          </w:tcPr>
          <w:p w14:paraId="7E027571"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19</w:t>
            </w:r>
          </w:p>
        </w:tc>
        <w:tc>
          <w:tcPr>
            <w:tcW w:w="709" w:type="dxa"/>
            <w:vAlign w:val="center"/>
            <w:hideMark/>
          </w:tcPr>
          <w:p w14:paraId="3F606B15"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20</w:t>
            </w:r>
          </w:p>
        </w:tc>
        <w:tc>
          <w:tcPr>
            <w:tcW w:w="708" w:type="dxa"/>
            <w:vAlign w:val="center"/>
            <w:hideMark/>
          </w:tcPr>
          <w:p w14:paraId="70F8E85B"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16</w:t>
            </w:r>
          </w:p>
        </w:tc>
        <w:tc>
          <w:tcPr>
            <w:tcW w:w="709" w:type="dxa"/>
            <w:vAlign w:val="center"/>
            <w:hideMark/>
          </w:tcPr>
          <w:p w14:paraId="17F6E233"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6</w:t>
            </w:r>
          </w:p>
        </w:tc>
        <w:tc>
          <w:tcPr>
            <w:tcW w:w="1419" w:type="dxa"/>
            <w:vAlign w:val="center"/>
          </w:tcPr>
          <w:p w14:paraId="75506ACF"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11</w:t>
            </w:r>
          </w:p>
        </w:tc>
        <w:tc>
          <w:tcPr>
            <w:tcW w:w="1840" w:type="dxa"/>
            <w:vAlign w:val="center"/>
            <w:hideMark/>
          </w:tcPr>
          <w:p w14:paraId="291E6E74"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96</w:t>
            </w:r>
          </w:p>
        </w:tc>
        <w:tc>
          <w:tcPr>
            <w:tcW w:w="2548" w:type="dxa"/>
            <w:vAlign w:val="center"/>
          </w:tcPr>
          <w:p w14:paraId="0F80174F"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 xml:space="preserve">   3 504 000   </w:t>
            </w:r>
          </w:p>
        </w:tc>
      </w:tr>
      <w:tr w:rsidR="0005266E" w:rsidRPr="007C5A6E" w14:paraId="0964AF30" w14:textId="77777777" w:rsidTr="0005266E">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7DBBD8DE"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Sud-Ouest</w:t>
            </w:r>
          </w:p>
        </w:tc>
        <w:tc>
          <w:tcPr>
            <w:tcW w:w="709" w:type="dxa"/>
            <w:vAlign w:val="center"/>
            <w:hideMark/>
          </w:tcPr>
          <w:p w14:paraId="2A7BC552"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2</w:t>
            </w:r>
          </w:p>
        </w:tc>
        <w:tc>
          <w:tcPr>
            <w:tcW w:w="709" w:type="dxa"/>
            <w:vAlign w:val="center"/>
            <w:hideMark/>
          </w:tcPr>
          <w:p w14:paraId="694D9A40"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12</w:t>
            </w:r>
          </w:p>
        </w:tc>
        <w:tc>
          <w:tcPr>
            <w:tcW w:w="709" w:type="dxa"/>
            <w:vAlign w:val="center"/>
            <w:hideMark/>
          </w:tcPr>
          <w:p w14:paraId="612383AE"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7</w:t>
            </w:r>
          </w:p>
        </w:tc>
        <w:tc>
          <w:tcPr>
            <w:tcW w:w="709" w:type="dxa"/>
            <w:vAlign w:val="center"/>
            <w:hideMark/>
          </w:tcPr>
          <w:p w14:paraId="2A7FA2C6"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9</w:t>
            </w:r>
          </w:p>
        </w:tc>
        <w:tc>
          <w:tcPr>
            <w:tcW w:w="709" w:type="dxa"/>
            <w:vAlign w:val="center"/>
            <w:hideMark/>
          </w:tcPr>
          <w:p w14:paraId="7D94435E"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56</w:t>
            </w:r>
          </w:p>
        </w:tc>
        <w:tc>
          <w:tcPr>
            <w:tcW w:w="708" w:type="dxa"/>
            <w:vAlign w:val="center"/>
            <w:hideMark/>
          </w:tcPr>
          <w:p w14:paraId="3BE96B41"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109</w:t>
            </w:r>
          </w:p>
        </w:tc>
        <w:tc>
          <w:tcPr>
            <w:tcW w:w="709" w:type="dxa"/>
            <w:vAlign w:val="center"/>
            <w:hideMark/>
          </w:tcPr>
          <w:p w14:paraId="04C46B11"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62</w:t>
            </w:r>
          </w:p>
        </w:tc>
        <w:tc>
          <w:tcPr>
            <w:tcW w:w="1419" w:type="dxa"/>
            <w:vAlign w:val="center"/>
          </w:tcPr>
          <w:p w14:paraId="7E4C2577"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81</w:t>
            </w:r>
          </w:p>
        </w:tc>
        <w:tc>
          <w:tcPr>
            <w:tcW w:w="1840" w:type="dxa"/>
            <w:vAlign w:val="center"/>
            <w:hideMark/>
          </w:tcPr>
          <w:p w14:paraId="4A465292"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257</w:t>
            </w:r>
          </w:p>
        </w:tc>
        <w:tc>
          <w:tcPr>
            <w:tcW w:w="2548" w:type="dxa"/>
            <w:vAlign w:val="center"/>
          </w:tcPr>
          <w:p w14:paraId="06DA8D20" w14:textId="77777777" w:rsidR="0005266E" w:rsidRPr="007C5A6E" w:rsidRDefault="0005266E" w:rsidP="009969E0">
            <w:pPr>
              <w:tabs>
                <w:tab w:val="left" w:pos="1134"/>
              </w:tabs>
              <w:spacing w:after="0" w:line="240" w:lineRule="auto"/>
              <w:ind w:left="1134" w:hanging="113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 xml:space="preserve">   9 380 500   </w:t>
            </w:r>
          </w:p>
        </w:tc>
      </w:tr>
      <w:tr w:rsidR="0005266E" w:rsidRPr="007C5A6E" w14:paraId="59CE730A" w14:textId="77777777" w:rsidTr="00457BED">
        <w:trPr>
          <w:trHeight w:val="31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76A17E81" w14:textId="77777777" w:rsidR="0005266E" w:rsidRPr="007C5A6E" w:rsidRDefault="0005266E" w:rsidP="009969E0">
            <w:pPr>
              <w:tabs>
                <w:tab w:val="left" w:pos="1134"/>
              </w:tabs>
              <w:spacing w:after="0" w:line="240" w:lineRule="auto"/>
              <w:ind w:left="1134" w:hanging="1134"/>
              <w:rPr>
                <w:rFonts w:ascii="Times New Roman" w:hAnsi="Times New Roman"/>
                <w:color w:val="000000"/>
                <w:sz w:val="18"/>
                <w:szCs w:val="18"/>
              </w:rPr>
            </w:pPr>
            <w:r w:rsidRPr="007C5A6E">
              <w:rPr>
                <w:rFonts w:ascii="Times New Roman" w:hAnsi="Times New Roman"/>
                <w:color w:val="000000"/>
                <w:sz w:val="18"/>
                <w:szCs w:val="18"/>
              </w:rPr>
              <w:t>Total</w:t>
            </w:r>
          </w:p>
        </w:tc>
        <w:tc>
          <w:tcPr>
            <w:tcW w:w="709" w:type="dxa"/>
            <w:vAlign w:val="center"/>
            <w:hideMark/>
          </w:tcPr>
          <w:p w14:paraId="2C7F124D"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83</w:t>
            </w:r>
          </w:p>
        </w:tc>
        <w:tc>
          <w:tcPr>
            <w:tcW w:w="709" w:type="dxa"/>
            <w:vAlign w:val="center"/>
            <w:hideMark/>
          </w:tcPr>
          <w:p w14:paraId="21EDDC21"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142</w:t>
            </w:r>
          </w:p>
        </w:tc>
        <w:tc>
          <w:tcPr>
            <w:tcW w:w="709" w:type="dxa"/>
            <w:vAlign w:val="center"/>
            <w:hideMark/>
          </w:tcPr>
          <w:p w14:paraId="3D22B4C1"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153</w:t>
            </w:r>
          </w:p>
        </w:tc>
        <w:tc>
          <w:tcPr>
            <w:tcW w:w="709" w:type="dxa"/>
            <w:vAlign w:val="center"/>
            <w:hideMark/>
          </w:tcPr>
          <w:p w14:paraId="777D36FD"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173</w:t>
            </w:r>
          </w:p>
        </w:tc>
        <w:tc>
          <w:tcPr>
            <w:tcW w:w="709" w:type="dxa"/>
            <w:vAlign w:val="center"/>
            <w:hideMark/>
          </w:tcPr>
          <w:p w14:paraId="19B370D0"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422</w:t>
            </w:r>
          </w:p>
        </w:tc>
        <w:tc>
          <w:tcPr>
            <w:tcW w:w="708" w:type="dxa"/>
            <w:vAlign w:val="center"/>
            <w:hideMark/>
          </w:tcPr>
          <w:p w14:paraId="13FB9A6E"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574</w:t>
            </w:r>
          </w:p>
        </w:tc>
        <w:tc>
          <w:tcPr>
            <w:tcW w:w="709" w:type="dxa"/>
            <w:vAlign w:val="center"/>
            <w:hideMark/>
          </w:tcPr>
          <w:p w14:paraId="366030A6"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7C5A6E">
              <w:rPr>
                <w:rFonts w:ascii="Times New Roman" w:hAnsi="Times New Roman"/>
                <w:sz w:val="18"/>
                <w:szCs w:val="18"/>
              </w:rPr>
              <w:t>656</w:t>
            </w:r>
          </w:p>
        </w:tc>
        <w:tc>
          <w:tcPr>
            <w:tcW w:w="1419" w:type="dxa"/>
            <w:vAlign w:val="center"/>
          </w:tcPr>
          <w:p w14:paraId="23371D1C"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18"/>
                <w:szCs w:val="18"/>
              </w:rPr>
            </w:pPr>
            <w:r w:rsidRPr="007C5A6E">
              <w:rPr>
                <w:rFonts w:ascii="Times New Roman" w:hAnsi="Times New Roman"/>
                <w:color w:val="000000"/>
                <w:sz w:val="18"/>
                <w:szCs w:val="18"/>
              </w:rPr>
              <w:t>712</w:t>
            </w:r>
          </w:p>
        </w:tc>
        <w:tc>
          <w:tcPr>
            <w:tcW w:w="1840" w:type="dxa"/>
            <w:vAlign w:val="center"/>
            <w:hideMark/>
          </w:tcPr>
          <w:p w14:paraId="1464759E"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8"/>
                <w:szCs w:val="18"/>
              </w:rPr>
            </w:pPr>
            <w:r w:rsidRPr="007C5A6E">
              <w:rPr>
                <w:rFonts w:ascii="Times New Roman" w:hAnsi="Times New Roman"/>
                <w:b/>
                <w:bCs/>
                <w:color w:val="000000"/>
                <w:sz w:val="18"/>
                <w:szCs w:val="18"/>
              </w:rPr>
              <w:t>2 203</w:t>
            </w:r>
          </w:p>
        </w:tc>
        <w:tc>
          <w:tcPr>
            <w:tcW w:w="2548" w:type="dxa"/>
            <w:vAlign w:val="center"/>
          </w:tcPr>
          <w:p w14:paraId="6D00FBF2" w14:textId="77777777" w:rsidR="0005266E" w:rsidRPr="007C5A6E" w:rsidRDefault="0005266E" w:rsidP="009969E0">
            <w:pPr>
              <w:tabs>
                <w:tab w:val="left" w:pos="1134"/>
              </w:tabs>
              <w:spacing w:after="0" w:line="240" w:lineRule="auto"/>
              <w:ind w:left="1134" w:hanging="113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18"/>
                <w:szCs w:val="18"/>
              </w:rPr>
            </w:pPr>
            <w:r w:rsidRPr="007C5A6E">
              <w:rPr>
                <w:rFonts w:ascii="Times New Roman" w:hAnsi="Times New Roman"/>
                <w:b/>
                <w:bCs/>
                <w:sz w:val="18"/>
                <w:szCs w:val="18"/>
              </w:rPr>
              <w:t xml:space="preserve"> 80 409 500   </w:t>
            </w:r>
          </w:p>
        </w:tc>
      </w:tr>
    </w:tbl>
    <w:p w14:paraId="602037D9" w14:textId="77777777" w:rsidR="0005266E" w:rsidRPr="007C5A6E" w:rsidRDefault="0005266E" w:rsidP="009969E0">
      <w:pPr>
        <w:spacing w:after="0" w:line="240" w:lineRule="auto"/>
        <w:rPr>
          <w:rFonts w:ascii="Times New Roman" w:hAnsi="Times New Roman"/>
          <w:sz w:val="20"/>
          <w:szCs w:val="20"/>
        </w:rPr>
      </w:pPr>
      <w:r w:rsidRPr="007C5A6E">
        <w:rPr>
          <w:rFonts w:ascii="Times New Roman" w:hAnsi="Times New Roman"/>
          <w:sz w:val="20"/>
          <w:szCs w:val="20"/>
        </w:rPr>
        <w:t>Source : DGEP- INO 2014 à 2023</w:t>
      </w:r>
    </w:p>
    <w:p w14:paraId="4F0B6B47" w14:textId="77777777" w:rsidR="0005266E" w:rsidRPr="007C5A6E" w:rsidRDefault="0005266E" w:rsidP="009969E0">
      <w:pPr>
        <w:tabs>
          <w:tab w:val="left" w:pos="3119"/>
        </w:tabs>
        <w:spacing w:after="0" w:line="240" w:lineRule="auto"/>
        <w:rPr>
          <w:rFonts w:ascii="Times New Roman" w:hAnsi="Times New Roman"/>
          <w:sz w:val="24"/>
          <w:szCs w:val="24"/>
        </w:rPr>
      </w:pPr>
    </w:p>
    <w:p w14:paraId="041F6EC5" w14:textId="77777777" w:rsidR="0005266E" w:rsidRPr="007C5A6E" w:rsidRDefault="0005266E" w:rsidP="009969E0">
      <w:pPr>
        <w:spacing w:after="0" w:line="240" w:lineRule="auto"/>
        <w:rPr>
          <w:rFonts w:ascii="Times New Roman" w:hAnsi="Times New Roman"/>
          <w:sz w:val="24"/>
          <w:szCs w:val="24"/>
        </w:rPr>
      </w:pPr>
    </w:p>
    <w:p w14:paraId="44E9253A" w14:textId="77777777" w:rsidR="0005266E" w:rsidRPr="007C5A6E" w:rsidRDefault="0005266E" w:rsidP="009969E0">
      <w:pPr>
        <w:spacing w:after="0" w:line="240" w:lineRule="auto"/>
        <w:rPr>
          <w:rFonts w:ascii="Times New Roman" w:hAnsi="Times New Roman"/>
          <w:sz w:val="24"/>
          <w:szCs w:val="24"/>
        </w:rPr>
        <w:sectPr w:rsidR="0005266E" w:rsidRPr="007C5A6E" w:rsidSect="006514BA">
          <w:pgSz w:w="11907" w:h="16840" w:orient="landscape" w:code="9"/>
          <w:pgMar w:top="1191" w:right="1361" w:bottom="1191" w:left="1361" w:header="709" w:footer="709" w:gutter="0"/>
          <w:cols w:space="708"/>
          <w:docGrid w:linePitch="360"/>
        </w:sectPr>
      </w:pPr>
    </w:p>
    <w:p w14:paraId="3F45FB9C" w14:textId="080C1E68" w:rsidR="0005266E" w:rsidRPr="007C5A6E" w:rsidRDefault="0005266E" w:rsidP="009969E0">
      <w:pPr>
        <w:spacing w:after="0" w:line="240" w:lineRule="auto"/>
        <w:jc w:val="both"/>
        <w:rPr>
          <w:rFonts w:ascii="Times New Roman" w:hAnsi="Times New Roman"/>
          <w:sz w:val="24"/>
          <w:szCs w:val="24"/>
        </w:rPr>
      </w:pPr>
      <w:r w:rsidRPr="007C5A6E">
        <w:rPr>
          <w:rFonts w:ascii="Times New Roman" w:hAnsi="Times New Roman"/>
          <w:sz w:val="24"/>
          <w:szCs w:val="24"/>
        </w:rPr>
        <w:t>A la date de 2015 (INO 2015), les réalisations cumulées des ouvrages, s’élevaient à                     937 AEPS/PEA et à 48 699 PMH.</w:t>
      </w:r>
    </w:p>
    <w:p w14:paraId="7AD26BD5" w14:textId="6C9EB761" w:rsidR="0005266E" w:rsidRPr="007C5A6E" w:rsidRDefault="0005266E" w:rsidP="009969E0">
      <w:pPr>
        <w:spacing w:after="0" w:line="240" w:lineRule="auto"/>
        <w:jc w:val="both"/>
        <w:rPr>
          <w:rFonts w:ascii="Times New Roman" w:hAnsi="Times New Roman"/>
          <w:sz w:val="24"/>
          <w:szCs w:val="24"/>
        </w:rPr>
      </w:pPr>
      <w:r w:rsidRPr="007C5A6E">
        <w:rPr>
          <w:rFonts w:ascii="Times New Roman" w:hAnsi="Times New Roman"/>
          <w:sz w:val="24"/>
          <w:szCs w:val="24"/>
        </w:rPr>
        <w:t xml:space="preserve">De 2016 à 2023 (INO 2023), il a été réalisé 2 915 AEPS/PEA et 17 426 PMH, ce qui porte </w:t>
      </w:r>
      <w:bookmarkStart w:id="512" w:name="_Hlk177999530"/>
      <w:r w:rsidRPr="007C5A6E">
        <w:rPr>
          <w:rFonts w:ascii="Times New Roman" w:hAnsi="Times New Roman"/>
          <w:sz w:val="24"/>
          <w:szCs w:val="24"/>
        </w:rPr>
        <w:t>le nombre total à 3 852 AEPS / PEA</w:t>
      </w:r>
      <w:bookmarkEnd w:id="512"/>
      <w:r w:rsidRPr="007C5A6E">
        <w:rPr>
          <w:rFonts w:ascii="Times New Roman" w:hAnsi="Times New Roman"/>
          <w:sz w:val="24"/>
          <w:szCs w:val="24"/>
        </w:rPr>
        <w:t xml:space="preserve"> et à 66 125 PMH en 2023.</w:t>
      </w:r>
    </w:p>
    <w:p w14:paraId="227F0BF7" w14:textId="77777777" w:rsidR="0044787D" w:rsidRPr="007C5A6E" w:rsidRDefault="0044787D" w:rsidP="009969E0">
      <w:pPr>
        <w:spacing w:after="0" w:line="240" w:lineRule="auto"/>
        <w:jc w:val="both"/>
        <w:rPr>
          <w:rFonts w:ascii="Times New Roman" w:hAnsi="Times New Roman"/>
          <w:sz w:val="24"/>
          <w:szCs w:val="24"/>
        </w:rPr>
      </w:pPr>
    </w:p>
    <w:p w14:paraId="2CFD31FB" w14:textId="324493D6" w:rsidR="0044787D" w:rsidRPr="007C5A6E" w:rsidRDefault="0044787D" w:rsidP="0044787D">
      <w:pPr>
        <w:keepNext/>
        <w:keepLines/>
        <w:shd w:val="clear" w:color="auto" w:fill="D0CECE" w:themeFill="background2" w:themeFillShade="E6"/>
        <w:suppressAutoHyphens/>
        <w:spacing w:after="0" w:line="240" w:lineRule="auto"/>
        <w:jc w:val="both"/>
        <w:rPr>
          <w:rFonts w:ascii="Times New Roman" w:hAnsi="Times New Roman"/>
          <w:i/>
          <w:iCs/>
          <w:sz w:val="24"/>
          <w:szCs w:val="24"/>
        </w:rPr>
      </w:pPr>
      <w:r w:rsidRPr="007C5A6E">
        <w:rPr>
          <w:rFonts w:ascii="Times New Roman" w:hAnsi="Times New Roman"/>
          <w:i/>
          <w:iCs/>
          <w:sz w:val="24"/>
          <w:szCs w:val="24"/>
        </w:rPr>
        <w:t>Le nombre total des ouvrages d’eau souterraine réalisés en 2023 s’élève à 66 125 PMH et 3 852 AEPS / PEA. L’ensemble des infrastructures réalisées porte en 2023, le volume total d’eau souterraine prélevable à environ 241 356 250 m</w:t>
      </w:r>
      <w:r w:rsidRPr="007C5A6E">
        <w:rPr>
          <w:rFonts w:ascii="Times New Roman" w:hAnsi="Times New Roman"/>
          <w:i/>
          <w:iCs/>
          <w:sz w:val="24"/>
          <w:szCs w:val="24"/>
          <w:vertAlign w:val="superscript"/>
        </w:rPr>
        <w:t>3</w:t>
      </w:r>
      <w:r w:rsidRPr="007C5A6E">
        <w:rPr>
          <w:rFonts w:ascii="Times New Roman" w:hAnsi="Times New Roman"/>
          <w:i/>
          <w:iCs/>
          <w:sz w:val="24"/>
          <w:szCs w:val="24"/>
        </w:rPr>
        <w:t>/an par les PMH et à 140 598 000 m</w:t>
      </w:r>
      <w:r w:rsidRPr="007C5A6E">
        <w:rPr>
          <w:rFonts w:ascii="Times New Roman" w:hAnsi="Times New Roman"/>
          <w:i/>
          <w:iCs/>
          <w:sz w:val="24"/>
          <w:szCs w:val="24"/>
          <w:vertAlign w:val="superscript"/>
        </w:rPr>
        <w:t>3</w:t>
      </w:r>
      <w:r w:rsidRPr="007C5A6E">
        <w:rPr>
          <w:rFonts w:ascii="Times New Roman" w:hAnsi="Times New Roman"/>
          <w:i/>
          <w:iCs/>
          <w:sz w:val="24"/>
          <w:szCs w:val="24"/>
        </w:rPr>
        <w:t>/an par les AEPS-PEA. Cela représente une capacité totale de prélèvement des eaux souterraines d’au moins 381 954 250 m</w:t>
      </w:r>
      <w:r w:rsidRPr="007C5A6E">
        <w:rPr>
          <w:rFonts w:ascii="Times New Roman" w:hAnsi="Times New Roman"/>
          <w:i/>
          <w:iCs/>
          <w:sz w:val="24"/>
          <w:szCs w:val="24"/>
          <w:vertAlign w:val="superscript"/>
        </w:rPr>
        <w:t>3</w:t>
      </w:r>
      <w:r w:rsidRPr="007C5A6E">
        <w:rPr>
          <w:rFonts w:ascii="Times New Roman" w:hAnsi="Times New Roman"/>
          <w:i/>
          <w:iCs/>
          <w:sz w:val="24"/>
          <w:szCs w:val="24"/>
        </w:rPr>
        <w:t>/an pour la couverture des besoins en eau potable des populations.</w:t>
      </w:r>
    </w:p>
    <w:p w14:paraId="08733CD5" w14:textId="77777777" w:rsidR="0044787D" w:rsidRPr="007C5A6E" w:rsidRDefault="0044787D" w:rsidP="0044787D">
      <w:pPr>
        <w:keepNext/>
        <w:keepLines/>
        <w:shd w:val="clear" w:color="auto" w:fill="D0CECE" w:themeFill="background2" w:themeFillShade="E6"/>
        <w:suppressAutoHyphens/>
        <w:spacing w:after="0" w:line="240" w:lineRule="auto"/>
        <w:jc w:val="both"/>
        <w:rPr>
          <w:rFonts w:ascii="Times New Roman" w:hAnsi="Times New Roman"/>
          <w:i/>
          <w:iCs/>
          <w:sz w:val="24"/>
          <w:szCs w:val="24"/>
        </w:rPr>
      </w:pPr>
      <w:r w:rsidRPr="007C5A6E">
        <w:rPr>
          <w:rFonts w:ascii="Times New Roman" w:hAnsi="Times New Roman"/>
          <w:i/>
          <w:iCs/>
          <w:sz w:val="24"/>
          <w:szCs w:val="24"/>
        </w:rPr>
        <w:t>Cette quantité reste faible (13%) par rapport aux seules recharges des nappes du bassin national de la Comoé et du bassin national du Mouhoun et moins de 2% par rapport aux infiltrations (24,2 milliards de m3/an.</w:t>
      </w:r>
    </w:p>
    <w:p w14:paraId="7885235D" w14:textId="77777777" w:rsidR="0044787D" w:rsidRPr="007C5A6E" w:rsidRDefault="0044787D" w:rsidP="009969E0">
      <w:pPr>
        <w:spacing w:after="0" w:line="240" w:lineRule="auto"/>
        <w:jc w:val="both"/>
        <w:rPr>
          <w:rFonts w:ascii="Times New Roman" w:hAnsi="Times New Roman"/>
          <w:sz w:val="24"/>
          <w:szCs w:val="24"/>
        </w:rPr>
      </w:pPr>
    </w:p>
    <w:p w14:paraId="0924D176" w14:textId="49FD86BF" w:rsidR="0005266E" w:rsidRPr="007C5A6E" w:rsidRDefault="0005266E" w:rsidP="00684FF8">
      <w:pPr>
        <w:pStyle w:val="Titre4"/>
      </w:pPr>
      <w:bookmarkStart w:id="513" w:name="_Toc182606042"/>
      <w:bookmarkStart w:id="514" w:name="_Toc183340099"/>
      <w:r w:rsidRPr="007C5A6E">
        <w:t>Etat de prélèvement des ressources en eau de surface</w:t>
      </w:r>
      <w:bookmarkEnd w:id="513"/>
      <w:bookmarkEnd w:id="514"/>
      <w:r w:rsidRPr="007C5A6E">
        <w:t xml:space="preserve"> </w:t>
      </w:r>
    </w:p>
    <w:p w14:paraId="2994853B" w14:textId="77777777" w:rsidR="009969E0" w:rsidRPr="007C5A6E" w:rsidRDefault="009969E0" w:rsidP="009969E0">
      <w:pPr>
        <w:spacing w:after="0" w:line="240" w:lineRule="auto"/>
        <w:contextualSpacing/>
        <w:jc w:val="both"/>
        <w:rPr>
          <w:rFonts w:ascii="Times New Roman" w:hAnsi="Times New Roman"/>
          <w:color w:val="0070C0"/>
          <w:sz w:val="24"/>
          <w:szCs w:val="24"/>
        </w:rPr>
      </w:pPr>
    </w:p>
    <w:p w14:paraId="6484448D" w14:textId="6A646C1D" w:rsidR="0005266E" w:rsidRPr="007C5A6E" w:rsidRDefault="0005266E" w:rsidP="003F3821">
      <w:pPr>
        <w:pStyle w:val="Titre5"/>
        <w:keepNext w:val="0"/>
        <w:keepLines w:val="0"/>
        <w:numPr>
          <w:ilvl w:val="4"/>
          <w:numId w:val="4"/>
        </w:numPr>
        <w:ind w:left="907" w:hanging="907"/>
        <w:rPr>
          <w:rFonts w:ascii="Times New Roman" w:hAnsi="Times New Roman" w:cs="Times New Roman"/>
          <w:color w:val="auto"/>
          <w:u w:val="single"/>
          <w:lang w:eastAsia="en-US"/>
        </w:rPr>
      </w:pPr>
      <w:bookmarkStart w:id="515" w:name="_Toc183340100"/>
      <w:r w:rsidRPr="007C5A6E">
        <w:rPr>
          <w:rFonts w:ascii="Times New Roman" w:hAnsi="Times New Roman" w:cs="Times New Roman"/>
          <w:color w:val="auto"/>
          <w:u w:val="single"/>
          <w:lang w:eastAsia="en-US"/>
        </w:rPr>
        <w:t>Prélèvement par évaporation des plans d’eau de surface en 2021</w:t>
      </w:r>
      <w:bookmarkEnd w:id="515"/>
    </w:p>
    <w:p w14:paraId="276F0D78" w14:textId="77777777" w:rsidR="009969E0" w:rsidRPr="007C5A6E" w:rsidRDefault="009969E0" w:rsidP="009969E0">
      <w:pPr>
        <w:spacing w:after="0" w:line="240" w:lineRule="auto"/>
        <w:jc w:val="both"/>
        <w:rPr>
          <w:rFonts w:ascii="Times New Roman" w:hAnsi="Times New Roman"/>
          <w:sz w:val="24"/>
          <w:szCs w:val="24"/>
        </w:rPr>
      </w:pPr>
    </w:p>
    <w:p w14:paraId="4146C744" w14:textId="756B10C3" w:rsidR="0005266E" w:rsidRPr="007C5A6E" w:rsidRDefault="0005266E" w:rsidP="009969E0">
      <w:pPr>
        <w:spacing w:after="0" w:line="240" w:lineRule="auto"/>
        <w:jc w:val="both"/>
        <w:rPr>
          <w:rFonts w:ascii="Times New Roman" w:hAnsi="Times New Roman"/>
          <w:sz w:val="24"/>
          <w:szCs w:val="24"/>
        </w:rPr>
      </w:pPr>
      <w:r w:rsidRPr="007C5A6E">
        <w:rPr>
          <w:rFonts w:ascii="Times New Roman" w:hAnsi="Times New Roman"/>
          <w:sz w:val="24"/>
          <w:szCs w:val="24"/>
        </w:rPr>
        <w:t xml:space="preserve">Le prélèvement d’eau par évaporation constitue un problème majeur en matière de disponibilité des ressources en eau de surface mobilisées à des fins d’usages socioéconomiques. Il constitue un acteur important de réduction des volumes d’eau de surface mobilisée. Dans le lac de Samendéni par exemple (1 050 000 000 m3), l’évaporation annuelle est estimée entre 125 000 000 m3 et 160 000 000 m3 /an.   </w:t>
      </w:r>
    </w:p>
    <w:p w14:paraId="535740B6" w14:textId="77777777" w:rsidR="0005266E" w:rsidRPr="007C5A6E" w:rsidRDefault="0005266E" w:rsidP="009969E0">
      <w:pPr>
        <w:spacing w:after="0" w:line="240" w:lineRule="auto"/>
        <w:jc w:val="both"/>
        <w:rPr>
          <w:rFonts w:ascii="Times New Roman" w:hAnsi="Times New Roman"/>
          <w:sz w:val="24"/>
          <w:szCs w:val="24"/>
        </w:rPr>
      </w:pPr>
      <w:r w:rsidRPr="007C5A6E">
        <w:rPr>
          <w:rFonts w:ascii="Times New Roman" w:hAnsi="Times New Roman"/>
          <w:sz w:val="24"/>
          <w:szCs w:val="24"/>
        </w:rPr>
        <w:t>Le tableau ci-dessous donne un aperçu de l’importance du prélèvement d’eau par évaporation.</w:t>
      </w:r>
    </w:p>
    <w:p w14:paraId="608BD156" w14:textId="77777777" w:rsidR="009969E0" w:rsidRPr="007C5A6E" w:rsidRDefault="009969E0" w:rsidP="009969E0">
      <w:pPr>
        <w:spacing w:after="0" w:line="240" w:lineRule="auto"/>
        <w:jc w:val="both"/>
        <w:rPr>
          <w:rFonts w:ascii="Times New Roman" w:hAnsi="Times New Roman"/>
          <w:sz w:val="24"/>
          <w:szCs w:val="24"/>
        </w:rPr>
      </w:pPr>
    </w:p>
    <w:p w14:paraId="555A6B1F" w14:textId="788F4560" w:rsidR="0005266E" w:rsidRPr="007C5A6E" w:rsidRDefault="0005266E" w:rsidP="009969E0">
      <w:pPr>
        <w:tabs>
          <w:tab w:val="left" w:pos="1134"/>
        </w:tabs>
        <w:spacing w:after="0" w:line="240" w:lineRule="auto"/>
        <w:ind w:left="1134" w:hanging="1134"/>
        <w:rPr>
          <w:rFonts w:ascii="Times New Roman" w:hAnsi="Times New Roman"/>
          <w:iCs/>
          <w:sz w:val="24"/>
          <w:szCs w:val="24"/>
          <w:lang w:eastAsia="da-DK"/>
        </w:rPr>
      </w:pPr>
      <w:bookmarkStart w:id="516" w:name="_Toc182605863"/>
      <w:bookmarkStart w:id="517" w:name="_Toc183240978"/>
      <w:bookmarkStart w:id="518" w:name="_Toc183292220"/>
      <w:bookmarkStart w:id="519" w:name="_Toc183340500"/>
      <w:r w:rsidRPr="007C5A6E">
        <w:rPr>
          <w:rFonts w:ascii="Times New Roman" w:hAnsi="Times New Roman"/>
          <w:iCs/>
          <w:sz w:val="24"/>
          <w:szCs w:val="24"/>
          <w:lang w:eastAsia="da-DK"/>
        </w:rPr>
        <w:t xml:space="preserve">Tableau </w:t>
      </w:r>
      <w:r w:rsidRPr="007C5A6E">
        <w:rPr>
          <w:rFonts w:ascii="Times New Roman" w:hAnsi="Times New Roman"/>
          <w:iCs/>
          <w:sz w:val="24"/>
          <w:szCs w:val="24"/>
          <w:lang w:eastAsia="da-DK"/>
        </w:rPr>
        <w:fldChar w:fldCharType="begin"/>
      </w:r>
      <w:r w:rsidRPr="007C5A6E">
        <w:rPr>
          <w:rFonts w:ascii="Times New Roman" w:hAnsi="Times New Roman"/>
          <w:iCs/>
          <w:sz w:val="24"/>
          <w:szCs w:val="24"/>
          <w:lang w:eastAsia="da-DK"/>
        </w:rPr>
        <w:instrText xml:space="preserve"> SEQ Tableau \* ARABIC </w:instrText>
      </w:r>
      <w:r w:rsidRPr="007C5A6E">
        <w:rPr>
          <w:rFonts w:ascii="Times New Roman" w:hAnsi="Times New Roman"/>
          <w:iCs/>
          <w:sz w:val="24"/>
          <w:szCs w:val="24"/>
          <w:lang w:eastAsia="da-DK"/>
        </w:rPr>
        <w:fldChar w:fldCharType="separate"/>
      </w:r>
      <w:r w:rsidR="00AE0C9D" w:rsidRPr="007C5A6E">
        <w:rPr>
          <w:rFonts w:ascii="Times New Roman" w:hAnsi="Times New Roman"/>
          <w:iCs/>
          <w:noProof/>
          <w:sz w:val="24"/>
          <w:szCs w:val="24"/>
          <w:lang w:eastAsia="da-DK"/>
        </w:rPr>
        <w:t>16</w:t>
      </w:r>
      <w:r w:rsidRPr="007C5A6E">
        <w:rPr>
          <w:rFonts w:ascii="Times New Roman" w:hAnsi="Times New Roman"/>
          <w:iCs/>
          <w:sz w:val="24"/>
          <w:szCs w:val="24"/>
          <w:lang w:eastAsia="da-DK"/>
        </w:rPr>
        <w:fldChar w:fldCharType="end"/>
      </w:r>
      <w:r w:rsidRPr="007C5A6E">
        <w:rPr>
          <w:rFonts w:ascii="Times New Roman" w:hAnsi="Times New Roman"/>
          <w:iCs/>
          <w:sz w:val="24"/>
          <w:szCs w:val="24"/>
          <w:lang w:eastAsia="da-DK"/>
        </w:rPr>
        <w:t> : Aperçu des prélèvements d’eau par évaporation dans les principales stations en 2021</w:t>
      </w:r>
      <w:bookmarkEnd w:id="516"/>
      <w:bookmarkEnd w:id="517"/>
      <w:bookmarkEnd w:id="518"/>
      <w:bookmarkEnd w:id="519"/>
    </w:p>
    <w:tbl>
      <w:tblPr>
        <w:tblStyle w:val="Grilledutableau2"/>
        <w:tblW w:w="0" w:type="auto"/>
        <w:tblLook w:val="04A0" w:firstRow="1" w:lastRow="0" w:firstColumn="1" w:lastColumn="0" w:noHBand="0" w:noVBand="1"/>
      </w:tblPr>
      <w:tblGrid>
        <w:gridCol w:w="1963"/>
        <w:gridCol w:w="1701"/>
        <w:gridCol w:w="3844"/>
      </w:tblGrid>
      <w:tr w:rsidR="0005266E" w:rsidRPr="007C5A6E" w14:paraId="787592B2" w14:textId="77777777" w:rsidTr="009969E0">
        <w:tc>
          <w:tcPr>
            <w:tcW w:w="1963" w:type="dxa"/>
            <w:shd w:val="clear" w:color="auto" w:fill="002060"/>
            <w:vAlign w:val="center"/>
          </w:tcPr>
          <w:p w14:paraId="08CC5869" w14:textId="77777777" w:rsidR="0005266E" w:rsidRPr="007C5A6E" w:rsidRDefault="0005266E" w:rsidP="009969E0">
            <w:pPr>
              <w:spacing w:after="0" w:line="240" w:lineRule="auto"/>
              <w:rPr>
                <w:rFonts w:ascii="Times New Roman" w:hAnsi="Times New Roman"/>
                <w:sz w:val="21"/>
                <w:szCs w:val="21"/>
              </w:rPr>
            </w:pPr>
            <w:r w:rsidRPr="007C5A6E">
              <w:rPr>
                <w:rFonts w:ascii="Times New Roman" w:hAnsi="Times New Roman"/>
                <w:sz w:val="21"/>
                <w:szCs w:val="21"/>
              </w:rPr>
              <w:t>Stations</w:t>
            </w:r>
          </w:p>
        </w:tc>
        <w:tc>
          <w:tcPr>
            <w:tcW w:w="1701" w:type="dxa"/>
            <w:shd w:val="clear" w:color="auto" w:fill="002060"/>
            <w:vAlign w:val="center"/>
          </w:tcPr>
          <w:p w14:paraId="226866F3" w14:textId="77777777" w:rsidR="0005266E" w:rsidRPr="007C5A6E" w:rsidRDefault="0005266E" w:rsidP="009969E0">
            <w:pPr>
              <w:spacing w:after="0" w:line="240" w:lineRule="auto"/>
              <w:rPr>
                <w:rFonts w:ascii="Times New Roman" w:hAnsi="Times New Roman"/>
                <w:sz w:val="21"/>
                <w:szCs w:val="21"/>
              </w:rPr>
            </w:pPr>
            <w:r w:rsidRPr="007C5A6E">
              <w:rPr>
                <w:rFonts w:ascii="Times New Roman" w:hAnsi="Times New Roman"/>
                <w:sz w:val="21"/>
                <w:szCs w:val="21"/>
              </w:rPr>
              <w:t>Evaporation (mm /an)</w:t>
            </w:r>
          </w:p>
        </w:tc>
        <w:tc>
          <w:tcPr>
            <w:tcW w:w="3844" w:type="dxa"/>
            <w:shd w:val="clear" w:color="auto" w:fill="002060"/>
            <w:vAlign w:val="center"/>
          </w:tcPr>
          <w:p w14:paraId="1A42319A" w14:textId="77777777" w:rsidR="0005266E" w:rsidRPr="007C5A6E" w:rsidRDefault="0005266E" w:rsidP="009969E0">
            <w:pPr>
              <w:spacing w:after="0" w:line="240" w:lineRule="auto"/>
              <w:rPr>
                <w:rFonts w:ascii="Times New Roman" w:hAnsi="Times New Roman"/>
                <w:color w:val="FF0000"/>
                <w:sz w:val="21"/>
                <w:szCs w:val="21"/>
              </w:rPr>
            </w:pPr>
            <w:r w:rsidRPr="007C5A6E">
              <w:rPr>
                <w:rFonts w:ascii="Times New Roman" w:hAnsi="Times New Roman"/>
                <w:sz w:val="21"/>
                <w:szCs w:val="21"/>
              </w:rPr>
              <w:t>Volume d’eau évaporée (m3/100 ha de plan d’eau de surfac</w:t>
            </w:r>
            <w:r w:rsidRPr="007C5A6E">
              <w:rPr>
                <w:rFonts w:ascii="Times New Roman" w:hAnsi="Times New Roman"/>
                <w:sz w:val="21"/>
                <w:szCs w:val="21"/>
                <w:shd w:val="clear" w:color="auto" w:fill="D5DCE4"/>
              </w:rPr>
              <w:t>e)</w:t>
            </w:r>
          </w:p>
        </w:tc>
      </w:tr>
      <w:tr w:rsidR="0005266E" w:rsidRPr="007C5A6E" w14:paraId="005CFF47" w14:textId="77777777" w:rsidTr="00457BED">
        <w:tc>
          <w:tcPr>
            <w:tcW w:w="1963" w:type="dxa"/>
            <w:vAlign w:val="center"/>
          </w:tcPr>
          <w:p w14:paraId="5189A7E1" w14:textId="77777777" w:rsidR="0005266E" w:rsidRPr="007C5A6E" w:rsidRDefault="0005266E" w:rsidP="009969E0">
            <w:pPr>
              <w:spacing w:after="0" w:line="240" w:lineRule="auto"/>
              <w:rPr>
                <w:rFonts w:ascii="Times New Roman" w:hAnsi="Times New Roman"/>
                <w:sz w:val="21"/>
                <w:szCs w:val="21"/>
              </w:rPr>
            </w:pPr>
            <w:r w:rsidRPr="007C5A6E">
              <w:rPr>
                <w:rFonts w:ascii="Times New Roman" w:hAnsi="Times New Roman"/>
                <w:sz w:val="21"/>
                <w:szCs w:val="21"/>
              </w:rPr>
              <w:t>Bobo Dioulasso </w:t>
            </w:r>
          </w:p>
        </w:tc>
        <w:tc>
          <w:tcPr>
            <w:tcW w:w="1701" w:type="dxa"/>
            <w:vAlign w:val="center"/>
          </w:tcPr>
          <w:p w14:paraId="28FA4E43"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925</w:t>
            </w:r>
          </w:p>
        </w:tc>
        <w:tc>
          <w:tcPr>
            <w:tcW w:w="3844" w:type="dxa"/>
            <w:vAlign w:val="center"/>
          </w:tcPr>
          <w:p w14:paraId="25992CEB"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292 500</w:t>
            </w:r>
          </w:p>
        </w:tc>
      </w:tr>
      <w:tr w:rsidR="0005266E" w:rsidRPr="007C5A6E" w14:paraId="5FA7E258" w14:textId="77777777" w:rsidTr="00457BED">
        <w:tc>
          <w:tcPr>
            <w:tcW w:w="1963" w:type="dxa"/>
            <w:vAlign w:val="center"/>
          </w:tcPr>
          <w:p w14:paraId="0AB9FA59" w14:textId="77777777" w:rsidR="0005266E" w:rsidRPr="007C5A6E" w:rsidRDefault="0005266E" w:rsidP="009969E0">
            <w:pPr>
              <w:spacing w:after="0" w:line="240" w:lineRule="auto"/>
              <w:rPr>
                <w:rFonts w:ascii="Times New Roman" w:hAnsi="Times New Roman"/>
                <w:sz w:val="21"/>
                <w:szCs w:val="21"/>
              </w:rPr>
            </w:pPr>
            <w:r w:rsidRPr="007C5A6E">
              <w:rPr>
                <w:rFonts w:ascii="Times New Roman" w:hAnsi="Times New Roman"/>
                <w:sz w:val="21"/>
                <w:szCs w:val="21"/>
              </w:rPr>
              <w:t>Bogandé</w:t>
            </w:r>
          </w:p>
        </w:tc>
        <w:tc>
          <w:tcPr>
            <w:tcW w:w="1701" w:type="dxa"/>
            <w:vAlign w:val="center"/>
          </w:tcPr>
          <w:p w14:paraId="1BC5DA9D"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3 631</w:t>
            </w:r>
          </w:p>
        </w:tc>
        <w:tc>
          <w:tcPr>
            <w:tcW w:w="3844" w:type="dxa"/>
            <w:vAlign w:val="center"/>
          </w:tcPr>
          <w:p w14:paraId="10607652"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363 100</w:t>
            </w:r>
          </w:p>
        </w:tc>
      </w:tr>
      <w:tr w:rsidR="0005266E" w:rsidRPr="007C5A6E" w14:paraId="5599629A" w14:textId="77777777" w:rsidTr="00457BED">
        <w:tc>
          <w:tcPr>
            <w:tcW w:w="1963" w:type="dxa"/>
            <w:vAlign w:val="center"/>
          </w:tcPr>
          <w:p w14:paraId="46A33527" w14:textId="77777777" w:rsidR="0005266E" w:rsidRPr="007C5A6E" w:rsidRDefault="0005266E" w:rsidP="009969E0">
            <w:pPr>
              <w:spacing w:after="0" w:line="240" w:lineRule="auto"/>
              <w:rPr>
                <w:rFonts w:ascii="Times New Roman" w:hAnsi="Times New Roman"/>
                <w:sz w:val="21"/>
                <w:szCs w:val="21"/>
              </w:rPr>
            </w:pPr>
            <w:r w:rsidRPr="007C5A6E">
              <w:rPr>
                <w:rFonts w:ascii="Times New Roman" w:hAnsi="Times New Roman"/>
                <w:sz w:val="21"/>
                <w:szCs w:val="21"/>
              </w:rPr>
              <w:t>Boromo</w:t>
            </w:r>
          </w:p>
        </w:tc>
        <w:tc>
          <w:tcPr>
            <w:tcW w:w="1701" w:type="dxa"/>
            <w:vAlign w:val="center"/>
          </w:tcPr>
          <w:p w14:paraId="7E3AFFF7"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2 618</w:t>
            </w:r>
          </w:p>
        </w:tc>
        <w:tc>
          <w:tcPr>
            <w:tcW w:w="3844" w:type="dxa"/>
            <w:vAlign w:val="center"/>
          </w:tcPr>
          <w:p w14:paraId="387AAF07"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261 800</w:t>
            </w:r>
          </w:p>
        </w:tc>
      </w:tr>
      <w:tr w:rsidR="0005266E" w:rsidRPr="007C5A6E" w14:paraId="70B9F566" w14:textId="77777777" w:rsidTr="00457BED">
        <w:tc>
          <w:tcPr>
            <w:tcW w:w="1963" w:type="dxa"/>
            <w:vAlign w:val="center"/>
          </w:tcPr>
          <w:p w14:paraId="78689D96" w14:textId="77777777" w:rsidR="0005266E" w:rsidRPr="007C5A6E" w:rsidRDefault="0005266E" w:rsidP="009969E0">
            <w:pPr>
              <w:spacing w:after="0" w:line="240" w:lineRule="auto"/>
              <w:rPr>
                <w:rFonts w:ascii="Times New Roman" w:hAnsi="Times New Roman"/>
                <w:sz w:val="21"/>
                <w:szCs w:val="21"/>
              </w:rPr>
            </w:pPr>
            <w:r w:rsidRPr="007C5A6E">
              <w:rPr>
                <w:rFonts w:ascii="Times New Roman" w:hAnsi="Times New Roman"/>
                <w:sz w:val="21"/>
                <w:szCs w:val="21"/>
              </w:rPr>
              <w:t>Dédougou </w:t>
            </w:r>
          </w:p>
        </w:tc>
        <w:tc>
          <w:tcPr>
            <w:tcW w:w="1701" w:type="dxa"/>
            <w:vAlign w:val="center"/>
          </w:tcPr>
          <w:p w14:paraId="6072760E"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3 352</w:t>
            </w:r>
          </w:p>
        </w:tc>
        <w:tc>
          <w:tcPr>
            <w:tcW w:w="3844" w:type="dxa"/>
            <w:vAlign w:val="center"/>
          </w:tcPr>
          <w:p w14:paraId="2227ECF3"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335 200</w:t>
            </w:r>
          </w:p>
        </w:tc>
      </w:tr>
      <w:tr w:rsidR="0005266E" w:rsidRPr="007C5A6E" w14:paraId="1B689551" w14:textId="77777777" w:rsidTr="00457BED">
        <w:tc>
          <w:tcPr>
            <w:tcW w:w="1963" w:type="dxa"/>
            <w:vAlign w:val="center"/>
          </w:tcPr>
          <w:p w14:paraId="29084311" w14:textId="77777777" w:rsidR="0005266E" w:rsidRPr="007C5A6E" w:rsidRDefault="0005266E" w:rsidP="009969E0">
            <w:pPr>
              <w:spacing w:after="0" w:line="240" w:lineRule="auto"/>
              <w:rPr>
                <w:rFonts w:ascii="Times New Roman" w:hAnsi="Times New Roman"/>
                <w:sz w:val="21"/>
                <w:szCs w:val="21"/>
              </w:rPr>
            </w:pPr>
            <w:r w:rsidRPr="007C5A6E">
              <w:rPr>
                <w:rFonts w:ascii="Times New Roman" w:hAnsi="Times New Roman"/>
                <w:sz w:val="21"/>
                <w:szCs w:val="21"/>
              </w:rPr>
              <w:t>Dori</w:t>
            </w:r>
          </w:p>
        </w:tc>
        <w:tc>
          <w:tcPr>
            <w:tcW w:w="1701" w:type="dxa"/>
            <w:vAlign w:val="center"/>
          </w:tcPr>
          <w:p w14:paraId="3D01A424"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3 078</w:t>
            </w:r>
          </w:p>
        </w:tc>
        <w:tc>
          <w:tcPr>
            <w:tcW w:w="3844" w:type="dxa"/>
            <w:vAlign w:val="center"/>
          </w:tcPr>
          <w:p w14:paraId="0302BF11"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307 800</w:t>
            </w:r>
          </w:p>
        </w:tc>
      </w:tr>
      <w:tr w:rsidR="0005266E" w:rsidRPr="007C5A6E" w14:paraId="0D2D86CB" w14:textId="77777777" w:rsidTr="00457BED">
        <w:tc>
          <w:tcPr>
            <w:tcW w:w="1963" w:type="dxa"/>
            <w:vAlign w:val="center"/>
          </w:tcPr>
          <w:p w14:paraId="1635095D" w14:textId="77777777" w:rsidR="0005266E" w:rsidRPr="007C5A6E" w:rsidRDefault="0005266E" w:rsidP="009969E0">
            <w:pPr>
              <w:spacing w:after="0" w:line="240" w:lineRule="auto"/>
              <w:rPr>
                <w:rFonts w:ascii="Times New Roman" w:hAnsi="Times New Roman"/>
                <w:sz w:val="21"/>
                <w:szCs w:val="21"/>
              </w:rPr>
            </w:pPr>
            <w:r w:rsidRPr="007C5A6E">
              <w:rPr>
                <w:rFonts w:ascii="Times New Roman" w:hAnsi="Times New Roman"/>
                <w:sz w:val="21"/>
                <w:szCs w:val="21"/>
              </w:rPr>
              <w:t>Fada N’Gourma </w:t>
            </w:r>
          </w:p>
        </w:tc>
        <w:tc>
          <w:tcPr>
            <w:tcW w:w="1701" w:type="dxa"/>
            <w:vAlign w:val="center"/>
          </w:tcPr>
          <w:p w14:paraId="0BB50377"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2 438</w:t>
            </w:r>
          </w:p>
        </w:tc>
        <w:tc>
          <w:tcPr>
            <w:tcW w:w="3844" w:type="dxa"/>
            <w:vAlign w:val="center"/>
          </w:tcPr>
          <w:p w14:paraId="3A529511"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243 800</w:t>
            </w:r>
          </w:p>
        </w:tc>
      </w:tr>
      <w:tr w:rsidR="0005266E" w:rsidRPr="007C5A6E" w14:paraId="626F9EDB" w14:textId="77777777" w:rsidTr="00457BED">
        <w:tc>
          <w:tcPr>
            <w:tcW w:w="1963" w:type="dxa"/>
            <w:vAlign w:val="center"/>
          </w:tcPr>
          <w:p w14:paraId="2698D684" w14:textId="77777777" w:rsidR="0005266E" w:rsidRPr="007C5A6E" w:rsidRDefault="0005266E" w:rsidP="009969E0">
            <w:pPr>
              <w:spacing w:after="0" w:line="240" w:lineRule="auto"/>
              <w:rPr>
                <w:rFonts w:ascii="Times New Roman" w:hAnsi="Times New Roman"/>
                <w:sz w:val="21"/>
                <w:szCs w:val="21"/>
              </w:rPr>
            </w:pPr>
            <w:r w:rsidRPr="007C5A6E">
              <w:rPr>
                <w:rFonts w:ascii="Times New Roman" w:hAnsi="Times New Roman"/>
                <w:sz w:val="21"/>
                <w:szCs w:val="21"/>
              </w:rPr>
              <w:t>Gaoua</w:t>
            </w:r>
          </w:p>
        </w:tc>
        <w:tc>
          <w:tcPr>
            <w:tcW w:w="1701" w:type="dxa"/>
            <w:vAlign w:val="center"/>
          </w:tcPr>
          <w:p w14:paraId="506A4557"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2 602</w:t>
            </w:r>
          </w:p>
        </w:tc>
        <w:tc>
          <w:tcPr>
            <w:tcW w:w="3844" w:type="dxa"/>
            <w:vAlign w:val="center"/>
          </w:tcPr>
          <w:p w14:paraId="17F30E13"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260 200</w:t>
            </w:r>
          </w:p>
        </w:tc>
      </w:tr>
      <w:tr w:rsidR="0005266E" w:rsidRPr="007C5A6E" w14:paraId="44EB1C4A" w14:textId="77777777" w:rsidTr="00457BED">
        <w:tc>
          <w:tcPr>
            <w:tcW w:w="1963" w:type="dxa"/>
            <w:vAlign w:val="center"/>
          </w:tcPr>
          <w:p w14:paraId="6F2E1AFC" w14:textId="77777777" w:rsidR="0005266E" w:rsidRPr="007C5A6E" w:rsidRDefault="0005266E" w:rsidP="009969E0">
            <w:pPr>
              <w:spacing w:after="0" w:line="240" w:lineRule="auto"/>
              <w:rPr>
                <w:rFonts w:ascii="Times New Roman" w:hAnsi="Times New Roman"/>
                <w:sz w:val="21"/>
                <w:szCs w:val="21"/>
              </w:rPr>
            </w:pPr>
            <w:r w:rsidRPr="007C5A6E">
              <w:rPr>
                <w:rFonts w:ascii="Times New Roman" w:hAnsi="Times New Roman"/>
                <w:sz w:val="21"/>
                <w:szCs w:val="21"/>
              </w:rPr>
              <w:t>Ouagadougou</w:t>
            </w:r>
          </w:p>
        </w:tc>
        <w:tc>
          <w:tcPr>
            <w:tcW w:w="1701" w:type="dxa"/>
            <w:vAlign w:val="center"/>
          </w:tcPr>
          <w:p w14:paraId="56CE372C"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2 681</w:t>
            </w:r>
          </w:p>
        </w:tc>
        <w:tc>
          <w:tcPr>
            <w:tcW w:w="3844" w:type="dxa"/>
            <w:vAlign w:val="center"/>
          </w:tcPr>
          <w:p w14:paraId="4027761D"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268 100</w:t>
            </w:r>
          </w:p>
        </w:tc>
      </w:tr>
      <w:tr w:rsidR="0005266E" w:rsidRPr="007C5A6E" w14:paraId="51B910BE" w14:textId="77777777" w:rsidTr="00457BED">
        <w:tc>
          <w:tcPr>
            <w:tcW w:w="1963" w:type="dxa"/>
            <w:vAlign w:val="center"/>
          </w:tcPr>
          <w:p w14:paraId="0AA90FFD" w14:textId="77777777" w:rsidR="0005266E" w:rsidRPr="007C5A6E" w:rsidRDefault="0005266E" w:rsidP="009969E0">
            <w:pPr>
              <w:spacing w:after="0" w:line="240" w:lineRule="auto"/>
              <w:rPr>
                <w:rFonts w:ascii="Times New Roman" w:hAnsi="Times New Roman"/>
                <w:sz w:val="21"/>
                <w:szCs w:val="21"/>
              </w:rPr>
            </w:pPr>
            <w:r w:rsidRPr="007C5A6E">
              <w:rPr>
                <w:rFonts w:ascii="Times New Roman" w:hAnsi="Times New Roman"/>
                <w:sz w:val="21"/>
                <w:szCs w:val="21"/>
              </w:rPr>
              <w:t>Ouahigouya</w:t>
            </w:r>
          </w:p>
        </w:tc>
        <w:tc>
          <w:tcPr>
            <w:tcW w:w="1701" w:type="dxa"/>
            <w:vAlign w:val="center"/>
          </w:tcPr>
          <w:p w14:paraId="12D70CDE"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3 467</w:t>
            </w:r>
          </w:p>
        </w:tc>
        <w:tc>
          <w:tcPr>
            <w:tcW w:w="3844" w:type="dxa"/>
            <w:vAlign w:val="center"/>
          </w:tcPr>
          <w:p w14:paraId="5F155DB7"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346 700</w:t>
            </w:r>
          </w:p>
        </w:tc>
      </w:tr>
      <w:tr w:rsidR="0005266E" w:rsidRPr="007C5A6E" w14:paraId="0EC3CAA8" w14:textId="77777777" w:rsidTr="00457BED">
        <w:tc>
          <w:tcPr>
            <w:tcW w:w="1963" w:type="dxa"/>
            <w:vAlign w:val="center"/>
          </w:tcPr>
          <w:p w14:paraId="43C42C01" w14:textId="77777777" w:rsidR="0005266E" w:rsidRPr="007C5A6E" w:rsidRDefault="0005266E" w:rsidP="009969E0">
            <w:pPr>
              <w:spacing w:after="0" w:line="240" w:lineRule="auto"/>
              <w:rPr>
                <w:rFonts w:ascii="Times New Roman" w:hAnsi="Times New Roman"/>
                <w:sz w:val="21"/>
                <w:szCs w:val="21"/>
              </w:rPr>
            </w:pPr>
            <w:r w:rsidRPr="007C5A6E">
              <w:rPr>
                <w:rFonts w:ascii="Times New Roman" w:hAnsi="Times New Roman"/>
                <w:sz w:val="21"/>
                <w:szCs w:val="21"/>
              </w:rPr>
              <w:t>Pô</w:t>
            </w:r>
          </w:p>
        </w:tc>
        <w:tc>
          <w:tcPr>
            <w:tcW w:w="1701" w:type="dxa"/>
            <w:vAlign w:val="center"/>
          </w:tcPr>
          <w:p w14:paraId="57D8FA2E"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2380</w:t>
            </w:r>
          </w:p>
        </w:tc>
        <w:tc>
          <w:tcPr>
            <w:tcW w:w="3844" w:type="dxa"/>
            <w:vAlign w:val="center"/>
          </w:tcPr>
          <w:p w14:paraId="3A028C0E" w14:textId="77777777" w:rsidR="0005266E" w:rsidRPr="007C5A6E" w:rsidRDefault="0005266E" w:rsidP="009969E0">
            <w:pPr>
              <w:spacing w:after="0" w:line="240" w:lineRule="auto"/>
              <w:jc w:val="center"/>
              <w:rPr>
                <w:rFonts w:ascii="Times New Roman" w:hAnsi="Times New Roman"/>
                <w:sz w:val="21"/>
                <w:szCs w:val="21"/>
              </w:rPr>
            </w:pPr>
            <w:r w:rsidRPr="007C5A6E">
              <w:rPr>
                <w:rFonts w:ascii="Times New Roman" w:hAnsi="Times New Roman"/>
                <w:sz w:val="21"/>
                <w:szCs w:val="21"/>
              </w:rPr>
              <w:t>238 000</w:t>
            </w:r>
          </w:p>
        </w:tc>
      </w:tr>
    </w:tbl>
    <w:p w14:paraId="0041D0D5" w14:textId="77777777" w:rsidR="009969E0" w:rsidRPr="007C5A6E" w:rsidRDefault="009969E0" w:rsidP="009969E0">
      <w:pPr>
        <w:spacing w:after="0" w:line="240" w:lineRule="auto"/>
        <w:rPr>
          <w:rFonts w:ascii="Times New Roman" w:hAnsi="Times New Roman"/>
          <w:sz w:val="24"/>
          <w:szCs w:val="24"/>
          <w:lang w:eastAsia="en-US"/>
        </w:rPr>
      </w:pPr>
    </w:p>
    <w:p w14:paraId="08425325" w14:textId="49ACABA6" w:rsidR="0005266E" w:rsidRPr="007C5A6E" w:rsidRDefault="0005266E" w:rsidP="003F3821">
      <w:pPr>
        <w:pStyle w:val="Titre5"/>
        <w:keepNext w:val="0"/>
        <w:keepLines w:val="0"/>
        <w:numPr>
          <w:ilvl w:val="4"/>
          <w:numId w:val="4"/>
        </w:numPr>
        <w:spacing w:before="0"/>
        <w:ind w:left="907" w:hanging="907"/>
        <w:rPr>
          <w:rFonts w:ascii="Times New Roman" w:hAnsi="Times New Roman" w:cs="Times New Roman"/>
          <w:color w:val="auto"/>
          <w:u w:val="single"/>
          <w:lang w:eastAsia="en-US"/>
        </w:rPr>
      </w:pPr>
      <w:bookmarkStart w:id="520" w:name="_Toc183340101"/>
      <w:r w:rsidRPr="007C5A6E">
        <w:rPr>
          <w:rFonts w:ascii="Times New Roman" w:hAnsi="Times New Roman" w:cs="Times New Roman"/>
          <w:color w:val="auto"/>
          <w:u w:val="single"/>
          <w:lang w:eastAsia="en-US"/>
        </w:rPr>
        <w:t>Prélèvement pour les activités socioéconomiques</w:t>
      </w:r>
      <w:bookmarkEnd w:id="520"/>
    </w:p>
    <w:p w14:paraId="5ED217FC" w14:textId="77777777" w:rsidR="009969E0" w:rsidRPr="007C5A6E" w:rsidRDefault="009969E0" w:rsidP="009969E0">
      <w:pPr>
        <w:spacing w:after="0" w:line="240" w:lineRule="auto"/>
        <w:jc w:val="both"/>
        <w:rPr>
          <w:rFonts w:ascii="Times New Roman" w:hAnsi="Times New Roman"/>
          <w:sz w:val="24"/>
          <w:szCs w:val="24"/>
        </w:rPr>
      </w:pPr>
    </w:p>
    <w:p w14:paraId="737C6A2F" w14:textId="5E939543" w:rsidR="0005266E" w:rsidRPr="007C5A6E" w:rsidRDefault="0005266E" w:rsidP="009969E0">
      <w:pPr>
        <w:spacing w:after="0" w:line="240" w:lineRule="auto"/>
        <w:jc w:val="both"/>
        <w:rPr>
          <w:rFonts w:ascii="Times New Roman" w:hAnsi="Times New Roman"/>
          <w:sz w:val="24"/>
          <w:szCs w:val="24"/>
        </w:rPr>
      </w:pPr>
      <w:r w:rsidRPr="007C5A6E">
        <w:rPr>
          <w:rFonts w:ascii="Times New Roman" w:hAnsi="Times New Roman"/>
          <w:sz w:val="24"/>
          <w:szCs w:val="24"/>
        </w:rPr>
        <w:t>Les volumes d’eau de surface prélevés ont été estimés à partir des capacités de stockage au PEN (Plan d’Eau Normal) des ouvrages hydrauliques inventoriés en 2023 par la DGIH.</w:t>
      </w:r>
    </w:p>
    <w:p w14:paraId="070292AD" w14:textId="77777777" w:rsidR="0005266E" w:rsidRPr="007C5A6E" w:rsidRDefault="0005266E" w:rsidP="009969E0">
      <w:pPr>
        <w:spacing w:after="0" w:line="240" w:lineRule="auto"/>
        <w:jc w:val="both"/>
        <w:rPr>
          <w:rFonts w:ascii="Times New Roman" w:hAnsi="Times New Roman"/>
          <w:sz w:val="24"/>
          <w:szCs w:val="24"/>
        </w:rPr>
      </w:pPr>
      <w:r w:rsidRPr="007C5A6E">
        <w:rPr>
          <w:rFonts w:ascii="Times New Roman" w:hAnsi="Times New Roman"/>
          <w:sz w:val="24"/>
          <w:szCs w:val="24"/>
        </w:rPr>
        <w:t xml:space="preserve">A l’échelle nationale, il a été dénombré 1 952 retenues d’eau de surface dont 972 barrages, 804 boulis, 13 lacs, 142 mares et 21 seuils. </w:t>
      </w:r>
    </w:p>
    <w:p w14:paraId="772DBA2D" w14:textId="77777777" w:rsidR="00B215E4" w:rsidRPr="007C5A6E" w:rsidRDefault="00B215E4" w:rsidP="009969E0">
      <w:pPr>
        <w:spacing w:after="0" w:line="240" w:lineRule="auto"/>
        <w:jc w:val="both"/>
        <w:rPr>
          <w:rFonts w:ascii="Times New Roman" w:hAnsi="Times New Roman"/>
          <w:sz w:val="24"/>
          <w:szCs w:val="24"/>
        </w:rPr>
      </w:pPr>
    </w:p>
    <w:p w14:paraId="08C1A53B" w14:textId="0264FC3F" w:rsidR="0005266E" w:rsidRPr="007C5A6E" w:rsidRDefault="0005266E" w:rsidP="009969E0">
      <w:pPr>
        <w:spacing w:after="0" w:line="240" w:lineRule="auto"/>
        <w:jc w:val="both"/>
        <w:rPr>
          <w:rFonts w:ascii="Times New Roman" w:hAnsi="Times New Roman"/>
          <w:sz w:val="24"/>
          <w:szCs w:val="24"/>
        </w:rPr>
      </w:pPr>
      <w:r w:rsidRPr="007C5A6E">
        <w:rPr>
          <w:rFonts w:ascii="Times New Roman" w:hAnsi="Times New Roman"/>
          <w:sz w:val="24"/>
          <w:szCs w:val="24"/>
        </w:rPr>
        <w:t>Le tableau ci-après récapitule par bassin hydrographique national et par type, la répartition de ces ouvrages d’eau de surface.</w:t>
      </w:r>
    </w:p>
    <w:p w14:paraId="4FD39855" w14:textId="77777777" w:rsidR="009969E0" w:rsidRPr="007C5A6E" w:rsidRDefault="009969E0" w:rsidP="009969E0">
      <w:pPr>
        <w:spacing w:after="0" w:line="240" w:lineRule="auto"/>
        <w:jc w:val="both"/>
        <w:rPr>
          <w:rFonts w:ascii="Times New Roman" w:hAnsi="Times New Roman"/>
          <w:sz w:val="24"/>
          <w:szCs w:val="24"/>
        </w:rPr>
      </w:pPr>
    </w:p>
    <w:p w14:paraId="7853F592" w14:textId="77777777" w:rsidR="00B215E4" w:rsidRPr="007C5A6E" w:rsidRDefault="00B215E4" w:rsidP="009969E0">
      <w:pPr>
        <w:spacing w:after="0" w:line="240" w:lineRule="auto"/>
        <w:jc w:val="both"/>
        <w:rPr>
          <w:rFonts w:ascii="Times New Roman" w:hAnsi="Times New Roman"/>
          <w:sz w:val="24"/>
          <w:szCs w:val="24"/>
        </w:rPr>
      </w:pPr>
    </w:p>
    <w:p w14:paraId="07EC8C9F" w14:textId="2D4331CF" w:rsidR="0005266E" w:rsidRPr="007C5A6E" w:rsidRDefault="0005266E" w:rsidP="009969E0">
      <w:pPr>
        <w:tabs>
          <w:tab w:val="left" w:pos="1134"/>
        </w:tabs>
        <w:spacing w:after="0" w:line="240" w:lineRule="auto"/>
        <w:ind w:left="1134" w:hanging="1134"/>
        <w:jc w:val="both"/>
        <w:rPr>
          <w:rFonts w:ascii="Times New Roman" w:hAnsi="Times New Roman"/>
          <w:iCs/>
          <w:sz w:val="24"/>
          <w:szCs w:val="24"/>
          <w:lang w:eastAsia="da-DK"/>
        </w:rPr>
      </w:pPr>
      <w:bookmarkStart w:id="521" w:name="_Ref153174633"/>
      <w:bookmarkStart w:id="522" w:name="_Ref153174593"/>
      <w:bookmarkStart w:id="523" w:name="_Toc159333882"/>
      <w:bookmarkStart w:id="524" w:name="_Toc177186213"/>
      <w:bookmarkStart w:id="525" w:name="_Toc182605864"/>
      <w:bookmarkStart w:id="526" w:name="_Toc183240979"/>
      <w:bookmarkStart w:id="527" w:name="_Toc183292221"/>
      <w:bookmarkStart w:id="528" w:name="_Toc183340501"/>
      <w:r w:rsidRPr="007C5A6E">
        <w:rPr>
          <w:rFonts w:ascii="Times New Roman" w:hAnsi="Times New Roman"/>
          <w:iCs/>
          <w:sz w:val="24"/>
          <w:szCs w:val="24"/>
          <w:lang w:eastAsia="da-DK"/>
        </w:rPr>
        <w:t xml:space="preserve">Tableau </w:t>
      </w:r>
      <w:r w:rsidRPr="007C5A6E">
        <w:rPr>
          <w:rFonts w:ascii="Times New Roman" w:hAnsi="Times New Roman"/>
          <w:iCs/>
          <w:sz w:val="24"/>
          <w:szCs w:val="24"/>
          <w:lang w:eastAsia="da-DK"/>
        </w:rPr>
        <w:fldChar w:fldCharType="begin"/>
      </w:r>
      <w:r w:rsidRPr="007C5A6E">
        <w:rPr>
          <w:rFonts w:ascii="Times New Roman" w:hAnsi="Times New Roman"/>
          <w:iCs/>
          <w:sz w:val="24"/>
          <w:szCs w:val="24"/>
          <w:lang w:eastAsia="da-DK"/>
        </w:rPr>
        <w:instrText xml:space="preserve"> SEQ Tableau \* ARABIC </w:instrText>
      </w:r>
      <w:r w:rsidRPr="007C5A6E">
        <w:rPr>
          <w:rFonts w:ascii="Times New Roman" w:hAnsi="Times New Roman"/>
          <w:iCs/>
          <w:sz w:val="24"/>
          <w:szCs w:val="24"/>
          <w:lang w:eastAsia="da-DK"/>
        </w:rPr>
        <w:fldChar w:fldCharType="separate"/>
      </w:r>
      <w:r w:rsidR="00AE0C9D" w:rsidRPr="007C5A6E">
        <w:rPr>
          <w:rFonts w:ascii="Times New Roman" w:hAnsi="Times New Roman"/>
          <w:iCs/>
          <w:noProof/>
          <w:sz w:val="24"/>
          <w:szCs w:val="24"/>
          <w:lang w:eastAsia="da-DK"/>
        </w:rPr>
        <w:t>17</w:t>
      </w:r>
      <w:r w:rsidRPr="007C5A6E">
        <w:rPr>
          <w:rFonts w:ascii="Times New Roman" w:hAnsi="Times New Roman"/>
          <w:iCs/>
          <w:sz w:val="24"/>
          <w:szCs w:val="24"/>
          <w:lang w:eastAsia="da-DK"/>
        </w:rPr>
        <w:fldChar w:fldCharType="end"/>
      </w:r>
      <w:bookmarkEnd w:id="521"/>
      <w:r w:rsidR="00700AF5" w:rsidRPr="007C5A6E">
        <w:rPr>
          <w:rFonts w:ascii="Times New Roman" w:hAnsi="Times New Roman"/>
          <w:iCs/>
          <w:sz w:val="24"/>
          <w:szCs w:val="24"/>
          <w:lang w:eastAsia="da-DK"/>
        </w:rPr>
        <w:t xml:space="preserve"> </w:t>
      </w:r>
      <w:r w:rsidRPr="007C5A6E">
        <w:rPr>
          <w:rFonts w:ascii="Times New Roman" w:hAnsi="Times New Roman"/>
          <w:iCs/>
          <w:sz w:val="24"/>
          <w:szCs w:val="24"/>
          <w:lang w:eastAsia="da-DK"/>
        </w:rPr>
        <w:t>: Répartition des retenues d’eau par sous bassin versant selon le type</w:t>
      </w:r>
      <w:bookmarkEnd w:id="522"/>
      <w:bookmarkEnd w:id="523"/>
      <w:bookmarkEnd w:id="524"/>
      <w:bookmarkEnd w:id="525"/>
      <w:bookmarkEnd w:id="526"/>
      <w:bookmarkEnd w:id="527"/>
      <w:bookmarkEnd w:id="528"/>
    </w:p>
    <w:p w14:paraId="6375E78B" w14:textId="77777777" w:rsidR="00B215E4" w:rsidRPr="007C5A6E" w:rsidRDefault="00B215E4" w:rsidP="009969E0">
      <w:pPr>
        <w:tabs>
          <w:tab w:val="left" w:pos="1134"/>
        </w:tabs>
        <w:spacing w:after="0" w:line="240" w:lineRule="auto"/>
        <w:ind w:left="1134" w:hanging="1134"/>
        <w:jc w:val="both"/>
        <w:rPr>
          <w:rFonts w:ascii="Times New Roman" w:hAnsi="Times New Roman"/>
          <w:iCs/>
          <w:sz w:val="24"/>
          <w:szCs w:val="24"/>
          <w:lang w:eastAsia="da-DK"/>
        </w:rPr>
      </w:pPr>
    </w:p>
    <w:tbl>
      <w:tblPr>
        <w:tblStyle w:val="TableauGrille1Clair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2264"/>
        <w:gridCol w:w="1356"/>
        <w:gridCol w:w="773"/>
        <w:gridCol w:w="611"/>
        <w:gridCol w:w="785"/>
        <w:gridCol w:w="732"/>
        <w:gridCol w:w="773"/>
      </w:tblGrid>
      <w:tr w:rsidR="0005266E" w:rsidRPr="007C5A6E" w14:paraId="2B1E8C5F" w14:textId="77777777" w:rsidTr="00B215E4">
        <w:trPr>
          <w:cnfStyle w:val="100000000000" w:firstRow="1" w:lastRow="0" w:firstColumn="0" w:lastColumn="0" w:oddVBand="0" w:evenVBand="0" w:oddHBand="0" w:evenHBand="0" w:firstRowFirstColumn="0" w:firstRowLastColumn="0" w:lastRowFirstColumn="0" w:lastRowLastColumn="0"/>
          <w:trHeight w:val="129"/>
        </w:trPr>
        <w:tc>
          <w:tcPr>
            <w:cnfStyle w:val="001000000000" w:firstRow="0" w:lastRow="0" w:firstColumn="1" w:lastColumn="0" w:oddVBand="0" w:evenVBand="0" w:oddHBand="0" w:evenHBand="0" w:firstRowFirstColumn="0" w:firstRowLastColumn="0" w:lastRowFirstColumn="0" w:lastRowLastColumn="0"/>
            <w:tcW w:w="2259" w:type="pct"/>
            <w:gridSpan w:val="2"/>
            <w:tcBorders>
              <w:bottom w:val="none" w:sz="0" w:space="0" w:color="auto"/>
            </w:tcBorders>
            <w:shd w:val="clear" w:color="auto" w:fill="002060"/>
            <w:noWrap/>
          </w:tcPr>
          <w:p w14:paraId="18DB6E7B" w14:textId="77777777" w:rsidR="0005266E" w:rsidRPr="007C5A6E" w:rsidRDefault="0005266E" w:rsidP="009969E0">
            <w:pPr>
              <w:spacing w:after="0" w:line="240" w:lineRule="auto"/>
              <w:jc w:val="center"/>
              <w:rPr>
                <w:rFonts w:ascii="Times New Roman" w:hAnsi="Times New Roman"/>
                <w:color w:val="FFFFFF" w:themeColor="background1"/>
                <w:sz w:val="21"/>
                <w:szCs w:val="21"/>
              </w:rPr>
            </w:pPr>
            <w:r w:rsidRPr="007C5A6E">
              <w:rPr>
                <w:rFonts w:ascii="Times New Roman" w:hAnsi="Times New Roman"/>
                <w:color w:val="FFFFFF" w:themeColor="background1"/>
                <w:sz w:val="21"/>
                <w:szCs w:val="21"/>
              </w:rPr>
              <w:t>Bassin versant</w:t>
            </w:r>
          </w:p>
        </w:tc>
        <w:tc>
          <w:tcPr>
            <w:tcW w:w="2741" w:type="pct"/>
            <w:gridSpan w:val="6"/>
            <w:tcBorders>
              <w:bottom w:val="none" w:sz="0" w:space="0" w:color="auto"/>
            </w:tcBorders>
            <w:shd w:val="clear" w:color="auto" w:fill="002060"/>
            <w:noWrap/>
          </w:tcPr>
          <w:p w14:paraId="352A196F" w14:textId="77777777" w:rsidR="0005266E" w:rsidRPr="007C5A6E" w:rsidRDefault="0005266E" w:rsidP="009969E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z w:val="21"/>
                <w:szCs w:val="21"/>
              </w:rPr>
            </w:pPr>
            <w:r w:rsidRPr="007C5A6E">
              <w:rPr>
                <w:rFonts w:ascii="Times New Roman" w:hAnsi="Times New Roman"/>
                <w:color w:val="FFFFFF" w:themeColor="background1"/>
                <w:sz w:val="21"/>
                <w:szCs w:val="21"/>
              </w:rPr>
              <w:t>Type de retenues d’eau</w:t>
            </w:r>
          </w:p>
        </w:tc>
      </w:tr>
      <w:tr w:rsidR="00B215E4" w:rsidRPr="007C5A6E" w14:paraId="4FDD71A6" w14:textId="77777777" w:rsidTr="00B215E4">
        <w:trPr>
          <w:trHeight w:val="129"/>
        </w:trPr>
        <w:tc>
          <w:tcPr>
            <w:cnfStyle w:val="001000000000" w:firstRow="0" w:lastRow="0" w:firstColumn="1" w:lastColumn="0" w:oddVBand="0" w:evenVBand="0" w:oddHBand="0" w:evenHBand="0" w:firstRowFirstColumn="0" w:firstRowLastColumn="0" w:lastRowFirstColumn="0" w:lastRowLastColumn="0"/>
            <w:tcW w:w="1025" w:type="pct"/>
            <w:shd w:val="clear" w:color="auto" w:fill="FBE4D5" w:themeFill="accent2" w:themeFillTint="33"/>
            <w:noWrap/>
          </w:tcPr>
          <w:p w14:paraId="4DFBD235" w14:textId="77777777" w:rsidR="0005266E" w:rsidRPr="007C5A6E" w:rsidRDefault="0005266E" w:rsidP="009969E0">
            <w:pPr>
              <w:spacing w:after="0" w:line="240" w:lineRule="auto"/>
              <w:rPr>
                <w:rFonts w:ascii="Times New Roman" w:hAnsi="Times New Roman"/>
                <w:color w:val="000000"/>
                <w:sz w:val="21"/>
                <w:szCs w:val="21"/>
              </w:rPr>
            </w:pPr>
            <w:r w:rsidRPr="007C5A6E">
              <w:rPr>
                <w:rFonts w:ascii="Times New Roman" w:hAnsi="Times New Roman"/>
                <w:color w:val="000000"/>
                <w:sz w:val="21"/>
                <w:szCs w:val="21"/>
              </w:rPr>
              <w:t>Bassin national</w:t>
            </w:r>
          </w:p>
        </w:tc>
        <w:tc>
          <w:tcPr>
            <w:tcW w:w="1234" w:type="pct"/>
            <w:shd w:val="clear" w:color="auto" w:fill="FBE4D5" w:themeFill="accent2" w:themeFillTint="33"/>
          </w:tcPr>
          <w:p w14:paraId="50BC0FD9" w14:textId="77777777" w:rsidR="0005266E" w:rsidRPr="007C5A6E" w:rsidRDefault="0005266E" w:rsidP="009969E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21"/>
                <w:szCs w:val="21"/>
              </w:rPr>
            </w:pPr>
            <w:r w:rsidRPr="007C5A6E">
              <w:rPr>
                <w:rFonts w:ascii="Times New Roman" w:hAnsi="Times New Roman"/>
                <w:b/>
                <w:bCs/>
                <w:color w:val="000000"/>
                <w:sz w:val="21"/>
                <w:szCs w:val="21"/>
              </w:rPr>
              <w:t>Sous bassin</w:t>
            </w:r>
          </w:p>
        </w:tc>
        <w:tc>
          <w:tcPr>
            <w:tcW w:w="739" w:type="pct"/>
            <w:shd w:val="clear" w:color="auto" w:fill="FBE4D5" w:themeFill="accent2" w:themeFillTint="33"/>
            <w:noWrap/>
          </w:tcPr>
          <w:p w14:paraId="59B8D471"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21"/>
                <w:szCs w:val="21"/>
              </w:rPr>
            </w:pPr>
            <w:r w:rsidRPr="007C5A6E">
              <w:rPr>
                <w:rFonts w:ascii="Times New Roman" w:hAnsi="Times New Roman"/>
                <w:b/>
                <w:bCs/>
                <w:color w:val="000000"/>
                <w:sz w:val="21"/>
                <w:szCs w:val="21"/>
              </w:rPr>
              <w:t>Barrage</w:t>
            </w:r>
          </w:p>
        </w:tc>
        <w:tc>
          <w:tcPr>
            <w:tcW w:w="421" w:type="pct"/>
            <w:shd w:val="clear" w:color="auto" w:fill="FBE4D5" w:themeFill="accent2" w:themeFillTint="33"/>
            <w:noWrap/>
          </w:tcPr>
          <w:p w14:paraId="22BAE060"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21"/>
                <w:szCs w:val="21"/>
              </w:rPr>
            </w:pPr>
            <w:r w:rsidRPr="007C5A6E">
              <w:rPr>
                <w:rFonts w:ascii="Times New Roman" w:hAnsi="Times New Roman"/>
                <w:b/>
                <w:bCs/>
                <w:color w:val="000000"/>
                <w:sz w:val="21"/>
                <w:szCs w:val="21"/>
              </w:rPr>
              <w:t>Bouli</w:t>
            </w:r>
          </w:p>
        </w:tc>
        <w:tc>
          <w:tcPr>
            <w:tcW w:w="333" w:type="pct"/>
            <w:shd w:val="clear" w:color="auto" w:fill="FBE4D5" w:themeFill="accent2" w:themeFillTint="33"/>
            <w:noWrap/>
          </w:tcPr>
          <w:p w14:paraId="763E76DF"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21"/>
                <w:szCs w:val="21"/>
              </w:rPr>
            </w:pPr>
            <w:r w:rsidRPr="007C5A6E">
              <w:rPr>
                <w:rFonts w:ascii="Times New Roman" w:hAnsi="Times New Roman"/>
                <w:b/>
                <w:bCs/>
                <w:color w:val="000000"/>
                <w:sz w:val="21"/>
                <w:szCs w:val="21"/>
              </w:rPr>
              <w:t>Lac</w:t>
            </w:r>
          </w:p>
        </w:tc>
        <w:tc>
          <w:tcPr>
            <w:tcW w:w="428" w:type="pct"/>
            <w:shd w:val="clear" w:color="auto" w:fill="FBE4D5" w:themeFill="accent2" w:themeFillTint="33"/>
            <w:noWrap/>
          </w:tcPr>
          <w:p w14:paraId="55634B76"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21"/>
                <w:szCs w:val="21"/>
              </w:rPr>
            </w:pPr>
            <w:r w:rsidRPr="007C5A6E">
              <w:rPr>
                <w:rFonts w:ascii="Times New Roman" w:hAnsi="Times New Roman"/>
                <w:b/>
                <w:bCs/>
                <w:color w:val="000000"/>
                <w:sz w:val="21"/>
                <w:szCs w:val="21"/>
              </w:rPr>
              <w:t>Mare</w:t>
            </w:r>
          </w:p>
        </w:tc>
        <w:tc>
          <w:tcPr>
            <w:tcW w:w="399" w:type="pct"/>
            <w:shd w:val="clear" w:color="auto" w:fill="FBE4D5" w:themeFill="accent2" w:themeFillTint="33"/>
            <w:noWrap/>
          </w:tcPr>
          <w:p w14:paraId="5D52D0D9"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21"/>
                <w:szCs w:val="21"/>
              </w:rPr>
            </w:pPr>
            <w:r w:rsidRPr="007C5A6E">
              <w:rPr>
                <w:rFonts w:ascii="Times New Roman" w:hAnsi="Times New Roman"/>
                <w:b/>
                <w:bCs/>
                <w:color w:val="000000"/>
                <w:sz w:val="21"/>
                <w:szCs w:val="21"/>
              </w:rPr>
              <w:t>Seuil</w:t>
            </w:r>
          </w:p>
        </w:tc>
        <w:tc>
          <w:tcPr>
            <w:tcW w:w="421" w:type="pct"/>
            <w:shd w:val="clear" w:color="auto" w:fill="FBE4D5" w:themeFill="accent2" w:themeFillTint="33"/>
            <w:noWrap/>
          </w:tcPr>
          <w:p w14:paraId="4D22ECA6"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21"/>
                <w:szCs w:val="21"/>
              </w:rPr>
            </w:pPr>
            <w:r w:rsidRPr="007C5A6E">
              <w:rPr>
                <w:rFonts w:ascii="Times New Roman" w:hAnsi="Times New Roman"/>
                <w:b/>
                <w:bCs/>
                <w:color w:val="000000"/>
                <w:sz w:val="21"/>
                <w:szCs w:val="21"/>
              </w:rPr>
              <w:t>Total</w:t>
            </w:r>
          </w:p>
        </w:tc>
      </w:tr>
      <w:tr w:rsidR="0005266E" w:rsidRPr="007C5A6E" w14:paraId="2B51B03F" w14:textId="77777777" w:rsidTr="00457BED">
        <w:trPr>
          <w:trHeight w:val="288"/>
        </w:trPr>
        <w:tc>
          <w:tcPr>
            <w:cnfStyle w:val="001000000000" w:firstRow="0" w:lastRow="0" w:firstColumn="1" w:lastColumn="0" w:oddVBand="0" w:evenVBand="0" w:oddHBand="0" w:evenHBand="0" w:firstRowFirstColumn="0" w:firstRowLastColumn="0" w:lastRowFirstColumn="0" w:lastRowLastColumn="0"/>
            <w:tcW w:w="1025" w:type="pct"/>
            <w:noWrap/>
            <w:vAlign w:val="center"/>
            <w:hideMark/>
          </w:tcPr>
          <w:p w14:paraId="7D5DC2DF" w14:textId="77777777" w:rsidR="0005266E" w:rsidRPr="007C5A6E" w:rsidRDefault="0005266E" w:rsidP="009969E0">
            <w:pPr>
              <w:spacing w:after="0" w:line="240" w:lineRule="auto"/>
              <w:rPr>
                <w:rFonts w:ascii="Times New Roman" w:hAnsi="Times New Roman"/>
                <w:sz w:val="21"/>
                <w:szCs w:val="21"/>
              </w:rPr>
            </w:pPr>
            <w:r w:rsidRPr="007C5A6E">
              <w:rPr>
                <w:rFonts w:ascii="Times New Roman" w:hAnsi="Times New Roman"/>
                <w:color w:val="000000"/>
                <w:sz w:val="21"/>
                <w:szCs w:val="21"/>
              </w:rPr>
              <w:t>Comoé</w:t>
            </w:r>
          </w:p>
        </w:tc>
        <w:tc>
          <w:tcPr>
            <w:tcW w:w="1234" w:type="pct"/>
          </w:tcPr>
          <w:p w14:paraId="1109CF7D" w14:textId="77777777" w:rsidR="0005266E" w:rsidRPr="007C5A6E" w:rsidRDefault="0005266E" w:rsidP="009969E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Comoé-Léraba</w:t>
            </w:r>
          </w:p>
        </w:tc>
        <w:tc>
          <w:tcPr>
            <w:tcW w:w="739" w:type="pct"/>
            <w:noWrap/>
            <w:vAlign w:val="bottom"/>
            <w:hideMark/>
          </w:tcPr>
          <w:p w14:paraId="4069A63B"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22</w:t>
            </w:r>
          </w:p>
        </w:tc>
        <w:tc>
          <w:tcPr>
            <w:tcW w:w="421" w:type="pct"/>
            <w:noWrap/>
            <w:vAlign w:val="bottom"/>
            <w:hideMark/>
          </w:tcPr>
          <w:p w14:paraId="301B0BA3"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17</w:t>
            </w:r>
          </w:p>
        </w:tc>
        <w:tc>
          <w:tcPr>
            <w:tcW w:w="333" w:type="pct"/>
            <w:noWrap/>
            <w:vAlign w:val="bottom"/>
            <w:hideMark/>
          </w:tcPr>
          <w:p w14:paraId="189A3CC4"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5</w:t>
            </w:r>
          </w:p>
        </w:tc>
        <w:tc>
          <w:tcPr>
            <w:tcW w:w="428" w:type="pct"/>
            <w:noWrap/>
            <w:vAlign w:val="bottom"/>
            <w:hideMark/>
          </w:tcPr>
          <w:p w14:paraId="7019E8CB"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31</w:t>
            </w:r>
          </w:p>
        </w:tc>
        <w:tc>
          <w:tcPr>
            <w:tcW w:w="399" w:type="pct"/>
            <w:noWrap/>
            <w:vAlign w:val="bottom"/>
            <w:hideMark/>
          </w:tcPr>
          <w:p w14:paraId="2D04996D"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2</w:t>
            </w:r>
          </w:p>
        </w:tc>
        <w:tc>
          <w:tcPr>
            <w:tcW w:w="421" w:type="pct"/>
            <w:noWrap/>
            <w:vAlign w:val="bottom"/>
            <w:hideMark/>
          </w:tcPr>
          <w:p w14:paraId="247EB0CF"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77</w:t>
            </w:r>
          </w:p>
        </w:tc>
      </w:tr>
      <w:tr w:rsidR="0005266E" w:rsidRPr="007C5A6E" w14:paraId="3334957A" w14:textId="77777777" w:rsidTr="00457BED">
        <w:trPr>
          <w:trHeight w:val="288"/>
        </w:trPr>
        <w:tc>
          <w:tcPr>
            <w:cnfStyle w:val="001000000000" w:firstRow="0" w:lastRow="0" w:firstColumn="1" w:lastColumn="0" w:oddVBand="0" w:evenVBand="0" w:oddHBand="0" w:evenHBand="0" w:firstRowFirstColumn="0" w:firstRowLastColumn="0" w:lastRowFirstColumn="0" w:lastRowLastColumn="0"/>
            <w:tcW w:w="1025" w:type="pct"/>
            <w:vMerge w:val="restart"/>
            <w:noWrap/>
            <w:vAlign w:val="center"/>
          </w:tcPr>
          <w:p w14:paraId="77E31974" w14:textId="77777777" w:rsidR="0005266E" w:rsidRPr="007C5A6E" w:rsidRDefault="0005266E" w:rsidP="009969E0">
            <w:pPr>
              <w:spacing w:after="0" w:line="240" w:lineRule="auto"/>
              <w:rPr>
                <w:rFonts w:ascii="Times New Roman" w:hAnsi="Times New Roman"/>
                <w:sz w:val="21"/>
                <w:szCs w:val="21"/>
              </w:rPr>
            </w:pPr>
            <w:r w:rsidRPr="007C5A6E">
              <w:rPr>
                <w:rFonts w:ascii="Times New Roman" w:hAnsi="Times New Roman"/>
                <w:color w:val="000000"/>
                <w:sz w:val="21"/>
                <w:szCs w:val="21"/>
              </w:rPr>
              <w:t>Mouhoun</w:t>
            </w:r>
          </w:p>
        </w:tc>
        <w:tc>
          <w:tcPr>
            <w:tcW w:w="1234" w:type="pct"/>
          </w:tcPr>
          <w:p w14:paraId="5E547CA9" w14:textId="77777777" w:rsidR="0005266E" w:rsidRPr="007C5A6E" w:rsidRDefault="0005266E" w:rsidP="009969E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Mouhoun inférieur</w:t>
            </w:r>
          </w:p>
        </w:tc>
        <w:tc>
          <w:tcPr>
            <w:tcW w:w="739" w:type="pct"/>
            <w:noWrap/>
            <w:vAlign w:val="bottom"/>
            <w:hideMark/>
          </w:tcPr>
          <w:p w14:paraId="6A3F539B"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214</w:t>
            </w:r>
          </w:p>
        </w:tc>
        <w:tc>
          <w:tcPr>
            <w:tcW w:w="421" w:type="pct"/>
            <w:noWrap/>
            <w:vAlign w:val="bottom"/>
            <w:hideMark/>
          </w:tcPr>
          <w:p w14:paraId="1A7756F3"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65</w:t>
            </w:r>
          </w:p>
        </w:tc>
        <w:tc>
          <w:tcPr>
            <w:tcW w:w="333" w:type="pct"/>
            <w:noWrap/>
            <w:vAlign w:val="bottom"/>
            <w:hideMark/>
          </w:tcPr>
          <w:p w14:paraId="6F4F627E"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428" w:type="pct"/>
            <w:noWrap/>
            <w:vAlign w:val="bottom"/>
            <w:hideMark/>
          </w:tcPr>
          <w:p w14:paraId="53828125"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46</w:t>
            </w:r>
          </w:p>
        </w:tc>
        <w:tc>
          <w:tcPr>
            <w:tcW w:w="399" w:type="pct"/>
            <w:noWrap/>
            <w:vAlign w:val="bottom"/>
            <w:hideMark/>
          </w:tcPr>
          <w:p w14:paraId="50A14E91"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8</w:t>
            </w:r>
          </w:p>
        </w:tc>
        <w:tc>
          <w:tcPr>
            <w:tcW w:w="421" w:type="pct"/>
            <w:noWrap/>
            <w:vAlign w:val="bottom"/>
            <w:hideMark/>
          </w:tcPr>
          <w:p w14:paraId="5750009E"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333</w:t>
            </w:r>
          </w:p>
        </w:tc>
      </w:tr>
      <w:tr w:rsidR="0005266E" w:rsidRPr="007C5A6E" w14:paraId="3CD7C1AE" w14:textId="77777777" w:rsidTr="00457BED">
        <w:trPr>
          <w:trHeight w:val="288"/>
        </w:trPr>
        <w:tc>
          <w:tcPr>
            <w:cnfStyle w:val="001000000000" w:firstRow="0" w:lastRow="0" w:firstColumn="1" w:lastColumn="0" w:oddVBand="0" w:evenVBand="0" w:oddHBand="0" w:evenHBand="0" w:firstRowFirstColumn="0" w:firstRowLastColumn="0" w:lastRowFirstColumn="0" w:lastRowLastColumn="0"/>
            <w:tcW w:w="1025" w:type="pct"/>
            <w:vMerge/>
            <w:noWrap/>
            <w:vAlign w:val="center"/>
          </w:tcPr>
          <w:p w14:paraId="03572844" w14:textId="77777777" w:rsidR="0005266E" w:rsidRPr="007C5A6E" w:rsidRDefault="0005266E" w:rsidP="009969E0">
            <w:pPr>
              <w:spacing w:after="0" w:line="240" w:lineRule="auto"/>
              <w:ind w:firstLineChars="100" w:firstLine="211"/>
              <w:rPr>
                <w:rFonts w:ascii="Times New Roman" w:hAnsi="Times New Roman"/>
                <w:sz w:val="21"/>
                <w:szCs w:val="21"/>
              </w:rPr>
            </w:pPr>
          </w:p>
        </w:tc>
        <w:tc>
          <w:tcPr>
            <w:tcW w:w="1234" w:type="pct"/>
          </w:tcPr>
          <w:p w14:paraId="41B05BFF" w14:textId="77777777" w:rsidR="0005266E" w:rsidRPr="007C5A6E" w:rsidRDefault="0005266E" w:rsidP="009969E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Mouhoun supérieur</w:t>
            </w:r>
          </w:p>
        </w:tc>
        <w:tc>
          <w:tcPr>
            <w:tcW w:w="739" w:type="pct"/>
            <w:noWrap/>
            <w:vAlign w:val="bottom"/>
            <w:hideMark/>
          </w:tcPr>
          <w:p w14:paraId="25C60E52"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25</w:t>
            </w:r>
          </w:p>
        </w:tc>
        <w:tc>
          <w:tcPr>
            <w:tcW w:w="421" w:type="pct"/>
            <w:noWrap/>
            <w:vAlign w:val="bottom"/>
            <w:hideMark/>
          </w:tcPr>
          <w:p w14:paraId="3A201A9C"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19</w:t>
            </w:r>
          </w:p>
        </w:tc>
        <w:tc>
          <w:tcPr>
            <w:tcW w:w="333" w:type="pct"/>
            <w:noWrap/>
            <w:vAlign w:val="bottom"/>
            <w:hideMark/>
          </w:tcPr>
          <w:p w14:paraId="7CA99CB3"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1</w:t>
            </w:r>
          </w:p>
        </w:tc>
        <w:tc>
          <w:tcPr>
            <w:tcW w:w="428" w:type="pct"/>
            <w:noWrap/>
            <w:vAlign w:val="bottom"/>
            <w:hideMark/>
          </w:tcPr>
          <w:p w14:paraId="11ED6A8D"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26</w:t>
            </w:r>
          </w:p>
        </w:tc>
        <w:tc>
          <w:tcPr>
            <w:tcW w:w="399" w:type="pct"/>
            <w:noWrap/>
            <w:vAlign w:val="bottom"/>
            <w:hideMark/>
          </w:tcPr>
          <w:p w14:paraId="5C1D6FDF"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2</w:t>
            </w:r>
          </w:p>
        </w:tc>
        <w:tc>
          <w:tcPr>
            <w:tcW w:w="421" w:type="pct"/>
            <w:noWrap/>
            <w:vAlign w:val="bottom"/>
            <w:hideMark/>
          </w:tcPr>
          <w:p w14:paraId="7059B73E"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73</w:t>
            </w:r>
          </w:p>
        </w:tc>
      </w:tr>
      <w:tr w:rsidR="0005266E" w:rsidRPr="007C5A6E" w14:paraId="3D5E149F" w14:textId="77777777" w:rsidTr="00457BED">
        <w:trPr>
          <w:trHeight w:val="288"/>
        </w:trPr>
        <w:tc>
          <w:tcPr>
            <w:cnfStyle w:val="001000000000" w:firstRow="0" w:lastRow="0" w:firstColumn="1" w:lastColumn="0" w:oddVBand="0" w:evenVBand="0" w:oddHBand="0" w:evenHBand="0" w:firstRowFirstColumn="0" w:firstRowLastColumn="0" w:lastRowFirstColumn="0" w:lastRowLastColumn="0"/>
            <w:tcW w:w="1025" w:type="pct"/>
            <w:vMerge/>
            <w:noWrap/>
            <w:vAlign w:val="center"/>
          </w:tcPr>
          <w:p w14:paraId="3C2E094D" w14:textId="77777777" w:rsidR="0005266E" w:rsidRPr="007C5A6E" w:rsidRDefault="0005266E" w:rsidP="009969E0">
            <w:pPr>
              <w:spacing w:after="0" w:line="240" w:lineRule="auto"/>
              <w:ind w:firstLineChars="100" w:firstLine="211"/>
              <w:rPr>
                <w:rFonts w:ascii="Times New Roman" w:hAnsi="Times New Roman"/>
                <w:sz w:val="21"/>
                <w:szCs w:val="21"/>
              </w:rPr>
            </w:pPr>
          </w:p>
        </w:tc>
        <w:tc>
          <w:tcPr>
            <w:tcW w:w="1234" w:type="pct"/>
          </w:tcPr>
          <w:p w14:paraId="4D27A7B0" w14:textId="77777777" w:rsidR="0005266E" w:rsidRPr="007C5A6E" w:rsidRDefault="0005266E" w:rsidP="009969E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Sourou</w:t>
            </w:r>
          </w:p>
        </w:tc>
        <w:tc>
          <w:tcPr>
            <w:tcW w:w="739" w:type="pct"/>
            <w:noWrap/>
            <w:vAlign w:val="bottom"/>
            <w:hideMark/>
          </w:tcPr>
          <w:p w14:paraId="0558E72E"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20</w:t>
            </w:r>
          </w:p>
        </w:tc>
        <w:tc>
          <w:tcPr>
            <w:tcW w:w="421" w:type="pct"/>
            <w:noWrap/>
            <w:vAlign w:val="bottom"/>
            <w:hideMark/>
          </w:tcPr>
          <w:p w14:paraId="3EA973D4"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14</w:t>
            </w:r>
          </w:p>
        </w:tc>
        <w:tc>
          <w:tcPr>
            <w:tcW w:w="333" w:type="pct"/>
            <w:noWrap/>
            <w:vAlign w:val="bottom"/>
            <w:hideMark/>
          </w:tcPr>
          <w:p w14:paraId="05CD54A0"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428" w:type="pct"/>
            <w:noWrap/>
            <w:vAlign w:val="bottom"/>
            <w:hideMark/>
          </w:tcPr>
          <w:p w14:paraId="313431FA"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1</w:t>
            </w:r>
          </w:p>
        </w:tc>
        <w:tc>
          <w:tcPr>
            <w:tcW w:w="399" w:type="pct"/>
            <w:noWrap/>
            <w:vAlign w:val="bottom"/>
            <w:hideMark/>
          </w:tcPr>
          <w:p w14:paraId="3A6E11F9"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1</w:t>
            </w:r>
          </w:p>
        </w:tc>
        <w:tc>
          <w:tcPr>
            <w:tcW w:w="421" w:type="pct"/>
            <w:noWrap/>
            <w:vAlign w:val="bottom"/>
            <w:hideMark/>
          </w:tcPr>
          <w:p w14:paraId="2BB4423E"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36</w:t>
            </w:r>
          </w:p>
        </w:tc>
      </w:tr>
      <w:tr w:rsidR="0005266E" w:rsidRPr="007C5A6E" w14:paraId="31A0B081" w14:textId="77777777" w:rsidTr="00457BED">
        <w:trPr>
          <w:trHeight w:val="288"/>
        </w:trPr>
        <w:tc>
          <w:tcPr>
            <w:cnfStyle w:val="001000000000" w:firstRow="0" w:lastRow="0" w:firstColumn="1" w:lastColumn="0" w:oddVBand="0" w:evenVBand="0" w:oddHBand="0" w:evenHBand="0" w:firstRowFirstColumn="0" w:firstRowLastColumn="0" w:lastRowFirstColumn="0" w:lastRowLastColumn="0"/>
            <w:tcW w:w="1025" w:type="pct"/>
            <w:vMerge w:val="restart"/>
            <w:noWrap/>
            <w:vAlign w:val="center"/>
          </w:tcPr>
          <w:p w14:paraId="5D49F845" w14:textId="77777777" w:rsidR="0005266E" w:rsidRPr="007C5A6E" w:rsidRDefault="0005266E" w:rsidP="009969E0">
            <w:pPr>
              <w:spacing w:after="0" w:line="240" w:lineRule="auto"/>
              <w:rPr>
                <w:rFonts w:ascii="Times New Roman" w:hAnsi="Times New Roman"/>
                <w:sz w:val="21"/>
                <w:szCs w:val="21"/>
              </w:rPr>
            </w:pPr>
            <w:r w:rsidRPr="007C5A6E">
              <w:rPr>
                <w:rFonts w:ascii="Times New Roman" w:hAnsi="Times New Roman"/>
                <w:color w:val="000000"/>
                <w:sz w:val="21"/>
                <w:szCs w:val="21"/>
              </w:rPr>
              <w:t>Nakanbé</w:t>
            </w:r>
          </w:p>
        </w:tc>
        <w:tc>
          <w:tcPr>
            <w:tcW w:w="1234" w:type="pct"/>
          </w:tcPr>
          <w:p w14:paraId="79C6471B" w14:textId="77777777" w:rsidR="0005266E" w:rsidRPr="007C5A6E" w:rsidRDefault="0005266E" w:rsidP="009969E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Nakanbé</w:t>
            </w:r>
          </w:p>
        </w:tc>
        <w:tc>
          <w:tcPr>
            <w:tcW w:w="739" w:type="pct"/>
            <w:noWrap/>
            <w:vAlign w:val="bottom"/>
            <w:hideMark/>
          </w:tcPr>
          <w:p w14:paraId="46A2C10F"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411</w:t>
            </w:r>
          </w:p>
        </w:tc>
        <w:tc>
          <w:tcPr>
            <w:tcW w:w="421" w:type="pct"/>
            <w:noWrap/>
            <w:vAlign w:val="bottom"/>
            <w:hideMark/>
          </w:tcPr>
          <w:p w14:paraId="6CD525CD"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320</w:t>
            </w:r>
          </w:p>
        </w:tc>
        <w:tc>
          <w:tcPr>
            <w:tcW w:w="333" w:type="pct"/>
            <w:noWrap/>
            <w:vAlign w:val="bottom"/>
            <w:hideMark/>
          </w:tcPr>
          <w:p w14:paraId="48182302"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4</w:t>
            </w:r>
          </w:p>
        </w:tc>
        <w:tc>
          <w:tcPr>
            <w:tcW w:w="428" w:type="pct"/>
            <w:noWrap/>
            <w:vAlign w:val="bottom"/>
            <w:hideMark/>
          </w:tcPr>
          <w:p w14:paraId="6103CF2D"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13</w:t>
            </w:r>
          </w:p>
        </w:tc>
        <w:tc>
          <w:tcPr>
            <w:tcW w:w="399" w:type="pct"/>
            <w:noWrap/>
            <w:vAlign w:val="bottom"/>
            <w:hideMark/>
          </w:tcPr>
          <w:p w14:paraId="6A2FEE2D"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4</w:t>
            </w:r>
          </w:p>
        </w:tc>
        <w:tc>
          <w:tcPr>
            <w:tcW w:w="421" w:type="pct"/>
            <w:noWrap/>
            <w:vAlign w:val="bottom"/>
            <w:hideMark/>
          </w:tcPr>
          <w:p w14:paraId="4BD125B7"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752</w:t>
            </w:r>
          </w:p>
        </w:tc>
      </w:tr>
      <w:tr w:rsidR="0005266E" w:rsidRPr="007C5A6E" w14:paraId="2D8138A2" w14:textId="77777777" w:rsidTr="00457BED">
        <w:trPr>
          <w:trHeight w:val="288"/>
        </w:trPr>
        <w:tc>
          <w:tcPr>
            <w:cnfStyle w:val="001000000000" w:firstRow="0" w:lastRow="0" w:firstColumn="1" w:lastColumn="0" w:oddVBand="0" w:evenVBand="0" w:oddHBand="0" w:evenHBand="0" w:firstRowFirstColumn="0" w:firstRowLastColumn="0" w:lastRowFirstColumn="0" w:lastRowLastColumn="0"/>
            <w:tcW w:w="1025" w:type="pct"/>
            <w:vMerge/>
            <w:noWrap/>
            <w:vAlign w:val="center"/>
          </w:tcPr>
          <w:p w14:paraId="7CA0023A" w14:textId="77777777" w:rsidR="0005266E" w:rsidRPr="007C5A6E" w:rsidRDefault="0005266E" w:rsidP="009969E0">
            <w:pPr>
              <w:spacing w:after="0" w:line="240" w:lineRule="auto"/>
              <w:ind w:firstLineChars="100" w:firstLine="211"/>
              <w:rPr>
                <w:rFonts w:ascii="Times New Roman" w:hAnsi="Times New Roman"/>
                <w:sz w:val="21"/>
                <w:szCs w:val="21"/>
              </w:rPr>
            </w:pPr>
          </w:p>
        </w:tc>
        <w:tc>
          <w:tcPr>
            <w:tcW w:w="1234" w:type="pct"/>
          </w:tcPr>
          <w:p w14:paraId="21826235" w14:textId="77777777" w:rsidR="0005266E" w:rsidRPr="007C5A6E" w:rsidRDefault="0005266E" w:rsidP="009969E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roofErr w:type="spellStart"/>
            <w:r w:rsidRPr="007C5A6E">
              <w:rPr>
                <w:rFonts w:ascii="Times New Roman" w:hAnsi="Times New Roman"/>
                <w:sz w:val="21"/>
                <w:szCs w:val="21"/>
              </w:rPr>
              <w:t>Nazinon</w:t>
            </w:r>
            <w:proofErr w:type="spellEnd"/>
          </w:p>
        </w:tc>
        <w:tc>
          <w:tcPr>
            <w:tcW w:w="739" w:type="pct"/>
            <w:noWrap/>
            <w:vAlign w:val="bottom"/>
            <w:hideMark/>
          </w:tcPr>
          <w:p w14:paraId="21FE5DE7"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56</w:t>
            </w:r>
          </w:p>
        </w:tc>
        <w:tc>
          <w:tcPr>
            <w:tcW w:w="421" w:type="pct"/>
            <w:noWrap/>
            <w:vAlign w:val="bottom"/>
            <w:hideMark/>
          </w:tcPr>
          <w:p w14:paraId="366527CF"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49</w:t>
            </w:r>
          </w:p>
        </w:tc>
        <w:tc>
          <w:tcPr>
            <w:tcW w:w="333" w:type="pct"/>
            <w:noWrap/>
            <w:vAlign w:val="bottom"/>
            <w:hideMark/>
          </w:tcPr>
          <w:p w14:paraId="61B4EF36"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428" w:type="pct"/>
            <w:noWrap/>
            <w:vAlign w:val="bottom"/>
            <w:hideMark/>
          </w:tcPr>
          <w:p w14:paraId="7549E19A"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5</w:t>
            </w:r>
          </w:p>
        </w:tc>
        <w:tc>
          <w:tcPr>
            <w:tcW w:w="399" w:type="pct"/>
            <w:noWrap/>
            <w:vAlign w:val="bottom"/>
            <w:hideMark/>
          </w:tcPr>
          <w:p w14:paraId="2E60BBDF"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3</w:t>
            </w:r>
          </w:p>
        </w:tc>
        <w:tc>
          <w:tcPr>
            <w:tcW w:w="421" w:type="pct"/>
            <w:noWrap/>
            <w:vAlign w:val="bottom"/>
            <w:hideMark/>
          </w:tcPr>
          <w:p w14:paraId="50141548"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113</w:t>
            </w:r>
          </w:p>
        </w:tc>
      </w:tr>
      <w:tr w:rsidR="0005266E" w:rsidRPr="007C5A6E" w14:paraId="07BEA2E6" w14:textId="77777777" w:rsidTr="00457BED">
        <w:trPr>
          <w:trHeight w:val="288"/>
        </w:trPr>
        <w:tc>
          <w:tcPr>
            <w:cnfStyle w:val="001000000000" w:firstRow="0" w:lastRow="0" w:firstColumn="1" w:lastColumn="0" w:oddVBand="0" w:evenVBand="0" w:oddHBand="0" w:evenHBand="0" w:firstRowFirstColumn="0" w:firstRowLastColumn="0" w:lastRowFirstColumn="0" w:lastRowLastColumn="0"/>
            <w:tcW w:w="1025" w:type="pct"/>
            <w:vMerge/>
            <w:noWrap/>
            <w:vAlign w:val="center"/>
          </w:tcPr>
          <w:p w14:paraId="516671A6" w14:textId="77777777" w:rsidR="0005266E" w:rsidRPr="007C5A6E" w:rsidRDefault="0005266E" w:rsidP="009969E0">
            <w:pPr>
              <w:spacing w:after="0" w:line="240" w:lineRule="auto"/>
              <w:ind w:firstLineChars="100" w:firstLine="211"/>
              <w:rPr>
                <w:rFonts w:ascii="Times New Roman" w:hAnsi="Times New Roman"/>
                <w:sz w:val="21"/>
                <w:szCs w:val="21"/>
              </w:rPr>
            </w:pPr>
          </w:p>
        </w:tc>
        <w:tc>
          <w:tcPr>
            <w:tcW w:w="1234" w:type="pct"/>
          </w:tcPr>
          <w:p w14:paraId="6222BC21" w14:textId="77777777" w:rsidR="0005266E" w:rsidRPr="007C5A6E" w:rsidRDefault="0005266E" w:rsidP="009969E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roofErr w:type="spellStart"/>
            <w:r w:rsidRPr="007C5A6E">
              <w:rPr>
                <w:rFonts w:ascii="Times New Roman" w:hAnsi="Times New Roman"/>
                <w:sz w:val="21"/>
                <w:szCs w:val="21"/>
              </w:rPr>
              <w:t>Pendjari</w:t>
            </w:r>
            <w:proofErr w:type="spellEnd"/>
            <w:r w:rsidRPr="007C5A6E">
              <w:rPr>
                <w:rFonts w:ascii="Times New Roman" w:hAnsi="Times New Roman"/>
                <w:sz w:val="21"/>
                <w:szCs w:val="21"/>
              </w:rPr>
              <w:t>-Kompienga</w:t>
            </w:r>
          </w:p>
        </w:tc>
        <w:tc>
          <w:tcPr>
            <w:tcW w:w="739" w:type="pct"/>
            <w:noWrap/>
            <w:vAlign w:val="bottom"/>
            <w:hideMark/>
          </w:tcPr>
          <w:p w14:paraId="69981B1F"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20</w:t>
            </w:r>
          </w:p>
        </w:tc>
        <w:tc>
          <w:tcPr>
            <w:tcW w:w="421" w:type="pct"/>
            <w:noWrap/>
            <w:vAlign w:val="bottom"/>
            <w:hideMark/>
          </w:tcPr>
          <w:p w14:paraId="0B556C00"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21</w:t>
            </w:r>
          </w:p>
        </w:tc>
        <w:tc>
          <w:tcPr>
            <w:tcW w:w="333" w:type="pct"/>
            <w:noWrap/>
            <w:vAlign w:val="bottom"/>
            <w:hideMark/>
          </w:tcPr>
          <w:p w14:paraId="671CF984"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428" w:type="pct"/>
            <w:noWrap/>
            <w:vAlign w:val="bottom"/>
            <w:hideMark/>
          </w:tcPr>
          <w:p w14:paraId="5D9D1BA9"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2</w:t>
            </w:r>
          </w:p>
        </w:tc>
        <w:tc>
          <w:tcPr>
            <w:tcW w:w="399" w:type="pct"/>
            <w:noWrap/>
            <w:vAlign w:val="bottom"/>
            <w:hideMark/>
          </w:tcPr>
          <w:p w14:paraId="6F3B1302"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421" w:type="pct"/>
            <w:noWrap/>
            <w:vAlign w:val="bottom"/>
            <w:hideMark/>
          </w:tcPr>
          <w:p w14:paraId="48553427"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43</w:t>
            </w:r>
          </w:p>
        </w:tc>
      </w:tr>
      <w:tr w:rsidR="0005266E" w:rsidRPr="007C5A6E" w14:paraId="1C8233CB" w14:textId="77777777" w:rsidTr="00457BED">
        <w:trPr>
          <w:trHeight w:val="288"/>
        </w:trPr>
        <w:tc>
          <w:tcPr>
            <w:cnfStyle w:val="001000000000" w:firstRow="0" w:lastRow="0" w:firstColumn="1" w:lastColumn="0" w:oddVBand="0" w:evenVBand="0" w:oddHBand="0" w:evenHBand="0" w:firstRowFirstColumn="0" w:firstRowLastColumn="0" w:lastRowFirstColumn="0" w:lastRowLastColumn="0"/>
            <w:tcW w:w="1025" w:type="pct"/>
            <w:vMerge/>
            <w:noWrap/>
            <w:vAlign w:val="center"/>
          </w:tcPr>
          <w:p w14:paraId="377C0628" w14:textId="77777777" w:rsidR="0005266E" w:rsidRPr="007C5A6E" w:rsidRDefault="0005266E" w:rsidP="009969E0">
            <w:pPr>
              <w:spacing w:after="0" w:line="240" w:lineRule="auto"/>
              <w:ind w:firstLineChars="100" w:firstLine="211"/>
              <w:rPr>
                <w:rFonts w:ascii="Times New Roman" w:hAnsi="Times New Roman"/>
                <w:sz w:val="21"/>
                <w:szCs w:val="21"/>
              </w:rPr>
            </w:pPr>
          </w:p>
        </w:tc>
        <w:tc>
          <w:tcPr>
            <w:tcW w:w="1234" w:type="pct"/>
          </w:tcPr>
          <w:p w14:paraId="2C04F3A4" w14:textId="77777777" w:rsidR="0005266E" w:rsidRPr="007C5A6E" w:rsidRDefault="0005266E" w:rsidP="009969E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Sissili</w:t>
            </w:r>
          </w:p>
        </w:tc>
        <w:tc>
          <w:tcPr>
            <w:tcW w:w="739" w:type="pct"/>
            <w:noWrap/>
            <w:vAlign w:val="bottom"/>
            <w:hideMark/>
          </w:tcPr>
          <w:p w14:paraId="55039C84"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33</w:t>
            </w:r>
          </w:p>
        </w:tc>
        <w:tc>
          <w:tcPr>
            <w:tcW w:w="421" w:type="pct"/>
            <w:noWrap/>
            <w:vAlign w:val="bottom"/>
            <w:hideMark/>
          </w:tcPr>
          <w:p w14:paraId="069847CD"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18</w:t>
            </w:r>
          </w:p>
        </w:tc>
        <w:tc>
          <w:tcPr>
            <w:tcW w:w="333" w:type="pct"/>
            <w:noWrap/>
            <w:vAlign w:val="bottom"/>
            <w:hideMark/>
          </w:tcPr>
          <w:p w14:paraId="1B0740C4"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428" w:type="pct"/>
            <w:noWrap/>
            <w:vAlign w:val="bottom"/>
            <w:hideMark/>
          </w:tcPr>
          <w:p w14:paraId="004C6903"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3</w:t>
            </w:r>
          </w:p>
        </w:tc>
        <w:tc>
          <w:tcPr>
            <w:tcW w:w="399" w:type="pct"/>
            <w:noWrap/>
            <w:vAlign w:val="bottom"/>
            <w:hideMark/>
          </w:tcPr>
          <w:p w14:paraId="0E654859"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1</w:t>
            </w:r>
          </w:p>
        </w:tc>
        <w:tc>
          <w:tcPr>
            <w:tcW w:w="421" w:type="pct"/>
            <w:noWrap/>
            <w:vAlign w:val="bottom"/>
            <w:hideMark/>
          </w:tcPr>
          <w:p w14:paraId="5E9530E9"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55</w:t>
            </w:r>
          </w:p>
        </w:tc>
      </w:tr>
      <w:tr w:rsidR="0005266E" w:rsidRPr="007C5A6E" w14:paraId="2BDC152B" w14:textId="77777777" w:rsidTr="00457BED">
        <w:trPr>
          <w:trHeight w:val="288"/>
        </w:trPr>
        <w:tc>
          <w:tcPr>
            <w:cnfStyle w:val="001000000000" w:firstRow="0" w:lastRow="0" w:firstColumn="1" w:lastColumn="0" w:oddVBand="0" w:evenVBand="0" w:oddHBand="0" w:evenHBand="0" w:firstRowFirstColumn="0" w:firstRowLastColumn="0" w:lastRowFirstColumn="0" w:lastRowLastColumn="0"/>
            <w:tcW w:w="1025" w:type="pct"/>
            <w:vMerge w:val="restart"/>
            <w:noWrap/>
            <w:vAlign w:val="center"/>
          </w:tcPr>
          <w:p w14:paraId="4A09B3EF" w14:textId="77777777" w:rsidR="0005266E" w:rsidRPr="007C5A6E" w:rsidRDefault="0005266E" w:rsidP="009969E0">
            <w:pPr>
              <w:spacing w:after="0" w:line="240" w:lineRule="auto"/>
              <w:rPr>
                <w:rFonts w:ascii="Times New Roman" w:hAnsi="Times New Roman"/>
                <w:sz w:val="21"/>
                <w:szCs w:val="21"/>
              </w:rPr>
            </w:pPr>
            <w:r w:rsidRPr="007C5A6E">
              <w:rPr>
                <w:rFonts w:ascii="Times New Roman" w:hAnsi="Times New Roman"/>
                <w:color w:val="000000"/>
                <w:sz w:val="21"/>
                <w:szCs w:val="21"/>
              </w:rPr>
              <w:t>Niger</w:t>
            </w:r>
          </w:p>
        </w:tc>
        <w:tc>
          <w:tcPr>
            <w:tcW w:w="1234" w:type="pct"/>
          </w:tcPr>
          <w:p w14:paraId="7148B2B6" w14:textId="77777777" w:rsidR="0005266E" w:rsidRPr="007C5A6E" w:rsidRDefault="0005266E" w:rsidP="009969E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roofErr w:type="spellStart"/>
            <w:r w:rsidRPr="007C5A6E">
              <w:rPr>
                <w:rFonts w:ascii="Times New Roman" w:hAnsi="Times New Roman"/>
                <w:sz w:val="21"/>
                <w:szCs w:val="21"/>
              </w:rPr>
              <w:t>Banifing</w:t>
            </w:r>
            <w:proofErr w:type="spellEnd"/>
          </w:p>
        </w:tc>
        <w:tc>
          <w:tcPr>
            <w:tcW w:w="739" w:type="pct"/>
            <w:noWrap/>
            <w:vAlign w:val="bottom"/>
            <w:hideMark/>
          </w:tcPr>
          <w:p w14:paraId="0CFCD69F"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1</w:t>
            </w:r>
          </w:p>
        </w:tc>
        <w:tc>
          <w:tcPr>
            <w:tcW w:w="421" w:type="pct"/>
            <w:noWrap/>
            <w:vAlign w:val="bottom"/>
            <w:hideMark/>
          </w:tcPr>
          <w:p w14:paraId="5AC257D2"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6</w:t>
            </w:r>
          </w:p>
        </w:tc>
        <w:tc>
          <w:tcPr>
            <w:tcW w:w="333" w:type="pct"/>
            <w:noWrap/>
            <w:vAlign w:val="bottom"/>
            <w:hideMark/>
          </w:tcPr>
          <w:p w14:paraId="6CAFE6C2"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428" w:type="pct"/>
            <w:noWrap/>
            <w:vAlign w:val="bottom"/>
            <w:hideMark/>
          </w:tcPr>
          <w:p w14:paraId="333487A7"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1</w:t>
            </w:r>
          </w:p>
        </w:tc>
        <w:tc>
          <w:tcPr>
            <w:tcW w:w="399" w:type="pct"/>
            <w:noWrap/>
            <w:vAlign w:val="bottom"/>
            <w:hideMark/>
          </w:tcPr>
          <w:p w14:paraId="0144F028"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421" w:type="pct"/>
            <w:noWrap/>
            <w:vAlign w:val="bottom"/>
            <w:hideMark/>
          </w:tcPr>
          <w:p w14:paraId="4CBDE3E1"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8</w:t>
            </w:r>
          </w:p>
        </w:tc>
      </w:tr>
      <w:tr w:rsidR="0005266E" w:rsidRPr="007C5A6E" w14:paraId="7352BFA8" w14:textId="77777777" w:rsidTr="00457BED">
        <w:trPr>
          <w:trHeight w:val="288"/>
        </w:trPr>
        <w:tc>
          <w:tcPr>
            <w:cnfStyle w:val="001000000000" w:firstRow="0" w:lastRow="0" w:firstColumn="1" w:lastColumn="0" w:oddVBand="0" w:evenVBand="0" w:oddHBand="0" w:evenHBand="0" w:firstRowFirstColumn="0" w:firstRowLastColumn="0" w:lastRowFirstColumn="0" w:lastRowLastColumn="0"/>
            <w:tcW w:w="1025" w:type="pct"/>
            <w:vMerge/>
            <w:noWrap/>
          </w:tcPr>
          <w:p w14:paraId="3524DD2D" w14:textId="77777777" w:rsidR="0005266E" w:rsidRPr="007C5A6E" w:rsidRDefault="0005266E" w:rsidP="009969E0">
            <w:pPr>
              <w:spacing w:after="0" w:line="240" w:lineRule="auto"/>
              <w:ind w:firstLineChars="100" w:firstLine="211"/>
              <w:rPr>
                <w:rFonts w:ascii="Times New Roman" w:hAnsi="Times New Roman"/>
                <w:sz w:val="21"/>
                <w:szCs w:val="21"/>
              </w:rPr>
            </w:pPr>
          </w:p>
        </w:tc>
        <w:tc>
          <w:tcPr>
            <w:tcW w:w="1234" w:type="pct"/>
          </w:tcPr>
          <w:p w14:paraId="6245D6EB" w14:textId="77777777" w:rsidR="0005266E" w:rsidRPr="007C5A6E" w:rsidRDefault="0005266E" w:rsidP="009969E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roofErr w:type="spellStart"/>
            <w:r w:rsidRPr="007C5A6E">
              <w:rPr>
                <w:rFonts w:ascii="Times New Roman" w:hAnsi="Times New Roman"/>
                <w:sz w:val="21"/>
                <w:szCs w:val="21"/>
              </w:rPr>
              <w:t>Beli</w:t>
            </w:r>
            <w:proofErr w:type="spellEnd"/>
          </w:p>
        </w:tc>
        <w:tc>
          <w:tcPr>
            <w:tcW w:w="739" w:type="pct"/>
            <w:noWrap/>
            <w:vAlign w:val="bottom"/>
            <w:hideMark/>
          </w:tcPr>
          <w:p w14:paraId="2C52F1D4"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19</w:t>
            </w:r>
          </w:p>
        </w:tc>
        <w:tc>
          <w:tcPr>
            <w:tcW w:w="421" w:type="pct"/>
            <w:noWrap/>
            <w:vAlign w:val="bottom"/>
            <w:hideMark/>
          </w:tcPr>
          <w:p w14:paraId="0514208B"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78</w:t>
            </w:r>
          </w:p>
        </w:tc>
        <w:tc>
          <w:tcPr>
            <w:tcW w:w="333" w:type="pct"/>
            <w:noWrap/>
            <w:vAlign w:val="bottom"/>
            <w:hideMark/>
          </w:tcPr>
          <w:p w14:paraId="703135C2"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428" w:type="pct"/>
            <w:noWrap/>
            <w:vAlign w:val="bottom"/>
            <w:hideMark/>
          </w:tcPr>
          <w:p w14:paraId="2AE83556"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2</w:t>
            </w:r>
          </w:p>
        </w:tc>
        <w:tc>
          <w:tcPr>
            <w:tcW w:w="399" w:type="pct"/>
            <w:noWrap/>
            <w:vAlign w:val="bottom"/>
            <w:hideMark/>
          </w:tcPr>
          <w:p w14:paraId="2952E069"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421" w:type="pct"/>
            <w:noWrap/>
            <w:vAlign w:val="bottom"/>
            <w:hideMark/>
          </w:tcPr>
          <w:p w14:paraId="6B77F083"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99</w:t>
            </w:r>
          </w:p>
        </w:tc>
      </w:tr>
      <w:tr w:rsidR="0005266E" w:rsidRPr="007C5A6E" w14:paraId="3D5BF49E" w14:textId="77777777" w:rsidTr="00457BED">
        <w:trPr>
          <w:trHeight w:val="288"/>
        </w:trPr>
        <w:tc>
          <w:tcPr>
            <w:cnfStyle w:val="001000000000" w:firstRow="0" w:lastRow="0" w:firstColumn="1" w:lastColumn="0" w:oddVBand="0" w:evenVBand="0" w:oddHBand="0" w:evenHBand="0" w:firstRowFirstColumn="0" w:firstRowLastColumn="0" w:lastRowFirstColumn="0" w:lastRowLastColumn="0"/>
            <w:tcW w:w="1025" w:type="pct"/>
            <w:vMerge/>
            <w:noWrap/>
          </w:tcPr>
          <w:p w14:paraId="488F89CA" w14:textId="77777777" w:rsidR="0005266E" w:rsidRPr="007C5A6E" w:rsidRDefault="0005266E" w:rsidP="009969E0">
            <w:pPr>
              <w:spacing w:after="0" w:line="240" w:lineRule="auto"/>
              <w:ind w:firstLineChars="100" w:firstLine="211"/>
              <w:rPr>
                <w:rFonts w:ascii="Times New Roman" w:hAnsi="Times New Roman"/>
                <w:sz w:val="21"/>
                <w:szCs w:val="21"/>
              </w:rPr>
            </w:pPr>
          </w:p>
        </w:tc>
        <w:tc>
          <w:tcPr>
            <w:tcW w:w="1234" w:type="pct"/>
          </w:tcPr>
          <w:p w14:paraId="45A5EAAA" w14:textId="77777777" w:rsidR="0005266E" w:rsidRPr="007C5A6E" w:rsidRDefault="0005266E" w:rsidP="009969E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roofErr w:type="spellStart"/>
            <w:r w:rsidRPr="007C5A6E">
              <w:rPr>
                <w:rFonts w:ascii="Times New Roman" w:hAnsi="Times New Roman"/>
                <w:sz w:val="21"/>
                <w:szCs w:val="21"/>
              </w:rPr>
              <w:t>Bonsoaga</w:t>
            </w:r>
            <w:proofErr w:type="spellEnd"/>
          </w:p>
        </w:tc>
        <w:tc>
          <w:tcPr>
            <w:tcW w:w="739" w:type="pct"/>
            <w:noWrap/>
            <w:vAlign w:val="bottom"/>
            <w:hideMark/>
          </w:tcPr>
          <w:p w14:paraId="09286543"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2</w:t>
            </w:r>
          </w:p>
        </w:tc>
        <w:tc>
          <w:tcPr>
            <w:tcW w:w="421" w:type="pct"/>
            <w:noWrap/>
            <w:vAlign w:val="bottom"/>
            <w:hideMark/>
          </w:tcPr>
          <w:p w14:paraId="6DC16539"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333" w:type="pct"/>
            <w:noWrap/>
            <w:vAlign w:val="bottom"/>
            <w:hideMark/>
          </w:tcPr>
          <w:p w14:paraId="2F552A27"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428" w:type="pct"/>
            <w:noWrap/>
            <w:vAlign w:val="bottom"/>
            <w:hideMark/>
          </w:tcPr>
          <w:p w14:paraId="713EEA1D"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399" w:type="pct"/>
            <w:noWrap/>
            <w:vAlign w:val="bottom"/>
            <w:hideMark/>
          </w:tcPr>
          <w:p w14:paraId="15A85379"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421" w:type="pct"/>
            <w:noWrap/>
            <w:vAlign w:val="bottom"/>
            <w:hideMark/>
          </w:tcPr>
          <w:p w14:paraId="75970306"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2</w:t>
            </w:r>
          </w:p>
        </w:tc>
      </w:tr>
      <w:tr w:rsidR="0005266E" w:rsidRPr="007C5A6E" w14:paraId="16DCD869" w14:textId="77777777" w:rsidTr="00457BED">
        <w:trPr>
          <w:trHeight w:val="288"/>
        </w:trPr>
        <w:tc>
          <w:tcPr>
            <w:cnfStyle w:val="001000000000" w:firstRow="0" w:lastRow="0" w:firstColumn="1" w:lastColumn="0" w:oddVBand="0" w:evenVBand="0" w:oddHBand="0" w:evenHBand="0" w:firstRowFirstColumn="0" w:firstRowLastColumn="0" w:lastRowFirstColumn="0" w:lastRowLastColumn="0"/>
            <w:tcW w:w="1025" w:type="pct"/>
            <w:vMerge/>
            <w:noWrap/>
          </w:tcPr>
          <w:p w14:paraId="0BC4198F" w14:textId="77777777" w:rsidR="0005266E" w:rsidRPr="007C5A6E" w:rsidRDefault="0005266E" w:rsidP="009969E0">
            <w:pPr>
              <w:spacing w:after="0" w:line="240" w:lineRule="auto"/>
              <w:ind w:firstLineChars="100" w:firstLine="211"/>
              <w:rPr>
                <w:rFonts w:ascii="Times New Roman" w:hAnsi="Times New Roman"/>
                <w:sz w:val="21"/>
                <w:szCs w:val="21"/>
              </w:rPr>
            </w:pPr>
          </w:p>
        </w:tc>
        <w:tc>
          <w:tcPr>
            <w:tcW w:w="1234" w:type="pct"/>
          </w:tcPr>
          <w:p w14:paraId="7D153359" w14:textId="77777777" w:rsidR="0005266E" w:rsidRPr="007C5A6E" w:rsidRDefault="0005266E" w:rsidP="009969E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roofErr w:type="spellStart"/>
            <w:r w:rsidRPr="007C5A6E">
              <w:rPr>
                <w:rFonts w:ascii="Times New Roman" w:hAnsi="Times New Roman"/>
                <w:sz w:val="21"/>
                <w:szCs w:val="21"/>
              </w:rPr>
              <w:t>Dargol</w:t>
            </w:r>
            <w:proofErr w:type="spellEnd"/>
          </w:p>
        </w:tc>
        <w:tc>
          <w:tcPr>
            <w:tcW w:w="739" w:type="pct"/>
            <w:noWrap/>
            <w:vAlign w:val="bottom"/>
            <w:hideMark/>
          </w:tcPr>
          <w:p w14:paraId="315FEA93"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2</w:t>
            </w:r>
          </w:p>
        </w:tc>
        <w:tc>
          <w:tcPr>
            <w:tcW w:w="421" w:type="pct"/>
            <w:noWrap/>
            <w:vAlign w:val="bottom"/>
            <w:hideMark/>
          </w:tcPr>
          <w:p w14:paraId="47B6CC03"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11</w:t>
            </w:r>
          </w:p>
        </w:tc>
        <w:tc>
          <w:tcPr>
            <w:tcW w:w="333" w:type="pct"/>
            <w:noWrap/>
            <w:vAlign w:val="bottom"/>
            <w:hideMark/>
          </w:tcPr>
          <w:p w14:paraId="4ABD7B49"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428" w:type="pct"/>
            <w:noWrap/>
            <w:vAlign w:val="bottom"/>
            <w:hideMark/>
          </w:tcPr>
          <w:p w14:paraId="622F8472"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399" w:type="pct"/>
            <w:noWrap/>
            <w:vAlign w:val="bottom"/>
            <w:hideMark/>
          </w:tcPr>
          <w:p w14:paraId="53F8FCF4"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421" w:type="pct"/>
            <w:noWrap/>
            <w:vAlign w:val="bottom"/>
            <w:hideMark/>
          </w:tcPr>
          <w:p w14:paraId="120CF9EE"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13</w:t>
            </w:r>
          </w:p>
        </w:tc>
      </w:tr>
      <w:tr w:rsidR="0005266E" w:rsidRPr="007C5A6E" w14:paraId="632D2291" w14:textId="77777777" w:rsidTr="00457BED">
        <w:trPr>
          <w:trHeight w:val="288"/>
        </w:trPr>
        <w:tc>
          <w:tcPr>
            <w:cnfStyle w:val="001000000000" w:firstRow="0" w:lastRow="0" w:firstColumn="1" w:lastColumn="0" w:oddVBand="0" w:evenVBand="0" w:oddHBand="0" w:evenHBand="0" w:firstRowFirstColumn="0" w:firstRowLastColumn="0" w:lastRowFirstColumn="0" w:lastRowLastColumn="0"/>
            <w:tcW w:w="1025" w:type="pct"/>
            <w:vMerge/>
            <w:noWrap/>
          </w:tcPr>
          <w:p w14:paraId="3166E96B" w14:textId="77777777" w:rsidR="0005266E" w:rsidRPr="007C5A6E" w:rsidRDefault="0005266E" w:rsidP="009969E0">
            <w:pPr>
              <w:spacing w:after="0" w:line="240" w:lineRule="auto"/>
              <w:ind w:firstLineChars="100" w:firstLine="211"/>
              <w:rPr>
                <w:rFonts w:ascii="Times New Roman" w:hAnsi="Times New Roman"/>
                <w:sz w:val="21"/>
                <w:szCs w:val="21"/>
              </w:rPr>
            </w:pPr>
          </w:p>
        </w:tc>
        <w:tc>
          <w:tcPr>
            <w:tcW w:w="1234" w:type="pct"/>
          </w:tcPr>
          <w:p w14:paraId="54158D54" w14:textId="77777777" w:rsidR="0005266E" w:rsidRPr="007C5A6E" w:rsidRDefault="0005266E" w:rsidP="009969E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roofErr w:type="spellStart"/>
            <w:r w:rsidRPr="007C5A6E">
              <w:rPr>
                <w:rFonts w:ascii="Times New Roman" w:hAnsi="Times New Roman"/>
                <w:sz w:val="21"/>
                <w:szCs w:val="21"/>
              </w:rPr>
              <w:t>Dyamangou</w:t>
            </w:r>
            <w:proofErr w:type="spellEnd"/>
          </w:p>
        </w:tc>
        <w:tc>
          <w:tcPr>
            <w:tcW w:w="739" w:type="pct"/>
            <w:noWrap/>
            <w:vAlign w:val="bottom"/>
            <w:hideMark/>
          </w:tcPr>
          <w:p w14:paraId="59DBB917"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3</w:t>
            </w:r>
          </w:p>
        </w:tc>
        <w:tc>
          <w:tcPr>
            <w:tcW w:w="421" w:type="pct"/>
            <w:noWrap/>
            <w:vAlign w:val="bottom"/>
            <w:hideMark/>
          </w:tcPr>
          <w:p w14:paraId="5D587E92"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333" w:type="pct"/>
            <w:noWrap/>
            <w:vAlign w:val="bottom"/>
            <w:hideMark/>
          </w:tcPr>
          <w:p w14:paraId="26FC915D"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428" w:type="pct"/>
            <w:noWrap/>
            <w:vAlign w:val="bottom"/>
            <w:hideMark/>
          </w:tcPr>
          <w:p w14:paraId="42616CF5"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1</w:t>
            </w:r>
          </w:p>
        </w:tc>
        <w:tc>
          <w:tcPr>
            <w:tcW w:w="399" w:type="pct"/>
            <w:noWrap/>
            <w:vAlign w:val="bottom"/>
            <w:hideMark/>
          </w:tcPr>
          <w:p w14:paraId="2E9DDA7B"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421" w:type="pct"/>
            <w:noWrap/>
            <w:vAlign w:val="bottom"/>
            <w:hideMark/>
          </w:tcPr>
          <w:p w14:paraId="78D3749A"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4</w:t>
            </w:r>
          </w:p>
        </w:tc>
      </w:tr>
      <w:tr w:rsidR="0005266E" w:rsidRPr="007C5A6E" w14:paraId="350E7C50" w14:textId="77777777" w:rsidTr="00457BED">
        <w:trPr>
          <w:trHeight w:val="288"/>
        </w:trPr>
        <w:tc>
          <w:tcPr>
            <w:cnfStyle w:val="001000000000" w:firstRow="0" w:lastRow="0" w:firstColumn="1" w:lastColumn="0" w:oddVBand="0" w:evenVBand="0" w:oddHBand="0" w:evenHBand="0" w:firstRowFirstColumn="0" w:firstRowLastColumn="0" w:lastRowFirstColumn="0" w:lastRowLastColumn="0"/>
            <w:tcW w:w="1025" w:type="pct"/>
            <w:vMerge/>
            <w:noWrap/>
          </w:tcPr>
          <w:p w14:paraId="559400CC" w14:textId="77777777" w:rsidR="0005266E" w:rsidRPr="007C5A6E" w:rsidRDefault="0005266E" w:rsidP="009969E0">
            <w:pPr>
              <w:spacing w:after="0" w:line="240" w:lineRule="auto"/>
              <w:ind w:firstLineChars="100" w:firstLine="211"/>
              <w:rPr>
                <w:rFonts w:ascii="Times New Roman" w:hAnsi="Times New Roman"/>
                <w:sz w:val="21"/>
                <w:szCs w:val="21"/>
              </w:rPr>
            </w:pPr>
          </w:p>
        </w:tc>
        <w:tc>
          <w:tcPr>
            <w:tcW w:w="1234" w:type="pct"/>
          </w:tcPr>
          <w:p w14:paraId="29EF7012" w14:textId="77777777" w:rsidR="0005266E" w:rsidRPr="007C5A6E" w:rsidRDefault="0005266E" w:rsidP="009969E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roofErr w:type="spellStart"/>
            <w:r w:rsidRPr="007C5A6E">
              <w:rPr>
                <w:rFonts w:ascii="Times New Roman" w:hAnsi="Times New Roman"/>
                <w:sz w:val="21"/>
                <w:szCs w:val="21"/>
              </w:rPr>
              <w:t>Faga</w:t>
            </w:r>
            <w:proofErr w:type="spellEnd"/>
          </w:p>
        </w:tc>
        <w:tc>
          <w:tcPr>
            <w:tcW w:w="739" w:type="pct"/>
            <w:noWrap/>
            <w:vAlign w:val="bottom"/>
            <w:hideMark/>
          </w:tcPr>
          <w:p w14:paraId="61AB33D6"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29</w:t>
            </w:r>
          </w:p>
        </w:tc>
        <w:tc>
          <w:tcPr>
            <w:tcW w:w="421" w:type="pct"/>
            <w:noWrap/>
            <w:vAlign w:val="bottom"/>
            <w:hideMark/>
          </w:tcPr>
          <w:p w14:paraId="7FF075A6"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68</w:t>
            </w:r>
          </w:p>
        </w:tc>
        <w:tc>
          <w:tcPr>
            <w:tcW w:w="333" w:type="pct"/>
            <w:noWrap/>
            <w:vAlign w:val="bottom"/>
            <w:hideMark/>
          </w:tcPr>
          <w:p w14:paraId="46DE6A80"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1</w:t>
            </w:r>
          </w:p>
        </w:tc>
        <w:tc>
          <w:tcPr>
            <w:tcW w:w="428" w:type="pct"/>
            <w:noWrap/>
            <w:vAlign w:val="bottom"/>
            <w:hideMark/>
          </w:tcPr>
          <w:p w14:paraId="5DA87A74"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1</w:t>
            </w:r>
          </w:p>
        </w:tc>
        <w:tc>
          <w:tcPr>
            <w:tcW w:w="399" w:type="pct"/>
            <w:noWrap/>
            <w:vAlign w:val="bottom"/>
            <w:hideMark/>
          </w:tcPr>
          <w:p w14:paraId="236E98B2"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421" w:type="pct"/>
            <w:noWrap/>
            <w:vAlign w:val="bottom"/>
            <w:hideMark/>
          </w:tcPr>
          <w:p w14:paraId="64E4B55C"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99</w:t>
            </w:r>
          </w:p>
        </w:tc>
      </w:tr>
      <w:tr w:rsidR="0005266E" w:rsidRPr="007C5A6E" w14:paraId="31137B56" w14:textId="77777777" w:rsidTr="00457BED">
        <w:trPr>
          <w:trHeight w:val="288"/>
        </w:trPr>
        <w:tc>
          <w:tcPr>
            <w:cnfStyle w:val="001000000000" w:firstRow="0" w:lastRow="0" w:firstColumn="1" w:lastColumn="0" w:oddVBand="0" w:evenVBand="0" w:oddHBand="0" w:evenHBand="0" w:firstRowFirstColumn="0" w:firstRowLastColumn="0" w:lastRowFirstColumn="0" w:lastRowLastColumn="0"/>
            <w:tcW w:w="1025" w:type="pct"/>
            <w:vMerge/>
            <w:noWrap/>
          </w:tcPr>
          <w:p w14:paraId="07C3E680" w14:textId="77777777" w:rsidR="0005266E" w:rsidRPr="007C5A6E" w:rsidRDefault="0005266E" w:rsidP="009969E0">
            <w:pPr>
              <w:spacing w:after="0" w:line="240" w:lineRule="auto"/>
              <w:ind w:firstLineChars="100" w:firstLine="211"/>
              <w:rPr>
                <w:rFonts w:ascii="Times New Roman" w:hAnsi="Times New Roman"/>
                <w:sz w:val="21"/>
                <w:szCs w:val="21"/>
              </w:rPr>
            </w:pPr>
          </w:p>
        </w:tc>
        <w:tc>
          <w:tcPr>
            <w:tcW w:w="1234" w:type="pct"/>
          </w:tcPr>
          <w:p w14:paraId="016E8363" w14:textId="77777777" w:rsidR="0005266E" w:rsidRPr="007C5A6E" w:rsidRDefault="0005266E" w:rsidP="009969E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roofErr w:type="spellStart"/>
            <w:r w:rsidRPr="007C5A6E">
              <w:rPr>
                <w:rFonts w:ascii="Times New Roman" w:hAnsi="Times New Roman"/>
                <w:sz w:val="21"/>
                <w:szCs w:val="21"/>
              </w:rPr>
              <w:t>Gorouol</w:t>
            </w:r>
            <w:proofErr w:type="spellEnd"/>
          </w:p>
        </w:tc>
        <w:tc>
          <w:tcPr>
            <w:tcW w:w="739" w:type="pct"/>
            <w:noWrap/>
            <w:vAlign w:val="bottom"/>
            <w:hideMark/>
          </w:tcPr>
          <w:p w14:paraId="07B31A00"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10</w:t>
            </w:r>
          </w:p>
        </w:tc>
        <w:tc>
          <w:tcPr>
            <w:tcW w:w="421" w:type="pct"/>
            <w:noWrap/>
            <w:vAlign w:val="bottom"/>
            <w:hideMark/>
          </w:tcPr>
          <w:p w14:paraId="7CF92BD8"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74</w:t>
            </w:r>
          </w:p>
        </w:tc>
        <w:tc>
          <w:tcPr>
            <w:tcW w:w="333" w:type="pct"/>
            <w:noWrap/>
            <w:vAlign w:val="bottom"/>
            <w:hideMark/>
          </w:tcPr>
          <w:p w14:paraId="7E13EB7F"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428" w:type="pct"/>
            <w:noWrap/>
            <w:vAlign w:val="bottom"/>
            <w:hideMark/>
          </w:tcPr>
          <w:p w14:paraId="5D3E70A1"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7</w:t>
            </w:r>
          </w:p>
        </w:tc>
        <w:tc>
          <w:tcPr>
            <w:tcW w:w="399" w:type="pct"/>
            <w:noWrap/>
            <w:vAlign w:val="bottom"/>
            <w:hideMark/>
          </w:tcPr>
          <w:p w14:paraId="3F73B651"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421" w:type="pct"/>
            <w:noWrap/>
            <w:vAlign w:val="bottom"/>
            <w:hideMark/>
          </w:tcPr>
          <w:p w14:paraId="5526157F"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91</w:t>
            </w:r>
          </w:p>
        </w:tc>
      </w:tr>
      <w:tr w:rsidR="0005266E" w:rsidRPr="007C5A6E" w14:paraId="07E0C612" w14:textId="77777777" w:rsidTr="00457BED">
        <w:trPr>
          <w:trHeight w:val="288"/>
        </w:trPr>
        <w:tc>
          <w:tcPr>
            <w:cnfStyle w:val="001000000000" w:firstRow="0" w:lastRow="0" w:firstColumn="1" w:lastColumn="0" w:oddVBand="0" w:evenVBand="0" w:oddHBand="0" w:evenHBand="0" w:firstRowFirstColumn="0" w:firstRowLastColumn="0" w:lastRowFirstColumn="0" w:lastRowLastColumn="0"/>
            <w:tcW w:w="1025" w:type="pct"/>
            <w:vMerge/>
            <w:noWrap/>
          </w:tcPr>
          <w:p w14:paraId="536F4FAF" w14:textId="77777777" w:rsidR="0005266E" w:rsidRPr="007C5A6E" w:rsidRDefault="0005266E" w:rsidP="009969E0">
            <w:pPr>
              <w:spacing w:after="0" w:line="240" w:lineRule="auto"/>
              <w:ind w:firstLineChars="100" w:firstLine="211"/>
              <w:rPr>
                <w:rFonts w:ascii="Times New Roman" w:hAnsi="Times New Roman"/>
                <w:sz w:val="21"/>
                <w:szCs w:val="21"/>
              </w:rPr>
            </w:pPr>
          </w:p>
        </w:tc>
        <w:tc>
          <w:tcPr>
            <w:tcW w:w="1234" w:type="pct"/>
          </w:tcPr>
          <w:p w14:paraId="7050C450" w14:textId="77777777" w:rsidR="0005266E" w:rsidRPr="007C5A6E" w:rsidRDefault="0005266E" w:rsidP="009969E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Sirba-</w:t>
            </w:r>
            <w:proofErr w:type="spellStart"/>
            <w:r w:rsidRPr="007C5A6E">
              <w:rPr>
                <w:rFonts w:ascii="Times New Roman" w:hAnsi="Times New Roman"/>
                <w:sz w:val="21"/>
                <w:szCs w:val="21"/>
              </w:rPr>
              <w:t>Gouroubi</w:t>
            </w:r>
            <w:proofErr w:type="spellEnd"/>
          </w:p>
        </w:tc>
        <w:tc>
          <w:tcPr>
            <w:tcW w:w="739" w:type="pct"/>
            <w:noWrap/>
            <w:vAlign w:val="bottom"/>
            <w:hideMark/>
          </w:tcPr>
          <w:p w14:paraId="658825CC"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101</w:t>
            </w:r>
          </w:p>
        </w:tc>
        <w:tc>
          <w:tcPr>
            <w:tcW w:w="421" w:type="pct"/>
            <w:noWrap/>
            <w:vAlign w:val="bottom"/>
            <w:hideMark/>
          </w:tcPr>
          <w:p w14:paraId="331F0350"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40</w:t>
            </w:r>
          </w:p>
        </w:tc>
        <w:tc>
          <w:tcPr>
            <w:tcW w:w="333" w:type="pct"/>
            <w:noWrap/>
            <w:vAlign w:val="bottom"/>
            <w:hideMark/>
          </w:tcPr>
          <w:p w14:paraId="47CEE5BC"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2</w:t>
            </w:r>
          </w:p>
        </w:tc>
        <w:tc>
          <w:tcPr>
            <w:tcW w:w="428" w:type="pct"/>
            <w:noWrap/>
            <w:vAlign w:val="bottom"/>
            <w:hideMark/>
          </w:tcPr>
          <w:p w14:paraId="675036AF"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3</w:t>
            </w:r>
          </w:p>
        </w:tc>
        <w:tc>
          <w:tcPr>
            <w:tcW w:w="399" w:type="pct"/>
            <w:noWrap/>
            <w:vAlign w:val="bottom"/>
            <w:hideMark/>
          </w:tcPr>
          <w:p w14:paraId="0B4ECC2B"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421" w:type="pct"/>
            <w:noWrap/>
            <w:vAlign w:val="bottom"/>
            <w:hideMark/>
          </w:tcPr>
          <w:p w14:paraId="68FB3302"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146</w:t>
            </w:r>
          </w:p>
        </w:tc>
      </w:tr>
      <w:tr w:rsidR="0005266E" w:rsidRPr="007C5A6E" w14:paraId="1833F5E7" w14:textId="77777777" w:rsidTr="00457BED">
        <w:trPr>
          <w:trHeight w:val="288"/>
        </w:trPr>
        <w:tc>
          <w:tcPr>
            <w:cnfStyle w:val="001000000000" w:firstRow="0" w:lastRow="0" w:firstColumn="1" w:lastColumn="0" w:oddVBand="0" w:evenVBand="0" w:oddHBand="0" w:evenHBand="0" w:firstRowFirstColumn="0" w:firstRowLastColumn="0" w:lastRowFirstColumn="0" w:lastRowLastColumn="0"/>
            <w:tcW w:w="1025" w:type="pct"/>
            <w:vMerge/>
            <w:noWrap/>
          </w:tcPr>
          <w:p w14:paraId="551B5B0F" w14:textId="77777777" w:rsidR="0005266E" w:rsidRPr="007C5A6E" w:rsidRDefault="0005266E" w:rsidP="009969E0">
            <w:pPr>
              <w:spacing w:after="0" w:line="240" w:lineRule="auto"/>
              <w:ind w:firstLineChars="100" w:firstLine="211"/>
              <w:rPr>
                <w:rFonts w:ascii="Times New Roman" w:hAnsi="Times New Roman"/>
                <w:sz w:val="21"/>
                <w:szCs w:val="21"/>
              </w:rPr>
            </w:pPr>
          </w:p>
        </w:tc>
        <w:tc>
          <w:tcPr>
            <w:tcW w:w="1234" w:type="pct"/>
          </w:tcPr>
          <w:p w14:paraId="158122F9" w14:textId="77777777" w:rsidR="0005266E" w:rsidRPr="007C5A6E" w:rsidRDefault="0005266E" w:rsidP="009969E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Tapoa-</w:t>
            </w:r>
            <w:proofErr w:type="spellStart"/>
            <w:r w:rsidRPr="007C5A6E">
              <w:rPr>
                <w:rFonts w:ascii="Times New Roman" w:hAnsi="Times New Roman"/>
                <w:sz w:val="21"/>
                <w:szCs w:val="21"/>
              </w:rPr>
              <w:t>Mekrou</w:t>
            </w:r>
            <w:proofErr w:type="spellEnd"/>
          </w:p>
        </w:tc>
        <w:tc>
          <w:tcPr>
            <w:tcW w:w="739" w:type="pct"/>
            <w:noWrap/>
            <w:vAlign w:val="bottom"/>
            <w:hideMark/>
          </w:tcPr>
          <w:p w14:paraId="162759BD"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4</w:t>
            </w:r>
          </w:p>
        </w:tc>
        <w:tc>
          <w:tcPr>
            <w:tcW w:w="421" w:type="pct"/>
            <w:noWrap/>
            <w:vAlign w:val="bottom"/>
            <w:hideMark/>
          </w:tcPr>
          <w:p w14:paraId="7EAA72BC"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4</w:t>
            </w:r>
          </w:p>
        </w:tc>
        <w:tc>
          <w:tcPr>
            <w:tcW w:w="333" w:type="pct"/>
            <w:noWrap/>
            <w:vAlign w:val="bottom"/>
            <w:hideMark/>
          </w:tcPr>
          <w:p w14:paraId="6C0096A6"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428" w:type="pct"/>
            <w:noWrap/>
            <w:vAlign w:val="bottom"/>
            <w:hideMark/>
          </w:tcPr>
          <w:p w14:paraId="6DA03DFC"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399" w:type="pct"/>
            <w:noWrap/>
            <w:vAlign w:val="bottom"/>
            <w:hideMark/>
          </w:tcPr>
          <w:p w14:paraId="3776EB1A"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p>
        </w:tc>
        <w:tc>
          <w:tcPr>
            <w:tcW w:w="421" w:type="pct"/>
            <w:noWrap/>
            <w:vAlign w:val="bottom"/>
            <w:hideMark/>
          </w:tcPr>
          <w:p w14:paraId="68261657"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7C5A6E">
              <w:rPr>
                <w:rFonts w:ascii="Times New Roman" w:hAnsi="Times New Roman"/>
                <w:sz w:val="21"/>
                <w:szCs w:val="21"/>
              </w:rPr>
              <w:t>8</w:t>
            </w:r>
          </w:p>
        </w:tc>
      </w:tr>
      <w:tr w:rsidR="0005266E" w:rsidRPr="007C5A6E" w14:paraId="04DD35D2" w14:textId="77777777" w:rsidTr="00457BED">
        <w:trPr>
          <w:trHeight w:val="288"/>
        </w:trPr>
        <w:tc>
          <w:tcPr>
            <w:cnfStyle w:val="001000000000" w:firstRow="0" w:lastRow="0" w:firstColumn="1" w:lastColumn="0" w:oddVBand="0" w:evenVBand="0" w:oddHBand="0" w:evenHBand="0" w:firstRowFirstColumn="0" w:firstRowLastColumn="0" w:lastRowFirstColumn="0" w:lastRowLastColumn="0"/>
            <w:tcW w:w="2259" w:type="pct"/>
            <w:gridSpan w:val="2"/>
            <w:noWrap/>
            <w:hideMark/>
          </w:tcPr>
          <w:p w14:paraId="1C6D60C8" w14:textId="77777777" w:rsidR="0005266E" w:rsidRPr="007C5A6E" w:rsidRDefault="0005266E" w:rsidP="009969E0">
            <w:pPr>
              <w:spacing w:after="0" w:line="240" w:lineRule="auto"/>
              <w:rPr>
                <w:rFonts w:ascii="Times New Roman" w:hAnsi="Times New Roman"/>
                <w:color w:val="000000"/>
                <w:sz w:val="21"/>
                <w:szCs w:val="21"/>
              </w:rPr>
            </w:pPr>
            <w:r w:rsidRPr="007C5A6E">
              <w:rPr>
                <w:rFonts w:ascii="Times New Roman" w:hAnsi="Times New Roman"/>
                <w:color w:val="000000"/>
                <w:sz w:val="21"/>
                <w:szCs w:val="21"/>
              </w:rPr>
              <w:t>National</w:t>
            </w:r>
          </w:p>
        </w:tc>
        <w:tc>
          <w:tcPr>
            <w:tcW w:w="739" w:type="pct"/>
            <w:noWrap/>
            <w:vAlign w:val="bottom"/>
            <w:hideMark/>
          </w:tcPr>
          <w:p w14:paraId="2B26A589"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21"/>
                <w:szCs w:val="21"/>
              </w:rPr>
            </w:pPr>
            <w:r w:rsidRPr="007C5A6E">
              <w:rPr>
                <w:rFonts w:ascii="Times New Roman" w:hAnsi="Times New Roman"/>
                <w:b/>
                <w:bCs/>
                <w:color w:val="000000"/>
                <w:sz w:val="21"/>
                <w:szCs w:val="21"/>
              </w:rPr>
              <w:t>972</w:t>
            </w:r>
          </w:p>
        </w:tc>
        <w:tc>
          <w:tcPr>
            <w:tcW w:w="421" w:type="pct"/>
            <w:noWrap/>
            <w:vAlign w:val="bottom"/>
            <w:hideMark/>
          </w:tcPr>
          <w:p w14:paraId="04A93A30"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21"/>
                <w:szCs w:val="21"/>
              </w:rPr>
            </w:pPr>
            <w:r w:rsidRPr="007C5A6E">
              <w:rPr>
                <w:rFonts w:ascii="Times New Roman" w:hAnsi="Times New Roman"/>
                <w:b/>
                <w:bCs/>
                <w:color w:val="000000"/>
                <w:sz w:val="21"/>
                <w:szCs w:val="21"/>
              </w:rPr>
              <w:t>804</w:t>
            </w:r>
          </w:p>
        </w:tc>
        <w:tc>
          <w:tcPr>
            <w:tcW w:w="333" w:type="pct"/>
            <w:noWrap/>
            <w:vAlign w:val="bottom"/>
            <w:hideMark/>
          </w:tcPr>
          <w:p w14:paraId="6B29E680"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21"/>
                <w:szCs w:val="21"/>
              </w:rPr>
            </w:pPr>
            <w:r w:rsidRPr="007C5A6E">
              <w:rPr>
                <w:rFonts w:ascii="Times New Roman" w:hAnsi="Times New Roman"/>
                <w:b/>
                <w:bCs/>
                <w:color w:val="000000"/>
                <w:sz w:val="21"/>
                <w:szCs w:val="21"/>
              </w:rPr>
              <w:t>13</w:t>
            </w:r>
          </w:p>
        </w:tc>
        <w:tc>
          <w:tcPr>
            <w:tcW w:w="428" w:type="pct"/>
            <w:noWrap/>
            <w:vAlign w:val="bottom"/>
            <w:hideMark/>
          </w:tcPr>
          <w:p w14:paraId="417CBD01"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21"/>
                <w:szCs w:val="21"/>
              </w:rPr>
            </w:pPr>
            <w:r w:rsidRPr="007C5A6E">
              <w:rPr>
                <w:rFonts w:ascii="Times New Roman" w:hAnsi="Times New Roman"/>
                <w:b/>
                <w:bCs/>
                <w:color w:val="000000"/>
                <w:sz w:val="21"/>
                <w:szCs w:val="21"/>
              </w:rPr>
              <w:t>142</w:t>
            </w:r>
          </w:p>
        </w:tc>
        <w:tc>
          <w:tcPr>
            <w:tcW w:w="399" w:type="pct"/>
            <w:noWrap/>
            <w:vAlign w:val="bottom"/>
            <w:hideMark/>
          </w:tcPr>
          <w:p w14:paraId="696B969E"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21"/>
                <w:szCs w:val="21"/>
              </w:rPr>
            </w:pPr>
            <w:r w:rsidRPr="007C5A6E">
              <w:rPr>
                <w:rFonts w:ascii="Times New Roman" w:hAnsi="Times New Roman"/>
                <w:b/>
                <w:bCs/>
                <w:color w:val="000000"/>
                <w:sz w:val="21"/>
                <w:szCs w:val="21"/>
              </w:rPr>
              <w:t>21</w:t>
            </w:r>
          </w:p>
        </w:tc>
        <w:tc>
          <w:tcPr>
            <w:tcW w:w="421" w:type="pct"/>
            <w:noWrap/>
            <w:vAlign w:val="bottom"/>
            <w:hideMark/>
          </w:tcPr>
          <w:p w14:paraId="5F7E21A2" w14:textId="77777777" w:rsidR="0005266E" w:rsidRPr="007C5A6E" w:rsidRDefault="0005266E" w:rsidP="00996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21"/>
                <w:szCs w:val="21"/>
              </w:rPr>
            </w:pPr>
            <w:r w:rsidRPr="007C5A6E">
              <w:rPr>
                <w:rFonts w:ascii="Times New Roman" w:hAnsi="Times New Roman"/>
                <w:b/>
                <w:bCs/>
                <w:color w:val="000000"/>
                <w:sz w:val="21"/>
                <w:szCs w:val="21"/>
              </w:rPr>
              <w:t>1952</w:t>
            </w:r>
          </w:p>
        </w:tc>
      </w:tr>
    </w:tbl>
    <w:p w14:paraId="35667755" w14:textId="77777777" w:rsidR="0005266E" w:rsidRPr="007C5A6E" w:rsidRDefault="0005266E" w:rsidP="009969E0">
      <w:pPr>
        <w:spacing w:after="0" w:line="240" w:lineRule="auto"/>
        <w:jc w:val="both"/>
        <w:rPr>
          <w:rFonts w:ascii="Times New Roman" w:hAnsi="Times New Roman"/>
          <w:sz w:val="20"/>
          <w:szCs w:val="20"/>
        </w:rPr>
      </w:pPr>
      <w:r w:rsidRPr="007C5A6E">
        <w:rPr>
          <w:rFonts w:ascii="Times New Roman" w:hAnsi="Times New Roman"/>
          <w:sz w:val="20"/>
          <w:szCs w:val="20"/>
        </w:rPr>
        <w:t>Source : DGIH/ inventaire des retenues d’eau de 2023</w:t>
      </w:r>
    </w:p>
    <w:p w14:paraId="777B8142" w14:textId="77777777" w:rsidR="00B215E4" w:rsidRPr="007C5A6E" w:rsidRDefault="00B215E4" w:rsidP="009969E0">
      <w:pPr>
        <w:spacing w:after="0" w:line="240" w:lineRule="auto"/>
        <w:jc w:val="both"/>
        <w:rPr>
          <w:rFonts w:ascii="Times New Roman" w:hAnsi="Times New Roman"/>
          <w:sz w:val="24"/>
          <w:szCs w:val="24"/>
        </w:rPr>
      </w:pPr>
    </w:p>
    <w:p w14:paraId="36FCBAA4" w14:textId="6E4F68FC" w:rsidR="0005266E" w:rsidRPr="007C5A6E" w:rsidRDefault="0005266E" w:rsidP="0050608A">
      <w:pPr>
        <w:spacing w:line="240" w:lineRule="auto"/>
        <w:jc w:val="both"/>
        <w:rPr>
          <w:rFonts w:ascii="Times New Roman" w:hAnsi="Times New Roman"/>
        </w:rPr>
      </w:pPr>
      <w:r w:rsidRPr="007C5A6E">
        <w:rPr>
          <w:rFonts w:ascii="Times New Roman" w:hAnsi="Times New Roman"/>
          <w:sz w:val="24"/>
          <w:szCs w:val="24"/>
        </w:rPr>
        <w:t xml:space="preserve">Sur les 1 952 retenues d’eau inventoriées, 863 disposent d’informations relatives à leur capacité (67,2% de barrage, 21,5 % de lacs, 30,8% de boulis et 19,7% des mares). </w:t>
      </w:r>
    </w:p>
    <w:p w14:paraId="1890F95A" w14:textId="77777777" w:rsidR="0005266E" w:rsidRPr="007C5A6E" w:rsidRDefault="0005266E" w:rsidP="0050608A">
      <w:pPr>
        <w:spacing w:line="240" w:lineRule="auto"/>
        <w:jc w:val="both"/>
        <w:rPr>
          <w:rFonts w:ascii="Times New Roman" w:hAnsi="Times New Roman"/>
          <w:sz w:val="24"/>
          <w:szCs w:val="24"/>
        </w:rPr>
      </w:pPr>
      <w:r w:rsidRPr="007C5A6E">
        <w:rPr>
          <w:rFonts w:ascii="Times New Roman" w:hAnsi="Times New Roman"/>
          <w:sz w:val="24"/>
          <w:szCs w:val="24"/>
        </w:rPr>
        <w:t xml:space="preserve">La capacité de stockage des 863 retenues d’eau renseignées est au moins de </w:t>
      </w:r>
      <w:bookmarkStart w:id="529" w:name="_Hlk179242506"/>
      <w:r w:rsidRPr="007C5A6E">
        <w:rPr>
          <w:rFonts w:ascii="Times New Roman" w:hAnsi="Times New Roman"/>
          <w:sz w:val="24"/>
          <w:szCs w:val="24"/>
        </w:rPr>
        <w:t>6 704 758 606 m3</w:t>
      </w:r>
      <w:bookmarkEnd w:id="529"/>
      <w:r w:rsidRPr="007C5A6E">
        <w:rPr>
          <w:rFonts w:ascii="Times New Roman" w:hAnsi="Times New Roman"/>
          <w:sz w:val="24"/>
          <w:szCs w:val="24"/>
        </w:rPr>
        <w:t xml:space="preserve">, répartis comme suit : 6 580 687 246 m3 pour les barrages, 13 556 884 m3 pour les boulis, 103 466 766 m3 pour les lacs d’eau naturels, 6 511 863 m3 pour les mares et 535 847 m3 pour les seuils. </w:t>
      </w:r>
    </w:p>
    <w:p w14:paraId="0CBAA806" w14:textId="77777777" w:rsidR="0005266E" w:rsidRPr="007C5A6E" w:rsidRDefault="0005266E" w:rsidP="0050608A">
      <w:pPr>
        <w:spacing w:line="240" w:lineRule="auto"/>
        <w:jc w:val="both"/>
        <w:rPr>
          <w:rFonts w:ascii="Times New Roman" w:hAnsi="Times New Roman"/>
        </w:rPr>
      </w:pPr>
      <w:r w:rsidRPr="007C5A6E">
        <w:rPr>
          <w:rFonts w:ascii="Times New Roman" w:hAnsi="Times New Roman"/>
          <w:sz w:val="24"/>
          <w:szCs w:val="24"/>
        </w:rPr>
        <w:t>Il convient de noter que les boulis et bien d’autres ouvrages ont de faible capacité de stockage et s’achèchent peu de temps après les saisons de pluies</w:t>
      </w:r>
      <w:r w:rsidRPr="007C5A6E">
        <w:rPr>
          <w:rFonts w:ascii="Times New Roman" w:hAnsi="Times New Roman"/>
        </w:rPr>
        <w:t xml:space="preserve">. </w:t>
      </w:r>
    </w:p>
    <w:p w14:paraId="6FCC95BD" w14:textId="77777777" w:rsidR="0005266E" w:rsidRPr="007C5A6E" w:rsidRDefault="0005266E" w:rsidP="0050608A">
      <w:pPr>
        <w:spacing w:line="240" w:lineRule="auto"/>
        <w:jc w:val="both"/>
        <w:rPr>
          <w:rFonts w:ascii="Times New Roman" w:hAnsi="Times New Roman"/>
          <w:sz w:val="28"/>
          <w:szCs w:val="28"/>
        </w:rPr>
      </w:pPr>
      <w:r w:rsidRPr="007C5A6E">
        <w:rPr>
          <w:rFonts w:ascii="Times New Roman" w:hAnsi="Times New Roman"/>
          <w:sz w:val="24"/>
          <w:szCs w:val="24"/>
        </w:rPr>
        <w:t>Au-delà de ces considérations, il convient de noter que ce sont des ouvrages bien marqués et à des degrés divers, par l’envasement, toute chose qui réduit significativement les volumes d’eau ci-dessus donnés.</w:t>
      </w:r>
    </w:p>
    <w:p w14:paraId="16997045" w14:textId="4C0A7EEA" w:rsidR="0005266E" w:rsidRPr="007C5A6E" w:rsidRDefault="0005266E" w:rsidP="0050608A">
      <w:pPr>
        <w:spacing w:line="240" w:lineRule="auto"/>
        <w:jc w:val="both"/>
        <w:rPr>
          <w:rFonts w:ascii="Times New Roman" w:hAnsi="Times New Roman"/>
          <w:sz w:val="24"/>
          <w:szCs w:val="24"/>
        </w:rPr>
      </w:pPr>
      <w:r w:rsidRPr="007C5A6E">
        <w:rPr>
          <w:rFonts w:ascii="Times New Roman" w:hAnsi="Times New Roman"/>
          <w:sz w:val="24"/>
          <w:szCs w:val="24"/>
        </w:rPr>
        <w:t xml:space="preserve">Les tableaux </w:t>
      </w:r>
      <w:r w:rsidR="00AE0C9D" w:rsidRPr="007C5A6E">
        <w:rPr>
          <w:rFonts w:ascii="Times New Roman" w:hAnsi="Times New Roman"/>
          <w:sz w:val="24"/>
          <w:szCs w:val="24"/>
        </w:rPr>
        <w:t xml:space="preserve">18 et 19 </w:t>
      </w:r>
      <w:r w:rsidRPr="007C5A6E">
        <w:rPr>
          <w:rFonts w:ascii="Times New Roman" w:hAnsi="Times New Roman"/>
          <w:sz w:val="24"/>
          <w:szCs w:val="24"/>
        </w:rPr>
        <w:t>ci-après donnent par région et par type de retenue d’eau, (i) le nombre total d’ouvrages et le nombre dont les capacités de stockage sont connues ainsi que (ii) les volumes d’eau potentiels qui peuvent être stockés.</w:t>
      </w:r>
    </w:p>
    <w:p w14:paraId="1774BD3E" w14:textId="77777777" w:rsidR="0005266E" w:rsidRPr="007C5A6E" w:rsidRDefault="0005266E" w:rsidP="009969E0">
      <w:pPr>
        <w:spacing w:after="0" w:line="240" w:lineRule="auto"/>
        <w:jc w:val="both"/>
        <w:rPr>
          <w:rFonts w:ascii="Times New Roman" w:hAnsi="Times New Roman"/>
          <w:sz w:val="24"/>
          <w:szCs w:val="24"/>
        </w:rPr>
      </w:pPr>
    </w:p>
    <w:p w14:paraId="76A4CEB4" w14:textId="77777777" w:rsidR="00B215E4" w:rsidRPr="007C5A6E" w:rsidRDefault="00B215E4" w:rsidP="009969E0">
      <w:pPr>
        <w:tabs>
          <w:tab w:val="left" w:pos="1134"/>
        </w:tabs>
        <w:spacing w:after="0" w:line="240" w:lineRule="auto"/>
        <w:ind w:left="1134" w:hanging="1134"/>
        <w:jc w:val="both"/>
        <w:rPr>
          <w:rFonts w:ascii="Times New Roman" w:hAnsi="Times New Roman"/>
          <w:iCs/>
          <w:sz w:val="24"/>
          <w:szCs w:val="24"/>
          <w:lang w:eastAsia="da-DK"/>
        </w:rPr>
        <w:sectPr w:rsidR="00B215E4" w:rsidRPr="007C5A6E" w:rsidSect="006514BA">
          <w:pgSz w:w="11907" w:h="16840" w:code="9"/>
          <w:pgMar w:top="1191" w:right="1361" w:bottom="1191" w:left="1361" w:header="709" w:footer="709" w:gutter="0"/>
          <w:cols w:space="708"/>
          <w:docGrid w:linePitch="360"/>
        </w:sectPr>
      </w:pPr>
      <w:bookmarkStart w:id="530" w:name="_Toc177186214"/>
      <w:bookmarkStart w:id="531" w:name="_Toc182605865"/>
    </w:p>
    <w:p w14:paraId="6969888E" w14:textId="01D1DF99" w:rsidR="0005266E" w:rsidRPr="007C5A6E" w:rsidRDefault="0005266E" w:rsidP="009969E0">
      <w:pPr>
        <w:tabs>
          <w:tab w:val="left" w:pos="1134"/>
        </w:tabs>
        <w:spacing w:after="0" w:line="240" w:lineRule="auto"/>
        <w:ind w:left="1134" w:hanging="1134"/>
        <w:jc w:val="both"/>
        <w:rPr>
          <w:rFonts w:ascii="Times New Roman" w:hAnsi="Times New Roman"/>
          <w:iCs/>
          <w:sz w:val="24"/>
          <w:szCs w:val="24"/>
          <w:lang w:eastAsia="da-DK"/>
        </w:rPr>
      </w:pPr>
      <w:bookmarkStart w:id="532" w:name="_Toc183240980"/>
      <w:bookmarkStart w:id="533" w:name="_Toc183292222"/>
      <w:bookmarkStart w:id="534" w:name="_Toc183340502"/>
      <w:r w:rsidRPr="007C5A6E">
        <w:rPr>
          <w:rFonts w:ascii="Times New Roman" w:hAnsi="Times New Roman"/>
          <w:iCs/>
          <w:sz w:val="24"/>
          <w:szCs w:val="24"/>
          <w:lang w:eastAsia="da-DK"/>
        </w:rPr>
        <w:t xml:space="preserve">Tableau </w:t>
      </w:r>
      <w:r w:rsidRPr="007C5A6E">
        <w:rPr>
          <w:rFonts w:ascii="Times New Roman" w:hAnsi="Times New Roman"/>
          <w:iCs/>
          <w:sz w:val="24"/>
          <w:szCs w:val="24"/>
          <w:lang w:eastAsia="da-DK"/>
        </w:rPr>
        <w:fldChar w:fldCharType="begin"/>
      </w:r>
      <w:r w:rsidRPr="007C5A6E">
        <w:rPr>
          <w:rFonts w:ascii="Times New Roman" w:hAnsi="Times New Roman"/>
          <w:iCs/>
          <w:sz w:val="24"/>
          <w:szCs w:val="24"/>
          <w:lang w:eastAsia="da-DK"/>
        </w:rPr>
        <w:instrText xml:space="preserve"> SEQ Tableau \* ARABIC </w:instrText>
      </w:r>
      <w:r w:rsidRPr="007C5A6E">
        <w:rPr>
          <w:rFonts w:ascii="Times New Roman" w:hAnsi="Times New Roman"/>
          <w:iCs/>
          <w:sz w:val="24"/>
          <w:szCs w:val="24"/>
          <w:lang w:eastAsia="da-DK"/>
        </w:rPr>
        <w:fldChar w:fldCharType="separate"/>
      </w:r>
      <w:r w:rsidR="003162F8" w:rsidRPr="007C5A6E">
        <w:rPr>
          <w:rFonts w:ascii="Times New Roman" w:hAnsi="Times New Roman"/>
          <w:iCs/>
          <w:noProof/>
          <w:sz w:val="24"/>
          <w:szCs w:val="24"/>
          <w:lang w:eastAsia="da-DK"/>
        </w:rPr>
        <w:t>18</w:t>
      </w:r>
      <w:r w:rsidRPr="007C5A6E">
        <w:rPr>
          <w:rFonts w:ascii="Times New Roman" w:hAnsi="Times New Roman"/>
          <w:iCs/>
          <w:sz w:val="24"/>
          <w:szCs w:val="24"/>
          <w:lang w:eastAsia="da-DK"/>
        </w:rPr>
        <w:fldChar w:fldCharType="end"/>
      </w:r>
      <w:r w:rsidRPr="007C5A6E">
        <w:rPr>
          <w:rFonts w:ascii="Times New Roman" w:hAnsi="Times New Roman"/>
          <w:iCs/>
          <w:sz w:val="24"/>
          <w:szCs w:val="24"/>
          <w:lang w:eastAsia="da-DK"/>
        </w:rPr>
        <w:t> : Etat du nombre des ouvrages de mobilisation des ressources en eau de surface</w:t>
      </w:r>
      <w:bookmarkEnd w:id="530"/>
      <w:bookmarkEnd w:id="531"/>
      <w:bookmarkEnd w:id="532"/>
      <w:bookmarkEnd w:id="533"/>
      <w:bookmarkEnd w:id="534"/>
      <w:r w:rsidRPr="007C5A6E">
        <w:rPr>
          <w:rFonts w:ascii="Times New Roman" w:hAnsi="Times New Roman"/>
          <w:iCs/>
          <w:sz w:val="24"/>
          <w:szCs w:val="24"/>
          <w:lang w:eastAsia="da-DK"/>
        </w:rPr>
        <w:t xml:space="preserve"> </w:t>
      </w:r>
    </w:p>
    <w:p w14:paraId="363A8A66" w14:textId="77777777" w:rsidR="00B215E4" w:rsidRPr="007C5A6E" w:rsidRDefault="00B215E4" w:rsidP="009969E0">
      <w:pPr>
        <w:tabs>
          <w:tab w:val="left" w:pos="1134"/>
        </w:tabs>
        <w:spacing w:after="0" w:line="240" w:lineRule="auto"/>
        <w:ind w:left="1134" w:hanging="1134"/>
        <w:jc w:val="both"/>
        <w:rPr>
          <w:rFonts w:ascii="Times New Roman" w:hAnsi="Times New Roman"/>
          <w:iCs/>
          <w:sz w:val="24"/>
          <w:szCs w:val="24"/>
          <w:lang w:eastAsia="da-DK"/>
        </w:rPr>
      </w:pPr>
    </w:p>
    <w:p w14:paraId="10A8B137" w14:textId="77777777" w:rsidR="0005266E" w:rsidRPr="007C5A6E" w:rsidRDefault="0005266E" w:rsidP="009969E0">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1B51AD21" wp14:editId="20CD25FD">
            <wp:extent cx="9029065" cy="3505200"/>
            <wp:effectExtent l="0" t="0" r="635" b="0"/>
            <wp:docPr id="42767510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9130772" cy="3544684"/>
                    </a:xfrm>
                    <a:prstGeom prst="rect">
                      <a:avLst/>
                    </a:prstGeom>
                    <a:noFill/>
                    <a:ln>
                      <a:noFill/>
                    </a:ln>
                  </pic:spPr>
                </pic:pic>
              </a:graphicData>
            </a:graphic>
          </wp:inline>
        </w:drawing>
      </w:r>
    </w:p>
    <w:p w14:paraId="32A34799" w14:textId="77777777" w:rsidR="0005266E" w:rsidRPr="007C5A6E" w:rsidRDefault="0005266E" w:rsidP="009969E0">
      <w:pPr>
        <w:spacing w:after="0" w:line="240" w:lineRule="auto"/>
        <w:jc w:val="both"/>
        <w:rPr>
          <w:rFonts w:ascii="Times New Roman" w:hAnsi="Times New Roman"/>
        </w:rPr>
      </w:pPr>
      <w:bookmarkStart w:id="535" w:name="_Ref153179501"/>
      <w:bookmarkStart w:id="536" w:name="_Toc159333884"/>
      <w:bookmarkStart w:id="537" w:name="_Toc177186215"/>
      <w:r w:rsidRPr="007C5A6E">
        <w:rPr>
          <w:rFonts w:ascii="Times New Roman" w:hAnsi="Times New Roman"/>
        </w:rPr>
        <w:t>Source : DGIH/ inventaire des retenues d’eau 2023</w:t>
      </w:r>
    </w:p>
    <w:p w14:paraId="31F3A1A0" w14:textId="77777777" w:rsidR="00B215E4" w:rsidRPr="007C5A6E" w:rsidRDefault="00B215E4" w:rsidP="009969E0">
      <w:pPr>
        <w:tabs>
          <w:tab w:val="left" w:pos="142"/>
        </w:tabs>
        <w:spacing w:after="0" w:line="240" w:lineRule="auto"/>
        <w:rPr>
          <w:rFonts w:ascii="Times New Roman" w:hAnsi="Times New Roman"/>
          <w:sz w:val="24"/>
          <w:szCs w:val="24"/>
        </w:rPr>
      </w:pPr>
    </w:p>
    <w:p w14:paraId="79372ADB" w14:textId="77777777" w:rsidR="00B215E4" w:rsidRPr="007C5A6E" w:rsidRDefault="00B215E4" w:rsidP="009969E0">
      <w:pPr>
        <w:tabs>
          <w:tab w:val="left" w:pos="142"/>
        </w:tabs>
        <w:spacing w:after="0" w:line="240" w:lineRule="auto"/>
        <w:rPr>
          <w:rFonts w:ascii="Times New Roman" w:hAnsi="Times New Roman"/>
          <w:sz w:val="24"/>
          <w:szCs w:val="24"/>
        </w:rPr>
        <w:sectPr w:rsidR="00B215E4" w:rsidRPr="007C5A6E" w:rsidSect="006514BA">
          <w:pgSz w:w="11907" w:h="16840" w:orient="landscape" w:code="9"/>
          <w:pgMar w:top="1191" w:right="1361" w:bottom="1191" w:left="1361" w:header="709" w:footer="709" w:gutter="0"/>
          <w:cols w:space="708"/>
          <w:docGrid w:linePitch="360"/>
        </w:sectPr>
      </w:pPr>
    </w:p>
    <w:p w14:paraId="3CFE9066" w14:textId="6683BA63" w:rsidR="0005266E" w:rsidRPr="007C5A6E" w:rsidRDefault="0005266E" w:rsidP="009969E0">
      <w:pPr>
        <w:tabs>
          <w:tab w:val="left" w:pos="142"/>
        </w:tabs>
        <w:spacing w:after="0" w:line="240" w:lineRule="auto"/>
        <w:rPr>
          <w:rFonts w:ascii="Times New Roman" w:hAnsi="Times New Roman"/>
          <w:sz w:val="24"/>
          <w:szCs w:val="24"/>
        </w:rPr>
      </w:pPr>
      <w:r w:rsidRPr="007C5A6E">
        <w:rPr>
          <w:rFonts w:ascii="Times New Roman" w:hAnsi="Times New Roman"/>
          <w:sz w:val="24"/>
          <w:szCs w:val="24"/>
        </w:rPr>
        <w:t xml:space="preserve">Le tableau </w:t>
      </w:r>
      <w:r w:rsidR="00B215E4" w:rsidRPr="007C5A6E">
        <w:rPr>
          <w:rFonts w:ascii="Times New Roman" w:hAnsi="Times New Roman"/>
          <w:sz w:val="24"/>
          <w:szCs w:val="24"/>
        </w:rPr>
        <w:t>1</w:t>
      </w:r>
      <w:r w:rsidR="00BE5862" w:rsidRPr="007C5A6E">
        <w:rPr>
          <w:rFonts w:ascii="Times New Roman" w:hAnsi="Times New Roman"/>
          <w:sz w:val="24"/>
          <w:szCs w:val="24"/>
        </w:rPr>
        <w:t>9</w:t>
      </w:r>
      <w:r w:rsidR="00B215E4" w:rsidRPr="007C5A6E">
        <w:rPr>
          <w:rFonts w:ascii="Times New Roman" w:hAnsi="Times New Roman"/>
          <w:sz w:val="24"/>
          <w:szCs w:val="24"/>
        </w:rPr>
        <w:t xml:space="preserve"> </w:t>
      </w:r>
      <w:r w:rsidRPr="007C5A6E">
        <w:rPr>
          <w:rFonts w:ascii="Times New Roman" w:hAnsi="Times New Roman"/>
          <w:sz w:val="24"/>
          <w:szCs w:val="24"/>
        </w:rPr>
        <w:t>récapitule le potentiel des volumes prélevables connus.</w:t>
      </w:r>
    </w:p>
    <w:p w14:paraId="22AC352F" w14:textId="77777777" w:rsidR="00B215E4" w:rsidRPr="007C5A6E" w:rsidRDefault="00B215E4" w:rsidP="009969E0">
      <w:pPr>
        <w:tabs>
          <w:tab w:val="left" w:pos="142"/>
        </w:tabs>
        <w:spacing w:after="0" w:line="240" w:lineRule="auto"/>
        <w:rPr>
          <w:rFonts w:ascii="Times New Roman" w:hAnsi="Times New Roman"/>
          <w:sz w:val="24"/>
          <w:szCs w:val="24"/>
        </w:rPr>
      </w:pPr>
    </w:p>
    <w:p w14:paraId="0CF66E67" w14:textId="669255BC" w:rsidR="0005266E" w:rsidRPr="007C5A6E" w:rsidRDefault="0005266E" w:rsidP="009969E0">
      <w:pPr>
        <w:tabs>
          <w:tab w:val="left" w:pos="1134"/>
        </w:tabs>
        <w:spacing w:after="0" w:line="240" w:lineRule="auto"/>
        <w:ind w:left="1134" w:hanging="1134"/>
        <w:jc w:val="both"/>
        <w:rPr>
          <w:rFonts w:ascii="Times New Roman" w:hAnsi="Times New Roman"/>
          <w:iCs/>
          <w:sz w:val="24"/>
          <w:szCs w:val="24"/>
          <w:lang w:eastAsia="da-DK"/>
        </w:rPr>
      </w:pPr>
      <w:bookmarkStart w:id="538" w:name="_Toc182605866"/>
      <w:bookmarkStart w:id="539" w:name="_Toc183240981"/>
      <w:bookmarkStart w:id="540" w:name="_Toc183292223"/>
      <w:bookmarkStart w:id="541" w:name="_Toc183340503"/>
      <w:r w:rsidRPr="007C5A6E">
        <w:rPr>
          <w:rFonts w:ascii="Times New Roman" w:hAnsi="Times New Roman"/>
          <w:iCs/>
          <w:sz w:val="24"/>
          <w:szCs w:val="24"/>
          <w:lang w:eastAsia="da-DK"/>
        </w:rPr>
        <w:t xml:space="preserve">Tableau </w:t>
      </w:r>
      <w:r w:rsidRPr="007C5A6E">
        <w:rPr>
          <w:rFonts w:ascii="Times New Roman" w:hAnsi="Times New Roman"/>
          <w:iCs/>
          <w:sz w:val="24"/>
          <w:szCs w:val="24"/>
          <w:lang w:eastAsia="da-DK"/>
        </w:rPr>
        <w:fldChar w:fldCharType="begin"/>
      </w:r>
      <w:r w:rsidRPr="007C5A6E">
        <w:rPr>
          <w:rFonts w:ascii="Times New Roman" w:hAnsi="Times New Roman"/>
          <w:iCs/>
          <w:sz w:val="24"/>
          <w:szCs w:val="24"/>
          <w:lang w:eastAsia="da-DK"/>
        </w:rPr>
        <w:instrText xml:space="preserve"> SEQ Tableau \* ARABIC </w:instrText>
      </w:r>
      <w:r w:rsidRPr="007C5A6E">
        <w:rPr>
          <w:rFonts w:ascii="Times New Roman" w:hAnsi="Times New Roman"/>
          <w:iCs/>
          <w:sz w:val="24"/>
          <w:szCs w:val="24"/>
          <w:lang w:eastAsia="da-DK"/>
        </w:rPr>
        <w:fldChar w:fldCharType="separate"/>
      </w:r>
      <w:r w:rsidR="003162F8" w:rsidRPr="007C5A6E">
        <w:rPr>
          <w:rFonts w:ascii="Times New Roman" w:hAnsi="Times New Roman"/>
          <w:iCs/>
          <w:noProof/>
          <w:sz w:val="24"/>
          <w:szCs w:val="24"/>
          <w:lang w:eastAsia="da-DK"/>
        </w:rPr>
        <w:t>19</w:t>
      </w:r>
      <w:r w:rsidRPr="007C5A6E">
        <w:rPr>
          <w:rFonts w:ascii="Times New Roman" w:hAnsi="Times New Roman"/>
          <w:iCs/>
          <w:sz w:val="24"/>
          <w:szCs w:val="24"/>
          <w:lang w:eastAsia="da-DK"/>
        </w:rPr>
        <w:fldChar w:fldCharType="end"/>
      </w:r>
      <w:bookmarkEnd w:id="535"/>
      <w:r w:rsidR="00BE5862" w:rsidRPr="007C5A6E">
        <w:rPr>
          <w:rFonts w:ascii="Times New Roman" w:hAnsi="Times New Roman"/>
          <w:iCs/>
          <w:sz w:val="24"/>
          <w:szCs w:val="24"/>
          <w:lang w:eastAsia="da-DK"/>
        </w:rPr>
        <w:t xml:space="preserve"> </w:t>
      </w:r>
      <w:r w:rsidRPr="007C5A6E">
        <w:rPr>
          <w:rFonts w:ascii="Times New Roman" w:hAnsi="Times New Roman"/>
          <w:iCs/>
          <w:sz w:val="24"/>
          <w:szCs w:val="24"/>
          <w:lang w:eastAsia="da-DK"/>
        </w:rPr>
        <w:t>: Capacités (en m3) des retenues d’eau par région et par type</w:t>
      </w:r>
      <w:bookmarkEnd w:id="536"/>
      <w:bookmarkEnd w:id="537"/>
      <w:bookmarkEnd w:id="538"/>
      <w:bookmarkEnd w:id="539"/>
      <w:bookmarkEnd w:id="540"/>
      <w:bookmarkEnd w:id="541"/>
    </w:p>
    <w:p w14:paraId="01777031" w14:textId="77777777" w:rsidR="00B215E4" w:rsidRPr="007C5A6E" w:rsidRDefault="00B215E4" w:rsidP="009969E0">
      <w:pPr>
        <w:tabs>
          <w:tab w:val="left" w:pos="1134"/>
        </w:tabs>
        <w:spacing w:after="0" w:line="240" w:lineRule="auto"/>
        <w:ind w:left="1134" w:hanging="1134"/>
        <w:jc w:val="both"/>
        <w:rPr>
          <w:rFonts w:ascii="Times New Roman" w:hAnsi="Times New Roman"/>
          <w:iCs/>
          <w:sz w:val="24"/>
          <w:szCs w:val="24"/>
          <w:lang w:eastAsia="da-DK"/>
        </w:rPr>
      </w:pPr>
    </w:p>
    <w:tbl>
      <w:tblPr>
        <w:tblStyle w:val="TableauGrille1Clair1"/>
        <w:tblW w:w="5000" w:type="pct"/>
        <w:tblLook w:val="04A0" w:firstRow="1" w:lastRow="0" w:firstColumn="1" w:lastColumn="0" w:noHBand="0" w:noVBand="1"/>
      </w:tblPr>
      <w:tblGrid>
        <w:gridCol w:w="1985"/>
        <w:gridCol w:w="1405"/>
        <w:gridCol w:w="1157"/>
        <w:gridCol w:w="1256"/>
        <w:gridCol w:w="1058"/>
        <w:gridCol w:w="909"/>
        <w:gridCol w:w="1405"/>
      </w:tblGrid>
      <w:tr w:rsidR="0005266E" w:rsidRPr="007C5A6E" w14:paraId="7CD16292" w14:textId="77777777" w:rsidTr="00B215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2" w:type="pct"/>
            <w:noWrap/>
            <w:hideMark/>
          </w:tcPr>
          <w:p w14:paraId="64F6149F" w14:textId="77777777" w:rsidR="0005266E" w:rsidRPr="007C5A6E" w:rsidRDefault="0005266E" w:rsidP="009969E0">
            <w:pPr>
              <w:spacing w:after="0" w:line="240" w:lineRule="auto"/>
              <w:rPr>
                <w:rFonts w:ascii="Times New Roman" w:hAnsi="Times New Roman"/>
                <w:color w:val="000000"/>
              </w:rPr>
            </w:pPr>
            <w:r w:rsidRPr="007C5A6E">
              <w:rPr>
                <w:rFonts w:ascii="Times New Roman" w:hAnsi="Times New Roman"/>
                <w:color w:val="000000"/>
              </w:rPr>
              <w:t>Régions</w:t>
            </w:r>
          </w:p>
        </w:tc>
        <w:tc>
          <w:tcPr>
            <w:tcW w:w="770" w:type="pct"/>
            <w:noWrap/>
            <w:hideMark/>
          </w:tcPr>
          <w:p w14:paraId="4F82023C" w14:textId="77777777" w:rsidR="0005266E" w:rsidRPr="007C5A6E" w:rsidRDefault="0005266E" w:rsidP="009969E0">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rPr>
            </w:pPr>
            <w:r w:rsidRPr="007C5A6E">
              <w:rPr>
                <w:rFonts w:ascii="Times New Roman" w:hAnsi="Times New Roman"/>
                <w:color w:val="000000"/>
              </w:rPr>
              <w:t>Barrage</w:t>
            </w:r>
          </w:p>
        </w:tc>
        <w:tc>
          <w:tcPr>
            <w:tcW w:w="616" w:type="pct"/>
            <w:noWrap/>
            <w:hideMark/>
          </w:tcPr>
          <w:p w14:paraId="499C95E8" w14:textId="77777777" w:rsidR="0005266E" w:rsidRPr="007C5A6E" w:rsidRDefault="0005266E" w:rsidP="009969E0">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rPr>
            </w:pPr>
            <w:r w:rsidRPr="007C5A6E">
              <w:rPr>
                <w:rFonts w:ascii="Times New Roman" w:hAnsi="Times New Roman"/>
                <w:color w:val="000000"/>
              </w:rPr>
              <w:t>Bouli</w:t>
            </w:r>
          </w:p>
        </w:tc>
        <w:tc>
          <w:tcPr>
            <w:tcW w:w="693" w:type="pct"/>
            <w:noWrap/>
            <w:hideMark/>
          </w:tcPr>
          <w:p w14:paraId="172FC485" w14:textId="77777777" w:rsidR="0005266E" w:rsidRPr="007C5A6E" w:rsidRDefault="0005266E" w:rsidP="009969E0">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rPr>
            </w:pPr>
            <w:r w:rsidRPr="007C5A6E">
              <w:rPr>
                <w:rFonts w:ascii="Times New Roman" w:hAnsi="Times New Roman"/>
                <w:color w:val="000000"/>
              </w:rPr>
              <w:t>Lac</w:t>
            </w:r>
          </w:p>
        </w:tc>
        <w:tc>
          <w:tcPr>
            <w:tcW w:w="539" w:type="pct"/>
            <w:noWrap/>
            <w:hideMark/>
          </w:tcPr>
          <w:p w14:paraId="1E92D0A0" w14:textId="77777777" w:rsidR="0005266E" w:rsidRPr="007C5A6E" w:rsidRDefault="0005266E" w:rsidP="009969E0">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rPr>
            </w:pPr>
            <w:r w:rsidRPr="007C5A6E">
              <w:rPr>
                <w:rFonts w:ascii="Times New Roman" w:hAnsi="Times New Roman"/>
                <w:color w:val="000000"/>
              </w:rPr>
              <w:t>Mare</w:t>
            </w:r>
          </w:p>
        </w:tc>
        <w:tc>
          <w:tcPr>
            <w:tcW w:w="461" w:type="pct"/>
            <w:noWrap/>
            <w:hideMark/>
          </w:tcPr>
          <w:p w14:paraId="015A4758" w14:textId="77777777" w:rsidR="0005266E" w:rsidRPr="007C5A6E" w:rsidRDefault="0005266E" w:rsidP="009969E0">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rPr>
            </w:pPr>
            <w:r w:rsidRPr="007C5A6E">
              <w:rPr>
                <w:rFonts w:ascii="Times New Roman" w:hAnsi="Times New Roman"/>
                <w:color w:val="000000"/>
              </w:rPr>
              <w:t>Seuil</w:t>
            </w:r>
          </w:p>
        </w:tc>
        <w:tc>
          <w:tcPr>
            <w:tcW w:w="770" w:type="pct"/>
            <w:noWrap/>
            <w:hideMark/>
          </w:tcPr>
          <w:p w14:paraId="7F6FBDCD" w14:textId="77777777" w:rsidR="0005266E" w:rsidRPr="007C5A6E" w:rsidRDefault="0005266E" w:rsidP="009969E0">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rPr>
            </w:pPr>
            <w:r w:rsidRPr="007C5A6E">
              <w:rPr>
                <w:rFonts w:ascii="Times New Roman" w:hAnsi="Times New Roman"/>
                <w:color w:val="000000"/>
              </w:rPr>
              <w:t xml:space="preserve">Total </w:t>
            </w:r>
          </w:p>
        </w:tc>
      </w:tr>
      <w:tr w:rsidR="0005266E" w:rsidRPr="007C5A6E" w14:paraId="123842E9" w14:textId="77777777" w:rsidTr="00B215E4">
        <w:tc>
          <w:tcPr>
            <w:cnfStyle w:val="001000000000" w:firstRow="0" w:lastRow="0" w:firstColumn="1" w:lastColumn="0" w:oddVBand="0" w:evenVBand="0" w:oddHBand="0" w:evenHBand="0" w:firstRowFirstColumn="0" w:firstRowLastColumn="0" w:lastRowFirstColumn="0" w:lastRowLastColumn="0"/>
            <w:tcW w:w="1152" w:type="pct"/>
            <w:noWrap/>
            <w:hideMark/>
          </w:tcPr>
          <w:p w14:paraId="07BF8596" w14:textId="77777777" w:rsidR="0005266E" w:rsidRPr="007C5A6E" w:rsidRDefault="0005266E" w:rsidP="00B215E4">
            <w:pPr>
              <w:spacing w:after="0" w:line="360" w:lineRule="auto"/>
              <w:ind w:left="-57" w:right="-57"/>
              <w:rPr>
                <w:rFonts w:ascii="Times New Roman" w:hAnsi="Times New Roman"/>
              </w:rPr>
            </w:pPr>
            <w:r w:rsidRPr="007C5A6E">
              <w:rPr>
                <w:rFonts w:ascii="Times New Roman" w:hAnsi="Times New Roman"/>
                <w:color w:val="000000"/>
              </w:rPr>
              <w:t>Boucle du Mouhoun</w:t>
            </w:r>
          </w:p>
        </w:tc>
        <w:tc>
          <w:tcPr>
            <w:tcW w:w="770" w:type="pct"/>
            <w:noWrap/>
            <w:hideMark/>
          </w:tcPr>
          <w:p w14:paraId="5974796C"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629 362 110</w:t>
            </w:r>
          </w:p>
        </w:tc>
        <w:tc>
          <w:tcPr>
            <w:tcW w:w="616" w:type="pct"/>
            <w:noWrap/>
            <w:hideMark/>
          </w:tcPr>
          <w:p w14:paraId="64630B55"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115 000</w:t>
            </w:r>
          </w:p>
        </w:tc>
        <w:tc>
          <w:tcPr>
            <w:tcW w:w="693" w:type="pct"/>
            <w:noWrap/>
            <w:hideMark/>
          </w:tcPr>
          <w:p w14:paraId="46B6B9AF"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539" w:type="pct"/>
            <w:noWrap/>
            <w:hideMark/>
          </w:tcPr>
          <w:p w14:paraId="6AFE4770"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85 000</w:t>
            </w:r>
          </w:p>
        </w:tc>
        <w:tc>
          <w:tcPr>
            <w:tcW w:w="461" w:type="pct"/>
            <w:noWrap/>
            <w:hideMark/>
          </w:tcPr>
          <w:p w14:paraId="38077DDD"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254 847</w:t>
            </w:r>
          </w:p>
        </w:tc>
        <w:tc>
          <w:tcPr>
            <w:tcW w:w="770" w:type="pct"/>
            <w:noWrap/>
            <w:hideMark/>
          </w:tcPr>
          <w:p w14:paraId="1274499A"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629 816 957</w:t>
            </w:r>
          </w:p>
        </w:tc>
      </w:tr>
      <w:tr w:rsidR="0005266E" w:rsidRPr="007C5A6E" w14:paraId="7363F405" w14:textId="77777777" w:rsidTr="00B215E4">
        <w:tc>
          <w:tcPr>
            <w:cnfStyle w:val="001000000000" w:firstRow="0" w:lastRow="0" w:firstColumn="1" w:lastColumn="0" w:oddVBand="0" w:evenVBand="0" w:oddHBand="0" w:evenHBand="0" w:firstRowFirstColumn="0" w:firstRowLastColumn="0" w:lastRowFirstColumn="0" w:lastRowLastColumn="0"/>
            <w:tcW w:w="1152" w:type="pct"/>
            <w:noWrap/>
            <w:hideMark/>
          </w:tcPr>
          <w:p w14:paraId="136B8D55" w14:textId="77777777" w:rsidR="0005266E" w:rsidRPr="007C5A6E" w:rsidRDefault="0005266E" w:rsidP="00B215E4">
            <w:pPr>
              <w:spacing w:after="0" w:line="360" w:lineRule="auto"/>
              <w:ind w:left="-57" w:right="-57"/>
              <w:rPr>
                <w:rFonts w:ascii="Times New Roman" w:hAnsi="Times New Roman"/>
              </w:rPr>
            </w:pPr>
            <w:r w:rsidRPr="007C5A6E">
              <w:rPr>
                <w:rFonts w:ascii="Times New Roman" w:hAnsi="Times New Roman"/>
                <w:color w:val="000000"/>
              </w:rPr>
              <w:t>Cascades</w:t>
            </w:r>
          </w:p>
        </w:tc>
        <w:tc>
          <w:tcPr>
            <w:tcW w:w="770" w:type="pct"/>
            <w:noWrap/>
            <w:hideMark/>
          </w:tcPr>
          <w:p w14:paraId="2019C18F"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92 598 525</w:t>
            </w:r>
          </w:p>
        </w:tc>
        <w:tc>
          <w:tcPr>
            <w:tcW w:w="616" w:type="pct"/>
            <w:noWrap/>
            <w:hideMark/>
          </w:tcPr>
          <w:p w14:paraId="17234FF6"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693" w:type="pct"/>
            <w:noWrap/>
            <w:hideMark/>
          </w:tcPr>
          <w:p w14:paraId="40BF4F02"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25 480 000</w:t>
            </w:r>
          </w:p>
        </w:tc>
        <w:tc>
          <w:tcPr>
            <w:tcW w:w="539" w:type="pct"/>
            <w:noWrap/>
            <w:hideMark/>
          </w:tcPr>
          <w:p w14:paraId="0646D3E0"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2 015 000</w:t>
            </w:r>
          </w:p>
        </w:tc>
        <w:tc>
          <w:tcPr>
            <w:tcW w:w="461" w:type="pct"/>
            <w:noWrap/>
            <w:hideMark/>
          </w:tcPr>
          <w:p w14:paraId="663AEB2D"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770" w:type="pct"/>
            <w:noWrap/>
            <w:hideMark/>
          </w:tcPr>
          <w:p w14:paraId="7D5CFD07"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120 093 525</w:t>
            </w:r>
          </w:p>
        </w:tc>
      </w:tr>
      <w:tr w:rsidR="0005266E" w:rsidRPr="007C5A6E" w14:paraId="3264945A" w14:textId="77777777" w:rsidTr="00B215E4">
        <w:tc>
          <w:tcPr>
            <w:cnfStyle w:val="001000000000" w:firstRow="0" w:lastRow="0" w:firstColumn="1" w:lastColumn="0" w:oddVBand="0" w:evenVBand="0" w:oddHBand="0" w:evenHBand="0" w:firstRowFirstColumn="0" w:firstRowLastColumn="0" w:lastRowFirstColumn="0" w:lastRowLastColumn="0"/>
            <w:tcW w:w="1152" w:type="pct"/>
            <w:noWrap/>
            <w:hideMark/>
          </w:tcPr>
          <w:p w14:paraId="5C955508" w14:textId="77777777" w:rsidR="0005266E" w:rsidRPr="007C5A6E" w:rsidRDefault="0005266E" w:rsidP="00B215E4">
            <w:pPr>
              <w:spacing w:after="0" w:line="360" w:lineRule="auto"/>
              <w:ind w:left="-57" w:right="-57"/>
              <w:rPr>
                <w:rFonts w:ascii="Times New Roman" w:hAnsi="Times New Roman"/>
              </w:rPr>
            </w:pPr>
            <w:r w:rsidRPr="007C5A6E">
              <w:rPr>
                <w:rFonts w:ascii="Times New Roman" w:hAnsi="Times New Roman"/>
                <w:color w:val="000000"/>
              </w:rPr>
              <w:t>Centre</w:t>
            </w:r>
          </w:p>
        </w:tc>
        <w:tc>
          <w:tcPr>
            <w:tcW w:w="770" w:type="pct"/>
            <w:noWrap/>
            <w:hideMark/>
          </w:tcPr>
          <w:p w14:paraId="67EBFF6D"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53 237 561</w:t>
            </w:r>
          </w:p>
        </w:tc>
        <w:tc>
          <w:tcPr>
            <w:tcW w:w="616" w:type="pct"/>
            <w:noWrap/>
            <w:hideMark/>
          </w:tcPr>
          <w:p w14:paraId="63B2EB89"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63 250</w:t>
            </w:r>
          </w:p>
        </w:tc>
        <w:tc>
          <w:tcPr>
            <w:tcW w:w="693" w:type="pct"/>
            <w:noWrap/>
            <w:hideMark/>
          </w:tcPr>
          <w:p w14:paraId="6202D909"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539" w:type="pct"/>
            <w:noWrap/>
            <w:hideMark/>
          </w:tcPr>
          <w:p w14:paraId="224D0830" w14:textId="77777777" w:rsidR="0005266E" w:rsidRPr="007C5A6E" w:rsidRDefault="0005266E" w:rsidP="00B215E4">
            <w:pPr>
              <w:spacing w:after="0" w:line="360" w:lineRule="auto"/>
              <w:ind w:left="-57" w:right="-57"/>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461" w:type="pct"/>
            <w:noWrap/>
            <w:hideMark/>
          </w:tcPr>
          <w:p w14:paraId="003FCBB8" w14:textId="77777777" w:rsidR="0005266E" w:rsidRPr="007C5A6E" w:rsidRDefault="0005266E" w:rsidP="00B215E4">
            <w:pPr>
              <w:spacing w:after="0" w:line="360" w:lineRule="auto"/>
              <w:ind w:left="-57" w:right="-57"/>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770" w:type="pct"/>
            <w:noWrap/>
            <w:hideMark/>
          </w:tcPr>
          <w:p w14:paraId="2A7700C0"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53 300 811</w:t>
            </w:r>
          </w:p>
        </w:tc>
      </w:tr>
      <w:tr w:rsidR="0005266E" w:rsidRPr="007C5A6E" w14:paraId="4FCC95F3" w14:textId="77777777" w:rsidTr="00B215E4">
        <w:tc>
          <w:tcPr>
            <w:cnfStyle w:val="001000000000" w:firstRow="0" w:lastRow="0" w:firstColumn="1" w:lastColumn="0" w:oddVBand="0" w:evenVBand="0" w:oddHBand="0" w:evenHBand="0" w:firstRowFirstColumn="0" w:firstRowLastColumn="0" w:lastRowFirstColumn="0" w:lastRowLastColumn="0"/>
            <w:tcW w:w="1152" w:type="pct"/>
            <w:noWrap/>
            <w:hideMark/>
          </w:tcPr>
          <w:p w14:paraId="579C1750" w14:textId="77777777" w:rsidR="0005266E" w:rsidRPr="007C5A6E" w:rsidRDefault="0005266E" w:rsidP="00B215E4">
            <w:pPr>
              <w:spacing w:after="0" w:line="360" w:lineRule="auto"/>
              <w:ind w:left="-57" w:right="-57"/>
              <w:rPr>
                <w:rFonts w:ascii="Times New Roman" w:hAnsi="Times New Roman"/>
              </w:rPr>
            </w:pPr>
            <w:r w:rsidRPr="007C5A6E">
              <w:rPr>
                <w:rFonts w:ascii="Times New Roman" w:hAnsi="Times New Roman"/>
                <w:color w:val="000000"/>
              </w:rPr>
              <w:t>Centre Est</w:t>
            </w:r>
          </w:p>
        </w:tc>
        <w:tc>
          <w:tcPr>
            <w:tcW w:w="770" w:type="pct"/>
            <w:noWrap/>
            <w:hideMark/>
          </w:tcPr>
          <w:p w14:paraId="1A373101"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1 760 881 785</w:t>
            </w:r>
          </w:p>
        </w:tc>
        <w:tc>
          <w:tcPr>
            <w:tcW w:w="616" w:type="pct"/>
            <w:noWrap/>
            <w:hideMark/>
          </w:tcPr>
          <w:p w14:paraId="525FBE24"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175 000</w:t>
            </w:r>
          </w:p>
        </w:tc>
        <w:tc>
          <w:tcPr>
            <w:tcW w:w="693" w:type="pct"/>
            <w:noWrap/>
            <w:hideMark/>
          </w:tcPr>
          <w:p w14:paraId="3E0E4F8F"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539" w:type="pct"/>
            <w:noWrap/>
            <w:hideMark/>
          </w:tcPr>
          <w:p w14:paraId="460EEAAE"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13 000</w:t>
            </w:r>
          </w:p>
        </w:tc>
        <w:tc>
          <w:tcPr>
            <w:tcW w:w="461" w:type="pct"/>
            <w:noWrap/>
            <w:hideMark/>
          </w:tcPr>
          <w:p w14:paraId="454DE4DC"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770" w:type="pct"/>
            <w:noWrap/>
            <w:hideMark/>
          </w:tcPr>
          <w:p w14:paraId="5851A8FB"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1 761 069 785</w:t>
            </w:r>
          </w:p>
        </w:tc>
      </w:tr>
      <w:tr w:rsidR="0005266E" w:rsidRPr="007C5A6E" w14:paraId="61A11221" w14:textId="77777777" w:rsidTr="00B215E4">
        <w:tc>
          <w:tcPr>
            <w:cnfStyle w:val="001000000000" w:firstRow="0" w:lastRow="0" w:firstColumn="1" w:lastColumn="0" w:oddVBand="0" w:evenVBand="0" w:oddHBand="0" w:evenHBand="0" w:firstRowFirstColumn="0" w:firstRowLastColumn="0" w:lastRowFirstColumn="0" w:lastRowLastColumn="0"/>
            <w:tcW w:w="1152" w:type="pct"/>
            <w:noWrap/>
            <w:hideMark/>
          </w:tcPr>
          <w:p w14:paraId="76A17346" w14:textId="77777777" w:rsidR="0005266E" w:rsidRPr="007C5A6E" w:rsidRDefault="0005266E" w:rsidP="00B215E4">
            <w:pPr>
              <w:spacing w:after="0" w:line="360" w:lineRule="auto"/>
              <w:ind w:left="-57" w:right="-57"/>
              <w:rPr>
                <w:rFonts w:ascii="Times New Roman" w:hAnsi="Times New Roman"/>
              </w:rPr>
            </w:pPr>
            <w:r w:rsidRPr="007C5A6E">
              <w:rPr>
                <w:rFonts w:ascii="Times New Roman" w:hAnsi="Times New Roman"/>
                <w:color w:val="000000"/>
              </w:rPr>
              <w:t>Centre Nord</w:t>
            </w:r>
          </w:p>
        </w:tc>
        <w:tc>
          <w:tcPr>
            <w:tcW w:w="770" w:type="pct"/>
            <w:noWrap/>
            <w:hideMark/>
          </w:tcPr>
          <w:p w14:paraId="2AD04921"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73 894 517</w:t>
            </w:r>
          </w:p>
        </w:tc>
        <w:tc>
          <w:tcPr>
            <w:tcW w:w="616" w:type="pct"/>
            <w:noWrap/>
            <w:hideMark/>
          </w:tcPr>
          <w:p w14:paraId="139244D8"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3 270 715</w:t>
            </w:r>
          </w:p>
        </w:tc>
        <w:tc>
          <w:tcPr>
            <w:tcW w:w="693" w:type="pct"/>
            <w:noWrap/>
            <w:hideMark/>
          </w:tcPr>
          <w:p w14:paraId="6D67BB61"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77 986 766</w:t>
            </w:r>
          </w:p>
        </w:tc>
        <w:tc>
          <w:tcPr>
            <w:tcW w:w="539" w:type="pct"/>
            <w:noWrap/>
            <w:hideMark/>
          </w:tcPr>
          <w:p w14:paraId="3F8C58D2"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461" w:type="pct"/>
            <w:noWrap/>
            <w:hideMark/>
          </w:tcPr>
          <w:p w14:paraId="06384F60" w14:textId="77777777" w:rsidR="0005266E" w:rsidRPr="007C5A6E" w:rsidRDefault="0005266E" w:rsidP="00B215E4">
            <w:pPr>
              <w:spacing w:after="0" w:line="360" w:lineRule="auto"/>
              <w:ind w:left="-57" w:right="-57"/>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770" w:type="pct"/>
            <w:noWrap/>
            <w:hideMark/>
          </w:tcPr>
          <w:p w14:paraId="3949DC9C"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155 151 998</w:t>
            </w:r>
          </w:p>
        </w:tc>
      </w:tr>
      <w:tr w:rsidR="0005266E" w:rsidRPr="007C5A6E" w14:paraId="61660899" w14:textId="77777777" w:rsidTr="00B215E4">
        <w:tc>
          <w:tcPr>
            <w:cnfStyle w:val="001000000000" w:firstRow="0" w:lastRow="0" w:firstColumn="1" w:lastColumn="0" w:oddVBand="0" w:evenVBand="0" w:oddHBand="0" w:evenHBand="0" w:firstRowFirstColumn="0" w:firstRowLastColumn="0" w:lastRowFirstColumn="0" w:lastRowLastColumn="0"/>
            <w:tcW w:w="1152" w:type="pct"/>
            <w:noWrap/>
            <w:hideMark/>
          </w:tcPr>
          <w:p w14:paraId="7B41646F" w14:textId="77777777" w:rsidR="0005266E" w:rsidRPr="007C5A6E" w:rsidRDefault="0005266E" w:rsidP="00B215E4">
            <w:pPr>
              <w:spacing w:after="0" w:line="360" w:lineRule="auto"/>
              <w:ind w:left="-57" w:right="-57"/>
              <w:rPr>
                <w:rFonts w:ascii="Times New Roman" w:hAnsi="Times New Roman"/>
              </w:rPr>
            </w:pPr>
            <w:r w:rsidRPr="007C5A6E">
              <w:rPr>
                <w:rFonts w:ascii="Times New Roman" w:hAnsi="Times New Roman"/>
                <w:color w:val="000000"/>
              </w:rPr>
              <w:t>Centre Ouest</w:t>
            </w:r>
          </w:p>
        </w:tc>
        <w:tc>
          <w:tcPr>
            <w:tcW w:w="770" w:type="pct"/>
            <w:noWrap/>
            <w:hideMark/>
          </w:tcPr>
          <w:p w14:paraId="16B6FE79"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141 242 877</w:t>
            </w:r>
          </w:p>
        </w:tc>
        <w:tc>
          <w:tcPr>
            <w:tcW w:w="616" w:type="pct"/>
            <w:noWrap/>
            <w:hideMark/>
          </w:tcPr>
          <w:p w14:paraId="054D1D16"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875 000</w:t>
            </w:r>
          </w:p>
        </w:tc>
        <w:tc>
          <w:tcPr>
            <w:tcW w:w="693" w:type="pct"/>
            <w:noWrap/>
            <w:hideMark/>
          </w:tcPr>
          <w:p w14:paraId="7A618026"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539" w:type="pct"/>
            <w:noWrap/>
            <w:hideMark/>
          </w:tcPr>
          <w:p w14:paraId="097E23A0"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671 300</w:t>
            </w:r>
          </w:p>
        </w:tc>
        <w:tc>
          <w:tcPr>
            <w:tcW w:w="461" w:type="pct"/>
            <w:noWrap/>
            <w:hideMark/>
          </w:tcPr>
          <w:p w14:paraId="4729614E"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281 000</w:t>
            </w:r>
          </w:p>
        </w:tc>
        <w:tc>
          <w:tcPr>
            <w:tcW w:w="770" w:type="pct"/>
            <w:noWrap/>
            <w:hideMark/>
          </w:tcPr>
          <w:p w14:paraId="1986BF4F"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143 070 177</w:t>
            </w:r>
          </w:p>
        </w:tc>
      </w:tr>
      <w:tr w:rsidR="0005266E" w:rsidRPr="007C5A6E" w14:paraId="6BB86FBA" w14:textId="77777777" w:rsidTr="00B215E4">
        <w:tc>
          <w:tcPr>
            <w:cnfStyle w:val="001000000000" w:firstRow="0" w:lastRow="0" w:firstColumn="1" w:lastColumn="0" w:oddVBand="0" w:evenVBand="0" w:oddHBand="0" w:evenHBand="0" w:firstRowFirstColumn="0" w:firstRowLastColumn="0" w:lastRowFirstColumn="0" w:lastRowLastColumn="0"/>
            <w:tcW w:w="1152" w:type="pct"/>
            <w:noWrap/>
            <w:hideMark/>
          </w:tcPr>
          <w:p w14:paraId="2264B9B0" w14:textId="77777777" w:rsidR="0005266E" w:rsidRPr="007C5A6E" w:rsidRDefault="0005266E" w:rsidP="00B215E4">
            <w:pPr>
              <w:spacing w:after="0" w:line="360" w:lineRule="auto"/>
              <w:ind w:left="-57" w:right="-57"/>
              <w:rPr>
                <w:rFonts w:ascii="Times New Roman" w:hAnsi="Times New Roman"/>
              </w:rPr>
            </w:pPr>
            <w:r w:rsidRPr="007C5A6E">
              <w:rPr>
                <w:rFonts w:ascii="Times New Roman" w:hAnsi="Times New Roman"/>
                <w:color w:val="000000"/>
              </w:rPr>
              <w:t>Centre Sud</w:t>
            </w:r>
          </w:p>
        </w:tc>
        <w:tc>
          <w:tcPr>
            <w:tcW w:w="770" w:type="pct"/>
            <w:noWrap/>
            <w:hideMark/>
          </w:tcPr>
          <w:p w14:paraId="0D346231"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43 020 800</w:t>
            </w:r>
          </w:p>
        </w:tc>
        <w:tc>
          <w:tcPr>
            <w:tcW w:w="616" w:type="pct"/>
            <w:noWrap/>
            <w:hideMark/>
          </w:tcPr>
          <w:p w14:paraId="2DA7AFB1"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81 000</w:t>
            </w:r>
          </w:p>
        </w:tc>
        <w:tc>
          <w:tcPr>
            <w:tcW w:w="693" w:type="pct"/>
            <w:noWrap/>
            <w:hideMark/>
          </w:tcPr>
          <w:p w14:paraId="150BF47E"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539" w:type="pct"/>
            <w:noWrap/>
            <w:hideMark/>
          </w:tcPr>
          <w:p w14:paraId="06AF3B6D" w14:textId="77777777" w:rsidR="0005266E" w:rsidRPr="007C5A6E" w:rsidRDefault="0005266E" w:rsidP="00B215E4">
            <w:pPr>
              <w:spacing w:after="0" w:line="360" w:lineRule="auto"/>
              <w:ind w:left="-57" w:right="-57"/>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461" w:type="pct"/>
            <w:noWrap/>
            <w:hideMark/>
          </w:tcPr>
          <w:p w14:paraId="0B877A2D" w14:textId="77777777" w:rsidR="0005266E" w:rsidRPr="007C5A6E" w:rsidRDefault="0005266E" w:rsidP="00B215E4">
            <w:pPr>
              <w:spacing w:after="0" w:line="360" w:lineRule="auto"/>
              <w:ind w:left="-57" w:right="-57"/>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770" w:type="pct"/>
            <w:noWrap/>
            <w:hideMark/>
          </w:tcPr>
          <w:p w14:paraId="6766BEF3"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43 101 800</w:t>
            </w:r>
          </w:p>
        </w:tc>
      </w:tr>
      <w:tr w:rsidR="0005266E" w:rsidRPr="007C5A6E" w14:paraId="58134FCD" w14:textId="77777777" w:rsidTr="00B215E4">
        <w:tc>
          <w:tcPr>
            <w:cnfStyle w:val="001000000000" w:firstRow="0" w:lastRow="0" w:firstColumn="1" w:lastColumn="0" w:oddVBand="0" w:evenVBand="0" w:oddHBand="0" w:evenHBand="0" w:firstRowFirstColumn="0" w:firstRowLastColumn="0" w:lastRowFirstColumn="0" w:lastRowLastColumn="0"/>
            <w:tcW w:w="1152" w:type="pct"/>
            <w:noWrap/>
            <w:hideMark/>
          </w:tcPr>
          <w:p w14:paraId="1DA331A7" w14:textId="77777777" w:rsidR="0005266E" w:rsidRPr="007C5A6E" w:rsidRDefault="0005266E" w:rsidP="00B215E4">
            <w:pPr>
              <w:spacing w:after="0" w:line="360" w:lineRule="auto"/>
              <w:ind w:left="-57" w:right="-57"/>
              <w:rPr>
                <w:rFonts w:ascii="Times New Roman" w:hAnsi="Times New Roman"/>
              </w:rPr>
            </w:pPr>
            <w:r w:rsidRPr="007C5A6E">
              <w:rPr>
                <w:rFonts w:ascii="Times New Roman" w:hAnsi="Times New Roman"/>
                <w:color w:val="000000"/>
              </w:rPr>
              <w:t>Est</w:t>
            </w:r>
          </w:p>
        </w:tc>
        <w:tc>
          <w:tcPr>
            <w:tcW w:w="770" w:type="pct"/>
            <w:noWrap/>
            <w:hideMark/>
          </w:tcPr>
          <w:p w14:paraId="18B4898B"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2 167 670 256</w:t>
            </w:r>
          </w:p>
        </w:tc>
        <w:tc>
          <w:tcPr>
            <w:tcW w:w="616" w:type="pct"/>
            <w:noWrap/>
            <w:hideMark/>
          </w:tcPr>
          <w:p w14:paraId="610D63F9"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1 234 000</w:t>
            </w:r>
          </w:p>
        </w:tc>
        <w:tc>
          <w:tcPr>
            <w:tcW w:w="693" w:type="pct"/>
            <w:noWrap/>
            <w:hideMark/>
          </w:tcPr>
          <w:p w14:paraId="59C1366D"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539" w:type="pct"/>
            <w:noWrap/>
            <w:hideMark/>
          </w:tcPr>
          <w:p w14:paraId="6451CDCF" w14:textId="77777777" w:rsidR="0005266E" w:rsidRPr="007C5A6E" w:rsidRDefault="0005266E" w:rsidP="00B215E4">
            <w:pPr>
              <w:spacing w:after="0" w:line="360" w:lineRule="auto"/>
              <w:ind w:left="-57" w:right="-57"/>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461" w:type="pct"/>
            <w:noWrap/>
            <w:hideMark/>
          </w:tcPr>
          <w:p w14:paraId="315172B7" w14:textId="77777777" w:rsidR="0005266E" w:rsidRPr="007C5A6E" w:rsidRDefault="0005266E" w:rsidP="00B215E4">
            <w:pPr>
              <w:spacing w:after="0" w:line="360" w:lineRule="auto"/>
              <w:ind w:left="-57" w:right="-57"/>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770" w:type="pct"/>
            <w:noWrap/>
            <w:hideMark/>
          </w:tcPr>
          <w:p w14:paraId="1CAA9B44"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2 168 904 256</w:t>
            </w:r>
          </w:p>
        </w:tc>
      </w:tr>
      <w:tr w:rsidR="0005266E" w:rsidRPr="007C5A6E" w14:paraId="739937CA" w14:textId="77777777" w:rsidTr="00B215E4">
        <w:tc>
          <w:tcPr>
            <w:cnfStyle w:val="001000000000" w:firstRow="0" w:lastRow="0" w:firstColumn="1" w:lastColumn="0" w:oddVBand="0" w:evenVBand="0" w:oddHBand="0" w:evenHBand="0" w:firstRowFirstColumn="0" w:firstRowLastColumn="0" w:lastRowFirstColumn="0" w:lastRowLastColumn="0"/>
            <w:tcW w:w="1152" w:type="pct"/>
            <w:noWrap/>
            <w:hideMark/>
          </w:tcPr>
          <w:p w14:paraId="77E94BFA" w14:textId="77777777" w:rsidR="0005266E" w:rsidRPr="007C5A6E" w:rsidRDefault="0005266E" w:rsidP="00B215E4">
            <w:pPr>
              <w:spacing w:after="0" w:line="360" w:lineRule="auto"/>
              <w:ind w:left="-57" w:right="-57"/>
              <w:rPr>
                <w:rFonts w:ascii="Times New Roman" w:hAnsi="Times New Roman"/>
              </w:rPr>
            </w:pPr>
            <w:r w:rsidRPr="007C5A6E">
              <w:rPr>
                <w:rFonts w:ascii="Times New Roman" w:hAnsi="Times New Roman"/>
                <w:color w:val="000000"/>
              </w:rPr>
              <w:t>Hauts Bassins</w:t>
            </w:r>
          </w:p>
        </w:tc>
        <w:tc>
          <w:tcPr>
            <w:tcW w:w="770" w:type="pct"/>
            <w:noWrap/>
            <w:hideMark/>
          </w:tcPr>
          <w:p w14:paraId="4C14B439"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1 061 295 554</w:t>
            </w:r>
          </w:p>
        </w:tc>
        <w:tc>
          <w:tcPr>
            <w:tcW w:w="616" w:type="pct"/>
            <w:noWrap/>
            <w:hideMark/>
          </w:tcPr>
          <w:p w14:paraId="5152D908"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0</w:t>
            </w:r>
          </w:p>
        </w:tc>
        <w:tc>
          <w:tcPr>
            <w:tcW w:w="693" w:type="pct"/>
            <w:noWrap/>
            <w:hideMark/>
          </w:tcPr>
          <w:p w14:paraId="725CD814"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539" w:type="pct"/>
            <w:noWrap/>
            <w:hideMark/>
          </w:tcPr>
          <w:p w14:paraId="6EDA5EBD" w14:textId="77777777" w:rsidR="0005266E" w:rsidRPr="007C5A6E" w:rsidRDefault="0005266E" w:rsidP="00B215E4">
            <w:pPr>
              <w:spacing w:after="0" w:line="360" w:lineRule="auto"/>
              <w:ind w:left="-57" w:right="-57"/>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461" w:type="pct"/>
            <w:noWrap/>
            <w:hideMark/>
          </w:tcPr>
          <w:p w14:paraId="4A717305" w14:textId="77777777" w:rsidR="0005266E" w:rsidRPr="007C5A6E" w:rsidRDefault="0005266E" w:rsidP="00B215E4">
            <w:pPr>
              <w:spacing w:after="0" w:line="360" w:lineRule="auto"/>
              <w:ind w:left="-57" w:right="-57"/>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770" w:type="pct"/>
            <w:noWrap/>
            <w:hideMark/>
          </w:tcPr>
          <w:p w14:paraId="7D56521E"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1 061 295 554</w:t>
            </w:r>
          </w:p>
        </w:tc>
      </w:tr>
      <w:tr w:rsidR="0005266E" w:rsidRPr="007C5A6E" w14:paraId="066DF282" w14:textId="77777777" w:rsidTr="00B215E4">
        <w:tc>
          <w:tcPr>
            <w:cnfStyle w:val="001000000000" w:firstRow="0" w:lastRow="0" w:firstColumn="1" w:lastColumn="0" w:oddVBand="0" w:evenVBand="0" w:oddHBand="0" w:evenHBand="0" w:firstRowFirstColumn="0" w:firstRowLastColumn="0" w:lastRowFirstColumn="0" w:lastRowLastColumn="0"/>
            <w:tcW w:w="1152" w:type="pct"/>
            <w:noWrap/>
            <w:hideMark/>
          </w:tcPr>
          <w:p w14:paraId="57FE39FE" w14:textId="77777777" w:rsidR="0005266E" w:rsidRPr="007C5A6E" w:rsidRDefault="0005266E" w:rsidP="00B215E4">
            <w:pPr>
              <w:spacing w:after="0" w:line="360" w:lineRule="auto"/>
              <w:ind w:left="-57" w:right="-57"/>
              <w:rPr>
                <w:rFonts w:ascii="Times New Roman" w:hAnsi="Times New Roman"/>
              </w:rPr>
            </w:pPr>
            <w:r w:rsidRPr="007C5A6E">
              <w:rPr>
                <w:rFonts w:ascii="Times New Roman" w:hAnsi="Times New Roman"/>
                <w:color w:val="000000"/>
              </w:rPr>
              <w:t>Nord</w:t>
            </w:r>
          </w:p>
        </w:tc>
        <w:tc>
          <w:tcPr>
            <w:tcW w:w="770" w:type="pct"/>
            <w:noWrap/>
            <w:hideMark/>
          </w:tcPr>
          <w:p w14:paraId="4F03979E"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179 991 712</w:t>
            </w:r>
          </w:p>
        </w:tc>
        <w:tc>
          <w:tcPr>
            <w:tcW w:w="616" w:type="pct"/>
            <w:noWrap/>
            <w:hideMark/>
          </w:tcPr>
          <w:p w14:paraId="57DC7A23"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2 924 000</w:t>
            </w:r>
          </w:p>
        </w:tc>
        <w:tc>
          <w:tcPr>
            <w:tcW w:w="693" w:type="pct"/>
            <w:noWrap/>
            <w:hideMark/>
          </w:tcPr>
          <w:p w14:paraId="40468694"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539" w:type="pct"/>
            <w:noWrap/>
            <w:hideMark/>
          </w:tcPr>
          <w:p w14:paraId="6CA5AAE3" w14:textId="77777777" w:rsidR="0005266E" w:rsidRPr="007C5A6E" w:rsidRDefault="0005266E" w:rsidP="00B215E4">
            <w:pPr>
              <w:spacing w:after="0" w:line="360" w:lineRule="auto"/>
              <w:ind w:left="-57" w:right="-57"/>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461" w:type="pct"/>
            <w:noWrap/>
            <w:hideMark/>
          </w:tcPr>
          <w:p w14:paraId="2A99BF7A" w14:textId="77777777" w:rsidR="0005266E" w:rsidRPr="007C5A6E" w:rsidRDefault="0005266E" w:rsidP="00B215E4">
            <w:pPr>
              <w:spacing w:after="0" w:line="360" w:lineRule="auto"/>
              <w:ind w:left="-57" w:right="-57"/>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770" w:type="pct"/>
            <w:noWrap/>
            <w:hideMark/>
          </w:tcPr>
          <w:p w14:paraId="67536C48"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182 915 712</w:t>
            </w:r>
          </w:p>
        </w:tc>
      </w:tr>
      <w:tr w:rsidR="0005266E" w:rsidRPr="007C5A6E" w14:paraId="61D1CFED" w14:textId="77777777" w:rsidTr="00B215E4">
        <w:tc>
          <w:tcPr>
            <w:cnfStyle w:val="001000000000" w:firstRow="0" w:lastRow="0" w:firstColumn="1" w:lastColumn="0" w:oddVBand="0" w:evenVBand="0" w:oddHBand="0" w:evenHBand="0" w:firstRowFirstColumn="0" w:firstRowLastColumn="0" w:lastRowFirstColumn="0" w:lastRowLastColumn="0"/>
            <w:tcW w:w="1152" w:type="pct"/>
            <w:noWrap/>
            <w:hideMark/>
          </w:tcPr>
          <w:p w14:paraId="42FD0B5D" w14:textId="77777777" w:rsidR="0005266E" w:rsidRPr="007C5A6E" w:rsidRDefault="0005266E" w:rsidP="00B215E4">
            <w:pPr>
              <w:spacing w:after="0" w:line="360" w:lineRule="auto"/>
              <w:ind w:left="-57" w:right="-57"/>
              <w:rPr>
                <w:rFonts w:ascii="Times New Roman" w:hAnsi="Times New Roman"/>
              </w:rPr>
            </w:pPr>
            <w:r w:rsidRPr="007C5A6E">
              <w:rPr>
                <w:rFonts w:ascii="Times New Roman" w:hAnsi="Times New Roman"/>
                <w:color w:val="000000"/>
              </w:rPr>
              <w:t>Plateau Central</w:t>
            </w:r>
          </w:p>
        </w:tc>
        <w:tc>
          <w:tcPr>
            <w:tcW w:w="770" w:type="pct"/>
            <w:noWrap/>
            <w:hideMark/>
          </w:tcPr>
          <w:p w14:paraId="00A9DA16"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308 711 345</w:t>
            </w:r>
          </w:p>
        </w:tc>
        <w:tc>
          <w:tcPr>
            <w:tcW w:w="616" w:type="pct"/>
            <w:noWrap/>
            <w:hideMark/>
          </w:tcPr>
          <w:p w14:paraId="0F2035AB"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529 400</w:t>
            </w:r>
          </w:p>
        </w:tc>
        <w:tc>
          <w:tcPr>
            <w:tcW w:w="693" w:type="pct"/>
            <w:noWrap/>
            <w:hideMark/>
          </w:tcPr>
          <w:p w14:paraId="61B79306"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539" w:type="pct"/>
            <w:noWrap/>
            <w:hideMark/>
          </w:tcPr>
          <w:p w14:paraId="5A903178"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30 000</w:t>
            </w:r>
          </w:p>
        </w:tc>
        <w:tc>
          <w:tcPr>
            <w:tcW w:w="461" w:type="pct"/>
            <w:noWrap/>
            <w:hideMark/>
          </w:tcPr>
          <w:p w14:paraId="68C6BA7C"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770" w:type="pct"/>
            <w:noWrap/>
            <w:hideMark/>
          </w:tcPr>
          <w:p w14:paraId="2AED047C"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309 270 745</w:t>
            </w:r>
          </w:p>
        </w:tc>
      </w:tr>
      <w:tr w:rsidR="00B215E4" w:rsidRPr="007C5A6E" w14:paraId="42DC4C3A" w14:textId="77777777" w:rsidTr="00B215E4">
        <w:tc>
          <w:tcPr>
            <w:cnfStyle w:val="001000000000" w:firstRow="0" w:lastRow="0" w:firstColumn="1" w:lastColumn="0" w:oddVBand="0" w:evenVBand="0" w:oddHBand="0" w:evenHBand="0" w:firstRowFirstColumn="0" w:firstRowLastColumn="0" w:lastRowFirstColumn="0" w:lastRowLastColumn="0"/>
            <w:tcW w:w="1152" w:type="pct"/>
            <w:noWrap/>
            <w:hideMark/>
          </w:tcPr>
          <w:p w14:paraId="4922B0DB" w14:textId="77777777" w:rsidR="0005266E" w:rsidRPr="007C5A6E" w:rsidRDefault="0005266E" w:rsidP="00B215E4">
            <w:pPr>
              <w:spacing w:after="0" w:line="360" w:lineRule="auto"/>
              <w:ind w:left="-57" w:right="-57"/>
              <w:rPr>
                <w:rFonts w:ascii="Times New Roman" w:hAnsi="Times New Roman"/>
              </w:rPr>
            </w:pPr>
            <w:r w:rsidRPr="007C5A6E">
              <w:rPr>
                <w:rFonts w:ascii="Times New Roman" w:hAnsi="Times New Roman"/>
                <w:color w:val="000000"/>
              </w:rPr>
              <w:t>Sahel</w:t>
            </w:r>
          </w:p>
        </w:tc>
        <w:tc>
          <w:tcPr>
            <w:tcW w:w="770" w:type="pct"/>
            <w:noWrap/>
            <w:hideMark/>
          </w:tcPr>
          <w:p w14:paraId="52E7A1C4"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54 719 976</w:t>
            </w:r>
          </w:p>
        </w:tc>
        <w:tc>
          <w:tcPr>
            <w:tcW w:w="616" w:type="pct"/>
            <w:noWrap/>
            <w:hideMark/>
          </w:tcPr>
          <w:p w14:paraId="1B35BEBD"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4 043 519</w:t>
            </w:r>
          </w:p>
        </w:tc>
        <w:tc>
          <w:tcPr>
            <w:tcW w:w="693" w:type="pct"/>
            <w:noWrap/>
            <w:hideMark/>
          </w:tcPr>
          <w:p w14:paraId="77E306AA"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539" w:type="pct"/>
            <w:noWrap/>
          </w:tcPr>
          <w:p w14:paraId="5B8395D3"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3 630 563</w:t>
            </w:r>
          </w:p>
        </w:tc>
        <w:tc>
          <w:tcPr>
            <w:tcW w:w="461" w:type="pct"/>
            <w:noWrap/>
            <w:hideMark/>
          </w:tcPr>
          <w:p w14:paraId="6217B969"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770" w:type="pct"/>
            <w:noWrap/>
            <w:hideMark/>
          </w:tcPr>
          <w:p w14:paraId="4330D15A"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62 394 058</w:t>
            </w:r>
          </w:p>
        </w:tc>
      </w:tr>
      <w:tr w:rsidR="0005266E" w:rsidRPr="007C5A6E" w14:paraId="6F460D22" w14:textId="77777777" w:rsidTr="00B215E4">
        <w:tc>
          <w:tcPr>
            <w:cnfStyle w:val="001000000000" w:firstRow="0" w:lastRow="0" w:firstColumn="1" w:lastColumn="0" w:oddVBand="0" w:evenVBand="0" w:oddHBand="0" w:evenHBand="0" w:firstRowFirstColumn="0" w:firstRowLastColumn="0" w:lastRowFirstColumn="0" w:lastRowLastColumn="0"/>
            <w:tcW w:w="1152" w:type="pct"/>
            <w:noWrap/>
            <w:hideMark/>
          </w:tcPr>
          <w:p w14:paraId="18652171" w14:textId="77777777" w:rsidR="0005266E" w:rsidRPr="007C5A6E" w:rsidRDefault="0005266E" w:rsidP="00B215E4">
            <w:pPr>
              <w:spacing w:after="0" w:line="360" w:lineRule="auto"/>
              <w:ind w:left="-57" w:right="-57"/>
              <w:rPr>
                <w:rFonts w:ascii="Times New Roman" w:hAnsi="Times New Roman"/>
              </w:rPr>
            </w:pPr>
            <w:r w:rsidRPr="007C5A6E">
              <w:rPr>
                <w:rFonts w:ascii="Times New Roman" w:hAnsi="Times New Roman"/>
                <w:color w:val="000000"/>
              </w:rPr>
              <w:t>Sud-Ouest</w:t>
            </w:r>
          </w:p>
        </w:tc>
        <w:tc>
          <w:tcPr>
            <w:tcW w:w="770" w:type="pct"/>
            <w:noWrap/>
            <w:hideMark/>
          </w:tcPr>
          <w:p w14:paraId="7AC0B3C1"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14 060 228</w:t>
            </w:r>
          </w:p>
        </w:tc>
        <w:tc>
          <w:tcPr>
            <w:tcW w:w="616" w:type="pct"/>
            <w:noWrap/>
            <w:hideMark/>
          </w:tcPr>
          <w:p w14:paraId="4DBCECCC"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246 000</w:t>
            </w:r>
          </w:p>
        </w:tc>
        <w:tc>
          <w:tcPr>
            <w:tcW w:w="693" w:type="pct"/>
            <w:noWrap/>
            <w:hideMark/>
          </w:tcPr>
          <w:p w14:paraId="63D52759"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539" w:type="pct"/>
            <w:noWrap/>
            <w:hideMark/>
          </w:tcPr>
          <w:p w14:paraId="035367FD"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67 000</w:t>
            </w:r>
          </w:p>
        </w:tc>
        <w:tc>
          <w:tcPr>
            <w:tcW w:w="461" w:type="pct"/>
            <w:noWrap/>
            <w:hideMark/>
          </w:tcPr>
          <w:p w14:paraId="31C9028B"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770" w:type="pct"/>
            <w:noWrap/>
            <w:hideMark/>
          </w:tcPr>
          <w:p w14:paraId="077359BB"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C5A6E">
              <w:rPr>
                <w:rFonts w:ascii="Times New Roman" w:hAnsi="Times New Roman"/>
              </w:rPr>
              <w:t>14 373 228</w:t>
            </w:r>
          </w:p>
        </w:tc>
      </w:tr>
      <w:tr w:rsidR="0005266E" w:rsidRPr="007C5A6E" w14:paraId="525C76CB" w14:textId="77777777" w:rsidTr="00B215E4">
        <w:tc>
          <w:tcPr>
            <w:cnfStyle w:val="001000000000" w:firstRow="0" w:lastRow="0" w:firstColumn="1" w:lastColumn="0" w:oddVBand="0" w:evenVBand="0" w:oddHBand="0" w:evenHBand="0" w:firstRowFirstColumn="0" w:firstRowLastColumn="0" w:lastRowFirstColumn="0" w:lastRowLastColumn="0"/>
            <w:tcW w:w="1152" w:type="pct"/>
            <w:noWrap/>
            <w:hideMark/>
          </w:tcPr>
          <w:p w14:paraId="6D72C603" w14:textId="77777777" w:rsidR="0005266E" w:rsidRPr="007C5A6E" w:rsidRDefault="0005266E" w:rsidP="00B215E4">
            <w:pPr>
              <w:spacing w:after="0" w:line="360" w:lineRule="auto"/>
              <w:ind w:left="-57" w:right="-57"/>
              <w:rPr>
                <w:rFonts w:ascii="Times New Roman" w:hAnsi="Times New Roman"/>
              </w:rPr>
            </w:pPr>
            <w:r w:rsidRPr="007C5A6E">
              <w:rPr>
                <w:rFonts w:ascii="Times New Roman" w:hAnsi="Times New Roman"/>
              </w:rPr>
              <w:t>National</w:t>
            </w:r>
          </w:p>
        </w:tc>
        <w:tc>
          <w:tcPr>
            <w:tcW w:w="770" w:type="pct"/>
            <w:noWrap/>
            <w:hideMark/>
          </w:tcPr>
          <w:p w14:paraId="67235A3F"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7C5A6E">
              <w:rPr>
                <w:rFonts w:ascii="Times New Roman" w:hAnsi="Times New Roman"/>
                <w:b/>
                <w:bCs/>
              </w:rPr>
              <w:t>6 580 687 246</w:t>
            </w:r>
          </w:p>
        </w:tc>
        <w:tc>
          <w:tcPr>
            <w:tcW w:w="616" w:type="pct"/>
            <w:noWrap/>
            <w:hideMark/>
          </w:tcPr>
          <w:p w14:paraId="524A1826"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7C5A6E">
              <w:rPr>
                <w:rFonts w:ascii="Times New Roman" w:hAnsi="Times New Roman"/>
                <w:b/>
                <w:bCs/>
              </w:rPr>
              <w:t>13 556 884</w:t>
            </w:r>
          </w:p>
        </w:tc>
        <w:tc>
          <w:tcPr>
            <w:tcW w:w="693" w:type="pct"/>
            <w:noWrap/>
            <w:hideMark/>
          </w:tcPr>
          <w:p w14:paraId="7F8D4DE8"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7C5A6E">
              <w:rPr>
                <w:rFonts w:ascii="Times New Roman" w:hAnsi="Times New Roman"/>
                <w:b/>
                <w:bCs/>
              </w:rPr>
              <w:t>103 466 766</w:t>
            </w:r>
          </w:p>
        </w:tc>
        <w:tc>
          <w:tcPr>
            <w:tcW w:w="539" w:type="pct"/>
            <w:noWrap/>
            <w:hideMark/>
          </w:tcPr>
          <w:p w14:paraId="6AF2B0E5"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7C5A6E">
              <w:rPr>
                <w:rFonts w:ascii="Times New Roman" w:hAnsi="Times New Roman"/>
                <w:b/>
                <w:bCs/>
              </w:rPr>
              <w:t>6 511 863</w:t>
            </w:r>
          </w:p>
        </w:tc>
        <w:tc>
          <w:tcPr>
            <w:tcW w:w="461" w:type="pct"/>
            <w:noWrap/>
            <w:hideMark/>
          </w:tcPr>
          <w:p w14:paraId="7B792584"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7C5A6E">
              <w:rPr>
                <w:rFonts w:ascii="Times New Roman" w:hAnsi="Times New Roman"/>
                <w:b/>
                <w:bCs/>
              </w:rPr>
              <w:t>535 847</w:t>
            </w:r>
          </w:p>
        </w:tc>
        <w:tc>
          <w:tcPr>
            <w:tcW w:w="770" w:type="pct"/>
            <w:noWrap/>
            <w:hideMark/>
          </w:tcPr>
          <w:p w14:paraId="71A1418B" w14:textId="77777777" w:rsidR="0005266E" w:rsidRPr="007C5A6E" w:rsidRDefault="0005266E" w:rsidP="00B215E4">
            <w:pPr>
              <w:spacing w:after="0" w:line="360" w:lineRule="auto"/>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7C5A6E">
              <w:rPr>
                <w:rFonts w:ascii="Times New Roman" w:hAnsi="Times New Roman"/>
                <w:b/>
                <w:bCs/>
              </w:rPr>
              <w:t>6 704 758 606</w:t>
            </w:r>
          </w:p>
        </w:tc>
      </w:tr>
    </w:tbl>
    <w:p w14:paraId="404628FB" w14:textId="77777777" w:rsidR="0005266E" w:rsidRPr="007C5A6E" w:rsidRDefault="0005266E" w:rsidP="009969E0">
      <w:pPr>
        <w:spacing w:after="0" w:line="240" w:lineRule="auto"/>
        <w:jc w:val="both"/>
        <w:rPr>
          <w:rFonts w:ascii="Times New Roman" w:hAnsi="Times New Roman"/>
          <w:sz w:val="20"/>
          <w:szCs w:val="20"/>
        </w:rPr>
      </w:pPr>
      <w:r w:rsidRPr="007C5A6E">
        <w:rPr>
          <w:rFonts w:ascii="Times New Roman" w:hAnsi="Times New Roman"/>
          <w:sz w:val="20"/>
          <w:szCs w:val="20"/>
        </w:rPr>
        <w:t>Source : DGIH/ inventaire des retenues d’eau 2023</w:t>
      </w:r>
    </w:p>
    <w:p w14:paraId="5F77A2F6" w14:textId="77777777" w:rsidR="00B215E4" w:rsidRPr="007C5A6E" w:rsidRDefault="00B215E4" w:rsidP="009969E0">
      <w:pPr>
        <w:spacing w:after="0" w:line="240" w:lineRule="auto"/>
        <w:jc w:val="both"/>
        <w:rPr>
          <w:rFonts w:ascii="Times New Roman" w:hAnsi="Times New Roman"/>
          <w:sz w:val="24"/>
          <w:szCs w:val="24"/>
        </w:rPr>
      </w:pPr>
    </w:p>
    <w:p w14:paraId="066886CE" w14:textId="77777777" w:rsidR="00B215E4" w:rsidRPr="007C5A6E" w:rsidRDefault="00B215E4" w:rsidP="009969E0">
      <w:pPr>
        <w:spacing w:after="0" w:line="240" w:lineRule="auto"/>
        <w:jc w:val="both"/>
        <w:rPr>
          <w:rFonts w:ascii="Times New Roman" w:hAnsi="Times New Roman"/>
          <w:sz w:val="24"/>
          <w:szCs w:val="24"/>
        </w:rPr>
      </w:pPr>
    </w:p>
    <w:p w14:paraId="1D9B1A1E" w14:textId="77777777" w:rsidR="00B215E4" w:rsidRPr="007C5A6E" w:rsidRDefault="00B215E4" w:rsidP="009969E0">
      <w:pPr>
        <w:spacing w:after="0" w:line="240" w:lineRule="auto"/>
        <w:jc w:val="both"/>
        <w:rPr>
          <w:rFonts w:ascii="Times New Roman" w:hAnsi="Times New Roman"/>
          <w:sz w:val="24"/>
          <w:szCs w:val="24"/>
        </w:rPr>
      </w:pPr>
    </w:p>
    <w:p w14:paraId="274F2B10" w14:textId="77777777" w:rsidR="00B215E4" w:rsidRPr="007C5A6E" w:rsidRDefault="00B215E4" w:rsidP="009969E0">
      <w:pPr>
        <w:spacing w:after="0" w:line="240" w:lineRule="auto"/>
        <w:jc w:val="both"/>
        <w:rPr>
          <w:rFonts w:ascii="Times New Roman" w:hAnsi="Times New Roman"/>
          <w:sz w:val="24"/>
          <w:szCs w:val="24"/>
        </w:rPr>
      </w:pPr>
    </w:p>
    <w:p w14:paraId="150BDFB5" w14:textId="77777777" w:rsidR="00B215E4" w:rsidRPr="007C5A6E" w:rsidRDefault="00B215E4" w:rsidP="009969E0">
      <w:pPr>
        <w:spacing w:after="0" w:line="240" w:lineRule="auto"/>
        <w:jc w:val="both"/>
        <w:rPr>
          <w:rFonts w:ascii="Times New Roman" w:hAnsi="Times New Roman"/>
          <w:sz w:val="24"/>
          <w:szCs w:val="24"/>
        </w:rPr>
      </w:pPr>
    </w:p>
    <w:p w14:paraId="10DF388D" w14:textId="77777777" w:rsidR="00B215E4" w:rsidRPr="007C5A6E" w:rsidRDefault="00B215E4" w:rsidP="009969E0">
      <w:pPr>
        <w:spacing w:after="0" w:line="240" w:lineRule="auto"/>
        <w:jc w:val="both"/>
        <w:rPr>
          <w:rFonts w:ascii="Times New Roman" w:hAnsi="Times New Roman"/>
          <w:sz w:val="24"/>
          <w:szCs w:val="24"/>
        </w:rPr>
      </w:pPr>
    </w:p>
    <w:p w14:paraId="51564BBF" w14:textId="77777777" w:rsidR="00B215E4" w:rsidRPr="007C5A6E" w:rsidRDefault="00B215E4" w:rsidP="009969E0">
      <w:pPr>
        <w:spacing w:after="0" w:line="240" w:lineRule="auto"/>
        <w:jc w:val="both"/>
        <w:rPr>
          <w:rFonts w:ascii="Times New Roman" w:hAnsi="Times New Roman"/>
          <w:sz w:val="24"/>
          <w:szCs w:val="24"/>
        </w:rPr>
      </w:pPr>
    </w:p>
    <w:p w14:paraId="2B9AB3F2" w14:textId="77777777" w:rsidR="00B215E4" w:rsidRPr="007C5A6E" w:rsidRDefault="00B215E4" w:rsidP="009969E0">
      <w:pPr>
        <w:spacing w:after="0" w:line="240" w:lineRule="auto"/>
        <w:jc w:val="both"/>
        <w:rPr>
          <w:rFonts w:ascii="Times New Roman" w:hAnsi="Times New Roman"/>
          <w:sz w:val="24"/>
          <w:szCs w:val="24"/>
        </w:rPr>
        <w:sectPr w:rsidR="00B215E4" w:rsidRPr="007C5A6E" w:rsidSect="006514BA">
          <w:pgSz w:w="11907" w:h="16840" w:orient="landscape" w:code="9"/>
          <w:pgMar w:top="1191" w:right="1361" w:bottom="1191" w:left="1361" w:header="709" w:footer="709" w:gutter="0"/>
          <w:cols w:space="708"/>
          <w:docGrid w:linePitch="360"/>
        </w:sectPr>
      </w:pPr>
    </w:p>
    <w:p w14:paraId="5E9EF9DA" w14:textId="5E8938D6" w:rsidR="0005266E" w:rsidRPr="007C5A6E" w:rsidRDefault="0005266E" w:rsidP="009969E0">
      <w:pPr>
        <w:spacing w:after="0" w:line="240" w:lineRule="auto"/>
        <w:jc w:val="both"/>
        <w:rPr>
          <w:rFonts w:ascii="Times New Roman" w:hAnsi="Times New Roman"/>
          <w:sz w:val="24"/>
          <w:szCs w:val="24"/>
        </w:rPr>
      </w:pPr>
      <w:r w:rsidRPr="007C5A6E">
        <w:rPr>
          <w:rFonts w:ascii="Times New Roman" w:hAnsi="Times New Roman"/>
          <w:sz w:val="24"/>
          <w:szCs w:val="24"/>
        </w:rPr>
        <w:t xml:space="preserve">Selon l’inventaire réalisé en 2023 par la DGIH, </w:t>
      </w:r>
    </w:p>
    <w:p w14:paraId="13E403C7" w14:textId="77777777" w:rsidR="0005266E" w:rsidRPr="007C5A6E" w:rsidRDefault="0005266E" w:rsidP="003F3821">
      <w:pPr>
        <w:numPr>
          <w:ilvl w:val="0"/>
          <w:numId w:val="21"/>
        </w:numPr>
        <w:spacing w:after="0" w:line="240" w:lineRule="auto"/>
        <w:contextualSpacing/>
        <w:jc w:val="both"/>
        <w:rPr>
          <w:rFonts w:ascii="Times New Roman" w:hAnsi="Times New Roman"/>
          <w:sz w:val="24"/>
          <w:szCs w:val="24"/>
        </w:rPr>
      </w:pPr>
      <w:r w:rsidRPr="007C5A6E">
        <w:rPr>
          <w:rFonts w:ascii="Times New Roman" w:hAnsi="Times New Roman"/>
          <w:sz w:val="24"/>
          <w:szCs w:val="24"/>
          <w:lang w:eastAsia="en-US"/>
        </w:rPr>
        <w:t>94,8% des barrages ont une capacité de stockage inférieure ou égale à 5 000 000 m</w:t>
      </w:r>
      <w:r w:rsidRPr="007C5A6E">
        <w:rPr>
          <w:rFonts w:ascii="Times New Roman" w:hAnsi="Times New Roman"/>
          <w:sz w:val="24"/>
          <w:szCs w:val="24"/>
          <w:vertAlign w:val="superscript"/>
          <w:lang w:eastAsia="en-US"/>
        </w:rPr>
        <w:t>3 </w:t>
      </w:r>
      <w:r w:rsidRPr="007C5A6E">
        <w:rPr>
          <w:rFonts w:ascii="Times New Roman" w:hAnsi="Times New Roman"/>
          <w:sz w:val="24"/>
          <w:szCs w:val="24"/>
          <w:lang w:eastAsia="en-US"/>
        </w:rPr>
        <w:t xml:space="preserve">; </w:t>
      </w:r>
    </w:p>
    <w:p w14:paraId="2D71AC21" w14:textId="77777777" w:rsidR="0005266E" w:rsidRPr="007C5A6E" w:rsidRDefault="0005266E" w:rsidP="003F3821">
      <w:pPr>
        <w:numPr>
          <w:ilvl w:val="0"/>
          <w:numId w:val="21"/>
        </w:numPr>
        <w:spacing w:after="0" w:line="240" w:lineRule="auto"/>
        <w:contextualSpacing/>
        <w:jc w:val="both"/>
        <w:rPr>
          <w:rFonts w:ascii="Times New Roman" w:hAnsi="Times New Roman"/>
          <w:sz w:val="24"/>
          <w:szCs w:val="24"/>
        </w:rPr>
      </w:pPr>
      <w:r w:rsidRPr="007C5A6E">
        <w:rPr>
          <w:rFonts w:ascii="Times New Roman" w:hAnsi="Times New Roman"/>
          <w:sz w:val="24"/>
          <w:szCs w:val="24"/>
          <w:lang w:eastAsia="en-US"/>
        </w:rPr>
        <w:t>2,4% ont des capacités comprises entre 5 000 000 m</w:t>
      </w:r>
      <w:r w:rsidRPr="007C5A6E">
        <w:rPr>
          <w:rFonts w:ascii="Times New Roman" w:hAnsi="Times New Roman"/>
          <w:sz w:val="24"/>
          <w:szCs w:val="24"/>
          <w:vertAlign w:val="superscript"/>
          <w:lang w:eastAsia="en-US"/>
        </w:rPr>
        <w:t>3</w:t>
      </w:r>
      <w:r w:rsidRPr="007C5A6E">
        <w:rPr>
          <w:rFonts w:ascii="Times New Roman" w:hAnsi="Times New Roman"/>
          <w:sz w:val="24"/>
          <w:szCs w:val="24"/>
          <w:lang w:eastAsia="en-US"/>
        </w:rPr>
        <w:t xml:space="preserve"> et 10 000 000 m</w:t>
      </w:r>
      <w:r w:rsidRPr="007C5A6E">
        <w:rPr>
          <w:rFonts w:ascii="Times New Roman" w:hAnsi="Times New Roman"/>
          <w:sz w:val="24"/>
          <w:szCs w:val="24"/>
          <w:vertAlign w:val="superscript"/>
          <w:lang w:eastAsia="en-US"/>
        </w:rPr>
        <w:t xml:space="preserve">3 </w:t>
      </w:r>
      <w:r w:rsidRPr="007C5A6E">
        <w:rPr>
          <w:rFonts w:ascii="Times New Roman" w:hAnsi="Times New Roman"/>
          <w:sz w:val="24"/>
          <w:szCs w:val="24"/>
          <w:lang w:eastAsia="en-US"/>
        </w:rPr>
        <w:t xml:space="preserve">; </w:t>
      </w:r>
    </w:p>
    <w:p w14:paraId="7CE548B9" w14:textId="77777777" w:rsidR="0005266E" w:rsidRPr="007C5A6E" w:rsidRDefault="0005266E" w:rsidP="003F3821">
      <w:pPr>
        <w:numPr>
          <w:ilvl w:val="0"/>
          <w:numId w:val="21"/>
        </w:numPr>
        <w:spacing w:after="0" w:line="240" w:lineRule="auto"/>
        <w:contextualSpacing/>
        <w:jc w:val="both"/>
        <w:rPr>
          <w:rFonts w:ascii="Times New Roman" w:hAnsi="Times New Roman"/>
          <w:sz w:val="24"/>
          <w:szCs w:val="24"/>
        </w:rPr>
      </w:pPr>
      <w:r w:rsidRPr="007C5A6E">
        <w:rPr>
          <w:rFonts w:ascii="Times New Roman" w:hAnsi="Times New Roman"/>
          <w:sz w:val="24"/>
          <w:szCs w:val="24"/>
          <w:lang w:eastAsia="en-US"/>
        </w:rPr>
        <w:t>2,8% ont des capacités supérieures à 10 000 000 m</w:t>
      </w:r>
      <w:r w:rsidRPr="007C5A6E">
        <w:rPr>
          <w:rFonts w:ascii="Times New Roman" w:hAnsi="Times New Roman"/>
          <w:sz w:val="24"/>
          <w:szCs w:val="24"/>
          <w:vertAlign w:val="superscript"/>
          <w:lang w:eastAsia="en-US"/>
        </w:rPr>
        <w:t>3</w:t>
      </w:r>
      <w:r w:rsidRPr="007C5A6E">
        <w:rPr>
          <w:rFonts w:ascii="Times New Roman" w:hAnsi="Times New Roman"/>
          <w:sz w:val="24"/>
          <w:szCs w:val="24"/>
        </w:rPr>
        <w:t xml:space="preserve">. </w:t>
      </w:r>
    </w:p>
    <w:p w14:paraId="1B2BB05B" w14:textId="77777777" w:rsidR="00AE0C9D" w:rsidRPr="007C5A6E" w:rsidRDefault="00AE0C9D" w:rsidP="009969E0">
      <w:pPr>
        <w:spacing w:after="0" w:line="240" w:lineRule="auto"/>
        <w:jc w:val="both"/>
        <w:rPr>
          <w:rFonts w:ascii="Times New Roman" w:hAnsi="Times New Roman"/>
          <w:bCs/>
          <w:sz w:val="24"/>
          <w:szCs w:val="24"/>
        </w:rPr>
      </w:pPr>
    </w:p>
    <w:p w14:paraId="0323E024" w14:textId="70CE6A3B" w:rsidR="0005266E" w:rsidRPr="007C5A6E" w:rsidRDefault="0005266E" w:rsidP="009969E0">
      <w:pPr>
        <w:spacing w:after="0" w:line="240" w:lineRule="auto"/>
        <w:jc w:val="both"/>
        <w:rPr>
          <w:rFonts w:ascii="Times New Roman" w:hAnsi="Times New Roman"/>
          <w:bCs/>
          <w:sz w:val="24"/>
          <w:szCs w:val="24"/>
        </w:rPr>
      </w:pPr>
      <w:r w:rsidRPr="007C5A6E">
        <w:rPr>
          <w:rFonts w:ascii="Times New Roman" w:hAnsi="Times New Roman"/>
          <w:bCs/>
          <w:sz w:val="24"/>
          <w:szCs w:val="24"/>
        </w:rPr>
        <w:t xml:space="preserve">Le tableau </w:t>
      </w:r>
      <w:r w:rsidR="00AE0C9D" w:rsidRPr="007C5A6E">
        <w:rPr>
          <w:rFonts w:ascii="Times New Roman" w:hAnsi="Times New Roman"/>
          <w:bCs/>
          <w:sz w:val="24"/>
          <w:szCs w:val="24"/>
        </w:rPr>
        <w:t xml:space="preserve">20 </w:t>
      </w:r>
      <w:r w:rsidRPr="007C5A6E">
        <w:rPr>
          <w:rFonts w:ascii="Times New Roman" w:hAnsi="Times New Roman"/>
          <w:bCs/>
          <w:sz w:val="24"/>
          <w:szCs w:val="24"/>
        </w:rPr>
        <w:t>ci-</w:t>
      </w:r>
      <w:r w:rsidR="00AE0C9D" w:rsidRPr="007C5A6E">
        <w:rPr>
          <w:rFonts w:ascii="Times New Roman" w:hAnsi="Times New Roman"/>
          <w:bCs/>
          <w:sz w:val="24"/>
          <w:szCs w:val="24"/>
        </w:rPr>
        <w:t>dessous</w:t>
      </w:r>
      <w:r w:rsidRPr="007C5A6E">
        <w:rPr>
          <w:rFonts w:ascii="Times New Roman" w:hAnsi="Times New Roman"/>
          <w:bCs/>
          <w:sz w:val="24"/>
          <w:szCs w:val="24"/>
        </w:rPr>
        <w:t xml:space="preserve"> rappelle par bassin hydrographique national, les retenues d’eau d’importance socioéconomique régionale et/ou nationale.</w:t>
      </w:r>
    </w:p>
    <w:p w14:paraId="125A6D2B" w14:textId="77777777" w:rsidR="0005266E" w:rsidRPr="007C5A6E" w:rsidRDefault="0005266E" w:rsidP="009969E0">
      <w:pPr>
        <w:spacing w:after="0" w:line="240" w:lineRule="auto"/>
        <w:jc w:val="both"/>
        <w:rPr>
          <w:rFonts w:ascii="Times New Roman" w:hAnsi="Times New Roman"/>
          <w:bCs/>
          <w:sz w:val="24"/>
          <w:szCs w:val="24"/>
        </w:rPr>
      </w:pPr>
    </w:p>
    <w:p w14:paraId="20F81CBC" w14:textId="36B758E7" w:rsidR="0005266E" w:rsidRPr="007C5A6E" w:rsidRDefault="0005266E" w:rsidP="009969E0">
      <w:pPr>
        <w:tabs>
          <w:tab w:val="left" w:pos="1134"/>
        </w:tabs>
        <w:spacing w:after="0" w:line="240" w:lineRule="auto"/>
        <w:ind w:left="1134" w:hanging="1134"/>
        <w:jc w:val="both"/>
        <w:rPr>
          <w:rFonts w:ascii="Times New Roman" w:hAnsi="Times New Roman"/>
          <w:iCs/>
          <w:sz w:val="24"/>
          <w:szCs w:val="24"/>
          <w:lang w:eastAsia="da-DK"/>
        </w:rPr>
      </w:pPr>
      <w:bookmarkStart w:id="542" w:name="_Toc182605867"/>
      <w:bookmarkStart w:id="543" w:name="_Toc183240982"/>
      <w:bookmarkStart w:id="544" w:name="_Toc183292224"/>
      <w:bookmarkStart w:id="545" w:name="_Toc183340504"/>
      <w:r w:rsidRPr="007C5A6E">
        <w:rPr>
          <w:rFonts w:ascii="Times New Roman" w:hAnsi="Times New Roman"/>
          <w:iCs/>
          <w:sz w:val="24"/>
          <w:szCs w:val="24"/>
          <w:lang w:eastAsia="da-DK"/>
        </w:rPr>
        <w:t xml:space="preserve">Tableau </w:t>
      </w:r>
      <w:r w:rsidRPr="007C5A6E">
        <w:rPr>
          <w:rFonts w:ascii="Times New Roman" w:hAnsi="Times New Roman"/>
          <w:iCs/>
          <w:sz w:val="24"/>
          <w:szCs w:val="24"/>
          <w:lang w:eastAsia="da-DK"/>
        </w:rPr>
        <w:fldChar w:fldCharType="begin"/>
      </w:r>
      <w:r w:rsidRPr="007C5A6E">
        <w:rPr>
          <w:rFonts w:ascii="Times New Roman" w:hAnsi="Times New Roman"/>
          <w:iCs/>
          <w:sz w:val="24"/>
          <w:szCs w:val="24"/>
          <w:lang w:eastAsia="da-DK"/>
        </w:rPr>
        <w:instrText xml:space="preserve"> SEQ Tableau \* ARABIC </w:instrText>
      </w:r>
      <w:r w:rsidRPr="007C5A6E">
        <w:rPr>
          <w:rFonts w:ascii="Times New Roman" w:hAnsi="Times New Roman"/>
          <w:iCs/>
          <w:sz w:val="24"/>
          <w:szCs w:val="24"/>
          <w:lang w:eastAsia="da-DK"/>
        </w:rPr>
        <w:fldChar w:fldCharType="separate"/>
      </w:r>
      <w:r w:rsidR="003162F8" w:rsidRPr="007C5A6E">
        <w:rPr>
          <w:rFonts w:ascii="Times New Roman" w:hAnsi="Times New Roman"/>
          <w:iCs/>
          <w:noProof/>
          <w:sz w:val="24"/>
          <w:szCs w:val="24"/>
          <w:lang w:eastAsia="da-DK"/>
        </w:rPr>
        <w:t>20</w:t>
      </w:r>
      <w:r w:rsidRPr="007C5A6E">
        <w:rPr>
          <w:rFonts w:ascii="Times New Roman" w:hAnsi="Times New Roman"/>
          <w:iCs/>
          <w:sz w:val="24"/>
          <w:szCs w:val="24"/>
          <w:lang w:eastAsia="da-DK"/>
        </w:rPr>
        <w:fldChar w:fldCharType="end"/>
      </w:r>
      <w:r w:rsidRPr="007C5A6E">
        <w:rPr>
          <w:rFonts w:ascii="Times New Roman" w:hAnsi="Times New Roman"/>
          <w:iCs/>
          <w:sz w:val="24"/>
          <w:szCs w:val="24"/>
          <w:lang w:eastAsia="da-DK"/>
        </w:rPr>
        <w:t> : barrages d’importance régionale ou nationale pour leurs vocations</w:t>
      </w:r>
      <w:bookmarkEnd w:id="542"/>
      <w:bookmarkEnd w:id="543"/>
      <w:bookmarkEnd w:id="544"/>
      <w:bookmarkEnd w:id="545"/>
    </w:p>
    <w:p w14:paraId="5CAE42B2" w14:textId="77777777" w:rsidR="00B215E4" w:rsidRPr="007C5A6E" w:rsidRDefault="00B215E4" w:rsidP="009969E0">
      <w:pPr>
        <w:tabs>
          <w:tab w:val="left" w:pos="1134"/>
        </w:tabs>
        <w:spacing w:after="0" w:line="240" w:lineRule="auto"/>
        <w:ind w:left="1134" w:hanging="1134"/>
        <w:jc w:val="both"/>
        <w:rPr>
          <w:rFonts w:ascii="Times New Roman" w:hAnsi="Times New Roman"/>
          <w:iCs/>
          <w:sz w:val="24"/>
          <w:szCs w:val="24"/>
          <w:lang w:eastAsia="da-D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3"/>
        <w:gridCol w:w="2050"/>
        <w:gridCol w:w="1736"/>
        <w:gridCol w:w="4296"/>
      </w:tblGrid>
      <w:tr w:rsidR="0005266E" w:rsidRPr="007C5A6E" w14:paraId="384BA648" w14:textId="77777777" w:rsidTr="004A2152">
        <w:tc>
          <w:tcPr>
            <w:tcW w:w="596" w:type="pct"/>
            <w:shd w:val="clear" w:color="auto" w:fill="002060"/>
            <w:vAlign w:val="center"/>
          </w:tcPr>
          <w:p w14:paraId="697326AB" w14:textId="77777777" w:rsidR="0005266E" w:rsidRPr="007C5A6E" w:rsidRDefault="0005266E" w:rsidP="009969E0">
            <w:pPr>
              <w:spacing w:after="0" w:line="240" w:lineRule="auto"/>
              <w:rPr>
                <w:rFonts w:ascii="Times New Roman" w:hAnsi="Times New Roman"/>
                <w:b/>
                <w:bCs/>
              </w:rPr>
            </w:pPr>
            <w:r w:rsidRPr="007C5A6E">
              <w:rPr>
                <w:rFonts w:ascii="Times New Roman" w:hAnsi="Times New Roman"/>
                <w:b/>
                <w:bCs/>
              </w:rPr>
              <w:t>Bassin</w:t>
            </w:r>
          </w:p>
        </w:tc>
        <w:tc>
          <w:tcPr>
            <w:tcW w:w="1117" w:type="pct"/>
            <w:shd w:val="clear" w:color="auto" w:fill="002060"/>
            <w:vAlign w:val="center"/>
          </w:tcPr>
          <w:p w14:paraId="019F6E2D" w14:textId="77777777" w:rsidR="0005266E" w:rsidRPr="007C5A6E" w:rsidRDefault="0005266E" w:rsidP="009969E0">
            <w:pPr>
              <w:spacing w:after="0" w:line="240" w:lineRule="auto"/>
              <w:rPr>
                <w:rFonts w:ascii="Times New Roman" w:hAnsi="Times New Roman"/>
                <w:b/>
                <w:bCs/>
              </w:rPr>
            </w:pPr>
          </w:p>
        </w:tc>
        <w:tc>
          <w:tcPr>
            <w:tcW w:w="946" w:type="pct"/>
            <w:shd w:val="clear" w:color="auto" w:fill="002060"/>
            <w:vAlign w:val="center"/>
          </w:tcPr>
          <w:p w14:paraId="5C527815" w14:textId="77777777" w:rsidR="0005266E" w:rsidRPr="007C5A6E" w:rsidRDefault="0005266E" w:rsidP="009969E0">
            <w:pPr>
              <w:spacing w:after="0" w:line="240" w:lineRule="auto"/>
              <w:rPr>
                <w:rFonts w:ascii="Times New Roman" w:hAnsi="Times New Roman"/>
                <w:b/>
                <w:bCs/>
              </w:rPr>
            </w:pPr>
            <w:r w:rsidRPr="007C5A6E">
              <w:rPr>
                <w:rFonts w:ascii="Times New Roman" w:hAnsi="Times New Roman"/>
                <w:b/>
                <w:bCs/>
              </w:rPr>
              <w:t>Capacité (hm</w:t>
            </w:r>
            <w:r w:rsidRPr="007C5A6E">
              <w:rPr>
                <w:rFonts w:ascii="Times New Roman" w:hAnsi="Times New Roman"/>
                <w:b/>
                <w:bCs/>
                <w:vertAlign w:val="superscript"/>
              </w:rPr>
              <w:t>3</w:t>
            </w:r>
            <w:r w:rsidRPr="007C5A6E">
              <w:rPr>
                <w:rFonts w:ascii="Times New Roman" w:hAnsi="Times New Roman"/>
                <w:b/>
                <w:bCs/>
              </w:rPr>
              <w:t>)</w:t>
            </w:r>
          </w:p>
        </w:tc>
        <w:tc>
          <w:tcPr>
            <w:tcW w:w="2341" w:type="pct"/>
            <w:shd w:val="clear" w:color="auto" w:fill="002060"/>
            <w:vAlign w:val="center"/>
          </w:tcPr>
          <w:p w14:paraId="62D59F43" w14:textId="77777777" w:rsidR="0005266E" w:rsidRPr="007C5A6E" w:rsidRDefault="0005266E" w:rsidP="009969E0">
            <w:pPr>
              <w:spacing w:after="0" w:line="240" w:lineRule="auto"/>
              <w:rPr>
                <w:rFonts w:ascii="Times New Roman" w:hAnsi="Times New Roman"/>
                <w:b/>
                <w:bCs/>
              </w:rPr>
            </w:pPr>
            <w:r w:rsidRPr="007C5A6E">
              <w:rPr>
                <w:rFonts w:ascii="Times New Roman" w:hAnsi="Times New Roman"/>
                <w:b/>
                <w:bCs/>
              </w:rPr>
              <w:t>Vocation et usages eau</w:t>
            </w:r>
          </w:p>
        </w:tc>
      </w:tr>
      <w:tr w:rsidR="0005266E" w:rsidRPr="007C5A6E" w14:paraId="3753D2A7" w14:textId="77777777" w:rsidTr="00B215E4">
        <w:tc>
          <w:tcPr>
            <w:tcW w:w="596" w:type="pct"/>
            <w:vMerge w:val="restart"/>
            <w:vAlign w:val="center"/>
          </w:tcPr>
          <w:p w14:paraId="4936E2EF" w14:textId="77777777" w:rsidR="0005266E" w:rsidRPr="007C5A6E" w:rsidRDefault="0005266E" w:rsidP="009969E0">
            <w:pPr>
              <w:spacing w:after="0" w:line="240" w:lineRule="auto"/>
              <w:rPr>
                <w:rFonts w:ascii="Times New Roman" w:hAnsi="Times New Roman"/>
              </w:rPr>
            </w:pPr>
          </w:p>
          <w:p w14:paraId="59ACCF4D" w14:textId="77777777" w:rsidR="0005266E" w:rsidRPr="007C5A6E" w:rsidRDefault="0005266E" w:rsidP="009969E0">
            <w:pPr>
              <w:spacing w:after="0" w:line="240" w:lineRule="auto"/>
              <w:rPr>
                <w:rFonts w:ascii="Times New Roman" w:hAnsi="Times New Roman"/>
              </w:rPr>
            </w:pPr>
          </w:p>
          <w:p w14:paraId="5599AD10" w14:textId="77777777" w:rsidR="0005266E" w:rsidRPr="007C5A6E" w:rsidRDefault="0005266E" w:rsidP="009969E0">
            <w:pPr>
              <w:spacing w:after="0" w:line="240" w:lineRule="auto"/>
              <w:rPr>
                <w:rFonts w:ascii="Times New Roman" w:hAnsi="Times New Roman"/>
              </w:rPr>
            </w:pPr>
          </w:p>
          <w:p w14:paraId="039134D4"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Comoé</w:t>
            </w:r>
          </w:p>
        </w:tc>
        <w:tc>
          <w:tcPr>
            <w:tcW w:w="1117" w:type="pct"/>
            <w:vAlign w:val="center"/>
          </w:tcPr>
          <w:p w14:paraId="74A45FB6"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Tourny &amp; Niofila</w:t>
            </w:r>
          </w:p>
        </w:tc>
        <w:tc>
          <w:tcPr>
            <w:tcW w:w="946" w:type="pct"/>
            <w:vAlign w:val="center"/>
          </w:tcPr>
          <w:p w14:paraId="60F8B9E2"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0,28</w:t>
            </w:r>
          </w:p>
        </w:tc>
        <w:tc>
          <w:tcPr>
            <w:tcW w:w="2341" w:type="pct"/>
            <w:vAlign w:val="center"/>
          </w:tcPr>
          <w:p w14:paraId="40FFFB2D"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 xml:space="preserve">Hydroélectricité (hauteur de chute : 70 m) ; alimenté par les sources </w:t>
            </w:r>
          </w:p>
        </w:tc>
      </w:tr>
      <w:tr w:rsidR="0005266E" w:rsidRPr="007C5A6E" w14:paraId="73F09920" w14:textId="77777777" w:rsidTr="00B215E4">
        <w:tc>
          <w:tcPr>
            <w:tcW w:w="596" w:type="pct"/>
            <w:vMerge/>
            <w:vAlign w:val="center"/>
          </w:tcPr>
          <w:p w14:paraId="25C51A53" w14:textId="77777777" w:rsidR="0005266E" w:rsidRPr="007C5A6E" w:rsidRDefault="0005266E" w:rsidP="009969E0">
            <w:pPr>
              <w:spacing w:after="0" w:line="240" w:lineRule="auto"/>
              <w:rPr>
                <w:rFonts w:ascii="Times New Roman" w:hAnsi="Times New Roman"/>
              </w:rPr>
            </w:pPr>
          </w:p>
        </w:tc>
        <w:tc>
          <w:tcPr>
            <w:tcW w:w="1117" w:type="pct"/>
            <w:vAlign w:val="center"/>
          </w:tcPr>
          <w:p w14:paraId="158FAAD6"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 xml:space="preserve">Douna </w:t>
            </w:r>
          </w:p>
        </w:tc>
        <w:tc>
          <w:tcPr>
            <w:tcW w:w="946" w:type="pct"/>
            <w:vAlign w:val="center"/>
          </w:tcPr>
          <w:p w14:paraId="43998E90"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37,5</w:t>
            </w:r>
          </w:p>
        </w:tc>
        <w:tc>
          <w:tcPr>
            <w:tcW w:w="2341" w:type="pct"/>
            <w:vAlign w:val="center"/>
          </w:tcPr>
          <w:p w14:paraId="74FEF457"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Irrigation périmètre Douna (450 ha) ; cheptel ; pêche</w:t>
            </w:r>
          </w:p>
        </w:tc>
      </w:tr>
      <w:tr w:rsidR="0005266E" w:rsidRPr="000D60EA" w14:paraId="0E765114" w14:textId="77777777" w:rsidTr="00B215E4">
        <w:tc>
          <w:tcPr>
            <w:tcW w:w="596" w:type="pct"/>
            <w:vMerge/>
            <w:vAlign w:val="center"/>
          </w:tcPr>
          <w:p w14:paraId="702F53A3" w14:textId="77777777" w:rsidR="0005266E" w:rsidRPr="007C5A6E" w:rsidRDefault="0005266E" w:rsidP="009969E0">
            <w:pPr>
              <w:spacing w:after="0" w:line="240" w:lineRule="auto"/>
              <w:rPr>
                <w:rFonts w:ascii="Times New Roman" w:hAnsi="Times New Roman"/>
              </w:rPr>
            </w:pPr>
          </w:p>
        </w:tc>
        <w:tc>
          <w:tcPr>
            <w:tcW w:w="1117" w:type="pct"/>
            <w:vAlign w:val="center"/>
          </w:tcPr>
          <w:p w14:paraId="62A88D86"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Moussodougou </w:t>
            </w:r>
          </w:p>
        </w:tc>
        <w:tc>
          <w:tcPr>
            <w:tcW w:w="946" w:type="pct"/>
            <w:vAlign w:val="center"/>
          </w:tcPr>
          <w:p w14:paraId="774A2A83"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38,5</w:t>
            </w:r>
          </w:p>
        </w:tc>
        <w:tc>
          <w:tcPr>
            <w:tcW w:w="2341" w:type="pct"/>
            <w:vAlign w:val="center"/>
          </w:tcPr>
          <w:p w14:paraId="734DE5D0" w14:textId="77777777" w:rsidR="0005266E" w:rsidRPr="007C5A6E" w:rsidRDefault="0005266E" w:rsidP="009969E0">
            <w:pPr>
              <w:spacing w:after="0" w:line="240" w:lineRule="auto"/>
              <w:rPr>
                <w:rFonts w:ascii="Times New Roman" w:hAnsi="Times New Roman"/>
                <w:lang w:val="en-US"/>
              </w:rPr>
            </w:pPr>
            <w:r w:rsidRPr="007C5A6E">
              <w:rPr>
                <w:rFonts w:ascii="Times New Roman" w:hAnsi="Times New Roman"/>
                <w:lang w:val="en-US"/>
              </w:rPr>
              <w:t xml:space="preserve">Irrigation SOSUCO, </w:t>
            </w:r>
            <w:proofErr w:type="spellStart"/>
            <w:proofErr w:type="gramStart"/>
            <w:r w:rsidRPr="007C5A6E">
              <w:rPr>
                <w:rFonts w:ascii="Times New Roman" w:hAnsi="Times New Roman"/>
                <w:lang w:val="en-US"/>
              </w:rPr>
              <w:t>Karfiguéla</w:t>
            </w:r>
            <w:proofErr w:type="spellEnd"/>
            <w:r w:rsidRPr="007C5A6E">
              <w:rPr>
                <w:rFonts w:ascii="Times New Roman" w:hAnsi="Times New Roman"/>
                <w:lang w:val="en-US"/>
              </w:rPr>
              <w:t> ;</w:t>
            </w:r>
            <w:proofErr w:type="gramEnd"/>
            <w:r w:rsidRPr="007C5A6E">
              <w:rPr>
                <w:rFonts w:ascii="Times New Roman" w:hAnsi="Times New Roman"/>
                <w:lang w:val="en-US"/>
              </w:rPr>
              <w:t xml:space="preserve"> AEP </w:t>
            </w:r>
            <w:proofErr w:type="spellStart"/>
            <w:r w:rsidRPr="007C5A6E">
              <w:rPr>
                <w:rFonts w:ascii="Times New Roman" w:hAnsi="Times New Roman"/>
                <w:lang w:val="en-US"/>
              </w:rPr>
              <w:t>Banfora</w:t>
            </w:r>
            <w:proofErr w:type="spellEnd"/>
            <w:r w:rsidRPr="007C5A6E">
              <w:rPr>
                <w:rFonts w:ascii="Times New Roman" w:hAnsi="Times New Roman"/>
                <w:lang w:val="en-US"/>
              </w:rPr>
              <w:t xml:space="preserve"> (ONEA)</w:t>
            </w:r>
          </w:p>
        </w:tc>
      </w:tr>
      <w:tr w:rsidR="0005266E" w:rsidRPr="007C5A6E" w14:paraId="4324AC34" w14:textId="77777777" w:rsidTr="00B215E4">
        <w:tc>
          <w:tcPr>
            <w:tcW w:w="596" w:type="pct"/>
            <w:vMerge/>
            <w:vAlign w:val="center"/>
          </w:tcPr>
          <w:p w14:paraId="6C11311F" w14:textId="77777777" w:rsidR="0005266E" w:rsidRPr="007C5A6E" w:rsidRDefault="0005266E" w:rsidP="009969E0">
            <w:pPr>
              <w:spacing w:after="0" w:line="240" w:lineRule="auto"/>
              <w:rPr>
                <w:rFonts w:ascii="Times New Roman" w:hAnsi="Times New Roman"/>
                <w:lang w:val="en-US"/>
              </w:rPr>
            </w:pPr>
          </w:p>
        </w:tc>
        <w:tc>
          <w:tcPr>
            <w:tcW w:w="1117" w:type="pct"/>
            <w:vAlign w:val="center"/>
          </w:tcPr>
          <w:p w14:paraId="6A966FB0"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Lobi </w:t>
            </w:r>
          </w:p>
        </w:tc>
        <w:tc>
          <w:tcPr>
            <w:tcW w:w="946" w:type="pct"/>
            <w:vAlign w:val="center"/>
          </w:tcPr>
          <w:p w14:paraId="2847B5D7"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6,057</w:t>
            </w:r>
          </w:p>
        </w:tc>
        <w:tc>
          <w:tcPr>
            <w:tcW w:w="2341" w:type="pct"/>
            <w:vAlign w:val="center"/>
          </w:tcPr>
          <w:p w14:paraId="6217B918"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Soutien des étiages de la Haute- Comoé</w:t>
            </w:r>
          </w:p>
        </w:tc>
      </w:tr>
      <w:tr w:rsidR="0005266E" w:rsidRPr="007C5A6E" w14:paraId="1A94B67C" w14:textId="77777777" w:rsidTr="00B215E4">
        <w:tc>
          <w:tcPr>
            <w:tcW w:w="596" w:type="pct"/>
            <w:vMerge/>
            <w:vAlign w:val="center"/>
          </w:tcPr>
          <w:p w14:paraId="70EF229A" w14:textId="77777777" w:rsidR="0005266E" w:rsidRPr="007C5A6E" w:rsidRDefault="0005266E" w:rsidP="009969E0">
            <w:pPr>
              <w:spacing w:after="0" w:line="240" w:lineRule="auto"/>
              <w:rPr>
                <w:rFonts w:ascii="Times New Roman" w:hAnsi="Times New Roman"/>
              </w:rPr>
            </w:pPr>
          </w:p>
        </w:tc>
        <w:tc>
          <w:tcPr>
            <w:tcW w:w="1117" w:type="pct"/>
            <w:vAlign w:val="center"/>
          </w:tcPr>
          <w:p w14:paraId="210F5460"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Toussiana</w:t>
            </w:r>
          </w:p>
        </w:tc>
        <w:tc>
          <w:tcPr>
            <w:tcW w:w="946" w:type="pct"/>
            <w:vAlign w:val="center"/>
          </w:tcPr>
          <w:p w14:paraId="6424A60A"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6,1</w:t>
            </w:r>
          </w:p>
        </w:tc>
        <w:tc>
          <w:tcPr>
            <w:tcW w:w="2341" w:type="pct"/>
            <w:vAlign w:val="center"/>
          </w:tcPr>
          <w:p w14:paraId="6D02AC31"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Périmètre sucrier</w:t>
            </w:r>
          </w:p>
        </w:tc>
      </w:tr>
      <w:tr w:rsidR="0005266E" w:rsidRPr="007C5A6E" w14:paraId="37C0D42A" w14:textId="77777777" w:rsidTr="00B215E4">
        <w:tc>
          <w:tcPr>
            <w:tcW w:w="596" w:type="pct"/>
            <w:vMerge w:val="restart"/>
            <w:vAlign w:val="center"/>
          </w:tcPr>
          <w:p w14:paraId="56296F10"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Mouhoun</w:t>
            </w:r>
          </w:p>
        </w:tc>
        <w:tc>
          <w:tcPr>
            <w:tcW w:w="1117" w:type="pct"/>
            <w:vAlign w:val="center"/>
          </w:tcPr>
          <w:p w14:paraId="0E96A59D"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Samendéni</w:t>
            </w:r>
          </w:p>
        </w:tc>
        <w:tc>
          <w:tcPr>
            <w:tcW w:w="946" w:type="pct"/>
            <w:vAlign w:val="center"/>
          </w:tcPr>
          <w:p w14:paraId="445C219F"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1 050</w:t>
            </w:r>
          </w:p>
        </w:tc>
        <w:tc>
          <w:tcPr>
            <w:tcW w:w="2341" w:type="pct"/>
            <w:vAlign w:val="center"/>
          </w:tcPr>
          <w:p w14:paraId="1D82A356"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Hydroélectricité, AEP, irrigation, pêche, élevage</w:t>
            </w:r>
          </w:p>
        </w:tc>
      </w:tr>
      <w:tr w:rsidR="0005266E" w:rsidRPr="007C5A6E" w14:paraId="5D9E6C31" w14:textId="77777777" w:rsidTr="00B215E4">
        <w:tc>
          <w:tcPr>
            <w:tcW w:w="596" w:type="pct"/>
            <w:vMerge/>
            <w:vAlign w:val="center"/>
          </w:tcPr>
          <w:p w14:paraId="7B981264" w14:textId="77777777" w:rsidR="0005266E" w:rsidRPr="007C5A6E" w:rsidRDefault="0005266E" w:rsidP="009969E0">
            <w:pPr>
              <w:spacing w:after="0" w:line="240" w:lineRule="auto"/>
              <w:rPr>
                <w:rFonts w:ascii="Times New Roman" w:hAnsi="Times New Roman"/>
              </w:rPr>
            </w:pPr>
          </w:p>
        </w:tc>
        <w:tc>
          <w:tcPr>
            <w:tcW w:w="1117" w:type="pct"/>
            <w:vAlign w:val="center"/>
          </w:tcPr>
          <w:p w14:paraId="14067CF1"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Léry</w:t>
            </w:r>
          </w:p>
        </w:tc>
        <w:tc>
          <w:tcPr>
            <w:tcW w:w="946" w:type="pct"/>
            <w:vAlign w:val="center"/>
          </w:tcPr>
          <w:p w14:paraId="57F3F1B5"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600</w:t>
            </w:r>
          </w:p>
        </w:tc>
        <w:tc>
          <w:tcPr>
            <w:tcW w:w="2341" w:type="pct"/>
            <w:vAlign w:val="center"/>
          </w:tcPr>
          <w:p w14:paraId="448C8385"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Irrigation ; élevage ; pêche</w:t>
            </w:r>
          </w:p>
        </w:tc>
      </w:tr>
      <w:tr w:rsidR="0005266E" w:rsidRPr="007C5A6E" w14:paraId="7D40588E" w14:textId="77777777" w:rsidTr="00B215E4">
        <w:tc>
          <w:tcPr>
            <w:tcW w:w="596" w:type="pct"/>
            <w:vMerge w:val="restart"/>
            <w:vAlign w:val="center"/>
          </w:tcPr>
          <w:p w14:paraId="21A97CB4" w14:textId="77777777" w:rsidR="0005266E" w:rsidRPr="007C5A6E" w:rsidRDefault="0005266E" w:rsidP="009969E0">
            <w:pPr>
              <w:spacing w:after="0" w:line="240" w:lineRule="auto"/>
              <w:rPr>
                <w:rFonts w:ascii="Times New Roman" w:hAnsi="Times New Roman"/>
              </w:rPr>
            </w:pPr>
          </w:p>
          <w:p w14:paraId="7E21C441" w14:textId="77777777" w:rsidR="0005266E" w:rsidRPr="007C5A6E" w:rsidRDefault="0005266E" w:rsidP="009969E0">
            <w:pPr>
              <w:spacing w:after="0" w:line="240" w:lineRule="auto"/>
              <w:rPr>
                <w:rFonts w:ascii="Times New Roman" w:hAnsi="Times New Roman"/>
              </w:rPr>
            </w:pPr>
          </w:p>
          <w:p w14:paraId="7072DAA9" w14:textId="77777777" w:rsidR="0005266E" w:rsidRPr="007C5A6E" w:rsidRDefault="0005266E" w:rsidP="009969E0">
            <w:pPr>
              <w:spacing w:after="0" w:line="240" w:lineRule="auto"/>
              <w:rPr>
                <w:rFonts w:ascii="Times New Roman" w:hAnsi="Times New Roman"/>
              </w:rPr>
            </w:pPr>
          </w:p>
          <w:p w14:paraId="013B78B7"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Nakanbé</w:t>
            </w:r>
          </w:p>
        </w:tc>
        <w:tc>
          <w:tcPr>
            <w:tcW w:w="1117" w:type="pct"/>
            <w:vAlign w:val="center"/>
          </w:tcPr>
          <w:p w14:paraId="6192A692"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 xml:space="preserve">Lac Bam </w:t>
            </w:r>
          </w:p>
        </w:tc>
        <w:tc>
          <w:tcPr>
            <w:tcW w:w="946" w:type="pct"/>
            <w:vAlign w:val="center"/>
          </w:tcPr>
          <w:p w14:paraId="520D21AE"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41,2</w:t>
            </w:r>
          </w:p>
        </w:tc>
        <w:tc>
          <w:tcPr>
            <w:tcW w:w="2341" w:type="pct"/>
            <w:vAlign w:val="center"/>
          </w:tcPr>
          <w:p w14:paraId="5CD1F211"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Irrigation ; élevage</w:t>
            </w:r>
          </w:p>
        </w:tc>
      </w:tr>
      <w:tr w:rsidR="0005266E" w:rsidRPr="007C5A6E" w14:paraId="30EAC40B" w14:textId="77777777" w:rsidTr="00B215E4">
        <w:tc>
          <w:tcPr>
            <w:tcW w:w="596" w:type="pct"/>
            <w:vMerge/>
            <w:vAlign w:val="center"/>
          </w:tcPr>
          <w:p w14:paraId="28922C62" w14:textId="77777777" w:rsidR="0005266E" w:rsidRPr="007C5A6E" w:rsidRDefault="0005266E" w:rsidP="009969E0">
            <w:pPr>
              <w:spacing w:after="0" w:line="240" w:lineRule="auto"/>
              <w:rPr>
                <w:rFonts w:ascii="Times New Roman" w:hAnsi="Times New Roman"/>
              </w:rPr>
            </w:pPr>
          </w:p>
        </w:tc>
        <w:tc>
          <w:tcPr>
            <w:tcW w:w="1117" w:type="pct"/>
            <w:vAlign w:val="center"/>
          </w:tcPr>
          <w:p w14:paraId="0ABD7B8E"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 xml:space="preserve">Lac </w:t>
            </w:r>
            <w:proofErr w:type="spellStart"/>
            <w:r w:rsidRPr="007C5A6E">
              <w:rPr>
                <w:rFonts w:ascii="Times New Roman" w:hAnsi="Times New Roman"/>
              </w:rPr>
              <w:t>Dem</w:t>
            </w:r>
            <w:proofErr w:type="spellEnd"/>
            <w:r w:rsidRPr="007C5A6E">
              <w:rPr>
                <w:rFonts w:ascii="Times New Roman" w:hAnsi="Times New Roman"/>
              </w:rPr>
              <w:t xml:space="preserve"> </w:t>
            </w:r>
          </w:p>
        </w:tc>
        <w:tc>
          <w:tcPr>
            <w:tcW w:w="946" w:type="pct"/>
            <w:vAlign w:val="center"/>
          </w:tcPr>
          <w:p w14:paraId="2239A2CC"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7,750</w:t>
            </w:r>
          </w:p>
        </w:tc>
        <w:tc>
          <w:tcPr>
            <w:tcW w:w="2341" w:type="pct"/>
            <w:vAlign w:val="center"/>
          </w:tcPr>
          <w:p w14:paraId="18272608"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Irrigation ; élevage</w:t>
            </w:r>
          </w:p>
        </w:tc>
      </w:tr>
      <w:tr w:rsidR="0005266E" w:rsidRPr="007C5A6E" w14:paraId="1B358B2E" w14:textId="77777777" w:rsidTr="00B215E4">
        <w:tc>
          <w:tcPr>
            <w:tcW w:w="596" w:type="pct"/>
            <w:vMerge/>
            <w:vAlign w:val="center"/>
          </w:tcPr>
          <w:p w14:paraId="396FAA3F" w14:textId="77777777" w:rsidR="0005266E" w:rsidRPr="007C5A6E" w:rsidRDefault="0005266E" w:rsidP="009969E0">
            <w:pPr>
              <w:spacing w:after="0" w:line="240" w:lineRule="auto"/>
              <w:rPr>
                <w:rFonts w:ascii="Times New Roman" w:hAnsi="Times New Roman"/>
              </w:rPr>
            </w:pPr>
          </w:p>
        </w:tc>
        <w:tc>
          <w:tcPr>
            <w:tcW w:w="1117" w:type="pct"/>
            <w:vAlign w:val="center"/>
          </w:tcPr>
          <w:p w14:paraId="0BE2FAF9"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 xml:space="preserve">Lac Sian </w:t>
            </w:r>
          </w:p>
        </w:tc>
        <w:tc>
          <w:tcPr>
            <w:tcW w:w="946" w:type="pct"/>
            <w:vAlign w:val="center"/>
          </w:tcPr>
          <w:p w14:paraId="1DC2CBE5"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6</w:t>
            </w:r>
          </w:p>
        </w:tc>
        <w:tc>
          <w:tcPr>
            <w:tcW w:w="2341" w:type="pct"/>
            <w:vAlign w:val="center"/>
          </w:tcPr>
          <w:p w14:paraId="5514D4D3"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Irrigation ; élevage</w:t>
            </w:r>
          </w:p>
        </w:tc>
      </w:tr>
      <w:tr w:rsidR="0005266E" w:rsidRPr="007C5A6E" w14:paraId="4D854114" w14:textId="77777777" w:rsidTr="00B215E4">
        <w:tc>
          <w:tcPr>
            <w:tcW w:w="596" w:type="pct"/>
            <w:vMerge/>
            <w:vAlign w:val="center"/>
          </w:tcPr>
          <w:p w14:paraId="70292618" w14:textId="77777777" w:rsidR="0005266E" w:rsidRPr="007C5A6E" w:rsidRDefault="0005266E" w:rsidP="009969E0">
            <w:pPr>
              <w:spacing w:after="0" w:line="240" w:lineRule="auto"/>
              <w:rPr>
                <w:rFonts w:ascii="Times New Roman" w:hAnsi="Times New Roman"/>
              </w:rPr>
            </w:pPr>
          </w:p>
        </w:tc>
        <w:tc>
          <w:tcPr>
            <w:tcW w:w="1117" w:type="pct"/>
            <w:vAlign w:val="center"/>
          </w:tcPr>
          <w:p w14:paraId="75A7645F"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 xml:space="preserve">Loumbila </w:t>
            </w:r>
          </w:p>
        </w:tc>
        <w:tc>
          <w:tcPr>
            <w:tcW w:w="946" w:type="pct"/>
            <w:vAlign w:val="center"/>
          </w:tcPr>
          <w:p w14:paraId="31C281E1"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42,2</w:t>
            </w:r>
          </w:p>
        </w:tc>
        <w:tc>
          <w:tcPr>
            <w:tcW w:w="2341" w:type="pct"/>
            <w:vAlign w:val="center"/>
          </w:tcPr>
          <w:p w14:paraId="0DFD67D6"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AEP ; Irrigation ; cheptel</w:t>
            </w:r>
          </w:p>
        </w:tc>
      </w:tr>
      <w:tr w:rsidR="0005266E" w:rsidRPr="007C5A6E" w14:paraId="110386CD" w14:textId="77777777" w:rsidTr="00B215E4">
        <w:tc>
          <w:tcPr>
            <w:tcW w:w="596" w:type="pct"/>
            <w:vMerge/>
            <w:vAlign w:val="center"/>
          </w:tcPr>
          <w:p w14:paraId="0C1E68EC" w14:textId="77777777" w:rsidR="0005266E" w:rsidRPr="007C5A6E" w:rsidRDefault="0005266E" w:rsidP="009969E0">
            <w:pPr>
              <w:spacing w:after="0" w:line="240" w:lineRule="auto"/>
              <w:rPr>
                <w:rFonts w:ascii="Times New Roman" w:hAnsi="Times New Roman"/>
              </w:rPr>
            </w:pPr>
          </w:p>
        </w:tc>
        <w:tc>
          <w:tcPr>
            <w:tcW w:w="1117" w:type="pct"/>
            <w:vAlign w:val="center"/>
          </w:tcPr>
          <w:p w14:paraId="05ABD23F"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Ouaga 2+3</w:t>
            </w:r>
          </w:p>
        </w:tc>
        <w:tc>
          <w:tcPr>
            <w:tcW w:w="946" w:type="pct"/>
            <w:vAlign w:val="center"/>
          </w:tcPr>
          <w:p w14:paraId="2BAD6A51"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6,87</w:t>
            </w:r>
          </w:p>
        </w:tc>
        <w:tc>
          <w:tcPr>
            <w:tcW w:w="2341" w:type="pct"/>
            <w:vAlign w:val="center"/>
          </w:tcPr>
          <w:p w14:paraId="36D47E71"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AEP</w:t>
            </w:r>
          </w:p>
        </w:tc>
      </w:tr>
      <w:tr w:rsidR="0005266E" w:rsidRPr="007C5A6E" w14:paraId="326A7430" w14:textId="77777777" w:rsidTr="00B215E4">
        <w:tc>
          <w:tcPr>
            <w:tcW w:w="596" w:type="pct"/>
            <w:vMerge/>
            <w:vAlign w:val="center"/>
          </w:tcPr>
          <w:p w14:paraId="4F572077" w14:textId="77777777" w:rsidR="0005266E" w:rsidRPr="007C5A6E" w:rsidRDefault="0005266E" w:rsidP="009969E0">
            <w:pPr>
              <w:spacing w:after="0" w:line="240" w:lineRule="auto"/>
              <w:rPr>
                <w:rFonts w:ascii="Times New Roman" w:hAnsi="Times New Roman"/>
              </w:rPr>
            </w:pPr>
          </w:p>
        </w:tc>
        <w:tc>
          <w:tcPr>
            <w:tcW w:w="1117" w:type="pct"/>
            <w:vAlign w:val="center"/>
          </w:tcPr>
          <w:p w14:paraId="5C8565B2" w14:textId="77777777" w:rsidR="0005266E" w:rsidRPr="007C5A6E" w:rsidRDefault="0005266E" w:rsidP="009969E0">
            <w:pPr>
              <w:spacing w:after="0" w:line="240" w:lineRule="auto"/>
              <w:rPr>
                <w:rFonts w:ascii="Times New Roman" w:hAnsi="Times New Roman"/>
              </w:rPr>
            </w:pPr>
            <w:proofErr w:type="spellStart"/>
            <w:r w:rsidRPr="007C5A6E">
              <w:rPr>
                <w:rFonts w:ascii="Times New Roman" w:hAnsi="Times New Roman"/>
              </w:rPr>
              <w:t>Tougou</w:t>
            </w:r>
            <w:proofErr w:type="spellEnd"/>
          </w:p>
        </w:tc>
        <w:tc>
          <w:tcPr>
            <w:tcW w:w="946" w:type="pct"/>
            <w:vAlign w:val="center"/>
          </w:tcPr>
          <w:p w14:paraId="049B5029"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5,8</w:t>
            </w:r>
          </w:p>
        </w:tc>
        <w:tc>
          <w:tcPr>
            <w:tcW w:w="2341" w:type="pct"/>
            <w:vAlign w:val="center"/>
          </w:tcPr>
          <w:p w14:paraId="555ED6FC"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Irrigation ; élevage</w:t>
            </w:r>
          </w:p>
        </w:tc>
      </w:tr>
      <w:tr w:rsidR="0005266E" w:rsidRPr="007C5A6E" w14:paraId="0171C5B1" w14:textId="77777777" w:rsidTr="00B215E4">
        <w:tc>
          <w:tcPr>
            <w:tcW w:w="596" w:type="pct"/>
            <w:vMerge/>
            <w:vAlign w:val="center"/>
          </w:tcPr>
          <w:p w14:paraId="38F82BD5" w14:textId="77777777" w:rsidR="0005266E" w:rsidRPr="007C5A6E" w:rsidRDefault="0005266E" w:rsidP="009969E0">
            <w:pPr>
              <w:spacing w:after="0" w:line="240" w:lineRule="auto"/>
              <w:rPr>
                <w:rFonts w:ascii="Times New Roman" w:hAnsi="Times New Roman"/>
              </w:rPr>
            </w:pPr>
          </w:p>
        </w:tc>
        <w:tc>
          <w:tcPr>
            <w:tcW w:w="1117" w:type="pct"/>
            <w:vAlign w:val="center"/>
          </w:tcPr>
          <w:p w14:paraId="23B64E6A"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Titao</w:t>
            </w:r>
          </w:p>
        </w:tc>
        <w:tc>
          <w:tcPr>
            <w:tcW w:w="946" w:type="pct"/>
            <w:vAlign w:val="center"/>
          </w:tcPr>
          <w:p w14:paraId="23EB0FA7"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4,27</w:t>
            </w:r>
          </w:p>
        </w:tc>
        <w:tc>
          <w:tcPr>
            <w:tcW w:w="2341" w:type="pct"/>
            <w:vAlign w:val="center"/>
          </w:tcPr>
          <w:p w14:paraId="0BC436AA"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Irrigation ; élevage, pêche</w:t>
            </w:r>
          </w:p>
        </w:tc>
      </w:tr>
      <w:tr w:rsidR="0005266E" w:rsidRPr="007C5A6E" w14:paraId="4E82D208" w14:textId="77777777" w:rsidTr="00B215E4">
        <w:tc>
          <w:tcPr>
            <w:tcW w:w="596" w:type="pct"/>
            <w:vMerge/>
            <w:vAlign w:val="center"/>
          </w:tcPr>
          <w:p w14:paraId="04B9D80B" w14:textId="77777777" w:rsidR="0005266E" w:rsidRPr="007C5A6E" w:rsidRDefault="0005266E" w:rsidP="009969E0">
            <w:pPr>
              <w:spacing w:after="0" w:line="240" w:lineRule="auto"/>
              <w:rPr>
                <w:rFonts w:ascii="Times New Roman" w:hAnsi="Times New Roman"/>
              </w:rPr>
            </w:pPr>
          </w:p>
        </w:tc>
        <w:tc>
          <w:tcPr>
            <w:tcW w:w="1117" w:type="pct"/>
            <w:vAlign w:val="center"/>
          </w:tcPr>
          <w:p w14:paraId="68A1CF13" w14:textId="77777777" w:rsidR="0005266E" w:rsidRPr="007C5A6E" w:rsidRDefault="0005266E" w:rsidP="009969E0">
            <w:pPr>
              <w:spacing w:after="0" w:line="240" w:lineRule="auto"/>
              <w:rPr>
                <w:rFonts w:ascii="Times New Roman" w:hAnsi="Times New Roman"/>
              </w:rPr>
            </w:pPr>
            <w:proofErr w:type="spellStart"/>
            <w:r w:rsidRPr="007C5A6E">
              <w:rPr>
                <w:rFonts w:ascii="Times New Roman" w:hAnsi="Times New Roman"/>
              </w:rPr>
              <w:t>Goinré</w:t>
            </w:r>
            <w:proofErr w:type="spellEnd"/>
          </w:p>
        </w:tc>
        <w:tc>
          <w:tcPr>
            <w:tcW w:w="946" w:type="pct"/>
            <w:vAlign w:val="center"/>
          </w:tcPr>
          <w:p w14:paraId="2291F044"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11,2</w:t>
            </w:r>
          </w:p>
        </w:tc>
        <w:tc>
          <w:tcPr>
            <w:tcW w:w="2341" w:type="pct"/>
            <w:vAlign w:val="center"/>
          </w:tcPr>
          <w:p w14:paraId="53BB2B8E"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Irrigation ; élevage, pêche</w:t>
            </w:r>
          </w:p>
        </w:tc>
      </w:tr>
      <w:tr w:rsidR="0005266E" w:rsidRPr="007C5A6E" w14:paraId="7EB070CC" w14:textId="77777777" w:rsidTr="00B215E4">
        <w:tc>
          <w:tcPr>
            <w:tcW w:w="596" w:type="pct"/>
            <w:vMerge/>
            <w:vAlign w:val="center"/>
          </w:tcPr>
          <w:p w14:paraId="0BC068E2" w14:textId="77777777" w:rsidR="0005266E" w:rsidRPr="007C5A6E" w:rsidRDefault="0005266E" w:rsidP="009969E0">
            <w:pPr>
              <w:spacing w:after="0" w:line="240" w:lineRule="auto"/>
              <w:rPr>
                <w:rFonts w:ascii="Times New Roman" w:hAnsi="Times New Roman"/>
              </w:rPr>
            </w:pPr>
          </w:p>
        </w:tc>
        <w:tc>
          <w:tcPr>
            <w:tcW w:w="1117" w:type="pct"/>
            <w:vAlign w:val="center"/>
          </w:tcPr>
          <w:p w14:paraId="6F844FC2"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Ouahigouya</w:t>
            </w:r>
          </w:p>
        </w:tc>
        <w:tc>
          <w:tcPr>
            <w:tcW w:w="946" w:type="pct"/>
            <w:vAlign w:val="center"/>
          </w:tcPr>
          <w:p w14:paraId="41F4C561"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3,5</w:t>
            </w:r>
          </w:p>
        </w:tc>
        <w:tc>
          <w:tcPr>
            <w:tcW w:w="2341" w:type="pct"/>
            <w:vAlign w:val="center"/>
          </w:tcPr>
          <w:p w14:paraId="6644F679"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Irrigation ; AEP ; élevage, pêche</w:t>
            </w:r>
          </w:p>
        </w:tc>
      </w:tr>
      <w:tr w:rsidR="0005266E" w:rsidRPr="007C5A6E" w14:paraId="53277358" w14:textId="77777777" w:rsidTr="00B215E4">
        <w:tc>
          <w:tcPr>
            <w:tcW w:w="596" w:type="pct"/>
            <w:vMerge/>
            <w:vAlign w:val="center"/>
          </w:tcPr>
          <w:p w14:paraId="51E43114" w14:textId="77777777" w:rsidR="0005266E" w:rsidRPr="007C5A6E" w:rsidRDefault="0005266E" w:rsidP="009969E0">
            <w:pPr>
              <w:spacing w:after="0" w:line="240" w:lineRule="auto"/>
              <w:rPr>
                <w:rFonts w:ascii="Times New Roman" w:hAnsi="Times New Roman"/>
              </w:rPr>
            </w:pPr>
          </w:p>
        </w:tc>
        <w:tc>
          <w:tcPr>
            <w:tcW w:w="1117" w:type="pct"/>
            <w:vAlign w:val="center"/>
          </w:tcPr>
          <w:p w14:paraId="3A3BA68E" w14:textId="77777777" w:rsidR="0005266E" w:rsidRPr="007C5A6E" w:rsidRDefault="0005266E" w:rsidP="009969E0">
            <w:pPr>
              <w:spacing w:after="0" w:line="240" w:lineRule="auto"/>
              <w:rPr>
                <w:rFonts w:ascii="Times New Roman" w:hAnsi="Times New Roman"/>
              </w:rPr>
            </w:pPr>
            <w:proofErr w:type="spellStart"/>
            <w:r w:rsidRPr="007C5A6E">
              <w:rPr>
                <w:rFonts w:ascii="Times New Roman" w:hAnsi="Times New Roman"/>
              </w:rPr>
              <w:t>Louda</w:t>
            </w:r>
            <w:proofErr w:type="spellEnd"/>
          </w:p>
        </w:tc>
        <w:tc>
          <w:tcPr>
            <w:tcW w:w="946" w:type="pct"/>
            <w:vAlign w:val="center"/>
          </w:tcPr>
          <w:p w14:paraId="1D716AB5"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3,2</w:t>
            </w:r>
          </w:p>
        </w:tc>
        <w:tc>
          <w:tcPr>
            <w:tcW w:w="2341" w:type="pct"/>
            <w:vAlign w:val="center"/>
          </w:tcPr>
          <w:p w14:paraId="2317626B"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Irrigation (riziculture), pêche</w:t>
            </w:r>
          </w:p>
        </w:tc>
      </w:tr>
      <w:tr w:rsidR="0005266E" w:rsidRPr="007C5A6E" w14:paraId="78456630" w14:textId="77777777" w:rsidTr="00B215E4">
        <w:tc>
          <w:tcPr>
            <w:tcW w:w="596" w:type="pct"/>
            <w:vMerge/>
            <w:vAlign w:val="center"/>
          </w:tcPr>
          <w:p w14:paraId="2B80D3F5" w14:textId="77777777" w:rsidR="0005266E" w:rsidRPr="007C5A6E" w:rsidRDefault="0005266E" w:rsidP="009969E0">
            <w:pPr>
              <w:spacing w:after="0" w:line="240" w:lineRule="auto"/>
              <w:rPr>
                <w:rFonts w:ascii="Times New Roman" w:hAnsi="Times New Roman"/>
              </w:rPr>
            </w:pPr>
          </w:p>
        </w:tc>
        <w:tc>
          <w:tcPr>
            <w:tcW w:w="1117" w:type="pct"/>
            <w:vAlign w:val="center"/>
          </w:tcPr>
          <w:p w14:paraId="08502171"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Korsimoro</w:t>
            </w:r>
          </w:p>
        </w:tc>
        <w:tc>
          <w:tcPr>
            <w:tcW w:w="946" w:type="pct"/>
            <w:vAlign w:val="center"/>
          </w:tcPr>
          <w:p w14:paraId="051FB1D0"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4,95</w:t>
            </w:r>
          </w:p>
        </w:tc>
        <w:tc>
          <w:tcPr>
            <w:tcW w:w="2341" w:type="pct"/>
            <w:vAlign w:val="center"/>
          </w:tcPr>
          <w:p w14:paraId="2BF53029"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Irrigation, élevage, pêche</w:t>
            </w:r>
          </w:p>
        </w:tc>
      </w:tr>
      <w:tr w:rsidR="0005266E" w:rsidRPr="007C5A6E" w14:paraId="7533BDB7" w14:textId="77777777" w:rsidTr="00B215E4">
        <w:tc>
          <w:tcPr>
            <w:tcW w:w="596" w:type="pct"/>
            <w:vMerge/>
            <w:vAlign w:val="center"/>
          </w:tcPr>
          <w:p w14:paraId="196E42B7" w14:textId="77777777" w:rsidR="0005266E" w:rsidRPr="007C5A6E" w:rsidRDefault="0005266E" w:rsidP="009969E0">
            <w:pPr>
              <w:spacing w:after="0" w:line="240" w:lineRule="auto"/>
              <w:rPr>
                <w:rFonts w:ascii="Times New Roman" w:hAnsi="Times New Roman"/>
              </w:rPr>
            </w:pPr>
          </w:p>
        </w:tc>
        <w:tc>
          <w:tcPr>
            <w:tcW w:w="1117" w:type="pct"/>
            <w:vAlign w:val="center"/>
          </w:tcPr>
          <w:p w14:paraId="360222F3"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Toécé (OK)</w:t>
            </w:r>
          </w:p>
        </w:tc>
        <w:tc>
          <w:tcPr>
            <w:tcW w:w="946" w:type="pct"/>
            <w:vAlign w:val="center"/>
          </w:tcPr>
          <w:p w14:paraId="0B038E29"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90.5</w:t>
            </w:r>
          </w:p>
        </w:tc>
        <w:tc>
          <w:tcPr>
            <w:tcW w:w="2341" w:type="pct"/>
            <w:vAlign w:val="center"/>
          </w:tcPr>
          <w:p w14:paraId="2271721E"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Irrigation ; élevage, pêche</w:t>
            </w:r>
          </w:p>
        </w:tc>
      </w:tr>
      <w:tr w:rsidR="0005266E" w:rsidRPr="007C5A6E" w14:paraId="4B48D773" w14:textId="77777777" w:rsidTr="00B215E4">
        <w:tc>
          <w:tcPr>
            <w:tcW w:w="596" w:type="pct"/>
            <w:vMerge/>
            <w:vAlign w:val="center"/>
          </w:tcPr>
          <w:p w14:paraId="5D0206FF" w14:textId="77777777" w:rsidR="0005266E" w:rsidRPr="007C5A6E" w:rsidRDefault="0005266E" w:rsidP="009969E0">
            <w:pPr>
              <w:spacing w:after="0" w:line="240" w:lineRule="auto"/>
              <w:rPr>
                <w:rFonts w:ascii="Times New Roman" w:hAnsi="Times New Roman"/>
              </w:rPr>
            </w:pPr>
          </w:p>
        </w:tc>
        <w:tc>
          <w:tcPr>
            <w:tcW w:w="1117" w:type="pct"/>
            <w:vAlign w:val="center"/>
          </w:tcPr>
          <w:p w14:paraId="31D345AC" w14:textId="77777777" w:rsidR="0005266E" w:rsidRPr="007C5A6E" w:rsidRDefault="0005266E" w:rsidP="009969E0">
            <w:pPr>
              <w:spacing w:after="0" w:line="240" w:lineRule="auto"/>
              <w:rPr>
                <w:rFonts w:ascii="Times New Roman" w:hAnsi="Times New Roman"/>
              </w:rPr>
            </w:pPr>
            <w:proofErr w:type="spellStart"/>
            <w:r w:rsidRPr="007C5A6E">
              <w:rPr>
                <w:rFonts w:ascii="Times New Roman" w:hAnsi="Times New Roman"/>
              </w:rPr>
              <w:t>Ziga</w:t>
            </w:r>
            <w:proofErr w:type="spellEnd"/>
          </w:p>
        </w:tc>
        <w:tc>
          <w:tcPr>
            <w:tcW w:w="946" w:type="pct"/>
            <w:vAlign w:val="center"/>
          </w:tcPr>
          <w:p w14:paraId="11249394"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200</w:t>
            </w:r>
          </w:p>
        </w:tc>
        <w:tc>
          <w:tcPr>
            <w:tcW w:w="2341" w:type="pct"/>
            <w:vAlign w:val="center"/>
          </w:tcPr>
          <w:p w14:paraId="433E622B"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AEP ; élevage, pêche</w:t>
            </w:r>
          </w:p>
        </w:tc>
      </w:tr>
      <w:tr w:rsidR="0005266E" w:rsidRPr="007C5A6E" w14:paraId="21DC2BBF" w14:textId="77777777" w:rsidTr="00B215E4">
        <w:tc>
          <w:tcPr>
            <w:tcW w:w="596" w:type="pct"/>
            <w:vMerge/>
            <w:vAlign w:val="center"/>
          </w:tcPr>
          <w:p w14:paraId="447E29B9" w14:textId="77777777" w:rsidR="0005266E" w:rsidRPr="007C5A6E" w:rsidRDefault="0005266E" w:rsidP="009969E0">
            <w:pPr>
              <w:spacing w:after="0" w:line="240" w:lineRule="auto"/>
              <w:rPr>
                <w:rFonts w:ascii="Times New Roman" w:hAnsi="Times New Roman"/>
              </w:rPr>
            </w:pPr>
          </w:p>
        </w:tc>
        <w:tc>
          <w:tcPr>
            <w:tcW w:w="1117" w:type="pct"/>
            <w:vAlign w:val="center"/>
          </w:tcPr>
          <w:p w14:paraId="37137AF8"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Bagré</w:t>
            </w:r>
          </w:p>
        </w:tc>
        <w:tc>
          <w:tcPr>
            <w:tcW w:w="946" w:type="pct"/>
            <w:vAlign w:val="center"/>
          </w:tcPr>
          <w:p w14:paraId="016150FE"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1 700</w:t>
            </w:r>
          </w:p>
        </w:tc>
        <w:tc>
          <w:tcPr>
            <w:tcW w:w="2341" w:type="pct"/>
            <w:vAlign w:val="center"/>
          </w:tcPr>
          <w:p w14:paraId="0D6CCC09"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Hydro-électricité ; irrigation ; pêche ; élevage</w:t>
            </w:r>
          </w:p>
        </w:tc>
      </w:tr>
      <w:tr w:rsidR="0005266E" w:rsidRPr="007C5A6E" w14:paraId="5E56194A" w14:textId="77777777" w:rsidTr="00B215E4">
        <w:tc>
          <w:tcPr>
            <w:tcW w:w="596" w:type="pct"/>
            <w:vMerge/>
            <w:vAlign w:val="center"/>
          </w:tcPr>
          <w:p w14:paraId="1686FF64" w14:textId="77777777" w:rsidR="0005266E" w:rsidRPr="007C5A6E" w:rsidRDefault="0005266E" w:rsidP="009969E0">
            <w:pPr>
              <w:spacing w:after="0" w:line="240" w:lineRule="auto"/>
              <w:rPr>
                <w:rFonts w:ascii="Times New Roman" w:hAnsi="Times New Roman"/>
              </w:rPr>
            </w:pPr>
          </w:p>
        </w:tc>
        <w:tc>
          <w:tcPr>
            <w:tcW w:w="1117" w:type="pct"/>
            <w:vAlign w:val="center"/>
          </w:tcPr>
          <w:p w14:paraId="5400559D"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 xml:space="preserve">Kompienga </w:t>
            </w:r>
          </w:p>
        </w:tc>
        <w:tc>
          <w:tcPr>
            <w:tcW w:w="946" w:type="pct"/>
            <w:vAlign w:val="center"/>
          </w:tcPr>
          <w:p w14:paraId="2BE145A9"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2 050</w:t>
            </w:r>
          </w:p>
        </w:tc>
        <w:tc>
          <w:tcPr>
            <w:tcW w:w="2341" w:type="pct"/>
            <w:vAlign w:val="center"/>
          </w:tcPr>
          <w:p w14:paraId="7C3A297A"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Hydro-électricité ; irrigation ; pêche ; élevage</w:t>
            </w:r>
          </w:p>
        </w:tc>
      </w:tr>
      <w:tr w:rsidR="0005266E" w:rsidRPr="007C5A6E" w14:paraId="1E6CC8B1" w14:textId="77777777" w:rsidTr="00B215E4">
        <w:tc>
          <w:tcPr>
            <w:tcW w:w="596" w:type="pct"/>
            <w:vAlign w:val="center"/>
          </w:tcPr>
          <w:p w14:paraId="28152259"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Niger</w:t>
            </w:r>
          </w:p>
        </w:tc>
        <w:tc>
          <w:tcPr>
            <w:tcW w:w="1117" w:type="pct"/>
            <w:vAlign w:val="center"/>
          </w:tcPr>
          <w:p w14:paraId="4DD36A7A"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Seytenga</w:t>
            </w:r>
          </w:p>
        </w:tc>
        <w:tc>
          <w:tcPr>
            <w:tcW w:w="946" w:type="pct"/>
            <w:vAlign w:val="center"/>
          </w:tcPr>
          <w:p w14:paraId="42A8A25C" w14:textId="77777777" w:rsidR="0005266E" w:rsidRPr="007C5A6E" w:rsidRDefault="0005266E" w:rsidP="009969E0">
            <w:pPr>
              <w:spacing w:after="0" w:line="240" w:lineRule="auto"/>
              <w:jc w:val="center"/>
              <w:rPr>
                <w:rFonts w:ascii="Times New Roman" w:hAnsi="Times New Roman"/>
              </w:rPr>
            </w:pPr>
            <w:r w:rsidRPr="007C5A6E">
              <w:rPr>
                <w:rFonts w:ascii="Times New Roman" w:hAnsi="Times New Roman"/>
              </w:rPr>
              <w:t>7,8</w:t>
            </w:r>
          </w:p>
        </w:tc>
        <w:tc>
          <w:tcPr>
            <w:tcW w:w="2341" w:type="pct"/>
            <w:vAlign w:val="center"/>
          </w:tcPr>
          <w:p w14:paraId="5A698DAB" w14:textId="77777777" w:rsidR="0005266E" w:rsidRPr="007C5A6E" w:rsidRDefault="0005266E" w:rsidP="009969E0">
            <w:pPr>
              <w:spacing w:after="0" w:line="240" w:lineRule="auto"/>
              <w:rPr>
                <w:rFonts w:ascii="Times New Roman" w:hAnsi="Times New Roman"/>
              </w:rPr>
            </w:pPr>
            <w:r w:rsidRPr="007C5A6E">
              <w:rPr>
                <w:rFonts w:ascii="Times New Roman" w:hAnsi="Times New Roman"/>
              </w:rPr>
              <w:t>Irrigation ; élevage, pêche</w:t>
            </w:r>
          </w:p>
        </w:tc>
      </w:tr>
      <w:tr w:rsidR="0005266E" w:rsidRPr="007C5A6E" w14:paraId="7876159D" w14:textId="77777777" w:rsidTr="00B215E4">
        <w:tc>
          <w:tcPr>
            <w:tcW w:w="596" w:type="pct"/>
            <w:vAlign w:val="center"/>
          </w:tcPr>
          <w:p w14:paraId="4E5BF389" w14:textId="77777777" w:rsidR="0005266E" w:rsidRPr="007C5A6E" w:rsidRDefault="0005266E" w:rsidP="009969E0">
            <w:pPr>
              <w:spacing w:after="0" w:line="240" w:lineRule="auto"/>
              <w:rPr>
                <w:rFonts w:ascii="Times New Roman" w:hAnsi="Times New Roman"/>
                <w:b/>
                <w:bCs/>
              </w:rPr>
            </w:pPr>
            <w:r w:rsidRPr="007C5A6E">
              <w:rPr>
                <w:rFonts w:ascii="Times New Roman" w:hAnsi="Times New Roman"/>
                <w:b/>
                <w:bCs/>
              </w:rPr>
              <w:t>National</w:t>
            </w:r>
          </w:p>
        </w:tc>
        <w:tc>
          <w:tcPr>
            <w:tcW w:w="1117" w:type="pct"/>
            <w:vAlign w:val="center"/>
          </w:tcPr>
          <w:p w14:paraId="389AA251" w14:textId="77777777" w:rsidR="0005266E" w:rsidRPr="007C5A6E" w:rsidRDefault="0005266E" w:rsidP="009969E0">
            <w:pPr>
              <w:spacing w:after="0" w:line="240" w:lineRule="auto"/>
              <w:rPr>
                <w:rFonts w:ascii="Times New Roman" w:hAnsi="Times New Roman"/>
              </w:rPr>
            </w:pPr>
          </w:p>
        </w:tc>
        <w:tc>
          <w:tcPr>
            <w:tcW w:w="946" w:type="pct"/>
            <w:vAlign w:val="center"/>
          </w:tcPr>
          <w:p w14:paraId="1F51C536" w14:textId="77777777" w:rsidR="0005266E" w:rsidRPr="007C5A6E" w:rsidRDefault="0005266E" w:rsidP="009969E0">
            <w:pPr>
              <w:spacing w:after="0" w:line="240" w:lineRule="auto"/>
              <w:jc w:val="center"/>
              <w:rPr>
                <w:rFonts w:ascii="Times New Roman" w:hAnsi="Times New Roman"/>
                <w:b/>
                <w:bCs/>
                <w:color w:val="000000"/>
              </w:rPr>
            </w:pPr>
            <w:r w:rsidRPr="007C5A6E">
              <w:rPr>
                <w:rFonts w:ascii="Times New Roman" w:hAnsi="Times New Roman"/>
                <w:b/>
                <w:bCs/>
                <w:color w:val="000000"/>
              </w:rPr>
              <w:t>4 183,177</w:t>
            </w:r>
          </w:p>
        </w:tc>
        <w:tc>
          <w:tcPr>
            <w:tcW w:w="2341" w:type="pct"/>
            <w:vAlign w:val="center"/>
          </w:tcPr>
          <w:p w14:paraId="1F075C8B" w14:textId="77777777" w:rsidR="0005266E" w:rsidRPr="007C5A6E" w:rsidRDefault="0005266E" w:rsidP="009969E0">
            <w:pPr>
              <w:spacing w:after="0" w:line="240" w:lineRule="auto"/>
              <w:rPr>
                <w:rFonts w:ascii="Times New Roman" w:hAnsi="Times New Roman"/>
              </w:rPr>
            </w:pPr>
          </w:p>
        </w:tc>
      </w:tr>
    </w:tbl>
    <w:p w14:paraId="65280F0F" w14:textId="77777777" w:rsidR="0005266E" w:rsidRPr="007C5A6E" w:rsidRDefault="0005266E" w:rsidP="009969E0">
      <w:pPr>
        <w:spacing w:after="0" w:line="240" w:lineRule="auto"/>
        <w:jc w:val="both"/>
        <w:rPr>
          <w:rFonts w:ascii="Times New Roman" w:hAnsi="Times New Roman"/>
          <w:sz w:val="20"/>
          <w:szCs w:val="20"/>
        </w:rPr>
      </w:pPr>
      <w:r w:rsidRPr="007C5A6E">
        <w:rPr>
          <w:rFonts w:ascii="Times New Roman" w:hAnsi="Times New Roman"/>
          <w:sz w:val="20"/>
          <w:szCs w:val="20"/>
        </w:rPr>
        <w:t xml:space="preserve">Source : Données REEB 4 mises à jour </w:t>
      </w:r>
    </w:p>
    <w:p w14:paraId="4CD6A95C" w14:textId="77777777" w:rsidR="0005266E" w:rsidRPr="007C5A6E" w:rsidRDefault="0005266E" w:rsidP="009969E0">
      <w:pPr>
        <w:spacing w:after="0" w:line="240" w:lineRule="auto"/>
        <w:rPr>
          <w:rFonts w:ascii="Times New Roman" w:hAnsi="Times New Roman"/>
          <w:color w:val="FF0000"/>
          <w:sz w:val="24"/>
          <w:szCs w:val="24"/>
        </w:rPr>
      </w:pPr>
    </w:p>
    <w:p w14:paraId="5DFA62A5" w14:textId="77777777" w:rsidR="00B215E4" w:rsidRPr="007C5A6E" w:rsidRDefault="00B215E4" w:rsidP="00B215E4">
      <w:pPr>
        <w:keepNext/>
        <w:keepLines/>
        <w:shd w:val="clear" w:color="auto" w:fill="D0CECE" w:themeFill="background2" w:themeFillShade="E6"/>
        <w:suppressAutoHyphens/>
        <w:spacing w:after="0" w:line="240" w:lineRule="auto"/>
        <w:jc w:val="both"/>
        <w:rPr>
          <w:rFonts w:ascii="Times New Roman" w:hAnsi="Times New Roman"/>
          <w:i/>
          <w:iCs/>
          <w:sz w:val="24"/>
          <w:szCs w:val="24"/>
        </w:rPr>
      </w:pPr>
      <w:r w:rsidRPr="007C5A6E">
        <w:rPr>
          <w:rFonts w:ascii="Times New Roman" w:hAnsi="Times New Roman"/>
          <w:i/>
          <w:iCs/>
          <w:sz w:val="24"/>
          <w:szCs w:val="24"/>
        </w:rPr>
        <w:t xml:space="preserve">En 2023, le nombre total d’infrastructures d’eau de surface inventoriées s’élève à 1 952 retenues d’eau dont 972 barrages, 804 boulis, 13 lacs, 142 mares et 21 seuils. Les capacités totales de stockage des ressources en eau de surface qui correspondent aux volumes d’eau prélevables, sont évaluées à au moins 6 704 758 606 m3/an dont 6 580 687 246 m3 par les barrages. </w:t>
      </w:r>
    </w:p>
    <w:p w14:paraId="69A72ADB" w14:textId="77777777" w:rsidR="00B215E4" w:rsidRPr="007C5A6E" w:rsidRDefault="00B215E4" w:rsidP="00B215E4">
      <w:pPr>
        <w:shd w:val="clear" w:color="auto" w:fill="D0CECE" w:themeFill="background2" w:themeFillShade="E6"/>
        <w:spacing w:after="0" w:line="240" w:lineRule="auto"/>
        <w:jc w:val="both"/>
        <w:rPr>
          <w:rFonts w:ascii="Times New Roman" w:hAnsi="Times New Roman"/>
          <w:sz w:val="24"/>
          <w:szCs w:val="24"/>
        </w:rPr>
      </w:pPr>
      <w:r w:rsidRPr="007C5A6E">
        <w:rPr>
          <w:rFonts w:ascii="Times New Roman" w:hAnsi="Times New Roman"/>
          <w:i/>
          <w:iCs/>
          <w:sz w:val="24"/>
          <w:szCs w:val="24"/>
        </w:rPr>
        <w:t>Il reste bien entendu que ces volumes d’eau prélevables restent approximatifs en raison des comblements des cuvettes des barrages (non évalués pour pratiquement tous) et des retenues d’eau dont les capacités sont inconnues. Ces volumes d’eau de surface prélevables représentent environ 48,33% des écoulements à l’échelle nationale et 48,36% des écoulements qui sortent du pays.</w:t>
      </w:r>
    </w:p>
    <w:p w14:paraId="79E6E6E2" w14:textId="77777777" w:rsidR="00A340F1" w:rsidRPr="007C5A6E" w:rsidRDefault="00A340F1" w:rsidP="009969E0">
      <w:pPr>
        <w:spacing w:after="0" w:line="240" w:lineRule="auto"/>
        <w:rPr>
          <w:rFonts w:ascii="Times New Roman" w:hAnsi="Times New Roman"/>
          <w:sz w:val="24"/>
          <w:szCs w:val="24"/>
        </w:rPr>
      </w:pPr>
    </w:p>
    <w:p w14:paraId="3645F404" w14:textId="77777777" w:rsidR="00A340F1" w:rsidRPr="007C5A6E" w:rsidRDefault="00A340F1" w:rsidP="009969E0">
      <w:pPr>
        <w:spacing w:after="0" w:line="240" w:lineRule="auto"/>
        <w:rPr>
          <w:rFonts w:ascii="Times New Roman" w:hAnsi="Times New Roman"/>
          <w:sz w:val="24"/>
          <w:szCs w:val="24"/>
        </w:rPr>
      </w:pPr>
    </w:p>
    <w:p w14:paraId="1107254D" w14:textId="730B7AF4" w:rsidR="00E17E61" w:rsidRPr="007C5A6E" w:rsidRDefault="00B94F95" w:rsidP="00712C43">
      <w:pPr>
        <w:pStyle w:val="Titre2"/>
      </w:pPr>
      <w:bookmarkStart w:id="546" w:name="_Toc183340102"/>
      <w:r w:rsidRPr="007C5A6E">
        <w:t>Impacts des pressions et dynamiques des ressources en eau</w:t>
      </w:r>
      <w:bookmarkEnd w:id="546"/>
    </w:p>
    <w:p w14:paraId="281F6730" w14:textId="77777777" w:rsidR="00B94F95" w:rsidRPr="007C5A6E" w:rsidRDefault="00B94F95" w:rsidP="00F57A5C">
      <w:pPr>
        <w:spacing w:after="0" w:line="240" w:lineRule="auto"/>
        <w:rPr>
          <w:rFonts w:ascii="Times New Roman" w:hAnsi="Times New Roman"/>
          <w:sz w:val="24"/>
          <w:szCs w:val="24"/>
        </w:rPr>
      </w:pPr>
    </w:p>
    <w:p w14:paraId="64EE47FA" w14:textId="4A0EDDE0" w:rsidR="00F57A5C" w:rsidRPr="007C5A6E" w:rsidRDefault="00F57A5C" w:rsidP="00F57A5C">
      <w:pPr>
        <w:spacing w:after="0" w:line="240" w:lineRule="auto"/>
        <w:jc w:val="both"/>
        <w:rPr>
          <w:rFonts w:ascii="Times New Roman" w:hAnsi="Times New Roman"/>
          <w:bCs/>
          <w:sz w:val="24"/>
          <w:szCs w:val="24"/>
        </w:rPr>
      </w:pPr>
      <w:r w:rsidRPr="007C5A6E">
        <w:rPr>
          <w:rFonts w:ascii="Times New Roman" w:hAnsi="Times New Roman"/>
          <w:bCs/>
          <w:sz w:val="24"/>
          <w:szCs w:val="24"/>
        </w:rPr>
        <w:t xml:space="preserve">En rappel, la pollution et les prélèvements des ressources en eau constituent les principales pressions qui s’exercent sur ces dernières. </w:t>
      </w:r>
    </w:p>
    <w:p w14:paraId="40ED4653" w14:textId="77777777" w:rsidR="00F57A5C" w:rsidRPr="007C5A6E" w:rsidRDefault="00F57A5C" w:rsidP="00F57A5C">
      <w:pPr>
        <w:spacing w:after="0" w:line="240" w:lineRule="auto"/>
        <w:jc w:val="both"/>
        <w:rPr>
          <w:rFonts w:ascii="Times New Roman" w:hAnsi="Times New Roman"/>
          <w:bCs/>
          <w:sz w:val="24"/>
          <w:szCs w:val="24"/>
        </w:rPr>
      </w:pPr>
    </w:p>
    <w:p w14:paraId="13737E27" w14:textId="77777777" w:rsidR="00F57A5C" w:rsidRPr="007C5A6E" w:rsidRDefault="00F57A5C" w:rsidP="00C738E1">
      <w:pPr>
        <w:pStyle w:val="Titre3"/>
        <w:keepNext w:val="0"/>
        <w:keepLines w:val="0"/>
      </w:pPr>
      <w:bookmarkStart w:id="547" w:name="_Toc182606045"/>
      <w:bookmarkStart w:id="548" w:name="_Toc183340103"/>
      <w:r w:rsidRPr="007C5A6E">
        <w:t>Impact de la pollution sur les ressources en eau</w:t>
      </w:r>
      <w:bookmarkEnd w:id="547"/>
      <w:bookmarkEnd w:id="548"/>
    </w:p>
    <w:p w14:paraId="1529BD56" w14:textId="77777777" w:rsidR="00F57A5C" w:rsidRPr="007C5A6E" w:rsidRDefault="00F57A5C" w:rsidP="00F57A5C">
      <w:pPr>
        <w:spacing w:after="0" w:line="240" w:lineRule="auto"/>
        <w:jc w:val="both"/>
        <w:rPr>
          <w:rFonts w:ascii="Times New Roman" w:hAnsi="Times New Roman"/>
          <w:bCs/>
          <w:sz w:val="24"/>
          <w:szCs w:val="24"/>
        </w:rPr>
      </w:pPr>
    </w:p>
    <w:p w14:paraId="50BB4C79" w14:textId="69AFB7C4" w:rsidR="00F57A5C" w:rsidRPr="007C5A6E" w:rsidRDefault="00F57A5C" w:rsidP="00F57A5C">
      <w:pPr>
        <w:spacing w:after="0" w:line="240" w:lineRule="auto"/>
        <w:jc w:val="both"/>
        <w:rPr>
          <w:rFonts w:ascii="Times New Roman" w:hAnsi="Times New Roman"/>
          <w:bCs/>
          <w:sz w:val="24"/>
          <w:szCs w:val="24"/>
        </w:rPr>
      </w:pPr>
      <w:r w:rsidRPr="007C5A6E">
        <w:rPr>
          <w:rFonts w:ascii="Times New Roman" w:hAnsi="Times New Roman"/>
          <w:bCs/>
          <w:sz w:val="24"/>
          <w:szCs w:val="24"/>
        </w:rPr>
        <w:t>L’état de la qualité des ressources en eau est évolutif au regard de la pression continue et de plus en plus forte et en raison de la faiblesse des réponses apportées jusque-là.</w:t>
      </w:r>
    </w:p>
    <w:p w14:paraId="3C71A18A" w14:textId="77777777" w:rsidR="00F57A5C" w:rsidRPr="007C5A6E" w:rsidRDefault="00F57A5C" w:rsidP="00F57A5C">
      <w:pPr>
        <w:spacing w:after="0" w:line="240" w:lineRule="auto"/>
        <w:jc w:val="both"/>
        <w:rPr>
          <w:rFonts w:ascii="Times New Roman" w:hAnsi="Times New Roman"/>
          <w:bCs/>
          <w:sz w:val="24"/>
          <w:szCs w:val="24"/>
        </w:rPr>
      </w:pPr>
      <w:r w:rsidRPr="007C5A6E">
        <w:rPr>
          <w:rFonts w:ascii="Times New Roman" w:hAnsi="Times New Roman"/>
          <w:bCs/>
          <w:sz w:val="24"/>
          <w:szCs w:val="24"/>
        </w:rPr>
        <w:t xml:space="preserve">Les impacts de la pollution sur les ressources en eau sont à mesurer par conséquent d’une année voire d’une période à l’autre à travers les données et informations y correspondantes. </w:t>
      </w:r>
    </w:p>
    <w:p w14:paraId="32CF52F4" w14:textId="77777777" w:rsidR="00F57A5C" w:rsidRPr="007C5A6E" w:rsidRDefault="00F57A5C" w:rsidP="00F57A5C">
      <w:pPr>
        <w:spacing w:after="0" w:line="240" w:lineRule="auto"/>
        <w:jc w:val="both"/>
        <w:rPr>
          <w:rFonts w:ascii="Times New Roman" w:hAnsi="Times New Roman"/>
          <w:bCs/>
          <w:sz w:val="24"/>
          <w:szCs w:val="24"/>
        </w:rPr>
      </w:pPr>
    </w:p>
    <w:p w14:paraId="6E4EEDF7" w14:textId="77777777" w:rsidR="00F57A5C" w:rsidRPr="007C5A6E" w:rsidRDefault="00F57A5C" w:rsidP="003F3821">
      <w:pPr>
        <w:numPr>
          <w:ilvl w:val="0"/>
          <w:numId w:val="17"/>
        </w:numPr>
        <w:spacing w:after="0" w:line="240" w:lineRule="auto"/>
        <w:outlineLvl w:val="2"/>
        <w:rPr>
          <w:rFonts w:ascii="Times New Roman" w:eastAsia="Calibri" w:hAnsi="Times New Roman"/>
          <w:b/>
          <w:bCs/>
          <w:i/>
          <w:iCs/>
          <w:vanish/>
          <w:sz w:val="24"/>
          <w:szCs w:val="24"/>
          <w:lang w:eastAsia="en-US"/>
        </w:rPr>
      </w:pPr>
      <w:bookmarkStart w:id="549" w:name="_Toc179301328"/>
      <w:bookmarkStart w:id="550" w:name="_Toc179330651"/>
      <w:bookmarkStart w:id="551" w:name="_Toc179331355"/>
      <w:bookmarkStart w:id="552" w:name="_Toc179476082"/>
      <w:bookmarkStart w:id="553" w:name="_Toc179492195"/>
      <w:bookmarkStart w:id="554" w:name="_Toc179492671"/>
      <w:bookmarkStart w:id="555" w:name="_Toc179492766"/>
      <w:bookmarkStart w:id="556" w:name="_Toc180078086"/>
      <w:bookmarkStart w:id="557" w:name="_Toc182605839"/>
      <w:bookmarkStart w:id="558" w:name="_Toc182606046"/>
      <w:bookmarkStart w:id="559" w:name="_Toc183287862"/>
      <w:bookmarkStart w:id="560" w:name="_Toc183291103"/>
      <w:bookmarkStart w:id="561" w:name="_Toc183291507"/>
      <w:bookmarkStart w:id="562" w:name="_Toc183291911"/>
      <w:bookmarkStart w:id="563" w:name="_Toc183340104"/>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p>
    <w:p w14:paraId="650C1DD4" w14:textId="77777777" w:rsidR="00F57A5C" w:rsidRPr="007C5A6E" w:rsidRDefault="00F57A5C" w:rsidP="003F3821">
      <w:pPr>
        <w:numPr>
          <w:ilvl w:val="1"/>
          <w:numId w:val="17"/>
        </w:numPr>
        <w:spacing w:after="0" w:line="240" w:lineRule="auto"/>
        <w:outlineLvl w:val="2"/>
        <w:rPr>
          <w:rFonts w:ascii="Times New Roman" w:eastAsia="Calibri" w:hAnsi="Times New Roman"/>
          <w:b/>
          <w:bCs/>
          <w:i/>
          <w:iCs/>
          <w:vanish/>
          <w:sz w:val="24"/>
          <w:szCs w:val="24"/>
          <w:lang w:eastAsia="en-US"/>
        </w:rPr>
      </w:pPr>
      <w:bookmarkStart w:id="564" w:name="_Toc179301329"/>
      <w:bookmarkStart w:id="565" w:name="_Toc179330652"/>
      <w:bookmarkStart w:id="566" w:name="_Toc179331356"/>
      <w:bookmarkStart w:id="567" w:name="_Toc179476083"/>
      <w:bookmarkStart w:id="568" w:name="_Toc179492196"/>
      <w:bookmarkStart w:id="569" w:name="_Toc179492672"/>
      <w:bookmarkStart w:id="570" w:name="_Toc179492767"/>
      <w:bookmarkStart w:id="571" w:name="_Toc180078087"/>
      <w:bookmarkStart w:id="572" w:name="_Toc182605840"/>
      <w:bookmarkStart w:id="573" w:name="_Toc182606047"/>
      <w:bookmarkStart w:id="574" w:name="_Toc183287863"/>
      <w:bookmarkStart w:id="575" w:name="_Toc183291104"/>
      <w:bookmarkStart w:id="576" w:name="_Toc183291508"/>
      <w:bookmarkStart w:id="577" w:name="_Toc183291912"/>
      <w:bookmarkStart w:id="578" w:name="_Toc183340105"/>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p>
    <w:p w14:paraId="1CE14D06" w14:textId="77777777" w:rsidR="00F57A5C" w:rsidRPr="007C5A6E" w:rsidRDefault="00F57A5C" w:rsidP="00684FF8">
      <w:pPr>
        <w:pStyle w:val="Titre4"/>
      </w:pPr>
      <w:bookmarkStart w:id="579" w:name="_Toc182606048"/>
      <w:bookmarkStart w:id="580" w:name="_Toc183340106"/>
      <w:r w:rsidRPr="007C5A6E">
        <w:t>Impact de la pollution sur les ressources en eau souterraine</w:t>
      </w:r>
      <w:bookmarkEnd w:id="579"/>
      <w:bookmarkEnd w:id="580"/>
    </w:p>
    <w:p w14:paraId="1FA6D104" w14:textId="77777777" w:rsidR="00F57A5C" w:rsidRPr="007C5A6E" w:rsidRDefault="00F57A5C" w:rsidP="00F57A5C">
      <w:pPr>
        <w:spacing w:after="0" w:line="240" w:lineRule="auto"/>
        <w:jc w:val="both"/>
        <w:rPr>
          <w:rFonts w:ascii="Times New Roman" w:hAnsi="Times New Roman"/>
          <w:bCs/>
          <w:sz w:val="24"/>
          <w:szCs w:val="24"/>
        </w:rPr>
      </w:pPr>
    </w:p>
    <w:p w14:paraId="0A548E17" w14:textId="0E3EF0C1" w:rsidR="00F57A5C" w:rsidRPr="007C5A6E" w:rsidRDefault="00F57A5C" w:rsidP="00F57A5C">
      <w:pPr>
        <w:spacing w:after="0" w:line="240" w:lineRule="auto"/>
        <w:jc w:val="both"/>
        <w:rPr>
          <w:rFonts w:ascii="Times New Roman" w:hAnsi="Times New Roman"/>
          <w:bCs/>
          <w:sz w:val="24"/>
          <w:szCs w:val="24"/>
        </w:rPr>
      </w:pPr>
      <w:r w:rsidRPr="007C5A6E">
        <w:rPr>
          <w:rFonts w:ascii="Times New Roman" w:hAnsi="Times New Roman"/>
          <w:bCs/>
          <w:sz w:val="24"/>
          <w:szCs w:val="24"/>
        </w:rPr>
        <w:t xml:space="preserve">Au dernier rapport sur l’état de l’environnement (REEB 4) en date de 2017, seules les données relatives aux ressources en eau souterraine des bassins de la Comoé et du Mouhoun étaient disponibles et exploitées. </w:t>
      </w:r>
    </w:p>
    <w:p w14:paraId="5AF2E15B" w14:textId="77777777" w:rsidR="00F57A5C" w:rsidRPr="007C5A6E" w:rsidRDefault="00F57A5C" w:rsidP="00F57A5C">
      <w:pPr>
        <w:spacing w:after="0" w:line="240" w:lineRule="auto"/>
        <w:jc w:val="both"/>
        <w:rPr>
          <w:rFonts w:ascii="Times New Roman" w:hAnsi="Times New Roman"/>
          <w:bCs/>
          <w:sz w:val="24"/>
          <w:szCs w:val="24"/>
        </w:rPr>
      </w:pPr>
    </w:p>
    <w:p w14:paraId="68DBB097" w14:textId="77777777" w:rsidR="00F57A5C" w:rsidRPr="007C5A6E" w:rsidRDefault="00F57A5C" w:rsidP="003F3821">
      <w:pPr>
        <w:pStyle w:val="Titre5"/>
        <w:keepNext w:val="0"/>
        <w:keepLines w:val="0"/>
        <w:numPr>
          <w:ilvl w:val="4"/>
          <w:numId w:val="4"/>
        </w:numPr>
        <w:spacing w:before="0"/>
        <w:ind w:left="907" w:hanging="907"/>
        <w:rPr>
          <w:rFonts w:ascii="Times New Roman" w:hAnsi="Times New Roman" w:cs="Times New Roman"/>
          <w:color w:val="auto"/>
          <w:u w:val="single"/>
          <w:lang w:eastAsia="en-US"/>
        </w:rPr>
      </w:pPr>
      <w:bookmarkStart w:id="581" w:name="_Toc183340107"/>
      <w:r w:rsidRPr="007C5A6E">
        <w:rPr>
          <w:rFonts w:ascii="Times New Roman" w:hAnsi="Times New Roman" w:cs="Times New Roman"/>
          <w:color w:val="auto"/>
          <w:u w:val="single"/>
          <w:lang w:eastAsia="en-US"/>
        </w:rPr>
        <w:t>Impact de la pollution sur les ressources en eau souterraine du bassin de la Comoé</w:t>
      </w:r>
      <w:bookmarkEnd w:id="581"/>
    </w:p>
    <w:p w14:paraId="795985FC" w14:textId="77777777" w:rsidR="00F57A5C" w:rsidRPr="007C5A6E" w:rsidRDefault="00F57A5C" w:rsidP="00F57A5C">
      <w:pPr>
        <w:spacing w:after="0" w:line="240" w:lineRule="auto"/>
        <w:jc w:val="both"/>
        <w:rPr>
          <w:rFonts w:ascii="Times New Roman" w:hAnsi="Times New Roman"/>
          <w:sz w:val="24"/>
          <w:szCs w:val="24"/>
        </w:rPr>
      </w:pPr>
    </w:p>
    <w:p w14:paraId="4F127F73" w14:textId="0D1B5489" w:rsidR="00F57A5C" w:rsidRPr="007C5A6E" w:rsidRDefault="00F57A5C" w:rsidP="00F57A5C">
      <w:pPr>
        <w:spacing w:after="0" w:line="240" w:lineRule="auto"/>
        <w:jc w:val="both"/>
        <w:rPr>
          <w:rFonts w:ascii="Times New Roman" w:hAnsi="Times New Roman"/>
          <w:sz w:val="24"/>
          <w:szCs w:val="24"/>
        </w:rPr>
      </w:pPr>
      <w:r w:rsidRPr="007C5A6E">
        <w:rPr>
          <w:rFonts w:ascii="Times New Roman" w:hAnsi="Times New Roman"/>
          <w:sz w:val="24"/>
          <w:szCs w:val="24"/>
        </w:rPr>
        <w:t xml:space="preserve">En 2012, les données relatives à la qualité des ressources en eau souterraines ne donnent que des informations en termes de bon, acceptable ou mauvais sans chiffres précis pour les paramètres mesurés (cf. tableau </w:t>
      </w:r>
      <w:r w:rsidR="00BE5862" w:rsidRPr="007C5A6E">
        <w:rPr>
          <w:rFonts w:ascii="Times New Roman" w:hAnsi="Times New Roman"/>
          <w:sz w:val="24"/>
          <w:szCs w:val="24"/>
        </w:rPr>
        <w:t>2</w:t>
      </w:r>
      <w:r w:rsidR="009C4C26" w:rsidRPr="007C5A6E">
        <w:rPr>
          <w:rFonts w:ascii="Times New Roman" w:hAnsi="Times New Roman"/>
          <w:sz w:val="24"/>
          <w:szCs w:val="24"/>
        </w:rPr>
        <w:t>1</w:t>
      </w:r>
      <w:r w:rsidR="00F64FD7" w:rsidRPr="007C5A6E">
        <w:rPr>
          <w:rFonts w:ascii="Times New Roman" w:hAnsi="Times New Roman"/>
          <w:sz w:val="24"/>
          <w:szCs w:val="24"/>
        </w:rPr>
        <w:t xml:space="preserve"> ci-dessus</w:t>
      </w:r>
      <w:r w:rsidR="00643AF0" w:rsidRPr="007C5A6E">
        <w:rPr>
          <w:rFonts w:ascii="Times New Roman" w:hAnsi="Times New Roman"/>
          <w:sz w:val="24"/>
          <w:szCs w:val="24"/>
        </w:rPr>
        <w:t>)</w:t>
      </w:r>
      <w:r w:rsidRPr="007C5A6E">
        <w:rPr>
          <w:rFonts w:ascii="Times New Roman" w:hAnsi="Times New Roman"/>
          <w:sz w:val="24"/>
          <w:szCs w:val="24"/>
        </w:rPr>
        <w:t>.</w:t>
      </w:r>
    </w:p>
    <w:p w14:paraId="1BC54101" w14:textId="77777777" w:rsidR="00F57A5C" w:rsidRPr="007C5A6E" w:rsidRDefault="00F57A5C" w:rsidP="00F57A5C">
      <w:pPr>
        <w:spacing w:after="0" w:line="240" w:lineRule="auto"/>
        <w:jc w:val="both"/>
        <w:rPr>
          <w:rFonts w:ascii="Times New Roman" w:hAnsi="Times New Roman"/>
          <w:sz w:val="24"/>
          <w:szCs w:val="24"/>
        </w:rPr>
      </w:pPr>
    </w:p>
    <w:p w14:paraId="13B03C84" w14:textId="5F29CEA1" w:rsidR="00F57A5C" w:rsidRPr="007C5A6E" w:rsidRDefault="00F57A5C" w:rsidP="00BA5B98">
      <w:pPr>
        <w:tabs>
          <w:tab w:val="left" w:pos="1134"/>
        </w:tabs>
        <w:spacing w:after="0" w:line="240" w:lineRule="auto"/>
        <w:rPr>
          <w:rFonts w:ascii="Times New Roman" w:hAnsi="Times New Roman"/>
          <w:iCs/>
          <w:sz w:val="24"/>
          <w:szCs w:val="24"/>
          <w:lang w:eastAsia="da-DK"/>
        </w:rPr>
      </w:pPr>
      <w:bookmarkStart w:id="582" w:name="_Toc182605868"/>
      <w:bookmarkStart w:id="583" w:name="_Toc183240983"/>
      <w:bookmarkStart w:id="584" w:name="_Toc183292225"/>
      <w:bookmarkStart w:id="585" w:name="_Toc183340505"/>
      <w:r w:rsidRPr="007C5A6E">
        <w:rPr>
          <w:rFonts w:ascii="Times New Roman" w:hAnsi="Times New Roman"/>
          <w:iCs/>
          <w:sz w:val="24"/>
          <w:szCs w:val="24"/>
          <w:lang w:eastAsia="da-DK"/>
        </w:rPr>
        <w:t xml:space="preserve">Tableau </w:t>
      </w:r>
      <w:r w:rsidRPr="007C5A6E">
        <w:rPr>
          <w:rFonts w:ascii="Times New Roman" w:hAnsi="Times New Roman"/>
          <w:iCs/>
          <w:sz w:val="24"/>
          <w:szCs w:val="24"/>
          <w:lang w:eastAsia="da-DK"/>
        </w:rPr>
        <w:fldChar w:fldCharType="begin"/>
      </w:r>
      <w:r w:rsidRPr="007C5A6E">
        <w:rPr>
          <w:rFonts w:ascii="Times New Roman" w:hAnsi="Times New Roman"/>
          <w:iCs/>
          <w:sz w:val="24"/>
          <w:szCs w:val="24"/>
          <w:lang w:eastAsia="da-DK"/>
        </w:rPr>
        <w:instrText xml:space="preserve"> SEQ Tableau \* ARABIC </w:instrText>
      </w:r>
      <w:r w:rsidRPr="007C5A6E">
        <w:rPr>
          <w:rFonts w:ascii="Times New Roman" w:hAnsi="Times New Roman"/>
          <w:iCs/>
          <w:sz w:val="24"/>
          <w:szCs w:val="24"/>
          <w:lang w:eastAsia="da-DK"/>
        </w:rPr>
        <w:fldChar w:fldCharType="separate"/>
      </w:r>
      <w:r w:rsidR="003162F8" w:rsidRPr="007C5A6E">
        <w:rPr>
          <w:rFonts w:ascii="Times New Roman" w:hAnsi="Times New Roman"/>
          <w:iCs/>
          <w:noProof/>
          <w:sz w:val="24"/>
          <w:szCs w:val="24"/>
          <w:lang w:eastAsia="da-DK"/>
        </w:rPr>
        <w:t>21</w:t>
      </w:r>
      <w:r w:rsidRPr="007C5A6E">
        <w:rPr>
          <w:rFonts w:ascii="Times New Roman" w:hAnsi="Times New Roman"/>
          <w:iCs/>
          <w:sz w:val="24"/>
          <w:szCs w:val="24"/>
          <w:lang w:eastAsia="da-DK"/>
        </w:rPr>
        <w:fldChar w:fldCharType="end"/>
      </w:r>
      <w:r w:rsidRPr="007C5A6E">
        <w:rPr>
          <w:rFonts w:ascii="Times New Roman" w:hAnsi="Times New Roman"/>
          <w:iCs/>
          <w:sz w:val="24"/>
          <w:szCs w:val="24"/>
          <w:lang w:eastAsia="da-DK"/>
        </w:rPr>
        <w:t> : Evaluation de la qualité des ressources en eau souterraines du bassin de la Comoé en 2012</w:t>
      </w:r>
      <w:bookmarkEnd w:id="582"/>
      <w:bookmarkEnd w:id="583"/>
      <w:bookmarkEnd w:id="584"/>
      <w:bookmarkEnd w:id="585"/>
    </w:p>
    <w:p w14:paraId="17360BD8" w14:textId="77777777" w:rsidR="00BA5B98" w:rsidRPr="007C5A6E" w:rsidRDefault="00BA5B98" w:rsidP="00F57A5C">
      <w:pPr>
        <w:tabs>
          <w:tab w:val="left" w:pos="1134"/>
        </w:tabs>
        <w:spacing w:after="0" w:line="240" w:lineRule="auto"/>
        <w:ind w:left="1134" w:hanging="1134"/>
        <w:rPr>
          <w:rFonts w:ascii="Times New Roman" w:hAnsi="Times New Roman"/>
          <w:iCs/>
          <w:sz w:val="24"/>
          <w:szCs w:val="24"/>
          <w:lang w:eastAsia="da-DK"/>
        </w:rPr>
      </w:pPr>
    </w:p>
    <w:tbl>
      <w:tblPr>
        <w:tblW w:w="9276" w:type="dxa"/>
        <w:tblInd w:w="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31"/>
        <w:gridCol w:w="695"/>
        <w:gridCol w:w="700"/>
        <w:gridCol w:w="580"/>
        <w:gridCol w:w="580"/>
        <w:gridCol w:w="700"/>
        <w:gridCol w:w="580"/>
        <w:gridCol w:w="580"/>
        <w:gridCol w:w="580"/>
        <w:gridCol w:w="684"/>
        <w:gridCol w:w="460"/>
        <w:gridCol w:w="1206"/>
      </w:tblGrid>
      <w:tr w:rsidR="00F57A5C" w:rsidRPr="007C5A6E" w14:paraId="55B943A2" w14:textId="77777777" w:rsidTr="00BA5B98">
        <w:trPr>
          <w:trHeight w:val="170"/>
        </w:trPr>
        <w:tc>
          <w:tcPr>
            <w:tcW w:w="1931" w:type="dxa"/>
            <w:shd w:val="clear" w:color="auto" w:fill="002060"/>
            <w:noWrap/>
            <w:vAlign w:val="center"/>
            <w:hideMark/>
          </w:tcPr>
          <w:p w14:paraId="6B0E5058" w14:textId="77777777" w:rsidR="00F57A5C" w:rsidRPr="007C5A6E" w:rsidRDefault="00F57A5C" w:rsidP="00F57A5C">
            <w:pPr>
              <w:spacing w:after="0" w:line="240" w:lineRule="auto"/>
              <w:rPr>
                <w:rFonts w:ascii="Times New Roman" w:hAnsi="Times New Roman"/>
                <w:sz w:val="21"/>
                <w:szCs w:val="21"/>
              </w:rPr>
            </w:pPr>
            <w:r w:rsidRPr="007C5A6E">
              <w:rPr>
                <w:rFonts w:ascii="Times New Roman" w:hAnsi="Times New Roman"/>
                <w:sz w:val="21"/>
                <w:szCs w:val="21"/>
              </w:rPr>
              <w:t>Qualité de l’eau </w:t>
            </w:r>
          </w:p>
        </w:tc>
        <w:tc>
          <w:tcPr>
            <w:tcW w:w="695" w:type="dxa"/>
            <w:shd w:val="clear" w:color="auto" w:fill="002060"/>
            <w:noWrap/>
            <w:vAlign w:val="center"/>
            <w:hideMark/>
          </w:tcPr>
          <w:p w14:paraId="1F2D293F" w14:textId="77777777" w:rsidR="00F57A5C" w:rsidRPr="007C5A6E" w:rsidRDefault="00F57A5C" w:rsidP="00F57A5C">
            <w:pPr>
              <w:spacing w:after="0" w:line="240" w:lineRule="auto"/>
              <w:jc w:val="center"/>
              <w:rPr>
                <w:rFonts w:ascii="Times New Roman" w:hAnsi="Times New Roman"/>
                <w:sz w:val="21"/>
                <w:szCs w:val="21"/>
              </w:rPr>
            </w:pPr>
            <w:proofErr w:type="gramStart"/>
            <w:r w:rsidRPr="007C5A6E">
              <w:rPr>
                <w:rFonts w:ascii="Times New Roman" w:hAnsi="Times New Roman"/>
                <w:sz w:val="21"/>
                <w:szCs w:val="21"/>
              </w:rPr>
              <w:t>pH</w:t>
            </w:r>
            <w:proofErr w:type="gramEnd"/>
          </w:p>
        </w:tc>
        <w:tc>
          <w:tcPr>
            <w:tcW w:w="700" w:type="dxa"/>
            <w:shd w:val="clear" w:color="auto" w:fill="002060"/>
            <w:noWrap/>
            <w:vAlign w:val="center"/>
            <w:hideMark/>
          </w:tcPr>
          <w:p w14:paraId="2294114F" w14:textId="77777777" w:rsidR="00F57A5C" w:rsidRPr="007C5A6E" w:rsidRDefault="00F57A5C" w:rsidP="00F57A5C">
            <w:pPr>
              <w:spacing w:after="0" w:line="240" w:lineRule="auto"/>
              <w:jc w:val="center"/>
              <w:rPr>
                <w:rFonts w:ascii="Times New Roman" w:hAnsi="Times New Roman"/>
                <w:sz w:val="21"/>
                <w:szCs w:val="21"/>
              </w:rPr>
            </w:pPr>
            <w:r w:rsidRPr="007C5A6E">
              <w:rPr>
                <w:rFonts w:ascii="Times New Roman" w:hAnsi="Times New Roman"/>
                <w:sz w:val="21"/>
                <w:szCs w:val="21"/>
              </w:rPr>
              <w:t>Cl</w:t>
            </w:r>
          </w:p>
        </w:tc>
        <w:tc>
          <w:tcPr>
            <w:tcW w:w="580" w:type="dxa"/>
            <w:shd w:val="clear" w:color="auto" w:fill="002060"/>
            <w:noWrap/>
            <w:vAlign w:val="center"/>
            <w:hideMark/>
          </w:tcPr>
          <w:p w14:paraId="2568B8C0" w14:textId="77777777" w:rsidR="00F57A5C" w:rsidRPr="007C5A6E" w:rsidRDefault="00F57A5C" w:rsidP="00F57A5C">
            <w:pPr>
              <w:spacing w:after="0" w:line="240" w:lineRule="auto"/>
              <w:jc w:val="center"/>
              <w:rPr>
                <w:rFonts w:ascii="Times New Roman" w:hAnsi="Times New Roman"/>
                <w:sz w:val="21"/>
                <w:szCs w:val="21"/>
              </w:rPr>
            </w:pPr>
            <w:r w:rsidRPr="007C5A6E">
              <w:rPr>
                <w:rFonts w:ascii="Times New Roman" w:hAnsi="Times New Roman"/>
                <w:sz w:val="21"/>
                <w:szCs w:val="21"/>
              </w:rPr>
              <w:t>NO</w:t>
            </w:r>
            <w:r w:rsidRPr="007C5A6E">
              <w:rPr>
                <w:rFonts w:ascii="Times New Roman" w:hAnsi="Times New Roman"/>
                <w:sz w:val="21"/>
                <w:szCs w:val="21"/>
                <w:vertAlign w:val="subscript"/>
              </w:rPr>
              <w:t>3</w:t>
            </w:r>
          </w:p>
        </w:tc>
        <w:tc>
          <w:tcPr>
            <w:tcW w:w="580" w:type="dxa"/>
            <w:shd w:val="clear" w:color="auto" w:fill="002060"/>
            <w:noWrap/>
            <w:vAlign w:val="center"/>
            <w:hideMark/>
          </w:tcPr>
          <w:p w14:paraId="3D84684E" w14:textId="77777777" w:rsidR="00F57A5C" w:rsidRPr="007C5A6E" w:rsidRDefault="00F57A5C" w:rsidP="00F57A5C">
            <w:pPr>
              <w:spacing w:after="0" w:line="240" w:lineRule="auto"/>
              <w:jc w:val="center"/>
              <w:rPr>
                <w:rFonts w:ascii="Times New Roman" w:hAnsi="Times New Roman"/>
                <w:sz w:val="21"/>
                <w:szCs w:val="21"/>
              </w:rPr>
            </w:pPr>
            <w:r w:rsidRPr="007C5A6E">
              <w:rPr>
                <w:rFonts w:ascii="Times New Roman" w:hAnsi="Times New Roman"/>
                <w:sz w:val="21"/>
                <w:szCs w:val="21"/>
              </w:rPr>
              <w:t>NO</w:t>
            </w:r>
            <w:r w:rsidRPr="007C5A6E">
              <w:rPr>
                <w:rFonts w:ascii="Times New Roman" w:hAnsi="Times New Roman"/>
                <w:sz w:val="21"/>
                <w:szCs w:val="21"/>
                <w:vertAlign w:val="subscript"/>
              </w:rPr>
              <w:t>2</w:t>
            </w:r>
          </w:p>
        </w:tc>
        <w:tc>
          <w:tcPr>
            <w:tcW w:w="700" w:type="dxa"/>
            <w:shd w:val="clear" w:color="auto" w:fill="002060"/>
            <w:noWrap/>
            <w:vAlign w:val="center"/>
            <w:hideMark/>
          </w:tcPr>
          <w:p w14:paraId="1BA247EA" w14:textId="77777777" w:rsidR="00F57A5C" w:rsidRPr="007C5A6E" w:rsidRDefault="00F57A5C" w:rsidP="00F57A5C">
            <w:pPr>
              <w:spacing w:after="0" w:line="240" w:lineRule="auto"/>
              <w:jc w:val="center"/>
              <w:rPr>
                <w:rFonts w:ascii="Times New Roman" w:hAnsi="Times New Roman"/>
                <w:sz w:val="21"/>
                <w:szCs w:val="21"/>
              </w:rPr>
            </w:pPr>
            <w:r w:rsidRPr="007C5A6E">
              <w:rPr>
                <w:rFonts w:ascii="Times New Roman" w:hAnsi="Times New Roman"/>
                <w:sz w:val="21"/>
                <w:szCs w:val="21"/>
              </w:rPr>
              <w:t>SO</w:t>
            </w:r>
            <w:r w:rsidRPr="007C5A6E">
              <w:rPr>
                <w:rFonts w:ascii="Times New Roman" w:hAnsi="Times New Roman"/>
                <w:sz w:val="21"/>
                <w:szCs w:val="21"/>
                <w:vertAlign w:val="subscript"/>
              </w:rPr>
              <w:t>4</w:t>
            </w:r>
          </w:p>
        </w:tc>
        <w:tc>
          <w:tcPr>
            <w:tcW w:w="580" w:type="dxa"/>
            <w:shd w:val="clear" w:color="auto" w:fill="002060"/>
            <w:noWrap/>
            <w:vAlign w:val="center"/>
            <w:hideMark/>
          </w:tcPr>
          <w:p w14:paraId="3BAD8BBD" w14:textId="77777777" w:rsidR="00F57A5C" w:rsidRPr="007C5A6E" w:rsidRDefault="00F57A5C" w:rsidP="00F57A5C">
            <w:pPr>
              <w:spacing w:after="0" w:line="240" w:lineRule="auto"/>
              <w:jc w:val="center"/>
              <w:rPr>
                <w:rFonts w:ascii="Times New Roman" w:hAnsi="Times New Roman"/>
                <w:sz w:val="21"/>
                <w:szCs w:val="21"/>
              </w:rPr>
            </w:pPr>
            <w:r w:rsidRPr="007C5A6E">
              <w:rPr>
                <w:rFonts w:ascii="Times New Roman" w:hAnsi="Times New Roman"/>
                <w:sz w:val="21"/>
                <w:szCs w:val="21"/>
              </w:rPr>
              <w:t>F</w:t>
            </w:r>
          </w:p>
        </w:tc>
        <w:tc>
          <w:tcPr>
            <w:tcW w:w="580" w:type="dxa"/>
            <w:shd w:val="clear" w:color="auto" w:fill="002060"/>
            <w:noWrap/>
            <w:vAlign w:val="center"/>
            <w:hideMark/>
          </w:tcPr>
          <w:p w14:paraId="0BD6A030" w14:textId="77777777" w:rsidR="00F57A5C" w:rsidRPr="007C5A6E" w:rsidRDefault="00F57A5C" w:rsidP="00F57A5C">
            <w:pPr>
              <w:spacing w:after="0" w:line="240" w:lineRule="auto"/>
              <w:jc w:val="center"/>
              <w:rPr>
                <w:rFonts w:ascii="Times New Roman" w:hAnsi="Times New Roman"/>
                <w:sz w:val="21"/>
                <w:szCs w:val="21"/>
              </w:rPr>
            </w:pPr>
            <w:r w:rsidRPr="007C5A6E">
              <w:rPr>
                <w:rFonts w:ascii="Times New Roman" w:hAnsi="Times New Roman"/>
                <w:sz w:val="21"/>
                <w:szCs w:val="21"/>
              </w:rPr>
              <w:t>Fe</w:t>
            </w:r>
          </w:p>
        </w:tc>
        <w:tc>
          <w:tcPr>
            <w:tcW w:w="580" w:type="dxa"/>
            <w:shd w:val="clear" w:color="auto" w:fill="002060"/>
            <w:noWrap/>
            <w:vAlign w:val="center"/>
            <w:hideMark/>
          </w:tcPr>
          <w:p w14:paraId="43CC12B3" w14:textId="77777777" w:rsidR="00F57A5C" w:rsidRPr="007C5A6E" w:rsidRDefault="00F57A5C" w:rsidP="00F57A5C">
            <w:pPr>
              <w:spacing w:after="0" w:line="240" w:lineRule="auto"/>
              <w:jc w:val="center"/>
              <w:rPr>
                <w:rFonts w:ascii="Times New Roman" w:hAnsi="Times New Roman"/>
                <w:sz w:val="21"/>
                <w:szCs w:val="21"/>
              </w:rPr>
            </w:pPr>
            <w:r w:rsidRPr="007C5A6E">
              <w:rPr>
                <w:rFonts w:ascii="Times New Roman" w:hAnsi="Times New Roman"/>
                <w:sz w:val="21"/>
                <w:szCs w:val="21"/>
              </w:rPr>
              <w:t>Mn</w:t>
            </w:r>
          </w:p>
        </w:tc>
        <w:tc>
          <w:tcPr>
            <w:tcW w:w="684" w:type="dxa"/>
            <w:shd w:val="clear" w:color="auto" w:fill="002060"/>
            <w:noWrap/>
            <w:vAlign w:val="center"/>
            <w:hideMark/>
          </w:tcPr>
          <w:p w14:paraId="06F63EE3" w14:textId="77777777" w:rsidR="00F57A5C" w:rsidRPr="007C5A6E" w:rsidRDefault="00F57A5C" w:rsidP="00F57A5C">
            <w:pPr>
              <w:spacing w:after="0" w:line="240" w:lineRule="auto"/>
              <w:jc w:val="center"/>
              <w:rPr>
                <w:rFonts w:ascii="Times New Roman" w:hAnsi="Times New Roman"/>
                <w:sz w:val="21"/>
                <w:szCs w:val="21"/>
              </w:rPr>
            </w:pPr>
            <w:r w:rsidRPr="007C5A6E">
              <w:rPr>
                <w:rFonts w:ascii="Times New Roman" w:hAnsi="Times New Roman"/>
                <w:sz w:val="21"/>
                <w:szCs w:val="21"/>
              </w:rPr>
              <w:t>IR*</w:t>
            </w:r>
          </w:p>
        </w:tc>
        <w:tc>
          <w:tcPr>
            <w:tcW w:w="460" w:type="dxa"/>
            <w:shd w:val="clear" w:color="auto" w:fill="002060"/>
            <w:noWrap/>
            <w:vAlign w:val="center"/>
            <w:hideMark/>
          </w:tcPr>
          <w:p w14:paraId="2FD7467C" w14:textId="77777777" w:rsidR="00F57A5C" w:rsidRPr="007C5A6E" w:rsidRDefault="00F57A5C" w:rsidP="00F57A5C">
            <w:pPr>
              <w:spacing w:after="0" w:line="240" w:lineRule="auto"/>
              <w:jc w:val="center"/>
              <w:rPr>
                <w:rFonts w:ascii="Times New Roman" w:hAnsi="Times New Roman"/>
                <w:sz w:val="21"/>
                <w:szCs w:val="21"/>
              </w:rPr>
            </w:pPr>
            <w:r w:rsidRPr="007C5A6E">
              <w:rPr>
                <w:rFonts w:ascii="Times New Roman" w:hAnsi="Times New Roman"/>
                <w:sz w:val="21"/>
                <w:szCs w:val="21"/>
              </w:rPr>
              <w:t>AS</w:t>
            </w:r>
          </w:p>
        </w:tc>
        <w:tc>
          <w:tcPr>
            <w:tcW w:w="1206" w:type="dxa"/>
            <w:shd w:val="clear" w:color="auto" w:fill="002060"/>
            <w:noWrap/>
            <w:vAlign w:val="center"/>
            <w:hideMark/>
          </w:tcPr>
          <w:p w14:paraId="70B7C97A" w14:textId="77777777" w:rsidR="00F57A5C" w:rsidRPr="007C5A6E" w:rsidRDefault="00F57A5C" w:rsidP="00F57A5C">
            <w:pPr>
              <w:spacing w:after="0" w:line="240" w:lineRule="auto"/>
              <w:jc w:val="center"/>
              <w:rPr>
                <w:rFonts w:ascii="Times New Roman" w:hAnsi="Times New Roman"/>
                <w:sz w:val="21"/>
                <w:szCs w:val="21"/>
              </w:rPr>
            </w:pPr>
            <w:r w:rsidRPr="007C5A6E">
              <w:rPr>
                <w:rFonts w:ascii="Times New Roman" w:hAnsi="Times New Roman"/>
                <w:sz w:val="21"/>
                <w:szCs w:val="21"/>
              </w:rPr>
              <w:t>Moyenne</w:t>
            </w:r>
          </w:p>
        </w:tc>
      </w:tr>
      <w:tr w:rsidR="00F57A5C" w:rsidRPr="007C5A6E" w14:paraId="165F2313" w14:textId="77777777" w:rsidTr="00473089">
        <w:trPr>
          <w:trHeight w:val="170"/>
        </w:trPr>
        <w:tc>
          <w:tcPr>
            <w:tcW w:w="1931" w:type="dxa"/>
            <w:shd w:val="clear" w:color="auto" w:fill="auto"/>
            <w:noWrap/>
            <w:vAlign w:val="center"/>
            <w:hideMark/>
          </w:tcPr>
          <w:p w14:paraId="3F64707F" w14:textId="77777777" w:rsidR="00F57A5C" w:rsidRPr="007C5A6E" w:rsidRDefault="00F57A5C" w:rsidP="00F57A5C">
            <w:pPr>
              <w:spacing w:after="0" w:line="240" w:lineRule="auto"/>
              <w:jc w:val="both"/>
              <w:rPr>
                <w:rFonts w:ascii="Times New Roman" w:hAnsi="Times New Roman"/>
                <w:bCs/>
                <w:sz w:val="21"/>
                <w:szCs w:val="21"/>
              </w:rPr>
            </w:pPr>
            <w:r w:rsidRPr="007C5A6E">
              <w:rPr>
                <w:rFonts w:ascii="Times New Roman" w:hAnsi="Times New Roman"/>
                <w:bCs/>
                <w:sz w:val="21"/>
                <w:szCs w:val="21"/>
              </w:rPr>
              <w:t>Nombre d’échantillons observés</w:t>
            </w:r>
          </w:p>
        </w:tc>
        <w:tc>
          <w:tcPr>
            <w:tcW w:w="695" w:type="dxa"/>
            <w:shd w:val="clear" w:color="auto" w:fill="auto"/>
            <w:noWrap/>
            <w:vAlign w:val="center"/>
            <w:hideMark/>
          </w:tcPr>
          <w:p w14:paraId="0B3C9F64" w14:textId="77777777" w:rsidR="00F57A5C" w:rsidRPr="007C5A6E" w:rsidRDefault="00F57A5C" w:rsidP="00F57A5C">
            <w:pPr>
              <w:spacing w:after="0" w:line="240" w:lineRule="auto"/>
              <w:jc w:val="center"/>
              <w:rPr>
                <w:rFonts w:ascii="Times New Roman" w:hAnsi="Times New Roman"/>
                <w:sz w:val="21"/>
                <w:szCs w:val="21"/>
              </w:rPr>
            </w:pPr>
            <w:r w:rsidRPr="007C5A6E">
              <w:rPr>
                <w:rFonts w:ascii="Times New Roman" w:hAnsi="Times New Roman"/>
                <w:sz w:val="21"/>
                <w:szCs w:val="21"/>
              </w:rPr>
              <w:t>196</w:t>
            </w:r>
          </w:p>
        </w:tc>
        <w:tc>
          <w:tcPr>
            <w:tcW w:w="700" w:type="dxa"/>
            <w:shd w:val="clear" w:color="auto" w:fill="auto"/>
            <w:noWrap/>
            <w:vAlign w:val="center"/>
            <w:hideMark/>
          </w:tcPr>
          <w:p w14:paraId="2FBB7E58"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124</w:t>
            </w:r>
          </w:p>
        </w:tc>
        <w:tc>
          <w:tcPr>
            <w:tcW w:w="580" w:type="dxa"/>
            <w:shd w:val="clear" w:color="auto" w:fill="auto"/>
            <w:noWrap/>
            <w:vAlign w:val="center"/>
            <w:hideMark/>
          </w:tcPr>
          <w:p w14:paraId="46EAC697"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142</w:t>
            </w:r>
          </w:p>
        </w:tc>
        <w:tc>
          <w:tcPr>
            <w:tcW w:w="580" w:type="dxa"/>
            <w:shd w:val="clear" w:color="auto" w:fill="auto"/>
            <w:noWrap/>
            <w:vAlign w:val="center"/>
            <w:hideMark/>
          </w:tcPr>
          <w:p w14:paraId="37D179C7"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116</w:t>
            </w:r>
          </w:p>
        </w:tc>
        <w:tc>
          <w:tcPr>
            <w:tcW w:w="700" w:type="dxa"/>
            <w:shd w:val="clear" w:color="auto" w:fill="auto"/>
            <w:noWrap/>
            <w:vAlign w:val="center"/>
            <w:hideMark/>
          </w:tcPr>
          <w:p w14:paraId="7A39A8D9"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106</w:t>
            </w:r>
          </w:p>
        </w:tc>
        <w:tc>
          <w:tcPr>
            <w:tcW w:w="580" w:type="dxa"/>
            <w:shd w:val="clear" w:color="auto" w:fill="auto"/>
            <w:noWrap/>
            <w:vAlign w:val="center"/>
            <w:hideMark/>
          </w:tcPr>
          <w:p w14:paraId="110F79B5"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19</w:t>
            </w:r>
          </w:p>
        </w:tc>
        <w:tc>
          <w:tcPr>
            <w:tcW w:w="580" w:type="dxa"/>
            <w:shd w:val="clear" w:color="auto" w:fill="auto"/>
            <w:noWrap/>
            <w:vAlign w:val="center"/>
            <w:hideMark/>
          </w:tcPr>
          <w:p w14:paraId="19BCC563"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73</w:t>
            </w:r>
          </w:p>
        </w:tc>
        <w:tc>
          <w:tcPr>
            <w:tcW w:w="580" w:type="dxa"/>
            <w:shd w:val="clear" w:color="auto" w:fill="auto"/>
            <w:noWrap/>
            <w:vAlign w:val="center"/>
            <w:hideMark/>
          </w:tcPr>
          <w:p w14:paraId="79ED1604"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40</w:t>
            </w:r>
          </w:p>
        </w:tc>
        <w:tc>
          <w:tcPr>
            <w:tcW w:w="684" w:type="dxa"/>
            <w:shd w:val="clear" w:color="auto" w:fill="auto"/>
            <w:noWrap/>
            <w:vAlign w:val="center"/>
            <w:hideMark/>
          </w:tcPr>
          <w:p w14:paraId="17729A5B" w14:textId="77777777" w:rsidR="00F57A5C" w:rsidRPr="007C5A6E" w:rsidRDefault="00F57A5C" w:rsidP="00F57A5C">
            <w:pPr>
              <w:spacing w:after="0" w:line="240" w:lineRule="auto"/>
              <w:jc w:val="center"/>
              <w:rPr>
                <w:rFonts w:ascii="Times New Roman" w:hAnsi="Times New Roman"/>
                <w:sz w:val="21"/>
                <w:szCs w:val="21"/>
              </w:rPr>
            </w:pPr>
            <w:r w:rsidRPr="007C5A6E">
              <w:rPr>
                <w:rFonts w:ascii="Times New Roman" w:hAnsi="Times New Roman"/>
                <w:sz w:val="21"/>
                <w:szCs w:val="21"/>
              </w:rPr>
              <w:t>194</w:t>
            </w:r>
          </w:p>
        </w:tc>
        <w:tc>
          <w:tcPr>
            <w:tcW w:w="460" w:type="dxa"/>
            <w:shd w:val="clear" w:color="auto" w:fill="auto"/>
            <w:noWrap/>
            <w:vAlign w:val="center"/>
            <w:hideMark/>
          </w:tcPr>
          <w:p w14:paraId="22985520"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0</w:t>
            </w:r>
          </w:p>
        </w:tc>
        <w:tc>
          <w:tcPr>
            <w:tcW w:w="1206" w:type="dxa"/>
            <w:shd w:val="clear" w:color="auto" w:fill="auto"/>
            <w:noWrap/>
            <w:vAlign w:val="center"/>
            <w:hideMark/>
          </w:tcPr>
          <w:p w14:paraId="49066BB7"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196</w:t>
            </w:r>
          </w:p>
        </w:tc>
      </w:tr>
      <w:tr w:rsidR="00F57A5C" w:rsidRPr="007C5A6E" w14:paraId="32712CE8" w14:textId="77777777" w:rsidTr="00473089">
        <w:trPr>
          <w:trHeight w:val="170"/>
        </w:trPr>
        <w:tc>
          <w:tcPr>
            <w:tcW w:w="1931" w:type="dxa"/>
            <w:shd w:val="clear" w:color="auto" w:fill="auto"/>
            <w:noWrap/>
            <w:vAlign w:val="center"/>
            <w:hideMark/>
          </w:tcPr>
          <w:p w14:paraId="5AD15057" w14:textId="77777777" w:rsidR="00F57A5C" w:rsidRPr="007C5A6E" w:rsidRDefault="00F57A5C" w:rsidP="00F57A5C">
            <w:pPr>
              <w:spacing w:after="0" w:line="240" w:lineRule="auto"/>
              <w:jc w:val="both"/>
              <w:rPr>
                <w:rFonts w:ascii="Times New Roman" w:hAnsi="Times New Roman"/>
                <w:bCs/>
                <w:sz w:val="21"/>
                <w:szCs w:val="21"/>
              </w:rPr>
            </w:pPr>
            <w:r w:rsidRPr="007C5A6E">
              <w:rPr>
                <w:rFonts w:ascii="Times New Roman" w:hAnsi="Times New Roman"/>
                <w:bCs/>
                <w:sz w:val="21"/>
                <w:szCs w:val="21"/>
              </w:rPr>
              <w:t>Information disponible</w:t>
            </w:r>
          </w:p>
        </w:tc>
        <w:tc>
          <w:tcPr>
            <w:tcW w:w="695" w:type="dxa"/>
            <w:shd w:val="clear" w:color="auto" w:fill="auto"/>
            <w:noWrap/>
            <w:vAlign w:val="center"/>
            <w:hideMark/>
          </w:tcPr>
          <w:p w14:paraId="2B03FB8A" w14:textId="77777777" w:rsidR="00F57A5C" w:rsidRPr="007C5A6E" w:rsidRDefault="00F57A5C" w:rsidP="00F57A5C">
            <w:pPr>
              <w:spacing w:after="0" w:line="240" w:lineRule="auto"/>
              <w:jc w:val="center"/>
              <w:rPr>
                <w:rFonts w:ascii="Times New Roman" w:hAnsi="Times New Roman"/>
                <w:sz w:val="21"/>
                <w:szCs w:val="21"/>
              </w:rPr>
            </w:pPr>
            <w:r w:rsidRPr="007C5A6E">
              <w:rPr>
                <w:rFonts w:ascii="Times New Roman" w:hAnsi="Times New Roman"/>
                <w:sz w:val="21"/>
                <w:szCs w:val="21"/>
              </w:rPr>
              <w:t>100%</w:t>
            </w:r>
          </w:p>
        </w:tc>
        <w:tc>
          <w:tcPr>
            <w:tcW w:w="700" w:type="dxa"/>
            <w:shd w:val="clear" w:color="auto" w:fill="auto"/>
            <w:noWrap/>
            <w:vAlign w:val="center"/>
            <w:hideMark/>
          </w:tcPr>
          <w:p w14:paraId="52D5A01E"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63%</w:t>
            </w:r>
          </w:p>
        </w:tc>
        <w:tc>
          <w:tcPr>
            <w:tcW w:w="580" w:type="dxa"/>
            <w:shd w:val="clear" w:color="auto" w:fill="auto"/>
            <w:noWrap/>
            <w:vAlign w:val="center"/>
            <w:hideMark/>
          </w:tcPr>
          <w:p w14:paraId="686C8792"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72%</w:t>
            </w:r>
          </w:p>
        </w:tc>
        <w:tc>
          <w:tcPr>
            <w:tcW w:w="580" w:type="dxa"/>
            <w:shd w:val="clear" w:color="auto" w:fill="auto"/>
            <w:noWrap/>
            <w:vAlign w:val="center"/>
            <w:hideMark/>
          </w:tcPr>
          <w:p w14:paraId="2699E2BA"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59%</w:t>
            </w:r>
          </w:p>
        </w:tc>
        <w:tc>
          <w:tcPr>
            <w:tcW w:w="700" w:type="dxa"/>
            <w:shd w:val="clear" w:color="auto" w:fill="auto"/>
            <w:noWrap/>
            <w:vAlign w:val="center"/>
            <w:hideMark/>
          </w:tcPr>
          <w:p w14:paraId="789BC89E"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54%</w:t>
            </w:r>
          </w:p>
        </w:tc>
        <w:tc>
          <w:tcPr>
            <w:tcW w:w="580" w:type="dxa"/>
            <w:shd w:val="clear" w:color="auto" w:fill="auto"/>
            <w:noWrap/>
            <w:vAlign w:val="center"/>
            <w:hideMark/>
          </w:tcPr>
          <w:p w14:paraId="0B6C4771"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10%</w:t>
            </w:r>
          </w:p>
        </w:tc>
        <w:tc>
          <w:tcPr>
            <w:tcW w:w="580" w:type="dxa"/>
            <w:shd w:val="clear" w:color="auto" w:fill="auto"/>
            <w:noWrap/>
            <w:vAlign w:val="center"/>
            <w:hideMark/>
          </w:tcPr>
          <w:p w14:paraId="53FD7F35"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37%</w:t>
            </w:r>
          </w:p>
        </w:tc>
        <w:tc>
          <w:tcPr>
            <w:tcW w:w="580" w:type="dxa"/>
            <w:shd w:val="clear" w:color="auto" w:fill="auto"/>
            <w:noWrap/>
            <w:vAlign w:val="center"/>
            <w:hideMark/>
          </w:tcPr>
          <w:p w14:paraId="3F060732"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20%</w:t>
            </w:r>
          </w:p>
        </w:tc>
        <w:tc>
          <w:tcPr>
            <w:tcW w:w="684" w:type="dxa"/>
            <w:shd w:val="clear" w:color="auto" w:fill="auto"/>
            <w:noWrap/>
            <w:vAlign w:val="center"/>
            <w:hideMark/>
          </w:tcPr>
          <w:p w14:paraId="654ED511" w14:textId="77777777" w:rsidR="00F57A5C" w:rsidRPr="007C5A6E" w:rsidRDefault="00F57A5C" w:rsidP="00F57A5C">
            <w:pPr>
              <w:spacing w:after="0" w:line="240" w:lineRule="auto"/>
              <w:jc w:val="center"/>
              <w:rPr>
                <w:rFonts w:ascii="Times New Roman" w:hAnsi="Times New Roman"/>
                <w:sz w:val="21"/>
                <w:szCs w:val="21"/>
              </w:rPr>
            </w:pPr>
            <w:r w:rsidRPr="007C5A6E">
              <w:rPr>
                <w:rFonts w:ascii="Times New Roman" w:hAnsi="Times New Roman"/>
                <w:sz w:val="21"/>
                <w:szCs w:val="21"/>
              </w:rPr>
              <w:t>99%</w:t>
            </w:r>
          </w:p>
        </w:tc>
        <w:tc>
          <w:tcPr>
            <w:tcW w:w="460" w:type="dxa"/>
            <w:shd w:val="clear" w:color="auto" w:fill="auto"/>
            <w:noWrap/>
            <w:vAlign w:val="center"/>
            <w:hideMark/>
          </w:tcPr>
          <w:p w14:paraId="1C50C718"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0%</w:t>
            </w:r>
          </w:p>
        </w:tc>
        <w:tc>
          <w:tcPr>
            <w:tcW w:w="1206" w:type="dxa"/>
            <w:shd w:val="clear" w:color="auto" w:fill="auto"/>
            <w:noWrap/>
            <w:vAlign w:val="center"/>
            <w:hideMark/>
          </w:tcPr>
          <w:p w14:paraId="61F295FE" w14:textId="77777777" w:rsidR="00F57A5C" w:rsidRPr="007C5A6E" w:rsidRDefault="00F57A5C" w:rsidP="00F57A5C">
            <w:pPr>
              <w:spacing w:after="0" w:line="240" w:lineRule="auto"/>
              <w:jc w:val="center"/>
              <w:rPr>
                <w:rFonts w:ascii="Times New Roman" w:hAnsi="Times New Roman"/>
                <w:bCs/>
                <w:sz w:val="21"/>
                <w:szCs w:val="21"/>
              </w:rPr>
            </w:pPr>
          </w:p>
        </w:tc>
      </w:tr>
      <w:tr w:rsidR="00F57A5C" w:rsidRPr="007C5A6E" w14:paraId="08862428" w14:textId="77777777" w:rsidTr="00473089">
        <w:trPr>
          <w:trHeight w:val="170"/>
        </w:trPr>
        <w:tc>
          <w:tcPr>
            <w:tcW w:w="1931" w:type="dxa"/>
            <w:shd w:val="clear" w:color="auto" w:fill="auto"/>
            <w:noWrap/>
            <w:vAlign w:val="center"/>
            <w:hideMark/>
          </w:tcPr>
          <w:p w14:paraId="3AD48EE2" w14:textId="77777777" w:rsidR="00F57A5C" w:rsidRPr="007C5A6E" w:rsidRDefault="00F57A5C" w:rsidP="00F57A5C">
            <w:pPr>
              <w:spacing w:after="0" w:line="240" w:lineRule="auto"/>
              <w:jc w:val="both"/>
              <w:rPr>
                <w:rFonts w:ascii="Times New Roman" w:hAnsi="Times New Roman"/>
                <w:bCs/>
                <w:sz w:val="21"/>
                <w:szCs w:val="21"/>
              </w:rPr>
            </w:pPr>
            <w:r w:rsidRPr="007C5A6E">
              <w:rPr>
                <w:rFonts w:ascii="Times New Roman" w:hAnsi="Times New Roman"/>
                <w:bCs/>
                <w:sz w:val="21"/>
                <w:szCs w:val="21"/>
              </w:rPr>
              <w:t>Bonne qualité</w:t>
            </w:r>
          </w:p>
        </w:tc>
        <w:tc>
          <w:tcPr>
            <w:tcW w:w="695" w:type="dxa"/>
            <w:shd w:val="clear" w:color="auto" w:fill="auto"/>
            <w:noWrap/>
            <w:vAlign w:val="center"/>
            <w:hideMark/>
          </w:tcPr>
          <w:p w14:paraId="077A3C56" w14:textId="77777777" w:rsidR="00F57A5C" w:rsidRPr="007C5A6E" w:rsidRDefault="00F57A5C" w:rsidP="00F57A5C">
            <w:pPr>
              <w:spacing w:after="0" w:line="240" w:lineRule="auto"/>
              <w:jc w:val="center"/>
              <w:rPr>
                <w:rFonts w:ascii="Times New Roman" w:hAnsi="Times New Roman"/>
                <w:sz w:val="21"/>
                <w:szCs w:val="21"/>
              </w:rPr>
            </w:pPr>
            <w:r w:rsidRPr="007C5A6E">
              <w:rPr>
                <w:rFonts w:ascii="Times New Roman" w:hAnsi="Times New Roman"/>
                <w:sz w:val="21"/>
                <w:szCs w:val="21"/>
              </w:rPr>
              <w:t>76%</w:t>
            </w:r>
          </w:p>
        </w:tc>
        <w:tc>
          <w:tcPr>
            <w:tcW w:w="700" w:type="dxa"/>
            <w:shd w:val="clear" w:color="auto" w:fill="auto"/>
            <w:noWrap/>
            <w:vAlign w:val="center"/>
            <w:hideMark/>
          </w:tcPr>
          <w:p w14:paraId="7769669C"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100%</w:t>
            </w:r>
          </w:p>
        </w:tc>
        <w:tc>
          <w:tcPr>
            <w:tcW w:w="580" w:type="dxa"/>
            <w:shd w:val="clear" w:color="auto" w:fill="auto"/>
            <w:noWrap/>
            <w:vAlign w:val="center"/>
            <w:hideMark/>
          </w:tcPr>
          <w:p w14:paraId="219277CB"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87%</w:t>
            </w:r>
          </w:p>
        </w:tc>
        <w:tc>
          <w:tcPr>
            <w:tcW w:w="580" w:type="dxa"/>
            <w:shd w:val="clear" w:color="auto" w:fill="auto"/>
            <w:noWrap/>
            <w:vAlign w:val="center"/>
            <w:hideMark/>
          </w:tcPr>
          <w:p w14:paraId="0B0A69CF"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78%</w:t>
            </w:r>
          </w:p>
        </w:tc>
        <w:tc>
          <w:tcPr>
            <w:tcW w:w="700" w:type="dxa"/>
            <w:shd w:val="clear" w:color="auto" w:fill="auto"/>
            <w:noWrap/>
            <w:vAlign w:val="center"/>
            <w:hideMark/>
          </w:tcPr>
          <w:p w14:paraId="2989F37B"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100%</w:t>
            </w:r>
          </w:p>
        </w:tc>
        <w:tc>
          <w:tcPr>
            <w:tcW w:w="580" w:type="dxa"/>
            <w:shd w:val="clear" w:color="auto" w:fill="auto"/>
            <w:noWrap/>
            <w:vAlign w:val="center"/>
            <w:hideMark/>
          </w:tcPr>
          <w:p w14:paraId="2C4E81E3"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95%</w:t>
            </w:r>
          </w:p>
        </w:tc>
        <w:tc>
          <w:tcPr>
            <w:tcW w:w="580" w:type="dxa"/>
            <w:shd w:val="clear" w:color="auto" w:fill="auto"/>
            <w:noWrap/>
            <w:vAlign w:val="center"/>
            <w:hideMark/>
          </w:tcPr>
          <w:p w14:paraId="5AD9B0E3"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42%</w:t>
            </w:r>
          </w:p>
        </w:tc>
        <w:tc>
          <w:tcPr>
            <w:tcW w:w="580" w:type="dxa"/>
            <w:shd w:val="clear" w:color="auto" w:fill="auto"/>
            <w:noWrap/>
            <w:vAlign w:val="center"/>
            <w:hideMark/>
          </w:tcPr>
          <w:p w14:paraId="6C63E2FB"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20%</w:t>
            </w:r>
          </w:p>
        </w:tc>
        <w:tc>
          <w:tcPr>
            <w:tcW w:w="684" w:type="dxa"/>
            <w:shd w:val="clear" w:color="auto" w:fill="auto"/>
            <w:noWrap/>
            <w:vAlign w:val="center"/>
            <w:hideMark/>
          </w:tcPr>
          <w:p w14:paraId="4F07B450" w14:textId="77777777" w:rsidR="00F57A5C" w:rsidRPr="007C5A6E" w:rsidRDefault="00F57A5C" w:rsidP="00F57A5C">
            <w:pPr>
              <w:spacing w:after="0" w:line="240" w:lineRule="auto"/>
              <w:jc w:val="center"/>
              <w:rPr>
                <w:rFonts w:ascii="Times New Roman" w:hAnsi="Times New Roman"/>
                <w:sz w:val="21"/>
                <w:szCs w:val="21"/>
              </w:rPr>
            </w:pPr>
            <w:r w:rsidRPr="007C5A6E">
              <w:rPr>
                <w:rFonts w:ascii="Times New Roman" w:hAnsi="Times New Roman"/>
                <w:sz w:val="21"/>
                <w:szCs w:val="21"/>
              </w:rPr>
              <w:t>12%</w:t>
            </w:r>
          </w:p>
        </w:tc>
        <w:tc>
          <w:tcPr>
            <w:tcW w:w="460" w:type="dxa"/>
            <w:shd w:val="clear" w:color="auto" w:fill="auto"/>
            <w:noWrap/>
            <w:vAlign w:val="center"/>
            <w:hideMark/>
          </w:tcPr>
          <w:p w14:paraId="759D4816"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w:t>
            </w:r>
          </w:p>
        </w:tc>
        <w:tc>
          <w:tcPr>
            <w:tcW w:w="1206" w:type="dxa"/>
            <w:shd w:val="clear" w:color="auto" w:fill="auto"/>
            <w:noWrap/>
            <w:vAlign w:val="center"/>
            <w:hideMark/>
          </w:tcPr>
          <w:p w14:paraId="2DE36AD4"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7%</w:t>
            </w:r>
          </w:p>
        </w:tc>
      </w:tr>
      <w:tr w:rsidR="00F57A5C" w:rsidRPr="007C5A6E" w14:paraId="74932C9D" w14:textId="77777777" w:rsidTr="00473089">
        <w:trPr>
          <w:trHeight w:val="170"/>
        </w:trPr>
        <w:tc>
          <w:tcPr>
            <w:tcW w:w="1931" w:type="dxa"/>
            <w:shd w:val="clear" w:color="auto" w:fill="auto"/>
            <w:noWrap/>
            <w:vAlign w:val="center"/>
            <w:hideMark/>
          </w:tcPr>
          <w:p w14:paraId="1D25BD8B" w14:textId="77777777" w:rsidR="00F57A5C" w:rsidRPr="007C5A6E" w:rsidRDefault="00F57A5C" w:rsidP="00F57A5C">
            <w:pPr>
              <w:spacing w:after="0" w:line="240" w:lineRule="auto"/>
              <w:jc w:val="both"/>
              <w:rPr>
                <w:rFonts w:ascii="Times New Roman" w:hAnsi="Times New Roman"/>
                <w:bCs/>
                <w:sz w:val="21"/>
                <w:szCs w:val="21"/>
              </w:rPr>
            </w:pPr>
            <w:r w:rsidRPr="007C5A6E">
              <w:rPr>
                <w:rFonts w:ascii="Times New Roman" w:hAnsi="Times New Roman"/>
                <w:bCs/>
                <w:sz w:val="21"/>
                <w:szCs w:val="21"/>
              </w:rPr>
              <w:t>Qualité acceptable</w:t>
            </w:r>
          </w:p>
        </w:tc>
        <w:tc>
          <w:tcPr>
            <w:tcW w:w="695" w:type="dxa"/>
            <w:shd w:val="clear" w:color="auto" w:fill="auto"/>
            <w:noWrap/>
            <w:vAlign w:val="center"/>
            <w:hideMark/>
          </w:tcPr>
          <w:p w14:paraId="4BE53B03" w14:textId="77777777" w:rsidR="00F57A5C" w:rsidRPr="007C5A6E" w:rsidRDefault="00F57A5C" w:rsidP="00F57A5C">
            <w:pPr>
              <w:spacing w:after="0" w:line="240" w:lineRule="auto"/>
              <w:jc w:val="center"/>
              <w:rPr>
                <w:rFonts w:ascii="Times New Roman" w:hAnsi="Times New Roman"/>
                <w:sz w:val="21"/>
                <w:szCs w:val="21"/>
              </w:rPr>
            </w:pPr>
            <w:r w:rsidRPr="007C5A6E">
              <w:rPr>
                <w:rFonts w:ascii="Times New Roman" w:hAnsi="Times New Roman"/>
                <w:sz w:val="21"/>
                <w:szCs w:val="21"/>
              </w:rPr>
              <w:t>0%</w:t>
            </w:r>
          </w:p>
        </w:tc>
        <w:tc>
          <w:tcPr>
            <w:tcW w:w="700" w:type="dxa"/>
            <w:shd w:val="clear" w:color="auto" w:fill="auto"/>
            <w:noWrap/>
            <w:vAlign w:val="center"/>
            <w:hideMark/>
          </w:tcPr>
          <w:p w14:paraId="3415C0CD"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0%</w:t>
            </w:r>
          </w:p>
        </w:tc>
        <w:tc>
          <w:tcPr>
            <w:tcW w:w="580" w:type="dxa"/>
            <w:shd w:val="clear" w:color="auto" w:fill="auto"/>
            <w:noWrap/>
            <w:vAlign w:val="center"/>
            <w:hideMark/>
          </w:tcPr>
          <w:p w14:paraId="419242BA"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3%</w:t>
            </w:r>
          </w:p>
        </w:tc>
        <w:tc>
          <w:tcPr>
            <w:tcW w:w="580" w:type="dxa"/>
            <w:shd w:val="clear" w:color="auto" w:fill="auto"/>
            <w:noWrap/>
            <w:vAlign w:val="center"/>
            <w:hideMark/>
          </w:tcPr>
          <w:p w14:paraId="2316B3A3"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21%</w:t>
            </w:r>
          </w:p>
        </w:tc>
        <w:tc>
          <w:tcPr>
            <w:tcW w:w="700" w:type="dxa"/>
            <w:shd w:val="clear" w:color="auto" w:fill="auto"/>
            <w:noWrap/>
            <w:vAlign w:val="center"/>
            <w:hideMark/>
          </w:tcPr>
          <w:p w14:paraId="38F6346E"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0%</w:t>
            </w:r>
          </w:p>
        </w:tc>
        <w:tc>
          <w:tcPr>
            <w:tcW w:w="580" w:type="dxa"/>
            <w:shd w:val="clear" w:color="auto" w:fill="auto"/>
            <w:noWrap/>
            <w:vAlign w:val="center"/>
            <w:hideMark/>
          </w:tcPr>
          <w:p w14:paraId="58462CFC"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0%</w:t>
            </w:r>
          </w:p>
        </w:tc>
        <w:tc>
          <w:tcPr>
            <w:tcW w:w="580" w:type="dxa"/>
            <w:shd w:val="clear" w:color="auto" w:fill="auto"/>
            <w:noWrap/>
            <w:vAlign w:val="center"/>
            <w:hideMark/>
          </w:tcPr>
          <w:p w14:paraId="1738B543"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45%</w:t>
            </w:r>
          </w:p>
        </w:tc>
        <w:tc>
          <w:tcPr>
            <w:tcW w:w="580" w:type="dxa"/>
            <w:shd w:val="clear" w:color="auto" w:fill="auto"/>
            <w:noWrap/>
            <w:vAlign w:val="center"/>
            <w:hideMark/>
          </w:tcPr>
          <w:p w14:paraId="758E8C86"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70%</w:t>
            </w:r>
          </w:p>
        </w:tc>
        <w:tc>
          <w:tcPr>
            <w:tcW w:w="684" w:type="dxa"/>
            <w:shd w:val="clear" w:color="auto" w:fill="auto"/>
            <w:noWrap/>
            <w:vAlign w:val="center"/>
            <w:hideMark/>
          </w:tcPr>
          <w:p w14:paraId="78B1F1EE" w14:textId="77777777" w:rsidR="00F57A5C" w:rsidRPr="007C5A6E" w:rsidRDefault="00F57A5C" w:rsidP="00F57A5C">
            <w:pPr>
              <w:spacing w:after="0" w:line="240" w:lineRule="auto"/>
              <w:jc w:val="center"/>
              <w:rPr>
                <w:rFonts w:ascii="Times New Roman" w:hAnsi="Times New Roman"/>
                <w:sz w:val="21"/>
                <w:szCs w:val="21"/>
              </w:rPr>
            </w:pPr>
            <w:r w:rsidRPr="007C5A6E">
              <w:rPr>
                <w:rFonts w:ascii="Times New Roman" w:hAnsi="Times New Roman"/>
                <w:sz w:val="21"/>
                <w:szCs w:val="21"/>
              </w:rPr>
              <w:t>0%</w:t>
            </w:r>
          </w:p>
        </w:tc>
        <w:tc>
          <w:tcPr>
            <w:tcW w:w="460" w:type="dxa"/>
            <w:shd w:val="clear" w:color="auto" w:fill="auto"/>
            <w:noWrap/>
            <w:vAlign w:val="center"/>
            <w:hideMark/>
          </w:tcPr>
          <w:p w14:paraId="5D9B1E09"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w:t>
            </w:r>
          </w:p>
        </w:tc>
        <w:tc>
          <w:tcPr>
            <w:tcW w:w="1206" w:type="dxa"/>
            <w:shd w:val="clear" w:color="auto" w:fill="auto"/>
            <w:noWrap/>
            <w:vAlign w:val="center"/>
            <w:hideMark/>
          </w:tcPr>
          <w:p w14:paraId="22DC32BC"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88%</w:t>
            </w:r>
          </w:p>
        </w:tc>
      </w:tr>
      <w:tr w:rsidR="00F57A5C" w:rsidRPr="007C5A6E" w14:paraId="73476B5B" w14:textId="77777777" w:rsidTr="00473089">
        <w:trPr>
          <w:trHeight w:val="170"/>
        </w:trPr>
        <w:tc>
          <w:tcPr>
            <w:tcW w:w="1931" w:type="dxa"/>
            <w:shd w:val="clear" w:color="auto" w:fill="auto"/>
            <w:noWrap/>
            <w:vAlign w:val="center"/>
            <w:hideMark/>
          </w:tcPr>
          <w:p w14:paraId="4D236677" w14:textId="77777777" w:rsidR="00F57A5C" w:rsidRPr="007C5A6E" w:rsidRDefault="00F57A5C" w:rsidP="00F57A5C">
            <w:pPr>
              <w:spacing w:after="0" w:line="240" w:lineRule="auto"/>
              <w:jc w:val="both"/>
              <w:rPr>
                <w:rFonts w:ascii="Times New Roman" w:hAnsi="Times New Roman"/>
                <w:bCs/>
                <w:sz w:val="21"/>
                <w:szCs w:val="21"/>
              </w:rPr>
            </w:pPr>
            <w:r w:rsidRPr="007C5A6E">
              <w:rPr>
                <w:rFonts w:ascii="Times New Roman" w:hAnsi="Times New Roman"/>
                <w:bCs/>
                <w:sz w:val="21"/>
                <w:szCs w:val="21"/>
              </w:rPr>
              <w:t>Mauvaise qualité</w:t>
            </w:r>
          </w:p>
        </w:tc>
        <w:tc>
          <w:tcPr>
            <w:tcW w:w="695" w:type="dxa"/>
            <w:shd w:val="clear" w:color="auto" w:fill="auto"/>
            <w:noWrap/>
            <w:vAlign w:val="center"/>
            <w:hideMark/>
          </w:tcPr>
          <w:p w14:paraId="621EBE91" w14:textId="77777777" w:rsidR="00F57A5C" w:rsidRPr="007C5A6E" w:rsidRDefault="00F57A5C" w:rsidP="00F57A5C">
            <w:pPr>
              <w:spacing w:after="0" w:line="240" w:lineRule="auto"/>
              <w:jc w:val="center"/>
              <w:rPr>
                <w:rFonts w:ascii="Times New Roman" w:hAnsi="Times New Roman"/>
                <w:sz w:val="21"/>
                <w:szCs w:val="21"/>
              </w:rPr>
            </w:pPr>
            <w:r w:rsidRPr="007C5A6E">
              <w:rPr>
                <w:rFonts w:ascii="Times New Roman" w:hAnsi="Times New Roman"/>
                <w:sz w:val="21"/>
                <w:szCs w:val="21"/>
              </w:rPr>
              <w:t>24%</w:t>
            </w:r>
          </w:p>
        </w:tc>
        <w:tc>
          <w:tcPr>
            <w:tcW w:w="700" w:type="dxa"/>
            <w:shd w:val="clear" w:color="auto" w:fill="auto"/>
            <w:noWrap/>
            <w:vAlign w:val="center"/>
            <w:hideMark/>
          </w:tcPr>
          <w:p w14:paraId="5081AAA0"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0%</w:t>
            </w:r>
          </w:p>
        </w:tc>
        <w:tc>
          <w:tcPr>
            <w:tcW w:w="580" w:type="dxa"/>
            <w:shd w:val="clear" w:color="auto" w:fill="auto"/>
            <w:noWrap/>
            <w:vAlign w:val="center"/>
            <w:hideMark/>
          </w:tcPr>
          <w:p w14:paraId="197B8FD3"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10%</w:t>
            </w:r>
          </w:p>
        </w:tc>
        <w:tc>
          <w:tcPr>
            <w:tcW w:w="580" w:type="dxa"/>
            <w:shd w:val="clear" w:color="auto" w:fill="auto"/>
            <w:noWrap/>
            <w:vAlign w:val="center"/>
            <w:hideMark/>
          </w:tcPr>
          <w:p w14:paraId="34494102"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2%</w:t>
            </w:r>
          </w:p>
        </w:tc>
        <w:tc>
          <w:tcPr>
            <w:tcW w:w="700" w:type="dxa"/>
            <w:shd w:val="clear" w:color="auto" w:fill="auto"/>
            <w:noWrap/>
            <w:vAlign w:val="center"/>
            <w:hideMark/>
          </w:tcPr>
          <w:p w14:paraId="794FBBC5"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0%</w:t>
            </w:r>
          </w:p>
        </w:tc>
        <w:tc>
          <w:tcPr>
            <w:tcW w:w="580" w:type="dxa"/>
            <w:shd w:val="clear" w:color="auto" w:fill="auto"/>
            <w:noWrap/>
            <w:vAlign w:val="center"/>
            <w:hideMark/>
          </w:tcPr>
          <w:p w14:paraId="02E370CD"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5%</w:t>
            </w:r>
          </w:p>
        </w:tc>
        <w:tc>
          <w:tcPr>
            <w:tcW w:w="580" w:type="dxa"/>
            <w:shd w:val="clear" w:color="auto" w:fill="auto"/>
            <w:noWrap/>
            <w:vAlign w:val="center"/>
            <w:hideMark/>
          </w:tcPr>
          <w:p w14:paraId="6A6B223D"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12%</w:t>
            </w:r>
          </w:p>
        </w:tc>
        <w:tc>
          <w:tcPr>
            <w:tcW w:w="580" w:type="dxa"/>
            <w:shd w:val="clear" w:color="auto" w:fill="auto"/>
            <w:noWrap/>
            <w:vAlign w:val="center"/>
            <w:hideMark/>
          </w:tcPr>
          <w:p w14:paraId="2B0D8017"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10%</w:t>
            </w:r>
          </w:p>
        </w:tc>
        <w:tc>
          <w:tcPr>
            <w:tcW w:w="684" w:type="dxa"/>
            <w:shd w:val="clear" w:color="auto" w:fill="auto"/>
            <w:noWrap/>
            <w:vAlign w:val="center"/>
            <w:hideMark/>
          </w:tcPr>
          <w:p w14:paraId="3FF7BB7C" w14:textId="77777777" w:rsidR="00F57A5C" w:rsidRPr="007C5A6E" w:rsidRDefault="00F57A5C" w:rsidP="00F57A5C">
            <w:pPr>
              <w:spacing w:after="0" w:line="240" w:lineRule="auto"/>
              <w:jc w:val="center"/>
              <w:rPr>
                <w:rFonts w:ascii="Times New Roman" w:hAnsi="Times New Roman"/>
                <w:sz w:val="21"/>
                <w:szCs w:val="21"/>
              </w:rPr>
            </w:pPr>
            <w:r w:rsidRPr="007C5A6E">
              <w:rPr>
                <w:rFonts w:ascii="Times New Roman" w:hAnsi="Times New Roman"/>
                <w:sz w:val="21"/>
                <w:szCs w:val="21"/>
              </w:rPr>
              <w:t>88%</w:t>
            </w:r>
          </w:p>
        </w:tc>
        <w:tc>
          <w:tcPr>
            <w:tcW w:w="460" w:type="dxa"/>
            <w:shd w:val="clear" w:color="auto" w:fill="auto"/>
            <w:noWrap/>
            <w:vAlign w:val="center"/>
            <w:hideMark/>
          </w:tcPr>
          <w:p w14:paraId="1DE068AE"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w:t>
            </w:r>
          </w:p>
        </w:tc>
        <w:tc>
          <w:tcPr>
            <w:tcW w:w="1206" w:type="dxa"/>
            <w:shd w:val="clear" w:color="auto" w:fill="auto"/>
            <w:noWrap/>
            <w:vAlign w:val="center"/>
            <w:hideMark/>
          </w:tcPr>
          <w:p w14:paraId="451C8C84" w14:textId="77777777" w:rsidR="00F57A5C" w:rsidRPr="007C5A6E" w:rsidRDefault="00F57A5C" w:rsidP="00F57A5C">
            <w:pPr>
              <w:spacing w:after="0" w:line="240" w:lineRule="auto"/>
              <w:jc w:val="center"/>
              <w:rPr>
                <w:rFonts w:ascii="Times New Roman" w:hAnsi="Times New Roman"/>
                <w:bCs/>
                <w:sz w:val="21"/>
                <w:szCs w:val="21"/>
              </w:rPr>
            </w:pPr>
            <w:r w:rsidRPr="007C5A6E">
              <w:rPr>
                <w:rFonts w:ascii="Times New Roman" w:hAnsi="Times New Roman"/>
                <w:bCs/>
                <w:sz w:val="21"/>
                <w:szCs w:val="21"/>
              </w:rPr>
              <w:t>5%</w:t>
            </w:r>
          </w:p>
        </w:tc>
      </w:tr>
    </w:tbl>
    <w:p w14:paraId="15EE863C" w14:textId="77777777" w:rsidR="00F57A5C" w:rsidRPr="007C5A6E" w:rsidRDefault="00F57A5C" w:rsidP="00F57A5C">
      <w:pPr>
        <w:spacing w:after="0" w:line="240" w:lineRule="auto"/>
        <w:rPr>
          <w:rFonts w:ascii="Times New Roman" w:hAnsi="Times New Roman"/>
          <w:sz w:val="20"/>
          <w:szCs w:val="20"/>
        </w:rPr>
      </w:pPr>
      <w:r w:rsidRPr="007C5A6E">
        <w:rPr>
          <w:rFonts w:ascii="Times New Roman" w:hAnsi="Times New Roman"/>
          <w:sz w:val="20"/>
          <w:szCs w:val="20"/>
        </w:rPr>
        <w:t>Source : Etat des lieux des ressources en eau du bassin de la Comoé –MAHRH/MCA/COWI-2012 ;</w:t>
      </w:r>
      <w:r w:rsidRPr="007C5A6E">
        <w:rPr>
          <w:rFonts w:ascii="Times New Roman" w:hAnsi="Times New Roman"/>
          <w:sz w:val="24"/>
          <w:szCs w:val="24"/>
        </w:rPr>
        <w:t xml:space="preserve"> </w:t>
      </w:r>
      <w:r w:rsidRPr="007C5A6E">
        <w:rPr>
          <w:rFonts w:ascii="Times New Roman" w:hAnsi="Times New Roman"/>
          <w:sz w:val="20"/>
          <w:szCs w:val="20"/>
        </w:rPr>
        <w:t xml:space="preserve">(*Indice de </w:t>
      </w:r>
      <w:proofErr w:type="spellStart"/>
      <w:r w:rsidRPr="007C5A6E">
        <w:rPr>
          <w:rFonts w:ascii="Times New Roman" w:hAnsi="Times New Roman"/>
          <w:sz w:val="20"/>
          <w:szCs w:val="20"/>
        </w:rPr>
        <w:t>Ryznar</w:t>
      </w:r>
      <w:proofErr w:type="spellEnd"/>
      <w:r w:rsidRPr="007C5A6E">
        <w:rPr>
          <w:rFonts w:ascii="Times New Roman" w:hAnsi="Times New Roman"/>
          <w:sz w:val="20"/>
          <w:szCs w:val="20"/>
        </w:rPr>
        <w:t>)</w:t>
      </w:r>
    </w:p>
    <w:p w14:paraId="46C8124F" w14:textId="77777777" w:rsidR="00F57A5C" w:rsidRPr="007C5A6E" w:rsidRDefault="00F57A5C" w:rsidP="00F57A5C">
      <w:pPr>
        <w:spacing w:after="0" w:line="240" w:lineRule="auto"/>
        <w:jc w:val="both"/>
        <w:rPr>
          <w:rFonts w:ascii="Times New Roman" w:hAnsi="Times New Roman"/>
          <w:sz w:val="24"/>
          <w:szCs w:val="24"/>
        </w:rPr>
      </w:pPr>
    </w:p>
    <w:p w14:paraId="7AA06F27" w14:textId="2FC0498A" w:rsidR="00F57A5C" w:rsidRPr="007C5A6E" w:rsidRDefault="00F57A5C" w:rsidP="00F57A5C">
      <w:pPr>
        <w:spacing w:after="0" w:line="240" w:lineRule="auto"/>
        <w:jc w:val="both"/>
        <w:rPr>
          <w:rFonts w:ascii="Times New Roman" w:hAnsi="Times New Roman"/>
          <w:sz w:val="24"/>
          <w:szCs w:val="24"/>
        </w:rPr>
      </w:pPr>
      <w:r w:rsidRPr="007C5A6E">
        <w:rPr>
          <w:rFonts w:ascii="Times New Roman" w:hAnsi="Times New Roman"/>
          <w:sz w:val="24"/>
          <w:szCs w:val="24"/>
        </w:rPr>
        <w:t xml:space="preserve">Il </w:t>
      </w:r>
      <w:r w:rsidR="00BA5B98" w:rsidRPr="007C5A6E">
        <w:rPr>
          <w:rFonts w:ascii="Times New Roman" w:hAnsi="Times New Roman"/>
          <w:sz w:val="24"/>
          <w:szCs w:val="24"/>
        </w:rPr>
        <w:t>r</w:t>
      </w:r>
      <w:r w:rsidRPr="007C5A6E">
        <w:rPr>
          <w:rFonts w:ascii="Times New Roman" w:hAnsi="Times New Roman"/>
          <w:sz w:val="24"/>
          <w:szCs w:val="24"/>
        </w:rPr>
        <w:t xml:space="preserve">essort des analyses qu’en général, les eaux souterraines du bassin de la Comoé sont moyennement ferrugineuses et manganeuses avec un pH en grande partie acide et une agressivité allant de moyenne à très forte. </w:t>
      </w:r>
    </w:p>
    <w:p w14:paraId="6999AF98" w14:textId="508577A7" w:rsidR="00BA5B98" w:rsidRPr="007C5A6E" w:rsidRDefault="00BA5B98" w:rsidP="00F57A5C">
      <w:pPr>
        <w:spacing w:after="0" w:line="240" w:lineRule="auto"/>
        <w:jc w:val="both"/>
        <w:rPr>
          <w:rFonts w:ascii="Times New Roman" w:hAnsi="Times New Roman"/>
          <w:sz w:val="24"/>
          <w:szCs w:val="24"/>
        </w:rPr>
      </w:pPr>
      <w:r w:rsidRPr="007C5A6E">
        <w:rPr>
          <w:rFonts w:ascii="Times New Roman" w:hAnsi="Times New Roman"/>
          <w:b/>
          <w:bCs/>
          <w:i/>
          <w:iCs/>
          <w:sz w:val="24"/>
          <w:szCs w:val="24"/>
        </w:rPr>
        <w:t>Malheureusement depuis la date de 2012 à nos jours, en plus du manque de données précises chiffrées, il n’y a plus eu de nouvelles données et informations sur la qualité des eaux souterraines du bassin permettant d’en évaluer l’impact actuel</w:t>
      </w:r>
    </w:p>
    <w:p w14:paraId="77D536AE" w14:textId="7C36C077" w:rsidR="00F57A5C" w:rsidRPr="007C5A6E" w:rsidRDefault="00F57A5C" w:rsidP="00F57A5C">
      <w:pPr>
        <w:spacing w:after="0" w:line="240" w:lineRule="auto"/>
        <w:jc w:val="both"/>
        <w:rPr>
          <w:rFonts w:ascii="Times New Roman" w:hAnsi="Times New Roman"/>
          <w:sz w:val="24"/>
          <w:szCs w:val="24"/>
        </w:rPr>
      </w:pPr>
    </w:p>
    <w:p w14:paraId="1AEE0346" w14:textId="77777777" w:rsidR="00F57A5C" w:rsidRPr="007C5A6E" w:rsidRDefault="00F57A5C" w:rsidP="003F3821">
      <w:pPr>
        <w:pStyle w:val="Titre5"/>
        <w:keepNext w:val="0"/>
        <w:keepLines w:val="0"/>
        <w:numPr>
          <w:ilvl w:val="4"/>
          <w:numId w:val="4"/>
        </w:numPr>
        <w:spacing w:before="0"/>
        <w:ind w:left="907" w:hanging="907"/>
        <w:rPr>
          <w:rFonts w:ascii="Times New Roman" w:hAnsi="Times New Roman" w:cs="Times New Roman"/>
          <w:color w:val="auto"/>
          <w:u w:val="single"/>
          <w:lang w:eastAsia="en-US"/>
        </w:rPr>
      </w:pPr>
      <w:bookmarkStart w:id="586" w:name="_Toc183340108"/>
      <w:r w:rsidRPr="007C5A6E">
        <w:rPr>
          <w:rFonts w:ascii="Times New Roman" w:hAnsi="Times New Roman" w:cs="Times New Roman"/>
          <w:color w:val="auto"/>
          <w:u w:val="single"/>
          <w:lang w:eastAsia="en-US"/>
        </w:rPr>
        <w:t>Impact de la pollution sur les ressources en eau souterraine du bassin du Mouhoun</w:t>
      </w:r>
      <w:bookmarkEnd w:id="586"/>
      <w:r w:rsidRPr="007C5A6E">
        <w:rPr>
          <w:rFonts w:ascii="Times New Roman" w:hAnsi="Times New Roman" w:cs="Times New Roman"/>
          <w:color w:val="auto"/>
          <w:u w:val="single"/>
          <w:lang w:eastAsia="en-US"/>
        </w:rPr>
        <w:t xml:space="preserve"> </w:t>
      </w:r>
    </w:p>
    <w:p w14:paraId="547F8775" w14:textId="77777777" w:rsidR="00F57A5C" w:rsidRPr="007C5A6E" w:rsidRDefault="00F57A5C" w:rsidP="00F57A5C">
      <w:pPr>
        <w:spacing w:after="0" w:line="240" w:lineRule="auto"/>
        <w:jc w:val="both"/>
        <w:rPr>
          <w:rFonts w:ascii="Times New Roman" w:hAnsi="Times New Roman"/>
          <w:sz w:val="24"/>
          <w:szCs w:val="24"/>
        </w:rPr>
      </w:pPr>
    </w:p>
    <w:p w14:paraId="380055C5" w14:textId="144E8284" w:rsidR="00F57A5C" w:rsidRPr="007C5A6E" w:rsidRDefault="00F57A5C" w:rsidP="00F57A5C">
      <w:pPr>
        <w:spacing w:after="0" w:line="240" w:lineRule="auto"/>
        <w:jc w:val="both"/>
        <w:rPr>
          <w:rFonts w:ascii="Times New Roman" w:hAnsi="Times New Roman"/>
          <w:sz w:val="24"/>
          <w:szCs w:val="24"/>
        </w:rPr>
      </w:pPr>
      <w:r w:rsidRPr="007C5A6E">
        <w:rPr>
          <w:rFonts w:ascii="Times New Roman" w:hAnsi="Times New Roman"/>
          <w:sz w:val="24"/>
          <w:szCs w:val="24"/>
        </w:rPr>
        <w:t xml:space="preserve">L’état des lieux effectués des ressources en eau souterraine du bassin du Mouhoun dans le cadre de l’élaboration du SDAGE note qu’en 2012, les eaux étaient moyennement ferrugineuses et manganeuses avec des pH en grande partie acide et d’une agressivité moyennement à très forte. Il a été également noté des taux anormalement élevés d’arsenic dans les eaux des forages exécutés dans les formations </w:t>
      </w:r>
      <w:proofErr w:type="spellStart"/>
      <w:r w:rsidRPr="007C5A6E">
        <w:rPr>
          <w:rFonts w:ascii="Times New Roman" w:hAnsi="Times New Roman"/>
          <w:sz w:val="24"/>
          <w:szCs w:val="24"/>
        </w:rPr>
        <w:t>volcano</w:t>
      </w:r>
      <w:proofErr w:type="spellEnd"/>
      <w:r w:rsidRPr="007C5A6E">
        <w:rPr>
          <w:rFonts w:ascii="Times New Roman" w:hAnsi="Times New Roman"/>
          <w:sz w:val="24"/>
          <w:szCs w:val="24"/>
        </w:rPr>
        <w:t>-s</w:t>
      </w:r>
      <w:r w:rsidR="00643AF0" w:rsidRPr="007C5A6E">
        <w:rPr>
          <w:rFonts w:ascii="Times New Roman" w:hAnsi="Times New Roman"/>
          <w:sz w:val="24"/>
          <w:szCs w:val="24"/>
        </w:rPr>
        <w:t>é</w:t>
      </w:r>
      <w:r w:rsidRPr="007C5A6E">
        <w:rPr>
          <w:rFonts w:ascii="Times New Roman" w:hAnsi="Times New Roman"/>
          <w:sz w:val="24"/>
          <w:szCs w:val="24"/>
        </w:rPr>
        <w:t>dimentaires de la zone de socle cristallin.</w:t>
      </w:r>
    </w:p>
    <w:p w14:paraId="7FE72906" w14:textId="6AF5B793" w:rsidR="00F57A5C" w:rsidRPr="007C5A6E" w:rsidRDefault="00BA5B98" w:rsidP="00F57A5C">
      <w:pPr>
        <w:spacing w:after="0" w:line="240" w:lineRule="auto"/>
        <w:jc w:val="both"/>
        <w:rPr>
          <w:rFonts w:ascii="Times New Roman" w:hAnsi="Times New Roman"/>
          <w:b/>
          <w:bCs/>
          <w:i/>
          <w:iCs/>
          <w:sz w:val="24"/>
          <w:szCs w:val="24"/>
        </w:rPr>
      </w:pPr>
      <w:r w:rsidRPr="007C5A6E">
        <w:rPr>
          <w:rFonts w:ascii="Times New Roman" w:hAnsi="Times New Roman"/>
          <w:b/>
          <w:bCs/>
          <w:i/>
          <w:iCs/>
          <w:sz w:val="24"/>
          <w:szCs w:val="24"/>
        </w:rPr>
        <w:t>Il n’a pas été possible depuis cette date d’avoir de nouvelles données sur l’état de la qualité des ressources en eau souterraine du bassin afin d’en établir l’impact actuel de la pollution sur lesdites ressources en eau</w:t>
      </w:r>
    </w:p>
    <w:p w14:paraId="40BB4292" w14:textId="77777777" w:rsidR="00BA5B98" w:rsidRPr="007C5A6E" w:rsidRDefault="00BA5B98" w:rsidP="00F57A5C">
      <w:pPr>
        <w:spacing w:after="0" w:line="240" w:lineRule="auto"/>
        <w:jc w:val="both"/>
        <w:rPr>
          <w:rFonts w:ascii="Times New Roman" w:hAnsi="Times New Roman"/>
          <w:b/>
          <w:bCs/>
          <w:i/>
          <w:iCs/>
          <w:sz w:val="24"/>
          <w:szCs w:val="24"/>
        </w:rPr>
      </w:pPr>
    </w:p>
    <w:p w14:paraId="60901442" w14:textId="77777777" w:rsidR="00F57A5C" w:rsidRPr="007C5A6E" w:rsidRDefault="00F57A5C" w:rsidP="003F3821">
      <w:pPr>
        <w:pStyle w:val="Titre5"/>
        <w:keepNext w:val="0"/>
        <w:keepLines w:val="0"/>
        <w:numPr>
          <w:ilvl w:val="4"/>
          <w:numId w:val="4"/>
        </w:numPr>
        <w:spacing w:before="0"/>
        <w:ind w:left="907" w:hanging="907"/>
        <w:rPr>
          <w:rFonts w:ascii="Times New Roman" w:hAnsi="Times New Roman" w:cs="Times New Roman"/>
          <w:color w:val="auto"/>
          <w:u w:val="single"/>
          <w:lang w:eastAsia="en-US"/>
        </w:rPr>
      </w:pPr>
      <w:bookmarkStart w:id="587" w:name="_Toc183340109"/>
      <w:r w:rsidRPr="007C5A6E">
        <w:rPr>
          <w:rFonts w:ascii="Times New Roman" w:hAnsi="Times New Roman" w:cs="Times New Roman"/>
          <w:color w:val="auto"/>
          <w:u w:val="single"/>
          <w:lang w:eastAsia="en-US"/>
        </w:rPr>
        <w:t>Impacts de la pollution sur les ressources en eau souterraine du bassin du Nakanbé</w:t>
      </w:r>
      <w:bookmarkEnd w:id="587"/>
    </w:p>
    <w:p w14:paraId="15A6019A" w14:textId="77777777" w:rsidR="00FA5C38" w:rsidRPr="007C5A6E" w:rsidRDefault="00FA5C38" w:rsidP="00F57A5C">
      <w:pPr>
        <w:spacing w:after="0" w:line="240" w:lineRule="auto"/>
        <w:jc w:val="both"/>
        <w:rPr>
          <w:rFonts w:ascii="Times New Roman" w:hAnsi="Times New Roman"/>
          <w:sz w:val="24"/>
          <w:szCs w:val="24"/>
        </w:rPr>
      </w:pPr>
    </w:p>
    <w:p w14:paraId="12660AF6" w14:textId="19852708" w:rsidR="00F57A5C" w:rsidRPr="007C5A6E" w:rsidRDefault="00F57A5C" w:rsidP="00F57A5C">
      <w:pPr>
        <w:spacing w:after="0" w:line="240" w:lineRule="auto"/>
        <w:jc w:val="both"/>
        <w:rPr>
          <w:rFonts w:ascii="Times New Roman" w:hAnsi="Times New Roman"/>
          <w:sz w:val="24"/>
          <w:szCs w:val="24"/>
        </w:rPr>
      </w:pPr>
      <w:r w:rsidRPr="007C5A6E">
        <w:rPr>
          <w:rFonts w:ascii="Times New Roman" w:hAnsi="Times New Roman"/>
          <w:sz w:val="24"/>
          <w:szCs w:val="24"/>
        </w:rPr>
        <w:t xml:space="preserve">A défaut de données à jour, la qualité des ressources en eau souterraine selon la norme OMS, est ici rappelée à titre indicatif. Elle porte sur les taux anormalement élevés d’arsenic dans les eaux de certains forages exécutés dans les formations </w:t>
      </w:r>
      <w:proofErr w:type="spellStart"/>
      <w:r w:rsidRPr="007C5A6E">
        <w:rPr>
          <w:rFonts w:ascii="Times New Roman" w:hAnsi="Times New Roman"/>
          <w:sz w:val="24"/>
          <w:szCs w:val="24"/>
        </w:rPr>
        <w:t>volcano</w:t>
      </w:r>
      <w:proofErr w:type="spellEnd"/>
      <w:r w:rsidRPr="007C5A6E">
        <w:rPr>
          <w:rFonts w:ascii="Times New Roman" w:hAnsi="Times New Roman"/>
          <w:sz w:val="24"/>
          <w:szCs w:val="24"/>
        </w:rPr>
        <w:t>-s</w:t>
      </w:r>
      <w:r w:rsidR="00BA5B98" w:rsidRPr="007C5A6E">
        <w:rPr>
          <w:rFonts w:ascii="Times New Roman" w:hAnsi="Times New Roman"/>
          <w:sz w:val="24"/>
          <w:szCs w:val="24"/>
        </w:rPr>
        <w:t>é</w:t>
      </w:r>
      <w:r w:rsidRPr="007C5A6E">
        <w:rPr>
          <w:rFonts w:ascii="Times New Roman" w:hAnsi="Times New Roman"/>
          <w:sz w:val="24"/>
          <w:szCs w:val="24"/>
        </w:rPr>
        <w:t>dimentaire de la zone de socle cristallin.</w:t>
      </w:r>
    </w:p>
    <w:p w14:paraId="239F3A87" w14:textId="77777777" w:rsidR="00FA5C38" w:rsidRPr="007C5A6E" w:rsidRDefault="00FA5C38" w:rsidP="00F57A5C">
      <w:pPr>
        <w:spacing w:after="0" w:line="240" w:lineRule="auto"/>
        <w:jc w:val="both"/>
        <w:rPr>
          <w:rFonts w:ascii="Times New Roman" w:hAnsi="Times New Roman"/>
          <w:sz w:val="24"/>
          <w:szCs w:val="24"/>
        </w:rPr>
      </w:pPr>
    </w:p>
    <w:p w14:paraId="6FBF30D1" w14:textId="0F47759E" w:rsidR="00F57A5C" w:rsidRPr="007C5A6E" w:rsidRDefault="00F57A5C" w:rsidP="00BA5B98">
      <w:pPr>
        <w:tabs>
          <w:tab w:val="left" w:pos="1134"/>
        </w:tabs>
        <w:spacing w:after="0" w:line="240" w:lineRule="auto"/>
        <w:rPr>
          <w:rFonts w:ascii="Times New Roman" w:hAnsi="Times New Roman"/>
          <w:iCs/>
          <w:sz w:val="24"/>
          <w:szCs w:val="24"/>
          <w:lang w:eastAsia="da-DK"/>
        </w:rPr>
      </w:pPr>
      <w:bookmarkStart w:id="588" w:name="_Toc182605869"/>
      <w:bookmarkStart w:id="589" w:name="_Toc183240984"/>
      <w:bookmarkStart w:id="590" w:name="_Toc183292226"/>
      <w:bookmarkStart w:id="591" w:name="_Toc183340506"/>
      <w:r w:rsidRPr="007C5A6E">
        <w:rPr>
          <w:rFonts w:ascii="Times New Roman" w:hAnsi="Times New Roman"/>
          <w:iCs/>
          <w:sz w:val="24"/>
          <w:szCs w:val="24"/>
          <w:lang w:eastAsia="da-DK"/>
        </w:rPr>
        <w:t xml:space="preserve">Tableau </w:t>
      </w:r>
      <w:r w:rsidRPr="007C5A6E">
        <w:rPr>
          <w:rFonts w:ascii="Times New Roman" w:hAnsi="Times New Roman"/>
          <w:iCs/>
          <w:sz w:val="24"/>
          <w:szCs w:val="24"/>
          <w:lang w:eastAsia="da-DK"/>
        </w:rPr>
        <w:fldChar w:fldCharType="begin"/>
      </w:r>
      <w:r w:rsidRPr="007C5A6E">
        <w:rPr>
          <w:rFonts w:ascii="Times New Roman" w:hAnsi="Times New Roman"/>
          <w:iCs/>
          <w:sz w:val="24"/>
          <w:szCs w:val="24"/>
          <w:lang w:eastAsia="da-DK"/>
        </w:rPr>
        <w:instrText xml:space="preserve"> SEQ Tableau \* ARABIC </w:instrText>
      </w:r>
      <w:r w:rsidRPr="007C5A6E">
        <w:rPr>
          <w:rFonts w:ascii="Times New Roman" w:hAnsi="Times New Roman"/>
          <w:iCs/>
          <w:sz w:val="24"/>
          <w:szCs w:val="24"/>
          <w:lang w:eastAsia="da-DK"/>
        </w:rPr>
        <w:fldChar w:fldCharType="separate"/>
      </w:r>
      <w:r w:rsidR="003162F8" w:rsidRPr="007C5A6E">
        <w:rPr>
          <w:rFonts w:ascii="Times New Roman" w:hAnsi="Times New Roman"/>
          <w:iCs/>
          <w:noProof/>
          <w:sz w:val="24"/>
          <w:szCs w:val="24"/>
          <w:lang w:eastAsia="da-DK"/>
        </w:rPr>
        <w:t>22</w:t>
      </w:r>
      <w:r w:rsidRPr="007C5A6E">
        <w:rPr>
          <w:rFonts w:ascii="Times New Roman" w:hAnsi="Times New Roman"/>
          <w:iCs/>
          <w:sz w:val="24"/>
          <w:szCs w:val="24"/>
          <w:lang w:eastAsia="da-DK"/>
        </w:rPr>
        <w:fldChar w:fldCharType="end"/>
      </w:r>
      <w:r w:rsidR="008E7EDC" w:rsidRPr="007C5A6E">
        <w:rPr>
          <w:rFonts w:ascii="Times New Roman" w:hAnsi="Times New Roman"/>
          <w:iCs/>
          <w:sz w:val="24"/>
          <w:szCs w:val="24"/>
          <w:lang w:eastAsia="da-DK"/>
        </w:rPr>
        <w:t xml:space="preserve"> </w:t>
      </w:r>
      <w:r w:rsidRPr="007C5A6E">
        <w:rPr>
          <w:rFonts w:ascii="Times New Roman" w:hAnsi="Times New Roman"/>
          <w:iCs/>
          <w:sz w:val="24"/>
          <w:szCs w:val="24"/>
          <w:lang w:eastAsia="da-DK"/>
        </w:rPr>
        <w:t>: Dépassement des teneurs en arsenic des eaux de forage sur quelques sites d’exploitation minière (or) en 2012</w:t>
      </w:r>
      <w:bookmarkEnd w:id="588"/>
      <w:bookmarkEnd w:id="589"/>
      <w:bookmarkEnd w:id="590"/>
      <w:bookmarkEnd w:id="591"/>
      <w:r w:rsidRPr="007C5A6E">
        <w:rPr>
          <w:rFonts w:ascii="Times New Roman" w:hAnsi="Times New Roman"/>
          <w:iCs/>
          <w:sz w:val="24"/>
          <w:szCs w:val="24"/>
          <w:lang w:eastAsia="da-DK"/>
        </w:rPr>
        <w:t xml:space="preserve"> </w:t>
      </w:r>
    </w:p>
    <w:p w14:paraId="2A43C650" w14:textId="77777777" w:rsidR="00FA5C38" w:rsidRPr="007C5A6E" w:rsidRDefault="00FA5C38" w:rsidP="00F57A5C">
      <w:pPr>
        <w:tabs>
          <w:tab w:val="left" w:pos="1134"/>
        </w:tabs>
        <w:spacing w:after="0" w:line="240" w:lineRule="auto"/>
        <w:ind w:left="1134" w:hanging="1134"/>
        <w:rPr>
          <w:rFonts w:ascii="Times New Roman" w:hAnsi="Times New Roman"/>
          <w:i/>
          <w:sz w:val="24"/>
          <w:szCs w:val="24"/>
          <w:lang w:eastAsia="da-DK"/>
        </w:rPr>
      </w:pPr>
    </w:p>
    <w:tbl>
      <w:tblPr>
        <w:tblStyle w:val="Grilledutableau3"/>
        <w:tblW w:w="0" w:type="auto"/>
        <w:tblLook w:val="04A0" w:firstRow="1" w:lastRow="0" w:firstColumn="1" w:lastColumn="0" w:noHBand="0" w:noVBand="1"/>
      </w:tblPr>
      <w:tblGrid>
        <w:gridCol w:w="1890"/>
        <w:gridCol w:w="1570"/>
        <w:gridCol w:w="2303"/>
        <w:gridCol w:w="2850"/>
      </w:tblGrid>
      <w:tr w:rsidR="00F57A5C" w:rsidRPr="007C5A6E" w14:paraId="0207E8B5" w14:textId="77777777" w:rsidTr="00BA5B98">
        <w:tc>
          <w:tcPr>
            <w:tcW w:w="1890" w:type="dxa"/>
            <w:shd w:val="clear" w:color="auto" w:fill="002060"/>
            <w:vAlign w:val="center"/>
          </w:tcPr>
          <w:p w14:paraId="14C0BDA3" w14:textId="77777777" w:rsidR="00F57A5C" w:rsidRPr="007C5A6E" w:rsidRDefault="00F57A5C" w:rsidP="00BA5B98">
            <w:pPr>
              <w:spacing w:after="0" w:line="240" w:lineRule="auto"/>
              <w:jc w:val="center"/>
              <w:rPr>
                <w:rFonts w:ascii="Times New Roman" w:hAnsi="Times New Roman"/>
                <w:bCs/>
                <w:sz w:val="21"/>
                <w:szCs w:val="21"/>
              </w:rPr>
            </w:pPr>
            <w:r w:rsidRPr="007C5A6E">
              <w:rPr>
                <w:rFonts w:ascii="Times New Roman" w:hAnsi="Times New Roman"/>
                <w:bCs/>
                <w:sz w:val="21"/>
                <w:szCs w:val="21"/>
              </w:rPr>
              <w:t>Région</w:t>
            </w:r>
          </w:p>
        </w:tc>
        <w:tc>
          <w:tcPr>
            <w:tcW w:w="1570" w:type="dxa"/>
            <w:shd w:val="clear" w:color="auto" w:fill="002060"/>
            <w:vAlign w:val="center"/>
          </w:tcPr>
          <w:p w14:paraId="4137C57F" w14:textId="77777777" w:rsidR="00F57A5C" w:rsidRPr="007C5A6E" w:rsidRDefault="00F57A5C" w:rsidP="00BA5B98">
            <w:pPr>
              <w:spacing w:after="0" w:line="240" w:lineRule="auto"/>
              <w:jc w:val="center"/>
              <w:rPr>
                <w:rFonts w:ascii="Times New Roman" w:hAnsi="Times New Roman"/>
                <w:bCs/>
                <w:sz w:val="21"/>
                <w:szCs w:val="21"/>
              </w:rPr>
            </w:pPr>
            <w:r w:rsidRPr="007C5A6E">
              <w:rPr>
                <w:rFonts w:ascii="Times New Roman" w:hAnsi="Times New Roman"/>
                <w:bCs/>
                <w:sz w:val="21"/>
                <w:szCs w:val="21"/>
              </w:rPr>
              <w:t>Communes</w:t>
            </w:r>
          </w:p>
        </w:tc>
        <w:tc>
          <w:tcPr>
            <w:tcW w:w="2303" w:type="dxa"/>
            <w:shd w:val="clear" w:color="auto" w:fill="002060"/>
          </w:tcPr>
          <w:p w14:paraId="13A06438" w14:textId="77777777" w:rsidR="00F57A5C" w:rsidRPr="007C5A6E" w:rsidRDefault="00F57A5C" w:rsidP="00BA5B98">
            <w:pPr>
              <w:spacing w:after="0" w:line="240" w:lineRule="auto"/>
              <w:jc w:val="center"/>
              <w:rPr>
                <w:rFonts w:ascii="Times New Roman" w:hAnsi="Times New Roman"/>
                <w:bCs/>
                <w:sz w:val="21"/>
                <w:szCs w:val="21"/>
              </w:rPr>
            </w:pPr>
            <w:r w:rsidRPr="007C5A6E">
              <w:rPr>
                <w:rFonts w:ascii="Times New Roman" w:hAnsi="Times New Roman"/>
                <w:bCs/>
                <w:sz w:val="21"/>
                <w:szCs w:val="21"/>
              </w:rPr>
              <w:t>Teneur eau en arsenic (µg/litre)</w:t>
            </w:r>
          </w:p>
        </w:tc>
        <w:tc>
          <w:tcPr>
            <w:tcW w:w="2850" w:type="dxa"/>
            <w:shd w:val="clear" w:color="auto" w:fill="002060"/>
          </w:tcPr>
          <w:p w14:paraId="0B316BF9" w14:textId="4A8C2C88" w:rsidR="00F57A5C" w:rsidRPr="007C5A6E" w:rsidRDefault="00F57A5C" w:rsidP="00BA5B98">
            <w:pPr>
              <w:spacing w:after="0" w:line="240" w:lineRule="auto"/>
              <w:jc w:val="center"/>
              <w:rPr>
                <w:rFonts w:ascii="Times New Roman" w:hAnsi="Times New Roman"/>
                <w:bCs/>
                <w:sz w:val="21"/>
                <w:szCs w:val="21"/>
              </w:rPr>
            </w:pPr>
            <w:r w:rsidRPr="007C5A6E">
              <w:rPr>
                <w:rFonts w:ascii="Times New Roman" w:hAnsi="Times New Roman"/>
                <w:bCs/>
                <w:sz w:val="21"/>
                <w:szCs w:val="21"/>
              </w:rPr>
              <w:t>Taux de dépassement de la norme OMS en arsenic</w:t>
            </w:r>
          </w:p>
        </w:tc>
      </w:tr>
      <w:tr w:rsidR="00F57A5C" w:rsidRPr="007C5A6E" w14:paraId="6E2BCB4E" w14:textId="77777777" w:rsidTr="00473089">
        <w:tc>
          <w:tcPr>
            <w:tcW w:w="1890" w:type="dxa"/>
            <w:vMerge w:val="restart"/>
            <w:vAlign w:val="center"/>
          </w:tcPr>
          <w:p w14:paraId="0477128B" w14:textId="77777777" w:rsidR="00F57A5C" w:rsidRPr="007C5A6E" w:rsidRDefault="00F57A5C" w:rsidP="00F57A5C">
            <w:pPr>
              <w:spacing w:after="0" w:line="240" w:lineRule="auto"/>
              <w:rPr>
                <w:rFonts w:ascii="Times New Roman" w:hAnsi="Times New Roman"/>
                <w:sz w:val="21"/>
                <w:szCs w:val="21"/>
              </w:rPr>
            </w:pPr>
            <w:r w:rsidRPr="007C5A6E">
              <w:rPr>
                <w:rFonts w:ascii="Times New Roman" w:hAnsi="Times New Roman"/>
                <w:color w:val="000000"/>
                <w:sz w:val="21"/>
                <w:szCs w:val="21"/>
              </w:rPr>
              <w:t>Centre Nord </w:t>
            </w:r>
          </w:p>
        </w:tc>
        <w:tc>
          <w:tcPr>
            <w:tcW w:w="1570" w:type="dxa"/>
          </w:tcPr>
          <w:p w14:paraId="670F071C" w14:textId="77777777" w:rsidR="00F57A5C" w:rsidRPr="007C5A6E" w:rsidRDefault="00F57A5C" w:rsidP="00F57A5C">
            <w:pPr>
              <w:spacing w:after="0" w:line="240" w:lineRule="auto"/>
              <w:jc w:val="both"/>
              <w:rPr>
                <w:rFonts w:ascii="Times New Roman" w:hAnsi="Times New Roman"/>
                <w:color w:val="000000"/>
                <w:sz w:val="21"/>
                <w:szCs w:val="21"/>
              </w:rPr>
            </w:pPr>
            <w:r w:rsidRPr="007C5A6E">
              <w:rPr>
                <w:rFonts w:ascii="Times New Roman" w:hAnsi="Times New Roman"/>
                <w:color w:val="000000"/>
                <w:sz w:val="21"/>
                <w:szCs w:val="21"/>
              </w:rPr>
              <w:t>Nasséré</w:t>
            </w:r>
          </w:p>
        </w:tc>
        <w:tc>
          <w:tcPr>
            <w:tcW w:w="2303" w:type="dxa"/>
          </w:tcPr>
          <w:p w14:paraId="469098E0"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18,20</w:t>
            </w:r>
          </w:p>
        </w:tc>
        <w:tc>
          <w:tcPr>
            <w:tcW w:w="2850" w:type="dxa"/>
          </w:tcPr>
          <w:p w14:paraId="3445A085"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82%</w:t>
            </w:r>
          </w:p>
        </w:tc>
      </w:tr>
      <w:tr w:rsidR="00F57A5C" w:rsidRPr="007C5A6E" w14:paraId="2F30F343" w14:textId="77777777" w:rsidTr="00473089">
        <w:tc>
          <w:tcPr>
            <w:tcW w:w="1890" w:type="dxa"/>
            <w:vMerge/>
          </w:tcPr>
          <w:p w14:paraId="212369FF" w14:textId="77777777" w:rsidR="00F57A5C" w:rsidRPr="007C5A6E" w:rsidRDefault="00F57A5C" w:rsidP="00F57A5C">
            <w:pPr>
              <w:spacing w:after="0" w:line="240" w:lineRule="auto"/>
              <w:jc w:val="both"/>
              <w:rPr>
                <w:rFonts w:ascii="Times New Roman" w:hAnsi="Times New Roman"/>
                <w:sz w:val="21"/>
                <w:szCs w:val="21"/>
              </w:rPr>
            </w:pPr>
          </w:p>
        </w:tc>
        <w:tc>
          <w:tcPr>
            <w:tcW w:w="1570" w:type="dxa"/>
          </w:tcPr>
          <w:p w14:paraId="66A61C73" w14:textId="77777777" w:rsidR="00F57A5C" w:rsidRPr="007C5A6E" w:rsidRDefault="00F57A5C" w:rsidP="00F57A5C">
            <w:pPr>
              <w:spacing w:after="0" w:line="240" w:lineRule="auto"/>
              <w:jc w:val="both"/>
              <w:rPr>
                <w:rFonts w:ascii="Times New Roman" w:hAnsi="Times New Roman"/>
                <w:color w:val="000000"/>
                <w:sz w:val="21"/>
                <w:szCs w:val="21"/>
              </w:rPr>
            </w:pPr>
            <w:r w:rsidRPr="007C5A6E">
              <w:rPr>
                <w:rFonts w:ascii="Times New Roman" w:hAnsi="Times New Roman"/>
                <w:color w:val="000000"/>
                <w:sz w:val="21"/>
                <w:szCs w:val="21"/>
              </w:rPr>
              <w:t>Sabcé</w:t>
            </w:r>
          </w:p>
        </w:tc>
        <w:tc>
          <w:tcPr>
            <w:tcW w:w="2303" w:type="dxa"/>
          </w:tcPr>
          <w:p w14:paraId="0D9E4631"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35,08</w:t>
            </w:r>
          </w:p>
        </w:tc>
        <w:tc>
          <w:tcPr>
            <w:tcW w:w="2850" w:type="dxa"/>
          </w:tcPr>
          <w:p w14:paraId="0BF7742F"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250,8%</w:t>
            </w:r>
          </w:p>
        </w:tc>
      </w:tr>
      <w:tr w:rsidR="00F57A5C" w:rsidRPr="007C5A6E" w14:paraId="4DE785AD" w14:textId="77777777" w:rsidTr="00473089">
        <w:tc>
          <w:tcPr>
            <w:tcW w:w="1890" w:type="dxa"/>
            <w:vMerge/>
          </w:tcPr>
          <w:p w14:paraId="03F1100F" w14:textId="77777777" w:rsidR="00F57A5C" w:rsidRPr="007C5A6E" w:rsidRDefault="00F57A5C" w:rsidP="00F57A5C">
            <w:pPr>
              <w:spacing w:after="0" w:line="240" w:lineRule="auto"/>
              <w:jc w:val="both"/>
              <w:rPr>
                <w:rFonts w:ascii="Times New Roman" w:hAnsi="Times New Roman"/>
                <w:sz w:val="21"/>
                <w:szCs w:val="21"/>
              </w:rPr>
            </w:pPr>
          </w:p>
        </w:tc>
        <w:tc>
          <w:tcPr>
            <w:tcW w:w="1570" w:type="dxa"/>
          </w:tcPr>
          <w:p w14:paraId="5201C433" w14:textId="77777777" w:rsidR="00F57A5C" w:rsidRPr="007C5A6E" w:rsidRDefault="00F57A5C" w:rsidP="00F57A5C">
            <w:pPr>
              <w:spacing w:after="0" w:line="240" w:lineRule="auto"/>
              <w:jc w:val="both"/>
              <w:rPr>
                <w:rFonts w:ascii="Times New Roman" w:hAnsi="Times New Roman"/>
                <w:color w:val="000000"/>
                <w:sz w:val="21"/>
                <w:szCs w:val="21"/>
              </w:rPr>
            </w:pPr>
            <w:r w:rsidRPr="007C5A6E">
              <w:rPr>
                <w:rFonts w:ascii="Times New Roman" w:hAnsi="Times New Roman"/>
                <w:color w:val="000000"/>
                <w:sz w:val="21"/>
                <w:szCs w:val="21"/>
              </w:rPr>
              <w:t>Rouko</w:t>
            </w:r>
          </w:p>
        </w:tc>
        <w:tc>
          <w:tcPr>
            <w:tcW w:w="2303" w:type="dxa"/>
          </w:tcPr>
          <w:p w14:paraId="28D0AD93"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108,83</w:t>
            </w:r>
          </w:p>
        </w:tc>
        <w:tc>
          <w:tcPr>
            <w:tcW w:w="2850" w:type="dxa"/>
          </w:tcPr>
          <w:p w14:paraId="689F9A18"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988,3%</w:t>
            </w:r>
          </w:p>
        </w:tc>
      </w:tr>
      <w:tr w:rsidR="00F57A5C" w:rsidRPr="007C5A6E" w14:paraId="132E960B" w14:textId="77777777" w:rsidTr="00473089">
        <w:tc>
          <w:tcPr>
            <w:tcW w:w="1890" w:type="dxa"/>
            <w:vMerge w:val="restart"/>
            <w:vAlign w:val="center"/>
          </w:tcPr>
          <w:p w14:paraId="46001A75" w14:textId="77777777" w:rsidR="00F57A5C" w:rsidRPr="007C5A6E" w:rsidRDefault="00F57A5C" w:rsidP="00F57A5C">
            <w:pPr>
              <w:spacing w:after="0" w:line="240" w:lineRule="auto"/>
              <w:rPr>
                <w:rFonts w:ascii="Times New Roman" w:hAnsi="Times New Roman"/>
                <w:sz w:val="21"/>
                <w:szCs w:val="21"/>
              </w:rPr>
            </w:pPr>
            <w:r w:rsidRPr="007C5A6E">
              <w:rPr>
                <w:rFonts w:ascii="Times New Roman" w:hAnsi="Times New Roman"/>
                <w:color w:val="000000"/>
                <w:sz w:val="21"/>
                <w:szCs w:val="21"/>
              </w:rPr>
              <w:t>Centre-Est </w:t>
            </w:r>
          </w:p>
        </w:tc>
        <w:tc>
          <w:tcPr>
            <w:tcW w:w="1570" w:type="dxa"/>
          </w:tcPr>
          <w:p w14:paraId="0D03E7D4" w14:textId="77777777" w:rsidR="00F57A5C" w:rsidRPr="007C5A6E" w:rsidRDefault="00F57A5C" w:rsidP="00F57A5C">
            <w:pPr>
              <w:spacing w:after="0" w:line="240" w:lineRule="auto"/>
              <w:jc w:val="both"/>
              <w:rPr>
                <w:rFonts w:ascii="Times New Roman" w:hAnsi="Times New Roman"/>
                <w:sz w:val="21"/>
                <w:szCs w:val="21"/>
              </w:rPr>
            </w:pPr>
            <w:proofErr w:type="spellStart"/>
            <w:r w:rsidRPr="007C5A6E">
              <w:rPr>
                <w:rFonts w:ascii="Times New Roman" w:hAnsi="Times New Roman"/>
                <w:color w:val="000000"/>
                <w:sz w:val="21"/>
                <w:szCs w:val="21"/>
              </w:rPr>
              <w:t>Bané</w:t>
            </w:r>
            <w:proofErr w:type="spellEnd"/>
            <w:r w:rsidRPr="007C5A6E">
              <w:rPr>
                <w:rFonts w:ascii="Times New Roman" w:hAnsi="Times New Roman"/>
                <w:color w:val="000000"/>
                <w:sz w:val="21"/>
                <w:szCs w:val="21"/>
              </w:rPr>
              <w:t xml:space="preserve"> </w:t>
            </w:r>
          </w:p>
        </w:tc>
        <w:tc>
          <w:tcPr>
            <w:tcW w:w="2303" w:type="dxa"/>
          </w:tcPr>
          <w:p w14:paraId="69E16403"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10,45</w:t>
            </w:r>
          </w:p>
        </w:tc>
        <w:tc>
          <w:tcPr>
            <w:tcW w:w="2850" w:type="dxa"/>
          </w:tcPr>
          <w:p w14:paraId="06C6C98B"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4,5%</w:t>
            </w:r>
          </w:p>
        </w:tc>
      </w:tr>
      <w:tr w:rsidR="00F57A5C" w:rsidRPr="007C5A6E" w14:paraId="6E1EA6DB" w14:textId="77777777" w:rsidTr="00473089">
        <w:tc>
          <w:tcPr>
            <w:tcW w:w="1890" w:type="dxa"/>
            <w:vMerge/>
          </w:tcPr>
          <w:p w14:paraId="7D3ECE7A" w14:textId="77777777" w:rsidR="00F57A5C" w:rsidRPr="007C5A6E" w:rsidRDefault="00F57A5C" w:rsidP="00F57A5C">
            <w:pPr>
              <w:spacing w:after="0" w:line="240" w:lineRule="auto"/>
              <w:jc w:val="both"/>
              <w:rPr>
                <w:rFonts w:ascii="Times New Roman" w:hAnsi="Times New Roman"/>
                <w:sz w:val="21"/>
                <w:szCs w:val="21"/>
              </w:rPr>
            </w:pPr>
          </w:p>
        </w:tc>
        <w:tc>
          <w:tcPr>
            <w:tcW w:w="1570" w:type="dxa"/>
          </w:tcPr>
          <w:p w14:paraId="6D841E25"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color w:val="000000"/>
                <w:sz w:val="21"/>
                <w:szCs w:val="21"/>
              </w:rPr>
              <w:t xml:space="preserve">Bittou </w:t>
            </w:r>
          </w:p>
        </w:tc>
        <w:tc>
          <w:tcPr>
            <w:tcW w:w="2303" w:type="dxa"/>
          </w:tcPr>
          <w:p w14:paraId="00856D27"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10,35</w:t>
            </w:r>
          </w:p>
        </w:tc>
        <w:tc>
          <w:tcPr>
            <w:tcW w:w="2850" w:type="dxa"/>
          </w:tcPr>
          <w:p w14:paraId="19B92073"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3,5%</w:t>
            </w:r>
          </w:p>
        </w:tc>
      </w:tr>
      <w:tr w:rsidR="00F57A5C" w:rsidRPr="007C5A6E" w14:paraId="74403F27" w14:textId="77777777" w:rsidTr="00473089">
        <w:tc>
          <w:tcPr>
            <w:tcW w:w="1890" w:type="dxa"/>
            <w:vMerge/>
          </w:tcPr>
          <w:p w14:paraId="28F4050D" w14:textId="77777777" w:rsidR="00F57A5C" w:rsidRPr="007C5A6E" w:rsidRDefault="00F57A5C" w:rsidP="00F57A5C">
            <w:pPr>
              <w:spacing w:after="0" w:line="240" w:lineRule="auto"/>
              <w:jc w:val="both"/>
              <w:rPr>
                <w:rFonts w:ascii="Times New Roman" w:hAnsi="Times New Roman"/>
                <w:sz w:val="21"/>
                <w:szCs w:val="21"/>
              </w:rPr>
            </w:pPr>
          </w:p>
        </w:tc>
        <w:tc>
          <w:tcPr>
            <w:tcW w:w="1570" w:type="dxa"/>
          </w:tcPr>
          <w:p w14:paraId="34728BBB"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color w:val="000000"/>
                <w:sz w:val="21"/>
                <w:szCs w:val="21"/>
              </w:rPr>
              <w:t xml:space="preserve">Zabré </w:t>
            </w:r>
          </w:p>
        </w:tc>
        <w:tc>
          <w:tcPr>
            <w:tcW w:w="2303" w:type="dxa"/>
          </w:tcPr>
          <w:p w14:paraId="29674DC4"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26,68</w:t>
            </w:r>
          </w:p>
        </w:tc>
        <w:tc>
          <w:tcPr>
            <w:tcW w:w="2850" w:type="dxa"/>
          </w:tcPr>
          <w:p w14:paraId="7B1F20F5"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166,8%</w:t>
            </w:r>
          </w:p>
        </w:tc>
      </w:tr>
      <w:tr w:rsidR="00F57A5C" w:rsidRPr="007C5A6E" w14:paraId="405776DC" w14:textId="77777777" w:rsidTr="00473089">
        <w:tc>
          <w:tcPr>
            <w:tcW w:w="1890" w:type="dxa"/>
          </w:tcPr>
          <w:p w14:paraId="5FC3A796"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Est </w:t>
            </w:r>
          </w:p>
        </w:tc>
        <w:tc>
          <w:tcPr>
            <w:tcW w:w="1570" w:type="dxa"/>
          </w:tcPr>
          <w:p w14:paraId="70011F66"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Bilanga</w:t>
            </w:r>
          </w:p>
        </w:tc>
        <w:tc>
          <w:tcPr>
            <w:tcW w:w="2303" w:type="dxa"/>
          </w:tcPr>
          <w:p w14:paraId="761E7A32"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21,31</w:t>
            </w:r>
          </w:p>
        </w:tc>
        <w:tc>
          <w:tcPr>
            <w:tcW w:w="2850" w:type="dxa"/>
          </w:tcPr>
          <w:p w14:paraId="0A42D0F8"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113,1%</w:t>
            </w:r>
          </w:p>
        </w:tc>
      </w:tr>
      <w:tr w:rsidR="00F57A5C" w:rsidRPr="007C5A6E" w14:paraId="2DCE6F76" w14:textId="77777777" w:rsidTr="00473089">
        <w:tc>
          <w:tcPr>
            <w:tcW w:w="1890" w:type="dxa"/>
            <w:vMerge w:val="restart"/>
            <w:vAlign w:val="center"/>
          </w:tcPr>
          <w:p w14:paraId="7677BBAC" w14:textId="77777777" w:rsidR="00F57A5C" w:rsidRPr="007C5A6E" w:rsidRDefault="00F57A5C" w:rsidP="00F57A5C">
            <w:pPr>
              <w:spacing w:after="0" w:line="240" w:lineRule="auto"/>
              <w:rPr>
                <w:rFonts w:ascii="Times New Roman" w:hAnsi="Times New Roman"/>
                <w:color w:val="000000"/>
                <w:sz w:val="21"/>
                <w:szCs w:val="21"/>
              </w:rPr>
            </w:pPr>
            <w:r w:rsidRPr="007C5A6E">
              <w:rPr>
                <w:rFonts w:ascii="Times New Roman" w:hAnsi="Times New Roman"/>
                <w:color w:val="000000"/>
                <w:sz w:val="21"/>
                <w:szCs w:val="21"/>
              </w:rPr>
              <w:t>Nord </w:t>
            </w:r>
          </w:p>
        </w:tc>
        <w:tc>
          <w:tcPr>
            <w:tcW w:w="1570" w:type="dxa"/>
          </w:tcPr>
          <w:p w14:paraId="6A67A8F2"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color w:val="000000"/>
                <w:sz w:val="21"/>
                <w:szCs w:val="21"/>
              </w:rPr>
              <w:t xml:space="preserve">Titao </w:t>
            </w:r>
          </w:p>
        </w:tc>
        <w:tc>
          <w:tcPr>
            <w:tcW w:w="2303" w:type="dxa"/>
          </w:tcPr>
          <w:p w14:paraId="25C948AC"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11,14</w:t>
            </w:r>
          </w:p>
        </w:tc>
        <w:tc>
          <w:tcPr>
            <w:tcW w:w="2850" w:type="dxa"/>
          </w:tcPr>
          <w:p w14:paraId="35F5B285"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11,4%</w:t>
            </w:r>
          </w:p>
        </w:tc>
      </w:tr>
      <w:tr w:rsidR="00F57A5C" w:rsidRPr="007C5A6E" w14:paraId="721F9B67" w14:textId="77777777" w:rsidTr="00473089">
        <w:tc>
          <w:tcPr>
            <w:tcW w:w="1890" w:type="dxa"/>
            <w:vMerge/>
          </w:tcPr>
          <w:p w14:paraId="6396BEDB" w14:textId="77777777" w:rsidR="00F57A5C" w:rsidRPr="007C5A6E" w:rsidRDefault="00F57A5C" w:rsidP="00F57A5C">
            <w:pPr>
              <w:spacing w:after="0" w:line="240" w:lineRule="auto"/>
              <w:jc w:val="both"/>
              <w:rPr>
                <w:rFonts w:ascii="Times New Roman" w:hAnsi="Times New Roman"/>
                <w:sz w:val="21"/>
                <w:szCs w:val="21"/>
              </w:rPr>
            </w:pPr>
          </w:p>
        </w:tc>
        <w:tc>
          <w:tcPr>
            <w:tcW w:w="1570" w:type="dxa"/>
          </w:tcPr>
          <w:p w14:paraId="2924D238"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color w:val="000000"/>
                <w:sz w:val="21"/>
                <w:szCs w:val="21"/>
              </w:rPr>
              <w:t xml:space="preserve">Ouahigouya </w:t>
            </w:r>
          </w:p>
        </w:tc>
        <w:tc>
          <w:tcPr>
            <w:tcW w:w="2303" w:type="dxa"/>
          </w:tcPr>
          <w:p w14:paraId="04A16F16"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19,39</w:t>
            </w:r>
          </w:p>
        </w:tc>
        <w:tc>
          <w:tcPr>
            <w:tcW w:w="2850" w:type="dxa"/>
          </w:tcPr>
          <w:p w14:paraId="402F5012"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93,9%</w:t>
            </w:r>
          </w:p>
        </w:tc>
      </w:tr>
      <w:tr w:rsidR="00F57A5C" w:rsidRPr="007C5A6E" w14:paraId="7C7FE139" w14:textId="77777777" w:rsidTr="00473089">
        <w:tc>
          <w:tcPr>
            <w:tcW w:w="1890" w:type="dxa"/>
            <w:vMerge/>
          </w:tcPr>
          <w:p w14:paraId="4199A897" w14:textId="77777777" w:rsidR="00F57A5C" w:rsidRPr="007C5A6E" w:rsidRDefault="00F57A5C" w:rsidP="00F57A5C">
            <w:pPr>
              <w:spacing w:after="0" w:line="240" w:lineRule="auto"/>
              <w:jc w:val="both"/>
              <w:rPr>
                <w:rFonts w:ascii="Times New Roman" w:hAnsi="Times New Roman"/>
                <w:sz w:val="21"/>
                <w:szCs w:val="21"/>
              </w:rPr>
            </w:pPr>
          </w:p>
        </w:tc>
        <w:tc>
          <w:tcPr>
            <w:tcW w:w="1570" w:type="dxa"/>
          </w:tcPr>
          <w:p w14:paraId="3EE59188"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color w:val="000000"/>
                <w:sz w:val="21"/>
                <w:szCs w:val="21"/>
              </w:rPr>
              <w:t>Oula</w:t>
            </w:r>
          </w:p>
        </w:tc>
        <w:tc>
          <w:tcPr>
            <w:tcW w:w="2303" w:type="dxa"/>
          </w:tcPr>
          <w:p w14:paraId="080CDEBC"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 xml:space="preserve">28,27 à 33,02  </w:t>
            </w:r>
          </w:p>
        </w:tc>
        <w:tc>
          <w:tcPr>
            <w:tcW w:w="2850" w:type="dxa"/>
          </w:tcPr>
          <w:p w14:paraId="70C97AFB"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182,7% à 230,2%</w:t>
            </w:r>
          </w:p>
        </w:tc>
      </w:tr>
      <w:tr w:rsidR="00F57A5C" w:rsidRPr="007C5A6E" w14:paraId="08F1E149" w14:textId="77777777" w:rsidTr="00473089">
        <w:tc>
          <w:tcPr>
            <w:tcW w:w="1890" w:type="dxa"/>
          </w:tcPr>
          <w:p w14:paraId="50F0333A"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Plateau Central </w:t>
            </w:r>
          </w:p>
        </w:tc>
        <w:tc>
          <w:tcPr>
            <w:tcW w:w="1570" w:type="dxa"/>
          </w:tcPr>
          <w:p w14:paraId="29EA2B16"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 xml:space="preserve">Mogtédo </w:t>
            </w:r>
          </w:p>
        </w:tc>
        <w:tc>
          <w:tcPr>
            <w:tcW w:w="2303" w:type="dxa"/>
          </w:tcPr>
          <w:p w14:paraId="1783BDDE"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45,51</w:t>
            </w:r>
            <w:r w:rsidRPr="007C5A6E">
              <w:rPr>
                <w:rFonts w:ascii="Times New Roman" w:hAnsi="Times New Roman"/>
                <w:bCs/>
                <w:sz w:val="21"/>
                <w:szCs w:val="21"/>
              </w:rPr>
              <w:t xml:space="preserve"> </w:t>
            </w:r>
          </w:p>
        </w:tc>
        <w:tc>
          <w:tcPr>
            <w:tcW w:w="2850" w:type="dxa"/>
          </w:tcPr>
          <w:p w14:paraId="34179D14"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355,1%</w:t>
            </w:r>
          </w:p>
        </w:tc>
      </w:tr>
    </w:tbl>
    <w:p w14:paraId="425C58E7" w14:textId="77777777" w:rsidR="00F57A5C" w:rsidRPr="007C5A6E" w:rsidRDefault="00F57A5C" w:rsidP="00F57A5C">
      <w:pPr>
        <w:spacing w:after="0" w:line="240" w:lineRule="auto"/>
        <w:jc w:val="both"/>
        <w:rPr>
          <w:rFonts w:ascii="Times New Roman" w:hAnsi="Times New Roman"/>
          <w:sz w:val="20"/>
          <w:szCs w:val="20"/>
        </w:rPr>
      </w:pPr>
      <w:r w:rsidRPr="007C5A6E">
        <w:rPr>
          <w:rFonts w:ascii="Times New Roman" w:hAnsi="Times New Roman"/>
          <w:sz w:val="20"/>
          <w:szCs w:val="20"/>
        </w:rPr>
        <w:t xml:space="preserve">Source : REEB4/extrait des données du laboratoire d’analyse de la DGRE/DEIE (analyses faites par BUMIGEB pour le compte dudit labo) </w:t>
      </w:r>
    </w:p>
    <w:p w14:paraId="780BEA1E" w14:textId="77777777" w:rsidR="00FA5C38" w:rsidRPr="007C5A6E" w:rsidRDefault="00FA5C38" w:rsidP="00F57A5C">
      <w:pPr>
        <w:spacing w:after="0" w:line="240" w:lineRule="auto"/>
        <w:jc w:val="both"/>
        <w:rPr>
          <w:rFonts w:ascii="Times New Roman" w:hAnsi="Times New Roman"/>
          <w:sz w:val="24"/>
          <w:szCs w:val="24"/>
        </w:rPr>
      </w:pPr>
    </w:p>
    <w:p w14:paraId="6BCB7646" w14:textId="2B3DAC68" w:rsidR="00F57A5C" w:rsidRPr="007C5A6E" w:rsidRDefault="00F57A5C" w:rsidP="00F57A5C">
      <w:pPr>
        <w:spacing w:after="0" w:line="240" w:lineRule="auto"/>
        <w:jc w:val="both"/>
        <w:rPr>
          <w:rFonts w:ascii="Times New Roman" w:hAnsi="Times New Roman"/>
          <w:sz w:val="24"/>
          <w:szCs w:val="24"/>
        </w:rPr>
      </w:pPr>
      <w:r w:rsidRPr="007C5A6E">
        <w:rPr>
          <w:rFonts w:ascii="Times New Roman" w:hAnsi="Times New Roman"/>
          <w:sz w:val="24"/>
          <w:szCs w:val="24"/>
        </w:rPr>
        <w:t>Les données disponibles ne permettent pas d’évaluer l’impact actuel de la pollution sur les ressources en eau souterraines du bassin.</w:t>
      </w:r>
    </w:p>
    <w:p w14:paraId="2D45AA0D" w14:textId="77777777" w:rsidR="00FA5C38" w:rsidRPr="007C5A6E" w:rsidRDefault="00FA5C38" w:rsidP="00F57A5C">
      <w:pPr>
        <w:spacing w:after="0" w:line="240" w:lineRule="auto"/>
        <w:jc w:val="both"/>
        <w:rPr>
          <w:rFonts w:ascii="Times New Roman" w:hAnsi="Times New Roman"/>
          <w:i/>
          <w:iCs/>
          <w:sz w:val="24"/>
          <w:szCs w:val="24"/>
        </w:rPr>
      </w:pPr>
    </w:p>
    <w:p w14:paraId="77854BE5" w14:textId="77777777" w:rsidR="00F57A5C" w:rsidRPr="007C5A6E" w:rsidRDefault="00F57A5C" w:rsidP="003F3821">
      <w:pPr>
        <w:pStyle w:val="Titre5"/>
        <w:keepNext w:val="0"/>
        <w:keepLines w:val="0"/>
        <w:numPr>
          <w:ilvl w:val="4"/>
          <w:numId w:val="4"/>
        </w:numPr>
        <w:spacing w:before="0"/>
        <w:ind w:left="907" w:hanging="907"/>
        <w:rPr>
          <w:rFonts w:ascii="Times New Roman" w:hAnsi="Times New Roman" w:cs="Times New Roman"/>
          <w:color w:val="auto"/>
          <w:u w:val="single"/>
          <w:lang w:eastAsia="en-US"/>
        </w:rPr>
      </w:pPr>
      <w:bookmarkStart w:id="592" w:name="_Toc183340110"/>
      <w:r w:rsidRPr="007C5A6E">
        <w:rPr>
          <w:rFonts w:ascii="Times New Roman" w:hAnsi="Times New Roman" w:cs="Times New Roman"/>
          <w:color w:val="auto"/>
          <w:u w:val="single"/>
          <w:lang w:eastAsia="en-US"/>
        </w:rPr>
        <w:t>Impact de la pollution sur les ressources en eau souterraine du bassin national du fleuve Niger</w:t>
      </w:r>
      <w:bookmarkEnd w:id="592"/>
    </w:p>
    <w:p w14:paraId="713B84C7" w14:textId="77777777" w:rsidR="00FA5C38" w:rsidRPr="007C5A6E" w:rsidRDefault="00FA5C38" w:rsidP="00F57A5C">
      <w:pPr>
        <w:spacing w:after="0" w:line="240" w:lineRule="auto"/>
        <w:jc w:val="both"/>
        <w:rPr>
          <w:rFonts w:ascii="Times New Roman" w:hAnsi="Times New Roman"/>
          <w:bCs/>
          <w:sz w:val="24"/>
          <w:szCs w:val="24"/>
        </w:rPr>
      </w:pPr>
    </w:p>
    <w:p w14:paraId="4FBD82C2" w14:textId="64998977" w:rsidR="00F57A5C" w:rsidRPr="007C5A6E" w:rsidRDefault="00F57A5C" w:rsidP="00F57A5C">
      <w:pPr>
        <w:spacing w:after="0" w:line="240" w:lineRule="auto"/>
        <w:jc w:val="both"/>
        <w:rPr>
          <w:rFonts w:ascii="Times New Roman" w:hAnsi="Times New Roman"/>
          <w:bCs/>
          <w:sz w:val="24"/>
          <w:szCs w:val="24"/>
        </w:rPr>
      </w:pPr>
      <w:r w:rsidRPr="007C5A6E">
        <w:rPr>
          <w:rFonts w:ascii="Times New Roman" w:hAnsi="Times New Roman"/>
          <w:bCs/>
          <w:sz w:val="24"/>
          <w:szCs w:val="24"/>
        </w:rPr>
        <w:t>En 2012, les analyses faites ont porté sur l’arsenic montre des dépassements des normes de l’OMS. Ils sont récapitulés dans le tableau ci-dessous à titre de rappel ; faute de données à jour.</w:t>
      </w:r>
    </w:p>
    <w:p w14:paraId="24F836B4" w14:textId="77777777" w:rsidR="00FA5C38" w:rsidRPr="007C5A6E" w:rsidRDefault="00FA5C38" w:rsidP="00F57A5C">
      <w:pPr>
        <w:spacing w:after="0" w:line="240" w:lineRule="auto"/>
        <w:jc w:val="both"/>
        <w:rPr>
          <w:rFonts w:ascii="Times New Roman" w:hAnsi="Times New Roman"/>
          <w:bCs/>
          <w:sz w:val="24"/>
          <w:szCs w:val="24"/>
        </w:rPr>
      </w:pPr>
    </w:p>
    <w:p w14:paraId="344E1BFA" w14:textId="72C00811" w:rsidR="00F57A5C" w:rsidRPr="007C5A6E" w:rsidRDefault="00F57A5C" w:rsidP="00F57A5C">
      <w:pPr>
        <w:tabs>
          <w:tab w:val="left" w:pos="1134"/>
        </w:tabs>
        <w:spacing w:after="0" w:line="240" w:lineRule="auto"/>
        <w:ind w:left="1134" w:hanging="1134"/>
        <w:rPr>
          <w:rFonts w:ascii="Times New Roman" w:hAnsi="Times New Roman"/>
          <w:iCs/>
          <w:sz w:val="24"/>
          <w:szCs w:val="24"/>
          <w:lang w:eastAsia="da-DK"/>
        </w:rPr>
      </w:pPr>
      <w:bookmarkStart w:id="593" w:name="_Toc182605870"/>
      <w:bookmarkStart w:id="594" w:name="_Toc183240985"/>
      <w:bookmarkStart w:id="595" w:name="_Toc183292227"/>
      <w:bookmarkStart w:id="596" w:name="_Toc183340507"/>
      <w:r w:rsidRPr="007C5A6E">
        <w:rPr>
          <w:rFonts w:ascii="Times New Roman" w:hAnsi="Times New Roman"/>
          <w:iCs/>
          <w:sz w:val="24"/>
          <w:szCs w:val="24"/>
          <w:lang w:eastAsia="da-DK"/>
        </w:rPr>
        <w:t xml:space="preserve">Tableau </w:t>
      </w:r>
      <w:r w:rsidRPr="007C5A6E">
        <w:rPr>
          <w:rFonts w:ascii="Times New Roman" w:hAnsi="Times New Roman"/>
          <w:iCs/>
          <w:sz w:val="24"/>
          <w:szCs w:val="24"/>
          <w:lang w:eastAsia="da-DK"/>
        </w:rPr>
        <w:fldChar w:fldCharType="begin"/>
      </w:r>
      <w:r w:rsidRPr="007C5A6E">
        <w:rPr>
          <w:rFonts w:ascii="Times New Roman" w:hAnsi="Times New Roman"/>
          <w:iCs/>
          <w:sz w:val="24"/>
          <w:szCs w:val="24"/>
          <w:lang w:eastAsia="da-DK"/>
        </w:rPr>
        <w:instrText xml:space="preserve"> SEQ Tableau \* ARABIC </w:instrText>
      </w:r>
      <w:r w:rsidRPr="007C5A6E">
        <w:rPr>
          <w:rFonts w:ascii="Times New Roman" w:hAnsi="Times New Roman"/>
          <w:iCs/>
          <w:sz w:val="24"/>
          <w:szCs w:val="24"/>
          <w:lang w:eastAsia="da-DK"/>
        </w:rPr>
        <w:fldChar w:fldCharType="separate"/>
      </w:r>
      <w:r w:rsidR="00AE0C9D" w:rsidRPr="007C5A6E">
        <w:rPr>
          <w:rFonts w:ascii="Times New Roman" w:hAnsi="Times New Roman"/>
          <w:iCs/>
          <w:noProof/>
          <w:sz w:val="24"/>
          <w:szCs w:val="24"/>
          <w:lang w:eastAsia="da-DK"/>
        </w:rPr>
        <w:t>23</w:t>
      </w:r>
      <w:r w:rsidRPr="007C5A6E">
        <w:rPr>
          <w:rFonts w:ascii="Times New Roman" w:hAnsi="Times New Roman"/>
          <w:iCs/>
          <w:sz w:val="24"/>
          <w:szCs w:val="24"/>
          <w:lang w:eastAsia="da-DK"/>
        </w:rPr>
        <w:fldChar w:fldCharType="end"/>
      </w:r>
      <w:r w:rsidRPr="007C5A6E">
        <w:rPr>
          <w:rFonts w:ascii="Times New Roman" w:hAnsi="Times New Roman"/>
          <w:iCs/>
          <w:sz w:val="24"/>
          <w:szCs w:val="24"/>
          <w:lang w:eastAsia="da-DK"/>
        </w:rPr>
        <w:t> : Teneur en arsenic des eaux dans les communes Falangountou et Markoye</w:t>
      </w:r>
      <w:bookmarkEnd w:id="593"/>
      <w:bookmarkEnd w:id="594"/>
      <w:bookmarkEnd w:id="595"/>
      <w:bookmarkEnd w:id="596"/>
    </w:p>
    <w:p w14:paraId="6D335491" w14:textId="77777777" w:rsidR="00FA5C38" w:rsidRPr="007C5A6E" w:rsidRDefault="00FA5C38" w:rsidP="00F57A5C">
      <w:pPr>
        <w:tabs>
          <w:tab w:val="left" w:pos="1134"/>
        </w:tabs>
        <w:spacing w:after="0" w:line="240" w:lineRule="auto"/>
        <w:ind w:left="1134" w:hanging="1134"/>
        <w:rPr>
          <w:rFonts w:ascii="Times New Roman" w:hAnsi="Times New Roman"/>
          <w:i/>
          <w:sz w:val="24"/>
          <w:szCs w:val="24"/>
          <w:lang w:eastAsia="da-DK"/>
        </w:rPr>
      </w:pPr>
    </w:p>
    <w:tbl>
      <w:tblPr>
        <w:tblStyle w:val="Grilledutableau3"/>
        <w:tblW w:w="0" w:type="auto"/>
        <w:tblLook w:val="04A0" w:firstRow="1" w:lastRow="0" w:firstColumn="1" w:lastColumn="0" w:noHBand="0" w:noVBand="1"/>
      </w:tblPr>
      <w:tblGrid>
        <w:gridCol w:w="1890"/>
        <w:gridCol w:w="1570"/>
        <w:gridCol w:w="2303"/>
        <w:gridCol w:w="2850"/>
      </w:tblGrid>
      <w:tr w:rsidR="00F57A5C" w:rsidRPr="007C5A6E" w14:paraId="42C6D8E8" w14:textId="77777777" w:rsidTr="00BA5B98">
        <w:tc>
          <w:tcPr>
            <w:tcW w:w="1890" w:type="dxa"/>
            <w:shd w:val="clear" w:color="auto" w:fill="002060"/>
            <w:vAlign w:val="center"/>
          </w:tcPr>
          <w:p w14:paraId="339414F2" w14:textId="77777777" w:rsidR="00F57A5C" w:rsidRPr="007C5A6E" w:rsidRDefault="00F57A5C" w:rsidP="00BA5B98">
            <w:pPr>
              <w:spacing w:after="0" w:line="240" w:lineRule="auto"/>
              <w:jc w:val="center"/>
              <w:rPr>
                <w:rFonts w:ascii="Times New Roman" w:hAnsi="Times New Roman"/>
                <w:bCs/>
                <w:sz w:val="21"/>
                <w:szCs w:val="21"/>
              </w:rPr>
            </w:pPr>
            <w:r w:rsidRPr="007C5A6E">
              <w:rPr>
                <w:rFonts w:ascii="Times New Roman" w:hAnsi="Times New Roman"/>
                <w:bCs/>
                <w:sz w:val="21"/>
                <w:szCs w:val="21"/>
              </w:rPr>
              <w:t>Région</w:t>
            </w:r>
          </w:p>
        </w:tc>
        <w:tc>
          <w:tcPr>
            <w:tcW w:w="1570" w:type="dxa"/>
            <w:shd w:val="clear" w:color="auto" w:fill="002060"/>
            <w:vAlign w:val="center"/>
          </w:tcPr>
          <w:p w14:paraId="52F45A8F" w14:textId="77777777" w:rsidR="00F57A5C" w:rsidRPr="007C5A6E" w:rsidRDefault="00F57A5C" w:rsidP="00BA5B98">
            <w:pPr>
              <w:spacing w:after="0" w:line="240" w:lineRule="auto"/>
              <w:jc w:val="center"/>
              <w:rPr>
                <w:rFonts w:ascii="Times New Roman" w:hAnsi="Times New Roman"/>
                <w:bCs/>
                <w:sz w:val="21"/>
                <w:szCs w:val="21"/>
              </w:rPr>
            </w:pPr>
            <w:r w:rsidRPr="007C5A6E">
              <w:rPr>
                <w:rFonts w:ascii="Times New Roman" w:hAnsi="Times New Roman"/>
                <w:bCs/>
                <w:sz w:val="21"/>
                <w:szCs w:val="21"/>
              </w:rPr>
              <w:t>Communes</w:t>
            </w:r>
          </w:p>
        </w:tc>
        <w:tc>
          <w:tcPr>
            <w:tcW w:w="2303" w:type="dxa"/>
            <w:shd w:val="clear" w:color="auto" w:fill="002060"/>
          </w:tcPr>
          <w:p w14:paraId="03430734" w14:textId="77777777" w:rsidR="00F57A5C" w:rsidRPr="007C5A6E" w:rsidRDefault="00F57A5C" w:rsidP="00BA5B98">
            <w:pPr>
              <w:spacing w:after="0" w:line="240" w:lineRule="auto"/>
              <w:jc w:val="center"/>
              <w:rPr>
                <w:rFonts w:ascii="Times New Roman" w:hAnsi="Times New Roman"/>
                <w:bCs/>
                <w:sz w:val="21"/>
                <w:szCs w:val="21"/>
              </w:rPr>
            </w:pPr>
            <w:r w:rsidRPr="007C5A6E">
              <w:rPr>
                <w:rFonts w:ascii="Times New Roman" w:hAnsi="Times New Roman"/>
                <w:bCs/>
                <w:sz w:val="21"/>
                <w:szCs w:val="21"/>
              </w:rPr>
              <w:t>Teneur eau en arsenic (µg/litre)</w:t>
            </w:r>
          </w:p>
        </w:tc>
        <w:tc>
          <w:tcPr>
            <w:tcW w:w="2850" w:type="dxa"/>
            <w:shd w:val="clear" w:color="auto" w:fill="002060"/>
          </w:tcPr>
          <w:p w14:paraId="3D7814E8" w14:textId="2719DF4A" w:rsidR="00F57A5C" w:rsidRPr="007C5A6E" w:rsidRDefault="00F57A5C" w:rsidP="00BA5B98">
            <w:pPr>
              <w:spacing w:after="0" w:line="240" w:lineRule="auto"/>
              <w:jc w:val="center"/>
              <w:rPr>
                <w:rFonts w:ascii="Times New Roman" w:hAnsi="Times New Roman"/>
                <w:bCs/>
                <w:sz w:val="21"/>
                <w:szCs w:val="21"/>
              </w:rPr>
            </w:pPr>
            <w:r w:rsidRPr="007C5A6E">
              <w:rPr>
                <w:rFonts w:ascii="Times New Roman" w:hAnsi="Times New Roman"/>
                <w:bCs/>
                <w:sz w:val="21"/>
                <w:szCs w:val="21"/>
              </w:rPr>
              <w:t>Taux de dépassement de la norme OMS en arsenic</w:t>
            </w:r>
          </w:p>
        </w:tc>
      </w:tr>
      <w:tr w:rsidR="00F57A5C" w:rsidRPr="007C5A6E" w14:paraId="775C307E" w14:textId="77777777" w:rsidTr="00473089">
        <w:tc>
          <w:tcPr>
            <w:tcW w:w="1890" w:type="dxa"/>
            <w:vMerge w:val="restart"/>
            <w:vAlign w:val="center"/>
          </w:tcPr>
          <w:p w14:paraId="617C17D8" w14:textId="77777777" w:rsidR="00F57A5C" w:rsidRPr="007C5A6E" w:rsidRDefault="00F57A5C" w:rsidP="00F57A5C">
            <w:pPr>
              <w:spacing w:after="0" w:line="240" w:lineRule="auto"/>
              <w:rPr>
                <w:rFonts w:ascii="Times New Roman" w:hAnsi="Times New Roman"/>
                <w:sz w:val="21"/>
                <w:szCs w:val="21"/>
              </w:rPr>
            </w:pPr>
            <w:r w:rsidRPr="007C5A6E">
              <w:rPr>
                <w:rFonts w:ascii="Times New Roman" w:hAnsi="Times New Roman"/>
                <w:color w:val="000000"/>
                <w:sz w:val="21"/>
                <w:szCs w:val="21"/>
              </w:rPr>
              <w:t>Sahel </w:t>
            </w:r>
          </w:p>
        </w:tc>
        <w:tc>
          <w:tcPr>
            <w:tcW w:w="1570" w:type="dxa"/>
          </w:tcPr>
          <w:p w14:paraId="70AB91F5"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color w:val="000000"/>
                <w:sz w:val="21"/>
                <w:szCs w:val="21"/>
              </w:rPr>
              <w:t>Falangountou</w:t>
            </w:r>
          </w:p>
        </w:tc>
        <w:tc>
          <w:tcPr>
            <w:tcW w:w="2303" w:type="dxa"/>
          </w:tcPr>
          <w:p w14:paraId="010B51B4"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12,20 </w:t>
            </w:r>
            <w:r w:rsidRPr="007C5A6E">
              <w:rPr>
                <w:rFonts w:ascii="Times New Roman" w:hAnsi="Times New Roman"/>
                <w:bCs/>
                <w:sz w:val="21"/>
                <w:szCs w:val="21"/>
              </w:rPr>
              <w:t xml:space="preserve">à </w:t>
            </w:r>
            <w:r w:rsidRPr="007C5A6E">
              <w:rPr>
                <w:rFonts w:ascii="Times New Roman" w:hAnsi="Times New Roman"/>
                <w:sz w:val="21"/>
                <w:szCs w:val="21"/>
              </w:rPr>
              <w:t>40,33</w:t>
            </w:r>
          </w:p>
        </w:tc>
        <w:tc>
          <w:tcPr>
            <w:tcW w:w="2850" w:type="dxa"/>
          </w:tcPr>
          <w:p w14:paraId="2A4A16DF"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22% à 303,3%</w:t>
            </w:r>
          </w:p>
        </w:tc>
      </w:tr>
      <w:tr w:rsidR="00F57A5C" w:rsidRPr="007C5A6E" w14:paraId="5D8F8431" w14:textId="77777777" w:rsidTr="00473089">
        <w:tc>
          <w:tcPr>
            <w:tcW w:w="1890" w:type="dxa"/>
            <w:vMerge/>
            <w:vAlign w:val="center"/>
          </w:tcPr>
          <w:p w14:paraId="26BD420E" w14:textId="77777777" w:rsidR="00F57A5C" w:rsidRPr="007C5A6E" w:rsidRDefault="00F57A5C" w:rsidP="00F57A5C">
            <w:pPr>
              <w:spacing w:after="0" w:line="240" w:lineRule="auto"/>
              <w:jc w:val="both"/>
              <w:rPr>
                <w:rFonts w:ascii="Times New Roman" w:hAnsi="Times New Roman"/>
                <w:color w:val="000000"/>
                <w:sz w:val="21"/>
                <w:szCs w:val="21"/>
              </w:rPr>
            </w:pPr>
          </w:p>
        </w:tc>
        <w:tc>
          <w:tcPr>
            <w:tcW w:w="1570" w:type="dxa"/>
          </w:tcPr>
          <w:p w14:paraId="459BE116"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color w:val="000000"/>
                <w:sz w:val="21"/>
                <w:szCs w:val="21"/>
              </w:rPr>
              <w:t xml:space="preserve">Markoye </w:t>
            </w:r>
          </w:p>
        </w:tc>
        <w:tc>
          <w:tcPr>
            <w:tcW w:w="2303" w:type="dxa"/>
          </w:tcPr>
          <w:p w14:paraId="0816E635"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59,72</w:t>
            </w:r>
          </w:p>
        </w:tc>
        <w:tc>
          <w:tcPr>
            <w:tcW w:w="2850" w:type="dxa"/>
          </w:tcPr>
          <w:p w14:paraId="718A313A" w14:textId="77777777" w:rsidR="00F57A5C" w:rsidRPr="007C5A6E" w:rsidRDefault="00F57A5C" w:rsidP="00F57A5C">
            <w:pPr>
              <w:spacing w:after="0" w:line="240" w:lineRule="auto"/>
              <w:jc w:val="both"/>
              <w:rPr>
                <w:rFonts w:ascii="Times New Roman" w:hAnsi="Times New Roman"/>
                <w:sz w:val="21"/>
                <w:szCs w:val="21"/>
              </w:rPr>
            </w:pPr>
            <w:r w:rsidRPr="007C5A6E">
              <w:rPr>
                <w:rFonts w:ascii="Times New Roman" w:hAnsi="Times New Roman"/>
                <w:sz w:val="21"/>
                <w:szCs w:val="21"/>
              </w:rPr>
              <w:t>497,2%</w:t>
            </w:r>
          </w:p>
        </w:tc>
      </w:tr>
    </w:tbl>
    <w:p w14:paraId="65CF2B08" w14:textId="77777777" w:rsidR="00F57A5C" w:rsidRPr="007C5A6E" w:rsidRDefault="00F57A5C" w:rsidP="00F57A5C">
      <w:pPr>
        <w:spacing w:after="0" w:line="240" w:lineRule="auto"/>
        <w:jc w:val="both"/>
        <w:rPr>
          <w:rFonts w:ascii="Times New Roman" w:hAnsi="Times New Roman"/>
          <w:sz w:val="20"/>
          <w:szCs w:val="20"/>
        </w:rPr>
      </w:pPr>
      <w:r w:rsidRPr="007C5A6E">
        <w:rPr>
          <w:rFonts w:ascii="Times New Roman" w:hAnsi="Times New Roman"/>
          <w:sz w:val="20"/>
          <w:szCs w:val="20"/>
        </w:rPr>
        <w:t>Source : extrait des données du laboratoire d’analyse de la DGRE/DEIE (analyses faites par BUMIGEB pour le compte dudit labo) – 2012</w:t>
      </w:r>
    </w:p>
    <w:p w14:paraId="5F7BDC8D" w14:textId="77777777" w:rsidR="00FA5C38" w:rsidRPr="007C5A6E" w:rsidRDefault="00FA5C38" w:rsidP="00F57A5C">
      <w:pPr>
        <w:spacing w:after="0" w:line="240" w:lineRule="auto"/>
        <w:jc w:val="both"/>
        <w:rPr>
          <w:rFonts w:ascii="Times New Roman" w:hAnsi="Times New Roman"/>
          <w:sz w:val="24"/>
          <w:szCs w:val="24"/>
        </w:rPr>
      </w:pPr>
    </w:p>
    <w:p w14:paraId="57B2CCF0" w14:textId="672DB4BE" w:rsidR="00F57A5C" w:rsidRPr="007C5A6E" w:rsidRDefault="00F57A5C" w:rsidP="00F57A5C">
      <w:pPr>
        <w:spacing w:after="0" w:line="240" w:lineRule="auto"/>
        <w:jc w:val="both"/>
        <w:rPr>
          <w:rFonts w:ascii="Times New Roman" w:hAnsi="Times New Roman"/>
          <w:sz w:val="24"/>
          <w:szCs w:val="24"/>
        </w:rPr>
      </w:pPr>
      <w:r w:rsidRPr="007C5A6E">
        <w:rPr>
          <w:rFonts w:ascii="Times New Roman" w:hAnsi="Times New Roman"/>
          <w:sz w:val="24"/>
          <w:szCs w:val="24"/>
        </w:rPr>
        <w:t>Pour les mêmes raisons de disponibilité de données, il n’a pas été possible d’évaluer l’impact actuel de la pollution sur les ressources en eau souterraines du bassin.</w:t>
      </w:r>
    </w:p>
    <w:p w14:paraId="6C589A00" w14:textId="77777777" w:rsidR="00AE0C9D" w:rsidRPr="007C5A6E" w:rsidRDefault="00AE0C9D" w:rsidP="00F57A5C">
      <w:pPr>
        <w:spacing w:after="0" w:line="240" w:lineRule="auto"/>
        <w:jc w:val="both"/>
        <w:rPr>
          <w:rFonts w:ascii="Times New Roman" w:hAnsi="Times New Roman"/>
          <w:sz w:val="24"/>
          <w:szCs w:val="24"/>
        </w:rPr>
      </w:pPr>
    </w:p>
    <w:p w14:paraId="5A539828" w14:textId="77777777" w:rsidR="00F57A5C" w:rsidRPr="007C5A6E" w:rsidRDefault="00F57A5C" w:rsidP="00684FF8">
      <w:pPr>
        <w:pStyle w:val="Titre4"/>
      </w:pPr>
      <w:bookmarkStart w:id="597" w:name="_Toc182606049"/>
      <w:bookmarkStart w:id="598" w:name="_Toc183340111"/>
      <w:r w:rsidRPr="007C5A6E">
        <w:t>Impact de la pollution sur les ressources en eau de surface</w:t>
      </w:r>
      <w:bookmarkEnd w:id="597"/>
      <w:bookmarkEnd w:id="598"/>
    </w:p>
    <w:p w14:paraId="10355866" w14:textId="77777777" w:rsidR="00FA5C38" w:rsidRPr="007C5A6E" w:rsidRDefault="00FA5C38" w:rsidP="00F57A5C">
      <w:pPr>
        <w:spacing w:after="0" w:line="240" w:lineRule="auto"/>
        <w:jc w:val="both"/>
        <w:rPr>
          <w:rFonts w:ascii="Times New Roman" w:hAnsi="Times New Roman"/>
          <w:sz w:val="24"/>
          <w:szCs w:val="24"/>
        </w:rPr>
      </w:pPr>
    </w:p>
    <w:p w14:paraId="54011A8F" w14:textId="2DC8ECE8" w:rsidR="00F57A5C" w:rsidRPr="007C5A6E" w:rsidRDefault="00F57A5C" w:rsidP="00F57A5C">
      <w:pPr>
        <w:spacing w:after="0" w:line="240" w:lineRule="auto"/>
        <w:jc w:val="both"/>
        <w:rPr>
          <w:rFonts w:ascii="Times New Roman" w:hAnsi="Times New Roman"/>
          <w:sz w:val="24"/>
          <w:szCs w:val="24"/>
        </w:rPr>
      </w:pPr>
      <w:r w:rsidRPr="007C5A6E">
        <w:rPr>
          <w:rFonts w:ascii="Times New Roman" w:hAnsi="Times New Roman"/>
          <w:sz w:val="24"/>
          <w:szCs w:val="24"/>
        </w:rPr>
        <w:t>En 2023, seules les données relatives à la qualité physico chimique des ressources en eau des bassins du Mouhoun et du Nakanbé sont disponibles (cf. paragraphe ci-dessus sur l’état des ressources en eau de surface).</w:t>
      </w:r>
    </w:p>
    <w:p w14:paraId="4964CC98" w14:textId="77777777" w:rsidR="00F57A5C" w:rsidRPr="007C5A6E" w:rsidRDefault="00F57A5C" w:rsidP="00F57A5C">
      <w:pPr>
        <w:spacing w:after="0" w:line="240" w:lineRule="auto"/>
        <w:jc w:val="both"/>
        <w:rPr>
          <w:rFonts w:ascii="Times New Roman" w:hAnsi="Times New Roman"/>
          <w:sz w:val="24"/>
          <w:szCs w:val="24"/>
        </w:rPr>
      </w:pPr>
    </w:p>
    <w:p w14:paraId="3B09CB98" w14:textId="77777777" w:rsidR="00F57A5C" w:rsidRPr="007C5A6E" w:rsidRDefault="00F57A5C" w:rsidP="003F3821">
      <w:pPr>
        <w:pStyle w:val="Titre5"/>
        <w:keepNext w:val="0"/>
        <w:keepLines w:val="0"/>
        <w:numPr>
          <w:ilvl w:val="4"/>
          <w:numId w:val="4"/>
        </w:numPr>
        <w:spacing w:before="0"/>
        <w:ind w:left="907" w:hanging="907"/>
        <w:rPr>
          <w:rFonts w:ascii="Times New Roman" w:hAnsi="Times New Roman" w:cs="Times New Roman"/>
          <w:color w:val="auto"/>
          <w:u w:val="single"/>
          <w:lang w:eastAsia="en-US"/>
        </w:rPr>
      </w:pPr>
      <w:bookmarkStart w:id="599" w:name="_Toc183340112"/>
      <w:r w:rsidRPr="007C5A6E">
        <w:rPr>
          <w:rFonts w:ascii="Times New Roman" w:hAnsi="Times New Roman" w:cs="Times New Roman"/>
          <w:color w:val="auto"/>
          <w:u w:val="single"/>
          <w:lang w:eastAsia="en-US"/>
        </w:rPr>
        <w:t>Impact de la pollution sur les ressources en eau de surface du bassin du Mouhoun</w:t>
      </w:r>
      <w:bookmarkEnd w:id="599"/>
      <w:r w:rsidRPr="007C5A6E">
        <w:rPr>
          <w:rFonts w:ascii="Times New Roman" w:hAnsi="Times New Roman" w:cs="Times New Roman"/>
          <w:color w:val="auto"/>
          <w:u w:val="single"/>
          <w:lang w:eastAsia="en-US"/>
        </w:rPr>
        <w:t xml:space="preserve"> </w:t>
      </w:r>
    </w:p>
    <w:p w14:paraId="630EAEBA" w14:textId="77777777" w:rsidR="00FA5C38" w:rsidRPr="007C5A6E" w:rsidRDefault="00FA5C38" w:rsidP="00F57A5C">
      <w:pPr>
        <w:spacing w:after="0" w:line="240" w:lineRule="auto"/>
        <w:jc w:val="both"/>
        <w:rPr>
          <w:rFonts w:ascii="Times New Roman" w:hAnsi="Times New Roman"/>
          <w:i/>
          <w:iCs/>
          <w:sz w:val="24"/>
          <w:szCs w:val="24"/>
        </w:rPr>
      </w:pPr>
    </w:p>
    <w:p w14:paraId="01D46109" w14:textId="698D0BE8" w:rsidR="00F57A5C" w:rsidRPr="007C5A6E" w:rsidRDefault="00F57A5C" w:rsidP="00F57A5C">
      <w:pPr>
        <w:spacing w:after="0" w:line="240" w:lineRule="auto"/>
        <w:jc w:val="both"/>
        <w:rPr>
          <w:rFonts w:ascii="Times New Roman" w:hAnsi="Times New Roman"/>
          <w:i/>
          <w:iCs/>
          <w:sz w:val="24"/>
          <w:szCs w:val="24"/>
        </w:rPr>
      </w:pPr>
      <w:r w:rsidRPr="007C5A6E">
        <w:rPr>
          <w:rFonts w:ascii="Times New Roman" w:hAnsi="Times New Roman"/>
          <w:i/>
          <w:iCs/>
          <w:sz w:val="24"/>
          <w:szCs w:val="24"/>
        </w:rPr>
        <w:t xml:space="preserve">En 2017 (REEB 4), il n’y avait pas les mêmes types d’informations qu’en 2023, sur la qualité des ressources en eau de surface du bassin du Mouhoun. Il s’en suit qu’en l’absence de référentiel de qualité, il n’est pas possible d’établir l’impact actuel de la pollution sur les ressources en eau du bassin du Mouhoun. </w:t>
      </w:r>
    </w:p>
    <w:p w14:paraId="76120184" w14:textId="77777777" w:rsidR="00FA5C38" w:rsidRPr="007C5A6E" w:rsidRDefault="00FA5C38" w:rsidP="00F57A5C">
      <w:pPr>
        <w:spacing w:after="0" w:line="240" w:lineRule="auto"/>
        <w:jc w:val="both"/>
        <w:rPr>
          <w:rFonts w:ascii="Times New Roman" w:hAnsi="Times New Roman"/>
          <w:i/>
          <w:iCs/>
          <w:sz w:val="24"/>
          <w:szCs w:val="24"/>
        </w:rPr>
      </w:pPr>
    </w:p>
    <w:p w14:paraId="4B9B4F70" w14:textId="77777777" w:rsidR="00F57A5C" w:rsidRPr="007C5A6E" w:rsidRDefault="00F57A5C" w:rsidP="003F3821">
      <w:pPr>
        <w:pStyle w:val="Titre5"/>
        <w:keepNext w:val="0"/>
        <w:keepLines w:val="0"/>
        <w:numPr>
          <w:ilvl w:val="4"/>
          <w:numId w:val="4"/>
        </w:numPr>
        <w:spacing w:before="0"/>
        <w:ind w:left="907" w:hanging="907"/>
        <w:rPr>
          <w:rFonts w:ascii="Times New Roman" w:hAnsi="Times New Roman" w:cs="Times New Roman"/>
          <w:color w:val="auto"/>
          <w:u w:val="single"/>
          <w:lang w:eastAsia="en-US"/>
        </w:rPr>
      </w:pPr>
      <w:bookmarkStart w:id="600" w:name="_Toc183340113"/>
      <w:r w:rsidRPr="007C5A6E">
        <w:rPr>
          <w:rFonts w:ascii="Times New Roman" w:hAnsi="Times New Roman" w:cs="Times New Roman"/>
          <w:color w:val="auto"/>
          <w:u w:val="single"/>
          <w:lang w:eastAsia="en-US"/>
        </w:rPr>
        <w:t>Impact de la pollution sur les ressources en eau de surface du bassin du Nakanbé</w:t>
      </w:r>
      <w:bookmarkEnd w:id="600"/>
      <w:r w:rsidRPr="007C5A6E">
        <w:rPr>
          <w:rFonts w:ascii="Times New Roman" w:hAnsi="Times New Roman" w:cs="Times New Roman"/>
          <w:color w:val="auto"/>
          <w:u w:val="single"/>
          <w:lang w:eastAsia="en-US"/>
        </w:rPr>
        <w:t xml:space="preserve"> </w:t>
      </w:r>
    </w:p>
    <w:p w14:paraId="117FC1CC" w14:textId="77777777" w:rsidR="00FA5C38" w:rsidRPr="007C5A6E" w:rsidRDefault="00FA5C38" w:rsidP="00F57A5C">
      <w:pPr>
        <w:spacing w:after="0" w:line="240" w:lineRule="auto"/>
        <w:jc w:val="both"/>
        <w:rPr>
          <w:rFonts w:ascii="Times New Roman" w:hAnsi="Times New Roman"/>
          <w:sz w:val="24"/>
          <w:szCs w:val="24"/>
        </w:rPr>
      </w:pPr>
    </w:p>
    <w:p w14:paraId="20436C3C" w14:textId="2BD124DB" w:rsidR="00F57A5C" w:rsidRPr="007C5A6E" w:rsidRDefault="00F57A5C" w:rsidP="00F57A5C">
      <w:pPr>
        <w:spacing w:after="0" w:line="240" w:lineRule="auto"/>
        <w:jc w:val="both"/>
        <w:rPr>
          <w:rFonts w:ascii="Times New Roman" w:hAnsi="Times New Roman"/>
          <w:bCs/>
          <w:iCs/>
          <w:sz w:val="24"/>
          <w:szCs w:val="24"/>
        </w:rPr>
      </w:pPr>
      <w:r w:rsidRPr="007C5A6E">
        <w:rPr>
          <w:rFonts w:ascii="Times New Roman" w:hAnsi="Times New Roman"/>
          <w:sz w:val="24"/>
          <w:szCs w:val="24"/>
        </w:rPr>
        <w:t xml:space="preserve">En 2013, </w:t>
      </w:r>
      <w:r w:rsidRPr="007C5A6E">
        <w:rPr>
          <w:rFonts w:ascii="Times New Roman" w:eastAsia="Calibri" w:hAnsi="Times New Roman"/>
          <w:bCs/>
          <w:iCs/>
          <w:sz w:val="24"/>
          <w:szCs w:val="24"/>
          <w:lang w:eastAsia="en-US"/>
        </w:rPr>
        <w:t xml:space="preserve">les appréciations sur la qualité des ressources en eau de surface du bassin du Nakanbé se sont limitées aux anomalies détectées sur les </w:t>
      </w:r>
      <w:r w:rsidRPr="007C5A6E">
        <w:rPr>
          <w:rFonts w:ascii="Times New Roman" w:eastAsia="Calibri" w:hAnsi="Times New Roman"/>
          <w:iCs/>
          <w:sz w:val="24"/>
          <w:szCs w:val="24"/>
          <w:lang w:eastAsia="en-US"/>
        </w:rPr>
        <w:t xml:space="preserve">Nitrate, ortho-phosphate et la turbidité des eaux de 5 barrages et d’un lac sans malheureusement de valeurs précises. </w:t>
      </w:r>
      <w:r w:rsidRPr="007C5A6E">
        <w:rPr>
          <w:rFonts w:ascii="Times New Roman" w:hAnsi="Times New Roman"/>
          <w:bCs/>
          <w:iCs/>
          <w:sz w:val="24"/>
          <w:szCs w:val="24"/>
        </w:rPr>
        <w:t>En outre, les données relatives à la qualité physico chimique de ces eaux avaient fait défaut.</w:t>
      </w:r>
    </w:p>
    <w:p w14:paraId="559BFD88" w14:textId="77777777" w:rsidR="00F57A5C" w:rsidRPr="007C5A6E" w:rsidRDefault="00F57A5C" w:rsidP="00F57A5C">
      <w:pPr>
        <w:spacing w:after="0" w:line="240" w:lineRule="auto"/>
        <w:jc w:val="both"/>
        <w:rPr>
          <w:rFonts w:ascii="Times New Roman" w:hAnsi="Times New Roman"/>
          <w:bCs/>
          <w:iCs/>
          <w:sz w:val="24"/>
          <w:szCs w:val="24"/>
        </w:rPr>
      </w:pPr>
      <w:r w:rsidRPr="007C5A6E">
        <w:rPr>
          <w:rFonts w:ascii="Times New Roman" w:hAnsi="Times New Roman"/>
          <w:bCs/>
          <w:iCs/>
          <w:sz w:val="24"/>
          <w:szCs w:val="24"/>
        </w:rPr>
        <w:t>En 2023, les analyses effectuées sur les ressources en eau de surface du bassin du Nakanbé ont porté sur les paramètres physico chimiques (cf. paraphe sur l’état des ressources en eau du bassin).</w:t>
      </w:r>
    </w:p>
    <w:p w14:paraId="5C5A2C09" w14:textId="77777777" w:rsidR="00F57A5C" w:rsidRPr="007C5A6E" w:rsidRDefault="00F57A5C" w:rsidP="00F57A5C">
      <w:pPr>
        <w:spacing w:after="0" w:line="240" w:lineRule="auto"/>
        <w:jc w:val="both"/>
        <w:rPr>
          <w:rFonts w:ascii="Times New Roman" w:hAnsi="Times New Roman"/>
          <w:bCs/>
          <w:i/>
          <w:sz w:val="24"/>
          <w:szCs w:val="24"/>
        </w:rPr>
      </w:pPr>
      <w:r w:rsidRPr="007C5A6E">
        <w:rPr>
          <w:rFonts w:ascii="Times New Roman" w:hAnsi="Times New Roman"/>
          <w:bCs/>
          <w:i/>
          <w:sz w:val="24"/>
          <w:szCs w:val="24"/>
        </w:rPr>
        <w:t>Les sites de prélèvement et les paramètres mesurés n’étant pas les mêmes pour ces deux années, il n’a pas été possible en l’absence de valeurs de référence, d’établir l’impact actuel de la pollution sur les ressources en eau de surface du bassin du Nakanbé.</w:t>
      </w:r>
    </w:p>
    <w:p w14:paraId="77575E75" w14:textId="77777777" w:rsidR="00FA5C38" w:rsidRPr="007C5A6E" w:rsidRDefault="00FA5C38" w:rsidP="00F57A5C">
      <w:pPr>
        <w:spacing w:after="0" w:line="240" w:lineRule="auto"/>
        <w:jc w:val="both"/>
        <w:rPr>
          <w:rFonts w:ascii="Times New Roman" w:hAnsi="Times New Roman"/>
          <w:bCs/>
          <w:i/>
          <w:sz w:val="24"/>
          <w:szCs w:val="24"/>
        </w:rPr>
      </w:pPr>
    </w:p>
    <w:p w14:paraId="0A58491D" w14:textId="77777777" w:rsidR="00F57A5C" w:rsidRPr="007C5A6E" w:rsidRDefault="00F57A5C" w:rsidP="00C738E1">
      <w:pPr>
        <w:pStyle w:val="Titre3"/>
        <w:keepNext w:val="0"/>
        <w:keepLines w:val="0"/>
      </w:pPr>
      <w:bookmarkStart w:id="601" w:name="_Toc179203688"/>
      <w:bookmarkStart w:id="602" w:name="_Toc182606050"/>
      <w:bookmarkStart w:id="603" w:name="_Toc183340114"/>
      <w:bookmarkEnd w:id="601"/>
      <w:r w:rsidRPr="007C5A6E">
        <w:t>Impact des déficits pluviométriques sur les ressources en eau</w:t>
      </w:r>
      <w:bookmarkEnd w:id="602"/>
      <w:bookmarkEnd w:id="603"/>
      <w:r w:rsidRPr="007C5A6E">
        <w:t xml:space="preserve"> </w:t>
      </w:r>
    </w:p>
    <w:p w14:paraId="537F66B9" w14:textId="77777777" w:rsidR="00FA5C38" w:rsidRPr="007C5A6E" w:rsidRDefault="00FA5C38" w:rsidP="00F57A5C">
      <w:pPr>
        <w:spacing w:after="0" w:line="240" w:lineRule="auto"/>
        <w:jc w:val="both"/>
        <w:rPr>
          <w:rFonts w:ascii="Times New Roman" w:hAnsi="Times New Roman"/>
          <w:bCs/>
          <w:iCs/>
          <w:sz w:val="24"/>
          <w:szCs w:val="24"/>
        </w:rPr>
      </w:pPr>
    </w:p>
    <w:p w14:paraId="77F989F7" w14:textId="6DCFAF27" w:rsidR="00F57A5C" w:rsidRPr="007C5A6E" w:rsidRDefault="00F57A5C" w:rsidP="00F57A5C">
      <w:pPr>
        <w:spacing w:after="0" w:line="240" w:lineRule="auto"/>
        <w:jc w:val="both"/>
        <w:rPr>
          <w:rFonts w:ascii="Times New Roman" w:hAnsi="Times New Roman"/>
          <w:bCs/>
          <w:iCs/>
          <w:sz w:val="24"/>
          <w:szCs w:val="24"/>
        </w:rPr>
      </w:pPr>
      <w:r w:rsidRPr="007C5A6E">
        <w:rPr>
          <w:rFonts w:ascii="Times New Roman" w:hAnsi="Times New Roman"/>
          <w:bCs/>
          <w:iCs/>
          <w:sz w:val="24"/>
          <w:szCs w:val="24"/>
        </w:rPr>
        <w:t>Les déficits pluviométriques réduisent selon leur importance, les ressources en eau renouvelables aussi bien souterraine que de surface. De toute évidence, les écoulements des eaux de pluie qui alimentent les lacs d’eau surface et soutiennent les débits des cours d’eau se réduisent à la mesure de ces déficits pluviométriques quand bien même les effets d’autres facteurs tels la nature et l’état de couverture des sols s’y ajoutent. De même, les infiltrations et par conséquent l’alimentation des nappes d’eau notamment phréatiques s’en trouvent réduites.</w:t>
      </w:r>
    </w:p>
    <w:p w14:paraId="20799892" w14:textId="77777777" w:rsidR="00BA5B98" w:rsidRPr="007C5A6E" w:rsidRDefault="00BA5B98" w:rsidP="00F57A5C">
      <w:pPr>
        <w:spacing w:after="0" w:line="240" w:lineRule="auto"/>
        <w:jc w:val="both"/>
        <w:rPr>
          <w:rFonts w:ascii="Times New Roman" w:hAnsi="Times New Roman"/>
          <w:b/>
          <w:i/>
          <w:sz w:val="24"/>
          <w:szCs w:val="24"/>
        </w:rPr>
      </w:pPr>
    </w:p>
    <w:p w14:paraId="3B2EBDEB" w14:textId="13182614" w:rsidR="00F57A5C" w:rsidRPr="007C5A6E" w:rsidRDefault="00F57A5C" w:rsidP="00F57A5C">
      <w:pPr>
        <w:spacing w:after="0" w:line="240" w:lineRule="auto"/>
        <w:jc w:val="both"/>
        <w:rPr>
          <w:rFonts w:ascii="Times New Roman" w:hAnsi="Times New Roman"/>
          <w:b/>
          <w:i/>
          <w:sz w:val="24"/>
          <w:szCs w:val="24"/>
        </w:rPr>
      </w:pPr>
      <w:r w:rsidRPr="007C5A6E">
        <w:rPr>
          <w:rFonts w:ascii="Times New Roman" w:hAnsi="Times New Roman"/>
          <w:b/>
          <w:i/>
          <w:sz w:val="24"/>
          <w:szCs w:val="24"/>
        </w:rPr>
        <w:t>L’absence du suivi annuel des taux de remplissage des barrages et de l’évaluation de l’alimentation des nappes n’ont pas permis de quantifier l’impact des déficits pluviométriques sur les ressources en eau souterraine et de surface.</w:t>
      </w:r>
    </w:p>
    <w:p w14:paraId="38FB381D" w14:textId="77777777" w:rsidR="00FA5C38" w:rsidRPr="007C5A6E" w:rsidRDefault="00FA5C38" w:rsidP="00F57A5C">
      <w:pPr>
        <w:spacing w:after="0" w:line="240" w:lineRule="auto"/>
        <w:jc w:val="both"/>
        <w:rPr>
          <w:rFonts w:ascii="Times New Roman" w:eastAsia="Calibri" w:hAnsi="Times New Roman"/>
          <w:sz w:val="24"/>
          <w:szCs w:val="24"/>
          <w:lang w:eastAsia="en-US"/>
        </w:rPr>
      </w:pPr>
    </w:p>
    <w:p w14:paraId="0B38BD83" w14:textId="77777777" w:rsidR="00F57A5C" w:rsidRPr="007C5A6E" w:rsidRDefault="00F57A5C" w:rsidP="00C738E1">
      <w:pPr>
        <w:pStyle w:val="Titre3"/>
        <w:keepNext w:val="0"/>
        <w:keepLines w:val="0"/>
      </w:pPr>
      <w:bookmarkStart w:id="604" w:name="_Toc182606051"/>
      <w:bookmarkStart w:id="605" w:name="_Toc183340115"/>
      <w:r w:rsidRPr="007C5A6E">
        <w:t>Impact des prélèvements sur les ressources en eau</w:t>
      </w:r>
      <w:bookmarkEnd w:id="604"/>
      <w:bookmarkEnd w:id="605"/>
    </w:p>
    <w:p w14:paraId="39520BFE" w14:textId="77777777" w:rsidR="00FA5C38" w:rsidRPr="007C5A6E" w:rsidRDefault="00FA5C38" w:rsidP="00F57A5C">
      <w:pPr>
        <w:spacing w:after="0" w:line="240" w:lineRule="auto"/>
        <w:jc w:val="both"/>
        <w:rPr>
          <w:rFonts w:ascii="Times New Roman" w:hAnsi="Times New Roman"/>
          <w:bCs/>
          <w:iCs/>
          <w:sz w:val="24"/>
          <w:szCs w:val="24"/>
        </w:rPr>
      </w:pPr>
      <w:bookmarkStart w:id="606" w:name="_Toc179301333"/>
      <w:bookmarkEnd w:id="606"/>
    </w:p>
    <w:p w14:paraId="1ACAF59A" w14:textId="503C6DED" w:rsidR="00F57A5C" w:rsidRPr="007C5A6E" w:rsidRDefault="00F57A5C" w:rsidP="00F57A5C">
      <w:pPr>
        <w:spacing w:after="0" w:line="240" w:lineRule="auto"/>
        <w:jc w:val="both"/>
        <w:rPr>
          <w:rFonts w:ascii="Times New Roman" w:hAnsi="Times New Roman"/>
          <w:iCs/>
          <w:sz w:val="24"/>
          <w:szCs w:val="24"/>
        </w:rPr>
      </w:pPr>
      <w:r w:rsidRPr="007C5A6E">
        <w:rPr>
          <w:rFonts w:ascii="Times New Roman" w:hAnsi="Times New Roman"/>
          <w:bCs/>
          <w:iCs/>
          <w:sz w:val="24"/>
          <w:szCs w:val="24"/>
        </w:rPr>
        <w:t xml:space="preserve">Les prélèvements des ressources en eau souterraine pour couvrir les demandes en eau potable sont passés de 202 527 550 m3/an en 2014 (46 937 PMH et 855 AEPS /PEA), à </w:t>
      </w:r>
      <w:r w:rsidRPr="007C5A6E">
        <w:rPr>
          <w:rFonts w:ascii="Times New Roman" w:hAnsi="Times New Roman"/>
          <w:iCs/>
          <w:sz w:val="24"/>
          <w:szCs w:val="24"/>
        </w:rPr>
        <w:t>381 954 250 m</w:t>
      </w:r>
      <w:r w:rsidRPr="007C5A6E">
        <w:rPr>
          <w:rFonts w:ascii="Times New Roman" w:hAnsi="Times New Roman"/>
          <w:iCs/>
          <w:sz w:val="24"/>
          <w:szCs w:val="24"/>
          <w:vertAlign w:val="superscript"/>
        </w:rPr>
        <w:t>3</w:t>
      </w:r>
      <w:r w:rsidRPr="007C5A6E">
        <w:rPr>
          <w:rFonts w:ascii="Times New Roman" w:hAnsi="Times New Roman"/>
          <w:iCs/>
          <w:sz w:val="24"/>
          <w:szCs w:val="24"/>
        </w:rPr>
        <w:t xml:space="preserve">/an en 2023 </w:t>
      </w:r>
      <w:r w:rsidRPr="007C5A6E">
        <w:rPr>
          <w:rFonts w:ascii="Times New Roman" w:hAnsi="Times New Roman"/>
          <w:i/>
          <w:sz w:val="20"/>
          <w:szCs w:val="20"/>
        </w:rPr>
        <w:t xml:space="preserve">(données de REEB 4, présent REEB). </w:t>
      </w:r>
    </w:p>
    <w:p w14:paraId="6605E91E" w14:textId="77777777" w:rsidR="00465F33" w:rsidRPr="007C5A6E" w:rsidRDefault="00F57A5C" w:rsidP="00F57A5C">
      <w:pPr>
        <w:spacing w:after="0" w:line="240" w:lineRule="auto"/>
        <w:jc w:val="both"/>
        <w:rPr>
          <w:rFonts w:ascii="Times New Roman" w:hAnsi="Times New Roman"/>
          <w:bCs/>
          <w:iCs/>
          <w:sz w:val="24"/>
          <w:szCs w:val="24"/>
        </w:rPr>
      </w:pPr>
      <w:r w:rsidRPr="007C5A6E">
        <w:rPr>
          <w:rFonts w:ascii="Times New Roman" w:hAnsi="Times New Roman"/>
          <w:bCs/>
          <w:iCs/>
          <w:sz w:val="24"/>
          <w:szCs w:val="24"/>
        </w:rPr>
        <w:t>Les prélèvements des ressources en eau de surface sont passés de 5 423 528 026 m3/an en 2011 à 6 704 758 606 m3/an en 2023.</w:t>
      </w:r>
      <w:r w:rsidR="00465F33" w:rsidRPr="007C5A6E">
        <w:rPr>
          <w:rFonts w:ascii="Times New Roman" w:hAnsi="Times New Roman"/>
          <w:bCs/>
          <w:iCs/>
          <w:sz w:val="24"/>
          <w:szCs w:val="24"/>
        </w:rPr>
        <w:t xml:space="preserve"> Il en résulte : </w:t>
      </w:r>
    </w:p>
    <w:p w14:paraId="5EF551B1" w14:textId="214BD72C" w:rsidR="00465F33" w:rsidRPr="007C5A6E" w:rsidRDefault="00465F33" w:rsidP="003F3821">
      <w:pPr>
        <w:pStyle w:val="Paragraphedeliste"/>
        <w:numPr>
          <w:ilvl w:val="0"/>
          <w:numId w:val="26"/>
        </w:numPr>
        <w:spacing w:after="0" w:line="240" w:lineRule="auto"/>
        <w:ind w:left="470" w:hanging="357"/>
        <w:jc w:val="both"/>
        <w:rPr>
          <w:rFonts w:ascii="Times New Roman" w:hAnsi="Times New Roman"/>
          <w:bCs/>
          <w:iCs/>
          <w:sz w:val="24"/>
          <w:szCs w:val="24"/>
        </w:rPr>
      </w:pPr>
      <w:r w:rsidRPr="007C5A6E">
        <w:rPr>
          <w:rFonts w:ascii="Times New Roman" w:hAnsi="Times New Roman"/>
          <w:bCs/>
          <w:iCs/>
          <w:sz w:val="24"/>
          <w:szCs w:val="24"/>
        </w:rPr>
        <w:t xml:space="preserve">Pour les ressources en eau souterraines, une augmentation </w:t>
      </w:r>
      <w:r w:rsidRPr="007C5A6E">
        <w:rPr>
          <w:rFonts w:ascii="Times New Roman" w:hAnsi="Times New Roman"/>
          <w:iCs/>
          <w:sz w:val="24"/>
          <w:szCs w:val="24"/>
        </w:rPr>
        <w:t>de l’impact des prélèvements de l’ordre de 88,59% en 9 ans (2014 à 2023), soit un accroissement de l’impact des prélèvements de l’ordre de 9,84 %/an (largement supérieur au taux d’accroissement moyen de la population)</w:t>
      </w:r>
    </w:p>
    <w:p w14:paraId="171ED3E0" w14:textId="75BF5C40" w:rsidR="00BA5B98" w:rsidRPr="007C5A6E" w:rsidRDefault="00465F33" w:rsidP="003F3821">
      <w:pPr>
        <w:pStyle w:val="Paragraphedeliste"/>
        <w:numPr>
          <w:ilvl w:val="0"/>
          <w:numId w:val="26"/>
        </w:numPr>
        <w:spacing w:after="0" w:line="240" w:lineRule="auto"/>
        <w:ind w:left="470" w:hanging="357"/>
        <w:jc w:val="both"/>
        <w:rPr>
          <w:rFonts w:ascii="Times New Roman" w:hAnsi="Times New Roman"/>
          <w:bCs/>
          <w:iCs/>
          <w:sz w:val="24"/>
          <w:szCs w:val="24"/>
        </w:rPr>
      </w:pPr>
      <w:r w:rsidRPr="007C5A6E">
        <w:rPr>
          <w:rFonts w:ascii="Times New Roman" w:hAnsi="Times New Roman"/>
          <w:iCs/>
          <w:sz w:val="24"/>
          <w:szCs w:val="24"/>
        </w:rPr>
        <w:t>Pour l</w:t>
      </w:r>
      <w:r w:rsidR="00BA5B98" w:rsidRPr="007C5A6E">
        <w:rPr>
          <w:rFonts w:ascii="Times New Roman" w:hAnsi="Times New Roman"/>
          <w:iCs/>
          <w:sz w:val="24"/>
          <w:szCs w:val="24"/>
        </w:rPr>
        <w:t>es ressources en eau de surface, une augmentation de l’ordre de 23,62% en 12 ans équivalent à un accroissement de l’impact des prélèvements de l’ordre de 1,97%/an.</w:t>
      </w:r>
    </w:p>
    <w:p w14:paraId="5D064057" w14:textId="77777777" w:rsidR="00F57A5C" w:rsidRPr="007C5A6E" w:rsidRDefault="00F57A5C" w:rsidP="00F57A5C">
      <w:pPr>
        <w:spacing w:after="0" w:line="240" w:lineRule="auto"/>
        <w:jc w:val="both"/>
        <w:rPr>
          <w:rFonts w:ascii="Times New Roman" w:hAnsi="Times New Roman"/>
          <w:bCs/>
          <w:iCs/>
          <w:color w:val="C00000"/>
          <w:sz w:val="24"/>
          <w:szCs w:val="24"/>
        </w:rPr>
      </w:pPr>
    </w:p>
    <w:p w14:paraId="369B4D55" w14:textId="77777777" w:rsidR="00F57A5C" w:rsidRPr="007C5A6E" w:rsidRDefault="00F57A5C" w:rsidP="00C738E1">
      <w:pPr>
        <w:pStyle w:val="Titre3"/>
        <w:keepNext w:val="0"/>
        <w:keepLines w:val="0"/>
      </w:pPr>
      <w:bookmarkStart w:id="607" w:name="_Toc182606052"/>
      <w:bookmarkStart w:id="608" w:name="_Toc183340116"/>
      <w:r w:rsidRPr="007C5A6E">
        <w:t>Dynamique de l’évolution des pressions (pollution et prélèvement) sur les ressources en eau</w:t>
      </w:r>
      <w:bookmarkEnd w:id="607"/>
      <w:bookmarkEnd w:id="608"/>
    </w:p>
    <w:p w14:paraId="2C327FE6" w14:textId="77777777" w:rsidR="00FA5C38" w:rsidRPr="007C5A6E" w:rsidRDefault="00FA5C38" w:rsidP="00FA5C38">
      <w:pPr>
        <w:spacing w:after="0" w:line="240" w:lineRule="auto"/>
        <w:rPr>
          <w:rFonts w:ascii="Times New Roman" w:eastAsia="Calibri" w:hAnsi="Times New Roman"/>
          <w:sz w:val="24"/>
          <w:szCs w:val="24"/>
          <w:lang w:eastAsia="en-US"/>
        </w:rPr>
      </w:pPr>
    </w:p>
    <w:p w14:paraId="7EF27C28" w14:textId="77777777" w:rsidR="00F57A5C" w:rsidRPr="007C5A6E" w:rsidRDefault="00F57A5C" w:rsidP="00684FF8">
      <w:pPr>
        <w:pStyle w:val="Titre4"/>
      </w:pPr>
      <w:bookmarkStart w:id="609" w:name="_Toc182606053"/>
      <w:bookmarkStart w:id="610" w:name="_Toc183340117"/>
      <w:r w:rsidRPr="007C5A6E">
        <w:t>Dynamique d’évolution des pressions sur les ressources en eau en raison du développement croissant des activités économiques</w:t>
      </w:r>
      <w:bookmarkEnd w:id="609"/>
      <w:bookmarkEnd w:id="610"/>
    </w:p>
    <w:p w14:paraId="391C46C4" w14:textId="77777777" w:rsidR="00FA5C38" w:rsidRPr="007C5A6E" w:rsidRDefault="00FA5C38" w:rsidP="00F57A5C">
      <w:pPr>
        <w:spacing w:after="0" w:line="240" w:lineRule="auto"/>
        <w:jc w:val="both"/>
        <w:rPr>
          <w:rFonts w:ascii="Times New Roman" w:hAnsi="Times New Roman"/>
          <w:sz w:val="24"/>
          <w:szCs w:val="24"/>
        </w:rPr>
      </w:pPr>
    </w:p>
    <w:p w14:paraId="37921945" w14:textId="16EDBA99" w:rsidR="00F57A5C" w:rsidRPr="007C5A6E" w:rsidRDefault="00F57A5C" w:rsidP="00F57A5C">
      <w:pPr>
        <w:spacing w:after="0" w:line="240" w:lineRule="auto"/>
        <w:jc w:val="both"/>
        <w:rPr>
          <w:rFonts w:ascii="Times New Roman" w:hAnsi="Times New Roman"/>
          <w:sz w:val="24"/>
          <w:szCs w:val="24"/>
        </w:rPr>
      </w:pPr>
      <w:r w:rsidRPr="007C5A6E">
        <w:rPr>
          <w:rFonts w:ascii="Times New Roman" w:hAnsi="Times New Roman"/>
          <w:sz w:val="24"/>
          <w:szCs w:val="24"/>
        </w:rPr>
        <w:t xml:space="preserve">La pollution et les prélèvements de l’eau augmente de jour en jour avec l’accroissement de la démographie, du développement des activités agro </w:t>
      </w:r>
      <w:proofErr w:type="spellStart"/>
      <w:r w:rsidRPr="007C5A6E">
        <w:rPr>
          <w:rFonts w:ascii="Times New Roman" w:hAnsi="Times New Roman"/>
          <w:sz w:val="24"/>
          <w:szCs w:val="24"/>
        </w:rPr>
        <w:t>sylvo</w:t>
      </w:r>
      <w:proofErr w:type="spellEnd"/>
      <w:r w:rsidRPr="007C5A6E">
        <w:rPr>
          <w:rFonts w:ascii="Times New Roman" w:hAnsi="Times New Roman"/>
          <w:sz w:val="24"/>
          <w:szCs w:val="24"/>
        </w:rPr>
        <w:t xml:space="preserve"> pastorales et halieutiques, ainsi que des activités industrielles, minières et artisanales. La figure ci-après illustre la distribution géographique des activités sur l’ensemble du territoire national dans le réseau hydrographique des bassins.</w:t>
      </w:r>
    </w:p>
    <w:p w14:paraId="3B0C08EB" w14:textId="77777777" w:rsidR="00FD33F7" w:rsidRPr="007C5A6E" w:rsidRDefault="00FD33F7" w:rsidP="00F57A5C">
      <w:pPr>
        <w:spacing w:after="0" w:line="240" w:lineRule="auto"/>
        <w:jc w:val="both"/>
        <w:rPr>
          <w:rFonts w:ascii="Times New Roman" w:hAnsi="Times New Roman"/>
          <w:sz w:val="24"/>
          <w:szCs w:val="24"/>
        </w:rPr>
      </w:pPr>
    </w:p>
    <w:p w14:paraId="7AE046F3" w14:textId="77777777" w:rsidR="00F57A5C" w:rsidRPr="007C5A6E" w:rsidRDefault="00F57A5C" w:rsidP="00F57A5C">
      <w:pPr>
        <w:spacing w:after="0" w:line="240" w:lineRule="auto"/>
        <w:jc w:val="both"/>
        <w:rPr>
          <w:rFonts w:ascii="Times New Roman" w:hAnsi="Times New Roman"/>
          <w:sz w:val="24"/>
          <w:szCs w:val="24"/>
        </w:rPr>
      </w:pPr>
      <w:r w:rsidRPr="007C5A6E">
        <w:rPr>
          <w:rFonts w:ascii="Times New Roman" w:hAnsi="Times New Roman"/>
          <w:sz w:val="24"/>
          <w:szCs w:val="24"/>
        </w:rPr>
        <w:t>L’exploitation artisanale de l’or, (orpaillage) en particulier, en raison de son caractère dispersé et de l’utilisation souvent des produits chimiques (arsenic, mercure) de traitement de l’or d’une part et d’autre part de la faiblesse de la gestion des rejets, constitue des points importants de pollution aussi bien localisée que diffuse des ressources en eau.</w:t>
      </w:r>
    </w:p>
    <w:p w14:paraId="2955DCFF" w14:textId="77777777" w:rsidR="00465F33" w:rsidRPr="007C5A6E" w:rsidRDefault="00465F33" w:rsidP="00F57A5C">
      <w:pPr>
        <w:spacing w:after="0" w:line="240" w:lineRule="auto"/>
        <w:jc w:val="both"/>
        <w:rPr>
          <w:rFonts w:ascii="Times New Roman" w:hAnsi="Times New Roman"/>
          <w:sz w:val="24"/>
          <w:szCs w:val="24"/>
        </w:rPr>
      </w:pPr>
    </w:p>
    <w:p w14:paraId="2D4B73C1" w14:textId="77777777" w:rsidR="00465F33" w:rsidRPr="007C5A6E" w:rsidRDefault="00465F33" w:rsidP="00465F33">
      <w:pPr>
        <w:shd w:val="clear" w:color="auto" w:fill="D0CECE" w:themeFill="background2" w:themeFillShade="E6"/>
        <w:spacing w:after="0" w:line="240" w:lineRule="auto"/>
        <w:jc w:val="both"/>
        <w:rPr>
          <w:rFonts w:ascii="Times New Roman" w:hAnsi="Times New Roman"/>
          <w:b/>
          <w:bCs/>
          <w:i/>
          <w:iCs/>
          <w:sz w:val="24"/>
          <w:szCs w:val="24"/>
        </w:rPr>
      </w:pPr>
      <w:r w:rsidRPr="007C5A6E">
        <w:rPr>
          <w:rFonts w:ascii="Times New Roman" w:hAnsi="Times New Roman"/>
          <w:b/>
          <w:bCs/>
          <w:i/>
          <w:iCs/>
          <w:sz w:val="24"/>
          <w:szCs w:val="24"/>
        </w:rPr>
        <w:t xml:space="preserve">L’accroissement, voire l’accélération d’une part du développement des activités socioéconomiques sur toute l’étendue du territoire national, malgré leur faible envergure actuelle, et d’autre part les tendances à la hausse des températures et de la vitesse des vents, sont des signes évidents d’une tendance à l’augmentation de la pollution et des prélèvements d’eau qui nécessiteront des réponses idoines et systématiques </w:t>
      </w:r>
    </w:p>
    <w:p w14:paraId="339AB57A" w14:textId="77777777" w:rsidR="00F57A5C" w:rsidRPr="007C5A6E" w:rsidRDefault="00F57A5C" w:rsidP="00F57A5C">
      <w:pPr>
        <w:spacing w:after="0" w:line="240" w:lineRule="auto"/>
        <w:jc w:val="both"/>
        <w:rPr>
          <w:rFonts w:ascii="Times New Roman" w:hAnsi="Times New Roman"/>
          <w:color w:val="C00000"/>
          <w:sz w:val="24"/>
          <w:szCs w:val="24"/>
        </w:rPr>
      </w:pPr>
    </w:p>
    <w:p w14:paraId="5130DE10" w14:textId="77777777" w:rsidR="00F57A5C" w:rsidRPr="007C5A6E" w:rsidRDefault="00F57A5C" w:rsidP="00F57A5C">
      <w:pPr>
        <w:spacing w:after="0" w:line="240" w:lineRule="auto"/>
        <w:rPr>
          <w:rFonts w:ascii="Times New Roman" w:hAnsi="Times New Roman"/>
          <w:sz w:val="24"/>
          <w:szCs w:val="24"/>
        </w:rPr>
      </w:pPr>
      <w:r w:rsidRPr="007C5A6E">
        <w:rPr>
          <w:rFonts w:ascii="Times New Roman" w:hAnsi="Times New Roman"/>
          <w:noProof/>
          <w:sz w:val="24"/>
          <w:szCs w:val="24"/>
        </w:rPr>
        <w:drawing>
          <wp:inline distT="0" distB="0" distL="0" distR="0" wp14:anchorId="0153E1B4" wp14:editId="7145C7EC">
            <wp:extent cx="5587948" cy="3733800"/>
            <wp:effectExtent l="0" t="0" r="0" b="0"/>
            <wp:docPr id="8077420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58754" name=""/>
                    <pic:cNvPicPr/>
                  </pic:nvPicPr>
                  <pic:blipFill>
                    <a:blip r:embed="rId118" cstate="email">
                      <a:extLst>
                        <a:ext uri="{28A0092B-C50C-407E-A947-70E740481C1C}">
                          <a14:useLocalDpi xmlns:a14="http://schemas.microsoft.com/office/drawing/2010/main"/>
                        </a:ext>
                      </a:extLst>
                    </a:blip>
                    <a:stretch>
                      <a:fillRect/>
                    </a:stretch>
                  </pic:blipFill>
                  <pic:spPr>
                    <a:xfrm>
                      <a:off x="0" y="0"/>
                      <a:ext cx="5592619" cy="3736921"/>
                    </a:xfrm>
                    <a:prstGeom prst="rect">
                      <a:avLst/>
                    </a:prstGeom>
                  </pic:spPr>
                </pic:pic>
              </a:graphicData>
            </a:graphic>
          </wp:inline>
        </w:drawing>
      </w:r>
    </w:p>
    <w:p w14:paraId="5AC3F65C" w14:textId="364D033E" w:rsidR="00F57A5C" w:rsidRPr="007C5A6E" w:rsidRDefault="00FD33F7" w:rsidP="00F57A5C">
      <w:pPr>
        <w:tabs>
          <w:tab w:val="left" w:pos="1134"/>
        </w:tabs>
        <w:spacing w:after="0" w:line="240" w:lineRule="auto"/>
        <w:ind w:left="1134" w:hanging="1134"/>
        <w:rPr>
          <w:rFonts w:ascii="Times New Roman" w:hAnsi="Times New Roman"/>
          <w:iCs/>
          <w:sz w:val="20"/>
          <w:szCs w:val="20"/>
          <w:lang w:eastAsia="da-DK"/>
        </w:rPr>
      </w:pPr>
      <w:r w:rsidRPr="007C5A6E">
        <w:rPr>
          <w:rFonts w:ascii="Times New Roman" w:hAnsi="Times New Roman"/>
          <w:iCs/>
          <w:sz w:val="20"/>
          <w:szCs w:val="20"/>
          <w:lang w:eastAsia="da-DK"/>
        </w:rPr>
        <w:t>(</w:t>
      </w:r>
      <w:r w:rsidR="00F57A5C" w:rsidRPr="007C5A6E">
        <w:rPr>
          <w:rFonts w:ascii="Times New Roman" w:hAnsi="Times New Roman"/>
          <w:iCs/>
          <w:sz w:val="20"/>
          <w:szCs w:val="20"/>
          <w:lang w:eastAsia="da-DK"/>
        </w:rPr>
        <w:t>Source : rapport AHT-WRC</w:t>
      </w:r>
      <w:r w:rsidRPr="007C5A6E">
        <w:rPr>
          <w:rFonts w:ascii="Times New Roman" w:hAnsi="Times New Roman"/>
          <w:iCs/>
          <w:sz w:val="20"/>
          <w:szCs w:val="20"/>
          <w:lang w:eastAsia="da-DK"/>
        </w:rPr>
        <w:t>)</w:t>
      </w:r>
    </w:p>
    <w:p w14:paraId="2ACF0C80" w14:textId="6C9748BC" w:rsidR="00F57A5C" w:rsidRPr="007C5A6E" w:rsidRDefault="00F57A5C" w:rsidP="00F57A5C">
      <w:pPr>
        <w:tabs>
          <w:tab w:val="left" w:pos="1134"/>
        </w:tabs>
        <w:spacing w:after="0" w:line="240" w:lineRule="auto"/>
        <w:ind w:left="1134" w:hanging="1134"/>
        <w:rPr>
          <w:rFonts w:eastAsia="Calibri" w:cs="Calibri"/>
          <w:i/>
          <w:sz w:val="20"/>
          <w:szCs w:val="20"/>
          <w:lang w:eastAsia="en-US"/>
        </w:rPr>
      </w:pPr>
      <w:bookmarkStart w:id="611" w:name="_Toc182605885"/>
      <w:bookmarkStart w:id="612" w:name="_Toc183230887"/>
      <w:bookmarkStart w:id="613" w:name="_Toc183240680"/>
      <w:bookmarkStart w:id="614" w:name="_Toc183340419"/>
      <w:r w:rsidRPr="007C5A6E">
        <w:rPr>
          <w:rFonts w:ascii="Times New Roman" w:hAnsi="Times New Roman"/>
          <w:i/>
          <w:sz w:val="24"/>
          <w:szCs w:val="24"/>
          <w:lang w:eastAsia="da-DK"/>
        </w:rPr>
        <w:t xml:space="preserve">Figure </w:t>
      </w:r>
      <w:r w:rsidRPr="007C5A6E">
        <w:rPr>
          <w:rFonts w:ascii="Times New Roman" w:hAnsi="Times New Roman"/>
          <w:i/>
          <w:sz w:val="24"/>
          <w:szCs w:val="24"/>
          <w:lang w:eastAsia="da-DK"/>
        </w:rPr>
        <w:fldChar w:fldCharType="begin"/>
      </w:r>
      <w:r w:rsidRPr="007C5A6E">
        <w:rPr>
          <w:rFonts w:ascii="Times New Roman" w:hAnsi="Times New Roman"/>
          <w:i/>
          <w:sz w:val="24"/>
          <w:szCs w:val="24"/>
          <w:lang w:eastAsia="da-DK"/>
        </w:rPr>
        <w:instrText xml:space="preserve"> SEQ Figure \* ARABIC </w:instrText>
      </w:r>
      <w:r w:rsidRPr="007C5A6E">
        <w:rPr>
          <w:rFonts w:ascii="Times New Roman" w:hAnsi="Times New Roman"/>
          <w:i/>
          <w:sz w:val="24"/>
          <w:szCs w:val="24"/>
          <w:lang w:eastAsia="da-DK"/>
        </w:rPr>
        <w:fldChar w:fldCharType="separate"/>
      </w:r>
      <w:r w:rsidR="00AE756D" w:rsidRPr="007C5A6E">
        <w:rPr>
          <w:rFonts w:ascii="Times New Roman" w:hAnsi="Times New Roman"/>
          <w:i/>
          <w:noProof/>
          <w:sz w:val="24"/>
          <w:szCs w:val="24"/>
          <w:lang w:eastAsia="da-DK"/>
        </w:rPr>
        <w:t>40</w:t>
      </w:r>
      <w:r w:rsidRPr="007C5A6E">
        <w:rPr>
          <w:rFonts w:ascii="Times New Roman" w:hAnsi="Times New Roman"/>
          <w:i/>
          <w:sz w:val="24"/>
          <w:szCs w:val="24"/>
          <w:lang w:eastAsia="da-DK"/>
        </w:rPr>
        <w:fldChar w:fldCharType="end"/>
      </w:r>
      <w:r w:rsidR="00FD33F7" w:rsidRPr="007C5A6E">
        <w:rPr>
          <w:rFonts w:ascii="Times New Roman" w:hAnsi="Times New Roman"/>
          <w:i/>
          <w:sz w:val="24"/>
          <w:szCs w:val="24"/>
          <w:lang w:eastAsia="da-DK"/>
        </w:rPr>
        <w:t>.</w:t>
      </w:r>
      <w:r w:rsidRPr="007C5A6E">
        <w:rPr>
          <w:rFonts w:ascii="Times New Roman" w:hAnsi="Times New Roman"/>
          <w:i/>
          <w:sz w:val="24"/>
          <w:szCs w:val="24"/>
          <w:lang w:eastAsia="da-DK"/>
        </w:rPr>
        <w:t xml:space="preserve">  Distribution des activités de production dans le réseau hydrographique national</w:t>
      </w:r>
      <w:bookmarkEnd w:id="611"/>
      <w:bookmarkEnd w:id="612"/>
      <w:bookmarkEnd w:id="613"/>
      <w:bookmarkEnd w:id="614"/>
    </w:p>
    <w:p w14:paraId="3F1C94CD" w14:textId="77777777" w:rsidR="00FD33F7" w:rsidRPr="007C5A6E" w:rsidRDefault="00FD33F7" w:rsidP="00F57A5C">
      <w:pPr>
        <w:spacing w:after="0" w:line="240" w:lineRule="auto"/>
        <w:jc w:val="both"/>
        <w:rPr>
          <w:rFonts w:ascii="Times New Roman" w:hAnsi="Times New Roman"/>
          <w:sz w:val="24"/>
          <w:szCs w:val="24"/>
        </w:rPr>
      </w:pPr>
    </w:p>
    <w:p w14:paraId="641F659C" w14:textId="02CE4AEA" w:rsidR="00F57A5C" w:rsidRPr="007C5A6E" w:rsidRDefault="00F57A5C" w:rsidP="00F57A5C">
      <w:pPr>
        <w:spacing w:after="0" w:line="240" w:lineRule="auto"/>
        <w:jc w:val="both"/>
        <w:rPr>
          <w:rFonts w:ascii="Times New Roman" w:hAnsi="Times New Roman"/>
          <w:sz w:val="24"/>
          <w:szCs w:val="24"/>
        </w:rPr>
      </w:pPr>
      <w:r w:rsidRPr="007C5A6E">
        <w:rPr>
          <w:rFonts w:ascii="Times New Roman" w:hAnsi="Times New Roman"/>
          <w:sz w:val="24"/>
          <w:szCs w:val="24"/>
        </w:rPr>
        <w:t xml:space="preserve">La </w:t>
      </w:r>
      <w:r w:rsidR="00465F33" w:rsidRPr="007C5A6E">
        <w:rPr>
          <w:rFonts w:ascii="Times New Roman" w:hAnsi="Times New Roman"/>
          <w:sz w:val="24"/>
          <w:szCs w:val="24"/>
        </w:rPr>
        <w:t xml:space="preserve">figure 41 </w:t>
      </w:r>
      <w:r w:rsidRPr="007C5A6E">
        <w:rPr>
          <w:rFonts w:ascii="Times New Roman" w:hAnsi="Times New Roman"/>
          <w:sz w:val="24"/>
          <w:szCs w:val="24"/>
        </w:rPr>
        <w:t>montre la distribution des activités d’orpaillage sur toute l’étendue du territoire national.</w:t>
      </w:r>
    </w:p>
    <w:p w14:paraId="47C68CA3" w14:textId="77777777" w:rsidR="00FA5C38" w:rsidRPr="007C5A6E" w:rsidRDefault="00FA5C38" w:rsidP="00F57A5C">
      <w:pPr>
        <w:spacing w:after="0" w:line="240" w:lineRule="auto"/>
        <w:jc w:val="both"/>
        <w:rPr>
          <w:rFonts w:ascii="Times New Roman" w:hAnsi="Times New Roman"/>
          <w:sz w:val="24"/>
          <w:szCs w:val="24"/>
        </w:rPr>
      </w:pPr>
    </w:p>
    <w:p w14:paraId="238A0D15" w14:textId="77777777" w:rsidR="00F57A5C" w:rsidRPr="007C5A6E" w:rsidRDefault="00F57A5C" w:rsidP="00F57A5C">
      <w:pPr>
        <w:spacing w:after="0" w:line="240" w:lineRule="auto"/>
        <w:rPr>
          <w:rFonts w:ascii="Times New Roman" w:hAnsi="Times New Roman"/>
          <w:sz w:val="24"/>
          <w:szCs w:val="24"/>
        </w:rPr>
      </w:pPr>
      <w:r w:rsidRPr="007C5A6E">
        <w:rPr>
          <w:rFonts w:ascii="Times New Roman" w:hAnsi="Times New Roman"/>
          <w:noProof/>
          <w:sz w:val="24"/>
          <w:szCs w:val="24"/>
        </w:rPr>
        <w:drawing>
          <wp:inline distT="0" distB="0" distL="0" distR="0" wp14:anchorId="3462CC73" wp14:editId="4D4699FF">
            <wp:extent cx="3571875" cy="2543175"/>
            <wp:effectExtent l="0" t="0" r="9525" b="9525"/>
            <wp:docPr id="10038443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068803" name=""/>
                    <pic:cNvPicPr/>
                  </pic:nvPicPr>
                  <pic:blipFill>
                    <a:blip r:embed="rId119" cstate="email">
                      <a:extLst>
                        <a:ext uri="{28A0092B-C50C-407E-A947-70E740481C1C}">
                          <a14:useLocalDpi xmlns:a14="http://schemas.microsoft.com/office/drawing/2010/main"/>
                        </a:ext>
                      </a:extLst>
                    </a:blip>
                    <a:stretch>
                      <a:fillRect/>
                    </a:stretch>
                  </pic:blipFill>
                  <pic:spPr>
                    <a:xfrm>
                      <a:off x="0" y="0"/>
                      <a:ext cx="3624409" cy="2580579"/>
                    </a:xfrm>
                    <a:prstGeom prst="rect">
                      <a:avLst/>
                    </a:prstGeom>
                  </pic:spPr>
                </pic:pic>
              </a:graphicData>
            </a:graphic>
          </wp:inline>
        </w:drawing>
      </w:r>
    </w:p>
    <w:p w14:paraId="02249854" w14:textId="04F41FBA" w:rsidR="00F57A5C" w:rsidRPr="007C5A6E" w:rsidRDefault="00FD33F7" w:rsidP="00F57A5C">
      <w:pPr>
        <w:spacing w:after="0" w:line="240" w:lineRule="auto"/>
        <w:rPr>
          <w:rFonts w:ascii="Times New Roman" w:hAnsi="Times New Roman"/>
        </w:rPr>
      </w:pPr>
      <w:r w:rsidRPr="007C5A6E">
        <w:rPr>
          <w:rFonts w:ascii="Times New Roman" w:hAnsi="Times New Roman"/>
        </w:rPr>
        <w:t>(</w:t>
      </w:r>
      <w:r w:rsidR="00F57A5C" w:rsidRPr="007C5A6E">
        <w:rPr>
          <w:rFonts w:ascii="Times New Roman" w:hAnsi="Times New Roman"/>
        </w:rPr>
        <w:t>Source : Ministère des Mines</w:t>
      </w:r>
      <w:r w:rsidRPr="007C5A6E">
        <w:rPr>
          <w:rFonts w:ascii="Times New Roman" w:hAnsi="Times New Roman"/>
        </w:rPr>
        <w:t xml:space="preserve">, </w:t>
      </w:r>
      <w:r w:rsidR="00F57A5C" w:rsidRPr="007C5A6E">
        <w:rPr>
          <w:rFonts w:ascii="Times New Roman" w:hAnsi="Times New Roman"/>
        </w:rPr>
        <w:t>2018</w:t>
      </w:r>
      <w:r w:rsidRPr="007C5A6E">
        <w:rPr>
          <w:rFonts w:ascii="Times New Roman" w:hAnsi="Times New Roman"/>
        </w:rPr>
        <w:t>)</w:t>
      </w:r>
    </w:p>
    <w:p w14:paraId="50F47CBF" w14:textId="73927FE7" w:rsidR="00F57A5C" w:rsidRPr="007C5A6E" w:rsidRDefault="00F57A5C" w:rsidP="00F57A5C">
      <w:pPr>
        <w:tabs>
          <w:tab w:val="left" w:pos="1134"/>
        </w:tabs>
        <w:spacing w:after="0" w:line="240" w:lineRule="auto"/>
        <w:ind w:left="1134" w:hanging="1134"/>
        <w:rPr>
          <w:rFonts w:eastAsia="Calibri" w:cs="Calibri"/>
          <w:i/>
          <w:sz w:val="20"/>
          <w:szCs w:val="20"/>
          <w:lang w:eastAsia="en-US"/>
        </w:rPr>
      </w:pPr>
      <w:bookmarkStart w:id="615" w:name="_Toc182605886"/>
      <w:bookmarkStart w:id="616" w:name="_Toc183230888"/>
      <w:bookmarkStart w:id="617" w:name="_Toc183240681"/>
      <w:bookmarkStart w:id="618" w:name="_Toc183340420"/>
      <w:r w:rsidRPr="007C5A6E">
        <w:rPr>
          <w:rFonts w:ascii="Times New Roman" w:hAnsi="Times New Roman"/>
          <w:i/>
          <w:sz w:val="24"/>
          <w:szCs w:val="24"/>
          <w:lang w:eastAsia="da-DK"/>
        </w:rPr>
        <w:t xml:space="preserve">Figure </w:t>
      </w:r>
      <w:r w:rsidRPr="007C5A6E">
        <w:rPr>
          <w:rFonts w:ascii="Times New Roman" w:hAnsi="Times New Roman"/>
          <w:i/>
          <w:sz w:val="24"/>
          <w:szCs w:val="24"/>
          <w:lang w:eastAsia="da-DK"/>
        </w:rPr>
        <w:fldChar w:fldCharType="begin"/>
      </w:r>
      <w:r w:rsidRPr="007C5A6E">
        <w:rPr>
          <w:rFonts w:ascii="Times New Roman" w:hAnsi="Times New Roman"/>
          <w:i/>
          <w:sz w:val="24"/>
          <w:szCs w:val="24"/>
          <w:lang w:eastAsia="da-DK"/>
        </w:rPr>
        <w:instrText xml:space="preserve"> SEQ Figure \* ARABIC </w:instrText>
      </w:r>
      <w:r w:rsidRPr="007C5A6E">
        <w:rPr>
          <w:rFonts w:ascii="Times New Roman" w:hAnsi="Times New Roman"/>
          <w:i/>
          <w:sz w:val="24"/>
          <w:szCs w:val="24"/>
          <w:lang w:eastAsia="da-DK"/>
        </w:rPr>
        <w:fldChar w:fldCharType="separate"/>
      </w:r>
      <w:r w:rsidR="00AE0C9D" w:rsidRPr="007C5A6E">
        <w:rPr>
          <w:rFonts w:ascii="Times New Roman" w:hAnsi="Times New Roman"/>
          <w:i/>
          <w:noProof/>
          <w:sz w:val="24"/>
          <w:szCs w:val="24"/>
          <w:lang w:eastAsia="da-DK"/>
        </w:rPr>
        <w:t>41</w:t>
      </w:r>
      <w:r w:rsidRPr="007C5A6E">
        <w:rPr>
          <w:rFonts w:ascii="Times New Roman" w:hAnsi="Times New Roman"/>
          <w:i/>
          <w:sz w:val="24"/>
          <w:szCs w:val="24"/>
          <w:lang w:eastAsia="da-DK"/>
        </w:rPr>
        <w:fldChar w:fldCharType="end"/>
      </w:r>
      <w:r w:rsidR="006F23B8" w:rsidRPr="007C5A6E">
        <w:rPr>
          <w:rFonts w:ascii="Times New Roman" w:hAnsi="Times New Roman"/>
          <w:i/>
          <w:sz w:val="24"/>
          <w:szCs w:val="24"/>
          <w:lang w:eastAsia="da-DK"/>
        </w:rPr>
        <w:t>.</w:t>
      </w:r>
      <w:r w:rsidRPr="007C5A6E">
        <w:rPr>
          <w:rFonts w:ascii="Times New Roman" w:hAnsi="Times New Roman"/>
          <w:i/>
          <w:sz w:val="24"/>
          <w:szCs w:val="24"/>
          <w:lang w:eastAsia="da-DK"/>
        </w:rPr>
        <w:t xml:space="preserve">  Distribution des activités artisanales d’exploitation de l’or</w:t>
      </w:r>
      <w:bookmarkEnd w:id="615"/>
      <w:bookmarkEnd w:id="616"/>
      <w:bookmarkEnd w:id="617"/>
      <w:bookmarkEnd w:id="618"/>
    </w:p>
    <w:p w14:paraId="4E628800" w14:textId="77777777" w:rsidR="00F57A5C" w:rsidRPr="007C5A6E" w:rsidRDefault="00F57A5C" w:rsidP="00F57A5C">
      <w:pPr>
        <w:tabs>
          <w:tab w:val="left" w:pos="1134"/>
        </w:tabs>
        <w:spacing w:after="0" w:line="240" w:lineRule="auto"/>
        <w:ind w:left="1134" w:hanging="1134"/>
        <w:rPr>
          <w:rFonts w:ascii="Times New Roman" w:hAnsi="Times New Roman"/>
          <w:i/>
          <w:sz w:val="24"/>
          <w:szCs w:val="24"/>
          <w:lang w:eastAsia="da-DK"/>
        </w:rPr>
      </w:pPr>
    </w:p>
    <w:p w14:paraId="350845F6" w14:textId="77777777" w:rsidR="00F57A5C" w:rsidRPr="007C5A6E" w:rsidRDefault="00F57A5C" w:rsidP="00684FF8">
      <w:pPr>
        <w:pStyle w:val="Titre4"/>
      </w:pPr>
      <w:bookmarkStart w:id="619" w:name="_Toc182606054"/>
      <w:bookmarkStart w:id="620" w:name="_Toc183340118"/>
      <w:r w:rsidRPr="007C5A6E">
        <w:t>Dynamique de l’évolution des pressions sur les ressources en eau en raison de l’accès à l’eau potable et des taux de fonctionnement des équipements d’AEP</w:t>
      </w:r>
      <w:bookmarkEnd w:id="619"/>
      <w:bookmarkEnd w:id="620"/>
    </w:p>
    <w:p w14:paraId="631630C2" w14:textId="77777777" w:rsidR="00FA5C38" w:rsidRPr="007C5A6E" w:rsidRDefault="00FA5C38" w:rsidP="00C738E1">
      <w:pPr>
        <w:spacing w:after="0" w:line="240" w:lineRule="auto"/>
        <w:rPr>
          <w:rFonts w:ascii="Times New Roman" w:eastAsia="Calibri" w:hAnsi="Times New Roman"/>
          <w:sz w:val="24"/>
          <w:szCs w:val="24"/>
          <w:lang w:eastAsia="en-US"/>
        </w:rPr>
      </w:pPr>
    </w:p>
    <w:p w14:paraId="1970BFAB" w14:textId="77777777" w:rsidR="00F57A5C" w:rsidRPr="007C5A6E" w:rsidRDefault="00F57A5C" w:rsidP="003F3821">
      <w:pPr>
        <w:pStyle w:val="Titre5"/>
        <w:keepNext w:val="0"/>
        <w:keepLines w:val="0"/>
        <w:numPr>
          <w:ilvl w:val="4"/>
          <w:numId w:val="4"/>
        </w:numPr>
        <w:spacing w:before="0"/>
        <w:ind w:left="907" w:hanging="907"/>
        <w:rPr>
          <w:rFonts w:ascii="Times New Roman" w:hAnsi="Times New Roman" w:cs="Times New Roman"/>
          <w:color w:val="auto"/>
          <w:u w:val="single"/>
          <w:lang w:eastAsia="en-US"/>
        </w:rPr>
      </w:pPr>
      <w:bookmarkStart w:id="621" w:name="_Toc183340119"/>
      <w:r w:rsidRPr="007C5A6E">
        <w:rPr>
          <w:rFonts w:ascii="Times New Roman" w:hAnsi="Times New Roman" w:cs="Times New Roman"/>
          <w:color w:val="auto"/>
          <w:u w:val="single"/>
          <w:lang w:eastAsia="en-US"/>
        </w:rPr>
        <w:t>Evolution des pressions en raison du taux d’accès à l’eau potable</w:t>
      </w:r>
      <w:bookmarkEnd w:id="621"/>
    </w:p>
    <w:p w14:paraId="151902F3" w14:textId="77777777" w:rsidR="00465F33" w:rsidRPr="007C5A6E" w:rsidRDefault="00465F33" w:rsidP="00F57A5C">
      <w:pPr>
        <w:spacing w:after="0" w:line="240" w:lineRule="auto"/>
        <w:jc w:val="both"/>
        <w:rPr>
          <w:rFonts w:ascii="Times New Roman" w:eastAsia="Calibri" w:hAnsi="Times New Roman"/>
          <w:sz w:val="24"/>
          <w:szCs w:val="24"/>
          <w:lang w:eastAsia="en-US"/>
        </w:rPr>
      </w:pPr>
    </w:p>
    <w:p w14:paraId="1575B9AC" w14:textId="10EDFD3F" w:rsidR="00F57A5C" w:rsidRPr="007C5A6E" w:rsidRDefault="00F57A5C" w:rsidP="00F57A5C">
      <w:pPr>
        <w:spacing w:after="0" w:line="240" w:lineRule="auto"/>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Selon le rapport INO 2023, les taux d’accès à l’eau potable croissent aussi bien en milieu rural qu’en milieu urbain (cf. graphiques ci-après).</w:t>
      </w:r>
    </w:p>
    <w:p w14:paraId="6060B7F3" w14:textId="77777777" w:rsidR="00F57A5C" w:rsidRPr="007C5A6E" w:rsidRDefault="00F57A5C" w:rsidP="00F57A5C">
      <w:pPr>
        <w:spacing w:after="0" w:line="240" w:lineRule="auto"/>
        <w:jc w:val="both"/>
        <w:rPr>
          <w:rFonts w:ascii="Times New Roman" w:eastAsia="Calibri" w:hAnsi="Times New Roman"/>
          <w:sz w:val="24"/>
          <w:szCs w:val="24"/>
          <w:lang w:eastAsia="en-US"/>
        </w:rPr>
      </w:pPr>
    </w:p>
    <w:tbl>
      <w:tblPr>
        <w:tblStyle w:val="Grilledutableau3"/>
        <w:tblW w:w="10150" w:type="dxa"/>
        <w:tblCellMar>
          <w:left w:w="70" w:type="dxa"/>
          <w:right w:w="70" w:type="dxa"/>
        </w:tblCellMar>
        <w:tblLook w:val="04A0" w:firstRow="1" w:lastRow="0" w:firstColumn="1" w:lastColumn="0" w:noHBand="0" w:noVBand="1"/>
      </w:tblPr>
      <w:tblGrid>
        <w:gridCol w:w="5120"/>
        <w:gridCol w:w="5030"/>
      </w:tblGrid>
      <w:tr w:rsidR="00F57A5C" w:rsidRPr="007C5A6E" w14:paraId="09486ED1" w14:textId="77777777" w:rsidTr="00473089">
        <w:trPr>
          <w:trHeight w:val="3827"/>
        </w:trPr>
        <w:tc>
          <w:tcPr>
            <w:tcW w:w="5120" w:type="dxa"/>
          </w:tcPr>
          <w:p w14:paraId="797DD584" w14:textId="77777777" w:rsidR="00F57A5C" w:rsidRPr="007C5A6E" w:rsidRDefault="00F57A5C" w:rsidP="00F57A5C">
            <w:pPr>
              <w:spacing w:after="0" w:line="240" w:lineRule="auto"/>
              <w:rPr>
                <w:rFonts w:ascii="Times New Roman" w:eastAsia="Calibri" w:hAnsi="Times New Roman"/>
                <w:sz w:val="24"/>
                <w:szCs w:val="24"/>
                <w:lang w:eastAsia="da-DK"/>
              </w:rPr>
            </w:pPr>
            <w:r w:rsidRPr="007C5A6E">
              <w:rPr>
                <w:rFonts w:ascii="Times New Roman" w:hAnsi="Times New Roman"/>
                <w:noProof/>
                <w:sz w:val="24"/>
                <w:szCs w:val="24"/>
                <w14:ligatures w14:val="standardContextual"/>
              </w:rPr>
              <w:drawing>
                <wp:inline distT="0" distB="0" distL="0" distR="0" wp14:anchorId="31FE0067" wp14:editId="560ACBE0">
                  <wp:extent cx="3159125" cy="2361235"/>
                  <wp:effectExtent l="0" t="0" r="3175" b="1270"/>
                  <wp:docPr id="920704067" name="Graphique 1">
                    <a:extLst xmlns:a="http://schemas.openxmlformats.org/drawingml/2006/main">
                      <a:ext uri="{FF2B5EF4-FFF2-40B4-BE49-F238E27FC236}">
                        <a16:creationId xmlns:a16="http://schemas.microsoft.com/office/drawing/2014/main" id="{D88F87B1-6796-4C32-9458-82D92A6CB6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tc>
        <w:tc>
          <w:tcPr>
            <w:tcW w:w="5030" w:type="dxa"/>
          </w:tcPr>
          <w:p w14:paraId="6B752CE6" w14:textId="77777777" w:rsidR="00F57A5C" w:rsidRPr="007C5A6E" w:rsidRDefault="00F57A5C" w:rsidP="00F57A5C">
            <w:pPr>
              <w:spacing w:after="0" w:line="240" w:lineRule="auto"/>
              <w:rPr>
                <w:rFonts w:ascii="Times New Roman" w:eastAsia="Calibri" w:hAnsi="Times New Roman"/>
                <w:sz w:val="24"/>
                <w:szCs w:val="24"/>
                <w:lang w:eastAsia="da-DK"/>
              </w:rPr>
            </w:pPr>
            <w:r w:rsidRPr="007C5A6E">
              <w:rPr>
                <w:rFonts w:ascii="Times New Roman" w:hAnsi="Times New Roman"/>
                <w:noProof/>
                <w:sz w:val="24"/>
                <w:szCs w:val="24"/>
                <w14:ligatures w14:val="standardContextual"/>
              </w:rPr>
              <w:drawing>
                <wp:inline distT="0" distB="0" distL="0" distR="0" wp14:anchorId="6E2294D4" wp14:editId="73053B9A">
                  <wp:extent cx="3095584" cy="2371396"/>
                  <wp:effectExtent l="0" t="0" r="10160" b="10160"/>
                  <wp:docPr id="1758123997" name="Graphique 1">
                    <a:extLst xmlns:a="http://schemas.openxmlformats.org/drawingml/2006/main">
                      <a:ext uri="{FF2B5EF4-FFF2-40B4-BE49-F238E27FC236}">
                        <a16:creationId xmlns:a16="http://schemas.microsoft.com/office/drawing/2014/main" id="{0F64E733-593A-7193-3AB1-B9632C7488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tc>
      </w:tr>
    </w:tbl>
    <w:p w14:paraId="0A3FCB35" w14:textId="4AF1D732" w:rsidR="00465F33" w:rsidRPr="007C5A6E" w:rsidRDefault="00D25CF3" w:rsidP="00465F33">
      <w:pPr>
        <w:tabs>
          <w:tab w:val="left" w:pos="1134"/>
        </w:tabs>
        <w:spacing w:after="0" w:line="240" w:lineRule="auto"/>
        <w:ind w:left="1134" w:hanging="1134"/>
        <w:rPr>
          <w:rFonts w:cs="Calibri"/>
          <w:iCs/>
          <w:sz w:val="20"/>
          <w:szCs w:val="20"/>
          <w:lang w:eastAsia="da-DK"/>
        </w:rPr>
      </w:pPr>
      <w:bookmarkStart w:id="622" w:name="_Toc182605887"/>
      <w:r w:rsidRPr="007C5A6E">
        <w:rPr>
          <w:rFonts w:cs="Calibri"/>
          <w:iCs/>
          <w:sz w:val="20"/>
          <w:szCs w:val="20"/>
          <w:lang w:eastAsia="da-DK"/>
        </w:rPr>
        <w:t>(</w:t>
      </w:r>
      <w:r w:rsidR="00465F33" w:rsidRPr="007C5A6E">
        <w:rPr>
          <w:rFonts w:cs="Calibri"/>
          <w:iCs/>
          <w:sz w:val="20"/>
          <w:szCs w:val="20"/>
          <w:lang w:eastAsia="da-DK"/>
        </w:rPr>
        <w:t>Source : DGEP, Résultats INO 2023</w:t>
      </w:r>
      <w:r w:rsidRPr="007C5A6E">
        <w:rPr>
          <w:rFonts w:cs="Calibri"/>
          <w:iCs/>
          <w:sz w:val="20"/>
          <w:szCs w:val="20"/>
          <w:lang w:eastAsia="da-DK"/>
        </w:rPr>
        <w:t>)</w:t>
      </w:r>
    </w:p>
    <w:p w14:paraId="3ACFF3C2" w14:textId="66BA4493" w:rsidR="00F57A5C" w:rsidRPr="007C5A6E" w:rsidRDefault="00F57A5C" w:rsidP="00F57A5C">
      <w:pPr>
        <w:tabs>
          <w:tab w:val="left" w:pos="1134"/>
        </w:tabs>
        <w:spacing w:after="0" w:line="240" w:lineRule="auto"/>
        <w:ind w:left="1134" w:hanging="1134"/>
        <w:rPr>
          <w:rFonts w:eastAsia="Calibri" w:cs="Calibri"/>
          <w:i/>
          <w:sz w:val="20"/>
          <w:szCs w:val="20"/>
          <w:lang w:eastAsia="en-US"/>
        </w:rPr>
      </w:pPr>
      <w:bookmarkStart w:id="623" w:name="_Toc183230889"/>
      <w:bookmarkStart w:id="624" w:name="_Toc183240682"/>
      <w:bookmarkStart w:id="625" w:name="_Toc183340421"/>
      <w:r w:rsidRPr="007C5A6E">
        <w:rPr>
          <w:rFonts w:ascii="Times New Roman" w:hAnsi="Times New Roman"/>
          <w:i/>
          <w:sz w:val="24"/>
          <w:szCs w:val="24"/>
          <w:lang w:eastAsia="da-DK"/>
        </w:rPr>
        <w:t xml:space="preserve">Figure </w:t>
      </w:r>
      <w:r w:rsidRPr="007C5A6E">
        <w:rPr>
          <w:rFonts w:ascii="Times New Roman" w:hAnsi="Times New Roman"/>
          <w:i/>
          <w:sz w:val="24"/>
          <w:szCs w:val="24"/>
          <w:lang w:eastAsia="da-DK"/>
        </w:rPr>
        <w:fldChar w:fldCharType="begin"/>
      </w:r>
      <w:r w:rsidRPr="007C5A6E">
        <w:rPr>
          <w:rFonts w:ascii="Times New Roman" w:hAnsi="Times New Roman"/>
          <w:i/>
          <w:sz w:val="24"/>
          <w:szCs w:val="24"/>
          <w:lang w:eastAsia="da-DK"/>
        </w:rPr>
        <w:instrText xml:space="preserve"> SEQ Figure \* ARABIC </w:instrText>
      </w:r>
      <w:r w:rsidRPr="007C5A6E">
        <w:rPr>
          <w:rFonts w:ascii="Times New Roman" w:hAnsi="Times New Roman"/>
          <w:i/>
          <w:sz w:val="24"/>
          <w:szCs w:val="24"/>
          <w:lang w:eastAsia="da-DK"/>
        </w:rPr>
        <w:fldChar w:fldCharType="separate"/>
      </w:r>
      <w:r w:rsidR="00AE756D" w:rsidRPr="007C5A6E">
        <w:rPr>
          <w:rFonts w:ascii="Times New Roman" w:hAnsi="Times New Roman"/>
          <w:i/>
          <w:noProof/>
          <w:sz w:val="24"/>
          <w:szCs w:val="24"/>
          <w:lang w:eastAsia="da-DK"/>
        </w:rPr>
        <w:t>42</w:t>
      </w:r>
      <w:r w:rsidRPr="007C5A6E">
        <w:rPr>
          <w:rFonts w:ascii="Times New Roman" w:hAnsi="Times New Roman"/>
          <w:i/>
          <w:sz w:val="24"/>
          <w:szCs w:val="24"/>
          <w:lang w:eastAsia="da-DK"/>
        </w:rPr>
        <w:fldChar w:fldCharType="end"/>
      </w:r>
      <w:r w:rsidR="005E3176" w:rsidRPr="007C5A6E">
        <w:rPr>
          <w:rFonts w:ascii="Times New Roman" w:hAnsi="Times New Roman"/>
          <w:i/>
          <w:sz w:val="24"/>
          <w:szCs w:val="24"/>
          <w:lang w:eastAsia="da-DK"/>
        </w:rPr>
        <w:t>.</w:t>
      </w:r>
      <w:r w:rsidRPr="007C5A6E">
        <w:rPr>
          <w:rFonts w:ascii="Times New Roman" w:hAnsi="Times New Roman"/>
          <w:i/>
          <w:sz w:val="24"/>
          <w:szCs w:val="24"/>
          <w:lang w:eastAsia="da-DK"/>
        </w:rPr>
        <w:t xml:space="preserve">  Taux d’accès à l’AEP en milieu rural </w:t>
      </w:r>
      <w:r w:rsidR="00465F33" w:rsidRPr="007C5A6E">
        <w:rPr>
          <w:rFonts w:ascii="Times New Roman" w:hAnsi="Times New Roman"/>
          <w:i/>
          <w:sz w:val="24"/>
          <w:szCs w:val="24"/>
          <w:lang w:eastAsia="da-DK"/>
        </w:rPr>
        <w:t>(</w:t>
      </w:r>
      <w:r w:rsidR="00AC6A2B" w:rsidRPr="007C5A6E">
        <w:rPr>
          <w:rFonts w:ascii="Times New Roman" w:hAnsi="Times New Roman"/>
          <w:i/>
          <w:sz w:val="24"/>
          <w:szCs w:val="24"/>
          <w:lang w:eastAsia="da-DK"/>
        </w:rPr>
        <w:t>A</w:t>
      </w:r>
      <w:r w:rsidR="00465F33" w:rsidRPr="007C5A6E">
        <w:rPr>
          <w:rFonts w:ascii="Times New Roman" w:hAnsi="Times New Roman"/>
          <w:i/>
          <w:sz w:val="24"/>
          <w:szCs w:val="24"/>
          <w:lang w:eastAsia="da-DK"/>
        </w:rPr>
        <w:t>)</w:t>
      </w:r>
      <w:r w:rsidRPr="007C5A6E">
        <w:rPr>
          <w:rFonts w:ascii="Times New Roman" w:hAnsi="Times New Roman"/>
          <w:i/>
          <w:sz w:val="24"/>
          <w:szCs w:val="24"/>
          <w:lang w:eastAsia="da-DK"/>
        </w:rPr>
        <w:t xml:space="preserve"> et en milieu urbain</w:t>
      </w:r>
      <w:bookmarkEnd w:id="622"/>
      <w:r w:rsidR="00465F33" w:rsidRPr="007C5A6E">
        <w:rPr>
          <w:rFonts w:ascii="Times New Roman" w:hAnsi="Times New Roman"/>
          <w:i/>
          <w:sz w:val="24"/>
          <w:szCs w:val="24"/>
          <w:lang w:eastAsia="da-DK"/>
        </w:rPr>
        <w:t xml:space="preserve"> (</w:t>
      </w:r>
      <w:r w:rsidR="00AC6A2B" w:rsidRPr="007C5A6E">
        <w:rPr>
          <w:rFonts w:ascii="Times New Roman" w:hAnsi="Times New Roman"/>
          <w:i/>
          <w:sz w:val="24"/>
          <w:szCs w:val="24"/>
          <w:lang w:eastAsia="da-DK"/>
        </w:rPr>
        <w:t>B</w:t>
      </w:r>
      <w:r w:rsidR="00465F33" w:rsidRPr="007C5A6E">
        <w:rPr>
          <w:rFonts w:ascii="Times New Roman" w:hAnsi="Times New Roman"/>
          <w:i/>
          <w:sz w:val="24"/>
          <w:szCs w:val="24"/>
          <w:lang w:eastAsia="da-DK"/>
        </w:rPr>
        <w:t>)</w:t>
      </w:r>
      <w:bookmarkEnd w:id="623"/>
      <w:bookmarkEnd w:id="624"/>
      <w:bookmarkEnd w:id="625"/>
    </w:p>
    <w:p w14:paraId="3486CAE6" w14:textId="77777777" w:rsidR="00F57A5C" w:rsidRPr="007C5A6E" w:rsidRDefault="00F57A5C" w:rsidP="00F57A5C">
      <w:pPr>
        <w:spacing w:after="0" w:line="240" w:lineRule="auto"/>
        <w:rPr>
          <w:rFonts w:ascii="Times New Roman" w:hAnsi="Times New Roman"/>
          <w:sz w:val="20"/>
          <w:szCs w:val="20"/>
        </w:rPr>
      </w:pPr>
      <w:r w:rsidRPr="007C5A6E">
        <w:rPr>
          <w:rFonts w:ascii="Times New Roman" w:hAnsi="Times New Roman"/>
          <w:sz w:val="20"/>
          <w:szCs w:val="20"/>
        </w:rPr>
        <w:t xml:space="preserve">                                                                                                     </w:t>
      </w:r>
    </w:p>
    <w:p w14:paraId="3222A7EE" w14:textId="77777777" w:rsidR="00F57A5C" w:rsidRPr="007C5A6E" w:rsidRDefault="00F57A5C" w:rsidP="00F57A5C">
      <w:pPr>
        <w:spacing w:after="0" w:line="240" w:lineRule="auto"/>
        <w:jc w:val="both"/>
        <w:rPr>
          <w:rFonts w:ascii="Times New Roman" w:hAnsi="Times New Roman"/>
          <w:sz w:val="20"/>
          <w:szCs w:val="20"/>
        </w:rPr>
      </w:pPr>
      <w:r w:rsidRPr="007C5A6E">
        <w:rPr>
          <w:rFonts w:ascii="Times New Roman" w:eastAsia="Calibri" w:hAnsi="Times New Roman"/>
          <w:sz w:val="24"/>
          <w:szCs w:val="24"/>
          <w:lang w:eastAsia="da-DK"/>
        </w:rPr>
        <w:t>La tendance générale est sensiblement à la hausse, et le cas de l’AEP urbaine pourrait s’expliquer par les problèmes de sécurité qui ont affecté certaines localités.</w:t>
      </w:r>
    </w:p>
    <w:p w14:paraId="76912F26" w14:textId="7002580B" w:rsidR="00F57A5C" w:rsidRPr="007C5A6E" w:rsidRDefault="00F57A5C" w:rsidP="00F57A5C">
      <w:pPr>
        <w:tabs>
          <w:tab w:val="left" w:pos="0"/>
        </w:tabs>
        <w:spacing w:after="0" w:line="240" w:lineRule="auto"/>
        <w:jc w:val="both"/>
        <w:rPr>
          <w:rFonts w:ascii="Times New Roman" w:hAnsi="Times New Roman"/>
          <w:bCs/>
          <w:iCs/>
          <w:sz w:val="24"/>
          <w:szCs w:val="24"/>
          <w:lang w:eastAsia="da-DK"/>
        </w:rPr>
      </w:pPr>
      <w:r w:rsidRPr="007C5A6E">
        <w:rPr>
          <w:rFonts w:ascii="Times New Roman" w:hAnsi="Times New Roman"/>
          <w:bCs/>
          <w:iCs/>
          <w:sz w:val="24"/>
          <w:szCs w:val="24"/>
          <w:lang w:eastAsia="da-DK"/>
        </w:rPr>
        <w:t>En termes de nombre de localités, l</w:t>
      </w:r>
      <w:r w:rsidR="00070E9D" w:rsidRPr="007C5A6E">
        <w:rPr>
          <w:rFonts w:ascii="Times New Roman" w:hAnsi="Times New Roman"/>
          <w:bCs/>
          <w:iCs/>
          <w:sz w:val="24"/>
          <w:szCs w:val="24"/>
          <w:lang w:eastAsia="da-DK"/>
        </w:rPr>
        <w:t>a</w:t>
      </w:r>
      <w:r w:rsidRPr="007C5A6E">
        <w:rPr>
          <w:rFonts w:ascii="Times New Roman" w:hAnsi="Times New Roman"/>
          <w:bCs/>
          <w:iCs/>
          <w:sz w:val="24"/>
          <w:szCs w:val="24"/>
          <w:lang w:eastAsia="da-DK"/>
        </w:rPr>
        <w:t xml:space="preserve"> figures </w:t>
      </w:r>
      <w:r w:rsidR="003415DF" w:rsidRPr="007C5A6E">
        <w:rPr>
          <w:rFonts w:ascii="Times New Roman" w:hAnsi="Times New Roman"/>
          <w:bCs/>
          <w:iCs/>
          <w:sz w:val="24"/>
          <w:szCs w:val="24"/>
          <w:lang w:eastAsia="da-DK"/>
        </w:rPr>
        <w:t>4</w:t>
      </w:r>
      <w:r w:rsidR="0065735C" w:rsidRPr="007C5A6E">
        <w:rPr>
          <w:rFonts w:ascii="Times New Roman" w:hAnsi="Times New Roman"/>
          <w:bCs/>
          <w:iCs/>
          <w:sz w:val="24"/>
          <w:szCs w:val="24"/>
          <w:lang w:eastAsia="da-DK"/>
        </w:rPr>
        <w:t>3</w:t>
      </w:r>
      <w:r w:rsidRPr="007C5A6E">
        <w:rPr>
          <w:rFonts w:ascii="Times New Roman" w:hAnsi="Times New Roman"/>
          <w:bCs/>
          <w:iCs/>
          <w:sz w:val="24"/>
          <w:szCs w:val="24"/>
          <w:lang w:eastAsia="da-DK"/>
        </w:rPr>
        <w:t xml:space="preserve"> indiquent la tendance à la baisse progressive du nombre de communes </w:t>
      </w:r>
      <w:r w:rsidR="003415DF" w:rsidRPr="007C5A6E">
        <w:rPr>
          <w:rFonts w:ascii="Times New Roman" w:hAnsi="Times New Roman"/>
          <w:bCs/>
          <w:iCs/>
          <w:sz w:val="24"/>
          <w:szCs w:val="24"/>
          <w:lang w:eastAsia="da-DK"/>
        </w:rPr>
        <w:t>dont le t</w:t>
      </w:r>
      <w:r w:rsidRPr="007C5A6E">
        <w:rPr>
          <w:rFonts w:ascii="Times New Roman" w:hAnsi="Times New Roman"/>
          <w:bCs/>
          <w:iCs/>
          <w:sz w:val="24"/>
          <w:szCs w:val="24"/>
          <w:lang w:eastAsia="da-DK"/>
        </w:rPr>
        <w:t xml:space="preserve">aux d’accès à l’eau potable </w:t>
      </w:r>
      <w:r w:rsidR="003415DF" w:rsidRPr="007C5A6E">
        <w:rPr>
          <w:rFonts w:ascii="Times New Roman" w:hAnsi="Times New Roman"/>
          <w:bCs/>
          <w:iCs/>
          <w:sz w:val="24"/>
          <w:szCs w:val="24"/>
          <w:lang w:eastAsia="da-DK"/>
        </w:rPr>
        <w:t xml:space="preserve">est </w:t>
      </w:r>
      <w:r w:rsidRPr="007C5A6E">
        <w:rPr>
          <w:rFonts w:ascii="Times New Roman" w:hAnsi="Times New Roman"/>
          <w:bCs/>
          <w:iCs/>
          <w:sz w:val="24"/>
          <w:szCs w:val="24"/>
          <w:lang w:eastAsia="da-DK"/>
        </w:rPr>
        <w:t>au mieux moyen (&lt;65%) et du nombre de villages sans accès à l’eau potable.</w:t>
      </w:r>
    </w:p>
    <w:p w14:paraId="42F4B510" w14:textId="77777777" w:rsidR="00FA5C38" w:rsidRPr="007C5A6E" w:rsidRDefault="00FA5C38" w:rsidP="00F57A5C">
      <w:pPr>
        <w:tabs>
          <w:tab w:val="left" w:pos="0"/>
        </w:tabs>
        <w:spacing w:after="0" w:line="240" w:lineRule="auto"/>
        <w:jc w:val="both"/>
        <w:rPr>
          <w:rFonts w:ascii="Times New Roman" w:hAnsi="Times New Roman"/>
          <w:bCs/>
          <w:iCs/>
          <w:sz w:val="24"/>
          <w:szCs w:val="24"/>
          <w:lang w:eastAsia="da-DK"/>
        </w:rPr>
      </w:pPr>
    </w:p>
    <w:tbl>
      <w:tblPr>
        <w:tblStyle w:val="Grilledutableau3"/>
        <w:tblW w:w="0" w:type="auto"/>
        <w:tblCellMar>
          <w:left w:w="70" w:type="dxa"/>
          <w:right w:w="70" w:type="dxa"/>
        </w:tblCellMar>
        <w:tblLook w:val="04A0" w:firstRow="1" w:lastRow="0" w:firstColumn="1" w:lastColumn="0" w:noHBand="0" w:noVBand="1"/>
      </w:tblPr>
      <w:tblGrid>
        <w:gridCol w:w="4490"/>
        <w:gridCol w:w="4580"/>
      </w:tblGrid>
      <w:tr w:rsidR="00F57A5C" w:rsidRPr="007C5A6E" w14:paraId="25D5AFB3" w14:textId="77777777" w:rsidTr="00473089">
        <w:tc>
          <w:tcPr>
            <w:tcW w:w="4485" w:type="dxa"/>
          </w:tcPr>
          <w:p w14:paraId="3ACAAEE7" w14:textId="77777777" w:rsidR="00F57A5C" w:rsidRPr="007C5A6E" w:rsidRDefault="00F57A5C" w:rsidP="00F57A5C">
            <w:pPr>
              <w:spacing w:after="0" w:line="240" w:lineRule="auto"/>
              <w:rPr>
                <w:rFonts w:ascii="Times New Roman" w:eastAsia="Calibri" w:hAnsi="Times New Roman"/>
                <w:sz w:val="24"/>
                <w:szCs w:val="24"/>
                <w:lang w:eastAsia="da-DK"/>
              </w:rPr>
            </w:pPr>
            <w:r w:rsidRPr="007C5A6E">
              <w:rPr>
                <w:rFonts w:ascii="Times New Roman" w:hAnsi="Times New Roman"/>
                <w:noProof/>
                <w:sz w:val="24"/>
                <w:szCs w:val="24"/>
                <w14:ligatures w14:val="standardContextual"/>
              </w:rPr>
              <w:drawing>
                <wp:inline distT="0" distB="0" distL="0" distR="0" wp14:anchorId="072732F7" wp14:editId="05DAD0F3">
                  <wp:extent cx="2756648" cy="2033572"/>
                  <wp:effectExtent l="0" t="0" r="5715" b="5080"/>
                  <wp:docPr id="153510814" name="Graphique 1">
                    <a:extLst xmlns:a="http://schemas.openxmlformats.org/drawingml/2006/main">
                      <a:ext uri="{FF2B5EF4-FFF2-40B4-BE49-F238E27FC236}">
                        <a16:creationId xmlns:a16="http://schemas.microsoft.com/office/drawing/2014/main" id="{F8090291-146D-08F8-4D88-25400C631D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tc>
        <w:tc>
          <w:tcPr>
            <w:tcW w:w="4575" w:type="dxa"/>
          </w:tcPr>
          <w:p w14:paraId="0CA4B58E" w14:textId="77777777" w:rsidR="00F57A5C" w:rsidRPr="007C5A6E" w:rsidRDefault="00F57A5C" w:rsidP="00F57A5C">
            <w:pPr>
              <w:spacing w:after="0" w:line="240" w:lineRule="auto"/>
              <w:rPr>
                <w:rFonts w:ascii="Times New Roman" w:eastAsia="Calibri" w:hAnsi="Times New Roman"/>
                <w:sz w:val="24"/>
                <w:szCs w:val="24"/>
                <w:lang w:eastAsia="da-DK"/>
              </w:rPr>
            </w:pPr>
            <w:r w:rsidRPr="007C5A6E">
              <w:rPr>
                <w:rFonts w:ascii="Times New Roman" w:hAnsi="Times New Roman"/>
                <w:noProof/>
                <w:sz w:val="24"/>
                <w:szCs w:val="24"/>
                <w14:ligatures w14:val="standardContextual"/>
              </w:rPr>
              <w:drawing>
                <wp:inline distT="0" distB="0" distL="0" distR="0" wp14:anchorId="368EBBFE" wp14:editId="1CCEBE37">
                  <wp:extent cx="2801916" cy="2173901"/>
                  <wp:effectExtent l="0" t="0" r="17780" b="17145"/>
                  <wp:docPr id="899893519" name="Graphique 1">
                    <a:extLst xmlns:a="http://schemas.openxmlformats.org/drawingml/2006/main">
                      <a:ext uri="{FF2B5EF4-FFF2-40B4-BE49-F238E27FC236}">
                        <a16:creationId xmlns:a16="http://schemas.microsoft.com/office/drawing/2014/main" id="{35FECA19-C10C-7783-931E-90ED399F92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tc>
      </w:tr>
    </w:tbl>
    <w:p w14:paraId="11C238D4" w14:textId="75A6275A" w:rsidR="00F57A5C" w:rsidRPr="007C5A6E" w:rsidRDefault="00AB3B1D" w:rsidP="00F57A5C">
      <w:pPr>
        <w:spacing w:after="0" w:line="240" w:lineRule="auto"/>
        <w:jc w:val="both"/>
        <w:rPr>
          <w:rFonts w:ascii="Times New Roman" w:hAnsi="Times New Roman"/>
          <w:sz w:val="24"/>
          <w:szCs w:val="24"/>
        </w:rPr>
      </w:pPr>
      <w:r w:rsidRPr="007C5A6E">
        <w:rPr>
          <w:rFonts w:ascii="Times New Roman" w:eastAsia="Calibri" w:hAnsi="Times New Roman"/>
          <w:sz w:val="20"/>
          <w:szCs w:val="20"/>
          <w:lang w:eastAsia="da-DK"/>
        </w:rPr>
        <w:t>(</w:t>
      </w:r>
      <w:r w:rsidR="00F57A5C" w:rsidRPr="007C5A6E">
        <w:rPr>
          <w:rFonts w:ascii="Times New Roman" w:eastAsia="Calibri" w:hAnsi="Times New Roman"/>
          <w:sz w:val="20"/>
          <w:szCs w:val="20"/>
          <w:lang w:eastAsia="da-DK"/>
        </w:rPr>
        <w:t>Source : DGEP / INO 2023</w:t>
      </w:r>
      <w:r w:rsidRPr="007C5A6E">
        <w:rPr>
          <w:rFonts w:ascii="Times New Roman" w:eastAsia="Calibri" w:hAnsi="Times New Roman"/>
          <w:sz w:val="20"/>
          <w:szCs w:val="20"/>
          <w:lang w:eastAsia="da-DK"/>
        </w:rPr>
        <w:t>)</w:t>
      </w:r>
    </w:p>
    <w:p w14:paraId="630AC57A" w14:textId="3010E054" w:rsidR="00F57A5C" w:rsidRPr="007C5A6E" w:rsidRDefault="00F57A5C" w:rsidP="003415DF">
      <w:pPr>
        <w:tabs>
          <w:tab w:val="left" w:pos="1134"/>
        </w:tabs>
        <w:spacing w:after="0" w:line="240" w:lineRule="auto"/>
        <w:rPr>
          <w:rFonts w:ascii="Times New Roman" w:hAnsi="Times New Roman"/>
          <w:i/>
          <w:sz w:val="24"/>
          <w:szCs w:val="24"/>
          <w:lang w:eastAsia="da-DK"/>
        </w:rPr>
      </w:pPr>
      <w:bookmarkStart w:id="626" w:name="_Toc182605888"/>
      <w:bookmarkStart w:id="627" w:name="_Toc183230890"/>
      <w:bookmarkStart w:id="628" w:name="_Toc183240683"/>
      <w:bookmarkStart w:id="629" w:name="_Toc183340422"/>
      <w:r w:rsidRPr="007C5A6E">
        <w:rPr>
          <w:rFonts w:ascii="Times New Roman" w:hAnsi="Times New Roman"/>
          <w:i/>
          <w:sz w:val="24"/>
          <w:szCs w:val="24"/>
          <w:lang w:eastAsia="da-DK"/>
        </w:rPr>
        <w:t xml:space="preserve">Figure </w:t>
      </w:r>
      <w:r w:rsidRPr="007C5A6E">
        <w:rPr>
          <w:rFonts w:ascii="Times New Roman" w:hAnsi="Times New Roman"/>
          <w:i/>
          <w:sz w:val="24"/>
          <w:szCs w:val="24"/>
          <w:lang w:eastAsia="da-DK"/>
        </w:rPr>
        <w:fldChar w:fldCharType="begin"/>
      </w:r>
      <w:r w:rsidRPr="007C5A6E">
        <w:rPr>
          <w:rFonts w:ascii="Times New Roman" w:hAnsi="Times New Roman"/>
          <w:i/>
          <w:sz w:val="24"/>
          <w:szCs w:val="24"/>
          <w:lang w:eastAsia="da-DK"/>
        </w:rPr>
        <w:instrText xml:space="preserve"> SEQ Figure \* ARABIC </w:instrText>
      </w:r>
      <w:r w:rsidRPr="007C5A6E">
        <w:rPr>
          <w:rFonts w:ascii="Times New Roman" w:hAnsi="Times New Roman"/>
          <w:i/>
          <w:sz w:val="24"/>
          <w:szCs w:val="24"/>
          <w:lang w:eastAsia="da-DK"/>
        </w:rPr>
        <w:fldChar w:fldCharType="separate"/>
      </w:r>
      <w:r w:rsidR="00AE0C9D" w:rsidRPr="007C5A6E">
        <w:rPr>
          <w:rFonts w:ascii="Times New Roman" w:hAnsi="Times New Roman"/>
          <w:i/>
          <w:noProof/>
          <w:sz w:val="24"/>
          <w:szCs w:val="24"/>
          <w:lang w:eastAsia="da-DK"/>
        </w:rPr>
        <w:t>43</w:t>
      </w:r>
      <w:r w:rsidRPr="007C5A6E">
        <w:rPr>
          <w:rFonts w:ascii="Times New Roman" w:hAnsi="Times New Roman"/>
          <w:i/>
          <w:sz w:val="24"/>
          <w:szCs w:val="24"/>
          <w:lang w:eastAsia="da-DK"/>
        </w:rPr>
        <w:fldChar w:fldCharType="end"/>
      </w:r>
      <w:r w:rsidRPr="007C5A6E">
        <w:rPr>
          <w:rFonts w:ascii="Times New Roman" w:hAnsi="Times New Roman"/>
          <w:i/>
          <w:sz w:val="24"/>
          <w:szCs w:val="24"/>
          <w:lang w:eastAsia="da-DK"/>
        </w:rPr>
        <w:t> :  Evolution du nombre de communes à taux d’accès à l’eau potable moyen et de villages sans accès à l’eau potable</w:t>
      </w:r>
      <w:bookmarkEnd w:id="626"/>
      <w:bookmarkEnd w:id="627"/>
      <w:bookmarkEnd w:id="628"/>
      <w:bookmarkEnd w:id="629"/>
    </w:p>
    <w:p w14:paraId="7C50BB5E" w14:textId="77777777" w:rsidR="00FA5C38" w:rsidRPr="007C5A6E" w:rsidRDefault="00FA5C38" w:rsidP="00F57A5C">
      <w:pPr>
        <w:tabs>
          <w:tab w:val="left" w:pos="1134"/>
        </w:tabs>
        <w:spacing w:after="0" w:line="240" w:lineRule="auto"/>
        <w:ind w:left="1134" w:hanging="1134"/>
        <w:rPr>
          <w:rFonts w:eastAsia="Calibri" w:cs="Calibri"/>
          <w:i/>
          <w:sz w:val="20"/>
          <w:szCs w:val="20"/>
          <w:lang w:eastAsia="en-US"/>
        </w:rPr>
      </w:pPr>
    </w:p>
    <w:p w14:paraId="2F46B675" w14:textId="77777777" w:rsidR="00F57A5C" w:rsidRPr="007C5A6E" w:rsidRDefault="00F57A5C" w:rsidP="003F3821">
      <w:pPr>
        <w:pStyle w:val="Titre5"/>
        <w:keepNext w:val="0"/>
        <w:keepLines w:val="0"/>
        <w:numPr>
          <w:ilvl w:val="4"/>
          <w:numId w:val="4"/>
        </w:numPr>
        <w:spacing w:before="0"/>
        <w:ind w:left="907" w:hanging="907"/>
        <w:rPr>
          <w:rFonts w:ascii="Times New Roman" w:hAnsi="Times New Roman" w:cs="Times New Roman"/>
          <w:color w:val="auto"/>
          <w:u w:val="single"/>
          <w:lang w:eastAsia="en-US"/>
        </w:rPr>
      </w:pPr>
      <w:bookmarkStart w:id="630" w:name="_Toc183340120"/>
      <w:r w:rsidRPr="007C5A6E">
        <w:rPr>
          <w:rFonts w:ascii="Times New Roman" w:hAnsi="Times New Roman" w:cs="Times New Roman"/>
          <w:color w:val="auto"/>
          <w:u w:val="single"/>
          <w:lang w:eastAsia="en-US"/>
        </w:rPr>
        <w:t>Evolution des pressions en raison du taux de fonctionnement des équipements d’AEP</w:t>
      </w:r>
      <w:bookmarkEnd w:id="630"/>
    </w:p>
    <w:p w14:paraId="3339E45C" w14:textId="77777777" w:rsidR="00FA5C38" w:rsidRPr="007C5A6E" w:rsidRDefault="00FA5C38" w:rsidP="00F57A5C">
      <w:pPr>
        <w:spacing w:after="0" w:line="240" w:lineRule="auto"/>
        <w:jc w:val="both"/>
        <w:rPr>
          <w:rFonts w:ascii="Times New Roman" w:hAnsi="Times New Roman"/>
          <w:bCs/>
          <w:sz w:val="24"/>
          <w:szCs w:val="24"/>
        </w:rPr>
      </w:pPr>
    </w:p>
    <w:p w14:paraId="46D277E0" w14:textId="21A6B07D" w:rsidR="00F57A5C" w:rsidRPr="007C5A6E" w:rsidRDefault="00F57A5C" w:rsidP="00F57A5C">
      <w:pPr>
        <w:spacing w:after="0" w:line="240" w:lineRule="auto"/>
        <w:jc w:val="both"/>
        <w:rPr>
          <w:rFonts w:ascii="Times New Roman" w:hAnsi="Times New Roman"/>
          <w:bCs/>
          <w:sz w:val="24"/>
          <w:szCs w:val="24"/>
        </w:rPr>
      </w:pPr>
      <w:r w:rsidRPr="007C5A6E">
        <w:rPr>
          <w:rFonts w:ascii="Times New Roman" w:hAnsi="Times New Roman"/>
          <w:bCs/>
          <w:sz w:val="24"/>
          <w:szCs w:val="24"/>
        </w:rPr>
        <w:t>L</w:t>
      </w:r>
      <w:r w:rsidR="003415DF" w:rsidRPr="007C5A6E">
        <w:rPr>
          <w:rFonts w:ascii="Times New Roman" w:hAnsi="Times New Roman"/>
          <w:bCs/>
          <w:sz w:val="24"/>
          <w:szCs w:val="24"/>
        </w:rPr>
        <w:t xml:space="preserve">a figure 44 montre l’évolution du taux de fonctionnalité des AEPS et des PEM entre 2016 et 2023. </w:t>
      </w:r>
    </w:p>
    <w:p w14:paraId="6E957A1E" w14:textId="77777777" w:rsidR="003415DF" w:rsidRPr="007C5A6E" w:rsidRDefault="003415DF" w:rsidP="00F57A5C">
      <w:pPr>
        <w:spacing w:after="0" w:line="240" w:lineRule="auto"/>
        <w:jc w:val="both"/>
        <w:rPr>
          <w:rFonts w:ascii="Times New Roman" w:hAnsi="Times New Roman"/>
        </w:rPr>
      </w:pPr>
    </w:p>
    <w:tbl>
      <w:tblPr>
        <w:tblStyle w:val="Grilledutableau3"/>
        <w:tblW w:w="0" w:type="auto"/>
        <w:tblCellMar>
          <w:left w:w="70" w:type="dxa"/>
          <w:right w:w="70" w:type="dxa"/>
        </w:tblCellMar>
        <w:tblLook w:val="04A0" w:firstRow="1" w:lastRow="0" w:firstColumn="1" w:lastColumn="0" w:noHBand="0" w:noVBand="1"/>
      </w:tblPr>
      <w:tblGrid>
        <w:gridCol w:w="4659"/>
        <w:gridCol w:w="4516"/>
      </w:tblGrid>
      <w:tr w:rsidR="00F57A5C" w:rsidRPr="007C5A6E" w14:paraId="20671669" w14:textId="77777777" w:rsidTr="00473089">
        <w:tc>
          <w:tcPr>
            <w:tcW w:w="4910" w:type="dxa"/>
            <w:tcBorders>
              <w:bottom w:val="single" w:sz="4" w:space="0" w:color="auto"/>
            </w:tcBorders>
          </w:tcPr>
          <w:p w14:paraId="134DB042" w14:textId="77777777" w:rsidR="00F57A5C" w:rsidRPr="007C5A6E" w:rsidRDefault="00F57A5C" w:rsidP="00F57A5C">
            <w:pPr>
              <w:spacing w:after="0" w:line="240" w:lineRule="auto"/>
              <w:rPr>
                <w:rFonts w:ascii="Times New Roman" w:eastAsia="Calibri" w:hAnsi="Times New Roman"/>
                <w:sz w:val="24"/>
                <w:szCs w:val="24"/>
                <w:lang w:eastAsia="da-DK"/>
              </w:rPr>
            </w:pPr>
            <w:r w:rsidRPr="007C5A6E">
              <w:rPr>
                <w:rFonts w:ascii="Times New Roman" w:hAnsi="Times New Roman"/>
                <w:noProof/>
                <w:sz w:val="24"/>
                <w:szCs w:val="24"/>
                <w14:ligatures w14:val="standardContextual"/>
              </w:rPr>
              <mc:AlternateContent>
                <mc:Choice Requires="wps">
                  <w:drawing>
                    <wp:anchor distT="0" distB="0" distL="114300" distR="114300" simplePos="0" relativeHeight="251694592" behindDoc="0" locked="0" layoutInCell="1" allowOverlap="1" wp14:anchorId="42640DA3" wp14:editId="136BEEE6">
                      <wp:simplePos x="0" y="0"/>
                      <wp:positionH relativeFrom="column">
                        <wp:posOffset>261499</wp:posOffset>
                      </wp:positionH>
                      <wp:positionV relativeFrom="paragraph">
                        <wp:posOffset>1993900</wp:posOffset>
                      </wp:positionV>
                      <wp:extent cx="2326512" cy="218858"/>
                      <wp:effectExtent l="0" t="0" r="0" b="0"/>
                      <wp:wrapNone/>
                      <wp:docPr id="773182829" name="Zone de texte 110"/>
                      <wp:cNvGraphicFramePr/>
                      <a:graphic xmlns:a="http://schemas.openxmlformats.org/drawingml/2006/main">
                        <a:graphicData uri="http://schemas.microsoft.com/office/word/2010/wordprocessingShape">
                          <wps:wsp>
                            <wps:cNvSpPr txBox="1"/>
                            <wps:spPr>
                              <a:xfrm>
                                <a:off x="0" y="0"/>
                                <a:ext cx="2326512" cy="218858"/>
                              </a:xfrm>
                              <a:prstGeom prst="rect">
                                <a:avLst/>
                              </a:prstGeom>
                              <a:solidFill>
                                <a:sysClr val="window" lastClr="FFFFFF"/>
                              </a:solidFill>
                              <a:ln w="6350">
                                <a:noFill/>
                              </a:ln>
                            </wps:spPr>
                            <wps:txbx>
                              <w:txbxContent>
                                <w:p w14:paraId="08284C0E" w14:textId="77777777" w:rsidR="00F57A5C" w:rsidRPr="00513300" w:rsidRDefault="00F57A5C" w:rsidP="00F57A5C">
                                  <w:pPr>
                                    <w:rPr>
                                      <w:sz w:val="18"/>
                                      <w:szCs w:val="18"/>
                                    </w:rPr>
                                  </w:pPr>
                                  <w:r w:rsidRPr="00513300">
                                    <w:rPr>
                                      <w:sz w:val="18"/>
                                      <w:szCs w:val="18"/>
                                    </w:rPr>
                                    <w:t>Taux de fonctionnalité des AEPS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640DA3" id="Zone de texte 110" o:spid="_x0000_s1202" type="#_x0000_t202" style="position:absolute;margin-left:20.6pt;margin-top:157pt;width:183.2pt;height:17.25pt;z-index:25169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" fillcolor="window" stroked="f" strokeweight=".5pt">
                      <v:textbox>
                        <w:txbxContent>
                          <w:p w14:paraId="08284C0E" w14:textId="77777777" w:rsidR="00F57A5C" w:rsidRPr="00513300" w:rsidRDefault="00F57A5C" w:rsidP="00F57A5C">
                            <w:pPr>
                              <w:rPr>
                                <w:sz w:val="18"/>
                                <w:szCs w:val="18"/>
                              </w:rPr>
                            </w:pPr>
                            <w:r w:rsidRPr="00513300">
                              <w:rPr>
                                <w:sz w:val="18"/>
                                <w:szCs w:val="18"/>
                              </w:rPr>
                              <w:t>Taux de fonctionnalité des AEPS</w:t>
                            </w:r>
                          </w:p>
                        </w:txbxContent>
                      </v:textbox>
                    </v:shape>
                  </w:pict>
                </mc:Fallback>
              </mc:AlternateContent>
            </w:r>
            <w:r w:rsidRPr="007C5A6E">
              <w:rPr>
                <w:rFonts w:ascii="Times New Roman" w:hAnsi="Times New Roman"/>
                <w:noProof/>
                <w:sz w:val="24"/>
                <w:szCs w:val="24"/>
                <w14:ligatures w14:val="standardContextual"/>
              </w:rPr>
              <w:drawing>
                <wp:inline distT="0" distB="0" distL="0" distR="0" wp14:anchorId="2EB8A860" wp14:editId="7D2034E7">
                  <wp:extent cx="3024505" cy="1961909"/>
                  <wp:effectExtent l="0" t="0" r="4445" b="635"/>
                  <wp:docPr id="785435589" name="Graphique 1">
                    <a:extLst xmlns:a="http://schemas.openxmlformats.org/drawingml/2006/main">
                      <a:ext uri="{FF2B5EF4-FFF2-40B4-BE49-F238E27FC236}">
                        <a16:creationId xmlns:a16="http://schemas.microsoft.com/office/drawing/2014/main" id="{6D862656-1DD1-AE15-4705-59F64B2520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tc>
        <w:tc>
          <w:tcPr>
            <w:tcW w:w="4150" w:type="dxa"/>
            <w:tcBorders>
              <w:bottom w:val="single" w:sz="4" w:space="0" w:color="auto"/>
            </w:tcBorders>
          </w:tcPr>
          <w:p w14:paraId="266F8C53" w14:textId="77777777" w:rsidR="00F57A5C" w:rsidRPr="007C5A6E" w:rsidRDefault="00F57A5C" w:rsidP="00F57A5C">
            <w:pPr>
              <w:spacing w:after="0" w:line="240" w:lineRule="auto"/>
              <w:rPr>
                <w:rFonts w:ascii="Times New Roman" w:eastAsia="Calibri" w:hAnsi="Times New Roman"/>
                <w:sz w:val="24"/>
                <w:szCs w:val="24"/>
                <w:lang w:eastAsia="da-DK"/>
              </w:rPr>
            </w:pPr>
            <w:r w:rsidRPr="007C5A6E">
              <w:rPr>
                <w:rFonts w:ascii="Times New Roman" w:hAnsi="Times New Roman"/>
                <w:noProof/>
                <w:sz w:val="24"/>
                <w:szCs w:val="24"/>
                <w14:ligatures w14:val="standardContextual"/>
              </w:rPr>
              <w:drawing>
                <wp:inline distT="0" distB="0" distL="0" distR="0" wp14:anchorId="579A6D70" wp14:editId="5A6554B3">
                  <wp:extent cx="2933190" cy="2285735"/>
                  <wp:effectExtent l="0" t="0" r="635" b="635"/>
                  <wp:docPr id="614970587" name="Graphique 1">
                    <a:extLst xmlns:a="http://schemas.openxmlformats.org/drawingml/2006/main">
                      <a:ext uri="{FF2B5EF4-FFF2-40B4-BE49-F238E27FC236}">
                        <a16:creationId xmlns:a16="http://schemas.microsoft.com/office/drawing/2014/main" id="{2E829C50-C652-2A3D-2B7B-302A2A1143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tc>
      </w:tr>
    </w:tbl>
    <w:p w14:paraId="2DD36DD9" w14:textId="46205311" w:rsidR="00F57A5C" w:rsidRPr="007C5A6E" w:rsidRDefault="009423B4" w:rsidP="009423B4">
      <w:pPr>
        <w:spacing w:after="0" w:line="240" w:lineRule="auto"/>
        <w:rPr>
          <w:rFonts w:ascii="Times New Roman" w:eastAsia="Calibri" w:hAnsi="Times New Roman"/>
          <w:sz w:val="20"/>
          <w:szCs w:val="20"/>
          <w:lang w:eastAsia="da-DK"/>
        </w:rPr>
      </w:pPr>
      <w:r w:rsidRPr="007C5A6E">
        <w:rPr>
          <w:rFonts w:ascii="Times New Roman" w:eastAsia="Calibri" w:hAnsi="Times New Roman"/>
          <w:sz w:val="20"/>
          <w:szCs w:val="20"/>
          <w:lang w:eastAsia="da-DK"/>
        </w:rPr>
        <w:t>(</w:t>
      </w:r>
      <w:r w:rsidR="00F57A5C" w:rsidRPr="007C5A6E">
        <w:rPr>
          <w:rFonts w:ascii="Times New Roman" w:eastAsia="Calibri" w:hAnsi="Times New Roman"/>
          <w:sz w:val="20"/>
          <w:szCs w:val="20"/>
          <w:lang w:eastAsia="da-DK"/>
        </w:rPr>
        <w:t>Source : DGEP / INO 2023</w:t>
      </w:r>
      <w:r w:rsidRPr="007C5A6E">
        <w:rPr>
          <w:rFonts w:ascii="Times New Roman" w:eastAsia="Calibri" w:hAnsi="Times New Roman"/>
          <w:sz w:val="20"/>
          <w:szCs w:val="20"/>
          <w:lang w:eastAsia="da-DK"/>
        </w:rPr>
        <w:t>)</w:t>
      </w:r>
    </w:p>
    <w:p w14:paraId="2329DE0C" w14:textId="5F10EC42" w:rsidR="00F57A5C" w:rsidRPr="007C5A6E" w:rsidRDefault="00F57A5C" w:rsidP="009423B4">
      <w:pPr>
        <w:spacing w:after="0" w:line="240" w:lineRule="auto"/>
        <w:jc w:val="both"/>
        <w:rPr>
          <w:rFonts w:ascii="Times New Roman" w:hAnsi="Times New Roman"/>
          <w:i/>
          <w:iCs/>
        </w:rPr>
      </w:pPr>
      <w:r w:rsidRPr="007C5A6E">
        <w:rPr>
          <w:rFonts w:ascii="Times New Roman" w:hAnsi="Times New Roman"/>
          <w:i/>
          <w:iCs/>
        </w:rPr>
        <w:t xml:space="preserve"> </w:t>
      </w:r>
      <w:bookmarkStart w:id="631" w:name="_Toc182605889"/>
      <w:bookmarkStart w:id="632" w:name="_Toc183230891"/>
      <w:bookmarkStart w:id="633" w:name="_Toc183240684"/>
      <w:bookmarkStart w:id="634" w:name="_Toc183340423"/>
      <w:r w:rsidRPr="007C5A6E">
        <w:rPr>
          <w:rFonts w:ascii="Times New Roman" w:hAnsi="Times New Roman"/>
          <w:i/>
          <w:iCs/>
          <w:sz w:val="24"/>
          <w:szCs w:val="24"/>
        </w:rPr>
        <w:t xml:space="preserve">Figure </w:t>
      </w:r>
      <w:r w:rsidRPr="007C5A6E">
        <w:rPr>
          <w:rFonts w:ascii="Times New Roman" w:hAnsi="Times New Roman"/>
          <w:i/>
          <w:iCs/>
          <w:sz w:val="24"/>
          <w:szCs w:val="24"/>
        </w:rPr>
        <w:fldChar w:fldCharType="begin"/>
      </w:r>
      <w:r w:rsidRPr="007C5A6E">
        <w:rPr>
          <w:rFonts w:ascii="Times New Roman" w:hAnsi="Times New Roman"/>
          <w:i/>
          <w:iCs/>
          <w:sz w:val="24"/>
          <w:szCs w:val="24"/>
        </w:rPr>
        <w:instrText xml:space="preserve"> SEQ Figure \* ARABIC </w:instrText>
      </w:r>
      <w:r w:rsidRPr="007C5A6E">
        <w:rPr>
          <w:rFonts w:ascii="Times New Roman" w:hAnsi="Times New Roman"/>
          <w:i/>
          <w:iCs/>
          <w:sz w:val="24"/>
          <w:szCs w:val="24"/>
        </w:rPr>
        <w:fldChar w:fldCharType="separate"/>
      </w:r>
      <w:r w:rsidR="00AE756D" w:rsidRPr="007C5A6E">
        <w:rPr>
          <w:rFonts w:ascii="Times New Roman" w:hAnsi="Times New Roman"/>
          <w:i/>
          <w:iCs/>
          <w:noProof/>
          <w:sz w:val="24"/>
          <w:szCs w:val="24"/>
        </w:rPr>
        <w:t>44</w:t>
      </w:r>
      <w:r w:rsidRPr="007C5A6E">
        <w:rPr>
          <w:rFonts w:ascii="Times New Roman" w:hAnsi="Times New Roman"/>
          <w:i/>
          <w:iCs/>
          <w:sz w:val="24"/>
          <w:szCs w:val="24"/>
        </w:rPr>
        <w:fldChar w:fldCharType="end"/>
      </w:r>
      <w:r w:rsidR="00070E9D" w:rsidRPr="007C5A6E">
        <w:rPr>
          <w:rFonts w:ascii="Times New Roman" w:hAnsi="Times New Roman"/>
          <w:i/>
          <w:iCs/>
          <w:sz w:val="24"/>
          <w:szCs w:val="24"/>
        </w:rPr>
        <w:t>.</w:t>
      </w:r>
      <w:r w:rsidRPr="007C5A6E">
        <w:rPr>
          <w:rFonts w:ascii="Times New Roman" w:hAnsi="Times New Roman"/>
          <w:i/>
          <w:iCs/>
          <w:sz w:val="24"/>
          <w:szCs w:val="24"/>
        </w:rPr>
        <w:t xml:space="preserve">  Evolution du taux de fonctionnalité (%) des AEPS et des PEM</w:t>
      </w:r>
      <w:bookmarkEnd w:id="631"/>
      <w:bookmarkEnd w:id="632"/>
      <w:bookmarkEnd w:id="633"/>
      <w:bookmarkEnd w:id="634"/>
    </w:p>
    <w:p w14:paraId="6673DFCA" w14:textId="77777777" w:rsidR="003415DF" w:rsidRPr="007C5A6E" w:rsidRDefault="003415DF" w:rsidP="00F57A5C">
      <w:pPr>
        <w:spacing w:after="0" w:line="240" w:lineRule="auto"/>
        <w:jc w:val="both"/>
        <w:rPr>
          <w:rFonts w:ascii="Times New Roman" w:eastAsia="Calibri" w:hAnsi="Times New Roman"/>
          <w:sz w:val="24"/>
          <w:szCs w:val="24"/>
          <w:lang w:eastAsia="da-DK"/>
        </w:rPr>
      </w:pPr>
    </w:p>
    <w:p w14:paraId="239DD550" w14:textId="77777777" w:rsidR="003415DF" w:rsidRPr="007C5A6E" w:rsidRDefault="003415DF" w:rsidP="003415DF">
      <w:pPr>
        <w:spacing w:after="0" w:line="240" w:lineRule="auto"/>
        <w:jc w:val="both"/>
        <w:rPr>
          <w:rFonts w:ascii="Times New Roman" w:eastAsia="Calibri" w:hAnsi="Times New Roman"/>
          <w:sz w:val="24"/>
          <w:szCs w:val="24"/>
          <w:lang w:eastAsia="da-DK"/>
        </w:rPr>
      </w:pPr>
      <w:r w:rsidRPr="007C5A6E">
        <w:rPr>
          <w:rFonts w:ascii="Times New Roman" w:eastAsia="Calibri" w:hAnsi="Times New Roman"/>
          <w:sz w:val="24"/>
          <w:szCs w:val="24"/>
          <w:lang w:eastAsia="da-DK"/>
        </w:rPr>
        <w:t xml:space="preserve">A l’analyse de ces constats, il ressort que les réponses apportées sont régulièrement soutenues d’une année à l’autre pour ce qui est de l’accès à l’eau potable, aussi bien en milieu rural qu’en milieu urbain. Le nombre de communes dont le taux d’accès est inférieur à 65% est passé de 140 en 2016 à 100 en 2023 et celui des villages sans accès à l’eau potable de 275 en 2016 à 48 en 2023.  </w:t>
      </w:r>
    </w:p>
    <w:p w14:paraId="75C5179B" w14:textId="6DD5FE62" w:rsidR="003415DF" w:rsidRPr="007C5A6E" w:rsidRDefault="003415DF" w:rsidP="003415DF">
      <w:pPr>
        <w:spacing w:after="0" w:line="240" w:lineRule="auto"/>
        <w:jc w:val="both"/>
        <w:rPr>
          <w:rFonts w:ascii="Times New Roman" w:eastAsia="Calibri" w:hAnsi="Times New Roman"/>
          <w:sz w:val="24"/>
          <w:szCs w:val="24"/>
          <w:lang w:eastAsia="da-DK"/>
        </w:rPr>
      </w:pPr>
      <w:r w:rsidRPr="007C5A6E">
        <w:rPr>
          <w:rFonts w:ascii="Times New Roman" w:eastAsia="Calibri" w:hAnsi="Times New Roman"/>
          <w:sz w:val="24"/>
          <w:szCs w:val="24"/>
          <w:lang w:eastAsia="da-DK"/>
        </w:rPr>
        <w:t>En d’autres termes, cela représente une réduction du nombre de communes et de villages mal desservis respectivement de 4,08%</w:t>
      </w:r>
      <w:r w:rsidR="00D75D18" w:rsidRPr="007C5A6E">
        <w:rPr>
          <w:rFonts w:ascii="Times New Roman" w:eastAsia="Calibri" w:hAnsi="Times New Roman"/>
          <w:sz w:val="24"/>
          <w:szCs w:val="24"/>
          <w:lang w:eastAsia="da-DK"/>
        </w:rPr>
        <w:t xml:space="preserve"> par </w:t>
      </w:r>
      <w:r w:rsidRPr="007C5A6E">
        <w:rPr>
          <w:rFonts w:ascii="Times New Roman" w:eastAsia="Calibri" w:hAnsi="Times New Roman"/>
          <w:sz w:val="24"/>
          <w:szCs w:val="24"/>
          <w:lang w:eastAsia="da-DK"/>
        </w:rPr>
        <w:t>an et 11,79%</w:t>
      </w:r>
      <w:r w:rsidR="00D75D18" w:rsidRPr="007C5A6E">
        <w:rPr>
          <w:rFonts w:ascii="Times New Roman" w:eastAsia="Calibri" w:hAnsi="Times New Roman"/>
          <w:sz w:val="24"/>
          <w:szCs w:val="24"/>
          <w:lang w:eastAsia="da-DK"/>
        </w:rPr>
        <w:t xml:space="preserve"> par an sur la période. Cela se traduit inversement par un </w:t>
      </w:r>
      <w:r w:rsidRPr="007C5A6E">
        <w:rPr>
          <w:rFonts w:ascii="Times New Roman" w:eastAsia="Calibri" w:hAnsi="Times New Roman"/>
          <w:sz w:val="24"/>
          <w:szCs w:val="24"/>
          <w:lang w:eastAsia="da-DK"/>
        </w:rPr>
        <w:t>accroissement annuel des prélèvements potentiels d’eau destinée à l’eau potable.</w:t>
      </w:r>
    </w:p>
    <w:p w14:paraId="25278FF8" w14:textId="595C9880" w:rsidR="003415DF" w:rsidRPr="007C5A6E" w:rsidRDefault="003415DF" w:rsidP="003415DF">
      <w:pPr>
        <w:keepNext/>
        <w:keepLines/>
        <w:suppressAutoHyphens/>
        <w:spacing w:after="0" w:line="240" w:lineRule="auto"/>
        <w:jc w:val="both"/>
        <w:rPr>
          <w:rFonts w:ascii="Times New Roman" w:eastAsia="Calibri" w:hAnsi="Times New Roman"/>
          <w:sz w:val="24"/>
          <w:szCs w:val="24"/>
          <w:lang w:eastAsia="da-DK"/>
        </w:rPr>
      </w:pPr>
      <w:r w:rsidRPr="007C5A6E">
        <w:rPr>
          <w:rFonts w:ascii="Times New Roman" w:eastAsia="Calibri" w:hAnsi="Times New Roman"/>
          <w:sz w:val="24"/>
          <w:szCs w:val="24"/>
          <w:lang w:eastAsia="da-DK"/>
        </w:rPr>
        <w:t xml:space="preserve">Le taux de fonctionnalité des AEPS est passé de 84,3% en 2016 à 88% en 2023 et celui des PMH de 88,6% en 2016 à 90,2% en 2023. Cela représente une réduction </w:t>
      </w:r>
      <w:r w:rsidR="00D75D18" w:rsidRPr="007C5A6E">
        <w:rPr>
          <w:rFonts w:ascii="Times New Roman" w:eastAsia="Calibri" w:hAnsi="Times New Roman"/>
          <w:sz w:val="24"/>
          <w:szCs w:val="24"/>
          <w:lang w:eastAsia="da-DK"/>
        </w:rPr>
        <w:t xml:space="preserve">(sur 7 ans) </w:t>
      </w:r>
      <w:r w:rsidRPr="007C5A6E">
        <w:rPr>
          <w:rFonts w:ascii="Times New Roman" w:eastAsia="Calibri" w:hAnsi="Times New Roman"/>
          <w:sz w:val="24"/>
          <w:szCs w:val="24"/>
          <w:lang w:eastAsia="da-DK"/>
        </w:rPr>
        <w:t>des taux de panne des AEPS de 15,7% à 12% et des PMH de 11,4% à 9,8%</w:t>
      </w:r>
      <w:r w:rsidR="00D75D18" w:rsidRPr="007C5A6E">
        <w:rPr>
          <w:rFonts w:ascii="Times New Roman" w:eastAsia="Calibri" w:hAnsi="Times New Roman"/>
          <w:sz w:val="24"/>
          <w:szCs w:val="24"/>
          <w:lang w:eastAsia="da-DK"/>
        </w:rPr>
        <w:t> ;</w:t>
      </w:r>
      <w:r w:rsidRPr="007C5A6E">
        <w:rPr>
          <w:rFonts w:ascii="Times New Roman" w:eastAsia="Calibri" w:hAnsi="Times New Roman"/>
          <w:sz w:val="24"/>
          <w:szCs w:val="24"/>
          <w:lang w:eastAsia="da-DK"/>
        </w:rPr>
        <w:t xml:space="preserve"> soit une réduction des pertes</w:t>
      </w:r>
      <w:r w:rsidRPr="007C5A6E">
        <w:rPr>
          <w:rFonts w:eastAsia="Calibri"/>
          <w:lang w:eastAsia="da-DK"/>
        </w:rPr>
        <w:t xml:space="preserve"> </w:t>
      </w:r>
      <w:r w:rsidRPr="007C5A6E">
        <w:rPr>
          <w:rFonts w:ascii="Times New Roman" w:eastAsia="Calibri" w:hAnsi="Times New Roman"/>
          <w:sz w:val="24"/>
          <w:szCs w:val="24"/>
          <w:lang w:eastAsia="da-DK"/>
        </w:rPr>
        <w:t>des volumes d’eau prélevables disponibles respectivement de 3,37%/an et 2,01%/an.</w:t>
      </w:r>
    </w:p>
    <w:p w14:paraId="3EF68ADF" w14:textId="77777777" w:rsidR="003415DF" w:rsidRPr="007C5A6E" w:rsidRDefault="003415DF" w:rsidP="00F57A5C">
      <w:pPr>
        <w:spacing w:after="0" w:line="240" w:lineRule="auto"/>
        <w:jc w:val="both"/>
        <w:rPr>
          <w:rFonts w:ascii="Times New Roman" w:eastAsia="Calibri" w:hAnsi="Times New Roman"/>
          <w:sz w:val="24"/>
          <w:szCs w:val="24"/>
          <w:lang w:eastAsia="da-DK"/>
        </w:rPr>
      </w:pPr>
    </w:p>
    <w:p w14:paraId="63476195" w14:textId="77777777" w:rsidR="00F57A5C" w:rsidRPr="007C5A6E" w:rsidRDefault="00F57A5C" w:rsidP="00684FF8">
      <w:pPr>
        <w:pStyle w:val="Titre4"/>
      </w:pPr>
      <w:bookmarkStart w:id="635" w:name="_Toc182606055"/>
      <w:bookmarkStart w:id="636" w:name="_Toc183340121"/>
      <w:r w:rsidRPr="007C5A6E">
        <w:t>Dynamique de l’évolution des pressions sur les ressources en eau en raison du taux fonctionnement des PMH et AEPS et du taux d’accès à l’assainissement « eaux usées et excrétas »</w:t>
      </w:r>
      <w:bookmarkEnd w:id="635"/>
      <w:bookmarkEnd w:id="636"/>
    </w:p>
    <w:p w14:paraId="3AB58EC2" w14:textId="77777777" w:rsidR="00FA5C38" w:rsidRPr="007C5A6E" w:rsidRDefault="00FA5C38" w:rsidP="00E300F3">
      <w:pPr>
        <w:spacing w:after="0" w:line="240" w:lineRule="auto"/>
        <w:rPr>
          <w:rFonts w:ascii="Times New Roman" w:eastAsia="Calibri" w:hAnsi="Times New Roman"/>
          <w:sz w:val="24"/>
          <w:szCs w:val="24"/>
          <w:lang w:eastAsia="en-US"/>
        </w:rPr>
      </w:pPr>
    </w:p>
    <w:p w14:paraId="44778F9C" w14:textId="77777777" w:rsidR="00F57A5C" w:rsidRPr="007C5A6E" w:rsidRDefault="00F57A5C" w:rsidP="003F3821">
      <w:pPr>
        <w:pStyle w:val="Titre5"/>
        <w:keepNext w:val="0"/>
        <w:keepLines w:val="0"/>
        <w:numPr>
          <w:ilvl w:val="4"/>
          <w:numId w:val="4"/>
        </w:numPr>
        <w:spacing w:before="0"/>
        <w:ind w:left="907" w:hanging="907"/>
        <w:rPr>
          <w:rFonts w:ascii="Times New Roman" w:hAnsi="Times New Roman" w:cs="Times New Roman"/>
          <w:color w:val="auto"/>
          <w:u w:val="single"/>
          <w:lang w:eastAsia="en-US"/>
        </w:rPr>
      </w:pPr>
      <w:bookmarkStart w:id="637" w:name="_Toc183340122"/>
      <w:r w:rsidRPr="007C5A6E">
        <w:rPr>
          <w:rFonts w:ascii="Times New Roman" w:hAnsi="Times New Roman" w:cs="Times New Roman"/>
          <w:color w:val="auto"/>
          <w:u w:val="single"/>
          <w:lang w:eastAsia="en-US"/>
        </w:rPr>
        <w:t>Evolution des pressions en raison du taux d’accès à l’assainissement « eaux usées et excrétas »</w:t>
      </w:r>
      <w:bookmarkEnd w:id="637"/>
    </w:p>
    <w:p w14:paraId="60F07948" w14:textId="77777777" w:rsidR="00FA5C38" w:rsidRPr="007C5A6E" w:rsidRDefault="00FA5C38" w:rsidP="00F57A5C">
      <w:pPr>
        <w:spacing w:after="0" w:line="240" w:lineRule="auto"/>
        <w:jc w:val="both"/>
        <w:rPr>
          <w:rFonts w:ascii="Times New Roman" w:hAnsi="Times New Roman"/>
          <w:i/>
          <w:iCs/>
        </w:rPr>
      </w:pPr>
    </w:p>
    <w:p w14:paraId="4070ADCF" w14:textId="77777777" w:rsidR="0068141E" w:rsidRPr="007C5A6E" w:rsidRDefault="0068141E" w:rsidP="0068141E">
      <w:pPr>
        <w:spacing w:after="0" w:line="240" w:lineRule="auto"/>
        <w:jc w:val="both"/>
        <w:rPr>
          <w:rFonts w:ascii="Times New Roman" w:hAnsi="Times New Roman"/>
          <w:sz w:val="24"/>
          <w:szCs w:val="24"/>
        </w:rPr>
      </w:pPr>
      <w:r w:rsidRPr="007C5A6E">
        <w:rPr>
          <w:rFonts w:ascii="Times New Roman" w:hAnsi="Times New Roman"/>
          <w:sz w:val="24"/>
          <w:szCs w:val="24"/>
        </w:rPr>
        <w:t xml:space="preserve">Le manque d’accès à l’assainissement des eaux usées et excrétas en milieux urbain et rural contribue à la pollution des ressources en eau sur les plans aussi bien physique, chimique qu’organique ou biologique. </w:t>
      </w:r>
    </w:p>
    <w:p w14:paraId="39CD1E87" w14:textId="3AC26013" w:rsidR="00F57A5C" w:rsidRPr="007C5A6E" w:rsidRDefault="0068141E" w:rsidP="00F57A5C">
      <w:pPr>
        <w:spacing w:after="0" w:line="240" w:lineRule="auto"/>
        <w:jc w:val="both"/>
        <w:rPr>
          <w:rFonts w:ascii="Times New Roman" w:hAnsi="Times New Roman"/>
          <w:sz w:val="24"/>
          <w:szCs w:val="24"/>
        </w:rPr>
      </w:pPr>
      <w:r w:rsidRPr="007C5A6E">
        <w:rPr>
          <w:rFonts w:ascii="Times New Roman" w:hAnsi="Times New Roman"/>
          <w:sz w:val="24"/>
          <w:szCs w:val="24"/>
        </w:rPr>
        <w:t>Les données les plus récentes relatives à l’accès à l’assainissement des eaux usées et excrétas sont tirées d’un Rapport d’analyse des performances et évolution des indicateurs, produit en 2018 par le</w:t>
      </w:r>
      <w:r w:rsidR="00F57A5C" w:rsidRPr="007C5A6E">
        <w:rPr>
          <w:rFonts w:ascii="Times New Roman" w:hAnsi="Times New Roman"/>
          <w:sz w:val="24"/>
          <w:szCs w:val="24"/>
        </w:rPr>
        <w:t xml:space="preserve"> Ministère de l’Eau et de l’Assainissement/Direction Générale de l’Assainissement (DGA)/)</w:t>
      </w:r>
    </w:p>
    <w:p w14:paraId="0F41459A" w14:textId="77777777" w:rsidR="00F57A5C" w:rsidRPr="007C5A6E" w:rsidRDefault="00F57A5C" w:rsidP="00F57A5C">
      <w:pPr>
        <w:spacing w:after="0" w:line="240" w:lineRule="auto"/>
        <w:jc w:val="both"/>
        <w:rPr>
          <w:rFonts w:ascii="Times New Roman" w:hAnsi="Times New Roman"/>
          <w:sz w:val="24"/>
          <w:szCs w:val="24"/>
        </w:rPr>
      </w:pPr>
    </w:p>
    <w:p w14:paraId="5617CE9B" w14:textId="77777777" w:rsidR="00F57A5C" w:rsidRPr="007C5A6E" w:rsidRDefault="00F57A5C" w:rsidP="003F3821">
      <w:pPr>
        <w:numPr>
          <w:ilvl w:val="0"/>
          <w:numId w:val="27"/>
        </w:numPr>
        <w:spacing w:after="0" w:line="240" w:lineRule="auto"/>
        <w:ind w:left="357" w:hanging="357"/>
        <w:contextualSpacing/>
        <w:jc w:val="both"/>
        <w:rPr>
          <w:rFonts w:ascii="Times New Roman" w:hAnsi="Times New Roman"/>
          <w:b/>
          <w:bCs/>
          <w:sz w:val="24"/>
          <w:szCs w:val="24"/>
        </w:rPr>
      </w:pPr>
      <w:r w:rsidRPr="007C5A6E">
        <w:rPr>
          <w:rFonts w:ascii="Times New Roman" w:hAnsi="Times New Roman"/>
          <w:b/>
          <w:bCs/>
          <w:sz w:val="24"/>
          <w:szCs w:val="24"/>
        </w:rPr>
        <w:t>Taux d’accès à l’assainissement en milieu rural</w:t>
      </w:r>
    </w:p>
    <w:p w14:paraId="63ABEE76" w14:textId="77777777" w:rsidR="00FA5C38" w:rsidRPr="007C5A6E" w:rsidRDefault="00FA5C38" w:rsidP="00F57A5C">
      <w:pPr>
        <w:spacing w:after="0" w:line="240" w:lineRule="auto"/>
        <w:jc w:val="both"/>
        <w:rPr>
          <w:rFonts w:ascii="Times New Roman" w:hAnsi="Times New Roman"/>
          <w:sz w:val="24"/>
          <w:szCs w:val="24"/>
        </w:rPr>
      </w:pPr>
    </w:p>
    <w:p w14:paraId="6A5DE9D8" w14:textId="0469A357" w:rsidR="00F57A5C" w:rsidRPr="007C5A6E" w:rsidRDefault="00F57A5C" w:rsidP="00F57A5C">
      <w:pPr>
        <w:spacing w:after="0" w:line="240" w:lineRule="auto"/>
        <w:jc w:val="both"/>
        <w:rPr>
          <w:rFonts w:ascii="Times New Roman" w:hAnsi="Times New Roman"/>
          <w:sz w:val="24"/>
          <w:szCs w:val="24"/>
        </w:rPr>
      </w:pPr>
      <w:r w:rsidRPr="007C5A6E">
        <w:rPr>
          <w:rFonts w:ascii="Times New Roman" w:hAnsi="Times New Roman"/>
          <w:sz w:val="24"/>
          <w:szCs w:val="24"/>
        </w:rPr>
        <w:t>En 2018, les acteurs en milieu rural ont réalisé 22 174</w:t>
      </w:r>
      <w:r w:rsidRPr="007C5A6E">
        <w:rPr>
          <w:rFonts w:ascii="Times New Roman" w:hAnsi="Times New Roman"/>
          <w:b/>
          <w:bCs/>
          <w:sz w:val="24"/>
          <w:szCs w:val="24"/>
        </w:rPr>
        <w:t xml:space="preserve"> </w:t>
      </w:r>
      <w:r w:rsidRPr="007C5A6E">
        <w:rPr>
          <w:rFonts w:ascii="Times New Roman" w:hAnsi="Times New Roman"/>
          <w:sz w:val="24"/>
          <w:szCs w:val="24"/>
        </w:rPr>
        <w:t>latrines améliorées (nouvelles y compris réhabilitations). Cela a permis de faire progresser le taux d’accès à l’assainissement de 15,1% en 2017 à 16,4%</w:t>
      </w:r>
      <w:r w:rsidRPr="007C5A6E">
        <w:rPr>
          <w:rFonts w:ascii="Times New Roman" w:hAnsi="Times New Roman"/>
          <w:b/>
          <w:bCs/>
          <w:sz w:val="24"/>
          <w:szCs w:val="24"/>
        </w:rPr>
        <w:t xml:space="preserve"> </w:t>
      </w:r>
      <w:r w:rsidRPr="007C5A6E">
        <w:rPr>
          <w:rFonts w:ascii="Times New Roman" w:hAnsi="Times New Roman"/>
          <w:sz w:val="24"/>
          <w:szCs w:val="24"/>
        </w:rPr>
        <w:t xml:space="preserve">en 2018 en milieu rural. Ce taux varie de 10,1% dans la région du Centre-Sud (le plus bas) à 35,6% (pic national) dans la région du Centre. </w:t>
      </w:r>
    </w:p>
    <w:p w14:paraId="66AFCB25" w14:textId="2581B642" w:rsidR="00F57A5C" w:rsidRPr="007C5A6E" w:rsidRDefault="00F57A5C" w:rsidP="0068141E">
      <w:pPr>
        <w:spacing w:after="0" w:line="240" w:lineRule="auto"/>
        <w:jc w:val="both"/>
        <w:rPr>
          <w:rFonts w:ascii="Times New Roman" w:hAnsi="Times New Roman"/>
          <w:sz w:val="24"/>
          <w:szCs w:val="24"/>
        </w:rPr>
      </w:pPr>
      <w:r w:rsidRPr="007C5A6E">
        <w:rPr>
          <w:rFonts w:ascii="Times New Roman" w:hAnsi="Times New Roman"/>
          <w:sz w:val="24"/>
          <w:szCs w:val="24"/>
        </w:rPr>
        <w:t xml:space="preserve">Il a été noté que seulement 6 régions (Boucle du Mouhoun, Centre Nord, Centre Est, Hauts Bassins, Nord et Plateau Central) </w:t>
      </w:r>
      <w:r w:rsidR="0068141E" w:rsidRPr="007C5A6E">
        <w:rPr>
          <w:rFonts w:ascii="Times New Roman" w:hAnsi="Times New Roman"/>
          <w:sz w:val="24"/>
          <w:szCs w:val="24"/>
        </w:rPr>
        <w:t>avaient</w:t>
      </w:r>
      <w:r w:rsidRPr="007C5A6E">
        <w:rPr>
          <w:rFonts w:ascii="Times New Roman" w:hAnsi="Times New Roman"/>
          <w:sz w:val="24"/>
          <w:szCs w:val="24"/>
        </w:rPr>
        <w:t xml:space="preserve"> un taux supérieur à la moyenne nationale. La région des Hauts-Bassins est la région ayant enregistré le plus fort taux d’accroissement avec taux d’accès qui est passé de 15,2% en 2017 à 19,4% en 2018.</w:t>
      </w:r>
      <w:r w:rsidR="0068141E" w:rsidRPr="007C5A6E">
        <w:rPr>
          <w:rFonts w:ascii="Times New Roman" w:hAnsi="Times New Roman"/>
          <w:sz w:val="24"/>
          <w:szCs w:val="24"/>
        </w:rPr>
        <w:t xml:space="preserve"> </w:t>
      </w:r>
      <w:r w:rsidRPr="007C5A6E">
        <w:rPr>
          <w:rFonts w:ascii="Times New Roman" w:hAnsi="Times New Roman"/>
          <w:sz w:val="24"/>
          <w:szCs w:val="24"/>
        </w:rPr>
        <w:t>L</w:t>
      </w:r>
      <w:r w:rsidR="0068141E" w:rsidRPr="007C5A6E">
        <w:rPr>
          <w:rFonts w:ascii="Times New Roman" w:hAnsi="Times New Roman"/>
          <w:sz w:val="24"/>
          <w:szCs w:val="24"/>
        </w:rPr>
        <w:t xml:space="preserve">a figure 45 présente </w:t>
      </w:r>
      <w:r w:rsidRPr="007C5A6E">
        <w:rPr>
          <w:rFonts w:ascii="Times New Roman" w:hAnsi="Times New Roman"/>
          <w:sz w:val="24"/>
          <w:szCs w:val="24"/>
        </w:rPr>
        <w:t>l’évolution de</w:t>
      </w:r>
      <w:r w:rsidR="0068141E" w:rsidRPr="007C5A6E">
        <w:rPr>
          <w:rFonts w:ascii="Times New Roman" w:hAnsi="Times New Roman"/>
          <w:sz w:val="24"/>
          <w:szCs w:val="24"/>
        </w:rPr>
        <w:t xml:space="preserve"> la population desservie et du </w:t>
      </w:r>
      <w:r w:rsidRPr="007C5A6E">
        <w:rPr>
          <w:rFonts w:ascii="Times New Roman" w:hAnsi="Times New Roman"/>
          <w:sz w:val="24"/>
          <w:szCs w:val="24"/>
        </w:rPr>
        <w:t xml:space="preserve">taux d’accès </w:t>
      </w:r>
      <w:r w:rsidR="0068141E" w:rsidRPr="007C5A6E">
        <w:rPr>
          <w:rFonts w:ascii="Times New Roman" w:hAnsi="Times New Roman"/>
          <w:sz w:val="24"/>
          <w:szCs w:val="24"/>
        </w:rPr>
        <w:t xml:space="preserve">à l’assainissement des eaux usées et excrétas </w:t>
      </w:r>
      <w:r w:rsidRPr="007C5A6E">
        <w:rPr>
          <w:rFonts w:ascii="Times New Roman" w:hAnsi="Times New Roman"/>
          <w:sz w:val="24"/>
          <w:szCs w:val="24"/>
        </w:rPr>
        <w:t>en milieu rural</w:t>
      </w:r>
      <w:r w:rsidR="0068141E" w:rsidRPr="007C5A6E">
        <w:rPr>
          <w:rFonts w:ascii="Times New Roman" w:hAnsi="Times New Roman"/>
          <w:sz w:val="24"/>
          <w:szCs w:val="24"/>
        </w:rPr>
        <w:t xml:space="preserve"> entre 2010 et 2018</w:t>
      </w:r>
      <w:r w:rsidRPr="007C5A6E">
        <w:rPr>
          <w:rFonts w:ascii="Times New Roman" w:hAnsi="Times New Roman"/>
          <w:sz w:val="24"/>
          <w:szCs w:val="24"/>
        </w:rPr>
        <w:t>.</w:t>
      </w:r>
    </w:p>
    <w:p w14:paraId="01113D89" w14:textId="77777777" w:rsidR="00F57A5C" w:rsidRPr="007C5A6E" w:rsidRDefault="00F57A5C" w:rsidP="00F57A5C">
      <w:pPr>
        <w:spacing w:after="0" w:line="240" w:lineRule="auto"/>
        <w:rPr>
          <w:rFonts w:ascii="Times New Roman" w:hAnsi="Times New Roman"/>
          <w:sz w:val="24"/>
          <w:szCs w:val="24"/>
        </w:rPr>
      </w:pPr>
    </w:p>
    <w:p w14:paraId="0D726440" w14:textId="77777777" w:rsidR="00F57A5C" w:rsidRPr="007C5A6E" w:rsidRDefault="00F57A5C" w:rsidP="00F57A5C">
      <w:pPr>
        <w:spacing w:after="0" w:line="240" w:lineRule="auto"/>
        <w:rPr>
          <w:rFonts w:ascii="Times New Roman" w:hAnsi="Times New Roman"/>
          <w:sz w:val="24"/>
          <w:szCs w:val="24"/>
        </w:rPr>
      </w:pPr>
      <w:r w:rsidRPr="007C5A6E">
        <w:rPr>
          <w:rFonts w:ascii="Times New Roman" w:hAnsi="Times New Roman"/>
          <w:noProof/>
          <w:sz w:val="24"/>
          <w:szCs w:val="24"/>
        </w:rPr>
        <w:drawing>
          <wp:inline distT="0" distB="0" distL="0" distR="0" wp14:anchorId="69172170" wp14:editId="337AE40E">
            <wp:extent cx="4412615" cy="2152650"/>
            <wp:effectExtent l="0" t="0" r="6985" b="0"/>
            <wp:docPr id="2" name="Graphiqu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763C6A88" w14:textId="1E1DF66A" w:rsidR="00FA5C38" w:rsidRPr="007C5A6E" w:rsidRDefault="009918C1" w:rsidP="00FA5C38">
      <w:pPr>
        <w:spacing w:after="0" w:line="240" w:lineRule="auto"/>
        <w:rPr>
          <w:rFonts w:ascii="Times New Roman" w:hAnsi="Times New Roman"/>
          <w:sz w:val="20"/>
          <w:szCs w:val="20"/>
          <w:lang w:eastAsia="da-DK"/>
        </w:rPr>
      </w:pPr>
      <w:bookmarkStart w:id="638" w:name="_Toc182605890"/>
      <w:bookmarkStart w:id="639" w:name="_Toc2867849"/>
      <w:r w:rsidRPr="007C5A6E">
        <w:rPr>
          <w:rFonts w:ascii="Times New Roman" w:hAnsi="Times New Roman"/>
          <w:sz w:val="20"/>
          <w:szCs w:val="20"/>
        </w:rPr>
        <w:t>(</w:t>
      </w:r>
      <w:r w:rsidR="00FA5C38" w:rsidRPr="007C5A6E">
        <w:rPr>
          <w:rFonts w:ascii="Times New Roman" w:hAnsi="Times New Roman"/>
          <w:sz w:val="20"/>
          <w:szCs w:val="20"/>
          <w:lang w:eastAsia="da-DK"/>
        </w:rPr>
        <w:t>Source : BD_AEUE, DGA 2018</w:t>
      </w:r>
      <w:r w:rsidRPr="007C5A6E">
        <w:rPr>
          <w:rFonts w:ascii="Times New Roman" w:hAnsi="Times New Roman"/>
          <w:sz w:val="20"/>
          <w:szCs w:val="20"/>
          <w:lang w:eastAsia="da-DK"/>
        </w:rPr>
        <w:t>)</w:t>
      </w:r>
    </w:p>
    <w:p w14:paraId="787C968E" w14:textId="1ABBC3A0" w:rsidR="00F57A5C" w:rsidRPr="007C5A6E" w:rsidRDefault="00F57A5C" w:rsidP="009918C1">
      <w:pPr>
        <w:spacing w:after="0" w:line="240" w:lineRule="auto"/>
        <w:jc w:val="both"/>
        <w:rPr>
          <w:rFonts w:ascii="Times New Roman" w:hAnsi="Times New Roman"/>
          <w:i/>
          <w:iCs/>
          <w:sz w:val="24"/>
          <w:szCs w:val="24"/>
        </w:rPr>
      </w:pPr>
      <w:bookmarkStart w:id="640" w:name="_Toc183230892"/>
      <w:bookmarkStart w:id="641" w:name="_Toc183240685"/>
      <w:bookmarkStart w:id="642" w:name="_Toc183340424"/>
      <w:r w:rsidRPr="007C5A6E">
        <w:rPr>
          <w:rFonts w:ascii="Times New Roman" w:hAnsi="Times New Roman"/>
          <w:i/>
          <w:iCs/>
          <w:sz w:val="24"/>
          <w:szCs w:val="24"/>
        </w:rPr>
        <w:t xml:space="preserve">Figure </w:t>
      </w:r>
      <w:r w:rsidRPr="007C5A6E">
        <w:rPr>
          <w:rFonts w:ascii="Times New Roman" w:hAnsi="Times New Roman"/>
          <w:i/>
          <w:iCs/>
          <w:sz w:val="24"/>
          <w:szCs w:val="24"/>
        </w:rPr>
        <w:fldChar w:fldCharType="begin"/>
      </w:r>
      <w:r w:rsidRPr="007C5A6E">
        <w:rPr>
          <w:rFonts w:ascii="Times New Roman" w:hAnsi="Times New Roman"/>
          <w:i/>
          <w:iCs/>
          <w:sz w:val="24"/>
          <w:szCs w:val="24"/>
        </w:rPr>
        <w:instrText xml:space="preserve"> SEQ Figure \* ARABIC </w:instrText>
      </w:r>
      <w:r w:rsidRPr="007C5A6E">
        <w:rPr>
          <w:rFonts w:ascii="Times New Roman" w:hAnsi="Times New Roman"/>
          <w:i/>
          <w:iCs/>
          <w:sz w:val="24"/>
          <w:szCs w:val="24"/>
        </w:rPr>
        <w:fldChar w:fldCharType="separate"/>
      </w:r>
      <w:r w:rsidR="00AE756D" w:rsidRPr="007C5A6E">
        <w:rPr>
          <w:rFonts w:ascii="Times New Roman" w:hAnsi="Times New Roman"/>
          <w:i/>
          <w:iCs/>
          <w:noProof/>
          <w:sz w:val="24"/>
          <w:szCs w:val="24"/>
        </w:rPr>
        <w:t>45</w:t>
      </w:r>
      <w:r w:rsidRPr="007C5A6E">
        <w:rPr>
          <w:rFonts w:ascii="Times New Roman" w:hAnsi="Times New Roman"/>
          <w:i/>
          <w:iCs/>
          <w:sz w:val="24"/>
          <w:szCs w:val="24"/>
        </w:rPr>
        <w:fldChar w:fldCharType="end"/>
      </w:r>
      <w:r w:rsidR="009918C1" w:rsidRPr="007C5A6E">
        <w:rPr>
          <w:rFonts w:ascii="Times New Roman" w:hAnsi="Times New Roman"/>
          <w:i/>
          <w:iCs/>
          <w:sz w:val="24"/>
          <w:szCs w:val="24"/>
        </w:rPr>
        <w:t>.</w:t>
      </w:r>
      <w:r w:rsidRPr="007C5A6E">
        <w:rPr>
          <w:rFonts w:ascii="Times New Roman" w:hAnsi="Times New Roman"/>
          <w:i/>
          <w:iCs/>
          <w:sz w:val="24"/>
          <w:szCs w:val="24"/>
        </w:rPr>
        <w:t xml:space="preserve">  Evolution du taux d’accès </w:t>
      </w:r>
      <w:r w:rsidR="0068141E" w:rsidRPr="007C5A6E">
        <w:rPr>
          <w:rFonts w:ascii="Times New Roman" w:hAnsi="Times New Roman"/>
          <w:i/>
          <w:iCs/>
          <w:sz w:val="24"/>
          <w:szCs w:val="24"/>
        </w:rPr>
        <w:t xml:space="preserve">à l’assainissement </w:t>
      </w:r>
      <w:r w:rsidRPr="007C5A6E">
        <w:rPr>
          <w:rFonts w:ascii="Times New Roman" w:hAnsi="Times New Roman"/>
          <w:i/>
          <w:iCs/>
          <w:sz w:val="24"/>
          <w:szCs w:val="24"/>
        </w:rPr>
        <w:t>et de la population desservie en milieu rural</w:t>
      </w:r>
      <w:bookmarkEnd w:id="638"/>
      <w:bookmarkEnd w:id="640"/>
      <w:bookmarkEnd w:id="641"/>
      <w:bookmarkEnd w:id="642"/>
    </w:p>
    <w:p w14:paraId="3EC4F1C6" w14:textId="77777777" w:rsidR="00AE0C9D" w:rsidRPr="007C5A6E" w:rsidRDefault="00AE0C9D" w:rsidP="009918C1">
      <w:pPr>
        <w:spacing w:after="0" w:line="240" w:lineRule="auto"/>
        <w:jc w:val="both"/>
        <w:rPr>
          <w:rFonts w:ascii="Times New Roman" w:hAnsi="Times New Roman"/>
          <w:i/>
          <w:iCs/>
          <w:sz w:val="24"/>
          <w:szCs w:val="24"/>
        </w:rPr>
      </w:pPr>
    </w:p>
    <w:p w14:paraId="1C5A4515" w14:textId="77777777" w:rsidR="00AE0C9D" w:rsidRPr="007C5A6E" w:rsidRDefault="00AE0C9D" w:rsidP="009918C1">
      <w:pPr>
        <w:spacing w:after="0" w:line="240" w:lineRule="auto"/>
        <w:jc w:val="both"/>
        <w:rPr>
          <w:rFonts w:ascii="Times New Roman" w:hAnsi="Times New Roman"/>
          <w:i/>
          <w:iCs/>
          <w:sz w:val="24"/>
          <w:szCs w:val="24"/>
        </w:rPr>
      </w:pPr>
    </w:p>
    <w:bookmarkEnd w:id="639"/>
    <w:p w14:paraId="0D60A518" w14:textId="77777777" w:rsidR="00F57A5C" w:rsidRPr="007C5A6E" w:rsidRDefault="00F57A5C" w:rsidP="003F3821">
      <w:pPr>
        <w:numPr>
          <w:ilvl w:val="0"/>
          <w:numId w:val="27"/>
        </w:numPr>
        <w:spacing w:after="0" w:line="240" w:lineRule="auto"/>
        <w:ind w:left="357" w:hanging="357"/>
        <w:contextualSpacing/>
        <w:jc w:val="both"/>
        <w:rPr>
          <w:rFonts w:ascii="Times New Roman" w:hAnsi="Times New Roman"/>
          <w:b/>
          <w:bCs/>
          <w:sz w:val="24"/>
          <w:szCs w:val="24"/>
        </w:rPr>
      </w:pPr>
      <w:r w:rsidRPr="007C5A6E">
        <w:rPr>
          <w:rFonts w:ascii="Times New Roman" w:hAnsi="Times New Roman"/>
          <w:b/>
          <w:bCs/>
          <w:sz w:val="24"/>
          <w:szCs w:val="24"/>
        </w:rPr>
        <w:t>Taux d’accès à l’assainissement en milieu urbain</w:t>
      </w:r>
    </w:p>
    <w:p w14:paraId="22D4CAB5" w14:textId="77777777" w:rsidR="00FA5C38" w:rsidRPr="007C5A6E" w:rsidRDefault="00FA5C38" w:rsidP="00F57A5C">
      <w:pPr>
        <w:spacing w:after="0" w:line="240" w:lineRule="auto"/>
        <w:jc w:val="both"/>
        <w:rPr>
          <w:rFonts w:ascii="Times New Roman" w:hAnsi="Times New Roman"/>
          <w:sz w:val="24"/>
          <w:szCs w:val="24"/>
        </w:rPr>
      </w:pPr>
    </w:p>
    <w:p w14:paraId="535EBD4A" w14:textId="2BBAC221" w:rsidR="00F57A5C" w:rsidRPr="007C5A6E" w:rsidRDefault="00F57A5C" w:rsidP="0068141E">
      <w:pPr>
        <w:spacing w:after="0" w:line="240" w:lineRule="auto"/>
        <w:jc w:val="both"/>
        <w:rPr>
          <w:rFonts w:ascii="Times New Roman" w:hAnsi="Times New Roman"/>
          <w:iCs/>
          <w:sz w:val="24"/>
        </w:rPr>
      </w:pPr>
      <w:r w:rsidRPr="007C5A6E">
        <w:rPr>
          <w:rFonts w:ascii="Times New Roman" w:hAnsi="Times New Roman"/>
          <w:sz w:val="24"/>
          <w:szCs w:val="24"/>
        </w:rPr>
        <w:t>En 2018, le taux d’accès à l’assainissement en milieu urbain est de 38,2%, et est inférieur à celui de 2017 qui était de 38,3%. Cette contre-performance s’explique par la faible réalisation des latrines par l’ONEA en 2018 (seulement 6 906 latrines).  Ce taux varie de 17% dans les zones urbaines du Plateau Central à 46,5% dans la région du Centre. La cible de 2018 fixé à 41% n’est pas atteinte. (</w:t>
      </w:r>
      <w:r w:rsidR="0068141E" w:rsidRPr="007C5A6E">
        <w:rPr>
          <w:rFonts w:ascii="Times New Roman" w:hAnsi="Times New Roman"/>
          <w:sz w:val="24"/>
          <w:szCs w:val="24"/>
        </w:rPr>
        <w:t>R</w:t>
      </w:r>
      <w:r w:rsidRPr="007C5A6E">
        <w:rPr>
          <w:rFonts w:ascii="Times New Roman" w:hAnsi="Times New Roman"/>
          <w:sz w:val="24"/>
          <w:szCs w:val="24"/>
        </w:rPr>
        <w:t>apport DGA).</w:t>
      </w:r>
      <w:r w:rsidR="0068141E" w:rsidRPr="007C5A6E">
        <w:rPr>
          <w:rFonts w:ascii="Times New Roman" w:hAnsi="Times New Roman"/>
          <w:sz w:val="24"/>
          <w:szCs w:val="24"/>
        </w:rPr>
        <w:t xml:space="preserve"> </w:t>
      </w:r>
      <w:r w:rsidRPr="007C5A6E">
        <w:rPr>
          <w:rFonts w:ascii="Times New Roman" w:hAnsi="Times New Roman"/>
          <w:iCs/>
          <w:sz w:val="24"/>
        </w:rPr>
        <w:t xml:space="preserve">La figure </w:t>
      </w:r>
      <w:r w:rsidR="0068141E" w:rsidRPr="007C5A6E">
        <w:rPr>
          <w:rFonts w:ascii="Times New Roman" w:hAnsi="Times New Roman"/>
          <w:iCs/>
          <w:sz w:val="24"/>
        </w:rPr>
        <w:t>46</w:t>
      </w:r>
      <w:r w:rsidRPr="007C5A6E">
        <w:rPr>
          <w:rFonts w:ascii="Times New Roman" w:hAnsi="Times New Roman"/>
          <w:iCs/>
          <w:sz w:val="24"/>
        </w:rPr>
        <w:t xml:space="preserve"> illustre l’évolution des taux d’accès </w:t>
      </w:r>
      <w:r w:rsidR="0068141E" w:rsidRPr="007C5A6E">
        <w:rPr>
          <w:rFonts w:ascii="Times New Roman" w:hAnsi="Times New Roman"/>
          <w:iCs/>
          <w:sz w:val="24"/>
        </w:rPr>
        <w:t>à l’assainissement vs le</w:t>
      </w:r>
      <w:r w:rsidRPr="007C5A6E">
        <w:rPr>
          <w:rFonts w:ascii="Times New Roman" w:hAnsi="Times New Roman"/>
          <w:iCs/>
          <w:sz w:val="24"/>
        </w:rPr>
        <w:t xml:space="preserve"> nombre de population desservie.</w:t>
      </w:r>
    </w:p>
    <w:p w14:paraId="74909DD7" w14:textId="77777777" w:rsidR="00F57A5C" w:rsidRPr="007C5A6E" w:rsidRDefault="00F57A5C" w:rsidP="00F57A5C">
      <w:pPr>
        <w:spacing w:after="0" w:line="240" w:lineRule="auto"/>
        <w:rPr>
          <w:rFonts w:ascii="Times New Roman" w:hAnsi="Times New Roman"/>
          <w:iCs/>
          <w:sz w:val="24"/>
          <w:szCs w:val="24"/>
        </w:rPr>
      </w:pPr>
    </w:p>
    <w:p w14:paraId="6B0438C3" w14:textId="77777777" w:rsidR="00F57A5C" w:rsidRPr="007C5A6E" w:rsidRDefault="00F57A5C" w:rsidP="00F57A5C">
      <w:pPr>
        <w:spacing w:after="0" w:line="240" w:lineRule="auto"/>
        <w:rPr>
          <w:rFonts w:ascii="Times New Roman" w:hAnsi="Times New Roman"/>
          <w:b/>
          <w:bCs/>
          <w:szCs w:val="18"/>
        </w:rPr>
      </w:pPr>
      <w:r w:rsidRPr="007C5A6E">
        <w:rPr>
          <w:i/>
          <w:iCs/>
          <w:noProof/>
          <w:szCs w:val="20"/>
        </w:rPr>
        <w:drawing>
          <wp:inline distT="0" distB="0" distL="0" distR="0" wp14:anchorId="160B6F71" wp14:editId="4FBF0C87">
            <wp:extent cx="3834142" cy="1991763"/>
            <wp:effectExtent l="0" t="0" r="13970" b="8890"/>
            <wp:docPr id="3"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4DA31F6E" w14:textId="371CAFD3" w:rsidR="00FA5C38" w:rsidRPr="007C5A6E" w:rsidRDefault="00232E29" w:rsidP="00FA5C38">
      <w:pPr>
        <w:spacing w:after="0" w:line="240" w:lineRule="auto"/>
        <w:rPr>
          <w:rFonts w:ascii="Times New Roman" w:hAnsi="Times New Roman"/>
          <w:sz w:val="20"/>
          <w:szCs w:val="20"/>
          <w:lang w:eastAsia="da-DK"/>
        </w:rPr>
      </w:pPr>
      <w:bookmarkStart w:id="643" w:name="_Toc182605891"/>
      <w:r w:rsidRPr="007C5A6E">
        <w:rPr>
          <w:rFonts w:ascii="Times New Roman" w:hAnsi="Times New Roman"/>
          <w:sz w:val="20"/>
          <w:szCs w:val="20"/>
          <w:lang w:eastAsia="da-DK"/>
        </w:rPr>
        <w:t>(</w:t>
      </w:r>
      <w:r w:rsidR="00FA5C38" w:rsidRPr="007C5A6E">
        <w:rPr>
          <w:rFonts w:ascii="Times New Roman" w:hAnsi="Times New Roman"/>
          <w:sz w:val="20"/>
          <w:szCs w:val="20"/>
          <w:lang w:eastAsia="da-DK"/>
        </w:rPr>
        <w:t>Source : BD_AEUE, DGA 2018</w:t>
      </w:r>
      <w:r w:rsidRPr="007C5A6E">
        <w:rPr>
          <w:rFonts w:ascii="Times New Roman" w:hAnsi="Times New Roman"/>
          <w:sz w:val="20"/>
          <w:szCs w:val="20"/>
          <w:lang w:eastAsia="da-DK"/>
        </w:rPr>
        <w:t>)</w:t>
      </w:r>
    </w:p>
    <w:p w14:paraId="1C029431" w14:textId="7D540C9D" w:rsidR="00F57A5C" w:rsidRPr="007C5A6E" w:rsidRDefault="00F57A5C" w:rsidP="00F57A5C">
      <w:pPr>
        <w:spacing w:after="0" w:line="240" w:lineRule="auto"/>
        <w:jc w:val="both"/>
        <w:rPr>
          <w:rFonts w:ascii="Times New Roman" w:hAnsi="Times New Roman"/>
          <w:i/>
          <w:iCs/>
          <w:sz w:val="24"/>
          <w:szCs w:val="24"/>
        </w:rPr>
      </w:pPr>
      <w:bookmarkStart w:id="644" w:name="_Toc183230893"/>
      <w:bookmarkStart w:id="645" w:name="_Toc183240686"/>
      <w:bookmarkStart w:id="646" w:name="_Toc183340425"/>
      <w:r w:rsidRPr="007C5A6E">
        <w:rPr>
          <w:rFonts w:ascii="Times New Roman" w:hAnsi="Times New Roman"/>
          <w:i/>
          <w:iCs/>
          <w:sz w:val="24"/>
          <w:szCs w:val="24"/>
        </w:rPr>
        <w:t xml:space="preserve">Figure </w:t>
      </w:r>
      <w:r w:rsidRPr="007C5A6E">
        <w:rPr>
          <w:rFonts w:ascii="Times New Roman" w:hAnsi="Times New Roman"/>
          <w:i/>
          <w:iCs/>
          <w:sz w:val="24"/>
          <w:szCs w:val="24"/>
        </w:rPr>
        <w:fldChar w:fldCharType="begin"/>
      </w:r>
      <w:r w:rsidRPr="007C5A6E">
        <w:rPr>
          <w:rFonts w:ascii="Times New Roman" w:hAnsi="Times New Roman"/>
          <w:i/>
          <w:iCs/>
          <w:sz w:val="24"/>
          <w:szCs w:val="24"/>
        </w:rPr>
        <w:instrText xml:space="preserve"> SEQ Figure \* ARABIC </w:instrText>
      </w:r>
      <w:r w:rsidRPr="007C5A6E">
        <w:rPr>
          <w:rFonts w:ascii="Times New Roman" w:hAnsi="Times New Roman"/>
          <w:i/>
          <w:iCs/>
          <w:sz w:val="24"/>
          <w:szCs w:val="24"/>
        </w:rPr>
        <w:fldChar w:fldCharType="separate"/>
      </w:r>
      <w:r w:rsidR="00232E29" w:rsidRPr="007C5A6E">
        <w:rPr>
          <w:rFonts w:ascii="Times New Roman" w:hAnsi="Times New Roman"/>
          <w:i/>
          <w:iCs/>
          <w:noProof/>
          <w:sz w:val="24"/>
          <w:szCs w:val="24"/>
        </w:rPr>
        <w:t>46</w:t>
      </w:r>
      <w:r w:rsidRPr="007C5A6E">
        <w:rPr>
          <w:rFonts w:ascii="Times New Roman" w:hAnsi="Times New Roman"/>
          <w:i/>
          <w:iCs/>
          <w:sz w:val="24"/>
          <w:szCs w:val="24"/>
        </w:rPr>
        <w:fldChar w:fldCharType="end"/>
      </w:r>
      <w:r w:rsidR="00232E29" w:rsidRPr="007C5A6E">
        <w:rPr>
          <w:rFonts w:ascii="Times New Roman" w:hAnsi="Times New Roman"/>
          <w:i/>
          <w:iCs/>
          <w:sz w:val="24"/>
          <w:szCs w:val="24"/>
        </w:rPr>
        <w:t>.</w:t>
      </w:r>
      <w:r w:rsidRPr="007C5A6E">
        <w:rPr>
          <w:rFonts w:ascii="Times New Roman" w:hAnsi="Times New Roman"/>
          <w:i/>
          <w:iCs/>
          <w:sz w:val="24"/>
          <w:szCs w:val="24"/>
        </w:rPr>
        <w:t xml:space="preserve"> Evolution du taux d’accès à l’assainissement et population desservie en 2018 en milieu </w:t>
      </w:r>
      <w:bookmarkEnd w:id="643"/>
      <w:r w:rsidR="0068141E" w:rsidRPr="007C5A6E">
        <w:rPr>
          <w:rFonts w:ascii="Times New Roman" w:hAnsi="Times New Roman"/>
          <w:i/>
          <w:iCs/>
          <w:sz w:val="24"/>
          <w:szCs w:val="24"/>
        </w:rPr>
        <w:t>urbain</w:t>
      </w:r>
      <w:bookmarkEnd w:id="644"/>
      <w:bookmarkEnd w:id="645"/>
      <w:bookmarkEnd w:id="646"/>
    </w:p>
    <w:p w14:paraId="0A25E1BE" w14:textId="77777777" w:rsidR="0068141E" w:rsidRPr="007C5A6E" w:rsidRDefault="0068141E" w:rsidP="00F57A5C">
      <w:pPr>
        <w:spacing w:after="0" w:line="240" w:lineRule="auto"/>
        <w:jc w:val="both"/>
        <w:rPr>
          <w:rFonts w:ascii="Times New Roman" w:hAnsi="Times New Roman"/>
          <w:i/>
          <w:iCs/>
        </w:rPr>
      </w:pPr>
    </w:p>
    <w:p w14:paraId="3EB2CCCA" w14:textId="77777777" w:rsidR="00F57A5C" w:rsidRPr="007C5A6E" w:rsidRDefault="00F57A5C" w:rsidP="003F3821">
      <w:pPr>
        <w:numPr>
          <w:ilvl w:val="0"/>
          <w:numId w:val="27"/>
        </w:numPr>
        <w:spacing w:after="0" w:line="240" w:lineRule="auto"/>
        <w:ind w:left="357" w:hanging="357"/>
        <w:contextualSpacing/>
        <w:jc w:val="both"/>
        <w:rPr>
          <w:rFonts w:ascii="Times New Roman" w:hAnsi="Times New Roman"/>
          <w:b/>
          <w:bCs/>
          <w:sz w:val="24"/>
          <w:szCs w:val="24"/>
        </w:rPr>
      </w:pPr>
      <w:r w:rsidRPr="007C5A6E">
        <w:rPr>
          <w:rFonts w:ascii="Times New Roman" w:hAnsi="Times New Roman"/>
          <w:b/>
          <w:bCs/>
          <w:sz w:val="24"/>
          <w:szCs w:val="24"/>
        </w:rPr>
        <w:t>Taux d’accès à l’assainissement au niveau national</w:t>
      </w:r>
    </w:p>
    <w:p w14:paraId="5C88A718" w14:textId="77777777" w:rsidR="00FA5C38" w:rsidRPr="007C5A6E" w:rsidRDefault="00FA5C38" w:rsidP="00F57A5C">
      <w:pPr>
        <w:spacing w:after="0" w:line="240" w:lineRule="auto"/>
        <w:jc w:val="both"/>
        <w:rPr>
          <w:rFonts w:ascii="Times New Roman" w:hAnsi="Times New Roman"/>
          <w:sz w:val="24"/>
          <w:szCs w:val="24"/>
          <w:lang w:eastAsia="da-DK"/>
        </w:rPr>
      </w:pPr>
    </w:p>
    <w:p w14:paraId="6C673B38" w14:textId="0E909AA0" w:rsidR="00F57A5C" w:rsidRPr="007C5A6E" w:rsidRDefault="00F57A5C" w:rsidP="00F57A5C">
      <w:pPr>
        <w:spacing w:after="0" w:line="240" w:lineRule="auto"/>
        <w:jc w:val="both"/>
        <w:rPr>
          <w:rFonts w:ascii="Times New Roman" w:hAnsi="Times New Roman"/>
          <w:sz w:val="24"/>
          <w:szCs w:val="24"/>
          <w:lang w:eastAsia="da-DK"/>
        </w:rPr>
      </w:pPr>
      <w:r w:rsidRPr="007C5A6E">
        <w:rPr>
          <w:rFonts w:ascii="Times New Roman" w:hAnsi="Times New Roman"/>
          <w:sz w:val="24"/>
          <w:szCs w:val="24"/>
          <w:lang w:eastAsia="da-DK"/>
        </w:rPr>
        <w:t xml:space="preserve">Le taux d’accès à l’assainissement sur le plan national est passé de 21,6% en 2017 à 22,6% en 2018 soit un accroissement de 1point pourcentage. </w:t>
      </w:r>
    </w:p>
    <w:p w14:paraId="762221C6" w14:textId="58BF2BC7" w:rsidR="00F57A5C" w:rsidRPr="007C5A6E" w:rsidRDefault="00F57A5C" w:rsidP="006106FE">
      <w:pPr>
        <w:spacing w:after="0" w:line="240" w:lineRule="auto"/>
        <w:jc w:val="both"/>
        <w:rPr>
          <w:rFonts w:ascii="Times New Roman" w:hAnsi="Times New Roman"/>
          <w:sz w:val="24"/>
          <w:szCs w:val="24"/>
          <w:lang w:eastAsia="da-DK"/>
        </w:rPr>
      </w:pPr>
      <w:r w:rsidRPr="007C5A6E">
        <w:rPr>
          <w:rFonts w:ascii="Times New Roman" w:hAnsi="Times New Roman"/>
          <w:sz w:val="24"/>
          <w:szCs w:val="24"/>
          <w:lang w:eastAsia="da-DK"/>
        </w:rPr>
        <w:t>Au total 4 468 907 personnes sont desservies en ouvrages d’assainissement adéquats sur le plan national</w:t>
      </w:r>
      <w:r w:rsidR="006106FE" w:rsidRPr="007C5A6E">
        <w:rPr>
          <w:rFonts w:ascii="Times New Roman" w:hAnsi="Times New Roman"/>
          <w:sz w:val="24"/>
          <w:szCs w:val="24"/>
          <w:lang w:eastAsia="da-DK"/>
        </w:rPr>
        <w:t xml:space="preserve">. </w:t>
      </w:r>
      <w:r w:rsidRPr="007C5A6E">
        <w:rPr>
          <w:rFonts w:ascii="Times New Roman" w:hAnsi="Times New Roman"/>
          <w:sz w:val="24"/>
          <w:szCs w:val="24"/>
          <w:lang w:eastAsia="da-DK"/>
        </w:rPr>
        <w:t xml:space="preserve">La figure </w:t>
      </w:r>
      <w:r w:rsidR="006106FE" w:rsidRPr="007C5A6E">
        <w:rPr>
          <w:rFonts w:ascii="Times New Roman" w:hAnsi="Times New Roman"/>
          <w:sz w:val="24"/>
          <w:szCs w:val="24"/>
          <w:lang w:eastAsia="da-DK"/>
        </w:rPr>
        <w:t>47</w:t>
      </w:r>
      <w:r w:rsidRPr="007C5A6E">
        <w:rPr>
          <w:rFonts w:ascii="Times New Roman" w:hAnsi="Times New Roman"/>
          <w:sz w:val="24"/>
          <w:szCs w:val="24"/>
          <w:lang w:eastAsia="da-DK"/>
        </w:rPr>
        <w:t xml:space="preserve"> donne l’évolution du taux d’accès à l’assainissement </w:t>
      </w:r>
      <w:r w:rsidR="006106FE" w:rsidRPr="007C5A6E">
        <w:rPr>
          <w:rFonts w:ascii="Times New Roman" w:hAnsi="Times New Roman"/>
          <w:sz w:val="24"/>
          <w:szCs w:val="24"/>
          <w:lang w:eastAsia="da-DK"/>
        </w:rPr>
        <w:t xml:space="preserve">des </w:t>
      </w:r>
      <w:r w:rsidRPr="007C5A6E">
        <w:rPr>
          <w:rFonts w:ascii="Times New Roman" w:hAnsi="Times New Roman"/>
          <w:sz w:val="24"/>
          <w:szCs w:val="24"/>
          <w:lang w:eastAsia="da-DK"/>
        </w:rPr>
        <w:t>eaux usées et excrétas au niveau national.</w:t>
      </w:r>
    </w:p>
    <w:p w14:paraId="1676AB75" w14:textId="77777777" w:rsidR="00F57A5C" w:rsidRPr="007C5A6E" w:rsidRDefault="00F57A5C" w:rsidP="00F57A5C">
      <w:pPr>
        <w:spacing w:after="0" w:line="240" w:lineRule="auto"/>
        <w:rPr>
          <w:rFonts w:ascii="Times New Roman" w:hAnsi="Times New Roman"/>
          <w:sz w:val="18"/>
          <w:szCs w:val="18"/>
          <w:lang w:eastAsia="da-DK"/>
        </w:rPr>
      </w:pPr>
    </w:p>
    <w:p w14:paraId="619C6B2A" w14:textId="77777777" w:rsidR="00F57A5C" w:rsidRPr="007C5A6E" w:rsidRDefault="00F57A5C" w:rsidP="00F57A5C">
      <w:pPr>
        <w:spacing w:after="0" w:line="240" w:lineRule="auto"/>
        <w:rPr>
          <w:rFonts w:ascii="Times New Roman" w:hAnsi="Times New Roman"/>
          <w:sz w:val="20"/>
          <w:szCs w:val="20"/>
          <w:lang w:eastAsia="da-DK"/>
        </w:rPr>
      </w:pPr>
      <w:r w:rsidRPr="007C5A6E">
        <w:rPr>
          <w:rFonts w:ascii="Times New Roman" w:hAnsi="Times New Roman"/>
          <w:b/>
          <w:bCs/>
          <w:noProof/>
          <w:sz w:val="32"/>
          <w:szCs w:val="24"/>
        </w:rPr>
        <w:drawing>
          <wp:inline distT="0" distB="0" distL="0" distR="0" wp14:anchorId="6F508602" wp14:editId="7F31FB4D">
            <wp:extent cx="4517679" cy="2172335"/>
            <wp:effectExtent l="0" t="0" r="16510" b="18415"/>
            <wp:docPr id="1591422239" name="Graphique 15914222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48C804EC" w14:textId="678B1083" w:rsidR="00F57A5C" w:rsidRPr="007C5A6E" w:rsidRDefault="00AB3B1D" w:rsidP="00F57A5C">
      <w:pPr>
        <w:spacing w:after="0" w:line="240" w:lineRule="auto"/>
        <w:rPr>
          <w:rFonts w:ascii="Times New Roman" w:hAnsi="Times New Roman"/>
          <w:sz w:val="20"/>
          <w:szCs w:val="20"/>
          <w:lang w:eastAsia="da-DK"/>
        </w:rPr>
      </w:pPr>
      <w:r w:rsidRPr="007C5A6E">
        <w:rPr>
          <w:rFonts w:ascii="Times New Roman" w:hAnsi="Times New Roman"/>
          <w:sz w:val="20"/>
          <w:szCs w:val="20"/>
          <w:lang w:eastAsia="da-DK"/>
        </w:rPr>
        <w:t>(</w:t>
      </w:r>
      <w:r w:rsidR="00F57A5C" w:rsidRPr="007C5A6E">
        <w:rPr>
          <w:rFonts w:ascii="Times New Roman" w:hAnsi="Times New Roman"/>
          <w:sz w:val="20"/>
          <w:szCs w:val="20"/>
          <w:lang w:eastAsia="da-DK"/>
        </w:rPr>
        <w:t>Source : BD_AEUE, DGA 2018</w:t>
      </w:r>
      <w:r w:rsidRPr="007C5A6E">
        <w:rPr>
          <w:rFonts w:ascii="Times New Roman" w:hAnsi="Times New Roman"/>
          <w:sz w:val="20"/>
          <w:szCs w:val="20"/>
          <w:lang w:eastAsia="da-DK"/>
        </w:rPr>
        <w:t>)</w:t>
      </w:r>
    </w:p>
    <w:p w14:paraId="3C71A355" w14:textId="489F1DDE" w:rsidR="00F57A5C" w:rsidRPr="007C5A6E" w:rsidRDefault="00F57A5C" w:rsidP="00F57A5C">
      <w:pPr>
        <w:spacing w:after="0" w:line="240" w:lineRule="auto"/>
        <w:jc w:val="both"/>
        <w:rPr>
          <w:rFonts w:ascii="Times New Roman" w:hAnsi="Times New Roman"/>
          <w:i/>
          <w:iCs/>
        </w:rPr>
      </w:pPr>
      <w:bookmarkStart w:id="647" w:name="_Toc182605892"/>
      <w:bookmarkStart w:id="648" w:name="_Toc183230894"/>
      <w:bookmarkStart w:id="649" w:name="_Toc183240687"/>
      <w:bookmarkStart w:id="650" w:name="_Toc183340426"/>
      <w:r w:rsidRPr="007C5A6E">
        <w:rPr>
          <w:rFonts w:ascii="Times New Roman" w:hAnsi="Times New Roman"/>
          <w:i/>
          <w:iCs/>
          <w:sz w:val="24"/>
          <w:szCs w:val="24"/>
        </w:rPr>
        <w:t xml:space="preserve">Figure </w:t>
      </w:r>
      <w:r w:rsidRPr="007C5A6E">
        <w:rPr>
          <w:rFonts w:ascii="Times New Roman" w:hAnsi="Times New Roman"/>
          <w:i/>
          <w:iCs/>
          <w:sz w:val="24"/>
          <w:szCs w:val="24"/>
        </w:rPr>
        <w:fldChar w:fldCharType="begin"/>
      </w:r>
      <w:r w:rsidRPr="007C5A6E">
        <w:rPr>
          <w:rFonts w:ascii="Times New Roman" w:hAnsi="Times New Roman"/>
          <w:i/>
          <w:iCs/>
          <w:sz w:val="24"/>
          <w:szCs w:val="24"/>
        </w:rPr>
        <w:instrText xml:space="preserve"> SEQ Figure \* ARABIC </w:instrText>
      </w:r>
      <w:r w:rsidRPr="007C5A6E">
        <w:rPr>
          <w:rFonts w:ascii="Times New Roman" w:hAnsi="Times New Roman"/>
          <w:i/>
          <w:iCs/>
          <w:sz w:val="24"/>
          <w:szCs w:val="24"/>
        </w:rPr>
        <w:fldChar w:fldCharType="separate"/>
      </w:r>
      <w:r w:rsidR="00AE756D" w:rsidRPr="007C5A6E">
        <w:rPr>
          <w:rFonts w:ascii="Times New Roman" w:hAnsi="Times New Roman"/>
          <w:i/>
          <w:iCs/>
          <w:noProof/>
          <w:sz w:val="24"/>
          <w:szCs w:val="24"/>
        </w:rPr>
        <w:t>47</w:t>
      </w:r>
      <w:r w:rsidRPr="007C5A6E">
        <w:rPr>
          <w:rFonts w:ascii="Times New Roman" w:hAnsi="Times New Roman"/>
          <w:i/>
          <w:iCs/>
          <w:sz w:val="24"/>
          <w:szCs w:val="24"/>
        </w:rPr>
        <w:fldChar w:fldCharType="end"/>
      </w:r>
      <w:r w:rsidR="00690243" w:rsidRPr="007C5A6E">
        <w:rPr>
          <w:rFonts w:ascii="Times New Roman" w:hAnsi="Times New Roman"/>
          <w:i/>
          <w:iCs/>
          <w:sz w:val="24"/>
          <w:szCs w:val="24"/>
        </w:rPr>
        <w:t>.</w:t>
      </w:r>
      <w:r w:rsidRPr="007C5A6E">
        <w:rPr>
          <w:rFonts w:ascii="Times New Roman" w:hAnsi="Times New Roman"/>
          <w:i/>
          <w:iCs/>
          <w:sz w:val="24"/>
          <w:szCs w:val="24"/>
        </w:rPr>
        <w:t xml:space="preserve"> Evolution du taux d’accès à l’assainissement eaux usées et excrétas au niveau national</w:t>
      </w:r>
      <w:bookmarkEnd w:id="647"/>
      <w:bookmarkEnd w:id="648"/>
      <w:bookmarkEnd w:id="649"/>
      <w:bookmarkEnd w:id="650"/>
    </w:p>
    <w:p w14:paraId="5BAC5AA3" w14:textId="77777777" w:rsidR="006106FE" w:rsidRPr="007C5A6E" w:rsidRDefault="006106FE" w:rsidP="006106FE">
      <w:pPr>
        <w:spacing w:after="0" w:line="240" w:lineRule="auto"/>
        <w:jc w:val="both"/>
        <w:rPr>
          <w:rFonts w:ascii="Times New Roman" w:hAnsi="Times New Roman"/>
          <w:i/>
          <w:iCs/>
          <w:color w:val="C00000"/>
          <w:sz w:val="24"/>
          <w:szCs w:val="24"/>
        </w:rPr>
      </w:pPr>
      <w:r w:rsidRPr="007C5A6E">
        <w:rPr>
          <w:rFonts w:ascii="Times New Roman" w:hAnsi="Times New Roman"/>
          <w:b/>
          <w:bCs/>
          <w:i/>
          <w:iCs/>
          <w:sz w:val="24"/>
          <w:szCs w:val="24"/>
        </w:rPr>
        <w:t>La tendance à la hausse du taux d’accès à l’assainissement des eaux usées et excrétas aussi bien en milieu rural qu’urbain, contribue inversement, à la réduction progressive de la pollution des ressources en eau</w:t>
      </w:r>
      <w:r w:rsidRPr="007C5A6E">
        <w:rPr>
          <w:rFonts w:ascii="Times New Roman" w:hAnsi="Times New Roman"/>
          <w:i/>
          <w:iCs/>
          <w:color w:val="C00000"/>
          <w:sz w:val="24"/>
          <w:szCs w:val="24"/>
        </w:rPr>
        <w:t>.</w:t>
      </w:r>
    </w:p>
    <w:p w14:paraId="0FD76A48" w14:textId="77777777" w:rsidR="00F57A5C" w:rsidRPr="007C5A6E" w:rsidRDefault="00F57A5C" w:rsidP="00684FF8">
      <w:pPr>
        <w:pStyle w:val="Titre4"/>
      </w:pPr>
      <w:bookmarkStart w:id="651" w:name="_Toc182606056"/>
      <w:bookmarkStart w:id="652" w:name="_Toc183340123"/>
      <w:r w:rsidRPr="007C5A6E">
        <w:t>Dynamique de l’évolution de la pollution en raison de la dégradation physique des sols des bassins hydrographiques</w:t>
      </w:r>
      <w:bookmarkEnd w:id="651"/>
      <w:bookmarkEnd w:id="652"/>
    </w:p>
    <w:p w14:paraId="3834540E" w14:textId="77777777" w:rsidR="00C738E1" w:rsidRPr="007C5A6E" w:rsidRDefault="00C738E1" w:rsidP="00F57A5C">
      <w:pPr>
        <w:spacing w:after="0" w:line="240" w:lineRule="auto"/>
        <w:jc w:val="both"/>
        <w:rPr>
          <w:rFonts w:ascii="Times New Roman" w:eastAsia="Calibri" w:hAnsi="Times New Roman"/>
          <w:sz w:val="24"/>
          <w:szCs w:val="24"/>
          <w:lang w:eastAsia="en-US"/>
        </w:rPr>
      </w:pPr>
    </w:p>
    <w:p w14:paraId="5614F8D0" w14:textId="4A2CEAB1" w:rsidR="00F57A5C" w:rsidRPr="007C5A6E" w:rsidRDefault="00F57A5C" w:rsidP="00F57A5C">
      <w:pPr>
        <w:spacing w:after="0" w:line="240" w:lineRule="auto"/>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 xml:space="preserve">Selon le rapport « Programme de définition des cibles de la neutralité en matière de dégradation des terres (PDC/NDT) » (Rapport final- février 2018), entre 2002 et 2013, environ 19% du territoire national (soit une superficie de 51 600 km²) ont été dégradés au regard des indicateurs ci-après :  </w:t>
      </w:r>
    </w:p>
    <w:p w14:paraId="7D9A274A" w14:textId="77777777" w:rsidR="00F57A5C" w:rsidRPr="007C5A6E" w:rsidRDefault="00F57A5C" w:rsidP="003F3821">
      <w:pPr>
        <w:numPr>
          <w:ilvl w:val="2"/>
          <w:numId w:val="16"/>
        </w:numPr>
        <w:spacing w:after="0" w:line="240" w:lineRule="auto"/>
        <w:ind w:left="360"/>
        <w:contextualSpacing/>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 xml:space="preserve">9,6% du territoire sont dégradés en termes d’occupation des terres (déforestation principalement) ; </w:t>
      </w:r>
    </w:p>
    <w:p w14:paraId="1DE23905" w14:textId="77777777" w:rsidR="00F57A5C" w:rsidRPr="007C5A6E" w:rsidRDefault="00F57A5C" w:rsidP="003F3821">
      <w:pPr>
        <w:numPr>
          <w:ilvl w:val="2"/>
          <w:numId w:val="16"/>
        </w:numPr>
        <w:spacing w:after="0" w:line="240" w:lineRule="auto"/>
        <w:ind w:left="360"/>
        <w:contextualSpacing/>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 xml:space="preserve">9.3% en termes de productivité des terres ; </w:t>
      </w:r>
    </w:p>
    <w:p w14:paraId="0AB24777" w14:textId="77777777" w:rsidR="00F57A5C" w:rsidRPr="007C5A6E" w:rsidRDefault="00F57A5C" w:rsidP="003F3821">
      <w:pPr>
        <w:numPr>
          <w:ilvl w:val="2"/>
          <w:numId w:val="16"/>
        </w:numPr>
        <w:spacing w:after="0" w:line="240" w:lineRule="auto"/>
        <w:ind w:left="360"/>
        <w:contextualSpacing/>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3% en termes de stock de carbone.</w:t>
      </w:r>
    </w:p>
    <w:p w14:paraId="746C611E" w14:textId="0C7885B5" w:rsidR="00F57A5C" w:rsidRPr="007C5A6E" w:rsidRDefault="00F57A5C" w:rsidP="00F57A5C">
      <w:pPr>
        <w:spacing w:after="0" w:line="240" w:lineRule="auto"/>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 xml:space="preserve">L’analyse des tendances à la dégradation a permis de montrer que ce sont les zones ayant connu une évolution négative des forêts, des arbustes et prairies, des terres cultivées ainsi que des terrains non viabilisés qui sont </w:t>
      </w:r>
      <w:r w:rsidR="006106FE" w:rsidRPr="007C5A6E">
        <w:rPr>
          <w:rFonts w:ascii="Times New Roman" w:eastAsia="Calibri" w:hAnsi="Times New Roman"/>
          <w:sz w:val="24"/>
          <w:szCs w:val="24"/>
          <w:lang w:eastAsia="en-US"/>
        </w:rPr>
        <w:t>à la base du phénomène de dégradation des terres</w:t>
      </w:r>
      <w:r w:rsidRPr="007C5A6E">
        <w:rPr>
          <w:rFonts w:ascii="Times New Roman" w:eastAsia="Calibri" w:hAnsi="Times New Roman"/>
          <w:sz w:val="24"/>
          <w:szCs w:val="24"/>
          <w:lang w:eastAsia="en-US"/>
        </w:rPr>
        <w:t>.</w:t>
      </w:r>
    </w:p>
    <w:p w14:paraId="0C386575" w14:textId="77777777" w:rsidR="00C738E1" w:rsidRPr="007C5A6E" w:rsidRDefault="00C738E1" w:rsidP="00F57A5C">
      <w:pPr>
        <w:spacing w:after="0" w:line="240" w:lineRule="auto"/>
        <w:jc w:val="both"/>
        <w:rPr>
          <w:rFonts w:ascii="Times New Roman" w:eastAsia="Calibri" w:hAnsi="Times New Roman"/>
          <w:sz w:val="24"/>
          <w:szCs w:val="24"/>
          <w:lang w:eastAsia="en-US"/>
        </w:rPr>
      </w:pPr>
    </w:p>
    <w:p w14:paraId="7CD6A146" w14:textId="77777777" w:rsidR="00F57A5C" w:rsidRPr="007C5A6E" w:rsidRDefault="00F57A5C" w:rsidP="00684FF8">
      <w:pPr>
        <w:pStyle w:val="Titre4"/>
      </w:pPr>
      <w:bookmarkStart w:id="653" w:name="_Toc182606057"/>
      <w:bookmarkStart w:id="654" w:name="_Toc183340124"/>
      <w:r w:rsidRPr="007C5A6E">
        <w:t>Dynamique d’évolution de la pluviométrie</w:t>
      </w:r>
      <w:bookmarkEnd w:id="653"/>
      <w:bookmarkEnd w:id="654"/>
    </w:p>
    <w:p w14:paraId="0A185038" w14:textId="77777777" w:rsidR="00C738E1" w:rsidRPr="007C5A6E" w:rsidRDefault="00C738E1" w:rsidP="00F57A5C">
      <w:pPr>
        <w:spacing w:after="0" w:line="240" w:lineRule="auto"/>
        <w:jc w:val="both"/>
        <w:rPr>
          <w:rFonts w:ascii="Times New Roman" w:eastAsia="Calibri" w:hAnsi="Times New Roman"/>
          <w:sz w:val="24"/>
          <w:szCs w:val="24"/>
          <w:lang w:eastAsia="en-US"/>
        </w:rPr>
      </w:pPr>
    </w:p>
    <w:p w14:paraId="50F5F17D" w14:textId="6A98FC6A" w:rsidR="00F57A5C" w:rsidRPr="007C5A6E" w:rsidRDefault="00F57A5C" w:rsidP="00F57A5C">
      <w:pPr>
        <w:spacing w:after="0" w:line="240" w:lineRule="auto"/>
        <w:jc w:val="both"/>
        <w:rPr>
          <w:rFonts w:ascii="Times New Roman" w:hAnsi="Times New Roman"/>
          <w:sz w:val="24"/>
          <w:szCs w:val="24"/>
          <w:lang w:eastAsia="en-US"/>
        </w:rPr>
      </w:pPr>
      <w:r w:rsidRPr="007C5A6E">
        <w:rPr>
          <w:rFonts w:ascii="Times New Roman" w:eastAsia="Calibri" w:hAnsi="Times New Roman"/>
          <w:sz w:val="24"/>
          <w:szCs w:val="24"/>
          <w:lang w:eastAsia="en-US"/>
        </w:rPr>
        <w:t>L’étude thématique relative au changement climatique et les catastrophes naturelles au Burkina Faso réalisée dans le cadre du présent REEB montre une tendance à la hausse de la pluviométrie dans toutes les zones climatiques du pays et par conséquent, une tendance à la réduction des déficits pluviométriques et à l’amélioration des apports en eau par la pluie.</w:t>
      </w:r>
    </w:p>
    <w:p w14:paraId="063E3A61" w14:textId="77777777" w:rsidR="00F57A5C" w:rsidRPr="007C5A6E" w:rsidRDefault="00F57A5C" w:rsidP="00F57A5C">
      <w:pPr>
        <w:spacing w:after="0" w:line="240" w:lineRule="auto"/>
        <w:rPr>
          <w:rFonts w:ascii="Times New Roman" w:hAnsi="Times New Roman"/>
          <w:sz w:val="24"/>
          <w:szCs w:val="24"/>
          <w:lang w:eastAsia="en-US"/>
        </w:rPr>
      </w:pPr>
    </w:p>
    <w:p w14:paraId="1C525948" w14:textId="1E2DDDB0" w:rsidR="00F57A5C" w:rsidRPr="007C5A6E" w:rsidRDefault="00F57A5C" w:rsidP="00684FF8">
      <w:pPr>
        <w:pStyle w:val="Titre4"/>
      </w:pPr>
      <w:bookmarkStart w:id="655" w:name="_Toc182606058"/>
      <w:bookmarkStart w:id="656" w:name="_Toc183340125"/>
      <w:r w:rsidRPr="007C5A6E">
        <w:t>Dynamique de l’évolution des p</w:t>
      </w:r>
      <w:r w:rsidR="006106FE" w:rsidRPr="007C5A6E">
        <w:t xml:space="preserve">ertes </w:t>
      </w:r>
      <w:r w:rsidRPr="007C5A6E">
        <w:t>par évaporation des plans d’eau de surface</w:t>
      </w:r>
      <w:bookmarkEnd w:id="655"/>
      <w:bookmarkEnd w:id="656"/>
    </w:p>
    <w:p w14:paraId="6F328507" w14:textId="77777777" w:rsidR="00C738E1" w:rsidRPr="007C5A6E" w:rsidRDefault="00C738E1" w:rsidP="00F57A5C">
      <w:pPr>
        <w:spacing w:after="0" w:line="240" w:lineRule="auto"/>
        <w:jc w:val="both"/>
        <w:rPr>
          <w:rFonts w:ascii="Times New Roman" w:hAnsi="Times New Roman"/>
          <w:sz w:val="24"/>
          <w:szCs w:val="24"/>
        </w:rPr>
      </w:pPr>
    </w:p>
    <w:p w14:paraId="1E37E1EB" w14:textId="74189C56" w:rsidR="00F57A5C" w:rsidRPr="007C5A6E" w:rsidRDefault="00F57A5C" w:rsidP="00F57A5C">
      <w:pPr>
        <w:spacing w:after="0" w:line="240" w:lineRule="auto"/>
        <w:jc w:val="both"/>
        <w:rPr>
          <w:rFonts w:ascii="Times New Roman" w:hAnsi="Times New Roman"/>
          <w:sz w:val="24"/>
          <w:szCs w:val="24"/>
        </w:rPr>
      </w:pPr>
      <w:r w:rsidRPr="007C5A6E">
        <w:rPr>
          <w:rFonts w:ascii="Times New Roman" w:hAnsi="Times New Roman"/>
          <w:sz w:val="24"/>
          <w:szCs w:val="24"/>
        </w:rPr>
        <w:t>L’évaporation des lacs d’eau de surface est importante et variable d’une zone agro climatique à l’autre. A titre indicatif, les moyennes interannuelles de l’évaporation eau Bac A ont été respectivement les suivantes entre 2012 et 2021 (</w:t>
      </w:r>
      <w:bookmarkStart w:id="657" w:name="_Hlk179446523"/>
      <w:r w:rsidRPr="007C5A6E">
        <w:rPr>
          <w:rFonts w:ascii="Times New Roman" w:hAnsi="Times New Roman"/>
          <w:sz w:val="24"/>
          <w:szCs w:val="24"/>
        </w:rPr>
        <w:t xml:space="preserve">Source : Annuaire agro </w:t>
      </w:r>
      <w:proofErr w:type="spellStart"/>
      <w:r w:rsidRPr="007C5A6E">
        <w:rPr>
          <w:rFonts w:ascii="Times New Roman" w:hAnsi="Times New Roman"/>
          <w:sz w:val="24"/>
          <w:szCs w:val="24"/>
        </w:rPr>
        <w:t>sylvo</w:t>
      </w:r>
      <w:proofErr w:type="spellEnd"/>
      <w:r w:rsidRPr="007C5A6E">
        <w:rPr>
          <w:rFonts w:ascii="Times New Roman" w:hAnsi="Times New Roman"/>
          <w:sz w:val="24"/>
          <w:szCs w:val="24"/>
        </w:rPr>
        <w:t xml:space="preserve"> pastoral 2021)</w:t>
      </w:r>
      <w:bookmarkEnd w:id="657"/>
      <w:r w:rsidRPr="007C5A6E">
        <w:rPr>
          <w:rFonts w:ascii="Times New Roman" w:hAnsi="Times New Roman"/>
          <w:sz w:val="24"/>
          <w:szCs w:val="24"/>
        </w:rPr>
        <w:t xml:space="preserve"> :</w:t>
      </w:r>
    </w:p>
    <w:p w14:paraId="60E2C824" w14:textId="4597AF27" w:rsidR="00F57A5C" w:rsidRPr="007C5A6E" w:rsidRDefault="00F57A5C" w:rsidP="003F3821">
      <w:pPr>
        <w:numPr>
          <w:ilvl w:val="0"/>
          <w:numId w:val="15"/>
        </w:numPr>
        <w:spacing w:after="0" w:line="240" w:lineRule="auto"/>
        <w:jc w:val="both"/>
        <w:rPr>
          <w:rFonts w:ascii="Times New Roman" w:hAnsi="Times New Roman"/>
          <w:sz w:val="24"/>
          <w:szCs w:val="24"/>
        </w:rPr>
      </w:pPr>
      <w:r w:rsidRPr="007C5A6E">
        <w:rPr>
          <w:rFonts w:ascii="Times New Roman" w:hAnsi="Times New Roman"/>
          <w:sz w:val="24"/>
          <w:szCs w:val="24"/>
        </w:rPr>
        <w:t>2 706 à 2925 mm à Bobo Dioulasso (zone sud-soudanienne)</w:t>
      </w:r>
    </w:p>
    <w:p w14:paraId="7724E9C3" w14:textId="67273FE9" w:rsidR="00F57A5C" w:rsidRPr="007C5A6E" w:rsidRDefault="00F57A5C" w:rsidP="003F3821">
      <w:pPr>
        <w:numPr>
          <w:ilvl w:val="0"/>
          <w:numId w:val="15"/>
        </w:numPr>
        <w:spacing w:after="0" w:line="240" w:lineRule="auto"/>
        <w:jc w:val="both"/>
        <w:rPr>
          <w:rFonts w:ascii="Times New Roman" w:hAnsi="Times New Roman"/>
          <w:sz w:val="24"/>
          <w:szCs w:val="24"/>
        </w:rPr>
      </w:pPr>
      <w:r w:rsidRPr="007C5A6E">
        <w:rPr>
          <w:rFonts w:ascii="Times New Roman" w:hAnsi="Times New Roman"/>
          <w:sz w:val="24"/>
          <w:szCs w:val="24"/>
        </w:rPr>
        <w:t>2 863 à 2 870 mm à Ouagadougou (zone nord-soudanienne) </w:t>
      </w:r>
    </w:p>
    <w:p w14:paraId="5E28D221" w14:textId="77777777" w:rsidR="00F57A5C" w:rsidRPr="007C5A6E" w:rsidRDefault="00F57A5C" w:rsidP="003F3821">
      <w:pPr>
        <w:numPr>
          <w:ilvl w:val="0"/>
          <w:numId w:val="15"/>
        </w:numPr>
        <w:spacing w:after="0" w:line="240" w:lineRule="auto"/>
        <w:jc w:val="both"/>
        <w:rPr>
          <w:rFonts w:ascii="Times New Roman" w:hAnsi="Times New Roman"/>
          <w:sz w:val="24"/>
          <w:szCs w:val="24"/>
        </w:rPr>
      </w:pPr>
      <w:r w:rsidRPr="007C5A6E">
        <w:rPr>
          <w:rFonts w:ascii="Times New Roman" w:hAnsi="Times New Roman"/>
          <w:sz w:val="24"/>
          <w:szCs w:val="24"/>
        </w:rPr>
        <w:t>3 186 à 3 078 mm pour à Dori (zone sahélienne)</w:t>
      </w:r>
    </w:p>
    <w:p w14:paraId="0455EBDC" w14:textId="6A1E14AA" w:rsidR="00FA5C38" w:rsidRPr="007C5A6E" w:rsidRDefault="00F57A5C" w:rsidP="00F57A5C">
      <w:pPr>
        <w:spacing w:after="0" w:line="240" w:lineRule="auto"/>
        <w:jc w:val="both"/>
        <w:rPr>
          <w:rFonts w:ascii="Times New Roman" w:hAnsi="Times New Roman"/>
          <w:sz w:val="24"/>
          <w:szCs w:val="24"/>
        </w:rPr>
      </w:pPr>
      <w:r w:rsidRPr="007C5A6E">
        <w:rPr>
          <w:rFonts w:ascii="Times New Roman" w:hAnsi="Times New Roman"/>
          <w:sz w:val="24"/>
          <w:szCs w:val="24"/>
        </w:rPr>
        <w:t xml:space="preserve">En appliquant un coefficient moyen de 0,80 aux valeurs du Bac A, les valeurs de l’évaporation interannuelle de 100 ha de plan d’eau de surface libre auront une tendance à la hausse ou à la baisse selon qu’elles sont en hausse ou en baisse (cf. tableau </w:t>
      </w:r>
      <w:r w:rsidR="006106FE" w:rsidRPr="007C5A6E">
        <w:rPr>
          <w:rFonts w:ascii="Times New Roman" w:hAnsi="Times New Roman"/>
          <w:sz w:val="24"/>
          <w:szCs w:val="24"/>
        </w:rPr>
        <w:t>2</w:t>
      </w:r>
      <w:r w:rsidR="008E7EDC" w:rsidRPr="007C5A6E">
        <w:rPr>
          <w:rFonts w:ascii="Times New Roman" w:hAnsi="Times New Roman"/>
          <w:sz w:val="24"/>
          <w:szCs w:val="24"/>
        </w:rPr>
        <w:t>4</w:t>
      </w:r>
      <w:r w:rsidRPr="007C5A6E">
        <w:rPr>
          <w:rFonts w:ascii="Times New Roman" w:hAnsi="Times New Roman"/>
          <w:sz w:val="24"/>
          <w:szCs w:val="24"/>
        </w:rPr>
        <w:t xml:space="preserve">) </w:t>
      </w:r>
    </w:p>
    <w:p w14:paraId="5F12123B" w14:textId="017F1BB0" w:rsidR="00F57A5C" w:rsidRPr="007C5A6E" w:rsidRDefault="00F57A5C" w:rsidP="00F57A5C">
      <w:pPr>
        <w:spacing w:after="0" w:line="240" w:lineRule="auto"/>
        <w:jc w:val="both"/>
        <w:rPr>
          <w:rFonts w:ascii="Times New Roman" w:hAnsi="Times New Roman"/>
          <w:sz w:val="24"/>
          <w:szCs w:val="24"/>
        </w:rPr>
      </w:pPr>
      <w:r w:rsidRPr="007C5A6E">
        <w:rPr>
          <w:rFonts w:ascii="Times New Roman" w:hAnsi="Times New Roman"/>
          <w:sz w:val="24"/>
          <w:szCs w:val="24"/>
        </w:rPr>
        <w:t xml:space="preserve">  </w:t>
      </w:r>
    </w:p>
    <w:p w14:paraId="53523DE5" w14:textId="7FAE577A" w:rsidR="00F57A5C" w:rsidRPr="007C5A6E" w:rsidRDefault="00F57A5C" w:rsidP="006106FE">
      <w:pPr>
        <w:tabs>
          <w:tab w:val="left" w:pos="1134"/>
        </w:tabs>
        <w:spacing w:after="0" w:line="240" w:lineRule="auto"/>
        <w:rPr>
          <w:rFonts w:ascii="Times New Roman" w:hAnsi="Times New Roman"/>
          <w:iCs/>
          <w:sz w:val="24"/>
          <w:szCs w:val="24"/>
          <w:lang w:eastAsia="da-DK"/>
        </w:rPr>
      </w:pPr>
      <w:bookmarkStart w:id="658" w:name="_Toc182605871"/>
      <w:bookmarkStart w:id="659" w:name="_Toc183240986"/>
      <w:bookmarkStart w:id="660" w:name="_Toc183292228"/>
      <w:bookmarkStart w:id="661" w:name="_Toc183340508"/>
      <w:r w:rsidRPr="007C5A6E">
        <w:rPr>
          <w:rFonts w:ascii="Times New Roman" w:hAnsi="Times New Roman"/>
          <w:iCs/>
          <w:sz w:val="24"/>
          <w:szCs w:val="24"/>
          <w:lang w:eastAsia="da-DK"/>
        </w:rPr>
        <w:t xml:space="preserve">Tableau </w:t>
      </w:r>
      <w:r w:rsidRPr="007C5A6E">
        <w:rPr>
          <w:rFonts w:ascii="Times New Roman" w:hAnsi="Times New Roman"/>
          <w:iCs/>
          <w:sz w:val="24"/>
          <w:szCs w:val="24"/>
          <w:lang w:eastAsia="da-DK"/>
        </w:rPr>
        <w:fldChar w:fldCharType="begin"/>
      </w:r>
      <w:r w:rsidRPr="007C5A6E">
        <w:rPr>
          <w:rFonts w:ascii="Times New Roman" w:hAnsi="Times New Roman"/>
          <w:iCs/>
          <w:sz w:val="24"/>
          <w:szCs w:val="24"/>
          <w:lang w:eastAsia="da-DK"/>
        </w:rPr>
        <w:instrText xml:space="preserve"> SEQ Tableau \* ARABIC </w:instrText>
      </w:r>
      <w:r w:rsidRPr="007C5A6E">
        <w:rPr>
          <w:rFonts w:ascii="Times New Roman" w:hAnsi="Times New Roman"/>
          <w:iCs/>
          <w:sz w:val="24"/>
          <w:szCs w:val="24"/>
          <w:lang w:eastAsia="da-DK"/>
        </w:rPr>
        <w:fldChar w:fldCharType="separate"/>
      </w:r>
      <w:r w:rsidR="00AE0C9D" w:rsidRPr="007C5A6E">
        <w:rPr>
          <w:rFonts w:ascii="Times New Roman" w:hAnsi="Times New Roman"/>
          <w:iCs/>
          <w:noProof/>
          <w:sz w:val="24"/>
          <w:szCs w:val="24"/>
          <w:lang w:eastAsia="da-DK"/>
        </w:rPr>
        <w:t>24</w:t>
      </w:r>
      <w:r w:rsidRPr="007C5A6E">
        <w:rPr>
          <w:rFonts w:ascii="Times New Roman" w:hAnsi="Times New Roman"/>
          <w:iCs/>
          <w:sz w:val="24"/>
          <w:szCs w:val="24"/>
          <w:lang w:eastAsia="da-DK"/>
        </w:rPr>
        <w:fldChar w:fldCharType="end"/>
      </w:r>
      <w:r w:rsidRPr="007C5A6E">
        <w:rPr>
          <w:rFonts w:ascii="Times New Roman" w:hAnsi="Times New Roman"/>
          <w:iCs/>
          <w:sz w:val="24"/>
          <w:szCs w:val="24"/>
          <w:lang w:eastAsia="da-DK"/>
        </w:rPr>
        <w:t> : Tendance d’évolution de l’évaporation des lacs d’eau naturels ou artificiels et des cours d’eau</w:t>
      </w:r>
      <w:bookmarkEnd w:id="658"/>
      <w:bookmarkEnd w:id="659"/>
      <w:bookmarkEnd w:id="660"/>
      <w:bookmarkEnd w:id="661"/>
    </w:p>
    <w:p w14:paraId="6B29BDD2" w14:textId="77777777" w:rsidR="00FA5C38" w:rsidRPr="007C5A6E" w:rsidRDefault="00FA5C38" w:rsidP="00F57A5C">
      <w:pPr>
        <w:tabs>
          <w:tab w:val="left" w:pos="1134"/>
        </w:tabs>
        <w:spacing w:after="0" w:line="240" w:lineRule="auto"/>
        <w:ind w:left="1134" w:hanging="1134"/>
        <w:rPr>
          <w:rFonts w:ascii="Times New Roman" w:hAnsi="Times New Roman"/>
          <w:i/>
          <w:sz w:val="24"/>
          <w:szCs w:val="24"/>
          <w:lang w:eastAsia="da-DK"/>
        </w:rPr>
      </w:pPr>
    </w:p>
    <w:p w14:paraId="151D5994" w14:textId="77777777" w:rsidR="00F57A5C" w:rsidRPr="007C5A6E" w:rsidRDefault="00F57A5C" w:rsidP="00F57A5C">
      <w:pPr>
        <w:spacing w:after="0" w:line="240" w:lineRule="auto"/>
        <w:jc w:val="both"/>
        <w:rPr>
          <w:rFonts w:ascii="Times New Roman" w:hAnsi="Times New Roman"/>
          <w:color w:val="FF0000"/>
          <w:sz w:val="21"/>
          <w:szCs w:val="21"/>
        </w:rPr>
      </w:pPr>
      <w:r w:rsidRPr="007C5A6E">
        <w:rPr>
          <w:rFonts w:ascii="Times New Roman" w:hAnsi="Times New Roman"/>
          <w:noProof/>
          <w:sz w:val="21"/>
          <w:szCs w:val="21"/>
        </w:rPr>
        <w:drawing>
          <wp:inline distT="0" distB="0" distL="0" distR="0" wp14:anchorId="68DB8322" wp14:editId="48428BBD">
            <wp:extent cx="5759450" cy="927735"/>
            <wp:effectExtent l="0" t="0" r="0" b="5715"/>
            <wp:docPr id="839056026"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59450" cy="927735"/>
                    </a:xfrm>
                    <a:prstGeom prst="rect">
                      <a:avLst/>
                    </a:prstGeom>
                    <a:noFill/>
                    <a:ln>
                      <a:noFill/>
                    </a:ln>
                  </pic:spPr>
                </pic:pic>
              </a:graphicData>
            </a:graphic>
          </wp:inline>
        </w:drawing>
      </w:r>
    </w:p>
    <w:p w14:paraId="22023F03" w14:textId="77777777" w:rsidR="00F57A5C" w:rsidRPr="007C5A6E" w:rsidRDefault="00F57A5C" w:rsidP="00F57A5C">
      <w:pPr>
        <w:spacing w:after="0" w:line="240" w:lineRule="auto"/>
        <w:jc w:val="both"/>
        <w:rPr>
          <w:rFonts w:ascii="Times New Roman" w:hAnsi="Times New Roman"/>
          <w:sz w:val="20"/>
          <w:szCs w:val="20"/>
        </w:rPr>
      </w:pPr>
      <w:r w:rsidRPr="007C5A6E">
        <w:rPr>
          <w:rFonts w:ascii="Times New Roman" w:hAnsi="Times New Roman"/>
          <w:sz w:val="20"/>
          <w:szCs w:val="20"/>
        </w:rPr>
        <w:t xml:space="preserve">Source des données : Annuaire agro </w:t>
      </w:r>
      <w:proofErr w:type="spellStart"/>
      <w:r w:rsidRPr="007C5A6E">
        <w:rPr>
          <w:rFonts w:ascii="Times New Roman" w:hAnsi="Times New Roman"/>
          <w:sz w:val="20"/>
          <w:szCs w:val="20"/>
        </w:rPr>
        <w:t>sylvo</w:t>
      </w:r>
      <w:proofErr w:type="spellEnd"/>
      <w:r w:rsidRPr="007C5A6E">
        <w:rPr>
          <w:rFonts w:ascii="Times New Roman" w:hAnsi="Times New Roman"/>
          <w:sz w:val="20"/>
          <w:szCs w:val="20"/>
        </w:rPr>
        <w:t xml:space="preserve"> pastoral 2021)</w:t>
      </w:r>
    </w:p>
    <w:p w14:paraId="4B380B10" w14:textId="3B63FF79" w:rsidR="00F57A5C" w:rsidRPr="007C5A6E" w:rsidRDefault="00F57A5C" w:rsidP="00FA5C38">
      <w:pPr>
        <w:spacing w:after="0" w:line="240" w:lineRule="auto"/>
        <w:jc w:val="both"/>
        <w:rPr>
          <w:rFonts w:ascii="Times New Roman" w:hAnsi="Times New Roman"/>
          <w:sz w:val="20"/>
          <w:szCs w:val="20"/>
        </w:rPr>
      </w:pPr>
      <w:r w:rsidRPr="007C5A6E">
        <w:rPr>
          <w:rFonts w:ascii="Times New Roman" w:hAnsi="Times New Roman"/>
          <w:sz w:val="20"/>
          <w:szCs w:val="20"/>
        </w:rPr>
        <w:t>Coefficient de 0,8 pour le passage des valeurs du Bac A à celles des plans d’eau de surface libre.</w:t>
      </w:r>
    </w:p>
    <w:p w14:paraId="4382A76E" w14:textId="77777777" w:rsidR="006106FE" w:rsidRPr="007C5A6E" w:rsidRDefault="006106FE" w:rsidP="00FA5C38">
      <w:pPr>
        <w:spacing w:after="0" w:line="240" w:lineRule="auto"/>
        <w:jc w:val="both"/>
        <w:rPr>
          <w:rFonts w:ascii="Times New Roman" w:hAnsi="Times New Roman"/>
          <w:b/>
          <w:bCs/>
          <w:i/>
          <w:iCs/>
          <w:sz w:val="24"/>
          <w:szCs w:val="24"/>
        </w:rPr>
      </w:pPr>
    </w:p>
    <w:p w14:paraId="400D4EC3" w14:textId="065DF63C" w:rsidR="00F57A5C" w:rsidRPr="007C5A6E" w:rsidRDefault="00F57A5C" w:rsidP="00FA5C38">
      <w:pPr>
        <w:spacing w:after="0" w:line="240" w:lineRule="auto"/>
        <w:jc w:val="both"/>
        <w:rPr>
          <w:rFonts w:ascii="Times New Roman" w:hAnsi="Times New Roman"/>
          <w:b/>
          <w:bCs/>
          <w:i/>
          <w:iCs/>
          <w:sz w:val="24"/>
          <w:szCs w:val="24"/>
        </w:rPr>
      </w:pPr>
      <w:r w:rsidRPr="007C5A6E">
        <w:rPr>
          <w:rFonts w:ascii="Times New Roman" w:hAnsi="Times New Roman"/>
          <w:b/>
          <w:bCs/>
          <w:i/>
          <w:iCs/>
          <w:sz w:val="24"/>
          <w:szCs w:val="24"/>
        </w:rPr>
        <w:t>A titre illustratif, le lac du barrage de Samendéni a une superficie de 16 000 ha et perd par évaporation, au moins 230 400 000 m3 à 256 000 000 m3 par an, soit environ 24% de sa capacité de stockage.</w:t>
      </w:r>
    </w:p>
    <w:p w14:paraId="0B797A1D" w14:textId="38B6685C" w:rsidR="00A340F1" w:rsidRPr="007C5A6E" w:rsidRDefault="00A340F1" w:rsidP="00FA5C38">
      <w:pPr>
        <w:spacing w:after="0" w:line="240" w:lineRule="auto"/>
        <w:rPr>
          <w:rFonts w:ascii="Times New Roman" w:hAnsi="Times New Roman"/>
          <w:sz w:val="24"/>
          <w:szCs w:val="24"/>
        </w:rPr>
      </w:pPr>
    </w:p>
    <w:p w14:paraId="605A182C" w14:textId="6BC2562F" w:rsidR="00B94F95" w:rsidRPr="007C5A6E" w:rsidRDefault="00B94F95" w:rsidP="00712C43">
      <w:pPr>
        <w:pStyle w:val="Titre2"/>
      </w:pPr>
      <w:bookmarkStart w:id="662" w:name="_Toc183340126"/>
      <w:r w:rsidRPr="007C5A6E">
        <w:t xml:space="preserve">Les réponses aux pressions </w:t>
      </w:r>
      <w:r w:rsidR="00006463" w:rsidRPr="007C5A6E">
        <w:t xml:space="preserve">et impacts </w:t>
      </w:r>
      <w:r w:rsidRPr="007C5A6E">
        <w:t>sur les ressources en eau</w:t>
      </w:r>
      <w:bookmarkEnd w:id="662"/>
    </w:p>
    <w:p w14:paraId="2D69AA7C" w14:textId="77777777" w:rsidR="00D63F90" w:rsidRPr="007C5A6E" w:rsidRDefault="00D63F90" w:rsidP="00DE5680">
      <w:pPr>
        <w:spacing w:after="0" w:line="240" w:lineRule="auto"/>
      </w:pPr>
    </w:p>
    <w:p w14:paraId="123BB8E3" w14:textId="5639ABB6" w:rsidR="00DE5680" w:rsidRPr="007C5A6E" w:rsidRDefault="00DE5680" w:rsidP="00DE5680">
      <w:pPr>
        <w:spacing w:after="0" w:line="240" w:lineRule="auto"/>
        <w:jc w:val="both"/>
        <w:rPr>
          <w:rFonts w:ascii="Times New Roman" w:hAnsi="Times New Roman"/>
          <w:sz w:val="24"/>
          <w:szCs w:val="24"/>
        </w:rPr>
      </w:pPr>
      <w:r w:rsidRPr="007C5A6E">
        <w:rPr>
          <w:rFonts w:ascii="Times New Roman" w:hAnsi="Times New Roman"/>
          <w:sz w:val="24"/>
          <w:szCs w:val="24"/>
        </w:rPr>
        <w:t>Depuis l’enclenchement en 1998 de la dynamique de gestion intégrée des ressources en eau à nos jours, de nombreux outils de gestion des ressources en eau ont été élaborés sur plusieurs plans.</w:t>
      </w:r>
    </w:p>
    <w:p w14:paraId="1830A0BA" w14:textId="77777777" w:rsidR="00DE5680" w:rsidRPr="007C5A6E" w:rsidRDefault="00DE5680" w:rsidP="003F3821">
      <w:pPr>
        <w:numPr>
          <w:ilvl w:val="0"/>
          <w:numId w:val="19"/>
        </w:numPr>
        <w:tabs>
          <w:tab w:val="left" w:pos="4111"/>
        </w:tabs>
        <w:spacing w:after="0" w:line="240" w:lineRule="auto"/>
        <w:ind w:left="357" w:hanging="357"/>
        <w:contextualSpacing/>
        <w:jc w:val="both"/>
        <w:rPr>
          <w:rFonts w:ascii="Times New Roman" w:hAnsi="Times New Roman"/>
          <w:b/>
          <w:bCs/>
          <w:sz w:val="24"/>
          <w:szCs w:val="24"/>
        </w:rPr>
      </w:pPr>
      <w:r w:rsidRPr="007C5A6E">
        <w:rPr>
          <w:rFonts w:ascii="Times New Roman" w:hAnsi="Times New Roman"/>
          <w:b/>
          <w:bCs/>
          <w:sz w:val="24"/>
          <w:szCs w:val="24"/>
        </w:rPr>
        <w:t xml:space="preserve">Les outils politiques, juridiques </w:t>
      </w:r>
    </w:p>
    <w:p w14:paraId="1C92C542" w14:textId="77777777" w:rsidR="00DE5680" w:rsidRPr="007C5A6E" w:rsidRDefault="00DE5680" w:rsidP="003F3821">
      <w:pPr>
        <w:numPr>
          <w:ilvl w:val="1"/>
          <w:numId w:val="19"/>
        </w:numPr>
        <w:spacing w:after="0" w:line="240" w:lineRule="auto"/>
        <w:ind w:left="697" w:hanging="357"/>
        <w:contextualSpacing/>
        <w:jc w:val="both"/>
        <w:rPr>
          <w:rFonts w:ascii="Times New Roman" w:hAnsi="Times New Roman"/>
          <w:sz w:val="24"/>
          <w:szCs w:val="24"/>
        </w:rPr>
      </w:pPr>
      <w:r w:rsidRPr="007C5A6E">
        <w:rPr>
          <w:rFonts w:ascii="Times New Roman" w:hAnsi="Times New Roman"/>
          <w:sz w:val="24"/>
          <w:szCs w:val="24"/>
        </w:rPr>
        <w:t>Le document de Politique nationale de l’eau fondée sur les principes et les règles de la gestion intégrée des ressources en eau (GIRE) qui a fait l’objet d’une relecture</w:t>
      </w:r>
    </w:p>
    <w:p w14:paraId="45A6259B" w14:textId="77777777" w:rsidR="00DE5680" w:rsidRPr="007C5A6E" w:rsidRDefault="00DE5680" w:rsidP="003F3821">
      <w:pPr>
        <w:numPr>
          <w:ilvl w:val="1"/>
          <w:numId w:val="19"/>
        </w:numPr>
        <w:spacing w:after="0" w:line="240" w:lineRule="auto"/>
        <w:ind w:left="697" w:hanging="357"/>
        <w:contextualSpacing/>
        <w:jc w:val="both"/>
        <w:rPr>
          <w:rFonts w:ascii="Times New Roman" w:hAnsi="Times New Roman"/>
          <w:sz w:val="24"/>
          <w:szCs w:val="24"/>
        </w:rPr>
      </w:pPr>
      <w:r w:rsidRPr="007C5A6E">
        <w:rPr>
          <w:rFonts w:ascii="Times New Roman" w:hAnsi="Times New Roman"/>
          <w:sz w:val="24"/>
          <w:szCs w:val="24"/>
        </w:rPr>
        <w:t>La loi d’orientation relative à la gestion de l’eau et ses textes d’application</w:t>
      </w:r>
    </w:p>
    <w:p w14:paraId="11FD80BB" w14:textId="77777777" w:rsidR="00DE5680" w:rsidRPr="007C5A6E" w:rsidRDefault="00DE5680" w:rsidP="003F3821">
      <w:pPr>
        <w:numPr>
          <w:ilvl w:val="1"/>
          <w:numId w:val="19"/>
        </w:numPr>
        <w:tabs>
          <w:tab w:val="left" w:pos="4111"/>
        </w:tabs>
        <w:spacing w:after="0" w:line="240" w:lineRule="auto"/>
        <w:ind w:left="697" w:hanging="357"/>
        <w:contextualSpacing/>
        <w:jc w:val="both"/>
        <w:rPr>
          <w:rFonts w:ascii="Times New Roman" w:hAnsi="Times New Roman"/>
          <w:sz w:val="24"/>
          <w:szCs w:val="24"/>
        </w:rPr>
      </w:pPr>
      <w:r w:rsidRPr="007C5A6E">
        <w:rPr>
          <w:rFonts w:ascii="Times New Roman" w:hAnsi="Times New Roman"/>
          <w:sz w:val="24"/>
          <w:szCs w:val="24"/>
        </w:rPr>
        <w:t>La loi relative à la Contribution financière en matière d’eau (CFE) et ses textes d’application</w:t>
      </w:r>
    </w:p>
    <w:p w14:paraId="130B04A6" w14:textId="77777777" w:rsidR="00DE5680" w:rsidRPr="007C5A6E" w:rsidRDefault="00DE5680" w:rsidP="00DE5680">
      <w:pPr>
        <w:tabs>
          <w:tab w:val="left" w:pos="4111"/>
        </w:tabs>
        <w:spacing w:after="0" w:line="240" w:lineRule="auto"/>
        <w:ind w:left="697"/>
        <w:contextualSpacing/>
        <w:jc w:val="both"/>
        <w:rPr>
          <w:rFonts w:ascii="Times New Roman" w:hAnsi="Times New Roman"/>
          <w:sz w:val="24"/>
          <w:szCs w:val="24"/>
        </w:rPr>
      </w:pPr>
    </w:p>
    <w:p w14:paraId="45403C1B" w14:textId="77777777" w:rsidR="00DE5680" w:rsidRPr="007C5A6E" w:rsidRDefault="00DE5680" w:rsidP="003F3821">
      <w:pPr>
        <w:numPr>
          <w:ilvl w:val="0"/>
          <w:numId w:val="19"/>
        </w:numPr>
        <w:tabs>
          <w:tab w:val="left" w:pos="4111"/>
        </w:tabs>
        <w:spacing w:after="0" w:line="240" w:lineRule="auto"/>
        <w:ind w:left="357" w:hanging="357"/>
        <w:contextualSpacing/>
        <w:jc w:val="both"/>
        <w:rPr>
          <w:rFonts w:ascii="Times New Roman" w:hAnsi="Times New Roman"/>
          <w:b/>
          <w:bCs/>
          <w:sz w:val="24"/>
          <w:szCs w:val="24"/>
        </w:rPr>
      </w:pPr>
      <w:r w:rsidRPr="007C5A6E">
        <w:rPr>
          <w:rFonts w:ascii="Times New Roman" w:hAnsi="Times New Roman"/>
          <w:b/>
          <w:bCs/>
          <w:sz w:val="24"/>
          <w:szCs w:val="24"/>
        </w:rPr>
        <w:t>Le cadre institutionnel, organisationnel et technique de la gestion des ressources en eau</w:t>
      </w:r>
    </w:p>
    <w:p w14:paraId="4C4EBE29" w14:textId="77777777" w:rsidR="00DE5680" w:rsidRPr="007C5A6E" w:rsidRDefault="00DE5680" w:rsidP="003F3821">
      <w:pPr>
        <w:numPr>
          <w:ilvl w:val="1"/>
          <w:numId w:val="19"/>
        </w:numPr>
        <w:spacing w:after="0" w:line="240" w:lineRule="auto"/>
        <w:ind w:left="697" w:hanging="357"/>
        <w:contextualSpacing/>
        <w:jc w:val="both"/>
        <w:rPr>
          <w:rFonts w:ascii="Times New Roman" w:hAnsi="Times New Roman"/>
          <w:sz w:val="24"/>
          <w:szCs w:val="24"/>
        </w:rPr>
      </w:pPr>
      <w:r w:rsidRPr="007C5A6E">
        <w:rPr>
          <w:rFonts w:ascii="Times New Roman" w:hAnsi="Times New Roman"/>
          <w:sz w:val="24"/>
          <w:szCs w:val="24"/>
        </w:rPr>
        <w:t>Mise en place et recadrage des missions des services techniques de l’Etat en matière de gestion des ressources en eau</w:t>
      </w:r>
    </w:p>
    <w:p w14:paraId="03E20962" w14:textId="77777777" w:rsidR="00DE5680" w:rsidRPr="007C5A6E" w:rsidRDefault="00DE5680" w:rsidP="003F3821">
      <w:pPr>
        <w:numPr>
          <w:ilvl w:val="1"/>
          <w:numId w:val="19"/>
        </w:numPr>
        <w:spacing w:after="0" w:line="240" w:lineRule="auto"/>
        <w:ind w:left="697" w:hanging="357"/>
        <w:contextualSpacing/>
        <w:jc w:val="both"/>
        <w:rPr>
          <w:rFonts w:ascii="Times New Roman" w:hAnsi="Times New Roman"/>
          <w:sz w:val="24"/>
          <w:szCs w:val="24"/>
        </w:rPr>
      </w:pPr>
      <w:r w:rsidRPr="007C5A6E">
        <w:rPr>
          <w:rFonts w:ascii="Times New Roman" w:hAnsi="Times New Roman"/>
          <w:sz w:val="24"/>
          <w:szCs w:val="24"/>
        </w:rPr>
        <w:t>Mise en place de la police de l’eau au niveau des directions régionales en charge de l’eau</w:t>
      </w:r>
    </w:p>
    <w:p w14:paraId="118EA9F4" w14:textId="77777777" w:rsidR="00DE5680" w:rsidRPr="007C5A6E" w:rsidRDefault="00DE5680" w:rsidP="003F3821">
      <w:pPr>
        <w:numPr>
          <w:ilvl w:val="1"/>
          <w:numId w:val="19"/>
        </w:numPr>
        <w:spacing w:after="0" w:line="240" w:lineRule="auto"/>
        <w:ind w:left="697" w:hanging="357"/>
        <w:contextualSpacing/>
        <w:jc w:val="both"/>
        <w:rPr>
          <w:rFonts w:ascii="Times New Roman" w:hAnsi="Times New Roman"/>
          <w:sz w:val="24"/>
          <w:szCs w:val="24"/>
        </w:rPr>
      </w:pPr>
      <w:r w:rsidRPr="007C5A6E">
        <w:rPr>
          <w:rFonts w:ascii="Times New Roman" w:hAnsi="Times New Roman"/>
          <w:sz w:val="24"/>
          <w:szCs w:val="24"/>
        </w:rPr>
        <w:t>Mise en place de l’ensemble des organes des agences de l’eau (Comité de bassin, Direction générale, CLE…)</w:t>
      </w:r>
    </w:p>
    <w:p w14:paraId="291AB5B5" w14:textId="77777777" w:rsidR="00DE5680" w:rsidRPr="007C5A6E" w:rsidRDefault="00DE5680" w:rsidP="003F3821">
      <w:pPr>
        <w:numPr>
          <w:ilvl w:val="1"/>
          <w:numId w:val="19"/>
        </w:numPr>
        <w:spacing w:after="0" w:line="240" w:lineRule="auto"/>
        <w:ind w:left="697" w:hanging="357"/>
        <w:contextualSpacing/>
        <w:jc w:val="both"/>
        <w:rPr>
          <w:rFonts w:ascii="Times New Roman" w:hAnsi="Times New Roman"/>
          <w:sz w:val="24"/>
          <w:szCs w:val="24"/>
        </w:rPr>
      </w:pPr>
      <w:r w:rsidRPr="007C5A6E">
        <w:rPr>
          <w:rFonts w:ascii="Times New Roman" w:hAnsi="Times New Roman"/>
          <w:sz w:val="24"/>
          <w:szCs w:val="24"/>
        </w:rPr>
        <w:t>Définition des espaces respectifs de gestion des ressources en eau des bassins hydrologiques des cours d’eau nationaux (Comoé, Mouhoun, Nakanbé, Niger) par les agences de l’eau</w:t>
      </w:r>
    </w:p>
    <w:p w14:paraId="00B99FD9" w14:textId="77777777" w:rsidR="00DE5680" w:rsidRPr="007C5A6E" w:rsidRDefault="00DE5680" w:rsidP="003F3821">
      <w:pPr>
        <w:numPr>
          <w:ilvl w:val="1"/>
          <w:numId w:val="19"/>
        </w:numPr>
        <w:spacing w:after="0" w:line="240" w:lineRule="auto"/>
        <w:ind w:left="697" w:hanging="357"/>
        <w:contextualSpacing/>
        <w:jc w:val="both"/>
        <w:rPr>
          <w:rFonts w:ascii="Times New Roman" w:hAnsi="Times New Roman"/>
          <w:sz w:val="24"/>
          <w:szCs w:val="24"/>
        </w:rPr>
      </w:pPr>
      <w:r w:rsidRPr="007C5A6E">
        <w:rPr>
          <w:rFonts w:ascii="Times New Roman" w:hAnsi="Times New Roman"/>
          <w:sz w:val="24"/>
          <w:szCs w:val="24"/>
        </w:rPr>
        <w:t>Mise en place et optimisation de réseaux de suivi quantitatif et qualitatif des ressources en eau dans tous les bassins hydrographiques</w:t>
      </w:r>
    </w:p>
    <w:p w14:paraId="6C35F90F" w14:textId="77777777" w:rsidR="00DE5680" w:rsidRPr="007C5A6E" w:rsidRDefault="00DE5680" w:rsidP="003F3821">
      <w:pPr>
        <w:numPr>
          <w:ilvl w:val="1"/>
          <w:numId w:val="19"/>
        </w:numPr>
        <w:spacing w:after="0" w:line="240" w:lineRule="auto"/>
        <w:ind w:left="697" w:hanging="357"/>
        <w:contextualSpacing/>
        <w:jc w:val="both"/>
        <w:rPr>
          <w:rFonts w:ascii="Times New Roman" w:hAnsi="Times New Roman"/>
          <w:sz w:val="24"/>
          <w:szCs w:val="24"/>
        </w:rPr>
      </w:pPr>
      <w:r w:rsidRPr="007C5A6E">
        <w:rPr>
          <w:rFonts w:ascii="Times New Roman" w:hAnsi="Times New Roman"/>
          <w:sz w:val="24"/>
          <w:szCs w:val="24"/>
        </w:rPr>
        <w:t>Adoption du PAGIRE</w:t>
      </w:r>
    </w:p>
    <w:p w14:paraId="1D73F2E0" w14:textId="77777777" w:rsidR="00DE5680" w:rsidRPr="007C5A6E" w:rsidRDefault="00DE5680" w:rsidP="00DE5680">
      <w:pPr>
        <w:tabs>
          <w:tab w:val="left" w:pos="4111"/>
        </w:tabs>
        <w:spacing w:after="0" w:line="240" w:lineRule="auto"/>
        <w:ind w:left="357"/>
        <w:contextualSpacing/>
        <w:jc w:val="both"/>
        <w:rPr>
          <w:rFonts w:ascii="Times New Roman" w:hAnsi="Times New Roman"/>
          <w:sz w:val="24"/>
          <w:szCs w:val="24"/>
        </w:rPr>
      </w:pPr>
      <w:bookmarkStart w:id="663" w:name="_Toc478807231"/>
    </w:p>
    <w:p w14:paraId="6DA09B40" w14:textId="28BE0935" w:rsidR="00DE5680" w:rsidRPr="007C5A6E" w:rsidRDefault="00DE5680" w:rsidP="003F3821">
      <w:pPr>
        <w:numPr>
          <w:ilvl w:val="0"/>
          <w:numId w:val="19"/>
        </w:numPr>
        <w:tabs>
          <w:tab w:val="left" w:pos="4111"/>
        </w:tabs>
        <w:spacing w:after="0" w:line="240" w:lineRule="auto"/>
        <w:ind w:left="357" w:hanging="357"/>
        <w:contextualSpacing/>
        <w:jc w:val="both"/>
        <w:rPr>
          <w:rFonts w:ascii="Times New Roman" w:hAnsi="Times New Roman"/>
          <w:b/>
          <w:bCs/>
          <w:sz w:val="24"/>
          <w:szCs w:val="24"/>
        </w:rPr>
      </w:pPr>
      <w:r w:rsidRPr="007C5A6E">
        <w:rPr>
          <w:rFonts w:ascii="Times New Roman" w:hAnsi="Times New Roman"/>
          <w:b/>
          <w:bCs/>
          <w:sz w:val="24"/>
          <w:szCs w:val="24"/>
        </w:rPr>
        <w:t>L’organisation et le renforcement du cadre programmatique</w:t>
      </w:r>
      <w:bookmarkEnd w:id="663"/>
      <w:r w:rsidRPr="007C5A6E">
        <w:rPr>
          <w:rFonts w:ascii="Times New Roman" w:hAnsi="Times New Roman"/>
          <w:b/>
          <w:bCs/>
          <w:sz w:val="24"/>
          <w:szCs w:val="24"/>
        </w:rPr>
        <w:t xml:space="preserve"> de gestion des ressources en eau </w:t>
      </w:r>
    </w:p>
    <w:p w14:paraId="4570D3B8" w14:textId="77777777" w:rsidR="00DE5680" w:rsidRPr="007C5A6E" w:rsidRDefault="00DE5680" w:rsidP="003F3821">
      <w:pPr>
        <w:numPr>
          <w:ilvl w:val="1"/>
          <w:numId w:val="19"/>
        </w:numPr>
        <w:spacing w:after="0" w:line="240" w:lineRule="auto"/>
        <w:ind w:left="697" w:hanging="357"/>
        <w:contextualSpacing/>
        <w:jc w:val="both"/>
        <w:rPr>
          <w:rFonts w:ascii="Times New Roman" w:hAnsi="Times New Roman"/>
          <w:sz w:val="24"/>
          <w:szCs w:val="24"/>
        </w:rPr>
      </w:pPr>
      <w:r w:rsidRPr="007C5A6E">
        <w:rPr>
          <w:rFonts w:ascii="Times New Roman" w:hAnsi="Times New Roman"/>
          <w:sz w:val="24"/>
          <w:szCs w:val="24"/>
        </w:rPr>
        <w:t xml:space="preserve">Elaboration de SDAGE des bassins espaces de compétences des agences de l’eau des Cascades, du Mouhoun et du Nakanbé et amorce de celle des agences de l’eau du Gourma et du </w:t>
      </w:r>
      <w:proofErr w:type="spellStart"/>
      <w:r w:rsidRPr="007C5A6E">
        <w:rPr>
          <w:rFonts w:ascii="Times New Roman" w:hAnsi="Times New Roman"/>
          <w:sz w:val="24"/>
          <w:szCs w:val="24"/>
        </w:rPr>
        <w:t>Liptako</w:t>
      </w:r>
      <w:proofErr w:type="spellEnd"/>
      <w:r w:rsidRPr="007C5A6E">
        <w:rPr>
          <w:rFonts w:ascii="Times New Roman" w:hAnsi="Times New Roman"/>
          <w:sz w:val="24"/>
          <w:szCs w:val="24"/>
        </w:rPr>
        <w:t xml:space="preserve"> ; </w:t>
      </w:r>
    </w:p>
    <w:p w14:paraId="14772239" w14:textId="77777777" w:rsidR="00DE5680" w:rsidRPr="007C5A6E" w:rsidRDefault="00DE5680" w:rsidP="003F3821">
      <w:pPr>
        <w:numPr>
          <w:ilvl w:val="1"/>
          <w:numId w:val="19"/>
        </w:numPr>
        <w:spacing w:after="0" w:line="240" w:lineRule="auto"/>
        <w:ind w:left="697" w:hanging="357"/>
        <w:contextualSpacing/>
        <w:jc w:val="both"/>
        <w:rPr>
          <w:rFonts w:ascii="Times New Roman" w:hAnsi="Times New Roman"/>
          <w:sz w:val="24"/>
          <w:szCs w:val="24"/>
        </w:rPr>
      </w:pPr>
      <w:r w:rsidRPr="007C5A6E">
        <w:rPr>
          <w:rFonts w:ascii="Times New Roman" w:hAnsi="Times New Roman"/>
          <w:sz w:val="24"/>
          <w:szCs w:val="24"/>
        </w:rPr>
        <w:t>Elaboration de SAGE en cours pour l’Agence de l’Eau du Mouhoun</w:t>
      </w:r>
    </w:p>
    <w:p w14:paraId="39689928" w14:textId="04392CD5" w:rsidR="00DE5680" w:rsidRPr="007C5A6E" w:rsidRDefault="00DE5680" w:rsidP="003F3821">
      <w:pPr>
        <w:numPr>
          <w:ilvl w:val="1"/>
          <w:numId w:val="19"/>
        </w:numPr>
        <w:spacing w:after="0" w:line="240" w:lineRule="auto"/>
        <w:ind w:left="697" w:hanging="357"/>
        <w:contextualSpacing/>
        <w:jc w:val="both"/>
        <w:rPr>
          <w:rFonts w:ascii="Times New Roman" w:hAnsi="Times New Roman"/>
          <w:sz w:val="24"/>
          <w:szCs w:val="24"/>
        </w:rPr>
      </w:pPr>
      <w:r w:rsidRPr="007C5A6E">
        <w:rPr>
          <w:rFonts w:ascii="Times New Roman" w:hAnsi="Times New Roman"/>
          <w:sz w:val="24"/>
          <w:szCs w:val="24"/>
        </w:rPr>
        <w:t>Elaboration de programmes nationaux de mise en œuvre de la politique nationale de l’eau (Programme national d’assainissement des eaux usées et excréta (PN-AEUE) pour 2016-2030 ; Programme National de l’Eau Potable et de l’Assainissement (PN-AEPA) jusqu’en 2015 ; Programme national GIRE ; Programme national pour les Infrastructures hydrauliques).</w:t>
      </w:r>
    </w:p>
    <w:p w14:paraId="738A1CFD" w14:textId="77777777" w:rsidR="00DE5680" w:rsidRPr="007C5A6E" w:rsidRDefault="00DE5680" w:rsidP="00DE5680">
      <w:pPr>
        <w:spacing w:after="0" w:line="240" w:lineRule="auto"/>
        <w:ind w:left="697"/>
        <w:contextualSpacing/>
        <w:jc w:val="both"/>
        <w:rPr>
          <w:rFonts w:ascii="Times New Roman" w:hAnsi="Times New Roman"/>
          <w:sz w:val="24"/>
          <w:szCs w:val="24"/>
        </w:rPr>
      </w:pPr>
    </w:p>
    <w:p w14:paraId="7CC87310" w14:textId="77777777" w:rsidR="00DE5680" w:rsidRPr="007C5A6E" w:rsidRDefault="00DE5680" w:rsidP="003F3821">
      <w:pPr>
        <w:numPr>
          <w:ilvl w:val="0"/>
          <w:numId w:val="19"/>
        </w:numPr>
        <w:tabs>
          <w:tab w:val="left" w:pos="4111"/>
        </w:tabs>
        <w:spacing w:after="0" w:line="240" w:lineRule="auto"/>
        <w:ind w:left="357" w:hanging="357"/>
        <w:contextualSpacing/>
        <w:jc w:val="both"/>
        <w:rPr>
          <w:rFonts w:ascii="Times New Roman" w:hAnsi="Times New Roman"/>
          <w:b/>
          <w:bCs/>
          <w:sz w:val="24"/>
          <w:szCs w:val="24"/>
        </w:rPr>
      </w:pPr>
      <w:r w:rsidRPr="007C5A6E">
        <w:rPr>
          <w:rFonts w:ascii="Times New Roman" w:hAnsi="Times New Roman"/>
          <w:b/>
          <w:bCs/>
          <w:sz w:val="24"/>
          <w:szCs w:val="24"/>
        </w:rPr>
        <w:t>Au niveau opérationnel</w:t>
      </w:r>
    </w:p>
    <w:p w14:paraId="30F31D5B" w14:textId="77777777" w:rsidR="00DE5680" w:rsidRPr="007C5A6E" w:rsidRDefault="00DE5680" w:rsidP="003F3821">
      <w:pPr>
        <w:numPr>
          <w:ilvl w:val="1"/>
          <w:numId w:val="19"/>
        </w:numPr>
        <w:spacing w:after="0" w:line="240" w:lineRule="auto"/>
        <w:ind w:left="697" w:hanging="357"/>
        <w:contextualSpacing/>
        <w:jc w:val="both"/>
        <w:rPr>
          <w:rFonts w:ascii="Times New Roman" w:hAnsi="Times New Roman"/>
          <w:sz w:val="24"/>
          <w:szCs w:val="24"/>
        </w:rPr>
      </w:pPr>
      <w:r w:rsidRPr="007C5A6E">
        <w:rPr>
          <w:rFonts w:ascii="Times New Roman" w:hAnsi="Times New Roman"/>
          <w:sz w:val="24"/>
          <w:szCs w:val="24"/>
        </w:rPr>
        <w:t xml:space="preserve">Développement d’une nouvelle approche pour l’impulsion de l’assainissement en milieu rural (Assainissement total piloté par les communautés (ATPC) ; </w:t>
      </w:r>
    </w:p>
    <w:p w14:paraId="79B9FF4D" w14:textId="77777777" w:rsidR="00DE5680" w:rsidRPr="007C5A6E" w:rsidRDefault="00DE5680" w:rsidP="003F3821">
      <w:pPr>
        <w:numPr>
          <w:ilvl w:val="1"/>
          <w:numId w:val="19"/>
        </w:numPr>
        <w:spacing w:after="0" w:line="240" w:lineRule="auto"/>
        <w:ind w:left="697" w:hanging="357"/>
        <w:contextualSpacing/>
        <w:jc w:val="both"/>
        <w:rPr>
          <w:rFonts w:ascii="Times New Roman" w:hAnsi="Times New Roman"/>
          <w:sz w:val="24"/>
          <w:szCs w:val="24"/>
        </w:rPr>
      </w:pPr>
      <w:r w:rsidRPr="007C5A6E">
        <w:rPr>
          <w:rFonts w:ascii="Times New Roman" w:hAnsi="Times New Roman"/>
          <w:sz w:val="24"/>
          <w:szCs w:val="24"/>
        </w:rPr>
        <w:t>Poursuite des programmes d’exécution d’ouvrages hydrauliques de mobilisation des eaux souterraines et de surface (forages, puits, barrages…) ;</w:t>
      </w:r>
    </w:p>
    <w:p w14:paraId="4E17B74B" w14:textId="77777777" w:rsidR="00DE5680" w:rsidRPr="007C5A6E" w:rsidRDefault="00DE5680" w:rsidP="00DE5680">
      <w:pPr>
        <w:spacing w:after="0" w:line="240" w:lineRule="auto"/>
        <w:jc w:val="both"/>
        <w:rPr>
          <w:rFonts w:ascii="Times New Roman" w:hAnsi="Times New Roman"/>
          <w:sz w:val="24"/>
          <w:szCs w:val="24"/>
        </w:rPr>
      </w:pPr>
    </w:p>
    <w:p w14:paraId="6F84259B" w14:textId="6E22F4D6" w:rsidR="00DE5680" w:rsidRPr="007C5A6E" w:rsidRDefault="00DE5680" w:rsidP="00DE5680">
      <w:pPr>
        <w:spacing w:after="0" w:line="240" w:lineRule="auto"/>
        <w:jc w:val="both"/>
        <w:rPr>
          <w:rFonts w:ascii="Times New Roman" w:hAnsi="Times New Roman"/>
          <w:sz w:val="24"/>
          <w:szCs w:val="24"/>
        </w:rPr>
      </w:pPr>
      <w:r w:rsidRPr="007C5A6E">
        <w:rPr>
          <w:rFonts w:ascii="Times New Roman" w:hAnsi="Times New Roman"/>
          <w:sz w:val="24"/>
          <w:szCs w:val="24"/>
        </w:rPr>
        <w:t>Malgré de telles avancées, les réponses restent en deçà des exigences de performance pour l’établissement d’un état des lieux des ressources en eau du pays en raison principalement ;</w:t>
      </w:r>
    </w:p>
    <w:p w14:paraId="3BA3963B" w14:textId="77777777" w:rsidR="00DE5680" w:rsidRPr="007C5A6E" w:rsidRDefault="00DE5680" w:rsidP="003F3821">
      <w:pPr>
        <w:numPr>
          <w:ilvl w:val="0"/>
          <w:numId w:val="25"/>
        </w:numPr>
        <w:spacing w:after="0" w:line="240" w:lineRule="auto"/>
        <w:contextualSpacing/>
        <w:jc w:val="both"/>
        <w:rPr>
          <w:rFonts w:ascii="Times New Roman" w:hAnsi="Times New Roman"/>
          <w:sz w:val="24"/>
          <w:szCs w:val="24"/>
        </w:rPr>
      </w:pPr>
      <w:r w:rsidRPr="007C5A6E">
        <w:rPr>
          <w:rFonts w:ascii="Times New Roman" w:hAnsi="Times New Roman"/>
          <w:sz w:val="24"/>
          <w:szCs w:val="24"/>
        </w:rPr>
        <w:t>De la non intégration systématique du suivi de la qualité de l’eau dans la gestion des infrastructures hydrauliques d’eau souterraine et de surface ;</w:t>
      </w:r>
    </w:p>
    <w:p w14:paraId="0DC73712" w14:textId="66F65168" w:rsidR="00DE5680" w:rsidRPr="007C5A6E" w:rsidRDefault="00DE5680" w:rsidP="003F3821">
      <w:pPr>
        <w:numPr>
          <w:ilvl w:val="0"/>
          <w:numId w:val="25"/>
        </w:numPr>
        <w:spacing w:after="0" w:line="240" w:lineRule="auto"/>
        <w:contextualSpacing/>
        <w:jc w:val="both"/>
        <w:rPr>
          <w:rFonts w:ascii="Times New Roman" w:hAnsi="Times New Roman"/>
          <w:sz w:val="24"/>
          <w:szCs w:val="24"/>
        </w:rPr>
      </w:pPr>
      <w:r w:rsidRPr="007C5A6E">
        <w:rPr>
          <w:rFonts w:ascii="Times New Roman" w:hAnsi="Times New Roman"/>
          <w:sz w:val="24"/>
          <w:szCs w:val="24"/>
        </w:rPr>
        <w:t>Du manque de réseau formel et de suivi opérationnel des impacts de la pollution et des prélèvements sur les ressources en eau des bassins des différents cours d’eau nationaux ;</w:t>
      </w:r>
    </w:p>
    <w:p w14:paraId="2E9854A7" w14:textId="77777777" w:rsidR="00DE5680" w:rsidRPr="007C5A6E" w:rsidRDefault="00DE5680" w:rsidP="003F3821">
      <w:pPr>
        <w:numPr>
          <w:ilvl w:val="0"/>
          <w:numId w:val="22"/>
        </w:numPr>
        <w:spacing w:after="0" w:line="240" w:lineRule="auto"/>
        <w:contextualSpacing/>
        <w:jc w:val="both"/>
        <w:rPr>
          <w:rFonts w:ascii="Times New Roman" w:hAnsi="Times New Roman"/>
          <w:sz w:val="24"/>
          <w:szCs w:val="24"/>
        </w:rPr>
      </w:pPr>
      <w:r w:rsidRPr="007C5A6E">
        <w:rPr>
          <w:rFonts w:ascii="Times New Roman" w:hAnsi="Times New Roman"/>
          <w:sz w:val="24"/>
          <w:szCs w:val="24"/>
        </w:rPr>
        <w:t>De la non détermination et orientation des paramètres spécifiques à suivre régulièrement pour l’évaluation des impacts en fonction des types de pollution.</w:t>
      </w:r>
    </w:p>
    <w:p w14:paraId="1EF2CD46" w14:textId="77777777" w:rsidR="00DE5680" w:rsidRPr="007C5A6E" w:rsidRDefault="00DE5680" w:rsidP="00DE5680">
      <w:pPr>
        <w:spacing w:after="0" w:line="240" w:lineRule="auto"/>
        <w:jc w:val="both"/>
        <w:rPr>
          <w:rFonts w:ascii="Times New Roman" w:hAnsi="Times New Roman"/>
          <w:sz w:val="24"/>
          <w:szCs w:val="24"/>
        </w:rPr>
      </w:pPr>
    </w:p>
    <w:p w14:paraId="24F45D77" w14:textId="454DC8C0" w:rsidR="00DE5680" w:rsidRPr="007C5A6E" w:rsidRDefault="00DE5680" w:rsidP="00DE5680">
      <w:pPr>
        <w:spacing w:after="0" w:line="240" w:lineRule="auto"/>
        <w:jc w:val="both"/>
        <w:rPr>
          <w:rFonts w:ascii="Times New Roman" w:hAnsi="Times New Roman"/>
          <w:sz w:val="24"/>
          <w:szCs w:val="24"/>
        </w:rPr>
      </w:pPr>
      <w:r w:rsidRPr="007C5A6E">
        <w:rPr>
          <w:rFonts w:ascii="Times New Roman" w:hAnsi="Times New Roman"/>
          <w:sz w:val="24"/>
          <w:szCs w:val="24"/>
        </w:rPr>
        <w:t>Les programmes opérationnels de mise en œuvre des plans de gestion des ressources en eau souffrent d’un déficit de moyens pour leur traduction sur le terrain…</w:t>
      </w:r>
    </w:p>
    <w:p w14:paraId="4DB26D0E" w14:textId="541B518E" w:rsidR="00DE5680" w:rsidRPr="007C5A6E" w:rsidRDefault="00DE5680" w:rsidP="00DE5680">
      <w:pPr>
        <w:spacing w:after="0" w:line="240" w:lineRule="auto"/>
        <w:jc w:val="both"/>
        <w:rPr>
          <w:rFonts w:ascii="Times New Roman" w:hAnsi="Times New Roman"/>
          <w:sz w:val="24"/>
          <w:szCs w:val="24"/>
        </w:rPr>
      </w:pPr>
      <w:r w:rsidRPr="007C5A6E">
        <w:rPr>
          <w:rFonts w:ascii="Times New Roman" w:hAnsi="Times New Roman"/>
          <w:sz w:val="24"/>
          <w:szCs w:val="24"/>
        </w:rPr>
        <w:t>Il est par conséquent important et recommandable que les mesures ci-après soient prises</w:t>
      </w:r>
    </w:p>
    <w:p w14:paraId="510E8F39" w14:textId="77777777" w:rsidR="00DE5680" w:rsidRPr="007C5A6E" w:rsidRDefault="00DE5680" w:rsidP="003F3821">
      <w:pPr>
        <w:numPr>
          <w:ilvl w:val="0"/>
          <w:numId w:val="24"/>
        </w:numPr>
        <w:spacing w:after="0" w:line="240" w:lineRule="auto"/>
        <w:ind w:left="720"/>
        <w:contextualSpacing/>
        <w:jc w:val="both"/>
        <w:rPr>
          <w:rFonts w:ascii="Times New Roman" w:hAnsi="Times New Roman"/>
          <w:sz w:val="24"/>
          <w:szCs w:val="24"/>
        </w:rPr>
      </w:pPr>
      <w:r w:rsidRPr="007C5A6E">
        <w:rPr>
          <w:rFonts w:ascii="Times New Roman" w:hAnsi="Times New Roman"/>
          <w:sz w:val="24"/>
          <w:szCs w:val="24"/>
        </w:rPr>
        <w:t xml:space="preserve">Créer un réseau formel et stable de suivi d’impact de la pollution et des prélèvements sur les ressources en eau souterraines et de surface ; </w:t>
      </w:r>
      <w:r w:rsidRPr="007C5A6E">
        <w:rPr>
          <w:rFonts w:ascii="Times New Roman" w:hAnsi="Times New Roman"/>
          <w:b/>
          <w:bCs/>
          <w:i/>
          <w:iCs/>
          <w:sz w:val="24"/>
          <w:szCs w:val="24"/>
        </w:rPr>
        <w:t>(Responsables techniques : DGIH, DGRE /DEIE, DGEP)</w:t>
      </w:r>
    </w:p>
    <w:p w14:paraId="36994F14" w14:textId="77777777" w:rsidR="00DE5680" w:rsidRPr="007C5A6E" w:rsidRDefault="00DE5680" w:rsidP="003F3821">
      <w:pPr>
        <w:numPr>
          <w:ilvl w:val="0"/>
          <w:numId w:val="24"/>
        </w:numPr>
        <w:spacing w:after="0" w:line="240" w:lineRule="auto"/>
        <w:ind w:left="720"/>
        <w:contextualSpacing/>
        <w:jc w:val="both"/>
        <w:rPr>
          <w:rFonts w:ascii="Times New Roman" w:hAnsi="Times New Roman"/>
          <w:sz w:val="24"/>
          <w:szCs w:val="24"/>
        </w:rPr>
      </w:pPr>
      <w:r w:rsidRPr="007C5A6E">
        <w:rPr>
          <w:rFonts w:ascii="Times New Roman" w:hAnsi="Times New Roman"/>
          <w:sz w:val="24"/>
          <w:szCs w:val="24"/>
        </w:rPr>
        <w:t xml:space="preserve">Assurer le suivi régulier des taux de remplissage des grands et moyens ouvrages hydrauliques d’eau de surface ; </w:t>
      </w:r>
      <w:r w:rsidRPr="007C5A6E">
        <w:rPr>
          <w:rFonts w:ascii="Times New Roman" w:hAnsi="Times New Roman"/>
          <w:b/>
          <w:bCs/>
          <w:i/>
          <w:iCs/>
          <w:sz w:val="24"/>
          <w:szCs w:val="24"/>
        </w:rPr>
        <w:t>(Responsables techniques : DGIH, DGRE/DEIE)</w:t>
      </w:r>
    </w:p>
    <w:p w14:paraId="327B9625" w14:textId="77777777" w:rsidR="00DE5680" w:rsidRPr="007C5A6E" w:rsidRDefault="00DE5680" w:rsidP="003F3821">
      <w:pPr>
        <w:numPr>
          <w:ilvl w:val="0"/>
          <w:numId w:val="24"/>
        </w:numPr>
        <w:spacing w:after="0" w:line="240" w:lineRule="auto"/>
        <w:ind w:left="720"/>
        <w:contextualSpacing/>
        <w:jc w:val="both"/>
        <w:rPr>
          <w:rFonts w:ascii="Times New Roman" w:hAnsi="Times New Roman"/>
          <w:sz w:val="24"/>
          <w:szCs w:val="24"/>
        </w:rPr>
      </w:pPr>
      <w:r w:rsidRPr="007C5A6E">
        <w:rPr>
          <w:rFonts w:ascii="Times New Roman" w:hAnsi="Times New Roman"/>
          <w:sz w:val="24"/>
          <w:szCs w:val="24"/>
        </w:rPr>
        <w:t xml:space="preserve">Intégrer dans l’établissement de l’INO annuel, la mesure de la qualité physico chimique et bactériologique des eaux d’un certain nombre d’ouvrages d’eau souterraine stratégiquement identifiés et destinés à l’AEP ; </w:t>
      </w:r>
      <w:r w:rsidRPr="007C5A6E">
        <w:rPr>
          <w:rFonts w:ascii="Times New Roman" w:hAnsi="Times New Roman"/>
          <w:b/>
          <w:bCs/>
          <w:i/>
          <w:iCs/>
          <w:sz w:val="24"/>
          <w:szCs w:val="24"/>
        </w:rPr>
        <w:t>(Responsable technique : DGEP)</w:t>
      </w:r>
    </w:p>
    <w:p w14:paraId="4A3BE827" w14:textId="77777777" w:rsidR="00DE5680" w:rsidRPr="007C5A6E" w:rsidRDefault="00DE5680" w:rsidP="003F3821">
      <w:pPr>
        <w:numPr>
          <w:ilvl w:val="0"/>
          <w:numId w:val="24"/>
        </w:numPr>
        <w:spacing w:after="0" w:line="240" w:lineRule="auto"/>
        <w:ind w:left="720"/>
        <w:contextualSpacing/>
        <w:jc w:val="both"/>
        <w:rPr>
          <w:rFonts w:ascii="Times New Roman" w:hAnsi="Times New Roman"/>
          <w:sz w:val="24"/>
          <w:szCs w:val="24"/>
        </w:rPr>
      </w:pPr>
      <w:r w:rsidRPr="007C5A6E">
        <w:rPr>
          <w:rFonts w:ascii="Times New Roman" w:hAnsi="Times New Roman"/>
          <w:sz w:val="24"/>
          <w:szCs w:val="24"/>
        </w:rPr>
        <w:t>Intégrer systématiquement dans la gestion des lacs d’eau de surface stratégiques, le suivi qualitatif (paramètres à définir) et quantitatif (taux de remplissage) de leurs eaux ;</w:t>
      </w:r>
      <w:r w:rsidRPr="007C5A6E">
        <w:rPr>
          <w:rFonts w:ascii="Times New Roman" w:hAnsi="Times New Roman"/>
          <w:b/>
          <w:bCs/>
          <w:i/>
          <w:iCs/>
          <w:sz w:val="24"/>
          <w:szCs w:val="24"/>
        </w:rPr>
        <w:t xml:space="preserve"> (Responsables techniques : DGIH, DGRE/DEIE)</w:t>
      </w:r>
    </w:p>
    <w:p w14:paraId="7745EA6B" w14:textId="77777777" w:rsidR="00DE5680" w:rsidRPr="007C5A6E" w:rsidRDefault="00DE5680" w:rsidP="003F3821">
      <w:pPr>
        <w:numPr>
          <w:ilvl w:val="0"/>
          <w:numId w:val="24"/>
        </w:numPr>
        <w:spacing w:after="0" w:line="240" w:lineRule="auto"/>
        <w:ind w:left="720"/>
        <w:contextualSpacing/>
        <w:jc w:val="both"/>
        <w:rPr>
          <w:rFonts w:ascii="Times New Roman" w:hAnsi="Times New Roman"/>
          <w:sz w:val="24"/>
          <w:szCs w:val="24"/>
        </w:rPr>
      </w:pPr>
      <w:r w:rsidRPr="007C5A6E">
        <w:rPr>
          <w:rFonts w:ascii="Times New Roman" w:hAnsi="Times New Roman"/>
          <w:sz w:val="24"/>
          <w:szCs w:val="24"/>
        </w:rPr>
        <w:t xml:space="preserve">Convenir des fréquences de suivi des paramètres ; </w:t>
      </w:r>
      <w:r w:rsidRPr="007C5A6E">
        <w:rPr>
          <w:rFonts w:ascii="Times New Roman" w:hAnsi="Times New Roman"/>
          <w:b/>
          <w:bCs/>
          <w:i/>
          <w:iCs/>
          <w:sz w:val="24"/>
          <w:szCs w:val="24"/>
        </w:rPr>
        <w:t>(Autorités ministérielles en charge de l’eau et services techniques DGIH, DGRE/DEIE)</w:t>
      </w:r>
    </w:p>
    <w:p w14:paraId="503F0B4C" w14:textId="77777777" w:rsidR="00DE5680" w:rsidRPr="007C5A6E" w:rsidRDefault="00DE5680" w:rsidP="003F3821">
      <w:pPr>
        <w:numPr>
          <w:ilvl w:val="0"/>
          <w:numId w:val="24"/>
        </w:numPr>
        <w:spacing w:after="0" w:line="240" w:lineRule="auto"/>
        <w:ind w:left="720"/>
        <w:contextualSpacing/>
        <w:jc w:val="both"/>
        <w:rPr>
          <w:rFonts w:ascii="Times New Roman" w:hAnsi="Times New Roman"/>
          <w:sz w:val="24"/>
          <w:szCs w:val="24"/>
        </w:rPr>
      </w:pPr>
      <w:r w:rsidRPr="007C5A6E">
        <w:rPr>
          <w:rFonts w:ascii="Times New Roman" w:hAnsi="Times New Roman"/>
          <w:sz w:val="24"/>
          <w:szCs w:val="24"/>
        </w:rPr>
        <w:t xml:space="preserve">Plaider pour une budgétisation des moyens nécessaires pour le suivi régulier des différents réseaux de suivi ; </w:t>
      </w:r>
      <w:r w:rsidRPr="007C5A6E">
        <w:rPr>
          <w:rFonts w:ascii="Times New Roman" w:hAnsi="Times New Roman"/>
          <w:b/>
          <w:bCs/>
          <w:i/>
          <w:iCs/>
          <w:sz w:val="24"/>
          <w:szCs w:val="24"/>
        </w:rPr>
        <w:t>(Autorités ministérielles en charge de l’eau et services techniques DGIH, DGRE/DEIE)</w:t>
      </w:r>
    </w:p>
    <w:p w14:paraId="1DA14957" w14:textId="77777777" w:rsidR="00DE5680" w:rsidRPr="007C5A6E" w:rsidRDefault="00DE5680" w:rsidP="003F3821">
      <w:pPr>
        <w:numPr>
          <w:ilvl w:val="0"/>
          <w:numId w:val="24"/>
        </w:numPr>
        <w:spacing w:after="0" w:line="240" w:lineRule="auto"/>
        <w:ind w:left="720"/>
        <w:contextualSpacing/>
        <w:jc w:val="both"/>
        <w:rPr>
          <w:rFonts w:ascii="Times New Roman" w:hAnsi="Times New Roman"/>
          <w:sz w:val="24"/>
          <w:szCs w:val="24"/>
        </w:rPr>
      </w:pPr>
      <w:r w:rsidRPr="007C5A6E">
        <w:rPr>
          <w:rFonts w:ascii="Times New Roman" w:hAnsi="Times New Roman"/>
          <w:sz w:val="24"/>
          <w:szCs w:val="24"/>
        </w:rPr>
        <w:t xml:space="preserve">Couvrir les espaces de compétence de toutes les agences de l’eau de ces réseaux de suivi d’impact ; </w:t>
      </w:r>
      <w:r w:rsidRPr="007C5A6E">
        <w:rPr>
          <w:rFonts w:ascii="Times New Roman" w:hAnsi="Times New Roman"/>
          <w:b/>
          <w:bCs/>
          <w:i/>
          <w:iCs/>
          <w:sz w:val="24"/>
          <w:szCs w:val="24"/>
        </w:rPr>
        <w:t>(Responsables techniques : DGIH, DGRE, DGEP Agences de l’eau</w:t>
      </w:r>
      <w:proofErr w:type="gramStart"/>
      <w:r w:rsidRPr="007C5A6E">
        <w:rPr>
          <w:rFonts w:ascii="Times New Roman" w:hAnsi="Times New Roman"/>
          <w:b/>
          <w:bCs/>
          <w:i/>
          <w:iCs/>
          <w:color w:val="0070C0"/>
          <w:sz w:val="24"/>
          <w:szCs w:val="24"/>
        </w:rPr>
        <w:t xml:space="preserve">) </w:t>
      </w:r>
      <w:r w:rsidRPr="007C5A6E">
        <w:rPr>
          <w:rFonts w:ascii="Times New Roman" w:hAnsi="Times New Roman"/>
          <w:sz w:val="24"/>
          <w:szCs w:val="24"/>
        </w:rPr>
        <w:t>.</w:t>
      </w:r>
      <w:proofErr w:type="gramEnd"/>
    </w:p>
    <w:p w14:paraId="6CF41740" w14:textId="77777777" w:rsidR="00DE5680" w:rsidRPr="007C5A6E" w:rsidRDefault="00DE5680" w:rsidP="00DE5680">
      <w:pPr>
        <w:spacing w:after="0" w:line="240" w:lineRule="auto"/>
      </w:pPr>
    </w:p>
    <w:p w14:paraId="1C7DF325" w14:textId="03303F6A" w:rsidR="00D63F90" w:rsidRPr="007C5A6E" w:rsidRDefault="00D63F90" w:rsidP="00712C43">
      <w:pPr>
        <w:pStyle w:val="Titre2"/>
      </w:pPr>
      <w:bookmarkStart w:id="664" w:name="_Toc183340127"/>
      <w:r w:rsidRPr="007C5A6E">
        <w:t xml:space="preserve">Ressources en eau et </w:t>
      </w:r>
      <w:r w:rsidR="0063780A" w:rsidRPr="007C5A6E">
        <w:t>changements climatiques :</w:t>
      </w:r>
      <w:r w:rsidRPr="007C5A6E">
        <w:t xml:space="preserve"> enjeux et risques du futur</w:t>
      </w:r>
      <w:bookmarkEnd w:id="664"/>
    </w:p>
    <w:p w14:paraId="2469041F" w14:textId="77777777" w:rsidR="0063780A" w:rsidRPr="007C5A6E" w:rsidRDefault="0063780A" w:rsidP="003843BC">
      <w:pPr>
        <w:spacing w:after="0" w:line="240" w:lineRule="auto"/>
        <w:jc w:val="both"/>
        <w:rPr>
          <w:rFonts w:ascii="Times New Roman" w:hAnsi="Times New Roman"/>
          <w:sz w:val="24"/>
          <w:szCs w:val="24"/>
        </w:rPr>
      </w:pPr>
    </w:p>
    <w:p w14:paraId="6D21DCC4" w14:textId="3C033631" w:rsidR="0063780A" w:rsidRPr="007C5A6E" w:rsidRDefault="0063780A" w:rsidP="003843BC">
      <w:pPr>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Les projections climatiques traitées au chapitre 2 ci-dessus suggèrent qu’à l’horizon 2050 à 2100 que :</w:t>
      </w:r>
    </w:p>
    <w:p w14:paraId="471F45DC" w14:textId="77777777" w:rsidR="0063780A" w:rsidRPr="007C5A6E" w:rsidRDefault="0063780A" w:rsidP="003F3821">
      <w:pPr>
        <w:pStyle w:val="Paragraphedeliste"/>
        <w:numPr>
          <w:ilvl w:val="0"/>
          <w:numId w:val="32"/>
        </w:numPr>
        <w:spacing w:after="0" w:line="240" w:lineRule="auto"/>
        <w:ind w:left="357" w:hanging="357"/>
        <w:jc w:val="both"/>
        <w:rPr>
          <w:rFonts w:ascii="Times New Roman" w:hAnsi="Times New Roman"/>
          <w:sz w:val="24"/>
        </w:rPr>
      </w:pPr>
      <w:r w:rsidRPr="007C5A6E">
        <w:rPr>
          <w:rFonts w:ascii="Times New Roman" w:eastAsia="Calibri" w:hAnsi="Times New Roman"/>
          <w:kern w:val="2"/>
          <w:sz w:val="24"/>
          <w:szCs w:val="24"/>
          <w:lang w:eastAsia="en-US"/>
          <w14:ligatures w14:val="standardContextual"/>
        </w:rPr>
        <w:t>En ce qui concerne la pluviométrie, il ne pleuvra pas moins au Burkina Faso qu’au cours de la période historique 1990-2023, bien au contraire : l</w:t>
      </w:r>
      <w:r w:rsidRPr="007C5A6E">
        <w:rPr>
          <w:rFonts w:ascii="Times New Roman" w:hAnsi="Times New Roman"/>
          <w:sz w:val="24"/>
        </w:rPr>
        <w:t>e risque de sécheresse devrait diminuer tandis que celui des inondations augmenterait.</w:t>
      </w:r>
    </w:p>
    <w:p w14:paraId="3D8D3472" w14:textId="49EDF03D" w:rsidR="0063780A" w:rsidRPr="007C5A6E" w:rsidRDefault="0063780A" w:rsidP="003F3821">
      <w:pPr>
        <w:pStyle w:val="Paragraphedeliste"/>
        <w:numPr>
          <w:ilvl w:val="0"/>
          <w:numId w:val="32"/>
        </w:numPr>
        <w:spacing w:after="0" w:line="240" w:lineRule="auto"/>
        <w:ind w:left="357" w:hanging="357"/>
        <w:jc w:val="both"/>
        <w:rPr>
          <w:rFonts w:ascii="Times New Roman" w:hAnsi="Times New Roman"/>
          <w:sz w:val="24"/>
          <w:szCs w:val="24"/>
        </w:rPr>
      </w:pPr>
      <w:r w:rsidRPr="007C5A6E">
        <w:rPr>
          <w:rFonts w:ascii="Times New Roman" w:eastAsia="Calibri" w:hAnsi="Times New Roman"/>
          <w:kern w:val="2"/>
          <w:sz w:val="24"/>
          <w:szCs w:val="24"/>
          <w:lang w:eastAsia="en-US"/>
          <w14:ligatures w14:val="standardContextual"/>
        </w:rPr>
        <w:t xml:space="preserve">Concernant les températures, </w:t>
      </w:r>
      <w:r w:rsidRPr="007C5A6E">
        <w:rPr>
          <w:rFonts w:ascii="Times New Roman" w:hAnsi="Times New Roman"/>
          <w:sz w:val="24"/>
        </w:rPr>
        <w:t>les températures maximales augmenteraient partir des données historiques, entraînant une augmentation du nombre de jours de l’année où la T° est supérieure à 40°C</w:t>
      </w:r>
      <w:r w:rsidR="003843BC" w:rsidRPr="007C5A6E">
        <w:rPr>
          <w:rFonts w:ascii="Times New Roman" w:hAnsi="Times New Roman"/>
          <w:sz w:val="24"/>
        </w:rPr>
        <w:t xml:space="preserve">. </w:t>
      </w:r>
    </w:p>
    <w:p w14:paraId="6C6925B6" w14:textId="77777777" w:rsidR="003843BC" w:rsidRPr="007C5A6E" w:rsidRDefault="003843BC" w:rsidP="003843BC">
      <w:pPr>
        <w:spacing w:after="0" w:line="240" w:lineRule="auto"/>
        <w:jc w:val="both"/>
        <w:rPr>
          <w:rFonts w:ascii="Times New Roman" w:hAnsi="Times New Roman"/>
          <w:sz w:val="24"/>
          <w:szCs w:val="24"/>
        </w:rPr>
      </w:pPr>
    </w:p>
    <w:p w14:paraId="1401919A" w14:textId="47D62F0F" w:rsidR="0063780A" w:rsidRPr="007C5A6E" w:rsidRDefault="0063780A" w:rsidP="003843BC">
      <w:pPr>
        <w:spacing w:after="0" w:line="240" w:lineRule="auto"/>
        <w:jc w:val="both"/>
        <w:rPr>
          <w:rFonts w:ascii="Times New Roman" w:hAnsi="Times New Roman"/>
          <w:sz w:val="24"/>
          <w:szCs w:val="24"/>
        </w:rPr>
      </w:pPr>
      <w:r w:rsidRPr="007C5A6E">
        <w:rPr>
          <w:rFonts w:ascii="Times New Roman" w:hAnsi="Times New Roman"/>
          <w:sz w:val="24"/>
          <w:szCs w:val="24"/>
        </w:rPr>
        <w:t xml:space="preserve">Les principaux facteurs dont l’évolution en raison du changement climatique, impactent les ressources en eau sont </w:t>
      </w:r>
      <w:r w:rsidR="003843BC" w:rsidRPr="007C5A6E">
        <w:rPr>
          <w:rFonts w:ascii="Times New Roman" w:hAnsi="Times New Roman"/>
          <w:sz w:val="24"/>
          <w:szCs w:val="24"/>
        </w:rPr>
        <w:t>en effet</w:t>
      </w:r>
      <w:r w:rsidRPr="007C5A6E">
        <w:rPr>
          <w:rFonts w:ascii="Times New Roman" w:hAnsi="Times New Roman"/>
          <w:sz w:val="24"/>
          <w:szCs w:val="24"/>
        </w:rPr>
        <w:t xml:space="preserve"> : </w:t>
      </w:r>
    </w:p>
    <w:p w14:paraId="1B3B837C" w14:textId="77777777" w:rsidR="0063780A" w:rsidRPr="007C5A6E" w:rsidRDefault="0063780A" w:rsidP="003F3821">
      <w:pPr>
        <w:numPr>
          <w:ilvl w:val="0"/>
          <w:numId w:val="43"/>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 xml:space="preserve">La pluviométrie : son évolution à la hausse ou à la baisse peut être non seulement favorable ou défavorable aux apports en eau du pays mais également source de pollution (notamment physique) des ressources en eau en raison de l’érosion des sols ou de la dégradation du couvert végétal des sols ;  </w:t>
      </w:r>
    </w:p>
    <w:p w14:paraId="552FF66A" w14:textId="77777777" w:rsidR="0063780A" w:rsidRPr="007C5A6E" w:rsidRDefault="0063780A" w:rsidP="003F3821">
      <w:pPr>
        <w:numPr>
          <w:ilvl w:val="0"/>
          <w:numId w:val="43"/>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La température : son évolution à la hausse peut être un facteur aggravant pour l’évaporation des plans d’eau de surface et entrainer une réduction des ressources en eau de surface des lacs et des cours d’eau.</w:t>
      </w:r>
    </w:p>
    <w:p w14:paraId="56E3AE7A" w14:textId="67CBB831" w:rsidR="003843BC" w:rsidRPr="007C5A6E" w:rsidRDefault="003843BC" w:rsidP="003843BC">
      <w:pPr>
        <w:spacing w:after="0" w:line="240" w:lineRule="auto"/>
        <w:jc w:val="both"/>
        <w:rPr>
          <w:rFonts w:ascii="Times New Roman" w:hAnsi="Times New Roman"/>
          <w:sz w:val="24"/>
          <w:szCs w:val="24"/>
        </w:rPr>
      </w:pPr>
      <w:r w:rsidRPr="007C5A6E">
        <w:rPr>
          <w:rFonts w:ascii="Times New Roman" w:hAnsi="Times New Roman"/>
          <w:sz w:val="24"/>
          <w:szCs w:val="24"/>
        </w:rPr>
        <w:t>Au regard des projections climatiques ci-dessus, on peut s’attendre au niveau du pays à moyen et long terme à</w:t>
      </w:r>
    </w:p>
    <w:p w14:paraId="77A9759A" w14:textId="77777777" w:rsidR="003843BC" w:rsidRPr="007C5A6E" w:rsidRDefault="003843BC" w:rsidP="003F3821">
      <w:pPr>
        <w:pStyle w:val="Paragraphedeliste"/>
        <w:numPr>
          <w:ilvl w:val="0"/>
          <w:numId w:val="43"/>
        </w:numPr>
        <w:spacing w:after="0" w:line="240" w:lineRule="auto"/>
        <w:jc w:val="both"/>
        <w:rPr>
          <w:rFonts w:ascii="Times New Roman" w:hAnsi="Times New Roman"/>
          <w:sz w:val="24"/>
          <w:szCs w:val="24"/>
        </w:rPr>
      </w:pPr>
      <w:r w:rsidRPr="007C5A6E">
        <w:rPr>
          <w:rFonts w:ascii="Times New Roman" w:hAnsi="Times New Roman"/>
          <w:sz w:val="24"/>
          <w:szCs w:val="24"/>
        </w:rPr>
        <w:t>Une amélioration des apports en eau du pays et par conséquent à une réduction du stress hydrique ;</w:t>
      </w:r>
    </w:p>
    <w:p w14:paraId="3B119BBE" w14:textId="77777777" w:rsidR="003843BC" w:rsidRPr="007C5A6E" w:rsidRDefault="003843BC" w:rsidP="003F3821">
      <w:pPr>
        <w:pStyle w:val="Paragraphedeliste"/>
        <w:numPr>
          <w:ilvl w:val="0"/>
          <w:numId w:val="43"/>
        </w:numPr>
        <w:spacing w:after="0" w:line="240" w:lineRule="auto"/>
        <w:jc w:val="both"/>
        <w:rPr>
          <w:rFonts w:ascii="Times New Roman" w:hAnsi="Times New Roman"/>
          <w:sz w:val="24"/>
          <w:szCs w:val="24"/>
        </w:rPr>
      </w:pPr>
      <w:r w:rsidRPr="007C5A6E">
        <w:rPr>
          <w:rFonts w:ascii="Times New Roman" w:hAnsi="Times New Roman"/>
          <w:sz w:val="24"/>
          <w:szCs w:val="24"/>
        </w:rPr>
        <w:t>Une augmentation de la turbidité des eaux de surface en raison des érosions dues à l’intensité de certains épisodes pluvieux si des réponses adéquates ne sont pas apportée à moyen et long terme.</w:t>
      </w:r>
    </w:p>
    <w:p w14:paraId="0016FCD8" w14:textId="77777777" w:rsidR="0063780A" w:rsidRPr="007C5A6E" w:rsidRDefault="0063780A" w:rsidP="003843BC">
      <w:pPr>
        <w:spacing w:after="0" w:line="240" w:lineRule="auto"/>
        <w:jc w:val="both"/>
        <w:rPr>
          <w:rFonts w:ascii="Times New Roman" w:hAnsi="Times New Roman"/>
          <w:sz w:val="24"/>
          <w:szCs w:val="24"/>
        </w:rPr>
      </w:pPr>
    </w:p>
    <w:p w14:paraId="64E68361" w14:textId="6D46C270" w:rsidR="0063780A" w:rsidRPr="007C5A6E" w:rsidRDefault="0063780A" w:rsidP="003843BC">
      <w:pPr>
        <w:spacing w:after="0" w:line="240" w:lineRule="auto"/>
        <w:jc w:val="both"/>
        <w:rPr>
          <w:rFonts w:ascii="Times New Roman" w:eastAsia="MS Mincho" w:hAnsi="Times New Roman"/>
          <w:sz w:val="24"/>
          <w:szCs w:val="24"/>
          <w:lang w:eastAsia="ja-JP"/>
        </w:rPr>
      </w:pPr>
    </w:p>
    <w:p w14:paraId="661397BD" w14:textId="77777777" w:rsidR="00A340F1" w:rsidRPr="007C5A6E" w:rsidRDefault="00A340F1" w:rsidP="003F3821">
      <w:pPr>
        <w:pStyle w:val="Titre1"/>
        <w:keepNext w:val="0"/>
        <w:keepLines w:val="0"/>
        <w:numPr>
          <w:ilvl w:val="0"/>
          <w:numId w:val="4"/>
        </w:numPr>
        <w:spacing w:before="0"/>
        <w:rPr>
          <w:bCs/>
          <w:sz w:val="26"/>
          <w:szCs w:val="26"/>
        </w:rPr>
        <w:sectPr w:rsidR="00A340F1" w:rsidRPr="007C5A6E" w:rsidSect="006514BA">
          <w:pgSz w:w="11907" w:h="16840" w:code="9"/>
          <w:pgMar w:top="1191" w:right="1361" w:bottom="1191" w:left="1361" w:header="709" w:footer="709" w:gutter="0"/>
          <w:cols w:space="708"/>
          <w:docGrid w:linePitch="360"/>
        </w:sectPr>
      </w:pPr>
    </w:p>
    <w:p w14:paraId="4E277FB0" w14:textId="2298689C" w:rsidR="005E7B17" w:rsidRPr="007C5A6E" w:rsidRDefault="00E17E61" w:rsidP="00F57A5C">
      <w:pPr>
        <w:pStyle w:val="Titre1"/>
        <w:keepNext w:val="0"/>
        <w:keepLines w:val="0"/>
        <w:spacing w:before="0"/>
        <w:ind w:left="510" w:hanging="510"/>
        <w:rPr>
          <w:bCs/>
          <w:szCs w:val="30"/>
        </w:rPr>
      </w:pPr>
      <w:bookmarkStart w:id="665" w:name="_Toc183340128"/>
      <w:r w:rsidRPr="007C5A6E">
        <w:rPr>
          <w:bCs/>
          <w:szCs w:val="30"/>
        </w:rPr>
        <w:t>ETAT ET DYNAMIQUES DES SOLS</w:t>
      </w:r>
      <w:bookmarkEnd w:id="665"/>
    </w:p>
    <w:p w14:paraId="7C3C4332" w14:textId="77777777" w:rsidR="00E17E61" w:rsidRPr="007C5A6E" w:rsidRDefault="00E17E61" w:rsidP="00F57A5C">
      <w:pPr>
        <w:spacing w:after="0" w:line="240" w:lineRule="auto"/>
        <w:rPr>
          <w:rFonts w:ascii="Times New Roman" w:hAnsi="Times New Roman"/>
          <w:sz w:val="24"/>
          <w:szCs w:val="24"/>
        </w:rPr>
      </w:pPr>
    </w:p>
    <w:p w14:paraId="753E3C70" w14:textId="312FB9D3" w:rsidR="001A38F5" w:rsidRPr="007C5A6E" w:rsidRDefault="001A38F5" w:rsidP="001A38F5">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La dégradation des terres est une préoccupation majeure pour le Burkina Faso. Intimement liée aux nombreuses pressions d’origine anthropique et climatique qui handicapent leur exploitation durable, elle affecte énormément les moyens de subsistance des populations, avec pour corollaire l’insécurité alimentaire, les déplacements et les conflits (MEEA, 2024). Chaque année, le pays perd 469 650 hectares de ses terres productives. En effet, entre 2002 et 2013, 2 632 220 km</w:t>
      </w:r>
      <w:r w:rsidRPr="007C5A6E">
        <w:rPr>
          <w:rFonts w:ascii="Times New Roman" w:eastAsia="Calibri" w:hAnsi="Times New Roman"/>
          <w:kern w:val="2"/>
          <w:sz w:val="24"/>
          <w:szCs w:val="24"/>
          <w:vertAlign w:val="superscript"/>
          <w:lang w:eastAsia="en-US"/>
          <w14:ligatures w14:val="standardContextual"/>
        </w:rPr>
        <w:t>2</w:t>
      </w:r>
      <w:r w:rsidRPr="007C5A6E">
        <w:rPr>
          <w:rFonts w:ascii="Times New Roman" w:eastAsia="Calibri" w:hAnsi="Times New Roman"/>
          <w:kern w:val="2"/>
          <w:sz w:val="24"/>
          <w:szCs w:val="24"/>
          <w:lang w:eastAsia="en-US"/>
          <w14:ligatures w14:val="standardContextual"/>
        </w:rPr>
        <w:t xml:space="preserve"> des terres ont perdu leur couverture terrestre, 2 537 232 hectares ont perdu leur productivité et 798 521 hectares sont sans carbone dans le sol.</w:t>
      </w:r>
    </w:p>
    <w:p w14:paraId="360E7B95" w14:textId="13016036" w:rsidR="001A38F5" w:rsidRPr="007C5A6E" w:rsidRDefault="001A38F5" w:rsidP="001A38F5">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En réponse à la dégradation accrue des terres, le gouvernement a doté le pays, en mai 2019, d’une « stratégie nationale de restauration, conservation et récupération des sols » à l’horizon 2024. Son objectif</w:t>
      </w:r>
      <w:r w:rsidR="00694720" w:rsidRPr="007C5A6E">
        <w:rPr>
          <w:rFonts w:ascii="Times New Roman" w:eastAsia="Calibri" w:hAnsi="Times New Roman"/>
          <w:kern w:val="2"/>
          <w:sz w:val="24"/>
          <w:szCs w:val="24"/>
          <w:lang w:eastAsia="en-US"/>
          <w14:ligatures w14:val="standardContextual"/>
        </w:rPr>
        <w:t xml:space="preserve"> est de r</w:t>
      </w:r>
      <w:r w:rsidRPr="007C5A6E">
        <w:rPr>
          <w:rFonts w:ascii="Times New Roman" w:eastAsia="Calibri" w:hAnsi="Times New Roman"/>
          <w:kern w:val="2"/>
          <w:sz w:val="24"/>
          <w:szCs w:val="24"/>
          <w:lang w:eastAsia="en-US"/>
          <w14:ligatures w14:val="standardContextual"/>
        </w:rPr>
        <w:t>éduire/inverser la tendance de la dégradation des sols en vue d’accroître leurs capacités productives et permettre de « pratiquer une agriculture moderne, plus compétitive, durable, résiliente afin d’assurer à tous les burkinabé un accès aux aliments nécessaires pour mener une vie saine et active. ».</w:t>
      </w:r>
    </w:p>
    <w:p w14:paraId="24D9F19A" w14:textId="353179B3" w:rsidR="00A340F1" w:rsidRPr="007C5A6E" w:rsidRDefault="001A38F5" w:rsidP="001A38F5">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Ce chapitre analyse les pressions qui s’exercent sur les sols, </w:t>
      </w:r>
      <w:r w:rsidR="00D82C73" w:rsidRPr="007C5A6E">
        <w:rPr>
          <w:rFonts w:ascii="Times New Roman" w:eastAsia="Calibri" w:hAnsi="Times New Roman"/>
          <w:kern w:val="2"/>
          <w:sz w:val="24"/>
          <w:szCs w:val="24"/>
          <w:lang w:eastAsia="en-US"/>
          <w14:ligatures w14:val="standardContextual"/>
        </w:rPr>
        <w:t>dresse l’</w:t>
      </w:r>
      <w:r w:rsidRPr="007C5A6E">
        <w:rPr>
          <w:rFonts w:ascii="Times New Roman" w:eastAsia="Calibri" w:hAnsi="Times New Roman"/>
          <w:kern w:val="2"/>
          <w:sz w:val="24"/>
          <w:szCs w:val="24"/>
          <w:lang w:eastAsia="en-US"/>
          <w14:ligatures w14:val="standardContextual"/>
        </w:rPr>
        <w:t>état</w:t>
      </w:r>
      <w:r w:rsidR="00D82C73" w:rsidRPr="007C5A6E">
        <w:rPr>
          <w:rFonts w:ascii="Times New Roman" w:eastAsia="Calibri" w:hAnsi="Times New Roman"/>
          <w:kern w:val="2"/>
          <w:sz w:val="24"/>
          <w:szCs w:val="24"/>
          <w:lang w:eastAsia="en-US"/>
          <w14:ligatures w14:val="standardContextual"/>
        </w:rPr>
        <w:t xml:space="preserve"> des sols et explique les </w:t>
      </w:r>
      <w:r w:rsidRPr="007C5A6E">
        <w:rPr>
          <w:rFonts w:ascii="Times New Roman" w:eastAsia="Calibri" w:hAnsi="Times New Roman"/>
          <w:kern w:val="2"/>
          <w:sz w:val="24"/>
          <w:szCs w:val="24"/>
          <w:lang w:eastAsia="en-US"/>
          <w14:ligatures w14:val="standardContextual"/>
        </w:rPr>
        <w:t xml:space="preserve">impacts </w:t>
      </w:r>
      <w:r w:rsidR="00D82C73" w:rsidRPr="007C5A6E">
        <w:rPr>
          <w:rFonts w:ascii="Times New Roman" w:eastAsia="Calibri" w:hAnsi="Times New Roman"/>
          <w:kern w:val="2"/>
          <w:sz w:val="24"/>
          <w:szCs w:val="24"/>
          <w:lang w:eastAsia="en-US"/>
          <w14:ligatures w14:val="standardContextual"/>
        </w:rPr>
        <w:t xml:space="preserve">de ces pressions sur leur dynamique. Il fait le point des </w:t>
      </w:r>
      <w:r w:rsidRPr="007C5A6E">
        <w:rPr>
          <w:rFonts w:ascii="Times New Roman" w:eastAsia="Calibri" w:hAnsi="Times New Roman"/>
          <w:kern w:val="2"/>
          <w:sz w:val="24"/>
          <w:szCs w:val="24"/>
          <w:lang w:eastAsia="en-US"/>
          <w14:ligatures w14:val="standardContextual"/>
        </w:rPr>
        <w:t xml:space="preserve">réponses appropriées </w:t>
      </w:r>
      <w:r w:rsidR="00D82C73" w:rsidRPr="007C5A6E">
        <w:rPr>
          <w:rFonts w:ascii="Times New Roman" w:eastAsia="Calibri" w:hAnsi="Times New Roman"/>
          <w:kern w:val="2"/>
          <w:sz w:val="24"/>
          <w:szCs w:val="24"/>
          <w:lang w:eastAsia="en-US"/>
          <w14:ligatures w14:val="standardContextual"/>
        </w:rPr>
        <w:t xml:space="preserve">apportées ou à apporter afin que les sols </w:t>
      </w:r>
      <w:r w:rsidRPr="007C5A6E">
        <w:rPr>
          <w:rFonts w:ascii="Times New Roman" w:eastAsia="Calibri" w:hAnsi="Times New Roman"/>
          <w:kern w:val="2"/>
          <w:sz w:val="24"/>
          <w:szCs w:val="24"/>
          <w:lang w:eastAsia="en-US"/>
          <w14:ligatures w14:val="standardContextual"/>
        </w:rPr>
        <w:t>re</w:t>
      </w:r>
      <w:r w:rsidR="00D82C73" w:rsidRPr="007C5A6E">
        <w:rPr>
          <w:rFonts w:ascii="Times New Roman" w:eastAsia="Calibri" w:hAnsi="Times New Roman"/>
          <w:kern w:val="2"/>
          <w:sz w:val="24"/>
          <w:szCs w:val="24"/>
          <w:lang w:eastAsia="en-US"/>
          <w14:ligatures w14:val="standardContextual"/>
        </w:rPr>
        <w:t xml:space="preserve">mplissent </w:t>
      </w:r>
      <w:r w:rsidRPr="007C5A6E">
        <w:rPr>
          <w:rFonts w:ascii="Times New Roman" w:eastAsia="Calibri" w:hAnsi="Times New Roman"/>
          <w:kern w:val="2"/>
          <w:sz w:val="24"/>
          <w:szCs w:val="24"/>
          <w:lang w:eastAsia="en-US"/>
          <w14:ligatures w14:val="standardContextual"/>
        </w:rPr>
        <w:t>leurs fonctions.</w:t>
      </w:r>
    </w:p>
    <w:p w14:paraId="714A05E5" w14:textId="77777777" w:rsidR="001A38F5" w:rsidRPr="007C5A6E" w:rsidRDefault="001A38F5" w:rsidP="001A38F5">
      <w:pPr>
        <w:spacing w:after="0" w:line="240" w:lineRule="auto"/>
        <w:rPr>
          <w:rFonts w:ascii="Times New Roman" w:hAnsi="Times New Roman"/>
          <w:sz w:val="24"/>
          <w:szCs w:val="24"/>
        </w:rPr>
      </w:pPr>
    </w:p>
    <w:p w14:paraId="4D42E72A" w14:textId="77777777" w:rsidR="00530291" w:rsidRPr="007C5A6E" w:rsidRDefault="00530291" w:rsidP="003F3821">
      <w:pPr>
        <w:pStyle w:val="Paragraphedeliste"/>
        <w:numPr>
          <w:ilvl w:val="0"/>
          <w:numId w:val="2"/>
        </w:numPr>
        <w:spacing w:after="0" w:line="240" w:lineRule="auto"/>
        <w:outlineLvl w:val="1"/>
        <w:rPr>
          <w:rFonts w:ascii="Times New Roman" w:hAnsi="Times New Roman"/>
          <w:b/>
          <w:bCs/>
          <w:vanish/>
          <w:sz w:val="24"/>
          <w:szCs w:val="24"/>
        </w:rPr>
      </w:pPr>
      <w:bookmarkStart w:id="666" w:name="_Toc183287887"/>
      <w:bookmarkStart w:id="667" w:name="_Toc183291128"/>
      <w:bookmarkStart w:id="668" w:name="_Toc183291532"/>
      <w:bookmarkStart w:id="669" w:name="_Toc183291936"/>
      <w:bookmarkStart w:id="670" w:name="_Toc183340129"/>
      <w:bookmarkEnd w:id="666"/>
      <w:bookmarkEnd w:id="667"/>
      <w:bookmarkEnd w:id="668"/>
      <w:bookmarkEnd w:id="669"/>
      <w:bookmarkEnd w:id="670"/>
    </w:p>
    <w:p w14:paraId="45C6D177" w14:textId="40D883BE" w:rsidR="00B94F95" w:rsidRPr="007C5A6E" w:rsidRDefault="00B94F95" w:rsidP="00712C43">
      <w:pPr>
        <w:pStyle w:val="Titre2"/>
      </w:pPr>
      <w:bookmarkStart w:id="671" w:name="_Toc183340130"/>
      <w:r w:rsidRPr="007C5A6E">
        <w:t>Les pressions sur les sols</w:t>
      </w:r>
      <w:bookmarkEnd w:id="671"/>
      <w:r w:rsidRPr="007C5A6E">
        <w:t xml:space="preserve"> </w:t>
      </w:r>
    </w:p>
    <w:p w14:paraId="5158D41F" w14:textId="77777777" w:rsidR="00B94F95" w:rsidRPr="007C5A6E" w:rsidRDefault="00B94F95" w:rsidP="00F57A5C">
      <w:pPr>
        <w:spacing w:after="0" w:line="240" w:lineRule="auto"/>
        <w:rPr>
          <w:rFonts w:ascii="Times New Roman" w:hAnsi="Times New Roman"/>
          <w:sz w:val="24"/>
          <w:szCs w:val="24"/>
        </w:rPr>
      </w:pPr>
    </w:p>
    <w:p w14:paraId="5AD7AE7F" w14:textId="77777777" w:rsidR="00D82C73" w:rsidRPr="007C5A6E" w:rsidRDefault="00D82C73" w:rsidP="003F3821">
      <w:pPr>
        <w:pStyle w:val="Paragraphedeliste"/>
        <w:numPr>
          <w:ilvl w:val="0"/>
          <w:numId w:val="4"/>
        </w:numPr>
        <w:spacing w:after="0" w:line="240" w:lineRule="auto"/>
        <w:contextualSpacing w:val="0"/>
        <w:outlineLvl w:val="2"/>
        <w:rPr>
          <w:rFonts w:ascii="Times New Roman" w:eastAsiaTheme="minorHAnsi" w:hAnsi="Times New Roman" w:cstheme="majorBidi"/>
          <w:b/>
          <w:vanish/>
          <w:sz w:val="26"/>
          <w:szCs w:val="24"/>
          <w:lang w:eastAsia="en-US"/>
        </w:rPr>
      </w:pPr>
      <w:bookmarkStart w:id="672" w:name="_Toc183287889"/>
      <w:bookmarkStart w:id="673" w:name="_Toc183291130"/>
      <w:bookmarkStart w:id="674" w:name="_Toc183291534"/>
      <w:bookmarkStart w:id="675" w:name="_Toc183291938"/>
      <w:bookmarkStart w:id="676" w:name="_Toc183340131"/>
      <w:bookmarkStart w:id="677" w:name="_Toc181982218"/>
      <w:bookmarkEnd w:id="672"/>
      <w:bookmarkEnd w:id="673"/>
      <w:bookmarkEnd w:id="674"/>
      <w:bookmarkEnd w:id="675"/>
      <w:bookmarkEnd w:id="676"/>
    </w:p>
    <w:p w14:paraId="165E90EE" w14:textId="77777777" w:rsidR="00D82C73" w:rsidRPr="007C5A6E" w:rsidRDefault="00D82C73" w:rsidP="003F3821">
      <w:pPr>
        <w:pStyle w:val="Paragraphedeliste"/>
        <w:numPr>
          <w:ilvl w:val="1"/>
          <w:numId w:val="4"/>
        </w:numPr>
        <w:spacing w:after="0" w:line="240" w:lineRule="auto"/>
        <w:contextualSpacing w:val="0"/>
        <w:outlineLvl w:val="2"/>
        <w:rPr>
          <w:rFonts w:ascii="Times New Roman" w:eastAsiaTheme="minorHAnsi" w:hAnsi="Times New Roman" w:cstheme="majorBidi"/>
          <w:b/>
          <w:vanish/>
          <w:sz w:val="26"/>
          <w:szCs w:val="24"/>
          <w:lang w:eastAsia="en-US"/>
        </w:rPr>
      </w:pPr>
      <w:bookmarkStart w:id="678" w:name="_Toc183287890"/>
      <w:bookmarkStart w:id="679" w:name="_Toc183291131"/>
      <w:bookmarkStart w:id="680" w:name="_Toc183291535"/>
      <w:bookmarkStart w:id="681" w:name="_Toc183291939"/>
      <w:bookmarkStart w:id="682" w:name="_Toc183340132"/>
      <w:bookmarkEnd w:id="678"/>
      <w:bookmarkEnd w:id="679"/>
      <w:bookmarkEnd w:id="680"/>
      <w:bookmarkEnd w:id="681"/>
      <w:bookmarkEnd w:id="682"/>
    </w:p>
    <w:p w14:paraId="7E083F2B" w14:textId="1F4E3546" w:rsidR="00D82C73" w:rsidRPr="007C5A6E" w:rsidRDefault="00D82C73" w:rsidP="00D82C73">
      <w:pPr>
        <w:pStyle w:val="Titre3"/>
      </w:pPr>
      <w:bookmarkStart w:id="683" w:name="_Toc183340133"/>
      <w:r w:rsidRPr="007C5A6E">
        <w:t>Pressions anthropiques</w:t>
      </w:r>
      <w:bookmarkEnd w:id="677"/>
      <w:bookmarkEnd w:id="683"/>
    </w:p>
    <w:p w14:paraId="2197B8C3" w14:textId="77777777" w:rsidR="00D82C73" w:rsidRPr="007C5A6E" w:rsidRDefault="00D82C73" w:rsidP="00D82C73">
      <w:pPr>
        <w:spacing w:after="0" w:line="240" w:lineRule="auto"/>
        <w:jc w:val="both"/>
        <w:rPr>
          <w:rFonts w:ascii="Times New Roman" w:eastAsia="Calibri" w:hAnsi="Times New Roman"/>
          <w:kern w:val="2"/>
          <w:sz w:val="24"/>
          <w:szCs w:val="24"/>
          <w:lang w:eastAsia="en-US"/>
          <w14:ligatures w14:val="standardContextual"/>
        </w:rPr>
      </w:pPr>
    </w:p>
    <w:p w14:paraId="1D6C4325" w14:textId="063B0767" w:rsidR="00D82C73" w:rsidRPr="007C5A6E" w:rsidRDefault="00D82C73" w:rsidP="00D82C73">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Les pressions humaines qui pèsent lourdement sur les sols sont principalement le surpâturage, l’agriculture pluviale, les feux de brousse, l’orpaillage, les mines industrielles, et bien d’autres.</w:t>
      </w:r>
    </w:p>
    <w:p w14:paraId="5D5892EB" w14:textId="77777777" w:rsidR="00D82C73" w:rsidRPr="007C5A6E" w:rsidRDefault="00D82C73" w:rsidP="00D82C73">
      <w:pPr>
        <w:spacing w:after="0" w:line="240" w:lineRule="auto"/>
        <w:jc w:val="both"/>
        <w:rPr>
          <w:rFonts w:ascii="Times New Roman" w:eastAsia="Calibri" w:hAnsi="Times New Roman"/>
          <w:kern w:val="2"/>
          <w:sz w:val="24"/>
          <w:szCs w:val="24"/>
          <w:lang w:eastAsia="en-US"/>
          <w14:ligatures w14:val="standardContextual"/>
        </w:rPr>
      </w:pPr>
    </w:p>
    <w:p w14:paraId="2A092F38" w14:textId="60F30537" w:rsidR="00D82C73" w:rsidRPr="007C5A6E" w:rsidRDefault="00F5426E" w:rsidP="00684FF8">
      <w:pPr>
        <w:pStyle w:val="Titre4"/>
      </w:pPr>
      <w:bookmarkStart w:id="684" w:name="_Toc174101741"/>
      <w:bookmarkStart w:id="685" w:name="_Toc181982219"/>
      <w:bookmarkStart w:id="686" w:name="_Toc183340134"/>
      <w:r w:rsidRPr="007C5A6E">
        <w:t>Le s</w:t>
      </w:r>
      <w:r w:rsidR="00D82C73" w:rsidRPr="007C5A6E">
        <w:t>urpâturage</w:t>
      </w:r>
      <w:bookmarkEnd w:id="684"/>
      <w:bookmarkEnd w:id="685"/>
      <w:bookmarkEnd w:id="686"/>
    </w:p>
    <w:p w14:paraId="0FC1B830" w14:textId="77777777" w:rsidR="00D82C73" w:rsidRPr="007C5A6E" w:rsidRDefault="00D82C73" w:rsidP="00D82C73">
      <w:pPr>
        <w:spacing w:after="0" w:line="240" w:lineRule="auto"/>
        <w:jc w:val="both"/>
        <w:rPr>
          <w:rFonts w:ascii="Times New Roman" w:eastAsia="Calibri" w:hAnsi="Times New Roman"/>
          <w:kern w:val="2"/>
          <w:sz w:val="24"/>
          <w:szCs w:val="24"/>
          <w:lang w:eastAsia="en-US"/>
          <w14:ligatures w14:val="standardContextual"/>
        </w:rPr>
      </w:pPr>
    </w:p>
    <w:p w14:paraId="7A20F444" w14:textId="77777777" w:rsidR="008F4DEF" w:rsidRPr="007C5A6E" w:rsidRDefault="00D82C73" w:rsidP="00D82C73">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L’élevage procure de nombreux biens et services à la population et soutient également les moyens de subsistance de plusieurs manières : revenus, nourriture et nutrition, assurance, traction, engrais, etc. De plus, l’élevage permet de stabiliser les populations rurales et d’éviter les migrations pour l’emploi et les revenus (FAO, 2018a). Au Burkina Faso, l’élevage occupe près de 86 pour cent de la population active du pays et représente environ 10 à 20 pour cent du PIB du pays et est le deuxième plus grand contributeur à la valeur ajoutée agricole, après le coton. </w:t>
      </w:r>
    </w:p>
    <w:p w14:paraId="29662718" w14:textId="77777777" w:rsidR="008F4DEF" w:rsidRPr="007C5A6E" w:rsidRDefault="008F4DEF" w:rsidP="00D82C73">
      <w:pPr>
        <w:spacing w:after="0" w:line="240" w:lineRule="auto"/>
        <w:jc w:val="both"/>
        <w:rPr>
          <w:rFonts w:ascii="Times New Roman" w:eastAsia="Calibri" w:hAnsi="Times New Roman"/>
          <w:kern w:val="2"/>
          <w:sz w:val="24"/>
          <w:szCs w:val="24"/>
          <w:lang w:eastAsia="en-US"/>
          <w14:ligatures w14:val="standardContextual"/>
        </w:rPr>
      </w:pPr>
    </w:p>
    <w:p w14:paraId="46AFEDF6" w14:textId="77777777" w:rsidR="00694720" w:rsidRPr="007C5A6E" w:rsidRDefault="00D82C73" w:rsidP="00D82C73">
      <w:pPr>
        <w:spacing w:after="0" w:line="240" w:lineRule="auto"/>
        <w:jc w:val="both"/>
        <w:rPr>
          <w:rFonts w:ascii="Times New Roman" w:eastAsia="Calibri" w:hAnsi="Times New Roman"/>
          <w:kern w:val="2"/>
          <w:sz w:val="24"/>
          <w:szCs w:val="24"/>
          <w:shd w:val="clear" w:color="auto" w:fill="FFFFFF"/>
          <w:lang w:eastAsia="en-US"/>
          <w14:ligatures w14:val="standardContextual"/>
        </w:rPr>
      </w:pPr>
      <w:r w:rsidRPr="007C5A6E">
        <w:rPr>
          <w:rFonts w:ascii="Times New Roman" w:eastAsia="Calibri" w:hAnsi="Times New Roman"/>
          <w:kern w:val="2"/>
          <w:sz w:val="24"/>
          <w:szCs w:val="24"/>
          <w:shd w:val="clear" w:color="auto" w:fill="FFFFFF"/>
          <w:lang w:eastAsia="en-US"/>
          <w14:ligatures w14:val="standardContextual"/>
        </w:rPr>
        <w:t xml:space="preserve">Il est important de souligner que le Burkina connaît des transhumances internes dont l’objet est la recherche des aires de pâturage favorables à l’alimentation du bétail ; ce qui peut provoquer de fortes pressions sur les sols, la végétation ligneuse et herbacée. Il y a également les déplacements internes des pasteurs avec le bétail dus aux attaques répétées des terroristes. Le tableau </w:t>
      </w:r>
      <w:r w:rsidR="002E04B0" w:rsidRPr="007C5A6E">
        <w:rPr>
          <w:rFonts w:ascii="Times New Roman" w:eastAsia="Calibri" w:hAnsi="Times New Roman"/>
          <w:kern w:val="2"/>
          <w:sz w:val="24"/>
          <w:szCs w:val="24"/>
          <w:shd w:val="clear" w:color="auto" w:fill="FFFFFF"/>
          <w:lang w:eastAsia="en-US"/>
          <w14:ligatures w14:val="standardContextual"/>
        </w:rPr>
        <w:t>25</w:t>
      </w:r>
      <w:r w:rsidRPr="007C5A6E">
        <w:rPr>
          <w:rFonts w:ascii="Times New Roman" w:eastAsia="Calibri" w:hAnsi="Times New Roman"/>
          <w:kern w:val="2"/>
          <w:sz w:val="24"/>
          <w:szCs w:val="24"/>
          <w:shd w:val="clear" w:color="auto" w:fill="FFFFFF"/>
          <w:lang w:eastAsia="en-US"/>
          <w14:ligatures w14:val="standardContextual"/>
        </w:rPr>
        <w:t xml:space="preserve"> montre </w:t>
      </w:r>
      <w:r w:rsidR="00694720" w:rsidRPr="007C5A6E">
        <w:rPr>
          <w:rFonts w:ascii="Times New Roman" w:eastAsia="Calibri" w:hAnsi="Times New Roman"/>
          <w:kern w:val="2"/>
          <w:sz w:val="24"/>
          <w:szCs w:val="24"/>
          <w:shd w:val="clear" w:color="auto" w:fill="FFFFFF"/>
          <w:lang w:eastAsia="en-US"/>
          <w14:ligatures w14:val="standardContextual"/>
        </w:rPr>
        <w:t xml:space="preserve">que l’effectif des bovins a </w:t>
      </w:r>
      <w:r w:rsidRPr="007C5A6E">
        <w:rPr>
          <w:rFonts w:ascii="Times New Roman" w:eastAsia="Calibri" w:hAnsi="Times New Roman"/>
          <w:kern w:val="2"/>
          <w:sz w:val="24"/>
          <w:szCs w:val="24"/>
          <w:shd w:val="clear" w:color="auto" w:fill="FFFFFF"/>
          <w:lang w:eastAsia="en-US"/>
          <w14:ligatures w14:val="standardContextual"/>
        </w:rPr>
        <w:t>augment</w:t>
      </w:r>
      <w:r w:rsidR="00694720" w:rsidRPr="007C5A6E">
        <w:rPr>
          <w:rFonts w:ascii="Times New Roman" w:eastAsia="Calibri" w:hAnsi="Times New Roman"/>
          <w:kern w:val="2"/>
          <w:sz w:val="24"/>
          <w:szCs w:val="24"/>
          <w:shd w:val="clear" w:color="auto" w:fill="FFFFFF"/>
          <w:lang w:eastAsia="en-US"/>
          <w14:ligatures w14:val="standardContextual"/>
        </w:rPr>
        <w:t xml:space="preserve">é </w:t>
      </w:r>
      <w:r w:rsidRPr="007C5A6E">
        <w:rPr>
          <w:rFonts w:ascii="Times New Roman" w:eastAsia="Calibri" w:hAnsi="Times New Roman"/>
          <w:kern w:val="2"/>
          <w:sz w:val="24"/>
          <w:szCs w:val="24"/>
          <w:shd w:val="clear" w:color="auto" w:fill="FFFFFF"/>
          <w:lang w:eastAsia="en-US"/>
          <w14:ligatures w14:val="standardContextual"/>
        </w:rPr>
        <w:t xml:space="preserve">de 2016 à 2021. </w:t>
      </w:r>
    </w:p>
    <w:p w14:paraId="291F6D1C" w14:textId="35563159" w:rsidR="008F4DEF" w:rsidRPr="007C5A6E" w:rsidRDefault="00D82C73" w:rsidP="00D82C73">
      <w:pPr>
        <w:spacing w:after="0" w:line="240" w:lineRule="auto"/>
        <w:jc w:val="both"/>
        <w:rPr>
          <w:rFonts w:ascii="Times New Roman" w:eastAsia="Calibri" w:hAnsi="Times New Roman"/>
          <w:kern w:val="2"/>
          <w:sz w:val="24"/>
          <w:szCs w:val="24"/>
          <w:shd w:val="clear" w:color="auto" w:fill="FFFFFF"/>
          <w:lang w:eastAsia="en-US"/>
          <w14:ligatures w14:val="standardContextual"/>
        </w:rPr>
      </w:pPr>
      <w:r w:rsidRPr="007C5A6E">
        <w:rPr>
          <w:rFonts w:ascii="Times New Roman" w:eastAsia="Calibri" w:hAnsi="Times New Roman"/>
          <w:kern w:val="2"/>
          <w:sz w:val="24"/>
          <w:szCs w:val="24"/>
          <w:shd w:val="clear" w:color="auto" w:fill="FFFFFF"/>
          <w:lang w:eastAsia="en-US"/>
          <w14:ligatures w14:val="standardContextual"/>
        </w:rPr>
        <w:t xml:space="preserve">Les régions où les taux des bovins sont importants sont respectivement la région du Mouhoun, des Hauts-Bassins, du Centre-Est. Toutefois, des taux très bas sont observés au Sahel : 7 % en 2020 et 5 % en 2021. Cela pourrait être imputable à l’insécurité qui sévit dans cette région. </w:t>
      </w:r>
    </w:p>
    <w:p w14:paraId="440E972D" w14:textId="77777777" w:rsidR="00694720" w:rsidRPr="007C5A6E" w:rsidRDefault="00694720" w:rsidP="00D82C73">
      <w:pPr>
        <w:spacing w:after="0" w:line="240" w:lineRule="auto"/>
        <w:jc w:val="both"/>
        <w:rPr>
          <w:rFonts w:ascii="Times New Roman" w:eastAsia="Calibri" w:hAnsi="Times New Roman"/>
          <w:kern w:val="2"/>
          <w:sz w:val="24"/>
          <w:szCs w:val="24"/>
          <w:shd w:val="clear" w:color="auto" w:fill="FFFFFF"/>
          <w:lang w:eastAsia="en-US"/>
          <w14:ligatures w14:val="standardContextual"/>
        </w:rPr>
      </w:pPr>
    </w:p>
    <w:p w14:paraId="3D6535C2" w14:textId="0B3D2705" w:rsidR="00D82C73" w:rsidRPr="007C5A6E" w:rsidRDefault="00D82C73" w:rsidP="00D82C73">
      <w:pPr>
        <w:spacing w:after="0" w:line="240" w:lineRule="auto"/>
        <w:jc w:val="both"/>
        <w:rPr>
          <w:rFonts w:ascii="Times New Roman" w:hAnsi="Times New Roman"/>
          <w:color w:val="000000"/>
          <w:sz w:val="24"/>
          <w:szCs w:val="24"/>
          <w:lang w:eastAsia="en-US"/>
        </w:rPr>
      </w:pPr>
      <w:r w:rsidRPr="007C5A6E">
        <w:rPr>
          <w:rFonts w:ascii="Times New Roman" w:eastAsia="Calibri" w:hAnsi="Times New Roman"/>
          <w:kern w:val="2"/>
          <w:sz w:val="24"/>
          <w:szCs w:val="24"/>
          <w:shd w:val="clear" w:color="auto" w:fill="FFFFFF"/>
          <w:lang w:eastAsia="en-US"/>
          <w14:ligatures w14:val="standardContextual"/>
        </w:rPr>
        <w:t>Les régions où les effectifs du bétail sont élevés, correspondent aux zones où les conditions climatiques sont favorables au pastoralisme. Elles pourraient également être des régions d’accueil des populations du Sahel obligées de se déplacer avec le troupeau en raison des attaques terroristes</w:t>
      </w:r>
      <w:r w:rsidRPr="007C5A6E">
        <w:rPr>
          <w:rFonts w:ascii="Times New Roman" w:hAnsi="Times New Roman"/>
          <w:color w:val="000000"/>
          <w:sz w:val="24"/>
          <w:szCs w:val="24"/>
          <w:lang w:eastAsia="en-US"/>
        </w:rPr>
        <w:t>.</w:t>
      </w:r>
    </w:p>
    <w:p w14:paraId="57B20871" w14:textId="77777777" w:rsidR="008F4DEF" w:rsidRPr="007C5A6E" w:rsidRDefault="008F4DEF" w:rsidP="008F4DEF">
      <w:pPr>
        <w:spacing w:after="0" w:line="240" w:lineRule="auto"/>
        <w:jc w:val="both"/>
        <w:rPr>
          <w:rFonts w:ascii="Times New Roman" w:hAnsi="Times New Roman"/>
          <w:color w:val="000000"/>
          <w:sz w:val="24"/>
          <w:szCs w:val="24"/>
          <w:lang w:eastAsia="en-US"/>
        </w:rPr>
      </w:pPr>
    </w:p>
    <w:p w14:paraId="1736DF62" w14:textId="3D49BD2D" w:rsidR="00D82C73" w:rsidRPr="007C5A6E" w:rsidRDefault="008F4DEF" w:rsidP="008F4DEF">
      <w:pPr>
        <w:pStyle w:val="Lgende"/>
        <w:spacing w:after="0"/>
        <w:rPr>
          <w:rFonts w:ascii="Times New Roman" w:eastAsia="Calibri" w:hAnsi="Times New Roman"/>
          <w:bCs/>
          <w:i w:val="0"/>
          <w:iCs w:val="0"/>
          <w:color w:val="auto"/>
          <w:kern w:val="2"/>
          <w:sz w:val="24"/>
          <w:szCs w:val="24"/>
          <w:shd w:val="clear" w:color="auto" w:fill="FFFFFF"/>
          <w:lang w:eastAsia="en-US"/>
          <w14:ligatures w14:val="standardContextual"/>
        </w:rPr>
      </w:pPr>
      <w:bookmarkStart w:id="687" w:name="_Toc181983394"/>
      <w:bookmarkStart w:id="688" w:name="_Toc183240987"/>
      <w:bookmarkStart w:id="689" w:name="_Toc183292229"/>
      <w:bookmarkStart w:id="690" w:name="_Toc183340509"/>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694720" w:rsidRPr="007C5A6E">
        <w:rPr>
          <w:rFonts w:ascii="Times New Roman" w:hAnsi="Times New Roman"/>
          <w:i w:val="0"/>
          <w:iCs w:val="0"/>
          <w:noProof/>
          <w:color w:val="auto"/>
          <w:sz w:val="24"/>
          <w:szCs w:val="24"/>
        </w:rPr>
        <w:t>25</w:t>
      </w:r>
      <w:r w:rsidRPr="007C5A6E">
        <w:rPr>
          <w:rFonts w:ascii="Times New Roman" w:hAnsi="Times New Roman"/>
          <w:i w:val="0"/>
          <w:iCs w:val="0"/>
          <w:color w:val="auto"/>
          <w:sz w:val="24"/>
          <w:szCs w:val="24"/>
        </w:rPr>
        <w:fldChar w:fldCharType="end"/>
      </w:r>
      <w:r w:rsidR="002E04B0" w:rsidRPr="007C5A6E">
        <w:rPr>
          <w:rFonts w:ascii="Times New Roman" w:hAnsi="Times New Roman"/>
          <w:i w:val="0"/>
          <w:iCs w:val="0"/>
          <w:color w:val="auto"/>
          <w:sz w:val="24"/>
          <w:szCs w:val="24"/>
        </w:rPr>
        <w:t xml:space="preserve"> </w:t>
      </w:r>
      <w:r w:rsidR="00D82C73" w:rsidRPr="007C5A6E">
        <w:rPr>
          <w:rFonts w:ascii="Times New Roman" w:eastAsia="Calibri" w:hAnsi="Times New Roman"/>
          <w:b/>
          <w:i w:val="0"/>
          <w:iCs w:val="0"/>
          <w:color w:val="auto"/>
          <w:kern w:val="2"/>
          <w:sz w:val="24"/>
          <w:szCs w:val="24"/>
          <w:shd w:val="clear" w:color="auto" w:fill="FFFFFF"/>
          <w:lang w:eastAsia="en-US"/>
          <w14:ligatures w14:val="standardContextual"/>
        </w:rPr>
        <w:t xml:space="preserve">: </w:t>
      </w:r>
      <w:r w:rsidR="00D82C73" w:rsidRPr="007C5A6E">
        <w:rPr>
          <w:rFonts w:ascii="Times New Roman" w:eastAsia="Calibri" w:hAnsi="Times New Roman"/>
          <w:bCs/>
          <w:i w:val="0"/>
          <w:iCs w:val="0"/>
          <w:color w:val="auto"/>
          <w:kern w:val="2"/>
          <w:sz w:val="24"/>
          <w:szCs w:val="24"/>
          <w:shd w:val="clear" w:color="auto" w:fill="FFFFFF"/>
          <w:lang w:eastAsia="en-US"/>
          <w14:ligatures w14:val="standardContextual"/>
        </w:rPr>
        <w:t>Evolution de l’effectif potentiel des bovins de 2016 à 2021 (en pourcentage)</w:t>
      </w:r>
      <w:bookmarkEnd w:id="687"/>
      <w:bookmarkEnd w:id="688"/>
      <w:bookmarkEnd w:id="689"/>
      <w:bookmarkEnd w:id="690"/>
    </w:p>
    <w:p w14:paraId="0B02C06F" w14:textId="77777777" w:rsidR="008F4DEF" w:rsidRPr="007C5A6E" w:rsidRDefault="008F4DEF" w:rsidP="008F4DEF">
      <w:pPr>
        <w:spacing w:after="0" w:line="240" w:lineRule="auto"/>
        <w:rPr>
          <w:rFonts w:eastAsia="Calibri"/>
          <w:lang w:eastAsia="en-US"/>
        </w:rPr>
      </w:pPr>
    </w:p>
    <w:tbl>
      <w:tblPr>
        <w:tblW w:w="9781" w:type="dxa"/>
        <w:jc w:val="center"/>
        <w:tblLook w:val="04A0" w:firstRow="1" w:lastRow="0" w:firstColumn="1" w:lastColumn="0" w:noHBand="0" w:noVBand="1"/>
      </w:tblPr>
      <w:tblGrid>
        <w:gridCol w:w="4479"/>
        <w:gridCol w:w="817"/>
        <w:gridCol w:w="817"/>
        <w:gridCol w:w="817"/>
        <w:gridCol w:w="1017"/>
        <w:gridCol w:w="817"/>
        <w:gridCol w:w="1017"/>
      </w:tblGrid>
      <w:tr w:rsidR="00D82C73" w:rsidRPr="007C5A6E" w14:paraId="6BE5139A" w14:textId="77777777" w:rsidTr="00000A12">
        <w:trPr>
          <w:trHeight w:val="290"/>
          <w:jc w:val="center"/>
        </w:trPr>
        <w:tc>
          <w:tcPr>
            <w:tcW w:w="4479" w:type="dxa"/>
            <w:tcBorders>
              <w:top w:val="single" w:sz="18" w:space="0" w:color="auto"/>
              <w:bottom w:val="single" w:sz="18" w:space="0" w:color="auto"/>
            </w:tcBorders>
            <w:shd w:val="clear" w:color="auto" w:fill="auto"/>
            <w:noWrap/>
            <w:vAlign w:val="bottom"/>
            <w:hideMark/>
          </w:tcPr>
          <w:p w14:paraId="2F2475E3" w14:textId="77777777" w:rsidR="00D82C73" w:rsidRPr="007C5A6E" w:rsidRDefault="00D82C73" w:rsidP="00D82C73">
            <w:pPr>
              <w:spacing w:after="0" w:line="240" w:lineRule="auto"/>
              <w:rPr>
                <w:rFonts w:ascii="Times New Roman" w:hAnsi="Times New Roman"/>
                <w:color w:val="000000"/>
                <w:lang w:eastAsia="en-US"/>
              </w:rPr>
            </w:pPr>
            <w:bookmarkStart w:id="691" w:name="_Hlk171858477"/>
            <w:r w:rsidRPr="007C5A6E">
              <w:rPr>
                <w:rFonts w:ascii="Times New Roman" w:hAnsi="Times New Roman"/>
                <w:color w:val="000000"/>
                <w:lang w:eastAsia="en-US"/>
              </w:rPr>
              <w:t>Régions</w:t>
            </w:r>
          </w:p>
        </w:tc>
        <w:tc>
          <w:tcPr>
            <w:tcW w:w="817" w:type="dxa"/>
            <w:tcBorders>
              <w:top w:val="single" w:sz="18" w:space="0" w:color="auto"/>
              <w:bottom w:val="single" w:sz="18" w:space="0" w:color="auto"/>
            </w:tcBorders>
            <w:shd w:val="clear" w:color="auto" w:fill="auto"/>
            <w:noWrap/>
            <w:vAlign w:val="bottom"/>
            <w:hideMark/>
          </w:tcPr>
          <w:p w14:paraId="24CB63A7" w14:textId="77777777" w:rsidR="00D82C73" w:rsidRPr="007C5A6E" w:rsidRDefault="00D82C73" w:rsidP="00D82C73">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2016</w:t>
            </w:r>
          </w:p>
        </w:tc>
        <w:tc>
          <w:tcPr>
            <w:tcW w:w="817" w:type="dxa"/>
            <w:tcBorders>
              <w:top w:val="single" w:sz="18" w:space="0" w:color="auto"/>
              <w:bottom w:val="single" w:sz="18" w:space="0" w:color="auto"/>
            </w:tcBorders>
            <w:shd w:val="clear" w:color="auto" w:fill="auto"/>
            <w:noWrap/>
            <w:vAlign w:val="bottom"/>
            <w:hideMark/>
          </w:tcPr>
          <w:p w14:paraId="29BABD82" w14:textId="77777777" w:rsidR="00D82C73" w:rsidRPr="007C5A6E" w:rsidRDefault="00D82C73" w:rsidP="00D82C73">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2017</w:t>
            </w:r>
          </w:p>
        </w:tc>
        <w:tc>
          <w:tcPr>
            <w:tcW w:w="817" w:type="dxa"/>
            <w:tcBorders>
              <w:top w:val="single" w:sz="18" w:space="0" w:color="auto"/>
              <w:bottom w:val="single" w:sz="18" w:space="0" w:color="auto"/>
            </w:tcBorders>
            <w:shd w:val="clear" w:color="auto" w:fill="auto"/>
            <w:noWrap/>
            <w:vAlign w:val="bottom"/>
            <w:hideMark/>
          </w:tcPr>
          <w:p w14:paraId="7C04F4C5" w14:textId="77777777" w:rsidR="00D82C73" w:rsidRPr="007C5A6E" w:rsidRDefault="00D82C73" w:rsidP="00D82C73">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2018</w:t>
            </w:r>
          </w:p>
        </w:tc>
        <w:tc>
          <w:tcPr>
            <w:tcW w:w="1017" w:type="dxa"/>
            <w:tcBorders>
              <w:top w:val="single" w:sz="18" w:space="0" w:color="auto"/>
              <w:bottom w:val="single" w:sz="18" w:space="0" w:color="auto"/>
            </w:tcBorders>
            <w:shd w:val="clear" w:color="auto" w:fill="auto"/>
            <w:noWrap/>
            <w:vAlign w:val="bottom"/>
            <w:hideMark/>
          </w:tcPr>
          <w:p w14:paraId="652F33E2" w14:textId="77777777" w:rsidR="00D82C73" w:rsidRPr="007C5A6E" w:rsidRDefault="00D82C73" w:rsidP="00D82C73">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2019</w:t>
            </w:r>
          </w:p>
        </w:tc>
        <w:tc>
          <w:tcPr>
            <w:tcW w:w="817" w:type="dxa"/>
            <w:tcBorders>
              <w:top w:val="single" w:sz="18" w:space="0" w:color="auto"/>
              <w:bottom w:val="single" w:sz="18" w:space="0" w:color="auto"/>
            </w:tcBorders>
            <w:shd w:val="clear" w:color="auto" w:fill="auto"/>
            <w:noWrap/>
            <w:vAlign w:val="bottom"/>
            <w:hideMark/>
          </w:tcPr>
          <w:p w14:paraId="5EE64AED" w14:textId="77777777" w:rsidR="00D82C73" w:rsidRPr="007C5A6E" w:rsidRDefault="00D82C73" w:rsidP="00D82C73">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2020</w:t>
            </w:r>
          </w:p>
        </w:tc>
        <w:tc>
          <w:tcPr>
            <w:tcW w:w="1017" w:type="dxa"/>
            <w:tcBorders>
              <w:top w:val="single" w:sz="18" w:space="0" w:color="auto"/>
              <w:bottom w:val="single" w:sz="18" w:space="0" w:color="auto"/>
            </w:tcBorders>
            <w:shd w:val="clear" w:color="auto" w:fill="auto"/>
            <w:noWrap/>
            <w:vAlign w:val="bottom"/>
            <w:hideMark/>
          </w:tcPr>
          <w:p w14:paraId="43D56088" w14:textId="77777777" w:rsidR="00D82C73" w:rsidRPr="007C5A6E" w:rsidRDefault="00D82C73" w:rsidP="00D82C73">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2021</w:t>
            </w:r>
          </w:p>
        </w:tc>
      </w:tr>
      <w:tr w:rsidR="00D82C73" w:rsidRPr="007C5A6E" w14:paraId="7D017FAA" w14:textId="77777777" w:rsidTr="00000A12">
        <w:trPr>
          <w:trHeight w:val="290"/>
          <w:jc w:val="center"/>
        </w:trPr>
        <w:tc>
          <w:tcPr>
            <w:tcW w:w="4479" w:type="dxa"/>
            <w:tcBorders>
              <w:top w:val="single" w:sz="18" w:space="0" w:color="auto"/>
            </w:tcBorders>
            <w:shd w:val="clear" w:color="auto" w:fill="auto"/>
            <w:noWrap/>
            <w:vAlign w:val="bottom"/>
            <w:hideMark/>
          </w:tcPr>
          <w:p w14:paraId="4E2DDEC0"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BOUCLE DU MOUHOUN</w:t>
            </w:r>
          </w:p>
        </w:tc>
        <w:tc>
          <w:tcPr>
            <w:tcW w:w="817" w:type="dxa"/>
            <w:tcBorders>
              <w:top w:val="single" w:sz="18" w:space="0" w:color="auto"/>
            </w:tcBorders>
            <w:shd w:val="clear" w:color="auto" w:fill="auto"/>
            <w:noWrap/>
            <w:vAlign w:val="bottom"/>
            <w:hideMark/>
          </w:tcPr>
          <w:p w14:paraId="50C7437E"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16</w:t>
            </w:r>
          </w:p>
        </w:tc>
        <w:tc>
          <w:tcPr>
            <w:tcW w:w="817" w:type="dxa"/>
            <w:tcBorders>
              <w:top w:val="single" w:sz="18" w:space="0" w:color="auto"/>
            </w:tcBorders>
            <w:shd w:val="clear" w:color="auto" w:fill="auto"/>
            <w:noWrap/>
            <w:vAlign w:val="bottom"/>
            <w:hideMark/>
          </w:tcPr>
          <w:p w14:paraId="07750727"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15</w:t>
            </w:r>
          </w:p>
        </w:tc>
        <w:tc>
          <w:tcPr>
            <w:tcW w:w="817" w:type="dxa"/>
            <w:tcBorders>
              <w:top w:val="single" w:sz="18" w:space="0" w:color="auto"/>
            </w:tcBorders>
            <w:shd w:val="clear" w:color="auto" w:fill="auto"/>
            <w:noWrap/>
            <w:vAlign w:val="bottom"/>
          </w:tcPr>
          <w:p w14:paraId="2FA0167F"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14</w:t>
            </w:r>
          </w:p>
        </w:tc>
        <w:tc>
          <w:tcPr>
            <w:tcW w:w="1017" w:type="dxa"/>
            <w:tcBorders>
              <w:top w:val="single" w:sz="18" w:space="0" w:color="auto"/>
            </w:tcBorders>
            <w:shd w:val="clear" w:color="auto" w:fill="auto"/>
            <w:noWrap/>
            <w:vAlign w:val="bottom"/>
            <w:hideMark/>
          </w:tcPr>
          <w:p w14:paraId="2B8BC9E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19</w:t>
            </w:r>
          </w:p>
        </w:tc>
        <w:tc>
          <w:tcPr>
            <w:tcW w:w="817" w:type="dxa"/>
            <w:tcBorders>
              <w:top w:val="single" w:sz="18" w:space="0" w:color="auto"/>
            </w:tcBorders>
            <w:shd w:val="clear" w:color="auto" w:fill="auto"/>
            <w:noWrap/>
            <w:vAlign w:val="bottom"/>
            <w:hideMark/>
          </w:tcPr>
          <w:p w14:paraId="2CCC51A5"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15</w:t>
            </w:r>
          </w:p>
        </w:tc>
        <w:tc>
          <w:tcPr>
            <w:tcW w:w="1017" w:type="dxa"/>
            <w:tcBorders>
              <w:top w:val="single" w:sz="18" w:space="0" w:color="auto"/>
            </w:tcBorders>
            <w:shd w:val="clear" w:color="auto" w:fill="auto"/>
            <w:noWrap/>
            <w:vAlign w:val="bottom"/>
            <w:hideMark/>
          </w:tcPr>
          <w:p w14:paraId="3564F46B"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19</w:t>
            </w:r>
          </w:p>
        </w:tc>
      </w:tr>
      <w:tr w:rsidR="00D82C73" w:rsidRPr="007C5A6E" w14:paraId="42D3AC0A" w14:textId="77777777" w:rsidTr="00000A12">
        <w:trPr>
          <w:trHeight w:val="290"/>
          <w:jc w:val="center"/>
        </w:trPr>
        <w:tc>
          <w:tcPr>
            <w:tcW w:w="4479" w:type="dxa"/>
            <w:shd w:val="clear" w:color="auto" w:fill="auto"/>
            <w:noWrap/>
            <w:vAlign w:val="bottom"/>
            <w:hideMark/>
          </w:tcPr>
          <w:p w14:paraId="3D8B91F2"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CASCADES</w:t>
            </w:r>
          </w:p>
        </w:tc>
        <w:tc>
          <w:tcPr>
            <w:tcW w:w="817" w:type="dxa"/>
            <w:shd w:val="clear" w:color="auto" w:fill="auto"/>
            <w:noWrap/>
            <w:vAlign w:val="bottom"/>
            <w:hideMark/>
          </w:tcPr>
          <w:p w14:paraId="2E6ACE0D"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3</w:t>
            </w:r>
          </w:p>
        </w:tc>
        <w:tc>
          <w:tcPr>
            <w:tcW w:w="817" w:type="dxa"/>
            <w:shd w:val="clear" w:color="auto" w:fill="auto"/>
            <w:noWrap/>
            <w:vAlign w:val="bottom"/>
            <w:hideMark/>
          </w:tcPr>
          <w:p w14:paraId="526F9A18"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4</w:t>
            </w:r>
          </w:p>
        </w:tc>
        <w:tc>
          <w:tcPr>
            <w:tcW w:w="817" w:type="dxa"/>
            <w:shd w:val="clear" w:color="auto" w:fill="auto"/>
            <w:noWrap/>
            <w:vAlign w:val="bottom"/>
            <w:hideMark/>
          </w:tcPr>
          <w:p w14:paraId="1E776E9A"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5</w:t>
            </w:r>
          </w:p>
        </w:tc>
        <w:tc>
          <w:tcPr>
            <w:tcW w:w="1017" w:type="dxa"/>
            <w:shd w:val="clear" w:color="auto" w:fill="auto"/>
            <w:noWrap/>
            <w:vAlign w:val="bottom"/>
            <w:hideMark/>
          </w:tcPr>
          <w:p w14:paraId="66DAC24A"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w:t>
            </w:r>
          </w:p>
        </w:tc>
        <w:tc>
          <w:tcPr>
            <w:tcW w:w="817" w:type="dxa"/>
            <w:shd w:val="clear" w:color="auto" w:fill="auto"/>
            <w:noWrap/>
            <w:vAlign w:val="bottom"/>
            <w:hideMark/>
          </w:tcPr>
          <w:p w14:paraId="715C817F"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8</w:t>
            </w:r>
          </w:p>
        </w:tc>
        <w:tc>
          <w:tcPr>
            <w:tcW w:w="1017" w:type="dxa"/>
            <w:shd w:val="clear" w:color="auto" w:fill="auto"/>
            <w:noWrap/>
            <w:vAlign w:val="bottom"/>
            <w:hideMark/>
          </w:tcPr>
          <w:p w14:paraId="04E0E591"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9</w:t>
            </w:r>
          </w:p>
        </w:tc>
      </w:tr>
      <w:tr w:rsidR="00D82C73" w:rsidRPr="007C5A6E" w14:paraId="6F64292D" w14:textId="77777777" w:rsidTr="00000A12">
        <w:trPr>
          <w:trHeight w:val="290"/>
          <w:jc w:val="center"/>
        </w:trPr>
        <w:tc>
          <w:tcPr>
            <w:tcW w:w="4479" w:type="dxa"/>
            <w:shd w:val="clear" w:color="auto" w:fill="auto"/>
            <w:noWrap/>
            <w:vAlign w:val="bottom"/>
            <w:hideMark/>
          </w:tcPr>
          <w:p w14:paraId="4D7BD698"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CENTRE</w:t>
            </w:r>
          </w:p>
        </w:tc>
        <w:tc>
          <w:tcPr>
            <w:tcW w:w="817" w:type="dxa"/>
            <w:shd w:val="clear" w:color="auto" w:fill="auto"/>
            <w:noWrap/>
            <w:vAlign w:val="bottom"/>
            <w:hideMark/>
          </w:tcPr>
          <w:p w14:paraId="22E472B1"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w:t>
            </w:r>
          </w:p>
        </w:tc>
        <w:tc>
          <w:tcPr>
            <w:tcW w:w="817" w:type="dxa"/>
            <w:shd w:val="clear" w:color="auto" w:fill="auto"/>
            <w:noWrap/>
            <w:vAlign w:val="bottom"/>
            <w:hideMark/>
          </w:tcPr>
          <w:p w14:paraId="3110B23D"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w:t>
            </w:r>
          </w:p>
        </w:tc>
        <w:tc>
          <w:tcPr>
            <w:tcW w:w="817" w:type="dxa"/>
            <w:shd w:val="clear" w:color="auto" w:fill="auto"/>
            <w:noWrap/>
            <w:vAlign w:val="bottom"/>
            <w:hideMark/>
          </w:tcPr>
          <w:p w14:paraId="6892A201"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w:t>
            </w:r>
          </w:p>
        </w:tc>
        <w:tc>
          <w:tcPr>
            <w:tcW w:w="1017" w:type="dxa"/>
            <w:shd w:val="clear" w:color="auto" w:fill="auto"/>
            <w:noWrap/>
            <w:vAlign w:val="bottom"/>
            <w:hideMark/>
          </w:tcPr>
          <w:p w14:paraId="5C5DE404"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w:t>
            </w:r>
          </w:p>
        </w:tc>
        <w:tc>
          <w:tcPr>
            <w:tcW w:w="817" w:type="dxa"/>
            <w:shd w:val="clear" w:color="auto" w:fill="auto"/>
            <w:noWrap/>
            <w:vAlign w:val="bottom"/>
            <w:hideMark/>
          </w:tcPr>
          <w:p w14:paraId="19015DA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w:t>
            </w:r>
          </w:p>
        </w:tc>
        <w:tc>
          <w:tcPr>
            <w:tcW w:w="1017" w:type="dxa"/>
            <w:shd w:val="clear" w:color="auto" w:fill="auto"/>
            <w:noWrap/>
            <w:vAlign w:val="bottom"/>
            <w:hideMark/>
          </w:tcPr>
          <w:p w14:paraId="6471736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w:t>
            </w:r>
          </w:p>
        </w:tc>
      </w:tr>
      <w:tr w:rsidR="00D82C73" w:rsidRPr="007C5A6E" w14:paraId="26B318A5" w14:textId="77777777" w:rsidTr="00000A12">
        <w:trPr>
          <w:trHeight w:val="290"/>
          <w:jc w:val="center"/>
        </w:trPr>
        <w:tc>
          <w:tcPr>
            <w:tcW w:w="4479" w:type="dxa"/>
            <w:shd w:val="clear" w:color="auto" w:fill="auto"/>
            <w:noWrap/>
            <w:vAlign w:val="bottom"/>
            <w:hideMark/>
          </w:tcPr>
          <w:p w14:paraId="708C947D"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CENTRE EST</w:t>
            </w:r>
          </w:p>
        </w:tc>
        <w:tc>
          <w:tcPr>
            <w:tcW w:w="817" w:type="dxa"/>
            <w:shd w:val="clear" w:color="auto" w:fill="auto"/>
            <w:noWrap/>
            <w:vAlign w:val="bottom"/>
            <w:hideMark/>
          </w:tcPr>
          <w:p w14:paraId="5C29640A"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11</w:t>
            </w:r>
          </w:p>
        </w:tc>
        <w:tc>
          <w:tcPr>
            <w:tcW w:w="817" w:type="dxa"/>
            <w:shd w:val="clear" w:color="auto" w:fill="auto"/>
            <w:noWrap/>
            <w:vAlign w:val="bottom"/>
            <w:hideMark/>
          </w:tcPr>
          <w:p w14:paraId="3AEFAB6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10</w:t>
            </w:r>
          </w:p>
        </w:tc>
        <w:tc>
          <w:tcPr>
            <w:tcW w:w="817" w:type="dxa"/>
            <w:shd w:val="clear" w:color="auto" w:fill="auto"/>
            <w:noWrap/>
            <w:vAlign w:val="bottom"/>
            <w:hideMark/>
          </w:tcPr>
          <w:p w14:paraId="178E5041"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16</w:t>
            </w:r>
          </w:p>
        </w:tc>
        <w:tc>
          <w:tcPr>
            <w:tcW w:w="1017" w:type="dxa"/>
            <w:shd w:val="clear" w:color="auto" w:fill="auto"/>
            <w:noWrap/>
            <w:vAlign w:val="bottom"/>
            <w:hideMark/>
          </w:tcPr>
          <w:p w14:paraId="49A980F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9</w:t>
            </w:r>
          </w:p>
        </w:tc>
        <w:tc>
          <w:tcPr>
            <w:tcW w:w="817" w:type="dxa"/>
            <w:shd w:val="clear" w:color="auto" w:fill="auto"/>
            <w:noWrap/>
            <w:vAlign w:val="bottom"/>
            <w:hideMark/>
          </w:tcPr>
          <w:p w14:paraId="06C4614A"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8</w:t>
            </w:r>
          </w:p>
        </w:tc>
        <w:tc>
          <w:tcPr>
            <w:tcW w:w="1017" w:type="dxa"/>
            <w:shd w:val="clear" w:color="auto" w:fill="auto"/>
            <w:noWrap/>
            <w:vAlign w:val="bottom"/>
            <w:hideMark/>
          </w:tcPr>
          <w:p w14:paraId="36D50F27"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r>
      <w:tr w:rsidR="00D82C73" w:rsidRPr="007C5A6E" w14:paraId="53C09E1D" w14:textId="77777777" w:rsidTr="00000A12">
        <w:trPr>
          <w:trHeight w:val="290"/>
          <w:jc w:val="center"/>
        </w:trPr>
        <w:tc>
          <w:tcPr>
            <w:tcW w:w="4479" w:type="dxa"/>
            <w:shd w:val="clear" w:color="auto" w:fill="auto"/>
            <w:noWrap/>
            <w:vAlign w:val="bottom"/>
            <w:hideMark/>
          </w:tcPr>
          <w:p w14:paraId="3FC544BD"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CENTRE NORD</w:t>
            </w:r>
          </w:p>
        </w:tc>
        <w:tc>
          <w:tcPr>
            <w:tcW w:w="817" w:type="dxa"/>
            <w:shd w:val="clear" w:color="auto" w:fill="auto"/>
            <w:noWrap/>
            <w:vAlign w:val="bottom"/>
            <w:hideMark/>
          </w:tcPr>
          <w:p w14:paraId="0DEAD57D"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w:t>
            </w:r>
          </w:p>
        </w:tc>
        <w:tc>
          <w:tcPr>
            <w:tcW w:w="817" w:type="dxa"/>
            <w:shd w:val="clear" w:color="auto" w:fill="auto"/>
            <w:noWrap/>
            <w:vAlign w:val="bottom"/>
            <w:hideMark/>
          </w:tcPr>
          <w:p w14:paraId="050CD33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817" w:type="dxa"/>
            <w:shd w:val="clear" w:color="auto" w:fill="auto"/>
            <w:noWrap/>
            <w:vAlign w:val="bottom"/>
            <w:hideMark/>
          </w:tcPr>
          <w:p w14:paraId="580E8372"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w:t>
            </w:r>
          </w:p>
        </w:tc>
        <w:tc>
          <w:tcPr>
            <w:tcW w:w="1017" w:type="dxa"/>
            <w:shd w:val="clear" w:color="auto" w:fill="auto"/>
            <w:noWrap/>
            <w:vAlign w:val="bottom"/>
            <w:hideMark/>
          </w:tcPr>
          <w:p w14:paraId="3FD5904B"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4</w:t>
            </w:r>
          </w:p>
        </w:tc>
        <w:tc>
          <w:tcPr>
            <w:tcW w:w="817" w:type="dxa"/>
            <w:shd w:val="clear" w:color="auto" w:fill="auto"/>
            <w:noWrap/>
            <w:vAlign w:val="bottom"/>
            <w:hideMark/>
          </w:tcPr>
          <w:p w14:paraId="7F0D6BF4"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w:t>
            </w:r>
          </w:p>
        </w:tc>
        <w:tc>
          <w:tcPr>
            <w:tcW w:w="1017" w:type="dxa"/>
            <w:shd w:val="clear" w:color="auto" w:fill="auto"/>
            <w:noWrap/>
            <w:vAlign w:val="bottom"/>
            <w:hideMark/>
          </w:tcPr>
          <w:p w14:paraId="40F36042"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4</w:t>
            </w:r>
          </w:p>
        </w:tc>
      </w:tr>
      <w:tr w:rsidR="00D82C73" w:rsidRPr="007C5A6E" w14:paraId="2D72F40F" w14:textId="77777777" w:rsidTr="00000A12">
        <w:trPr>
          <w:trHeight w:val="290"/>
          <w:jc w:val="center"/>
        </w:trPr>
        <w:tc>
          <w:tcPr>
            <w:tcW w:w="4479" w:type="dxa"/>
            <w:shd w:val="clear" w:color="auto" w:fill="auto"/>
            <w:noWrap/>
            <w:vAlign w:val="bottom"/>
            <w:hideMark/>
          </w:tcPr>
          <w:p w14:paraId="1F7EAC15"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CENTRE OUEST</w:t>
            </w:r>
          </w:p>
        </w:tc>
        <w:tc>
          <w:tcPr>
            <w:tcW w:w="817" w:type="dxa"/>
            <w:shd w:val="clear" w:color="auto" w:fill="auto"/>
            <w:noWrap/>
            <w:vAlign w:val="bottom"/>
            <w:hideMark/>
          </w:tcPr>
          <w:p w14:paraId="599C6A88"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5</w:t>
            </w:r>
          </w:p>
        </w:tc>
        <w:tc>
          <w:tcPr>
            <w:tcW w:w="817" w:type="dxa"/>
            <w:shd w:val="clear" w:color="auto" w:fill="auto"/>
            <w:noWrap/>
            <w:vAlign w:val="bottom"/>
            <w:hideMark/>
          </w:tcPr>
          <w:p w14:paraId="60AFD97E"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w:t>
            </w:r>
          </w:p>
        </w:tc>
        <w:tc>
          <w:tcPr>
            <w:tcW w:w="817" w:type="dxa"/>
            <w:shd w:val="clear" w:color="auto" w:fill="auto"/>
            <w:noWrap/>
            <w:vAlign w:val="bottom"/>
            <w:hideMark/>
          </w:tcPr>
          <w:p w14:paraId="55379ACD"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1017" w:type="dxa"/>
            <w:shd w:val="clear" w:color="auto" w:fill="auto"/>
            <w:noWrap/>
            <w:vAlign w:val="bottom"/>
            <w:hideMark/>
          </w:tcPr>
          <w:p w14:paraId="513A971E"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817" w:type="dxa"/>
            <w:shd w:val="clear" w:color="auto" w:fill="auto"/>
            <w:noWrap/>
            <w:vAlign w:val="bottom"/>
            <w:hideMark/>
          </w:tcPr>
          <w:p w14:paraId="4FC44246"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1017" w:type="dxa"/>
            <w:shd w:val="clear" w:color="auto" w:fill="auto"/>
            <w:noWrap/>
            <w:vAlign w:val="bottom"/>
            <w:hideMark/>
          </w:tcPr>
          <w:p w14:paraId="372F523E"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8</w:t>
            </w:r>
          </w:p>
        </w:tc>
      </w:tr>
      <w:tr w:rsidR="00D82C73" w:rsidRPr="007C5A6E" w14:paraId="595D3D7E" w14:textId="77777777" w:rsidTr="00000A12">
        <w:trPr>
          <w:trHeight w:val="290"/>
          <w:jc w:val="center"/>
        </w:trPr>
        <w:tc>
          <w:tcPr>
            <w:tcW w:w="4479" w:type="dxa"/>
            <w:shd w:val="clear" w:color="auto" w:fill="auto"/>
            <w:noWrap/>
            <w:vAlign w:val="bottom"/>
            <w:hideMark/>
          </w:tcPr>
          <w:p w14:paraId="2E09ADA1"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CENTRE SUD</w:t>
            </w:r>
          </w:p>
        </w:tc>
        <w:tc>
          <w:tcPr>
            <w:tcW w:w="817" w:type="dxa"/>
            <w:shd w:val="clear" w:color="auto" w:fill="auto"/>
            <w:noWrap/>
            <w:vAlign w:val="bottom"/>
            <w:hideMark/>
          </w:tcPr>
          <w:p w14:paraId="4456CC95"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5</w:t>
            </w:r>
          </w:p>
        </w:tc>
        <w:tc>
          <w:tcPr>
            <w:tcW w:w="817" w:type="dxa"/>
            <w:shd w:val="clear" w:color="auto" w:fill="auto"/>
            <w:noWrap/>
            <w:vAlign w:val="bottom"/>
            <w:hideMark/>
          </w:tcPr>
          <w:p w14:paraId="50F35AD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4</w:t>
            </w:r>
          </w:p>
        </w:tc>
        <w:tc>
          <w:tcPr>
            <w:tcW w:w="817" w:type="dxa"/>
            <w:shd w:val="clear" w:color="auto" w:fill="auto"/>
            <w:noWrap/>
            <w:vAlign w:val="bottom"/>
            <w:hideMark/>
          </w:tcPr>
          <w:p w14:paraId="22F043AB"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4</w:t>
            </w:r>
          </w:p>
        </w:tc>
        <w:tc>
          <w:tcPr>
            <w:tcW w:w="1017" w:type="dxa"/>
            <w:shd w:val="clear" w:color="auto" w:fill="auto"/>
            <w:noWrap/>
            <w:vAlign w:val="bottom"/>
            <w:hideMark/>
          </w:tcPr>
          <w:p w14:paraId="7660C9FD"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5</w:t>
            </w:r>
          </w:p>
        </w:tc>
        <w:tc>
          <w:tcPr>
            <w:tcW w:w="817" w:type="dxa"/>
            <w:shd w:val="clear" w:color="auto" w:fill="auto"/>
            <w:noWrap/>
            <w:vAlign w:val="bottom"/>
            <w:hideMark/>
          </w:tcPr>
          <w:p w14:paraId="7A31EB1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w:t>
            </w:r>
          </w:p>
        </w:tc>
        <w:tc>
          <w:tcPr>
            <w:tcW w:w="1017" w:type="dxa"/>
            <w:shd w:val="clear" w:color="auto" w:fill="auto"/>
            <w:noWrap/>
            <w:vAlign w:val="bottom"/>
            <w:hideMark/>
          </w:tcPr>
          <w:p w14:paraId="6813C44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5</w:t>
            </w:r>
          </w:p>
        </w:tc>
      </w:tr>
      <w:tr w:rsidR="00D82C73" w:rsidRPr="007C5A6E" w14:paraId="0CB2D0AD" w14:textId="77777777" w:rsidTr="00000A12">
        <w:trPr>
          <w:trHeight w:val="290"/>
          <w:jc w:val="center"/>
        </w:trPr>
        <w:tc>
          <w:tcPr>
            <w:tcW w:w="4479" w:type="dxa"/>
            <w:shd w:val="clear" w:color="auto" w:fill="auto"/>
            <w:noWrap/>
            <w:vAlign w:val="bottom"/>
            <w:hideMark/>
          </w:tcPr>
          <w:p w14:paraId="690CEDFA"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EST</w:t>
            </w:r>
          </w:p>
        </w:tc>
        <w:tc>
          <w:tcPr>
            <w:tcW w:w="817" w:type="dxa"/>
            <w:shd w:val="clear" w:color="auto" w:fill="auto"/>
            <w:noWrap/>
            <w:vAlign w:val="bottom"/>
            <w:hideMark/>
          </w:tcPr>
          <w:p w14:paraId="30127C8B"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12</w:t>
            </w:r>
          </w:p>
        </w:tc>
        <w:tc>
          <w:tcPr>
            <w:tcW w:w="817" w:type="dxa"/>
            <w:shd w:val="clear" w:color="auto" w:fill="auto"/>
            <w:noWrap/>
            <w:vAlign w:val="bottom"/>
            <w:hideMark/>
          </w:tcPr>
          <w:p w14:paraId="5040A97A"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13</w:t>
            </w:r>
          </w:p>
        </w:tc>
        <w:tc>
          <w:tcPr>
            <w:tcW w:w="817" w:type="dxa"/>
            <w:shd w:val="clear" w:color="auto" w:fill="auto"/>
            <w:noWrap/>
            <w:vAlign w:val="bottom"/>
            <w:hideMark/>
          </w:tcPr>
          <w:p w14:paraId="5BB2840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12</w:t>
            </w:r>
          </w:p>
        </w:tc>
        <w:tc>
          <w:tcPr>
            <w:tcW w:w="1017" w:type="dxa"/>
            <w:shd w:val="clear" w:color="auto" w:fill="auto"/>
            <w:noWrap/>
            <w:vAlign w:val="bottom"/>
            <w:hideMark/>
          </w:tcPr>
          <w:p w14:paraId="6A7F46FF"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12</w:t>
            </w:r>
          </w:p>
        </w:tc>
        <w:tc>
          <w:tcPr>
            <w:tcW w:w="817" w:type="dxa"/>
            <w:shd w:val="clear" w:color="auto" w:fill="auto"/>
            <w:noWrap/>
            <w:vAlign w:val="bottom"/>
            <w:hideMark/>
          </w:tcPr>
          <w:p w14:paraId="2FD391A9"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9</w:t>
            </w:r>
          </w:p>
        </w:tc>
        <w:tc>
          <w:tcPr>
            <w:tcW w:w="1017" w:type="dxa"/>
            <w:shd w:val="clear" w:color="auto" w:fill="auto"/>
            <w:noWrap/>
            <w:vAlign w:val="bottom"/>
            <w:hideMark/>
          </w:tcPr>
          <w:p w14:paraId="6287BEE2"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8</w:t>
            </w:r>
          </w:p>
        </w:tc>
      </w:tr>
      <w:tr w:rsidR="00D82C73" w:rsidRPr="007C5A6E" w14:paraId="3D38FA73" w14:textId="77777777" w:rsidTr="00000A12">
        <w:trPr>
          <w:trHeight w:val="290"/>
          <w:jc w:val="center"/>
        </w:trPr>
        <w:tc>
          <w:tcPr>
            <w:tcW w:w="4479" w:type="dxa"/>
            <w:shd w:val="clear" w:color="auto" w:fill="auto"/>
            <w:noWrap/>
            <w:vAlign w:val="bottom"/>
            <w:hideMark/>
          </w:tcPr>
          <w:p w14:paraId="42FC37E4"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HAUTS BASSINS</w:t>
            </w:r>
          </w:p>
        </w:tc>
        <w:tc>
          <w:tcPr>
            <w:tcW w:w="817" w:type="dxa"/>
            <w:shd w:val="clear" w:color="auto" w:fill="auto"/>
            <w:noWrap/>
            <w:vAlign w:val="bottom"/>
            <w:hideMark/>
          </w:tcPr>
          <w:p w14:paraId="60F904C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15</w:t>
            </w:r>
          </w:p>
        </w:tc>
        <w:tc>
          <w:tcPr>
            <w:tcW w:w="817" w:type="dxa"/>
            <w:shd w:val="clear" w:color="auto" w:fill="auto"/>
            <w:noWrap/>
            <w:vAlign w:val="bottom"/>
            <w:hideMark/>
          </w:tcPr>
          <w:p w14:paraId="4C388C0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15</w:t>
            </w:r>
          </w:p>
        </w:tc>
        <w:tc>
          <w:tcPr>
            <w:tcW w:w="817" w:type="dxa"/>
            <w:shd w:val="clear" w:color="auto" w:fill="auto"/>
            <w:noWrap/>
            <w:vAlign w:val="bottom"/>
            <w:hideMark/>
          </w:tcPr>
          <w:p w14:paraId="305FA9B4"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11</w:t>
            </w:r>
          </w:p>
        </w:tc>
        <w:tc>
          <w:tcPr>
            <w:tcW w:w="1017" w:type="dxa"/>
            <w:shd w:val="clear" w:color="auto" w:fill="auto"/>
            <w:noWrap/>
            <w:vAlign w:val="bottom"/>
            <w:hideMark/>
          </w:tcPr>
          <w:p w14:paraId="60FE1FBA"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13</w:t>
            </w:r>
          </w:p>
        </w:tc>
        <w:tc>
          <w:tcPr>
            <w:tcW w:w="817" w:type="dxa"/>
            <w:shd w:val="clear" w:color="auto" w:fill="auto"/>
            <w:noWrap/>
            <w:vAlign w:val="bottom"/>
            <w:hideMark/>
          </w:tcPr>
          <w:p w14:paraId="10140B66"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14</w:t>
            </w:r>
          </w:p>
        </w:tc>
        <w:tc>
          <w:tcPr>
            <w:tcW w:w="1017" w:type="dxa"/>
            <w:shd w:val="clear" w:color="auto" w:fill="auto"/>
            <w:noWrap/>
            <w:vAlign w:val="bottom"/>
            <w:hideMark/>
          </w:tcPr>
          <w:p w14:paraId="6C05FFF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17</w:t>
            </w:r>
          </w:p>
        </w:tc>
      </w:tr>
      <w:tr w:rsidR="00D82C73" w:rsidRPr="007C5A6E" w14:paraId="34391CF2" w14:textId="77777777" w:rsidTr="00000A12">
        <w:trPr>
          <w:trHeight w:val="290"/>
          <w:jc w:val="center"/>
        </w:trPr>
        <w:tc>
          <w:tcPr>
            <w:tcW w:w="4479" w:type="dxa"/>
            <w:shd w:val="clear" w:color="auto" w:fill="auto"/>
            <w:noWrap/>
            <w:vAlign w:val="bottom"/>
            <w:hideMark/>
          </w:tcPr>
          <w:p w14:paraId="4DECDA47"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NORD</w:t>
            </w:r>
          </w:p>
        </w:tc>
        <w:tc>
          <w:tcPr>
            <w:tcW w:w="817" w:type="dxa"/>
            <w:shd w:val="clear" w:color="auto" w:fill="auto"/>
            <w:noWrap/>
            <w:vAlign w:val="bottom"/>
            <w:hideMark/>
          </w:tcPr>
          <w:p w14:paraId="127EC118"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817" w:type="dxa"/>
            <w:shd w:val="clear" w:color="auto" w:fill="auto"/>
            <w:noWrap/>
            <w:vAlign w:val="bottom"/>
            <w:hideMark/>
          </w:tcPr>
          <w:p w14:paraId="23C26D64"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w:t>
            </w:r>
          </w:p>
        </w:tc>
        <w:tc>
          <w:tcPr>
            <w:tcW w:w="817" w:type="dxa"/>
            <w:shd w:val="clear" w:color="auto" w:fill="auto"/>
            <w:noWrap/>
            <w:vAlign w:val="bottom"/>
            <w:hideMark/>
          </w:tcPr>
          <w:p w14:paraId="74EB6D97"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4</w:t>
            </w:r>
          </w:p>
        </w:tc>
        <w:tc>
          <w:tcPr>
            <w:tcW w:w="1017" w:type="dxa"/>
            <w:shd w:val="clear" w:color="auto" w:fill="auto"/>
            <w:noWrap/>
            <w:vAlign w:val="bottom"/>
            <w:hideMark/>
          </w:tcPr>
          <w:p w14:paraId="06D8390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5</w:t>
            </w:r>
          </w:p>
        </w:tc>
        <w:tc>
          <w:tcPr>
            <w:tcW w:w="817" w:type="dxa"/>
            <w:shd w:val="clear" w:color="auto" w:fill="auto"/>
            <w:noWrap/>
            <w:vAlign w:val="bottom"/>
            <w:hideMark/>
          </w:tcPr>
          <w:p w14:paraId="300FE502"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4</w:t>
            </w:r>
          </w:p>
        </w:tc>
        <w:tc>
          <w:tcPr>
            <w:tcW w:w="1017" w:type="dxa"/>
            <w:shd w:val="clear" w:color="auto" w:fill="auto"/>
            <w:noWrap/>
            <w:vAlign w:val="bottom"/>
            <w:hideMark/>
          </w:tcPr>
          <w:p w14:paraId="6CD14B0D"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3</w:t>
            </w:r>
          </w:p>
        </w:tc>
      </w:tr>
      <w:tr w:rsidR="00D82C73" w:rsidRPr="007C5A6E" w14:paraId="2A42E1E6" w14:textId="77777777" w:rsidTr="00000A12">
        <w:trPr>
          <w:trHeight w:val="290"/>
          <w:jc w:val="center"/>
        </w:trPr>
        <w:tc>
          <w:tcPr>
            <w:tcW w:w="4479" w:type="dxa"/>
            <w:shd w:val="clear" w:color="auto" w:fill="auto"/>
            <w:noWrap/>
            <w:vAlign w:val="bottom"/>
            <w:hideMark/>
          </w:tcPr>
          <w:p w14:paraId="0E18470F"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PLATEAU CENTRAL</w:t>
            </w:r>
          </w:p>
        </w:tc>
        <w:tc>
          <w:tcPr>
            <w:tcW w:w="817" w:type="dxa"/>
            <w:shd w:val="clear" w:color="auto" w:fill="auto"/>
            <w:noWrap/>
            <w:vAlign w:val="bottom"/>
            <w:hideMark/>
          </w:tcPr>
          <w:p w14:paraId="546AC771"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3</w:t>
            </w:r>
          </w:p>
        </w:tc>
        <w:tc>
          <w:tcPr>
            <w:tcW w:w="817" w:type="dxa"/>
            <w:shd w:val="clear" w:color="auto" w:fill="auto"/>
            <w:noWrap/>
            <w:vAlign w:val="bottom"/>
            <w:hideMark/>
          </w:tcPr>
          <w:p w14:paraId="1F720E59"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3</w:t>
            </w:r>
          </w:p>
        </w:tc>
        <w:tc>
          <w:tcPr>
            <w:tcW w:w="817" w:type="dxa"/>
            <w:shd w:val="clear" w:color="auto" w:fill="auto"/>
            <w:noWrap/>
            <w:vAlign w:val="bottom"/>
            <w:hideMark/>
          </w:tcPr>
          <w:p w14:paraId="759D2D11"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3</w:t>
            </w:r>
          </w:p>
        </w:tc>
        <w:tc>
          <w:tcPr>
            <w:tcW w:w="1017" w:type="dxa"/>
            <w:shd w:val="clear" w:color="auto" w:fill="auto"/>
            <w:noWrap/>
            <w:vAlign w:val="bottom"/>
            <w:hideMark/>
          </w:tcPr>
          <w:p w14:paraId="29D6E2FB"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3</w:t>
            </w:r>
          </w:p>
        </w:tc>
        <w:tc>
          <w:tcPr>
            <w:tcW w:w="817" w:type="dxa"/>
            <w:shd w:val="clear" w:color="auto" w:fill="auto"/>
            <w:noWrap/>
            <w:vAlign w:val="bottom"/>
            <w:hideMark/>
          </w:tcPr>
          <w:p w14:paraId="33CE902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1017" w:type="dxa"/>
            <w:shd w:val="clear" w:color="auto" w:fill="auto"/>
            <w:noWrap/>
            <w:vAlign w:val="bottom"/>
            <w:hideMark/>
          </w:tcPr>
          <w:p w14:paraId="167BE668"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5</w:t>
            </w:r>
          </w:p>
        </w:tc>
      </w:tr>
      <w:tr w:rsidR="00D82C73" w:rsidRPr="007C5A6E" w14:paraId="28FBCEBF" w14:textId="77777777" w:rsidTr="00000A12">
        <w:trPr>
          <w:trHeight w:val="290"/>
          <w:jc w:val="center"/>
        </w:trPr>
        <w:tc>
          <w:tcPr>
            <w:tcW w:w="4479" w:type="dxa"/>
            <w:shd w:val="clear" w:color="auto" w:fill="auto"/>
            <w:noWrap/>
            <w:vAlign w:val="bottom"/>
            <w:hideMark/>
          </w:tcPr>
          <w:p w14:paraId="62E0FE48"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SAHEL</w:t>
            </w:r>
          </w:p>
        </w:tc>
        <w:tc>
          <w:tcPr>
            <w:tcW w:w="817" w:type="dxa"/>
            <w:shd w:val="clear" w:color="auto" w:fill="auto"/>
            <w:noWrap/>
            <w:vAlign w:val="bottom"/>
            <w:hideMark/>
          </w:tcPr>
          <w:p w14:paraId="6C88062A"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15</w:t>
            </w:r>
          </w:p>
        </w:tc>
        <w:tc>
          <w:tcPr>
            <w:tcW w:w="817" w:type="dxa"/>
            <w:shd w:val="clear" w:color="auto" w:fill="auto"/>
            <w:noWrap/>
            <w:vAlign w:val="bottom"/>
            <w:hideMark/>
          </w:tcPr>
          <w:p w14:paraId="39617CAF"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14</w:t>
            </w:r>
          </w:p>
        </w:tc>
        <w:tc>
          <w:tcPr>
            <w:tcW w:w="817" w:type="dxa"/>
            <w:shd w:val="clear" w:color="auto" w:fill="auto"/>
            <w:noWrap/>
            <w:vAlign w:val="bottom"/>
            <w:hideMark/>
          </w:tcPr>
          <w:p w14:paraId="6BF9102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14</w:t>
            </w:r>
          </w:p>
        </w:tc>
        <w:tc>
          <w:tcPr>
            <w:tcW w:w="1017" w:type="dxa"/>
            <w:shd w:val="clear" w:color="auto" w:fill="auto"/>
            <w:noWrap/>
            <w:vAlign w:val="bottom"/>
            <w:hideMark/>
          </w:tcPr>
          <w:p w14:paraId="4CEC919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11</w:t>
            </w:r>
          </w:p>
        </w:tc>
        <w:tc>
          <w:tcPr>
            <w:tcW w:w="817" w:type="dxa"/>
            <w:shd w:val="clear" w:color="auto" w:fill="auto"/>
            <w:noWrap/>
            <w:vAlign w:val="bottom"/>
            <w:hideMark/>
          </w:tcPr>
          <w:p w14:paraId="2A99178E"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9</w:t>
            </w:r>
          </w:p>
        </w:tc>
        <w:tc>
          <w:tcPr>
            <w:tcW w:w="1017" w:type="dxa"/>
            <w:shd w:val="clear" w:color="auto" w:fill="auto"/>
            <w:noWrap/>
            <w:vAlign w:val="bottom"/>
            <w:hideMark/>
          </w:tcPr>
          <w:p w14:paraId="4E297F0C"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5</w:t>
            </w:r>
          </w:p>
        </w:tc>
      </w:tr>
      <w:tr w:rsidR="00D82C73" w:rsidRPr="007C5A6E" w14:paraId="50BCC2B0" w14:textId="77777777" w:rsidTr="00000A12">
        <w:trPr>
          <w:trHeight w:val="290"/>
          <w:jc w:val="center"/>
        </w:trPr>
        <w:tc>
          <w:tcPr>
            <w:tcW w:w="4479" w:type="dxa"/>
            <w:tcBorders>
              <w:bottom w:val="single" w:sz="18" w:space="0" w:color="auto"/>
            </w:tcBorders>
            <w:shd w:val="clear" w:color="auto" w:fill="auto"/>
            <w:noWrap/>
            <w:vAlign w:val="bottom"/>
            <w:hideMark/>
          </w:tcPr>
          <w:p w14:paraId="5F3731A1"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SUD OUEST</w:t>
            </w:r>
          </w:p>
        </w:tc>
        <w:tc>
          <w:tcPr>
            <w:tcW w:w="817" w:type="dxa"/>
            <w:tcBorders>
              <w:bottom w:val="single" w:sz="18" w:space="0" w:color="auto"/>
            </w:tcBorders>
            <w:shd w:val="clear" w:color="auto" w:fill="auto"/>
            <w:noWrap/>
            <w:vAlign w:val="bottom"/>
            <w:hideMark/>
          </w:tcPr>
          <w:p w14:paraId="6377C8D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3</w:t>
            </w:r>
          </w:p>
        </w:tc>
        <w:tc>
          <w:tcPr>
            <w:tcW w:w="817" w:type="dxa"/>
            <w:tcBorders>
              <w:bottom w:val="single" w:sz="18" w:space="0" w:color="auto"/>
            </w:tcBorders>
            <w:shd w:val="clear" w:color="auto" w:fill="auto"/>
            <w:noWrap/>
            <w:vAlign w:val="bottom"/>
            <w:hideMark/>
          </w:tcPr>
          <w:p w14:paraId="0560309B"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3</w:t>
            </w:r>
          </w:p>
        </w:tc>
        <w:tc>
          <w:tcPr>
            <w:tcW w:w="817" w:type="dxa"/>
            <w:tcBorders>
              <w:bottom w:val="single" w:sz="18" w:space="0" w:color="auto"/>
            </w:tcBorders>
            <w:shd w:val="clear" w:color="auto" w:fill="auto"/>
            <w:noWrap/>
            <w:vAlign w:val="bottom"/>
            <w:hideMark/>
          </w:tcPr>
          <w:p w14:paraId="563557A4"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4</w:t>
            </w:r>
          </w:p>
        </w:tc>
        <w:tc>
          <w:tcPr>
            <w:tcW w:w="1017" w:type="dxa"/>
            <w:tcBorders>
              <w:bottom w:val="single" w:sz="18" w:space="0" w:color="auto"/>
            </w:tcBorders>
            <w:shd w:val="clear" w:color="auto" w:fill="auto"/>
            <w:noWrap/>
            <w:vAlign w:val="bottom"/>
            <w:hideMark/>
          </w:tcPr>
          <w:p w14:paraId="5770044C"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5</w:t>
            </w:r>
          </w:p>
        </w:tc>
        <w:tc>
          <w:tcPr>
            <w:tcW w:w="817" w:type="dxa"/>
            <w:tcBorders>
              <w:bottom w:val="single" w:sz="18" w:space="0" w:color="auto"/>
            </w:tcBorders>
            <w:shd w:val="clear" w:color="auto" w:fill="auto"/>
            <w:noWrap/>
            <w:vAlign w:val="bottom"/>
            <w:hideMark/>
          </w:tcPr>
          <w:p w14:paraId="7F61A9A7"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5</w:t>
            </w:r>
          </w:p>
        </w:tc>
        <w:tc>
          <w:tcPr>
            <w:tcW w:w="1017" w:type="dxa"/>
            <w:tcBorders>
              <w:bottom w:val="single" w:sz="18" w:space="0" w:color="auto"/>
            </w:tcBorders>
            <w:shd w:val="clear" w:color="auto" w:fill="auto"/>
            <w:noWrap/>
            <w:vAlign w:val="bottom"/>
            <w:hideMark/>
          </w:tcPr>
          <w:p w14:paraId="60B667E6"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r>
    </w:tbl>
    <w:bookmarkEnd w:id="691"/>
    <w:p w14:paraId="7485B57F" w14:textId="77777777" w:rsidR="00D82C73" w:rsidRPr="007C5A6E" w:rsidRDefault="00D82C73" w:rsidP="00D82C73">
      <w:pPr>
        <w:spacing w:after="160" w:line="240" w:lineRule="auto"/>
        <w:rPr>
          <w:rFonts w:ascii="Times New Roman" w:hAnsi="Times New Roman"/>
          <w:color w:val="000000"/>
          <w:sz w:val="20"/>
          <w:szCs w:val="20"/>
          <w:lang w:eastAsia="en-US"/>
        </w:rPr>
      </w:pPr>
      <w:r w:rsidRPr="007C5A6E">
        <w:rPr>
          <w:rFonts w:ascii="Times New Roman" w:hAnsi="Times New Roman"/>
          <w:color w:val="000000"/>
          <w:sz w:val="20"/>
          <w:szCs w:val="20"/>
          <w:lang w:eastAsia="en-US"/>
        </w:rPr>
        <w:t>Source : INSD (2022)</w:t>
      </w:r>
    </w:p>
    <w:p w14:paraId="4890C7FD" w14:textId="00B7D485" w:rsidR="00D82C73" w:rsidRPr="007C5A6E" w:rsidRDefault="00D82C73" w:rsidP="00D82C73">
      <w:pPr>
        <w:spacing w:after="0" w:line="240" w:lineRule="auto"/>
        <w:jc w:val="both"/>
        <w:rPr>
          <w:rFonts w:ascii="Times New Roman" w:hAnsi="Times New Roman"/>
          <w:color w:val="000000"/>
          <w:sz w:val="24"/>
          <w:szCs w:val="24"/>
          <w:lang w:eastAsia="en-US"/>
        </w:rPr>
      </w:pPr>
      <w:r w:rsidRPr="007C5A6E">
        <w:rPr>
          <w:rFonts w:ascii="Times New Roman" w:hAnsi="Times New Roman"/>
          <w:color w:val="000000"/>
          <w:sz w:val="24"/>
          <w:szCs w:val="24"/>
          <w:lang w:eastAsia="en-US"/>
        </w:rPr>
        <w:t>Le tableau 2</w:t>
      </w:r>
      <w:r w:rsidR="00CA1582" w:rsidRPr="007C5A6E">
        <w:rPr>
          <w:rFonts w:ascii="Times New Roman" w:hAnsi="Times New Roman"/>
          <w:color w:val="000000"/>
          <w:sz w:val="24"/>
          <w:szCs w:val="24"/>
          <w:lang w:eastAsia="en-US"/>
        </w:rPr>
        <w:t>6</w:t>
      </w:r>
      <w:r w:rsidRPr="007C5A6E">
        <w:rPr>
          <w:rFonts w:ascii="Times New Roman" w:hAnsi="Times New Roman"/>
          <w:color w:val="000000"/>
          <w:sz w:val="24"/>
          <w:szCs w:val="24"/>
          <w:lang w:eastAsia="en-US"/>
        </w:rPr>
        <w:t xml:space="preserve"> indique une augmentation de l’effectif des ovins de 2016 à 2021. Les régions qui enregistrent de forts taux d’ovins sont les régions de la Boucle du Mouhoun, du Centre-Est, Centre-Nord et de l’Est. La région du Sahel a connu une forte baisse passant de 7 % en 2020 à 5 % en 2021, comme déjà souligné pour les bovins. </w:t>
      </w:r>
    </w:p>
    <w:p w14:paraId="755522AD" w14:textId="77777777" w:rsidR="00D82C73" w:rsidRPr="007C5A6E" w:rsidRDefault="00D82C73" w:rsidP="00D82C73">
      <w:pPr>
        <w:spacing w:after="0" w:line="240" w:lineRule="auto"/>
        <w:jc w:val="both"/>
        <w:rPr>
          <w:rFonts w:ascii="Times New Roman" w:hAnsi="Times New Roman"/>
          <w:color w:val="000000"/>
          <w:sz w:val="24"/>
          <w:szCs w:val="24"/>
          <w:lang w:eastAsia="en-US"/>
        </w:rPr>
      </w:pPr>
    </w:p>
    <w:p w14:paraId="5E204B05" w14:textId="2760A665" w:rsidR="00D82C73" w:rsidRPr="007C5A6E" w:rsidRDefault="00B571CB" w:rsidP="00B571CB">
      <w:pPr>
        <w:pStyle w:val="Lgende"/>
        <w:spacing w:after="0"/>
        <w:rPr>
          <w:rFonts w:ascii="Times New Roman" w:hAnsi="Times New Roman"/>
          <w:i w:val="0"/>
          <w:iCs w:val="0"/>
          <w:color w:val="auto"/>
          <w:sz w:val="24"/>
          <w:szCs w:val="24"/>
        </w:rPr>
      </w:pPr>
      <w:bookmarkStart w:id="692" w:name="_Toc181983395"/>
      <w:bookmarkStart w:id="693" w:name="_Toc183240988"/>
      <w:bookmarkStart w:id="694" w:name="_Toc183292230"/>
      <w:bookmarkStart w:id="695" w:name="_Toc183340510"/>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3162F8" w:rsidRPr="007C5A6E">
        <w:rPr>
          <w:rFonts w:ascii="Times New Roman" w:hAnsi="Times New Roman"/>
          <w:i w:val="0"/>
          <w:iCs w:val="0"/>
          <w:noProof/>
          <w:color w:val="auto"/>
          <w:sz w:val="24"/>
          <w:szCs w:val="24"/>
        </w:rPr>
        <w:t>26</w:t>
      </w:r>
      <w:r w:rsidRPr="007C5A6E">
        <w:rPr>
          <w:rFonts w:ascii="Times New Roman" w:hAnsi="Times New Roman"/>
          <w:i w:val="0"/>
          <w:iCs w:val="0"/>
          <w:color w:val="auto"/>
          <w:sz w:val="24"/>
          <w:szCs w:val="24"/>
        </w:rPr>
        <w:fldChar w:fldCharType="end"/>
      </w:r>
      <w:r w:rsidR="00CA1582" w:rsidRPr="007C5A6E">
        <w:rPr>
          <w:rFonts w:ascii="Times New Roman" w:hAnsi="Times New Roman"/>
          <w:i w:val="0"/>
          <w:iCs w:val="0"/>
          <w:color w:val="auto"/>
          <w:sz w:val="24"/>
          <w:szCs w:val="24"/>
        </w:rPr>
        <w:t xml:space="preserve"> </w:t>
      </w:r>
      <w:r w:rsidR="00D82C73" w:rsidRPr="007C5A6E">
        <w:rPr>
          <w:rFonts w:ascii="Times New Roman" w:hAnsi="Times New Roman"/>
          <w:i w:val="0"/>
          <w:iCs w:val="0"/>
          <w:color w:val="auto"/>
          <w:sz w:val="24"/>
          <w:szCs w:val="24"/>
        </w:rPr>
        <w:t>: Evolution de l'effectif potentiel des ovins de 2026 à 2021 (en pourcentage)</w:t>
      </w:r>
      <w:bookmarkEnd w:id="692"/>
      <w:bookmarkEnd w:id="693"/>
      <w:bookmarkEnd w:id="694"/>
      <w:bookmarkEnd w:id="695"/>
    </w:p>
    <w:p w14:paraId="0008F07D" w14:textId="77777777" w:rsidR="00B571CB" w:rsidRPr="007C5A6E" w:rsidRDefault="00B571CB" w:rsidP="00B571CB">
      <w:pPr>
        <w:spacing w:after="0" w:line="240" w:lineRule="auto"/>
        <w:rPr>
          <w:lang w:eastAsia="en-US"/>
        </w:rPr>
      </w:pPr>
    </w:p>
    <w:tbl>
      <w:tblPr>
        <w:tblW w:w="9040" w:type="dxa"/>
        <w:tblLook w:val="04A0" w:firstRow="1" w:lastRow="0" w:firstColumn="1" w:lastColumn="0" w:noHBand="0" w:noVBand="1"/>
      </w:tblPr>
      <w:tblGrid>
        <w:gridCol w:w="2972"/>
        <w:gridCol w:w="992"/>
        <w:gridCol w:w="993"/>
        <w:gridCol w:w="1134"/>
        <w:gridCol w:w="992"/>
        <w:gridCol w:w="992"/>
        <w:gridCol w:w="965"/>
      </w:tblGrid>
      <w:tr w:rsidR="00D82C73" w:rsidRPr="007C5A6E" w14:paraId="1C5168C7" w14:textId="77777777" w:rsidTr="00000A12">
        <w:trPr>
          <w:trHeight w:val="290"/>
        </w:trPr>
        <w:tc>
          <w:tcPr>
            <w:tcW w:w="2972" w:type="dxa"/>
            <w:tcBorders>
              <w:top w:val="single" w:sz="18" w:space="0" w:color="auto"/>
              <w:bottom w:val="single" w:sz="18" w:space="0" w:color="auto"/>
            </w:tcBorders>
            <w:shd w:val="clear" w:color="auto" w:fill="auto"/>
            <w:noWrap/>
            <w:vAlign w:val="bottom"/>
            <w:hideMark/>
          </w:tcPr>
          <w:p w14:paraId="17EAE88B" w14:textId="77777777" w:rsidR="00D82C73" w:rsidRPr="007C5A6E" w:rsidRDefault="00D82C73" w:rsidP="00D82C73">
            <w:pPr>
              <w:spacing w:after="0" w:line="240" w:lineRule="auto"/>
              <w:rPr>
                <w:rFonts w:ascii="Times New Roman" w:hAnsi="Times New Roman"/>
                <w:color w:val="000000"/>
                <w:lang w:eastAsia="en-US"/>
              </w:rPr>
            </w:pPr>
            <w:r w:rsidRPr="007C5A6E">
              <w:rPr>
                <w:rFonts w:ascii="Times New Roman" w:hAnsi="Times New Roman"/>
                <w:color w:val="000000"/>
                <w:lang w:eastAsia="en-US"/>
              </w:rPr>
              <w:t>Régions</w:t>
            </w:r>
          </w:p>
        </w:tc>
        <w:tc>
          <w:tcPr>
            <w:tcW w:w="992" w:type="dxa"/>
            <w:tcBorders>
              <w:top w:val="single" w:sz="18" w:space="0" w:color="auto"/>
              <w:bottom w:val="single" w:sz="18" w:space="0" w:color="auto"/>
            </w:tcBorders>
            <w:shd w:val="clear" w:color="auto" w:fill="auto"/>
            <w:noWrap/>
            <w:vAlign w:val="bottom"/>
            <w:hideMark/>
          </w:tcPr>
          <w:p w14:paraId="29E7DB4A" w14:textId="77777777" w:rsidR="00D82C73" w:rsidRPr="007C5A6E" w:rsidRDefault="00D82C73" w:rsidP="00B571CB">
            <w:pPr>
              <w:spacing w:after="0" w:line="240" w:lineRule="auto"/>
              <w:rPr>
                <w:rFonts w:ascii="Times New Roman" w:hAnsi="Times New Roman"/>
                <w:color w:val="000000"/>
                <w:lang w:eastAsia="en-US"/>
              </w:rPr>
            </w:pPr>
            <w:r w:rsidRPr="007C5A6E">
              <w:rPr>
                <w:rFonts w:ascii="Times New Roman" w:hAnsi="Times New Roman"/>
                <w:color w:val="000000"/>
                <w:lang w:eastAsia="en-US"/>
              </w:rPr>
              <w:t>2016</w:t>
            </w:r>
          </w:p>
        </w:tc>
        <w:tc>
          <w:tcPr>
            <w:tcW w:w="993" w:type="dxa"/>
            <w:tcBorders>
              <w:top w:val="single" w:sz="18" w:space="0" w:color="auto"/>
              <w:bottom w:val="single" w:sz="18" w:space="0" w:color="auto"/>
            </w:tcBorders>
            <w:shd w:val="clear" w:color="auto" w:fill="auto"/>
            <w:noWrap/>
            <w:vAlign w:val="bottom"/>
            <w:hideMark/>
          </w:tcPr>
          <w:p w14:paraId="3ED4619A" w14:textId="77777777" w:rsidR="00D82C73" w:rsidRPr="007C5A6E" w:rsidRDefault="00D82C73" w:rsidP="00B571CB">
            <w:pPr>
              <w:spacing w:after="0" w:line="240" w:lineRule="auto"/>
              <w:rPr>
                <w:rFonts w:ascii="Times New Roman" w:hAnsi="Times New Roman"/>
                <w:color w:val="000000"/>
                <w:lang w:eastAsia="en-US"/>
              </w:rPr>
            </w:pPr>
            <w:r w:rsidRPr="007C5A6E">
              <w:rPr>
                <w:rFonts w:ascii="Times New Roman" w:hAnsi="Times New Roman"/>
                <w:color w:val="000000"/>
                <w:lang w:eastAsia="en-US"/>
              </w:rPr>
              <w:t>2017</w:t>
            </w:r>
          </w:p>
        </w:tc>
        <w:tc>
          <w:tcPr>
            <w:tcW w:w="1134" w:type="dxa"/>
            <w:tcBorders>
              <w:top w:val="single" w:sz="18" w:space="0" w:color="auto"/>
              <w:bottom w:val="single" w:sz="18" w:space="0" w:color="auto"/>
            </w:tcBorders>
            <w:shd w:val="clear" w:color="auto" w:fill="auto"/>
            <w:noWrap/>
            <w:vAlign w:val="bottom"/>
            <w:hideMark/>
          </w:tcPr>
          <w:p w14:paraId="74B121DD" w14:textId="77777777" w:rsidR="00D82C73" w:rsidRPr="007C5A6E" w:rsidRDefault="00D82C73" w:rsidP="00B571CB">
            <w:pPr>
              <w:spacing w:after="0" w:line="240" w:lineRule="auto"/>
              <w:rPr>
                <w:rFonts w:ascii="Times New Roman" w:hAnsi="Times New Roman"/>
                <w:color w:val="000000"/>
                <w:lang w:eastAsia="en-US"/>
              </w:rPr>
            </w:pPr>
            <w:r w:rsidRPr="007C5A6E">
              <w:rPr>
                <w:rFonts w:ascii="Times New Roman" w:hAnsi="Times New Roman"/>
                <w:color w:val="000000"/>
                <w:lang w:eastAsia="en-US"/>
              </w:rPr>
              <w:t>2018</w:t>
            </w:r>
          </w:p>
        </w:tc>
        <w:tc>
          <w:tcPr>
            <w:tcW w:w="992" w:type="dxa"/>
            <w:tcBorders>
              <w:top w:val="single" w:sz="18" w:space="0" w:color="auto"/>
              <w:bottom w:val="single" w:sz="18" w:space="0" w:color="auto"/>
            </w:tcBorders>
            <w:shd w:val="clear" w:color="auto" w:fill="auto"/>
            <w:noWrap/>
            <w:vAlign w:val="bottom"/>
            <w:hideMark/>
          </w:tcPr>
          <w:p w14:paraId="4A6D2215" w14:textId="77777777" w:rsidR="00D82C73" w:rsidRPr="007C5A6E" w:rsidRDefault="00D82C73" w:rsidP="00B571CB">
            <w:pPr>
              <w:spacing w:after="0" w:line="240" w:lineRule="auto"/>
              <w:rPr>
                <w:rFonts w:ascii="Times New Roman" w:hAnsi="Times New Roman"/>
                <w:color w:val="000000"/>
                <w:lang w:eastAsia="en-US"/>
              </w:rPr>
            </w:pPr>
            <w:r w:rsidRPr="007C5A6E">
              <w:rPr>
                <w:rFonts w:ascii="Times New Roman" w:hAnsi="Times New Roman"/>
                <w:color w:val="000000"/>
                <w:lang w:eastAsia="en-US"/>
              </w:rPr>
              <w:t>2019</w:t>
            </w:r>
          </w:p>
        </w:tc>
        <w:tc>
          <w:tcPr>
            <w:tcW w:w="992" w:type="dxa"/>
            <w:tcBorders>
              <w:top w:val="single" w:sz="18" w:space="0" w:color="auto"/>
              <w:bottom w:val="single" w:sz="18" w:space="0" w:color="auto"/>
            </w:tcBorders>
            <w:shd w:val="clear" w:color="auto" w:fill="auto"/>
            <w:noWrap/>
            <w:vAlign w:val="bottom"/>
            <w:hideMark/>
          </w:tcPr>
          <w:p w14:paraId="57C150C6" w14:textId="77777777" w:rsidR="00D82C73" w:rsidRPr="007C5A6E" w:rsidRDefault="00D82C73" w:rsidP="00B571CB">
            <w:pPr>
              <w:spacing w:after="0" w:line="240" w:lineRule="auto"/>
              <w:rPr>
                <w:rFonts w:ascii="Times New Roman" w:hAnsi="Times New Roman"/>
                <w:color w:val="000000"/>
                <w:lang w:eastAsia="en-US"/>
              </w:rPr>
            </w:pPr>
            <w:r w:rsidRPr="007C5A6E">
              <w:rPr>
                <w:rFonts w:ascii="Times New Roman" w:hAnsi="Times New Roman"/>
                <w:color w:val="000000"/>
                <w:lang w:eastAsia="en-US"/>
              </w:rPr>
              <w:t>2020</w:t>
            </w:r>
          </w:p>
        </w:tc>
        <w:tc>
          <w:tcPr>
            <w:tcW w:w="965" w:type="dxa"/>
            <w:tcBorders>
              <w:top w:val="single" w:sz="18" w:space="0" w:color="auto"/>
              <w:bottom w:val="single" w:sz="18" w:space="0" w:color="auto"/>
            </w:tcBorders>
            <w:shd w:val="clear" w:color="auto" w:fill="auto"/>
            <w:noWrap/>
            <w:vAlign w:val="bottom"/>
            <w:hideMark/>
          </w:tcPr>
          <w:p w14:paraId="2E44B145" w14:textId="77777777" w:rsidR="00D82C73" w:rsidRPr="007C5A6E" w:rsidRDefault="00D82C73" w:rsidP="00B571CB">
            <w:pPr>
              <w:spacing w:after="0" w:line="240" w:lineRule="auto"/>
              <w:rPr>
                <w:rFonts w:ascii="Times New Roman" w:hAnsi="Times New Roman"/>
                <w:color w:val="000000"/>
                <w:lang w:eastAsia="en-US"/>
              </w:rPr>
            </w:pPr>
            <w:r w:rsidRPr="007C5A6E">
              <w:rPr>
                <w:rFonts w:ascii="Times New Roman" w:hAnsi="Times New Roman"/>
                <w:color w:val="000000"/>
                <w:lang w:eastAsia="en-US"/>
              </w:rPr>
              <w:t>2021</w:t>
            </w:r>
          </w:p>
        </w:tc>
      </w:tr>
      <w:tr w:rsidR="00D82C73" w:rsidRPr="007C5A6E" w14:paraId="4F3FD340" w14:textId="77777777" w:rsidTr="00000A12">
        <w:trPr>
          <w:trHeight w:val="290"/>
        </w:trPr>
        <w:tc>
          <w:tcPr>
            <w:tcW w:w="2972" w:type="dxa"/>
            <w:tcBorders>
              <w:top w:val="single" w:sz="18" w:space="0" w:color="auto"/>
            </w:tcBorders>
            <w:shd w:val="clear" w:color="auto" w:fill="auto"/>
            <w:noWrap/>
            <w:vAlign w:val="bottom"/>
            <w:hideMark/>
          </w:tcPr>
          <w:p w14:paraId="7A2D636B"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BOUCLE DU MOUHOUN</w:t>
            </w:r>
          </w:p>
        </w:tc>
        <w:tc>
          <w:tcPr>
            <w:tcW w:w="992" w:type="dxa"/>
            <w:tcBorders>
              <w:top w:val="single" w:sz="18" w:space="0" w:color="auto"/>
            </w:tcBorders>
            <w:shd w:val="clear" w:color="auto" w:fill="auto"/>
            <w:noWrap/>
            <w:vAlign w:val="bottom"/>
            <w:hideMark/>
          </w:tcPr>
          <w:p w14:paraId="3A4C0ADD"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12</w:t>
            </w:r>
          </w:p>
        </w:tc>
        <w:tc>
          <w:tcPr>
            <w:tcW w:w="993" w:type="dxa"/>
            <w:tcBorders>
              <w:top w:val="single" w:sz="18" w:space="0" w:color="auto"/>
            </w:tcBorders>
            <w:shd w:val="clear" w:color="auto" w:fill="auto"/>
            <w:noWrap/>
            <w:vAlign w:val="bottom"/>
            <w:hideMark/>
          </w:tcPr>
          <w:p w14:paraId="12499808"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14</w:t>
            </w:r>
          </w:p>
        </w:tc>
        <w:tc>
          <w:tcPr>
            <w:tcW w:w="1134" w:type="dxa"/>
            <w:tcBorders>
              <w:top w:val="single" w:sz="18" w:space="0" w:color="auto"/>
            </w:tcBorders>
            <w:shd w:val="clear" w:color="auto" w:fill="auto"/>
            <w:noWrap/>
            <w:vAlign w:val="bottom"/>
            <w:hideMark/>
          </w:tcPr>
          <w:p w14:paraId="2C5A12EB"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10</w:t>
            </w:r>
          </w:p>
        </w:tc>
        <w:tc>
          <w:tcPr>
            <w:tcW w:w="992" w:type="dxa"/>
            <w:tcBorders>
              <w:top w:val="single" w:sz="18" w:space="0" w:color="auto"/>
            </w:tcBorders>
            <w:shd w:val="clear" w:color="auto" w:fill="auto"/>
            <w:noWrap/>
            <w:vAlign w:val="bottom"/>
            <w:hideMark/>
          </w:tcPr>
          <w:p w14:paraId="16949B1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13</w:t>
            </w:r>
          </w:p>
        </w:tc>
        <w:tc>
          <w:tcPr>
            <w:tcW w:w="992" w:type="dxa"/>
            <w:tcBorders>
              <w:top w:val="single" w:sz="18" w:space="0" w:color="auto"/>
            </w:tcBorders>
            <w:shd w:val="clear" w:color="auto" w:fill="auto"/>
            <w:noWrap/>
            <w:vAlign w:val="bottom"/>
            <w:hideMark/>
          </w:tcPr>
          <w:p w14:paraId="5E0D788C"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12</w:t>
            </w:r>
          </w:p>
        </w:tc>
        <w:tc>
          <w:tcPr>
            <w:tcW w:w="965" w:type="dxa"/>
            <w:tcBorders>
              <w:top w:val="single" w:sz="18" w:space="0" w:color="auto"/>
            </w:tcBorders>
            <w:shd w:val="clear" w:color="auto" w:fill="auto"/>
            <w:noWrap/>
            <w:vAlign w:val="bottom"/>
            <w:hideMark/>
          </w:tcPr>
          <w:p w14:paraId="45D6747E"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16</w:t>
            </w:r>
          </w:p>
        </w:tc>
      </w:tr>
      <w:tr w:rsidR="00D82C73" w:rsidRPr="007C5A6E" w14:paraId="3697C186" w14:textId="77777777" w:rsidTr="00000A12">
        <w:trPr>
          <w:trHeight w:val="290"/>
        </w:trPr>
        <w:tc>
          <w:tcPr>
            <w:tcW w:w="2972" w:type="dxa"/>
            <w:shd w:val="clear" w:color="auto" w:fill="auto"/>
            <w:noWrap/>
            <w:vAlign w:val="bottom"/>
            <w:hideMark/>
          </w:tcPr>
          <w:p w14:paraId="5E98110B"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CASCADES</w:t>
            </w:r>
          </w:p>
        </w:tc>
        <w:tc>
          <w:tcPr>
            <w:tcW w:w="992" w:type="dxa"/>
            <w:shd w:val="clear" w:color="auto" w:fill="auto"/>
            <w:noWrap/>
            <w:vAlign w:val="bottom"/>
            <w:hideMark/>
          </w:tcPr>
          <w:p w14:paraId="0AD2C83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w:t>
            </w:r>
          </w:p>
        </w:tc>
        <w:tc>
          <w:tcPr>
            <w:tcW w:w="993" w:type="dxa"/>
            <w:shd w:val="clear" w:color="auto" w:fill="auto"/>
            <w:noWrap/>
            <w:vAlign w:val="bottom"/>
            <w:hideMark/>
          </w:tcPr>
          <w:p w14:paraId="53569036"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w:t>
            </w:r>
          </w:p>
        </w:tc>
        <w:tc>
          <w:tcPr>
            <w:tcW w:w="1134" w:type="dxa"/>
            <w:shd w:val="clear" w:color="auto" w:fill="auto"/>
            <w:noWrap/>
            <w:vAlign w:val="bottom"/>
            <w:hideMark/>
          </w:tcPr>
          <w:p w14:paraId="3AE738FD"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3</w:t>
            </w:r>
          </w:p>
        </w:tc>
        <w:tc>
          <w:tcPr>
            <w:tcW w:w="992" w:type="dxa"/>
            <w:shd w:val="clear" w:color="auto" w:fill="auto"/>
            <w:noWrap/>
            <w:vAlign w:val="bottom"/>
            <w:hideMark/>
          </w:tcPr>
          <w:p w14:paraId="538225CA"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3</w:t>
            </w:r>
          </w:p>
        </w:tc>
        <w:tc>
          <w:tcPr>
            <w:tcW w:w="992" w:type="dxa"/>
            <w:shd w:val="clear" w:color="auto" w:fill="auto"/>
            <w:noWrap/>
            <w:vAlign w:val="bottom"/>
            <w:hideMark/>
          </w:tcPr>
          <w:p w14:paraId="42F09518"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4</w:t>
            </w:r>
          </w:p>
        </w:tc>
        <w:tc>
          <w:tcPr>
            <w:tcW w:w="965" w:type="dxa"/>
            <w:shd w:val="clear" w:color="auto" w:fill="auto"/>
            <w:noWrap/>
            <w:vAlign w:val="bottom"/>
            <w:hideMark/>
          </w:tcPr>
          <w:p w14:paraId="229483FA"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5</w:t>
            </w:r>
          </w:p>
        </w:tc>
      </w:tr>
      <w:tr w:rsidR="00D82C73" w:rsidRPr="007C5A6E" w14:paraId="7F16269C" w14:textId="77777777" w:rsidTr="00000A12">
        <w:trPr>
          <w:trHeight w:val="290"/>
        </w:trPr>
        <w:tc>
          <w:tcPr>
            <w:tcW w:w="2972" w:type="dxa"/>
            <w:shd w:val="clear" w:color="auto" w:fill="auto"/>
            <w:noWrap/>
            <w:vAlign w:val="bottom"/>
            <w:hideMark/>
          </w:tcPr>
          <w:p w14:paraId="76E7F1E4"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CENTRE</w:t>
            </w:r>
          </w:p>
        </w:tc>
        <w:tc>
          <w:tcPr>
            <w:tcW w:w="992" w:type="dxa"/>
            <w:shd w:val="clear" w:color="auto" w:fill="auto"/>
            <w:noWrap/>
            <w:vAlign w:val="bottom"/>
            <w:hideMark/>
          </w:tcPr>
          <w:p w14:paraId="3B37AB38"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w:t>
            </w:r>
          </w:p>
        </w:tc>
        <w:tc>
          <w:tcPr>
            <w:tcW w:w="993" w:type="dxa"/>
            <w:shd w:val="clear" w:color="auto" w:fill="auto"/>
            <w:noWrap/>
            <w:vAlign w:val="bottom"/>
            <w:hideMark/>
          </w:tcPr>
          <w:p w14:paraId="61B052B1"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w:t>
            </w:r>
          </w:p>
        </w:tc>
        <w:tc>
          <w:tcPr>
            <w:tcW w:w="1134" w:type="dxa"/>
            <w:shd w:val="clear" w:color="auto" w:fill="auto"/>
            <w:noWrap/>
            <w:vAlign w:val="bottom"/>
            <w:hideMark/>
          </w:tcPr>
          <w:p w14:paraId="446137DA"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w:t>
            </w:r>
          </w:p>
        </w:tc>
        <w:tc>
          <w:tcPr>
            <w:tcW w:w="992" w:type="dxa"/>
            <w:shd w:val="clear" w:color="auto" w:fill="auto"/>
            <w:noWrap/>
            <w:vAlign w:val="bottom"/>
            <w:hideMark/>
          </w:tcPr>
          <w:p w14:paraId="60A88115"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3</w:t>
            </w:r>
          </w:p>
        </w:tc>
        <w:tc>
          <w:tcPr>
            <w:tcW w:w="992" w:type="dxa"/>
            <w:shd w:val="clear" w:color="auto" w:fill="auto"/>
            <w:noWrap/>
            <w:vAlign w:val="bottom"/>
            <w:hideMark/>
          </w:tcPr>
          <w:p w14:paraId="3B6CE922"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3</w:t>
            </w:r>
          </w:p>
        </w:tc>
        <w:tc>
          <w:tcPr>
            <w:tcW w:w="965" w:type="dxa"/>
            <w:shd w:val="clear" w:color="auto" w:fill="auto"/>
            <w:noWrap/>
            <w:vAlign w:val="bottom"/>
            <w:hideMark/>
          </w:tcPr>
          <w:p w14:paraId="5C388368"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w:t>
            </w:r>
          </w:p>
        </w:tc>
      </w:tr>
      <w:tr w:rsidR="00D82C73" w:rsidRPr="007C5A6E" w14:paraId="20167287" w14:textId="77777777" w:rsidTr="00000A12">
        <w:trPr>
          <w:trHeight w:val="290"/>
        </w:trPr>
        <w:tc>
          <w:tcPr>
            <w:tcW w:w="2972" w:type="dxa"/>
            <w:shd w:val="clear" w:color="auto" w:fill="auto"/>
            <w:noWrap/>
            <w:vAlign w:val="bottom"/>
            <w:hideMark/>
          </w:tcPr>
          <w:p w14:paraId="0FD43C37"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CENTRE EST</w:t>
            </w:r>
          </w:p>
        </w:tc>
        <w:tc>
          <w:tcPr>
            <w:tcW w:w="992" w:type="dxa"/>
            <w:shd w:val="clear" w:color="auto" w:fill="auto"/>
            <w:noWrap/>
            <w:vAlign w:val="bottom"/>
            <w:hideMark/>
          </w:tcPr>
          <w:p w14:paraId="5C16C21A"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10</w:t>
            </w:r>
          </w:p>
        </w:tc>
        <w:tc>
          <w:tcPr>
            <w:tcW w:w="993" w:type="dxa"/>
            <w:shd w:val="clear" w:color="auto" w:fill="auto"/>
            <w:noWrap/>
            <w:vAlign w:val="bottom"/>
            <w:hideMark/>
          </w:tcPr>
          <w:p w14:paraId="70213B28"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9</w:t>
            </w:r>
          </w:p>
        </w:tc>
        <w:tc>
          <w:tcPr>
            <w:tcW w:w="1134" w:type="dxa"/>
            <w:shd w:val="clear" w:color="auto" w:fill="auto"/>
            <w:noWrap/>
            <w:vAlign w:val="bottom"/>
            <w:hideMark/>
          </w:tcPr>
          <w:p w14:paraId="45E753F5"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10</w:t>
            </w:r>
          </w:p>
        </w:tc>
        <w:tc>
          <w:tcPr>
            <w:tcW w:w="992" w:type="dxa"/>
            <w:shd w:val="clear" w:color="auto" w:fill="auto"/>
            <w:noWrap/>
            <w:vAlign w:val="bottom"/>
            <w:hideMark/>
          </w:tcPr>
          <w:p w14:paraId="568CC388"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9</w:t>
            </w:r>
          </w:p>
        </w:tc>
        <w:tc>
          <w:tcPr>
            <w:tcW w:w="992" w:type="dxa"/>
            <w:shd w:val="clear" w:color="auto" w:fill="auto"/>
            <w:noWrap/>
            <w:vAlign w:val="bottom"/>
            <w:hideMark/>
          </w:tcPr>
          <w:p w14:paraId="713616F7"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10</w:t>
            </w:r>
          </w:p>
        </w:tc>
        <w:tc>
          <w:tcPr>
            <w:tcW w:w="965" w:type="dxa"/>
            <w:shd w:val="clear" w:color="auto" w:fill="auto"/>
            <w:noWrap/>
            <w:vAlign w:val="bottom"/>
            <w:hideMark/>
          </w:tcPr>
          <w:p w14:paraId="431BE469"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10</w:t>
            </w:r>
          </w:p>
        </w:tc>
      </w:tr>
      <w:tr w:rsidR="00D82C73" w:rsidRPr="007C5A6E" w14:paraId="3B8A60DD" w14:textId="77777777" w:rsidTr="00000A12">
        <w:trPr>
          <w:trHeight w:val="290"/>
        </w:trPr>
        <w:tc>
          <w:tcPr>
            <w:tcW w:w="2972" w:type="dxa"/>
            <w:shd w:val="clear" w:color="auto" w:fill="auto"/>
            <w:noWrap/>
            <w:vAlign w:val="bottom"/>
            <w:hideMark/>
          </w:tcPr>
          <w:p w14:paraId="18346B7A"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CENTRE NORD</w:t>
            </w:r>
          </w:p>
        </w:tc>
        <w:tc>
          <w:tcPr>
            <w:tcW w:w="992" w:type="dxa"/>
            <w:shd w:val="clear" w:color="auto" w:fill="auto"/>
            <w:noWrap/>
            <w:vAlign w:val="bottom"/>
            <w:hideMark/>
          </w:tcPr>
          <w:p w14:paraId="2E0BF745"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12</w:t>
            </w:r>
          </w:p>
        </w:tc>
        <w:tc>
          <w:tcPr>
            <w:tcW w:w="993" w:type="dxa"/>
            <w:shd w:val="clear" w:color="auto" w:fill="auto"/>
            <w:noWrap/>
            <w:vAlign w:val="bottom"/>
            <w:hideMark/>
          </w:tcPr>
          <w:p w14:paraId="1C19E4A4"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11</w:t>
            </w:r>
          </w:p>
        </w:tc>
        <w:tc>
          <w:tcPr>
            <w:tcW w:w="1134" w:type="dxa"/>
            <w:shd w:val="clear" w:color="auto" w:fill="auto"/>
            <w:noWrap/>
            <w:vAlign w:val="bottom"/>
            <w:hideMark/>
          </w:tcPr>
          <w:p w14:paraId="2865218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11</w:t>
            </w:r>
          </w:p>
        </w:tc>
        <w:tc>
          <w:tcPr>
            <w:tcW w:w="992" w:type="dxa"/>
            <w:shd w:val="clear" w:color="auto" w:fill="auto"/>
            <w:noWrap/>
            <w:vAlign w:val="bottom"/>
            <w:hideMark/>
          </w:tcPr>
          <w:p w14:paraId="4AC2EEA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9</w:t>
            </w:r>
          </w:p>
        </w:tc>
        <w:tc>
          <w:tcPr>
            <w:tcW w:w="992" w:type="dxa"/>
            <w:shd w:val="clear" w:color="auto" w:fill="auto"/>
            <w:noWrap/>
            <w:vAlign w:val="bottom"/>
            <w:hideMark/>
          </w:tcPr>
          <w:p w14:paraId="3349B377"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12</w:t>
            </w:r>
          </w:p>
        </w:tc>
        <w:tc>
          <w:tcPr>
            <w:tcW w:w="965" w:type="dxa"/>
            <w:shd w:val="clear" w:color="auto" w:fill="auto"/>
            <w:noWrap/>
            <w:vAlign w:val="bottom"/>
            <w:hideMark/>
          </w:tcPr>
          <w:p w14:paraId="2D76A45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8</w:t>
            </w:r>
          </w:p>
        </w:tc>
      </w:tr>
      <w:tr w:rsidR="00D82C73" w:rsidRPr="007C5A6E" w14:paraId="0CF99ECC" w14:textId="77777777" w:rsidTr="00000A12">
        <w:trPr>
          <w:trHeight w:val="290"/>
        </w:trPr>
        <w:tc>
          <w:tcPr>
            <w:tcW w:w="2972" w:type="dxa"/>
            <w:shd w:val="clear" w:color="auto" w:fill="auto"/>
            <w:noWrap/>
            <w:vAlign w:val="bottom"/>
            <w:hideMark/>
          </w:tcPr>
          <w:p w14:paraId="46B2C2EB"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CENTRE OUEST</w:t>
            </w:r>
          </w:p>
        </w:tc>
        <w:tc>
          <w:tcPr>
            <w:tcW w:w="992" w:type="dxa"/>
            <w:shd w:val="clear" w:color="auto" w:fill="auto"/>
            <w:noWrap/>
            <w:vAlign w:val="bottom"/>
            <w:hideMark/>
          </w:tcPr>
          <w:p w14:paraId="52EC99E5"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5</w:t>
            </w:r>
          </w:p>
        </w:tc>
        <w:tc>
          <w:tcPr>
            <w:tcW w:w="993" w:type="dxa"/>
            <w:shd w:val="clear" w:color="auto" w:fill="auto"/>
            <w:noWrap/>
            <w:vAlign w:val="bottom"/>
            <w:hideMark/>
          </w:tcPr>
          <w:p w14:paraId="59D8CEF1"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w:t>
            </w:r>
          </w:p>
        </w:tc>
        <w:tc>
          <w:tcPr>
            <w:tcW w:w="1134" w:type="dxa"/>
            <w:shd w:val="clear" w:color="auto" w:fill="auto"/>
            <w:noWrap/>
            <w:vAlign w:val="bottom"/>
            <w:hideMark/>
          </w:tcPr>
          <w:p w14:paraId="6D87CAD7"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992" w:type="dxa"/>
            <w:shd w:val="clear" w:color="auto" w:fill="auto"/>
            <w:noWrap/>
            <w:vAlign w:val="bottom"/>
            <w:hideMark/>
          </w:tcPr>
          <w:p w14:paraId="0D7D8B67"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8</w:t>
            </w:r>
          </w:p>
        </w:tc>
        <w:tc>
          <w:tcPr>
            <w:tcW w:w="992" w:type="dxa"/>
            <w:shd w:val="clear" w:color="auto" w:fill="auto"/>
            <w:noWrap/>
            <w:vAlign w:val="bottom"/>
            <w:hideMark/>
          </w:tcPr>
          <w:p w14:paraId="2459941C"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8</w:t>
            </w:r>
          </w:p>
        </w:tc>
        <w:tc>
          <w:tcPr>
            <w:tcW w:w="965" w:type="dxa"/>
            <w:shd w:val="clear" w:color="auto" w:fill="auto"/>
            <w:noWrap/>
            <w:vAlign w:val="bottom"/>
            <w:hideMark/>
          </w:tcPr>
          <w:p w14:paraId="1B93B7A9"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10</w:t>
            </w:r>
          </w:p>
        </w:tc>
      </w:tr>
      <w:tr w:rsidR="00D82C73" w:rsidRPr="007C5A6E" w14:paraId="036F67EA" w14:textId="77777777" w:rsidTr="00000A12">
        <w:trPr>
          <w:trHeight w:val="290"/>
        </w:trPr>
        <w:tc>
          <w:tcPr>
            <w:tcW w:w="2972" w:type="dxa"/>
            <w:shd w:val="clear" w:color="auto" w:fill="auto"/>
            <w:noWrap/>
            <w:vAlign w:val="bottom"/>
            <w:hideMark/>
          </w:tcPr>
          <w:p w14:paraId="5F4DA7C3"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CENTRE SUD</w:t>
            </w:r>
          </w:p>
        </w:tc>
        <w:tc>
          <w:tcPr>
            <w:tcW w:w="992" w:type="dxa"/>
            <w:shd w:val="clear" w:color="auto" w:fill="auto"/>
            <w:noWrap/>
            <w:vAlign w:val="bottom"/>
            <w:hideMark/>
          </w:tcPr>
          <w:p w14:paraId="4129D1C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4</w:t>
            </w:r>
          </w:p>
        </w:tc>
        <w:tc>
          <w:tcPr>
            <w:tcW w:w="993" w:type="dxa"/>
            <w:shd w:val="clear" w:color="auto" w:fill="auto"/>
            <w:noWrap/>
            <w:vAlign w:val="bottom"/>
            <w:hideMark/>
          </w:tcPr>
          <w:p w14:paraId="7C60EB38"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4</w:t>
            </w:r>
          </w:p>
        </w:tc>
        <w:tc>
          <w:tcPr>
            <w:tcW w:w="1134" w:type="dxa"/>
            <w:shd w:val="clear" w:color="auto" w:fill="auto"/>
            <w:noWrap/>
            <w:vAlign w:val="bottom"/>
            <w:hideMark/>
          </w:tcPr>
          <w:p w14:paraId="2D2CCB31"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5</w:t>
            </w:r>
          </w:p>
        </w:tc>
        <w:tc>
          <w:tcPr>
            <w:tcW w:w="992" w:type="dxa"/>
            <w:shd w:val="clear" w:color="auto" w:fill="auto"/>
            <w:noWrap/>
            <w:vAlign w:val="bottom"/>
            <w:hideMark/>
          </w:tcPr>
          <w:p w14:paraId="2A7BD66B"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992" w:type="dxa"/>
            <w:shd w:val="clear" w:color="auto" w:fill="auto"/>
            <w:noWrap/>
            <w:vAlign w:val="bottom"/>
            <w:hideMark/>
          </w:tcPr>
          <w:p w14:paraId="6BDD828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w:t>
            </w:r>
          </w:p>
        </w:tc>
        <w:tc>
          <w:tcPr>
            <w:tcW w:w="965" w:type="dxa"/>
            <w:shd w:val="clear" w:color="auto" w:fill="auto"/>
            <w:noWrap/>
            <w:vAlign w:val="bottom"/>
            <w:hideMark/>
          </w:tcPr>
          <w:p w14:paraId="2BE4CBE9"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w:t>
            </w:r>
          </w:p>
        </w:tc>
      </w:tr>
      <w:tr w:rsidR="00D82C73" w:rsidRPr="007C5A6E" w14:paraId="65FB1002" w14:textId="77777777" w:rsidTr="00000A12">
        <w:trPr>
          <w:trHeight w:val="290"/>
        </w:trPr>
        <w:tc>
          <w:tcPr>
            <w:tcW w:w="2972" w:type="dxa"/>
            <w:shd w:val="clear" w:color="auto" w:fill="auto"/>
            <w:noWrap/>
            <w:vAlign w:val="bottom"/>
            <w:hideMark/>
          </w:tcPr>
          <w:p w14:paraId="63F22D4F"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EST</w:t>
            </w:r>
          </w:p>
        </w:tc>
        <w:tc>
          <w:tcPr>
            <w:tcW w:w="992" w:type="dxa"/>
            <w:shd w:val="clear" w:color="auto" w:fill="auto"/>
            <w:noWrap/>
            <w:vAlign w:val="bottom"/>
            <w:hideMark/>
          </w:tcPr>
          <w:p w14:paraId="5CC11D78"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12</w:t>
            </w:r>
          </w:p>
        </w:tc>
        <w:tc>
          <w:tcPr>
            <w:tcW w:w="993" w:type="dxa"/>
            <w:shd w:val="clear" w:color="auto" w:fill="auto"/>
            <w:noWrap/>
            <w:vAlign w:val="bottom"/>
            <w:hideMark/>
          </w:tcPr>
          <w:p w14:paraId="77946267"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14</w:t>
            </w:r>
          </w:p>
        </w:tc>
        <w:tc>
          <w:tcPr>
            <w:tcW w:w="1134" w:type="dxa"/>
            <w:shd w:val="clear" w:color="auto" w:fill="auto"/>
            <w:noWrap/>
            <w:vAlign w:val="bottom"/>
            <w:hideMark/>
          </w:tcPr>
          <w:p w14:paraId="128FF325"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14</w:t>
            </w:r>
          </w:p>
        </w:tc>
        <w:tc>
          <w:tcPr>
            <w:tcW w:w="992" w:type="dxa"/>
            <w:shd w:val="clear" w:color="auto" w:fill="auto"/>
            <w:noWrap/>
            <w:vAlign w:val="bottom"/>
            <w:hideMark/>
          </w:tcPr>
          <w:p w14:paraId="376F914F"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13</w:t>
            </w:r>
          </w:p>
        </w:tc>
        <w:tc>
          <w:tcPr>
            <w:tcW w:w="992" w:type="dxa"/>
            <w:shd w:val="clear" w:color="auto" w:fill="auto"/>
            <w:noWrap/>
            <w:vAlign w:val="bottom"/>
            <w:hideMark/>
          </w:tcPr>
          <w:p w14:paraId="4E26466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10</w:t>
            </w:r>
          </w:p>
        </w:tc>
        <w:tc>
          <w:tcPr>
            <w:tcW w:w="965" w:type="dxa"/>
            <w:shd w:val="clear" w:color="auto" w:fill="auto"/>
            <w:noWrap/>
            <w:vAlign w:val="bottom"/>
            <w:hideMark/>
          </w:tcPr>
          <w:p w14:paraId="2D6710C5"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9</w:t>
            </w:r>
          </w:p>
        </w:tc>
      </w:tr>
      <w:tr w:rsidR="00D82C73" w:rsidRPr="007C5A6E" w14:paraId="3332273F" w14:textId="77777777" w:rsidTr="00000A12">
        <w:trPr>
          <w:trHeight w:val="290"/>
        </w:trPr>
        <w:tc>
          <w:tcPr>
            <w:tcW w:w="2972" w:type="dxa"/>
            <w:shd w:val="clear" w:color="auto" w:fill="auto"/>
            <w:noWrap/>
            <w:vAlign w:val="bottom"/>
            <w:hideMark/>
          </w:tcPr>
          <w:p w14:paraId="6BA210A3"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HAUTS BASSINS</w:t>
            </w:r>
          </w:p>
        </w:tc>
        <w:tc>
          <w:tcPr>
            <w:tcW w:w="992" w:type="dxa"/>
            <w:shd w:val="clear" w:color="auto" w:fill="auto"/>
            <w:noWrap/>
            <w:vAlign w:val="bottom"/>
            <w:hideMark/>
          </w:tcPr>
          <w:p w14:paraId="43653D58"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8</w:t>
            </w:r>
          </w:p>
        </w:tc>
        <w:tc>
          <w:tcPr>
            <w:tcW w:w="993" w:type="dxa"/>
            <w:shd w:val="clear" w:color="auto" w:fill="auto"/>
            <w:noWrap/>
            <w:vAlign w:val="bottom"/>
            <w:hideMark/>
          </w:tcPr>
          <w:p w14:paraId="1DEF23D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9</w:t>
            </w:r>
          </w:p>
        </w:tc>
        <w:tc>
          <w:tcPr>
            <w:tcW w:w="1134" w:type="dxa"/>
            <w:shd w:val="clear" w:color="auto" w:fill="auto"/>
            <w:noWrap/>
            <w:vAlign w:val="bottom"/>
            <w:hideMark/>
          </w:tcPr>
          <w:p w14:paraId="7A3E1ABC"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8</w:t>
            </w:r>
          </w:p>
        </w:tc>
        <w:tc>
          <w:tcPr>
            <w:tcW w:w="992" w:type="dxa"/>
            <w:shd w:val="clear" w:color="auto" w:fill="auto"/>
            <w:noWrap/>
            <w:vAlign w:val="bottom"/>
            <w:hideMark/>
          </w:tcPr>
          <w:p w14:paraId="3B948A45"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9</w:t>
            </w:r>
          </w:p>
        </w:tc>
        <w:tc>
          <w:tcPr>
            <w:tcW w:w="992" w:type="dxa"/>
            <w:shd w:val="clear" w:color="auto" w:fill="auto"/>
            <w:noWrap/>
            <w:vAlign w:val="bottom"/>
            <w:hideMark/>
          </w:tcPr>
          <w:p w14:paraId="4C89492A"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8</w:t>
            </w:r>
          </w:p>
        </w:tc>
        <w:tc>
          <w:tcPr>
            <w:tcW w:w="965" w:type="dxa"/>
            <w:shd w:val="clear" w:color="auto" w:fill="auto"/>
            <w:noWrap/>
            <w:vAlign w:val="bottom"/>
            <w:hideMark/>
          </w:tcPr>
          <w:p w14:paraId="49C8B0C4"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9</w:t>
            </w:r>
          </w:p>
        </w:tc>
      </w:tr>
      <w:tr w:rsidR="00D82C73" w:rsidRPr="007C5A6E" w14:paraId="44583124" w14:textId="77777777" w:rsidTr="00000A12">
        <w:trPr>
          <w:trHeight w:val="290"/>
        </w:trPr>
        <w:tc>
          <w:tcPr>
            <w:tcW w:w="2972" w:type="dxa"/>
            <w:shd w:val="clear" w:color="auto" w:fill="auto"/>
            <w:noWrap/>
            <w:vAlign w:val="bottom"/>
            <w:hideMark/>
          </w:tcPr>
          <w:p w14:paraId="26185FC6"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NORD</w:t>
            </w:r>
          </w:p>
        </w:tc>
        <w:tc>
          <w:tcPr>
            <w:tcW w:w="992" w:type="dxa"/>
            <w:shd w:val="clear" w:color="auto" w:fill="auto"/>
            <w:noWrap/>
            <w:vAlign w:val="bottom"/>
            <w:hideMark/>
          </w:tcPr>
          <w:p w14:paraId="101EF82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11</w:t>
            </w:r>
          </w:p>
        </w:tc>
        <w:tc>
          <w:tcPr>
            <w:tcW w:w="993" w:type="dxa"/>
            <w:shd w:val="clear" w:color="auto" w:fill="auto"/>
            <w:noWrap/>
            <w:vAlign w:val="bottom"/>
            <w:hideMark/>
          </w:tcPr>
          <w:p w14:paraId="0F221BF4"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9</w:t>
            </w:r>
          </w:p>
        </w:tc>
        <w:tc>
          <w:tcPr>
            <w:tcW w:w="1134" w:type="dxa"/>
            <w:shd w:val="clear" w:color="auto" w:fill="auto"/>
            <w:noWrap/>
            <w:vAlign w:val="bottom"/>
            <w:hideMark/>
          </w:tcPr>
          <w:p w14:paraId="2A970CD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992" w:type="dxa"/>
            <w:shd w:val="clear" w:color="auto" w:fill="auto"/>
            <w:noWrap/>
            <w:vAlign w:val="bottom"/>
            <w:hideMark/>
          </w:tcPr>
          <w:p w14:paraId="7FD3C26E"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992" w:type="dxa"/>
            <w:shd w:val="clear" w:color="auto" w:fill="auto"/>
            <w:noWrap/>
            <w:vAlign w:val="bottom"/>
            <w:hideMark/>
          </w:tcPr>
          <w:p w14:paraId="79D6F69C"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965" w:type="dxa"/>
            <w:shd w:val="clear" w:color="auto" w:fill="auto"/>
            <w:noWrap/>
            <w:vAlign w:val="bottom"/>
            <w:hideMark/>
          </w:tcPr>
          <w:p w14:paraId="46BFBA3B"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r>
      <w:tr w:rsidR="00D82C73" w:rsidRPr="007C5A6E" w14:paraId="4516971C" w14:textId="77777777" w:rsidTr="00000A12">
        <w:trPr>
          <w:trHeight w:val="290"/>
        </w:trPr>
        <w:tc>
          <w:tcPr>
            <w:tcW w:w="2972" w:type="dxa"/>
            <w:shd w:val="clear" w:color="auto" w:fill="auto"/>
            <w:noWrap/>
            <w:vAlign w:val="bottom"/>
            <w:hideMark/>
          </w:tcPr>
          <w:p w14:paraId="06620567"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PLATEAU CENTRAL</w:t>
            </w:r>
          </w:p>
        </w:tc>
        <w:tc>
          <w:tcPr>
            <w:tcW w:w="992" w:type="dxa"/>
            <w:shd w:val="clear" w:color="auto" w:fill="auto"/>
            <w:noWrap/>
            <w:vAlign w:val="bottom"/>
            <w:hideMark/>
          </w:tcPr>
          <w:p w14:paraId="7975F34B"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4</w:t>
            </w:r>
          </w:p>
        </w:tc>
        <w:tc>
          <w:tcPr>
            <w:tcW w:w="993" w:type="dxa"/>
            <w:shd w:val="clear" w:color="auto" w:fill="auto"/>
            <w:noWrap/>
            <w:vAlign w:val="bottom"/>
            <w:hideMark/>
          </w:tcPr>
          <w:p w14:paraId="3D036AE6"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1134" w:type="dxa"/>
            <w:shd w:val="clear" w:color="auto" w:fill="auto"/>
            <w:noWrap/>
            <w:vAlign w:val="bottom"/>
            <w:hideMark/>
          </w:tcPr>
          <w:p w14:paraId="4728CDB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w:t>
            </w:r>
          </w:p>
        </w:tc>
        <w:tc>
          <w:tcPr>
            <w:tcW w:w="992" w:type="dxa"/>
            <w:shd w:val="clear" w:color="auto" w:fill="auto"/>
            <w:noWrap/>
            <w:vAlign w:val="bottom"/>
            <w:hideMark/>
          </w:tcPr>
          <w:p w14:paraId="03682532"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w:t>
            </w:r>
          </w:p>
        </w:tc>
        <w:tc>
          <w:tcPr>
            <w:tcW w:w="992" w:type="dxa"/>
            <w:shd w:val="clear" w:color="auto" w:fill="auto"/>
            <w:noWrap/>
            <w:vAlign w:val="bottom"/>
            <w:hideMark/>
          </w:tcPr>
          <w:p w14:paraId="4D67A87C"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9</w:t>
            </w:r>
          </w:p>
        </w:tc>
        <w:tc>
          <w:tcPr>
            <w:tcW w:w="965" w:type="dxa"/>
            <w:shd w:val="clear" w:color="auto" w:fill="auto"/>
            <w:noWrap/>
            <w:vAlign w:val="bottom"/>
            <w:hideMark/>
          </w:tcPr>
          <w:p w14:paraId="1CB7752A"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9</w:t>
            </w:r>
          </w:p>
        </w:tc>
      </w:tr>
      <w:tr w:rsidR="00D82C73" w:rsidRPr="007C5A6E" w14:paraId="3A8BCA95" w14:textId="77777777" w:rsidTr="00000A12">
        <w:trPr>
          <w:trHeight w:val="290"/>
        </w:trPr>
        <w:tc>
          <w:tcPr>
            <w:tcW w:w="2972" w:type="dxa"/>
            <w:shd w:val="clear" w:color="auto" w:fill="auto"/>
            <w:noWrap/>
            <w:vAlign w:val="bottom"/>
            <w:hideMark/>
          </w:tcPr>
          <w:p w14:paraId="0EAFF89F"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SAHEL</w:t>
            </w:r>
          </w:p>
        </w:tc>
        <w:tc>
          <w:tcPr>
            <w:tcW w:w="992" w:type="dxa"/>
            <w:shd w:val="clear" w:color="auto" w:fill="auto"/>
            <w:noWrap/>
            <w:vAlign w:val="bottom"/>
            <w:hideMark/>
          </w:tcPr>
          <w:p w14:paraId="0FE1B16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14</w:t>
            </w:r>
          </w:p>
        </w:tc>
        <w:tc>
          <w:tcPr>
            <w:tcW w:w="993" w:type="dxa"/>
            <w:shd w:val="clear" w:color="auto" w:fill="auto"/>
            <w:noWrap/>
            <w:vAlign w:val="bottom"/>
            <w:hideMark/>
          </w:tcPr>
          <w:p w14:paraId="605E5989"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12</w:t>
            </w:r>
          </w:p>
        </w:tc>
        <w:tc>
          <w:tcPr>
            <w:tcW w:w="1134" w:type="dxa"/>
            <w:shd w:val="clear" w:color="auto" w:fill="auto"/>
            <w:noWrap/>
            <w:vAlign w:val="bottom"/>
            <w:hideMark/>
          </w:tcPr>
          <w:p w14:paraId="1E9DB65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13</w:t>
            </w:r>
          </w:p>
        </w:tc>
        <w:tc>
          <w:tcPr>
            <w:tcW w:w="992" w:type="dxa"/>
            <w:shd w:val="clear" w:color="auto" w:fill="auto"/>
            <w:noWrap/>
            <w:vAlign w:val="bottom"/>
            <w:hideMark/>
          </w:tcPr>
          <w:p w14:paraId="2367D0DD"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11</w:t>
            </w:r>
          </w:p>
        </w:tc>
        <w:tc>
          <w:tcPr>
            <w:tcW w:w="992" w:type="dxa"/>
            <w:shd w:val="clear" w:color="auto" w:fill="auto"/>
            <w:noWrap/>
            <w:vAlign w:val="bottom"/>
            <w:hideMark/>
          </w:tcPr>
          <w:p w14:paraId="60C471CB"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965" w:type="dxa"/>
            <w:shd w:val="clear" w:color="auto" w:fill="auto"/>
            <w:noWrap/>
            <w:vAlign w:val="bottom"/>
            <w:hideMark/>
          </w:tcPr>
          <w:p w14:paraId="6B4E6BD5"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5</w:t>
            </w:r>
          </w:p>
        </w:tc>
      </w:tr>
      <w:tr w:rsidR="00D82C73" w:rsidRPr="007C5A6E" w14:paraId="76BF910D" w14:textId="77777777" w:rsidTr="00000A12">
        <w:trPr>
          <w:trHeight w:val="290"/>
        </w:trPr>
        <w:tc>
          <w:tcPr>
            <w:tcW w:w="2972" w:type="dxa"/>
            <w:tcBorders>
              <w:bottom w:val="single" w:sz="18" w:space="0" w:color="auto"/>
            </w:tcBorders>
            <w:shd w:val="clear" w:color="auto" w:fill="auto"/>
            <w:noWrap/>
            <w:vAlign w:val="bottom"/>
            <w:hideMark/>
          </w:tcPr>
          <w:p w14:paraId="1FE787E1"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SUD OUEST</w:t>
            </w:r>
          </w:p>
        </w:tc>
        <w:tc>
          <w:tcPr>
            <w:tcW w:w="992" w:type="dxa"/>
            <w:tcBorders>
              <w:bottom w:val="single" w:sz="18" w:space="0" w:color="auto"/>
            </w:tcBorders>
            <w:shd w:val="clear" w:color="auto" w:fill="auto"/>
            <w:noWrap/>
            <w:vAlign w:val="bottom"/>
            <w:hideMark/>
          </w:tcPr>
          <w:p w14:paraId="10547CBC"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4</w:t>
            </w:r>
          </w:p>
        </w:tc>
        <w:tc>
          <w:tcPr>
            <w:tcW w:w="993" w:type="dxa"/>
            <w:tcBorders>
              <w:bottom w:val="single" w:sz="18" w:space="0" w:color="auto"/>
            </w:tcBorders>
            <w:shd w:val="clear" w:color="auto" w:fill="auto"/>
            <w:noWrap/>
            <w:vAlign w:val="bottom"/>
            <w:hideMark/>
          </w:tcPr>
          <w:p w14:paraId="14420267"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3</w:t>
            </w:r>
          </w:p>
        </w:tc>
        <w:tc>
          <w:tcPr>
            <w:tcW w:w="1134" w:type="dxa"/>
            <w:tcBorders>
              <w:bottom w:val="single" w:sz="18" w:space="0" w:color="auto"/>
            </w:tcBorders>
            <w:shd w:val="clear" w:color="auto" w:fill="auto"/>
            <w:noWrap/>
            <w:vAlign w:val="bottom"/>
            <w:hideMark/>
          </w:tcPr>
          <w:p w14:paraId="4362F58C"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4</w:t>
            </w:r>
          </w:p>
        </w:tc>
        <w:tc>
          <w:tcPr>
            <w:tcW w:w="992" w:type="dxa"/>
            <w:tcBorders>
              <w:bottom w:val="single" w:sz="18" w:space="0" w:color="auto"/>
            </w:tcBorders>
            <w:shd w:val="clear" w:color="auto" w:fill="auto"/>
            <w:noWrap/>
            <w:vAlign w:val="bottom"/>
            <w:hideMark/>
          </w:tcPr>
          <w:p w14:paraId="4672C451"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4</w:t>
            </w:r>
          </w:p>
        </w:tc>
        <w:tc>
          <w:tcPr>
            <w:tcW w:w="992" w:type="dxa"/>
            <w:tcBorders>
              <w:bottom w:val="single" w:sz="18" w:space="0" w:color="auto"/>
            </w:tcBorders>
            <w:shd w:val="clear" w:color="auto" w:fill="auto"/>
            <w:noWrap/>
            <w:vAlign w:val="bottom"/>
            <w:hideMark/>
          </w:tcPr>
          <w:p w14:paraId="3BE223B4"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4</w:t>
            </w:r>
          </w:p>
        </w:tc>
        <w:tc>
          <w:tcPr>
            <w:tcW w:w="965" w:type="dxa"/>
            <w:tcBorders>
              <w:bottom w:val="single" w:sz="18" w:space="0" w:color="auto"/>
            </w:tcBorders>
            <w:shd w:val="clear" w:color="auto" w:fill="auto"/>
            <w:noWrap/>
            <w:vAlign w:val="bottom"/>
            <w:hideMark/>
          </w:tcPr>
          <w:p w14:paraId="6D8086C8"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4</w:t>
            </w:r>
          </w:p>
        </w:tc>
      </w:tr>
    </w:tbl>
    <w:p w14:paraId="2E2C9D3B" w14:textId="77777777" w:rsidR="00D82C73" w:rsidRPr="007C5A6E" w:rsidRDefault="00D82C73" w:rsidP="00D82C73">
      <w:pPr>
        <w:spacing w:after="0" w:line="240" w:lineRule="auto"/>
        <w:rPr>
          <w:rFonts w:ascii="Times New Roman" w:hAnsi="Times New Roman"/>
          <w:color w:val="000000"/>
          <w:sz w:val="20"/>
          <w:szCs w:val="20"/>
          <w:lang w:eastAsia="en-US"/>
        </w:rPr>
      </w:pPr>
      <w:r w:rsidRPr="007C5A6E">
        <w:rPr>
          <w:rFonts w:ascii="Times New Roman" w:eastAsia="Calibri" w:hAnsi="Times New Roman"/>
          <w:kern w:val="2"/>
          <w:sz w:val="20"/>
          <w:szCs w:val="20"/>
          <w14:ligatures w14:val="standardContextual"/>
        </w:rPr>
        <w:t xml:space="preserve">Source : </w:t>
      </w:r>
      <w:r w:rsidRPr="007C5A6E">
        <w:rPr>
          <w:rFonts w:ascii="Times New Roman" w:hAnsi="Times New Roman"/>
          <w:color w:val="000000"/>
          <w:sz w:val="20"/>
          <w:szCs w:val="20"/>
          <w:lang w:eastAsia="en-US"/>
        </w:rPr>
        <w:t>INSD (2022)</w:t>
      </w:r>
    </w:p>
    <w:p w14:paraId="00989D81" w14:textId="77777777" w:rsidR="00D82C73" w:rsidRPr="007C5A6E" w:rsidRDefault="00D82C73" w:rsidP="00D82C73">
      <w:pPr>
        <w:spacing w:after="0" w:line="240" w:lineRule="auto"/>
        <w:jc w:val="both"/>
        <w:rPr>
          <w:rFonts w:ascii="Times New Roman" w:hAnsi="Times New Roman"/>
          <w:color w:val="000000"/>
          <w:sz w:val="24"/>
          <w:szCs w:val="24"/>
          <w:lang w:eastAsia="en-US"/>
        </w:rPr>
      </w:pPr>
    </w:p>
    <w:p w14:paraId="79DF12C2" w14:textId="36C5F2E3" w:rsidR="00D82C73" w:rsidRPr="007C5A6E" w:rsidRDefault="00D82C73" w:rsidP="00D82C73">
      <w:pPr>
        <w:spacing w:after="0" w:line="240" w:lineRule="auto"/>
        <w:jc w:val="both"/>
        <w:rPr>
          <w:rFonts w:ascii="Times New Roman" w:hAnsi="Times New Roman"/>
          <w:color w:val="000000"/>
          <w:sz w:val="24"/>
          <w:szCs w:val="24"/>
          <w:lang w:eastAsia="en-US"/>
        </w:rPr>
      </w:pPr>
      <w:r w:rsidRPr="007C5A6E">
        <w:rPr>
          <w:rFonts w:ascii="Times New Roman" w:hAnsi="Times New Roman"/>
          <w:color w:val="000000"/>
          <w:sz w:val="24"/>
          <w:szCs w:val="24"/>
          <w:lang w:eastAsia="en-US"/>
        </w:rPr>
        <w:t xml:space="preserve">Le tableau </w:t>
      </w:r>
      <w:r w:rsidR="00896FDE" w:rsidRPr="007C5A6E">
        <w:rPr>
          <w:rFonts w:ascii="Times New Roman" w:hAnsi="Times New Roman"/>
          <w:color w:val="000000"/>
          <w:sz w:val="24"/>
          <w:szCs w:val="24"/>
          <w:lang w:eastAsia="en-US"/>
        </w:rPr>
        <w:t>2</w:t>
      </w:r>
      <w:r w:rsidR="00CA1582" w:rsidRPr="007C5A6E">
        <w:rPr>
          <w:rFonts w:ascii="Times New Roman" w:hAnsi="Times New Roman"/>
          <w:color w:val="000000"/>
          <w:sz w:val="24"/>
          <w:szCs w:val="24"/>
          <w:lang w:eastAsia="en-US"/>
        </w:rPr>
        <w:t>7</w:t>
      </w:r>
      <w:r w:rsidRPr="007C5A6E">
        <w:rPr>
          <w:rFonts w:ascii="Times New Roman" w:hAnsi="Times New Roman"/>
          <w:color w:val="000000"/>
          <w:sz w:val="24"/>
          <w:szCs w:val="24"/>
          <w:lang w:eastAsia="en-US"/>
        </w:rPr>
        <w:t xml:space="preserve"> indique les régions où les effectifs des caprins sont importants. Il s’agit des régions de la Boucle du Mouhoun, du Centre-Ouest, de l’Est, du Sahel et dans une moindre mesure la région du Centre-Est. La région du Sahel présente toujours les mêmes tendances observées. L’effectif a passé de 8 % en 2020 et de 5 % en 2021. </w:t>
      </w:r>
    </w:p>
    <w:p w14:paraId="7DDFA5D1" w14:textId="77777777" w:rsidR="00D82C73" w:rsidRPr="007C5A6E" w:rsidRDefault="00D82C73" w:rsidP="00D82C73">
      <w:pPr>
        <w:spacing w:after="0" w:line="240" w:lineRule="auto"/>
        <w:jc w:val="both"/>
        <w:rPr>
          <w:rFonts w:ascii="Times New Roman" w:hAnsi="Times New Roman"/>
          <w:color w:val="000000"/>
          <w:sz w:val="24"/>
          <w:szCs w:val="24"/>
          <w:lang w:eastAsia="en-US"/>
        </w:rPr>
      </w:pPr>
    </w:p>
    <w:p w14:paraId="7E3E11C4" w14:textId="77777777" w:rsidR="00694720" w:rsidRPr="007C5A6E" w:rsidRDefault="00694720" w:rsidP="00D82C73">
      <w:pPr>
        <w:spacing w:after="0" w:line="240" w:lineRule="auto"/>
        <w:jc w:val="both"/>
        <w:rPr>
          <w:rFonts w:ascii="Times New Roman" w:hAnsi="Times New Roman"/>
          <w:color w:val="000000"/>
          <w:sz w:val="24"/>
          <w:szCs w:val="24"/>
          <w:lang w:eastAsia="en-US"/>
        </w:rPr>
      </w:pPr>
    </w:p>
    <w:p w14:paraId="1EEA04B8" w14:textId="77777777" w:rsidR="00694720" w:rsidRPr="007C5A6E" w:rsidRDefault="00694720" w:rsidP="00D82C73">
      <w:pPr>
        <w:spacing w:after="0" w:line="240" w:lineRule="auto"/>
        <w:jc w:val="both"/>
        <w:rPr>
          <w:rFonts w:ascii="Times New Roman" w:hAnsi="Times New Roman"/>
          <w:color w:val="000000"/>
          <w:sz w:val="24"/>
          <w:szCs w:val="24"/>
          <w:lang w:eastAsia="en-US"/>
        </w:rPr>
      </w:pPr>
    </w:p>
    <w:p w14:paraId="77C3B243" w14:textId="77777777" w:rsidR="00694720" w:rsidRPr="007C5A6E" w:rsidRDefault="00694720" w:rsidP="00D82C73">
      <w:pPr>
        <w:spacing w:after="0" w:line="240" w:lineRule="auto"/>
        <w:jc w:val="both"/>
        <w:rPr>
          <w:rFonts w:ascii="Times New Roman" w:hAnsi="Times New Roman"/>
          <w:color w:val="000000"/>
          <w:sz w:val="24"/>
          <w:szCs w:val="24"/>
          <w:lang w:eastAsia="en-US"/>
        </w:rPr>
      </w:pPr>
    </w:p>
    <w:p w14:paraId="07E94CB9" w14:textId="132CB5D5" w:rsidR="00D82C73" w:rsidRPr="007C5A6E" w:rsidRDefault="00D82C73" w:rsidP="00B571CB">
      <w:pPr>
        <w:pStyle w:val="Lgende"/>
        <w:spacing w:after="0"/>
        <w:rPr>
          <w:rFonts w:ascii="Times New Roman" w:hAnsi="Times New Roman"/>
          <w:i w:val="0"/>
          <w:iCs w:val="0"/>
          <w:color w:val="auto"/>
          <w:sz w:val="24"/>
          <w:szCs w:val="24"/>
        </w:rPr>
      </w:pPr>
      <w:bookmarkStart w:id="696" w:name="_Toc181983396"/>
      <w:bookmarkStart w:id="697" w:name="_Toc183240989"/>
      <w:bookmarkStart w:id="698" w:name="_Toc183292231"/>
      <w:bookmarkStart w:id="699" w:name="_Toc183340511"/>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CF71D2" w:rsidRPr="007C5A6E">
        <w:rPr>
          <w:rFonts w:ascii="Times New Roman" w:hAnsi="Times New Roman"/>
          <w:i w:val="0"/>
          <w:iCs w:val="0"/>
          <w:noProof/>
          <w:color w:val="auto"/>
          <w:sz w:val="24"/>
          <w:szCs w:val="24"/>
        </w:rPr>
        <w:t>27</w:t>
      </w:r>
      <w:r w:rsidRPr="007C5A6E">
        <w:rPr>
          <w:rFonts w:ascii="Times New Roman" w:hAnsi="Times New Roman"/>
          <w:i w:val="0"/>
          <w:iCs w:val="0"/>
          <w:color w:val="auto"/>
          <w:sz w:val="24"/>
          <w:szCs w:val="24"/>
        </w:rPr>
        <w:fldChar w:fldCharType="end"/>
      </w:r>
      <w:r w:rsidR="00CA1582" w:rsidRPr="007C5A6E">
        <w:rPr>
          <w:rFonts w:ascii="Times New Roman" w:hAnsi="Times New Roman"/>
          <w:i w:val="0"/>
          <w:iCs w:val="0"/>
          <w:color w:val="auto"/>
          <w:sz w:val="24"/>
          <w:szCs w:val="24"/>
        </w:rPr>
        <w:t xml:space="preserve"> </w:t>
      </w:r>
      <w:r w:rsidRPr="007C5A6E">
        <w:rPr>
          <w:rFonts w:ascii="Times New Roman" w:hAnsi="Times New Roman"/>
          <w:i w:val="0"/>
          <w:iCs w:val="0"/>
          <w:color w:val="auto"/>
          <w:sz w:val="24"/>
          <w:szCs w:val="24"/>
        </w:rPr>
        <w:t>: Evolution de l’effectif potentiel des caprins de 2016 à 2021 (en pourcentage)</w:t>
      </w:r>
      <w:bookmarkEnd w:id="696"/>
      <w:bookmarkEnd w:id="697"/>
      <w:bookmarkEnd w:id="698"/>
      <w:bookmarkEnd w:id="699"/>
    </w:p>
    <w:p w14:paraId="3B27E943" w14:textId="77777777" w:rsidR="00CA1582" w:rsidRPr="007C5A6E" w:rsidRDefault="00CA1582" w:rsidP="00CA1582">
      <w:pPr>
        <w:pStyle w:val="Sansinterligne"/>
      </w:pPr>
    </w:p>
    <w:tbl>
      <w:tblPr>
        <w:tblW w:w="9040" w:type="dxa"/>
        <w:tblLook w:val="04A0" w:firstRow="1" w:lastRow="0" w:firstColumn="1" w:lastColumn="0" w:noHBand="0" w:noVBand="1"/>
      </w:tblPr>
      <w:tblGrid>
        <w:gridCol w:w="2972"/>
        <w:gridCol w:w="992"/>
        <w:gridCol w:w="993"/>
        <w:gridCol w:w="1134"/>
        <w:gridCol w:w="992"/>
        <w:gridCol w:w="992"/>
        <w:gridCol w:w="965"/>
      </w:tblGrid>
      <w:tr w:rsidR="00D82C73" w:rsidRPr="007C5A6E" w14:paraId="075D674D" w14:textId="77777777" w:rsidTr="00000A12">
        <w:trPr>
          <w:trHeight w:val="290"/>
        </w:trPr>
        <w:tc>
          <w:tcPr>
            <w:tcW w:w="2972" w:type="dxa"/>
            <w:tcBorders>
              <w:top w:val="single" w:sz="18" w:space="0" w:color="auto"/>
              <w:bottom w:val="single" w:sz="18" w:space="0" w:color="auto"/>
            </w:tcBorders>
            <w:shd w:val="clear" w:color="auto" w:fill="auto"/>
            <w:noWrap/>
            <w:vAlign w:val="bottom"/>
            <w:hideMark/>
          </w:tcPr>
          <w:p w14:paraId="1C310A2F" w14:textId="77777777" w:rsidR="00D82C73" w:rsidRPr="007C5A6E" w:rsidRDefault="00D82C73" w:rsidP="00D82C73">
            <w:pPr>
              <w:spacing w:after="0" w:line="240" w:lineRule="auto"/>
              <w:rPr>
                <w:rFonts w:ascii="Times New Roman" w:hAnsi="Times New Roman"/>
                <w:color w:val="000000"/>
                <w:lang w:eastAsia="en-US"/>
              </w:rPr>
            </w:pPr>
            <w:r w:rsidRPr="007C5A6E">
              <w:rPr>
                <w:rFonts w:ascii="Times New Roman" w:hAnsi="Times New Roman"/>
                <w:color w:val="000000"/>
                <w:lang w:eastAsia="en-US"/>
              </w:rPr>
              <w:t>Régions</w:t>
            </w:r>
          </w:p>
        </w:tc>
        <w:tc>
          <w:tcPr>
            <w:tcW w:w="992" w:type="dxa"/>
            <w:tcBorders>
              <w:top w:val="single" w:sz="18" w:space="0" w:color="auto"/>
              <w:bottom w:val="single" w:sz="18" w:space="0" w:color="auto"/>
            </w:tcBorders>
            <w:shd w:val="clear" w:color="auto" w:fill="auto"/>
            <w:noWrap/>
            <w:vAlign w:val="bottom"/>
            <w:hideMark/>
          </w:tcPr>
          <w:p w14:paraId="206070A9" w14:textId="77777777" w:rsidR="00D82C73" w:rsidRPr="007C5A6E" w:rsidRDefault="00D82C73" w:rsidP="00D82C73">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2016</w:t>
            </w:r>
          </w:p>
        </w:tc>
        <w:tc>
          <w:tcPr>
            <w:tcW w:w="993" w:type="dxa"/>
            <w:tcBorders>
              <w:top w:val="single" w:sz="18" w:space="0" w:color="auto"/>
              <w:bottom w:val="single" w:sz="18" w:space="0" w:color="auto"/>
            </w:tcBorders>
            <w:shd w:val="clear" w:color="auto" w:fill="auto"/>
            <w:noWrap/>
            <w:vAlign w:val="bottom"/>
            <w:hideMark/>
          </w:tcPr>
          <w:p w14:paraId="2ECED717" w14:textId="77777777" w:rsidR="00D82C73" w:rsidRPr="007C5A6E" w:rsidRDefault="00D82C73" w:rsidP="00D82C73">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2017</w:t>
            </w:r>
          </w:p>
        </w:tc>
        <w:tc>
          <w:tcPr>
            <w:tcW w:w="1134" w:type="dxa"/>
            <w:tcBorders>
              <w:top w:val="single" w:sz="18" w:space="0" w:color="auto"/>
              <w:bottom w:val="single" w:sz="18" w:space="0" w:color="auto"/>
            </w:tcBorders>
            <w:shd w:val="clear" w:color="auto" w:fill="auto"/>
            <w:noWrap/>
            <w:vAlign w:val="bottom"/>
            <w:hideMark/>
          </w:tcPr>
          <w:p w14:paraId="501E6313" w14:textId="77777777" w:rsidR="00D82C73" w:rsidRPr="007C5A6E" w:rsidRDefault="00D82C73" w:rsidP="00D82C73">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2018</w:t>
            </w:r>
          </w:p>
        </w:tc>
        <w:tc>
          <w:tcPr>
            <w:tcW w:w="992" w:type="dxa"/>
            <w:tcBorders>
              <w:top w:val="single" w:sz="18" w:space="0" w:color="auto"/>
              <w:bottom w:val="single" w:sz="18" w:space="0" w:color="auto"/>
            </w:tcBorders>
            <w:shd w:val="clear" w:color="auto" w:fill="auto"/>
            <w:noWrap/>
            <w:vAlign w:val="bottom"/>
            <w:hideMark/>
          </w:tcPr>
          <w:p w14:paraId="38CBA1F3" w14:textId="77777777" w:rsidR="00D82C73" w:rsidRPr="007C5A6E" w:rsidRDefault="00D82C73" w:rsidP="00D82C73">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2019</w:t>
            </w:r>
          </w:p>
        </w:tc>
        <w:tc>
          <w:tcPr>
            <w:tcW w:w="992" w:type="dxa"/>
            <w:tcBorders>
              <w:top w:val="single" w:sz="18" w:space="0" w:color="auto"/>
              <w:bottom w:val="single" w:sz="18" w:space="0" w:color="auto"/>
            </w:tcBorders>
            <w:shd w:val="clear" w:color="auto" w:fill="auto"/>
            <w:noWrap/>
            <w:vAlign w:val="bottom"/>
            <w:hideMark/>
          </w:tcPr>
          <w:p w14:paraId="7710BD24" w14:textId="77777777" w:rsidR="00D82C73" w:rsidRPr="007C5A6E" w:rsidRDefault="00D82C73" w:rsidP="00D82C73">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2020</w:t>
            </w:r>
          </w:p>
        </w:tc>
        <w:tc>
          <w:tcPr>
            <w:tcW w:w="965" w:type="dxa"/>
            <w:tcBorders>
              <w:top w:val="single" w:sz="18" w:space="0" w:color="auto"/>
              <w:bottom w:val="single" w:sz="18" w:space="0" w:color="auto"/>
            </w:tcBorders>
            <w:shd w:val="clear" w:color="auto" w:fill="auto"/>
            <w:noWrap/>
            <w:vAlign w:val="bottom"/>
            <w:hideMark/>
          </w:tcPr>
          <w:p w14:paraId="5835146C" w14:textId="77777777" w:rsidR="00D82C73" w:rsidRPr="007C5A6E" w:rsidRDefault="00D82C73" w:rsidP="00D82C73">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2021</w:t>
            </w:r>
          </w:p>
        </w:tc>
      </w:tr>
      <w:tr w:rsidR="00D82C73" w:rsidRPr="007C5A6E" w14:paraId="305D729D" w14:textId="77777777" w:rsidTr="00000A12">
        <w:trPr>
          <w:trHeight w:val="290"/>
        </w:trPr>
        <w:tc>
          <w:tcPr>
            <w:tcW w:w="2972" w:type="dxa"/>
            <w:tcBorders>
              <w:top w:val="single" w:sz="18" w:space="0" w:color="auto"/>
            </w:tcBorders>
            <w:shd w:val="clear" w:color="auto" w:fill="auto"/>
            <w:noWrap/>
            <w:vAlign w:val="bottom"/>
            <w:hideMark/>
          </w:tcPr>
          <w:p w14:paraId="2550B650"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BOUCLE DU MOUHOUN</w:t>
            </w:r>
          </w:p>
        </w:tc>
        <w:tc>
          <w:tcPr>
            <w:tcW w:w="992" w:type="dxa"/>
            <w:tcBorders>
              <w:top w:val="single" w:sz="18" w:space="0" w:color="auto"/>
            </w:tcBorders>
            <w:shd w:val="clear" w:color="auto" w:fill="auto"/>
            <w:noWrap/>
            <w:vAlign w:val="bottom"/>
            <w:hideMark/>
          </w:tcPr>
          <w:p w14:paraId="246EDD87"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12</w:t>
            </w:r>
          </w:p>
        </w:tc>
        <w:tc>
          <w:tcPr>
            <w:tcW w:w="993" w:type="dxa"/>
            <w:tcBorders>
              <w:top w:val="single" w:sz="18" w:space="0" w:color="auto"/>
            </w:tcBorders>
            <w:shd w:val="clear" w:color="auto" w:fill="auto"/>
            <w:noWrap/>
            <w:vAlign w:val="bottom"/>
            <w:hideMark/>
          </w:tcPr>
          <w:p w14:paraId="4C353BF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10</w:t>
            </w:r>
          </w:p>
        </w:tc>
        <w:tc>
          <w:tcPr>
            <w:tcW w:w="1134" w:type="dxa"/>
            <w:tcBorders>
              <w:top w:val="single" w:sz="18" w:space="0" w:color="auto"/>
            </w:tcBorders>
            <w:shd w:val="clear" w:color="auto" w:fill="auto"/>
            <w:noWrap/>
            <w:vAlign w:val="bottom"/>
            <w:hideMark/>
          </w:tcPr>
          <w:p w14:paraId="3149535C"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10</w:t>
            </w:r>
          </w:p>
        </w:tc>
        <w:tc>
          <w:tcPr>
            <w:tcW w:w="992" w:type="dxa"/>
            <w:tcBorders>
              <w:top w:val="single" w:sz="18" w:space="0" w:color="auto"/>
            </w:tcBorders>
            <w:shd w:val="clear" w:color="auto" w:fill="auto"/>
            <w:noWrap/>
            <w:vAlign w:val="bottom"/>
            <w:hideMark/>
          </w:tcPr>
          <w:p w14:paraId="650FBCD9"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13</w:t>
            </w:r>
          </w:p>
        </w:tc>
        <w:tc>
          <w:tcPr>
            <w:tcW w:w="992" w:type="dxa"/>
            <w:tcBorders>
              <w:top w:val="single" w:sz="18" w:space="0" w:color="auto"/>
            </w:tcBorders>
            <w:shd w:val="clear" w:color="auto" w:fill="auto"/>
            <w:noWrap/>
            <w:vAlign w:val="bottom"/>
            <w:hideMark/>
          </w:tcPr>
          <w:p w14:paraId="27CCB52A"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11</w:t>
            </w:r>
          </w:p>
        </w:tc>
        <w:tc>
          <w:tcPr>
            <w:tcW w:w="965" w:type="dxa"/>
            <w:tcBorders>
              <w:top w:val="single" w:sz="18" w:space="0" w:color="auto"/>
            </w:tcBorders>
            <w:shd w:val="clear" w:color="auto" w:fill="auto"/>
            <w:noWrap/>
            <w:vAlign w:val="bottom"/>
            <w:hideMark/>
          </w:tcPr>
          <w:p w14:paraId="734EC80C"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16</w:t>
            </w:r>
          </w:p>
        </w:tc>
      </w:tr>
      <w:tr w:rsidR="00D82C73" w:rsidRPr="007C5A6E" w14:paraId="7ADAE92A" w14:textId="77777777" w:rsidTr="00000A12">
        <w:trPr>
          <w:trHeight w:val="290"/>
        </w:trPr>
        <w:tc>
          <w:tcPr>
            <w:tcW w:w="2972" w:type="dxa"/>
            <w:shd w:val="clear" w:color="auto" w:fill="auto"/>
            <w:noWrap/>
            <w:vAlign w:val="bottom"/>
            <w:hideMark/>
          </w:tcPr>
          <w:p w14:paraId="0C02CD6D"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CASCADES</w:t>
            </w:r>
          </w:p>
        </w:tc>
        <w:tc>
          <w:tcPr>
            <w:tcW w:w="992" w:type="dxa"/>
            <w:shd w:val="clear" w:color="auto" w:fill="auto"/>
            <w:noWrap/>
            <w:vAlign w:val="bottom"/>
            <w:hideMark/>
          </w:tcPr>
          <w:p w14:paraId="628F80A6"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w:t>
            </w:r>
          </w:p>
        </w:tc>
        <w:tc>
          <w:tcPr>
            <w:tcW w:w="993" w:type="dxa"/>
            <w:shd w:val="clear" w:color="auto" w:fill="auto"/>
            <w:noWrap/>
            <w:vAlign w:val="bottom"/>
            <w:hideMark/>
          </w:tcPr>
          <w:p w14:paraId="36474708"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w:t>
            </w:r>
          </w:p>
        </w:tc>
        <w:tc>
          <w:tcPr>
            <w:tcW w:w="1134" w:type="dxa"/>
            <w:shd w:val="clear" w:color="auto" w:fill="auto"/>
            <w:noWrap/>
            <w:vAlign w:val="bottom"/>
            <w:hideMark/>
          </w:tcPr>
          <w:p w14:paraId="677CD8DE"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3</w:t>
            </w:r>
          </w:p>
        </w:tc>
        <w:tc>
          <w:tcPr>
            <w:tcW w:w="992" w:type="dxa"/>
            <w:shd w:val="clear" w:color="auto" w:fill="auto"/>
            <w:noWrap/>
            <w:vAlign w:val="bottom"/>
            <w:hideMark/>
          </w:tcPr>
          <w:p w14:paraId="3B98AA1F"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3</w:t>
            </w:r>
          </w:p>
        </w:tc>
        <w:tc>
          <w:tcPr>
            <w:tcW w:w="992" w:type="dxa"/>
            <w:shd w:val="clear" w:color="auto" w:fill="auto"/>
            <w:noWrap/>
            <w:vAlign w:val="bottom"/>
            <w:hideMark/>
          </w:tcPr>
          <w:p w14:paraId="6AC32932"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3</w:t>
            </w:r>
          </w:p>
        </w:tc>
        <w:tc>
          <w:tcPr>
            <w:tcW w:w="965" w:type="dxa"/>
            <w:shd w:val="clear" w:color="auto" w:fill="auto"/>
            <w:noWrap/>
            <w:vAlign w:val="bottom"/>
            <w:hideMark/>
          </w:tcPr>
          <w:p w14:paraId="5C105D5F"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4</w:t>
            </w:r>
          </w:p>
        </w:tc>
      </w:tr>
      <w:tr w:rsidR="00D82C73" w:rsidRPr="007C5A6E" w14:paraId="5D0D83B2" w14:textId="77777777" w:rsidTr="00000A12">
        <w:trPr>
          <w:trHeight w:val="290"/>
        </w:trPr>
        <w:tc>
          <w:tcPr>
            <w:tcW w:w="2972" w:type="dxa"/>
            <w:shd w:val="clear" w:color="auto" w:fill="auto"/>
            <w:noWrap/>
            <w:vAlign w:val="bottom"/>
            <w:hideMark/>
          </w:tcPr>
          <w:p w14:paraId="3B2FE06D"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CENTRE</w:t>
            </w:r>
          </w:p>
        </w:tc>
        <w:tc>
          <w:tcPr>
            <w:tcW w:w="992" w:type="dxa"/>
            <w:shd w:val="clear" w:color="auto" w:fill="auto"/>
            <w:noWrap/>
            <w:vAlign w:val="bottom"/>
            <w:hideMark/>
          </w:tcPr>
          <w:p w14:paraId="36C18C4A"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w:t>
            </w:r>
          </w:p>
        </w:tc>
        <w:tc>
          <w:tcPr>
            <w:tcW w:w="993" w:type="dxa"/>
            <w:shd w:val="clear" w:color="auto" w:fill="auto"/>
            <w:noWrap/>
            <w:vAlign w:val="bottom"/>
            <w:hideMark/>
          </w:tcPr>
          <w:p w14:paraId="3A2FD2CB"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w:t>
            </w:r>
          </w:p>
        </w:tc>
        <w:tc>
          <w:tcPr>
            <w:tcW w:w="1134" w:type="dxa"/>
            <w:shd w:val="clear" w:color="auto" w:fill="auto"/>
            <w:noWrap/>
            <w:vAlign w:val="bottom"/>
            <w:hideMark/>
          </w:tcPr>
          <w:p w14:paraId="57B67C67"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w:t>
            </w:r>
          </w:p>
        </w:tc>
        <w:tc>
          <w:tcPr>
            <w:tcW w:w="992" w:type="dxa"/>
            <w:shd w:val="clear" w:color="auto" w:fill="auto"/>
            <w:noWrap/>
            <w:vAlign w:val="bottom"/>
            <w:hideMark/>
          </w:tcPr>
          <w:p w14:paraId="0ECF6046"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3</w:t>
            </w:r>
          </w:p>
        </w:tc>
        <w:tc>
          <w:tcPr>
            <w:tcW w:w="992" w:type="dxa"/>
            <w:shd w:val="clear" w:color="auto" w:fill="auto"/>
            <w:noWrap/>
            <w:vAlign w:val="bottom"/>
            <w:hideMark/>
          </w:tcPr>
          <w:p w14:paraId="44AD23A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3</w:t>
            </w:r>
          </w:p>
        </w:tc>
        <w:tc>
          <w:tcPr>
            <w:tcW w:w="965" w:type="dxa"/>
            <w:shd w:val="clear" w:color="auto" w:fill="auto"/>
            <w:noWrap/>
            <w:vAlign w:val="bottom"/>
            <w:hideMark/>
          </w:tcPr>
          <w:p w14:paraId="413D059F"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w:t>
            </w:r>
          </w:p>
        </w:tc>
      </w:tr>
      <w:tr w:rsidR="00D82C73" w:rsidRPr="007C5A6E" w14:paraId="78905D86" w14:textId="77777777" w:rsidTr="00000A12">
        <w:trPr>
          <w:trHeight w:val="290"/>
        </w:trPr>
        <w:tc>
          <w:tcPr>
            <w:tcW w:w="2972" w:type="dxa"/>
            <w:shd w:val="clear" w:color="auto" w:fill="auto"/>
            <w:noWrap/>
            <w:vAlign w:val="bottom"/>
            <w:hideMark/>
          </w:tcPr>
          <w:p w14:paraId="6A8222D2"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CENTRE EST</w:t>
            </w:r>
          </w:p>
        </w:tc>
        <w:tc>
          <w:tcPr>
            <w:tcW w:w="992" w:type="dxa"/>
            <w:shd w:val="clear" w:color="auto" w:fill="auto"/>
            <w:noWrap/>
            <w:vAlign w:val="bottom"/>
            <w:hideMark/>
          </w:tcPr>
          <w:p w14:paraId="1D7EC65B"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9</w:t>
            </w:r>
          </w:p>
        </w:tc>
        <w:tc>
          <w:tcPr>
            <w:tcW w:w="993" w:type="dxa"/>
            <w:shd w:val="clear" w:color="auto" w:fill="auto"/>
            <w:noWrap/>
            <w:vAlign w:val="bottom"/>
            <w:hideMark/>
          </w:tcPr>
          <w:p w14:paraId="238C5266"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8</w:t>
            </w:r>
          </w:p>
        </w:tc>
        <w:tc>
          <w:tcPr>
            <w:tcW w:w="1134" w:type="dxa"/>
            <w:shd w:val="clear" w:color="auto" w:fill="auto"/>
            <w:noWrap/>
            <w:vAlign w:val="bottom"/>
            <w:hideMark/>
          </w:tcPr>
          <w:p w14:paraId="5941D584"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10</w:t>
            </w:r>
          </w:p>
        </w:tc>
        <w:tc>
          <w:tcPr>
            <w:tcW w:w="992" w:type="dxa"/>
            <w:shd w:val="clear" w:color="auto" w:fill="auto"/>
            <w:noWrap/>
            <w:vAlign w:val="bottom"/>
            <w:hideMark/>
          </w:tcPr>
          <w:p w14:paraId="4DA90736"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10</w:t>
            </w:r>
          </w:p>
        </w:tc>
        <w:tc>
          <w:tcPr>
            <w:tcW w:w="992" w:type="dxa"/>
            <w:shd w:val="clear" w:color="auto" w:fill="auto"/>
            <w:noWrap/>
            <w:vAlign w:val="bottom"/>
            <w:hideMark/>
          </w:tcPr>
          <w:p w14:paraId="68868FC9"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10</w:t>
            </w:r>
          </w:p>
        </w:tc>
        <w:tc>
          <w:tcPr>
            <w:tcW w:w="965" w:type="dxa"/>
            <w:shd w:val="clear" w:color="auto" w:fill="auto"/>
            <w:noWrap/>
            <w:vAlign w:val="bottom"/>
            <w:hideMark/>
          </w:tcPr>
          <w:p w14:paraId="0D4704D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10</w:t>
            </w:r>
          </w:p>
        </w:tc>
      </w:tr>
      <w:tr w:rsidR="00D82C73" w:rsidRPr="007C5A6E" w14:paraId="55B5E5CA" w14:textId="77777777" w:rsidTr="00000A12">
        <w:trPr>
          <w:trHeight w:val="290"/>
        </w:trPr>
        <w:tc>
          <w:tcPr>
            <w:tcW w:w="2972" w:type="dxa"/>
            <w:shd w:val="clear" w:color="auto" w:fill="auto"/>
            <w:noWrap/>
            <w:vAlign w:val="bottom"/>
            <w:hideMark/>
          </w:tcPr>
          <w:p w14:paraId="5560E633"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CENTRE NORD</w:t>
            </w:r>
          </w:p>
        </w:tc>
        <w:tc>
          <w:tcPr>
            <w:tcW w:w="992" w:type="dxa"/>
            <w:shd w:val="clear" w:color="auto" w:fill="auto"/>
            <w:noWrap/>
            <w:vAlign w:val="bottom"/>
            <w:hideMark/>
          </w:tcPr>
          <w:p w14:paraId="016C0A92"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8</w:t>
            </w:r>
          </w:p>
        </w:tc>
        <w:tc>
          <w:tcPr>
            <w:tcW w:w="993" w:type="dxa"/>
            <w:shd w:val="clear" w:color="auto" w:fill="auto"/>
            <w:noWrap/>
            <w:vAlign w:val="bottom"/>
            <w:hideMark/>
          </w:tcPr>
          <w:p w14:paraId="28DE46ED"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9</w:t>
            </w:r>
          </w:p>
        </w:tc>
        <w:tc>
          <w:tcPr>
            <w:tcW w:w="1134" w:type="dxa"/>
            <w:shd w:val="clear" w:color="auto" w:fill="auto"/>
            <w:noWrap/>
            <w:vAlign w:val="bottom"/>
            <w:hideMark/>
          </w:tcPr>
          <w:p w14:paraId="7253BB4D"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8</w:t>
            </w:r>
          </w:p>
        </w:tc>
        <w:tc>
          <w:tcPr>
            <w:tcW w:w="992" w:type="dxa"/>
            <w:shd w:val="clear" w:color="auto" w:fill="auto"/>
            <w:noWrap/>
            <w:vAlign w:val="bottom"/>
            <w:hideMark/>
          </w:tcPr>
          <w:p w14:paraId="1145701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992" w:type="dxa"/>
            <w:shd w:val="clear" w:color="auto" w:fill="auto"/>
            <w:noWrap/>
            <w:vAlign w:val="bottom"/>
            <w:hideMark/>
          </w:tcPr>
          <w:p w14:paraId="2FE944C5"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9</w:t>
            </w:r>
          </w:p>
        </w:tc>
        <w:tc>
          <w:tcPr>
            <w:tcW w:w="965" w:type="dxa"/>
            <w:shd w:val="clear" w:color="auto" w:fill="auto"/>
            <w:noWrap/>
            <w:vAlign w:val="bottom"/>
            <w:hideMark/>
          </w:tcPr>
          <w:p w14:paraId="2300186D"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r>
      <w:tr w:rsidR="00D82C73" w:rsidRPr="007C5A6E" w14:paraId="3EAC124F" w14:textId="77777777" w:rsidTr="00000A12">
        <w:trPr>
          <w:trHeight w:val="290"/>
        </w:trPr>
        <w:tc>
          <w:tcPr>
            <w:tcW w:w="2972" w:type="dxa"/>
            <w:shd w:val="clear" w:color="auto" w:fill="auto"/>
            <w:noWrap/>
            <w:vAlign w:val="bottom"/>
            <w:hideMark/>
          </w:tcPr>
          <w:p w14:paraId="3E3D4834"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CENTRE OUEST</w:t>
            </w:r>
          </w:p>
        </w:tc>
        <w:tc>
          <w:tcPr>
            <w:tcW w:w="992" w:type="dxa"/>
            <w:shd w:val="clear" w:color="auto" w:fill="auto"/>
            <w:noWrap/>
            <w:vAlign w:val="bottom"/>
            <w:hideMark/>
          </w:tcPr>
          <w:p w14:paraId="5007DA37"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10</w:t>
            </w:r>
          </w:p>
        </w:tc>
        <w:tc>
          <w:tcPr>
            <w:tcW w:w="993" w:type="dxa"/>
            <w:shd w:val="clear" w:color="auto" w:fill="auto"/>
            <w:noWrap/>
            <w:vAlign w:val="bottom"/>
            <w:hideMark/>
          </w:tcPr>
          <w:p w14:paraId="584B5C5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10</w:t>
            </w:r>
          </w:p>
        </w:tc>
        <w:tc>
          <w:tcPr>
            <w:tcW w:w="1134" w:type="dxa"/>
            <w:shd w:val="clear" w:color="auto" w:fill="auto"/>
            <w:noWrap/>
            <w:vAlign w:val="bottom"/>
            <w:hideMark/>
          </w:tcPr>
          <w:p w14:paraId="5E21CF04"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11</w:t>
            </w:r>
          </w:p>
        </w:tc>
        <w:tc>
          <w:tcPr>
            <w:tcW w:w="992" w:type="dxa"/>
            <w:shd w:val="clear" w:color="auto" w:fill="auto"/>
            <w:noWrap/>
            <w:vAlign w:val="bottom"/>
            <w:hideMark/>
          </w:tcPr>
          <w:p w14:paraId="520FB7C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10</w:t>
            </w:r>
          </w:p>
        </w:tc>
        <w:tc>
          <w:tcPr>
            <w:tcW w:w="992" w:type="dxa"/>
            <w:shd w:val="clear" w:color="auto" w:fill="auto"/>
            <w:noWrap/>
            <w:vAlign w:val="bottom"/>
            <w:hideMark/>
          </w:tcPr>
          <w:p w14:paraId="40091EC9"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11</w:t>
            </w:r>
          </w:p>
        </w:tc>
        <w:tc>
          <w:tcPr>
            <w:tcW w:w="965" w:type="dxa"/>
            <w:shd w:val="clear" w:color="auto" w:fill="auto"/>
            <w:noWrap/>
            <w:vAlign w:val="bottom"/>
            <w:hideMark/>
          </w:tcPr>
          <w:p w14:paraId="38EEDD49"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13</w:t>
            </w:r>
          </w:p>
        </w:tc>
      </w:tr>
      <w:tr w:rsidR="00D82C73" w:rsidRPr="007C5A6E" w14:paraId="1280001E" w14:textId="77777777" w:rsidTr="00000A12">
        <w:trPr>
          <w:trHeight w:val="290"/>
        </w:trPr>
        <w:tc>
          <w:tcPr>
            <w:tcW w:w="2972" w:type="dxa"/>
            <w:shd w:val="clear" w:color="auto" w:fill="auto"/>
            <w:noWrap/>
            <w:vAlign w:val="bottom"/>
            <w:hideMark/>
          </w:tcPr>
          <w:p w14:paraId="6A4743E7"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CENTRE SUD</w:t>
            </w:r>
          </w:p>
        </w:tc>
        <w:tc>
          <w:tcPr>
            <w:tcW w:w="992" w:type="dxa"/>
            <w:shd w:val="clear" w:color="auto" w:fill="auto"/>
            <w:noWrap/>
            <w:vAlign w:val="bottom"/>
            <w:hideMark/>
          </w:tcPr>
          <w:p w14:paraId="4B04E1A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993" w:type="dxa"/>
            <w:shd w:val="clear" w:color="auto" w:fill="auto"/>
            <w:noWrap/>
            <w:vAlign w:val="bottom"/>
            <w:hideMark/>
          </w:tcPr>
          <w:p w14:paraId="1551199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5</w:t>
            </w:r>
          </w:p>
        </w:tc>
        <w:tc>
          <w:tcPr>
            <w:tcW w:w="1134" w:type="dxa"/>
            <w:shd w:val="clear" w:color="auto" w:fill="auto"/>
            <w:noWrap/>
            <w:vAlign w:val="bottom"/>
            <w:hideMark/>
          </w:tcPr>
          <w:p w14:paraId="634E59A4"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w:t>
            </w:r>
          </w:p>
        </w:tc>
        <w:tc>
          <w:tcPr>
            <w:tcW w:w="992" w:type="dxa"/>
            <w:shd w:val="clear" w:color="auto" w:fill="auto"/>
            <w:noWrap/>
            <w:vAlign w:val="bottom"/>
            <w:hideMark/>
          </w:tcPr>
          <w:p w14:paraId="4FD1C87C"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992" w:type="dxa"/>
            <w:shd w:val="clear" w:color="auto" w:fill="auto"/>
            <w:noWrap/>
            <w:vAlign w:val="bottom"/>
            <w:hideMark/>
          </w:tcPr>
          <w:p w14:paraId="3E052A11"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w:t>
            </w:r>
          </w:p>
        </w:tc>
        <w:tc>
          <w:tcPr>
            <w:tcW w:w="965" w:type="dxa"/>
            <w:shd w:val="clear" w:color="auto" w:fill="auto"/>
            <w:noWrap/>
            <w:vAlign w:val="bottom"/>
            <w:hideMark/>
          </w:tcPr>
          <w:p w14:paraId="672BB307"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w:t>
            </w:r>
          </w:p>
        </w:tc>
      </w:tr>
      <w:tr w:rsidR="00D82C73" w:rsidRPr="007C5A6E" w14:paraId="30942884" w14:textId="77777777" w:rsidTr="00000A12">
        <w:trPr>
          <w:trHeight w:val="290"/>
        </w:trPr>
        <w:tc>
          <w:tcPr>
            <w:tcW w:w="2972" w:type="dxa"/>
            <w:shd w:val="clear" w:color="auto" w:fill="auto"/>
            <w:noWrap/>
            <w:vAlign w:val="bottom"/>
            <w:hideMark/>
          </w:tcPr>
          <w:p w14:paraId="539139F1"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EST</w:t>
            </w:r>
          </w:p>
        </w:tc>
        <w:tc>
          <w:tcPr>
            <w:tcW w:w="992" w:type="dxa"/>
            <w:shd w:val="clear" w:color="auto" w:fill="auto"/>
            <w:noWrap/>
            <w:vAlign w:val="bottom"/>
            <w:hideMark/>
          </w:tcPr>
          <w:p w14:paraId="0568B17D"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12</w:t>
            </w:r>
          </w:p>
        </w:tc>
        <w:tc>
          <w:tcPr>
            <w:tcW w:w="993" w:type="dxa"/>
            <w:shd w:val="clear" w:color="auto" w:fill="auto"/>
            <w:noWrap/>
            <w:vAlign w:val="bottom"/>
            <w:hideMark/>
          </w:tcPr>
          <w:p w14:paraId="1C6DC135"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12</w:t>
            </w:r>
          </w:p>
        </w:tc>
        <w:tc>
          <w:tcPr>
            <w:tcW w:w="1134" w:type="dxa"/>
            <w:shd w:val="clear" w:color="auto" w:fill="auto"/>
            <w:noWrap/>
            <w:vAlign w:val="bottom"/>
            <w:hideMark/>
          </w:tcPr>
          <w:p w14:paraId="3999DBF5"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10</w:t>
            </w:r>
          </w:p>
        </w:tc>
        <w:tc>
          <w:tcPr>
            <w:tcW w:w="992" w:type="dxa"/>
            <w:shd w:val="clear" w:color="auto" w:fill="auto"/>
            <w:noWrap/>
            <w:vAlign w:val="bottom"/>
            <w:hideMark/>
          </w:tcPr>
          <w:p w14:paraId="5E980757"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11</w:t>
            </w:r>
          </w:p>
        </w:tc>
        <w:tc>
          <w:tcPr>
            <w:tcW w:w="992" w:type="dxa"/>
            <w:shd w:val="clear" w:color="auto" w:fill="auto"/>
            <w:noWrap/>
            <w:vAlign w:val="bottom"/>
            <w:hideMark/>
          </w:tcPr>
          <w:p w14:paraId="095E7D6F"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11</w:t>
            </w:r>
          </w:p>
        </w:tc>
        <w:tc>
          <w:tcPr>
            <w:tcW w:w="965" w:type="dxa"/>
            <w:shd w:val="clear" w:color="auto" w:fill="auto"/>
            <w:noWrap/>
            <w:vAlign w:val="bottom"/>
            <w:hideMark/>
          </w:tcPr>
          <w:p w14:paraId="08FEC339"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9</w:t>
            </w:r>
          </w:p>
        </w:tc>
      </w:tr>
      <w:tr w:rsidR="00D82C73" w:rsidRPr="007C5A6E" w14:paraId="0C4EA707" w14:textId="77777777" w:rsidTr="00000A12">
        <w:trPr>
          <w:trHeight w:val="290"/>
        </w:trPr>
        <w:tc>
          <w:tcPr>
            <w:tcW w:w="2972" w:type="dxa"/>
            <w:shd w:val="clear" w:color="auto" w:fill="auto"/>
            <w:noWrap/>
            <w:vAlign w:val="bottom"/>
            <w:hideMark/>
          </w:tcPr>
          <w:p w14:paraId="3EE31C61"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HAUTS BASSINS</w:t>
            </w:r>
          </w:p>
        </w:tc>
        <w:tc>
          <w:tcPr>
            <w:tcW w:w="992" w:type="dxa"/>
            <w:shd w:val="clear" w:color="auto" w:fill="auto"/>
            <w:noWrap/>
            <w:vAlign w:val="bottom"/>
            <w:hideMark/>
          </w:tcPr>
          <w:p w14:paraId="29C49992"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5</w:t>
            </w:r>
          </w:p>
        </w:tc>
        <w:tc>
          <w:tcPr>
            <w:tcW w:w="993" w:type="dxa"/>
            <w:shd w:val="clear" w:color="auto" w:fill="auto"/>
            <w:noWrap/>
            <w:vAlign w:val="bottom"/>
            <w:hideMark/>
          </w:tcPr>
          <w:p w14:paraId="764431D4"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1134" w:type="dxa"/>
            <w:shd w:val="clear" w:color="auto" w:fill="auto"/>
            <w:noWrap/>
            <w:vAlign w:val="bottom"/>
            <w:hideMark/>
          </w:tcPr>
          <w:p w14:paraId="31389045"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w:t>
            </w:r>
          </w:p>
        </w:tc>
        <w:tc>
          <w:tcPr>
            <w:tcW w:w="992" w:type="dxa"/>
            <w:shd w:val="clear" w:color="auto" w:fill="auto"/>
            <w:noWrap/>
            <w:vAlign w:val="bottom"/>
            <w:hideMark/>
          </w:tcPr>
          <w:p w14:paraId="62038374"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992" w:type="dxa"/>
            <w:shd w:val="clear" w:color="auto" w:fill="auto"/>
            <w:noWrap/>
            <w:vAlign w:val="bottom"/>
            <w:hideMark/>
          </w:tcPr>
          <w:p w14:paraId="3BD6D18E"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965" w:type="dxa"/>
            <w:shd w:val="clear" w:color="auto" w:fill="auto"/>
            <w:noWrap/>
            <w:vAlign w:val="bottom"/>
            <w:hideMark/>
          </w:tcPr>
          <w:p w14:paraId="3B321B5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8</w:t>
            </w:r>
          </w:p>
        </w:tc>
      </w:tr>
      <w:tr w:rsidR="00D82C73" w:rsidRPr="007C5A6E" w14:paraId="1B3C79AC" w14:textId="77777777" w:rsidTr="00000A12">
        <w:trPr>
          <w:trHeight w:val="290"/>
        </w:trPr>
        <w:tc>
          <w:tcPr>
            <w:tcW w:w="2972" w:type="dxa"/>
            <w:shd w:val="clear" w:color="auto" w:fill="auto"/>
            <w:noWrap/>
            <w:vAlign w:val="bottom"/>
            <w:hideMark/>
          </w:tcPr>
          <w:p w14:paraId="406A7EA6"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NORD</w:t>
            </w:r>
          </w:p>
        </w:tc>
        <w:tc>
          <w:tcPr>
            <w:tcW w:w="992" w:type="dxa"/>
            <w:shd w:val="clear" w:color="auto" w:fill="auto"/>
            <w:noWrap/>
            <w:vAlign w:val="bottom"/>
            <w:hideMark/>
          </w:tcPr>
          <w:p w14:paraId="50898E9B"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9</w:t>
            </w:r>
          </w:p>
        </w:tc>
        <w:tc>
          <w:tcPr>
            <w:tcW w:w="993" w:type="dxa"/>
            <w:shd w:val="clear" w:color="auto" w:fill="auto"/>
            <w:noWrap/>
            <w:vAlign w:val="bottom"/>
            <w:hideMark/>
          </w:tcPr>
          <w:p w14:paraId="4830A427"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8</w:t>
            </w:r>
          </w:p>
        </w:tc>
        <w:tc>
          <w:tcPr>
            <w:tcW w:w="1134" w:type="dxa"/>
            <w:shd w:val="clear" w:color="auto" w:fill="auto"/>
            <w:noWrap/>
            <w:vAlign w:val="bottom"/>
            <w:hideMark/>
          </w:tcPr>
          <w:p w14:paraId="0D164FD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992" w:type="dxa"/>
            <w:shd w:val="clear" w:color="auto" w:fill="auto"/>
            <w:noWrap/>
            <w:vAlign w:val="bottom"/>
            <w:hideMark/>
          </w:tcPr>
          <w:p w14:paraId="2C011B75"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w:t>
            </w:r>
          </w:p>
        </w:tc>
        <w:tc>
          <w:tcPr>
            <w:tcW w:w="992" w:type="dxa"/>
            <w:shd w:val="clear" w:color="auto" w:fill="auto"/>
            <w:noWrap/>
            <w:vAlign w:val="bottom"/>
            <w:hideMark/>
          </w:tcPr>
          <w:p w14:paraId="41872E1F"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w:t>
            </w:r>
          </w:p>
        </w:tc>
        <w:tc>
          <w:tcPr>
            <w:tcW w:w="965" w:type="dxa"/>
            <w:shd w:val="clear" w:color="auto" w:fill="auto"/>
            <w:noWrap/>
            <w:vAlign w:val="bottom"/>
            <w:hideMark/>
          </w:tcPr>
          <w:p w14:paraId="7A01343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r>
      <w:tr w:rsidR="00D82C73" w:rsidRPr="007C5A6E" w14:paraId="5D19D3B1" w14:textId="77777777" w:rsidTr="00000A12">
        <w:trPr>
          <w:trHeight w:val="290"/>
        </w:trPr>
        <w:tc>
          <w:tcPr>
            <w:tcW w:w="2972" w:type="dxa"/>
            <w:shd w:val="clear" w:color="auto" w:fill="auto"/>
            <w:noWrap/>
            <w:vAlign w:val="bottom"/>
            <w:hideMark/>
          </w:tcPr>
          <w:p w14:paraId="7A1479BF"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PLATEAU CENTRAL</w:t>
            </w:r>
          </w:p>
        </w:tc>
        <w:tc>
          <w:tcPr>
            <w:tcW w:w="992" w:type="dxa"/>
            <w:shd w:val="clear" w:color="auto" w:fill="auto"/>
            <w:noWrap/>
            <w:vAlign w:val="bottom"/>
            <w:hideMark/>
          </w:tcPr>
          <w:p w14:paraId="7E8F926A"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4</w:t>
            </w:r>
          </w:p>
        </w:tc>
        <w:tc>
          <w:tcPr>
            <w:tcW w:w="993" w:type="dxa"/>
            <w:shd w:val="clear" w:color="auto" w:fill="auto"/>
            <w:noWrap/>
            <w:vAlign w:val="bottom"/>
            <w:hideMark/>
          </w:tcPr>
          <w:p w14:paraId="64F0DA6D"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w:t>
            </w:r>
          </w:p>
        </w:tc>
        <w:tc>
          <w:tcPr>
            <w:tcW w:w="1134" w:type="dxa"/>
            <w:shd w:val="clear" w:color="auto" w:fill="auto"/>
            <w:noWrap/>
            <w:vAlign w:val="bottom"/>
            <w:hideMark/>
          </w:tcPr>
          <w:p w14:paraId="06F8736C"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w:t>
            </w:r>
          </w:p>
        </w:tc>
        <w:tc>
          <w:tcPr>
            <w:tcW w:w="992" w:type="dxa"/>
            <w:shd w:val="clear" w:color="auto" w:fill="auto"/>
            <w:noWrap/>
            <w:vAlign w:val="bottom"/>
            <w:hideMark/>
          </w:tcPr>
          <w:p w14:paraId="0470B85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992" w:type="dxa"/>
            <w:shd w:val="clear" w:color="auto" w:fill="auto"/>
            <w:noWrap/>
            <w:vAlign w:val="bottom"/>
            <w:hideMark/>
          </w:tcPr>
          <w:p w14:paraId="735C0391"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8</w:t>
            </w:r>
          </w:p>
        </w:tc>
        <w:tc>
          <w:tcPr>
            <w:tcW w:w="965" w:type="dxa"/>
            <w:shd w:val="clear" w:color="auto" w:fill="auto"/>
            <w:noWrap/>
            <w:vAlign w:val="bottom"/>
            <w:hideMark/>
          </w:tcPr>
          <w:p w14:paraId="2C01D374"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r>
      <w:tr w:rsidR="00D82C73" w:rsidRPr="007C5A6E" w14:paraId="37122D86" w14:textId="77777777" w:rsidTr="00000A12">
        <w:trPr>
          <w:trHeight w:val="290"/>
        </w:trPr>
        <w:tc>
          <w:tcPr>
            <w:tcW w:w="2972" w:type="dxa"/>
            <w:shd w:val="clear" w:color="auto" w:fill="auto"/>
            <w:noWrap/>
            <w:vAlign w:val="bottom"/>
            <w:hideMark/>
          </w:tcPr>
          <w:p w14:paraId="42DB233D"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SAHEL</w:t>
            </w:r>
          </w:p>
        </w:tc>
        <w:tc>
          <w:tcPr>
            <w:tcW w:w="992" w:type="dxa"/>
            <w:shd w:val="clear" w:color="auto" w:fill="auto"/>
            <w:noWrap/>
            <w:vAlign w:val="bottom"/>
            <w:hideMark/>
          </w:tcPr>
          <w:p w14:paraId="6BE3B14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14</w:t>
            </w:r>
          </w:p>
        </w:tc>
        <w:tc>
          <w:tcPr>
            <w:tcW w:w="993" w:type="dxa"/>
            <w:shd w:val="clear" w:color="auto" w:fill="auto"/>
            <w:noWrap/>
            <w:vAlign w:val="bottom"/>
            <w:hideMark/>
          </w:tcPr>
          <w:p w14:paraId="1913D924"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12</w:t>
            </w:r>
          </w:p>
        </w:tc>
        <w:tc>
          <w:tcPr>
            <w:tcW w:w="1134" w:type="dxa"/>
            <w:shd w:val="clear" w:color="auto" w:fill="auto"/>
            <w:noWrap/>
            <w:vAlign w:val="bottom"/>
            <w:hideMark/>
          </w:tcPr>
          <w:p w14:paraId="297DFB58"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14</w:t>
            </w:r>
          </w:p>
        </w:tc>
        <w:tc>
          <w:tcPr>
            <w:tcW w:w="992" w:type="dxa"/>
            <w:shd w:val="clear" w:color="auto" w:fill="auto"/>
            <w:noWrap/>
            <w:vAlign w:val="bottom"/>
            <w:hideMark/>
          </w:tcPr>
          <w:p w14:paraId="61201A76"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11</w:t>
            </w:r>
          </w:p>
        </w:tc>
        <w:tc>
          <w:tcPr>
            <w:tcW w:w="992" w:type="dxa"/>
            <w:shd w:val="clear" w:color="auto" w:fill="auto"/>
            <w:noWrap/>
            <w:vAlign w:val="bottom"/>
            <w:hideMark/>
          </w:tcPr>
          <w:p w14:paraId="27A40340"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8</w:t>
            </w:r>
          </w:p>
        </w:tc>
        <w:tc>
          <w:tcPr>
            <w:tcW w:w="965" w:type="dxa"/>
            <w:shd w:val="clear" w:color="auto" w:fill="auto"/>
            <w:noWrap/>
            <w:vAlign w:val="bottom"/>
            <w:hideMark/>
          </w:tcPr>
          <w:p w14:paraId="5A1D74AE"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5</w:t>
            </w:r>
          </w:p>
        </w:tc>
      </w:tr>
      <w:tr w:rsidR="00D82C73" w:rsidRPr="007C5A6E" w14:paraId="793770A4" w14:textId="77777777" w:rsidTr="00000A12">
        <w:trPr>
          <w:trHeight w:val="290"/>
        </w:trPr>
        <w:tc>
          <w:tcPr>
            <w:tcW w:w="2972" w:type="dxa"/>
            <w:tcBorders>
              <w:bottom w:val="single" w:sz="18" w:space="0" w:color="auto"/>
            </w:tcBorders>
            <w:shd w:val="clear" w:color="auto" w:fill="auto"/>
            <w:noWrap/>
            <w:vAlign w:val="bottom"/>
            <w:hideMark/>
          </w:tcPr>
          <w:p w14:paraId="4F694040" w14:textId="77777777" w:rsidR="00D82C73" w:rsidRPr="007C5A6E" w:rsidRDefault="00D82C73" w:rsidP="00D82C73">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SUD OUEST</w:t>
            </w:r>
          </w:p>
        </w:tc>
        <w:tc>
          <w:tcPr>
            <w:tcW w:w="992" w:type="dxa"/>
            <w:tcBorders>
              <w:bottom w:val="single" w:sz="18" w:space="0" w:color="auto"/>
            </w:tcBorders>
            <w:shd w:val="clear" w:color="auto" w:fill="auto"/>
            <w:noWrap/>
            <w:vAlign w:val="bottom"/>
            <w:hideMark/>
          </w:tcPr>
          <w:p w14:paraId="13D2B789"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w:t>
            </w:r>
          </w:p>
        </w:tc>
        <w:tc>
          <w:tcPr>
            <w:tcW w:w="993" w:type="dxa"/>
            <w:tcBorders>
              <w:bottom w:val="single" w:sz="18" w:space="0" w:color="auto"/>
            </w:tcBorders>
            <w:shd w:val="clear" w:color="auto" w:fill="auto"/>
            <w:noWrap/>
            <w:vAlign w:val="bottom"/>
            <w:hideMark/>
          </w:tcPr>
          <w:p w14:paraId="15D7C5E8"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1134" w:type="dxa"/>
            <w:tcBorders>
              <w:bottom w:val="single" w:sz="18" w:space="0" w:color="auto"/>
            </w:tcBorders>
            <w:shd w:val="clear" w:color="auto" w:fill="auto"/>
            <w:noWrap/>
            <w:vAlign w:val="bottom"/>
            <w:hideMark/>
          </w:tcPr>
          <w:p w14:paraId="11D02588"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992" w:type="dxa"/>
            <w:tcBorders>
              <w:bottom w:val="single" w:sz="18" w:space="0" w:color="auto"/>
            </w:tcBorders>
            <w:shd w:val="clear" w:color="auto" w:fill="auto"/>
            <w:noWrap/>
            <w:vAlign w:val="bottom"/>
            <w:hideMark/>
          </w:tcPr>
          <w:p w14:paraId="793C9A7C"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5</w:t>
            </w:r>
          </w:p>
        </w:tc>
        <w:tc>
          <w:tcPr>
            <w:tcW w:w="992" w:type="dxa"/>
            <w:tcBorders>
              <w:bottom w:val="single" w:sz="18" w:space="0" w:color="auto"/>
            </w:tcBorders>
            <w:shd w:val="clear" w:color="auto" w:fill="auto"/>
            <w:noWrap/>
            <w:vAlign w:val="bottom"/>
            <w:hideMark/>
          </w:tcPr>
          <w:p w14:paraId="24FF7D36"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7</w:t>
            </w:r>
          </w:p>
        </w:tc>
        <w:tc>
          <w:tcPr>
            <w:tcW w:w="965" w:type="dxa"/>
            <w:tcBorders>
              <w:bottom w:val="single" w:sz="18" w:space="0" w:color="auto"/>
            </w:tcBorders>
            <w:shd w:val="clear" w:color="auto" w:fill="auto"/>
            <w:noWrap/>
            <w:vAlign w:val="bottom"/>
            <w:hideMark/>
          </w:tcPr>
          <w:p w14:paraId="78734553" w14:textId="77777777" w:rsidR="00D82C73" w:rsidRPr="007C5A6E" w:rsidRDefault="00D82C73" w:rsidP="00D82C73">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w:t>
            </w:r>
          </w:p>
        </w:tc>
      </w:tr>
    </w:tbl>
    <w:p w14:paraId="5EE94E92" w14:textId="77777777" w:rsidR="00D82C73" w:rsidRPr="007C5A6E" w:rsidRDefault="00D82C73" w:rsidP="00D82C73">
      <w:pPr>
        <w:spacing w:after="0" w:line="240" w:lineRule="auto"/>
        <w:rPr>
          <w:rFonts w:ascii="Times New Roman" w:hAnsi="Times New Roman"/>
          <w:color w:val="000000"/>
          <w:sz w:val="20"/>
          <w:szCs w:val="20"/>
          <w:lang w:eastAsia="en-US"/>
        </w:rPr>
      </w:pPr>
      <w:r w:rsidRPr="007C5A6E">
        <w:rPr>
          <w:rFonts w:ascii="Times New Roman" w:eastAsia="Calibri" w:hAnsi="Times New Roman"/>
          <w:kern w:val="2"/>
          <w:sz w:val="20"/>
          <w:szCs w:val="20"/>
          <w14:ligatures w14:val="standardContextual"/>
        </w:rPr>
        <w:t xml:space="preserve">Source : </w:t>
      </w:r>
      <w:r w:rsidRPr="007C5A6E">
        <w:rPr>
          <w:rFonts w:ascii="Times New Roman" w:hAnsi="Times New Roman"/>
          <w:color w:val="000000"/>
          <w:sz w:val="20"/>
          <w:szCs w:val="20"/>
          <w:lang w:eastAsia="en-US"/>
        </w:rPr>
        <w:t>INSD (2022)</w:t>
      </w:r>
    </w:p>
    <w:p w14:paraId="37780EC8" w14:textId="77777777" w:rsidR="00D82C73" w:rsidRPr="007C5A6E" w:rsidRDefault="00D82C73" w:rsidP="00D82C73">
      <w:pPr>
        <w:spacing w:after="0" w:line="240" w:lineRule="auto"/>
        <w:rPr>
          <w:rFonts w:ascii="Times New Roman" w:hAnsi="Times New Roman"/>
          <w:color w:val="000000"/>
          <w:sz w:val="20"/>
          <w:szCs w:val="20"/>
          <w:lang w:eastAsia="en-US"/>
        </w:rPr>
      </w:pPr>
    </w:p>
    <w:p w14:paraId="74BB5598" w14:textId="32B8CDF8" w:rsidR="00D82C73" w:rsidRPr="007C5A6E" w:rsidRDefault="00D82C73" w:rsidP="008F4DEF">
      <w:pPr>
        <w:spacing w:after="240" w:line="240" w:lineRule="auto"/>
        <w:jc w:val="both"/>
        <w:textAlignment w:val="baseline"/>
        <w:rPr>
          <w:rFonts w:ascii="Times New Roman" w:hAnsi="Times New Roman"/>
          <w:color w:val="000000"/>
          <w:sz w:val="20"/>
          <w:szCs w:val="20"/>
          <w:lang w:eastAsia="en-US"/>
        </w:rPr>
      </w:pPr>
      <w:r w:rsidRPr="007C5A6E">
        <w:rPr>
          <w:rFonts w:ascii="Times New Roman" w:hAnsi="Times New Roman"/>
          <w:kern w:val="2"/>
          <w:sz w:val="24"/>
          <w:szCs w:val="24"/>
          <w14:ligatures w14:val="standardContextual"/>
        </w:rPr>
        <w:t xml:space="preserve">L’effectif du bétail a une tendance à la hausse. En effet, l’effectif des bovins a connu une augmentation de 12 % de 2014 (REEB 4) à 2021, celle des ovins est de 36 % et 7,1 % pour les caprins. L’effectif du cheptel a augmenté mais la superficie des aires de pâturage n’est pas extensible, ce qui constitue de fortes pressions sur les sols. </w:t>
      </w:r>
      <w:r w:rsidRPr="007C5A6E">
        <w:rPr>
          <w:rFonts w:ascii="Times New Roman" w:eastAsia="Calibri" w:hAnsi="Times New Roman"/>
          <w:bCs/>
          <w:kern w:val="2"/>
          <w:sz w:val="24"/>
          <w:szCs w:val="24"/>
          <w:lang w:eastAsia="en-US"/>
          <w14:ligatures w14:val="standardContextual"/>
        </w:rPr>
        <w:t xml:space="preserve">La charge animale devient cruciale. </w:t>
      </w:r>
    </w:p>
    <w:p w14:paraId="51CF9251" w14:textId="53E44010" w:rsidR="00D82C73" w:rsidRPr="007C5A6E" w:rsidRDefault="00F5426E" w:rsidP="00684FF8">
      <w:pPr>
        <w:pStyle w:val="Titre4"/>
      </w:pPr>
      <w:bookmarkStart w:id="700" w:name="_Toc181982220"/>
      <w:bookmarkStart w:id="701" w:name="_Toc183340135"/>
      <w:r w:rsidRPr="007C5A6E">
        <w:t>Les f</w:t>
      </w:r>
      <w:r w:rsidR="00D82C73" w:rsidRPr="007C5A6E">
        <w:t>eux de brousse</w:t>
      </w:r>
      <w:bookmarkEnd w:id="700"/>
      <w:bookmarkEnd w:id="701"/>
    </w:p>
    <w:p w14:paraId="5164AE92" w14:textId="77777777" w:rsidR="00D82C73" w:rsidRPr="007C5A6E" w:rsidRDefault="00D82C73" w:rsidP="00D82C73">
      <w:pPr>
        <w:spacing w:after="0" w:line="240" w:lineRule="auto"/>
        <w:jc w:val="both"/>
        <w:rPr>
          <w:rFonts w:ascii="Times New Roman" w:eastAsia="Calibri" w:hAnsi="Times New Roman"/>
          <w:spacing w:val="15"/>
          <w:kern w:val="2"/>
          <w:sz w:val="24"/>
          <w:szCs w:val="24"/>
          <w:shd w:val="clear" w:color="auto" w:fill="FFFFFF"/>
          <w:lang w:eastAsia="en-US"/>
          <w14:ligatures w14:val="standardContextual"/>
        </w:rPr>
      </w:pPr>
    </w:p>
    <w:p w14:paraId="2EDB2D99" w14:textId="77777777" w:rsidR="00896FDE" w:rsidRPr="007C5A6E" w:rsidRDefault="00D82C73" w:rsidP="00D82C73">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spacing w:val="15"/>
          <w:kern w:val="2"/>
          <w:sz w:val="24"/>
          <w:szCs w:val="24"/>
          <w:shd w:val="clear" w:color="auto" w:fill="FFFFFF"/>
          <w:lang w:eastAsia="en-US"/>
          <w14:ligatures w14:val="standardContextual"/>
        </w:rPr>
        <w:t>Les feux de brousse prennent de l’ampleur au Burkina Faso. Ils couvrent presque tout le pays.</w:t>
      </w:r>
      <w:r w:rsidRPr="007C5A6E">
        <w:rPr>
          <w:rFonts w:ascii="Times New Roman" w:eastAsia="Calibri" w:hAnsi="Times New Roman"/>
          <w:kern w:val="2"/>
          <w:sz w:val="24"/>
          <w:szCs w:val="24"/>
          <w:lang w:eastAsia="en-US"/>
          <w14:ligatures w14:val="standardContextual"/>
        </w:rPr>
        <w:t xml:space="preserve"> La récurrence des feux, montre que les zones qui brûlent, sont celles qui disposent de vastes espaces pourvus de combustibles abondants. Par contre, au nord et au centre du pays, le phénomène est moins important, du fait de la forte densité du bétail qui ne peut autoriser l’homme à mettre le feu aux maigres pailles qui constituent les seuls aliments des animaux pendant la saison sèche, quant à la zone sahélienne, elle connaît très peu de cas de feu de brousse (MEEV, 2018).  </w:t>
      </w:r>
    </w:p>
    <w:p w14:paraId="71DC1916" w14:textId="77777777" w:rsidR="00896FDE" w:rsidRPr="007C5A6E" w:rsidRDefault="00896FDE" w:rsidP="00D82C73">
      <w:pPr>
        <w:spacing w:after="0" w:line="240" w:lineRule="auto"/>
        <w:jc w:val="both"/>
        <w:rPr>
          <w:rFonts w:ascii="Times New Roman" w:eastAsia="Calibri" w:hAnsi="Times New Roman"/>
          <w:kern w:val="2"/>
          <w:sz w:val="24"/>
          <w:szCs w:val="24"/>
          <w:lang w:eastAsia="en-US"/>
          <w14:ligatures w14:val="standardContextual"/>
        </w:rPr>
      </w:pPr>
    </w:p>
    <w:p w14:paraId="66FCA7F1" w14:textId="0D6614E2" w:rsidR="00896FDE" w:rsidRPr="007C5A6E" w:rsidRDefault="00D82C73" w:rsidP="00D82C73">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Sur le plan culturel, les feux de brousse sont déclenchés à la fin des saisons des pluies pour éloigner des villages, les bêtes féroces, les serpents et les esprits maléfiques (</w:t>
      </w:r>
      <w:proofErr w:type="spellStart"/>
      <w:r w:rsidRPr="007C5A6E">
        <w:rPr>
          <w:rFonts w:ascii="Times New Roman" w:eastAsia="Calibri" w:hAnsi="Times New Roman"/>
          <w:kern w:val="2"/>
          <w:sz w:val="24"/>
          <w:szCs w:val="24"/>
          <w:lang w:eastAsia="en-US"/>
          <w14:ligatures w14:val="standardContextual"/>
        </w:rPr>
        <w:t>Sanou</w:t>
      </w:r>
      <w:proofErr w:type="spellEnd"/>
      <w:r w:rsidRPr="007C5A6E">
        <w:rPr>
          <w:rFonts w:ascii="Times New Roman" w:eastAsia="Calibri" w:hAnsi="Times New Roman"/>
          <w:kern w:val="2"/>
          <w:sz w:val="24"/>
          <w:szCs w:val="24"/>
          <w:lang w:eastAsia="en-US"/>
          <w14:ligatures w14:val="standardContextual"/>
        </w:rPr>
        <w:t xml:space="preserve">, 2016 ; Koné et </w:t>
      </w:r>
      <w:r w:rsidRPr="007C5A6E">
        <w:rPr>
          <w:rFonts w:ascii="Times New Roman" w:eastAsia="Calibri" w:hAnsi="Times New Roman"/>
          <w:i/>
          <w:iCs/>
          <w:kern w:val="2"/>
          <w:sz w:val="24"/>
          <w:szCs w:val="24"/>
          <w:lang w:eastAsia="en-US"/>
          <w14:ligatures w14:val="standardContextual"/>
        </w:rPr>
        <w:t>al</w:t>
      </w:r>
      <w:r w:rsidRPr="007C5A6E">
        <w:rPr>
          <w:rFonts w:ascii="Times New Roman" w:eastAsia="Calibri" w:hAnsi="Times New Roman"/>
          <w:kern w:val="2"/>
          <w:sz w:val="24"/>
          <w:szCs w:val="24"/>
          <w:lang w:eastAsia="en-US"/>
          <w14:ligatures w14:val="standardContextual"/>
        </w:rPr>
        <w:t xml:space="preserve">., 2019). La figure </w:t>
      </w:r>
      <w:r w:rsidR="00896FDE" w:rsidRPr="007C5A6E">
        <w:rPr>
          <w:rFonts w:ascii="Times New Roman" w:eastAsia="Calibri" w:hAnsi="Times New Roman"/>
          <w:kern w:val="2"/>
          <w:sz w:val="24"/>
          <w:szCs w:val="24"/>
          <w:lang w:eastAsia="en-US"/>
          <w14:ligatures w14:val="standardContextual"/>
        </w:rPr>
        <w:t>48</w:t>
      </w:r>
      <w:r w:rsidRPr="007C5A6E">
        <w:rPr>
          <w:rFonts w:ascii="Times New Roman" w:eastAsia="Calibri" w:hAnsi="Times New Roman"/>
          <w:kern w:val="2"/>
          <w:sz w:val="24"/>
          <w:szCs w:val="24"/>
          <w:lang w:eastAsia="en-US"/>
          <w14:ligatures w14:val="standardContextual"/>
        </w:rPr>
        <w:t xml:space="preserve"> montre que les grandes surfaces brulées par les feux tardifs sont en zone Sud-Soudanienne avec une tendance à la stabilité. En zone nord-soudanienne, les superficies brulées sont relativement faibles avec une tendance à la baisse. </w:t>
      </w:r>
    </w:p>
    <w:p w14:paraId="1679ADD0" w14:textId="77777777" w:rsidR="00694720" w:rsidRPr="007C5A6E" w:rsidRDefault="00694720" w:rsidP="00D82C73">
      <w:pPr>
        <w:spacing w:after="0" w:line="240" w:lineRule="auto"/>
        <w:jc w:val="both"/>
        <w:rPr>
          <w:rFonts w:ascii="Times New Roman" w:eastAsia="Calibri" w:hAnsi="Times New Roman"/>
          <w:kern w:val="2"/>
          <w:sz w:val="24"/>
          <w:szCs w:val="24"/>
          <w:lang w:eastAsia="en-US"/>
          <w14:ligatures w14:val="standardContextual"/>
        </w:rPr>
      </w:pPr>
    </w:p>
    <w:p w14:paraId="232D0F0F" w14:textId="3CE41EAD" w:rsidR="00D82C73" w:rsidRPr="007C5A6E" w:rsidRDefault="00D82C73" w:rsidP="00D82C73">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Les surfaces brulées en zone sahélienne stricte sont faibles mais avec une légère tendance à la hausse. Par contre en zone </w:t>
      </w:r>
      <w:r w:rsidR="00896FDE" w:rsidRPr="007C5A6E">
        <w:rPr>
          <w:rFonts w:ascii="Times New Roman" w:eastAsia="Calibri" w:hAnsi="Times New Roman"/>
          <w:kern w:val="2"/>
          <w:sz w:val="24"/>
          <w:szCs w:val="24"/>
          <w:lang w:eastAsia="en-US"/>
          <w14:ligatures w14:val="standardContextual"/>
        </w:rPr>
        <w:t>subsahélienne</w:t>
      </w:r>
      <w:r w:rsidRPr="007C5A6E">
        <w:rPr>
          <w:rFonts w:ascii="Times New Roman" w:eastAsia="Calibri" w:hAnsi="Times New Roman"/>
          <w:kern w:val="2"/>
          <w:sz w:val="24"/>
          <w:szCs w:val="24"/>
          <w:lang w:eastAsia="en-US"/>
          <w14:ligatures w14:val="standardContextual"/>
        </w:rPr>
        <w:t xml:space="preserve">, les superficies brulées ont une tendance à la hausse à partir de 2021-2022. </w:t>
      </w:r>
    </w:p>
    <w:p w14:paraId="12A77FEE" w14:textId="77777777" w:rsidR="00D82C73" w:rsidRPr="007C5A6E" w:rsidRDefault="00D82C73" w:rsidP="00D82C73">
      <w:pPr>
        <w:spacing w:after="0" w:line="240" w:lineRule="auto"/>
        <w:jc w:val="both"/>
        <w:rPr>
          <w:rFonts w:ascii="Times New Roman" w:eastAsia="Calibri" w:hAnsi="Times New Roman"/>
          <w:kern w:val="2"/>
          <w:sz w:val="24"/>
          <w:szCs w:val="24"/>
          <w:lang w:eastAsia="en-US"/>
          <w14:ligatures w14:val="standardContextual"/>
        </w:rPr>
      </w:pPr>
      <w:r w:rsidRPr="007C5A6E">
        <w:rPr>
          <w:rFonts w:eastAsia="Calibri"/>
          <w:noProof/>
          <w:kern w:val="2"/>
          <w:lang w:eastAsia="en-US"/>
          <w14:ligatures w14:val="standardContextual"/>
        </w:rPr>
        <w:drawing>
          <wp:inline distT="0" distB="0" distL="0" distR="0" wp14:anchorId="0AD5EBC8" wp14:editId="4BC30F07">
            <wp:extent cx="3944982" cy="2440070"/>
            <wp:effectExtent l="0" t="0" r="17780" b="17780"/>
            <wp:docPr id="585750104" name="Graphique 1">
              <a:extLst xmlns:a="http://schemas.openxmlformats.org/drawingml/2006/main">
                <a:ext uri="{FF2B5EF4-FFF2-40B4-BE49-F238E27FC236}">
                  <a16:creationId xmlns:a16="http://schemas.microsoft.com/office/drawing/2014/main" id="{4761F229-0BC5-76B0-65E3-BA068B438B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1BDA6CD2" w14:textId="11F07224" w:rsidR="00896FDE" w:rsidRPr="007C5A6E" w:rsidRDefault="00102B40" w:rsidP="00896FDE">
      <w:pPr>
        <w:spacing w:after="0" w:line="240" w:lineRule="auto"/>
        <w:jc w:val="both"/>
        <w:rPr>
          <w:rFonts w:ascii="Times New Roman" w:eastAsia="Calibri" w:hAnsi="Times New Roman"/>
          <w:bCs/>
          <w:kern w:val="2"/>
          <w:sz w:val="20"/>
          <w:szCs w:val="20"/>
          <w:lang w:eastAsia="en-US"/>
          <w14:ligatures w14:val="standardContextual"/>
        </w:rPr>
      </w:pPr>
      <w:bookmarkStart w:id="702" w:name="_Toc178703515"/>
      <w:r w:rsidRPr="007C5A6E">
        <w:rPr>
          <w:rFonts w:ascii="Times New Roman" w:eastAsia="Calibri" w:hAnsi="Times New Roman"/>
          <w:bCs/>
          <w:kern w:val="2"/>
          <w:sz w:val="20"/>
          <w:szCs w:val="20"/>
          <w:lang w:eastAsia="en-US"/>
          <w14:ligatures w14:val="standardContextual"/>
        </w:rPr>
        <w:t>(</w:t>
      </w:r>
      <w:r w:rsidR="00896FDE" w:rsidRPr="007C5A6E">
        <w:rPr>
          <w:rFonts w:ascii="Times New Roman" w:eastAsia="Calibri" w:hAnsi="Times New Roman"/>
          <w:bCs/>
          <w:kern w:val="2"/>
          <w:sz w:val="20"/>
          <w:szCs w:val="20"/>
          <w:lang w:eastAsia="en-US"/>
          <w14:ligatures w14:val="standardContextual"/>
        </w:rPr>
        <w:t>Source</w:t>
      </w:r>
      <w:r w:rsidR="00896FDE" w:rsidRPr="007C5A6E">
        <w:rPr>
          <w:rFonts w:ascii="Times New Roman" w:eastAsia="Calibri" w:hAnsi="Times New Roman"/>
          <w:b/>
          <w:kern w:val="2"/>
          <w:sz w:val="20"/>
          <w:szCs w:val="20"/>
          <w:lang w:eastAsia="en-US"/>
          <w14:ligatures w14:val="standardContextual"/>
        </w:rPr>
        <w:t> </w:t>
      </w:r>
      <w:r w:rsidR="00896FDE" w:rsidRPr="007C5A6E">
        <w:rPr>
          <w:rFonts w:ascii="Times New Roman" w:eastAsia="Calibri" w:hAnsi="Times New Roman"/>
          <w:bCs/>
          <w:kern w:val="2"/>
          <w:sz w:val="20"/>
          <w:szCs w:val="20"/>
          <w:lang w:eastAsia="en-US"/>
          <w14:ligatures w14:val="standardContextual"/>
        </w:rPr>
        <w:t>:</w:t>
      </w:r>
      <w:r w:rsidR="00896FDE" w:rsidRPr="007C5A6E">
        <w:rPr>
          <w:rFonts w:ascii="Times New Roman" w:eastAsia="Calibri" w:hAnsi="Times New Roman"/>
          <w:b/>
          <w:kern w:val="2"/>
          <w:sz w:val="20"/>
          <w:szCs w:val="20"/>
          <w:lang w:eastAsia="en-US"/>
          <w14:ligatures w14:val="standardContextual"/>
        </w:rPr>
        <w:t xml:space="preserve"> </w:t>
      </w:r>
      <w:r w:rsidR="00896FDE" w:rsidRPr="007C5A6E">
        <w:rPr>
          <w:rFonts w:ascii="Times New Roman" w:eastAsia="Calibri" w:hAnsi="Times New Roman"/>
          <w:bCs/>
          <w:kern w:val="2"/>
          <w:sz w:val="20"/>
          <w:szCs w:val="20"/>
          <w:lang w:eastAsia="en-US"/>
          <w14:ligatures w14:val="standardContextual"/>
        </w:rPr>
        <w:t>ONDD</w:t>
      </w:r>
      <w:r w:rsidRPr="007C5A6E">
        <w:rPr>
          <w:rFonts w:ascii="Times New Roman" w:eastAsia="Calibri" w:hAnsi="Times New Roman"/>
          <w:bCs/>
          <w:kern w:val="2"/>
          <w:sz w:val="20"/>
          <w:szCs w:val="20"/>
          <w:lang w:eastAsia="en-US"/>
          <w14:ligatures w14:val="standardContextual"/>
        </w:rPr>
        <w:t xml:space="preserve">, </w:t>
      </w:r>
      <w:r w:rsidR="00896FDE" w:rsidRPr="007C5A6E">
        <w:rPr>
          <w:rFonts w:ascii="Times New Roman" w:eastAsia="Calibri" w:hAnsi="Times New Roman"/>
          <w:bCs/>
          <w:kern w:val="2"/>
          <w:sz w:val="20"/>
          <w:szCs w:val="20"/>
          <w:lang w:eastAsia="en-US"/>
          <w14:ligatures w14:val="standardContextual"/>
        </w:rPr>
        <w:t>2023)</w:t>
      </w:r>
    </w:p>
    <w:p w14:paraId="3EE379E5" w14:textId="3ECB8A06" w:rsidR="00D82C73" w:rsidRPr="007C5A6E" w:rsidRDefault="00D82C73" w:rsidP="00D82C73">
      <w:pPr>
        <w:spacing w:after="0" w:line="240" w:lineRule="auto"/>
        <w:jc w:val="both"/>
        <w:rPr>
          <w:rFonts w:ascii="Times New Roman" w:hAnsi="Times New Roman"/>
          <w:i/>
          <w:iCs/>
          <w:spacing w:val="10"/>
          <w:sz w:val="24"/>
          <w:szCs w:val="24"/>
          <w:lang w:eastAsia="en-US"/>
        </w:rPr>
      </w:pPr>
      <w:bookmarkStart w:id="703" w:name="_Toc183230895"/>
      <w:bookmarkStart w:id="704" w:name="_Toc183240688"/>
      <w:bookmarkStart w:id="705" w:name="_Toc183340427"/>
      <w:r w:rsidRPr="007C5A6E">
        <w:rPr>
          <w:rFonts w:ascii="Times New Roman" w:hAnsi="Times New Roman"/>
          <w:i/>
          <w:iCs/>
          <w:spacing w:val="10"/>
          <w:sz w:val="24"/>
          <w:szCs w:val="24"/>
          <w:lang w:eastAsia="en-US"/>
        </w:rPr>
        <w:t xml:space="preserve">Figure </w:t>
      </w:r>
      <w:r w:rsidRPr="007C5A6E">
        <w:rPr>
          <w:rFonts w:ascii="Times New Roman" w:hAnsi="Times New Roman"/>
          <w:i/>
          <w:iCs/>
          <w:spacing w:val="10"/>
          <w:sz w:val="24"/>
          <w:szCs w:val="24"/>
          <w:lang w:eastAsia="en-US"/>
        </w:rPr>
        <w:fldChar w:fldCharType="begin"/>
      </w:r>
      <w:r w:rsidRPr="007C5A6E">
        <w:rPr>
          <w:rFonts w:ascii="Times New Roman" w:hAnsi="Times New Roman"/>
          <w:i/>
          <w:iCs/>
          <w:spacing w:val="10"/>
          <w:sz w:val="24"/>
          <w:szCs w:val="24"/>
          <w:lang w:eastAsia="en-US"/>
        </w:rPr>
        <w:instrText xml:space="preserve"> SEQ Figure \* ARABIC </w:instrText>
      </w:r>
      <w:r w:rsidRPr="007C5A6E">
        <w:rPr>
          <w:rFonts w:ascii="Times New Roman" w:hAnsi="Times New Roman"/>
          <w:i/>
          <w:iCs/>
          <w:spacing w:val="10"/>
          <w:sz w:val="24"/>
          <w:szCs w:val="24"/>
          <w:lang w:eastAsia="en-US"/>
        </w:rPr>
        <w:fldChar w:fldCharType="separate"/>
      </w:r>
      <w:r w:rsidR="00694720" w:rsidRPr="007C5A6E">
        <w:rPr>
          <w:rFonts w:ascii="Times New Roman" w:hAnsi="Times New Roman"/>
          <w:i/>
          <w:iCs/>
          <w:noProof/>
          <w:spacing w:val="10"/>
          <w:sz w:val="24"/>
          <w:szCs w:val="24"/>
          <w:lang w:eastAsia="en-US"/>
        </w:rPr>
        <w:t>48</w:t>
      </w:r>
      <w:r w:rsidRPr="007C5A6E">
        <w:rPr>
          <w:rFonts w:ascii="Times New Roman" w:hAnsi="Times New Roman"/>
          <w:i/>
          <w:iCs/>
          <w:spacing w:val="10"/>
          <w:sz w:val="24"/>
          <w:szCs w:val="24"/>
          <w:lang w:eastAsia="en-US"/>
        </w:rPr>
        <w:fldChar w:fldCharType="end"/>
      </w:r>
      <w:r w:rsidR="00C27CBE" w:rsidRPr="007C5A6E">
        <w:rPr>
          <w:rFonts w:ascii="Times New Roman" w:hAnsi="Times New Roman"/>
          <w:i/>
          <w:iCs/>
          <w:spacing w:val="10"/>
          <w:sz w:val="24"/>
          <w:szCs w:val="24"/>
          <w:lang w:eastAsia="en-US"/>
        </w:rPr>
        <w:t>.</w:t>
      </w:r>
      <w:r w:rsidRPr="007C5A6E">
        <w:rPr>
          <w:rFonts w:ascii="Times New Roman" w:hAnsi="Times New Roman"/>
          <w:i/>
          <w:iCs/>
          <w:spacing w:val="10"/>
          <w:sz w:val="24"/>
          <w:szCs w:val="24"/>
          <w:lang w:eastAsia="en-US"/>
        </w:rPr>
        <w:t>Evolution des surfaces brulées en hectare</w:t>
      </w:r>
      <w:bookmarkEnd w:id="702"/>
      <w:bookmarkEnd w:id="703"/>
      <w:bookmarkEnd w:id="704"/>
      <w:bookmarkEnd w:id="705"/>
    </w:p>
    <w:p w14:paraId="11DB1798" w14:textId="77777777" w:rsidR="00D82C73" w:rsidRPr="007C5A6E" w:rsidRDefault="00D82C73" w:rsidP="00D82C73">
      <w:pPr>
        <w:spacing w:after="0" w:line="240" w:lineRule="auto"/>
        <w:jc w:val="both"/>
        <w:rPr>
          <w:rFonts w:ascii="Times New Roman" w:eastAsia="Calibri" w:hAnsi="Times New Roman"/>
          <w:bCs/>
          <w:kern w:val="2"/>
          <w:sz w:val="20"/>
          <w:szCs w:val="20"/>
          <w:lang w:eastAsia="en-US"/>
          <w14:ligatures w14:val="standardContextual"/>
        </w:rPr>
      </w:pPr>
    </w:p>
    <w:p w14:paraId="1D24CD3B" w14:textId="6763936C" w:rsidR="00D82C73" w:rsidRPr="007C5A6E" w:rsidRDefault="00F5426E" w:rsidP="00684FF8">
      <w:pPr>
        <w:pStyle w:val="Titre4"/>
      </w:pPr>
      <w:bookmarkStart w:id="706" w:name="_Toc181982221"/>
      <w:bookmarkStart w:id="707" w:name="_Toc183340136"/>
      <w:r w:rsidRPr="007C5A6E">
        <w:t>L’exploitation artisanale de l’or ou o</w:t>
      </w:r>
      <w:r w:rsidR="00D82C73" w:rsidRPr="007C5A6E">
        <w:t>rpaillage</w:t>
      </w:r>
      <w:bookmarkEnd w:id="706"/>
      <w:bookmarkEnd w:id="707"/>
    </w:p>
    <w:p w14:paraId="110875F0" w14:textId="77777777" w:rsidR="00D82C73" w:rsidRPr="007C5A6E" w:rsidRDefault="00D82C73" w:rsidP="00D82C73">
      <w:pPr>
        <w:spacing w:after="0" w:line="240" w:lineRule="auto"/>
        <w:jc w:val="both"/>
        <w:rPr>
          <w:rFonts w:ascii="Times New Roman" w:hAnsi="Times New Roman"/>
          <w:sz w:val="24"/>
          <w:szCs w:val="24"/>
          <w:lang w:eastAsia="en-US"/>
        </w:rPr>
      </w:pPr>
    </w:p>
    <w:p w14:paraId="118C1448" w14:textId="77777777" w:rsidR="00896FDE" w:rsidRPr="007C5A6E" w:rsidRDefault="00D82C73" w:rsidP="00D82C73">
      <w:pPr>
        <w:spacing w:after="0" w:line="240" w:lineRule="auto"/>
        <w:jc w:val="both"/>
        <w:rPr>
          <w:rFonts w:ascii="Times New Roman" w:eastAsia="Calibri" w:hAnsi="Times New Roman"/>
          <w:kern w:val="2"/>
          <w:sz w:val="24"/>
          <w:szCs w:val="24"/>
          <w:shd w:val="clear" w:color="auto" w:fill="FFFFFF"/>
          <w:lang w:eastAsia="en-US"/>
          <w14:ligatures w14:val="standardContextual"/>
        </w:rPr>
      </w:pPr>
      <w:r w:rsidRPr="007C5A6E">
        <w:rPr>
          <w:rFonts w:ascii="Times New Roman" w:hAnsi="Times New Roman"/>
          <w:sz w:val="24"/>
          <w:szCs w:val="24"/>
          <w:lang w:eastAsia="en-US"/>
        </w:rPr>
        <w:t>L’orpaillage est pratiqué sur l’ensemble du territoire. Il constitue un des piliers de l’économie du Burkina Faso. O</w:t>
      </w:r>
      <w:r w:rsidRPr="007C5A6E">
        <w:rPr>
          <w:rFonts w:ascii="Times New Roman" w:eastAsia="Calibri" w:hAnsi="Times New Roman"/>
          <w:kern w:val="2"/>
          <w:sz w:val="24"/>
          <w:szCs w:val="24"/>
          <w:shd w:val="clear" w:color="auto" w:fill="FFFFFF"/>
          <w:lang w:eastAsia="en-US"/>
          <w14:ligatures w14:val="standardContextual"/>
        </w:rPr>
        <w:t>n estime que l'orpaillage artisanal représente plus de </w:t>
      </w:r>
      <w:r w:rsidRPr="007C5A6E">
        <w:rPr>
          <w:rFonts w:ascii="Times New Roman" w:eastAsia="Calibri" w:hAnsi="Times New Roman"/>
          <w:kern w:val="2"/>
          <w:sz w:val="24"/>
          <w:szCs w:val="24"/>
          <w:lang w:eastAsia="en-US"/>
          <w14:ligatures w14:val="standardContextual"/>
        </w:rPr>
        <w:t>80 milliards FCFA de revenus pour environ 1,3 million de personnes situées principalement en milieu rural</w:t>
      </w:r>
      <w:r w:rsidRPr="007C5A6E">
        <w:rPr>
          <w:rFonts w:ascii="Times New Roman" w:eastAsia="Calibri" w:hAnsi="Times New Roman"/>
          <w:kern w:val="2"/>
          <w:sz w:val="24"/>
          <w:szCs w:val="24"/>
          <w:shd w:val="clear" w:color="auto" w:fill="FFFFFF"/>
          <w:lang w:eastAsia="en-US"/>
          <w14:ligatures w14:val="standardContextual"/>
        </w:rPr>
        <w:t xml:space="preserve">. </w:t>
      </w:r>
      <w:r w:rsidRPr="007C5A6E">
        <w:rPr>
          <w:rFonts w:ascii="Times New Roman" w:eastAsia="Calibri" w:hAnsi="Times New Roman"/>
          <w:kern w:val="2"/>
          <w:sz w:val="24"/>
          <w:szCs w:val="24"/>
          <w:lang w:eastAsia="en-US"/>
          <w14:ligatures w14:val="standardContextual"/>
        </w:rPr>
        <w:t>Le total des sites potentiels est de 2214. La superficie accordée aux d’exploitants déclarés est de 600 km</w:t>
      </w:r>
      <w:r w:rsidRPr="007C5A6E">
        <w:rPr>
          <w:rFonts w:ascii="Times New Roman" w:eastAsia="Calibri" w:hAnsi="Times New Roman"/>
          <w:kern w:val="2"/>
          <w:sz w:val="24"/>
          <w:szCs w:val="24"/>
          <w:vertAlign w:val="superscript"/>
          <w:lang w:eastAsia="en-US"/>
          <w14:ligatures w14:val="standardContextual"/>
        </w:rPr>
        <w:t>2</w:t>
      </w:r>
      <w:r w:rsidRPr="007C5A6E">
        <w:rPr>
          <w:rFonts w:ascii="Times New Roman" w:eastAsia="Calibri" w:hAnsi="Times New Roman"/>
          <w:kern w:val="2"/>
          <w:sz w:val="24"/>
          <w:szCs w:val="24"/>
          <w:lang w:eastAsia="en-US"/>
          <w14:ligatures w14:val="standardContextual"/>
        </w:rPr>
        <w:t xml:space="preserve"> mais cela n’est pas toujours respecté (SONASP, 2018)</w:t>
      </w:r>
      <w:r w:rsidRPr="007C5A6E">
        <w:rPr>
          <w:rFonts w:eastAsia="Calibri"/>
          <w:kern w:val="2"/>
          <w:lang w:eastAsia="en-US"/>
          <w14:ligatures w14:val="standardContextual"/>
        </w:rPr>
        <w:t>.</w:t>
      </w:r>
      <w:r w:rsidRPr="007C5A6E">
        <w:rPr>
          <w:rFonts w:ascii="Times New Roman" w:eastAsia="Calibri" w:hAnsi="Times New Roman"/>
          <w:kern w:val="2"/>
          <w:sz w:val="24"/>
          <w:szCs w:val="24"/>
          <w:shd w:val="clear" w:color="auto" w:fill="FFFFFF"/>
          <w:lang w:eastAsia="en-US"/>
          <w14:ligatures w14:val="standardContextual"/>
        </w:rPr>
        <w:t xml:space="preserve"> </w:t>
      </w:r>
    </w:p>
    <w:p w14:paraId="0E5CC59F" w14:textId="77777777" w:rsidR="00896FDE" w:rsidRPr="007C5A6E" w:rsidRDefault="00D82C73" w:rsidP="00D82C73">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shd w:val="clear" w:color="auto" w:fill="FFFFFF"/>
          <w:lang w:eastAsia="en-US"/>
          <w14:ligatures w14:val="standardContextual"/>
        </w:rPr>
        <w:t>U</w:t>
      </w:r>
      <w:r w:rsidRPr="007C5A6E">
        <w:rPr>
          <w:rFonts w:ascii="Times New Roman" w:eastAsia="Calibri" w:hAnsi="Times New Roman"/>
          <w:kern w:val="2"/>
          <w:sz w:val="24"/>
          <w:szCs w:val="24"/>
          <w:lang w:eastAsia="en-US"/>
          <w14:ligatures w14:val="standardContextual"/>
        </w:rPr>
        <w:t>ne étude approfondie d’un site d’orpaillage au Burkina Faso a montré que contrairement aux préjugés habituellement véhiculés qui font des sites d’orpaillage des espaces de non-droit, l’organisation du site repose sur une gouvernance de proximité très structurée, même si elle est principalement régie par des règles informelles. Cette gouvernance de proximité reste néanmoins fragile et comporte diverses insuffisances qui limitent la contribution de l’orpaillage artisanal au développement territorial. Son mode d’exploitation reste principalement orienté vers la rentabilité à court terme, rendant le travail dangereux, précaire et au détriment de la durabilité sociale et environnementale.</w:t>
      </w:r>
    </w:p>
    <w:p w14:paraId="4BF40C57" w14:textId="77777777" w:rsidR="00896FDE" w:rsidRPr="007C5A6E" w:rsidRDefault="00D82C73" w:rsidP="00D82C73">
      <w:pPr>
        <w:spacing w:after="0" w:line="240" w:lineRule="auto"/>
        <w:jc w:val="both"/>
        <w:rPr>
          <w:rFonts w:ascii="Times New Roman" w:eastAsia="Calibri" w:hAnsi="Times New Roman"/>
          <w:kern w:val="2"/>
          <w:sz w:val="24"/>
          <w:szCs w:val="24"/>
          <w:shd w:val="clear" w:color="auto" w:fill="FFFFFF"/>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Ainsi, cette gouvernance de proximité reposant à la fois sur le marché et sur les structures, souffre de ne pas être suffisamment articulée à une politique publique structurante, accompagnant et respectant tout à la fois les mécanismes locaux de régulation (Sangaré et </w:t>
      </w:r>
      <w:r w:rsidRPr="007C5A6E">
        <w:rPr>
          <w:rFonts w:ascii="Times New Roman" w:eastAsia="Calibri" w:hAnsi="Times New Roman"/>
          <w:i/>
          <w:iCs/>
          <w:kern w:val="2"/>
          <w:sz w:val="24"/>
          <w:szCs w:val="24"/>
          <w:lang w:eastAsia="en-US"/>
          <w14:ligatures w14:val="standardContextual"/>
        </w:rPr>
        <w:t>al.</w:t>
      </w:r>
      <w:r w:rsidRPr="007C5A6E">
        <w:rPr>
          <w:rFonts w:ascii="Times New Roman" w:eastAsia="Calibri" w:hAnsi="Times New Roman"/>
          <w:kern w:val="2"/>
          <w:sz w:val="24"/>
          <w:szCs w:val="24"/>
          <w:lang w:eastAsia="en-US"/>
          <w14:ligatures w14:val="standardContextual"/>
        </w:rPr>
        <w:t>, 2016 ; Bohbot, 2021). Plus de 600 sites actifs d'exploitation artisanale de l'or</w:t>
      </w:r>
      <w:r w:rsidRPr="007C5A6E">
        <w:rPr>
          <w:rFonts w:ascii="Times New Roman" w:eastAsia="Calibri" w:hAnsi="Times New Roman"/>
          <w:kern w:val="2"/>
          <w:sz w:val="24"/>
          <w:szCs w:val="24"/>
          <w:shd w:val="clear" w:color="auto" w:fill="FFFFFF"/>
          <w:lang w:eastAsia="en-US"/>
          <w14:ligatures w14:val="standardContextual"/>
        </w:rPr>
        <w:t xml:space="preserve"> et plus d'un million de personnes vivent directement de cette activité, a déclaré jeudi, le ministère en charge des mines, qui a annoncé un forum pour encadrer le secteur le 21 juillet 2024. </w:t>
      </w:r>
    </w:p>
    <w:p w14:paraId="27E20DF4" w14:textId="21621CB5" w:rsidR="00D82C73" w:rsidRPr="007C5A6E" w:rsidRDefault="00D82C73" w:rsidP="00D82C73">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shd w:val="clear" w:color="auto" w:fill="FFFFFF"/>
          <w:lang w:eastAsia="en-US"/>
          <w14:ligatures w14:val="standardContextual"/>
        </w:rPr>
        <w:t>Les pressions sont considérables du fait que l’exploitation artisanale de l’or affecte tout le pays et pèse sur les sols, la végétation, les eaux de surface et souterraines.</w:t>
      </w:r>
      <w:r w:rsidRPr="007C5A6E">
        <w:rPr>
          <w:rFonts w:ascii="Times New Roman" w:eastAsia="Calibri" w:hAnsi="Times New Roman"/>
          <w:kern w:val="2"/>
          <w:sz w:val="24"/>
          <w:szCs w:val="24"/>
          <w:lang w:eastAsia="en-US"/>
          <w14:ligatures w14:val="standardContextual"/>
        </w:rPr>
        <w:t xml:space="preserve"> </w:t>
      </w:r>
    </w:p>
    <w:p w14:paraId="263E01FD" w14:textId="77777777" w:rsidR="00D82C73" w:rsidRPr="007C5A6E" w:rsidRDefault="00D82C73" w:rsidP="00D82C73">
      <w:pPr>
        <w:spacing w:after="0" w:line="240" w:lineRule="auto"/>
        <w:jc w:val="both"/>
        <w:rPr>
          <w:rFonts w:ascii="Times New Roman" w:eastAsia="Calibri" w:hAnsi="Times New Roman"/>
          <w:color w:val="FF0000"/>
          <w:kern w:val="2"/>
          <w:sz w:val="24"/>
          <w:szCs w:val="24"/>
          <w:lang w:eastAsia="en-US"/>
          <w14:ligatures w14:val="standardContextual"/>
        </w:rPr>
      </w:pPr>
    </w:p>
    <w:p w14:paraId="33DF112A" w14:textId="5CC6402F" w:rsidR="00D82C73" w:rsidRPr="007C5A6E" w:rsidRDefault="00F5426E" w:rsidP="00684FF8">
      <w:pPr>
        <w:pStyle w:val="Titre4"/>
      </w:pPr>
      <w:bookmarkStart w:id="708" w:name="_Toc181982222"/>
      <w:bookmarkStart w:id="709" w:name="_Toc183340137"/>
      <w:r w:rsidRPr="007C5A6E">
        <w:t>L’e</w:t>
      </w:r>
      <w:r w:rsidR="00D82C73" w:rsidRPr="007C5A6E">
        <w:t>xploitation industrielle de l’or</w:t>
      </w:r>
      <w:bookmarkEnd w:id="708"/>
      <w:bookmarkEnd w:id="709"/>
    </w:p>
    <w:p w14:paraId="520AEC02" w14:textId="77777777" w:rsidR="00F5426E" w:rsidRPr="007C5A6E" w:rsidRDefault="00F5426E" w:rsidP="00D82C73">
      <w:pPr>
        <w:autoSpaceDE w:val="0"/>
        <w:autoSpaceDN w:val="0"/>
        <w:adjustRightInd w:val="0"/>
        <w:spacing w:after="0" w:line="240" w:lineRule="auto"/>
        <w:jc w:val="both"/>
        <w:rPr>
          <w:rFonts w:ascii="Times New Roman" w:eastAsia="Calibri" w:hAnsi="Times New Roman"/>
          <w:kern w:val="2"/>
          <w:sz w:val="24"/>
          <w:szCs w:val="24"/>
          <w:shd w:val="clear" w:color="auto" w:fill="FFFFFF"/>
          <w:lang w:eastAsia="en-US"/>
          <w14:ligatures w14:val="standardContextual"/>
        </w:rPr>
      </w:pPr>
    </w:p>
    <w:p w14:paraId="11FDE411" w14:textId="77777777" w:rsidR="00896FDE" w:rsidRPr="007C5A6E" w:rsidRDefault="00D82C73" w:rsidP="00D82C73">
      <w:pPr>
        <w:autoSpaceDE w:val="0"/>
        <w:autoSpaceDN w:val="0"/>
        <w:adjustRightInd w:val="0"/>
        <w:spacing w:after="0" w:line="240" w:lineRule="auto"/>
        <w:jc w:val="both"/>
        <w:rPr>
          <w:rFonts w:ascii="Times New Roman" w:hAnsi="Times New Roman"/>
          <w:sz w:val="24"/>
          <w:szCs w:val="24"/>
          <w:lang w:eastAsia="en-US"/>
        </w:rPr>
      </w:pPr>
      <w:r w:rsidRPr="007C5A6E">
        <w:rPr>
          <w:rFonts w:ascii="Times New Roman" w:eastAsia="Calibri" w:hAnsi="Times New Roman"/>
          <w:kern w:val="2"/>
          <w:sz w:val="24"/>
          <w:szCs w:val="24"/>
          <w:shd w:val="clear" w:color="auto" w:fill="FFFFFF"/>
          <w:lang w:eastAsia="en-US"/>
          <w14:ligatures w14:val="standardContextual"/>
        </w:rPr>
        <w:t>Le secteur </w:t>
      </w:r>
      <w:r w:rsidRPr="007C5A6E">
        <w:rPr>
          <w:rFonts w:ascii="Times New Roman" w:eastAsia="Calibri" w:hAnsi="Times New Roman"/>
          <w:kern w:val="2"/>
          <w:sz w:val="24"/>
          <w:szCs w:val="24"/>
          <w:lang w:eastAsia="en-US"/>
          <w14:ligatures w14:val="standardContextual"/>
        </w:rPr>
        <w:t>minier</w:t>
      </w:r>
      <w:r w:rsidRPr="007C5A6E">
        <w:rPr>
          <w:rFonts w:ascii="Times New Roman" w:eastAsia="Calibri" w:hAnsi="Times New Roman"/>
          <w:kern w:val="2"/>
          <w:sz w:val="24"/>
          <w:szCs w:val="24"/>
          <w:shd w:val="clear" w:color="auto" w:fill="FFFFFF"/>
          <w:lang w:eastAsia="en-US"/>
          <w14:ligatures w14:val="standardContextual"/>
        </w:rPr>
        <w:t> du </w:t>
      </w:r>
      <w:r w:rsidRPr="007C5A6E">
        <w:rPr>
          <w:rFonts w:ascii="Times New Roman" w:eastAsia="Calibri" w:hAnsi="Times New Roman"/>
          <w:kern w:val="2"/>
          <w:sz w:val="24"/>
          <w:szCs w:val="24"/>
          <w:lang w:eastAsia="en-US"/>
          <w14:ligatures w14:val="standardContextual"/>
        </w:rPr>
        <w:t>Burkina Faso</w:t>
      </w:r>
      <w:r w:rsidRPr="007C5A6E">
        <w:rPr>
          <w:rFonts w:ascii="Times New Roman" w:eastAsia="Calibri" w:hAnsi="Times New Roman"/>
          <w:kern w:val="2"/>
          <w:sz w:val="24"/>
          <w:szCs w:val="24"/>
          <w:shd w:val="clear" w:color="auto" w:fill="FFFFFF"/>
          <w:lang w:eastAsia="en-US"/>
          <w14:ligatures w14:val="standardContextual"/>
        </w:rPr>
        <w:t xml:space="preserve"> concourt aujourd'hui à près de 20 % des recettes de l'État. Quatrième producteur d'or du continent, le pays dispose en outre d'un potentiel de gisement de manganèse de niveau mondial ainsi que de ressources en nickel, phosphate, fer, graphite, plomb, pyrite et antimoine. 14 mines industrielles sont en exploitation, une petite mine en production, 8 mines en arrêt de production, 2 mines en construction et 3 mines en projet avancé (BUMIGEB, 2024). </w:t>
      </w:r>
      <w:r w:rsidRPr="007C5A6E">
        <w:rPr>
          <w:rFonts w:ascii="Times New Roman" w:eastAsia="Calibri" w:hAnsi="Times New Roman"/>
          <w:sz w:val="24"/>
          <w:szCs w:val="24"/>
          <w:lang w:eastAsia="en-US"/>
          <w14:ligatures w14:val="standardContextual"/>
        </w:rPr>
        <w:t>Aujourd’hui, le pays est le producteur d’or qui connaît la croissance la plus rapide en Afrique, (</w:t>
      </w:r>
      <w:proofErr w:type="spellStart"/>
      <w:r w:rsidRPr="007C5A6E">
        <w:rPr>
          <w:rFonts w:ascii="Times New Roman" w:eastAsia="Calibri" w:hAnsi="Times New Roman"/>
          <w:sz w:val="24"/>
          <w:szCs w:val="24"/>
          <w:lang w:eastAsia="en-US"/>
          <w14:ligatures w14:val="standardContextual"/>
        </w:rPr>
        <w:t>Franza</w:t>
      </w:r>
      <w:proofErr w:type="spellEnd"/>
      <w:r w:rsidRPr="007C5A6E">
        <w:rPr>
          <w:rFonts w:ascii="Times New Roman" w:eastAsia="Calibri" w:hAnsi="Times New Roman"/>
          <w:sz w:val="24"/>
          <w:szCs w:val="24"/>
          <w:lang w:eastAsia="en-US"/>
          <w14:ligatures w14:val="standardContextual"/>
        </w:rPr>
        <w:t xml:space="preserve"> et </w:t>
      </w:r>
      <w:r w:rsidRPr="007C5A6E">
        <w:rPr>
          <w:rFonts w:ascii="Times New Roman" w:eastAsia="Calibri" w:hAnsi="Times New Roman"/>
          <w:i/>
          <w:iCs/>
          <w:sz w:val="24"/>
          <w:szCs w:val="24"/>
          <w:lang w:eastAsia="en-US"/>
          <w14:ligatures w14:val="standardContextual"/>
        </w:rPr>
        <w:t>al</w:t>
      </w:r>
      <w:r w:rsidRPr="007C5A6E">
        <w:rPr>
          <w:rFonts w:ascii="Times New Roman" w:eastAsia="Calibri" w:hAnsi="Times New Roman"/>
          <w:sz w:val="24"/>
          <w:szCs w:val="24"/>
          <w:lang w:eastAsia="en-US"/>
          <w14:ligatures w14:val="standardContextual"/>
        </w:rPr>
        <w:t>., 2018). En 2018, des permis d’exploration et d’exploitation minière industrielle ont été délivrés sur près de la moitié de la superficie du pays. Plus de 700 permis d’exploration existent, dont 99 ont été accordés en mars 2018 (DGCM, 2018). Depuis 2009, l’or est le produit d’exportation le plus important, dépassant le coton. 59 % du total des gains d’exportation et 16 % des recettes fiscales du pays proviennent de l’extraction de l’or. En 2017, l’exploitation minière représentait 8,3 % du PIB du pays (</w:t>
      </w:r>
      <w:proofErr w:type="spellStart"/>
      <w:r w:rsidRPr="007C5A6E">
        <w:rPr>
          <w:rFonts w:ascii="Times New Roman" w:eastAsia="Calibri" w:hAnsi="Times New Roman"/>
          <w:sz w:val="24"/>
          <w:szCs w:val="24"/>
          <w:lang w:eastAsia="en-US"/>
          <w14:ligatures w14:val="standardContextual"/>
        </w:rPr>
        <w:t>Nabolé</w:t>
      </w:r>
      <w:proofErr w:type="spellEnd"/>
      <w:r w:rsidRPr="007C5A6E">
        <w:rPr>
          <w:rFonts w:ascii="Times New Roman" w:eastAsia="Calibri" w:hAnsi="Times New Roman"/>
          <w:sz w:val="24"/>
          <w:szCs w:val="24"/>
          <w:lang w:eastAsia="en-US"/>
          <w14:ligatures w14:val="standardContextual"/>
        </w:rPr>
        <w:t>, 2018).</w:t>
      </w:r>
      <w:r w:rsidRPr="007C5A6E">
        <w:rPr>
          <w:rFonts w:ascii="Times New Roman" w:hAnsi="Times New Roman"/>
          <w:sz w:val="24"/>
          <w:szCs w:val="24"/>
          <w:lang w:eastAsia="en-US"/>
        </w:rPr>
        <w:t xml:space="preserve"> </w:t>
      </w:r>
    </w:p>
    <w:p w14:paraId="0FA25253" w14:textId="6C8A5579" w:rsidR="00D82C73" w:rsidRPr="007C5A6E" w:rsidRDefault="00D82C73" w:rsidP="00D82C73">
      <w:pPr>
        <w:autoSpaceDE w:val="0"/>
        <w:autoSpaceDN w:val="0"/>
        <w:adjustRightInd w:val="0"/>
        <w:spacing w:after="0" w:line="240" w:lineRule="auto"/>
        <w:jc w:val="both"/>
        <w:rPr>
          <w:rFonts w:ascii="Times New Roman" w:eastAsia="Calibri" w:hAnsi="Times New Roman"/>
          <w:sz w:val="24"/>
          <w:szCs w:val="24"/>
          <w:lang w:eastAsia="en-US"/>
          <w14:ligatures w14:val="standardContextual"/>
        </w:rPr>
      </w:pPr>
      <w:r w:rsidRPr="007C5A6E">
        <w:rPr>
          <w:rFonts w:ascii="Times New Roman" w:hAnsi="Times New Roman"/>
          <w:sz w:val="24"/>
          <w:szCs w:val="24"/>
          <w:lang w:eastAsia="en-US"/>
        </w:rPr>
        <w:t>Le contexte sécuritaire et humanitaire difficile que connaît le Burkina Faso ne va pas ralentir la dynamique de croissance économique du pays en 2024. En effet, selon le dernier rapport spécial du FMI (2023) sur l’Afrique, le taux de croissance du pays des Hommes intègres passera de 4,4 % en 2023 à 6,4 % en 2024, alors qu’il était de 1,5% en 2022.  Ce taux de croissance prévue est supérieur à celui sur l’Afrique Subsaharienne, qui, toujours selon la même source, va s’établir à 4 % en 2024, contre 3,3 % en 2023. En valeur, cette croissance du PIB burkinabè est estimée 14 276 milliards FCFA en 2024, contre 13 018 milliards FCFA en 2023, alors qu’elle s’était établie à 11944 milliards FCFA en 2022, suivant les projections de la Direction Générale de l’Economie et de la Planification (DGEP), du Ministère de l’Economie, des Finances et de la Prospective.</w:t>
      </w:r>
      <w:r w:rsidRPr="007C5A6E">
        <w:rPr>
          <w:rFonts w:ascii="Times New Roman" w:eastAsia="Calibri" w:hAnsi="Times New Roman"/>
          <w:sz w:val="24"/>
          <w:szCs w:val="24"/>
          <w:lang w:eastAsia="en-US"/>
          <w14:ligatures w14:val="standardContextual"/>
        </w:rPr>
        <w:t xml:space="preserve"> </w:t>
      </w:r>
    </w:p>
    <w:p w14:paraId="613CFA5D" w14:textId="77777777" w:rsidR="00D82C73" w:rsidRPr="007C5A6E" w:rsidRDefault="00D82C73" w:rsidP="00D82C73">
      <w:pPr>
        <w:autoSpaceDE w:val="0"/>
        <w:autoSpaceDN w:val="0"/>
        <w:adjustRightInd w:val="0"/>
        <w:spacing w:after="0" w:line="240" w:lineRule="auto"/>
        <w:jc w:val="both"/>
        <w:rPr>
          <w:rFonts w:ascii="Times New Roman" w:eastAsia="Calibri" w:hAnsi="Times New Roman"/>
          <w:sz w:val="24"/>
          <w:szCs w:val="24"/>
          <w:lang w:eastAsia="en-US"/>
          <w14:ligatures w14:val="standardContextual"/>
        </w:rPr>
      </w:pPr>
      <w:r w:rsidRPr="007C5A6E">
        <w:rPr>
          <w:rFonts w:ascii="Times New Roman" w:eastAsia="Calibri" w:hAnsi="Times New Roman"/>
          <w:sz w:val="24"/>
          <w:szCs w:val="24"/>
          <w:lang w:eastAsia="en-US"/>
          <w14:ligatures w14:val="standardContextual"/>
        </w:rPr>
        <w:t>L’ensemble des permis d’exploitation couvre une superficie totale de 1647,68 km</w:t>
      </w:r>
      <w:r w:rsidRPr="007C5A6E">
        <w:rPr>
          <w:rFonts w:ascii="Times New Roman" w:eastAsia="Calibri" w:hAnsi="Times New Roman"/>
          <w:sz w:val="24"/>
          <w:szCs w:val="24"/>
          <w:vertAlign w:val="superscript"/>
          <w:lang w:eastAsia="en-US"/>
          <w14:ligatures w14:val="standardContextual"/>
        </w:rPr>
        <w:t>2</w:t>
      </w:r>
      <w:r w:rsidRPr="007C5A6E">
        <w:rPr>
          <w:rFonts w:ascii="Times New Roman" w:eastAsia="Calibri" w:hAnsi="Times New Roman"/>
          <w:sz w:val="24"/>
          <w:szCs w:val="24"/>
          <w:lang w:eastAsia="en-US"/>
          <w14:ligatures w14:val="standardContextual"/>
        </w:rPr>
        <w:t xml:space="preserve">. Le permis ayant la plus grande superficie est celui de </w:t>
      </w:r>
      <w:proofErr w:type="spellStart"/>
      <w:r w:rsidRPr="007C5A6E">
        <w:rPr>
          <w:rFonts w:ascii="Times New Roman" w:eastAsia="Calibri" w:hAnsi="Times New Roman"/>
          <w:sz w:val="24"/>
          <w:szCs w:val="24"/>
          <w:lang w:eastAsia="en-US"/>
          <w14:ligatures w14:val="standardContextual"/>
        </w:rPr>
        <w:t>Taparko</w:t>
      </w:r>
      <w:proofErr w:type="spellEnd"/>
      <w:r w:rsidRPr="007C5A6E">
        <w:rPr>
          <w:rFonts w:ascii="Times New Roman" w:eastAsia="Calibri" w:hAnsi="Times New Roman"/>
          <w:sz w:val="24"/>
          <w:szCs w:val="24"/>
          <w:lang w:eastAsia="en-US"/>
          <w14:ligatures w14:val="standardContextual"/>
        </w:rPr>
        <w:t xml:space="preserve"> détenu par la société SOMITA SA avec 666,5 km</w:t>
      </w:r>
      <w:r w:rsidRPr="007C5A6E">
        <w:rPr>
          <w:rFonts w:ascii="Times New Roman" w:eastAsia="Calibri" w:hAnsi="Times New Roman"/>
          <w:sz w:val="24"/>
          <w:szCs w:val="24"/>
          <w:vertAlign w:val="superscript"/>
          <w:lang w:eastAsia="en-US"/>
          <w14:ligatures w14:val="standardContextual"/>
        </w:rPr>
        <w:t>2</w:t>
      </w:r>
      <w:r w:rsidRPr="007C5A6E">
        <w:rPr>
          <w:rFonts w:ascii="Times New Roman" w:eastAsia="Calibri" w:hAnsi="Times New Roman"/>
          <w:sz w:val="24"/>
          <w:szCs w:val="24"/>
          <w:lang w:eastAsia="en-US"/>
          <w14:ligatures w14:val="standardContextual"/>
        </w:rPr>
        <w:t xml:space="preserve"> suivi du permis d’exploitation de Bissa Gold SA, 129,15 km</w:t>
      </w:r>
      <w:r w:rsidRPr="007C5A6E">
        <w:rPr>
          <w:rFonts w:ascii="Times New Roman" w:eastAsia="Calibri" w:hAnsi="Times New Roman"/>
          <w:sz w:val="24"/>
          <w:szCs w:val="24"/>
          <w:vertAlign w:val="superscript"/>
          <w:lang w:eastAsia="en-US"/>
          <w14:ligatures w14:val="standardContextual"/>
        </w:rPr>
        <w:t>2</w:t>
      </w:r>
      <w:r w:rsidRPr="007C5A6E">
        <w:rPr>
          <w:rFonts w:ascii="Times New Roman" w:eastAsia="Calibri" w:hAnsi="Times New Roman"/>
          <w:sz w:val="24"/>
          <w:szCs w:val="24"/>
          <w:lang w:eastAsia="en-US"/>
          <w14:ligatures w14:val="standardContextual"/>
        </w:rPr>
        <w:t xml:space="preserve"> et de celui de </w:t>
      </w:r>
      <w:proofErr w:type="spellStart"/>
      <w:r w:rsidRPr="007C5A6E">
        <w:rPr>
          <w:rFonts w:ascii="Times New Roman" w:eastAsia="Calibri" w:hAnsi="Times New Roman"/>
          <w:sz w:val="24"/>
          <w:szCs w:val="24"/>
          <w:lang w:eastAsia="en-US"/>
          <w14:ligatures w14:val="standardContextual"/>
        </w:rPr>
        <w:t>Essakane</w:t>
      </w:r>
      <w:proofErr w:type="spellEnd"/>
      <w:r w:rsidRPr="007C5A6E">
        <w:rPr>
          <w:rFonts w:ascii="Times New Roman" w:eastAsia="Calibri" w:hAnsi="Times New Roman"/>
          <w:sz w:val="24"/>
          <w:szCs w:val="24"/>
          <w:lang w:eastAsia="en-US"/>
          <w14:ligatures w14:val="standardContextual"/>
        </w:rPr>
        <w:t xml:space="preserve"> qui couvre une superficie de 100,2 km</w:t>
      </w:r>
      <w:r w:rsidRPr="007C5A6E">
        <w:rPr>
          <w:rFonts w:ascii="Times New Roman" w:eastAsia="Calibri" w:hAnsi="Times New Roman"/>
          <w:sz w:val="24"/>
          <w:szCs w:val="24"/>
          <w:vertAlign w:val="superscript"/>
          <w:lang w:eastAsia="en-US"/>
          <w14:ligatures w14:val="standardContextual"/>
        </w:rPr>
        <w:t>2</w:t>
      </w:r>
      <w:r w:rsidRPr="007C5A6E">
        <w:rPr>
          <w:rFonts w:ascii="Times New Roman" w:eastAsia="Calibri" w:hAnsi="Times New Roman"/>
          <w:sz w:val="24"/>
          <w:szCs w:val="24"/>
          <w:lang w:eastAsia="en-US"/>
          <w14:ligatures w14:val="standardContextual"/>
        </w:rPr>
        <w:t xml:space="preserve">. Le permis d’exploitation le plus petit est détenu par la société NETIANA Mining </w:t>
      </w:r>
      <w:proofErr w:type="spellStart"/>
      <w:r w:rsidRPr="007C5A6E">
        <w:rPr>
          <w:rFonts w:ascii="Times New Roman" w:eastAsia="Calibri" w:hAnsi="Times New Roman"/>
          <w:sz w:val="24"/>
          <w:szCs w:val="24"/>
          <w:lang w:eastAsia="en-US"/>
          <w14:ligatures w14:val="standardContextual"/>
        </w:rPr>
        <w:t>Company</w:t>
      </w:r>
      <w:proofErr w:type="spellEnd"/>
      <w:r w:rsidRPr="007C5A6E">
        <w:rPr>
          <w:rFonts w:ascii="Times New Roman" w:eastAsia="Calibri" w:hAnsi="Times New Roman"/>
          <w:sz w:val="24"/>
          <w:szCs w:val="24"/>
          <w:lang w:eastAsia="en-US"/>
          <w14:ligatures w14:val="standardContextual"/>
        </w:rPr>
        <w:t xml:space="preserve"> SA. Sa superficie est de 2 km</w:t>
      </w:r>
      <w:r w:rsidRPr="007C5A6E">
        <w:rPr>
          <w:rFonts w:ascii="Times New Roman" w:eastAsia="Calibri" w:hAnsi="Times New Roman"/>
          <w:sz w:val="24"/>
          <w:szCs w:val="24"/>
          <w:vertAlign w:val="superscript"/>
          <w:lang w:eastAsia="en-US"/>
          <w14:ligatures w14:val="standardContextual"/>
        </w:rPr>
        <w:t>2</w:t>
      </w:r>
      <w:r w:rsidRPr="007C5A6E">
        <w:rPr>
          <w:rFonts w:ascii="Times New Roman" w:eastAsia="Calibri" w:hAnsi="Times New Roman"/>
          <w:sz w:val="24"/>
          <w:szCs w:val="24"/>
          <w:lang w:eastAsia="en-US"/>
          <w14:ligatures w14:val="standardContextual"/>
        </w:rPr>
        <w:t>.</w:t>
      </w:r>
      <w:r w:rsidRPr="007C5A6E">
        <w:rPr>
          <w:rFonts w:ascii="Times New Roman" w:eastAsia="Calibri" w:hAnsi="Times New Roman"/>
          <w:sz w:val="24"/>
          <w:szCs w:val="24"/>
          <w:vertAlign w:val="superscript"/>
          <w:lang w:eastAsia="en-US"/>
          <w14:ligatures w14:val="standardContextual"/>
        </w:rPr>
        <w:t xml:space="preserve"> </w:t>
      </w:r>
      <w:r w:rsidRPr="007C5A6E">
        <w:rPr>
          <w:rFonts w:ascii="Times New Roman" w:eastAsia="Calibri" w:hAnsi="Times New Roman"/>
          <w:sz w:val="24"/>
          <w:szCs w:val="24"/>
          <w:lang w:eastAsia="en-US"/>
          <w14:ligatures w14:val="standardContextual"/>
        </w:rPr>
        <w:t>Les permis d’exploitation semi-mécanisée ont une superficie totale de 17 km</w:t>
      </w:r>
      <w:r w:rsidRPr="007C5A6E">
        <w:rPr>
          <w:rFonts w:ascii="Times New Roman" w:eastAsia="Calibri" w:hAnsi="Times New Roman"/>
          <w:sz w:val="24"/>
          <w:szCs w:val="24"/>
          <w:vertAlign w:val="superscript"/>
          <w:lang w:eastAsia="en-US"/>
          <w14:ligatures w14:val="standardContextual"/>
        </w:rPr>
        <w:t>2</w:t>
      </w:r>
      <w:r w:rsidRPr="007C5A6E">
        <w:rPr>
          <w:rFonts w:ascii="Times New Roman" w:eastAsia="Calibri" w:hAnsi="Times New Roman"/>
          <w:sz w:val="24"/>
          <w:szCs w:val="24"/>
          <w:lang w:eastAsia="en-US"/>
          <w14:ligatures w14:val="standardContextual"/>
        </w:rPr>
        <w:t xml:space="preserve"> (</w:t>
      </w:r>
      <w:r w:rsidRPr="007C5A6E">
        <w:rPr>
          <w:rFonts w:ascii="Times New Roman" w:eastAsia="Calibri" w:hAnsi="Times New Roman"/>
          <w:kern w:val="2"/>
          <w:sz w:val="24"/>
          <w:szCs w:val="24"/>
          <w:lang w:eastAsia="en-US"/>
          <w14:ligatures w14:val="standardContextual"/>
        </w:rPr>
        <w:t>MEMC/DGESS, 2023).</w:t>
      </w:r>
      <w:r w:rsidRPr="007C5A6E">
        <w:rPr>
          <w:rFonts w:ascii="Times New Roman" w:eastAsia="Calibri" w:hAnsi="Times New Roman"/>
          <w:sz w:val="24"/>
          <w:szCs w:val="24"/>
          <w:lang w:eastAsia="en-US"/>
          <w14:ligatures w14:val="standardContextual"/>
        </w:rPr>
        <w:t xml:space="preserve">  </w:t>
      </w:r>
    </w:p>
    <w:p w14:paraId="7B5DB52C" w14:textId="77777777" w:rsidR="00D82C73" w:rsidRPr="007C5A6E" w:rsidRDefault="00D82C73" w:rsidP="00D82C73">
      <w:pPr>
        <w:autoSpaceDE w:val="0"/>
        <w:autoSpaceDN w:val="0"/>
        <w:adjustRightInd w:val="0"/>
        <w:spacing w:after="0" w:line="240" w:lineRule="auto"/>
        <w:jc w:val="both"/>
        <w:rPr>
          <w:rFonts w:ascii="Times New Roman" w:eastAsia="Calibri" w:hAnsi="Times New Roman"/>
          <w:sz w:val="24"/>
          <w:szCs w:val="24"/>
          <w:lang w:eastAsia="en-US"/>
          <w14:ligatures w14:val="standardContextual"/>
        </w:rPr>
      </w:pPr>
      <w:r w:rsidRPr="007C5A6E">
        <w:rPr>
          <w:rFonts w:ascii="Times New Roman" w:eastAsia="Calibri" w:hAnsi="Times New Roman"/>
          <w:sz w:val="24"/>
          <w:szCs w:val="24"/>
          <w:lang w:eastAsia="en-US"/>
          <w14:ligatures w14:val="standardContextual"/>
        </w:rPr>
        <w:t>En termes d’occupation des terres, les exploitations industrielles et semi-mécanisées sont consommatrices de grands espaces et sont sources de pression implacable sur les sols et le couvert végétal.</w:t>
      </w:r>
    </w:p>
    <w:p w14:paraId="630BA470" w14:textId="77777777" w:rsidR="00896FDE" w:rsidRPr="007C5A6E" w:rsidRDefault="00896FDE" w:rsidP="00D82C73">
      <w:pPr>
        <w:autoSpaceDE w:val="0"/>
        <w:autoSpaceDN w:val="0"/>
        <w:adjustRightInd w:val="0"/>
        <w:spacing w:after="0" w:line="240" w:lineRule="auto"/>
        <w:jc w:val="both"/>
        <w:rPr>
          <w:rFonts w:ascii="Times New Roman" w:eastAsia="Calibri" w:hAnsi="Times New Roman"/>
          <w:sz w:val="24"/>
          <w:szCs w:val="24"/>
          <w:lang w:eastAsia="en-US"/>
          <w14:ligatures w14:val="standardContextual"/>
        </w:rPr>
      </w:pPr>
    </w:p>
    <w:p w14:paraId="54FC4EB2" w14:textId="368EEF57" w:rsidR="00D82C73" w:rsidRPr="007C5A6E" w:rsidRDefault="00D82C73" w:rsidP="00D82C73">
      <w:pPr>
        <w:autoSpaceDE w:val="0"/>
        <w:autoSpaceDN w:val="0"/>
        <w:adjustRightInd w:val="0"/>
        <w:spacing w:after="0" w:line="240" w:lineRule="auto"/>
        <w:jc w:val="both"/>
        <w:rPr>
          <w:rFonts w:ascii="Times New Roman" w:eastAsia="Calibri" w:hAnsi="Times New Roman"/>
          <w:sz w:val="24"/>
          <w:szCs w:val="24"/>
          <w:lang w:eastAsia="en-US"/>
          <w14:ligatures w14:val="standardContextual"/>
        </w:rPr>
      </w:pPr>
      <w:r w:rsidRPr="007C5A6E">
        <w:rPr>
          <w:rFonts w:ascii="Times New Roman" w:eastAsia="Calibri" w:hAnsi="Times New Roman"/>
          <w:sz w:val="24"/>
          <w:szCs w:val="24"/>
          <w:lang w:eastAsia="en-US"/>
          <w14:ligatures w14:val="standardContextual"/>
        </w:rPr>
        <w:t xml:space="preserve">Le tableau </w:t>
      </w:r>
      <w:r w:rsidR="0057132F" w:rsidRPr="007C5A6E">
        <w:rPr>
          <w:rFonts w:ascii="Times New Roman" w:eastAsia="Calibri" w:hAnsi="Times New Roman"/>
          <w:sz w:val="24"/>
          <w:szCs w:val="24"/>
          <w:lang w:eastAsia="en-US"/>
          <w14:ligatures w14:val="standardContextual"/>
        </w:rPr>
        <w:t>2</w:t>
      </w:r>
      <w:r w:rsidR="00CF71D2" w:rsidRPr="007C5A6E">
        <w:rPr>
          <w:rFonts w:ascii="Times New Roman" w:eastAsia="Calibri" w:hAnsi="Times New Roman"/>
          <w:sz w:val="24"/>
          <w:szCs w:val="24"/>
          <w:lang w:eastAsia="en-US"/>
          <w14:ligatures w14:val="standardContextual"/>
        </w:rPr>
        <w:t>8</w:t>
      </w:r>
      <w:r w:rsidRPr="007C5A6E">
        <w:rPr>
          <w:rFonts w:ascii="Times New Roman" w:eastAsia="Calibri" w:hAnsi="Times New Roman"/>
          <w:sz w:val="24"/>
          <w:szCs w:val="24"/>
          <w:lang w:eastAsia="en-US"/>
          <w14:ligatures w14:val="standardContextual"/>
        </w:rPr>
        <w:t xml:space="preserve"> donne la liste et la superficie des permis d’exploitation industrielle valides. </w:t>
      </w:r>
    </w:p>
    <w:p w14:paraId="6E63EA4A" w14:textId="77777777" w:rsidR="00D82C73" w:rsidRPr="007C5A6E" w:rsidRDefault="00D82C73" w:rsidP="00D82C73">
      <w:pPr>
        <w:autoSpaceDE w:val="0"/>
        <w:autoSpaceDN w:val="0"/>
        <w:adjustRightInd w:val="0"/>
        <w:spacing w:after="0" w:line="240" w:lineRule="auto"/>
        <w:jc w:val="both"/>
        <w:rPr>
          <w:rFonts w:ascii="Times New Roman" w:eastAsia="Calibri" w:hAnsi="Times New Roman"/>
          <w:sz w:val="24"/>
          <w:szCs w:val="24"/>
          <w:lang w:eastAsia="en-US"/>
          <w14:ligatures w14:val="standardContextual"/>
        </w:rPr>
      </w:pPr>
    </w:p>
    <w:p w14:paraId="0A1FFABE" w14:textId="5BA2F223" w:rsidR="00D82C73" w:rsidRPr="007C5A6E" w:rsidRDefault="00D82C73" w:rsidP="00896FDE">
      <w:pPr>
        <w:keepNext/>
        <w:spacing w:after="0" w:line="240" w:lineRule="auto"/>
        <w:jc w:val="both"/>
        <w:rPr>
          <w:rFonts w:ascii="Times New Roman" w:hAnsi="Times New Roman"/>
          <w:spacing w:val="10"/>
          <w:sz w:val="24"/>
          <w:szCs w:val="24"/>
          <w:lang w:eastAsia="en-US"/>
        </w:rPr>
      </w:pPr>
      <w:bookmarkStart w:id="710" w:name="_Toc181983397"/>
      <w:bookmarkStart w:id="711" w:name="_Toc183240990"/>
      <w:bookmarkStart w:id="712" w:name="_Toc183292232"/>
      <w:bookmarkStart w:id="713" w:name="_Toc183340512"/>
      <w:r w:rsidRPr="007C5A6E">
        <w:rPr>
          <w:rFonts w:ascii="Times New Roman" w:hAnsi="Times New Roman"/>
          <w:spacing w:val="10"/>
          <w:sz w:val="24"/>
          <w:szCs w:val="24"/>
          <w:lang w:eastAsia="en-US"/>
        </w:rPr>
        <w:t xml:space="preserve">Tableau </w:t>
      </w:r>
      <w:r w:rsidRPr="007C5A6E">
        <w:rPr>
          <w:rFonts w:ascii="Times New Roman" w:hAnsi="Times New Roman"/>
          <w:spacing w:val="10"/>
          <w:sz w:val="24"/>
          <w:szCs w:val="24"/>
          <w:lang w:eastAsia="en-US"/>
        </w:rPr>
        <w:fldChar w:fldCharType="begin"/>
      </w:r>
      <w:r w:rsidRPr="007C5A6E">
        <w:rPr>
          <w:rFonts w:ascii="Times New Roman" w:hAnsi="Times New Roman"/>
          <w:spacing w:val="10"/>
          <w:sz w:val="24"/>
          <w:szCs w:val="24"/>
          <w:lang w:eastAsia="en-US"/>
        </w:rPr>
        <w:instrText xml:space="preserve"> SEQ Tableau \* ARABIC </w:instrText>
      </w:r>
      <w:r w:rsidRPr="007C5A6E">
        <w:rPr>
          <w:rFonts w:ascii="Times New Roman" w:hAnsi="Times New Roman"/>
          <w:spacing w:val="10"/>
          <w:sz w:val="24"/>
          <w:szCs w:val="24"/>
          <w:lang w:eastAsia="en-US"/>
        </w:rPr>
        <w:fldChar w:fldCharType="separate"/>
      </w:r>
      <w:r w:rsidR="003162F8" w:rsidRPr="007C5A6E">
        <w:rPr>
          <w:rFonts w:ascii="Times New Roman" w:hAnsi="Times New Roman"/>
          <w:noProof/>
          <w:spacing w:val="10"/>
          <w:sz w:val="24"/>
          <w:szCs w:val="24"/>
          <w:lang w:eastAsia="en-US"/>
        </w:rPr>
        <w:t>28</w:t>
      </w:r>
      <w:r w:rsidRPr="007C5A6E">
        <w:rPr>
          <w:rFonts w:ascii="Times New Roman" w:hAnsi="Times New Roman"/>
          <w:spacing w:val="10"/>
          <w:sz w:val="24"/>
          <w:szCs w:val="24"/>
          <w:lang w:eastAsia="en-US"/>
        </w:rPr>
        <w:fldChar w:fldCharType="end"/>
      </w:r>
      <w:r w:rsidRPr="007C5A6E">
        <w:rPr>
          <w:rFonts w:ascii="Times New Roman" w:hAnsi="Times New Roman"/>
          <w:spacing w:val="10"/>
          <w:sz w:val="24"/>
          <w:szCs w:val="24"/>
          <w:lang w:eastAsia="en-US"/>
        </w:rPr>
        <w:t xml:space="preserve"> : Liste et superficie des permis d’exploitation industrielle valides</w:t>
      </w:r>
      <w:bookmarkEnd w:id="710"/>
      <w:bookmarkEnd w:id="711"/>
      <w:bookmarkEnd w:id="712"/>
      <w:bookmarkEnd w:id="713"/>
    </w:p>
    <w:p w14:paraId="035E4417" w14:textId="77777777" w:rsidR="00896FDE" w:rsidRPr="007C5A6E" w:rsidRDefault="00896FDE" w:rsidP="00896FDE">
      <w:pPr>
        <w:keepNext/>
        <w:spacing w:after="0" w:line="240" w:lineRule="auto"/>
        <w:jc w:val="both"/>
        <w:rPr>
          <w:rFonts w:ascii="Times New Roman" w:hAnsi="Times New Roman"/>
          <w:color w:val="ED7D31"/>
          <w:spacing w:val="10"/>
          <w:sz w:val="24"/>
          <w:szCs w:val="24"/>
          <w:lang w:eastAsia="en-US"/>
        </w:rPr>
      </w:pPr>
    </w:p>
    <w:tbl>
      <w:tblPr>
        <w:tblStyle w:val="Tableausimple21"/>
        <w:tblW w:w="5047" w:type="pct"/>
        <w:tblLook w:val="04A0" w:firstRow="1" w:lastRow="0" w:firstColumn="1" w:lastColumn="0" w:noHBand="0" w:noVBand="1"/>
      </w:tblPr>
      <w:tblGrid>
        <w:gridCol w:w="463"/>
        <w:gridCol w:w="1621"/>
        <w:gridCol w:w="3738"/>
        <w:gridCol w:w="1915"/>
        <w:gridCol w:w="1534"/>
      </w:tblGrid>
      <w:tr w:rsidR="00D82C73" w:rsidRPr="007C5A6E" w14:paraId="26BDE2A7" w14:textId="77777777" w:rsidTr="0057132F">
        <w:trPr>
          <w:cnfStyle w:val="100000000000" w:firstRow="1" w:lastRow="0" w:firstColumn="0" w:lastColumn="0" w:oddVBand="0" w:evenVBand="0" w:oddHBand="0"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464" w:type="dxa"/>
            <w:tcBorders>
              <w:top w:val="thinThickSmallGap" w:sz="24" w:space="0" w:color="000000"/>
              <w:bottom w:val="thinThickSmallGap" w:sz="24" w:space="0" w:color="auto"/>
            </w:tcBorders>
          </w:tcPr>
          <w:p w14:paraId="07E30732" w14:textId="77777777" w:rsidR="00D82C73" w:rsidRPr="007C5A6E" w:rsidRDefault="00D82C73" w:rsidP="0057132F">
            <w:pPr>
              <w:spacing w:after="0" w:line="240" w:lineRule="auto"/>
              <w:contextualSpacing/>
              <w:rPr>
                <w:rFonts w:ascii="Times New Roman" w:eastAsia="Calibri" w:hAnsi="Times New Roman"/>
                <w:b w:val="0"/>
                <w:bCs w:val="0"/>
                <w:sz w:val="21"/>
                <w:szCs w:val="21"/>
                <w:lang w:eastAsia="en-US"/>
              </w:rPr>
            </w:pPr>
            <w:r w:rsidRPr="007C5A6E">
              <w:rPr>
                <w:rFonts w:ascii="Times New Roman" w:eastAsia="Calibri" w:hAnsi="Times New Roman"/>
                <w:b w:val="0"/>
                <w:bCs w:val="0"/>
                <w:sz w:val="21"/>
                <w:szCs w:val="21"/>
                <w:lang w:eastAsia="en-US"/>
              </w:rPr>
              <w:t>N°</w:t>
            </w:r>
          </w:p>
        </w:tc>
        <w:tc>
          <w:tcPr>
            <w:tcW w:w="1646" w:type="dxa"/>
            <w:tcBorders>
              <w:top w:val="thinThickSmallGap" w:sz="24" w:space="0" w:color="000000"/>
              <w:bottom w:val="thinThickSmallGap" w:sz="24" w:space="0" w:color="auto"/>
            </w:tcBorders>
          </w:tcPr>
          <w:p w14:paraId="2B97B72C" w14:textId="77777777" w:rsidR="00D82C73" w:rsidRPr="007C5A6E" w:rsidRDefault="00D82C73" w:rsidP="0057132F">
            <w:pPr>
              <w:spacing w:after="0" w:line="240" w:lineRule="auto"/>
              <w:contextualSpacing/>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1"/>
                <w:szCs w:val="21"/>
                <w:lang w:eastAsia="en-US"/>
              </w:rPr>
            </w:pPr>
          </w:p>
        </w:tc>
        <w:tc>
          <w:tcPr>
            <w:tcW w:w="3870" w:type="dxa"/>
            <w:tcBorders>
              <w:top w:val="thinThickSmallGap" w:sz="24" w:space="0" w:color="000000"/>
              <w:bottom w:val="thinThickSmallGap" w:sz="24" w:space="0" w:color="auto"/>
            </w:tcBorders>
          </w:tcPr>
          <w:p w14:paraId="765ADAB0" w14:textId="77777777" w:rsidR="00D82C73" w:rsidRPr="007C5A6E" w:rsidRDefault="00D82C73" w:rsidP="0057132F">
            <w:pPr>
              <w:spacing w:after="0" w:line="240" w:lineRule="auto"/>
              <w:contextualSpacing/>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1"/>
                <w:szCs w:val="21"/>
                <w:lang w:eastAsia="en-US"/>
              </w:rPr>
            </w:pPr>
            <w:r w:rsidRPr="007C5A6E">
              <w:rPr>
                <w:rFonts w:ascii="Times New Roman" w:eastAsia="Calibri" w:hAnsi="Times New Roman"/>
                <w:b w:val="0"/>
                <w:bCs w:val="0"/>
                <w:sz w:val="21"/>
                <w:szCs w:val="21"/>
                <w:lang w:eastAsia="en-US"/>
              </w:rPr>
              <w:t>Détenteur</w:t>
            </w:r>
          </w:p>
        </w:tc>
        <w:tc>
          <w:tcPr>
            <w:tcW w:w="1954" w:type="dxa"/>
            <w:tcBorders>
              <w:top w:val="thinThickSmallGap" w:sz="24" w:space="0" w:color="000000"/>
              <w:bottom w:val="thinThickSmallGap" w:sz="24" w:space="0" w:color="auto"/>
            </w:tcBorders>
          </w:tcPr>
          <w:p w14:paraId="16848BA0" w14:textId="77777777" w:rsidR="00D82C73" w:rsidRPr="007C5A6E" w:rsidRDefault="00D82C73" w:rsidP="0057132F">
            <w:pPr>
              <w:spacing w:after="0" w:line="240" w:lineRule="auto"/>
              <w:contextualSpacing/>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1"/>
                <w:szCs w:val="21"/>
                <w:lang w:eastAsia="en-US"/>
              </w:rPr>
            </w:pPr>
            <w:r w:rsidRPr="007C5A6E">
              <w:rPr>
                <w:rFonts w:ascii="Times New Roman" w:eastAsia="Calibri" w:hAnsi="Times New Roman"/>
                <w:b w:val="0"/>
                <w:bCs w:val="0"/>
                <w:sz w:val="21"/>
                <w:szCs w:val="21"/>
                <w:lang w:eastAsia="en-US"/>
              </w:rPr>
              <w:t>Substance</w:t>
            </w:r>
          </w:p>
        </w:tc>
        <w:tc>
          <w:tcPr>
            <w:tcW w:w="1560" w:type="dxa"/>
            <w:tcBorders>
              <w:top w:val="thinThickSmallGap" w:sz="24" w:space="0" w:color="000000"/>
              <w:bottom w:val="thinThickSmallGap" w:sz="24" w:space="0" w:color="auto"/>
            </w:tcBorders>
          </w:tcPr>
          <w:p w14:paraId="75ED2C00" w14:textId="77777777" w:rsidR="00D82C73" w:rsidRPr="007C5A6E" w:rsidRDefault="00D82C73" w:rsidP="0057132F">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1"/>
                <w:szCs w:val="21"/>
                <w:lang w:eastAsia="en-US"/>
              </w:rPr>
            </w:pPr>
            <w:r w:rsidRPr="007C5A6E">
              <w:rPr>
                <w:rFonts w:ascii="Times New Roman" w:eastAsia="Calibri" w:hAnsi="Times New Roman"/>
                <w:b w:val="0"/>
                <w:bCs w:val="0"/>
                <w:sz w:val="21"/>
                <w:szCs w:val="21"/>
                <w:lang w:eastAsia="en-US"/>
              </w:rPr>
              <w:t>Superficie    Km</w:t>
            </w:r>
            <w:r w:rsidRPr="007C5A6E">
              <w:rPr>
                <w:rFonts w:ascii="Times New Roman" w:eastAsia="Calibri" w:hAnsi="Times New Roman"/>
                <w:b w:val="0"/>
                <w:bCs w:val="0"/>
                <w:sz w:val="21"/>
                <w:szCs w:val="21"/>
                <w:vertAlign w:val="superscript"/>
                <w:lang w:eastAsia="en-US"/>
              </w:rPr>
              <w:t>2</w:t>
            </w:r>
            <w:r w:rsidRPr="007C5A6E">
              <w:rPr>
                <w:rFonts w:ascii="Times New Roman" w:eastAsia="Calibri" w:hAnsi="Times New Roman"/>
                <w:b w:val="0"/>
                <w:bCs w:val="0"/>
                <w:sz w:val="21"/>
                <w:szCs w:val="21"/>
                <w:lang w:eastAsia="en-US"/>
              </w:rPr>
              <w:t>)</w:t>
            </w:r>
          </w:p>
        </w:tc>
      </w:tr>
      <w:tr w:rsidR="00D82C73" w:rsidRPr="007C5A6E" w14:paraId="66777A77" w14:textId="77777777" w:rsidTr="0057132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4" w:type="dxa"/>
            <w:tcBorders>
              <w:top w:val="thinThickSmallGap" w:sz="24" w:space="0" w:color="auto"/>
            </w:tcBorders>
          </w:tcPr>
          <w:p w14:paraId="5DACF4D0"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1</w:t>
            </w:r>
          </w:p>
        </w:tc>
        <w:tc>
          <w:tcPr>
            <w:tcW w:w="1646" w:type="dxa"/>
            <w:tcBorders>
              <w:top w:val="thinThickSmallGap" w:sz="24" w:space="0" w:color="auto"/>
            </w:tcBorders>
          </w:tcPr>
          <w:p w14:paraId="4F38A8BA"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Batié</w:t>
            </w:r>
          </w:p>
        </w:tc>
        <w:tc>
          <w:tcPr>
            <w:tcW w:w="3870" w:type="dxa"/>
            <w:tcBorders>
              <w:top w:val="thinThickSmallGap" w:sz="24" w:space="0" w:color="auto"/>
            </w:tcBorders>
          </w:tcPr>
          <w:p w14:paraId="4BADC741"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Konkéra</w:t>
            </w:r>
            <w:proofErr w:type="spellEnd"/>
            <w:r w:rsidRPr="007C5A6E">
              <w:rPr>
                <w:rFonts w:ascii="Times New Roman" w:eastAsia="Calibri" w:hAnsi="Times New Roman"/>
                <w:lang w:eastAsia="en-US"/>
              </w:rPr>
              <w:t xml:space="preserve"> SA</w:t>
            </w:r>
          </w:p>
        </w:tc>
        <w:tc>
          <w:tcPr>
            <w:tcW w:w="1954" w:type="dxa"/>
            <w:tcBorders>
              <w:top w:val="thinThickSmallGap" w:sz="24" w:space="0" w:color="auto"/>
            </w:tcBorders>
          </w:tcPr>
          <w:p w14:paraId="64C1E0BA"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Borders>
              <w:top w:val="thinThickSmallGap" w:sz="24" w:space="0" w:color="auto"/>
            </w:tcBorders>
          </w:tcPr>
          <w:p w14:paraId="7CD730C9" w14:textId="77777777" w:rsidR="00D82C73" w:rsidRPr="007C5A6E" w:rsidRDefault="00D82C73" w:rsidP="0057132F">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64,34</w:t>
            </w:r>
          </w:p>
        </w:tc>
      </w:tr>
      <w:tr w:rsidR="00D82C73" w:rsidRPr="007C5A6E" w14:paraId="09D3EFD8" w14:textId="77777777" w:rsidTr="0057132F">
        <w:tc>
          <w:tcPr>
            <w:cnfStyle w:val="001000000000" w:firstRow="0" w:lastRow="0" w:firstColumn="1" w:lastColumn="0" w:oddVBand="0" w:evenVBand="0" w:oddHBand="0" w:evenHBand="0" w:firstRowFirstColumn="0" w:firstRowLastColumn="0" w:lastRowFirstColumn="0" w:lastRowLastColumn="0"/>
            <w:tcW w:w="464" w:type="dxa"/>
          </w:tcPr>
          <w:p w14:paraId="10A2135B"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2</w:t>
            </w:r>
          </w:p>
        </w:tc>
        <w:tc>
          <w:tcPr>
            <w:tcW w:w="1646" w:type="dxa"/>
          </w:tcPr>
          <w:p w14:paraId="34CD41A8"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 xml:space="preserve">Bissa </w:t>
            </w:r>
            <w:proofErr w:type="spellStart"/>
            <w:r w:rsidRPr="007C5A6E">
              <w:rPr>
                <w:rFonts w:ascii="Times New Roman" w:eastAsia="Calibri" w:hAnsi="Times New Roman"/>
                <w:lang w:eastAsia="en-US"/>
              </w:rPr>
              <w:t>Zandkom</w:t>
            </w:r>
            <w:proofErr w:type="spellEnd"/>
          </w:p>
        </w:tc>
        <w:tc>
          <w:tcPr>
            <w:tcW w:w="3870" w:type="dxa"/>
          </w:tcPr>
          <w:p w14:paraId="415C9B54"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Bissa Gold SA</w:t>
            </w:r>
          </w:p>
        </w:tc>
        <w:tc>
          <w:tcPr>
            <w:tcW w:w="1954" w:type="dxa"/>
          </w:tcPr>
          <w:p w14:paraId="18BFC26E"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Pr>
          <w:p w14:paraId="0F92B26E" w14:textId="77777777" w:rsidR="00D82C73" w:rsidRPr="007C5A6E" w:rsidRDefault="00D82C73" w:rsidP="005713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129,15</w:t>
            </w:r>
          </w:p>
        </w:tc>
      </w:tr>
      <w:tr w:rsidR="00D82C73" w:rsidRPr="007C5A6E" w14:paraId="3A9AB25E" w14:textId="77777777" w:rsidTr="0057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 w:type="dxa"/>
          </w:tcPr>
          <w:p w14:paraId="22A4E8B1"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3</w:t>
            </w:r>
          </w:p>
        </w:tc>
        <w:tc>
          <w:tcPr>
            <w:tcW w:w="1646" w:type="dxa"/>
          </w:tcPr>
          <w:p w14:paraId="2B7FA31F"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Bomboré</w:t>
            </w:r>
          </w:p>
        </w:tc>
        <w:tc>
          <w:tcPr>
            <w:tcW w:w="3870" w:type="dxa"/>
          </w:tcPr>
          <w:p w14:paraId="5AA1A76A"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Orezone</w:t>
            </w:r>
            <w:proofErr w:type="spellEnd"/>
            <w:r w:rsidRPr="007C5A6E">
              <w:rPr>
                <w:rFonts w:ascii="Times New Roman" w:eastAsia="Calibri" w:hAnsi="Times New Roman"/>
                <w:lang w:eastAsia="en-US"/>
              </w:rPr>
              <w:t xml:space="preserve"> Bomboré SA</w:t>
            </w:r>
          </w:p>
        </w:tc>
        <w:tc>
          <w:tcPr>
            <w:tcW w:w="1954" w:type="dxa"/>
          </w:tcPr>
          <w:p w14:paraId="06A06E78"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Pr>
          <w:p w14:paraId="53BAA6B8" w14:textId="77777777" w:rsidR="00D82C73" w:rsidRPr="007C5A6E" w:rsidRDefault="00D82C73" w:rsidP="0057132F">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25</w:t>
            </w:r>
          </w:p>
        </w:tc>
      </w:tr>
      <w:tr w:rsidR="00D82C73" w:rsidRPr="007C5A6E" w14:paraId="1DCF979F" w14:textId="77777777" w:rsidTr="0057132F">
        <w:tc>
          <w:tcPr>
            <w:cnfStyle w:val="001000000000" w:firstRow="0" w:lastRow="0" w:firstColumn="1" w:lastColumn="0" w:oddVBand="0" w:evenVBand="0" w:oddHBand="0" w:evenHBand="0" w:firstRowFirstColumn="0" w:firstRowLastColumn="0" w:lastRowFirstColumn="0" w:lastRowLastColumn="0"/>
            <w:tcW w:w="464" w:type="dxa"/>
          </w:tcPr>
          <w:p w14:paraId="5BB98B9A"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4</w:t>
            </w:r>
          </w:p>
        </w:tc>
        <w:tc>
          <w:tcPr>
            <w:tcW w:w="1646" w:type="dxa"/>
          </w:tcPr>
          <w:p w14:paraId="782D6969"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Bouéré</w:t>
            </w:r>
            <w:proofErr w:type="spellEnd"/>
          </w:p>
        </w:tc>
        <w:tc>
          <w:tcPr>
            <w:tcW w:w="3870" w:type="dxa"/>
          </w:tcPr>
          <w:p w14:paraId="0131D284"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Bouéré-Dohoun</w:t>
            </w:r>
            <w:proofErr w:type="spellEnd"/>
            <w:r w:rsidRPr="007C5A6E">
              <w:rPr>
                <w:rFonts w:ascii="Times New Roman" w:eastAsia="Calibri" w:hAnsi="Times New Roman"/>
                <w:lang w:eastAsia="en-US"/>
              </w:rPr>
              <w:t xml:space="preserve"> Gold </w:t>
            </w:r>
            <w:proofErr w:type="spellStart"/>
            <w:r w:rsidRPr="007C5A6E">
              <w:rPr>
                <w:rFonts w:ascii="Times New Roman" w:eastAsia="Calibri" w:hAnsi="Times New Roman"/>
                <w:lang w:eastAsia="en-US"/>
              </w:rPr>
              <w:t>Operation</w:t>
            </w:r>
            <w:proofErr w:type="spellEnd"/>
            <w:r w:rsidRPr="007C5A6E">
              <w:rPr>
                <w:rFonts w:ascii="Times New Roman" w:eastAsia="Calibri" w:hAnsi="Times New Roman"/>
                <w:lang w:eastAsia="en-US"/>
              </w:rPr>
              <w:t xml:space="preserve"> SA</w:t>
            </w:r>
          </w:p>
        </w:tc>
        <w:tc>
          <w:tcPr>
            <w:tcW w:w="1954" w:type="dxa"/>
          </w:tcPr>
          <w:p w14:paraId="6F65BEAF"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Pr>
          <w:p w14:paraId="2D512A46" w14:textId="77777777" w:rsidR="00D82C73" w:rsidRPr="007C5A6E" w:rsidRDefault="00D82C73" w:rsidP="005713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5,37</w:t>
            </w:r>
          </w:p>
        </w:tc>
      </w:tr>
      <w:tr w:rsidR="00D82C73" w:rsidRPr="007C5A6E" w14:paraId="4AB18C96" w14:textId="77777777" w:rsidTr="0057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 w:type="dxa"/>
          </w:tcPr>
          <w:p w14:paraId="3FF88095"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5</w:t>
            </w:r>
          </w:p>
        </w:tc>
        <w:tc>
          <w:tcPr>
            <w:tcW w:w="1646" w:type="dxa"/>
          </w:tcPr>
          <w:p w14:paraId="3B69BB75"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Boungou</w:t>
            </w:r>
            <w:proofErr w:type="spellEnd"/>
          </w:p>
        </w:tc>
        <w:tc>
          <w:tcPr>
            <w:tcW w:w="3870" w:type="dxa"/>
          </w:tcPr>
          <w:p w14:paraId="62493D7C"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Sémafo</w:t>
            </w:r>
            <w:proofErr w:type="spellEnd"/>
            <w:r w:rsidRPr="007C5A6E">
              <w:rPr>
                <w:rFonts w:ascii="Times New Roman" w:eastAsia="Calibri" w:hAnsi="Times New Roman"/>
                <w:lang w:eastAsia="en-US"/>
              </w:rPr>
              <w:t xml:space="preserve"> </w:t>
            </w:r>
            <w:proofErr w:type="spellStart"/>
            <w:r w:rsidRPr="007C5A6E">
              <w:rPr>
                <w:rFonts w:ascii="Times New Roman" w:eastAsia="Calibri" w:hAnsi="Times New Roman"/>
                <w:lang w:eastAsia="en-US"/>
              </w:rPr>
              <w:t>Boungou</w:t>
            </w:r>
            <w:proofErr w:type="spellEnd"/>
            <w:r w:rsidRPr="007C5A6E">
              <w:rPr>
                <w:rFonts w:ascii="Times New Roman" w:eastAsia="Calibri" w:hAnsi="Times New Roman"/>
                <w:lang w:eastAsia="en-US"/>
              </w:rPr>
              <w:t xml:space="preserve"> SA</w:t>
            </w:r>
          </w:p>
        </w:tc>
        <w:tc>
          <w:tcPr>
            <w:tcW w:w="1954" w:type="dxa"/>
          </w:tcPr>
          <w:p w14:paraId="2EC8B0EA"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Pr>
          <w:p w14:paraId="6437C5F1" w14:textId="77777777" w:rsidR="00D82C73" w:rsidRPr="007C5A6E" w:rsidRDefault="00D82C73" w:rsidP="0057132F">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29,06</w:t>
            </w:r>
          </w:p>
        </w:tc>
      </w:tr>
      <w:tr w:rsidR="00D82C73" w:rsidRPr="007C5A6E" w14:paraId="2E78A2AA" w14:textId="77777777" w:rsidTr="0057132F">
        <w:tc>
          <w:tcPr>
            <w:cnfStyle w:val="001000000000" w:firstRow="0" w:lastRow="0" w:firstColumn="1" w:lastColumn="0" w:oddVBand="0" w:evenVBand="0" w:oddHBand="0" w:evenHBand="0" w:firstRowFirstColumn="0" w:firstRowLastColumn="0" w:lastRowFirstColumn="0" w:lastRowLastColumn="0"/>
            <w:tcW w:w="464" w:type="dxa"/>
          </w:tcPr>
          <w:p w14:paraId="186B2EC3"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6</w:t>
            </w:r>
          </w:p>
        </w:tc>
        <w:tc>
          <w:tcPr>
            <w:tcW w:w="1646" w:type="dxa"/>
          </w:tcPr>
          <w:p w14:paraId="62EDA144"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Bouroum</w:t>
            </w:r>
          </w:p>
        </w:tc>
        <w:tc>
          <w:tcPr>
            <w:tcW w:w="3870" w:type="dxa"/>
          </w:tcPr>
          <w:p w14:paraId="515090E8"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Somita</w:t>
            </w:r>
            <w:proofErr w:type="spellEnd"/>
            <w:r w:rsidRPr="007C5A6E">
              <w:rPr>
                <w:rFonts w:ascii="Times New Roman" w:eastAsia="Calibri" w:hAnsi="Times New Roman"/>
                <w:lang w:eastAsia="en-US"/>
              </w:rPr>
              <w:t xml:space="preserve"> SA</w:t>
            </w:r>
          </w:p>
        </w:tc>
        <w:tc>
          <w:tcPr>
            <w:tcW w:w="1954" w:type="dxa"/>
          </w:tcPr>
          <w:p w14:paraId="1AD40101"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Pr>
          <w:p w14:paraId="52374C58" w14:textId="77777777" w:rsidR="00D82C73" w:rsidRPr="007C5A6E" w:rsidRDefault="00D82C73" w:rsidP="005713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11,7</w:t>
            </w:r>
          </w:p>
        </w:tc>
      </w:tr>
      <w:tr w:rsidR="00D82C73" w:rsidRPr="007C5A6E" w14:paraId="2376E2FA" w14:textId="77777777" w:rsidTr="0057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 w:type="dxa"/>
          </w:tcPr>
          <w:p w14:paraId="65050D4D"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 xml:space="preserve">7 </w:t>
            </w:r>
          </w:p>
        </w:tc>
        <w:tc>
          <w:tcPr>
            <w:tcW w:w="1646" w:type="dxa"/>
          </w:tcPr>
          <w:p w14:paraId="0DDC2FFF"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Essakane</w:t>
            </w:r>
            <w:proofErr w:type="spellEnd"/>
          </w:p>
        </w:tc>
        <w:tc>
          <w:tcPr>
            <w:tcW w:w="3870" w:type="dxa"/>
          </w:tcPr>
          <w:p w14:paraId="532A0820"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Essakane</w:t>
            </w:r>
            <w:proofErr w:type="spellEnd"/>
            <w:r w:rsidRPr="007C5A6E">
              <w:rPr>
                <w:rFonts w:ascii="Times New Roman" w:eastAsia="Calibri" w:hAnsi="Times New Roman"/>
                <w:lang w:eastAsia="en-US"/>
              </w:rPr>
              <w:t xml:space="preserve"> SA</w:t>
            </w:r>
          </w:p>
        </w:tc>
        <w:tc>
          <w:tcPr>
            <w:tcW w:w="1954" w:type="dxa"/>
          </w:tcPr>
          <w:p w14:paraId="0E86A033"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Pr>
          <w:p w14:paraId="5DBC7F92" w14:textId="77777777" w:rsidR="00D82C73" w:rsidRPr="007C5A6E" w:rsidRDefault="00D82C73" w:rsidP="0057132F">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100,2</w:t>
            </w:r>
          </w:p>
        </w:tc>
      </w:tr>
      <w:tr w:rsidR="00D82C73" w:rsidRPr="007C5A6E" w14:paraId="7A1D8DDE" w14:textId="77777777" w:rsidTr="0057132F">
        <w:tc>
          <w:tcPr>
            <w:cnfStyle w:val="001000000000" w:firstRow="0" w:lastRow="0" w:firstColumn="1" w:lastColumn="0" w:oddVBand="0" w:evenVBand="0" w:oddHBand="0" w:evenHBand="0" w:firstRowFirstColumn="0" w:firstRowLastColumn="0" w:lastRowFirstColumn="0" w:lastRowLastColumn="0"/>
            <w:tcW w:w="464" w:type="dxa"/>
          </w:tcPr>
          <w:p w14:paraId="22EE499E"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 xml:space="preserve">8 </w:t>
            </w:r>
          </w:p>
        </w:tc>
        <w:tc>
          <w:tcPr>
            <w:tcW w:w="1646" w:type="dxa"/>
          </w:tcPr>
          <w:p w14:paraId="2A8B001A"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Guiro</w:t>
            </w:r>
            <w:proofErr w:type="spellEnd"/>
            <w:r w:rsidRPr="007C5A6E">
              <w:rPr>
                <w:rFonts w:ascii="Times New Roman" w:eastAsia="Calibri" w:hAnsi="Times New Roman"/>
                <w:lang w:eastAsia="en-US"/>
              </w:rPr>
              <w:t xml:space="preserve">- </w:t>
            </w:r>
            <w:proofErr w:type="spellStart"/>
            <w:r w:rsidRPr="007C5A6E">
              <w:rPr>
                <w:rFonts w:ascii="Times New Roman" w:eastAsia="Calibri" w:hAnsi="Times New Roman"/>
                <w:lang w:eastAsia="en-US"/>
              </w:rPr>
              <w:t>Diouga</w:t>
            </w:r>
            <w:proofErr w:type="spellEnd"/>
          </w:p>
        </w:tc>
        <w:tc>
          <w:tcPr>
            <w:tcW w:w="3870" w:type="dxa"/>
          </w:tcPr>
          <w:p w14:paraId="318FA6C9"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Komet</w:t>
            </w:r>
            <w:proofErr w:type="spellEnd"/>
            <w:r w:rsidRPr="007C5A6E">
              <w:rPr>
                <w:rFonts w:ascii="Times New Roman" w:eastAsia="Calibri" w:hAnsi="Times New Roman"/>
                <w:lang w:eastAsia="en-US"/>
              </w:rPr>
              <w:t xml:space="preserve"> Ressources Afrique SA</w:t>
            </w:r>
          </w:p>
        </w:tc>
        <w:tc>
          <w:tcPr>
            <w:tcW w:w="1954" w:type="dxa"/>
          </w:tcPr>
          <w:p w14:paraId="6EFE2F7A"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Pr>
          <w:p w14:paraId="28705FF2" w14:textId="77777777" w:rsidR="00D82C73" w:rsidRPr="007C5A6E" w:rsidRDefault="00D82C73" w:rsidP="005713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65</w:t>
            </w:r>
          </w:p>
        </w:tc>
      </w:tr>
      <w:tr w:rsidR="00D82C73" w:rsidRPr="007C5A6E" w14:paraId="606E12E8" w14:textId="77777777" w:rsidTr="0057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 w:type="dxa"/>
          </w:tcPr>
          <w:p w14:paraId="5AD87E60"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9</w:t>
            </w:r>
          </w:p>
        </w:tc>
        <w:tc>
          <w:tcPr>
            <w:tcW w:w="1646" w:type="dxa"/>
          </w:tcPr>
          <w:p w14:paraId="3E75051D"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Houndé</w:t>
            </w:r>
          </w:p>
        </w:tc>
        <w:tc>
          <w:tcPr>
            <w:tcW w:w="3870" w:type="dxa"/>
          </w:tcPr>
          <w:p w14:paraId="2A51F404"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 xml:space="preserve">Houndé Gold </w:t>
            </w:r>
            <w:proofErr w:type="spellStart"/>
            <w:r w:rsidRPr="007C5A6E">
              <w:rPr>
                <w:rFonts w:ascii="Times New Roman" w:eastAsia="Calibri" w:hAnsi="Times New Roman"/>
                <w:lang w:eastAsia="en-US"/>
              </w:rPr>
              <w:t>OperationSA</w:t>
            </w:r>
            <w:proofErr w:type="spellEnd"/>
          </w:p>
        </w:tc>
        <w:tc>
          <w:tcPr>
            <w:tcW w:w="1954" w:type="dxa"/>
          </w:tcPr>
          <w:p w14:paraId="250B0610"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Pr>
          <w:p w14:paraId="32F447AA" w14:textId="77777777" w:rsidR="00D82C73" w:rsidRPr="007C5A6E" w:rsidRDefault="00D82C73" w:rsidP="0057132F">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23,2</w:t>
            </w:r>
          </w:p>
        </w:tc>
      </w:tr>
      <w:tr w:rsidR="00D82C73" w:rsidRPr="007C5A6E" w14:paraId="51DAF72F" w14:textId="77777777" w:rsidTr="0057132F">
        <w:tc>
          <w:tcPr>
            <w:cnfStyle w:val="001000000000" w:firstRow="0" w:lastRow="0" w:firstColumn="1" w:lastColumn="0" w:oddVBand="0" w:evenVBand="0" w:oddHBand="0" w:evenHBand="0" w:firstRowFirstColumn="0" w:firstRowLastColumn="0" w:lastRowFirstColumn="0" w:lastRowLastColumn="0"/>
            <w:tcW w:w="464" w:type="dxa"/>
          </w:tcPr>
          <w:p w14:paraId="79D8396D"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10</w:t>
            </w:r>
          </w:p>
        </w:tc>
        <w:tc>
          <w:tcPr>
            <w:tcW w:w="1646" w:type="dxa"/>
          </w:tcPr>
          <w:p w14:paraId="7720010E"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Inata</w:t>
            </w:r>
            <w:proofErr w:type="spellEnd"/>
          </w:p>
        </w:tc>
        <w:tc>
          <w:tcPr>
            <w:tcW w:w="3870" w:type="dxa"/>
          </w:tcPr>
          <w:p w14:paraId="21D57D09"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 xml:space="preserve">Société des mines de </w:t>
            </w:r>
            <w:proofErr w:type="spellStart"/>
            <w:r w:rsidRPr="007C5A6E">
              <w:rPr>
                <w:rFonts w:ascii="Times New Roman" w:eastAsia="Calibri" w:hAnsi="Times New Roman"/>
                <w:lang w:eastAsia="en-US"/>
              </w:rPr>
              <w:t>Bélahouro</w:t>
            </w:r>
            <w:proofErr w:type="spellEnd"/>
            <w:r w:rsidRPr="007C5A6E">
              <w:rPr>
                <w:rFonts w:ascii="Times New Roman" w:eastAsia="Calibri" w:hAnsi="Times New Roman"/>
                <w:lang w:eastAsia="en-US"/>
              </w:rPr>
              <w:t xml:space="preserve"> (SMB) SA </w:t>
            </w:r>
          </w:p>
        </w:tc>
        <w:tc>
          <w:tcPr>
            <w:tcW w:w="1954" w:type="dxa"/>
          </w:tcPr>
          <w:p w14:paraId="162A7AFE"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Pr>
          <w:p w14:paraId="76BD2901" w14:textId="77777777" w:rsidR="00D82C73" w:rsidRPr="007C5A6E" w:rsidRDefault="00D82C73" w:rsidP="005713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26,03</w:t>
            </w:r>
          </w:p>
        </w:tc>
      </w:tr>
      <w:tr w:rsidR="00D82C73" w:rsidRPr="007C5A6E" w14:paraId="344C124D" w14:textId="77777777" w:rsidTr="0057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 w:type="dxa"/>
          </w:tcPr>
          <w:p w14:paraId="5849AE99"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11</w:t>
            </w:r>
          </w:p>
        </w:tc>
        <w:tc>
          <w:tcPr>
            <w:tcW w:w="1646" w:type="dxa"/>
          </w:tcPr>
          <w:p w14:paraId="1DBC0C56"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Kalsaka</w:t>
            </w:r>
            <w:proofErr w:type="spellEnd"/>
          </w:p>
        </w:tc>
        <w:tc>
          <w:tcPr>
            <w:tcW w:w="3870" w:type="dxa"/>
          </w:tcPr>
          <w:p w14:paraId="5231F02B"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Baladji</w:t>
            </w:r>
            <w:proofErr w:type="spellEnd"/>
            <w:r w:rsidRPr="007C5A6E">
              <w:rPr>
                <w:rFonts w:ascii="Times New Roman" w:eastAsia="Calibri" w:hAnsi="Times New Roman"/>
                <w:lang w:eastAsia="en-US"/>
              </w:rPr>
              <w:t xml:space="preserve"> Groupe Mining </w:t>
            </w:r>
            <w:proofErr w:type="spellStart"/>
            <w:r w:rsidRPr="007C5A6E">
              <w:rPr>
                <w:rFonts w:ascii="Times New Roman" w:eastAsia="Calibri" w:hAnsi="Times New Roman"/>
                <w:lang w:eastAsia="en-US"/>
              </w:rPr>
              <w:t>Kalsaka</w:t>
            </w:r>
            <w:proofErr w:type="spellEnd"/>
            <w:r w:rsidRPr="007C5A6E">
              <w:rPr>
                <w:rFonts w:ascii="Times New Roman" w:eastAsia="Calibri" w:hAnsi="Times New Roman"/>
                <w:lang w:eastAsia="en-US"/>
              </w:rPr>
              <w:t xml:space="preserve"> SA</w:t>
            </w:r>
          </w:p>
        </w:tc>
        <w:tc>
          <w:tcPr>
            <w:tcW w:w="1954" w:type="dxa"/>
          </w:tcPr>
          <w:p w14:paraId="60D792E9"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Pr>
          <w:p w14:paraId="492BE70F" w14:textId="77777777" w:rsidR="00D82C73" w:rsidRPr="007C5A6E" w:rsidRDefault="00D82C73" w:rsidP="0057132F">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25</w:t>
            </w:r>
          </w:p>
        </w:tc>
      </w:tr>
      <w:tr w:rsidR="00D82C73" w:rsidRPr="007C5A6E" w14:paraId="2555F05C" w14:textId="77777777" w:rsidTr="0057132F">
        <w:tc>
          <w:tcPr>
            <w:cnfStyle w:val="001000000000" w:firstRow="0" w:lastRow="0" w:firstColumn="1" w:lastColumn="0" w:oddVBand="0" w:evenVBand="0" w:oddHBand="0" w:evenHBand="0" w:firstRowFirstColumn="0" w:firstRowLastColumn="0" w:lastRowFirstColumn="0" w:lastRowLastColumn="0"/>
            <w:tcW w:w="464" w:type="dxa"/>
          </w:tcPr>
          <w:p w14:paraId="6566E45E"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12</w:t>
            </w:r>
          </w:p>
        </w:tc>
        <w:tc>
          <w:tcPr>
            <w:tcW w:w="1646" w:type="dxa"/>
          </w:tcPr>
          <w:p w14:paraId="3753E688"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Karma</w:t>
            </w:r>
          </w:p>
        </w:tc>
        <w:tc>
          <w:tcPr>
            <w:tcW w:w="3870" w:type="dxa"/>
          </w:tcPr>
          <w:p w14:paraId="28BFB6F7"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 xml:space="preserve"> </w:t>
            </w:r>
            <w:proofErr w:type="spellStart"/>
            <w:r w:rsidRPr="007C5A6E">
              <w:rPr>
                <w:rFonts w:ascii="Times New Roman" w:eastAsia="Calibri" w:hAnsi="Times New Roman"/>
                <w:lang w:eastAsia="en-US"/>
              </w:rPr>
              <w:t>Riveston</w:t>
            </w:r>
            <w:proofErr w:type="spellEnd"/>
            <w:r w:rsidRPr="007C5A6E">
              <w:rPr>
                <w:rFonts w:ascii="Times New Roman" w:eastAsia="Calibri" w:hAnsi="Times New Roman"/>
                <w:lang w:eastAsia="en-US"/>
              </w:rPr>
              <w:t xml:space="preserve"> </w:t>
            </w:r>
            <w:proofErr w:type="spellStart"/>
            <w:r w:rsidRPr="007C5A6E">
              <w:rPr>
                <w:rFonts w:ascii="Times New Roman" w:eastAsia="Calibri" w:hAnsi="Times New Roman"/>
                <w:lang w:eastAsia="en-US"/>
              </w:rPr>
              <w:t>Karama</w:t>
            </w:r>
            <w:proofErr w:type="spellEnd"/>
            <w:r w:rsidRPr="007C5A6E">
              <w:rPr>
                <w:rFonts w:ascii="Times New Roman" w:eastAsia="Calibri" w:hAnsi="Times New Roman"/>
                <w:lang w:eastAsia="en-US"/>
              </w:rPr>
              <w:t xml:space="preserve"> SA</w:t>
            </w:r>
          </w:p>
        </w:tc>
        <w:tc>
          <w:tcPr>
            <w:tcW w:w="1954" w:type="dxa"/>
          </w:tcPr>
          <w:p w14:paraId="5DDAE71D"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Pr>
          <w:p w14:paraId="31E12505" w14:textId="77777777" w:rsidR="00D82C73" w:rsidRPr="007C5A6E" w:rsidRDefault="00D82C73" w:rsidP="005713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50,81</w:t>
            </w:r>
          </w:p>
        </w:tc>
      </w:tr>
      <w:tr w:rsidR="0057132F" w:rsidRPr="007C5A6E" w14:paraId="32994FB3" w14:textId="77777777" w:rsidTr="0057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 w:type="dxa"/>
          </w:tcPr>
          <w:p w14:paraId="6CF2AE18" w14:textId="77777777" w:rsidR="0057132F" w:rsidRPr="007C5A6E" w:rsidRDefault="0057132F"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13</w:t>
            </w:r>
          </w:p>
        </w:tc>
        <w:tc>
          <w:tcPr>
            <w:tcW w:w="1646" w:type="dxa"/>
          </w:tcPr>
          <w:p w14:paraId="350DC329" w14:textId="77777777" w:rsidR="0057132F" w:rsidRPr="007C5A6E" w:rsidRDefault="0057132F"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Kiaka</w:t>
            </w:r>
            <w:proofErr w:type="spellEnd"/>
          </w:p>
        </w:tc>
        <w:tc>
          <w:tcPr>
            <w:tcW w:w="3870" w:type="dxa"/>
          </w:tcPr>
          <w:p w14:paraId="6C04B9DC" w14:textId="77777777" w:rsidR="0057132F" w:rsidRPr="007C5A6E" w:rsidRDefault="0057132F"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Kiaka</w:t>
            </w:r>
            <w:proofErr w:type="spellEnd"/>
            <w:r w:rsidRPr="007C5A6E">
              <w:rPr>
                <w:rFonts w:ascii="Times New Roman" w:eastAsia="Calibri" w:hAnsi="Times New Roman"/>
                <w:lang w:eastAsia="en-US"/>
              </w:rPr>
              <w:t xml:space="preserve"> Gold SA</w:t>
            </w:r>
          </w:p>
        </w:tc>
        <w:tc>
          <w:tcPr>
            <w:tcW w:w="1954" w:type="dxa"/>
          </w:tcPr>
          <w:p w14:paraId="0C5B0F15" w14:textId="77777777" w:rsidR="0057132F" w:rsidRPr="007C5A6E" w:rsidRDefault="0057132F"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Pr>
          <w:p w14:paraId="68557C95" w14:textId="12E99898" w:rsidR="0057132F" w:rsidRPr="007C5A6E" w:rsidRDefault="0057132F" w:rsidP="0057132F">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54,02</w:t>
            </w:r>
          </w:p>
        </w:tc>
      </w:tr>
      <w:tr w:rsidR="00D82C73" w:rsidRPr="007C5A6E" w14:paraId="473CDE42" w14:textId="77777777" w:rsidTr="0057132F">
        <w:tc>
          <w:tcPr>
            <w:cnfStyle w:val="001000000000" w:firstRow="0" w:lastRow="0" w:firstColumn="1" w:lastColumn="0" w:oddVBand="0" w:evenVBand="0" w:oddHBand="0" w:evenHBand="0" w:firstRowFirstColumn="0" w:firstRowLastColumn="0" w:lastRowFirstColumn="0" w:lastRowLastColumn="0"/>
            <w:tcW w:w="464" w:type="dxa"/>
          </w:tcPr>
          <w:p w14:paraId="3E934B43"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14</w:t>
            </w:r>
          </w:p>
        </w:tc>
        <w:tc>
          <w:tcPr>
            <w:tcW w:w="1646" w:type="dxa"/>
          </w:tcPr>
          <w:p w14:paraId="33BB1CE3"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Mana</w:t>
            </w:r>
          </w:p>
        </w:tc>
        <w:tc>
          <w:tcPr>
            <w:tcW w:w="3870" w:type="dxa"/>
          </w:tcPr>
          <w:p w14:paraId="2C4FF83F"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Semafo</w:t>
            </w:r>
            <w:proofErr w:type="spellEnd"/>
            <w:r w:rsidRPr="007C5A6E">
              <w:rPr>
                <w:rFonts w:ascii="Times New Roman" w:eastAsia="Calibri" w:hAnsi="Times New Roman"/>
                <w:lang w:eastAsia="en-US"/>
              </w:rPr>
              <w:t xml:space="preserve"> Burkina Faso</w:t>
            </w:r>
          </w:p>
        </w:tc>
        <w:tc>
          <w:tcPr>
            <w:tcW w:w="1954" w:type="dxa"/>
          </w:tcPr>
          <w:p w14:paraId="12F3632E"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Pr>
          <w:p w14:paraId="1E308A78" w14:textId="77777777" w:rsidR="00D82C73" w:rsidRPr="007C5A6E" w:rsidRDefault="00D82C73" w:rsidP="005713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74,5</w:t>
            </w:r>
          </w:p>
        </w:tc>
      </w:tr>
      <w:tr w:rsidR="00D82C73" w:rsidRPr="007C5A6E" w14:paraId="1F402E31" w14:textId="77777777" w:rsidTr="0057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 w:type="dxa"/>
          </w:tcPr>
          <w:p w14:paraId="05275A74"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15</w:t>
            </w:r>
          </w:p>
        </w:tc>
        <w:tc>
          <w:tcPr>
            <w:tcW w:w="1646" w:type="dxa"/>
          </w:tcPr>
          <w:p w14:paraId="51C5CAC3"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Netiana</w:t>
            </w:r>
            <w:proofErr w:type="spellEnd"/>
          </w:p>
        </w:tc>
        <w:tc>
          <w:tcPr>
            <w:tcW w:w="3870" w:type="dxa"/>
          </w:tcPr>
          <w:p w14:paraId="2C0084A4"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Netiana</w:t>
            </w:r>
            <w:proofErr w:type="spellEnd"/>
            <w:r w:rsidRPr="007C5A6E">
              <w:rPr>
                <w:rFonts w:ascii="Times New Roman" w:eastAsia="Calibri" w:hAnsi="Times New Roman"/>
                <w:lang w:eastAsia="en-US"/>
              </w:rPr>
              <w:t xml:space="preserve"> Mining </w:t>
            </w:r>
            <w:proofErr w:type="spellStart"/>
            <w:r w:rsidRPr="007C5A6E">
              <w:rPr>
                <w:rFonts w:ascii="Times New Roman" w:eastAsia="Calibri" w:hAnsi="Times New Roman"/>
                <w:lang w:eastAsia="en-US"/>
              </w:rPr>
              <w:t>Company</w:t>
            </w:r>
            <w:proofErr w:type="spellEnd"/>
            <w:r w:rsidRPr="007C5A6E">
              <w:rPr>
                <w:rFonts w:ascii="Times New Roman" w:eastAsia="Calibri" w:hAnsi="Times New Roman"/>
                <w:lang w:eastAsia="en-US"/>
              </w:rPr>
              <w:t xml:space="preserve"> SA</w:t>
            </w:r>
          </w:p>
        </w:tc>
        <w:tc>
          <w:tcPr>
            <w:tcW w:w="1954" w:type="dxa"/>
          </w:tcPr>
          <w:p w14:paraId="2AED4D57"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Pr>
          <w:p w14:paraId="6CBCBA33" w14:textId="77777777" w:rsidR="00D82C73" w:rsidRPr="007C5A6E" w:rsidRDefault="00D82C73" w:rsidP="0057132F">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2</w:t>
            </w:r>
          </w:p>
        </w:tc>
      </w:tr>
      <w:tr w:rsidR="00D82C73" w:rsidRPr="007C5A6E" w14:paraId="51E5C18C" w14:textId="77777777" w:rsidTr="0057132F">
        <w:tc>
          <w:tcPr>
            <w:cnfStyle w:val="001000000000" w:firstRow="0" w:lastRow="0" w:firstColumn="1" w:lastColumn="0" w:oddVBand="0" w:evenVBand="0" w:oddHBand="0" w:evenHBand="0" w:firstRowFirstColumn="0" w:firstRowLastColumn="0" w:lastRowFirstColumn="0" w:lastRowLastColumn="0"/>
            <w:tcW w:w="464" w:type="dxa"/>
          </w:tcPr>
          <w:p w14:paraId="7C38C46C"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16</w:t>
            </w:r>
          </w:p>
        </w:tc>
        <w:tc>
          <w:tcPr>
            <w:tcW w:w="1646" w:type="dxa"/>
          </w:tcPr>
          <w:p w14:paraId="28D44D09"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Perkoa</w:t>
            </w:r>
            <w:proofErr w:type="spellEnd"/>
          </w:p>
        </w:tc>
        <w:tc>
          <w:tcPr>
            <w:tcW w:w="3870" w:type="dxa"/>
          </w:tcPr>
          <w:p w14:paraId="739C1806"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Nantou Mining Limited</w:t>
            </w:r>
          </w:p>
        </w:tc>
        <w:tc>
          <w:tcPr>
            <w:tcW w:w="1954" w:type="dxa"/>
          </w:tcPr>
          <w:p w14:paraId="4652A281"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Zinc</w:t>
            </w:r>
          </w:p>
        </w:tc>
        <w:tc>
          <w:tcPr>
            <w:tcW w:w="1560" w:type="dxa"/>
          </w:tcPr>
          <w:p w14:paraId="6B31004F" w14:textId="77777777" w:rsidR="00D82C73" w:rsidRPr="007C5A6E" w:rsidRDefault="00D82C73" w:rsidP="005713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6,24</w:t>
            </w:r>
          </w:p>
        </w:tc>
      </w:tr>
      <w:tr w:rsidR="00D82C73" w:rsidRPr="007C5A6E" w14:paraId="352EEF01" w14:textId="77777777" w:rsidTr="0057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 w:type="dxa"/>
          </w:tcPr>
          <w:p w14:paraId="763EF298"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17</w:t>
            </w:r>
          </w:p>
        </w:tc>
        <w:tc>
          <w:tcPr>
            <w:tcW w:w="1646" w:type="dxa"/>
          </w:tcPr>
          <w:p w14:paraId="67EDB025"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Sahelian</w:t>
            </w:r>
            <w:proofErr w:type="spellEnd"/>
          </w:p>
        </w:tc>
        <w:tc>
          <w:tcPr>
            <w:tcW w:w="3870" w:type="dxa"/>
          </w:tcPr>
          <w:p w14:paraId="248B7042"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Sahelian</w:t>
            </w:r>
            <w:proofErr w:type="spellEnd"/>
            <w:r w:rsidRPr="007C5A6E">
              <w:rPr>
                <w:rFonts w:ascii="Times New Roman" w:eastAsia="Calibri" w:hAnsi="Times New Roman"/>
                <w:lang w:eastAsia="en-US"/>
              </w:rPr>
              <w:t xml:space="preserve"> Mining SA</w:t>
            </w:r>
          </w:p>
        </w:tc>
        <w:tc>
          <w:tcPr>
            <w:tcW w:w="1954" w:type="dxa"/>
          </w:tcPr>
          <w:p w14:paraId="145E4E46"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Calcaire à ciment</w:t>
            </w:r>
          </w:p>
        </w:tc>
        <w:tc>
          <w:tcPr>
            <w:tcW w:w="1560" w:type="dxa"/>
          </w:tcPr>
          <w:p w14:paraId="00ED930C" w14:textId="77777777" w:rsidR="00D82C73" w:rsidRPr="007C5A6E" w:rsidRDefault="00D82C73" w:rsidP="0057132F">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20,89</w:t>
            </w:r>
          </w:p>
        </w:tc>
      </w:tr>
      <w:tr w:rsidR="00D82C73" w:rsidRPr="007C5A6E" w14:paraId="0DC43F06" w14:textId="77777777" w:rsidTr="0057132F">
        <w:tc>
          <w:tcPr>
            <w:cnfStyle w:val="001000000000" w:firstRow="0" w:lastRow="0" w:firstColumn="1" w:lastColumn="0" w:oddVBand="0" w:evenVBand="0" w:oddHBand="0" w:evenHBand="0" w:firstRowFirstColumn="0" w:firstRowLastColumn="0" w:lastRowFirstColumn="0" w:lastRowLastColumn="0"/>
            <w:tcW w:w="464" w:type="dxa"/>
          </w:tcPr>
          <w:p w14:paraId="6493C351"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18</w:t>
            </w:r>
          </w:p>
        </w:tc>
        <w:tc>
          <w:tcPr>
            <w:tcW w:w="1646" w:type="dxa"/>
          </w:tcPr>
          <w:p w14:paraId="13B8EA7C"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Salma Mining</w:t>
            </w:r>
          </w:p>
        </w:tc>
        <w:tc>
          <w:tcPr>
            <w:tcW w:w="3870" w:type="dxa"/>
          </w:tcPr>
          <w:p w14:paraId="38084FFE"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Salma Mining SA</w:t>
            </w:r>
          </w:p>
        </w:tc>
        <w:tc>
          <w:tcPr>
            <w:tcW w:w="1954" w:type="dxa"/>
          </w:tcPr>
          <w:p w14:paraId="31F19EE9"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Pr>
          <w:p w14:paraId="1D6A301B" w14:textId="268FBEC3" w:rsidR="00D82C73" w:rsidRPr="007C5A6E" w:rsidRDefault="00D82C73" w:rsidP="005713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4,77</w:t>
            </w:r>
          </w:p>
        </w:tc>
      </w:tr>
      <w:tr w:rsidR="00D82C73" w:rsidRPr="007C5A6E" w14:paraId="1E5C76AF" w14:textId="77777777" w:rsidTr="0057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 w:type="dxa"/>
          </w:tcPr>
          <w:p w14:paraId="3CB27A09"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19</w:t>
            </w:r>
          </w:p>
        </w:tc>
        <w:tc>
          <w:tcPr>
            <w:tcW w:w="1646" w:type="dxa"/>
          </w:tcPr>
          <w:p w14:paraId="26006F3B"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Samtenga</w:t>
            </w:r>
            <w:proofErr w:type="spellEnd"/>
          </w:p>
        </w:tc>
        <w:tc>
          <w:tcPr>
            <w:tcW w:w="3870" w:type="dxa"/>
          </w:tcPr>
          <w:p w14:paraId="79B7FA9B"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Nordgold</w:t>
            </w:r>
            <w:proofErr w:type="spellEnd"/>
            <w:r w:rsidRPr="007C5A6E">
              <w:rPr>
                <w:rFonts w:ascii="Times New Roman" w:eastAsia="Calibri" w:hAnsi="Times New Roman"/>
                <w:lang w:eastAsia="en-US"/>
              </w:rPr>
              <w:t xml:space="preserve"> </w:t>
            </w:r>
            <w:proofErr w:type="spellStart"/>
            <w:r w:rsidRPr="007C5A6E">
              <w:rPr>
                <w:rFonts w:ascii="Times New Roman" w:eastAsia="Calibri" w:hAnsi="Times New Roman"/>
                <w:lang w:eastAsia="en-US"/>
              </w:rPr>
              <w:t>Samtenga</w:t>
            </w:r>
            <w:proofErr w:type="spellEnd"/>
            <w:r w:rsidRPr="007C5A6E">
              <w:rPr>
                <w:rFonts w:ascii="Times New Roman" w:eastAsia="Calibri" w:hAnsi="Times New Roman"/>
                <w:lang w:eastAsia="en-US"/>
              </w:rPr>
              <w:t xml:space="preserve"> SA</w:t>
            </w:r>
          </w:p>
        </w:tc>
        <w:tc>
          <w:tcPr>
            <w:tcW w:w="1954" w:type="dxa"/>
          </w:tcPr>
          <w:p w14:paraId="2215F3C9"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Pr>
          <w:p w14:paraId="3F363A04" w14:textId="7395F383" w:rsidR="00D82C73" w:rsidRPr="007C5A6E" w:rsidRDefault="00D82C73" w:rsidP="0057132F">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9,92</w:t>
            </w:r>
          </w:p>
        </w:tc>
      </w:tr>
      <w:tr w:rsidR="00D82C73" w:rsidRPr="007C5A6E" w14:paraId="12519E87" w14:textId="77777777" w:rsidTr="0057132F">
        <w:tc>
          <w:tcPr>
            <w:cnfStyle w:val="001000000000" w:firstRow="0" w:lastRow="0" w:firstColumn="1" w:lastColumn="0" w:oddVBand="0" w:evenVBand="0" w:oddHBand="0" w:evenHBand="0" w:firstRowFirstColumn="0" w:firstRowLastColumn="0" w:lastRowFirstColumn="0" w:lastRowLastColumn="0"/>
            <w:tcW w:w="464" w:type="dxa"/>
          </w:tcPr>
          <w:p w14:paraId="5C41D923"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20</w:t>
            </w:r>
          </w:p>
        </w:tc>
        <w:tc>
          <w:tcPr>
            <w:tcW w:w="1646" w:type="dxa"/>
          </w:tcPr>
          <w:p w14:paraId="6533EB14"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Sanbrado</w:t>
            </w:r>
            <w:proofErr w:type="spellEnd"/>
          </w:p>
        </w:tc>
        <w:tc>
          <w:tcPr>
            <w:tcW w:w="3870" w:type="dxa"/>
          </w:tcPr>
          <w:p w14:paraId="13CE5687"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 xml:space="preserve">Société des mines de </w:t>
            </w:r>
            <w:proofErr w:type="spellStart"/>
            <w:r w:rsidRPr="007C5A6E">
              <w:rPr>
                <w:rFonts w:ascii="Times New Roman" w:eastAsia="Calibri" w:hAnsi="Times New Roman"/>
                <w:lang w:eastAsia="en-US"/>
              </w:rPr>
              <w:t>Sanbrado</w:t>
            </w:r>
            <w:proofErr w:type="spellEnd"/>
            <w:r w:rsidRPr="007C5A6E">
              <w:rPr>
                <w:rFonts w:ascii="Times New Roman" w:eastAsia="Calibri" w:hAnsi="Times New Roman"/>
                <w:lang w:eastAsia="en-US"/>
              </w:rPr>
              <w:t xml:space="preserve"> (</w:t>
            </w:r>
            <w:proofErr w:type="spellStart"/>
            <w:r w:rsidRPr="007C5A6E">
              <w:rPr>
                <w:rFonts w:ascii="Times New Roman" w:eastAsia="Calibri" w:hAnsi="Times New Roman"/>
                <w:lang w:eastAsia="en-US"/>
              </w:rPr>
              <w:t>Somisa</w:t>
            </w:r>
            <w:proofErr w:type="spellEnd"/>
            <w:r w:rsidRPr="007C5A6E">
              <w:rPr>
                <w:rFonts w:ascii="Times New Roman" w:eastAsia="Calibri" w:hAnsi="Times New Roman"/>
                <w:lang w:eastAsia="en-US"/>
              </w:rPr>
              <w:t>) SA</w:t>
            </w:r>
          </w:p>
        </w:tc>
        <w:tc>
          <w:tcPr>
            <w:tcW w:w="1954" w:type="dxa"/>
          </w:tcPr>
          <w:p w14:paraId="6DDA40F9"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Pr>
          <w:p w14:paraId="68FB78AE" w14:textId="77777777" w:rsidR="00D82C73" w:rsidRPr="007C5A6E" w:rsidRDefault="00D82C73" w:rsidP="005713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25,89</w:t>
            </w:r>
          </w:p>
        </w:tc>
      </w:tr>
      <w:tr w:rsidR="00D82C73" w:rsidRPr="007C5A6E" w14:paraId="2533CB08" w14:textId="77777777" w:rsidTr="0057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 w:type="dxa"/>
          </w:tcPr>
          <w:p w14:paraId="603B696C"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21</w:t>
            </w:r>
          </w:p>
        </w:tc>
        <w:tc>
          <w:tcPr>
            <w:tcW w:w="1646" w:type="dxa"/>
          </w:tcPr>
          <w:p w14:paraId="62483FE8"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Séguénéga</w:t>
            </w:r>
          </w:p>
        </w:tc>
        <w:tc>
          <w:tcPr>
            <w:tcW w:w="3870" w:type="dxa"/>
          </w:tcPr>
          <w:p w14:paraId="08C881CC"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BUMIGEB</w:t>
            </w:r>
          </w:p>
        </w:tc>
        <w:tc>
          <w:tcPr>
            <w:tcW w:w="1954" w:type="dxa"/>
          </w:tcPr>
          <w:p w14:paraId="0F2832C6"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Pr>
          <w:p w14:paraId="14308A3C" w14:textId="77777777" w:rsidR="00D82C73" w:rsidRPr="007C5A6E" w:rsidRDefault="00D82C73" w:rsidP="0057132F">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49</w:t>
            </w:r>
          </w:p>
        </w:tc>
      </w:tr>
      <w:tr w:rsidR="00D82C73" w:rsidRPr="007C5A6E" w14:paraId="6E8BCCDF" w14:textId="77777777" w:rsidTr="0057132F">
        <w:tc>
          <w:tcPr>
            <w:cnfStyle w:val="001000000000" w:firstRow="0" w:lastRow="0" w:firstColumn="1" w:lastColumn="0" w:oddVBand="0" w:evenVBand="0" w:oddHBand="0" w:evenHBand="0" w:firstRowFirstColumn="0" w:firstRowLastColumn="0" w:lastRowFirstColumn="0" w:lastRowLastColumn="0"/>
            <w:tcW w:w="464" w:type="dxa"/>
          </w:tcPr>
          <w:p w14:paraId="4F00C454"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22</w:t>
            </w:r>
          </w:p>
        </w:tc>
        <w:tc>
          <w:tcPr>
            <w:tcW w:w="1646" w:type="dxa"/>
          </w:tcPr>
          <w:p w14:paraId="6B789CDC"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Tambao</w:t>
            </w:r>
            <w:proofErr w:type="spellEnd"/>
          </w:p>
        </w:tc>
        <w:tc>
          <w:tcPr>
            <w:tcW w:w="3870" w:type="dxa"/>
          </w:tcPr>
          <w:p w14:paraId="0D2695AB"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 xml:space="preserve">Pan </w:t>
            </w:r>
            <w:proofErr w:type="spellStart"/>
            <w:r w:rsidRPr="007C5A6E">
              <w:rPr>
                <w:rFonts w:ascii="Times New Roman" w:eastAsia="Calibri" w:hAnsi="Times New Roman"/>
                <w:lang w:eastAsia="en-US"/>
              </w:rPr>
              <w:t>African</w:t>
            </w:r>
            <w:proofErr w:type="spellEnd"/>
            <w:r w:rsidRPr="007C5A6E">
              <w:rPr>
                <w:rFonts w:ascii="Times New Roman" w:eastAsia="Calibri" w:hAnsi="Times New Roman"/>
                <w:lang w:eastAsia="en-US"/>
              </w:rPr>
              <w:t xml:space="preserve"> </w:t>
            </w:r>
            <w:proofErr w:type="spellStart"/>
            <w:r w:rsidRPr="007C5A6E">
              <w:rPr>
                <w:rFonts w:ascii="Times New Roman" w:eastAsia="Calibri" w:hAnsi="Times New Roman"/>
                <w:lang w:eastAsia="en-US"/>
              </w:rPr>
              <w:t>Tambao</w:t>
            </w:r>
            <w:proofErr w:type="spellEnd"/>
            <w:r w:rsidRPr="007C5A6E">
              <w:rPr>
                <w:rFonts w:ascii="Times New Roman" w:eastAsia="Calibri" w:hAnsi="Times New Roman"/>
                <w:lang w:eastAsia="en-US"/>
              </w:rPr>
              <w:t xml:space="preserve"> SA</w:t>
            </w:r>
          </w:p>
        </w:tc>
        <w:tc>
          <w:tcPr>
            <w:tcW w:w="1954" w:type="dxa"/>
          </w:tcPr>
          <w:p w14:paraId="1C486A69"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Manganèse</w:t>
            </w:r>
          </w:p>
        </w:tc>
        <w:tc>
          <w:tcPr>
            <w:tcW w:w="1560" w:type="dxa"/>
          </w:tcPr>
          <w:p w14:paraId="2126F4D8" w14:textId="77777777" w:rsidR="00D82C73" w:rsidRPr="007C5A6E" w:rsidRDefault="00D82C73" w:rsidP="005713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26</w:t>
            </w:r>
          </w:p>
        </w:tc>
      </w:tr>
      <w:tr w:rsidR="00D82C73" w:rsidRPr="007C5A6E" w14:paraId="78D41C24" w14:textId="77777777" w:rsidTr="0057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 w:type="dxa"/>
          </w:tcPr>
          <w:p w14:paraId="043F6F04"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 xml:space="preserve">23 </w:t>
            </w:r>
          </w:p>
        </w:tc>
        <w:tc>
          <w:tcPr>
            <w:tcW w:w="1646" w:type="dxa"/>
          </w:tcPr>
          <w:p w14:paraId="1092A46E"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Taparko</w:t>
            </w:r>
            <w:proofErr w:type="spellEnd"/>
          </w:p>
        </w:tc>
        <w:tc>
          <w:tcPr>
            <w:tcW w:w="3870" w:type="dxa"/>
          </w:tcPr>
          <w:p w14:paraId="64BAB75F"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Somita</w:t>
            </w:r>
            <w:proofErr w:type="spellEnd"/>
            <w:r w:rsidRPr="007C5A6E">
              <w:rPr>
                <w:rFonts w:ascii="Times New Roman" w:eastAsia="Calibri" w:hAnsi="Times New Roman"/>
                <w:lang w:eastAsia="en-US"/>
              </w:rPr>
              <w:t xml:space="preserve"> SA</w:t>
            </w:r>
          </w:p>
        </w:tc>
        <w:tc>
          <w:tcPr>
            <w:tcW w:w="1954" w:type="dxa"/>
          </w:tcPr>
          <w:p w14:paraId="6A19A62E"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Pr>
          <w:p w14:paraId="75091769" w14:textId="5AABDD07" w:rsidR="00D82C73" w:rsidRPr="007C5A6E" w:rsidRDefault="00D82C73" w:rsidP="0057132F">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666,5</w:t>
            </w:r>
          </w:p>
        </w:tc>
      </w:tr>
      <w:tr w:rsidR="00D82C73" w:rsidRPr="007C5A6E" w14:paraId="7042144C" w14:textId="77777777" w:rsidTr="0057132F">
        <w:tc>
          <w:tcPr>
            <w:cnfStyle w:val="001000000000" w:firstRow="0" w:lastRow="0" w:firstColumn="1" w:lastColumn="0" w:oddVBand="0" w:evenVBand="0" w:oddHBand="0" w:evenHBand="0" w:firstRowFirstColumn="0" w:firstRowLastColumn="0" w:lastRowFirstColumn="0" w:lastRowLastColumn="0"/>
            <w:tcW w:w="464" w:type="dxa"/>
          </w:tcPr>
          <w:p w14:paraId="7C487ACC"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24</w:t>
            </w:r>
          </w:p>
        </w:tc>
        <w:tc>
          <w:tcPr>
            <w:tcW w:w="1646" w:type="dxa"/>
          </w:tcPr>
          <w:p w14:paraId="039BEFB4"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Wahgnion</w:t>
            </w:r>
            <w:proofErr w:type="spellEnd"/>
          </w:p>
        </w:tc>
        <w:tc>
          <w:tcPr>
            <w:tcW w:w="3870" w:type="dxa"/>
          </w:tcPr>
          <w:p w14:paraId="10478F28"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Wahgnion</w:t>
            </w:r>
            <w:proofErr w:type="spellEnd"/>
            <w:r w:rsidRPr="007C5A6E">
              <w:rPr>
                <w:rFonts w:ascii="Times New Roman" w:eastAsia="Calibri" w:hAnsi="Times New Roman"/>
                <w:lang w:eastAsia="en-US"/>
              </w:rPr>
              <w:t xml:space="preserve"> </w:t>
            </w:r>
            <w:proofErr w:type="spellStart"/>
            <w:r w:rsidRPr="007C5A6E">
              <w:rPr>
                <w:rFonts w:ascii="Times New Roman" w:eastAsia="Calibri" w:hAnsi="Times New Roman"/>
                <w:lang w:eastAsia="en-US"/>
              </w:rPr>
              <w:t>Operation</w:t>
            </w:r>
            <w:proofErr w:type="spellEnd"/>
          </w:p>
        </w:tc>
        <w:tc>
          <w:tcPr>
            <w:tcW w:w="1954" w:type="dxa"/>
          </w:tcPr>
          <w:p w14:paraId="244B9EF1"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Pr>
          <w:p w14:paraId="041D39E1" w14:textId="77777777" w:rsidR="00D82C73" w:rsidRPr="007C5A6E" w:rsidRDefault="00D82C73" w:rsidP="005713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88,6</w:t>
            </w:r>
          </w:p>
        </w:tc>
      </w:tr>
      <w:tr w:rsidR="00D82C73" w:rsidRPr="007C5A6E" w14:paraId="01C55C6E" w14:textId="77777777" w:rsidTr="0057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 w:type="dxa"/>
          </w:tcPr>
          <w:p w14:paraId="3211A437"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25</w:t>
            </w:r>
          </w:p>
        </w:tc>
        <w:tc>
          <w:tcPr>
            <w:tcW w:w="1646" w:type="dxa"/>
          </w:tcPr>
          <w:p w14:paraId="69D5AE84"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Yaramoko</w:t>
            </w:r>
            <w:proofErr w:type="spellEnd"/>
          </w:p>
        </w:tc>
        <w:tc>
          <w:tcPr>
            <w:tcW w:w="3870" w:type="dxa"/>
          </w:tcPr>
          <w:p w14:paraId="4594E44E"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Rongold</w:t>
            </w:r>
            <w:proofErr w:type="spellEnd"/>
            <w:r w:rsidRPr="007C5A6E">
              <w:rPr>
                <w:rFonts w:ascii="Times New Roman" w:eastAsia="Calibri" w:hAnsi="Times New Roman"/>
                <w:lang w:eastAsia="en-US"/>
              </w:rPr>
              <w:t xml:space="preserve"> SANU SA</w:t>
            </w:r>
          </w:p>
        </w:tc>
        <w:tc>
          <w:tcPr>
            <w:tcW w:w="1954" w:type="dxa"/>
          </w:tcPr>
          <w:p w14:paraId="7C0762D1"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Pr>
          <w:p w14:paraId="4266EE00" w14:textId="0E4B39E0" w:rsidR="00D82C73" w:rsidRPr="007C5A6E" w:rsidRDefault="00D82C73" w:rsidP="0057132F">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22,89</w:t>
            </w:r>
          </w:p>
        </w:tc>
      </w:tr>
      <w:tr w:rsidR="00D82C73" w:rsidRPr="007C5A6E" w14:paraId="61629E66" w14:textId="77777777" w:rsidTr="0057132F">
        <w:tc>
          <w:tcPr>
            <w:cnfStyle w:val="001000000000" w:firstRow="0" w:lastRow="0" w:firstColumn="1" w:lastColumn="0" w:oddVBand="0" w:evenVBand="0" w:oddHBand="0" w:evenHBand="0" w:firstRowFirstColumn="0" w:firstRowLastColumn="0" w:lastRowFirstColumn="0" w:lastRowLastColumn="0"/>
            <w:tcW w:w="464" w:type="dxa"/>
          </w:tcPr>
          <w:p w14:paraId="0B77A70E"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26</w:t>
            </w:r>
          </w:p>
        </w:tc>
        <w:tc>
          <w:tcPr>
            <w:tcW w:w="1646" w:type="dxa"/>
          </w:tcPr>
          <w:p w14:paraId="08507552"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YEOU</w:t>
            </w:r>
          </w:p>
        </w:tc>
        <w:tc>
          <w:tcPr>
            <w:tcW w:w="3870" w:type="dxa"/>
          </w:tcPr>
          <w:p w14:paraId="11B17BDC"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Norgold</w:t>
            </w:r>
            <w:proofErr w:type="spellEnd"/>
            <w:r w:rsidRPr="007C5A6E">
              <w:rPr>
                <w:rFonts w:ascii="Times New Roman" w:eastAsia="Calibri" w:hAnsi="Times New Roman"/>
                <w:lang w:eastAsia="en-US"/>
              </w:rPr>
              <w:t xml:space="preserve"> </w:t>
            </w:r>
            <w:proofErr w:type="spellStart"/>
            <w:r w:rsidRPr="007C5A6E">
              <w:rPr>
                <w:rFonts w:ascii="Times New Roman" w:eastAsia="Calibri" w:hAnsi="Times New Roman"/>
                <w:lang w:eastAsia="en-US"/>
              </w:rPr>
              <w:t>Yeou</w:t>
            </w:r>
            <w:proofErr w:type="spellEnd"/>
            <w:r w:rsidRPr="007C5A6E">
              <w:rPr>
                <w:rFonts w:ascii="Times New Roman" w:eastAsia="Calibri" w:hAnsi="Times New Roman"/>
                <w:lang w:eastAsia="en-US"/>
              </w:rPr>
              <w:t xml:space="preserve"> SA</w:t>
            </w:r>
          </w:p>
        </w:tc>
        <w:tc>
          <w:tcPr>
            <w:tcW w:w="1954" w:type="dxa"/>
          </w:tcPr>
          <w:p w14:paraId="60E97087" w14:textId="77777777" w:rsidR="00D82C73" w:rsidRPr="007C5A6E" w:rsidRDefault="00D82C73" w:rsidP="005713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Pr>
          <w:p w14:paraId="768EDA89" w14:textId="77777777" w:rsidR="00D82C73" w:rsidRPr="007C5A6E" w:rsidRDefault="00D82C73" w:rsidP="005713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12,6</w:t>
            </w:r>
          </w:p>
        </w:tc>
      </w:tr>
      <w:tr w:rsidR="00D82C73" w:rsidRPr="007C5A6E" w14:paraId="4A80A2A2" w14:textId="77777777" w:rsidTr="0057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 w:type="dxa"/>
            <w:tcBorders>
              <w:bottom w:val="thinThickSmallGap" w:sz="24" w:space="0" w:color="auto"/>
            </w:tcBorders>
          </w:tcPr>
          <w:p w14:paraId="1F6386CC" w14:textId="77777777" w:rsidR="00D82C73" w:rsidRPr="007C5A6E" w:rsidRDefault="00D82C73" w:rsidP="0057132F">
            <w:pPr>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27</w:t>
            </w:r>
          </w:p>
        </w:tc>
        <w:tc>
          <w:tcPr>
            <w:tcW w:w="1646" w:type="dxa"/>
            <w:tcBorders>
              <w:bottom w:val="thinThickSmallGap" w:sz="24" w:space="0" w:color="auto"/>
            </w:tcBorders>
          </w:tcPr>
          <w:p w14:paraId="48370E7C"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proofErr w:type="spellStart"/>
            <w:r w:rsidRPr="007C5A6E">
              <w:rPr>
                <w:rFonts w:ascii="Times New Roman" w:eastAsia="Calibri" w:hAnsi="Times New Roman"/>
                <w:lang w:eastAsia="en-US"/>
              </w:rPr>
              <w:t>Youga</w:t>
            </w:r>
            <w:proofErr w:type="spellEnd"/>
          </w:p>
        </w:tc>
        <w:tc>
          <w:tcPr>
            <w:tcW w:w="3870" w:type="dxa"/>
            <w:tcBorders>
              <w:bottom w:val="thinThickSmallGap" w:sz="24" w:space="0" w:color="auto"/>
            </w:tcBorders>
          </w:tcPr>
          <w:p w14:paraId="033384BD"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 xml:space="preserve">Burkina Mining </w:t>
            </w:r>
            <w:proofErr w:type="spellStart"/>
            <w:r w:rsidRPr="007C5A6E">
              <w:rPr>
                <w:rFonts w:ascii="Times New Roman" w:eastAsia="Calibri" w:hAnsi="Times New Roman"/>
                <w:lang w:eastAsia="en-US"/>
              </w:rPr>
              <w:t>Company</w:t>
            </w:r>
            <w:proofErr w:type="spellEnd"/>
            <w:r w:rsidRPr="007C5A6E">
              <w:rPr>
                <w:rFonts w:ascii="Times New Roman" w:eastAsia="Calibri" w:hAnsi="Times New Roman"/>
                <w:lang w:eastAsia="en-US"/>
              </w:rPr>
              <w:t xml:space="preserve"> SA</w:t>
            </w:r>
          </w:p>
        </w:tc>
        <w:tc>
          <w:tcPr>
            <w:tcW w:w="1954" w:type="dxa"/>
            <w:tcBorders>
              <w:bottom w:val="thinThickSmallGap" w:sz="24" w:space="0" w:color="auto"/>
            </w:tcBorders>
          </w:tcPr>
          <w:p w14:paraId="6A780A65" w14:textId="77777777" w:rsidR="00D82C73" w:rsidRPr="007C5A6E" w:rsidRDefault="00D82C73" w:rsidP="005713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Or</w:t>
            </w:r>
          </w:p>
        </w:tc>
        <w:tc>
          <w:tcPr>
            <w:tcW w:w="1560" w:type="dxa"/>
            <w:tcBorders>
              <w:bottom w:val="thinThickSmallGap" w:sz="24" w:space="0" w:color="auto"/>
            </w:tcBorders>
          </w:tcPr>
          <w:p w14:paraId="1A33A654" w14:textId="77777777" w:rsidR="00D82C73" w:rsidRPr="007C5A6E" w:rsidRDefault="00D82C73" w:rsidP="0057132F">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29</w:t>
            </w:r>
          </w:p>
        </w:tc>
      </w:tr>
    </w:tbl>
    <w:p w14:paraId="43EBEA95" w14:textId="77777777" w:rsidR="00D82C73" w:rsidRPr="007C5A6E" w:rsidRDefault="00D82C73" w:rsidP="00D82C73">
      <w:pPr>
        <w:spacing w:after="0" w:line="240" w:lineRule="auto"/>
        <w:jc w:val="both"/>
        <w:rPr>
          <w:rFonts w:ascii="Times New Roman" w:eastAsia="Calibri" w:hAnsi="Times New Roman"/>
          <w:kern w:val="2"/>
          <w:sz w:val="20"/>
          <w:szCs w:val="20"/>
          <w:lang w:eastAsia="en-US"/>
          <w14:ligatures w14:val="standardContextual"/>
        </w:rPr>
      </w:pPr>
      <w:r w:rsidRPr="007C5A6E">
        <w:rPr>
          <w:rFonts w:ascii="Times New Roman" w:eastAsia="Calibri" w:hAnsi="Times New Roman"/>
          <w:kern w:val="2"/>
          <w:sz w:val="20"/>
          <w:szCs w:val="20"/>
          <w:lang w:eastAsia="en-US"/>
          <w14:ligatures w14:val="standardContextual"/>
        </w:rPr>
        <w:t>Source : MEMC/DGESS (2023)</w:t>
      </w:r>
    </w:p>
    <w:p w14:paraId="4C9325C7" w14:textId="77777777" w:rsidR="00D82C73" w:rsidRPr="007C5A6E" w:rsidRDefault="00D82C73" w:rsidP="00D82C73">
      <w:pPr>
        <w:spacing w:after="0" w:line="240" w:lineRule="auto"/>
        <w:jc w:val="both"/>
        <w:rPr>
          <w:rFonts w:ascii="Times New Roman" w:eastAsia="Calibri" w:hAnsi="Times New Roman"/>
          <w:kern w:val="2"/>
          <w:sz w:val="20"/>
          <w:szCs w:val="20"/>
          <w:lang w:eastAsia="en-US"/>
          <w14:ligatures w14:val="standardContextual"/>
        </w:rPr>
      </w:pPr>
    </w:p>
    <w:p w14:paraId="441D205B" w14:textId="2D56A3FB" w:rsidR="00D82C73" w:rsidRPr="007C5A6E" w:rsidRDefault="00F5426E" w:rsidP="00684FF8">
      <w:pPr>
        <w:pStyle w:val="Titre4"/>
      </w:pPr>
      <w:bookmarkStart w:id="714" w:name="_Toc181982223"/>
      <w:bookmarkStart w:id="715" w:name="_Toc183340138"/>
      <w:r w:rsidRPr="007C5A6E">
        <w:t>L’a</w:t>
      </w:r>
      <w:r w:rsidR="00D82C73" w:rsidRPr="007C5A6E">
        <w:t>griculture pluviale</w:t>
      </w:r>
      <w:bookmarkEnd w:id="714"/>
      <w:bookmarkEnd w:id="715"/>
    </w:p>
    <w:p w14:paraId="0BC4996B" w14:textId="77777777" w:rsidR="00F5426E" w:rsidRPr="007C5A6E" w:rsidRDefault="00F5426E" w:rsidP="00D82C73">
      <w:pPr>
        <w:shd w:val="clear" w:color="auto" w:fill="FFFFFF"/>
        <w:spacing w:after="0" w:line="240" w:lineRule="auto"/>
        <w:jc w:val="both"/>
        <w:rPr>
          <w:rFonts w:ascii="Times New Roman" w:hAnsi="Times New Roman"/>
          <w:sz w:val="24"/>
          <w:szCs w:val="24"/>
          <w:lang w:eastAsia="en-US"/>
        </w:rPr>
      </w:pPr>
    </w:p>
    <w:p w14:paraId="23780384" w14:textId="77777777" w:rsidR="0057132F" w:rsidRPr="007C5A6E" w:rsidRDefault="00D82C73" w:rsidP="00D82C73">
      <w:pPr>
        <w:shd w:val="clear" w:color="auto" w:fill="FFFFFF"/>
        <w:spacing w:after="0" w:line="240" w:lineRule="auto"/>
        <w:jc w:val="both"/>
        <w:rPr>
          <w:rFonts w:ascii="Times New Roman" w:hAnsi="Times New Roman"/>
          <w:sz w:val="24"/>
          <w:szCs w:val="24"/>
          <w:lang w:eastAsia="en-US"/>
        </w:rPr>
      </w:pPr>
      <w:r w:rsidRPr="007C5A6E">
        <w:rPr>
          <w:rFonts w:ascii="Times New Roman" w:hAnsi="Times New Roman"/>
          <w:sz w:val="24"/>
          <w:szCs w:val="24"/>
          <w:lang w:eastAsia="en-US"/>
        </w:rPr>
        <w:t xml:space="preserve">L’économie du Burkina Faso, qui repose sur l’agriculture, reste dominée par une production de subsistance et marquée par la faible productivité des cultures et de l’élevage. </w:t>
      </w:r>
      <w:r w:rsidRPr="007C5A6E">
        <w:rPr>
          <w:rFonts w:ascii="Times New Roman" w:eastAsia="Calibri" w:hAnsi="Times New Roman"/>
          <w:kern w:val="2"/>
          <w:sz w:val="24"/>
          <w:szCs w:val="24"/>
          <w:shd w:val="clear" w:color="auto" w:fill="FFFFFF"/>
          <w:lang w:eastAsia="en-US"/>
          <w14:ligatures w14:val="standardContextual"/>
        </w:rPr>
        <w:t>La plupart des Burkinabés ne bénéficient pas encore d'une production agricole commercialisée. En fait, 86 % de la population dépend de l'agriculture de subsistance (USAID, 2021)</w:t>
      </w:r>
      <w:r w:rsidRPr="007C5A6E">
        <w:rPr>
          <w:rFonts w:ascii="Helvetica" w:eastAsia="Calibri" w:hAnsi="Helvetica" w:cs="Helvetica"/>
          <w:color w:val="212721"/>
          <w:kern w:val="2"/>
          <w:shd w:val="clear" w:color="auto" w:fill="FFFFFF"/>
          <w:lang w:eastAsia="en-US"/>
          <w14:ligatures w14:val="standardContextual"/>
        </w:rPr>
        <w:t>.</w:t>
      </w:r>
      <w:r w:rsidRPr="007C5A6E">
        <w:rPr>
          <w:rFonts w:ascii="Times New Roman" w:hAnsi="Times New Roman"/>
          <w:sz w:val="24"/>
          <w:szCs w:val="24"/>
          <w:lang w:eastAsia="en-US"/>
        </w:rPr>
        <w:t xml:space="preserve"> Bien qu’en progression, la diversification reste limitée, tandis que le développement des filières agropastorales souffre du manque d’entreprises dans le secteur privé formel. Toujours prédominantes, les exportations de coton représentent environ 60 % du total des exportations agricoles, soulignant le besoin de diversifier la production et les exportations (Banque Mondiale, 2017). Les superficies occupées par les cultures céréalières et de rente sont en évolution croissante et exercent de fortes pressions sur les sols sur l’ensemble du pays. </w:t>
      </w:r>
    </w:p>
    <w:p w14:paraId="2C6F0D77" w14:textId="209A4B02" w:rsidR="00D82C73" w:rsidRPr="007C5A6E" w:rsidRDefault="00D82C73" w:rsidP="00D82C73">
      <w:pPr>
        <w:shd w:val="clear" w:color="auto" w:fill="FFFFFF"/>
        <w:spacing w:after="0" w:line="240" w:lineRule="auto"/>
        <w:jc w:val="both"/>
        <w:rPr>
          <w:rFonts w:ascii="Times New Roman" w:hAnsi="Times New Roman"/>
          <w:sz w:val="24"/>
          <w:szCs w:val="24"/>
          <w:lang w:eastAsia="en-US"/>
        </w:rPr>
      </w:pPr>
      <w:r w:rsidRPr="007C5A6E">
        <w:rPr>
          <w:rFonts w:ascii="Times New Roman" w:hAnsi="Times New Roman"/>
          <w:sz w:val="24"/>
          <w:szCs w:val="24"/>
          <w:lang w:eastAsia="en-US"/>
        </w:rPr>
        <w:t>La figure</w:t>
      </w:r>
      <w:r w:rsidR="0057132F" w:rsidRPr="007C5A6E">
        <w:rPr>
          <w:rFonts w:ascii="Times New Roman" w:hAnsi="Times New Roman"/>
          <w:sz w:val="24"/>
          <w:szCs w:val="24"/>
          <w:lang w:eastAsia="en-US"/>
        </w:rPr>
        <w:t xml:space="preserve"> 49</w:t>
      </w:r>
      <w:r w:rsidRPr="007C5A6E">
        <w:rPr>
          <w:rFonts w:ascii="Times New Roman" w:hAnsi="Times New Roman"/>
          <w:sz w:val="24"/>
          <w:szCs w:val="24"/>
          <w:lang w:eastAsia="en-US"/>
        </w:rPr>
        <w:t xml:space="preserve"> présente l’évolution des superficies des cultures céréalières et de rente. </w:t>
      </w:r>
    </w:p>
    <w:p w14:paraId="1F7193EF" w14:textId="77777777" w:rsidR="00605840" w:rsidRPr="007C5A6E" w:rsidRDefault="00605840" w:rsidP="00D82C73">
      <w:pPr>
        <w:shd w:val="clear" w:color="auto" w:fill="FFFFFF"/>
        <w:spacing w:after="0" w:line="240" w:lineRule="auto"/>
        <w:jc w:val="both"/>
        <w:rPr>
          <w:rFonts w:ascii="Times New Roman" w:hAnsi="Times New Roman"/>
          <w:sz w:val="24"/>
          <w:szCs w:val="24"/>
          <w:lang w:eastAsia="en-US"/>
        </w:rPr>
      </w:pPr>
    </w:p>
    <w:p w14:paraId="3B644FDE" w14:textId="77777777" w:rsidR="00D82C73" w:rsidRPr="007C5A6E" w:rsidRDefault="00D82C73" w:rsidP="00D82C73">
      <w:pPr>
        <w:shd w:val="clear" w:color="auto" w:fill="FFFFFF"/>
        <w:spacing w:after="0" w:line="240" w:lineRule="auto"/>
        <w:jc w:val="both"/>
        <w:rPr>
          <w:rFonts w:ascii="Times New Roman" w:hAnsi="Times New Roman"/>
          <w:sz w:val="24"/>
          <w:szCs w:val="24"/>
          <w:lang w:eastAsia="en-US"/>
        </w:rPr>
      </w:pPr>
      <w:r w:rsidRPr="007C5A6E">
        <w:rPr>
          <w:rFonts w:eastAsia="Calibri"/>
          <w:noProof/>
          <w:kern w:val="2"/>
          <w:lang w:eastAsia="en-US"/>
          <w14:ligatures w14:val="standardContextual"/>
        </w:rPr>
        <w:drawing>
          <wp:inline distT="0" distB="0" distL="0" distR="0" wp14:anchorId="1524624D" wp14:editId="2FDBE6E3">
            <wp:extent cx="4410020" cy="2338705"/>
            <wp:effectExtent l="0" t="0" r="10160" b="4445"/>
            <wp:docPr id="1924518026" name="Graphique 1">
              <a:extLst xmlns:a="http://schemas.openxmlformats.org/drawingml/2006/main">
                <a:ext uri="{FF2B5EF4-FFF2-40B4-BE49-F238E27FC236}">
                  <a16:creationId xmlns:a16="http://schemas.microsoft.com/office/drawing/2014/main" id="{95942D54-9B05-0ABA-E5FD-A233817230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r w:rsidRPr="007C5A6E">
        <w:rPr>
          <w:rFonts w:ascii="Times New Roman" w:hAnsi="Times New Roman"/>
          <w:sz w:val="24"/>
          <w:szCs w:val="24"/>
          <w:lang w:eastAsia="en-US"/>
        </w:rPr>
        <w:t xml:space="preserve"> </w:t>
      </w:r>
    </w:p>
    <w:p w14:paraId="42CFE391" w14:textId="179D62DA" w:rsidR="00102B40" w:rsidRPr="007C5A6E" w:rsidRDefault="00102B40" w:rsidP="00102B40">
      <w:pPr>
        <w:shd w:val="clear" w:color="auto" w:fill="FFFFFF"/>
        <w:spacing w:after="0" w:line="240" w:lineRule="auto"/>
        <w:jc w:val="both"/>
        <w:rPr>
          <w:rFonts w:ascii="Times New Roman" w:eastAsia="Calibri" w:hAnsi="Times New Roman"/>
          <w:bCs/>
          <w:kern w:val="2"/>
          <w:sz w:val="20"/>
          <w:szCs w:val="20"/>
          <w:lang w:eastAsia="en-US"/>
          <w14:ligatures w14:val="standardContextual"/>
        </w:rPr>
      </w:pPr>
      <w:bookmarkStart w:id="716" w:name="_Toc178703516"/>
      <w:bookmarkStart w:id="717" w:name="_Toc183230896"/>
      <w:bookmarkStart w:id="718" w:name="_Toc183240689"/>
      <w:r w:rsidRPr="007C5A6E">
        <w:rPr>
          <w:rFonts w:ascii="Times New Roman" w:eastAsia="Calibri" w:hAnsi="Times New Roman"/>
          <w:noProof/>
          <w:kern w:val="2"/>
          <w:sz w:val="20"/>
          <w:szCs w:val="20"/>
          <w:lang w:eastAsia="en-US"/>
          <w14:ligatures w14:val="standardContextual"/>
        </w:rPr>
        <w:t xml:space="preserve">(Source : </w:t>
      </w:r>
      <w:r w:rsidRPr="007C5A6E">
        <w:rPr>
          <w:rFonts w:ascii="Times New Roman" w:eastAsia="Calibri" w:hAnsi="Times New Roman"/>
          <w:bCs/>
          <w:kern w:val="2"/>
          <w:sz w:val="20"/>
          <w:szCs w:val="20"/>
          <w:lang w:eastAsia="en-US"/>
          <w14:ligatures w14:val="standardContextual"/>
        </w:rPr>
        <w:t>Source : MARH / DGESS, 2023)</w:t>
      </w:r>
    </w:p>
    <w:p w14:paraId="1258D5FC" w14:textId="4A120755" w:rsidR="00D82C73" w:rsidRPr="007C5A6E" w:rsidRDefault="00D82C73" w:rsidP="00D82C73">
      <w:pPr>
        <w:spacing w:after="0" w:line="240" w:lineRule="auto"/>
        <w:jc w:val="both"/>
        <w:rPr>
          <w:rFonts w:ascii="Times New Roman" w:hAnsi="Times New Roman"/>
          <w:i/>
          <w:iCs/>
          <w:spacing w:val="10"/>
          <w:sz w:val="24"/>
          <w:szCs w:val="24"/>
          <w:lang w:eastAsia="en-US"/>
        </w:rPr>
      </w:pPr>
      <w:bookmarkStart w:id="719" w:name="_Toc183340428"/>
      <w:r w:rsidRPr="007C5A6E">
        <w:rPr>
          <w:rFonts w:ascii="Times New Roman" w:hAnsi="Times New Roman"/>
          <w:i/>
          <w:iCs/>
          <w:spacing w:val="10"/>
          <w:sz w:val="24"/>
          <w:szCs w:val="24"/>
          <w:lang w:eastAsia="en-US"/>
        </w:rPr>
        <w:t xml:space="preserve">Figure </w:t>
      </w:r>
      <w:r w:rsidRPr="007C5A6E">
        <w:rPr>
          <w:rFonts w:ascii="Times New Roman" w:hAnsi="Times New Roman"/>
          <w:i/>
          <w:iCs/>
          <w:spacing w:val="10"/>
          <w:sz w:val="24"/>
          <w:szCs w:val="24"/>
          <w:lang w:eastAsia="en-US"/>
        </w:rPr>
        <w:fldChar w:fldCharType="begin"/>
      </w:r>
      <w:r w:rsidRPr="007C5A6E">
        <w:rPr>
          <w:rFonts w:ascii="Times New Roman" w:hAnsi="Times New Roman"/>
          <w:i/>
          <w:iCs/>
          <w:spacing w:val="10"/>
          <w:sz w:val="24"/>
          <w:szCs w:val="24"/>
          <w:lang w:eastAsia="en-US"/>
        </w:rPr>
        <w:instrText xml:space="preserve"> SEQ Figure \* ARABIC </w:instrText>
      </w:r>
      <w:r w:rsidRPr="007C5A6E">
        <w:rPr>
          <w:rFonts w:ascii="Times New Roman" w:hAnsi="Times New Roman"/>
          <w:i/>
          <w:iCs/>
          <w:spacing w:val="10"/>
          <w:sz w:val="24"/>
          <w:szCs w:val="24"/>
          <w:lang w:eastAsia="en-US"/>
        </w:rPr>
        <w:fldChar w:fldCharType="separate"/>
      </w:r>
      <w:r w:rsidR="00694720" w:rsidRPr="007C5A6E">
        <w:rPr>
          <w:rFonts w:ascii="Times New Roman" w:hAnsi="Times New Roman"/>
          <w:i/>
          <w:iCs/>
          <w:noProof/>
          <w:spacing w:val="10"/>
          <w:sz w:val="24"/>
          <w:szCs w:val="24"/>
          <w:lang w:eastAsia="en-US"/>
        </w:rPr>
        <w:t>49</w:t>
      </w:r>
      <w:r w:rsidRPr="007C5A6E">
        <w:rPr>
          <w:rFonts w:ascii="Times New Roman" w:hAnsi="Times New Roman"/>
          <w:i/>
          <w:iCs/>
          <w:spacing w:val="10"/>
          <w:sz w:val="24"/>
          <w:szCs w:val="24"/>
          <w:lang w:eastAsia="en-US"/>
        </w:rPr>
        <w:fldChar w:fldCharType="end"/>
      </w:r>
      <w:r w:rsidR="00224FF0" w:rsidRPr="007C5A6E">
        <w:rPr>
          <w:rFonts w:ascii="Times New Roman" w:hAnsi="Times New Roman"/>
          <w:i/>
          <w:iCs/>
          <w:spacing w:val="10"/>
          <w:sz w:val="24"/>
          <w:szCs w:val="24"/>
          <w:lang w:eastAsia="en-US"/>
        </w:rPr>
        <w:t>.</w:t>
      </w:r>
      <w:r w:rsidR="00605840" w:rsidRPr="007C5A6E">
        <w:rPr>
          <w:rFonts w:ascii="Times New Roman" w:hAnsi="Times New Roman"/>
          <w:i/>
          <w:iCs/>
          <w:spacing w:val="10"/>
          <w:sz w:val="24"/>
          <w:szCs w:val="24"/>
          <w:lang w:eastAsia="en-US"/>
        </w:rPr>
        <w:t xml:space="preserve"> </w:t>
      </w:r>
      <w:r w:rsidRPr="007C5A6E">
        <w:rPr>
          <w:rFonts w:ascii="Times New Roman" w:hAnsi="Times New Roman"/>
          <w:i/>
          <w:iCs/>
          <w:spacing w:val="10"/>
          <w:sz w:val="24"/>
          <w:szCs w:val="24"/>
          <w:lang w:eastAsia="en-US"/>
        </w:rPr>
        <w:t>Evolution des superficies des céréales et des cultures de rente</w:t>
      </w:r>
      <w:bookmarkEnd w:id="716"/>
      <w:bookmarkEnd w:id="717"/>
      <w:bookmarkEnd w:id="718"/>
      <w:bookmarkEnd w:id="719"/>
    </w:p>
    <w:p w14:paraId="65FE2275" w14:textId="77777777" w:rsidR="00D82C73" w:rsidRPr="007C5A6E" w:rsidRDefault="00D82C73" w:rsidP="00D82C73">
      <w:pPr>
        <w:shd w:val="clear" w:color="auto" w:fill="FFFFFF"/>
        <w:spacing w:after="0" w:line="240" w:lineRule="auto"/>
        <w:jc w:val="both"/>
        <w:rPr>
          <w:rFonts w:ascii="Times New Roman" w:eastAsia="Calibri" w:hAnsi="Times New Roman"/>
          <w:bCs/>
          <w:kern w:val="2"/>
          <w:sz w:val="20"/>
          <w:szCs w:val="20"/>
          <w:lang w:eastAsia="en-US"/>
          <w14:ligatures w14:val="standardContextual"/>
        </w:rPr>
      </w:pPr>
    </w:p>
    <w:p w14:paraId="7E99F12C" w14:textId="77777777" w:rsidR="00DC12DA" w:rsidRPr="007C5A6E" w:rsidRDefault="00DC12DA" w:rsidP="00D82C73">
      <w:pPr>
        <w:shd w:val="clear" w:color="auto" w:fill="FFFFFF"/>
        <w:spacing w:after="0" w:line="240" w:lineRule="auto"/>
        <w:jc w:val="both"/>
        <w:rPr>
          <w:rFonts w:ascii="Times New Roman" w:eastAsia="Calibri" w:hAnsi="Times New Roman"/>
          <w:bCs/>
          <w:kern w:val="2"/>
          <w:sz w:val="20"/>
          <w:szCs w:val="20"/>
          <w:lang w:eastAsia="en-US"/>
          <w14:ligatures w14:val="standardContextual"/>
        </w:rPr>
      </w:pPr>
    </w:p>
    <w:p w14:paraId="617CC748" w14:textId="632B4735" w:rsidR="00D82C73" w:rsidRPr="007C5A6E" w:rsidRDefault="00B15B8A" w:rsidP="00684FF8">
      <w:pPr>
        <w:pStyle w:val="Titre4"/>
      </w:pPr>
      <w:bookmarkStart w:id="720" w:name="_Toc181982224"/>
      <w:bookmarkStart w:id="721" w:name="_Toc183340139"/>
      <w:r w:rsidRPr="007C5A6E">
        <w:t>L’utilisation des e</w:t>
      </w:r>
      <w:r w:rsidR="00D82C73" w:rsidRPr="007C5A6E">
        <w:t>ngrais et pesticides</w:t>
      </w:r>
      <w:bookmarkEnd w:id="720"/>
      <w:bookmarkEnd w:id="721"/>
    </w:p>
    <w:p w14:paraId="377C0987" w14:textId="77777777" w:rsidR="00DC12DA" w:rsidRPr="007C5A6E" w:rsidRDefault="00DC12DA" w:rsidP="0057132F">
      <w:pPr>
        <w:shd w:val="clear" w:color="auto" w:fill="FFFFFF"/>
        <w:spacing w:after="0" w:line="240" w:lineRule="auto"/>
        <w:jc w:val="both"/>
        <w:rPr>
          <w:rFonts w:ascii="Times New Roman" w:eastAsia="Calibri" w:hAnsi="Times New Roman"/>
          <w:bCs/>
          <w:kern w:val="2"/>
          <w:sz w:val="24"/>
          <w:szCs w:val="24"/>
          <w:lang w:eastAsia="en-US"/>
          <w14:ligatures w14:val="standardContextual"/>
        </w:rPr>
      </w:pPr>
    </w:p>
    <w:p w14:paraId="56C7033D" w14:textId="72C62B67" w:rsidR="0057132F" w:rsidRPr="007C5A6E" w:rsidRDefault="00D82C73" w:rsidP="0057132F">
      <w:pPr>
        <w:shd w:val="clear" w:color="auto" w:fill="FFFFFF"/>
        <w:spacing w:after="0" w:line="240" w:lineRule="auto"/>
        <w:jc w:val="both"/>
        <w:rPr>
          <w:rFonts w:ascii="Times New Roman" w:eastAsia="Calibri" w:hAnsi="Times New Roman"/>
          <w:bCs/>
          <w:kern w:val="2"/>
          <w:sz w:val="24"/>
          <w:szCs w:val="24"/>
          <w:lang w:eastAsia="en-US"/>
          <w14:ligatures w14:val="standardContextual"/>
        </w:rPr>
      </w:pPr>
      <w:r w:rsidRPr="007C5A6E">
        <w:rPr>
          <w:rFonts w:ascii="Times New Roman" w:eastAsia="Calibri" w:hAnsi="Times New Roman"/>
          <w:bCs/>
          <w:kern w:val="2"/>
          <w:sz w:val="24"/>
          <w:szCs w:val="24"/>
          <w:lang w:eastAsia="en-US"/>
          <w14:ligatures w14:val="standardContextual"/>
        </w:rPr>
        <w:t>L’utilisation des engrais chimiques au Burkina Faso est cruciale et prend de l’ampleur dans les exploitations agricoles. Dans le bassin cotonnier du Sud-Ouest, les producteurs sont unanimement convaincus que l’utilisation des engrais chimiques est incontournable si l’on veut obtenir de bons rendements (</w:t>
      </w:r>
      <w:proofErr w:type="spellStart"/>
      <w:r w:rsidRPr="007C5A6E">
        <w:rPr>
          <w:rFonts w:ascii="Times New Roman" w:eastAsia="Calibri" w:hAnsi="Times New Roman"/>
          <w:bCs/>
          <w:kern w:val="2"/>
          <w:sz w:val="24"/>
          <w:szCs w:val="24"/>
          <w:lang w:eastAsia="en-US"/>
          <w14:ligatures w14:val="standardContextual"/>
        </w:rPr>
        <w:t>Kissou</w:t>
      </w:r>
      <w:proofErr w:type="spellEnd"/>
      <w:r w:rsidRPr="007C5A6E">
        <w:rPr>
          <w:rFonts w:ascii="Times New Roman" w:eastAsia="Calibri" w:hAnsi="Times New Roman"/>
          <w:bCs/>
          <w:kern w:val="2"/>
          <w:sz w:val="24"/>
          <w:szCs w:val="24"/>
          <w:lang w:eastAsia="en-US"/>
          <w14:ligatures w14:val="standardContextual"/>
        </w:rPr>
        <w:t xml:space="preserve">, 2018a ; </w:t>
      </w:r>
      <w:proofErr w:type="spellStart"/>
      <w:r w:rsidRPr="007C5A6E">
        <w:rPr>
          <w:rFonts w:ascii="Times New Roman" w:eastAsia="Calibri" w:hAnsi="Times New Roman"/>
          <w:bCs/>
          <w:kern w:val="2"/>
          <w:sz w:val="24"/>
          <w:szCs w:val="24"/>
          <w:lang w:eastAsia="en-US"/>
          <w14:ligatures w14:val="standardContextual"/>
        </w:rPr>
        <w:t>Bamogo</w:t>
      </w:r>
      <w:proofErr w:type="spellEnd"/>
      <w:r w:rsidRPr="007C5A6E">
        <w:rPr>
          <w:rFonts w:ascii="Times New Roman" w:eastAsia="Calibri" w:hAnsi="Times New Roman"/>
          <w:bCs/>
          <w:kern w:val="2"/>
          <w:sz w:val="24"/>
          <w:szCs w:val="24"/>
          <w:lang w:eastAsia="en-US"/>
          <w14:ligatures w14:val="standardContextual"/>
        </w:rPr>
        <w:t xml:space="preserve"> et </w:t>
      </w:r>
      <w:r w:rsidRPr="007C5A6E">
        <w:rPr>
          <w:rFonts w:ascii="Times New Roman" w:eastAsia="Calibri" w:hAnsi="Times New Roman"/>
          <w:bCs/>
          <w:i/>
          <w:iCs/>
          <w:kern w:val="2"/>
          <w:sz w:val="24"/>
          <w:szCs w:val="24"/>
          <w:lang w:eastAsia="en-US"/>
          <w14:ligatures w14:val="standardContextual"/>
        </w:rPr>
        <w:t>al</w:t>
      </w:r>
      <w:r w:rsidRPr="007C5A6E">
        <w:rPr>
          <w:rFonts w:ascii="Times New Roman" w:eastAsia="Calibri" w:hAnsi="Times New Roman"/>
          <w:bCs/>
          <w:kern w:val="2"/>
          <w:sz w:val="24"/>
          <w:szCs w:val="24"/>
          <w:lang w:eastAsia="en-US"/>
          <w14:ligatures w14:val="standardContextual"/>
        </w:rPr>
        <w:t xml:space="preserve">., 2022). Pourtant, les prix des engrais ne font qu’augmenter chaque année, si bien que la consommation a diminué de 22 % en 2021, passant de 255 140 en 2020 à 199 904 tonnes en 2021. Ce recul résulte de la baisse des importations de 23 % (IFDC, 2022). </w:t>
      </w:r>
    </w:p>
    <w:p w14:paraId="04DFB407" w14:textId="77777777" w:rsidR="0057132F" w:rsidRPr="007C5A6E" w:rsidRDefault="00D82C73" w:rsidP="0057132F">
      <w:pPr>
        <w:shd w:val="clear" w:color="auto" w:fill="FFFFFF"/>
        <w:spacing w:after="0" w:line="240" w:lineRule="auto"/>
        <w:jc w:val="both"/>
        <w:rPr>
          <w:rFonts w:ascii="Times New Roman" w:eastAsia="Calibri" w:hAnsi="Times New Roman"/>
          <w:sz w:val="24"/>
          <w:szCs w:val="24"/>
          <w:lang w:eastAsia="en-US"/>
          <w14:ligatures w14:val="standardContextual"/>
        </w:rPr>
      </w:pPr>
      <w:r w:rsidRPr="007C5A6E">
        <w:rPr>
          <w:rFonts w:ascii="Times New Roman" w:eastAsia="Calibri" w:hAnsi="Times New Roman"/>
          <w:sz w:val="24"/>
          <w:szCs w:val="24"/>
          <w:lang w:eastAsia="en-US"/>
          <w14:ligatures w14:val="standardContextual"/>
        </w:rPr>
        <w:t xml:space="preserve">L’emploi des pesticides </w:t>
      </w:r>
      <w:r w:rsidRPr="007C5A6E">
        <w:rPr>
          <w:rFonts w:ascii="Times New Roman" w:eastAsia="Calibri" w:hAnsi="Times New Roman"/>
          <w:bCs/>
          <w:kern w:val="2"/>
          <w:sz w:val="24"/>
          <w:szCs w:val="24"/>
          <w:lang w:eastAsia="en-US"/>
          <w14:ligatures w14:val="standardContextual"/>
        </w:rPr>
        <w:t xml:space="preserve">au Burkina Faso </w:t>
      </w:r>
      <w:r w:rsidRPr="007C5A6E">
        <w:rPr>
          <w:rFonts w:ascii="Times New Roman" w:eastAsia="Calibri" w:hAnsi="Times New Roman"/>
          <w:sz w:val="24"/>
          <w:szCs w:val="24"/>
          <w:lang w:eastAsia="en-US"/>
          <w14:ligatures w14:val="standardContextual"/>
        </w:rPr>
        <w:t xml:space="preserve">est rentré dans les habitudes des producteurs. Généralement très utilisés dans les zones cotonnières, les pesticides commencent à prendre de l’importance sur les périmètres maraîchers et de plus en plus dans les systèmes de culture à base de céréales où les herbicides sont utilisés pour lutter contre les mauvaises herbes. </w:t>
      </w:r>
    </w:p>
    <w:p w14:paraId="3E5FE4A8" w14:textId="77777777" w:rsidR="0057132F" w:rsidRPr="007C5A6E" w:rsidRDefault="0057132F" w:rsidP="0057132F">
      <w:pPr>
        <w:shd w:val="clear" w:color="auto" w:fill="FFFFFF"/>
        <w:spacing w:after="0" w:line="240" w:lineRule="auto"/>
        <w:jc w:val="both"/>
        <w:rPr>
          <w:rFonts w:ascii="Times New Roman" w:eastAsia="Calibri" w:hAnsi="Times New Roman"/>
          <w:sz w:val="24"/>
          <w:szCs w:val="24"/>
          <w:lang w:eastAsia="en-US"/>
          <w14:ligatures w14:val="standardContextual"/>
        </w:rPr>
      </w:pPr>
    </w:p>
    <w:p w14:paraId="7CCB56D4" w14:textId="77777777" w:rsidR="0057132F" w:rsidRPr="007C5A6E" w:rsidRDefault="00D82C73" w:rsidP="0057132F">
      <w:pPr>
        <w:shd w:val="clear" w:color="auto" w:fill="FFFFFF"/>
        <w:spacing w:after="0" w:line="240" w:lineRule="auto"/>
        <w:jc w:val="both"/>
        <w:rPr>
          <w:rFonts w:ascii="Times New Roman" w:eastAsia="Calibri" w:hAnsi="Times New Roman"/>
          <w:color w:val="000000"/>
          <w:kern w:val="2"/>
          <w:sz w:val="24"/>
          <w:szCs w:val="24"/>
          <w:lang w:eastAsia="en-US"/>
          <w14:ligatures w14:val="standardContextual"/>
        </w:rPr>
      </w:pPr>
      <w:r w:rsidRPr="007C5A6E">
        <w:rPr>
          <w:rFonts w:ascii="Times New Roman" w:eastAsia="Calibri" w:hAnsi="Times New Roman"/>
          <w:color w:val="000000"/>
          <w:kern w:val="2"/>
          <w:sz w:val="24"/>
          <w:szCs w:val="24"/>
          <w:lang w:eastAsia="en-US"/>
          <w14:ligatures w14:val="standardContextual"/>
        </w:rPr>
        <w:t xml:space="preserve">Des études menées dans des jardins maraîchers à Ouagadougou, Ouahigouya et à Bobo-Dioulasso, ont montré que 61 % des maraîchers ignorent les techniques d’utilisation des pesticides, 53 % n’ont jamais fait une formation en la matière. </w:t>
      </w:r>
    </w:p>
    <w:p w14:paraId="0AF5FAC3" w14:textId="7FD3D625" w:rsidR="00D82C73" w:rsidRPr="007C5A6E" w:rsidRDefault="00D82C73" w:rsidP="0057132F">
      <w:pPr>
        <w:shd w:val="clear" w:color="auto" w:fill="FFFFFF"/>
        <w:spacing w:after="0" w:line="240" w:lineRule="auto"/>
        <w:jc w:val="both"/>
        <w:rPr>
          <w:rFonts w:ascii="Times New Roman" w:eastAsia="Calibri" w:hAnsi="Times New Roman"/>
          <w:b/>
          <w:kern w:val="2"/>
          <w:sz w:val="24"/>
          <w:szCs w:val="24"/>
          <w:lang w:eastAsia="en-US"/>
          <w14:ligatures w14:val="standardContextual"/>
        </w:rPr>
      </w:pPr>
      <w:r w:rsidRPr="007C5A6E">
        <w:rPr>
          <w:rFonts w:ascii="Times New Roman" w:eastAsia="Calibri" w:hAnsi="Times New Roman"/>
          <w:color w:val="000000"/>
          <w:kern w:val="2"/>
          <w:sz w:val="24"/>
          <w:szCs w:val="24"/>
          <w:lang w:eastAsia="en-US"/>
          <w14:ligatures w14:val="standardContextual"/>
        </w:rPr>
        <w:t>Les principaux pesticides utilisés sont les Pyréthrinoïdes, Lambda-</w:t>
      </w:r>
      <w:proofErr w:type="spellStart"/>
      <w:r w:rsidRPr="007C5A6E">
        <w:rPr>
          <w:rFonts w:ascii="Times New Roman" w:eastAsia="Calibri" w:hAnsi="Times New Roman"/>
          <w:color w:val="000000"/>
          <w:kern w:val="2"/>
          <w:sz w:val="24"/>
          <w:szCs w:val="24"/>
          <w:lang w:eastAsia="en-US"/>
          <w14:ligatures w14:val="standardContextual"/>
        </w:rPr>
        <w:t>cythrine</w:t>
      </w:r>
      <w:proofErr w:type="spellEnd"/>
      <w:r w:rsidRPr="007C5A6E">
        <w:rPr>
          <w:rFonts w:ascii="Times New Roman" w:eastAsia="Calibri" w:hAnsi="Times New Roman"/>
          <w:color w:val="000000"/>
          <w:kern w:val="2"/>
          <w:sz w:val="24"/>
          <w:szCs w:val="24"/>
          <w:lang w:eastAsia="en-US"/>
          <w14:ligatures w14:val="standardContextual"/>
        </w:rPr>
        <w:t xml:space="preserve"> et la Deltaméthrine.</w:t>
      </w:r>
    </w:p>
    <w:p w14:paraId="19A1CA02" w14:textId="77777777" w:rsidR="00D82C73" w:rsidRPr="007C5A6E" w:rsidRDefault="00D82C73" w:rsidP="0057132F">
      <w:pPr>
        <w:autoSpaceDE w:val="0"/>
        <w:autoSpaceDN w:val="0"/>
        <w:adjustRightInd w:val="0"/>
        <w:spacing w:after="0" w:line="240" w:lineRule="auto"/>
        <w:jc w:val="both"/>
        <w:rPr>
          <w:rFonts w:ascii="Times New Roman" w:eastAsia="Calibri" w:hAnsi="Times New Roman"/>
          <w:b/>
          <w:kern w:val="2"/>
          <w:sz w:val="24"/>
          <w:szCs w:val="24"/>
          <w:lang w:eastAsia="en-US"/>
          <w14:ligatures w14:val="standardContextual"/>
        </w:rPr>
      </w:pPr>
    </w:p>
    <w:p w14:paraId="6ECF66EC" w14:textId="52C803C4" w:rsidR="00D82C73" w:rsidRPr="007C5A6E" w:rsidRDefault="00B15B8A" w:rsidP="00684FF8">
      <w:pPr>
        <w:pStyle w:val="Titre4"/>
      </w:pPr>
      <w:bookmarkStart w:id="722" w:name="_Toc181982225"/>
      <w:bookmarkStart w:id="723" w:name="_Toc183340140"/>
      <w:r w:rsidRPr="007C5A6E">
        <w:t>Les m</w:t>
      </w:r>
      <w:r w:rsidR="00D82C73" w:rsidRPr="007C5A6E">
        <w:t>igration interne</w:t>
      </w:r>
      <w:bookmarkEnd w:id="722"/>
      <w:r w:rsidRPr="007C5A6E">
        <w:t>s</w:t>
      </w:r>
      <w:bookmarkEnd w:id="723"/>
      <w:r w:rsidR="00D82C73" w:rsidRPr="007C5A6E">
        <w:t xml:space="preserve"> </w:t>
      </w:r>
    </w:p>
    <w:p w14:paraId="261670E9" w14:textId="77777777" w:rsidR="00B15B8A" w:rsidRPr="007C5A6E" w:rsidRDefault="00B15B8A" w:rsidP="0057132F">
      <w:pPr>
        <w:spacing w:after="0" w:line="240" w:lineRule="auto"/>
        <w:jc w:val="both"/>
        <w:rPr>
          <w:rFonts w:ascii="Times New Roman" w:eastAsia="Calibri" w:hAnsi="Times New Roman"/>
          <w:kern w:val="2"/>
          <w:sz w:val="24"/>
          <w:szCs w:val="24"/>
          <w:lang w:eastAsia="en-US"/>
          <w14:ligatures w14:val="standardContextual"/>
        </w:rPr>
      </w:pPr>
    </w:p>
    <w:p w14:paraId="6256DD20" w14:textId="77777777" w:rsidR="0057132F" w:rsidRPr="007C5A6E" w:rsidRDefault="00D82C73" w:rsidP="0057132F">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Au Burkina Faso, la migration interne se traduit au plan interne, par des déplacements de population. Les raisons fondamentales des migrations internes dérivent des longues périodes de sécheresse accompagnées de famine, des techniques culturales basées sur une agriculture extensive et de l’insécurité alimentaire. </w:t>
      </w:r>
    </w:p>
    <w:p w14:paraId="4C339C71" w14:textId="77777777" w:rsidR="0057132F" w:rsidRPr="007C5A6E" w:rsidRDefault="00D82C73" w:rsidP="0057132F">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Dans le contexte actuel au Burkina Faso, les principaux facteurs de poussée de la migration au Sahel sont : le manque d’emplois 38,80 %, le terrorisme (22,50 %), le faible potentiel économique de la localité (12,50 %), la dégradation de l’environnement (3,80 %) et la crise alimentaire (3,80 %) (OIM, 2019). Selon le même auteur, les provinces les plus touchées au Sahel sont les provinces du Soum (35,44 %) et du Yagha (34, 91 %) caractérisées par des départs massifs. Les seules communes de </w:t>
      </w:r>
      <w:proofErr w:type="spellStart"/>
      <w:r w:rsidRPr="007C5A6E">
        <w:rPr>
          <w:rFonts w:ascii="Times New Roman" w:eastAsia="Calibri" w:hAnsi="Times New Roman"/>
          <w:kern w:val="2"/>
          <w:sz w:val="24"/>
          <w:szCs w:val="24"/>
          <w:lang w:eastAsia="en-US"/>
          <w14:ligatures w14:val="standardContextual"/>
        </w:rPr>
        <w:t>Sebba</w:t>
      </w:r>
      <w:proofErr w:type="spellEnd"/>
      <w:r w:rsidRPr="007C5A6E">
        <w:rPr>
          <w:rFonts w:ascii="Times New Roman" w:eastAsia="Calibri" w:hAnsi="Times New Roman"/>
          <w:kern w:val="2"/>
          <w:sz w:val="24"/>
          <w:szCs w:val="24"/>
          <w:lang w:eastAsia="en-US"/>
          <w14:ligatures w14:val="standardContextual"/>
        </w:rPr>
        <w:t xml:space="preserve">, Djibo, Mansila, </w:t>
      </w:r>
      <w:proofErr w:type="spellStart"/>
      <w:r w:rsidRPr="007C5A6E">
        <w:rPr>
          <w:rFonts w:ascii="Times New Roman" w:eastAsia="Calibri" w:hAnsi="Times New Roman"/>
          <w:kern w:val="2"/>
          <w:sz w:val="24"/>
          <w:szCs w:val="24"/>
          <w:lang w:eastAsia="en-US"/>
          <w14:ligatures w14:val="standardContextual"/>
        </w:rPr>
        <w:t>Tongonmayel</w:t>
      </w:r>
      <w:proofErr w:type="spellEnd"/>
      <w:r w:rsidRPr="007C5A6E">
        <w:rPr>
          <w:rFonts w:ascii="Times New Roman" w:eastAsia="Calibri" w:hAnsi="Times New Roman"/>
          <w:kern w:val="2"/>
          <w:sz w:val="24"/>
          <w:szCs w:val="24"/>
          <w:lang w:eastAsia="en-US"/>
          <w14:ligatures w14:val="standardContextual"/>
        </w:rPr>
        <w:t xml:space="preserve">, </w:t>
      </w:r>
      <w:proofErr w:type="spellStart"/>
      <w:r w:rsidRPr="007C5A6E">
        <w:rPr>
          <w:rFonts w:ascii="Times New Roman" w:eastAsia="Calibri" w:hAnsi="Times New Roman"/>
          <w:kern w:val="2"/>
          <w:sz w:val="24"/>
          <w:szCs w:val="24"/>
          <w:lang w:eastAsia="en-US"/>
          <w14:ligatures w14:val="standardContextual"/>
        </w:rPr>
        <w:t>Bani</w:t>
      </w:r>
      <w:proofErr w:type="spellEnd"/>
      <w:r w:rsidRPr="007C5A6E">
        <w:rPr>
          <w:rFonts w:ascii="Times New Roman" w:eastAsia="Calibri" w:hAnsi="Times New Roman"/>
          <w:kern w:val="2"/>
          <w:sz w:val="24"/>
          <w:szCs w:val="24"/>
          <w:lang w:eastAsia="en-US"/>
          <w14:ligatures w14:val="standardContextual"/>
        </w:rPr>
        <w:t xml:space="preserve">, Oursi et Gorom-Gorom font plus de 60 % des départs du Sahel. </w:t>
      </w:r>
    </w:p>
    <w:p w14:paraId="33877ED2" w14:textId="77777777" w:rsidR="0057132F" w:rsidRPr="007C5A6E" w:rsidRDefault="00D82C73" w:rsidP="0057132F">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Les principales destinations des migrant internes sont les régions du Centre, des Hauts-Bassins, des Cascades, du Centre-Est, du Nord, du Centre-Nord, du Sud-Ouest et du Plateau Central. Dans ces différentes régions, les migrants s’installent dans les chefs-lieux des régions et dans les sites d’orpaillage qu’elles abritent. Les différents sites d’orpaillage les plus cités sont ceux de Banfora, de Bobo-Dioulasso, de Boromo, de Houndé, de Pourra, de Séguénéga, de </w:t>
      </w:r>
      <w:proofErr w:type="spellStart"/>
      <w:r w:rsidRPr="007C5A6E">
        <w:rPr>
          <w:rFonts w:ascii="Times New Roman" w:eastAsia="Calibri" w:hAnsi="Times New Roman"/>
          <w:kern w:val="2"/>
          <w:sz w:val="24"/>
          <w:szCs w:val="24"/>
          <w:lang w:eastAsia="en-US"/>
          <w14:ligatures w14:val="standardContextual"/>
        </w:rPr>
        <w:t>Siguinvoussé</w:t>
      </w:r>
      <w:proofErr w:type="spellEnd"/>
      <w:r w:rsidRPr="007C5A6E">
        <w:rPr>
          <w:rFonts w:ascii="Times New Roman" w:eastAsia="Calibri" w:hAnsi="Times New Roman"/>
          <w:kern w:val="2"/>
          <w:sz w:val="24"/>
          <w:szCs w:val="24"/>
          <w:lang w:eastAsia="en-US"/>
          <w14:ligatures w14:val="standardContextual"/>
        </w:rPr>
        <w:t xml:space="preserve">, de Boussouma, de </w:t>
      </w:r>
      <w:proofErr w:type="spellStart"/>
      <w:r w:rsidRPr="007C5A6E">
        <w:rPr>
          <w:rFonts w:ascii="Times New Roman" w:eastAsia="Calibri" w:hAnsi="Times New Roman"/>
          <w:kern w:val="2"/>
          <w:sz w:val="24"/>
          <w:szCs w:val="24"/>
          <w:lang w:eastAsia="en-US"/>
          <w14:ligatures w14:val="standardContextual"/>
        </w:rPr>
        <w:t>Zomnogo</w:t>
      </w:r>
      <w:proofErr w:type="spellEnd"/>
      <w:r w:rsidRPr="007C5A6E">
        <w:rPr>
          <w:rFonts w:ascii="Times New Roman" w:eastAsia="Calibri" w:hAnsi="Times New Roman"/>
          <w:kern w:val="2"/>
          <w:sz w:val="24"/>
          <w:szCs w:val="24"/>
          <w:lang w:eastAsia="en-US"/>
          <w14:ligatures w14:val="standardContextual"/>
        </w:rPr>
        <w:t xml:space="preserve">, de </w:t>
      </w:r>
      <w:proofErr w:type="spellStart"/>
      <w:r w:rsidRPr="007C5A6E">
        <w:rPr>
          <w:rFonts w:ascii="Times New Roman" w:eastAsia="Calibri" w:hAnsi="Times New Roman"/>
          <w:kern w:val="2"/>
          <w:sz w:val="24"/>
          <w:szCs w:val="24"/>
          <w:lang w:eastAsia="en-US"/>
          <w14:ligatures w14:val="standardContextual"/>
        </w:rPr>
        <w:t>Tandaga</w:t>
      </w:r>
      <w:proofErr w:type="spellEnd"/>
      <w:r w:rsidRPr="007C5A6E">
        <w:rPr>
          <w:rFonts w:ascii="Times New Roman" w:eastAsia="Calibri" w:hAnsi="Times New Roman"/>
          <w:kern w:val="2"/>
          <w:sz w:val="24"/>
          <w:szCs w:val="24"/>
          <w:lang w:eastAsia="en-US"/>
          <w14:ligatures w14:val="standardContextual"/>
        </w:rPr>
        <w:t xml:space="preserve">, </w:t>
      </w:r>
      <w:proofErr w:type="spellStart"/>
      <w:r w:rsidRPr="007C5A6E">
        <w:rPr>
          <w:rFonts w:ascii="Times New Roman" w:eastAsia="Calibri" w:hAnsi="Times New Roman"/>
          <w:kern w:val="2"/>
          <w:sz w:val="24"/>
          <w:szCs w:val="24"/>
          <w:lang w:eastAsia="en-US"/>
          <w14:ligatures w14:val="standardContextual"/>
        </w:rPr>
        <w:t>Lougma</w:t>
      </w:r>
      <w:proofErr w:type="spellEnd"/>
      <w:r w:rsidRPr="007C5A6E">
        <w:rPr>
          <w:rFonts w:ascii="Times New Roman" w:eastAsia="Calibri" w:hAnsi="Times New Roman"/>
          <w:kern w:val="2"/>
          <w:sz w:val="24"/>
          <w:szCs w:val="24"/>
          <w:lang w:eastAsia="en-US"/>
          <w14:ligatures w14:val="standardContextual"/>
        </w:rPr>
        <w:t xml:space="preserve"> et de </w:t>
      </w:r>
      <w:proofErr w:type="spellStart"/>
      <w:r w:rsidRPr="007C5A6E">
        <w:rPr>
          <w:rFonts w:ascii="Times New Roman" w:eastAsia="Calibri" w:hAnsi="Times New Roman"/>
          <w:kern w:val="2"/>
          <w:sz w:val="24"/>
          <w:szCs w:val="24"/>
          <w:lang w:eastAsia="en-US"/>
          <w14:ligatures w14:val="standardContextual"/>
        </w:rPr>
        <w:t>Tendouka</w:t>
      </w:r>
      <w:proofErr w:type="spellEnd"/>
      <w:r w:rsidRPr="007C5A6E">
        <w:rPr>
          <w:rFonts w:ascii="Times New Roman" w:eastAsia="Calibri" w:hAnsi="Times New Roman"/>
          <w:kern w:val="2"/>
          <w:sz w:val="24"/>
          <w:szCs w:val="24"/>
          <w:lang w:eastAsia="en-US"/>
          <w14:ligatures w14:val="standardContextual"/>
        </w:rPr>
        <w:t xml:space="preserve">. Les principaux facteurs d’attraction sont la sécurité, l’hospitalité, l’orpaillage, l’existence des sites de déplacés et la proximité (Fondation Adenauer, 2023). </w:t>
      </w:r>
    </w:p>
    <w:p w14:paraId="25AC4E6B" w14:textId="730575DC" w:rsidR="00D82C73" w:rsidRPr="007C5A6E" w:rsidRDefault="00D82C73" w:rsidP="0057132F">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Certaines régions d’accueil comme celles du Sud-Ouest et des Hauts-Bassins qui offrent des conditions environnementales et climatiques favorables, sont affectées par des pressions sur les sols et la végétation. Les techniques d’exploitation sont importées sans aucune mesure d’innovation. </w:t>
      </w:r>
    </w:p>
    <w:p w14:paraId="5E491AE3" w14:textId="77777777" w:rsidR="00D82C73" w:rsidRPr="007C5A6E" w:rsidRDefault="00D82C73" w:rsidP="0057132F">
      <w:pPr>
        <w:spacing w:after="0" w:line="240" w:lineRule="auto"/>
        <w:jc w:val="both"/>
        <w:rPr>
          <w:rFonts w:ascii="Times New Roman" w:eastAsia="Calibri" w:hAnsi="Times New Roman"/>
          <w:kern w:val="2"/>
          <w:sz w:val="24"/>
          <w:szCs w:val="24"/>
          <w:lang w:eastAsia="en-US"/>
          <w14:ligatures w14:val="standardContextual"/>
        </w:rPr>
      </w:pPr>
    </w:p>
    <w:p w14:paraId="35996343" w14:textId="1BC84B01" w:rsidR="00D82C73" w:rsidRPr="007C5A6E" w:rsidRDefault="00B15B8A" w:rsidP="00684FF8">
      <w:pPr>
        <w:pStyle w:val="Titre4"/>
      </w:pPr>
      <w:bookmarkStart w:id="724" w:name="_Toc181982226"/>
      <w:bookmarkStart w:id="725" w:name="_Toc183340141"/>
      <w:r w:rsidRPr="007C5A6E">
        <w:t>L’a</w:t>
      </w:r>
      <w:r w:rsidR="00D82C73" w:rsidRPr="007C5A6E">
        <w:t>cquisition massive des terres</w:t>
      </w:r>
      <w:bookmarkEnd w:id="724"/>
      <w:bookmarkEnd w:id="725"/>
      <w:r w:rsidR="00D82C73" w:rsidRPr="007C5A6E">
        <w:t xml:space="preserve"> </w:t>
      </w:r>
    </w:p>
    <w:p w14:paraId="139B44F0" w14:textId="77777777" w:rsidR="00B15B8A" w:rsidRPr="007C5A6E" w:rsidRDefault="00B15B8A" w:rsidP="0057132F">
      <w:pPr>
        <w:shd w:val="clear" w:color="auto" w:fill="FFFFFF"/>
        <w:spacing w:after="0" w:line="240" w:lineRule="auto"/>
        <w:jc w:val="both"/>
        <w:rPr>
          <w:rFonts w:ascii="Times New Roman" w:eastAsia="Calibri" w:hAnsi="Times New Roman"/>
          <w:bCs/>
          <w:kern w:val="2"/>
          <w:sz w:val="24"/>
          <w:szCs w:val="24"/>
          <w:lang w:eastAsia="en-US"/>
          <w14:ligatures w14:val="standardContextual"/>
        </w:rPr>
      </w:pPr>
    </w:p>
    <w:p w14:paraId="0B699690" w14:textId="77777777" w:rsidR="0057132F" w:rsidRPr="007C5A6E" w:rsidRDefault="00D82C73" w:rsidP="0057132F">
      <w:pPr>
        <w:shd w:val="clear" w:color="auto" w:fill="FFFFFF"/>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bCs/>
          <w:kern w:val="2"/>
          <w:sz w:val="24"/>
          <w:szCs w:val="24"/>
          <w:lang w:eastAsia="en-US"/>
          <w14:ligatures w14:val="standardContextual"/>
        </w:rPr>
        <w:t xml:space="preserve">L’acquisition massive des terres est caractérisée par l’exploitation de grandes superficies particulièrement par les agrobusiness. </w:t>
      </w:r>
      <w:r w:rsidRPr="007C5A6E">
        <w:rPr>
          <w:rFonts w:ascii="Times New Roman" w:eastAsia="Calibri" w:hAnsi="Times New Roman"/>
          <w:kern w:val="2"/>
          <w:sz w:val="24"/>
          <w:szCs w:val="24"/>
          <w:lang w:eastAsia="en-US"/>
          <w14:ligatures w14:val="standardContextual"/>
        </w:rPr>
        <w:t xml:space="preserve">Ce sont de fortes pressions que subissent les sols. Elle est survenue depuis la dernière crise alimentaire de 2007-2008. Le gouvernement burkinabé, par un ensemble de réformes, a voulu améliorer la sécurité foncière et alimentaire du pays. </w:t>
      </w:r>
    </w:p>
    <w:p w14:paraId="62BC11CF" w14:textId="4B46FBAF" w:rsidR="0057132F" w:rsidRPr="007C5A6E" w:rsidRDefault="00D82C73" w:rsidP="0057132F">
      <w:pPr>
        <w:shd w:val="clear" w:color="auto" w:fill="FFFFFF"/>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Le dispositif juridique mis en place et les démarches novatrices du gouvernement burkinabé pour freiner les accaparements de terres n’a pas eu des résultats tangibles. La situation ne s'améliore pas et tend même à se détériorer, en partie à cause de la présence d'agrobusiness (</w:t>
      </w:r>
      <w:proofErr w:type="spellStart"/>
      <w:r w:rsidRPr="007C5A6E">
        <w:rPr>
          <w:rFonts w:ascii="Times New Roman" w:eastAsia="Calibri" w:hAnsi="Times New Roman"/>
          <w:kern w:val="2"/>
          <w:sz w:val="24"/>
          <w:szCs w:val="24"/>
          <w:lang w:eastAsia="en-US"/>
          <w14:ligatures w14:val="standardContextual"/>
        </w:rPr>
        <w:t>Deshaires</w:t>
      </w:r>
      <w:proofErr w:type="spellEnd"/>
      <w:r w:rsidRPr="007C5A6E">
        <w:rPr>
          <w:rFonts w:ascii="Times New Roman" w:eastAsia="Calibri" w:hAnsi="Times New Roman"/>
          <w:kern w:val="2"/>
          <w:sz w:val="24"/>
          <w:szCs w:val="24"/>
          <w:lang w:eastAsia="en-US"/>
          <w14:ligatures w14:val="standardContextual"/>
        </w:rPr>
        <w:t xml:space="preserve">, 2016). </w:t>
      </w:r>
    </w:p>
    <w:p w14:paraId="0D458B2B" w14:textId="77777777" w:rsidR="0057132F" w:rsidRPr="007C5A6E" w:rsidRDefault="00D82C73" w:rsidP="0057132F">
      <w:pPr>
        <w:shd w:val="clear" w:color="auto" w:fill="FFFFFF"/>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Le phénomène affecte toutes les régions du Burkina, mais à des degrés moindres. Les provinces les plus affectées sont celles du </w:t>
      </w:r>
      <w:proofErr w:type="spellStart"/>
      <w:r w:rsidRPr="007C5A6E">
        <w:rPr>
          <w:rFonts w:ascii="Times New Roman" w:eastAsia="Calibri" w:hAnsi="Times New Roman"/>
          <w:kern w:val="2"/>
          <w:sz w:val="24"/>
          <w:szCs w:val="24"/>
          <w:lang w:eastAsia="en-US"/>
          <w14:ligatures w14:val="standardContextual"/>
        </w:rPr>
        <w:t>Ziro</w:t>
      </w:r>
      <w:proofErr w:type="spellEnd"/>
      <w:r w:rsidRPr="007C5A6E">
        <w:rPr>
          <w:rFonts w:ascii="Times New Roman" w:eastAsia="Calibri" w:hAnsi="Times New Roman"/>
          <w:kern w:val="2"/>
          <w:sz w:val="24"/>
          <w:szCs w:val="24"/>
          <w:lang w:eastAsia="en-US"/>
          <w14:ligatures w14:val="standardContextual"/>
        </w:rPr>
        <w:t xml:space="preserve"> et de la Sissili. Les acquisitions massives des terres concernent également les permis miniers qui s’étendent sur de vastes superficies. </w:t>
      </w:r>
    </w:p>
    <w:p w14:paraId="5881D14A" w14:textId="64041FD1" w:rsidR="00D82C73" w:rsidRPr="007C5A6E" w:rsidRDefault="00D82C73" w:rsidP="0057132F">
      <w:pPr>
        <w:shd w:val="clear" w:color="auto" w:fill="FFFFFF"/>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De toutes les mines industrielles, </w:t>
      </w:r>
      <w:proofErr w:type="spellStart"/>
      <w:r w:rsidRPr="007C5A6E">
        <w:rPr>
          <w:rFonts w:ascii="Times New Roman" w:eastAsia="Calibri" w:hAnsi="Times New Roman"/>
          <w:kern w:val="2"/>
          <w:sz w:val="24"/>
          <w:szCs w:val="24"/>
          <w:lang w:eastAsia="en-US"/>
          <w14:ligatures w14:val="standardContextual"/>
        </w:rPr>
        <w:t>Taparko</w:t>
      </w:r>
      <w:proofErr w:type="spellEnd"/>
      <w:r w:rsidRPr="007C5A6E">
        <w:rPr>
          <w:rFonts w:ascii="Times New Roman" w:eastAsia="Calibri" w:hAnsi="Times New Roman"/>
          <w:kern w:val="2"/>
          <w:sz w:val="24"/>
          <w:szCs w:val="24"/>
          <w:lang w:eastAsia="en-US"/>
          <w14:ligatures w14:val="standardContextual"/>
        </w:rPr>
        <w:t>, Bissa-</w:t>
      </w:r>
      <w:proofErr w:type="spellStart"/>
      <w:r w:rsidRPr="007C5A6E">
        <w:rPr>
          <w:rFonts w:ascii="Times New Roman" w:eastAsia="Calibri" w:hAnsi="Times New Roman"/>
          <w:kern w:val="2"/>
          <w:sz w:val="24"/>
          <w:szCs w:val="24"/>
          <w:lang w:eastAsia="en-US"/>
          <w14:ligatures w14:val="standardContextual"/>
        </w:rPr>
        <w:t>Zankon</w:t>
      </w:r>
      <w:proofErr w:type="spellEnd"/>
      <w:r w:rsidRPr="007C5A6E">
        <w:rPr>
          <w:rFonts w:ascii="Times New Roman" w:eastAsia="Calibri" w:hAnsi="Times New Roman"/>
          <w:kern w:val="2"/>
          <w:sz w:val="24"/>
          <w:szCs w:val="24"/>
          <w:lang w:eastAsia="en-US"/>
          <w14:ligatures w14:val="standardContextual"/>
        </w:rPr>
        <w:t xml:space="preserve"> et </w:t>
      </w:r>
      <w:proofErr w:type="spellStart"/>
      <w:r w:rsidRPr="007C5A6E">
        <w:rPr>
          <w:rFonts w:ascii="Times New Roman" w:eastAsia="Calibri" w:hAnsi="Times New Roman"/>
          <w:kern w:val="2"/>
          <w:sz w:val="24"/>
          <w:szCs w:val="24"/>
          <w:lang w:eastAsia="en-US"/>
          <w14:ligatures w14:val="standardContextual"/>
        </w:rPr>
        <w:t>Essakane</w:t>
      </w:r>
      <w:proofErr w:type="spellEnd"/>
      <w:r w:rsidRPr="007C5A6E">
        <w:rPr>
          <w:rFonts w:ascii="Times New Roman" w:eastAsia="Calibri" w:hAnsi="Times New Roman"/>
          <w:kern w:val="2"/>
          <w:sz w:val="24"/>
          <w:szCs w:val="24"/>
          <w:lang w:eastAsia="en-US"/>
          <w14:ligatures w14:val="standardContextual"/>
        </w:rPr>
        <w:t xml:space="preserve"> ont les plus grandes superficies, respectivement 666,5 km</w:t>
      </w:r>
      <w:r w:rsidRPr="007C5A6E">
        <w:rPr>
          <w:rFonts w:ascii="Times New Roman" w:eastAsia="Calibri" w:hAnsi="Times New Roman"/>
          <w:kern w:val="2"/>
          <w:sz w:val="24"/>
          <w:szCs w:val="24"/>
          <w:vertAlign w:val="superscript"/>
          <w:lang w:eastAsia="en-US"/>
          <w14:ligatures w14:val="standardContextual"/>
        </w:rPr>
        <w:t>2</w:t>
      </w:r>
      <w:r w:rsidRPr="007C5A6E">
        <w:rPr>
          <w:rFonts w:ascii="Times New Roman" w:eastAsia="Calibri" w:hAnsi="Times New Roman"/>
          <w:kern w:val="2"/>
          <w:sz w:val="24"/>
          <w:szCs w:val="24"/>
          <w:lang w:eastAsia="en-US"/>
          <w14:ligatures w14:val="standardContextual"/>
        </w:rPr>
        <w:t>, 129,15 km</w:t>
      </w:r>
      <w:r w:rsidRPr="007C5A6E">
        <w:rPr>
          <w:rFonts w:ascii="Times New Roman" w:eastAsia="Calibri" w:hAnsi="Times New Roman"/>
          <w:kern w:val="2"/>
          <w:sz w:val="24"/>
          <w:szCs w:val="24"/>
          <w:vertAlign w:val="superscript"/>
          <w:lang w:eastAsia="en-US"/>
          <w14:ligatures w14:val="standardContextual"/>
        </w:rPr>
        <w:t>2</w:t>
      </w:r>
      <w:r w:rsidRPr="007C5A6E">
        <w:rPr>
          <w:rFonts w:ascii="Times New Roman" w:eastAsia="Calibri" w:hAnsi="Times New Roman"/>
          <w:kern w:val="2"/>
          <w:sz w:val="24"/>
          <w:szCs w:val="24"/>
          <w:lang w:eastAsia="en-US"/>
          <w14:ligatures w14:val="standardContextual"/>
        </w:rPr>
        <w:t xml:space="preserve"> et 100,2 km</w:t>
      </w:r>
      <w:r w:rsidRPr="007C5A6E">
        <w:rPr>
          <w:rFonts w:ascii="Times New Roman" w:eastAsia="Calibri" w:hAnsi="Times New Roman"/>
          <w:kern w:val="2"/>
          <w:sz w:val="24"/>
          <w:szCs w:val="24"/>
          <w:vertAlign w:val="superscript"/>
          <w:lang w:eastAsia="en-US"/>
          <w14:ligatures w14:val="standardContextual"/>
        </w:rPr>
        <w:t>2</w:t>
      </w:r>
      <w:r w:rsidRPr="007C5A6E">
        <w:rPr>
          <w:rFonts w:ascii="Times New Roman" w:eastAsia="Calibri" w:hAnsi="Times New Roman"/>
          <w:kern w:val="2"/>
          <w:sz w:val="24"/>
          <w:szCs w:val="24"/>
          <w:lang w:eastAsia="en-US"/>
          <w14:ligatures w14:val="standardContextual"/>
        </w:rPr>
        <w:t xml:space="preserve"> (MEMC/DGESS, 2023). </w:t>
      </w:r>
    </w:p>
    <w:p w14:paraId="0746D675" w14:textId="77777777" w:rsidR="00D82C73" w:rsidRPr="007C5A6E" w:rsidRDefault="00D82C73" w:rsidP="0057132F">
      <w:pPr>
        <w:spacing w:after="0" w:line="240" w:lineRule="auto"/>
        <w:jc w:val="both"/>
        <w:rPr>
          <w:rFonts w:ascii="Times New Roman" w:eastAsia="Calibri" w:hAnsi="Times New Roman"/>
          <w:b/>
          <w:bCs/>
          <w:kern w:val="2"/>
          <w:sz w:val="24"/>
          <w:szCs w:val="24"/>
          <w:lang w:eastAsia="en-US"/>
          <w14:ligatures w14:val="standardContextual"/>
        </w:rPr>
      </w:pPr>
    </w:p>
    <w:p w14:paraId="439E006C" w14:textId="7075D2BC" w:rsidR="00D82C73" w:rsidRPr="007C5A6E" w:rsidRDefault="00B15B8A" w:rsidP="00684FF8">
      <w:pPr>
        <w:pStyle w:val="Titre4"/>
      </w:pPr>
      <w:bookmarkStart w:id="726" w:name="_Toc181982227"/>
      <w:bookmarkStart w:id="727" w:name="_Toc183340142"/>
      <w:r w:rsidRPr="007C5A6E">
        <w:t xml:space="preserve">L’agriculture </w:t>
      </w:r>
      <w:r w:rsidR="00D82C73" w:rsidRPr="007C5A6E">
        <w:t>irrigué</w:t>
      </w:r>
      <w:r w:rsidRPr="007C5A6E">
        <w:t xml:space="preserve">e et de </w:t>
      </w:r>
      <w:r w:rsidR="00D82C73" w:rsidRPr="007C5A6E">
        <w:t>bas-fond</w:t>
      </w:r>
      <w:bookmarkEnd w:id="726"/>
      <w:bookmarkEnd w:id="727"/>
    </w:p>
    <w:p w14:paraId="7B73647D" w14:textId="77777777" w:rsidR="00B15B8A" w:rsidRPr="007C5A6E" w:rsidRDefault="00B15B8A" w:rsidP="0057132F">
      <w:pPr>
        <w:spacing w:after="0" w:line="240" w:lineRule="auto"/>
        <w:jc w:val="both"/>
        <w:rPr>
          <w:rFonts w:ascii="Times New Roman" w:eastAsia="Calibri" w:hAnsi="Times New Roman"/>
          <w:kern w:val="2"/>
          <w:sz w:val="24"/>
          <w:szCs w:val="24"/>
          <w:shd w:val="clear" w:color="auto" w:fill="FAFAFA"/>
          <w:lang w:eastAsia="en-US"/>
          <w14:ligatures w14:val="standardContextual"/>
        </w:rPr>
      </w:pPr>
    </w:p>
    <w:p w14:paraId="3E99FD54" w14:textId="77777777" w:rsidR="0057132F" w:rsidRPr="007C5A6E" w:rsidRDefault="00D82C73" w:rsidP="0057132F">
      <w:pPr>
        <w:spacing w:after="0" w:line="240" w:lineRule="auto"/>
        <w:jc w:val="both"/>
        <w:rPr>
          <w:rFonts w:ascii="Times New Roman" w:eastAsia="Calibri" w:hAnsi="Times New Roman"/>
          <w:kern w:val="2"/>
          <w:sz w:val="24"/>
          <w:szCs w:val="24"/>
          <w14:ligatures w14:val="standardContextual"/>
        </w:rPr>
      </w:pPr>
      <w:r w:rsidRPr="007C5A6E">
        <w:rPr>
          <w:rFonts w:ascii="Times New Roman" w:eastAsia="Calibri" w:hAnsi="Times New Roman"/>
          <w:kern w:val="2"/>
          <w:sz w:val="24"/>
          <w:szCs w:val="24"/>
          <w:shd w:val="clear" w:color="auto" w:fill="FAFAFA"/>
          <w:lang w:eastAsia="en-US"/>
          <w14:ligatures w14:val="standardContextual"/>
        </w:rPr>
        <w:t>L’agriculture irriguée s’est développée grâce à la construction de grands barrages (</w:t>
      </w:r>
      <w:proofErr w:type="spellStart"/>
      <w:r w:rsidRPr="007C5A6E">
        <w:rPr>
          <w:rFonts w:ascii="Times New Roman" w:eastAsia="Calibri" w:hAnsi="Times New Roman"/>
          <w:kern w:val="2"/>
          <w:sz w:val="24"/>
          <w:szCs w:val="24"/>
          <w:shd w:val="clear" w:color="auto" w:fill="FAFAFA"/>
          <w:lang w:eastAsia="en-US"/>
          <w14:ligatures w14:val="standardContextual"/>
        </w:rPr>
        <w:t>Tapsoba</w:t>
      </w:r>
      <w:proofErr w:type="spellEnd"/>
      <w:r w:rsidRPr="007C5A6E">
        <w:rPr>
          <w:rFonts w:ascii="Times New Roman" w:eastAsia="Calibri" w:hAnsi="Times New Roman"/>
          <w:kern w:val="2"/>
          <w:sz w:val="24"/>
          <w:szCs w:val="24"/>
          <w:shd w:val="clear" w:color="auto" w:fill="FAFAFA"/>
          <w:lang w:eastAsia="en-US"/>
          <w14:ligatures w14:val="standardContextual"/>
        </w:rPr>
        <w:t xml:space="preserve"> et </w:t>
      </w:r>
      <w:r w:rsidRPr="007C5A6E">
        <w:rPr>
          <w:rFonts w:ascii="Times New Roman" w:eastAsia="Calibri" w:hAnsi="Times New Roman"/>
          <w:i/>
          <w:iCs/>
          <w:kern w:val="2"/>
          <w:sz w:val="24"/>
          <w:szCs w:val="24"/>
          <w:shd w:val="clear" w:color="auto" w:fill="FAFAFA"/>
          <w:lang w:eastAsia="en-US"/>
          <w14:ligatures w14:val="standardContextual"/>
        </w:rPr>
        <w:t>al.</w:t>
      </w:r>
      <w:r w:rsidRPr="007C5A6E">
        <w:rPr>
          <w:rFonts w:ascii="Times New Roman" w:eastAsia="Calibri" w:hAnsi="Times New Roman"/>
          <w:kern w:val="2"/>
          <w:sz w:val="24"/>
          <w:szCs w:val="24"/>
          <w:shd w:val="clear" w:color="auto" w:fill="FAFAFA"/>
          <w:lang w:eastAsia="en-US"/>
          <w14:ligatures w14:val="standardContextual"/>
        </w:rPr>
        <w:t xml:space="preserve">, 2018 ; </w:t>
      </w:r>
      <w:proofErr w:type="spellStart"/>
      <w:r w:rsidRPr="007C5A6E">
        <w:rPr>
          <w:rFonts w:ascii="Times New Roman" w:eastAsia="Calibri" w:hAnsi="Times New Roman"/>
          <w:kern w:val="2"/>
          <w:sz w:val="24"/>
          <w:szCs w:val="24"/>
          <w:shd w:val="clear" w:color="auto" w:fill="FAFAFA"/>
          <w:lang w:eastAsia="en-US"/>
          <w14:ligatures w14:val="standardContextual"/>
        </w:rPr>
        <w:t>Sanou</w:t>
      </w:r>
      <w:proofErr w:type="spellEnd"/>
      <w:r w:rsidRPr="007C5A6E">
        <w:rPr>
          <w:rFonts w:ascii="Times New Roman" w:eastAsia="Calibri" w:hAnsi="Times New Roman"/>
          <w:kern w:val="2"/>
          <w:sz w:val="24"/>
          <w:szCs w:val="24"/>
          <w:shd w:val="clear" w:color="auto" w:fill="FAFAFA"/>
          <w:lang w:eastAsia="en-US"/>
          <w14:ligatures w14:val="standardContextual"/>
        </w:rPr>
        <w:t>, 2019). B</w:t>
      </w:r>
      <w:r w:rsidRPr="007C5A6E">
        <w:rPr>
          <w:rFonts w:ascii="Times New Roman" w:eastAsia="Calibri" w:hAnsi="Times New Roman"/>
          <w:kern w:val="2"/>
          <w:sz w:val="24"/>
          <w:szCs w:val="24"/>
          <w14:ligatures w14:val="standardContextual"/>
        </w:rPr>
        <w:t xml:space="preserve">eaucoup d’efforts ont été développés par le gouvernement et les organisations non gouvernementales pour la mise en place des ouvrages hydrauliques de type barrage. Il s’agit de la construction et de la mise en eau des barrages (hydroélectrique ou pas) avec des aménagements de parcelles pour les cultures irriguées comme les plaines de </w:t>
      </w:r>
      <w:proofErr w:type="spellStart"/>
      <w:r w:rsidRPr="007C5A6E">
        <w:rPr>
          <w:rFonts w:ascii="Times New Roman" w:eastAsia="Calibri" w:hAnsi="Times New Roman"/>
          <w:kern w:val="2"/>
          <w:sz w:val="24"/>
          <w:szCs w:val="24"/>
          <w14:ligatures w14:val="standardContextual"/>
        </w:rPr>
        <w:t>Niéna-Dionkélé</w:t>
      </w:r>
      <w:proofErr w:type="spellEnd"/>
      <w:r w:rsidRPr="007C5A6E">
        <w:rPr>
          <w:rFonts w:ascii="Times New Roman" w:eastAsia="Calibri" w:hAnsi="Times New Roman"/>
          <w:kern w:val="2"/>
          <w:sz w:val="24"/>
          <w:szCs w:val="24"/>
          <w14:ligatures w14:val="standardContextual"/>
        </w:rPr>
        <w:t xml:space="preserve"> (1980), de </w:t>
      </w:r>
      <w:proofErr w:type="spellStart"/>
      <w:r w:rsidRPr="007C5A6E">
        <w:rPr>
          <w:rFonts w:ascii="Times New Roman" w:eastAsia="Calibri" w:hAnsi="Times New Roman"/>
          <w:kern w:val="2"/>
          <w:sz w:val="24"/>
          <w:szCs w:val="24"/>
          <w14:ligatures w14:val="standardContextual"/>
        </w:rPr>
        <w:t>Karfiguéla</w:t>
      </w:r>
      <w:proofErr w:type="spellEnd"/>
      <w:r w:rsidRPr="007C5A6E">
        <w:rPr>
          <w:rFonts w:ascii="Times New Roman" w:eastAsia="Calibri" w:hAnsi="Times New Roman"/>
          <w:kern w:val="2"/>
          <w:sz w:val="24"/>
          <w:szCs w:val="24"/>
          <w14:ligatures w14:val="standardContextual"/>
        </w:rPr>
        <w:t xml:space="preserve"> (1975), de Banzon (1977), les vallées de la Comoé, du </w:t>
      </w:r>
      <w:proofErr w:type="spellStart"/>
      <w:r w:rsidRPr="007C5A6E">
        <w:rPr>
          <w:rFonts w:ascii="Times New Roman" w:eastAsia="Calibri" w:hAnsi="Times New Roman"/>
          <w:kern w:val="2"/>
          <w:sz w:val="24"/>
          <w:szCs w:val="24"/>
          <w14:ligatures w14:val="standardContextual"/>
        </w:rPr>
        <w:t>Kou</w:t>
      </w:r>
      <w:proofErr w:type="spellEnd"/>
      <w:r w:rsidRPr="007C5A6E">
        <w:rPr>
          <w:rFonts w:ascii="Times New Roman" w:eastAsia="Calibri" w:hAnsi="Times New Roman"/>
          <w:kern w:val="2"/>
          <w:sz w:val="24"/>
          <w:szCs w:val="24"/>
          <w14:ligatures w14:val="standardContextual"/>
        </w:rPr>
        <w:t xml:space="preserve"> (1974), du Sourou (1985), de Douna (1987), de la Kompienga (1988), de Bagré (1994), de </w:t>
      </w:r>
      <w:proofErr w:type="spellStart"/>
      <w:r w:rsidRPr="007C5A6E">
        <w:rPr>
          <w:rFonts w:ascii="Times New Roman" w:eastAsia="Calibri" w:hAnsi="Times New Roman"/>
          <w:kern w:val="2"/>
          <w:sz w:val="24"/>
          <w:szCs w:val="24"/>
          <w14:ligatures w14:val="standardContextual"/>
        </w:rPr>
        <w:t>Ziga</w:t>
      </w:r>
      <w:proofErr w:type="spellEnd"/>
      <w:r w:rsidRPr="007C5A6E">
        <w:rPr>
          <w:rFonts w:ascii="Times New Roman" w:eastAsia="Calibri" w:hAnsi="Times New Roman"/>
          <w:kern w:val="2"/>
          <w:sz w:val="24"/>
          <w:szCs w:val="24"/>
          <w14:ligatures w14:val="standardContextual"/>
        </w:rPr>
        <w:t xml:space="preserve"> (2001) de </w:t>
      </w:r>
      <w:proofErr w:type="spellStart"/>
      <w:r w:rsidRPr="007C5A6E">
        <w:rPr>
          <w:rFonts w:ascii="Times New Roman" w:eastAsia="Calibri" w:hAnsi="Times New Roman"/>
          <w:kern w:val="2"/>
          <w:sz w:val="24"/>
          <w:szCs w:val="24"/>
          <w14:ligatures w14:val="standardContextual"/>
        </w:rPr>
        <w:t>Samadéni</w:t>
      </w:r>
      <w:proofErr w:type="spellEnd"/>
      <w:r w:rsidRPr="007C5A6E">
        <w:rPr>
          <w:rFonts w:ascii="Times New Roman" w:eastAsia="Calibri" w:hAnsi="Times New Roman"/>
          <w:kern w:val="2"/>
          <w:sz w:val="24"/>
          <w:szCs w:val="24"/>
          <w14:ligatures w14:val="standardContextual"/>
        </w:rPr>
        <w:t xml:space="preserve"> (2019) et de</w:t>
      </w:r>
      <w:r w:rsidRPr="007C5A6E">
        <w:rPr>
          <w:rFonts w:ascii="Times New Roman" w:eastAsia="Calibri" w:hAnsi="Times New Roman"/>
          <w:color w:val="FF0000"/>
          <w:kern w:val="2"/>
          <w:sz w:val="24"/>
          <w:szCs w:val="24"/>
          <w14:ligatures w14:val="standardContextual"/>
        </w:rPr>
        <w:t xml:space="preserve"> </w:t>
      </w:r>
      <w:proofErr w:type="spellStart"/>
      <w:r w:rsidRPr="007C5A6E">
        <w:rPr>
          <w:rFonts w:ascii="Times New Roman" w:eastAsia="Calibri" w:hAnsi="Times New Roman"/>
          <w:kern w:val="2"/>
          <w:sz w:val="24"/>
          <w:szCs w:val="24"/>
          <w14:ligatures w14:val="standardContextual"/>
        </w:rPr>
        <w:t>Sanou</w:t>
      </w:r>
      <w:proofErr w:type="spellEnd"/>
      <w:r w:rsidRPr="007C5A6E">
        <w:rPr>
          <w:rFonts w:ascii="Times New Roman" w:eastAsia="Calibri" w:hAnsi="Times New Roman"/>
          <w:kern w:val="2"/>
          <w:sz w:val="24"/>
          <w:szCs w:val="24"/>
          <w14:ligatures w14:val="standardContextual"/>
        </w:rPr>
        <w:t xml:space="preserve"> (2019). </w:t>
      </w:r>
    </w:p>
    <w:p w14:paraId="1F8318BC" w14:textId="5B7339EB" w:rsidR="00D82C73" w:rsidRPr="007C5A6E" w:rsidRDefault="00D82C73" w:rsidP="0057132F">
      <w:pPr>
        <w:spacing w:after="0" w:line="240" w:lineRule="auto"/>
        <w:jc w:val="both"/>
        <w:rPr>
          <w:rFonts w:ascii="Times New Roman" w:eastAsia="Calibri" w:hAnsi="Times New Roman"/>
          <w:kern w:val="2"/>
          <w:sz w:val="24"/>
          <w:szCs w:val="24"/>
          <w14:ligatures w14:val="standardContextual"/>
        </w:rPr>
      </w:pPr>
      <w:r w:rsidRPr="007C5A6E">
        <w:rPr>
          <w:rFonts w:ascii="Times New Roman" w:eastAsia="Calibri" w:hAnsi="Times New Roman"/>
          <w:kern w:val="2"/>
          <w:sz w:val="24"/>
          <w:szCs w:val="24"/>
          <w14:ligatures w14:val="standardContextual"/>
        </w:rPr>
        <w:t>Les régions qui ont les plus grandes superficies de périmètres irrigués sont celles de la Boucle du Mouhoun, du Centre-Est et de l’Est (</w:t>
      </w:r>
      <w:r w:rsidRPr="007C5A6E">
        <w:rPr>
          <w:rFonts w:ascii="Times New Roman" w:eastAsia="Calibri" w:hAnsi="Times New Roman"/>
          <w:sz w:val="24"/>
          <w:szCs w:val="24"/>
          <w:lang w:eastAsia="en-US"/>
          <w14:ligatures w14:val="standardContextual"/>
        </w:rPr>
        <w:t>MAAH/DGHADI, 2021</w:t>
      </w:r>
      <w:r w:rsidRPr="007C5A6E">
        <w:rPr>
          <w:rFonts w:ascii="Times New Roman" w:eastAsia="Calibri" w:hAnsi="Times New Roman"/>
          <w:kern w:val="2"/>
          <w:sz w:val="24"/>
          <w:szCs w:val="24"/>
          <w14:ligatures w14:val="standardContextual"/>
        </w:rPr>
        <w:t xml:space="preserve">). </w:t>
      </w:r>
      <w:r w:rsidRPr="007C5A6E">
        <w:rPr>
          <w:rFonts w:ascii="Times New Roman" w:eastAsia="Calibri" w:hAnsi="Times New Roman"/>
          <w:bCs/>
          <w:kern w:val="2"/>
          <w:sz w:val="24"/>
          <w:szCs w:val="24"/>
          <w:lang w:eastAsia="en-US"/>
          <w14:ligatures w14:val="standardContextual"/>
        </w:rPr>
        <w:t>Sur le plan national, les superficies des nouveaux périmètres irrigués varient annuellement : 691 ha en 2016, 2710 ha en 2017, 1459 ha en 2018, 1514 ha en 2019, 1087 ha en 2020 et 861 ha en 2021</w:t>
      </w:r>
      <w:r w:rsidR="0079778E" w:rsidRPr="007C5A6E">
        <w:rPr>
          <w:rFonts w:ascii="Times New Roman" w:eastAsia="Calibri" w:hAnsi="Times New Roman"/>
          <w:bCs/>
          <w:kern w:val="2"/>
          <w:sz w:val="24"/>
          <w:szCs w:val="24"/>
          <w:lang w:eastAsia="en-US"/>
          <w14:ligatures w14:val="standardContextual"/>
        </w:rPr>
        <w:t>.</w:t>
      </w:r>
      <w:r w:rsidRPr="007C5A6E">
        <w:rPr>
          <w:rFonts w:ascii="Times New Roman" w:eastAsia="Calibri" w:hAnsi="Times New Roman"/>
          <w:bCs/>
          <w:kern w:val="2"/>
          <w:sz w:val="24"/>
          <w:szCs w:val="24"/>
          <w:lang w:eastAsia="en-US"/>
          <w14:ligatures w14:val="standardContextual"/>
        </w:rPr>
        <w:t xml:space="preserve"> </w:t>
      </w:r>
      <w:r w:rsidRPr="007C5A6E">
        <w:rPr>
          <w:rFonts w:ascii="Times New Roman" w:eastAsia="Calibri" w:hAnsi="Times New Roman"/>
          <w:kern w:val="2"/>
          <w:sz w:val="24"/>
          <w:szCs w:val="24"/>
          <w14:ligatures w14:val="standardContextual"/>
        </w:rPr>
        <w:t xml:space="preserve">Le tableau </w:t>
      </w:r>
      <w:r w:rsidR="00DC12DA" w:rsidRPr="007C5A6E">
        <w:rPr>
          <w:rFonts w:ascii="Times New Roman" w:eastAsia="Calibri" w:hAnsi="Times New Roman"/>
          <w:kern w:val="2"/>
          <w:sz w:val="24"/>
          <w:szCs w:val="24"/>
          <w14:ligatures w14:val="standardContextual"/>
        </w:rPr>
        <w:t>2</w:t>
      </w:r>
      <w:r w:rsidR="0079778E" w:rsidRPr="007C5A6E">
        <w:rPr>
          <w:rFonts w:ascii="Times New Roman" w:eastAsia="Calibri" w:hAnsi="Times New Roman"/>
          <w:kern w:val="2"/>
          <w:sz w:val="24"/>
          <w:szCs w:val="24"/>
          <w14:ligatures w14:val="standardContextual"/>
        </w:rPr>
        <w:t>9</w:t>
      </w:r>
      <w:r w:rsidRPr="007C5A6E">
        <w:rPr>
          <w:rFonts w:ascii="Times New Roman" w:eastAsia="Calibri" w:hAnsi="Times New Roman"/>
          <w:kern w:val="2"/>
          <w:sz w:val="24"/>
          <w:szCs w:val="24"/>
          <w14:ligatures w14:val="standardContextual"/>
        </w:rPr>
        <w:t xml:space="preserve"> présente l’évolution des superficies en hectare des nouveaux périmètres irrigués de 2016 à 2021. </w:t>
      </w:r>
    </w:p>
    <w:p w14:paraId="50337190" w14:textId="77777777" w:rsidR="0057132F" w:rsidRPr="007C5A6E" w:rsidRDefault="0057132F" w:rsidP="0057132F">
      <w:pPr>
        <w:spacing w:after="0" w:line="240" w:lineRule="auto"/>
        <w:jc w:val="both"/>
        <w:rPr>
          <w:rFonts w:ascii="Times New Roman" w:eastAsia="Calibri" w:hAnsi="Times New Roman"/>
          <w:kern w:val="2"/>
          <w:sz w:val="24"/>
          <w:szCs w:val="24"/>
          <w14:ligatures w14:val="standardContextual"/>
        </w:rPr>
      </w:pPr>
    </w:p>
    <w:p w14:paraId="0358B48D" w14:textId="1D7CD9C3" w:rsidR="00D82C73" w:rsidRPr="007C5A6E" w:rsidRDefault="00D82C73" w:rsidP="00DC12DA">
      <w:pPr>
        <w:keepNext/>
        <w:spacing w:after="0" w:line="240" w:lineRule="auto"/>
        <w:jc w:val="both"/>
        <w:rPr>
          <w:rFonts w:ascii="Times New Roman" w:hAnsi="Times New Roman"/>
          <w:spacing w:val="10"/>
          <w:sz w:val="24"/>
          <w:szCs w:val="24"/>
          <w:lang w:eastAsia="en-US"/>
        </w:rPr>
      </w:pPr>
      <w:bookmarkStart w:id="728" w:name="_Toc181983398"/>
      <w:bookmarkStart w:id="729" w:name="_Toc183240991"/>
      <w:bookmarkStart w:id="730" w:name="_Toc183292233"/>
      <w:bookmarkStart w:id="731" w:name="_Toc183340513"/>
      <w:r w:rsidRPr="007C5A6E">
        <w:rPr>
          <w:rFonts w:ascii="Times New Roman" w:hAnsi="Times New Roman"/>
          <w:spacing w:val="10"/>
          <w:sz w:val="24"/>
          <w:szCs w:val="24"/>
          <w:lang w:eastAsia="en-US"/>
        </w:rPr>
        <w:t xml:space="preserve">Tableau </w:t>
      </w:r>
      <w:r w:rsidRPr="007C5A6E">
        <w:rPr>
          <w:rFonts w:ascii="Times New Roman" w:hAnsi="Times New Roman"/>
          <w:spacing w:val="10"/>
          <w:sz w:val="24"/>
          <w:szCs w:val="24"/>
          <w:lang w:eastAsia="en-US"/>
        </w:rPr>
        <w:fldChar w:fldCharType="begin"/>
      </w:r>
      <w:r w:rsidRPr="007C5A6E">
        <w:rPr>
          <w:rFonts w:ascii="Times New Roman" w:hAnsi="Times New Roman"/>
          <w:spacing w:val="10"/>
          <w:sz w:val="24"/>
          <w:szCs w:val="24"/>
          <w:lang w:eastAsia="en-US"/>
        </w:rPr>
        <w:instrText xml:space="preserve"> SEQ Tableau \* ARABIC </w:instrText>
      </w:r>
      <w:r w:rsidRPr="007C5A6E">
        <w:rPr>
          <w:rFonts w:ascii="Times New Roman" w:hAnsi="Times New Roman"/>
          <w:spacing w:val="10"/>
          <w:sz w:val="24"/>
          <w:szCs w:val="24"/>
          <w:lang w:eastAsia="en-US"/>
        </w:rPr>
        <w:fldChar w:fldCharType="separate"/>
      </w:r>
      <w:r w:rsidR="003162F8" w:rsidRPr="007C5A6E">
        <w:rPr>
          <w:rFonts w:ascii="Times New Roman" w:hAnsi="Times New Roman"/>
          <w:noProof/>
          <w:spacing w:val="10"/>
          <w:sz w:val="24"/>
          <w:szCs w:val="24"/>
          <w:lang w:eastAsia="en-US"/>
        </w:rPr>
        <w:t>29</w:t>
      </w:r>
      <w:r w:rsidRPr="007C5A6E">
        <w:rPr>
          <w:rFonts w:ascii="Times New Roman" w:hAnsi="Times New Roman"/>
          <w:spacing w:val="10"/>
          <w:sz w:val="24"/>
          <w:szCs w:val="24"/>
          <w:lang w:eastAsia="en-US"/>
        </w:rPr>
        <w:fldChar w:fldCharType="end"/>
      </w:r>
      <w:r w:rsidRPr="007C5A6E">
        <w:rPr>
          <w:rFonts w:ascii="Times New Roman" w:hAnsi="Times New Roman"/>
          <w:spacing w:val="10"/>
          <w:sz w:val="24"/>
          <w:szCs w:val="24"/>
          <w:lang w:eastAsia="en-US"/>
        </w:rPr>
        <w:t xml:space="preserve"> : Evolution des superficies des nouveaux périmètres irrigués de 2016 à 2021 (en ha)</w:t>
      </w:r>
      <w:bookmarkEnd w:id="728"/>
      <w:bookmarkEnd w:id="729"/>
      <w:bookmarkEnd w:id="730"/>
      <w:bookmarkEnd w:id="731"/>
    </w:p>
    <w:p w14:paraId="071EAEF1" w14:textId="77777777" w:rsidR="0079778E" w:rsidRPr="007C5A6E" w:rsidRDefault="0079778E" w:rsidP="00DC12DA">
      <w:pPr>
        <w:keepNext/>
        <w:spacing w:after="0" w:line="240" w:lineRule="auto"/>
        <w:jc w:val="both"/>
        <w:rPr>
          <w:rFonts w:ascii="Times New Roman" w:hAnsi="Times New Roman"/>
          <w:spacing w:val="10"/>
          <w:sz w:val="24"/>
          <w:szCs w:val="24"/>
          <w:lang w:eastAsia="en-US"/>
        </w:rPr>
      </w:pPr>
    </w:p>
    <w:tbl>
      <w:tblPr>
        <w:tblW w:w="9040" w:type="dxa"/>
        <w:tblLook w:val="04A0" w:firstRow="1" w:lastRow="0" w:firstColumn="1" w:lastColumn="0" w:noHBand="0" w:noVBand="1"/>
      </w:tblPr>
      <w:tblGrid>
        <w:gridCol w:w="2972"/>
        <w:gridCol w:w="992"/>
        <w:gridCol w:w="993"/>
        <w:gridCol w:w="1134"/>
        <w:gridCol w:w="992"/>
        <w:gridCol w:w="992"/>
        <w:gridCol w:w="965"/>
      </w:tblGrid>
      <w:tr w:rsidR="00D82C73" w:rsidRPr="007C5A6E" w14:paraId="5A6BFCF6" w14:textId="77777777" w:rsidTr="00000A12">
        <w:trPr>
          <w:trHeight w:val="290"/>
        </w:trPr>
        <w:tc>
          <w:tcPr>
            <w:tcW w:w="2972" w:type="dxa"/>
            <w:tcBorders>
              <w:top w:val="single" w:sz="18" w:space="0" w:color="auto"/>
              <w:bottom w:val="single" w:sz="18" w:space="0" w:color="auto"/>
            </w:tcBorders>
            <w:shd w:val="clear" w:color="auto" w:fill="auto"/>
            <w:noWrap/>
            <w:vAlign w:val="bottom"/>
            <w:hideMark/>
          </w:tcPr>
          <w:p w14:paraId="7D1326F0" w14:textId="77777777" w:rsidR="00D82C73" w:rsidRPr="007C5A6E" w:rsidRDefault="00D82C73" w:rsidP="00DC12DA">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Régions</w:t>
            </w:r>
          </w:p>
        </w:tc>
        <w:tc>
          <w:tcPr>
            <w:tcW w:w="992" w:type="dxa"/>
            <w:tcBorders>
              <w:top w:val="single" w:sz="18" w:space="0" w:color="auto"/>
              <w:bottom w:val="single" w:sz="18" w:space="0" w:color="auto"/>
            </w:tcBorders>
            <w:shd w:val="clear" w:color="auto" w:fill="auto"/>
            <w:noWrap/>
            <w:vAlign w:val="bottom"/>
            <w:hideMark/>
          </w:tcPr>
          <w:p w14:paraId="62C9BB59"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2016</w:t>
            </w:r>
          </w:p>
        </w:tc>
        <w:tc>
          <w:tcPr>
            <w:tcW w:w="993" w:type="dxa"/>
            <w:tcBorders>
              <w:top w:val="single" w:sz="18" w:space="0" w:color="auto"/>
              <w:bottom w:val="single" w:sz="18" w:space="0" w:color="auto"/>
            </w:tcBorders>
            <w:shd w:val="clear" w:color="auto" w:fill="auto"/>
            <w:noWrap/>
            <w:vAlign w:val="bottom"/>
            <w:hideMark/>
          </w:tcPr>
          <w:p w14:paraId="70253067"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2017</w:t>
            </w:r>
          </w:p>
        </w:tc>
        <w:tc>
          <w:tcPr>
            <w:tcW w:w="1134" w:type="dxa"/>
            <w:tcBorders>
              <w:top w:val="single" w:sz="18" w:space="0" w:color="auto"/>
              <w:bottom w:val="single" w:sz="18" w:space="0" w:color="auto"/>
            </w:tcBorders>
            <w:shd w:val="clear" w:color="auto" w:fill="auto"/>
            <w:noWrap/>
            <w:vAlign w:val="bottom"/>
            <w:hideMark/>
          </w:tcPr>
          <w:p w14:paraId="5DBECEE9"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2018</w:t>
            </w:r>
          </w:p>
        </w:tc>
        <w:tc>
          <w:tcPr>
            <w:tcW w:w="992" w:type="dxa"/>
            <w:tcBorders>
              <w:top w:val="single" w:sz="18" w:space="0" w:color="auto"/>
              <w:bottom w:val="single" w:sz="18" w:space="0" w:color="auto"/>
            </w:tcBorders>
            <w:shd w:val="clear" w:color="auto" w:fill="auto"/>
            <w:noWrap/>
            <w:vAlign w:val="bottom"/>
            <w:hideMark/>
          </w:tcPr>
          <w:p w14:paraId="7C14A545"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2019</w:t>
            </w:r>
          </w:p>
        </w:tc>
        <w:tc>
          <w:tcPr>
            <w:tcW w:w="992" w:type="dxa"/>
            <w:tcBorders>
              <w:top w:val="single" w:sz="18" w:space="0" w:color="auto"/>
              <w:bottom w:val="single" w:sz="18" w:space="0" w:color="auto"/>
            </w:tcBorders>
            <w:shd w:val="clear" w:color="auto" w:fill="auto"/>
            <w:noWrap/>
            <w:vAlign w:val="bottom"/>
            <w:hideMark/>
          </w:tcPr>
          <w:p w14:paraId="3F154619"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2020</w:t>
            </w:r>
          </w:p>
        </w:tc>
        <w:tc>
          <w:tcPr>
            <w:tcW w:w="965" w:type="dxa"/>
            <w:tcBorders>
              <w:top w:val="single" w:sz="18" w:space="0" w:color="auto"/>
              <w:bottom w:val="single" w:sz="18" w:space="0" w:color="auto"/>
            </w:tcBorders>
            <w:shd w:val="clear" w:color="auto" w:fill="auto"/>
            <w:noWrap/>
            <w:vAlign w:val="bottom"/>
            <w:hideMark/>
          </w:tcPr>
          <w:p w14:paraId="2E2EF4A4"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2021</w:t>
            </w:r>
          </w:p>
        </w:tc>
      </w:tr>
      <w:tr w:rsidR="00D82C73" w:rsidRPr="007C5A6E" w14:paraId="02D5F1EA" w14:textId="77777777" w:rsidTr="00000A12">
        <w:trPr>
          <w:trHeight w:val="290"/>
        </w:trPr>
        <w:tc>
          <w:tcPr>
            <w:tcW w:w="2972" w:type="dxa"/>
            <w:tcBorders>
              <w:top w:val="single" w:sz="18" w:space="0" w:color="auto"/>
            </w:tcBorders>
            <w:shd w:val="clear" w:color="auto" w:fill="auto"/>
            <w:noWrap/>
            <w:vAlign w:val="bottom"/>
            <w:hideMark/>
          </w:tcPr>
          <w:p w14:paraId="7BD44AD8" w14:textId="77777777" w:rsidR="00D82C73" w:rsidRPr="007C5A6E" w:rsidRDefault="00D82C73" w:rsidP="00DC12DA">
            <w:pPr>
              <w:spacing w:after="0" w:line="240" w:lineRule="auto"/>
              <w:rPr>
                <w:rFonts w:ascii="Times New Roman" w:hAnsi="Times New Roman"/>
                <w:sz w:val="21"/>
                <w:szCs w:val="21"/>
                <w:lang w:eastAsia="en-US"/>
              </w:rPr>
            </w:pPr>
            <w:r w:rsidRPr="007C5A6E">
              <w:rPr>
                <w:rFonts w:ascii="Times New Roman" w:hAnsi="Times New Roman"/>
                <w:sz w:val="21"/>
                <w:szCs w:val="21"/>
                <w:lang w:eastAsia="en-US"/>
              </w:rPr>
              <w:t>BOUCLE DU MOUHOUN</w:t>
            </w:r>
          </w:p>
        </w:tc>
        <w:tc>
          <w:tcPr>
            <w:tcW w:w="992" w:type="dxa"/>
            <w:tcBorders>
              <w:top w:val="single" w:sz="18" w:space="0" w:color="auto"/>
            </w:tcBorders>
            <w:shd w:val="clear" w:color="auto" w:fill="auto"/>
            <w:noWrap/>
            <w:vAlign w:val="bottom"/>
            <w:hideMark/>
          </w:tcPr>
          <w:p w14:paraId="1A484CBD" w14:textId="77777777" w:rsidR="00D82C73" w:rsidRPr="007C5A6E" w:rsidRDefault="00D82C73" w:rsidP="00DC12DA">
            <w:pPr>
              <w:spacing w:after="0" w:line="240" w:lineRule="auto"/>
              <w:jc w:val="right"/>
              <w:rPr>
                <w:rFonts w:ascii="Times New Roman" w:hAnsi="Times New Roman"/>
                <w:sz w:val="21"/>
                <w:szCs w:val="21"/>
                <w:lang w:eastAsia="en-US"/>
              </w:rPr>
            </w:pPr>
            <w:r w:rsidRPr="007C5A6E">
              <w:rPr>
                <w:rFonts w:ascii="Times New Roman" w:hAnsi="Times New Roman"/>
                <w:sz w:val="21"/>
                <w:szCs w:val="21"/>
                <w:lang w:eastAsia="en-US"/>
              </w:rPr>
              <w:t>350</w:t>
            </w:r>
          </w:p>
        </w:tc>
        <w:tc>
          <w:tcPr>
            <w:tcW w:w="993" w:type="dxa"/>
            <w:tcBorders>
              <w:top w:val="single" w:sz="18" w:space="0" w:color="auto"/>
            </w:tcBorders>
            <w:shd w:val="clear" w:color="auto" w:fill="auto"/>
            <w:noWrap/>
            <w:vAlign w:val="bottom"/>
            <w:hideMark/>
          </w:tcPr>
          <w:p w14:paraId="62B4A355" w14:textId="77777777" w:rsidR="00D82C73" w:rsidRPr="007C5A6E" w:rsidRDefault="00D82C73" w:rsidP="00DC12DA">
            <w:pPr>
              <w:spacing w:after="0" w:line="240" w:lineRule="auto"/>
              <w:jc w:val="right"/>
              <w:rPr>
                <w:rFonts w:ascii="Times New Roman" w:hAnsi="Times New Roman"/>
                <w:sz w:val="21"/>
                <w:szCs w:val="21"/>
                <w:lang w:eastAsia="en-US"/>
              </w:rPr>
            </w:pPr>
            <w:r w:rsidRPr="007C5A6E">
              <w:rPr>
                <w:rFonts w:ascii="Times New Roman" w:hAnsi="Times New Roman"/>
                <w:sz w:val="21"/>
                <w:szCs w:val="21"/>
                <w:lang w:eastAsia="en-US"/>
              </w:rPr>
              <w:t>34</w:t>
            </w:r>
          </w:p>
        </w:tc>
        <w:tc>
          <w:tcPr>
            <w:tcW w:w="1134" w:type="dxa"/>
            <w:tcBorders>
              <w:top w:val="single" w:sz="18" w:space="0" w:color="auto"/>
            </w:tcBorders>
            <w:shd w:val="clear" w:color="auto" w:fill="auto"/>
            <w:noWrap/>
            <w:vAlign w:val="bottom"/>
            <w:hideMark/>
          </w:tcPr>
          <w:p w14:paraId="46EAE851" w14:textId="77777777" w:rsidR="00D82C73" w:rsidRPr="007C5A6E" w:rsidRDefault="00D82C73" w:rsidP="00DC12DA">
            <w:pPr>
              <w:spacing w:after="0" w:line="240" w:lineRule="auto"/>
              <w:jc w:val="right"/>
              <w:rPr>
                <w:rFonts w:ascii="Times New Roman" w:hAnsi="Times New Roman"/>
                <w:sz w:val="21"/>
                <w:szCs w:val="21"/>
                <w:lang w:eastAsia="en-US"/>
              </w:rPr>
            </w:pPr>
            <w:r w:rsidRPr="007C5A6E">
              <w:rPr>
                <w:rFonts w:ascii="Times New Roman" w:hAnsi="Times New Roman"/>
                <w:sz w:val="21"/>
                <w:szCs w:val="21"/>
                <w:lang w:eastAsia="en-US"/>
              </w:rPr>
              <w:t>68,5</w:t>
            </w:r>
          </w:p>
        </w:tc>
        <w:tc>
          <w:tcPr>
            <w:tcW w:w="992" w:type="dxa"/>
            <w:tcBorders>
              <w:top w:val="single" w:sz="18" w:space="0" w:color="auto"/>
            </w:tcBorders>
            <w:shd w:val="clear" w:color="auto" w:fill="auto"/>
            <w:noWrap/>
            <w:vAlign w:val="bottom"/>
            <w:hideMark/>
          </w:tcPr>
          <w:p w14:paraId="3CDF4F9B" w14:textId="77777777" w:rsidR="00D82C73" w:rsidRPr="007C5A6E" w:rsidRDefault="00D82C73" w:rsidP="00DC12DA">
            <w:pPr>
              <w:spacing w:after="0" w:line="240" w:lineRule="auto"/>
              <w:jc w:val="right"/>
              <w:rPr>
                <w:rFonts w:ascii="Times New Roman" w:hAnsi="Times New Roman"/>
                <w:sz w:val="21"/>
                <w:szCs w:val="21"/>
                <w:lang w:eastAsia="en-US"/>
              </w:rPr>
            </w:pPr>
            <w:r w:rsidRPr="007C5A6E">
              <w:rPr>
                <w:rFonts w:ascii="Times New Roman" w:hAnsi="Times New Roman"/>
                <w:sz w:val="21"/>
                <w:szCs w:val="21"/>
                <w:lang w:eastAsia="en-US"/>
              </w:rPr>
              <w:t>30</w:t>
            </w:r>
          </w:p>
        </w:tc>
        <w:tc>
          <w:tcPr>
            <w:tcW w:w="992" w:type="dxa"/>
            <w:tcBorders>
              <w:top w:val="single" w:sz="18" w:space="0" w:color="auto"/>
            </w:tcBorders>
            <w:shd w:val="clear" w:color="auto" w:fill="auto"/>
            <w:noWrap/>
            <w:vAlign w:val="bottom"/>
            <w:hideMark/>
          </w:tcPr>
          <w:p w14:paraId="5DFDC187" w14:textId="77777777" w:rsidR="00D82C73" w:rsidRPr="007C5A6E" w:rsidRDefault="00D82C73" w:rsidP="00DC12DA">
            <w:pPr>
              <w:spacing w:after="0" w:line="240" w:lineRule="auto"/>
              <w:jc w:val="right"/>
              <w:rPr>
                <w:rFonts w:ascii="Times New Roman" w:hAnsi="Times New Roman"/>
                <w:sz w:val="21"/>
                <w:szCs w:val="21"/>
                <w:lang w:eastAsia="en-US"/>
              </w:rPr>
            </w:pPr>
            <w:r w:rsidRPr="007C5A6E">
              <w:rPr>
                <w:rFonts w:ascii="Times New Roman" w:hAnsi="Times New Roman"/>
                <w:sz w:val="21"/>
                <w:szCs w:val="21"/>
                <w:lang w:eastAsia="en-US"/>
              </w:rPr>
              <w:t>0</w:t>
            </w:r>
          </w:p>
        </w:tc>
        <w:tc>
          <w:tcPr>
            <w:tcW w:w="965" w:type="dxa"/>
            <w:tcBorders>
              <w:top w:val="single" w:sz="18" w:space="0" w:color="auto"/>
            </w:tcBorders>
            <w:shd w:val="clear" w:color="auto" w:fill="auto"/>
            <w:noWrap/>
            <w:vAlign w:val="bottom"/>
            <w:hideMark/>
          </w:tcPr>
          <w:p w14:paraId="6AF6382C" w14:textId="77777777" w:rsidR="00D82C73" w:rsidRPr="007C5A6E" w:rsidRDefault="00D82C73" w:rsidP="00DC12DA">
            <w:pPr>
              <w:spacing w:after="0" w:line="240" w:lineRule="auto"/>
              <w:jc w:val="right"/>
              <w:rPr>
                <w:rFonts w:ascii="Times New Roman" w:hAnsi="Times New Roman"/>
                <w:sz w:val="21"/>
                <w:szCs w:val="21"/>
                <w:lang w:eastAsia="en-US"/>
              </w:rPr>
            </w:pPr>
            <w:r w:rsidRPr="007C5A6E">
              <w:rPr>
                <w:rFonts w:ascii="Times New Roman" w:hAnsi="Times New Roman"/>
                <w:sz w:val="21"/>
                <w:szCs w:val="21"/>
                <w:lang w:eastAsia="en-US"/>
              </w:rPr>
              <w:t>38</w:t>
            </w:r>
          </w:p>
        </w:tc>
      </w:tr>
      <w:tr w:rsidR="00D82C73" w:rsidRPr="007C5A6E" w14:paraId="23098E16" w14:textId="77777777" w:rsidTr="00000A12">
        <w:trPr>
          <w:trHeight w:val="290"/>
        </w:trPr>
        <w:tc>
          <w:tcPr>
            <w:tcW w:w="2972" w:type="dxa"/>
            <w:shd w:val="clear" w:color="auto" w:fill="auto"/>
            <w:noWrap/>
            <w:vAlign w:val="bottom"/>
            <w:hideMark/>
          </w:tcPr>
          <w:p w14:paraId="64AE5048" w14:textId="77777777" w:rsidR="00D82C73" w:rsidRPr="007C5A6E" w:rsidRDefault="00D82C73" w:rsidP="00DC12DA">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CASCADES</w:t>
            </w:r>
          </w:p>
        </w:tc>
        <w:tc>
          <w:tcPr>
            <w:tcW w:w="992" w:type="dxa"/>
            <w:shd w:val="clear" w:color="auto" w:fill="auto"/>
            <w:noWrap/>
            <w:vAlign w:val="bottom"/>
            <w:hideMark/>
          </w:tcPr>
          <w:p w14:paraId="0E4AD5CB"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93" w:type="dxa"/>
            <w:shd w:val="clear" w:color="auto" w:fill="auto"/>
            <w:noWrap/>
            <w:vAlign w:val="bottom"/>
            <w:hideMark/>
          </w:tcPr>
          <w:p w14:paraId="67F88BFC"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1134" w:type="dxa"/>
            <w:shd w:val="clear" w:color="auto" w:fill="auto"/>
            <w:noWrap/>
            <w:vAlign w:val="bottom"/>
            <w:hideMark/>
          </w:tcPr>
          <w:p w14:paraId="451F2813"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92" w:type="dxa"/>
            <w:shd w:val="clear" w:color="auto" w:fill="auto"/>
            <w:noWrap/>
            <w:vAlign w:val="bottom"/>
            <w:hideMark/>
          </w:tcPr>
          <w:p w14:paraId="57513F76"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92" w:type="dxa"/>
            <w:shd w:val="clear" w:color="auto" w:fill="auto"/>
            <w:noWrap/>
            <w:vAlign w:val="bottom"/>
            <w:hideMark/>
          </w:tcPr>
          <w:p w14:paraId="62FC748C"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3</w:t>
            </w:r>
          </w:p>
        </w:tc>
        <w:tc>
          <w:tcPr>
            <w:tcW w:w="965" w:type="dxa"/>
            <w:shd w:val="clear" w:color="auto" w:fill="auto"/>
            <w:noWrap/>
            <w:vAlign w:val="bottom"/>
            <w:hideMark/>
          </w:tcPr>
          <w:p w14:paraId="0A10012B"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r>
      <w:tr w:rsidR="00D82C73" w:rsidRPr="007C5A6E" w14:paraId="788B4DCC" w14:textId="77777777" w:rsidTr="00000A12">
        <w:trPr>
          <w:trHeight w:val="290"/>
        </w:trPr>
        <w:tc>
          <w:tcPr>
            <w:tcW w:w="2972" w:type="dxa"/>
            <w:shd w:val="clear" w:color="auto" w:fill="auto"/>
            <w:noWrap/>
            <w:vAlign w:val="bottom"/>
            <w:hideMark/>
          </w:tcPr>
          <w:p w14:paraId="409CB610" w14:textId="77777777" w:rsidR="00D82C73" w:rsidRPr="007C5A6E" w:rsidRDefault="00D82C73" w:rsidP="00DC12DA">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CENTRE</w:t>
            </w:r>
          </w:p>
        </w:tc>
        <w:tc>
          <w:tcPr>
            <w:tcW w:w="992" w:type="dxa"/>
            <w:shd w:val="clear" w:color="auto" w:fill="auto"/>
            <w:noWrap/>
            <w:vAlign w:val="bottom"/>
            <w:hideMark/>
          </w:tcPr>
          <w:p w14:paraId="57015602"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93" w:type="dxa"/>
            <w:shd w:val="clear" w:color="auto" w:fill="auto"/>
            <w:noWrap/>
            <w:vAlign w:val="bottom"/>
            <w:hideMark/>
          </w:tcPr>
          <w:p w14:paraId="694D6E87"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1134" w:type="dxa"/>
            <w:shd w:val="clear" w:color="auto" w:fill="auto"/>
            <w:noWrap/>
            <w:vAlign w:val="bottom"/>
            <w:hideMark/>
          </w:tcPr>
          <w:p w14:paraId="5A962F25"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10,9</w:t>
            </w:r>
          </w:p>
        </w:tc>
        <w:tc>
          <w:tcPr>
            <w:tcW w:w="992" w:type="dxa"/>
            <w:shd w:val="clear" w:color="auto" w:fill="auto"/>
            <w:noWrap/>
            <w:vAlign w:val="bottom"/>
            <w:hideMark/>
          </w:tcPr>
          <w:p w14:paraId="4E9B932E"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20</w:t>
            </w:r>
          </w:p>
        </w:tc>
        <w:tc>
          <w:tcPr>
            <w:tcW w:w="992" w:type="dxa"/>
            <w:shd w:val="clear" w:color="auto" w:fill="auto"/>
            <w:noWrap/>
            <w:vAlign w:val="bottom"/>
            <w:hideMark/>
          </w:tcPr>
          <w:p w14:paraId="416A2566"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65" w:type="dxa"/>
            <w:shd w:val="clear" w:color="auto" w:fill="auto"/>
            <w:noWrap/>
            <w:vAlign w:val="bottom"/>
            <w:hideMark/>
          </w:tcPr>
          <w:p w14:paraId="2029A428"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r>
      <w:tr w:rsidR="00D82C73" w:rsidRPr="007C5A6E" w14:paraId="314C56F7" w14:textId="77777777" w:rsidTr="00000A12">
        <w:trPr>
          <w:trHeight w:val="290"/>
        </w:trPr>
        <w:tc>
          <w:tcPr>
            <w:tcW w:w="2972" w:type="dxa"/>
            <w:shd w:val="clear" w:color="auto" w:fill="auto"/>
            <w:noWrap/>
            <w:vAlign w:val="bottom"/>
            <w:hideMark/>
          </w:tcPr>
          <w:p w14:paraId="13347EF4" w14:textId="77777777" w:rsidR="00D82C73" w:rsidRPr="007C5A6E" w:rsidRDefault="00D82C73" w:rsidP="00DC12DA">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CENTRE-EST</w:t>
            </w:r>
          </w:p>
        </w:tc>
        <w:tc>
          <w:tcPr>
            <w:tcW w:w="992" w:type="dxa"/>
            <w:shd w:val="clear" w:color="auto" w:fill="auto"/>
            <w:noWrap/>
            <w:vAlign w:val="bottom"/>
            <w:hideMark/>
          </w:tcPr>
          <w:p w14:paraId="5FF70339"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93" w:type="dxa"/>
            <w:shd w:val="clear" w:color="auto" w:fill="auto"/>
            <w:noWrap/>
            <w:vAlign w:val="bottom"/>
            <w:hideMark/>
          </w:tcPr>
          <w:p w14:paraId="22437E78"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2200</w:t>
            </w:r>
          </w:p>
        </w:tc>
        <w:tc>
          <w:tcPr>
            <w:tcW w:w="1134" w:type="dxa"/>
            <w:shd w:val="clear" w:color="auto" w:fill="auto"/>
            <w:noWrap/>
            <w:vAlign w:val="bottom"/>
            <w:hideMark/>
          </w:tcPr>
          <w:p w14:paraId="1257967E"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1148</w:t>
            </w:r>
          </w:p>
        </w:tc>
        <w:tc>
          <w:tcPr>
            <w:tcW w:w="992" w:type="dxa"/>
            <w:shd w:val="clear" w:color="auto" w:fill="auto"/>
            <w:noWrap/>
            <w:vAlign w:val="bottom"/>
            <w:hideMark/>
          </w:tcPr>
          <w:p w14:paraId="45350B88"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1052</w:t>
            </w:r>
          </w:p>
        </w:tc>
        <w:tc>
          <w:tcPr>
            <w:tcW w:w="992" w:type="dxa"/>
            <w:shd w:val="clear" w:color="auto" w:fill="auto"/>
            <w:noWrap/>
            <w:vAlign w:val="bottom"/>
            <w:hideMark/>
          </w:tcPr>
          <w:p w14:paraId="1F083D3F"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65" w:type="dxa"/>
            <w:shd w:val="clear" w:color="auto" w:fill="auto"/>
            <w:noWrap/>
            <w:vAlign w:val="bottom"/>
            <w:hideMark/>
          </w:tcPr>
          <w:p w14:paraId="1A224F63"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r>
      <w:tr w:rsidR="00D82C73" w:rsidRPr="007C5A6E" w14:paraId="24BAE3ED" w14:textId="77777777" w:rsidTr="00000A12">
        <w:trPr>
          <w:trHeight w:val="290"/>
        </w:trPr>
        <w:tc>
          <w:tcPr>
            <w:tcW w:w="2972" w:type="dxa"/>
            <w:shd w:val="clear" w:color="auto" w:fill="auto"/>
            <w:noWrap/>
            <w:vAlign w:val="bottom"/>
            <w:hideMark/>
          </w:tcPr>
          <w:p w14:paraId="58B11EF1" w14:textId="77777777" w:rsidR="00D82C73" w:rsidRPr="007C5A6E" w:rsidRDefault="00D82C73" w:rsidP="00DC12DA">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CENTRE NORD</w:t>
            </w:r>
          </w:p>
        </w:tc>
        <w:tc>
          <w:tcPr>
            <w:tcW w:w="992" w:type="dxa"/>
            <w:shd w:val="clear" w:color="auto" w:fill="auto"/>
            <w:noWrap/>
            <w:vAlign w:val="bottom"/>
            <w:hideMark/>
          </w:tcPr>
          <w:p w14:paraId="1DFCDBE5"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93" w:type="dxa"/>
            <w:shd w:val="clear" w:color="auto" w:fill="auto"/>
            <w:noWrap/>
            <w:vAlign w:val="bottom"/>
            <w:hideMark/>
          </w:tcPr>
          <w:p w14:paraId="088C9997"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219</w:t>
            </w:r>
          </w:p>
        </w:tc>
        <w:tc>
          <w:tcPr>
            <w:tcW w:w="1134" w:type="dxa"/>
            <w:shd w:val="clear" w:color="auto" w:fill="auto"/>
            <w:noWrap/>
            <w:vAlign w:val="bottom"/>
            <w:hideMark/>
          </w:tcPr>
          <w:p w14:paraId="14ECEE94"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92" w:type="dxa"/>
            <w:shd w:val="clear" w:color="auto" w:fill="auto"/>
            <w:noWrap/>
            <w:vAlign w:val="bottom"/>
            <w:hideMark/>
          </w:tcPr>
          <w:p w14:paraId="60896A7F"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92" w:type="dxa"/>
            <w:shd w:val="clear" w:color="auto" w:fill="auto"/>
            <w:noWrap/>
            <w:vAlign w:val="bottom"/>
            <w:hideMark/>
          </w:tcPr>
          <w:p w14:paraId="12C775F6"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37,9</w:t>
            </w:r>
          </w:p>
        </w:tc>
        <w:tc>
          <w:tcPr>
            <w:tcW w:w="965" w:type="dxa"/>
            <w:shd w:val="clear" w:color="auto" w:fill="auto"/>
            <w:noWrap/>
            <w:vAlign w:val="bottom"/>
            <w:hideMark/>
          </w:tcPr>
          <w:p w14:paraId="09052075"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208</w:t>
            </w:r>
          </w:p>
        </w:tc>
      </w:tr>
      <w:tr w:rsidR="00D82C73" w:rsidRPr="007C5A6E" w14:paraId="2A315C0E" w14:textId="77777777" w:rsidTr="00000A12">
        <w:trPr>
          <w:trHeight w:val="290"/>
        </w:trPr>
        <w:tc>
          <w:tcPr>
            <w:tcW w:w="2972" w:type="dxa"/>
            <w:shd w:val="clear" w:color="auto" w:fill="auto"/>
            <w:noWrap/>
            <w:vAlign w:val="bottom"/>
            <w:hideMark/>
          </w:tcPr>
          <w:p w14:paraId="30C6B026" w14:textId="77777777" w:rsidR="00D82C73" w:rsidRPr="007C5A6E" w:rsidRDefault="00D82C73" w:rsidP="00DC12DA">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CENTRE OUEST</w:t>
            </w:r>
          </w:p>
        </w:tc>
        <w:tc>
          <w:tcPr>
            <w:tcW w:w="992" w:type="dxa"/>
            <w:shd w:val="clear" w:color="auto" w:fill="auto"/>
            <w:noWrap/>
            <w:vAlign w:val="bottom"/>
            <w:hideMark/>
          </w:tcPr>
          <w:p w14:paraId="51606C5C"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10</w:t>
            </w:r>
          </w:p>
        </w:tc>
        <w:tc>
          <w:tcPr>
            <w:tcW w:w="993" w:type="dxa"/>
            <w:shd w:val="clear" w:color="auto" w:fill="auto"/>
            <w:noWrap/>
            <w:vAlign w:val="bottom"/>
            <w:hideMark/>
          </w:tcPr>
          <w:p w14:paraId="7B29D4FE"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42</w:t>
            </w:r>
          </w:p>
        </w:tc>
        <w:tc>
          <w:tcPr>
            <w:tcW w:w="1134" w:type="dxa"/>
            <w:shd w:val="clear" w:color="auto" w:fill="auto"/>
            <w:noWrap/>
            <w:vAlign w:val="bottom"/>
            <w:hideMark/>
          </w:tcPr>
          <w:p w14:paraId="0EDD10BC"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92" w:type="dxa"/>
            <w:shd w:val="clear" w:color="auto" w:fill="auto"/>
            <w:noWrap/>
            <w:vAlign w:val="bottom"/>
            <w:hideMark/>
          </w:tcPr>
          <w:p w14:paraId="51D7A488"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196,7</w:t>
            </w:r>
          </w:p>
        </w:tc>
        <w:tc>
          <w:tcPr>
            <w:tcW w:w="992" w:type="dxa"/>
            <w:shd w:val="clear" w:color="auto" w:fill="auto"/>
            <w:noWrap/>
            <w:vAlign w:val="bottom"/>
            <w:hideMark/>
          </w:tcPr>
          <w:p w14:paraId="58CFE400"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370</w:t>
            </w:r>
          </w:p>
        </w:tc>
        <w:tc>
          <w:tcPr>
            <w:tcW w:w="965" w:type="dxa"/>
            <w:shd w:val="clear" w:color="auto" w:fill="auto"/>
            <w:noWrap/>
            <w:vAlign w:val="bottom"/>
            <w:hideMark/>
          </w:tcPr>
          <w:p w14:paraId="3A6AB1BC"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243</w:t>
            </w:r>
          </w:p>
        </w:tc>
      </w:tr>
      <w:tr w:rsidR="00D82C73" w:rsidRPr="007C5A6E" w14:paraId="0C8F6762" w14:textId="77777777" w:rsidTr="00000A12">
        <w:trPr>
          <w:trHeight w:val="290"/>
        </w:trPr>
        <w:tc>
          <w:tcPr>
            <w:tcW w:w="2972" w:type="dxa"/>
            <w:shd w:val="clear" w:color="auto" w:fill="auto"/>
            <w:noWrap/>
            <w:vAlign w:val="bottom"/>
            <w:hideMark/>
          </w:tcPr>
          <w:p w14:paraId="42A547FF" w14:textId="77777777" w:rsidR="00D82C73" w:rsidRPr="007C5A6E" w:rsidRDefault="00D82C73" w:rsidP="00DC12DA">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CENTRE SUD</w:t>
            </w:r>
          </w:p>
        </w:tc>
        <w:tc>
          <w:tcPr>
            <w:tcW w:w="992" w:type="dxa"/>
            <w:shd w:val="clear" w:color="auto" w:fill="auto"/>
            <w:noWrap/>
            <w:vAlign w:val="bottom"/>
            <w:hideMark/>
          </w:tcPr>
          <w:p w14:paraId="59C7E358"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93" w:type="dxa"/>
            <w:shd w:val="clear" w:color="auto" w:fill="auto"/>
            <w:noWrap/>
            <w:vAlign w:val="bottom"/>
            <w:hideMark/>
          </w:tcPr>
          <w:p w14:paraId="64697B69"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1134" w:type="dxa"/>
            <w:shd w:val="clear" w:color="auto" w:fill="auto"/>
            <w:noWrap/>
            <w:vAlign w:val="bottom"/>
            <w:hideMark/>
          </w:tcPr>
          <w:p w14:paraId="3DB0602F"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w:t>
            </w:r>
          </w:p>
        </w:tc>
        <w:tc>
          <w:tcPr>
            <w:tcW w:w="992" w:type="dxa"/>
            <w:shd w:val="clear" w:color="auto" w:fill="auto"/>
            <w:noWrap/>
            <w:vAlign w:val="bottom"/>
            <w:hideMark/>
          </w:tcPr>
          <w:p w14:paraId="3266BA46"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29,5</w:t>
            </w:r>
          </w:p>
        </w:tc>
        <w:tc>
          <w:tcPr>
            <w:tcW w:w="992" w:type="dxa"/>
            <w:shd w:val="clear" w:color="auto" w:fill="auto"/>
            <w:noWrap/>
            <w:vAlign w:val="bottom"/>
            <w:hideMark/>
          </w:tcPr>
          <w:p w14:paraId="2A04E90C"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65" w:type="dxa"/>
            <w:shd w:val="clear" w:color="auto" w:fill="auto"/>
            <w:noWrap/>
            <w:vAlign w:val="bottom"/>
            <w:hideMark/>
          </w:tcPr>
          <w:p w14:paraId="196D2E21"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r>
      <w:tr w:rsidR="00D82C73" w:rsidRPr="007C5A6E" w14:paraId="0EB7D603" w14:textId="77777777" w:rsidTr="00000A12">
        <w:trPr>
          <w:trHeight w:val="290"/>
        </w:trPr>
        <w:tc>
          <w:tcPr>
            <w:tcW w:w="2972" w:type="dxa"/>
            <w:shd w:val="clear" w:color="auto" w:fill="auto"/>
            <w:noWrap/>
            <w:vAlign w:val="bottom"/>
            <w:hideMark/>
          </w:tcPr>
          <w:p w14:paraId="747DC156" w14:textId="77777777" w:rsidR="00D82C73" w:rsidRPr="007C5A6E" w:rsidRDefault="00D82C73" w:rsidP="00DC12DA">
            <w:pPr>
              <w:spacing w:after="0" w:line="240" w:lineRule="auto"/>
              <w:rPr>
                <w:rFonts w:ascii="Times New Roman" w:hAnsi="Times New Roman"/>
                <w:sz w:val="21"/>
                <w:szCs w:val="21"/>
                <w:lang w:eastAsia="en-US"/>
              </w:rPr>
            </w:pPr>
            <w:r w:rsidRPr="007C5A6E">
              <w:rPr>
                <w:rFonts w:ascii="Times New Roman" w:hAnsi="Times New Roman"/>
                <w:sz w:val="21"/>
                <w:szCs w:val="21"/>
                <w:lang w:eastAsia="en-US"/>
              </w:rPr>
              <w:t>EST</w:t>
            </w:r>
          </w:p>
        </w:tc>
        <w:tc>
          <w:tcPr>
            <w:tcW w:w="992" w:type="dxa"/>
            <w:shd w:val="clear" w:color="auto" w:fill="auto"/>
            <w:noWrap/>
            <w:vAlign w:val="bottom"/>
            <w:hideMark/>
          </w:tcPr>
          <w:p w14:paraId="176EFCED" w14:textId="77777777" w:rsidR="00D82C73" w:rsidRPr="007C5A6E" w:rsidRDefault="00D82C73" w:rsidP="00DC12DA">
            <w:pPr>
              <w:spacing w:after="0" w:line="240" w:lineRule="auto"/>
              <w:jc w:val="right"/>
              <w:rPr>
                <w:rFonts w:ascii="Times New Roman" w:hAnsi="Times New Roman"/>
                <w:sz w:val="21"/>
                <w:szCs w:val="21"/>
                <w:lang w:eastAsia="en-US"/>
              </w:rPr>
            </w:pPr>
            <w:r w:rsidRPr="007C5A6E">
              <w:rPr>
                <w:rFonts w:ascii="Times New Roman" w:hAnsi="Times New Roman"/>
                <w:sz w:val="21"/>
                <w:szCs w:val="21"/>
                <w:lang w:eastAsia="en-US"/>
              </w:rPr>
              <w:t>260</w:t>
            </w:r>
          </w:p>
        </w:tc>
        <w:tc>
          <w:tcPr>
            <w:tcW w:w="993" w:type="dxa"/>
            <w:shd w:val="clear" w:color="auto" w:fill="auto"/>
            <w:noWrap/>
            <w:vAlign w:val="bottom"/>
            <w:hideMark/>
          </w:tcPr>
          <w:p w14:paraId="17E9CD2B" w14:textId="77777777" w:rsidR="00D82C73" w:rsidRPr="007C5A6E" w:rsidRDefault="00D82C73" w:rsidP="00DC12DA">
            <w:pPr>
              <w:spacing w:after="0" w:line="240" w:lineRule="auto"/>
              <w:jc w:val="right"/>
              <w:rPr>
                <w:rFonts w:ascii="Times New Roman" w:hAnsi="Times New Roman"/>
                <w:sz w:val="21"/>
                <w:szCs w:val="21"/>
                <w:lang w:eastAsia="en-US"/>
              </w:rPr>
            </w:pPr>
            <w:r w:rsidRPr="007C5A6E">
              <w:rPr>
                <w:rFonts w:ascii="Times New Roman" w:hAnsi="Times New Roman"/>
                <w:sz w:val="21"/>
                <w:szCs w:val="21"/>
                <w:lang w:eastAsia="en-US"/>
              </w:rPr>
              <w:t>55</w:t>
            </w:r>
          </w:p>
        </w:tc>
        <w:tc>
          <w:tcPr>
            <w:tcW w:w="1134" w:type="dxa"/>
            <w:shd w:val="clear" w:color="auto" w:fill="auto"/>
            <w:noWrap/>
            <w:vAlign w:val="bottom"/>
            <w:hideMark/>
          </w:tcPr>
          <w:p w14:paraId="7F709F84" w14:textId="77777777" w:rsidR="00D82C73" w:rsidRPr="007C5A6E" w:rsidRDefault="00D82C73" w:rsidP="00DC12DA">
            <w:pPr>
              <w:spacing w:after="0" w:line="240" w:lineRule="auto"/>
              <w:jc w:val="right"/>
              <w:rPr>
                <w:rFonts w:ascii="Times New Roman" w:hAnsi="Times New Roman"/>
                <w:sz w:val="21"/>
                <w:szCs w:val="21"/>
                <w:lang w:eastAsia="en-US"/>
              </w:rPr>
            </w:pPr>
            <w:r w:rsidRPr="007C5A6E">
              <w:rPr>
                <w:rFonts w:ascii="Times New Roman" w:hAnsi="Times New Roman"/>
                <w:sz w:val="21"/>
                <w:szCs w:val="21"/>
                <w:lang w:eastAsia="en-US"/>
              </w:rPr>
              <w:t>15</w:t>
            </w:r>
          </w:p>
        </w:tc>
        <w:tc>
          <w:tcPr>
            <w:tcW w:w="992" w:type="dxa"/>
            <w:shd w:val="clear" w:color="auto" w:fill="auto"/>
            <w:noWrap/>
            <w:vAlign w:val="bottom"/>
            <w:hideMark/>
          </w:tcPr>
          <w:p w14:paraId="1EA4944D" w14:textId="77777777" w:rsidR="00D82C73" w:rsidRPr="007C5A6E" w:rsidRDefault="00D82C73" w:rsidP="00DC12DA">
            <w:pPr>
              <w:spacing w:after="0" w:line="240" w:lineRule="auto"/>
              <w:jc w:val="right"/>
              <w:rPr>
                <w:rFonts w:ascii="Times New Roman" w:hAnsi="Times New Roman"/>
                <w:sz w:val="21"/>
                <w:szCs w:val="21"/>
                <w:lang w:eastAsia="en-US"/>
              </w:rPr>
            </w:pPr>
            <w:r w:rsidRPr="007C5A6E">
              <w:rPr>
                <w:rFonts w:ascii="Times New Roman" w:hAnsi="Times New Roman"/>
                <w:sz w:val="21"/>
                <w:szCs w:val="21"/>
                <w:lang w:eastAsia="en-US"/>
              </w:rPr>
              <w:t>0</w:t>
            </w:r>
          </w:p>
        </w:tc>
        <w:tc>
          <w:tcPr>
            <w:tcW w:w="992" w:type="dxa"/>
            <w:shd w:val="clear" w:color="auto" w:fill="auto"/>
            <w:noWrap/>
            <w:vAlign w:val="bottom"/>
            <w:hideMark/>
          </w:tcPr>
          <w:p w14:paraId="2AD9FF80" w14:textId="77777777" w:rsidR="00D82C73" w:rsidRPr="007C5A6E" w:rsidRDefault="00D82C73" w:rsidP="00DC12DA">
            <w:pPr>
              <w:spacing w:after="0" w:line="240" w:lineRule="auto"/>
              <w:jc w:val="right"/>
              <w:rPr>
                <w:rFonts w:ascii="Times New Roman" w:hAnsi="Times New Roman"/>
                <w:sz w:val="21"/>
                <w:szCs w:val="21"/>
                <w:lang w:eastAsia="en-US"/>
              </w:rPr>
            </w:pPr>
            <w:r w:rsidRPr="007C5A6E">
              <w:rPr>
                <w:rFonts w:ascii="Times New Roman" w:hAnsi="Times New Roman"/>
                <w:sz w:val="21"/>
                <w:szCs w:val="21"/>
                <w:lang w:eastAsia="en-US"/>
              </w:rPr>
              <w:t>676,5</w:t>
            </w:r>
          </w:p>
        </w:tc>
        <w:tc>
          <w:tcPr>
            <w:tcW w:w="965" w:type="dxa"/>
            <w:shd w:val="clear" w:color="auto" w:fill="auto"/>
            <w:noWrap/>
            <w:vAlign w:val="bottom"/>
            <w:hideMark/>
          </w:tcPr>
          <w:p w14:paraId="082BADD1" w14:textId="77777777" w:rsidR="00D82C73" w:rsidRPr="007C5A6E" w:rsidRDefault="00D82C73" w:rsidP="00DC12DA">
            <w:pPr>
              <w:spacing w:after="0" w:line="240" w:lineRule="auto"/>
              <w:jc w:val="right"/>
              <w:rPr>
                <w:rFonts w:ascii="Times New Roman" w:hAnsi="Times New Roman"/>
                <w:sz w:val="21"/>
                <w:szCs w:val="21"/>
                <w:lang w:eastAsia="en-US"/>
              </w:rPr>
            </w:pPr>
            <w:r w:rsidRPr="007C5A6E">
              <w:rPr>
                <w:rFonts w:ascii="Times New Roman" w:hAnsi="Times New Roman"/>
                <w:sz w:val="21"/>
                <w:szCs w:val="21"/>
                <w:lang w:eastAsia="en-US"/>
              </w:rPr>
              <w:t>306</w:t>
            </w:r>
          </w:p>
        </w:tc>
      </w:tr>
      <w:tr w:rsidR="00D82C73" w:rsidRPr="007C5A6E" w14:paraId="78CB520B" w14:textId="77777777" w:rsidTr="00000A12">
        <w:trPr>
          <w:trHeight w:val="290"/>
        </w:trPr>
        <w:tc>
          <w:tcPr>
            <w:tcW w:w="2972" w:type="dxa"/>
            <w:shd w:val="clear" w:color="auto" w:fill="auto"/>
            <w:noWrap/>
            <w:vAlign w:val="bottom"/>
            <w:hideMark/>
          </w:tcPr>
          <w:p w14:paraId="3D99F593" w14:textId="77777777" w:rsidR="00D82C73" w:rsidRPr="007C5A6E" w:rsidRDefault="00D82C73" w:rsidP="00DC12DA">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HAUTS BASSINS</w:t>
            </w:r>
          </w:p>
        </w:tc>
        <w:tc>
          <w:tcPr>
            <w:tcW w:w="992" w:type="dxa"/>
            <w:shd w:val="clear" w:color="auto" w:fill="auto"/>
            <w:noWrap/>
            <w:vAlign w:val="bottom"/>
            <w:hideMark/>
          </w:tcPr>
          <w:p w14:paraId="566EE2FD"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93" w:type="dxa"/>
            <w:shd w:val="clear" w:color="auto" w:fill="auto"/>
            <w:noWrap/>
            <w:vAlign w:val="bottom"/>
            <w:hideMark/>
          </w:tcPr>
          <w:p w14:paraId="7706F4E6"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1134" w:type="dxa"/>
            <w:shd w:val="clear" w:color="auto" w:fill="auto"/>
            <w:noWrap/>
            <w:vAlign w:val="bottom"/>
            <w:hideMark/>
          </w:tcPr>
          <w:p w14:paraId="60EE1875"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195</w:t>
            </w:r>
          </w:p>
        </w:tc>
        <w:tc>
          <w:tcPr>
            <w:tcW w:w="992" w:type="dxa"/>
            <w:shd w:val="clear" w:color="auto" w:fill="auto"/>
            <w:noWrap/>
            <w:vAlign w:val="bottom"/>
            <w:hideMark/>
          </w:tcPr>
          <w:p w14:paraId="292D38EA"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92" w:type="dxa"/>
            <w:shd w:val="clear" w:color="auto" w:fill="auto"/>
            <w:noWrap/>
            <w:vAlign w:val="bottom"/>
            <w:hideMark/>
          </w:tcPr>
          <w:p w14:paraId="46ED3EE0"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65" w:type="dxa"/>
            <w:shd w:val="clear" w:color="auto" w:fill="auto"/>
            <w:noWrap/>
            <w:vAlign w:val="bottom"/>
            <w:hideMark/>
          </w:tcPr>
          <w:p w14:paraId="1691F75C"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5</w:t>
            </w:r>
          </w:p>
        </w:tc>
      </w:tr>
      <w:tr w:rsidR="00D82C73" w:rsidRPr="007C5A6E" w14:paraId="57B303AB" w14:textId="77777777" w:rsidTr="00000A12">
        <w:trPr>
          <w:trHeight w:val="290"/>
        </w:trPr>
        <w:tc>
          <w:tcPr>
            <w:tcW w:w="2972" w:type="dxa"/>
            <w:shd w:val="clear" w:color="auto" w:fill="auto"/>
            <w:noWrap/>
            <w:vAlign w:val="bottom"/>
            <w:hideMark/>
          </w:tcPr>
          <w:p w14:paraId="2B177718" w14:textId="77777777" w:rsidR="00D82C73" w:rsidRPr="007C5A6E" w:rsidRDefault="00D82C73" w:rsidP="00DC12DA">
            <w:pPr>
              <w:spacing w:after="0" w:line="240" w:lineRule="auto"/>
              <w:rPr>
                <w:rFonts w:ascii="Times New Roman" w:hAnsi="Times New Roman"/>
                <w:sz w:val="21"/>
                <w:szCs w:val="21"/>
                <w:lang w:eastAsia="en-US"/>
              </w:rPr>
            </w:pPr>
            <w:r w:rsidRPr="007C5A6E">
              <w:rPr>
                <w:rFonts w:ascii="Times New Roman" w:hAnsi="Times New Roman"/>
                <w:sz w:val="21"/>
                <w:szCs w:val="21"/>
                <w:lang w:eastAsia="en-US"/>
              </w:rPr>
              <w:t>NORD</w:t>
            </w:r>
          </w:p>
        </w:tc>
        <w:tc>
          <w:tcPr>
            <w:tcW w:w="992" w:type="dxa"/>
            <w:shd w:val="clear" w:color="auto" w:fill="auto"/>
            <w:noWrap/>
            <w:vAlign w:val="bottom"/>
            <w:hideMark/>
          </w:tcPr>
          <w:p w14:paraId="3E409A60" w14:textId="77777777" w:rsidR="00D82C73" w:rsidRPr="007C5A6E" w:rsidRDefault="00D82C73" w:rsidP="00DC12DA">
            <w:pPr>
              <w:spacing w:after="0" w:line="240" w:lineRule="auto"/>
              <w:jc w:val="right"/>
              <w:rPr>
                <w:rFonts w:ascii="Times New Roman" w:hAnsi="Times New Roman"/>
                <w:sz w:val="21"/>
                <w:szCs w:val="21"/>
                <w:lang w:eastAsia="en-US"/>
              </w:rPr>
            </w:pPr>
            <w:r w:rsidRPr="007C5A6E">
              <w:rPr>
                <w:rFonts w:ascii="Times New Roman" w:hAnsi="Times New Roman"/>
                <w:sz w:val="21"/>
                <w:szCs w:val="21"/>
                <w:lang w:eastAsia="en-US"/>
              </w:rPr>
              <w:t>60</w:t>
            </w:r>
          </w:p>
        </w:tc>
        <w:tc>
          <w:tcPr>
            <w:tcW w:w="993" w:type="dxa"/>
            <w:shd w:val="clear" w:color="auto" w:fill="auto"/>
            <w:noWrap/>
            <w:vAlign w:val="bottom"/>
            <w:hideMark/>
          </w:tcPr>
          <w:p w14:paraId="4F6F39BA" w14:textId="77777777" w:rsidR="00D82C73" w:rsidRPr="007C5A6E" w:rsidRDefault="00D82C73" w:rsidP="00DC12DA">
            <w:pPr>
              <w:spacing w:after="0" w:line="240" w:lineRule="auto"/>
              <w:jc w:val="right"/>
              <w:rPr>
                <w:rFonts w:ascii="Times New Roman" w:hAnsi="Times New Roman"/>
                <w:sz w:val="21"/>
                <w:szCs w:val="21"/>
                <w:lang w:eastAsia="en-US"/>
              </w:rPr>
            </w:pPr>
            <w:r w:rsidRPr="007C5A6E">
              <w:rPr>
                <w:rFonts w:ascii="Times New Roman" w:hAnsi="Times New Roman"/>
                <w:sz w:val="21"/>
                <w:szCs w:val="21"/>
                <w:lang w:eastAsia="en-US"/>
              </w:rPr>
              <w:t>160</w:t>
            </w:r>
          </w:p>
        </w:tc>
        <w:tc>
          <w:tcPr>
            <w:tcW w:w="1134" w:type="dxa"/>
            <w:shd w:val="clear" w:color="auto" w:fill="auto"/>
            <w:noWrap/>
            <w:vAlign w:val="bottom"/>
            <w:hideMark/>
          </w:tcPr>
          <w:p w14:paraId="79068123" w14:textId="77777777" w:rsidR="00D82C73" w:rsidRPr="007C5A6E" w:rsidRDefault="00D82C73" w:rsidP="00DC12DA">
            <w:pPr>
              <w:spacing w:after="0" w:line="240" w:lineRule="auto"/>
              <w:jc w:val="right"/>
              <w:rPr>
                <w:rFonts w:ascii="Times New Roman" w:hAnsi="Times New Roman"/>
                <w:sz w:val="21"/>
                <w:szCs w:val="21"/>
                <w:lang w:eastAsia="en-US"/>
              </w:rPr>
            </w:pPr>
            <w:r w:rsidRPr="007C5A6E">
              <w:rPr>
                <w:rFonts w:ascii="Times New Roman" w:hAnsi="Times New Roman"/>
                <w:sz w:val="21"/>
                <w:szCs w:val="21"/>
                <w:lang w:eastAsia="en-US"/>
              </w:rPr>
              <w:t>0</w:t>
            </w:r>
          </w:p>
        </w:tc>
        <w:tc>
          <w:tcPr>
            <w:tcW w:w="992" w:type="dxa"/>
            <w:shd w:val="clear" w:color="auto" w:fill="auto"/>
            <w:noWrap/>
            <w:vAlign w:val="bottom"/>
            <w:hideMark/>
          </w:tcPr>
          <w:p w14:paraId="0995237D" w14:textId="77777777" w:rsidR="00D82C73" w:rsidRPr="007C5A6E" w:rsidRDefault="00D82C73" w:rsidP="00DC12DA">
            <w:pPr>
              <w:spacing w:after="0" w:line="240" w:lineRule="auto"/>
              <w:jc w:val="right"/>
              <w:rPr>
                <w:rFonts w:ascii="Times New Roman" w:hAnsi="Times New Roman"/>
                <w:sz w:val="21"/>
                <w:szCs w:val="21"/>
                <w:lang w:eastAsia="en-US"/>
              </w:rPr>
            </w:pPr>
            <w:r w:rsidRPr="007C5A6E">
              <w:rPr>
                <w:rFonts w:ascii="Times New Roman" w:hAnsi="Times New Roman"/>
                <w:sz w:val="21"/>
                <w:szCs w:val="21"/>
                <w:lang w:eastAsia="en-US"/>
              </w:rPr>
              <w:t>0</w:t>
            </w:r>
          </w:p>
        </w:tc>
        <w:tc>
          <w:tcPr>
            <w:tcW w:w="992" w:type="dxa"/>
            <w:shd w:val="clear" w:color="auto" w:fill="auto"/>
            <w:noWrap/>
            <w:vAlign w:val="bottom"/>
            <w:hideMark/>
          </w:tcPr>
          <w:p w14:paraId="397F2AFB" w14:textId="77777777" w:rsidR="00D82C73" w:rsidRPr="007C5A6E" w:rsidRDefault="00D82C73" w:rsidP="00DC12DA">
            <w:pPr>
              <w:spacing w:after="0" w:line="240" w:lineRule="auto"/>
              <w:jc w:val="right"/>
              <w:rPr>
                <w:rFonts w:ascii="Times New Roman" w:hAnsi="Times New Roman"/>
                <w:sz w:val="21"/>
                <w:szCs w:val="21"/>
                <w:lang w:eastAsia="en-US"/>
              </w:rPr>
            </w:pPr>
            <w:r w:rsidRPr="007C5A6E">
              <w:rPr>
                <w:rFonts w:ascii="Times New Roman" w:hAnsi="Times New Roman"/>
                <w:sz w:val="21"/>
                <w:szCs w:val="21"/>
                <w:lang w:eastAsia="en-US"/>
              </w:rPr>
              <w:t>0</w:t>
            </w:r>
          </w:p>
        </w:tc>
        <w:tc>
          <w:tcPr>
            <w:tcW w:w="965" w:type="dxa"/>
            <w:shd w:val="clear" w:color="auto" w:fill="auto"/>
            <w:noWrap/>
            <w:vAlign w:val="bottom"/>
            <w:hideMark/>
          </w:tcPr>
          <w:p w14:paraId="5EA0BE57" w14:textId="77777777" w:rsidR="00D82C73" w:rsidRPr="007C5A6E" w:rsidRDefault="00D82C73" w:rsidP="00DC12DA">
            <w:pPr>
              <w:spacing w:after="0" w:line="240" w:lineRule="auto"/>
              <w:jc w:val="right"/>
              <w:rPr>
                <w:rFonts w:ascii="Times New Roman" w:hAnsi="Times New Roman"/>
                <w:sz w:val="21"/>
                <w:szCs w:val="21"/>
                <w:lang w:eastAsia="en-US"/>
              </w:rPr>
            </w:pPr>
            <w:r w:rsidRPr="007C5A6E">
              <w:rPr>
                <w:rFonts w:ascii="Times New Roman" w:hAnsi="Times New Roman"/>
                <w:sz w:val="21"/>
                <w:szCs w:val="21"/>
                <w:lang w:eastAsia="en-US"/>
              </w:rPr>
              <w:t>0</w:t>
            </w:r>
          </w:p>
        </w:tc>
      </w:tr>
      <w:tr w:rsidR="00D82C73" w:rsidRPr="007C5A6E" w14:paraId="5D6DA119" w14:textId="77777777" w:rsidTr="00000A12">
        <w:trPr>
          <w:trHeight w:val="290"/>
        </w:trPr>
        <w:tc>
          <w:tcPr>
            <w:tcW w:w="2972" w:type="dxa"/>
            <w:shd w:val="clear" w:color="auto" w:fill="auto"/>
            <w:noWrap/>
            <w:vAlign w:val="bottom"/>
            <w:hideMark/>
          </w:tcPr>
          <w:p w14:paraId="09A09ED3" w14:textId="77777777" w:rsidR="00D82C73" w:rsidRPr="007C5A6E" w:rsidRDefault="00D82C73" w:rsidP="00DC12DA">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PLATEAU CENTRAL</w:t>
            </w:r>
          </w:p>
        </w:tc>
        <w:tc>
          <w:tcPr>
            <w:tcW w:w="992" w:type="dxa"/>
            <w:shd w:val="clear" w:color="auto" w:fill="auto"/>
            <w:noWrap/>
            <w:vAlign w:val="bottom"/>
            <w:hideMark/>
          </w:tcPr>
          <w:p w14:paraId="71F9C71C"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11</w:t>
            </w:r>
          </w:p>
        </w:tc>
        <w:tc>
          <w:tcPr>
            <w:tcW w:w="993" w:type="dxa"/>
            <w:shd w:val="clear" w:color="auto" w:fill="auto"/>
            <w:noWrap/>
            <w:vAlign w:val="bottom"/>
            <w:hideMark/>
          </w:tcPr>
          <w:p w14:paraId="165881CC"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1134" w:type="dxa"/>
            <w:shd w:val="clear" w:color="auto" w:fill="auto"/>
            <w:noWrap/>
            <w:vAlign w:val="bottom"/>
            <w:hideMark/>
          </w:tcPr>
          <w:p w14:paraId="5C783611"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92" w:type="dxa"/>
            <w:shd w:val="clear" w:color="auto" w:fill="auto"/>
            <w:noWrap/>
            <w:vAlign w:val="bottom"/>
            <w:hideMark/>
          </w:tcPr>
          <w:p w14:paraId="0ABF048B"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23,9</w:t>
            </w:r>
          </w:p>
        </w:tc>
        <w:tc>
          <w:tcPr>
            <w:tcW w:w="992" w:type="dxa"/>
            <w:shd w:val="clear" w:color="auto" w:fill="auto"/>
            <w:noWrap/>
            <w:vAlign w:val="bottom"/>
            <w:hideMark/>
          </w:tcPr>
          <w:p w14:paraId="5D1DFE38"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65" w:type="dxa"/>
            <w:shd w:val="clear" w:color="auto" w:fill="auto"/>
            <w:noWrap/>
            <w:vAlign w:val="bottom"/>
            <w:hideMark/>
          </w:tcPr>
          <w:p w14:paraId="62AE8D3F"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61</w:t>
            </w:r>
          </w:p>
        </w:tc>
      </w:tr>
      <w:tr w:rsidR="00D82C73" w:rsidRPr="007C5A6E" w14:paraId="36F96D27" w14:textId="77777777" w:rsidTr="00000A12">
        <w:trPr>
          <w:trHeight w:val="290"/>
        </w:trPr>
        <w:tc>
          <w:tcPr>
            <w:tcW w:w="2972" w:type="dxa"/>
            <w:shd w:val="clear" w:color="auto" w:fill="auto"/>
            <w:noWrap/>
            <w:vAlign w:val="bottom"/>
            <w:hideMark/>
          </w:tcPr>
          <w:p w14:paraId="51CA158C" w14:textId="77777777" w:rsidR="00D82C73" w:rsidRPr="007C5A6E" w:rsidRDefault="00D82C73" w:rsidP="00DC12DA">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SAHEL</w:t>
            </w:r>
          </w:p>
        </w:tc>
        <w:tc>
          <w:tcPr>
            <w:tcW w:w="992" w:type="dxa"/>
            <w:shd w:val="clear" w:color="auto" w:fill="auto"/>
            <w:noWrap/>
            <w:vAlign w:val="bottom"/>
            <w:hideMark/>
          </w:tcPr>
          <w:p w14:paraId="50A9710D"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93" w:type="dxa"/>
            <w:shd w:val="clear" w:color="auto" w:fill="auto"/>
            <w:noWrap/>
            <w:vAlign w:val="bottom"/>
            <w:hideMark/>
          </w:tcPr>
          <w:p w14:paraId="0F62EDB8"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1134" w:type="dxa"/>
            <w:shd w:val="clear" w:color="auto" w:fill="auto"/>
            <w:noWrap/>
            <w:vAlign w:val="bottom"/>
            <w:hideMark/>
          </w:tcPr>
          <w:p w14:paraId="61467832"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92" w:type="dxa"/>
            <w:shd w:val="clear" w:color="auto" w:fill="auto"/>
            <w:noWrap/>
            <w:vAlign w:val="bottom"/>
            <w:hideMark/>
          </w:tcPr>
          <w:p w14:paraId="677DF386"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162</w:t>
            </w:r>
          </w:p>
        </w:tc>
        <w:tc>
          <w:tcPr>
            <w:tcW w:w="992" w:type="dxa"/>
            <w:shd w:val="clear" w:color="auto" w:fill="auto"/>
            <w:noWrap/>
            <w:vAlign w:val="bottom"/>
            <w:hideMark/>
          </w:tcPr>
          <w:p w14:paraId="65F441F4"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65" w:type="dxa"/>
            <w:shd w:val="clear" w:color="auto" w:fill="auto"/>
            <w:noWrap/>
            <w:vAlign w:val="bottom"/>
            <w:hideMark/>
          </w:tcPr>
          <w:p w14:paraId="66932B85"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r>
      <w:tr w:rsidR="00D82C73" w:rsidRPr="007C5A6E" w14:paraId="41DE3468" w14:textId="77777777" w:rsidTr="00000A12">
        <w:trPr>
          <w:trHeight w:val="290"/>
        </w:trPr>
        <w:tc>
          <w:tcPr>
            <w:tcW w:w="2972" w:type="dxa"/>
            <w:tcBorders>
              <w:bottom w:val="single" w:sz="18" w:space="0" w:color="auto"/>
            </w:tcBorders>
            <w:shd w:val="clear" w:color="auto" w:fill="auto"/>
            <w:noWrap/>
            <w:vAlign w:val="bottom"/>
            <w:hideMark/>
          </w:tcPr>
          <w:p w14:paraId="19DD30DC" w14:textId="77777777" w:rsidR="00D82C73" w:rsidRPr="007C5A6E" w:rsidRDefault="00D82C73" w:rsidP="00DC12DA">
            <w:pPr>
              <w:spacing w:after="0" w:line="240" w:lineRule="auto"/>
              <w:rPr>
                <w:rFonts w:ascii="Times New Roman" w:hAnsi="Times New Roman"/>
                <w:color w:val="000000"/>
                <w:sz w:val="21"/>
                <w:szCs w:val="21"/>
                <w:lang w:eastAsia="en-US"/>
              </w:rPr>
            </w:pPr>
            <w:r w:rsidRPr="007C5A6E">
              <w:rPr>
                <w:rFonts w:ascii="Times New Roman" w:hAnsi="Times New Roman"/>
                <w:color w:val="000000"/>
                <w:sz w:val="21"/>
                <w:szCs w:val="21"/>
                <w:lang w:eastAsia="en-US"/>
              </w:rPr>
              <w:t>SUD OUEST-fonds</w:t>
            </w:r>
          </w:p>
        </w:tc>
        <w:tc>
          <w:tcPr>
            <w:tcW w:w="992" w:type="dxa"/>
            <w:tcBorders>
              <w:bottom w:val="single" w:sz="18" w:space="0" w:color="auto"/>
            </w:tcBorders>
            <w:shd w:val="clear" w:color="auto" w:fill="auto"/>
            <w:noWrap/>
            <w:vAlign w:val="bottom"/>
            <w:hideMark/>
          </w:tcPr>
          <w:p w14:paraId="55A82A88"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93" w:type="dxa"/>
            <w:tcBorders>
              <w:bottom w:val="single" w:sz="18" w:space="0" w:color="auto"/>
            </w:tcBorders>
            <w:shd w:val="clear" w:color="auto" w:fill="auto"/>
            <w:noWrap/>
            <w:vAlign w:val="bottom"/>
            <w:hideMark/>
          </w:tcPr>
          <w:p w14:paraId="2F748F9B"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1134" w:type="dxa"/>
            <w:tcBorders>
              <w:bottom w:val="single" w:sz="18" w:space="0" w:color="auto"/>
            </w:tcBorders>
            <w:shd w:val="clear" w:color="auto" w:fill="auto"/>
            <w:noWrap/>
            <w:vAlign w:val="bottom"/>
            <w:hideMark/>
          </w:tcPr>
          <w:p w14:paraId="25B5EBE0"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20</w:t>
            </w:r>
          </w:p>
        </w:tc>
        <w:tc>
          <w:tcPr>
            <w:tcW w:w="992" w:type="dxa"/>
            <w:tcBorders>
              <w:bottom w:val="single" w:sz="18" w:space="0" w:color="auto"/>
            </w:tcBorders>
            <w:shd w:val="clear" w:color="auto" w:fill="auto"/>
            <w:noWrap/>
            <w:vAlign w:val="bottom"/>
            <w:hideMark/>
          </w:tcPr>
          <w:p w14:paraId="4F26BD8D"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92" w:type="dxa"/>
            <w:tcBorders>
              <w:bottom w:val="single" w:sz="18" w:space="0" w:color="auto"/>
            </w:tcBorders>
            <w:shd w:val="clear" w:color="auto" w:fill="auto"/>
            <w:noWrap/>
            <w:vAlign w:val="bottom"/>
            <w:hideMark/>
          </w:tcPr>
          <w:p w14:paraId="1C42A783"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c>
          <w:tcPr>
            <w:tcW w:w="965" w:type="dxa"/>
            <w:tcBorders>
              <w:bottom w:val="single" w:sz="18" w:space="0" w:color="auto"/>
            </w:tcBorders>
            <w:shd w:val="clear" w:color="auto" w:fill="auto"/>
            <w:noWrap/>
            <w:vAlign w:val="bottom"/>
            <w:hideMark/>
          </w:tcPr>
          <w:p w14:paraId="44210589" w14:textId="77777777" w:rsidR="00D82C73" w:rsidRPr="007C5A6E" w:rsidRDefault="00D82C73" w:rsidP="00DC12DA">
            <w:pPr>
              <w:spacing w:after="0" w:line="240" w:lineRule="auto"/>
              <w:jc w:val="right"/>
              <w:rPr>
                <w:rFonts w:ascii="Times New Roman" w:hAnsi="Times New Roman"/>
                <w:color w:val="000000"/>
                <w:sz w:val="21"/>
                <w:szCs w:val="21"/>
                <w:lang w:eastAsia="en-US"/>
              </w:rPr>
            </w:pPr>
            <w:r w:rsidRPr="007C5A6E">
              <w:rPr>
                <w:rFonts w:ascii="Times New Roman" w:hAnsi="Times New Roman"/>
                <w:color w:val="000000"/>
                <w:sz w:val="21"/>
                <w:szCs w:val="21"/>
                <w:lang w:eastAsia="en-US"/>
              </w:rPr>
              <w:t>0</w:t>
            </w:r>
          </w:p>
        </w:tc>
      </w:tr>
    </w:tbl>
    <w:p w14:paraId="048D593E" w14:textId="77777777" w:rsidR="00D82C73" w:rsidRPr="007C5A6E" w:rsidRDefault="00D82C73" w:rsidP="0057132F">
      <w:pPr>
        <w:spacing w:after="0" w:line="240" w:lineRule="auto"/>
        <w:jc w:val="both"/>
        <w:rPr>
          <w:rFonts w:ascii="Times New Roman" w:eastAsia="Calibri" w:hAnsi="Times New Roman"/>
          <w:sz w:val="20"/>
          <w:szCs w:val="20"/>
          <w:lang w:eastAsia="en-US"/>
          <w14:ligatures w14:val="standardContextual"/>
        </w:rPr>
      </w:pPr>
      <w:proofErr w:type="gramStart"/>
      <w:r w:rsidRPr="007C5A6E">
        <w:rPr>
          <w:rFonts w:ascii="Times New Roman" w:eastAsia="Calibri" w:hAnsi="Times New Roman"/>
          <w:sz w:val="20"/>
          <w:szCs w:val="20"/>
          <w:lang w:eastAsia="en-US"/>
          <w14:ligatures w14:val="standardContextual"/>
        </w:rPr>
        <w:t>Source:</w:t>
      </w:r>
      <w:proofErr w:type="gramEnd"/>
      <w:r w:rsidRPr="007C5A6E">
        <w:rPr>
          <w:rFonts w:ascii="Times New Roman" w:eastAsia="Calibri" w:hAnsi="Times New Roman"/>
          <w:sz w:val="20"/>
          <w:szCs w:val="20"/>
          <w:lang w:eastAsia="en-US"/>
          <w14:ligatures w14:val="standardContextual"/>
        </w:rPr>
        <w:t xml:space="preserve"> MAAH/DGHADI (2012-2021)</w:t>
      </w:r>
    </w:p>
    <w:p w14:paraId="3DA562BC" w14:textId="77777777" w:rsidR="00D82C73" w:rsidRPr="007C5A6E" w:rsidRDefault="00D82C73" w:rsidP="0057132F">
      <w:pPr>
        <w:spacing w:after="0" w:line="240" w:lineRule="auto"/>
        <w:jc w:val="both"/>
        <w:rPr>
          <w:rFonts w:ascii="Times New Roman" w:eastAsia="Calibri" w:hAnsi="Times New Roman"/>
          <w:kern w:val="2"/>
          <w:sz w:val="24"/>
          <w:szCs w:val="24"/>
          <w:shd w:val="clear" w:color="auto" w:fill="FFFFFF"/>
          <w:lang w:eastAsia="en-US"/>
          <w14:ligatures w14:val="standardContextual"/>
        </w:rPr>
      </w:pPr>
    </w:p>
    <w:p w14:paraId="0CC99D84" w14:textId="2AFE4837" w:rsidR="00D82C73" w:rsidRPr="007C5A6E" w:rsidRDefault="00D82C73" w:rsidP="0057132F">
      <w:pPr>
        <w:spacing w:after="0" w:line="240" w:lineRule="auto"/>
        <w:jc w:val="both"/>
        <w:rPr>
          <w:rFonts w:ascii="Times New Roman" w:eastAsia="Calibri" w:hAnsi="Times New Roman"/>
          <w:kern w:val="2"/>
          <w:sz w:val="24"/>
          <w:szCs w:val="24"/>
          <w:shd w:val="clear" w:color="auto" w:fill="FFFFFF"/>
          <w:lang w:eastAsia="en-US"/>
          <w14:ligatures w14:val="standardContextual"/>
        </w:rPr>
      </w:pPr>
      <w:r w:rsidRPr="007C5A6E">
        <w:rPr>
          <w:rFonts w:ascii="Times New Roman" w:eastAsia="Calibri" w:hAnsi="Times New Roman"/>
          <w:kern w:val="2"/>
          <w:sz w:val="24"/>
          <w:szCs w:val="24"/>
          <w:shd w:val="clear" w:color="auto" w:fill="FFFFFF"/>
          <w:lang w:eastAsia="en-US"/>
          <w14:ligatures w14:val="standardContextual"/>
        </w:rPr>
        <w:t>Dans la région soudanienne du Burkina Faso riche en bas-fonds, ces derniers représentent une facette du paysage inondable et fertile, ayant une fonction contre-aléatoire à travers des productions diversifiées en milieu humide en saison des pluies, et en contre-saison. Les activités de bas-fond permettent de réduire la vulnérabilité des groupes les plus exposés, comme les petites exploitations, les femmes et les jeunes (</w:t>
      </w:r>
      <w:proofErr w:type="spellStart"/>
      <w:r w:rsidRPr="007C5A6E">
        <w:rPr>
          <w:rFonts w:ascii="Times New Roman" w:eastAsia="Calibri" w:hAnsi="Times New Roman"/>
          <w:kern w:val="2"/>
          <w:sz w:val="24"/>
          <w:szCs w:val="24"/>
          <w:shd w:val="clear" w:color="auto" w:fill="FFFFFF"/>
          <w:lang w:eastAsia="en-US"/>
          <w14:ligatures w14:val="standardContextual"/>
        </w:rPr>
        <w:t>Serpantié</w:t>
      </w:r>
      <w:proofErr w:type="spellEnd"/>
      <w:r w:rsidRPr="007C5A6E">
        <w:rPr>
          <w:rFonts w:ascii="Times New Roman" w:eastAsia="Calibri" w:hAnsi="Times New Roman"/>
          <w:kern w:val="2"/>
          <w:sz w:val="24"/>
          <w:szCs w:val="24"/>
          <w:shd w:val="clear" w:color="auto" w:fill="FFFFFF"/>
          <w:lang w:eastAsia="en-US"/>
          <w14:ligatures w14:val="standardContextual"/>
        </w:rPr>
        <w:t xml:space="preserve"> et </w:t>
      </w:r>
      <w:r w:rsidRPr="007C5A6E">
        <w:rPr>
          <w:rFonts w:ascii="Times New Roman" w:eastAsia="Calibri" w:hAnsi="Times New Roman"/>
          <w:i/>
          <w:iCs/>
          <w:kern w:val="2"/>
          <w:sz w:val="24"/>
          <w:szCs w:val="24"/>
          <w:shd w:val="clear" w:color="auto" w:fill="FFFFFF"/>
          <w:lang w:eastAsia="en-US"/>
          <w14:ligatures w14:val="standardContextual"/>
        </w:rPr>
        <w:t>al.</w:t>
      </w:r>
      <w:r w:rsidRPr="007C5A6E">
        <w:rPr>
          <w:rFonts w:ascii="Times New Roman" w:eastAsia="Calibri" w:hAnsi="Times New Roman"/>
          <w:kern w:val="2"/>
          <w:sz w:val="24"/>
          <w:szCs w:val="24"/>
          <w:shd w:val="clear" w:color="auto" w:fill="FFFFFF"/>
          <w:lang w:eastAsia="en-US"/>
          <w14:ligatures w14:val="standardContextual"/>
        </w:rPr>
        <w:t xml:space="preserve">, 2019). C’est pourquoi, les bas-fonds font l’objet d’une grande attention au niveau du gouvernement. De nombreuses études comme les études pédologiques sont menées en vue des aménagements des bas-fonds dans l’objectif de lutter contre l’insécurité alimentaire (Idani et </w:t>
      </w:r>
      <w:r w:rsidRPr="007C5A6E">
        <w:rPr>
          <w:rFonts w:ascii="Times New Roman" w:eastAsia="Calibri" w:hAnsi="Times New Roman"/>
          <w:i/>
          <w:iCs/>
          <w:kern w:val="2"/>
          <w:sz w:val="24"/>
          <w:szCs w:val="24"/>
          <w:shd w:val="clear" w:color="auto" w:fill="FFFFFF"/>
          <w:lang w:eastAsia="en-US"/>
          <w14:ligatures w14:val="standardContextual"/>
        </w:rPr>
        <w:t>al.</w:t>
      </w:r>
      <w:r w:rsidRPr="007C5A6E">
        <w:rPr>
          <w:rFonts w:ascii="Times New Roman" w:eastAsia="Calibri" w:hAnsi="Times New Roman"/>
          <w:kern w:val="2"/>
          <w:sz w:val="24"/>
          <w:szCs w:val="24"/>
          <w:shd w:val="clear" w:color="auto" w:fill="FFFFFF"/>
          <w:lang w:eastAsia="en-US"/>
          <w14:ligatures w14:val="standardContextual"/>
        </w:rPr>
        <w:t xml:space="preserve">, 2022). Les superficies aménagées sont en nette augmentation dans l’ensemble des régions, ce qui constitue des pressions croissantes sur les sols. Le tableau </w:t>
      </w:r>
      <w:r w:rsidR="0079778E" w:rsidRPr="007C5A6E">
        <w:rPr>
          <w:rFonts w:ascii="Times New Roman" w:eastAsia="Calibri" w:hAnsi="Times New Roman"/>
          <w:kern w:val="2"/>
          <w:sz w:val="24"/>
          <w:szCs w:val="24"/>
          <w:shd w:val="clear" w:color="auto" w:fill="FFFFFF"/>
          <w:lang w:eastAsia="en-US"/>
          <w14:ligatures w14:val="standardContextual"/>
        </w:rPr>
        <w:t>30</w:t>
      </w:r>
      <w:r w:rsidR="0057132F" w:rsidRPr="007C5A6E">
        <w:rPr>
          <w:rFonts w:ascii="Times New Roman" w:eastAsia="Calibri" w:hAnsi="Times New Roman"/>
          <w:kern w:val="2"/>
          <w:sz w:val="24"/>
          <w:szCs w:val="24"/>
          <w:shd w:val="clear" w:color="auto" w:fill="FFFFFF"/>
          <w:lang w:eastAsia="en-US"/>
          <w14:ligatures w14:val="standardContextual"/>
        </w:rPr>
        <w:t xml:space="preserve"> </w:t>
      </w:r>
      <w:r w:rsidRPr="007C5A6E">
        <w:rPr>
          <w:rFonts w:ascii="Times New Roman" w:eastAsia="Calibri" w:hAnsi="Times New Roman"/>
          <w:kern w:val="2"/>
          <w:sz w:val="24"/>
          <w:szCs w:val="24"/>
          <w:shd w:val="clear" w:color="auto" w:fill="FFFFFF"/>
          <w:lang w:eastAsia="en-US"/>
          <w14:ligatures w14:val="standardContextual"/>
        </w:rPr>
        <w:t xml:space="preserve">montre que l’évolution des superficies des nouveaux bas-fonds aménagés de 2016 à 2021 en hectare. </w:t>
      </w:r>
    </w:p>
    <w:p w14:paraId="2DAC94EA" w14:textId="77777777" w:rsidR="00D82C73" w:rsidRPr="007C5A6E" w:rsidRDefault="00D82C73" w:rsidP="0057132F">
      <w:pPr>
        <w:spacing w:after="0" w:line="240" w:lineRule="auto"/>
        <w:jc w:val="both"/>
        <w:rPr>
          <w:rFonts w:ascii="Times New Roman" w:eastAsia="Calibri" w:hAnsi="Times New Roman"/>
          <w:kern w:val="2"/>
          <w:sz w:val="24"/>
          <w:szCs w:val="24"/>
          <w:shd w:val="clear" w:color="auto" w:fill="FFFFFF"/>
          <w:lang w:eastAsia="en-US"/>
          <w14:ligatures w14:val="standardContextual"/>
        </w:rPr>
      </w:pPr>
    </w:p>
    <w:p w14:paraId="48A2BD30" w14:textId="66204E41" w:rsidR="00D82C73" w:rsidRPr="007C5A6E" w:rsidRDefault="00D82C73" w:rsidP="0057132F">
      <w:pPr>
        <w:keepNext/>
        <w:spacing w:after="0" w:line="240" w:lineRule="auto"/>
        <w:jc w:val="both"/>
        <w:rPr>
          <w:rFonts w:ascii="Times New Roman" w:hAnsi="Times New Roman"/>
          <w:spacing w:val="10"/>
          <w:sz w:val="24"/>
          <w:szCs w:val="24"/>
          <w:lang w:eastAsia="en-US"/>
        </w:rPr>
      </w:pPr>
      <w:bookmarkStart w:id="732" w:name="_Toc181983399"/>
      <w:bookmarkStart w:id="733" w:name="_Toc183240992"/>
      <w:bookmarkStart w:id="734" w:name="_Toc183292234"/>
      <w:bookmarkStart w:id="735" w:name="_Toc183340514"/>
      <w:r w:rsidRPr="007C5A6E">
        <w:rPr>
          <w:rFonts w:ascii="Times New Roman" w:hAnsi="Times New Roman"/>
          <w:spacing w:val="10"/>
          <w:sz w:val="24"/>
          <w:szCs w:val="24"/>
          <w:lang w:eastAsia="en-US"/>
        </w:rPr>
        <w:t xml:space="preserve">Tableau </w:t>
      </w:r>
      <w:r w:rsidRPr="007C5A6E">
        <w:rPr>
          <w:rFonts w:ascii="Times New Roman" w:hAnsi="Times New Roman"/>
          <w:spacing w:val="10"/>
          <w:sz w:val="24"/>
          <w:szCs w:val="24"/>
          <w:lang w:eastAsia="en-US"/>
        </w:rPr>
        <w:fldChar w:fldCharType="begin"/>
      </w:r>
      <w:r w:rsidRPr="007C5A6E">
        <w:rPr>
          <w:rFonts w:ascii="Times New Roman" w:hAnsi="Times New Roman"/>
          <w:spacing w:val="10"/>
          <w:sz w:val="24"/>
          <w:szCs w:val="24"/>
          <w:lang w:eastAsia="en-US"/>
        </w:rPr>
        <w:instrText xml:space="preserve"> SEQ Tableau \* ARABIC </w:instrText>
      </w:r>
      <w:r w:rsidRPr="007C5A6E">
        <w:rPr>
          <w:rFonts w:ascii="Times New Roman" w:hAnsi="Times New Roman"/>
          <w:spacing w:val="10"/>
          <w:sz w:val="24"/>
          <w:szCs w:val="24"/>
          <w:lang w:eastAsia="en-US"/>
        </w:rPr>
        <w:fldChar w:fldCharType="separate"/>
      </w:r>
      <w:r w:rsidR="003162F8" w:rsidRPr="007C5A6E">
        <w:rPr>
          <w:rFonts w:ascii="Times New Roman" w:hAnsi="Times New Roman"/>
          <w:noProof/>
          <w:spacing w:val="10"/>
          <w:sz w:val="24"/>
          <w:szCs w:val="24"/>
          <w:lang w:eastAsia="en-US"/>
        </w:rPr>
        <w:t>30</w:t>
      </w:r>
      <w:r w:rsidRPr="007C5A6E">
        <w:rPr>
          <w:rFonts w:ascii="Times New Roman" w:hAnsi="Times New Roman"/>
          <w:spacing w:val="10"/>
          <w:sz w:val="24"/>
          <w:szCs w:val="24"/>
          <w:lang w:eastAsia="en-US"/>
        </w:rPr>
        <w:fldChar w:fldCharType="end"/>
      </w:r>
      <w:r w:rsidRPr="007C5A6E">
        <w:rPr>
          <w:rFonts w:ascii="Times New Roman" w:hAnsi="Times New Roman"/>
          <w:spacing w:val="10"/>
          <w:sz w:val="24"/>
          <w:szCs w:val="24"/>
          <w:lang w:eastAsia="en-US"/>
        </w:rPr>
        <w:t xml:space="preserve"> : Evolution des superficies des nouveaux bas-fonds aménagés de 2016 à 2021 (en ha)</w:t>
      </w:r>
      <w:bookmarkEnd w:id="732"/>
      <w:bookmarkEnd w:id="733"/>
      <w:bookmarkEnd w:id="734"/>
      <w:bookmarkEnd w:id="735"/>
    </w:p>
    <w:p w14:paraId="7C98A46B" w14:textId="77777777" w:rsidR="0079347E" w:rsidRPr="007C5A6E" w:rsidRDefault="0079347E" w:rsidP="0057132F">
      <w:pPr>
        <w:keepNext/>
        <w:spacing w:after="0" w:line="240" w:lineRule="auto"/>
        <w:jc w:val="both"/>
        <w:rPr>
          <w:rFonts w:ascii="Times New Roman" w:hAnsi="Times New Roman"/>
          <w:color w:val="ED7D31"/>
          <w:spacing w:val="10"/>
          <w:sz w:val="24"/>
          <w:szCs w:val="24"/>
          <w:lang w:eastAsia="en-US"/>
        </w:rPr>
      </w:pPr>
    </w:p>
    <w:tbl>
      <w:tblPr>
        <w:tblW w:w="9071" w:type="dxa"/>
        <w:tblLook w:val="04A0" w:firstRow="1" w:lastRow="0" w:firstColumn="1" w:lastColumn="0" w:noHBand="0" w:noVBand="1"/>
      </w:tblPr>
      <w:tblGrid>
        <w:gridCol w:w="2972"/>
        <w:gridCol w:w="992"/>
        <w:gridCol w:w="993"/>
        <w:gridCol w:w="1134"/>
        <w:gridCol w:w="992"/>
        <w:gridCol w:w="992"/>
        <w:gridCol w:w="996"/>
      </w:tblGrid>
      <w:tr w:rsidR="00D82C73" w:rsidRPr="007C5A6E" w14:paraId="50D6D382" w14:textId="77777777" w:rsidTr="00000A12">
        <w:trPr>
          <w:trHeight w:val="290"/>
        </w:trPr>
        <w:tc>
          <w:tcPr>
            <w:tcW w:w="2972" w:type="dxa"/>
            <w:tcBorders>
              <w:top w:val="single" w:sz="18" w:space="0" w:color="auto"/>
              <w:bottom w:val="single" w:sz="18" w:space="0" w:color="auto"/>
            </w:tcBorders>
            <w:shd w:val="clear" w:color="auto" w:fill="auto"/>
            <w:noWrap/>
            <w:vAlign w:val="bottom"/>
            <w:hideMark/>
          </w:tcPr>
          <w:p w14:paraId="2640AE5C" w14:textId="77777777" w:rsidR="00D82C73" w:rsidRPr="007C5A6E" w:rsidRDefault="00D82C73" w:rsidP="0057132F">
            <w:pPr>
              <w:spacing w:after="0" w:line="240" w:lineRule="auto"/>
              <w:rPr>
                <w:rFonts w:ascii="Times New Roman" w:hAnsi="Times New Roman"/>
                <w:color w:val="000000"/>
                <w:lang w:eastAsia="en-US"/>
              </w:rPr>
            </w:pPr>
            <w:r w:rsidRPr="007C5A6E">
              <w:rPr>
                <w:rFonts w:ascii="Times New Roman" w:hAnsi="Times New Roman"/>
                <w:color w:val="000000"/>
                <w:lang w:eastAsia="en-US"/>
              </w:rPr>
              <w:t>Régions</w:t>
            </w:r>
          </w:p>
        </w:tc>
        <w:tc>
          <w:tcPr>
            <w:tcW w:w="992" w:type="dxa"/>
            <w:tcBorders>
              <w:top w:val="single" w:sz="18" w:space="0" w:color="auto"/>
              <w:bottom w:val="single" w:sz="18" w:space="0" w:color="auto"/>
            </w:tcBorders>
            <w:shd w:val="clear" w:color="auto" w:fill="auto"/>
            <w:noWrap/>
            <w:vAlign w:val="bottom"/>
            <w:hideMark/>
          </w:tcPr>
          <w:p w14:paraId="1A6DC3AF"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2016</w:t>
            </w:r>
          </w:p>
        </w:tc>
        <w:tc>
          <w:tcPr>
            <w:tcW w:w="993" w:type="dxa"/>
            <w:tcBorders>
              <w:top w:val="single" w:sz="18" w:space="0" w:color="auto"/>
              <w:bottom w:val="single" w:sz="18" w:space="0" w:color="auto"/>
            </w:tcBorders>
            <w:shd w:val="clear" w:color="auto" w:fill="auto"/>
            <w:noWrap/>
            <w:vAlign w:val="bottom"/>
            <w:hideMark/>
          </w:tcPr>
          <w:p w14:paraId="7FF8D641"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2017</w:t>
            </w:r>
          </w:p>
        </w:tc>
        <w:tc>
          <w:tcPr>
            <w:tcW w:w="1134" w:type="dxa"/>
            <w:tcBorders>
              <w:top w:val="single" w:sz="18" w:space="0" w:color="auto"/>
              <w:bottom w:val="single" w:sz="18" w:space="0" w:color="auto"/>
            </w:tcBorders>
            <w:shd w:val="clear" w:color="auto" w:fill="auto"/>
            <w:noWrap/>
            <w:vAlign w:val="bottom"/>
            <w:hideMark/>
          </w:tcPr>
          <w:p w14:paraId="084078F9"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2018</w:t>
            </w:r>
          </w:p>
        </w:tc>
        <w:tc>
          <w:tcPr>
            <w:tcW w:w="992" w:type="dxa"/>
            <w:tcBorders>
              <w:top w:val="single" w:sz="18" w:space="0" w:color="auto"/>
              <w:bottom w:val="single" w:sz="18" w:space="0" w:color="auto"/>
            </w:tcBorders>
            <w:shd w:val="clear" w:color="auto" w:fill="auto"/>
            <w:noWrap/>
            <w:vAlign w:val="bottom"/>
            <w:hideMark/>
          </w:tcPr>
          <w:p w14:paraId="2C6D9797"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2019</w:t>
            </w:r>
          </w:p>
        </w:tc>
        <w:tc>
          <w:tcPr>
            <w:tcW w:w="992" w:type="dxa"/>
            <w:tcBorders>
              <w:top w:val="single" w:sz="18" w:space="0" w:color="auto"/>
              <w:bottom w:val="single" w:sz="18" w:space="0" w:color="auto"/>
            </w:tcBorders>
            <w:shd w:val="clear" w:color="auto" w:fill="auto"/>
            <w:noWrap/>
            <w:vAlign w:val="bottom"/>
            <w:hideMark/>
          </w:tcPr>
          <w:p w14:paraId="035D3900"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2020</w:t>
            </w:r>
          </w:p>
        </w:tc>
        <w:tc>
          <w:tcPr>
            <w:tcW w:w="996" w:type="dxa"/>
            <w:tcBorders>
              <w:top w:val="single" w:sz="18" w:space="0" w:color="auto"/>
              <w:bottom w:val="single" w:sz="18" w:space="0" w:color="auto"/>
            </w:tcBorders>
            <w:shd w:val="clear" w:color="auto" w:fill="auto"/>
            <w:noWrap/>
            <w:vAlign w:val="bottom"/>
            <w:hideMark/>
          </w:tcPr>
          <w:p w14:paraId="2A6070DF"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2021</w:t>
            </w:r>
          </w:p>
        </w:tc>
      </w:tr>
      <w:tr w:rsidR="00D82C73" w:rsidRPr="007C5A6E" w14:paraId="50213D7E" w14:textId="77777777" w:rsidTr="00000A12">
        <w:trPr>
          <w:trHeight w:val="290"/>
        </w:trPr>
        <w:tc>
          <w:tcPr>
            <w:tcW w:w="2972" w:type="dxa"/>
            <w:tcBorders>
              <w:top w:val="single" w:sz="18" w:space="0" w:color="auto"/>
            </w:tcBorders>
            <w:shd w:val="clear" w:color="auto" w:fill="auto"/>
            <w:noWrap/>
            <w:vAlign w:val="bottom"/>
            <w:hideMark/>
          </w:tcPr>
          <w:p w14:paraId="5C7CFA6A" w14:textId="77777777" w:rsidR="00D82C73" w:rsidRPr="007C5A6E" w:rsidRDefault="00D82C73" w:rsidP="0057132F">
            <w:pPr>
              <w:spacing w:after="0" w:line="240" w:lineRule="auto"/>
              <w:rPr>
                <w:rFonts w:ascii="Times New Roman" w:hAnsi="Times New Roman"/>
                <w:color w:val="000000"/>
                <w:lang w:eastAsia="en-US"/>
              </w:rPr>
            </w:pPr>
            <w:r w:rsidRPr="007C5A6E">
              <w:rPr>
                <w:rFonts w:ascii="Times New Roman" w:hAnsi="Times New Roman"/>
                <w:color w:val="000000"/>
                <w:lang w:eastAsia="en-US"/>
              </w:rPr>
              <w:t>BOUCLE DU MOUHOUN</w:t>
            </w:r>
          </w:p>
        </w:tc>
        <w:tc>
          <w:tcPr>
            <w:tcW w:w="992" w:type="dxa"/>
            <w:tcBorders>
              <w:top w:val="single" w:sz="18" w:space="0" w:color="auto"/>
            </w:tcBorders>
            <w:shd w:val="clear" w:color="auto" w:fill="auto"/>
            <w:noWrap/>
            <w:vAlign w:val="bottom"/>
            <w:hideMark/>
          </w:tcPr>
          <w:p w14:paraId="419FACB1"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590</w:t>
            </w:r>
          </w:p>
        </w:tc>
        <w:tc>
          <w:tcPr>
            <w:tcW w:w="993" w:type="dxa"/>
            <w:tcBorders>
              <w:top w:val="single" w:sz="18" w:space="0" w:color="auto"/>
            </w:tcBorders>
            <w:shd w:val="clear" w:color="auto" w:fill="auto"/>
            <w:noWrap/>
            <w:vAlign w:val="bottom"/>
            <w:hideMark/>
          </w:tcPr>
          <w:p w14:paraId="25B0E9A1"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190</w:t>
            </w:r>
          </w:p>
        </w:tc>
        <w:tc>
          <w:tcPr>
            <w:tcW w:w="1134" w:type="dxa"/>
            <w:tcBorders>
              <w:top w:val="single" w:sz="18" w:space="0" w:color="auto"/>
            </w:tcBorders>
            <w:shd w:val="clear" w:color="auto" w:fill="auto"/>
            <w:noWrap/>
            <w:vAlign w:val="bottom"/>
            <w:hideMark/>
          </w:tcPr>
          <w:p w14:paraId="0EFF8B7A"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282,14</w:t>
            </w:r>
          </w:p>
        </w:tc>
        <w:tc>
          <w:tcPr>
            <w:tcW w:w="992" w:type="dxa"/>
            <w:tcBorders>
              <w:top w:val="single" w:sz="18" w:space="0" w:color="auto"/>
            </w:tcBorders>
            <w:shd w:val="clear" w:color="auto" w:fill="auto"/>
            <w:noWrap/>
            <w:vAlign w:val="bottom"/>
            <w:hideMark/>
          </w:tcPr>
          <w:p w14:paraId="7C966D75"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688,8</w:t>
            </w:r>
          </w:p>
        </w:tc>
        <w:tc>
          <w:tcPr>
            <w:tcW w:w="992" w:type="dxa"/>
            <w:tcBorders>
              <w:top w:val="single" w:sz="18" w:space="0" w:color="auto"/>
            </w:tcBorders>
            <w:shd w:val="clear" w:color="auto" w:fill="auto"/>
            <w:noWrap/>
            <w:vAlign w:val="bottom"/>
            <w:hideMark/>
          </w:tcPr>
          <w:p w14:paraId="31F20CCD"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1722,3</w:t>
            </w:r>
          </w:p>
        </w:tc>
        <w:tc>
          <w:tcPr>
            <w:tcW w:w="996" w:type="dxa"/>
            <w:tcBorders>
              <w:top w:val="single" w:sz="18" w:space="0" w:color="auto"/>
            </w:tcBorders>
            <w:shd w:val="clear" w:color="auto" w:fill="auto"/>
            <w:noWrap/>
            <w:vAlign w:val="bottom"/>
            <w:hideMark/>
          </w:tcPr>
          <w:p w14:paraId="2DE1F282"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1218,56</w:t>
            </w:r>
          </w:p>
        </w:tc>
      </w:tr>
      <w:tr w:rsidR="00D82C73" w:rsidRPr="007C5A6E" w14:paraId="5C73EC5C" w14:textId="77777777" w:rsidTr="00000A12">
        <w:trPr>
          <w:trHeight w:val="290"/>
        </w:trPr>
        <w:tc>
          <w:tcPr>
            <w:tcW w:w="2972" w:type="dxa"/>
            <w:shd w:val="clear" w:color="auto" w:fill="auto"/>
            <w:noWrap/>
            <w:vAlign w:val="bottom"/>
            <w:hideMark/>
          </w:tcPr>
          <w:p w14:paraId="2640E391" w14:textId="77777777" w:rsidR="00D82C73" w:rsidRPr="007C5A6E" w:rsidRDefault="00D82C73" w:rsidP="0057132F">
            <w:pPr>
              <w:spacing w:after="0" w:line="240" w:lineRule="auto"/>
              <w:rPr>
                <w:rFonts w:ascii="Times New Roman" w:hAnsi="Times New Roman"/>
                <w:color w:val="000000"/>
                <w:lang w:eastAsia="en-US"/>
              </w:rPr>
            </w:pPr>
            <w:r w:rsidRPr="007C5A6E">
              <w:rPr>
                <w:rFonts w:ascii="Times New Roman" w:hAnsi="Times New Roman"/>
                <w:color w:val="000000"/>
                <w:lang w:eastAsia="en-US"/>
              </w:rPr>
              <w:t>CASCADES</w:t>
            </w:r>
          </w:p>
        </w:tc>
        <w:tc>
          <w:tcPr>
            <w:tcW w:w="992" w:type="dxa"/>
            <w:shd w:val="clear" w:color="auto" w:fill="auto"/>
            <w:noWrap/>
            <w:vAlign w:val="bottom"/>
            <w:hideMark/>
          </w:tcPr>
          <w:p w14:paraId="2266EE85"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523</w:t>
            </w:r>
          </w:p>
        </w:tc>
        <w:tc>
          <w:tcPr>
            <w:tcW w:w="993" w:type="dxa"/>
            <w:shd w:val="clear" w:color="auto" w:fill="auto"/>
            <w:noWrap/>
            <w:vAlign w:val="bottom"/>
            <w:hideMark/>
          </w:tcPr>
          <w:p w14:paraId="61D92AAC"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105</w:t>
            </w:r>
          </w:p>
        </w:tc>
        <w:tc>
          <w:tcPr>
            <w:tcW w:w="1134" w:type="dxa"/>
            <w:shd w:val="clear" w:color="auto" w:fill="auto"/>
            <w:noWrap/>
            <w:vAlign w:val="bottom"/>
            <w:hideMark/>
          </w:tcPr>
          <w:p w14:paraId="6346F7D3"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 xml:space="preserve">  263,2</w:t>
            </w:r>
          </w:p>
        </w:tc>
        <w:tc>
          <w:tcPr>
            <w:tcW w:w="992" w:type="dxa"/>
            <w:shd w:val="clear" w:color="auto" w:fill="auto"/>
            <w:noWrap/>
            <w:vAlign w:val="bottom"/>
            <w:hideMark/>
          </w:tcPr>
          <w:p w14:paraId="349E56B5"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160</w:t>
            </w:r>
          </w:p>
        </w:tc>
        <w:tc>
          <w:tcPr>
            <w:tcW w:w="992" w:type="dxa"/>
            <w:shd w:val="clear" w:color="auto" w:fill="auto"/>
            <w:noWrap/>
            <w:vAlign w:val="bottom"/>
            <w:hideMark/>
          </w:tcPr>
          <w:p w14:paraId="39713DAA"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163</w:t>
            </w:r>
          </w:p>
        </w:tc>
        <w:tc>
          <w:tcPr>
            <w:tcW w:w="996" w:type="dxa"/>
            <w:shd w:val="clear" w:color="auto" w:fill="auto"/>
            <w:noWrap/>
            <w:vAlign w:val="bottom"/>
            <w:hideMark/>
          </w:tcPr>
          <w:p w14:paraId="4857696A"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417,81</w:t>
            </w:r>
          </w:p>
        </w:tc>
      </w:tr>
      <w:tr w:rsidR="00D82C73" w:rsidRPr="007C5A6E" w14:paraId="7BF02A14" w14:textId="77777777" w:rsidTr="00000A12">
        <w:trPr>
          <w:trHeight w:val="290"/>
        </w:trPr>
        <w:tc>
          <w:tcPr>
            <w:tcW w:w="2972" w:type="dxa"/>
            <w:shd w:val="clear" w:color="auto" w:fill="auto"/>
            <w:noWrap/>
            <w:vAlign w:val="bottom"/>
            <w:hideMark/>
          </w:tcPr>
          <w:p w14:paraId="663F71FE" w14:textId="77777777" w:rsidR="00D82C73" w:rsidRPr="007C5A6E" w:rsidRDefault="00D82C73" w:rsidP="0057132F">
            <w:pPr>
              <w:spacing w:after="0" w:line="240" w:lineRule="auto"/>
              <w:rPr>
                <w:rFonts w:ascii="Times New Roman" w:hAnsi="Times New Roman"/>
                <w:color w:val="000000"/>
                <w:lang w:eastAsia="en-US"/>
              </w:rPr>
            </w:pPr>
            <w:r w:rsidRPr="007C5A6E">
              <w:rPr>
                <w:rFonts w:ascii="Times New Roman" w:hAnsi="Times New Roman"/>
                <w:color w:val="000000"/>
                <w:lang w:eastAsia="en-US"/>
              </w:rPr>
              <w:t>CENTRE</w:t>
            </w:r>
          </w:p>
        </w:tc>
        <w:tc>
          <w:tcPr>
            <w:tcW w:w="992" w:type="dxa"/>
            <w:shd w:val="clear" w:color="auto" w:fill="auto"/>
            <w:noWrap/>
            <w:vAlign w:val="bottom"/>
            <w:hideMark/>
          </w:tcPr>
          <w:p w14:paraId="2B04FEAF"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290</w:t>
            </w:r>
          </w:p>
        </w:tc>
        <w:tc>
          <w:tcPr>
            <w:tcW w:w="993" w:type="dxa"/>
            <w:shd w:val="clear" w:color="auto" w:fill="auto"/>
            <w:noWrap/>
            <w:vAlign w:val="bottom"/>
            <w:hideMark/>
          </w:tcPr>
          <w:p w14:paraId="79AB3824"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125</w:t>
            </w:r>
          </w:p>
        </w:tc>
        <w:tc>
          <w:tcPr>
            <w:tcW w:w="1134" w:type="dxa"/>
            <w:shd w:val="clear" w:color="auto" w:fill="auto"/>
            <w:noWrap/>
            <w:vAlign w:val="bottom"/>
            <w:hideMark/>
          </w:tcPr>
          <w:p w14:paraId="3895C29A"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 xml:space="preserve">  108,8</w:t>
            </w:r>
          </w:p>
        </w:tc>
        <w:tc>
          <w:tcPr>
            <w:tcW w:w="992" w:type="dxa"/>
            <w:shd w:val="clear" w:color="auto" w:fill="auto"/>
            <w:noWrap/>
            <w:vAlign w:val="bottom"/>
            <w:hideMark/>
          </w:tcPr>
          <w:p w14:paraId="64575BCB"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 xml:space="preserve">  63</w:t>
            </w:r>
          </w:p>
        </w:tc>
        <w:tc>
          <w:tcPr>
            <w:tcW w:w="992" w:type="dxa"/>
            <w:shd w:val="clear" w:color="auto" w:fill="auto"/>
            <w:noWrap/>
            <w:vAlign w:val="bottom"/>
            <w:hideMark/>
          </w:tcPr>
          <w:p w14:paraId="06697063"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180</w:t>
            </w:r>
          </w:p>
        </w:tc>
        <w:tc>
          <w:tcPr>
            <w:tcW w:w="996" w:type="dxa"/>
            <w:shd w:val="clear" w:color="auto" w:fill="auto"/>
            <w:noWrap/>
            <w:vAlign w:val="bottom"/>
            <w:hideMark/>
          </w:tcPr>
          <w:p w14:paraId="16094030"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180</w:t>
            </w:r>
          </w:p>
        </w:tc>
      </w:tr>
      <w:tr w:rsidR="00D82C73" w:rsidRPr="007C5A6E" w14:paraId="36B2FBAA" w14:textId="77777777" w:rsidTr="00000A12">
        <w:trPr>
          <w:trHeight w:val="290"/>
        </w:trPr>
        <w:tc>
          <w:tcPr>
            <w:tcW w:w="2972" w:type="dxa"/>
            <w:shd w:val="clear" w:color="auto" w:fill="auto"/>
            <w:noWrap/>
            <w:vAlign w:val="bottom"/>
            <w:hideMark/>
          </w:tcPr>
          <w:p w14:paraId="478B4DC2" w14:textId="77777777" w:rsidR="00D82C73" w:rsidRPr="007C5A6E" w:rsidRDefault="00D82C73" w:rsidP="0057132F">
            <w:pPr>
              <w:spacing w:after="0" w:line="240" w:lineRule="auto"/>
              <w:rPr>
                <w:rFonts w:ascii="Times New Roman" w:hAnsi="Times New Roman"/>
                <w:color w:val="000000"/>
                <w:lang w:eastAsia="en-US"/>
              </w:rPr>
            </w:pPr>
            <w:r w:rsidRPr="007C5A6E">
              <w:rPr>
                <w:rFonts w:ascii="Times New Roman" w:hAnsi="Times New Roman"/>
                <w:color w:val="000000"/>
                <w:lang w:eastAsia="en-US"/>
              </w:rPr>
              <w:t>CENTRE EST</w:t>
            </w:r>
          </w:p>
        </w:tc>
        <w:tc>
          <w:tcPr>
            <w:tcW w:w="992" w:type="dxa"/>
            <w:shd w:val="clear" w:color="auto" w:fill="auto"/>
            <w:noWrap/>
            <w:vAlign w:val="bottom"/>
            <w:hideMark/>
          </w:tcPr>
          <w:p w14:paraId="4632D522"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335</w:t>
            </w:r>
          </w:p>
        </w:tc>
        <w:tc>
          <w:tcPr>
            <w:tcW w:w="993" w:type="dxa"/>
            <w:shd w:val="clear" w:color="auto" w:fill="auto"/>
            <w:noWrap/>
            <w:vAlign w:val="bottom"/>
            <w:hideMark/>
          </w:tcPr>
          <w:p w14:paraId="27274209"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125</w:t>
            </w:r>
          </w:p>
        </w:tc>
        <w:tc>
          <w:tcPr>
            <w:tcW w:w="1134" w:type="dxa"/>
            <w:shd w:val="clear" w:color="auto" w:fill="auto"/>
            <w:noWrap/>
            <w:vAlign w:val="bottom"/>
            <w:hideMark/>
          </w:tcPr>
          <w:p w14:paraId="281D0E17"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121</w:t>
            </w:r>
          </w:p>
        </w:tc>
        <w:tc>
          <w:tcPr>
            <w:tcW w:w="992" w:type="dxa"/>
            <w:shd w:val="clear" w:color="auto" w:fill="auto"/>
            <w:noWrap/>
            <w:vAlign w:val="bottom"/>
            <w:hideMark/>
          </w:tcPr>
          <w:p w14:paraId="7DB25262"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287,2</w:t>
            </w:r>
          </w:p>
        </w:tc>
        <w:tc>
          <w:tcPr>
            <w:tcW w:w="992" w:type="dxa"/>
            <w:shd w:val="clear" w:color="auto" w:fill="auto"/>
            <w:noWrap/>
            <w:vAlign w:val="bottom"/>
            <w:hideMark/>
          </w:tcPr>
          <w:p w14:paraId="3D0F6520"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116</w:t>
            </w:r>
          </w:p>
        </w:tc>
        <w:tc>
          <w:tcPr>
            <w:tcW w:w="996" w:type="dxa"/>
            <w:shd w:val="clear" w:color="auto" w:fill="auto"/>
            <w:noWrap/>
            <w:vAlign w:val="bottom"/>
            <w:hideMark/>
          </w:tcPr>
          <w:p w14:paraId="12A74948"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110</w:t>
            </w:r>
          </w:p>
        </w:tc>
      </w:tr>
      <w:tr w:rsidR="00D82C73" w:rsidRPr="007C5A6E" w14:paraId="01EECF5D" w14:textId="77777777" w:rsidTr="00000A12">
        <w:trPr>
          <w:trHeight w:val="290"/>
        </w:trPr>
        <w:tc>
          <w:tcPr>
            <w:tcW w:w="2972" w:type="dxa"/>
            <w:shd w:val="clear" w:color="auto" w:fill="auto"/>
            <w:noWrap/>
            <w:vAlign w:val="bottom"/>
            <w:hideMark/>
          </w:tcPr>
          <w:p w14:paraId="0B6D7E8E" w14:textId="77777777" w:rsidR="00D82C73" w:rsidRPr="007C5A6E" w:rsidRDefault="00D82C73" w:rsidP="0057132F">
            <w:pPr>
              <w:spacing w:after="0" w:line="240" w:lineRule="auto"/>
              <w:rPr>
                <w:rFonts w:ascii="Times New Roman" w:hAnsi="Times New Roman"/>
                <w:color w:val="000000"/>
                <w:lang w:eastAsia="en-US"/>
              </w:rPr>
            </w:pPr>
            <w:r w:rsidRPr="007C5A6E">
              <w:rPr>
                <w:rFonts w:ascii="Times New Roman" w:hAnsi="Times New Roman"/>
                <w:color w:val="000000"/>
                <w:lang w:eastAsia="en-US"/>
              </w:rPr>
              <w:t>CENTRE NORD</w:t>
            </w:r>
          </w:p>
        </w:tc>
        <w:tc>
          <w:tcPr>
            <w:tcW w:w="992" w:type="dxa"/>
            <w:shd w:val="clear" w:color="auto" w:fill="auto"/>
            <w:noWrap/>
            <w:vAlign w:val="bottom"/>
            <w:hideMark/>
          </w:tcPr>
          <w:p w14:paraId="029CC03E"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723</w:t>
            </w:r>
          </w:p>
        </w:tc>
        <w:tc>
          <w:tcPr>
            <w:tcW w:w="993" w:type="dxa"/>
            <w:shd w:val="clear" w:color="auto" w:fill="auto"/>
            <w:noWrap/>
            <w:vAlign w:val="bottom"/>
            <w:hideMark/>
          </w:tcPr>
          <w:p w14:paraId="5287B5E8"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492</w:t>
            </w:r>
          </w:p>
        </w:tc>
        <w:tc>
          <w:tcPr>
            <w:tcW w:w="1134" w:type="dxa"/>
            <w:shd w:val="clear" w:color="auto" w:fill="auto"/>
            <w:noWrap/>
            <w:vAlign w:val="bottom"/>
            <w:hideMark/>
          </w:tcPr>
          <w:p w14:paraId="3B5A65A4"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 xml:space="preserve">    733,89</w:t>
            </w:r>
          </w:p>
        </w:tc>
        <w:tc>
          <w:tcPr>
            <w:tcW w:w="992" w:type="dxa"/>
            <w:shd w:val="clear" w:color="auto" w:fill="auto"/>
            <w:noWrap/>
            <w:vAlign w:val="bottom"/>
            <w:hideMark/>
          </w:tcPr>
          <w:p w14:paraId="15FA25B0"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465</w:t>
            </w:r>
          </w:p>
        </w:tc>
        <w:tc>
          <w:tcPr>
            <w:tcW w:w="992" w:type="dxa"/>
            <w:shd w:val="clear" w:color="auto" w:fill="auto"/>
            <w:noWrap/>
            <w:vAlign w:val="bottom"/>
            <w:hideMark/>
          </w:tcPr>
          <w:p w14:paraId="38849400"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190</w:t>
            </w:r>
          </w:p>
        </w:tc>
        <w:tc>
          <w:tcPr>
            <w:tcW w:w="996" w:type="dxa"/>
            <w:shd w:val="clear" w:color="auto" w:fill="auto"/>
            <w:noWrap/>
            <w:vAlign w:val="bottom"/>
            <w:hideMark/>
          </w:tcPr>
          <w:p w14:paraId="512E8D47"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1087,5</w:t>
            </w:r>
          </w:p>
        </w:tc>
      </w:tr>
      <w:tr w:rsidR="00D82C73" w:rsidRPr="007C5A6E" w14:paraId="65F8C5DE" w14:textId="77777777" w:rsidTr="00000A12">
        <w:trPr>
          <w:trHeight w:val="290"/>
        </w:trPr>
        <w:tc>
          <w:tcPr>
            <w:tcW w:w="2972" w:type="dxa"/>
            <w:shd w:val="clear" w:color="auto" w:fill="auto"/>
            <w:noWrap/>
            <w:vAlign w:val="bottom"/>
            <w:hideMark/>
          </w:tcPr>
          <w:p w14:paraId="4195CBD9" w14:textId="77777777" w:rsidR="00D82C73" w:rsidRPr="007C5A6E" w:rsidRDefault="00D82C73" w:rsidP="0057132F">
            <w:pPr>
              <w:spacing w:after="0" w:line="240" w:lineRule="auto"/>
              <w:rPr>
                <w:rFonts w:ascii="Times New Roman" w:hAnsi="Times New Roman"/>
                <w:color w:val="000000"/>
                <w:lang w:eastAsia="en-US"/>
              </w:rPr>
            </w:pPr>
            <w:r w:rsidRPr="007C5A6E">
              <w:rPr>
                <w:rFonts w:ascii="Times New Roman" w:hAnsi="Times New Roman"/>
                <w:color w:val="000000"/>
                <w:lang w:eastAsia="en-US"/>
              </w:rPr>
              <w:t>CENTRE OUEST</w:t>
            </w:r>
          </w:p>
        </w:tc>
        <w:tc>
          <w:tcPr>
            <w:tcW w:w="992" w:type="dxa"/>
            <w:shd w:val="clear" w:color="auto" w:fill="auto"/>
            <w:noWrap/>
            <w:vAlign w:val="bottom"/>
            <w:hideMark/>
          </w:tcPr>
          <w:p w14:paraId="2ABA0BFE"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301</w:t>
            </w:r>
          </w:p>
        </w:tc>
        <w:tc>
          <w:tcPr>
            <w:tcW w:w="993" w:type="dxa"/>
            <w:shd w:val="clear" w:color="auto" w:fill="auto"/>
            <w:noWrap/>
            <w:vAlign w:val="bottom"/>
            <w:hideMark/>
          </w:tcPr>
          <w:p w14:paraId="3E6AD6AE"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290</w:t>
            </w:r>
          </w:p>
        </w:tc>
        <w:tc>
          <w:tcPr>
            <w:tcW w:w="1134" w:type="dxa"/>
            <w:shd w:val="clear" w:color="auto" w:fill="auto"/>
            <w:noWrap/>
            <w:vAlign w:val="bottom"/>
            <w:hideMark/>
          </w:tcPr>
          <w:p w14:paraId="23BAAF06"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120</w:t>
            </w:r>
          </w:p>
        </w:tc>
        <w:tc>
          <w:tcPr>
            <w:tcW w:w="992" w:type="dxa"/>
            <w:shd w:val="clear" w:color="auto" w:fill="auto"/>
            <w:noWrap/>
            <w:vAlign w:val="bottom"/>
            <w:hideMark/>
          </w:tcPr>
          <w:p w14:paraId="4BD93C8A"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514,7</w:t>
            </w:r>
          </w:p>
        </w:tc>
        <w:tc>
          <w:tcPr>
            <w:tcW w:w="992" w:type="dxa"/>
            <w:shd w:val="clear" w:color="auto" w:fill="auto"/>
            <w:noWrap/>
            <w:vAlign w:val="bottom"/>
            <w:hideMark/>
          </w:tcPr>
          <w:p w14:paraId="67F45F49"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508,5</w:t>
            </w:r>
          </w:p>
        </w:tc>
        <w:tc>
          <w:tcPr>
            <w:tcW w:w="996" w:type="dxa"/>
            <w:shd w:val="clear" w:color="auto" w:fill="auto"/>
            <w:noWrap/>
            <w:vAlign w:val="bottom"/>
            <w:hideMark/>
          </w:tcPr>
          <w:p w14:paraId="24F8559A"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429,48</w:t>
            </w:r>
          </w:p>
        </w:tc>
      </w:tr>
      <w:tr w:rsidR="00D82C73" w:rsidRPr="007C5A6E" w14:paraId="53F700C8" w14:textId="77777777" w:rsidTr="00000A12">
        <w:trPr>
          <w:trHeight w:val="290"/>
        </w:trPr>
        <w:tc>
          <w:tcPr>
            <w:tcW w:w="2972" w:type="dxa"/>
            <w:shd w:val="clear" w:color="auto" w:fill="auto"/>
            <w:noWrap/>
            <w:vAlign w:val="bottom"/>
            <w:hideMark/>
          </w:tcPr>
          <w:p w14:paraId="13CBB616" w14:textId="77777777" w:rsidR="00D82C73" w:rsidRPr="007C5A6E" w:rsidRDefault="00D82C73" w:rsidP="0057132F">
            <w:pPr>
              <w:spacing w:after="0" w:line="240" w:lineRule="auto"/>
              <w:rPr>
                <w:rFonts w:ascii="Times New Roman" w:hAnsi="Times New Roman"/>
                <w:color w:val="000000"/>
                <w:lang w:eastAsia="en-US"/>
              </w:rPr>
            </w:pPr>
            <w:r w:rsidRPr="007C5A6E">
              <w:rPr>
                <w:rFonts w:ascii="Times New Roman" w:hAnsi="Times New Roman"/>
                <w:color w:val="000000"/>
                <w:lang w:eastAsia="en-US"/>
              </w:rPr>
              <w:t>CENTRE SUD</w:t>
            </w:r>
          </w:p>
        </w:tc>
        <w:tc>
          <w:tcPr>
            <w:tcW w:w="992" w:type="dxa"/>
            <w:shd w:val="clear" w:color="auto" w:fill="auto"/>
            <w:noWrap/>
            <w:vAlign w:val="bottom"/>
            <w:hideMark/>
          </w:tcPr>
          <w:p w14:paraId="091514B4"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360</w:t>
            </w:r>
          </w:p>
        </w:tc>
        <w:tc>
          <w:tcPr>
            <w:tcW w:w="993" w:type="dxa"/>
            <w:shd w:val="clear" w:color="auto" w:fill="auto"/>
            <w:noWrap/>
            <w:vAlign w:val="bottom"/>
            <w:hideMark/>
          </w:tcPr>
          <w:p w14:paraId="08C80567"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75</w:t>
            </w:r>
          </w:p>
        </w:tc>
        <w:tc>
          <w:tcPr>
            <w:tcW w:w="1134" w:type="dxa"/>
            <w:shd w:val="clear" w:color="auto" w:fill="auto"/>
            <w:noWrap/>
            <w:vAlign w:val="bottom"/>
            <w:hideMark/>
          </w:tcPr>
          <w:p w14:paraId="7C83E2E2"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 xml:space="preserve">  71</w:t>
            </w:r>
          </w:p>
        </w:tc>
        <w:tc>
          <w:tcPr>
            <w:tcW w:w="992" w:type="dxa"/>
            <w:shd w:val="clear" w:color="auto" w:fill="auto"/>
            <w:noWrap/>
            <w:vAlign w:val="bottom"/>
            <w:hideMark/>
          </w:tcPr>
          <w:p w14:paraId="6AA3E738"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 xml:space="preserve">    15</w:t>
            </w:r>
          </w:p>
        </w:tc>
        <w:tc>
          <w:tcPr>
            <w:tcW w:w="992" w:type="dxa"/>
            <w:shd w:val="clear" w:color="auto" w:fill="auto"/>
            <w:noWrap/>
            <w:vAlign w:val="bottom"/>
            <w:hideMark/>
          </w:tcPr>
          <w:p w14:paraId="2CEA3792"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 xml:space="preserve">     75,4</w:t>
            </w:r>
          </w:p>
        </w:tc>
        <w:tc>
          <w:tcPr>
            <w:tcW w:w="996" w:type="dxa"/>
            <w:shd w:val="clear" w:color="auto" w:fill="auto"/>
            <w:noWrap/>
            <w:vAlign w:val="bottom"/>
            <w:hideMark/>
          </w:tcPr>
          <w:p w14:paraId="3062A8EB" w14:textId="77777777" w:rsidR="00D82C73" w:rsidRPr="007C5A6E" w:rsidRDefault="00D82C73" w:rsidP="0057132F">
            <w:pPr>
              <w:spacing w:after="0" w:line="240" w:lineRule="auto"/>
              <w:rPr>
                <w:rFonts w:ascii="Times New Roman" w:hAnsi="Times New Roman"/>
                <w:color w:val="000000"/>
                <w:lang w:eastAsia="en-US"/>
              </w:rPr>
            </w:pPr>
            <w:r w:rsidRPr="007C5A6E">
              <w:rPr>
                <w:rFonts w:ascii="Times New Roman" w:hAnsi="Times New Roman"/>
                <w:color w:val="000000"/>
                <w:lang w:eastAsia="en-US"/>
              </w:rPr>
              <w:t xml:space="preserve">   120</w:t>
            </w:r>
          </w:p>
        </w:tc>
      </w:tr>
      <w:tr w:rsidR="00D82C73" w:rsidRPr="007C5A6E" w14:paraId="01308D4C" w14:textId="77777777" w:rsidTr="00000A12">
        <w:trPr>
          <w:trHeight w:val="290"/>
        </w:trPr>
        <w:tc>
          <w:tcPr>
            <w:tcW w:w="2972" w:type="dxa"/>
            <w:shd w:val="clear" w:color="auto" w:fill="auto"/>
            <w:noWrap/>
            <w:vAlign w:val="bottom"/>
            <w:hideMark/>
          </w:tcPr>
          <w:p w14:paraId="45E5E873" w14:textId="77777777" w:rsidR="00D82C73" w:rsidRPr="007C5A6E" w:rsidRDefault="00D82C73" w:rsidP="0057132F">
            <w:pPr>
              <w:spacing w:after="0" w:line="240" w:lineRule="auto"/>
              <w:rPr>
                <w:rFonts w:ascii="Times New Roman" w:hAnsi="Times New Roman"/>
                <w:color w:val="000000"/>
                <w:lang w:eastAsia="en-US"/>
              </w:rPr>
            </w:pPr>
            <w:r w:rsidRPr="007C5A6E">
              <w:rPr>
                <w:rFonts w:ascii="Times New Roman" w:hAnsi="Times New Roman"/>
                <w:color w:val="000000"/>
                <w:lang w:eastAsia="en-US"/>
              </w:rPr>
              <w:t>EST</w:t>
            </w:r>
          </w:p>
        </w:tc>
        <w:tc>
          <w:tcPr>
            <w:tcW w:w="992" w:type="dxa"/>
            <w:shd w:val="clear" w:color="auto" w:fill="auto"/>
            <w:noWrap/>
            <w:vAlign w:val="bottom"/>
            <w:hideMark/>
          </w:tcPr>
          <w:p w14:paraId="20135DEB"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773</w:t>
            </w:r>
          </w:p>
        </w:tc>
        <w:tc>
          <w:tcPr>
            <w:tcW w:w="993" w:type="dxa"/>
            <w:shd w:val="clear" w:color="auto" w:fill="auto"/>
            <w:noWrap/>
            <w:vAlign w:val="bottom"/>
            <w:hideMark/>
          </w:tcPr>
          <w:p w14:paraId="2206C78E"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645</w:t>
            </w:r>
          </w:p>
        </w:tc>
        <w:tc>
          <w:tcPr>
            <w:tcW w:w="1134" w:type="dxa"/>
            <w:shd w:val="clear" w:color="auto" w:fill="auto"/>
            <w:noWrap/>
            <w:vAlign w:val="bottom"/>
            <w:hideMark/>
          </w:tcPr>
          <w:p w14:paraId="79225B7D"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 xml:space="preserve">    718,36</w:t>
            </w:r>
          </w:p>
        </w:tc>
        <w:tc>
          <w:tcPr>
            <w:tcW w:w="992" w:type="dxa"/>
            <w:shd w:val="clear" w:color="auto" w:fill="auto"/>
            <w:noWrap/>
            <w:vAlign w:val="bottom"/>
            <w:hideMark/>
          </w:tcPr>
          <w:p w14:paraId="361CC080"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774,8</w:t>
            </w:r>
          </w:p>
        </w:tc>
        <w:tc>
          <w:tcPr>
            <w:tcW w:w="992" w:type="dxa"/>
            <w:shd w:val="clear" w:color="auto" w:fill="auto"/>
            <w:noWrap/>
            <w:vAlign w:val="bottom"/>
            <w:hideMark/>
          </w:tcPr>
          <w:p w14:paraId="0811AC2B"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 xml:space="preserve">   539</w:t>
            </w:r>
          </w:p>
        </w:tc>
        <w:tc>
          <w:tcPr>
            <w:tcW w:w="996" w:type="dxa"/>
            <w:shd w:val="clear" w:color="auto" w:fill="auto"/>
            <w:noWrap/>
            <w:vAlign w:val="bottom"/>
            <w:hideMark/>
          </w:tcPr>
          <w:p w14:paraId="2906B3E8"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1232,85</w:t>
            </w:r>
          </w:p>
        </w:tc>
      </w:tr>
      <w:tr w:rsidR="00D82C73" w:rsidRPr="007C5A6E" w14:paraId="5C103CEB" w14:textId="77777777" w:rsidTr="00000A12">
        <w:trPr>
          <w:trHeight w:val="290"/>
        </w:trPr>
        <w:tc>
          <w:tcPr>
            <w:tcW w:w="2972" w:type="dxa"/>
            <w:shd w:val="clear" w:color="auto" w:fill="auto"/>
            <w:noWrap/>
            <w:vAlign w:val="bottom"/>
            <w:hideMark/>
          </w:tcPr>
          <w:p w14:paraId="3EA9510F" w14:textId="77777777" w:rsidR="00D82C73" w:rsidRPr="007C5A6E" w:rsidRDefault="00D82C73" w:rsidP="0057132F">
            <w:pPr>
              <w:spacing w:after="0" w:line="240" w:lineRule="auto"/>
              <w:rPr>
                <w:rFonts w:ascii="Times New Roman" w:hAnsi="Times New Roman"/>
                <w:color w:val="000000"/>
                <w:lang w:eastAsia="en-US"/>
              </w:rPr>
            </w:pPr>
            <w:r w:rsidRPr="007C5A6E">
              <w:rPr>
                <w:rFonts w:ascii="Times New Roman" w:hAnsi="Times New Roman"/>
                <w:color w:val="000000"/>
                <w:lang w:eastAsia="en-US"/>
              </w:rPr>
              <w:t>HAUTS BASSINS</w:t>
            </w:r>
          </w:p>
        </w:tc>
        <w:tc>
          <w:tcPr>
            <w:tcW w:w="992" w:type="dxa"/>
            <w:shd w:val="clear" w:color="auto" w:fill="auto"/>
            <w:noWrap/>
            <w:vAlign w:val="bottom"/>
            <w:hideMark/>
          </w:tcPr>
          <w:p w14:paraId="00978BFD"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467</w:t>
            </w:r>
          </w:p>
        </w:tc>
        <w:tc>
          <w:tcPr>
            <w:tcW w:w="993" w:type="dxa"/>
            <w:shd w:val="clear" w:color="auto" w:fill="auto"/>
            <w:noWrap/>
            <w:vAlign w:val="bottom"/>
            <w:hideMark/>
          </w:tcPr>
          <w:p w14:paraId="50E21830"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220</w:t>
            </w:r>
          </w:p>
        </w:tc>
        <w:tc>
          <w:tcPr>
            <w:tcW w:w="1134" w:type="dxa"/>
            <w:shd w:val="clear" w:color="auto" w:fill="auto"/>
            <w:noWrap/>
            <w:vAlign w:val="bottom"/>
            <w:hideMark/>
          </w:tcPr>
          <w:p w14:paraId="0CC6DAE2"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179,42</w:t>
            </w:r>
          </w:p>
        </w:tc>
        <w:tc>
          <w:tcPr>
            <w:tcW w:w="992" w:type="dxa"/>
            <w:shd w:val="clear" w:color="auto" w:fill="auto"/>
            <w:noWrap/>
            <w:vAlign w:val="bottom"/>
            <w:hideMark/>
          </w:tcPr>
          <w:p w14:paraId="43C7CF31"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 xml:space="preserve">  197</w:t>
            </w:r>
          </w:p>
        </w:tc>
        <w:tc>
          <w:tcPr>
            <w:tcW w:w="992" w:type="dxa"/>
            <w:shd w:val="clear" w:color="auto" w:fill="auto"/>
            <w:noWrap/>
            <w:vAlign w:val="bottom"/>
            <w:hideMark/>
          </w:tcPr>
          <w:p w14:paraId="63646264"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621,2</w:t>
            </w:r>
          </w:p>
        </w:tc>
        <w:tc>
          <w:tcPr>
            <w:tcW w:w="996" w:type="dxa"/>
            <w:shd w:val="clear" w:color="auto" w:fill="auto"/>
            <w:noWrap/>
            <w:vAlign w:val="bottom"/>
            <w:hideMark/>
          </w:tcPr>
          <w:p w14:paraId="1D1F7D22"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839,14</w:t>
            </w:r>
          </w:p>
        </w:tc>
      </w:tr>
      <w:tr w:rsidR="00D82C73" w:rsidRPr="007C5A6E" w14:paraId="08607CB8" w14:textId="77777777" w:rsidTr="00000A12">
        <w:trPr>
          <w:trHeight w:val="290"/>
        </w:trPr>
        <w:tc>
          <w:tcPr>
            <w:tcW w:w="2972" w:type="dxa"/>
            <w:shd w:val="clear" w:color="auto" w:fill="auto"/>
            <w:noWrap/>
            <w:vAlign w:val="bottom"/>
            <w:hideMark/>
          </w:tcPr>
          <w:p w14:paraId="75FDECB8" w14:textId="77777777" w:rsidR="00D82C73" w:rsidRPr="007C5A6E" w:rsidRDefault="00D82C73" w:rsidP="0057132F">
            <w:pPr>
              <w:spacing w:after="0" w:line="240" w:lineRule="auto"/>
              <w:rPr>
                <w:rFonts w:ascii="Times New Roman" w:hAnsi="Times New Roman"/>
                <w:color w:val="000000"/>
                <w:lang w:eastAsia="en-US"/>
              </w:rPr>
            </w:pPr>
            <w:r w:rsidRPr="007C5A6E">
              <w:rPr>
                <w:rFonts w:ascii="Times New Roman" w:hAnsi="Times New Roman"/>
                <w:color w:val="000000"/>
                <w:lang w:eastAsia="en-US"/>
              </w:rPr>
              <w:t>NORD</w:t>
            </w:r>
          </w:p>
        </w:tc>
        <w:tc>
          <w:tcPr>
            <w:tcW w:w="992" w:type="dxa"/>
            <w:shd w:val="clear" w:color="auto" w:fill="auto"/>
            <w:noWrap/>
            <w:vAlign w:val="bottom"/>
            <w:hideMark/>
          </w:tcPr>
          <w:p w14:paraId="296F3785"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705</w:t>
            </w:r>
          </w:p>
        </w:tc>
        <w:tc>
          <w:tcPr>
            <w:tcW w:w="993" w:type="dxa"/>
            <w:shd w:val="clear" w:color="auto" w:fill="auto"/>
            <w:noWrap/>
            <w:vAlign w:val="bottom"/>
            <w:hideMark/>
          </w:tcPr>
          <w:p w14:paraId="2AB1B9B7"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346</w:t>
            </w:r>
          </w:p>
        </w:tc>
        <w:tc>
          <w:tcPr>
            <w:tcW w:w="1134" w:type="dxa"/>
            <w:shd w:val="clear" w:color="auto" w:fill="auto"/>
            <w:noWrap/>
            <w:vAlign w:val="bottom"/>
            <w:hideMark/>
          </w:tcPr>
          <w:p w14:paraId="7F2E777F"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 xml:space="preserve">   673,3</w:t>
            </w:r>
          </w:p>
        </w:tc>
        <w:tc>
          <w:tcPr>
            <w:tcW w:w="992" w:type="dxa"/>
            <w:shd w:val="clear" w:color="auto" w:fill="auto"/>
            <w:noWrap/>
            <w:vAlign w:val="bottom"/>
            <w:hideMark/>
          </w:tcPr>
          <w:p w14:paraId="34AB310F"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455,5</w:t>
            </w:r>
          </w:p>
        </w:tc>
        <w:tc>
          <w:tcPr>
            <w:tcW w:w="992" w:type="dxa"/>
            <w:shd w:val="clear" w:color="auto" w:fill="auto"/>
            <w:noWrap/>
            <w:vAlign w:val="bottom"/>
            <w:hideMark/>
          </w:tcPr>
          <w:p w14:paraId="2685D1E9"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755</w:t>
            </w:r>
          </w:p>
        </w:tc>
        <w:tc>
          <w:tcPr>
            <w:tcW w:w="996" w:type="dxa"/>
            <w:shd w:val="clear" w:color="auto" w:fill="auto"/>
            <w:noWrap/>
            <w:vAlign w:val="bottom"/>
            <w:hideMark/>
          </w:tcPr>
          <w:p w14:paraId="76D299BA" w14:textId="77777777" w:rsidR="00D82C73" w:rsidRPr="007C5A6E" w:rsidRDefault="00D82C73" w:rsidP="0057132F">
            <w:pPr>
              <w:spacing w:after="0" w:line="240" w:lineRule="auto"/>
              <w:rPr>
                <w:rFonts w:ascii="Times New Roman" w:hAnsi="Times New Roman"/>
                <w:color w:val="000000"/>
                <w:lang w:eastAsia="en-US"/>
              </w:rPr>
            </w:pPr>
            <w:r w:rsidRPr="007C5A6E">
              <w:rPr>
                <w:rFonts w:ascii="Times New Roman" w:hAnsi="Times New Roman"/>
                <w:color w:val="000000"/>
                <w:lang w:eastAsia="en-US"/>
              </w:rPr>
              <w:t xml:space="preserve">  714</w:t>
            </w:r>
          </w:p>
        </w:tc>
      </w:tr>
      <w:tr w:rsidR="00D82C73" w:rsidRPr="007C5A6E" w14:paraId="09981872" w14:textId="77777777" w:rsidTr="00000A12">
        <w:trPr>
          <w:trHeight w:val="290"/>
        </w:trPr>
        <w:tc>
          <w:tcPr>
            <w:tcW w:w="2972" w:type="dxa"/>
            <w:shd w:val="clear" w:color="auto" w:fill="auto"/>
            <w:noWrap/>
            <w:vAlign w:val="bottom"/>
            <w:hideMark/>
          </w:tcPr>
          <w:p w14:paraId="789D53F7" w14:textId="77777777" w:rsidR="00D82C73" w:rsidRPr="007C5A6E" w:rsidRDefault="00D82C73" w:rsidP="0057132F">
            <w:pPr>
              <w:spacing w:after="0" w:line="240" w:lineRule="auto"/>
              <w:rPr>
                <w:rFonts w:ascii="Times New Roman" w:hAnsi="Times New Roman"/>
                <w:color w:val="000000"/>
                <w:lang w:eastAsia="en-US"/>
              </w:rPr>
            </w:pPr>
            <w:r w:rsidRPr="007C5A6E">
              <w:rPr>
                <w:rFonts w:ascii="Times New Roman" w:hAnsi="Times New Roman"/>
                <w:color w:val="000000"/>
                <w:lang w:eastAsia="en-US"/>
              </w:rPr>
              <w:t>PLATEAU CENTRAL</w:t>
            </w:r>
          </w:p>
        </w:tc>
        <w:tc>
          <w:tcPr>
            <w:tcW w:w="992" w:type="dxa"/>
            <w:shd w:val="clear" w:color="auto" w:fill="auto"/>
            <w:noWrap/>
            <w:vAlign w:val="bottom"/>
            <w:hideMark/>
          </w:tcPr>
          <w:p w14:paraId="46AB229E"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429</w:t>
            </w:r>
          </w:p>
        </w:tc>
        <w:tc>
          <w:tcPr>
            <w:tcW w:w="993" w:type="dxa"/>
            <w:shd w:val="clear" w:color="auto" w:fill="auto"/>
            <w:noWrap/>
            <w:vAlign w:val="bottom"/>
            <w:hideMark/>
          </w:tcPr>
          <w:p w14:paraId="2E5BD2DA"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70</w:t>
            </w:r>
          </w:p>
        </w:tc>
        <w:tc>
          <w:tcPr>
            <w:tcW w:w="1134" w:type="dxa"/>
            <w:shd w:val="clear" w:color="auto" w:fill="auto"/>
            <w:noWrap/>
            <w:vAlign w:val="bottom"/>
            <w:hideMark/>
          </w:tcPr>
          <w:p w14:paraId="13B4CBAA"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444,57</w:t>
            </w:r>
          </w:p>
        </w:tc>
        <w:tc>
          <w:tcPr>
            <w:tcW w:w="992" w:type="dxa"/>
            <w:shd w:val="clear" w:color="auto" w:fill="auto"/>
            <w:noWrap/>
            <w:vAlign w:val="bottom"/>
            <w:hideMark/>
          </w:tcPr>
          <w:p w14:paraId="19F603C4"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179,3</w:t>
            </w:r>
          </w:p>
        </w:tc>
        <w:tc>
          <w:tcPr>
            <w:tcW w:w="992" w:type="dxa"/>
            <w:shd w:val="clear" w:color="auto" w:fill="auto"/>
            <w:noWrap/>
            <w:vAlign w:val="bottom"/>
            <w:hideMark/>
          </w:tcPr>
          <w:p w14:paraId="0DFB22DD"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100</w:t>
            </w:r>
          </w:p>
        </w:tc>
        <w:tc>
          <w:tcPr>
            <w:tcW w:w="996" w:type="dxa"/>
            <w:shd w:val="clear" w:color="auto" w:fill="auto"/>
            <w:noWrap/>
            <w:vAlign w:val="bottom"/>
            <w:hideMark/>
          </w:tcPr>
          <w:p w14:paraId="767535A6" w14:textId="77777777" w:rsidR="00D82C73" w:rsidRPr="007C5A6E" w:rsidRDefault="00D82C73" w:rsidP="0057132F">
            <w:pPr>
              <w:spacing w:after="0" w:line="240" w:lineRule="auto"/>
              <w:rPr>
                <w:rFonts w:ascii="Times New Roman" w:hAnsi="Times New Roman"/>
                <w:color w:val="000000"/>
                <w:lang w:eastAsia="en-US"/>
              </w:rPr>
            </w:pPr>
            <w:r w:rsidRPr="007C5A6E">
              <w:rPr>
                <w:rFonts w:ascii="Times New Roman" w:hAnsi="Times New Roman"/>
                <w:color w:val="000000"/>
                <w:lang w:eastAsia="en-US"/>
              </w:rPr>
              <w:t xml:space="preserve">   100</w:t>
            </w:r>
          </w:p>
        </w:tc>
      </w:tr>
      <w:tr w:rsidR="00D82C73" w:rsidRPr="007C5A6E" w14:paraId="4966437E" w14:textId="77777777" w:rsidTr="00000A12">
        <w:trPr>
          <w:trHeight w:val="290"/>
        </w:trPr>
        <w:tc>
          <w:tcPr>
            <w:tcW w:w="2972" w:type="dxa"/>
            <w:shd w:val="clear" w:color="auto" w:fill="auto"/>
            <w:noWrap/>
            <w:vAlign w:val="bottom"/>
            <w:hideMark/>
          </w:tcPr>
          <w:p w14:paraId="2AEE79B3" w14:textId="77777777" w:rsidR="00D82C73" w:rsidRPr="007C5A6E" w:rsidRDefault="00D82C73" w:rsidP="0057132F">
            <w:pPr>
              <w:spacing w:after="0" w:line="240" w:lineRule="auto"/>
              <w:rPr>
                <w:rFonts w:ascii="Times New Roman" w:hAnsi="Times New Roman"/>
                <w:color w:val="000000"/>
                <w:lang w:eastAsia="en-US"/>
              </w:rPr>
            </w:pPr>
            <w:r w:rsidRPr="007C5A6E">
              <w:rPr>
                <w:rFonts w:ascii="Times New Roman" w:hAnsi="Times New Roman"/>
                <w:color w:val="000000"/>
                <w:lang w:eastAsia="en-US"/>
              </w:rPr>
              <w:t>SAHEL</w:t>
            </w:r>
          </w:p>
        </w:tc>
        <w:tc>
          <w:tcPr>
            <w:tcW w:w="992" w:type="dxa"/>
            <w:shd w:val="clear" w:color="auto" w:fill="auto"/>
            <w:noWrap/>
            <w:vAlign w:val="bottom"/>
            <w:hideMark/>
          </w:tcPr>
          <w:p w14:paraId="19BF88EB"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437</w:t>
            </w:r>
          </w:p>
        </w:tc>
        <w:tc>
          <w:tcPr>
            <w:tcW w:w="993" w:type="dxa"/>
            <w:shd w:val="clear" w:color="auto" w:fill="auto"/>
            <w:noWrap/>
            <w:vAlign w:val="bottom"/>
            <w:hideMark/>
          </w:tcPr>
          <w:p w14:paraId="63F45E62"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80</w:t>
            </w:r>
          </w:p>
        </w:tc>
        <w:tc>
          <w:tcPr>
            <w:tcW w:w="1134" w:type="dxa"/>
            <w:shd w:val="clear" w:color="auto" w:fill="auto"/>
            <w:noWrap/>
            <w:vAlign w:val="bottom"/>
            <w:hideMark/>
          </w:tcPr>
          <w:p w14:paraId="30D5CC97"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154,24</w:t>
            </w:r>
          </w:p>
        </w:tc>
        <w:tc>
          <w:tcPr>
            <w:tcW w:w="992" w:type="dxa"/>
            <w:shd w:val="clear" w:color="auto" w:fill="auto"/>
            <w:noWrap/>
            <w:vAlign w:val="bottom"/>
            <w:hideMark/>
          </w:tcPr>
          <w:p w14:paraId="1516816B"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 xml:space="preserve">  65</w:t>
            </w:r>
          </w:p>
        </w:tc>
        <w:tc>
          <w:tcPr>
            <w:tcW w:w="992" w:type="dxa"/>
            <w:shd w:val="clear" w:color="auto" w:fill="auto"/>
            <w:noWrap/>
            <w:vAlign w:val="bottom"/>
            <w:hideMark/>
          </w:tcPr>
          <w:p w14:paraId="1B6FA111"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0</w:t>
            </w:r>
          </w:p>
        </w:tc>
        <w:tc>
          <w:tcPr>
            <w:tcW w:w="996" w:type="dxa"/>
            <w:shd w:val="clear" w:color="auto" w:fill="auto"/>
            <w:noWrap/>
            <w:vAlign w:val="bottom"/>
            <w:hideMark/>
          </w:tcPr>
          <w:p w14:paraId="2482CFAF"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40</w:t>
            </w:r>
          </w:p>
        </w:tc>
      </w:tr>
      <w:tr w:rsidR="00D82C73" w:rsidRPr="007C5A6E" w14:paraId="0E4600CA" w14:textId="77777777" w:rsidTr="00000A12">
        <w:trPr>
          <w:trHeight w:val="290"/>
        </w:trPr>
        <w:tc>
          <w:tcPr>
            <w:tcW w:w="2972" w:type="dxa"/>
            <w:tcBorders>
              <w:bottom w:val="single" w:sz="18" w:space="0" w:color="auto"/>
            </w:tcBorders>
            <w:shd w:val="clear" w:color="auto" w:fill="auto"/>
            <w:noWrap/>
            <w:vAlign w:val="bottom"/>
            <w:hideMark/>
          </w:tcPr>
          <w:p w14:paraId="73380738" w14:textId="77777777" w:rsidR="00D82C73" w:rsidRPr="007C5A6E" w:rsidRDefault="00D82C73" w:rsidP="0057132F">
            <w:pPr>
              <w:spacing w:after="0" w:line="240" w:lineRule="auto"/>
              <w:rPr>
                <w:rFonts w:ascii="Times New Roman" w:hAnsi="Times New Roman"/>
                <w:color w:val="000000"/>
                <w:lang w:eastAsia="en-US"/>
              </w:rPr>
            </w:pPr>
            <w:r w:rsidRPr="007C5A6E">
              <w:rPr>
                <w:rFonts w:ascii="Times New Roman" w:hAnsi="Times New Roman"/>
                <w:color w:val="000000"/>
                <w:lang w:eastAsia="en-US"/>
              </w:rPr>
              <w:t>SUD OUEST-fonds</w:t>
            </w:r>
          </w:p>
        </w:tc>
        <w:tc>
          <w:tcPr>
            <w:tcW w:w="992" w:type="dxa"/>
            <w:tcBorders>
              <w:bottom w:val="single" w:sz="18" w:space="0" w:color="auto"/>
            </w:tcBorders>
            <w:shd w:val="clear" w:color="auto" w:fill="auto"/>
            <w:noWrap/>
            <w:vAlign w:val="bottom"/>
            <w:hideMark/>
          </w:tcPr>
          <w:p w14:paraId="4779F65D"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615</w:t>
            </w:r>
          </w:p>
        </w:tc>
        <w:tc>
          <w:tcPr>
            <w:tcW w:w="993" w:type="dxa"/>
            <w:tcBorders>
              <w:bottom w:val="single" w:sz="18" w:space="0" w:color="auto"/>
            </w:tcBorders>
            <w:shd w:val="clear" w:color="auto" w:fill="auto"/>
            <w:noWrap/>
            <w:vAlign w:val="bottom"/>
            <w:hideMark/>
          </w:tcPr>
          <w:p w14:paraId="2CED33EA"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283</w:t>
            </w:r>
          </w:p>
        </w:tc>
        <w:tc>
          <w:tcPr>
            <w:tcW w:w="1134" w:type="dxa"/>
            <w:tcBorders>
              <w:bottom w:val="single" w:sz="18" w:space="0" w:color="auto"/>
            </w:tcBorders>
            <w:shd w:val="clear" w:color="auto" w:fill="auto"/>
            <w:noWrap/>
            <w:vAlign w:val="bottom"/>
            <w:hideMark/>
          </w:tcPr>
          <w:p w14:paraId="22ED6197"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180</w:t>
            </w:r>
          </w:p>
        </w:tc>
        <w:tc>
          <w:tcPr>
            <w:tcW w:w="992" w:type="dxa"/>
            <w:tcBorders>
              <w:bottom w:val="single" w:sz="18" w:space="0" w:color="auto"/>
            </w:tcBorders>
            <w:shd w:val="clear" w:color="auto" w:fill="auto"/>
            <w:noWrap/>
            <w:vAlign w:val="bottom"/>
            <w:hideMark/>
          </w:tcPr>
          <w:p w14:paraId="07C59F92"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 xml:space="preserve">  92</w:t>
            </w:r>
          </w:p>
        </w:tc>
        <w:tc>
          <w:tcPr>
            <w:tcW w:w="992" w:type="dxa"/>
            <w:tcBorders>
              <w:bottom w:val="single" w:sz="18" w:space="0" w:color="auto"/>
            </w:tcBorders>
            <w:shd w:val="clear" w:color="auto" w:fill="auto"/>
            <w:noWrap/>
            <w:vAlign w:val="bottom"/>
            <w:hideMark/>
          </w:tcPr>
          <w:p w14:paraId="438762FB" w14:textId="77777777" w:rsidR="00D82C73" w:rsidRPr="007C5A6E" w:rsidRDefault="00D82C73" w:rsidP="0057132F">
            <w:pPr>
              <w:spacing w:after="0" w:line="240" w:lineRule="auto"/>
              <w:jc w:val="center"/>
              <w:rPr>
                <w:rFonts w:ascii="Times New Roman" w:hAnsi="Times New Roman"/>
                <w:color w:val="000000"/>
                <w:lang w:eastAsia="en-US"/>
              </w:rPr>
            </w:pPr>
            <w:r w:rsidRPr="007C5A6E">
              <w:rPr>
                <w:rFonts w:ascii="Times New Roman" w:hAnsi="Times New Roman"/>
                <w:color w:val="000000"/>
                <w:lang w:eastAsia="en-US"/>
              </w:rPr>
              <w:t>50</w:t>
            </w:r>
          </w:p>
        </w:tc>
        <w:tc>
          <w:tcPr>
            <w:tcW w:w="996" w:type="dxa"/>
            <w:tcBorders>
              <w:bottom w:val="single" w:sz="18" w:space="0" w:color="auto"/>
            </w:tcBorders>
            <w:shd w:val="clear" w:color="auto" w:fill="auto"/>
            <w:noWrap/>
            <w:vAlign w:val="bottom"/>
            <w:hideMark/>
          </w:tcPr>
          <w:p w14:paraId="3BED00D7" w14:textId="77777777" w:rsidR="00D82C73" w:rsidRPr="007C5A6E" w:rsidRDefault="00D82C73" w:rsidP="0057132F">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410,65</w:t>
            </w:r>
          </w:p>
        </w:tc>
      </w:tr>
    </w:tbl>
    <w:p w14:paraId="2E990034" w14:textId="77777777" w:rsidR="00D82C73" w:rsidRPr="007C5A6E" w:rsidRDefault="00D82C73" w:rsidP="0057132F">
      <w:pPr>
        <w:spacing w:after="0" w:line="240" w:lineRule="auto"/>
        <w:jc w:val="both"/>
        <w:rPr>
          <w:rFonts w:ascii="Times New Roman" w:eastAsia="Calibri" w:hAnsi="Times New Roman"/>
          <w:sz w:val="20"/>
          <w:szCs w:val="20"/>
          <w:lang w:eastAsia="en-US"/>
          <w14:ligatures w14:val="standardContextual"/>
        </w:rPr>
      </w:pPr>
      <w:proofErr w:type="gramStart"/>
      <w:r w:rsidRPr="007C5A6E">
        <w:rPr>
          <w:rFonts w:ascii="Times New Roman" w:eastAsia="Calibri" w:hAnsi="Times New Roman"/>
          <w:sz w:val="20"/>
          <w:szCs w:val="20"/>
          <w:lang w:eastAsia="en-US"/>
          <w14:ligatures w14:val="standardContextual"/>
        </w:rPr>
        <w:t>Source:</w:t>
      </w:r>
      <w:proofErr w:type="gramEnd"/>
      <w:r w:rsidRPr="007C5A6E">
        <w:rPr>
          <w:rFonts w:ascii="Times New Roman" w:eastAsia="Calibri" w:hAnsi="Times New Roman"/>
          <w:sz w:val="20"/>
          <w:szCs w:val="20"/>
          <w:lang w:eastAsia="en-US"/>
          <w14:ligatures w14:val="standardContextual"/>
        </w:rPr>
        <w:t xml:space="preserve"> MAAH/DGHADI (2012-2021)</w:t>
      </w:r>
    </w:p>
    <w:p w14:paraId="3EA994EC" w14:textId="77777777" w:rsidR="00D82C73" w:rsidRPr="007C5A6E" w:rsidRDefault="00D82C73" w:rsidP="0057132F">
      <w:pPr>
        <w:spacing w:after="0" w:line="240" w:lineRule="auto"/>
        <w:jc w:val="both"/>
        <w:rPr>
          <w:rFonts w:ascii="Times New Roman" w:eastAsia="Calibri" w:hAnsi="Times New Roman"/>
          <w:b/>
          <w:bCs/>
          <w:sz w:val="20"/>
          <w:szCs w:val="20"/>
          <w:lang w:eastAsia="en-US"/>
          <w14:ligatures w14:val="standardContextual"/>
        </w:rPr>
      </w:pPr>
    </w:p>
    <w:p w14:paraId="30EEFB7F" w14:textId="77777777" w:rsidR="00B15B8A" w:rsidRPr="007C5A6E" w:rsidRDefault="00B15B8A" w:rsidP="00684FF8">
      <w:pPr>
        <w:pStyle w:val="Titre4"/>
      </w:pPr>
      <w:bookmarkStart w:id="736" w:name="_Toc183340143"/>
      <w:r w:rsidRPr="007C5A6E">
        <w:t>La consommation des sachets plastiques</w:t>
      </w:r>
      <w:bookmarkEnd w:id="736"/>
    </w:p>
    <w:p w14:paraId="5B32F2C7" w14:textId="2AF775D5" w:rsidR="00B15B8A" w:rsidRPr="007C5A6E" w:rsidRDefault="00B15B8A" w:rsidP="0057132F">
      <w:pPr>
        <w:shd w:val="clear" w:color="auto" w:fill="FFFFFF"/>
        <w:spacing w:after="0" w:line="240" w:lineRule="auto"/>
        <w:jc w:val="both"/>
        <w:rPr>
          <w:rFonts w:ascii="Times New Roman" w:eastAsia="Calibri" w:hAnsi="Times New Roman"/>
          <w:color w:val="4D4D4D"/>
          <w:kern w:val="2"/>
          <w:sz w:val="24"/>
          <w:szCs w:val="24"/>
          <w:lang w:eastAsia="en-US"/>
          <w14:ligatures w14:val="standardContextual"/>
        </w:rPr>
      </w:pPr>
    </w:p>
    <w:p w14:paraId="4C98AC9C" w14:textId="77777777" w:rsidR="00B15B8A" w:rsidRPr="007C5A6E" w:rsidRDefault="00B15B8A" w:rsidP="0057132F">
      <w:pPr>
        <w:shd w:val="clear" w:color="auto" w:fill="FFFFFF"/>
        <w:spacing w:after="0" w:line="240" w:lineRule="auto"/>
        <w:jc w:val="both"/>
        <w:rPr>
          <w:rFonts w:ascii="Arial" w:eastAsia="Calibri" w:hAnsi="Arial" w:cs="Arial"/>
          <w:b/>
          <w:bCs/>
          <w:color w:val="4D4D4D"/>
          <w:kern w:val="2"/>
          <w:shd w:val="clear" w:color="auto" w:fill="FFFFFF"/>
          <w:lang w:eastAsia="en-US"/>
          <w14:ligatures w14:val="standardContextual"/>
        </w:rPr>
      </w:pPr>
      <w:r w:rsidRPr="007C5A6E">
        <w:rPr>
          <w:rFonts w:ascii="Times New Roman" w:eastAsia="Calibri" w:hAnsi="Times New Roman"/>
          <w:color w:val="4D4D4D"/>
          <w:kern w:val="2"/>
          <w:sz w:val="24"/>
          <w:szCs w:val="24"/>
          <w:lang w:eastAsia="en-US"/>
          <w14:ligatures w14:val="standardContextual"/>
        </w:rPr>
        <w:t xml:space="preserve">Selon le ministre en charge du Ministère de l’Environnement de l’Eau et de l’Assainissement (2024), les importations de plastique ont presque doublé, passant de 60 000 tonnes en 2012 à 118 400 tonnes en 2021. La forte consommation de plastique entraîne une importante production de déchets plastiques, qui a plus que doublé dans l’intervalle d’une décennie. </w:t>
      </w:r>
      <w:r w:rsidRPr="007C5A6E">
        <w:rPr>
          <w:rFonts w:ascii="Times New Roman" w:hAnsi="Times New Roman"/>
          <w:color w:val="000000"/>
          <w:sz w:val="24"/>
          <w:szCs w:val="24"/>
          <w:bdr w:val="none" w:sz="0" w:space="0" w:color="auto" w:frame="1"/>
          <w:lang w:eastAsia="en-US"/>
        </w:rPr>
        <w:t>Près de 700 000 tonnes d’ordures ont été produites dans la capitale (Ouagadougou) en 2020, qui compte près de 3 millions d’habitants (INSD, 2019). Cette quantité représente trois fois celle produite il y a vingt ans et environ un tiers de ces déchets sont en plastique non dégradable (PNUD, 2024). Pour le Ministère de l’Environnement, p</w:t>
      </w:r>
      <w:r w:rsidRPr="007C5A6E">
        <w:rPr>
          <w:rFonts w:ascii="Times New Roman" w:eastAsia="Calibri" w:hAnsi="Times New Roman"/>
          <w:color w:val="4D4D4D"/>
          <w:kern w:val="2"/>
          <w:sz w:val="24"/>
          <w:szCs w:val="24"/>
          <w:shd w:val="clear" w:color="auto" w:fill="FFFFFF"/>
          <w:lang w:eastAsia="en-US"/>
          <w14:ligatures w14:val="standardContextual"/>
        </w:rPr>
        <w:t>lus de 200 mille tonnes de déchets sont produites chaque année</w:t>
      </w:r>
      <w:r w:rsidRPr="007C5A6E">
        <w:rPr>
          <w:rFonts w:ascii="Arial" w:eastAsia="Calibri" w:hAnsi="Arial" w:cs="Arial"/>
          <w:b/>
          <w:bCs/>
          <w:color w:val="4D4D4D"/>
          <w:kern w:val="2"/>
          <w:shd w:val="clear" w:color="auto" w:fill="FFFFFF"/>
          <w:lang w:eastAsia="en-US"/>
          <w14:ligatures w14:val="standardContextual"/>
        </w:rPr>
        <w:t>.</w:t>
      </w:r>
    </w:p>
    <w:p w14:paraId="1822C13A" w14:textId="77777777" w:rsidR="00B15B8A" w:rsidRPr="007C5A6E" w:rsidRDefault="00B15B8A" w:rsidP="0057132F">
      <w:pPr>
        <w:shd w:val="clear" w:color="auto" w:fill="FFFFFF"/>
        <w:spacing w:after="0" w:line="240" w:lineRule="auto"/>
        <w:jc w:val="both"/>
        <w:rPr>
          <w:rFonts w:ascii="Times New Roman" w:eastAsia="Calibri" w:hAnsi="Times New Roman"/>
          <w:b/>
          <w:bCs/>
          <w:kern w:val="2"/>
          <w:sz w:val="24"/>
          <w:szCs w:val="24"/>
          <w:lang w:eastAsia="en-US"/>
          <w14:ligatures w14:val="standardContextual"/>
        </w:rPr>
      </w:pPr>
    </w:p>
    <w:p w14:paraId="0AC2E6E6" w14:textId="409899C5" w:rsidR="00D82C73" w:rsidRPr="007C5A6E" w:rsidRDefault="00D82C73" w:rsidP="00684FF8">
      <w:pPr>
        <w:pStyle w:val="Titre4"/>
      </w:pPr>
      <w:bookmarkStart w:id="737" w:name="_Toc181982228"/>
      <w:bookmarkStart w:id="738" w:name="_Toc183340144"/>
      <w:r w:rsidRPr="007C5A6E">
        <w:t>Evolution de la dégradation des terres</w:t>
      </w:r>
      <w:bookmarkEnd w:id="737"/>
      <w:bookmarkEnd w:id="738"/>
    </w:p>
    <w:p w14:paraId="09DBBF6A" w14:textId="77777777" w:rsidR="00B15B8A" w:rsidRPr="007C5A6E" w:rsidRDefault="00B15B8A" w:rsidP="0057132F">
      <w:pPr>
        <w:spacing w:after="0" w:line="240" w:lineRule="auto"/>
        <w:contextualSpacing/>
        <w:jc w:val="both"/>
        <w:rPr>
          <w:rFonts w:ascii="Times New Roman" w:eastAsia="Calibri" w:hAnsi="Times New Roman"/>
          <w:kern w:val="2"/>
          <w:sz w:val="24"/>
          <w:szCs w:val="24"/>
          <w:lang w:eastAsia="en-US"/>
          <w14:ligatures w14:val="standardContextual"/>
        </w:rPr>
      </w:pPr>
    </w:p>
    <w:p w14:paraId="07A70220" w14:textId="77777777" w:rsidR="00625C12" w:rsidRPr="007C5A6E" w:rsidRDefault="00D82C73" w:rsidP="0057132F">
      <w:pPr>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Dans le cadre du programme de définition des cibles pour la Neutralité en matière de Dégradation des Terres (NDT), avec l’appui du Secrétariat et du Mécanisme Mondial de la CNULCD et une multitude de partenaires, le Burkina Faso a établi une situation de référence préliminaire en termes de dégradation du territoire national. Nous considérons que 5,16 millions d’hectares se sont dégradés entre 2002 et 2013 soit 19 % du territoire national. Cela correspond à une dégradation annuelle de 470 000 hectares. Cette dégradation résulte de trois grandes tendances. </w:t>
      </w:r>
    </w:p>
    <w:p w14:paraId="48C9131C" w14:textId="77777777" w:rsidR="00625C12" w:rsidRPr="007C5A6E" w:rsidRDefault="00D82C73" w:rsidP="003F3821">
      <w:pPr>
        <w:pStyle w:val="Paragraphedeliste"/>
        <w:numPr>
          <w:ilvl w:val="0"/>
          <w:numId w:val="29"/>
        </w:numPr>
        <w:spacing w:after="0" w:line="240" w:lineRule="auto"/>
        <w:ind w:left="340" w:hanging="340"/>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Premièrement, une déforestation importante. En 11 ans, le Burkina Faso a perdu plus de 2,4 millions d’hectares de forêts (9 % du territoire national) au profit de savanes ou de terres cultivées. </w:t>
      </w:r>
    </w:p>
    <w:p w14:paraId="3CB719BB" w14:textId="77777777" w:rsidR="00625C12" w:rsidRPr="007C5A6E" w:rsidRDefault="00D82C73" w:rsidP="003F3821">
      <w:pPr>
        <w:pStyle w:val="Paragraphedeliste"/>
        <w:numPr>
          <w:ilvl w:val="0"/>
          <w:numId w:val="29"/>
        </w:numPr>
        <w:spacing w:after="0" w:line="240" w:lineRule="auto"/>
        <w:ind w:left="340" w:hanging="340"/>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Deuxièmement, 5,5 % des savanes et 3 % des terres cultivées sont aujourd’hui considérées comme ayant une tendance négative de productivité. Soit un total de 9 % du territoire national montre un déclin de la productivité ou des premiers signes de déclin. </w:t>
      </w:r>
    </w:p>
    <w:p w14:paraId="07F97CC4" w14:textId="77777777" w:rsidR="00625C12" w:rsidRPr="007C5A6E" w:rsidRDefault="00D82C73" w:rsidP="003F3821">
      <w:pPr>
        <w:pStyle w:val="Paragraphedeliste"/>
        <w:numPr>
          <w:ilvl w:val="0"/>
          <w:numId w:val="29"/>
        </w:numPr>
        <w:spacing w:after="0" w:line="240" w:lineRule="auto"/>
        <w:ind w:left="340" w:hanging="340"/>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Troisièmement, on note une dégradation du stock de carbone organique du sol au niveau des savanes dans la zone soudanienne et au niveau des terres. </w:t>
      </w:r>
    </w:p>
    <w:p w14:paraId="7220ABC4" w14:textId="5F79AD85" w:rsidR="00D82C73" w:rsidRPr="007C5A6E" w:rsidRDefault="00625C12" w:rsidP="00625C12">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P</w:t>
      </w:r>
      <w:r w:rsidR="00D82C73" w:rsidRPr="007C5A6E">
        <w:rPr>
          <w:rFonts w:ascii="Times New Roman" w:eastAsia="Calibri" w:hAnsi="Times New Roman"/>
          <w:kern w:val="2"/>
          <w:sz w:val="24"/>
          <w:szCs w:val="24"/>
          <w:lang w:eastAsia="en-US"/>
          <w14:ligatures w14:val="standardContextual"/>
        </w:rPr>
        <w:t xml:space="preserve">lusieurs causes ont été énoncées, notamment, l’insécurité foncière, la surexploitation des ressources naturelles pour la satisfaction des besoins primaires, l’éducation et l’accès aux connaissances, les pressions migratrices et les conditions défavorables sur les marchés internationaux (Traoré et </w:t>
      </w:r>
      <w:r w:rsidR="00D82C73" w:rsidRPr="007C5A6E">
        <w:rPr>
          <w:rFonts w:ascii="Times New Roman" w:eastAsia="Calibri" w:hAnsi="Times New Roman"/>
          <w:i/>
          <w:iCs/>
          <w:kern w:val="2"/>
          <w:sz w:val="24"/>
          <w:szCs w:val="24"/>
          <w:lang w:eastAsia="en-US"/>
          <w14:ligatures w14:val="standardContextual"/>
        </w:rPr>
        <w:t>al</w:t>
      </w:r>
      <w:r w:rsidR="00D82C73" w:rsidRPr="007C5A6E">
        <w:rPr>
          <w:rFonts w:ascii="Times New Roman" w:eastAsia="Calibri" w:hAnsi="Times New Roman"/>
          <w:kern w:val="2"/>
          <w:sz w:val="24"/>
          <w:szCs w:val="24"/>
          <w:lang w:eastAsia="en-US"/>
          <w14:ligatures w14:val="standardContextual"/>
        </w:rPr>
        <w:t xml:space="preserve">., 2019). </w:t>
      </w:r>
    </w:p>
    <w:p w14:paraId="6A6A7077" w14:textId="6E157F49" w:rsidR="00D82C73" w:rsidRPr="007C5A6E" w:rsidRDefault="00D82C73" w:rsidP="0057132F">
      <w:pPr>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L’analyse des cartes de l’évolution de la dégradation des sols de 2012 à 2023, montre une régression des taux de dégradation des sols en 2023 par rapport à l’année 2012. Cette baisse peut être due à la mise en œuvre des </w:t>
      </w:r>
      <w:r w:rsidR="00625C12" w:rsidRPr="007C5A6E">
        <w:rPr>
          <w:rFonts w:ascii="Times New Roman" w:eastAsia="Calibri" w:hAnsi="Times New Roman"/>
          <w:kern w:val="2"/>
          <w:sz w:val="24"/>
          <w:szCs w:val="24"/>
          <w:lang w:eastAsia="en-US"/>
          <w14:ligatures w14:val="standardContextual"/>
        </w:rPr>
        <w:t>programmes</w:t>
      </w:r>
      <w:r w:rsidRPr="007C5A6E">
        <w:rPr>
          <w:rFonts w:ascii="Times New Roman" w:eastAsia="Calibri" w:hAnsi="Times New Roman"/>
          <w:kern w:val="2"/>
          <w:sz w:val="24"/>
          <w:szCs w:val="24"/>
          <w:lang w:eastAsia="en-US"/>
          <w14:ligatures w14:val="standardContextual"/>
        </w:rPr>
        <w:t xml:space="preserve"> de conservation et de restauration des sols, aux stratégies et politiques de lutte contre la dégradation des sols élaborées et soutenues par l’Etat, les Projets et ONG, </w:t>
      </w:r>
      <w:r w:rsidR="00625C12" w:rsidRPr="007C5A6E">
        <w:rPr>
          <w:rFonts w:ascii="Times New Roman" w:eastAsia="Calibri" w:hAnsi="Times New Roman"/>
          <w:kern w:val="2"/>
          <w:sz w:val="24"/>
          <w:szCs w:val="24"/>
          <w:lang w:eastAsia="en-US"/>
          <w14:ligatures w14:val="standardContextual"/>
        </w:rPr>
        <w:t xml:space="preserve">mais </w:t>
      </w:r>
      <w:r w:rsidRPr="007C5A6E">
        <w:rPr>
          <w:rFonts w:ascii="Times New Roman" w:eastAsia="Calibri" w:hAnsi="Times New Roman"/>
          <w:kern w:val="2"/>
          <w:sz w:val="24"/>
          <w:szCs w:val="24"/>
          <w:lang w:eastAsia="en-US"/>
          <w14:ligatures w14:val="standardContextual"/>
        </w:rPr>
        <w:t xml:space="preserve">également </w:t>
      </w:r>
      <w:r w:rsidR="00625C12" w:rsidRPr="007C5A6E">
        <w:rPr>
          <w:rFonts w:ascii="Times New Roman" w:eastAsia="Calibri" w:hAnsi="Times New Roman"/>
          <w:kern w:val="2"/>
          <w:sz w:val="24"/>
          <w:szCs w:val="24"/>
          <w:lang w:eastAsia="en-US"/>
          <w14:ligatures w14:val="standardContextual"/>
        </w:rPr>
        <w:t>à</w:t>
      </w:r>
      <w:r w:rsidRPr="007C5A6E">
        <w:rPr>
          <w:rFonts w:ascii="Times New Roman" w:eastAsia="Calibri" w:hAnsi="Times New Roman"/>
          <w:kern w:val="2"/>
          <w:sz w:val="24"/>
          <w:szCs w:val="24"/>
          <w:lang w:eastAsia="en-US"/>
          <w14:ligatures w14:val="standardContextual"/>
        </w:rPr>
        <w:t xml:space="preserve"> la </w:t>
      </w:r>
      <w:r w:rsidR="00625C12" w:rsidRPr="007C5A6E">
        <w:rPr>
          <w:rFonts w:ascii="Times New Roman" w:eastAsia="Calibri" w:hAnsi="Times New Roman"/>
          <w:kern w:val="2"/>
          <w:sz w:val="24"/>
          <w:szCs w:val="24"/>
          <w:lang w:eastAsia="en-US"/>
          <w14:ligatures w14:val="standardContextual"/>
        </w:rPr>
        <w:t xml:space="preserve">prise de </w:t>
      </w:r>
      <w:r w:rsidRPr="007C5A6E">
        <w:rPr>
          <w:rFonts w:ascii="Times New Roman" w:eastAsia="Calibri" w:hAnsi="Times New Roman"/>
          <w:kern w:val="2"/>
          <w:sz w:val="24"/>
          <w:szCs w:val="24"/>
          <w:lang w:eastAsia="en-US"/>
          <w14:ligatures w14:val="standardContextual"/>
        </w:rPr>
        <w:t>conscien</w:t>
      </w:r>
      <w:r w:rsidR="00625C12" w:rsidRPr="007C5A6E">
        <w:rPr>
          <w:rFonts w:ascii="Times New Roman" w:eastAsia="Calibri" w:hAnsi="Times New Roman"/>
          <w:kern w:val="2"/>
          <w:sz w:val="24"/>
          <w:szCs w:val="24"/>
          <w:lang w:eastAsia="en-US"/>
          <w14:ligatures w14:val="standardContextual"/>
        </w:rPr>
        <w:t>ce d</w:t>
      </w:r>
      <w:r w:rsidRPr="007C5A6E">
        <w:rPr>
          <w:rFonts w:ascii="Times New Roman" w:eastAsia="Calibri" w:hAnsi="Times New Roman"/>
          <w:kern w:val="2"/>
          <w:sz w:val="24"/>
          <w:szCs w:val="24"/>
          <w:lang w:eastAsia="en-US"/>
          <w14:ligatures w14:val="standardContextual"/>
        </w:rPr>
        <w:t xml:space="preserve">es paysans </w:t>
      </w:r>
      <w:r w:rsidR="00625C12" w:rsidRPr="007C5A6E">
        <w:rPr>
          <w:rFonts w:ascii="Times New Roman" w:eastAsia="Calibri" w:hAnsi="Times New Roman"/>
          <w:kern w:val="2"/>
          <w:sz w:val="24"/>
          <w:szCs w:val="24"/>
          <w:lang w:eastAsia="en-US"/>
          <w14:ligatures w14:val="standardContextual"/>
        </w:rPr>
        <w:t xml:space="preserve">vis-à-vis de </w:t>
      </w:r>
      <w:r w:rsidRPr="007C5A6E">
        <w:rPr>
          <w:rFonts w:ascii="Times New Roman" w:eastAsia="Calibri" w:hAnsi="Times New Roman"/>
          <w:kern w:val="2"/>
          <w:sz w:val="24"/>
          <w:szCs w:val="24"/>
          <w:lang w:eastAsia="en-US"/>
          <w14:ligatures w14:val="standardContextual"/>
        </w:rPr>
        <w:t xml:space="preserve">la gravité de la dégradation des terres de leur terroir. Le tableau </w:t>
      </w:r>
      <w:r w:rsidR="00DC12DA" w:rsidRPr="007C5A6E">
        <w:rPr>
          <w:rFonts w:ascii="Times New Roman" w:eastAsia="Calibri" w:hAnsi="Times New Roman"/>
          <w:kern w:val="2"/>
          <w:sz w:val="24"/>
          <w:szCs w:val="24"/>
          <w:lang w:eastAsia="en-US"/>
          <w14:ligatures w14:val="standardContextual"/>
        </w:rPr>
        <w:t>3</w:t>
      </w:r>
      <w:r w:rsidR="0079778E" w:rsidRPr="007C5A6E">
        <w:rPr>
          <w:rFonts w:ascii="Times New Roman" w:eastAsia="Calibri" w:hAnsi="Times New Roman"/>
          <w:kern w:val="2"/>
          <w:sz w:val="24"/>
          <w:szCs w:val="24"/>
          <w:lang w:eastAsia="en-US"/>
          <w14:ligatures w14:val="standardContextual"/>
        </w:rPr>
        <w:t>1</w:t>
      </w:r>
      <w:r w:rsidRPr="007C5A6E">
        <w:rPr>
          <w:rFonts w:ascii="Times New Roman" w:eastAsia="Calibri" w:hAnsi="Times New Roman"/>
          <w:kern w:val="2"/>
          <w:sz w:val="24"/>
          <w:szCs w:val="24"/>
          <w:lang w:eastAsia="en-US"/>
          <w14:ligatures w14:val="standardContextual"/>
        </w:rPr>
        <w:t xml:space="preserve"> présente l’évolution de la dégradation des sols de 2012 à 2023.</w:t>
      </w:r>
    </w:p>
    <w:p w14:paraId="1BD2F89F" w14:textId="77777777" w:rsidR="00D82C73" w:rsidRPr="007C5A6E" w:rsidRDefault="00D82C73" w:rsidP="0057132F">
      <w:pPr>
        <w:spacing w:after="0" w:line="240" w:lineRule="auto"/>
        <w:jc w:val="both"/>
        <w:rPr>
          <w:rFonts w:ascii="Times New Roman" w:hAnsi="Times New Roman"/>
          <w:b/>
          <w:bCs/>
          <w:spacing w:val="10"/>
          <w:sz w:val="24"/>
          <w:szCs w:val="24"/>
          <w:lang w:eastAsia="en-US"/>
        </w:rPr>
      </w:pPr>
    </w:p>
    <w:p w14:paraId="3B3684BD" w14:textId="0079F5D2" w:rsidR="00D82C73" w:rsidRPr="007C5A6E" w:rsidRDefault="00D82C73" w:rsidP="0057132F">
      <w:pPr>
        <w:spacing w:after="0" w:line="240" w:lineRule="auto"/>
        <w:jc w:val="both"/>
        <w:rPr>
          <w:rFonts w:ascii="Times New Roman" w:hAnsi="Times New Roman"/>
          <w:spacing w:val="10"/>
          <w:sz w:val="24"/>
          <w:szCs w:val="24"/>
          <w:lang w:eastAsia="en-US"/>
        </w:rPr>
      </w:pPr>
      <w:bookmarkStart w:id="739" w:name="_Toc181983400"/>
      <w:bookmarkStart w:id="740" w:name="_Toc183240993"/>
      <w:bookmarkStart w:id="741" w:name="_Toc183292235"/>
      <w:bookmarkStart w:id="742" w:name="_Toc183340515"/>
      <w:r w:rsidRPr="007C5A6E">
        <w:rPr>
          <w:rFonts w:ascii="Times New Roman" w:hAnsi="Times New Roman"/>
          <w:spacing w:val="10"/>
          <w:sz w:val="24"/>
          <w:szCs w:val="24"/>
          <w:lang w:eastAsia="en-US"/>
        </w:rPr>
        <w:t xml:space="preserve">Tableau </w:t>
      </w:r>
      <w:r w:rsidRPr="007C5A6E">
        <w:rPr>
          <w:rFonts w:ascii="Times New Roman" w:hAnsi="Times New Roman"/>
          <w:spacing w:val="10"/>
          <w:sz w:val="24"/>
          <w:szCs w:val="24"/>
          <w:lang w:eastAsia="en-US"/>
        </w:rPr>
        <w:fldChar w:fldCharType="begin"/>
      </w:r>
      <w:r w:rsidRPr="007C5A6E">
        <w:rPr>
          <w:rFonts w:ascii="Times New Roman" w:hAnsi="Times New Roman"/>
          <w:spacing w:val="10"/>
          <w:sz w:val="24"/>
          <w:szCs w:val="24"/>
          <w:lang w:eastAsia="en-US"/>
        </w:rPr>
        <w:instrText xml:space="preserve"> SEQ Tableau \* ARABIC </w:instrText>
      </w:r>
      <w:r w:rsidRPr="007C5A6E">
        <w:rPr>
          <w:rFonts w:ascii="Times New Roman" w:hAnsi="Times New Roman"/>
          <w:spacing w:val="10"/>
          <w:sz w:val="24"/>
          <w:szCs w:val="24"/>
          <w:lang w:eastAsia="en-US"/>
        </w:rPr>
        <w:fldChar w:fldCharType="separate"/>
      </w:r>
      <w:r w:rsidR="003162F8" w:rsidRPr="007C5A6E">
        <w:rPr>
          <w:rFonts w:ascii="Times New Roman" w:hAnsi="Times New Roman"/>
          <w:noProof/>
          <w:spacing w:val="10"/>
          <w:sz w:val="24"/>
          <w:szCs w:val="24"/>
          <w:lang w:eastAsia="en-US"/>
        </w:rPr>
        <w:t>31</w:t>
      </w:r>
      <w:r w:rsidRPr="007C5A6E">
        <w:rPr>
          <w:rFonts w:ascii="Times New Roman" w:hAnsi="Times New Roman"/>
          <w:spacing w:val="10"/>
          <w:sz w:val="24"/>
          <w:szCs w:val="24"/>
          <w:lang w:eastAsia="en-US"/>
        </w:rPr>
        <w:fldChar w:fldCharType="end"/>
      </w:r>
      <w:r w:rsidRPr="007C5A6E">
        <w:rPr>
          <w:rFonts w:ascii="Times New Roman" w:hAnsi="Times New Roman"/>
          <w:spacing w:val="10"/>
          <w:sz w:val="24"/>
          <w:szCs w:val="24"/>
          <w:lang w:eastAsia="en-US"/>
        </w:rPr>
        <w:t xml:space="preserve"> : Evolution du taux de dégradation des sols de 2012 à 2023 (%)</w:t>
      </w:r>
      <w:bookmarkEnd w:id="739"/>
      <w:bookmarkEnd w:id="740"/>
      <w:bookmarkEnd w:id="741"/>
      <w:bookmarkEnd w:id="742"/>
    </w:p>
    <w:p w14:paraId="0A1E07B4" w14:textId="77777777" w:rsidR="005B301B" w:rsidRPr="007C5A6E" w:rsidRDefault="005B301B" w:rsidP="0057132F">
      <w:pPr>
        <w:spacing w:after="0" w:line="240" w:lineRule="auto"/>
        <w:jc w:val="both"/>
        <w:rPr>
          <w:rFonts w:ascii="Times New Roman" w:hAnsi="Times New Roman"/>
          <w:color w:val="ED7D31"/>
          <w:spacing w:val="10"/>
          <w:sz w:val="24"/>
          <w:szCs w:val="24"/>
          <w:lang w:eastAsia="en-US"/>
        </w:rPr>
      </w:pPr>
    </w:p>
    <w:tbl>
      <w:tblPr>
        <w:tblStyle w:val="Tableausimple21"/>
        <w:tblW w:w="0" w:type="auto"/>
        <w:tblLook w:val="04A0" w:firstRow="1" w:lastRow="0" w:firstColumn="1" w:lastColumn="0" w:noHBand="0" w:noVBand="1"/>
      </w:tblPr>
      <w:tblGrid>
        <w:gridCol w:w="1376"/>
        <w:gridCol w:w="1321"/>
        <w:gridCol w:w="1431"/>
        <w:gridCol w:w="1431"/>
        <w:gridCol w:w="1431"/>
        <w:gridCol w:w="1511"/>
      </w:tblGrid>
      <w:tr w:rsidR="00D82C73" w:rsidRPr="007C5A6E" w14:paraId="5764BA6E" w14:textId="77777777" w:rsidTr="00000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9" w:type="dxa"/>
            <w:gridSpan w:val="2"/>
            <w:tcBorders>
              <w:top w:val="thinThickSmallGap" w:sz="24" w:space="0" w:color="000000"/>
            </w:tcBorders>
          </w:tcPr>
          <w:p w14:paraId="358F17CF" w14:textId="2903C591" w:rsidR="00D82C73" w:rsidRPr="007C5A6E" w:rsidRDefault="00D82C73" w:rsidP="0057132F">
            <w:pPr>
              <w:spacing w:after="0" w:line="240" w:lineRule="auto"/>
              <w:contextualSpacing/>
              <w:rPr>
                <w:rFonts w:ascii="Times New Roman" w:eastAsia="Calibri" w:hAnsi="Times New Roman"/>
                <w:b w:val="0"/>
                <w:bCs w:val="0"/>
                <w:sz w:val="20"/>
                <w:szCs w:val="20"/>
                <w:lang w:eastAsia="en-US"/>
              </w:rPr>
            </w:pPr>
            <w:r w:rsidRPr="007C5A6E">
              <w:rPr>
                <w:rFonts w:ascii="Times New Roman" w:eastAsia="Calibri" w:hAnsi="Times New Roman"/>
                <w:b w:val="0"/>
                <w:bCs w:val="0"/>
                <w:sz w:val="20"/>
                <w:szCs w:val="20"/>
                <w:lang w:eastAsia="en-US"/>
              </w:rPr>
              <w:t xml:space="preserve">  Très </w:t>
            </w:r>
            <w:proofErr w:type="spellStart"/>
            <w:r w:rsidRPr="007C5A6E">
              <w:rPr>
                <w:rFonts w:ascii="Times New Roman" w:eastAsia="Calibri" w:hAnsi="Times New Roman"/>
                <w:b w:val="0"/>
                <w:bCs w:val="0"/>
                <w:sz w:val="20"/>
                <w:szCs w:val="20"/>
                <w:lang w:eastAsia="en-US"/>
              </w:rPr>
              <w:t>faib</w:t>
            </w:r>
            <w:proofErr w:type="spellEnd"/>
            <w:r w:rsidRPr="007C5A6E">
              <w:rPr>
                <w:rFonts w:ascii="Times New Roman" w:eastAsia="Calibri" w:hAnsi="Times New Roman"/>
                <w:b w:val="0"/>
                <w:bCs w:val="0"/>
                <w:sz w:val="20"/>
                <w:szCs w:val="20"/>
                <w:lang w:eastAsia="en-US"/>
              </w:rPr>
              <w:t xml:space="preserve"> dég</w:t>
            </w:r>
            <w:r w:rsidR="00625C12" w:rsidRPr="007C5A6E">
              <w:rPr>
                <w:rFonts w:ascii="Times New Roman" w:eastAsia="Calibri" w:hAnsi="Times New Roman"/>
                <w:b w:val="0"/>
                <w:bCs w:val="0"/>
                <w:sz w:val="20"/>
                <w:szCs w:val="20"/>
                <w:lang w:eastAsia="en-US"/>
              </w:rPr>
              <w:t>rad</w:t>
            </w:r>
            <w:r w:rsidRPr="007C5A6E">
              <w:rPr>
                <w:rFonts w:ascii="Times New Roman" w:eastAsia="Calibri" w:hAnsi="Times New Roman"/>
                <w:b w:val="0"/>
                <w:bCs w:val="0"/>
                <w:sz w:val="20"/>
                <w:szCs w:val="20"/>
                <w:lang w:eastAsia="en-US"/>
              </w:rPr>
              <w:t xml:space="preserve"> </w:t>
            </w:r>
          </w:p>
        </w:tc>
        <w:tc>
          <w:tcPr>
            <w:tcW w:w="1375" w:type="dxa"/>
            <w:tcBorders>
              <w:top w:val="thinThickSmallGap" w:sz="24" w:space="0" w:color="000000"/>
            </w:tcBorders>
          </w:tcPr>
          <w:p w14:paraId="4D912F2C" w14:textId="383AAB85" w:rsidR="00D82C73" w:rsidRPr="007C5A6E" w:rsidRDefault="00D82C73" w:rsidP="0057132F">
            <w:pPr>
              <w:spacing w:after="0" w:line="240" w:lineRule="auto"/>
              <w:contextualSpacing/>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0"/>
                <w:szCs w:val="20"/>
                <w:lang w:eastAsia="en-US"/>
              </w:rPr>
            </w:pPr>
            <w:r w:rsidRPr="007C5A6E">
              <w:rPr>
                <w:rFonts w:ascii="Times New Roman" w:eastAsia="Calibri" w:hAnsi="Times New Roman"/>
                <w:b w:val="0"/>
                <w:bCs w:val="0"/>
                <w:sz w:val="20"/>
                <w:szCs w:val="20"/>
                <w:lang w:eastAsia="en-US"/>
              </w:rPr>
              <w:t xml:space="preserve">    </w:t>
            </w:r>
            <w:proofErr w:type="spellStart"/>
            <w:r w:rsidRPr="007C5A6E">
              <w:rPr>
                <w:rFonts w:ascii="Times New Roman" w:eastAsia="Calibri" w:hAnsi="Times New Roman"/>
                <w:b w:val="0"/>
                <w:bCs w:val="0"/>
                <w:sz w:val="20"/>
                <w:szCs w:val="20"/>
                <w:lang w:eastAsia="en-US"/>
              </w:rPr>
              <w:t>Faib</w:t>
            </w:r>
            <w:proofErr w:type="spellEnd"/>
            <w:r w:rsidRPr="007C5A6E">
              <w:rPr>
                <w:rFonts w:ascii="Times New Roman" w:eastAsia="Calibri" w:hAnsi="Times New Roman"/>
                <w:b w:val="0"/>
                <w:bCs w:val="0"/>
                <w:sz w:val="20"/>
                <w:szCs w:val="20"/>
                <w:lang w:eastAsia="en-US"/>
              </w:rPr>
              <w:t xml:space="preserve"> dég</w:t>
            </w:r>
            <w:r w:rsidR="00625C12" w:rsidRPr="007C5A6E">
              <w:rPr>
                <w:rFonts w:ascii="Times New Roman" w:eastAsia="Calibri" w:hAnsi="Times New Roman"/>
                <w:b w:val="0"/>
                <w:bCs w:val="0"/>
                <w:sz w:val="20"/>
                <w:szCs w:val="20"/>
                <w:lang w:eastAsia="en-US"/>
              </w:rPr>
              <w:t>rad</w:t>
            </w:r>
          </w:p>
        </w:tc>
        <w:tc>
          <w:tcPr>
            <w:tcW w:w="1380" w:type="dxa"/>
            <w:tcBorders>
              <w:top w:val="thinThickSmallGap" w:sz="24" w:space="0" w:color="000000"/>
            </w:tcBorders>
          </w:tcPr>
          <w:p w14:paraId="55CB960E" w14:textId="40A9706E" w:rsidR="00D82C73" w:rsidRPr="007C5A6E" w:rsidRDefault="00D82C73" w:rsidP="0057132F">
            <w:pPr>
              <w:spacing w:after="0" w:line="240" w:lineRule="auto"/>
              <w:contextualSpacing/>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0"/>
                <w:szCs w:val="20"/>
                <w:lang w:eastAsia="en-US"/>
              </w:rPr>
            </w:pPr>
            <w:r w:rsidRPr="007C5A6E">
              <w:rPr>
                <w:rFonts w:ascii="Times New Roman" w:eastAsia="Calibri" w:hAnsi="Times New Roman"/>
                <w:b w:val="0"/>
                <w:bCs w:val="0"/>
                <w:sz w:val="20"/>
                <w:szCs w:val="20"/>
                <w:lang w:eastAsia="en-US"/>
              </w:rPr>
              <w:t xml:space="preserve">    </w:t>
            </w:r>
            <w:proofErr w:type="spellStart"/>
            <w:r w:rsidRPr="007C5A6E">
              <w:rPr>
                <w:rFonts w:ascii="Times New Roman" w:eastAsia="Calibri" w:hAnsi="Times New Roman"/>
                <w:b w:val="0"/>
                <w:bCs w:val="0"/>
                <w:sz w:val="20"/>
                <w:szCs w:val="20"/>
                <w:lang w:eastAsia="en-US"/>
              </w:rPr>
              <w:t>Moy</w:t>
            </w:r>
            <w:proofErr w:type="spellEnd"/>
            <w:r w:rsidRPr="007C5A6E">
              <w:rPr>
                <w:rFonts w:ascii="Times New Roman" w:eastAsia="Calibri" w:hAnsi="Times New Roman"/>
                <w:b w:val="0"/>
                <w:bCs w:val="0"/>
                <w:sz w:val="20"/>
                <w:szCs w:val="20"/>
                <w:lang w:eastAsia="en-US"/>
              </w:rPr>
              <w:t xml:space="preserve"> dég</w:t>
            </w:r>
            <w:r w:rsidR="00625C12" w:rsidRPr="007C5A6E">
              <w:rPr>
                <w:rFonts w:ascii="Times New Roman" w:eastAsia="Calibri" w:hAnsi="Times New Roman"/>
                <w:b w:val="0"/>
                <w:bCs w:val="0"/>
                <w:sz w:val="20"/>
                <w:szCs w:val="20"/>
                <w:lang w:eastAsia="en-US"/>
              </w:rPr>
              <w:t>rad</w:t>
            </w:r>
          </w:p>
        </w:tc>
        <w:tc>
          <w:tcPr>
            <w:tcW w:w="1380" w:type="dxa"/>
            <w:tcBorders>
              <w:top w:val="thinThickSmallGap" w:sz="24" w:space="0" w:color="000000"/>
            </w:tcBorders>
          </w:tcPr>
          <w:p w14:paraId="7E488693" w14:textId="10BF1EED" w:rsidR="00D82C73" w:rsidRPr="007C5A6E" w:rsidRDefault="00D82C73" w:rsidP="0057132F">
            <w:pPr>
              <w:spacing w:after="0" w:line="240" w:lineRule="auto"/>
              <w:contextualSpacing/>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0"/>
                <w:szCs w:val="20"/>
                <w:lang w:eastAsia="en-US"/>
              </w:rPr>
            </w:pPr>
            <w:r w:rsidRPr="007C5A6E">
              <w:rPr>
                <w:rFonts w:ascii="Times New Roman" w:eastAsia="Calibri" w:hAnsi="Times New Roman"/>
                <w:b w:val="0"/>
                <w:bCs w:val="0"/>
                <w:sz w:val="20"/>
                <w:szCs w:val="20"/>
                <w:lang w:eastAsia="en-US"/>
              </w:rPr>
              <w:t xml:space="preserve">   Fort dég</w:t>
            </w:r>
            <w:r w:rsidR="00625C12" w:rsidRPr="007C5A6E">
              <w:rPr>
                <w:rFonts w:ascii="Times New Roman" w:eastAsia="Calibri" w:hAnsi="Times New Roman"/>
                <w:b w:val="0"/>
                <w:bCs w:val="0"/>
                <w:sz w:val="20"/>
                <w:szCs w:val="20"/>
                <w:lang w:eastAsia="en-US"/>
              </w:rPr>
              <w:t>rad</w:t>
            </w:r>
          </w:p>
        </w:tc>
        <w:tc>
          <w:tcPr>
            <w:tcW w:w="1511" w:type="dxa"/>
            <w:tcBorders>
              <w:top w:val="thinThickSmallGap" w:sz="24" w:space="0" w:color="000000"/>
            </w:tcBorders>
          </w:tcPr>
          <w:p w14:paraId="3F5FC065" w14:textId="0D7D1F60" w:rsidR="00D82C73" w:rsidRPr="007C5A6E" w:rsidRDefault="00D82C73" w:rsidP="0057132F">
            <w:pPr>
              <w:spacing w:after="0" w:line="240" w:lineRule="auto"/>
              <w:contextualSpacing/>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0"/>
                <w:szCs w:val="20"/>
                <w:lang w:eastAsia="en-US"/>
              </w:rPr>
            </w:pPr>
            <w:r w:rsidRPr="007C5A6E">
              <w:rPr>
                <w:rFonts w:ascii="Times New Roman" w:eastAsia="Calibri" w:hAnsi="Times New Roman"/>
                <w:b w:val="0"/>
                <w:bCs w:val="0"/>
                <w:sz w:val="20"/>
                <w:szCs w:val="20"/>
                <w:lang w:eastAsia="en-US"/>
              </w:rPr>
              <w:t>Très fort dég</w:t>
            </w:r>
            <w:r w:rsidR="00625C12" w:rsidRPr="007C5A6E">
              <w:rPr>
                <w:rFonts w:ascii="Times New Roman" w:eastAsia="Calibri" w:hAnsi="Times New Roman"/>
                <w:b w:val="0"/>
                <w:bCs w:val="0"/>
                <w:sz w:val="20"/>
                <w:szCs w:val="20"/>
                <w:lang w:eastAsia="en-US"/>
              </w:rPr>
              <w:t>rad</w:t>
            </w:r>
          </w:p>
        </w:tc>
      </w:tr>
      <w:tr w:rsidR="00D82C73" w:rsidRPr="007C5A6E" w14:paraId="71AAB2B7" w14:textId="77777777" w:rsidTr="00000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3" w:type="dxa"/>
          </w:tcPr>
          <w:p w14:paraId="4E5102B3" w14:textId="77777777" w:rsidR="00D82C73" w:rsidRPr="007C5A6E" w:rsidRDefault="00D82C73" w:rsidP="00B15B8A">
            <w:pPr>
              <w:spacing w:after="0" w:line="240" w:lineRule="auto"/>
              <w:ind w:left="720"/>
              <w:contextualSpacing/>
              <w:rPr>
                <w:rFonts w:ascii="Times New Roman" w:eastAsia="Calibri" w:hAnsi="Times New Roman"/>
                <w:lang w:eastAsia="en-US"/>
              </w:rPr>
            </w:pPr>
            <w:r w:rsidRPr="007C5A6E">
              <w:rPr>
                <w:rFonts w:ascii="Times New Roman" w:eastAsia="Calibri" w:hAnsi="Times New Roman"/>
                <w:lang w:eastAsia="en-US"/>
              </w:rPr>
              <w:t>2012</w:t>
            </w:r>
          </w:p>
        </w:tc>
        <w:tc>
          <w:tcPr>
            <w:tcW w:w="916" w:type="dxa"/>
          </w:tcPr>
          <w:p w14:paraId="14E166B8" w14:textId="77777777" w:rsidR="00D82C73" w:rsidRPr="007C5A6E" w:rsidRDefault="00D82C73" w:rsidP="00B15B8A">
            <w:pPr>
              <w:spacing w:after="0" w:line="240" w:lineRule="auto"/>
              <w:ind w:left="72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0,57</w:t>
            </w:r>
          </w:p>
        </w:tc>
        <w:tc>
          <w:tcPr>
            <w:tcW w:w="1375" w:type="dxa"/>
          </w:tcPr>
          <w:p w14:paraId="262E6495" w14:textId="77777777" w:rsidR="00D82C73" w:rsidRPr="007C5A6E" w:rsidRDefault="00D82C73" w:rsidP="00B15B8A">
            <w:pPr>
              <w:spacing w:after="0" w:line="240" w:lineRule="auto"/>
              <w:ind w:left="72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41</w:t>
            </w:r>
          </w:p>
        </w:tc>
        <w:tc>
          <w:tcPr>
            <w:tcW w:w="1380" w:type="dxa"/>
          </w:tcPr>
          <w:p w14:paraId="5CD56365" w14:textId="77777777" w:rsidR="00D82C73" w:rsidRPr="007C5A6E" w:rsidRDefault="00D82C73" w:rsidP="00B15B8A">
            <w:pPr>
              <w:spacing w:after="0" w:line="240" w:lineRule="auto"/>
              <w:ind w:left="72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38,34</w:t>
            </w:r>
          </w:p>
        </w:tc>
        <w:tc>
          <w:tcPr>
            <w:tcW w:w="1380" w:type="dxa"/>
          </w:tcPr>
          <w:p w14:paraId="01530D89" w14:textId="77777777" w:rsidR="00D82C73" w:rsidRPr="007C5A6E" w:rsidRDefault="00D82C73" w:rsidP="00B15B8A">
            <w:pPr>
              <w:spacing w:after="0" w:line="240" w:lineRule="auto"/>
              <w:ind w:left="72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13,86</w:t>
            </w:r>
          </w:p>
        </w:tc>
        <w:tc>
          <w:tcPr>
            <w:tcW w:w="1511" w:type="dxa"/>
          </w:tcPr>
          <w:p w14:paraId="6A3AED33" w14:textId="77777777" w:rsidR="00D82C73" w:rsidRPr="007C5A6E" w:rsidRDefault="00D82C73" w:rsidP="00B15B8A">
            <w:pPr>
              <w:spacing w:after="0" w:line="240" w:lineRule="auto"/>
              <w:ind w:left="72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1,23</w:t>
            </w:r>
          </w:p>
        </w:tc>
      </w:tr>
      <w:tr w:rsidR="00D82C73" w:rsidRPr="007C5A6E" w14:paraId="2364FEAF" w14:textId="77777777" w:rsidTr="00000A12">
        <w:tc>
          <w:tcPr>
            <w:cnfStyle w:val="001000000000" w:firstRow="0" w:lastRow="0" w:firstColumn="1" w:lastColumn="0" w:oddVBand="0" w:evenVBand="0" w:oddHBand="0" w:evenHBand="0" w:firstRowFirstColumn="0" w:firstRowLastColumn="0" w:lastRowFirstColumn="0" w:lastRowLastColumn="0"/>
            <w:tcW w:w="663" w:type="dxa"/>
            <w:tcBorders>
              <w:bottom w:val="thinThickSmallGap" w:sz="24" w:space="0" w:color="000000"/>
            </w:tcBorders>
          </w:tcPr>
          <w:p w14:paraId="3C96FF15" w14:textId="77777777" w:rsidR="00D82C73" w:rsidRPr="007C5A6E" w:rsidRDefault="00D82C73" w:rsidP="00B15B8A">
            <w:pPr>
              <w:spacing w:after="0" w:line="240" w:lineRule="auto"/>
              <w:ind w:left="720"/>
              <w:contextualSpacing/>
              <w:rPr>
                <w:rFonts w:ascii="Times New Roman" w:eastAsia="Calibri" w:hAnsi="Times New Roman"/>
                <w:lang w:eastAsia="en-US"/>
              </w:rPr>
            </w:pPr>
            <w:r w:rsidRPr="007C5A6E">
              <w:rPr>
                <w:rFonts w:ascii="Times New Roman" w:eastAsia="Calibri" w:hAnsi="Times New Roman"/>
                <w:lang w:eastAsia="en-US"/>
              </w:rPr>
              <w:t>2023</w:t>
            </w:r>
          </w:p>
        </w:tc>
        <w:tc>
          <w:tcPr>
            <w:tcW w:w="916" w:type="dxa"/>
            <w:tcBorders>
              <w:bottom w:val="thinThickSmallGap" w:sz="24" w:space="0" w:color="000000"/>
            </w:tcBorders>
          </w:tcPr>
          <w:p w14:paraId="07C491FD" w14:textId="77777777" w:rsidR="00D82C73" w:rsidRPr="007C5A6E" w:rsidRDefault="00D82C73" w:rsidP="00B15B8A">
            <w:pPr>
              <w:spacing w:after="0" w:line="240" w:lineRule="auto"/>
              <w:ind w:left="72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0,90</w:t>
            </w:r>
          </w:p>
        </w:tc>
        <w:tc>
          <w:tcPr>
            <w:tcW w:w="1375" w:type="dxa"/>
            <w:tcBorders>
              <w:bottom w:val="thinThickSmallGap" w:sz="24" w:space="0" w:color="000000"/>
            </w:tcBorders>
          </w:tcPr>
          <w:p w14:paraId="1B2143B8" w14:textId="77777777" w:rsidR="00D82C73" w:rsidRPr="007C5A6E" w:rsidRDefault="00D82C73" w:rsidP="00B15B8A">
            <w:pPr>
              <w:spacing w:after="0" w:line="240" w:lineRule="auto"/>
              <w:ind w:left="72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31,46</w:t>
            </w:r>
          </w:p>
        </w:tc>
        <w:tc>
          <w:tcPr>
            <w:tcW w:w="1380" w:type="dxa"/>
            <w:tcBorders>
              <w:bottom w:val="thinThickSmallGap" w:sz="24" w:space="0" w:color="000000"/>
            </w:tcBorders>
          </w:tcPr>
          <w:p w14:paraId="662FB525" w14:textId="77777777" w:rsidR="00D82C73" w:rsidRPr="007C5A6E" w:rsidRDefault="00D82C73" w:rsidP="00B15B8A">
            <w:pPr>
              <w:spacing w:after="0" w:line="240" w:lineRule="auto"/>
              <w:ind w:left="72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53,88</w:t>
            </w:r>
          </w:p>
        </w:tc>
        <w:tc>
          <w:tcPr>
            <w:tcW w:w="1380" w:type="dxa"/>
            <w:tcBorders>
              <w:bottom w:val="thinThickSmallGap" w:sz="24" w:space="0" w:color="000000"/>
            </w:tcBorders>
          </w:tcPr>
          <w:p w14:paraId="4F453B56" w14:textId="77777777" w:rsidR="00D82C73" w:rsidRPr="007C5A6E" w:rsidRDefault="00D82C73" w:rsidP="00B15B8A">
            <w:pPr>
              <w:spacing w:after="0" w:line="240" w:lineRule="auto"/>
              <w:ind w:left="72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13,12</w:t>
            </w:r>
          </w:p>
        </w:tc>
        <w:tc>
          <w:tcPr>
            <w:tcW w:w="1511" w:type="dxa"/>
            <w:tcBorders>
              <w:bottom w:val="thinThickSmallGap" w:sz="24" w:space="0" w:color="000000"/>
            </w:tcBorders>
          </w:tcPr>
          <w:p w14:paraId="2E02257D" w14:textId="77777777" w:rsidR="00D82C73" w:rsidRPr="007C5A6E" w:rsidRDefault="00D82C73" w:rsidP="00B15B8A">
            <w:pPr>
              <w:spacing w:after="0" w:line="240" w:lineRule="auto"/>
              <w:ind w:left="72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0,64</w:t>
            </w:r>
          </w:p>
        </w:tc>
      </w:tr>
    </w:tbl>
    <w:p w14:paraId="748B43FB" w14:textId="77777777" w:rsidR="00D82C73" w:rsidRPr="007C5A6E" w:rsidRDefault="00D82C73" w:rsidP="00B15B8A">
      <w:pPr>
        <w:spacing w:after="0" w:line="240" w:lineRule="auto"/>
        <w:rPr>
          <w:rFonts w:ascii="Times New Roman" w:eastAsia="Calibri" w:hAnsi="Times New Roman"/>
          <w:kern w:val="2"/>
          <w:sz w:val="20"/>
          <w:szCs w:val="20"/>
          <w:lang w:eastAsia="en-US"/>
          <w14:ligatures w14:val="standardContextual"/>
        </w:rPr>
      </w:pPr>
      <w:r w:rsidRPr="007C5A6E">
        <w:rPr>
          <w:rFonts w:ascii="Times New Roman" w:eastAsia="Calibri" w:hAnsi="Times New Roman"/>
          <w:kern w:val="2"/>
          <w:sz w:val="20"/>
          <w:szCs w:val="20"/>
          <w:lang w:eastAsia="en-US"/>
          <w14:ligatures w14:val="standardContextual"/>
        </w:rPr>
        <w:t>Source : ONDD (2017)</w:t>
      </w:r>
    </w:p>
    <w:p w14:paraId="1DBBEE2B" w14:textId="733BAE73" w:rsidR="00D82C73" w:rsidRPr="007C5A6E" w:rsidRDefault="00D82C73" w:rsidP="00B15B8A">
      <w:pPr>
        <w:spacing w:after="0" w:line="240" w:lineRule="auto"/>
        <w:jc w:val="both"/>
        <w:rPr>
          <w:rFonts w:ascii="Times New Roman" w:eastAsia="Calibri" w:hAnsi="Times New Roman"/>
          <w:kern w:val="2"/>
          <w:sz w:val="20"/>
          <w:szCs w:val="20"/>
          <w:lang w:eastAsia="en-US"/>
          <w14:ligatures w14:val="standardContextual"/>
        </w:rPr>
      </w:pPr>
      <w:r w:rsidRPr="007C5A6E">
        <w:rPr>
          <w:rFonts w:ascii="Times New Roman" w:eastAsia="Calibri" w:hAnsi="Times New Roman"/>
          <w:kern w:val="2"/>
          <w:sz w:val="20"/>
          <w:szCs w:val="20"/>
          <w:lang w:eastAsia="en-US"/>
          <w14:ligatures w14:val="standardContextual"/>
        </w:rPr>
        <w:t xml:space="preserve">Très </w:t>
      </w:r>
      <w:proofErr w:type="spellStart"/>
      <w:r w:rsidRPr="007C5A6E">
        <w:rPr>
          <w:rFonts w:ascii="Times New Roman" w:eastAsia="Calibri" w:hAnsi="Times New Roman"/>
          <w:kern w:val="2"/>
          <w:sz w:val="20"/>
          <w:szCs w:val="20"/>
          <w:lang w:eastAsia="en-US"/>
          <w14:ligatures w14:val="standardContextual"/>
        </w:rPr>
        <w:t>faib</w:t>
      </w:r>
      <w:proofErr w:type="spellEnd"/>
      <w:r w:rsidRPr="007C5A6E">
        <w:rPr>
          <w:rFonts w:ascii="Times New Roman" w:eastAsia="Calibri" w:hAnsi="Times New Roman"/>
          <w:kern w:val="2"/>
          <w:sz w:val="20"/>
          <w:szCs w:val="20"/>
          <w:lang w:eastAsia="en-US"/>
          <w14:ligatures w14:val="standardContextual"/>
        </w:rPr>
        <w:t xml:space="preserve"> dég</w:t>
      </w:r>
      <w:r w:rsidR="00625C12" w:rsidRPr="007C5A6E">
        <w:rPr>
          <w:rFonts w:ascii="Times New Roman" w:eastAsia="Calibri" w:hAnsi="Times New Roman"/>
          <w:kern w:val="2"/>
          <w:sz w:val="20"/>
          <w:szCs w:val="20"/>
          <w:lang w:eastAsia="en-US"/>
          <w14:ligatures w14:val="standardContextual"/>
        </w:rPr>
        <w:t xml:space="preserve">rad : </w:t>
      </w:r>
      <w:r w:rsidRPr="007C5A6E">
        <w:rPr>
          <w:rFonts w:ascii="Times New Roman" w:eastAsia="Calibri" w:hAnsi="Times New Roman"/>
          <w:kern w:val="2"/>
          <w:sz w:val="20"/>
          <w:szCs w:val="20"/>
          <w:lang w:eastAsia="en-US"/>
          <w14:ligatures w14:val="standardContextual"/>
        </w:rPr>
        <w:t>Très faiblement dégradé</w:t>
      </w:r>
      <w:r w:rsidR="00625C12" w:rsidRPr="007C5A6E">
        <w:rPr>
          <w:rFonts w:ascii="Times New Roman" w:eastAsia="Calibri" w:hAnsi="Times New Roman"/>
          <w:kern w:val="2"/>
          <w:sz w:val="20"/>
          <w:szCs w:val="20"/>
          <w:lang w:eastAsia="en-US"/>
          <w14:ligatures w14:val="standardContextual"/>
        </w:rPr>
        <w:tab/>
      </w:r>
      <w:proofErr w:type="spellStart"/>
      <w:r w:rsidR="00625C12" w:rsidRPr="007C5A6E">
        <w:rPr>
          <w:rFonts w:ascii="Times New Roman" w:eastAsia="Calibri" w:hAnsi="Times New Roman"/>
          <w:kern w:val="2"/>
          <w:sz w:val="20"/>
          <w:szCs w:val="20"/>
          <w:lang w:eastAsia="en-US"/>
          <w14:ligatures w14:val="standardContextual"/>
        </w:rPr>
        <w:t>Faib</w:t>
      </w:r>
      <w:proofErr w:type="spellEnd"/>
      <w:r w:rsidR="00625C12" w:rsidRPr="007C5A6E">
        <w:rPr>
          <w:rFonts w:ascii="Times New Roman" w:eastAsia="Calibri" w:hAnsi="Times New Roman"/>
          <w:kern w:val="2"/>
          <w:sz w:val="20"/>
          <w:szCs w:val="20"/>
          <w:lang w:eastAsia="en-US"/>
          <w14:ligatures w14:val="standardContextual"/>
        </w:rPr>
        <w:t xml:space="preserve"> dégrad : </w:t>
      </w:r>
      <w:r w:rsidR="00625C12" w:rsidRPr="007C5A6E">
        <w:rPr>
          <w:rFonts w:ascii="Times New Roman" w:eastAsia="Calibri" w:hAnsi="Times New Roman"/>
          <w:kern w:val="2"/>
          <w:sz w:val="20"/>
          <w:szCs w:val="20"/>
          <w:lang w:eastAsia="en-US"/>
          <w14:ligatures w14:val="standardContextual"/>
        </w:rPr>
        <w:tab/>
        <w:t>Faiblement dégradé</w:t>
      </w:r>
    </w:p>
    <w:p w14:paraId="41A158B4" w14:textId="6FC9CFD1" w:rsidR="00D82C73" w:rsidRPr="007C5A6E" w:rsidRDefault="00D82C73" w:rsidP="00B15B8A">
      <w:pPr>
        <w:spacing w:after="0" w:line="240" w:lineRule="auto"/>
        <w:jc w:val="both"/>
        <w:rPr>
          <w:rFonts w:ascii="Times New Roman" w:eastAsia="Calibri" w:hAnsi="Times New Roman"/>
          <w:kern w:val="2"/>
          <w:sz w:val="20"/>
          <w:szCs w:val="20"/>
          <w:lang w:eastAsia="en-US"/>
          <w14:ligatures w14:val="standardContextual"/>
        </w:rPr>
      </w:pPr>
      <w:proofErr w:type="spellStart"/>
      <w:r w:rsidRPr="007C5A6E">
        <w:rPr>
          <w:rFonts w:ascii="Times New Roman" w:eastAsia="Calibri" w:hAnsi="Times New Roman"/>
          <w:kern w:val="2"/>
          <w:sz w:val="20"/>
          <w:szCs w:val="20"/>
          <w:lang w:eastAsia="en-US"/>
          <w14:ligatures w14:val="standardContextual"/>
        </w:rPr>
        <w:t>Moy</w:t>
      </w:r>
      <w:proofErr w:type="spellEnd"/>
      <w:r w:rsidRPr="007C5A6E">
        <w:rPr>
          <w:rFonts w:ascii="Times New Roman" w:eastAsia="Calibri" w:hAnsi="Times New Roman"/>
          <w:kern w:val="2"/>
          <w:sz w:val="20"/>
          <w:szCs w:val="20"/>
          <w:lang w:eastAsia="en-US"/>
          <w14:ligatures w14:val="standardContextual"/>
        </w:rPr>
        <w:t xml:space="preserve"> dég</w:t>
      </w:r>
      <w:r w:rsidR="00625C12" w:rsidRPr="007C5A6E">
        <w:rPr>
          <w:rFonts w:ascii="Times New Roman" w:eastAsia="Calibri" w:hAnsi="Times New Roman"/>
          <w:kern w:val="2"/>
          <w:sz w:val="20"/>
          <w:szCs w:val="20"/>
          <w:lang w:eastAsia="en-US"/>
          <w14:ligatures w14:val="standardContextual"/>
        </w:rPr>
        <w:t>rad :</w:t>
      </w:r>
      <w:r w:rsidRPr="007C5A6E">
        <w:rPr>
          <w:rFonts w:ascii="Times New Roman" w:eastAsia="Calibri" w:hAnsi="Times New Roman"/>
          <w:kern w:val="2"/>
          <w:sz w:val="20"/>
          <w:szCs w:val="20"/>
          <w:lang w:eastAsia="en-US"/>
          <w14:ligatures w14:val="standardContextual"/>
        </w:rPr>
        <w:tab/>
      </w:r>
      <w:r w:rsidR="00625C12" w:rsidRPr="007C5A6E">
        <w:rPr>
          <w:rFonts w:ascii="Times New Roman" w:eastAsia="Calibri" w:hAnsi="Times New Roman"/>
          <w:kern w:val="2"/>
          <w:sz w:val="20"/>
          <w:szCs w:val="20"/>
          <w:lang w:eastAsia="en-US"/>
          <w14:ligatures w14:val="standardContextual"/>
        </w:rPr>
        <w:t xml:space="preserve"> </w:t>
      </w:r>
      <w:r w:rsidRPr="007C5A6E">
        <w:rPr>
          <w:rFonts w:ascii="Times New Roman" w:eastAsia="Calibri" w:hAnsi="Times New Roman"/>
          <w:kern w:val="2"/>
          <w:sz w:val="20"/>
          <w:szCs w:val="20"/>
          <w:lang w:eastAsia="en-US"/>
          <w14:ligatures w14:val="standardContextual"/>
        </w:rPr>
        <w:t>Moyennement dégradé</w:t>
      </w:r>
      <w:r w:rsidR="00625C12" w:rsidRPr="007C5A6E">
        <w:rPr>
          <w:rFonts w:ascii="Times New Roman" w:eastAsia="Calibri" w:hAnsi="Times New Roman"/>
          <w:kern w:val="2"/>
          <w:sz w:val="20"/>
          <w:szCs w:val="20"/>
          <w:lang w:eastAsia="en-US"/>
          <w14:ligatures w14:val="standardContextual"/>
        </w:rPr>
        <w:tab/>
        <w:t>Fort dégrad :</w:t>
      </w:r>
      <w:r w:rsidR="00625C12" w:rsidRPr="007C5A6E">
        <w:rPr>
          <w:rFonts w:ascii="Times New Roman" w:eastAsia="Calibri" w:hAnsi="Times New Roman"/>
          <w:kern w:val="2"/>
          <w:sz w:val="20"/>
          <w:szCs w:val="20"/>
          <w:lang w:eastAsia="en-US"/>
          <w14:ligatures w14:val="standardContextual"/>
        </w:rPr>
        <w:tab/>
        <w:t>Fortement dégradé</w:t>
      </w:r>
    </w:p>
    <w:p w14:paraId="65D4D4F8" w14:textId="7A581F24" w:rsidR="00D82C73" w:rsidRPr="007C5A6E" w:rsidRDefault="00D82C73" w:rsidP="00B15B8A">
      <w:pPr>
        <w:spacing w:after="0" w:line="240" w:lineRule="auto"/>
        <w:jc w:val="both"/>
        <w:rPr>
          <w:rFonts w:ascii="Times New Roman" w:eastAsia="Calibri" w:hAnsi="Times New Roman"/>
          <w:kern w:val="2"/>
          <w:sz w:val="20"/>
          <w:szCs w:val="20"/>
          <w:lang w:eastAsia="en-US"/>
          <w14:ligatures w14:val="standardContextual"/>
        </w:rPr>
      </w:pPr>
      <w:r w:rsidRPr="007C5A6E">
        <w:rPr>
          <w:rFonts w:ascii="Times New Roman" w:eastAsia="Calibri" w:hAnsi="Times New Roman"/>
          <w:kern w:val="2"/>
          <w:sz w:val="20"/>
          <w:szCs w:val="20"/>
          <w:lang w:eastAsia="en-US"/>
          <w14:ligatures w14:val="standardContextual"/>
        </w:rPr>
        <w:t>Très fort dég</w:t>
      </w:r>
      <w:r w:rsidR="00625C12" w:rsidRPr="007C5A6E">
        <w:rPr>
          <w:rFonts w:ascii="Times New Roman" w:eastAsia="Calibri" w:hAnsi="Times New Roman"/>
          <w:kern w:val="2"/>
          <w:sz w:val="20"/>
          <w:szCs w:val="20"/>
          <w:lang w:eastAsia="en-US"/>
          <w14:ligatures w14:val="standardContextual"/>
        </w:rPr>
        <w:t xml:space="preserve">rad :  </w:t>
      </w:r>
      <w:r w:rsidRPr="007C5A6E">
        <w:rPr>
          <w:rFonts w:ascii="Times New Roman" w:eastAsia="Calibri" w:hAnsi="Times New Roman"/>
          <w:kern w:val="2"/>
          <w:sz w:val="20"/>
          <w:szCs w:val="20"/>
          <w:lang w:eastAsia="en-US"/>
          <w14:ligatures w14:val="standardContextual"/>
        </w:rPr>
        <w:t>Très fortement dégradé</w:t>
      </w:r>
    </w:p>
    <w:p w14:paraId="30FB174B" w14:textId="77777777" w:rsidR="00D82C73" w:rsidRPr="007C5A6E" w:rsidRDefault="00D82C73" w:rsidP="00B15B8A">
      <w:pPr>
        <w:spacing w:after="0" w:line="240" w:lineRule="auto"/>
        <w:rPr>
          <w:rFonts w:ascii="Times New Roman" w:eastAsia="Calibri" w:hAnsi="Times New Roman"/>
          <w:kern w:val="2"/>
          <w:sz w:val="20"/>
          <w:szCs w:val="20"/>
          <w:lang w:eastAsia="en-US"/>
          <w14:ligatures w14:val="standardContextual"/>
        </w:rPr>
      </w:pPr>
    </w:p>
    <w:p w14:paraId="2BB972FC" w14:textId="5E117E45" w:rsidR="00D82C73" w:rsidRPr="007C5A6E" w:rsidRDefault="00D82C73" w:rsidP="00B15B8A">
      <w:pPr>
        <w:spacing w:after="0" w:line="240" w:lineRule="auto"/>
        <w:rPr>
          <w:rFonts w:ascii="Times New Roman" w:eastAsia="Calibri" w:hAnsi="Times New Roman"/>
          <w:kern w:val="2"/>
          <w:sz w:val="20"/>
          <w:szCs w:val="20"/>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Les </w:t>
      </w:r>
      <w:r w:rsidR="00625C12" w:rsidRPr="007C5A6E">
        <w:rPr>
          <w:rFonts w:ascii="Times New Roman" w:eastAsia="Calibri" w:hAnsi="Times New Roman"/>
          <w:kern w:val="2"/>
          <w:sz w:val="24"/>
          <w:szCs w:val="24"/>
          <w:lang w:eastAsia="en-US"/>
          <w14:ligatures w14:val="standardContextual"/>
        </w:rPr>
        <w:t xml:space="preserve">figures </w:t>
      </w:r>
      <w:r w:rsidR="00905928" w:rsidRPr="007C5A6E">
        <w:rPr>
          <w:rFonts w:ascii="Times New Roman" w:eastAsia="Calibri" w:hAnsi="Times New Roman"/>
          <w:kern w:val="2"/>
          <w:sz w:val="24"/>
          <w:szCs w:val="24"/>
          <w:lang w:eastAsia="en-US"/>
          <w14:ligatures w14:val="standardContextual"/>
        </w:rPr>
        <w:t>50</w:t>
      </w:r>
      <w:r w:rsidRPr="007C5A6E">
        <w:rPr>
          <w:rFonts w:ascii="Times New Roman" w:eastAsia="Calibri" w:hAnsi="Times New Roman"/>
          <w:kern w:val="2"/>
          <w:sz w:val="24"/>
          <w:szCs w:val="24"/>
          <w:lang w:eastAsia="en-US"/>
          <w14:ligatures w14:val="standardContextual"/>
        </w:rPr>
        <w:t xml:space="preserve"> et </w:t>
      </w:r>
      <w:r w:rsidR="00905928" w:rsidRPr="007C5A6E">
        <w:rPr>
          <w:rFonts w:ascii="Times New Roman" w:eastAsia="Calibri" w:hAnsi="Times New Roman"/>
          <w:kern w:val="2"/>
          <w:sz w:val="24"/>
          <w:szCs w:val="24"/>
          <w:lang w:eastAsia="en-US"/>
          <w14:ligatures w14:val="standardContextual"/>
        </w:rPr>
        <w:t>51</w:t>
      </w:r>
      <w:r w:rsidRPr="007C5A6E">
        <w:rPr>
          <w:rFonts w:ascii="Times New Roman" w:eastAsia="Calibri" w:hAnsi="Times New Roman"/>
          <w:kern w:val="2"/>
          <w:sz w:val="24"/>
          <w:szCs w:val="24"/>
          <w:lang w:eastAsia="en-US"/>
          <w14:ligatures w14:val="standardContextual"/>
        </w:rPr>
        <w:t xml:space="preserve"> présentent l’évolution de la dégradation des sols de 2012 à 2023.</w:t>
      </w:r>
    </w:p>
    <w:p w14:paraId="047D061E" w14:textId="77777777" w:rsidR="00D82C73" w:rsidRPr="007C5A6E" w:rsidRDefault="00D82C73" w:rsidP="00B15B8A">
      <w:pPr>
        <w:spacing w:after="0" w:line="240" w:lineRule="auto"/>
        <w:jc w:val="both"/>
        <w:rPr>
          <w:rFonts w:ascii="Times New Roman" w:eastAsia="Calibri" w:hAnsi="Times New Roman"/>
          <w:kern w:val="2"/>
          <w:sz w:val="24"/>
          <w:szCs w:val="24"/>
          <w:lang w:eastAsia="en-US"/>
          <w14:ligatures w14:val="standardContextual"/>
        </w:rPr>
      </w:pPr>
    </w:p>
    <w:p w14:paraId="4B6054D6" w14:textId="77777777" w:rsidR="00D82C73" w:rsidRPr="007C5A6E" w:rsidRDefault="00D82C73" w:rsidP="00B15B8A">
      <w:pPr>
        <w:spacing w:after="0" w:line="240" w:lineRule="auto"/>
        <w:rPr>
          <w:rFonts w:ascii="Times New Roman" w:eastAsia="Calibri" w:hAnsi="Times New Roman"/>
          <w:kern w:val="2"/>
          <w:sz w:val="24"/>
          <w:szCs w:val="24"/>
          <w:lang w:eastAsia="en-US"/>
          <w14:ligatures w14:val="standardContextual"/>
        </w:rPr>
      </w:pPr>
      <w:r w:rsidRPr="007C5A6E">
        <w:rPr>
          <w:rFonts w:ascii="Times New Roman" w:eastAsia="Calibri" w:hAnsi="Times New Roman"/>
          <w:noProof/>
          <w:kern w:val="2"/>
          <w:sz w:val="24"/>
          <w:szCs w:val="24"/>
          <w14:ligatures w14:val="standardContextual"/>
        </w:rPr>
        <w:drawing>
          <wp:inline distT="0" distB="0" distL="0" distR="0" wp14:anchorId="22354DCF" wp14:editId="3E06514D">
            <wp:extent cx="5010912" cy="3293597"/>
            <wp:effectExtent l="0" t="0" r="0" b="254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grad2012.png"/>
                    <pic:cNvPicPr/>
                  </pic:nvPicPr>
                  <pic:blipFill rotWithShape="1">
                    <a:blip r:embed="rId132" cstate="email">
                      <a:extLst>
                        <a:ext uri="{28A0092B-C50C-407E-A947-70E740481C1C}">
                          <a14:useLocalDpi xmlns:a14="http://schemas.microsoft.com/office/drawing/2010/main"/>
                        </a:ext>
                      </a:extLst>
                    </a:blip>
                    <a:srcRect l="1969" t="3214" r="2576" b="2706"/>
                    <a:stretch/>
                  </pic:blipFill>
                  <pic:spPr bwMode="auto">
                    <a:xfrm>
                      <a:off x="0" y="0"/>
                      <a:ext cx="5037515" cy="3311083"/>
                    </a:xfrm>
                    <a:prstGeom prst="rect">
                      <a:avLst/>
                    </a:prstGeom>
                    <a:ln>
                      <a:noFill/>
                    </a:ln>
                    <a:extLst>
                      <a:ext uri="{53640926-AAD7-44D8-BBD7-CCE9431645EC}">
                        <a14:shadowObscured xmlns:a14="http://schemas.microsoft.com/office/drawing/2010/main"/>
                      </a:ext>
                    </a:extLst>
                  </pic:spPr>
                </pic:pic>
              </a:graphicData>
            </a:graphic>
          </wp:inline>
        </w:drawing>
      </w:r>
    </w:p>
    <w:p w14:paraId="0902E5E3" w14:textId="7EF05357" w:rsidR="00625C12" w:rsidRPr="007C5A6E" w:rsidRDefault="00605840" w:rsidP="00625C12">
      <w:pPr>
        <w:spacing w:after="0" w:line="240" w:lineRule="auto"/>
        <w:rPr>
          <w:rFonts w:ascii="Times New Roman" w:eastAsia="Calibri" w:hAnsi="Times New Roman"/>
          <w:kern w:val="2"/>
          <w:sz w:val="20"/>
          <w:szCs w:val="20"/>
          <w:lang w:eastAsia="en-US"/>
          <w14:ligatures w14:val="standardContextual"/>
        </w:rPr>
      </w:pPr>
      <w:bookmarkStart w:id="743" w:name="_Toc181983055"/>
      <w:r w:rsidRPr="007C5A6E">
        <w:rPr>
          <w:rFonts w:ascii="Times New Roman" w:eastAsia="Calibri" w:hAnsi="Times New Roman"/>
          <w:kern w:val="2"/>
          <w:sz w:val="20"/>
          <w:szCs w:val="20"/>
          <w:lang w:eastAsia="en-US"/>
          <w14:ligatures w14:val="standardContextual"/>
        </w:rPr>
        <w:t>(</w:t>
      </w:r>
      <w:r w:rsidR="00625C12" w:rsidRPr="007C5A6E">
        <w:rPr>
          <w:rFonts w:ascii="Times New Roman" w:eastAsia="Calibri" w:hAnsi="Times New Roman"/>
          <w:kern w:val="2"/>
          <w:sz w:val="20"/>
          <w:szCs w:val="20"/>
          <w:lang w:eastAsia="en-US"/>
          <w14:ligatures w14:val="standardContextual"/>
        </w:rPr>
        <w:t>Source : ONDD</w:t>
      </w:r>
      <w:r w:rsidRPr="007C5A6E">
        <w:rPr>
          <w:rFonts w:ascii="Times New Roman" w:eastAsia="Calibri" w:hAnsi="Times New Roman"/>
          <w:kern w:val="2"/>
          <w:sz w:val="20"/>
          <w:szCs w:val="20"/>
          <w:lang w:eastAsia="en-US"/>
          <w14:ligatures w14:val="standardContextual"/>
        </w:rPr>
        <w:t>,</w:t>
      </w:r>
      <w:r w:rsidR="00625C12" w:rsidRPr="007C5A6E">
        <w:rPr>
          <w:rFonts w:ascii="Times New Roman" w:eastAsia="Calibri" w:hAnsi="Times New Roman"/>
          <w:kern w:val="2"/>
          <w:sz w:val="20"/>
          <w:szCs w:val="20"/>
          <w:lang w:eastAsia="en-US"/>
          <w14:ligatures w14:val="standardContextual"/>
        </w:rPr>
        <w:t xml:space="preserve"> 2017)</w:t>
      </w:r>
    </w:p>
    <w:p w14:paraId="49A36876" w14:textId="0EB455C6" w:rsidR="00D82C73" w:rsidRPr="007C5A6E" w:rsidRDefault="00625C12" w:rsidP="00625C12">
      <w:pPr>
        <w:pStyle w:val="Lgende"/>
        <w:spacing w:after="0"/>
        <w:rPr>
          <w:rFonts w:ascii="Times New Roman" w:hAnsi="Times New Roman"/>
          <w:color w:val="auto"/>
          <w:spacing w:val="10"/>
          <w:sz w:val="24"/>
          <w:szCs w:val="24"/>
          <w:lang w:eastAsia="en-US"/>
        </w:rPr>
      </w:pPr>
      <w:bookmarkStart w:id="744" w:name="_Toc183230897"/>
      <w:bookmarkStart w:id="745" w:name="_Toc183240690"/>
      <w:bookmarkStart w:id="746" w:name="_Toc183340429"/>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50</w:t>
      </w:r>
      <w:r w:rsidRPr="007C5A6E">
        <w:rPr>
          <w:rFonts w:ascii="Times New Roman" w:hAnsi="Times New Roman"/>
          <w:color w:val="auto"/>
          <w:sz w:val="24"/>
          <w:szCs w:val="24"/>
        </w:rPr>
        <w:fldChar w:fldCharType="end"/>
      </w:r>
      <w:r w:rsidR="00F303A2" w:rsidRPr="007C5A6E">
        <w:rPr>
          <w:rFonts w:ascii="Times New Roman" w:hAnsi="Times New Roman"/>
          <w:color w:val="auto"/>
          <w:sz w:val="24"/>
          <w:szCs w:val="24"/>
        </w:rPr>
        <w:t>.</w:t>
      </w:r>
      <w:r w:rsidR="00D82C73" w:rsidRPr="007C5A6E">
        <w:rPr>
          <w:rFonts w:ascii="Times New Roman" w:hAnsi="Times New Roman"/>
          <w:color w:val="auto"/>
          <w:spacing w:val="10"/>
          <w:sz w:val="24"/>
          <w:szCs w:val="24"/>
          <w:lang w:eastAsia="en-US"/>
        </w:rPr>
        <w:t xml:space="preserve"> Etat de la dégradation des sols au Burkina Faso en 2012</w:t>
      </w:r>
      <w:bookmarkEnd w:id="743"/>
      <w:bookmarkEnd w:id="744"/>
      <w:bookmarkEnd w:id="745"/>
      <w:bookmarkEnd w:id="746"/>
    </w:p>
    <w:p w14:paraId="0D91DE41" w14:textId="77777777" w:rsidR="00D82C73" w:rsidRPr="007C5A6E" w:rsidRDefault="00D82C73" w:rsidP="00B15B8A">
      <w:pPr>
        <w:spacing w:after="0" w:line="240" w:lineRule="auto"/>
        <w:rPr>
          <w:rFonts w:ascii="Times New Roman" w:eastAsia="Calibri" w:hAnsi="Times New Roman"/>
          <w:kern w:val="2"/>
          <w:sz w:val="20"/>
          <w:szCs w:val="20"/>
          <w:lang w:eastAsia="en-US"/>
          <w14:ligatures w14:val="standardContextual"/>
        </w:rPr>
      </w:pPr>
    </w:p>
    <w:p w14:paraId="30080E40" w14:textId="77777777" w:rsidR="00D82C73" w:rsidRPr="007C5A6E" w:rsidRDefault="00D82C73" w:rsidP="00B15B8A">
      <w:pPr>
        <w:spacing w:after="0" w:line="240" w:lineRule="auto"/>
        <w:rPr>
          <w:rFonts w:ascii="Times New Roman" w:eastAsia="Calibri" w:hAnsi="Times New Roman"/>
          <w:kern w:val="2"/>
          <w:sz w:val="20"/>
          <w:szCs w:val="20"/>
          <w:lang w:eastAsia="en-US"/>
          <w14:ligatures w14:val="standardContextual"/>
        </w:rPr>
      </w:pPr>
      <w:r w:rsidRPr="007C5A6E">
        <w:rPr>
          <w:rFonts w:eastAsia="Calibri"/>
          <w:noProof/>
          <w:kern w:val="2"/>
          <w:lang w:eastAsia="en-US"/>
          <w14:ligatures w14:val="standardContextual"/>
        </w:rPr>
        <w:drawing>
          <wp:inline distT="0" distB="0" distL="0" distR="0" wp14:anchorId="24FBD29E" wp14:editId="128D52B3">
            <wp:extent cx="4707853" cy="3310950"/>
            <wp:effectExtent l="0" t="0" r="0" b="3810"/>
            <wp:docPr id="18847556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755698" name=""/>
                    <pic:cNvPicPr/>
                  </pic:nvPicPr>
                  <pic:blipFill rotWithShape="1">
                    <a:blip r:embed="rId133" cstate="email">
                      <a:extLst>
                        <a:ext uri="{28A0092B-C50C-407E-A947-70E740481C1C}">
                          <a14:useLocalDpi xmlns:a14="http://schemas.microsoft.com/office/drawing/2010/main"/>
                        </a:ext>
                      </a:extLst>
                    </a:blip>
                    <a:srcRect l="2122" t="3001" r="1818" b="1449"/>
                    <a:stretch/>
                  </pic:blipFill>
                  <pic:spPr bwMode="auto">
                    <a:xfrm>
                      <a:off x="0" y="0"/>
                      <a:ext cx="4742183" cy="3335094"/>
                    </a:xfrm>
                    <a:prstGeom prst="rect">
                      <a:avLst/>
                    </a:prstGeom>
                    <a:ln>
                      <a:noFill/>
                    </a:ln>
                    <a:extLst>
                      <a:ext uri="{53640926-AAD7-44D8-BBD7-CCE9431645EC}">
                        <a14:shadowObscured xmlns:a14="http://schemas.microsoft.com/office/drawing/2010/main"/>
                      </a:ext>
                    </a:extLst>
                  </pic:spPr>
                </pic:pic>
              </a:graphicData>
            </a:graphic>
          </wp:inline>
        </w:drawing>
      </w:r>
    </w:p>
    <w:p w14:paraId="33B38691" w14:textId="24F16061" w:rsidR="00625C12" w:rsidRPr="007C5A6E" w:rsidRDefault="00F303A2" w:rsidP="00625C12">
      <w:pPr>
        <w:spacing w:after="0" w:line="240" w:lineRule="auto"/>
        <w:rPr>
          <w:rFonts w:ascii="Times New Roman" w:eastAsia="Calibri" w:hAnsi="Times New Roman"/>
          <w:kern w:val="2"/>
          <w:sz w:val="20"/>
          <w:szCs w:val="20"/>
          <w:lang w:eastAsia="en-US"/>
          <w14:ligatures w14:val="standardContextual"/>
        </w:rPr>
      </w:pPr>
      <w:bookmarkStart w:id="747" w:name="_Toc181983056"/>
      <w:r w:rsidRPr="007C5A6E">
        <w:rPr>
          <w:rFonts w:ascii="Times New Roman" w:eastAsia="Calibri" w:hAnsi="Times New Roman"/>
          <w:kern w:val="2"/>
          <w:sz w:val="20"/>
          <w:szCs w:val="20"/>
          <w:lang w:eastAsia="en-US"/>
          <w14:ligatures w14:val="standardContextual"/>
        </w:rPr>
        <w:t>(</w:t>
      </w:r>
      <w:r w:rsidR="00625C12" w:rsidRPr="007C5A6E">
        <w:rPr>
          <w:rFonts w:ascii="Times New Roman" w:eastAsia="Calibri" w:hAnsi="Times New Roman"/>
          <w:kern w:val="2"/>
          <w:sz w:val="20"/>
          <w:szCs w:val="20"/>
          <w:lang w:eastAsia="en-US"/>
          <w14:ligatures w14:val="standardContextual"/>
        </w:rPr>
        <w:t>Source : ONDD</w:t>
      </w:r>
      <w:r w:rsidRPr="007C5A6E">
        <w:rPr>
          <w:rFonts w:ascii="Times New Roman" w:eastAsia="Calibri" w:hAnsi="Times New Roman"/>
          <w:kern w:val="2"/>
          <w:sz w:val="20"/>
          <w:szCs w:val="20"/>
          <w:lang w:eastAsia="en-US"/>
          <w14:ligatures w14:val="standardContextual"/>
        </w:rPr>
        <w:t xml:space="preserve">, </w:t>
      </w:r>
      <w:r w:rsidR="00625C12" w:rsidRPr="007C5A6E">
        <w:rPr>
          <w:rFonts w:ascii="Times New Roman" w:eastAsia="Calibri" w:hAnsi="Times New Roman"/>
          <w:kern w:val="2"/>
          <w:sz w:val="20"/>
          <w:szCs w:val="20"/>
          <w:lang w:eastAsia="en-US"/>
          <w14:ligatures w14:val="standardContextual"/>
        </w:rPr>
        <w:t>2023)</w:t>
      </w:r>
    </w:p>
    <w:p w14:paraId="40176E4A" w14:textId="763C0E57" w:rsidR="00D82C73" w:rsidRPr="007C5A6E" w:rsidRDefault="00625C12" w:rsidP="00625C12">
      <w:pPr>
        <w:pStyle w:val="Lgende"/>
        <w:spacing w:after="0"/>
        <w:rPr>
          <w:rFonts w:ascii="Times New Roman" w:hAnsi="Times New Roman"/>
          <w:color w:val="auto"/>
          <w:sz w:val="24"/>
          <w:szCs w:val="24"/>
        </w:rPr>
      </w:pPr>
      <w:bookmarkStart w:id="748" w:name="_Toc183230898"/>
      <w:bookmarkStart w:id="749" w:name="_Toc183240691"/>
      <w:bookmarkStart w:id="750" w:name="_Toc183340430"/>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97382E" w:rsidRPr="007C5A6E">
        <w:rPr>
          <w:rFonts w:ascii="Times New Roman" w:hAnsi="Times New Roman"/>
          <w:noProof/>
          <w:color w:val="auto"/>
          <w:sz w:val="24"/>
          <w:szCs w:val="24"/>
        </w:rPr>
        <w:t>51</w:t>
      </w:r>
      <w:r w:rsidRPr="007C5A6E">
        <w:rPr>
          <w:rFonts w:ascii="Times New Roman" w:hAnsi="Times New Roman"/>
          <w:color w:val="auto"/>
          <w:sz w:val="24"/>
          <w:szCs w:val="24"/>
        </w:rPr>
        <w:fldChar w:fldCharType="end"/>
      </w:r>
      <w:r w:rsidR="0097382E" w:rsidRPr="007C5A6E">
        <w:rPr>
          <w:rFonts w:ascii="Times New Roman" w:hAnsi="Times New Roman"/>
          <w:color w:val="auto"/>
          <w:sz w:val="24"/>
          <w:szCs w:val="24"/>
        </w:rPr>
        <w:t>.</w:t>
      </w:r>
      <w:r w:rsidR="00D82C73" w:rsidRPr="007C5A6E">
        <w:rPr>
          <w:rFonts w:ascii="Times New Roman" w:hAnsi="Times New Roman"/>
          <w:color w:val="auto"/>
          <w:sz w:val="24"/>
          <w:szCs w:val="24"/>
        </w:rPr>
        <w:t xml:space="preserve"> Etat de la dégradation des sols au Burkina Faso en 2023</w:t>
      </w:r>
      <w:bookmarkEnd w:id="747"/>
      <w:bookmarkEnd w:id="748"/>
      <w:bookmarkEnd w:id="749"/>
      <w:bookmarkEnd w:id="750"/>
    </w:p>
    <w:p w14:paraId="2F27AF20" w14:textId="77777777" w:rsidR="00D82C73" w:rsidRPr="007C5A6E" w:rsidRDefault="00D82C73" w:rsidP="00B15B8A">
      <w:pPr>
        <w:spacing w:after="0" w:line="240" w:lineRule="auto"/>
        <w:jc w:val="both"/>
        <w:rPr>
          <w:rFonts w:ascii="Times New Roman" w:eastAsia="Calibri" w:hAnsi="Times New Roman"/>
          <w:kern w:val="2"/>
          <w:sz w:val="20"/>
          <w:szCs w:val="20"/>
          <w:lang w:eastAsia="en-US"/>
          <w14:ligatures w14:val="standardContextual"/>
        </w:rPr>
      </w:pPr>
    </w:p>
    <w:p w14:paraId="06C26745" w14:textId="7F036104" w:rsidR="00D82C73" w:rsidRPr="007C5A6E" w:rsidRDefault="00B15B8A" w:rsidP="00F54298">
      <w:pPr>
        <w:pStyle w:val="Titre3"/>
      </w:pPr>
      <w:bookmarkStart w:id="751" w:name="_Toc181982229"/>
      <w:bookmarkStart w:id="752" w:name="_Toc183340145"/>
      <w:r w:rsidRPr="007C5A6E">
        <w:t>Les pressions liées au c</w:t>
      </w:r>
      <w:r w:rsidR="00D82C73" w:rsidRPr="007C5A6E">
        <w:t>limat</w:t>
      </w:r>
      <w:bookmarkEnd w:id="751"/>
      <w:bookmarkEnd w:id="752"/>
    </w:p>
    <w:p w14:paraId="6B007670" w14:textId="77777777" w:rsidR="00D82C73" w:rsidRPr="007C5A6E" w:rsidRDefault="00D82C73" w:rsidP="00B15B8A">
      <w:pPr>
        <w:spacing w:after="0" w:line="240" w:lineRule="auto"/>
        <w:jc w:val="both"/>
        <w:rPr>
          <w:rFonts w:ascii="Times New Roman" w:eastAsia="Calibri" w:hAnsi="Times New Roman"/>
          <w:kern w:val="2"/>
          <w:sz w:val="24"/>
          <w:szCs w:val="24"/>
          <w:lang w:eastAsia="en-US"/>
          <w14:ligatures w14:val="standardContextual"/>
        </w:rPr>
      </w:pPr>
    </w:p>
    <w:p w14:paraId="0BCCA59F" w14:textId="77777777" w:rsidR="00D82C73" w:rsidRPr="007C5A6E" w:rsidRDefault="00D82C73" w:rsidP="00B15B8A">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Le climat exerce des pressions sur les sols à travers ses composantes que sont la pluie, la température et le vent.</w:t>
      </w:r>
    </w:p>
    <w:p w14:paraId="62061D0D" w14:textId="77777777" w:rsidR="00B15B8A" w:rsidRPr="007C5A6E" w:rsidRDefault="00B15B8A" w:rsidP="00B15B8A">
      <w:pPr>
        <w:spacing w:after="0" w:line="240" w:lineRule="auto"/>
        <w:jc w:val="both"/>
        <w:rPr>
          <w:rFonts w:ascii="Times New Roman" w:eastAsia="Calibri" w:hAnsi="Times New Roman"/>
          <w:kern w:val="2"/>
          <w:sz w:val="24"/>
          <w:szCs w:val="24"/>
          <w:lang w:eastAsia="en-US"/>
          <w14:ligatures w14:val="standardContextual"/>
        </w:rPr>
      </w:pPr>
    </w:p>
    <w:p w14:paraId="44FA6CD9" w14:textId="7F46E01C" w:rsidR="00D82C73" w:rsidRPr="007C5A6E" w:rsidRDefault="00B15B8A" w:rsidP="00684FF8">
      <w:pPr>
        <w:pStyle w:val="Titre4"/>
      </w:pPr>
      <w:bookmarkStart w:id="753" w:name="_Toc183340146"/>
      <w:r w:rsidRPr="007C5A6E">
        <w:t>Les f</w:t>
      </w:r>
      <w:r w:rsidR="00D82C73" w:rsidRPr="007C5A6E">
        <w:t>ortes pluies</w:t>
      </w:r>
      <w:bookmarkEnd w:id="753"/>
    </w:p>
    <w:p w14:paraId="0C1EF0A0" w14:textId="77777777" w:rsidR="00B15B8A" w:rsidRPr="007C5A6E" w:rsidRDefault="00B15B8A" w:rsidP="00B15B8A">
      <w:pPr>
        <w:spacing w:after="0" w:line="240" w:lineRule="auto"/>
        <w:jc w:val="both"/>
        <w:rPr>
          <w:rFonts w:ascii="Times New Roman" w:eastAsia="Calibri" w:hAnsi="Times New Roman"/>
          <w:kern w:val="2"/>
          <w:sz w:val="24"/>
          <w:szCs w:val="24"/>
          <w:lang w:eastAsia="en-US"/>
          <w14:ligatures w14:val="standardContextual"/>
        </w:rPr>
      </w:pPr>
    </w:p>
    <w:p w14:paraId="2B10B8DE" w14:textId="77777777" w:rsidR="00905928" w:rsidRPr="007C5A6E" w:rsidRDefault="00D82C73" w:rsidP="00B15B8A">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Les pluies torrentielles et abondantes sont à l’origine des inondations. Le samedi 20 juillet 2024, tôt le matin, aux environs de 5 h, une abondante pluie s’est abattue sur </w:t>
      </w:r>
      <w:proofErr w:type="spellStart"/>
      <w:r w:rsidRPr="007C5A6E">
        <w:rPr>
          <w:rFonts w:ascii="Times New Roman" w:eastAsia="Calibri" w:hAnsi="Times New Roman"/>
          <w:kern w:val="2"/>
          <w:sz w:val="24"/>
          <w:szCs w:val="24"/>
          <w:lang w:eastAsia="en-US"/>
          <w14:ligatures w14:val="standardContextual"/>
        </w:rPr>
        <w:t>Yako</w:t>
      </w:r>
      <w:proofErr w:type="spellEnd"/>
      <w:r w:rsidRPr="007C5A6E">
        <w:rPr>
          <w:rFonts w:ascii="Times New Roman" w:eastAsia="Calibri" w:hAnsi="Times New Roman"/>
          <w:kern w:val="2"/>
          <w:sz w:val="24"/>
          <w:szCs w:val="24"/>
          <w:lang w:eastAsia="en-US"/>
          <w14:ligatures w14:val="standardContextual"/>
        </w:rPr>
        <w:t xml:space="preserve"> et les villages environnants. C’est du jamais vu selon les habitants (#Burkna Faso-#</w:t>
      </w:r>
      <w:proofErr w:type="spellStart"/>
      <w:r w:rsidRPr="007C5A6E">
        <w:rPr>
          <w:rFonts w:ascii="Times New Roman" w:eastAsia="Calibri" w:hAnsi="Times New Roman"/>
          <w:kern w:val="2"/>
          <w:sz w:val="24"/>
          <w:szCs w:val="24"/>
          <w:lang w:eastAsia="en-US"/>
          <w14:ligatures w14:val="standardContextual"/>
        </w:rPr>
        <w:t>Yako</w:t>
      </w:r>
      <w:proofErr w:type="spellEnd"/>
      <w:r w:rsidRPr="007C5A6E">
        <w:rPr>
          <w:rFonts w:ascii="Times New Roman" w:eastAsia="Calibri" w:hAnsi="Times New Roman"/>
          <w:kern w:val="2"/>
          <w:sz w:val="24"/>
          <w:szCs w:val="24"/>
          <w:lang w:eastAsia="en-US"/>
          <w14:ligatures w14:val="standardContextual"/>
        </w:rPr>
        <w:t xml:space="preserve">-#Saison Pluvieuse, 2024). Les pluies se sont installées tardivement et ont obligé les paysans à accomplir des semis tardifs dans de nombreuses localités. Les dernières pluies ont été favorables pour le semis. Les champs de case et de village où les jeunes plants ont commencé à pousser et entamer leur cycle de développement ont été totalement submergés par les eaux. </w:t>
      </w:r>
    </w:p>
    <w:p w14:paraId="43B4666D" w14:textId="77777777" w:rsidR="00905928" w:rsidRPr="007C5A6E" w:rsidRDefault="00D82C73" w:rsidP="00B15B8A">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noProof/>
          <w:kern w:val="2"/>
          <w:lang w:eastAsia="en-US"/>
          <w14:ligatures w14:val="standardContextual"/>
        </w:rPr>
        <mc:AlternateContent>
          <mc:Choice Requires="wps">
            <w:drawing>
              <wp:anchor distT="0" distB="0" distL="114300" distR="114300" simplePos="0" relativeHeight="251699712" behindDoc="0" locked="0" layoutInCell="1" allowOverlap="1" wp14:anchorId="039474F1" wp14:editId="7156F639">
                <wp:simplePos x="0" y="0"/>
                <wp:positionH relativeFrom="column">
                  <wp:posOffset>-201295</wp:posOffset>
                </wp:positionH>
                <wp:positionV relativeFrom="paragraph">
                  <wp:posOffset>-93522800</wp:posOffset>
                </wp:positionV>
                <wp:extent cx="1347470" cy="254000"/>
                <wp:effectExtent l="0" t="0" r="5080" b="0"/>
                <wp:wrapNone/>
                <wp:docPr id="1290467056" name="Zone de texte 6"/>
                <wp:cNvGraphicFramePr/>
                <a:graphic xmlns:a="http://schemas.openxmlformats.org/drawingml/2006/main">
                  <a:graphicData uri="http://schemas.microsoft.com/office/word/2010/wordprocessingShape">
                    <wps:wsp>
                      <wps:cNvSpPr txBox="1"/>
                      <wps:spPr>
                        <a:xfrm>
                          <a:off x="0" y="0"/>
                          <a:ext cx="1347470" cy="254000"/>
                        </a:xfrm>
                        <a:prstGeom prst="rect">
                          <a:avLst/>
                        </a:prstGeom>
                        <a:solidFill>
                          <a:sysClr val="window" lastClr="FFFFFF"/>
                        </a:solidFill>
                        <a:ln w="6350">
                          <a:noFill/>
                        </a:ln>
                      </wps:spPr>
                      <wps:txbx>
                        <w:txbxContent>
                          <w:p w14:paraId="718AA845" w14:textId="77777777" w:rsidR="00D82C73" w:rsidRPr="001F27B9" w:rsidRDefault="00D82C73" w:rsidP="00D82C73">
                            <w:pPr>
                              <w:rPr>
                                <w:rFonts w:ascii="Times New Roman" w:hAnsi="Times New Roman"/>
                                <w:sz w:val="18"/>
                                <w:szCs w:val="18"/>
                              </w:rPr>
                            </w:pPr>
                            <w:r w:rsidRPr="001F27B9">
                              <w:rPr>
                                <w:rFonts w:ascii="Times New Roman" w:hAnsi="Times New Roman"/>
                                <w:sz w:val="18"/>
                                <w:szCs w:val="18"/>
                              </w:rPr>
                              <w:t xml:space="preserve">Source: Saba M. (2024)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474F1" id="_x0000_s1203" type="#_x0000_t202" style="position:absolute;left:0;text-align:left;margin-left:-15.85pt;margin-top:-7364pt;width:106.1pt;height:20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" fillcolor="window" stroked="f" strokeweight=".5pt">
                <v:textbox>
                  <w:txbxContent>
                    <w:p w14:paraId="718AA845" w14:textId="77777777" w:rsidR="00D82C73" w:rsidRPr="001F27B9" w:rsidRDefault="00D82C73" w:rsidP="00D82C73">
                      <w:pPr>
                        <w:rPr>
                          <w:rFonts w:ascii="Times New Roman" w:hAnsi="Times New Roman"/>
                          <w:sz w:val="18"/>
                          <w:szCs w:val="18"/>
                        </w:rPr>
                      </w:pPr>
                      <w:r w:rsidRPr="001F27B9">
                        <w:rPr>
                          <w:rFonts w:ascii="Times New Roman" w:hAnsi="Times New Roman"/>
                          <w:sz w:val="18"/>
                          <w:szCs w:val="18"/>
                        </w:rPr>
                        <w:t xml:space="preserve">Source: Saba M. (2024) </w:t>
                      </w:r>
                    </w:p>
                  </w:txbxContent>
                </v:textbox>
              </v:shape>
            </w:pict>
          </mc:Fallback>
        </mc:AlternateContent>
      </w:r>
      <w:r w:rsidRPr="007C5A6E">
        <w:rPr>
          <w:rFonts w:ascii="Times New Roman" w:eastAsia="Calibri" w:hAnsi="Times New Roman"/>
          <w:noProof/>
          <w:kern w:val="2"/>
          <w:lang w:eastAsia="en-US"/>
          <w14:ligatures w14:val="standardContextual"/>
        </w:rPr>
        <mc:AlternateContent>
          <mc:Choice Requires="wps">
            <w:drawing>
              <wp:anchor distT="0" distB="0" distL="114300" distR="114300" simplePos="0" relativeHeight="251698688" behindDoc="0" locked="0" layoutInCell="1" allowOverlap="1" wp14:anchorId="3030DD26" wp14:editId="5DA0B8C5">
                <wp:simplePos x="0" y="0"/>
                <wp:positionH relativeFrom="column">
                  <wp:posOffset>-79375</wp:posOffset>
                </wp:positionH>
                <wp:positionV relativeFrom="paragraph">
                  <wp:posOffset>-93266895</wp:posOffset>
                </wp:positionV>
                <wp:extent cx="1303655" cy="250190"/>
                <wp:effectExtent l="0" t="0" r="10795" b="16510"/>
                <wp:wrapNone/>
                <wp:docPr id="1266453962" name="Zone de texte 5"/>
                <wp:cNvGraphicFramePr/>
                <a:graphic xmlns:a="http://schemas.openxmlformats.org/drawingml/2006/main">
                  <a:graphicData uri="http://schemas.microsoft.com/office/word/2010/wordprocessingShape">
                    <wps:wsp>
                      <wps:cNvSpPr txBox="1"/>
                      <wps:spPr>
                        <a:xfrm>
                          <a:off x="0" y="0"/>
                          <a:ext cx="1303655" cy="250190"/>
                        </a:xfrm>
                        <a:prstGeom prst="rect">
                          <a:avLst/>
                        </a:prstGeom>
                        <a:noFill/>
                        <a:ln w="6350">
                          <a:solidFill>
                            <a:prstClr val="black"/>
                          </a:solidFill>
                        </a:ln>
                      </wps:spPr>
                      <wps:txbx>
                        <w:txbxContent>
                          <w:p w14:paraId="44E33181" w14:textId="77777777" w:rsidR="00D82C73" w:rsidRPr="00587EE3" w:rsidRDefault="00D82C73" w:rsidP="00D82C73">
                            <w:pPr>
                              <w:rPr>
                                <w:rFonts w:ascii="Times New Roman" w:hAnsi="Times New Roman"/>
                                <w:sz w:val="18"/>
                                <w:szCs w:val="18"/>
                              </w:rPr>
                            </w:pPr>
                            <w:r w:rsidRPr="00587EE3">
                              <w:rPr>
                                <w:rFonts w:ascii="Times New Roman" w:hAnsi="Times New Roman"/>
                                <w:sz w:val="18"/>
                                <w:szCs w:val="18"/>
                              </w:rPr>
                              <w:t>Source: Sabo M.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0DD26" id="_x0000_s1204" type="#_x0000_t202" style="position:absolute;left:0;text-align:left;margin-left:-6.25pt;margin-top:-7343.85pt;width:102.65pt;height:19.7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" filled="f" strokeweight=".5pt">
                <v:textbox>
                  <w:txbxContent>
                    <w:p w14:paraId="44E33181" w14:textId="77777777" w:rsidR="00D82C73" w:rsidRPr="00587EE3" w:rsidRDefault="00D82C73" w:rsidP="00D82C73">
                      <w:pPr>
                        <w:rPr>
                          <w:rFonts w:ascii="Times New Roman" w:hAnsi="Times New Roman"/>
                          <w:sz w:val="18"/>
                          <w:szCs w:val="18"/>
                        </w:rPr>
                      </w:pPr>
                      <w:r w:rsidRPr="00587EE3">
                        <w:rPr>
                          <w:rFonts w:ascii="Times New Roman" w:hAnsi="Times New Roman"/>
                          <w:sz w:val="18"/>
                          <w:szCs w:val="18"/>
                        </w:rPr>
                        <w:t>Source: Sabo M. (2024</w:t>
                      </w:r>
                    </w:p>
                  </w:txbxContent>
                </v:textbox>
              </v:shape>
            </w:pict>
          </mc:Fallback>
        </mc:AlternateContent>
      </w:r>
      <w:r w:rsidRPr="007C5A6E">
        <w:rPr>
          <w:rFonts w:ascii="Times New Roman" w:eastAsia="Calibri" w:hAnsi="Times New Roman"/>
          <w:noProof/>
          <w:kern w:val="2"/>
          <w:lang w:eastAsia="en-US"/>
          <w14:ligatures w14:val="standardContextual"/>
        </w:rPr>
        <mc:AlternateContent>
          <mc:Choice Requires="wps">
            <w:drawing>
              <wp:anchor distT="0" distB="0" distL="114300" distR="114300" simplePos="0" relativeHeight="251697664" behindDoc="0" locked="0" layoutInCell="1" allowOverlap="1" wp14:anchorId="79DD3FB8" wp14:editId="37E27419">
                <wp:simplePos x="0" y="0"/>
                <wp:positionH relativeFrom="column">
                  <wp:posOffset>-181610</wp:posOffset>
                </wp:positionH>
                <wp:positionV relativeFrom="paragraph">
                  <wp:posOffset>-90584020</wp:posOffset>
                </wp:positionV>
                <wp:extent cx="1144905" cy="269875"/>
                <wp:effectExtent l="0" t="0" r="17145" b="15875"/>
                <wp:wrapNone/>
                <wp:docPr id="116532810" name="Zone de texte 3"/>
                <wp:cNvGraphicFramePr/>
                <a:graphic xmlns:a="http://schemas.openxmlformats.org/drawingml/2006/main">
                  <a:graphicData uri="http://schemas.microsoft.com/office/word/2010/wordprocessingShape">
                    <wps:wsp>
                      <wps:cNvSpPr txBox="1"/>
                      <wps:spPr>
                        <a:xfrm>
                          <a:off x="0" y="0"/>
                          <a:ext cx="1144905" cy="269875"/>
                        </a:xfrm>
                        <a:prstGeom prst="rect">
                          <a:avLst/>
                        </a:prstGeom>
                        <a:solidFill>
                          <a:sysClr val="window" lastClr="FFFFFF"/>
                        </a:solidFill>
                        <a:ln w="6350">
                          <a:solidFill>
                            <a:prstClr val="black"/>
                          </a:solidFill>
                        </a:ln>
                      </wps:spPr>
                      <wps:txbx>
                        <w:txbxContent>
                          <w:p w14:paraId="1CA580CA" w14:textId="77777777" w:rsidR="00D82C73" w:rsidRDefault="00D82C73" w:rsidP="00D82C73">
                            <w:r>
                              <w:t>Inondation Yako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D3FB8" id="_x0000_s1205" type="#_x0000_t202" style="position:absolute;left:0;text-align:left;margin-left:-14.3pt;margin-top:-7132.6pt;width:90.15pt;height:21.2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" fillcolor="window" strokeweight=".5pt">
                <v:textbox>
                  <w:txbxContent>
                    <w:p w14:paraId="1CA580CA" w14:textId="77777777" w:rsidR="00D82C73" w:rsidRDefault="00D82C73" w:rsidP="00D82C73">
                      <w:r>
                        <w:t>Inondation Yako</w:t>
                      </w:r>
                    </w:p>
                  </w:txbxContent>
                </v:textbox>
              </v:shape>
            </w:pict>
          </mc:Fallback>
        </mc:AlternateContent>
      </w:r>
      <w:r w:rsidRPr="007C5A6E">
        <w:rPr>
          <w:rFonts w:ascii="Times New Roman" w:eastAsia="Calibri" w:hAnsi="Times New Roman"/>
          <w:noProof/>
          <w:kern w:val="2"/>
          <w:lang w:eastAsia="en-US"/>
          <w14:ligatures w14:val="standardContextual"/>
        </w:rPr>
        <mc:AlternateContent>
          <mc:Choice Requires="wps">
            <w:drawing>
              <wp:anchor distT="0" distB="0" distL="114300" distR="114300" simplePos="0" relativeHeight="251696640" behindDoc="0" locked="0" layoutInCell="1" allowOverlap="1" wp14:anchorId="058CBF79" wp14:editId="039A3703">
                <wp:simplePos x="0" y="0"/>
                <wp:positionH relativeFrom="column">
                  <wp:posOffset>2529205</wp:posOffset>
                </wp:positionH>
                <wp:positionV relativeFrom="paragraph">
                  <wp:posOffset>-90664030</wp:posOffset>
                </wp:positionV>
                <wp:extent cx="962025" cy="202565"/>
                <wp:effectExtent l="0" t="0" r="28575" b="26035"/>
                <wp:wrapNone/>
                <wp:docPr id="897150849" name="Zone de texte 2"/>
                <wp:cNvGraphicFramePr/>
                <a:graphic xmlns:a="http://schemas.openxmlformats.org/drawingml/2006/main">
                  <a:graphicData uri="http://schemas.microsoft.com/office/word/2010/wordprocessingShape">
                    <wps:wsp>
                      <wps:cNvSpPr txBox="1"/>
                      <wps:spPr>
                        <a:xfrm>
                          <a:off x="0" y="0"/>
                          <a:ext cx="962025" cy="202565"/>
                        </a:xfrm>
                        <a:prstGeom prst="rect">
                          <a:avLst/>
                        </a:prstGeom>
                        <a:solidFill>
                          <a:sysClr val="window" lastClr="FFFFFF"/>
                        </a:solidFill>
                        <a:ln w="6350">
                          <a:solidFill>
                            <a:prstClr val="black"/>
                          </a:solidFill>
                        </a:ln>
                      </wps:spPr>
                      <wps:txbx>
                        <w:txbxContent>
                          <w:p w14:paraId="0B587B93" w14:textId="77777777" w:rsidR="00D82C73" w:rsidRPr="00E83F56" w:rsidRDefault="00D82C73" w:rsidP="00D82C73">
                            <w:pPr>
                              <w:rPr>
                                <w:rFonts w:ascii="Times New Roman" w:hAnsi="Times New Roman"/>
                                <w:sz w:val="18"/>
                                <w:szCs w:val="18"/>
                              </w:rPr>
                            </w:pPr>
                            <w:r w:rsidRPr="00E83F56">
                              <w:rPr>
                                <w:rFonts w:ascii="Times New Roman" w:hAnsi="Times New Roman"/>
                                <w:sz w:val="18"/>
                                <w:szCs w:val="18"/>
                              </w:rPr>
                              <w:t>Inondation Yako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CBF79" id="_x0000_s1206" type="#_x0000_t202" style="position:absolute;left:0;text-align:left;margin-left:199.15pt;margin-top:-7138.9pt;width:75.75pt;height:15.9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" fillcolor="window" strokeweight=".5pt">
                <v:textbox>
                  <w:txbxContent>
                    <w:p w14:paraId="0B587B93" w14:textId="77777777" w:rsidR="00D82C73" w:rsidRPr="00E83F56" w:rsidRDefault="00D82C73" w:rsidP="00D82C73">
                      <w:pPr>
                        <w:rPr>
                          <w:rFonts w:ascii="Times New Roman" w:hAnsi="Times New Roman"/>
                          <w:sz w:val="18"/>
                          <w:szCs w:val="18"/>
                        </w:rPr>
                      </w:pPr>
                      <w:r w:rsidRPr="00E83F56">
                        <w:rPr>
                          <w:rFonts w:ascii="Times New Roman" w:hAnsi="Times New Roman"/>
                          <w:sz w:val="18"/>
                          <w:szCs w:val="18"/>
                        </w:rPr>
                        <w:t>Inondation Yako</w:t>
                      </w:r>
                    </w:p>
                  </w:txbxContent>
                </v:textbox>
              </v:shape>
            </w:pict>
          </mc:Fallback>
        </mc:AlternateContent>
      </w:r>
      <w:r w:rsidRPr="007C5A6E">
        <w:rPr>
          <w:rFonts w:ascii="Times New Roman" w:eastAsia="Calibri" w:hAnsi="Times New Roman"/>
          <w:noProof/>
          <w:kern w:val="2"/>
          <w:lang w:eastAsia="en-US"/>
          <w14:ligatures w14:val="standardContextual"/>
        </w:rPr>
        <mc:AlternateContent>
          <mc:Choice Requires="wps">
            <w:drawing>
              <wp:anchor distT="0" distB="0" distL="114300" distR="114300" simplePos="0" relativeHeight="251695616" behindDoc="0" locked="0" layoutInCell="1" allowOverlap="1" wp14:anchorId="4E3D2E74" wp14:editId="1C2BF31B">
                <wp:simplePos x="0" y="0"/>
                <wp:positionH relativeFrom="column">
                  <wp:posOffset>1200785</wp:posOffset>
                </wp:positionH>
                <wp:positionV relativeFrom="paragraph">
                  <wp:posOffset>-184462420</wp:posOffset>
                </wp:positionV>
                <wp:extent cx="1139825" cy="243840"/>
                <wp:effectExtent l="0" t="0" r="3175" b="3810"/>
                <wp:wrapNone/>
                <wp:docPr id="1318381447" name="Zone de texte 3"/>
                <wp:cNvGraphicFramePr/>
                <a:graphic xmlns:a="http://schemas.openxmlformats.org/drawingml/2006/main">
                  <a:graphicData uri="http://schemas.microsoft.com/office/word/2010/wordprocessingShape">
                    <wps:wsp>
                      <wps:cNvSpPr txBox="1"/>
                      <wps:spPr>
                        <a:xfrm>
                          <a:off x="0" y="0"/>
                          <a:ext cx="1139825" cy="243840"/>
                        </a:xfrm>
                        <a:prstGeom prst="rect">
                          <a:avLst/>
                        </a:prstGeom>
                        <a:solidFill>
                          <a:sysClr val="window" lastClr="FFFFFF"/>
                        </a:solidFill>
                        <a:ln w="6350">
                          <a:noFill/>
                        </a:ln>
                      </wps:spPr>
                      <wps:txbx>
                        <w:txbxContent>
                          <w:p w14:paraId="21059383" w14:textId="77777777" w:rsidR="00D82C73" w:rsidRPr="00DA2845" w:rsidRDefault="00D82C73" w:rsidP="00D82C73">
                            <w:pPr>
                              <w:rPr>
                                <w:rFonts w:ascii="Times New Roman" w:hAnsi="Times New Roman"/>
                                <w:sz w:val="18"/>
                                <w:szCs w:val="18"/>
                              </w:rPr>
                            </w:pPr>
                            <w:r w:rsidRPr="00DA2845">
                              <w:rPr>
                                <w:rFonts w:ascii="Times New Roman" w:hAnsi="Times New Roman"/>
                                <w:sz w:val="18"/>
                                <w:szCs w:val="18"/>
                              </w:rPr>
                              <w:t>Inondation</w:t>
                            </w:r>
                            <w:r>
                              <w:rPr>
                                <w:rFonts w:ascii="Times New Roman" w:hAnsi="Times New Roman"/>
                                <w:sz w:val="18"/>
                                <w:szCs w:val="18"/>
                              </w:rPr>
                              <w:t xml:space="preserve"> de</w:t>
                            </w:r>
                            <w:r w:rsidRPr="00DA2845">
                              <w:rPr>
                                <w:rFonts w:ascii="Times New Roman" w:hAnsi="Times New Roman"/>
                                <w:sz w:val="18"/>
                                <w:szCs w:val="18"/>
                              </w:rPr>
                              <w:t xml:space="preserve"> Yako</w:t>
                            </w:r>
                            <w:r>
                              <w:rPr>
                                <w:rFonts w:ascii="Times New Roman" w:hAnsi="Times New Roman"/>
                                <w:sz w:val="18"/>
                                <w:szCs w:val="18"/>
                              </w:rPr>
                              <w:t xml:space="preserve"> 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D2E74" id="_x0000_s1207" type="#_x0000_t202" style="position:absolute;left:0;text-align:left;margin-left:94.55pt;margin-top:-14524.6pt;width:89.75pt;height:19.2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" fillcolor="window" stroked="f" strokeweight=".5pt">
                <v:textbox>
                  <w:txbxContent>
                    <w:p w14:paraId="21059383" w14:textId="77777777" w:rsidR="00D82C73" w:rsidRPr="00DA2845" w:rsidRDefault="00D82C73" w:rsidP="00D82C73">
                      <w:pPr>
                        <w:rPr>
                          <w:rFonts w:ascii="Times New Roman" w:hAnsi="Times New Roman"/>
                          <w:sz w:val="18"/>
                          <w:szCs w:val="18"/>
                        </w:rPr>
                      </w:pPr>
                      <w:r w:rsidRPr="00DA2845">
                        <w:rPr>
                          <w:rFonts w:ascii="Times New Roman" w:hAnsi="Times New Roman"/>
                          <w:sz w:val="18"/>
                          <w:szCs w:val="18"/>
                        </w:rPr>
                        <w:t>Inondation</w:t>
                      </w:r>
                      <w:r>
                        <w:rPr>
                          <w:rFonts w:ascii="Times New Roman" w:hAnsi="Times New Roman"/>
                          <w:sz w:val="18"/>
                          <w:szCs w:val="18"/>
                        </w:rPr>
                        <w:t xml:space="preserve"> de</w:t>
                      </w:r>
                      <w:r w:rsidRPr="00DA2845">
                        <w:rPr>
                          <w:rFonts w:ascii="Times New Roman" w:hAnsi="Times New Roman"/>
                          <w:sz w:val="18"/>
                          <w:szCs w:val="18"/>
                        </w:rPr>
                        <w:t xml:space="preserve"> Yako</w:t>
                      </w:r>
                      <w:r>
                        <w:rPr>
                          <w:rFonts w:ascii="Times New Roman" w:hAnsi="Times New Roman"/>
                          <w:sz w:val="18"/>
                          <w:szCs w:val="18"/>
                        </w:rPr>
                        <w:t xml:space="preserve"> de </w:t>
                      </w:r>
                    </w:p>
                  </w:txbxContent>
                </v:textbox>
              </v:shape>
            </w:pict>
          </mc:Fallback>
        </mc:AlternateContent>
      </w:r>
      <w:r w:rsidRPr="007C5A6E">
        <w:rPr>
          <w:rFonts w:ascii="Times New Roman" w:eastAsia="Calibri" w:hAnsi="Times New Roman"/>
          <w:kern w:val="2"/>
          <w:sz w:val="24"/>
          <w:szCs w:val="24"/>
          <w:lang w:eastAsia="en-US"/>
          <w14:ligatures w14:val="standardContextual"/>
        </w:rPr>
        <w:t xml:space="preserve">De manière générale, les inondations au Burkina surviennent à la suite de fortes pluies, débordement des cours d’eau et retenues d’eau, les crues soudaines (augmentation brusque du niveau d’un cours d’eau due à des pluies engendrées en amont). </w:t>
      </w:r>
    </w:p>
    <w:p w14:paraId="3C55FB57" w14:textId="77777777" w:rsidR="00905928" w:rsidRPr="007C5A6E" w:rsidRDefault="00D82C73" w:rsidP="00B15B8A">
      <w:pPr>
        <w:spacing w:after="0" w:line="240" w:lineRule="auto"/>
        <w:jc w:val="both"/>
        <w:rPr>
          <w:rFonts w:ascii="Times New Roman" w:eastAsia="Calibri" w:hAnsi="Times New Roman"/>
          <w:color w:val="000000"/>
          <w:kern w:val="2"/>
          <w:sz w:val="24"/>
          <w:szCs w:val="24"/>
          <w:shd w:val="clear" w:color="auto" w:fill="FFFFFF"/>
          <w:lang w:eastAsia="en-US"/>
          <w14:ligatures w14:val="standardContextual"/>
        </w:rPr>
      </w:pPr>
      <w:r w:rsidRPr="007C5A6E">
        <w:rPr>
          <w:rFonts w:ascii="Times New Roman" w:eastAsia="Calibri" w:hAnsi="Times New Roman"/>
          <w:color w:val="000000"/>
          <w:kern w:val="2"/>
          <w:sz w:val="24"/>
          <w:szCs w:val="24"/>
          <w:shd w:val="clear" w:color="auto" w:fill="FFFFFF"/>
          <w:lang w:eastAsia="en-US"/>
          <w14:ligatures w14:val="standardContextual"/>
        </w:rPr>
        <w:t xml:space="preserve">La fréquence des pluies de 50 mm, des pluies intenses et des pluies extrêmes est en hausse depuis la fin des années 1980 et les décennies 1990 et 2000. </w:t>
      </w:r>
    </w:p>
    <w:p w14:paraId="6BEB5B5B" w14:textId="77777777" w:rsidR="00905928" w:rsidRPr="007C5A6E" w:rsidRDefault="00D82C73" w:rsidP="00B15B8A">
      <w:pPr>
        <w:spacing w:after="0" w:line="240" w:lineRule="auto"/>
        <w:jc w:val="both"/>
        <w:rPr>
          <w:rFonts w:ascii="Times New Roman" w:eastAsia="Calibri" w:hAnsi="Times New Roman"/>
          <w:color w:val="000000"/>
          <w:kern w:val="2"/>
          <w:sz w:val="20"/>
          <w:szCs w:val="20"/>
          <w:shd w:val="clear" w:color="auto" w:fill="FFFFFF"/>
          <w:lang w:eastAsia="en-US"/>
          <w14:ligatures w14:val="standardContextual"/>
        </w:rPr>
      </w:pPr>
      <w:r w:rsidRPr="007C5A6E">
        <w:rPr>
          <w:rFonts w:ascii="Times New Roman" w:eastAsia="Calibri" w:hAnsi="Times New Roman"/>
          <w:color w:val="000000"/>
          <w:kern w:val="2"/>
          <w:sz w:val="24"/>
          <w:szCs w:val="24"/>
          <w:shd w:val="clear" w:color="auto" w:fill="FFFFFF"/>
          <w:lang w:eastAsia="en-US"/>
          <w14:ligatures w14:val="standardContextual"/>
        </w:rPr>
        <w:t xml:space="preserve">Le retour des pluies est plutôt lié à une fréquence élevée des évènements de forte intensité pluviométrique qu’à une augmentation des jours pluvieux (Kaboré et </w:t>
      </w:r>
      <w:r w:rsidRPr="007C5A6E">
        <w:rPr>
          <w:rFonts w:ascii="Times New Roman" w:eastAsia="Calibri" w:hAnsi="Times New Roman"/>
          <w:i/>
          <w:iCs/>
          <w:color w:val="000000"/>
          <w:kern w:val="2"/>
          <w:sz w:val="24"/>
          <w:szCs w:val="24"/>
          <w:shd w:val="clear" w:color="auto" w:fill="FFFFFF"/>
          <w:lang w:eastAsia="en-US"/>
          <w14:ligatures w14:val="standardContextual"/>
        </w:rPr>
        <w:t>al</w:t>
      </w:r>
      <w:r w:rsidRPr="007C5A6E">
        <w:rPr>
          <w:rFonts w:ascii="Times New Roman" w:eastAsia="Calibri" w:hAnsi="Times New Roman"/>
          <w:color w:val="000000"/>
          <w:kern w:val="2"/>
          <w:sz w:val="24"/>
          <w:szCs w:val="24"/>
          <w:shd w:val="clear" w:color="auto" w:fill="FFFFFF"/>
          <w:lang w:eastAsia="en-US"/>
          <w14:ligatures w14:val="standardContextual"/>
        </w:rPr>
        <w:t>., 2018)</w:t>
      </w:r>
      <w:r w:rsidRPr="007C5A6E">
        <w:rPr>
          <w:rFonts w:ascii="Times New Roman" w:eastAsia="Calibri" w:hAnsi="Times New Roman"/>
          <w:color w:val="000000"/>
          <w:kern w:val="2"/>
          <w:sz w:val="20"/>
          <w:szCs w:val="20"/>
          <w:shd w:val="clear" w:color="auto" w:fill="FFFFFF"/>
          <w:lang w:eastAsia="en-US"/>
          <w14:ligatures w14:val="standardContextual"/>
        </w:rPr>
        <w:t xml:space="preserve">. </w:t>
      </w:r>
    </w:p>
    <w:p w14:paraId="4A9949F7" w14:textId="615548E4" w:rsidR="00905928" w:rsidRPr="007C5A6E" w:rsidRDefault="00D82C73" w:rsidP="00B15B8A">
      <w:pPr>
        <w:spacing w:after="0" w:line="240" w:lineRule="auto"/>
        <w:jc w:val="both"/>
        <w:rPr>
          <w:rFonts w:ascii="Times New Roman" w:eastAsia="Calibri" w:hAnsi="Times New Roman"/>
          <w:bCs/>
          <w:kern w:val="2"/>
          <w:sz w:val="24"/>
          <w:szCs w:val="24"/>
          <w:lang w:eastAsia="en-US"/>
          <w14:ligatures w14:val="standardContextual"/>
        </w:rPr>
      </w:pPr>
      <w:r w:rsidRPr="007C5A6E">
        <w:rPr>
          <w:rFonts w:ascii="Times New Roman" w:hAnsi="Times New Roman"/>
          <w:sz w:val="24"/>
          <w:szCs w:val="24"/>
          <w:lang w:eastAsia="en-US"/>
        </w:rPr>
        <w:t xml:space="preserve">Le </w:t>
      </w:r>
      <w:r w:rsidRPr="007C5A6E">
        <w:rPr>
          <w:rFonts w:ascii="Times New Roman" w:eastAsia="Calibri" w:hAnsi="Times New Roman"/>
          <w:bCs/>
          <w:kern w:val="2"/>
          <w:sz w:val="24"/>
          <w:szCs w:val="24"/>
          <w:lang w:eastAsia="en-US"/>
          <w14:ligatures w14:val="standardContextual"/>
        </w:rPr>
        <w:t>tableau</w:t>
      </w:r>
      <w:r w:rsidR="00DC12DA" w:rsidRPr="007C5A6E">
        <w:rPr>
          <w:rFonts w:ascii="Times New Roman" w:eastAsia="Calibri" w:hAnsi="Times New Roman"/>
          <w:bCs/>
          <w:kern w:val="2"/>
          <w:sz w:val="24"/>
          <w:szCs w:val="24"/>
          <w:lang w:eastAsia="en-US"/>
          <w14:ligatures w14:val="standardContextual"/>
        </w:rPr>
        <w:t xml:space="preserve"> </w:t>
      </w:r>
      <w:r w:rsidR="00905928" w:rsidRPr="007C5A6E">
        <w:rPr>
          <w:rFonts w:ascii="Times New Roman" w:eastAsia="Calibri" w:hAnsi="Times New Roman"/>
          <w:bCs/>
          <w:kern w:val="2"/>
          <w:sz w:val="24"/>
          <w:szCs w:val="24"/>
          <w:lang w:eastAsia="en-US"/>
          <w14:ligatures w14:val="standardContextual"/>
        </w:rPr>
        <w:t>3</w:t>
      </w:r>
      <w:r w:rsidR="00E853CC" w:rsidRPr="007C5A6E">
        <w:rPr>
          <w:rFonts w:ascii="Times New Roman" w:eastAsia="Calibri" w:hAnsi="Times New Roman"/>
          <w:bCs/>
          <w:kern w:val="2"/>
          <w:sz w:val="24"/>
          <w:szCs w:val="24"/>
          <w:lang w:eastAsia="en-US"/>
          <w14:ligatures w14:val="standardContextual"/>
        </w:rPr>
        <w:t>2</w:t>
      </w:r>
      <w:r w:rsidRPr="007C5A6E">
        <w:rPr>
          <w:rFonts w:ascii="Times New Roman" w:eastAsia="Calibri" w:hAnsi="Times New Roman"/>
          <w:bCs/>
          <w:kern w:val="2"/>
          <w:sz w:val="24"/>
          <w:szCs w:val="24"/>
          <w:lang w:eastAsia="en-US"/>
          <w14:ligatures w14:val="standardContextual"/>
        </w:rPr>
        <w:t xml:space="preserve"> présente l’intensité des pluies enregistrée dans les principales stations météorologiques</w:t>
      </w:r>
      <w:r w:rsidR="00905928" w:rsidRPr="007C5A6E">
        <w:rPr>
          <w:rFonts w:ascii="Times New Roman" w:eastAsia="Calibri" w:hAnsi="Times New Roman"/>
          <w:bCs/>
          <w:kern w:val="2"/>
          <w:sz w:val="24"/>
          <w:szCs w:val="24"/>
          <w:lang w:eastAsia="en-US"/>
          <w14:ligatures w14:val="standardContextual"/>
        </w:rPr>
        <w:t xml:space="preserve"> entre 2016 et 2023</w:t>
      </w:r>
      <w:r w:rsidRPr="007C5A6E">
        <w:rPr>
          <w:rFonts w:ascii="Times New Roman" w:eastAsia="Calibri" w:hAnsi="Times New Roman"/>
          <w:bCs/>
          <w:kern w:val="2"/>
          <w:sz w:val="24"/>
          <w:szCs w:val="24"/>
          <w:lang w:eastAsia="en-US"/>
          <w14:ligatures w14:val="standardContextual"/>
        </w:rPr>
        <w:t xml:space="preserve">. Les intensités de pluie les plus élevées ont été recueillies dans les stations de Ouagadougou, Bobo-Dioulasso, Gaoua, Dédougou puis dans une moindre mesure, Fada N’Gourma et Dori dont les données de 2022 et 2023 ne sont pas disponibles. </w:t>
      </w:r>
    </w:p>
    <w:p w14:paraId="562EA17D" w14:textId="3F1CB003" w:rsidR="00D82C73" w:rsidRPr="007C5A6E" w:rsidRDefault="00D82C73" w:rsidP="00B15B8A">
      <w:pPr>
        <w:spacing w:after="0" w:line="240" w:lineRule="auto"/>
        <w:jc w:val="both"/>
        <w:rPr>
          <w:rFonts w:ascii="Times New Roman" w:eastAsia="Calibri" w:hAnsi="Times New Roman"/>
          <w:bCs/>
          <w:kern w:val="2"/>
          <w:sz w:val="24"/>
          <w:szCs w:val="24"/>
          <w:lang w:eastAsia="en-US"/>
          <w14:ligatures w14:val="standardContextual"/>
        </w:rPr>
      </w:pPr>
      <w:r w:rsidRPr="007C5A6E">
        <w:rPr>
          <w:rFonts w:ascii="Times New Roman" w:eastAsia="Calibri" w:hAnsi="Times New Roman"/>
          <w:bCs/>
          <w:kern w:val="2"/>
          <w:sz w:val="24"/>
          <w:szCs w:val="24"/>
          <w:lang w:eastAsia="en-US"/>
          <w14:ligatures w14:val="standardContextual"/>
        </w:rPr>
        <w:t>On pourrait lier ce cas à l’insécurité qui sévit dans cette région et empêcherait les techniciens de faire régulièrement les relevées météorologiques.</w:t>
      </w:r>
    </w:p>
    <w:p w14:paraId="55F61E63" w14:textId="77777777" w:rsidR="00D82C73" w:rsidRPr="007C5A6E" w:rsidRDefault="00D82C73" w:rsidP="00B15B8A">
      <w:pPr>
        <w:spacing w:after="0" w:line="240" w:lineRule="auto"/>
        <w:jc w:val="both"/>
        <w:rPr>
          <w:rFonts w:ascii="Times New Roman" w:eastAsia="Calibri" w:hAnsi="Times New Roman"/>
          <w:bCs/>
          <w:kern w:val="2"/>
          <w:sz w:val="24"/>
          <w:szCs w:val="24"/>
          <w:lang w:eastAsia="en-US"/>
          <w14:ligatures w14:val="standardContextual"/>
        </w:rPr>
      </w:pPr>
    </w:p>
    <w:p w14:paraId="5DF89DF8" w14:textId="6A068387" w:rsidR="00D82C73" w:rsidRPr="007C5A6E" w:rsidRDefault="00D82C73" w:rsidP="00B15B8A">
      <w:pPr>
        <w:spacing w:after="0" w:line="240" w:lineRule="auto"/>
        <w:jc w:val="both"/>
        <w:rPr>
          <w:rFonts w:ascii="Times New Roman" w:hAnsi="Times New Roman"/>
          <w:color w:val="ED7D31"/>
          <w:spacing w:val="10"/>
          <w:sz w:val="24"/>
          <w:szCs w:val="24"/>
          <w:lang w:eastAsia="en-US"/>
        </w:rPr>
      </w:pPr>
      <w:bookmarkStart w:id="754" w:name="_Toc181983401"/>
      <w:bookmarkStart w:id="755" w:name="_Toc183240994"/>
      <w:bookmarkStart w:id="756" w:name="_Toc183292236"/>
      <w:bookmarkStart w:id="757" w:name="_Toc183340516"/>
      <w:r w:rsidRPr="007C5A6E">
        <w:rPr>
          <w:rFonts w:ascii="Times New Roman" w:hAnsi="Times New Roman"/>
          <w:spacing w:val="10"/>
          <w:sz w:val="24"/>
          <w:szCs w:val="24"/>
          <w:lang w:eastAsia="en-US"/>
        </w:rPr>
        <w:t xml:space="preserve">Tableau </w:t>
      </w:r>
      <w:r w:rsidRPr="007C5A6E">
        <w:rPr>
          <w:rFonts w:ascii="Times New Roman" w:hAnsi="Times New Roman"/>
          <w:spacing w:val="10"/>
          <w:sz w:val="24"/>
          <w:szCs w:val="24"/>
          <w:lang w:eastAsia="en-US"/>
        </w:rPr>
        <w:fldChar w:fldCharType="begin"/>
      </w:r>
      <w:r w:rsidRPr="007C5A6E">
        <w:rPr>
          <w:rFonts w:ascii="Times New Roman" w:hAnsi="Times New Roman"/>
          <w:spacing w:val="10"/>
          <w:sz w:val="24"/>
          <w:szCs w:val="24"/>
          <w:lang w:eastAsia="en-US"/>
        </w:rPr>
        <w:instrText xml:space="preserve"> SEQ Tableau \* ARABIC </w:instrText>
      </w:r>
      <w:r w:rsidRPr="007C5A6E">
        <w:rPr>
          <w:rFonts w:ascii="Times New Roman" w:hAnsi="Times New Roman"/>
          <w:spacing w:val="10"/>
          <w:sz w:val="24"/>
          <w:szCs w:val="24"/>
          <w:lang w:eastAsia="en-US"/>
        </w:rPr>
        <w:fldChar w:fldCharType="separate"/>
      </w:r>
      <w:r w:rsidR="003162F8" w:rsidRPr="007C5A6E">
        <w:rPr>
          <w:rFonts w:ascii="Times New Roman" w:hAnsi="Times New Roman"/>
          <w:noProof/>
          <w:spacing w:val="10"/>
          <w:sz w:val="24"/>
          <w:szCs w:val="24"/>
          <w:lang w:eastAsia="en-US"/>
        </w:rPr>
        <w:t>32</w:t>
      </w:r>
      <w:r w:rsidRPr="007C5A6E">
        <w:rPr>
          <w:rFonts w:ascii="Times New Roman" w:hAnsi="Times New Roman"/>
          <w:spacing w:val="10"/>
          <w:sz w:val="24"/>
          <w:szCs w:val="24"/>
          <w:lang w:eastAsia="en-US"/>
        </w:rPr>
        <w:fldChar w:fldCharType="end"/>
      </w:r>
      <w:r w:rsidRPr="007C5A6E">
        <w:rPr>
          <w:rFonts w:ascii="Times New Roman" w:hAnsi="Times New Roman"/>
          <w:spacing w:val="10"/>
          <w:sz w:val="24"/>
          <w:szCs w:val="24"/>
          <w:lang w:eastAsia="en-US"/>
        </w:rPr>
        <w:t xml:space="preserve"> : Intensité simple des pluies dans les principales stations de 2016 à 2023 (mm/h)</w:t>
      </w:r>
      <w:bookmarkEnd w:id="754"/>
      <w:bookmarkEnd w:id="755"/>
      <w:bookmarkEnd w:id="756"/>
      <w:bookmarkEnd w:id="757"/>
    </w:p>
    <w:tbl>
      <w:tblPr>
        <w:tblStyle w:val="Tableausimple21"/>
        <w:tblW w:w="0" w:type="auto"/>
        <w:tblBorders>
          <w:top w:val="thinThickSmallGap" w:sz="24" w:space="0" w:color="000000"/>
          <w:bottom w:val="thinThickSmallGap" w:sz="24" w:space="0" w:color="000000"/>
          <w:insideH w:val="single" w:sz="4" w:space="0" w:color="7F7F7F"/>
        </w:tblBorders>
        <w:tblLayout w:type="fixed"/>
        <w:tblLook w:val="04A0" w:firstRow="1" w:lastRow="0" w:firstColumn="1" w:lastColumn="0" w:noHBand="0" w:noVBand="1"/>
      </w:tblPr>
      <w:tblGrid>
        <w:gridCol w:w="1134"/>
        <w:gridCol w:w="944"/>
        <w:gridCol w:w="1046"/>
        <w:gridCol w:w="1047"/>
        <w:gridCol w:w="1047"/>
        <w:gridCol w:w="1047"/>
        <w:gridCol w:w="1047"/>
        <w:gridCol w:w="1047"/>
        <w:gridCol w:w="1047"/>
      </w:tblGrid>
      <w:tr w:rsidR="00D82C73" w:rsidRPr="007C5A6E" w14:paraId="42F82C00" w14:textId="77777777" w:rsidTr="005B30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bottom w:val="thinThickSmallGap" w:sz="24" w:space="0" w:color="000000"/>
            </w:tcBorders>
          </w:tcPr>
          <w:p w14:paraId="25D1236A" w14:textId="77777777" w:rsidR="00D82C73" w:rsidRPr="007C5A6E" w:rsidRDefault="00D82C73" w:rsidP="005B301B">
            <w:pPr>
              <w:autoSpaceDE w:val="0"/>
              <w:autoSpaceDN w:val="0"/>
              <w:adjustRightInd w:val="0"/>
              <w:spacing w:after="0" w:line="240" w:lineRule="auto"/>
              <w:contextualSpacing/>
              <w:rPr>
                <w:rFonts w:ascii="Times New Roman" w:eastAsia="Calibri" w:hAnsi="Times New Roman"/>
                <w:b w:val="0"/>
                <w:bCs w:val="0"/>
                <w:sz w:val="20"/>
                <w:szCs w:val="20"/>
                <w:lang w:eastAsia="en-US"/>
              </w:rPr>
            </w:pPr>
            <w:r w:rsidRPr="007C5A6E">
              <w:rPr>
                <w:rFonts w:ascii="Times New Roman" w:eastAsia="Calibri" w:hAnsi="Times New Roman"/>
                <w:b w:val="0"/>
                <w:bCs w:val="0"/>
                <w:sz w:val="20"/>
                <w:szCs w:val="20"/>
                <w:lang w:eastAsia="en-US"/>
              </w:rPr>
              <w:t>Station</w:t>
            </w:r>
          </w:p>
        </w:tc>
        <w:tc>
          <w:tcPr>
            <w:tcW w:w="944" w:type="dxa"/>
            <w:tcBorders>
              <w:bottom w:val="thinThickSmallGap" w:sz="24" w:space="0" w:color="000000"/>
            </w:tcBorders>
          </w:tcPr>
          <w:p w14:paraId="634857B2" w14:textId="77777777" w:rsidR="00D82C73" w:rsidRPr="007C5A6E" w:rsidRDefault="00D82C73" w:rsidP="005B301B">
            <w:pPr>
              <w:autoSpaceDE w:val="0"/>
              <w:autoSpaceDN w:val="0"/>
              <w:adjustRightInd w:val="0"/>
              <w:spacing w:after="0" w:line="240" w:lineRule="auto"/>
              <w:contextualSpacing/>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1"/>
                <w:szCs w:val="21"/>
                <w:lang w:eastAsia="en-US"/>
              </w:rPr>
            </w:pPr>
            <w:r w:rsidRPr="007C5A6E">
              <w:rPr>
                <w:rFonts w:ascii="Times New Roman" w:eastAsia="Calibri" w:hAnsi="Times New Roman"/>
                <w:b w:val="0"/>
                <w:bCs w:val="0"/>
                <w:sz w:val="21"/>
                <w:szCs w:val="21"/>
                <w:lang w:eastAsia="en-US"/>
              </w:rPr>
              <w:t>2016</w:t>
            </w:r>
          </w:p>
        </w:tc>
        <w:tc>
          <w:tcPr>
            <w:tcW w:w="1046" w:type="dxa"/>
            <w:tcBorders>
              <w:bottom w:val="thinThickSmallGap" w:sz="24" w:space="0" w:color="000000"/>
            </w:tcBorders>
          </w:tcPr>
          <w:p w14:paraId="69593EB9" w14:textId="77777777" w:rsidR="00D82C73" w:rsidRPr="007C5A6E" w:rsidRDefault="00D82C73" w:rsidP="005B301B">
            <w:pPr>
              <w:autoSpaceDE w:val="0"/>
              <w:autoSpaceDN w:val="0"/>
              <w:adjustRightInd w:val="0"/>
              <w:spacing w:after="0" w:line="240" w:lineRule="auto"/>
              <w:contextualSpacing/>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1"/>
                <w:szCs w:val="21"/>
                <w:lang w:eastAsia="en-US"/>
              </w:rPr>
            </w:pPr>
            <w:r w:rsidRPr="007C5A6E">
              <w:rPr>
                <w:rFonts w:ascii="Times New Roman" w:eastAsia="Calibri" w:hAnsi="Times New Roman"/>
                <w:b w:val="0"/>
                <w:bCs w:val="0"/>
                <w:sz w:val="21"/>
                <w:szCs w:val="21"/>
                <w:lang w:eastAsia="en-US"/>
              </w:rPr>
              <w:t>2017</w:t>
            </w:r>
          </w:p>
        </w:tc>
        <w:tc>
          <w:tcPr>
            <w:tcW w:w="1047" w:type="dxa"/>
            <w:tcBorders>
              <w:bottom w:val="thinThickSmallGap" w:sz="24" w:space="0" w:color="000000"/>
            </w:tcBorders>
          </w:tcPr>
          <w:p w14:paraId="1FC8311A" w14:textId="77777777" w:rsidR="00D82C73" w:rsidRPr="007C5A6E" w:rsidRDefault="00D82C73" w:rsidP="005B301B">
            <w:pPr>
              <w:autoSpaceDE w:val="0"/>
              <w:autoSpaceDN w:val="0"/>
              <w:adjustRightInd w:val="0"/>
              <w:spacing w:after="0" w:line="240" w:lineRule="auto"/>
              <w:contextualSpacing/>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1"/>
                <w:szCs w:val="21"/>
                <w:lang w:eastAsia="en-US"/>
              </w:rPr>
            </w:pPr>
            <w:r w:rsidRPr="007C5A6E">
              <w:rPr>
                <w:rFonts w:ascii="Times New Roman" w:eastAsia="Calibri" w:hAnsi="Times New Roman"/>
                <w:b w:val="0"/>
                <w:bCs w:val="0"/>
                <w:sz w:val="21"/>
                <w:szCs w:val="21"/>
                <w:lang w:eastAsia="en-US"/>
              </w:rPr>
              <w:t>2018</w:t>
            </w:r>
          </w:p>
        </w:tc>
        <w:tc>
          <w:tcPr>
            <w:tcW w:w="1047" w:type="dxa"/>
            <w:tcBorders>
              <w:bottom w:val="thinThickSmallGap" w:sz="24" w:space="0" w:color="000000"/>
            </w:tcBorders>
          </w:tcPr>
          <w:p w14:paraId="5E106984" w14:textId="77777777" w:rsidR="00D82C73" w:rsidRPr="007C5A6E" w:rsidRDefault="00D82C73" w:rsidP="005B301B">
            <w:pPr>
              <w:autoSpaceDE w:val="0"/>
              <w:autoSpaceDN w:val="0"/>
              <w:adjustRightInd w:val="0"/>
              <w:spacing w:after="0" w:line="240" w:lineRule="auto"/>
              <w:contextualSpacing/>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1"/>
                <w:szCs w:val="21"/>
                <w:lang w:eastAsia="en-US"/>
              </w:rPr>
            </w:pPr>
            <w:r w:rsidRPr="007C5A6E">
              <w:rPr>
                <w:rFonts w:ascii="Times New Roman" w:eastAsia="Calibri" w:hAnsi="Times New Roman"/>
                <w:b w:val="0"/>
                <w:bCs w:val="0"/>
                <w:sz w:val="21"/>
                <w:szCs w:val="21"/>
                <w:lang w:eastAsia="en-US"/>
              </w:rPr>
              <w:t>2019</w:t>
            </w:r>
          </w:p>
        </w:tc>
        <w:tc>
          <w:tcPr>
            <w:tcW w:w="1047" w:type="dxa"/>
            <w:tcBorders>
              <w:bottom w:val="thinThickSmallGap" w:sz="24" w:space="0" w:color="000000"/>
            </w:tcBorders>
          </w:tcPr>
          <w:p w14:paraId="36ACDA33" w14:textId="77777777" w:rsidR="00D82C73" w:rsidRPr="007C5A6E" w:rsidRDefault="00D82C73" w:rsidP="005B301B">
            <w:pPr>
              <w:autoSpaceDE w:val="0"/>
              <w:autoSpaceDN w:val="0"/>
              <w:adjustRightInd w:val="0"/>
              <w:spacing w:after="0" w:line="240" w:lineRule="auto"/>
              <w:contextualSpacing/>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1"/>
                <w:szCs w:val="21"/>
                <w:lang w:eastAsia="en-US"/>
              </w:rPr>
            </w:pPr>
            <w:r w:rsidRPr="007C5A6E">
              <w:rPr>
                <w:rFonts w:ascii="Times New Roman" w:eastAsia="Calibri" w:hAnsi="Times New Roman"/>
                <w:b w:val="0"/>
                <w:bCs w:val="0"/>
                <w:sz w:val="21"/>
                <w:szCs w:val="21"/>
                <w:lang w:eastAsia="en-US"/>
              </w:rPr>
              <w:t>2020</w:t>
            </w:r>
          </w:p>
        </w:tc>
        <w:tc>
          <w:tcPr>
            <w:tcW w:w="1047" w:type="dxa"/>
            <w:tcBorders>
              <w:bottom w:val="thinThickSmallGap" w:sz="24" w:space="0" w:color="000000"/>
            </w:tcBorders>
          </w:tcPr>
          <w:p w14:paraId="203BA9ED" w14:textId="77777777" w:rsidR="00D82C73" w:rsidRPr="007C5A6E" w:rsidRDefault="00D82C73" w:rsidP="005B301B">
            <w:pPr>
              <w:autoSpaceDE w:val="0"/>
              <w:autoSpaceDN w:val="0"/>
              <w:adjustRightInd w:val="0"/>
              <w:spacing w:after="0" w:line="240" w:lineRule="auto"/>
              <w:contextualSpacing/>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1"/>
                <w:szCs w:val="21"/>
                <w:lang w:eastAsia="en-US"/>
              </w:rPr>
            </w:pPr>
            <w:r w:rsidRPr="007C5A6E">
              <w:rPr>
                <w:rFonts w:ascii="Times New Roman" w:eastAsia="Calibri" w:hAnsi="Times New Roman"/>
                <w:b w:val="0"/>
                <w:bCs w:val="0"/>
                <w:sz w:val="21"/>
                <w:szCs w:val="21"/>
                <w:lang w:eastAsia="en-US"/>
              </w:rPr>
              <w:t>2021</w:t>
            </w:r>
          </w:p>
        </w:tc>
        <w:tc>
          <w:tcPr>
            <w:tcW w:w="1047" w:type="dxa"/>
            <w:tcBorders>
              <w:bottom w:val="thinThickSmallGap" w:sz="24" w:space="0" w:color="000000"/>
            </w:tcBorders>
          </w:tcPr>
          <w:p w14:paraId="2BF2A2F2" w14:textId="77777777" w:rsidR="00D82C73" w:rsidRPr="007C5A6E" w:rsidRDefault="00D82C73" w:rsidP="005B301B">
            <w:pPr>
              <w:autoSpaceDE w:val="0"/>
              <w:autoSpaceDN w:val="0"/>
              <w:adjustRightInd w:val="0"/>
              <w:spacing w:after="0" w:line="240" w:lineRule="auto"/>
              <w:contextualSpacing/>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1"/>
                <w:szCs w:val="21"/>
                <w:lang w:eastAsia="en-US"/>
              </w:rPr>
            </w:pPr>
            <w:r w:rsidRPr="007C5A6E">
              <w:rPr>
                <w:rFonts w:ascii="Times New Roman" w:eastAsia="Calibri" w:hAnsi="Times New Roman"/>
                <w:b w:val="0"/>
                <w:bCs w:val="0"/>
                <w:sz w:val="21"/>
                <w:szCs w:val="21"/>
                <w:lang w:eastAsia="en-US"/>
              </w:rPr>
              <w:t>2022</w:t>
            </w:r>
          </w:p>
        </w:tc>
        <w:tc>
          <w:tcPr>
            <w:tcW w:w="1047" w:type="dxa"/>
            <w:tcBorders>
              <w:bottom w:val="thinThickSmallGap" w:sz="24" w:space="0" w:color="000000"/>
            </w:tcBorders>
          </w:tcPr>
          <w:p w14:paraId="1661DA16" w14:textId="77777777" w:rsidR="00D82C73" w:rsidRPr="007C5A6E" w:rsidRDefault="00D82C73" w:rsidP="005B301B">
            <w:pPr>
              <w:autoSpaceDE w:val="0"/>
              <w:autoSpaceDN w:val="0"/>
              <w:adjustRightInd w:val="0"/>
              <w:spacing w:after="0" w:line="240" w:lineRule="auto"/>
              <w:contextualSpacing/>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1"/>
                <w:szCs w:val="21"/>
                <w:lang w:eastAsia="en-US"/>
              </w:rPr>
            </w:pPr>
            <w:r w:rsidRPr="007C5A6E">
              <w:rPr>
                <w:rFonts w:ascii="Times New Roman" w:eastAsia="Calibri" w:hAnsi="Times New Roman"/>
                <w:b w:val="0"/>
                <w:bCs w:val="0"/>
                <w:sz w:val="21"/>
                <w:szCs w:val="21"/>
                <w:lang w:eastAsia="en-US"/>
              </w:rPr>
              <w:t>2023</w:t>
            </w:r>
          </w:p>
        </w:tc>
      </w:tr>
      <w:tr w:rsidR="00D82C73" w:rsidRPr="007C5A6E" w14:paraId="5CD67616" w14:textId="77777777" w:rsidTr="005B30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top w:val="thinThickSmallGap" w:sz="24" w:space="0" w:color="000000"/>
            </w:tcBorders>
          </w:tcPr>
          <w:p w14:paraId="45BCC3B5" w14:textId="77777777" w:rsidR="00D82C73" w:rsidRPr="007C5A6E" w:rsidRDefault="00D82C73" w:rsidP="005B301B">
            <w:pPr>
              <w:autoSpaceDE w:val="0"/>
              <w:autoSpaceDN w:val="0"/>
              <w:adjustRightInd w:val="0"/>
              <w:spacing w:after="0" w:line="240" w:lineRule="auto"/>
              <w:contextualSpacing/>
              <w:rPr>
                <w:rFonts w:ascii="Times New Roman" w:eastAsia="Calibri" w:hAnsi="Times New Roman"/>
                <w:b w:val="0"/>
                <w:bCs w:val="0"/>
                <w:sz w:val="20"/>
                <w:szCs w:val="20"/>
                <w:lang w:eastAsia="en-US"/>
              </w:rPr>
            </w:pPr>
            <w:r w:rsidRPr="007C5A6E">
              <w:rPr>
                <w:rFonts w:ascii="Times New Roman" w:eastAsia="Calibri" w:hAnsi="Times New Roman"/>
                <w:b w:val="0"/>
                <w:bCs w:val="0"/>
                <w:sz w:val="20"/>
                <w:szCs w:val="20"/>
                <w:lang w:eastAsia="en-US"/>
              </w:rPr>
              <w:t>Ouagadougou</w:t>
            </w:r>
          </w:p>
        </w:tc>
        <w:tc>
          <w:tcPr>
            <w:tcW w:w="944" w:type="dxa"/>
            <w:tcBorders>
              <w:top w:val="thinThickSmallGap" w:sz="24" w:space="0" w:color="000000"/>
            </w:tcBorders>
          </w:tcPr>
          <w:p w14:paraId="75ACCA12"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17,3</w:t>
            </w:r>
          </w:p>
        </w:tc>
        <w:tc>
          <w:tcPr>
            <w:tcW w:w="1046" w:type="dxa"/>
            <w:tcBorders>
              <w:top w:val="thinThickSmallGap" w:sz="24" w:space="0" w:color="000000"/>
            </w:tcBorders>
          </w:tcPr>
          <w:p w14:paraId="00D11425"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18,1</w:t>
            </w:r>
          </w:p>
        </w:tc>
        <w:tc>
          <w:tcPr>
            <w:tcW w:w="1047" w:type="dxa"/>
            <w:tcBorders>
              <w:top w:val="thinThickSmallGap" w:sz="24" w:space="0" w:color="000000"/>
            </w:tcBorders>
          </w:tcPr>
          <w:p w14:paraId="6FFE8FCD"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14,2</w:t>
            </w:r>
          </w:p>
        </w:tc>
        <w:tc>
          <w:tcPr>
            <w:tcW w:w="1047" w:type="dxa"/>
            <w:tcBorders>
              <w:top w:val="thinThickSmallGap" w:sz="24" w:space="0" w:color="000000"/>
            </w:tcBorders>
          </w:tcPr>
          <w:p w14:paraId="13DFACCE"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14,1</w:t>
            </w:r>
          </w:p>
        </w:tc>
        <w:tc>
          <w:tcPr>
            <w:tcW w:w="1047" w:type="dxa"/>
            <w:tcBorders>
              <w:top w:val="thinThickSmallGap" w:sz="24" w:space="0" w:color="000000"/>
            </w:tcBorders>
          </w:tcPr>
          <w:p w14:paraId="06F5071F"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17,0</w:t>
            </w:r>
          </w:p>
        </w:tc>
        <w:tc>
          <w:tcPr>
            <w:tcW w:w="1047" w:type="dxa"/>
            <w:tcBorders>
              <w:top w:val="thinThickSmallGap" w:sz="24" w:space="0" w:color="000000"/>
            </w:tcBorders>
          </w:tcPr>
          <w:p w14:paraId="011EF127"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16,0</w:t>
            </w:r>
          </w:p>
        </w:tc>
        <w:tc>
          <w:tcPr>
            <w:tcW w:w="1047" w:type="dxa"/>
            <w:tcBorders>
              <w:top w:val="thinThickSmallGap" w:sz="24" w:space="0" w:color="000000"/>
            </w:tcBorders>
          </w:tcPr>
          <w:p w14:paraId="1B16242F"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14,60</w:t>
            </w:r>
          </w:p>
        </w:tc>
        <w:tc>
          <w:tcPr>
            <w:tcW w:w="1047" w:type="dxa"/>
            <w:tcBorders>
              <w:top w:val="thinThickSmallGap" w:sz="24" w:space="0" w:color="000000"/>
            </w:tcBorders>
          </w:tcPr>
          <w:p w14:paraId="3B76EFB3"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14,80</w:t>
            </w:r>
          </w:p>
        </w:tc>
      </w:tr>
      <w:tr w:rsidR="00D82C73" w:rsidRPr="007C5A6E" w14:paraId="000E7DD5" w14:textId="77777777" w:rsidTr="005B301B">
        <w:tc>
          <w:tcPr>
            <w:cnfStyle w:val="001000000000" w:firstRow="0" w:lastRow="0" w:firstColumn="1" w:lastColumn="0" w:oddVBand="0" w:evenVBand="0" w:oddHBand="0" w:evenHBand="0" w:firstRowFirstColumn="0" w:firstRowLastColumn="0" w:lastRowFirstColumn="0" w:lastRowLastColumn="0"/>
            <w:tcW w:w="1134" w:type="dxa"/>
          </w:tcPr>
          <w:p w14:paraId="2A7D1A3D" w14:textId="77777777" w:rsidR="00D82C73" w:rsidRPr="007C5A6E" w:rsidRDefault="00D82C73" w:rsidP="005B301B">
            <w:pPr>
              <w:autoSpaceDE w:val="0"/>
              <w:autoSpaceDN w:val="0"/>
              <w:adjustRightInd w:val="0"/>
              <w:spacing w:after="0" w:line="240" w:lineRule="auto"/>
              <w:contextualSpacing/>
              <w:rPr>
                <w:rFonts w:ascii="Times New Roman" w:eastAsia="Calibri" w:hAnsi="Times New Roman"/>
                <w:b w:val="0"/>
                <w:bCs w:val="0"/>
                <w:sz w:val="20"/>
                <w:szCs w:val="20"/>
                <w:lang w:eastAsia="en-US"/>
              </w:rPr>
            </w:pPr>
            <w:r w:rsidRPr="007C5A6E">
              <w:rPr>
                <w:rFonts w:ascii="Times New Roman" w:eastAsia="Calibri" w:hAnsi="Times New Roman"/>
                <w:b w:val="0"/>
                <w:bCs w:val="0"/>
                <w:sz w:val="20"/>
                <w:szCs w:val="20"/>
                <w:lang w:eastAsia="en-US"/>
              </w:rPr>
              <w:t>Dori</w:t>
            </w:r>
          </w:p>
        </w:tc>
        <w:tc>
          <w:tcPr>
            <w:tcW w:w="944" w:type="dxa"/>
          </w:tcPr>
          <w:p w14:paraId="1C644D63"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14,3</w:t>
            </w:r>
          </w:p>
        </w:tc>
        <w:tc>
          <w:tcPr>
            <w:tcW w:w="1046" w:type="dxa"/>
          </w:tcPr>
          <w:p w14:paraId="4EF97D6B"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14,6</w:t>
            </w:r>
          </w:p>
        </w:tc>
        <w:tc>
          <w:tcPr>
            <w:tcW w:w="1047" w:type="dxa"/>
          </w:tcPr>
          <w:p w14:paraId="544D6363"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12,8</w:t>
            </w:r>
          </w:p>
        </w:tc>
        <w:tc>
          <w:tcPr>
            <w:tcW w:w="1047" w:type="dxa"/>
          </w:tcPr>
          <w:p w14:paraId="37EAADEC"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13,50</w:t>
            </w:r>
          </w:p>
        </w:tc>
        <w:tc>
          <w:tcPr>
            <w:tcW w:w="1047" w:type="dxa"/>
          </w:tcPr>
          <w:p w14:paraId="411F1239"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17,5</w:t>
            </w:r>
          </w:p>
        </w:tc>
        <w:tc>
          <w:tcPr>
            <w:tcW w:w="1047" w:type="dxa"/>
          </w:tcPr>
          <w:p w14:paraId="600AE63A"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14,2</w:t>
            </w:r>
          </w:p>
        </w:tc>
        <w:tc>
          <w:tcPr>
            <w:tcW w:w="1047" w:type="dxa"/>
          </w:tcPr>
          <w:p w14:paraId="1D2F30E4"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w:t>
            </w:r>
          </w:p>
        </w:tc>
        <w:tc>
          <w:tcPr>
            <w:tcW w:w="1047" w:type="dxa"/>
          </w:tcPr>
          <w:p w14:paraId="36734AEF"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w:t>
            </w:r>
          </w:p>
        </w:tc>
      </w:tr>
      <w:tr w:rsidR="00D82C73" w:rsidRPr="007C5A6E" w14:paraId="487E735A" w14:textId="77777777" w:rsidTr="005B30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46FE0109" w14:textId="77777777" w:rsidR="00D82C73" w:rsidRPr="007C5A6E" w:rsidRDefault="00D82C73" w:rsidP="005B301B">
            <w:pPr>
              <w:autoSpaceDE w:val="0"/>
              <w:autoSpaceDN w:val="0"/>
              <w:adjustRightInd w:val="0"/>
              <w:spacing w:after="0" w:line="240" w:lineRule="auto"/>
              <w:contextualSpacing/>
              <w:rPr>
                <w:rFonts w:ascii="Times New Roman" w:eastAsia="Calibri" w:hAnsi="Times New Roman"/>
                <w:b w:val="0"/>
                <w:bCs w:val="0"/>
                <w:sz w:val="20"/>
                <w:szCs w:val="20"/>
                <w:lang w:eastAsia="en-US"/>
              </w:rPr>
            </w:pPr>
            <w:r w:rsidRPr="007C5A6E">
              <w:rPr>
                <w:rFonts w:ascii="Times New Roman" w:eastAsia="Calibri" w:hAnsi="Times New Roman"/>
                <w:b w:val="0"/>
                <w:bCs w:val="0"/>
                <w:sz w:val="20"/>
                <w:szCs w:val="20"/>
                <w:lang w:eastAsia="en-US"/>
              </w:rPr>
              <w:t>Dédougou</w:t>
            </w:r>
          </w:p>
        </w:tc>
        <w:tc>
          <w:tcPr>
            <w:tcW w:w="944" w:type="dxa"/>
          </w:tcPr>
          <w:p w14:paraId="197A9A01"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12,8</w:t>
            </w:r>
          </w:p>
        </w:tc>
        <w:tc>
          <w:tcPr>
            <w:tcW w:w="1046" w:type="dxa"/>
          </w:tcPr>
          <w:p w14:paraId="0F72D06A"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16,5</w:t>
            </w:r>
          </w:p>
        </w:tc>
        <w:tc>
          <w:tcPr>
            <w:tcW w:w="1047" w:type="dxa"/>
          </w:tcPr>
          <w:p w14:paraId="42B220E3"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13,6</w:t>
            </w:r>
          </w:p>
        </w:tc>
        <w:tc>
          <w:tcPr>
            <w:tcW w:w="1047" w:type="dxa"/>
          </w:tcPr>
          <w:p w14:paraId="46A48F03"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16,6</w:t>
            </w:r>
          </w:p>
        </w:tc>
        <w:tc>
          <w:tcPr>
            <w:tcW w:w="1047" w:type="dxa"/>
          </w:tcPr>
          <w:p w14:paraId="320F4B2B"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14,1</w:t>
            </w:r>
          </w:p>
        </w:tc>
        <w:tc>
          <w:tcPr>
            <w:tcW w:w="1047" w:type="dxa"/>
          </w:tcPr>
          <w:p w14:paraId="0FC38BBD"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13,7</w:t>
            </w:r>
          </w:p>
        </w:tc>
        <w:tc>
          <w:tcPr>
            <w:tcW w:w="1047" w:type="dxa"/>
          </w:tcPr>
          <w:p w14:paraId="5BD48057"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13,8</w:t>
            </w:r>
          </w:p>
        </w:tc>
        <w:tc>
          <w:tcPr>
            <w:tcW w:w="1047" w:type="dxa"/>
          </w:tcPr>
          <w:p w14:paraId="024C69AB"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11,20</w:t>
            </w:r>
          </w:p>
        </w:tc>
      </w:tr>
      <w:tr w:rsidR="00D82C73" w:rsidRPr="007C5A6E" w14:paraId="1948DA1F" w14:textId="77777777" w:rsidTr="005B301B">
        <w:tc>
          <w:tcPr>
            <w:cnfStyle w:val="001000000000" w:firstRow="0" w:lastRow="0" w:firstColumn="1" w:lastColumn="0" w:oddVBand="0" w:evenVBand="0" w:oddHBand="0" w:evenHBand="0" w:firstRowFirstColumn="0" w:firstRowLastColumn="0" w:lastRowFirstColumn="0" w:lastRowLastColumn="0"/>
            <w:tcW w:w="1134" w:type="dxa"/>
          </w:tcPr>
          <w:p w14:paraId="361C204F" w14:textId="77777777" w:rsidR="00D82C73" w:rsidRPr="007C5A6E" w:rsidRDefault="00D82C73" w:rsidP="005B301B">
            <w:pPr>
              <w:autoSpaceDE w:val="0"/>
              <w:autoSpaceDN w:val="0"/>
              <w:adjustRightInd w:val="0"/>
              <w:spacing w:after="0" w:line="240" w:lineRule="auto"/>
              <w:contextualSpacing/>
              <w:rPr>
                <w:rFonts w:ascii="Times New Roman" w:eastAsia="Calibri" w:hAnsi="Times New Roman"/>
                <w:b w:val="0"/>
                <w:bCs w:val="0"/>
                <w:sz w:val="20"/>
                <w:szCs w:val="20"/>
                <w:lang w:eastAsia="en-US"/>
              </w:rPr>
            </w:pPr>
            <w:r w:rsidRPr="007C5A6E">
              <w:rPr>
                <w:rFonts w:ascii="Times New Roman" w:eastAsia="Calibri" w:hAnsi="Times New Roman"/>
                <w:b w:val="0"/>
                <w:bCs w:val="0"/>
                <w:sz w:val="20"/>
                <w:szCs w:val="20"/>
                <w:lang w:eastAsia="en-US"/>
              </w:rPr>
              <w:t>Fada N’Gourma</w:t>
            </w:r>
          </w:p>
        </w:tc>
        <w:tc>
          <w:tcPr>
            <w:tcW w:w="944" w:type="dxa"/>
          </w:tcPr>
          <w:p w14:paraId="701054A8"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12,7</w:t>
            </w:r>
          </w:p>
        </w:tc>
        <w:tc>
          <w:tcPr>
            <w:tcW w:w="1046" w:type="dxa"/>
          </w:tcPr>
          <w:p w14:paraId="3D8CA8B1"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15,3</w:t>
            </w:r>
          </w:p>
        </w:tc>
        <w:tc>
          <w:tcPr>
            <w:tcW w:w="1047" w:type="dxa"/>
          </w:tcPr>
          <w:p w14:paraId="58306B49"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13,0</w:t>
            </w:r>
          </w:p>
        </w:tc>
        <w:tc>
          <w:tcPr>
            <w:tcW w:w="1047" w:type="dxa"/>
          </w:tcPr>
          <w:p w14:paraId="5490B951"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12,2</w:t>
            </w:r>
          </w:p>
        </w:tc>
        <w:tc>
          <w:tcPr>
            <w:tcW w:w="1047" w:type="dxa"/>
          </w:tcPr>
          <w:p w14:paraId="4F22448C"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15,7</w:t>
            </w:r>
          </w:p>
        </w:tc>
        <w:tc>
          <w:tcPr>
            <w:tcW w:w="1047" w:type="dxa"/>
          </w:tcPr>
          <w:p w14:paraId="70AC8CD1"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15,6</w:t>
            </w:r>
          </w:p>
        </w:tc>
        <w:tc>
          <w:tcPr>
            <w:tcW w:w="1047" w:type="dxa"/>
          </w:tcPr>
          <w:p w14:paraId="26A32597"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15,6</w:t>
            </w:r>
          </w:p>
        </w:tc>
        <w:tc>
          <w:tcPr>
            <w:tcW w:w="1047" w:type="dxa"/>
          </w:tcPr>
          <w:p w14:paraId="5BE5C87A"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13,5</w:t>
            </w:r>
          </w:p>
        </w:tc>
      </w:tr>
      <w:tr w:rsidR="00D82C73" w:rsidRPr="007C5A6E" w14:paraId="48742EF6" w14:textId="77777777" w:rsidTr="005B30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1AE49D06" w14:textId="77777777" w:rsidR="00D82C73" w:rsidRPr="007C5A6E" w:rsidRDefault="00D82C73" w:rsidP="005B301B">
            <w:pPr>
              <w:autoSpaceDE w:val="0"/>
              <w:autoSpaceDN w:val="0"/>
              <w:adjustRightInd w:val="0"/>
              <w:spacing w:after="0" w:line="240" w:lineRule="auto"/>
              <w:contextualSpacing/>
              <w:rPr>
                <w:rFonts w:ascii="Times New Roman" w:eastAsia="Calibri" w:hAnsi="Times New Roman"/>
                <w:b w:val="0"/>
                <w:bCs w:val="0"/>
                <w:sz w:val="20"/>
                <w:szCs w:val="20"/>
                <w:lang w:eastAsia="en-US"/>
              </w:rPr>
            </w:pPr>
            <w:r w:rsidRPr="007C5A6E">
              <w:rPr>
                <w:rFonts w:ascii="Times New Roman" w:eastAsia="Calibri" w:hAnsi="Times New Roman"/>
                <w:b w:val="0"/>
                <w:bCs w:val="0"/>
                <w:sz w:val="20"/>
                <w:szCs w:val="20"/>
                <w:lang w:eastAsia="en-US"/>
              </w:rPr>
              <w:t>Bobo Dioulasso</w:t>
            </w:r>
          </w:p>
        </w:tc>
        <w:tc>
          <w:tcPr>
            <w:tcW w:w="944" w:type="dxa"/>
          </w:tcPr>
          <w:p w14:paraId="4F68A6C7"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16,9</w:t>
            </w:r>
          </w:p>
        </w:tc>
        <w:tc>
          <w:tcPr>
            <w:tcW w:w="1046" w:type="dxa"/>
          </w:tcPr>
          <w:p w14:paraId="7CD2F196"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11,8</w:t>
            </w:r>
          </w:p>
        </w:tc>
        <w:tc>
          <w:tcPr>
            <w:tcW w:w="1047" w:type="dxa"/>
          </w:tcPr>
          <w:p w14:paraId="438B0AC4"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16,2</w:t>
            </w:r>
          </w:p>
        </w:tc>
        <w:tc>
          <w:tcPr>
            <w:tcW w:w="1047" w:type="dxa"/>
          </w:tcPr>
          <w:p w14:paraId="4828E409"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 xml:space="preserve">17,9 </w:t>
            </w:r>
          </w:p>
        </w:tc>
        <w:tc>
          <w:tcPr>
            <w:tcW w:w="1047" w:type="dxa"/>
          </w:tcPr>
          <w:p w14:paraId="63C0F726"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14,6</w:t>
            </w:r>
          </w:p>
        </w:tc>
        <w:tc>
          <w:tcPr>
            <w:tcW w:w="1047" w:type="dxa"/>
          </w:tcPr>
          <w:p w14:paraId="7CD64A63"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16,4</w:t>
            </w:r>
          </w:p>
        </w:tc>
        <w:tc>
          <w:tcPr>
            <w:tcW w:w="1047" w:type="dxa"/>
          </w:tcPr>
          <w:p w14:paraId="43F0B326"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16,8</w:t>
            </w:r>
          </w:p>
        </w:tc>
        <w:tc>
          <w:tcPr>
            <w:tcW w:w="1047" w:type="dxa"/>
          </w:tcPr>
          <w:p w14:paraId="041583F6" w14:textId="77777777" w:rsidR="00D82C73" w:rsidRPr="007C5A6E" w:rsidRDefault="00D82C73" w:rsidP="005B301B">
            <w:pPr>
              <w:autoSpaceDE w:val="0"/>
              <w:autoSpaceDN w:val="0"/>
              <w:adjustRightInd w:val="0"/>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14,40</w:t>
            </w:r>
          </w:p>
        </w:tc>
      </w:tr>
      <w:tr w:rsidR="00D82C73" w:rsidRPr="007C5A6E" w14:paraId="7267C901" w14:textId="77777777" w:rsidTr="005B301B">
        <w:tc>
          <w:tcPr>
            <w:cnfStyle w:val="001000000000" w:firstRow="0" w:lastRow="0" w:firstColumn="1" w:lastColumn="0" w:oddVBand="0" w:evenVBand="0" w:oddHBand="0" w:evenHBand="0" w:firstRowFirstColumn="0" w:firstRowLastColumn="0" w:lastRowFirstColumn="0" w:lastRowLastColumn="0"/>
            <w:tcW w:w="1134" w:type="dxa"/>
          </w:tcPr>
          <w:p w14:paraId="2C3A6EDB" w14:textId="77777777" w:rsidR="00D82C73" w:rsidRPr="007C5A6E" w:rsidRDefault="00D82C73" w:rsidP="005B301B">
            <w:pPr>
              <w:autoSpaceDE w:val="0"/>
              <w:autoSpaceDN w:val="0"/>
              <w:adjustRightInd w:val="0"/>
              <w:spacing w:after="0" w:line="240" w:lineRule="auto"/>
              <w:contextualSpacing/>
              <w:rPr>
                <w:rFonts w:ascii="Times New Roman" w:eastAsia="Calibri" w:hAnsi="Times New Roman"/>
                <w:b w:val="0"/>
                <w:bCs w:val="0"/>
                <w:sz w:val="20"/>
                <w:szCs w:val="20"/>
                <w:lang w:eastAsia="en-US"/>
              </w:rPr>
            </w:pPr>
            <w:r w:rsidRPr="007C5A6E">
              <w:rPr>
                <w:rFonts w:ascii="Times New Roman" w:eastAsia="Calibri" w:hAnsi="Times New Roman"/>
                <w:b w:val="0"/>
                <w:bCs w:val="0"/>
                <w:sz w:val="20"/>
                <w:szCs w:val="20"/>
                <w:lang w:eastAsia="en-US"/>
              </w:rPr>
              <w:t>Gaoua</w:t>
            </w:r>
          </w:p>
        </w:tc>
        <w:tc>
          <w:tcPr>
            <w:tcW w:w="944" w:type="dxa"/>
          </w:tcPr>
          <w:p w14:paraId="58BB9914"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15,5</w:t>
            </w:r>
          </w:p>
        </w:tc>
        <w:tc>
          <w:tcPr>
            <w:tcW w:w="1046" w:type="dxa"/>
          </w:tcPr>
          <w:p w14:paraId="2FEC8615"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13,4</w:t>
            </w:r>
          </w:p>
        </w:tc>
        <w:tc>
          <w:tcPr>
            <w:tcW w:w="1047" w:type="dxa"/>
          </w:tcPr>
          <w:p w14:paraId="1FE0AA19"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18,4</w:t>
            </w:r>
          </w:p>
        </w:tc>
        <w:tc>
          <w:tcPr>
            <w:tcW w:w="1047" w:type="dxa"/>
          </w:tcPr>
          <w:p w14:paraId="08EA4C17"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16,7</w:t>
            </w:r>
          </w:p>
        </w:tc>
        <w:tc>
          <w:tcPr>
            <w:tcW w:w="1047" w:type="dxa"/>
          </w:tcPr>
          <w:p w14:paraId="1F75BB04"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15,6</w:t>
            </w:r>
          </w:p>
        </w:tc>
        <w:tc>
          <w:tcPr>
            <w:tcW w:w="1047" w:type="dxa"/>
          </w:tcPr>
          <w:p w14:paraId="029445D3"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16,0</w:t>
            </w:r>
          </w:p>
        </w:tc>
        <w:tc>
          <w:tcPr>
            <w:tcW w:w="1047" w:type="dxa"/>
          </w:tcPr>
          <w:p w14:paraId="0D475A11"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16,8</w:t>
            </w:r>
          </w:p>
        </w:tc>
        <w:tc>
          <w:tcPr>
            <w:tcW w:w="1047" w:type="dxa"/>
          </w:tcPr>
          <w:p w14:paraId="0556EA51" w14:textId="77777777" w:rsidR="00D82C73" w:rsidRPr="007C5A6E" w:rsidRDefault="00D82C73" w:rsidP="005B301B">
            <w:pPr>
              <w:autoSpaceDE w:val="0"/>
              <w:autoSpaceDN w:val="0"/>
              <w:adjustRightInd w:val="0"/>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1"/>
                <w:szCs w:val="21"/>
                <w:lang w:eastAsia="en-US"/>
              </w:rPr>
            </w:pPr>
            <w:r w:rsidRPr="007C5A6E">
              <w:rPr>
                <w:rFonts w:ascii="Times New Roman" w:eastAsia="Calibri" w:hAnsi="Times New Roman"/>
                <w:bCs/>
                <w:sz w:val="21"/>
                <w:szCs w:val="21"/>
                <w:lang w:eastAsia="en-US"/>
              </w:rPr>
              <w:t>14,2</w:t>
            </w:r>
          </w:p>
        </w:tc>
      </w:tr>
    </w:tbl>
    <w:p w14:paraId="12972707" w14:textId="77777777" w:rsidR="00D82C73" w:rsidRPr="007C5A6E" w:rsidRDefault="00D82C73" w:rsidP="00B15B8A">
      <w:pPr>
        <w:spacing w:after="0" w:line="240" w:lineRule="auto"/>
        <w:jc w:val="both"/>
        <w:rPr>
          <w:rFonts w:ascii="Times New Roman" w:eastAsia="Calibri" w:hAnsi="Times New Roman"/>
          <w:sz w:val="20"/>
          <w:szCs w:val="20"/>
          <w:lang w:eastAsia="en-US"/>
          <w14:ligatures w14:val="standardContextual"/>
        </w:rPr>
      </w:pPr>
      <w:r w:rsidRPr="007C5A6E">
        <w:rPr>
          <w:rFonts w:ascii="Times New Roman" w:eastAsia="Calibri" w:hAnsi="Times New Roman"/>
          <w:sz w:val="20"/>
          <w:szCs w:val="20"/>
          <w:lang w:eastAsia="en-US"/>
          <w14:ligatures w14:val="standardContextual"/>
        </w:rPr>
        <w:t>MTMUSR/Agence Nationale de la Météorologie, 2016-2023</w:t>
      </w:r>
    </w:p>
    <w:p w14:paraId="4BC0E746" w14:textId="77777777" w:rsidR="00D82C73" w:rsidRPr="007C5A6E" w:rsidRDefault="00D82C73" w:rsidP="00B15B8A">
      <w:pPr>
        <w:spacing w:after="0" w:line="240" w:lineRule="auto"/>
        <w:jc w:val="both"/>
        <w:rPr>
          <w:rFonts w:ascii="Helvetica" w:hAnsi="Helvetica" w:cs="Helvetica"/>
          <w:color w:val="566167"/>
          <w:sz w:val="24"/>
          <w:szCs w:val="24"/>
          <w:lang w:eastAsia="en-US"/>
        </w:rPr>
      </w:pPr>
    </w:p>
    <w:p w14:paraId="427536F4" w14:textId="40818C50" w:rsidR="00D82C73" w:rsidRPr="007C5A6E" w:rsidRDefault="00B15B8A" w:rsidP="00684FF8">
      <w:pPr>
        <w:pStyle w:val="Titre4"/>
      </w:pPr>
      <w:bookmarkStart w:id="758" w:name="_Toc183340147"/>
      <w:r w:rsidRPr="007C5A6E">
        <w:t>Les f</w:t>
      </w:r>
      <w:r w:rsidR="00D82C73" w:rsidRPr="007C5A6E">
        <w:t>ortes températures</w:t>
      </w:r>
      <w:bookmarkEnd w:id="758"/>
    </w:p>
    <w:p w14:paraId="3F04ADF1" w14:textId="77777777" w:rsidR="00B15B8A" w:rsidRPr="007C5A6E" w:rsidRDefault="00B15B8A" w:rsidP="00B15B8A">
      <w:pPr>
        <w:spacing w:after="0" w:line="240" w:lineRule="auto"/>
        <w:jc w:val="both"/>
        <w:rPr>
          <w:rFonts w:ascii="Times New Roman" w:eastAsia="Calibri" w:hAnsi="Times New Roman"/>
          <w:noProof/>
          <w:kern w:val="2"/>
          <w:sz w:val="24"/>
          <w:szCs w:val="24"/>
          <w:lang w:eastAsia="en-US"/>
          <w14:ligatures w14:val="standardContextual"/>
        </w:rPr>
      </w:pPr>
    </w:p>
    <w:p w14:paraId="25CA1645" w14:textId="1001AD05" w:rsidR="00D82C73" w:rsidRPr="007C5A6E" w:rsidRDefault="00D82C73" w:rsidP="00B15B8A">
      <w:pPr>
        <w:spacing w:after="0" w:line="240" w:lineRule="auto"/>
        <w:jc w:val="both"/>
        <w:rPr>
          <w:rFonts w:ascii="Times New Roman" w:eastAsia="Calibri" w:hAnsi="Times New Roman"/>
          <w:bCs/>
          <w:kern w:val="2"/>
          <w:sz w:val="24"/>
          <w:szCs w:val="24"/>
          <w:lang w:eastAsia="en-US"/>
          <w14:ligatures w14:val="standardContextual"/>
        </w:rPr>
      </w:pPr>
      <w:r w:rsidRPr="007C5A6E">
        <w:rPr>
          <w:rFonts w:ascii="Times New Roman" w:eastAsia="Calibri" w:hAnsi="Times New Roman"/>
          <w:noProof/>
          <w:kern w:val="2"/>
          <w:sz w:val="24"/>
          <w:szCs w:val="24"/>
          <w:lang w:eastAsia="en-US"/>
          <w14:ligatures w14:val="standardContextual"/>
        </w:rPr>
        <w:t>Le Burkina Faso connaît de plus en plus une tendance à la hausse des températures</w:t>
      </w:r>
      <w:r w:rsidR="00905928" w:rsidRPr="007C5A6E">
        <w:rPr>
          <w:rFonts w:ascii="Times New Roman" w:eastAsia="Calibri" w:hAnsi="Times New Roman"/>
          <w:noProof/>
          <w:kern w:val="2"/>
          <w:sz w:val="24"/>
          <w:szCs w:val="24"/>
          <w:lang w:eastAsia="en-US"/>
          <w14:ligatures w14:val="standardContextual"/>
        </w:rPr>
        <w:t>,</w:t>
      </w:r>
      <w:r w:rsidRPr="007C5A6E">
        <w:rPr>
          <w:rFonts w:ascii="Times New Roman" w:eastAsia="Calibri" w:hAnsi="Times New Roman"/>
          <w:noProof/>
          <w:kern w:val="2"/>
          <w:sz w:val="24"/>
          <w:szCs w:val="24"/>
          <w:lang w:eastAsia="en-US"/>
          <w14:ligatures w14:val="standardContextual"/>
        </w:rPr>
        <w:t xml:space="preserve"> accompagnée de chaleur élevée. Le 31 mars 2024, des températures ressenties </w:t>
      </w:r>
      <w:r w:rsidR="00905928" w:rsidRPr="007C5A6E">
        <w:rPr>
          <w:rFonts w:ascii="Times New Roman" w:eastAsia="Calibri" w:hAnsi="Times New Roman"/>
          <w:noProof/>
          <w:kern w:val="2"/>
          <w:lang w:eastAsia="en-US"/>
          <w14:ligatures w14:val="standardContextual"/>
        </w:rPr>
        <w:t xml:space="preserve">à 15 h30 </w:t>
      </w:r>
      <w:r w:rsidR="00905928" w:rsidRPr="007C5A6E">
        <w:rPr>
          <w:rFonts w:ascii="Times New Roman" w:eastAsia="Calibri" w:hAnsi="Times New Roman"/>
          <w:noProof/>
          <w:kern w:val="2"/>
          <w:sz w:val="24"/>
          <w:szCs w:val="24"/>
          <w:lang w:eastAsia="en-US"/>
          <w14:ligatures w14:val="standardContextual"/>
        </w:rPr>
        <w:t xml:space="preserve">étaient </w:t>
      </w:r>
      <w:r w:rsidRPr="007C5A6E">
        <w:rPr>
          <w:rFonts w:ascii="Times New Roman" w:eastAsia="Calibri" w:hAnsi="Times New Roman"/>
          <w:noProof/>
          <w:kern w:val="2"/>
          <w:sz w:val="24"/>
          <w:szCs w:val="24"/>
          <w:lang w:eastAsia="en-US"/>
          <w14:ligatures w14:val="standardContextual"/>
        </w:rPr>
        <w:t>de 43 °C à Ouagadougou</w:t>
      </w:r>
      <w:r w:rsidRPr="007C5A6E">
        <w:rPr>
          <w:rFonts w:ascii="Times New Roman" w:eastAsia="Calibri" w:hAnsi="Times New Roman"/>
          <w:noProof/>
          <w:kern w:val="2"/>
          <w:lang w:eastAsia="en-US"/>
          <w14:ligatures w14:val="standardContextual"/>
        </w:rPr>
        <w:t xml:space="preserve">, Bogandé, Boromo et Dédougou et de 44°C à Ouahigouya. </w:t>
      </w:r>
      <w:r w:rsidRPr="007C5A6E">
        <w:rPr>
          <w:rFonts w:ascii="Times New Roman" w:eastAsia="Calibri" w:hAnsi="Times New Roman"/>
          <w:bCs/>
          <w:kern w:val="2"/>
          <w:sz w:val="24"/>
          <w:szCs w:val="24"/>
          <w:lang w:eastAsia="en-US"/>
          <w14:ligatures w14:val="standardContextual"/>
        </w:rPr>
        <w:t>La station de Dori a enregistré les plus fortes températures maximales</w:t>
      </w:r>
      <w:r w:rsidR="00905928" w:rsidRPr="007C5A6E">
        <w:rPr>
          <w:rFonts w:ascii="Times New Roman" w:eastAsia="Calibri" w:hAnsi="Times New Roman"/>
          <w:bCs/>
          <w:kern w:val="2"/>
          <w:sz w:val="24"/>
          <w:szCs w:val="24"/>
          <w:lang w:eastAsia="en-US"/>
          <w14:ligatures w14:val="standardContextual"/>
        </w:rPr>
        <w:t xml:space="preserve"> observées durant cette période,</w:t>
      </w:r>
      <w:r w:rsidRPr="007C5A6E">
        <w:rPr>
          <w:rFonts w:ascii="Times New Roman" w:eastAsia="Calibri" w:hAnsi="Times New Roman"/>
          <w:bCs/>
          <w:kern w:val="2"/>
          <w:sz w:val="24"/>
          <w:szCs w:val="24"/>
          <w:lang w:eastAsia="en-US"/>
          <w14:ligatures w14:val="standardContextual"/>
        </w:rPr>
        <w:t xml:space="preserve"> atteignant 47°C.</w:t>
      </w:r>
      <w:r w:rsidRPr="007C5A6E">
        <w:rPr>
          <w:rFonts w:ascii="Times New Roman" w:eastAsia="Calibri" w:hAnsi="Times New Roman"/>
          <w:noProof/>
          <w:kern w:val="2"/>
          <w:lang w:eastAsia="en-US"/>
          <w14:ligatures w14:val="standardContextual"/>
        </w:rPr>
        <w:t xml:space="preserve"> Cette montée en flèche des températures soulève des préoccupations sérieuses concernant la santé publique, la sécurité alimentaire et la stabilité éconnomique du pays (Envir-Infos, 2024). Le tableau</w:t>
      </w:r>
      <w:r w:rsidR="00905928" w:rsidRPr="007C5A6E">
        <w:rPr>
          <w:rFonts w:ascii="Times New Roman" w:eastAsia="Calibri" w:hAnsi="Times New Roman"/>
          <w:noProof/>
          <w:kern w:val="2"/>
          <w:lang w:eastAsia="en-US"/>
          <w14:ligatures w14:val="standardContextual"/>
        </w:rPr>
        <w:t xml:space="preserve"> 3</w:t>
      </w:r>
      <w:r w:rsidR="00E853CC" w:rsidRPr="007C5A6E">
        <w:rPr>
          <w:rFonts w:ascii="Times New Roman" w:eastAsia="Calibri" w:hAnsi="Times New Roman"/>
          <w:noProof/>
          <w:kern w:val="2"/>
          <w:lang w:eastAsia="en-US"/>
          <w14:ligatures w14:val="standardContextual"/>
        </w:rPr>
        <w:t>3</w:t>
      </w:r>
      <w:r w:rsidRPr="007C5A6E">
        <w:rPr>
          <w:rFonts w:ascii="Times New Roman" w:eastAsia="Calibri" w:hAnsi="Times New Roman"/>
          <w:noProof/>
          <w:kern w:val="2"/>
          <w:lang w:eastAsia="en-US"/>
          <w14:ligatures w14:val="standardContextual"/>
        </w:rPr>
        <w:t xml:space="preserve"> donne les températures maximales relevées </w:t>
      </w:r>
      <w:r w:rsidRPr="007C5A6E">
        <w:rPr>
          <w:rFonts w:ascii="Times New Roman" w:eastAsia="Calibri" w:hAnsi="Times New Roman"/>
          <w:bCs/>
          <w:kern w:val="2"/>
          <w:sz w:val="24"/>
          <w:szCs w:val="24"/>
          <w:lang w:eastAsia="en-US"/>
          <w14:ligatures w14:val="standardContextual"/>
        </w:rPr>
        <w:t>dans les principales stations météorologiques. De manière générale, les températures maximales sont en hausse dans toutes les stations.</w:t>
      </w:r>
    </w:p>
    <w:p w14:paraId="46C2398F" w14:textId="77777777" w:rsidR="00905928" w:rsidRPr="007C5A6E" w:rsidRDefault="00905928" w:rsidP="00B15B8A">
      <w:pPr>
        <w:spacing w:after="0" w:line="240" w:lineRule="auto"/>
        <w:jc w:val="both"/>
        <w:rPr>
          <w:rFonts w:ascii="Times New Roman" w:eastAsia="Calibri" w:hAnsi="Times New Roman"/>
          <w:bCs/>
          <w:kern w:val="2"/>
          <w:sz w:val="24"/>
          <w:szCs w:val="24"/>
          <w:lang w:eastAsia="en-US"/>
          <w14:ligatures w14:val="standardContextual"/>
        </w:rPr>
      </w:pPr>
    </w:p>
    <w:p w14:paraId="54C5108F" w14:textId="46DDB8EF" w:rsidR="00D82C73" w:rsidRPr="007C5A6E" w:rsidRDefault="00D82C73" w:rsidP="00905928">
      <w:pPr>
        <w:spacing w:after="0" w:line="240" w:lineRule="auto"/>
        <w:jc w:val="both"/>
        <w:rPr>
          <w:rFonts w:ascii="Times New Roman" w:hAnsi="Times New Roman"/>
          <w:spacing w:val="10"/>
          <w:sz w:val="24"/>
          <w:szCs w:val="24"/>
          <w:lang w:eastAsia="en-US"/>
        </w:rPr>
      </w:pPr>
      <w:bookmarkStart w:id="759" w:name="_Toc181983402"/>
      <w:bookmarkStart w:id="760" w:name="_Toc183240995"/>
      <w:bookmarkStart w:id="761" w:name="_Toc183292237"/>
      <w:bookmarkStart w:id="762" w:name="_Toc183340517"/>
      <w:r w:rsidRPr="007C5A6E">
        <w:rPr>
          <w:rFonts w:ascii="Times New Roman" w:hAnsi="Times New Roman"/>
          <w:spacing w:val="10"/>
          <w:sz w:val="24"/>
          <w:szCs w:val="24"/>
          <w:lang w:eastAsia="en-US"/>
        </w:rPr>
        <w:t xml:space="preserve">Tableau </w:t>
      </w:r>
      <w:r w:rsidRPr="007C5A6E">
        <w:rPr>
          <w:rFonts w:ascii="Times New Roman" w:hAnsi="Times New Roman"/>
          <w:spacing w:val="10"/>
          <w:sz w:val="24"/>
          <w:szCs w:val="24"/>
          <w:lang w:eastAsia="en-US"/>
        </w:rPr>
        <w:fldChar w:fldCharType="begin"/>
      </w:r>
      <w:r w:rsidRPr="007C5A6E">
        <w:rPr>
          <w:rFonts w:ascii="Times New Roman" w:hAnsi="Times New Roman"/>
          <w:spacing w:val="10"/>
          <w:sz w:val="24"/>
          <w:szCs w:val="24"/>
          <w:lang w:eastAsia="en-US"/>
        </w:rPr>
        <w:instrText xml:space="preserve"> SEQ Tableau \* ARABIC </w:instrText>
      </w:r>
      <w:r w:rsidRPr="007C5A6E">
        <w:rPr>
          <w:rFonts w:ascii="Times New Roman" w:hAnsi="Times New Roman"/>
          <w:spacing w:val="10"/>
          <w:sz w:val="24"/>
          <w:szCs w:val="24"/>
          <w:lang w:eastAsia="en-US"/>
        </w:rPr>
        <w:fldChar w:fldCharType="separate"/>
      </w:r>
      <w:r w:rsidR="003162F8" w:rsidRPr="007C5A6E">
        <w:rPr>
          <w:rFonts w:ascii="Times New Roman" w:hAnsi="Times New Roman"/>
          <w:noProof/>
          <w:spacing w:val="10"/>
          <w:sz w:val="24"/>
          <w:szCs w:val="24"/>
          <w:lang w:eastAsia="en-US"/>
        </w:rPr>
        <w:t>33</w:t>
      </w:r>
      <w:r w:rsidRPr="007C5A6E">
        <w:rPr>
          <w:rFonts w:ascii="Times New Roman" w:hAnsi="Times New Roman"/>
          <w:spacing w:val="10"/>
          <w:sz w:val="24"/>
          <w:szCs w:val="24"/>
          <w:lang w:eastAsia="en-US"/>
        </w:rPr>
        <w:fldChar w:fldCharType="end"/>
      </w:r>
      <w:r w:rsidRPr="007C5A6E">
        <w:rPr>
          <w:rFonts w:ascii="Times New Roman" w:hAnsi="Times New Roman"/>
          <w:spacing w:val="10"/>
          <w:sz w:val="24"/>
          <w:szCs w:val="24"/>
          <w:lang w:eastAsia="en-US"/>
        </w:rPr>
        <w:t xml:space="preserve"> : Températures maximales dans les principales stations de 2016 à 2023</w:t>
      </w:r>
      <w:bookmarkEnd w:id="759"/>
      <w:bookmarkEnd w:id="760"/>
      <w:bookmarkEnd w:id="761"/>
      <w:bookmarkEnd w:id="762"/>
    </w:p>
    <w:p w14:paraId="09B48A0B" w14:textId="77777777" w:rsidR="00905928" w:rsidRPr="007C5A6E" w:rsidRDefault="00905928" w:rsidP="00905928">
      <w:pPr>
        <w:spacing w:after="0" w:line="240" w:lineRule="auto"/>
        <w:jc w:val="both"/>
        <w:rPr>
          <w:rFonts w:ascii="Times New Roman" w:hAnsi="Times New Roman"/>
          <w:spacing w:val="10"/>
          <w:sz w:val="24"/>
          <w:szCs w:val="24"/>
          <w:lang w:eastAsia="en-US"/>
        </w:rPr>
      </w:pPr>
    </w:p>
    <w:tbl>
      <w:tblPr>
        <w:tblStyle w:val="Tableausimple21"/>
        <w:tblW w:w="5000" w:type="pct"/>
        <w:tblBorders>
          <w:bottom w:val="none" w:sz="0" w:space="0" w:color="auto"/>
          <w:insideH w:val="single" w:sz="4" w:space="0" w:color="7F7F7F"/>
        </w:tblBorders>
        <w:tblLook w:val="04A0" w:firstRow="1" w:lastRow="0" w:firstColumn="1" w:lastColumn="0" w:noHBand="0" w:noVBand="1"/>
      </w:tblPr>
      <w:tblGrid>
        <w:gridCol w:w="2288"/>
        <w:gridCol w:w="908"/>
        <w:gridCol w:w="884"/>
        <w:gridCol w:w="851"/>
        <w:gridCol w:w="851"/>
        <w:gridCol w:w="836"/>
        <w:gridCol w:w="865"/>
        <w:gridCol w:w="851"/>
        <w:gridCol w:w="851"/>
      </w:tblGrid>
      <w:tr w:rsidR="00D82C73" w:rsidRPr="007C5A6E" w14:paraId="7A8DF094" w14:textId="77777777" w:rsidTr="009059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5" w:type="pct"/>
            <w:tcBorders>
              <w:top w:val="thinThickSmallGap" w:sz="24" w:space="0" w:color="000000"/>
              <w:bottom w:val="thinThickSmallGap" w:sz="24" w:space="0" w:color="000000"/>
            </w:tcBorders>
          </w:tcPr>
          <w:p w14:paraId="27192055" w14:textId="77777777" w:rsidR="00D82C73" w:rsidRPr="007C5A6E" w:rsidRDefault="00D82C73" w:rsidP="00905928">
            <w:pPr>
              <w:autoSpaceDE w:val="0"/>
              <w:autoSpaceDN w:val="0"/>
              <w:adjustRightInd w:val="0"/>
              <w:spacing w:after="0" w:line="240" w:lineRule="auto"/>
              <w:contextualSpacing/>
              <w:rPr>
                <w:rFonts w:ascii="Times New Roman" w:eastAsia="Calibri" w:hAnsi="Times New Roman"/>
                <w:lang w:eastAsia="en-US"/>
              </w:rPr>
            </w:pPr>
            <w:r w:rsidRPr="007C5A6E">
              <w:rPr>
                <w:rFonts w:ascii="Times New Roman" w:eastAsia="Calibri" w:hAnsi="Times New Roman"/>
                <w:lang w:eastAsia="en-US"/>
              </w:rPr>
              <w:t>Station</w:t>
            </w:r>
          </w:p>
        </w:tc>
        <w:tc>
          <w:tcPr>
            <w:tcW w:w="494" w:type="pct"/>
            <w:tcBorders>
              <w:top w:val="thinThickSmallGap" w:sz="24" w:space="0" w:color="000000"/>
              <w:bottom w:val="thinThickSmallGap" w:sz="24" w:space="0" w:color="000000"/>
            </w:tcBorders>
          </w:tcPr>
          <w:p w14:paraId="09FA2351" w14:textId="77777777" w:rsidR="00D82C73" w:rsidRPr="007C5A6E" w:rsidRDefault="00D82C73" w:rsidP="00905928">
            <w:pPr>
              <w:autoSpaceDE w:val="0"/>
              <w:autoSpaceDN w:val="0"/>
              <w:adjustRightInd w:val="0"/>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2016</w:t>
            </w:r>
          </w:p>
        </w:tc>
        <w:tc>
          <w:tcPr>
            <w:tcW w:w="481" w:type="pct"/>
            <w:tcBorders>
              <w:top w:val="thinThickSmallGap" w:sz="24" w:space="0" w:color="000000"/>
              <w:bottom w:val="thinThickSmallGap" w:sz="24" w:space="0" w:color="000000"/>
            </w:tcBorders>
          </w:tcPr>
          <w:p w14:paraId="5C298402" w14:textId="77777777" w:rsidR="00D82C73" w:rsidRPr="007C5A6E" w:rsidRDefault="00D82C73" w:rsidP="00905928">
            <w:pPr>
              <w:autoSpaceDE w:val="0"/>
              <w:autoSpaceDN w:val="0"/>
              <w:adjustRightInd w:val="0"/>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2017</w:t>
            </w:r>
          </w:p>
        </w:tc>
        <w:tc>
          <w:tcPr>
            <w:tcW w:w="463" w:type="pct"/>
            <w:tcBorders>
              <w:top w:val="thinThickSmallGap" w:sz="24" w:space="0" w:color="000000"/>
              <w:bottom w:val="thinThickSmallGap" w:sz="24" w:space="0" w:color="000000"/>
            </w:tcBorders>
          </w:tcPr>
          <w:p w14:paraId="3FBA39A9" w14:textId="77777777" w:rsidR="00D82C73" w:rsidRPr="007C5A6E" w:rsidRDefault="00D82C73" w:rsidP="00905928">
            <w:pPr>
              <w:autoSpaceDE w:val="0"/>
              <w:autoSpaceDN w:val="0"/>
              <w:adjustRightInd w:val="0"/>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2018</w:t>
            </w:r>
          </w:p>
        </w:tc>
        <w:tc>
          <w:tcPr>
            <w:tcW w:w="463" w:type="pct"/>
            <w:tcBorders>
              <w:top w:val="thinThickSmallGap" w:sz="24" w:space="0" w:color="000000"/>
              <w:bottom w:val="thinThickSmallGap" w:sz="24" w:space="0" w:color="000000"/>
            </w:tcBorders>
          </w:tcPr>
          <w:p w14:paraId="6642E8AD" w14:textId="77777777" w:rsidR="00D82C73" w:rsidRPr="007C5A6E" w:rsidRDefault="00D82C73" w:rsidP="00905928">
            <w:pPr>
              <w:autoSpaceDE w:val="0"/>
              <w:autoSpaceDN w:val="0"/>
              <w:adjustRightInd w:val="0"/>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2019</w:t>
            </w:r>
          </w:p>
        </w:tc>
        <w:tc>
          <w:tcPr>
            <w:tcW w:w="455" w:type="pct"/>
            <w:tcBorders>
              <w:top w:val="thinThickSmallGap" w:sz="24" w:space="0" w:color="000000"/>
              <w:bottom w:val="thinThickSmallGap" w:sz="24" w:space="0" w:color="000000"/>
            </w:tcBorders>
          </w:tcPr>
          <w:p w14:paraId="2FE51E59" w14:textId="77777777" w:rsidR="00D82C73" w:rsidRPr="007C5A6E" w:rsidRDefault="00D82C73" w:rsidP="00905928">
            <w:pPr>
              <w:autoSpaceDE w:val="0"/>
              <w:autoSpaceDN w:val="0"/>
              <w:adjustRightInd w:val="0"/>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2020</w:t>
            </w:r>
          </w:p>
        </w:tc>
        <w:tc>
          <w:tcPr>
            <w:tcW w:w="471" w:type="pct"/>
            <w:tcBorders>
              <w:top w:val="thinThickSmallGap" w:sz="24" w:space="0" w:color="000000"/>
              <w:bottom w:val="thinThickSmallGap" w:sz="24" w:space="0" w:color="000000"/>
            </w:tcBorders>
          </w:tcPr>
          <w:p w14:paraId="03CA0C96" w14:textId="77777777" w:rsidR="00D82C73" w:rsidRPr="007C5A6E" w:rsidRDefault="00D82C73" w:rsidP="00905928">
            <w:pPr>
              <w:autoSpaceDE w:val="0"/>
              <w:autoSpaceDN w:val="0"/>
              <w:adjustRightInd w:val="0"/>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2021</w:t>
            </w:r>
          </w:p>
        </w:tc>
        <w:tc>
          <w:tcPr>
            <w:tcW w:w="463" w:type="pct"/>
            <w:tcBorders>
              <w:top w:val="thinThickSmallGap" w:sz="24" w:space="0" w:color="000000"/>
              <w:bottom w:val="thinThickSmallGap" w:sz="24" w:space="0" w:color="000000"/>
            </w:tcBorders>
          </w:tcPr>
          <w:p w14:paraId="79517835" w14:textId="77777777" w:rsidR="00D82C73" w:rsidRPr="007C5A6E" w:rsidRDefault="00D82C73" w:rsidP="00905928">
            <w:pPr>
              <w:autoSpaceDE w:val="0"/>
              <w:autoSpaceDN w:val="0"/>
              <w:adjustRightInd w:val="0"/>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2022</w:t>
            </w:r>
          </w:p>
        </w:tc>
        <w:tc>
          <w:tcPr>
            <w:tcW w:w="463" w:type="pct"/>
            <w:tcBorders>
              <w:top w:val="thinThickSmallGap" w:sz="24" w:space="0" w:color="000000"/>
              <w:bottom w:val="thinThickSmallGap" w:sz="24" w:space="0" w:color="000000"/>
            </w:tcBorders>
          </w:tcPr>
          <w:p w14:paraId="457D7F6A" w14:textId="77777777" w:rsidR="00D82C73" w:rsidRPr="007C5A6E" w:rsidRDefault="00D82C73" w:rsidP="00905928">
            <w:pPr>
              <w:autoSpaceDE w:val="0"/>
              <w:autoSpaceDN w:val="0"/>
              <w:adjustRightInd w:val="0"/>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lang w:eastAsia="en-US"/>
              </w:rPr>
            </w:pPr>
            <w:r w:rsidRPr="007C5A6E">
              <w:rPr>
                <w:rFonts w:ascii="Times New Roman" w:eastAsia="Calibri" w:hAnsi="Times New Roman"/>
                <w:lang w:eastAsia="en-US"/>
              </w:rPr>
              <w:t>2023</w:t>
            </w:r>
          </w:p>
        </w:tc>
      </w:tr>
      <w:tr w:rsidR="00D82C73" w:rsidRPr="007C5A6E" w14:paraId="316212D9" w14:textId="77777777" w:rsidTr="009059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5" w:type="pct"/>
            <w:tcBorders>
              <w:top w:val="thinThickSmallGap" w:sz="24" w:space="0" w:color="000000"/>
            </w:tcBorders>
          </w:tcPr>
          <w:p w14:paraId="32534D43" w14:textId="77777777" w:rsidR="00D82C73" w:rsidRPr="007C5A6E" w:rsidRDefault="00D82C73" w:rsidP="00905928">
            <w:pPr>
              <w:autoSpaceDE w:val="0"/>
              <w:autoSpaceDN w:val="0"/>
              <w:adjustRightInd w:val="0"/>
              <w:spacing w:after="0" w:line="240" w:lineRule="auto"/>
              <w:contextualSpacing/>
              <w:rPr>
                <w:rFonts w:ascii="Times New Roman" w:eastAsia="Calibri" w:hAnsi="Times New Roman"/>
                <w:b w:val="0"/>
                <w:bCs w:val="0"/>
                <w:lang w:eastAsia="en-US"/>
              </w:rPr>
            </w:pPr>
            <w:r w:rsidRPr="007C5A6E">
              <w:rPr>
                <w:rFonts w:ascii="Times New Roman" w:eastAsia="Calibri" w:hAnsi="Times New Roman"/>
                <w:b w:val="0"/>
                <w:bCs w:val="0"/>
                <w:lang w:eastAsia="en-US"/>
              </w:rPr>
              <w:t>Ouagadougou</w:t>
            </w:r>
          </w:p>
        </w:tc>
        <w:tc>
          <w:tcPr>
            <w:tcW w:w="494" w:type="pct"/>
            <w:tcBorders>
              <w:top w:val="thinThickSmallGap" w:sz="24" w:space="0" w:color="000000"/>
            </w:tcBorders>
          </w:tcPr>
          <w:p w14:paraId="40C7C19B"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43,2</w:t>
            </w:r>
          </w:p>
        </w:tc>
        <w:tc>
          <w:tcPr>
            <w:tcW w:w="481" w:type="pct"/>
            <w:tcBorders>
              <w:top w:val="thinThickSmallGap" w:sz="24" w:space="0" w:color="000000"/>
            </w:tcBorders>
          </w:tcPr>
          <w:p w14:paraId="4A5B2EF9"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43,5</w:t>
            </w:r>
          </w:p>
        </w:tc>
        <w:tc>
          <w:tcPr>
            <w:tcW w:w="463" w:type="pct"/>
            <w:tcBorders>
              <w:top w:val="thinThickSmallGap" w:sz="24" w:space="0" w:color="000000"/>
            </w:tcBorders>
          </w:tcPr>
          <w:p w14:paraId="2725F43B"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42,1</w:t>
            </w:r>
          </w:p>
        </w:tc>
        <w:tc>
          <w:tcPr>
            <w:tcW w:w="463" w:type="pct"/>
            <w:tcBorders>
              <w:top w:val="thinThickSmallGap" w:sz="24" w:space="0" w:color="000000"/>
            </w:tcBorders>
          </w:tcPr>
          <w:p w14:paraId="761732E1"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43,1</w:t>
            </w:r>
          </w:p>
        </w:tc>
        <w:tc>
          <w:tcPr>
            <w:tcW w:w="455" w:type="pct"/>
            <w:tcBorders>
              <w:top w:val="thinThickSmallGap" w:sz="24" w:space="0" w:color="000000"/>
            </w:tcBorders>
          </w:tcPr>
          <w:p w14:paraId="7307CB76"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44,2</w:t>
            </w:r>
          </w:p>
        </w:tc>
        <w:tc>
          <w:tcPr>
            <w:tcW w:w="471" w:type="pct"/>
            <w:tcBorders>
              <w:top w:val="thinThickSmallGap" w:sz="24" w:space="0" w:color="000000"/>
            </w:tcBorders>
          </w:tcPr>
          <w:p w14:paraId="0D155319"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43,4</w:t>
            </w:r>
          </w:p>
        </w:tc>
        <w:tc>
          <w:tcPr>
            <w:tcW w:w="463" w:type="pct"/>
            <w:tcBorders>
              <w:top w:val="thinThickSmallGap" w:sz="24" w:space="0" w:color="000000"/>
            </w:tcBorders>
          </w:tcPr>
          <w:p w14:paraId="0621A8D9"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42,4</w:t>
            </w:r>
          </w:p>
        </w:tc>
        <w:tc>
          <w:tcPr>
            <w:tcW w:w="463" w:type="pct"/>
            <w:tcBorders>
              <w:top w:val="thinThickSmallGap" w:sz="24" w:space="0" w:color="000000"/>
            </w:tcBorders>
          </w:tcPr>
          <w:p w14:paraId="54573A3D"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42,7</w:t>
            </w:r>
          </w:p>
        </w:tc>
      </w:tr>
      <w:tr w:rsidR="00D82C73" w:rsidRPr="007C5A6E" w14:paraId="04AB1113" w14:textId="77777777" w:rsidTr="00905928">
        <w:tc>
          <w:tcPr>
            <w:cnfStyle w:val="001000000000" w:firstRow="0" w:lastRow="0" w:firstColumn="1" w:lastColumn="0" w:oddVBand="0" w:evenVBand="0" w:oddHBand="0" w:evenHBand="0" w:firstRowFirstColumn="0" w:firstRowLastColumn="0" w:lastRowFirstColumn="0" w:lastRowLastColumn="0"/>
            <w:tcW w:w="1245" w:type="pct"/>
          </w:tcPr>
          <w:p w14:paraId="1A79DCC3" w14:textId="77777777" w:rsidR="00D82C73" w:rsidRPr="007C5A6E" w:rsidRDefault="00D82C73" w:rsidP="00905928">
            <w:pPr>
              <w:autoSpaceDE w:val="0"/>
              <w:autoSpaceDN w:val="0"/>
              <w:adjustRightInd w:val="0"/>
              <w:spacing w:after="0" w:line="240" w:lineRule="auto"/>
              <w:contextualSpacing/>
              <w:rPr>
                <w:rFonts w:ascii="Times New Roman" w:eastAsia="Calibri" w:hAnsi="Times New Roman"/>
                <w:b w:val="0"/>
                <w:bCs w:val="0"/>
                <w:lang w:eastAsia="en-US"/>
              </w:rPr>
            </w:pPr>
            <w:r w:rsidRPr="007C5A6E">
              <w:rPr>
                <w:rFonts w:ascii="Times New Roman" w:eastAsia="Calibri" w:hAnsi="Times New Roman"/>
                <w:b w:val="0"/>
                <w:bCs w:val="0"/>
                <w:lang w:eastAsia="en-US"/>
              </w:rPr>
              <w:t>Dori</w:t>
            </w:r>
          </w:p>
        </w:tc>
        <w:tc>
          <w:tcPr>
            <w:tcW w:w="494" w:type="pct"/>
          </w:tcPr>
          <w:p w14:paraId="5016D4B8"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47,5</w:t>
            </w:r>
          </w:p>
        </w:tc>
        <w:tc>
          <w:tcPr>
            <w:tcW w:w="481" w:type="pct"/>
          </w:tcPr>
          <w:p w14:paraId="16EB734F"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45,6</w:t>
            </w:r>
          </w:p>
        </w:tc>
        <w:tc>
          <w:tcPr>
            <w:tcW w:w="463" w:type="pct"/>
          </w:tcPr>
          <w:p w14:paraId="61B356B8"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44,7</w:t>
            </w:r>
          </w:p>
        </w:tc>
        <w:tc>
          <w:tcPr>
            <w:tcW w:w="463" w:type="pct"/>
          </w:tcPr>
          <w:p w14:paraId="3812B373"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46,1</w:t>
            </w:r>
          </w:p>
        </w:tc>
        <w:tc>
          <w:tcPr>
            <w:tcW w:w="455" w:type="pct"/>
          </w:tcPr>
          <w:p w14:paraId="407B1E1D"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46,3</w:t>
            </w:r>
          </w:p>
        </w:tc>
        <w:tc>
          <w:tcPr>
            <w:tcW w:w="471" w:type="pct"/>
          </w:tcPr>
          <w:p w14:paraId="4E3F287C"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45</w:t>
            </w:r>
          </w:p>
        </w:tc>
        <w:tc>
          <w:tcPr>
            <w:tcW w:w="463" w:type="pct"/>
          </w:tcPr>
          <w:p w14:paraId="6800F0BD"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w:t>
            </w:r>
          </w:p>
        </w:tc>
        <w:tc>
          <w:tcPr>
            <w:tcW w:w="463" w:type="pct"/>
          </w:tcPr>
          <w:p w14:paraId="07207EBF"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w:t>
            </w:r>
          </w:p>
        </w:tc>
      </w:tr>
      <w:tr w:rsidR="00D82C73" w:rsidRPr="007C5A6E" w14:paraId="04126C0D" w14:textId="77777777" w:rsidTr="009059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5" w:type="pct"/>
          </w:tcPr>
          <w:p w14:paraId="31BAB568" w14:textId="77777777" w:rsidR="00D82C73" w:rsidRPr="007C5A6E" w:rsidRDefault="00D82C73" w:rsidP="00905928">
            <w:pPr>
              <w:autoSpaceDE w:val="0"/>
              <w:autoSpaceDN w:val="0"/>
              <w:adjustRightInd w:val="0"/>
              <w:spacing w:after="0" w:line="240" w:lineRule="auto"/>
              <w:contextualSpacing/>
              <w:rPr>
                <w:rFonts w:ascii="Times New Roman" w:eastAsia="Calibri" w:hAnsi="Times New Roman"/>
                <w:b w:val="0"/>
                <w:bCs w:val="0"/>
                <w:lang w:eastAsia="en-US"/>
              </w:rPr>
            </w:pPr>
            <w:r w:rsidRPr="007C5A6E">
              <w:rPr>
                <w:rFonts w:ascii="Times New Roman" w:eastAsia="Calibri" w:hAnsi="Times New Roman"/>
                <w:b w:val="0"/>
                <w:bCs w:val="0"/>
                <w:lang w:eastAsia="en-US"/>
              </w:rPr>
              <w:t>Dédougou</w:t>
            </w:r>
          </w:p>
        </w:tc>
        <w:tc>
          <w:tcPr>
            <w:tcW w:w="494" w:type="pct"/>
          </w:tcPr>
          <w:p w14:paraId="62CE36C3"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45,2</w:t>
            </w:r>
          </w:p>
        </w:tc>
        <w:tc>
          <w:tcPr>
            <w:tcW w:w="481" w:type="pct"/>
          </w:tcPr>
          <w:p w14:paraId="1C17CAD5"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44</w:t>
            </w:r>
          </w:p>
        </w:tc>
        <w:tc>
          <w:tcPr>
            <w:tcW w:w="463" w:type="pct"/>
          </w:tcPr>
          <w:p w14:paraId="57CD07BF"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43,6</w:t>
            </w:r>
          </w:p>
        </w:tc>
        <w:tc>
          <w:tcPr>
            <w:tcW w:w="463" w:type="pct"/>
          </w:tcPr>
          <w:p w14:paraId="6FAF1754"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45,2</w:t>
            </w:r>
          </w:p>
        </w:tc>
        <w:tc>
          <w:tcPr>
            <w:tcW w:w="455" w:type="pct"/>
          </w:tcPr>
          <w:p w14:paraId="2B1EF5C4"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44,3</w:t>
            </w:r>
          </w:p>
        </w:tc>
        <w:tc>
          <w:tcPr>
            <w:tcW w:w="471" w:type="pct"/>
          </w:tcPr>
          <w:p w14:paraId="5DC72A9B"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43,5</w:t>
            </w:r>
          </w:p>
        </w:tc>
        <w:tc>
          <w:tcPr>
            <w:tcW w:w="463" w:type="pct"/>
          </w:tcPr>
          <w:p w14:paraId="3CBA644F"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44</w:t>
            </w:r>
          </w:p>
        </w:tc>
        <w:tc>
          <w:tcPr>
            <w:tcW w:w="463" w:type="pct"/>
          </w:tcPr>
          <w:p w14:paraId="55A70908"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43,8</w:t>
            </w:r>
          </w:p>
        </w:tc>
      </w:tr>
      <w:tr w:rsidR="00D82C73" w:rsidRPr="007C5A6E" w14:paraId="38A2E8A3" w14:textId="77777777" w:rsidTr="00905928">
        <w:tc>
          <w:tcPr>
            <w:cnfStyle w:val="001000000000" w:firstRow="0" w:lastRow="0" w:firstColumn="1" w:lastColumn="0" w:oddVBand="0" w:evenVBand="0" w:oddHBand="0" w:evenHBand="0" w:firstRowFirstColumn="0" w:firstRowLastColumn="0" w:lastRowFirstColumn="0" w:lastRowLastColumn="0"/>
            <w:tcW w:w="1245" w:type="pct"/>
          </w:tcPr>
          <w:p w14:paraId="51C7D0AA" w14:textId="77777777" w:rsidR="00D82C73" w:rsidRPr="007C5A6E" w:rsidRDefault="00D82C73" w:rsidP="00905928">
            <w:pPr>
              <w:autoSpaceDE w:val="0"/>
              <w:autoSpaceDN w:val="0"/>
              <w:adjustRightInd w:val="0"/>
              <w:spacing w:after="0" w:line="240" w:lineRule="auto"/>
              <w:contextualSpacing/>
              <w:rPr>
                <w:rFonts w:ascii="Times New Roman" w:eastAsia="Calibri" w:hAnsi="Times New Roman"/>
                <w:b w:val="0"/>
                <w:bCs w:val="0"/>
                <w:lang w:eastAsia="en-US"/>
              </w:rPr>
            </w:pPr>
            <w:r w:rsidRPr="007C5A6E">
              <w:rPr>
                <w:rFonts w:ascii="Times New Roman" w:eastAsia="Calibri" w:hAnsi="Times New Roman"/>
                <w:b w:val="0"/>
                <w:bCs w:val="0"/>
                <w:lang w:eastAsia="en-US"/>
              </w:rPr>
              <w:t>Fada N’Gourma</w:t>
            </w:r>
          </w:p>
        </w:tc>
        <w:tc>
          <w:tcPr>
            <w:tcW w:w="494" w:type="pct"/>
          </w:tcPr>
          <w:p w14:paraId="799CEE75"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43,5</w:t>
            </w:r>
          </w:p>
        </w:tc>
        <w:tc>
          <w:tcPr>
            <w:tcW w:w="481" w:type="pct"/>
          </w:tcPr>
          <w:p w14:paraId="14750381"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43,4</w:t>
            </w:r>
          </w:p>
        </w:tc>
        <w:tc>
          <w:tcPr>
            <w:tcW w:w="463" w:type="pct"/>
          </w:tcPr>
          <w:p w14:paraId="68142F39"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42,8</w:t>
            </w:r>
          </w:p>
        </w:tc>
        <w:tc>
          <w:tcPr>
            <w:tcW w:w="463" w:type="pct"/>
          </w:tcPr>
          <w:p w14:paraId="696482DC"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43,1</w:t>
            </w:r>
          </w:p>
        </w:tc>
        <w:tc>
          <w:tcPr>
            <w:tcW w:w="455" w:type="pct"/>
          </w:tcPr>
          <w:p w14:paraId="4FFD1401"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44,3</w:t>
            </w:r>
          </w:p>
        </w:tc>
        <w:tc>
          <w:tcPr>
            <w:tcW w:w="471" w:type="pct"/>
          </w:tcPr>
          <w:p w14:paraId="3AF53B49"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43,9</w:t>
            </w:r>
          </w:p>
        </w:tc>
        <w:tc>
          <w:tcPr>
            <w:tcW w:w="463" w:type="pct"/>
          </w:tcPr>
          <w:p w14:paraId="6CF03FF3"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42,9</w:t>
            </w:r>
          </w:p>
        </w:tc>
        <w:tc>
          <w:tcPr>
            <w:tcW w:w="463" w:type="pct"/>
          </w:tcPr>
          <w:p w14:paraId="57D244B6"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42,3</w:t>
            </w:r>
          </w:p>
        </w:tc>
      </w:tr>
      <w:tr w:rsidR="00D82C73" w:rsidRPr="007C5A6E" w14:paraId="73B36DC1" w14:textId="77777777" w:rsidTr="009059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5" w:type="pct"/>
          </w:tcPr>
          <w:p w14:paraId="5CC38BFB" w14:textId="77777777" w:rsidR="00D82C73" w:rsidRPr="007C5A6E" w:rsidRDefault="00D82C73" w:rsidP="00905928">
            <w:pPr>
              <w:autoSpaceDE w:val="0"/>
              <w:autoSpaceDN w:val="0"/>
              <w:adjustRightInd w:val="0"/>
              <w:spacing w:after="0" w:line="240" w:lineRule="auto"/>
              <w:contextualSpacing/>
              <w:rPr>
                <w:rFonts w:ascii="Times New Roman" w:eastAsia="Calibri" w:hAnsi="Times New Roman"/>
                <w:b w:val="0"/>
                <w:bCs w:val="0"/>
                <w:lang w:eastAsia="en-US"/>
              </w:rPr>
            </w:pPr>
            <w:r w:rsidRPr="007C5A6E">
              <w:rPr>
                <w:rFonts w:ascii="Times New Roman" w:eastAsia="Calibri" w:hAnsi="Times New Roman"/>
                <w:b w:val="0"/>
                <w:bCs w:val="0"/>
                <w:lang w:eastAsia="en-US"/>
              </w:rPr>
              <w:t>Bobo Dioulasso</w:t>
            </w:r>
          </w:p>
        </w:tc>
        <w:tc>
          <w:tcPr>
            <w:tcW w:w="494" w:type="pct"/>
          </w:tcPr>
          <w:p w14:paraId="54DE030F"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41,4</w:t>
            </w:r>
          </w:p>
        </w:tc>
        <w:tc>
          <w:tcPr>
            <w:tcW w:w="481" w:type="pct"/>
          </w:tcPr>
          <w:p w14:paraId="64283F59"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41,4</w:t>
            </w:r>
          </w:p>
        </w:tc>
        <w:tc>
          <w:tcPr>
            <w:tcW w:w="463" w:type="pct"/>
          </w:tcPr>
          <w:p w14:paraId="77131E8F"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40,4</w:t>
            </w:r>
          </w:p>
        </w:tc>
        <w:tc>
          <w:tcPr>
            <w:tcW w:w="463" w:type="pct"/>
          </w:tcPr>
          <w:p w14:paraId="33883D00"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40,2</w:t>
            </w:r>
          </w:p>
        </w:tc>
        <w:tc>
          <w:tcPr>
            <w:tcW w:w="455" w:type="pct"/>
          </w:tcPr>
          <w:p w14:paraId="0C98F5F4"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42</w:t>
            </w:r>
          </w:p>
        </w:tc>
        <w:tc>
          <w:tcPr>
            <w:tcW w:w="471" w:type="pct"/>
          </w:tcPr>
          <w:p w14:paraId="63205A05"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42</w:t>
            </w:r>
          </w:p>
        </w:tc>
        <w:tc>
          <w:tcPr>
            <w:tcW w:w="463" w:type="pct"/>
          </w:tcPr>
          <w:p w14:paraId="6B2A5D7C"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39,7</w:t>
            </w:r>
          </w:p>
        </w:tc>
        <w:tc>
          <w:tcPr>
            <w:tcW w:w="463" w:type="pct"/>
          </w:tcPr>
          <w:p w14:paraId="53515EEC" w14:textId="77777777" w:rsidR="00D82C73" w:rsidRPr="007C5A6E" w:rsidRDefault="00D82C73" w:rsidP="00905928">
            <w:pPr>
              <w:autoSpaceDE w:val="0"/>
              <w:autoSpaceDN w:val="0"/>
              <w:adjustRightInd w:val="0"/>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39,9</w:t>
            </w:r>
          </w:p>
        </w:tc>
      </w:tr>
      <w:tr w:rsidR="00D82C73" w:rsidRPr="007C5A6E" w14:paraId="7B5EF9EB" w14:textId="77777777" w:rsidTr="00905928">
        <w:tc>
          <w:tcPr>
            <w:cnfStyle w:val="001000000000" w:firstRow="0" w:lastRow="0" w:firstColumn="1" w:lastColumn="0" w:oddVBand="0" w:evenVBand="0" w:oddHBand="0" w:evenHBand="0" w:firstRowFirstColumn="0" w:firstRowLastColumn="0" w:lastRowFirstColumn="0" w:lastRowLastColumn="0"/>
            <w:tcW w:w="1245" w:type="pct"/>
            <w:tcBorders>
              <w:bottom w:val="thinThickSmallGap" w:sz="24" w:space="0" w:color="000000"/>
            </w:tcBorders>
          </w:tcPr>
          <w:p w14:paraId="45868624" w14:textId="77777777" w:rsidR="00D82C73" w:rsidRPr="007C5A6E" w:rsidRDefault="00D82C73" w:rsidP="00905928">
            <w:pPr>
              <w:autoSpaceDE w:val="0"/>
              <w:autoSpaceDN w:val="0"/>
              <w:adjustRightInd w:val="0"/>
              <w:spacing w:after="0" w:line="240" w:lineRule="auto"/>
              <w:contextualSpacing/>
              <w:rPr>
                <w:rFonts w:ascii="Times New Roman" w:eastAsia="Calibri" w:hAnsi="Times New Roman"/>
                <w:b w:val="0"/>
                <w:bCs w:val="0"/>
                <w:lang w:eastAsia="en-US"/>
              </w:rPr>
            </w:pPr>
            <w:r w:rsidRPr="007C5A6E">
              <w:rPr>
                <w:rFonts w:ascii="Times New Roman" w:eastAsia="Calibri" w:hAnsi="Times New Roman"/>
                <w:b w:val="0"/>
                <w:bCs w:val="0"/>
                <w:lang w:eastAsia="en-US"/>
              </w:rPr>
              <w:t>Gaoua</w:t>
            </w:r>
          </w:p>
        </w:tc>
        <w:tc>
          <w:tcPr>
            <w:tcW w:w="494" w:type="pct"/>
            <w:tcBorders>
              <w:bottom w:val="thinThickSmallGap" w:sz="24" w:space="0" w:color="000000"/>
            </w:tcBorders>
          </w:tcPr>
          <w:p w14:paraId="54D4E4D3"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40,8</w:t>
            </w:r>
          </w:p>
        </w:tc>
        <w:tc>
          <w:tcPr>
            <w:tcW w:w="481" w:type="pct"/>
            <w:tcBorders>
              <w:bottom w:val="thinThickSmallGap" w:sz="24" w:space="0" w:color="000000"/>
            </w:tcBorders>
          </w:tcPr>
          <w:p w14:paraId="065B5304"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40,9</w:t>
            </w:r>
          </w:p>
        </w:tc>
        <w:tc>
          <w:tcPr>
            <w:tcW w:w="463" w:type="pct"/>
            <w:tcBorders>
              <w:bottom w:val="thinThickSmallGap" w:sz="24" w:space="0" w:color="000000"/>
            </w:tcBorders>
          </w:tcPr>
          <w:p w14:paraId="788C6431"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39,2</w:t>
            </w:r>
          </w:p>
        </w:tc>
        <w:tc>
          <w:tcPr>
            <w:tcW w:w="463" w:type="pct"/>
            <w:tcBorders>
              <w:bottom w:val="thinThickSmallGap" w:sz="24" w:space="0" w:color="000000"/>
            </w:tcBorders>
          </w:tcPr>
          <w:p w14:paraId="3CEC9E4B"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40,9</w:t>
            </w:r>
          </w:p>
        </w:tc>
        <w:tc>
          <w:tcPr>
            <w:tcW w:w="455" w:type="pct"/>
            <w:tcBorders>
              <w:bottom w:val="thinThickSmallGap" w:sz="24" w:space="0" w:color="000000"/>
            </w:tcBorders>
          </w:tcPr>
          <w:p w14:paraId="5C816BB3"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41,7</w:t>
            </w:r>
          </w:p>
        </w:tc>
        <w:tc>
          <w:tcPr>
            <w:tcW w:w="471" w:type="pct"/>
            <w:tcBorders>
              <w:bottom w:val="thinThickSmallGap" w:sz="24" w:space="0" w:color="000000"/>
            </w:tcBorders>
          </w:tcPr>
          <w:p w14:paraId="6C0DA4AA"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41,2</w:t>
            </w:r>
          </w:p>
        </w:tc>
        <w:tc>
          <w:tcPr>
            <w:tcW w:w="463" w:type="pct"/>
            <w:tcBorders>
              <w:bottom w:val="thinThickSmallGap" w:sz="24" w:space="0" w:color="000000"/>
            </w:tcBorders>
          </w:tcPr>
          <w:p w14:paraId="62730A83"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40,8</w:t>
            </w:r>
          </w:p>
        </w:tc>
        <w:tc>
          <w:tcPr>
            <w:tcW w:w="463" w:type="pct"/>
            <w:tcBorders>
              <w:bottom w:val="thinThickSmallGap" w:sz="24" w:space="0" w:color="000000"/>
            </w:tcBorders>
          </w:tcPr>
          <w:p w14:paraId="72672E0F" w14:textId="77777777" w:rsidR="00D82C73" w:rsidRPr="007C5A6E" w:rsidRDefault="00D82C73" w:rsidP="00905928">
            <w:pPr>
              <w:autoSpaceDE w:val="0"/>
              <w:autoSpaceDN w:val="0"/>
              <w:adjustRightInd w:val="0"/>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lang w:eastAsia="en-US"/>
              </w:rPr>
            </w:pPr>
            <w:r w:rsidRPr="007C5A6E">
              <w:rPr>
                <w:rFonts w:ascii="Times New Roman" w:eastAsia="Calibri" w:hAnsi="Times New Roman"/>
                <w:bCs/>
                <w:lang w:eastAsia="en-US"/>
              </w:rPr>
              <w:t>41,5</w:t>
            </w:r>
          </w:p>
        </w:tc>
      </w:tr>
    </w:tbl>
    <w:p w14:paraId="05A6B1F9" w14:textId="77777777" w:rsidR="00D82C73" w:rsidRPr="007C5A6E" w:rsidRDefault="00D82C73" w:rsidP="00B15B8A">
      <w:pPr>
        <w:spacing w:after="0" w:line="240" w:lineRule="auto"/>
        <w:jc w:val="both"/>
        <w:rPr>
          <w:rFonts w:ascii="Times New Roman" w:eastAsia="Calibri" w:hAnsi="Times New Roman"/>
          <w:sz w:val="20"/>
          <w:szCs w:val="20"/>
          <w:lang w:eastAsia="en-US"/>
          <w14:ligatures w14:val="standardContextual"/>
        </w:rPr>
      </w:pPr>
      <w:r w:rsidRPr="007C5A6E">
        <w:rPr>
          <w:rFonts w:ascii="Times New Roman" w:eastAsia="Calibri" w:hAnsi="Times New Roman"/>
          <w:sz w:val="20"/>
          <w:szCs w:val="20"/>
          <w:lang w:eastAsia="en-US"/>
          <w14:ligatures w14:val="standardContextual"/>
        </w:rPr>
        <w:t>MTMUSR/Agence Nationale de la Météorologie,2016-2023</w:t>
      </w:r>
    </w:p>
    <w:p w14:paraId="67064BD6" w14:textId="77777777" w:rsidR="00D82C73" w:rsidRPr="007C5A6E" w:rsidRDefault="00D82C73" w:rsidP="00B15B8A">
      <w:pPr>
        <w:spacing w:after="0" w:line="240" w:lineRule="auto"/>
        <w:jc w:val="both"/>
        <w:rPr>
          <w:rFonts w:ascii="Times New Roman" w:eastAsia="Calibri" w:hAnsi="Times New Roman"/>
          <w:sz w:val="20"/>
          <w:szCs w:val="20"/>
          <w:lang w:eastAsia="en-US"/>
          <w14:ligatures w14:val="standardContextual"/>
        </w:rPr>
      </w:pPr>
    </w:p>
    <w:p w14:paraId="77983B4A" w14:textId="5AC33728" w:rsidR="00D82C73" w:rsidRPr="007C5A6E" w:rsidRDefault="00B15B8A" w:rsidP="00684FF8">
      <w:pPr>
        <w:pStyle w:val="Titre4"/>
      </w:pPr>
      <w:bookmarkStart w:id="763" w:name="_Toc183340148"/>
      <w:r w:rsidRPr="007C5A6E">
        <w:t>Les vents violents</w:t>
      </w:r>
      <w:bookmarkEnd w:id="763"/>
    </w:p>
    <w:p w14:paraId="34D4456A" w14:textId="77777777" w:rsidR="00B15B8A" w:rsidRPr="007C5A6E" w:rsidRDefault="00B15B8A" w:rsidP="00B15B8A">
      <w:pPr>
        <w:autoSpaceDE w:val="0"/>
        <w:autoSpaceDN w:val="0"/>
        <w:adjustRightInd w:val="0"/>
        <w:spacing w:after="0" w:line="240" w:lineRule="auto"/>
        <w:jc w:val="both"/>
        <w:rPr>
          <w:rFonts w:ascii="Times New Roman" w:eastAsia="Calibri" w:hAnsi="Times New Roman"/>
          <w:bCs/>
          <w:kern w:val="2"/>
          <w:sz w:val="24"/>
          <w:szCs w:val="24"/>
          <w:lang w:eastAsia="en-US"/>
          <w14:ligatures w14:val="standardContextual"/>
        </w:rPr>
      </w:pPr>
    </w:p>
    <w:p w14:paraId="26276AF7" w14:textId="2EFCF8AC" w:rsidR="00D82C73" w:rsidRPr="007C5A6E" w:rsidRDefault="00D82C73" w:rsidP="00B15B8A">
      <w:pPr>
        <w:autoSpaceDE w:val="0"/>
        <w:autoSpaceDN w:val="0"/>
        <w:adjustRightInd w:val="0"/>
        <w:spacing w:after="0" w:line="240" w:lineRule="auto"/>
        <w:jc w:val="both"/>
        <w:rPr>
          <w:rFonts w:ascii="Times New Roman" w:eastAsia="Calibri" w:hAnsi="Times New Roman"/>
          <w:bCs/>
          <w:kern w:val="2"/>
          <w:sz w:val="24"/>
          <w:szCs w:val="24"/>
          <w:lang w:eastAsia="en-US"/>
          <w14:ligatures w14:val="standardContextual"/>
        </w:rPr>
      </w:pPr>
      <w:r w:rsidRPr="007C5A6E">
        <w:rPr>
          <w:rFonts w:ascii="Times New Roman" w:eastAsia="Calibri" w:hAnsi="Times New Roman"/>
          <w:bCs/>
          <w:kern w:val="2"/>
          <w:sz w:val="24"/>
          <w:szCs w:val="24"/>
          <w:lang w:eastAsia="en-US"/>
          <w14:ligatures w14:val="standardContextual"/>
        </w:rPr>
        <w:t xml:space="preserve">Le vent est actif en zone sahélienne stricte et </w:t>
      </w:r>
      <w:r w:rsidR="00905928" w:rsidRPr="007C5A6E">
        <w:rPr>
          <w:rFonts w:ascii="Times New Roman" w:eastAsia="Calibri" w:hAnsi="Times New Roman"/>
          <w:bCs/>
          <w:kern w:val="2"/>
          <w:sz w:val="24"/>
          <w:szCs w:val="24"/>
          <w:lang w:eastAsia="en-US"/>
          <w14:ligatures w14:val="standardContextual"/>
        </w:rPr>
        <w:t>subsahélienne</w:t>
      </w:r>
      <w:r w:rsidRPr="007C5A6E">
        <w:rPr>
          <w:rFonts w:ascii="Times New Roman" w:eastAsia="Calibri" w:hAnsi="Times New Roman"/>
          <w:bCs/>
          <w:kern w:val="2"/>
          <w:sz w:val="24"/>
          <w:szCs w:val="24"/>
          <w:lang w:eastAsia="en-US"/>
          <w14:ligatures w14:val="standardContextual"/>
        </w:rPr>
        <w:t xml:space="preserve"> où la végétation est clairsemée à quasi-absente. Le tableau 10 montre une tendance à l’augmentation de la vitesse du vent dans les stations de Bobo-Dioulasso, Bogandé, Dédougou, Fada </w:t>
      </w:r>
      <w:r w:rsidR="0041104B" w:rsidRPr="007C5A6E">
        <w:rPr>
          <w:rFonts w:ascii="Times New Roman" w:eastAsia="Calibri" w:hAnsi="Times New Roman"/>
          <w:bCs/>
          <w:kern w:val="2"/>
          <w:sz w:val="24"/>
          <w:szCs w:val="24"/>
          <w:lang w:eastAsia="en-US"/>
          <w14:ligatures w14:val="standardContextual"/>
        </w:rPr>
        <w:t>N’Gourma</w:t>
      </w:r>
      <w:r w:rsidRPr="007C5A6E">
        <w:rPr>
          <w:rFonts w:ascii="Times New Roman" w:eastAsia="Calibri" w:hAnsi="Times New Roman"/>
          <w:bCs/>
          <w:kern w:val="2"/>
          <w:sz w:val="24"/>
          <w:szCs w:val="24"/>
          <w:lang w:eastAsia="en-US"/>
          <w14:ligatures w14:val="standardContextual"/>
        </w:rPr>
        <w:t xml:space="preserve">, Ouagadougou et Ouahigouya. Compte tenu de la faible couverture végétale en région sahélienne, l’évolution de la vitesse du vent devrait être importante mais ce n’est pas le cas. Les vitesses moyennes relevées à la station de Dori, sont de 1 m/s en 2016 et 2021 et inférieures à 1 m/s. de 2018 à 2020. Le tableau </w:t>
      </w:r>
      <w:r w:rsidR="00905928" w:rsidRPr="007C5A6E">
        <w:rPr>
          <w:rFonts w:ascii="Times New Roman" w:eastAsia="Calibri" w:hAnsi="Times New Roman"/>
          <w:bCs/>
          <w:kern w:val="2"/>
          <w:sz w:val="24"/>
          <w:szCs w:val="24"/>
          <w:lang w:eastAsia="en-US"/>
          <w14:ligatures w14:val="standardContextual"/>
        </w:rPr>
        <w:t>3</w:t>
      </w:r>
      <w:r w:rsidR="00E853CC" w:rsidRPr="007C5A6E">
        <w:rPr>
          <w:rFonts w:ascii="Times New Roman" w:eastAsia="Calibri" w:hAnsi="Times New Roman"/>
          <w:bCs/>
          <w:kern w:val="2"/>
          <w:sz w:val="24"/>
          <w:szCs w:val="24"/>
          <w:lang w:eastAsia="en-US"/>
          <w14:ligatures w14:val="standardContextual"/>
        </w:rPr>
        <w:t>4</w:t>
      </w:r>
      <w:r w:rsidRPr="007C5A6E">
        <w:rPr>
          <w:rFonts w:ascii="Times New Roman" w:eastAsia="Calibri" w:hAnsi="Times New Roman"/>
          <w:bCs/>
          <w:kern w:val="2"/>
          <w:sz w:val="24"/>
          <w:szCs w:val="24"/>
          <w:lang w:eastAsia="en-US"/>
          <w14:ligatures w14:val="standardContextual"/>
        </w:rPr>
        <w:t xml:space="preserve"> donne l’évolution de la vitesse moyenne du vent dans les principales stations météorologiques.</w:t>
      </w:r>
    </w:p>
    <w:p w14:paraId="513F3A8E" w14:textId="77777777" w:rsidR="00D82C73" w:rsidRPr="007C5A6E" w:rsidRDefault="00D82C73" w:rsidP="00B15B8A">
      <w:pPr>
        <w:autoSpaceDE w:val="0"/>
        <w:autoSpaceDN w:val="0"/>
        <w:adjustRightInd w:val="0"/>
        <w:spacing w:after="0" w:line="240" w:lineRule="auto"/>
        <w:jc w:val="both"/>
        <w:rPr>
          <w:rFonts w:ascii="Times New Roman" w:eastAsia="Calibri" w:hAnsi="Times New Roman"/>
          <w:bCs/>
          <w:kern w:val="2"/>
          <w:sz w:val="24"/>
          <w:szCs w:val="24"/>
          <w:lang w:eastAsia="en-US"/>
          <w14:ligatures w14:val="standardContextual"/>
        </w:rPr>
      </w:pPr>
    </w:p>
    <w:p w14:paraId="01B6359A" w14:textId="1875E9E2" w:rsidR="00D82C73" w:rsidRPr="007C5A6E" w:rsidRDefault="00D82C73" w:rsidP="00905928">
      <w:pPr>
        <w:spacing w:after="0" w:line="240" w:lineRule="auto"/>
        <w:jc w:val="both"/>
        <w:rPr>
          <w:rFonts w:ascii="Times New Roman" w:hAnsi="Times New Roman"/>
          <w:spacing w:val="10"/>
          <w:sz w:val="24"/>
          <w:szCs w:val="24"/>
          <w:lang w:eastAsia="en-US"/>
        </w:rPr>
      </w:pPr>
      <w:bookmarkStart w:id="764" w:name="_Toc181983403"/>
      <w:bookmarkStart w:id="765" w:name="_Toc183240996"/>
      <w:bookmarkStart w:id="766" w:name="_Toc183292238"/>
      <w:bookmarkStart w:id="767" w:name="_Toc183340518"/>
      <w:r w:rsidRPr="007C5A6E">
        <w:rPr>
          <w:rFonts w:ascii="Times New Roman" w:hAnsi="Times New Roman"/>
          <w:spacing w:val="10"/>
          <w:sz w:val="24"/>
          <w:szCs w:val="24"/>
          <w:lang w:eastAsia="en-US"/>
        </w:rPr>
        <w:t xml:space="preserve">Tableau </w:t>
      </w:r>
      <w:r w:rsidRPr="007C5A6E">
        <w:rPr>
          <w:rFonts w:ascii="Times New Roman" w:hAnsi="Times New Roman"/>
          <w:spacing w:val="10"/>
          <w:sz w:val="24"/>
          <w:szCs w:val="24"/>
          <w:lang w:eastAsia="en-US"/>
        </w:rPr>
        <w:fldChar w:fldCharType="begin"/>
      </w:r>
      <w:r w:rsidRPr="007C5A6E">
        <w:rPr>
          <w:rFonts w:ascii="Times New Roman" w:hAnsi="Times New Roman"/>
          <w:spacing w:val="10"/>
          <w:sz w:val="24"/>
          <w:szCs w:val="24"/>
          <w:lang w:eastAsia="en-US"/>
        </w:rPr>
        <w:instrText xml:space="preserve"> SEQ Tableau \* ARABIC </w:instrText>
      </w:r>
      <w:r w:rsidRPr="007C5A6E">
        <w:rPr>
          <w:rFonts w:ascii="Times New Roman" w:hAnsi="Times New Roman"/>
          <w:spacing w:val="10"/>
          <w:sz w:val="24"/>
          <w:szCs w:val="24"/>
          <w:lang w:eastAsia="en-US"/>
        </w:rPr>
        <w:fldChar w:fldCharType="separate"/>
      </w:r>
      <w:r w:rsidR="003162F8" w:rsidRPr="007C5A6E">
        <w:rPr>
          <w:rFonts w:ascii="Times New Roman" w:hAnsi="Times New Roman"/>
          <w:noProof/>
          <w:spacing w:val="10"/>
          <w:sz w:val="24"/>
          <w:szCs w:val="24"/>
          <w:lang w:eastAsia="en-US"/>
        </w:rPr>
        <w:t>34</w:t>
      </w:r>
      <w:r w:rsidRPr="007C5A6E">
        <w:rPr>
          <w:rFonts w:ascii="Times New Roman" w:hAnsi="Times New Roman"/>
          <w:spacing w:val="10"/>
          <w:sz w:val="24"/>
          <w:szCs w:val="24"/>
          <w:lang w:eastAsia="en-US"/>
        </w:rPr>
        <w:fldChar w:fldCharType="end"/>
      </w:r>
      <w:r w:rsidRPr="007C5A6E">
        <w:rPr>
          <w:rFonts w:ascii="Times New Roman" w:hAnsi="Times New Roman"/>
          <w:spacing w:val="10"/>
          <w:sz w:val="24"/>
          <w:szCs w:val="24"/>
          <w:lang w:eastAsia="en-US"/>
        </w:rPr>
        <w:t xml:space="preserve"> : Evolution de la vitesse moyenne du vent dans les principales stations (m/s)</w:t>
      </w:r>
      <w:bookmarkEnd w:id="764"/>
      <w:bookmarkEnd w:id="765"/>
      <w:bookmarkEnd w:id="766"/>
      <w:bookmarkEnd w:id="767"/>
    </w:p>
    <w:p w14:paraId="2E7E2D9B" w14:textId="77777777" w:rsidR="00905928" w:rsidRPr="007C5A6E" w:rsidRDefault="00905928" w:rsidP="00905928">
      <w:pPr>
        <w:spacing w:after="0" w:line="240" w:lineRule="auto"/>
        <w:jc w:val="both"/>
        <w:rPr>
          <w:rFonts w:ascii="Times New Roman" w:hAnsi="Times New Roman"/>
          <w:spacing w:val="10"/>
          <w:sz w:val="24"/>
          <w:szCs w:val="24"/>
          <w:lang w:eastAsia="en-US"/>
        </w:rPr>
      </w:pPr>
    </w:p>
    <w:tbl>
      <w:tblPr>
        <w:tblW w:w="9040" w:type="dxa"/>
        <w:tblLook w:val="04A0" w:firstRow="1" w:lastRow="0" w:firstColumn="1" w:lastColumn="0" w:noHBand="0" w:noVBand="1"/>
      </w:tblPr>
      <w:tblGrid>
        <w:gridCol w:w="2972"/>
        <w:gridCol w:w="992"/>
        <w:gridCol w:w="993"/>
        <w:gridCol w:w="1134"/>
        <w:gridCol w:w="992"/>
        <w:gridCol w:w="992"/>
        <w:gridCol w:w="965"/>
      </w:tblGrid>
      <w:tr w:rsidR="00D82C73" w:rsidRPr="007C5A6E" w14:paraId="429F2C2C" w14:textId="77777777" w:rsidTr="00000A12">
        <w:trPr>
          <w:trHeight w:val="290"/>
        </w:trPr>
        <w:tc>
          <w:tcPr>
            <w:tcW w:w="2972" w:type="dxa"/>
            <w:tcBorders>
              <w:top w:val="single" w:sz="18" w:space="0" w:color="auto"/>
              <w:bottom w:val="single" w:sz="18" w:space="0" w:color="auto"/>
            </w:tcBorders>
            <w:shd w:val="clear" w:color="auto" w:fill="auto"/>
            <w:noWrap/>
            <w:vAlign w:val="bottom"/>
            <w:hideMark/>
          </w:tcPr>
          <w:p w14:paraId="46330A85" w14:textId="2C3F1BC6" w:rsidR="00D82C73" w:rsidRPr="007C5A6E" w:rsidRDefault="00905928" w:rsidP="00905928">
            <w:pPr>
              <w:spacing w:after="0" w:line="240" w:lineRule="auto"/>
              <w:rPr>
                <w:rFonts w:ascii="Times New Roman" w:hAnsi="Times New Roman"/>
                <w:b/>
                <w:bCs/>
                <w:color w:val="000000"/>
                <w:lang w:eastAsia="en-US"/>
              </w:rPr>
            </w:pPr>
            <w:r w:rsidRPr="007C5A6E">
              <w:rPr>
                <w:rFonts w:ascii="Times New Roman" w:hAnsi="Times New Roman"/>
                <w:b/>
                <w:bCs/>
                <w:color w:val="000000"/>
                <w:lang w:eastAsia="en-US"/>
              </w:rPr>
              <w:t>Stations</w:t>
            </w:r>
          </w:p>
        </w:tc>
        <w:tc>
          <w:tcPr>
            <w:tcW w:w="992" w:type="dxa"/>
            <w:tcBorders>
              <w:top w:val="single" w:sz="18" w:space="0" w:color="auto"/>
              <w:bottom w:val="single" w:sz="18" w:space="0" w:color="auto"/>
            </w:tcBorders>
            <w:shd w:val="clear" w:color="auto" w:fill="auto"/>
            <w:noWrap/>
            <w:vAlign w:val="bottom"/>
            <w:hideMark/>
          </w:tcPr>
          <w:p w14:paraId="2F27654A" w14:textId="77777777" w:rsidR="00D82C73" w:rsidRPr="007C5A6E" w:rsidRDefault="00D82C73" w:rsidP="00905928">
            <w:pPr>
              <w:spacing w:after="0" w:line="240" w:lineRule="auto"/>
              <w:jc w:val="right"/>
              <w:rPr>
                <w:rFonts w:ascii="Times New Roman" w:hAnsi="Times New Roman"/>
                <w:b/>
                <w:bCs/>
                <w:color w:val="000000"/>
                <w:lang w:eastAsia="en-US"/>
              </w:rPr>
            </w:pPr>
            <w:r w:rsidRPr="007C5A6E">
              <w:rPr>
                <w:rFonts w:ascii="Times New Roman" w:hAnsi="Times New Roman"/>
                <w:b/>
                <w:bCs/>
                <w:color w:val="000000"/>
                <w:lang w:eastAsia="en-US"/>
              </w:rPr>
              <w:t>2016</w:t>
            </w:r>
          </w:p>
        </w:tc>
        <w:tc>
          <w:tcPr>
            <w:tcW w:w="993" w:type="dxa"/>
            <w:tcBorders>
              <w:top w:val="single" w:sz="18" w:space="0" w:color="auto"/>
              <w:bottom w:val="single" w:sz="18" w:space="0" w:color="auto"/>
            </w:tcBorders>
            <w:shd w:val="clear" w:color="auto" w:fill="auto"/>
            <w:noWrap/>
            <w:vAlign w:val="bottom"/>
            <w:hideMark/>
          </w:tcPr>
          <w:p w14:paraId="1565919D" w14:textId="77777777" w:rsidR="00D82C73" w:rsidRPr="007C5A6E" w:rsidRDefault="00D82C73" w:rsidP="00905928">
            <w:pPr>
              <w:spacing w:after="0" w:line="240" w:lineRule="auto"/>
              <w:jc w:val="right"/>
              <w:rPr>
                <w:rFonts w:ascii="Times New Roman" w:hAnsi="Times New Roman"/>
                <w:b/>
                <w:bCs/>
                <w:color w:val="000000"/>
                <w:lang w:eastAsia="en-US"/>
              </w:rPr>
            </w:pPr>
            <w:r w:rsidRPr="007C5A6E">
              <w:rPr>
                <w:rFonts w:ascii="Times New Roman" w:hAnsi="Times New Roman"/>
                <w:b/>
                <w:bCs/>
                <w:color w:val="000000"/>
                <w:lang w:eastAsia="en-US"/>
              </w:rPr>
              <w:t>2017</w:t>
            </w:r>
          </w:p>
        </w:tc>
        <w:tc>
          <w:tcPr>
            <w:tcW w:w="1134" w:type="dxa"/>
            <w:tcBorders>
              <w:top w:val="single" w:sz="18" w:space="0" w:color="auto"/>
              <w:bottom w:val="single" w:sz="18" w:space="0" w:color="auto"/>
            </w:tcBorders>
            <w:shd w:val="clear" w:color="auto" w:fill="auto"/>
            <w:noWrap/>
            <w:vAlign w:val="bottom"/>
            <w:hideMark/>
          </w:tcPr>
          <w:p w14:paraId="749003AE" w14:textId="77777777" w:rsidR="00D82C73" w:rsidRPr="007C5A6E" w:rsidRDefault="00D82C73" w:rsidP="00905928">
            <w:pPr>
              <w:spacing w:after="0" w:line="240" w:lineRule="auto"/>
              <w:jc w:val="right"/>
              <w:rPr>
                <w:rFonts w:ascii="Times New Roman" w:hAnsi="Times New Roman"/>
                <w:b/>
                <w:bCs/>
                <w:color w:val="000000"/>
                <w:lang w:eastAsia="en-US"/>
              </w:rPr>
            </w:pPr>
            <w:r w:rsidRPr="007C5A6E">
              <w:rPr>
                <w:rFonts w:ascii="Times New Roman" w:hAnsi="Times New Roman"/>
                <w:b/>
                <w:bCs/>
                <w:color w:val="000000"/>
                <w:lang w:eastAsia="en-US"/>
              </w:rPr>
              <w:t>2018</w:t>
            </w:r>
          </w:p>
        </w:tc>
        <w:tc>
          <w:tcPr>
            <w:tcW w:w="992" w:type="dxa"/>
            <w:tcBorders>
              <w:top w:val="single" w:sz="18" w:space="0" w:color="auto"/>
              <w:bottom w:val="single" w:sz="18" w:space="0" w:color="auto"/>
            </w:tcBorders>
            <w:shd w:val="clear" w:color="auto" w:fill="auto"/>
            <w:noWrap/>
            <w:vAlign w:val="bottom"/>
            <w:hideMark/>
          </w:tcPr>
          <w:p w14:paraId="53EA2DA2" w14:textId="77777777" w:rsidR="00D82C73" w:rsidRPr="007C5A6E" w:rsidRDefault="00D82C73" w:rsidP="00905928">
            <w:pPr>
              <w:spacing w:after="0" w:line="240" w:lineRule="auto"/>
              <w:jc w:val="right"/>
              <w:rPr>
                <w:rFonts w:ascii="Times New Roman" w:hAnsi="Times New Roman"/>
                <w:b/>
                <w:bCs/>
                <w:color w:val="000000"/>
                <w:lang w:eastAsia="en-US"/>
              </w:rPr>
            </w:pPr>
            <w:r w:rsidRPr="007C5A6E">
              <w:rPr>
                <w:rFonts w:ascii="Times New Roman" w:hAnsi="Times New Roman"/>
                <w:b/>
                <w:bCs/>
                <w:color w:val="000000"/>
                <w:lang w:eastAsia="en-US"/>
              </w:rPr>
              <w:t>2019</w:t>
            </w:r>
          </w:p>
        </w:tc>
        <w:tc>
          <w:tcPr>
            <w:tcW w:w="992" w:type="dxa"/>
            <w:tcBorders>
              <w:top w:val="single" w:sz="18" w:space="0" w:color="auto"/>
              <w:bottom w:val="single" w:sz="18" w:space="0" w:color="auto"/>
            </w:tcBorders>
            <w:shd w:val="clear" w:color="auto" w:fill="auto"/>
            <w:noWrap/>
            <w:vAlign w:val="bottom"/>
            <w:hideMark/>
          </w:tcPr>
          <w:p w14:paraId="59E590C4" w14:textId="77777777" w:rsidR="00D82C73" w:rsidRPr="007C5A6E" w:rsidRDefault="00D82C73" w:rsidP="00905928">
            <w:pPr>
              <w:spacing w:after="0" w:line="240" w:lineRule="auto"/>
              <w:jc w:val="right"/>
              <w:rPr>
                <w:rFonts w:ascii="Times New Roman" w:hAnsi="Times New Roman"/>
                <w:b/>
                <w:bCs/>
                <w:color w:val="000000"/>
                <w:lang w:eastAsia="en-US"/>
              </w:rPr>
            </w:pPr>
            <w:r w:rsidRPr="007C5A6E">
              <w:rPr>
                <w:rFonts w:ascii="Times New Roman" w:hAnsi="Times New Roman"/>
                <w:b/>
                <w:bCs/>
                <w:color w:val="000000"/>
                <w:lang w:eastAsia="en-US"/>
              </w:rPr>
              <w:t>2020</w:t>
            </w:r>
          </w:p>
        </w:tc>
        <w:tc>
          <w:tcPr>
            <w:tcW w:w="965" w:type="dxa"/>
            <w:tcBorders>
              <w:top w:val="single" w:sz="18" w:space="0" w:color="auto"/>
              <w:bottom w:val="single" w:sz="18" w:space="0" w:color="auto"/>
            </w:tcBorders>
            <w:shd w:val="clear" w:color="auto" w:fill="auto"/>
            <w:noWrap/>
            <w:vAlign w:val="bottom"/>
            <w:hideMark/>
          </w:tcPr>
          <w:p w14:paraId="56EFA524" w14:textId="77777777" w:rsidR="00D82C73" w:rsidRPr="007C5A6E" w:rsidRDefault="00D82C73" w:rsidP="00905928">
            <w:pPr>
              <w:spacing w:after="0" w:line="240" w:lineRule="auto"/>
              <w:jc w:val="right"/>
              <w:rPr>
                <w:rFonts w:ascii="Times New Roman" w:hAnsi="Times New Roman"/>
                <w:b/>
                <w:bCs/>
                <w:color w:val="000000"/>
                <w:lang w:eastAsia="en-US"/>
              </w:rPr>
            </w:pPr>
            <w:r w:rsidRPr="007C5A6E">
              <w:rPr>
                <w:rFonts w:ascii="Times New Roman" w:hAnsi="Times New Roman"/>
                <w:b/>
                <w:bCs/>
                <w:color w:val="000000"/>
                <w:lang w:eastAsia="en-US"/>
              </w:rPr>
              <w:t>2021</w:t>
            </w:r>
          </w:p>
        </w:tc>
      </w:tr>
      <w:tr w:rsidR="00D82C73" w:rsidRPr="007C5A6E" w14:paraId="4F2E4779" w14:textId="77777777" w:rsidTr="00000A12">
        <w:trPr>
          <w:trHeight w:val="290"/>
        </w:trPr>
        <w:tc>
          <w:tcPr>
            <w:tcW w:w="2972" w:type="dxa"/>
            <w:tcBorders>
              <w:top w:val="single" w:sz="18" w:space="0" w:color="auto"/>
            </w:tcBorders>
            <w:shd w:val="clear" w:color="auto" w:fill="auto"/>
            <w:noWrap/>
            <w:vAlign w:val="bottom"/>
          </w:tcPr>
          <w:p w14:paraId="6F6E6282" w14:textId="77777777" w:rsidR="00D82C73" w:rsidRPr="007C5A6E" w:rsidRDefault="00D82C73" w:rsidP="00905928">
            <w:pPr>
              <w:spacing w:after="0" w:line="240" w:lineRule="auto"/>
              <w:rPr>
                <w:rFonts w:ascii="Times New Roman" w:hAnsi="Times New Roman"/>
                <w:color w:val="000000"/>
                <w:lang w:eastAsia="en-US"/>
              </w:rPr>
            </w:pPr>
            <w:r w:rsidRPr="007C5A6E">
              <w:rPr>
                <w:rFonts w:ascii="Times New Roman" w:hAnsi="Times New Roman"/>
                <w:color w:val="000000"/>
                <w:lang w:eastAsia="en-US"/>
              </w:rPr>
              <w:t>Bobo-Dioulasso</w:t>
            </w:r>
          </w:p>
        </w:tc>
        <w:tc>
          <w:tcPr>
            <w:tcW w:w="992" w:type="dxa"/>
            <w:tcBorders>
              <w:top w:val="single" w:sz="18" w:space="0" w:color="auto"/>
            </w:tcBorders>
            <w:shd w:val="clear" w:color="auto" w:fill="auto"/>
            <w:noWrap/>
            <w:vAlign w:val="bottom"/>
            <w:hideMark/>
          </w:tcPr>
          <w:p w14:paraId="78C5FCD9"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2,9</w:t>
            </w:r>
          </w:p>
        </w:tc>
        <w:tc>
          <w:tcPr>
            <w:tcW w:w="993" w:type="dxa"/>
            <w:tcBorders>
              <w:top w:val="single" w:sz="18" w:space="0" w:color="auto"/>
            </w:tcBorders>
            <w:shd w:val="clear" w:color="auto" w:fill="auto"/>
            <w:noWrap/>
            <w:vAlign w:val="bottom"/>
            <w:hideMark/>
          </w:tcPr>
          <w:p w14:paraId="5E821920"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2,8</w:t>
            </w:r>
          </w:p>
        </w:tc>
        <w:tc>
          <w:tcPr>
            <w:tcW w:w="1134" w:type="dxa"/>
            <w:tcBorders>
              <w:top w:val="single" w:sz="18" w:space="0" w:color="auto"/>
            </w:tcBorders>
            <w:shd w:val="clear" w:color="auto" w:fill="auto"/>
            <w:noWrap/>
            <w:vAlign w:val="bottom"/>
            <w:hideMark/>
          </w:tcPr>
          <w:p w14:paraId="400ACA0D"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2,7</w:t>
            </w:r>
          </w:p>
        </w:tc>
        <w:tc>
          <w:tcPr>
            <w:tcW w:w="992" w:type="dxa"/>
            <w:tcBorders>
              <w:top w:val="single" w:sz="18" w:space="0" w:color="auto"/>
            </w:tcBorders>
            <w:shd w:val="clear" w:color="auto" w:fill="auto"/>
            <w:noWrap/>
            <w:vAlign w:val="bottom"/>
            <w:hideMark/>
          </w:tcPr>
          <w:p w14:paraId="78F61E00"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2,8</w:t>
            </w:r>
          </w:p>
        </w:tc>
        <w:tc>
          <w:tcPr>
            <w:tcW w:w="992" w:type="dxa"/>
            <w:tcBorders>
              <w:top w:val="single" w:sz="18" w:space="0" w:color="auto"/>
            </w:tcBorders>
            <w:shd w:val="clear" w:color="auto" w:fill="auto"/>
            <w:noWrap/>
            <w:vAlign w:val="bottom"/>
            <w:hideMark/>
          </w:tcPr>
          <w:p w14:paraId="14E9D891"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2,9</w:t>
            </w:r>
          </w:p>
        </w:tc>
        <w:tc>
          <w:tcPr>
            <w:tcW w:w="965" w:type="dxa"/>
            <w:tcBorders>
              <w:top w:val="single" w:sz="18" w:space="0" w:color="auto"/>
            </w:tcBorders>
            <w:shd w:val="clear" w:color="auto" w:fill="auto"/>
            <w:noWrap/>
            <w:vAlign w:val="bottom"/>
            <w:hideMark/>
          </w:tcPr>
          <w:p w14:paraId="6A26022C"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2,8</w:t>
            </w:r>
          </w:p>
        </w:tc>
      </w:tr>
      <w:tr w:rsidR="00D82C73" w:rsidRPr="007C5A6E" w14:paraId="16509786" w14:textId="77777777" w:rsidTr="00000A12">
        <w:trPr>
          <w:trHeight w:val="290"/>
        </w:trPr>
        <w:tc>
          <w:tcPr>
            <w:tcW w:w="2972" w:type="dxa"/>
            <w:shd w:val="clear" w:color="auto" w:fill="auto"/>
            <w:noWrap/>
            <w:vAlign w:val="bottom"/>
            <w:hideMark/>
          </w:tcPr>
          <w:p w14:paraId="3D78BF9A" w14:textId="77777777" w:rsidR="00D82C73" w:rsidRPr="007C5A6E" w:rsidRDefault="00D82C73" w:rsidP="00905928">
            <w:pPr>
              <w:spacing w:after="0" w:line="240" w:lineRule="auto"/>
              <w:rPr>
                <w:rFonts w:ascii="Times New Roman" w:hAnsi="Times New Roman"/>
                <w:color w:val="000000"/>
                <w:lang w:eastAsia="en-US"/>
              </w:rPr>
            </w:pPr>
            <w:r w:rsidRPr="007C5A6E">
              <w:rPr>
                <w:rFonts w:ascii="Times New Roman" w:hAnsi="Times New Roman"/>
                <w:color w:val="000000"/>
                <w:lang w:eastAsia="en-US"/>
              </w:rPr>
              <w:t>Bogandé</w:t>
            </w:r>
          </w:p>
        </w:tc>
        <w:tc>
          <w:tcPr>
            <w:tcW w:w="992" w:type="dxa"/>
            <w:shd w:val="clear" w:color="auto" w:fill="auto"/>
            <w:noWrap/>
            <w:vAlign w:val="bottom"/>
            <w:hideMark/>
          </w:tcPr>
          <w:p w14:paraId="5C5B5E32"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2,8</w:t>
            </w:r>
          </w:p>
        </w:tc>
        <w:tc>
          <w:tcPr>
            <w:tcW w:w="993" w:type="dxa"/>
            <w:shd w:val="clear" w:color="auto" w:fill="auto"/>
            <w:noWrap/>
            <w:vAlign w:val="bottom"/>
            <w:hideMark/>
          </w:tcPr>
          <w:p w14:paraId="3839898B"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2,6</w:t>
            </w:r>
          </w:p>
        </w:tc>
        <w:tc>
          <w:tcPr>
            <w:tcW w:w="1134" w:type="dxa"/>
            <w:shd w:val="clear" w:color="auto" w:fill="auto"/>
            <w:noWrap/>
            <w:vAlign w:val="bottom"/>
            <w:hideMark/>
          </w:tcPr>
          <w:p w14:paraId="125E6A1F"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2,9</w:t>
            </w:r>
          </w:p>
        </w:tc>
        <w:tc>
          <w:tcPr>
            <w:tcW w:w="992" w:type="dxa"/>
            <w:shd w:val="clear" w:color="auto" w:fill="auto"/>
            <w:noWrap/>
            <w:vAlign w:val="bottom"/>
            <w:hideMark/>
          </w:tcPr>
          <w:p w14:paraId="4B19EBD2"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2,7</w:t>
            </w:r>
          </w:p>
        </w:tc>
        <w:tc>
          <w:tcPr>
            <w:tcW w:w="992" w:type="dxa"/>
            <w:shd w:val="clear" w:color="auto" w:fill="auto"/>
            <w:noWrap/>
            <w:vAlign w:val="bottom"/>
            <w:hideMark/>
          </w:tcPr>
          <w:p w14:paraId="3C78B8D9"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2,9</w:t>
            </w:r>
          </w:p>
        </w:tc>
        <w:tc>
          <w:tcPr>
            <w:tcW w:w="965" w:type="dxa"/>
            <w:shd w:val="clear" w:color="auto" w:fill="auto"/>
            <w:noWrap/>
            <w:vAlign w:val="bottom"/>
            <w:hideMark/>
          </w:tcPr>
          <w:p w14:paraId="7E582356"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2,8</w:t>
            </w:r>
          </w:p>
        </w:tc>
      </w:tr>
      <w:tr w:rsidR="00D82C73" w:rsidRPr="007C5A6E" w14:paraId="30CD7DE5" w14:textId="77777777" w:rsidTr="00000A12">
        <w:trPr>
          <w:trHeight w:val="290"/>
        </w:trPr>
        <w:tc>
          <w:tcPr>
            <w:tcW w:w="2972" w:type="dxa"/>
            <w:shd w:val="clear" w:color="auto" w:fill="auto"/>
            <w:noWrap/>
            <w:vAlign w:val="bottom"/>
            <w:hideMark/>
          </w:tcPr>
          <w:p w14:paraId="2CD1BE22" w14:textId="77777777" w:rsidR="00D82C73" w:rsidRPr="007C5A6E" w:rsidRDefault="00D82C73" w:rsidP="00905928">
            <w:pPr>
              <w:spacing w:after="0" w:line="240" w:lineRule="auto"/>
              <w:rPr>
                <w:rFonts w:ascii="Times New Roman" w:hAnsi="Times New Roman"/>
                <w:color w:val="000000"/>
                <w:lang w:eastAsia="en-US"/>
              </w:rPr>
            </w:pPr>
            <w:r w:rsidRPr="007C5A6E">
              <w:rPr>
                <w:rFonts w:ascii="Times New Roman" w:hAnsi="Times New Roman"/>
                <w:color w:val="000000"/>
                <w:lang w:eastAsia="en-US"/>
              </w:rPr>
              <w:t>Boromo</w:t>
            </w:r>
          </w:p>
        </w:tc>
        <w:tc>
          <w:tcPr>
            <w:tcW w:w="992" w:type="dxa"/>
            <w:shd w:val="clear" w:color="auto" w:fill="auto"/>
            <w:noWrap/>
            <w:vAlign w:val="bottom"/>
            <w:hideMark/>
          </w:tcPr>
          <w:p w14:paraId="0577D8A6"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w:t>
            </w:r>
          </w:p>
        </w:tc>
        <w:tc>
          <w:tcPr>
            <w:tcW w:w="993" w:type="dxa"/>
            <w:shd w:val="clear" w:color="auto" w:fill="auto"/>
            <w:noWrap/>
            <w:vAlign w:val="bottom"/>
            <w:hideMark/>
          </w:tcPr>
          <w:p w14:paraId="61BF17EB"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w:t>
            </w:r>
          </w:p>
        </w:tc>
        <w:tc>
          <w:tcPr>
            <w:tcW w:w="1134" w:type="dxa"/>
            <w:shd w:val="clear" w:color="auto" w:fill="auto"/>
            <w:noWrap/>
            <w:vAlign w:val="bottom"/>
            <w:hideMark/>
          </w:tcPr>
          <w:p w14:paraId="7B057460"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w:t>
            </w:r>
          </w:p>
        </w:tc>
        <w:tc>
          <w:tcPr>
            <w:tcW w:w="992" w:type="dxa"/>
            <w:shd w:val="clear" w:color="auto" w:fill="auto"/>
            <w:noWrap/>
            <w:vAlign w:val="bottom"/>
            <w:hideMark/>
          </w:tcPr>
          <w:p w14:paraId="1B4E7732"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w:t>
            </w:r>
          </w:p>
        </w:tc>
        <w:tc>
          <w:tcPr>
            <w:tcW w:w="992" w:type="dxa"/>
            <w:shd w:val="clear" w:color="auto" w:fill="auto"/>
            <w:noWrap/>
            <w:vAlign w:val="bottom"/>
            <w:hideMark/>
          </w:tcPr>
          <w:p w14:paraId="2C3F776E"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0,9</w:t>
            </w:r>
          </w:p>
        </w:tc>
        <w:tc>
          <w:tcPr>
            <w:tcW w:w="965" w:type="dxa"/>
            <w:shd w:val="clear" w:color="auto" w:fill="auto"/>
            <w:noWrap/>
            <w:vAlign w:val="bottom"/>
            <w:hideMark/>
          </w:tcPr>
          <w:p w14:paraId="19D58EA1"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0,9</w:t>
            </w:r>
          </w:p>
        </w:tc>
      </w:tr>
      <w:tr w:rsidR="00D82C73" w:rsidRPr="007C5A6E" w14:paraId="010896FE" w14:textId="77777777" w:rsidTr="00000A12">
        <w:trPr>
          <w:trHeight w:val="290"/>
        </w:trPr>
        <w:tc>
          <w:tcPr>
            <w:tcW w:w="2972" w:type="dxa"/>
            <w:shd w:val="clear" w:color="auto" w:fill="auto"/>
            <w:noWrap/>
            <w:vAlign w:val="bottom"/>
            <w:hideMark/>
          </w:tcPr>
          <w:p w14:paraId="56639800" w14:textId="77777777" w:rsidR="00D82C73" w:rsidRPr="007C5A6E" w:rsidRDefault="00D82C73" w:rsidP="00905928">
            <w:pPr>
              <w:spacing w:after="0" w:line="240" w:lineRule="auto"/>
              <w:rPr>
                <w:rFonts w:ascii="Times New Roman" w:hAnsi="Times New Roman"/>
                <w:color w:val="000000"/>
                <w:lang w:eastAsia="en-US"/>
              </w:rPr>
            </w:pPr>
            <w:r w:rsidRPr="007C5A6E">
              <w:rPr>
                <w:rFonts w:ascii="Times New Roman" w:hAnsi="Times New Roman"/>
                <w:color w:val="000000"/>
                <w:lang w:eastAsia="en-US"/>
              </w:rPr>
              <w:t>Dédougou</w:t>
            </w:r>
          </w:p>
        </w:tc>
        <w:tc>
          <w:tcPr>
            <w:tcW w:w="992" w:type="dxa"/>
            <w:shd w:val="clear" w:color="auto" w:fill="auto"/>
            <w:noWrap/>
            <w:vAlign w:val="bottom"/>
            <w:hideMark/>
          </w:tcPr>
          <w:p w14:paraId="45CB21B9"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1,8</w:t>
            </w:r>
          </w:p>
        </w:tc>
        <w:tc>
          <w:tcPr>
            <w:tcW w:w="993" w:type="dxa"/>
            <w:shd w:val="clear" w:color="auto" w:fill="auto"/>
            <w:noWrap/>
            <w:vAlign w:val="bottom"/>
            <w:hideMark/>
          </w:tcPr>
          <w:p w14:paraId="1CD99B5D"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1,9</w:t>
            </w:r>
          </w:p>
        </w:tc>
        <w:tc>
          <w:tcPr>
            <w:tcW w:w="1134" w:type="dxa"/>
            <w:shd w:val="clear" w:color="auto" w:fill="auto"/>
            <w:noWrap/>
            <w:vAlign w:val="bottom"/>
            <w:hideMark/>
          </w:tcPr>
          <w:p w14:paraId="6329FA80"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2,3</w:t>
            </w:r>
          </w:p>
        </w:tc>
        <w:tc>
          <w:tcPr>
            <w:tcW w:w="992" w:type="dxa"/>
            <w:shd w:val="clear" w:color="auto" w:fill="auto"/>
            <w:noWrap/>
            <w:vAlign w:val="bottom"/>
            <w:hideMark/>
          </w:tcPr>
          <w:p w14:paraId="5C7BF7C9"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2,6</w:t>
            </w:r>
          </w:p>
        </w:tc>
        <w:tc>
          <w:tcPr>
            <w:tcW w:w="992" w:type="dxa"/>
            <w:shd w:val="clear" w:color="auto" w:fill="auto"/>
            <w:noWrap/>
            <w:vAlign w:val="bottom"/>
            <w:hideMark/>
          </w:tcPr>
          <w:p w14:paraId="1ADDBA74"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2,4</w:t>
            </w:r>
          </w:p>
        </w:tc>
        <w:tc>
          <w:tcPr>
            <w:tcW w:w="965" w:type="dxa"/>
            <w:shd w:val="clear" w:color="auto" w:fill="auto"/>
            <w:noWrap/>
            <w:vAlign w:val="bottom"/>
            <w:hideMark/>
          </w:tcPr>
          <w:p w14:paraId="4746C537"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2,3</w:t>
            </w:r>
          </w:p>
        </w:tc>
      </w:tr>
      <w:tr w:rsidR="00D82C73" w:rsidRPr="007C5A6E" w14:paraId="0EF6E331" w14:textId="77777777" w:rsidTr="00000A12">
        <w:trPr>
          <w:trHeight w:val="290"/>
        </w:trPr>
        <w:tc>
          <w:tcPr>
            <w:tcW w:w="2972" w:type="dxa"/>
            <w:shd w:val="clear" w:color="auto" w:fill="auto"/>
            <w:noWrap/>
            <w:vAlign w:val="bottom"/>
            <w:hideMark/>
          </w:tcPr>
          <w:p w14:paraId="419530BE" w14:textId="77777777" w:rsidR="00D82C73" w:rsidRPr="007C5A6E" w:rsidRDefault="00D82C73" w:rsidP="00905928">
            <w:pPr>
              <w:spacing w:after="0" w:line="240" w:lineRule="auto"/>
              <w:rPr>
                <w:rFonts w:ascii="Times New Roman" w:hAnsi="Times New Roman"/>
                <w:color w:val="000000"/>
                <w:lang w:eastAsia="en-US"/>
              </w:rPr>
            </w:pPr>
            <w:r w:rsidRPr="007C5A6E">
              <w:rPr>
                <w:rFonts w:ascii="Times New Roman" w:hAnsi="Times New Roman"/>
                <w:color w:val="000000"/>
                <w:lang w:eastAsia="en-US"/>
              </w:rPr>
              <w:t>Dori</w:t>
            </w:r>
          </w:p>
        </w:tc>
        <w:tc>
          <w:tcPr>
            <w:tcW w:w="992" w:type="dxa"/>
            <w:shd w:val="clear" w:color="auto" w:fill="auto"/>
            <w:noWrap/>
            <w:vAlign w:val="bottom"/>
            <w:hideMark/>
          </w:tcPr>
          <w:p w14:paraId="137BB1C8"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w:t>
            </w:r>
          </w:p>
        </w:tc>
        <w:tc>
          <w:tcPr>
            <w:tcW w:w="993" w:type="dxa"/>
            <w:shd w:val="clear" w:color="auto" w:fill="auto"/>
            <w:noWrap/>
            <w:vAlign w:val="bottom"/>
            <w:hideMark/>
          </w:tcPr>
          <w:p w14:paraId="0B6012E9"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1,8</w:t>
            </w:r>
          </w:p>
        </w:tc>
        <w:tc>
          <w:tcPr>
            <w:tcW w:w="1134" w:type="dxa"/>
            <w:shd w:val="clear" w:color="auto" w:fill="auto"/>
            <w:noWrap/>
            <w:vAlign w:val="bottom"/>
            <w:hideMark/>
          </w:tcPr>
          <w:p w14:paraId="7FC23288"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0,9</w:t>
            </w:r>
          </w:p>
        </w:tc>
        <w:tc>
          <w:tcPr>
            <w:tcW w:w="992" w:type="dxa"/>
            <w:shd w:val="clear" w:color="auto" w:fill="auto"/>
            <w:noWrap/>
            <w:vAlign w:val="bottom"/>
            <w:hideMark/>
          </w:tcPr>
          <w:p w14:paraId="58198CF5"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0,8</w:t>
            </w:r>
          </w:p>
        </w:tc>
        <w:tc>
          <w:tcPr>
            <w:tcW w:w="992" w:type="dxa"/>
            <w:shd w:val="clear" w:color="auto" w:fill="auto"/>
            <w:noWrap/>
            <w:vAlign w:val="bottom"/>
            <w:hideMark/>
          </w:tcPr>
          <w:p w14:paraId="67416F17"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0,8</w:t>
            </w:r>
          </w:p>
        </w:tc>
        <w:tc>
          <w:tcPr>
            <w:tcW w:w="965" w:type="dxa"/>
            <w:shd w:val="clear" w:color="auto" w:fill="auto"/>
            <w:noWrap/>
            <w:vAlign w:val="bottom"/>
            <w:hideMark/>
          </w:tcPr>
          <w:p w14:paraId="544FA843"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w:t>
            </w:r>
          </w:p>
        </w:tc>
      </w:tr>
      <w:tr w:rsidR="00D82C73" w:rsidRPr="007C5A6E" w14:paraId="7480DDFC" w14:textId="77777777" w:rsidTr="00000A12">
        <w:trPr>
          <w:trHeight w:val="290"/>
        </w:trPr>
        <w:tc>
          <w:tcPr>
            <w:tcW w:w="2972" w:type="dxa"/>
            <w:shd w:val="clear" w:color="auto" w:fill="auto"/>
            <w:noWrap/>
            <w:vAlign w:val="bottom"/>
            <w:hideMark/>
          </w:tcPr>
          <w:p w14:paraId="307681E7" w14:textId="67BFD5DF" w:rsidR="00D82C73" w:rsidRPr="007C5A6E" w:rsidRDefault="00D82C73" w:rsidP="00905928">
            <w:pPr>
              <w:spacing w:after="0" w:line="240" w:lineRule="auto"/>
              <w:rPr>
                <w:rFonts w:ascii="Times New Roman" w:hAnsi="Times New Roman"/>
                <w:color w:val="000000"/>
                <w:lang w:eastAsia="en-US"/>
              </w:rPr>
            </w:pPr>
            <w:r w:rsidRPr="007C5A6E">
              <w:rPr>
                <w:rFonts w:ascii="Times New Roman" w:hAnsi="Times New Roman"/>
                <w:color w:val="000000"/>
                <w:lang w:eastAsia="en-US"/>
              </w:rPr>
              <w:t xml:space="preserve">Fada </w:t>
            </w:r>
            <w:r w:rsidR="00E853CC" w:rsidRPr="007C5A6E">
              <w:rPr>
                <w:rFonts w:ascii="Times New Roman" w:hAnsi="Times New Roman"/>
                <w:color w:val="000000"/>
                <w:lang w:eastAsia="en-US"/>
              </w:rPr>
              <w:t>N’Gourma</w:t>
            </w:r>
          </w:p>
        </w:tc>
        <w:tc>
          <w:tcPr>
            <w:tcW w:w="992" w:type="dxa"/>
            <w:shd w:val="clear" w:color="auto" w:fill="auto"/>
            <w:noWrap/>
            <w:vAlign w:val="bottom"/>
            <w:hideMark/>
          </w:tcPr>
          <w:p w14:paraId="4D62501C"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w:t>
            </w:r>
          </w:p>
        </w:tc>
        <w:tc>
          <w:tcPr>
            <w:tcW w:w="993" w:type="dxa"/>
            <w:shd w:val="clear" w:color="auto" w:fill="auto"/>
            <w:noWrap/>
            <w:vAlign w:val="bottom"/>
            <w:hideMark/>
          </w:tcPr>
          <w:p w14:paraId="4FA8302A"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2,1</w:t>
            </w:r>
          </w:p>
        </w:tc>
        <w:tc>
          <w:tcPr>
            <w:tcW w:w="1134" w:type="dxa"/>
            <w:shd w:val="clear" w:color="auto" w:fill="auto"/>
            <w:noWrap/>
            <w:vAlign w:val="bottom"/>
            <w:hideMark/>
          </w:tcPr>
          <w:p w14:paraId="024CADFA"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2,3</w:t>
            </w:r>
          </w:p>
        </w:tc>
        <w:tc>
          <w:tcPr>
            <w:tcW w:w="992" w:type="dxa"/>
            <w:shd w:val="clear" w:color="auto" w:fill="auto"/>
            <w:noWrap/>
            <w:vAlign w:val="bottom"/>
            <w:hideMark/>
          </w:tcPr>
          <w:p w14:paraId="52BB06D1"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2,3</w:t>
            </w:r>
          </w:p>
        </w:tc>
        <w:tc>
          <w:tcPr>
            <w:tcW w:w="992" w:type="dxa"/>
            <w:shd w:val="clear" w:color="auto" w:fill="auto"/>
            <w:noWrap/>
            <w:vAlign w:val="bottom"/>
            <w:hideMark/>
          </w:tcPr>
          <w:p w14:paraId="6C016634"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2,4</w:t>
            </w:r>
          </w:p>
        </w:tc>
        <w:tc>
          <w:tcPr>
            <w:tcW w:w="965" w:type="dxa"/>
            <w:shd w:val="clear" w:color="auto" w:fill="auto"/>
            <w:noWrap/>
            <w:vAlign w:val="bottom"/>
            <w:hideMark/>
          </w:tcPr>
          <w:p w14:paraId="0CBAC76A"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2,4</w:t>
            </w:r>
          </w:p>
        </w:tc>
      </w:tr>
      <w:tr w:rsidR="00D82C73" w:rsidRPr="007C5A6E" w14:paraId="06163C93" w14:textId="77777777" w:rsidTr="00000A12">
        <w:trPr>
          <w:trHeight w:val="290"/>
        </w:trPr>
        <w:tc>
          <w:tcPr>
            <w:tcW w:w="2972" w:type="dxa"/>
            <w:shd w:val="clear" w:color="auto" w:fill="auto"/>
            <w:noWrap/>
            <w:vAlign w:val="bottom"/>
            <w:hideMark/>
          </w:tcPr>
          <w:p w14:paraId="0ED0FA65" w14:textId="77777777" w:rsidR="00D82C73" w:rsidRPr="007C5A6E" w:rsidRDefault="00D82C73" w:rsidP="00905928">
            <w:pPr>
              <w:spacing w:after="0" w:line="240" w:lineRule="auto"/>
              <w:rPr>
                <w:rFonts w:ascii="Times New Roman" w:hAnsi="Times New Roman"/>
                <w:color w:val="000000"/>
                <w:lang w:eastAsia="en-US"/>
              </w:rPr>
            </w:pPr>
            <w:r w:rsidRPr="007C5A6E">
              <w:rPr>
                <w:rFonts w:ascii="Times New Roman" w:hAnsi="Times New Roman"/>
                <w:color w:val="000000"/>
                <w:lang w:eastAsia="en-US"/>
              </w:rPr>
              <w:t>Gaoua</w:t>
            </w:r>
          </w:p>
        </w:tc>
        <w:tc>
          <w:tcPr>
            <w:tcW w:w="992" w:type="dxa"/>
            <w:shd w:val="clear" w:color="auto" w:fill="auto"/>
            <w:noWrap/>
            <w:vAlign w:val="bottom"/>
            <w:hideMark/>
          </w:tcPr>
          <w:p w14:paraId="0222B343"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1,9</w:t>
            </w:r>
          </w:p>
        </w:tc>
        <w:tc>
          <w:tcPr>
            <w:tcW w:w="993" w:type="dxa"/>
            <w:shd w:val="clear" w:color="auto" w:fill="auto"/>
            <w:noWrap/>
            <w:vAlign w:val="bottom"/>
            <w:hideMark/>
          </w:tcPr>
          <w:p w14:paraId="0843B828"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1,9</w:t>
            </w:r>
          </w:p>
        </w:tc>
        <w:tc>
          <w:tcPr>
            <w:tcW w:w="1134" w:type="dxa"/>
            <w:shd w:val="clear" w:color="auto" w:fill="auto"/>
            <w:noWrap/>
            <w:vAlign w:val="bottom"/>
            <w:hideMark/>
          </w:tcPr>
          <w:p w14:paraId="28FC8D75"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1,7</w:t>
            </w:r>
          </w:p>
        </w:tc>
        <w:tc>
          <w:tcPr>
            <w:tcW w:w="992" w:type="dxa"/>
            <w:shd w:val="clear" w:color="auto" w:fill="auto"/>
            <w:noWrap/>
            <w:vAlign w:val="bottom"/>
            <w:hideMark/>
          </w:tcPr>
          <w:p w14:paraId="7BCB9171"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1,5</w:t>
            </w:r>
          </w:p>
        </w:tc>
        <w:tc>
          <w:tcPr>
            <w:tcW w:w="992" w:type="dxa"/>
            <w:shd w:val="clear" w:color="auto" w:fill="auto"/>
            <w:noWrap/>
            <w:vAlign w:val="bottom"/>
            <w:hideMark/>
          </w:tcPr>
          <w:p w14:paraId="4B9785BD"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1,7</w:t>
            </w:r>
          </w:p>
        </w:tc>
        <w:tc>
          <w:tcPr>
            <w:tcW w:w="965" w:type="dxa"/>
            <w:shd w:val="clear" w:color="auto" w:fill="auto"/>
            <w:noWrap/>
            <w:vAlign w:val="bottom"/>
            <w:hideMark/>
          </w:tcPr>
          <w:p w14:paraId="0EF27243"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1,6</w:t>
            </w:r>
          </w:p>
        </w:tc>
      </w:tr>
      <w:tr w:rsidR="00D82C73" w:rsidRPr="007C5A6E" w14:paraId="76BFCCDC" w14:textId="77777777" w:rsidTr="00000A12">
        <w:trPr>
          <w:trHeight w:val="290"/>
        </w:trPr>
        <w:tc>
          <w:tcPr>
            <w:tcW w:w="2972" w:type="dxa"/>
            <w:shd w:val="clear" w:color="auto" w:fill="auto"/>
            <w:noWrap/>
            <w:vAlign w:val="bottom"/>
          </w:tcPr>
          <w:p w14:paraId="1E1E8AC7" w14:textId="77777777" w:rsidR="00D82C73" w:rsidRPr="007C5A6E" w:rsidRDefault="00D82C73" w:rsidP="00905928">
            <w:pPr>
              <w:spacing w:after="0" w:line="240" w:lineRule="auto"/>
              <w:rPr>
                <w:rFonts w:ascii="Times New Roman" w:hAnsi="Times New Roman"/>
                <w:color w:val="000000"/>
                <w:lang w:eastAsia="en-US"/>
              </w:rPr>
            </w:pPr>
            <w:r w:rsidRPr="007C5A6E">
              <w:rPr>
                <w:rFonts w:ascii="Times New Roman" w:hAnsi="Times New Roman"/>
                <w:color w:val="000000"/>
                <w:lang w:eastAsia="en-US"/>
              </w:rPr>
              <w:t>Ouagadougou</w:t>
            </w:r>
          </w:p>
        </w:tc>
        <w:tc>
          <w:tcPr>
            <w:tcW w:w="992" w:type="dxa"/>
            <w:shd w:val="clear" w:color="auto" w:fill="auto"/>
            <w:noWrap/>
            <w:vAlign w:val="bottom"/>
            <w:hideMark/>
          </w:tcPr>
          <w:p w14:paraId="14BEB0B0"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w:t>
            </w:r>
          </w:p>
        </w:tc>
        <w:tc>
          <w:tcPr>
            <w:tcW w:w="993" w:type="dxa"/>
            <w:shd w:val="clear" w:color="auto" w:fill="auto"/>
            <w:noWrap/>
            <w:vAlign w:val="bottom"/>
            <w:hideMark/>
          </w:tcPr>
          <w:p w14:paraId="728D12D9"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2,5</w:t>
            </w:r>
          </w:p>
        </w:tc>
        <w:tc>
          <w:tcPr>
            <w:tcW w:w="1134" w:type="dxa"/>
            <w:shd w:val="clear" w:color="auto" w:fill="auto"/>
            <w:noWrap/>
            <w:vAlign w:val="bottom"/>
            <w:hideMark/>
          </w:tcPr>
          <w:p w14:paraId="2918F08A"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2,6</w:t>
            </w:r>
          </w:p>
        </w:tc>
        <w:tc>
          <w:tcPr>
            <w:tcW w:w="992" w:type="dxa"/>
            <w:shd w:val="clear" w:color="auto" w:fill="auto"/>
            <w:noWrap/>
            <w:vAlign w:val="bottom"/>
            <w:hideMark/>
          </w:tcPr>
          <w:p w14:paraId="3CD0B294"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2,6</w:t>
            </w:r>
          </w:p>
        </w:tc>
        <w:tc>
          <w:tcPr>
            <w:tcW w:w="992" w:type="dxa"/>
            <w:shd w:val="clear" w:color="auto" w:fill="auto"/>
            <w:noWrap/>
            <w:vAlign w:val="bottom"/>
            <w:hideMark/>
          </w:tcPr>
          <w:p w14:paraId="2D5FA671"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3,2</w:t>
            </w:r>
          </w:p>
        </w:tc>
        <w:tc>
          <w:tcPr>
            <w:tcW w:w="965" w:type="dxa"/>
            <w:shd w:val="clear" w:color="auto" w:fill="auto"/>
            <w:noWrap/>
            <w:vAlign w:val="bottom"/>
            <w:hideMark/>
          </w:tcPr>
          <w:p w14:paraId="49810C40"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2,9</w:t>
            </w:r>
          </w:p>
        </w:tc>
      </w:tr>
      <w:tr w:rsidR="00D82C73" w:rsidRPr="007C5A6E" w14:paraId="39B336A7" w14:textId="77777777" w:rsidTr="00000A12">
        <w:trPr>
          <w:trHeight w:val="290"/>
        </w:trPr>
        <w:tc>
          <w:tcPr>
            <w:tcW w:w="2972" w:type="dxa"/>
            <w:shd w:val="clear" w:color="auto" w:fill="auto"/>
            <w:noWrap/>
            <w:vAlign w:val="bottom"/>
            <w:hideMark/>
          </w:tcPr>
          <w:p w14:paraId="37231D6B" w14:textId="77777777" w:rsidR="00D82C73" w:rsidRPr="007C5A6E" w:rsidRDefault="00D82C73" w:rsidP="00905928">
            <w:pPr>
              <w:spacing w:after="0" w:line="240" w:lineRule="auto"/>
              <w:rPr>
                <w:rFonts w:ascii="Times New Roman" w:hAnsi="Times New Roman"/>
                <w:color w:val="000000"/>
                <w:lang w:eastAsia="en-US"/>
              </w:rPr>
            </w:pPr>
            <w:r w:rsidRPr="007C5A6E">
              <w:rPr>
                <w:rFonts w:ascii="Times New Roman" w:hAnsi="Times New Roman"/>
                <w:color w:val="000000"/>
                <w:lang w:eastAsia="en-US"/>
              </w:rPr>
              <w:t>Ouahigouya</w:t>
            </w:r>
          </w:p>
        </w:tc>
        <w:tc>
          <w:tcPr>
            <w:tcW w:w="992" w:type="dxa"/>
            <w:shd w:val="clear" w:color="auto" w:fill="auto"/>
            <w:noWrap/>
            <w:vAlign w:val="bottom"/>
            <w:hideMark/>
          </w:tcPr>
          <w:p w14:paraId="592C5156"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w:t>
            </w:r>
          </w:p>
        </w:tc>
        <w:tc>
          <w:tcPr>
            <w:tcW w:w="993" w:type="dxa"/>
            <w:shd w:val="clear" w:color="auto" w:fill="auto"/>
            <w:noWrap/>
            <w:vAlign w:val="bottom"/>
            <w:hideMark/>
          </w:tcPr>
          <w:p w14:paraId="14392451"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2,1</w:t>
            </w:r>
          </w:p>
        </w:tc>
        <w:tc>
          <w:tcPr>
            <w:tcW w:w="1134" w:type="dxa"/>
            <w:shd w:val="clear" w:color="auto" w:fill="auto"/>
            <w:noWrap/>
            <w:vAlign w:val="bottom"/>
            <w:hideMark/>
          </w:tcPr>
          <w:p w14:paraId="6F32E342"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w:t>
            </w:r>
          </w:p>
        </w:tc>
        <w:tc>
          <w:tcPr>
            <w:tcW w:w="992" w:type="dxa"/>
            <w:shd w:val="clear" w:color="auto" w:fill="auto"/>
            <w:noWrap/>
            <w:vAlign w:val="bottom"/>
            <w:hideMark/>
          </w:tcPr>
          <w:p w14:paraId="0E453EC9"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2,1</w:t>
            </w:r>
          </w:p>
        </w:tc>
        <w:tc>
          <w:tcPr>
            <w:tcW w:w="992" w:type="dxa"/>
            <w:shd w:val="clear" w:color="auto" w:fill="auto"/>
            <w:noWrap/>
            <w:vAlign w:val="bottom"/>
            <w:hideMark/>
          </w:tcPr>
          <w:p w14:paraId="11865667"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2,1</w:t>
            </w:r>
          </w:p>
        </w:tc>
        <w:tc>
          <w:tcPr>
            <w:tcW w:w="965" w:type="dxa"/>
            <w:shd w:val="clear" w:color="auto" w:fill="auto"/>
            <w:noWrap/>
            <w:vAlign w:val="bottom"/>
            <w:hideMark/>
          </w:tcPr>
          <w:p w14:paraId="69AD556D"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2,3</w:t>
            </w:r>
          </w:p>
        </w:tc>
      </w:tr>
      <w:tr w:rsidR="00D82C73" w:rsidRPr="007C5A6E" w14:paraId="2ACA167E" w14:textId="77777777" w:rsidTr="00000A12">
        <w:trPr>
          <w:trHeight w:val="290"/>
        </w:trPr>
        <w:tc>
          <w:tcPr>
            <w:tcW w:w="2972" w:type="dxa"/>
            <w:shd w:val="clear" w:color="auto" w:fill="auto"/>
            <w:noWrap/>
            <w:vAlign w:val="bottom"/>
            <w:hideMark/>
          </w:tcPr>
          <w:p w14:paraId="2B446868" w14:textId="77777777" w:rsidR="00D82C73" w:rsidRPr="007C5A6E" w:rsidRDefault="00D82C73" w:rsidP="00905928">
            <w:pPr>
              <w:spacing w:after="0" w:line="240" w:lineRule="auto"/>
              <w:rPr>
                <w:rFonts w:ascii="Times New Roman" w:hAnsi="Times New Roman"/>
                <w:color w:val="000000"/>
                <w:lang w:eastAsia="en-US"/>
              </w:rPr>
            </w:pPr>
            <w:r w:rsidRPr="007C5A6E">
              <w:rPr>
                <w:rFonts w:ascii="Times New Roman" w:hAnsi="Times New Roman"/>
                <w:color w:val="000000"/>
                <w:lang w:eastAsia="en-US"/>
              </w:rPr>
              <w:t>Pô</w:t>
            </w:r>
          </w:p>
        </w:tc>
        <w:tc>
          <w:tcPr>
            <w:tcW w:w="992" w:type="dxa"/>
            <w:shd w:val="clear" w:color="auto" w:fill="auto"/>
            <w:noWrap/>
            <w:vAlign w:val="bottom"/>
            <w:hideMark/>
          </w:tcPr>
          <w:p w14:paraId="7A66190C"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w:t>
            </w:r>
          </w:p>
        </w:tc>
        <w:tc>
          <w:tcPr>
            <w:tcW w:w="993" w:type="dxa"/>
            <w:shd w:val="clear" w:color="auto" w:fill="auto"/>
            <w:noWrap/>
            <w:vAlign w:val="bottom"/>
            <w:hideMark/>
          </w:tcPr>
          <w:p w14:paraId="39DBD533"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2,1</w:t>
            </w:r>
          </w:p>
        </w:tc>
        <w:tc>
          <w:tcPr>
            <w:tcW w:w="1134" w:type="dxa"/>
            <w:shd w:val="clear" w:color="auto" w:fill="auto"/>
            <w:noWrap/>
            <w:vAlign w:val="bottom"/>
            <w:hideMark/>
          </w:tcPr>
          <w:p w14:paraId="418ED879"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w:t>
            </w:r>
          </w:p>
        </w:tc>
        <w:tc>
          <w:tcPr>
            <w:tcW w:w="992" w:type="dxa"/>
            <w:shd w:val="clear" w:color="auto" w:fill="auto"/>
            <w:noWrap/>
            <w:vAlign w:val="bottom"/>
            <w:hideMark/>
          </w:tcPr>
          <w:p w14:paraId="201376B8"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1,8</w:t>
            </w:r>
          </w:p>
        </w:tc>
        <w:tc>
          <w:tcPr>
            <w:tcW w:w="992" w:type="dxa"/>
            <w:shd w:val="clear" w:color="auto" w:fill="auto"/>
            <w:noWrap/>
            <w:vAlign w:val="bottom"/>
            <w:hideMark/>
          </w:tcPr>
          <w:p w14:paraId="25BE45BD"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1,8</w:t>
            </w:r>
          </w:p>
        </w:tc>
        <w:tc>
          <w:tcPr>
            <w:tcW w:w="965" w:type="dxa"/>
            <w:shd w:val="clear" w:color="auto" w:fill="auto"/>
            <w:noWrap/>
            <w:vAlign w:val="bottom"/>
            <w:hideMark/>
          </w:tcPr>
          <w:p w14:paraId="0F8635C9" w14:textId="77777777" w:rsidR="00D82C73" w:rsidRPr="007C5A6E" w:rsidRDefault="00D82C73" w:rsidP="00905928">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1,7</w:t>
            </w:r>
          </w:p>
        </w:tc>
      </w:tr>
      <w:tr w:rsidR="00D82C73" w:rsidRPr="007C5A6E" w14:paraId="2ACBEAFE" w14:textId="77777777" w:rsidTr="00000A12">
        <w:trPr>
          <w:trHeight w:val="79"/>
        </w:trPr>
        <w:tc>
          <w:tcPr>
            <w:tcW w:w="2972" w:type="dxa"/>
            <w:tcBorders>
              <w:bottom w:val="single" w:sz="18" w:space="0" w:color="auto"/>
            </w:tcBorders>
            <w:shd w:val="clear" w:color="auto" w:fill="auto"/>
            <w:noWrap/>
            <w:vAlign w:val="bottom"/>
            <w:hideMark/>
          </w:tcPr>
          <w:p w14:paraId="25CDBBA3" w14:textId="77777777" w:rsidR="00D82C73" w:rsidRPr="007C5A6E" w:rsidRDefault="00D82C73" w:rsidP="00B15B8A">
            <w:pPr>
              <w:spacing w:after="0" w:line="240" w:lineRule="auto"/>
              <w:rPr>
                <w:rFonts w:ascii="Times New Roman" w:hAnsi="Times New Roman"/>
                <w:color w:val="000000"/>
                <w:lang w:eastAsia="en-US"/>
              </w:rPr>
            </w:pPr>
          </w:p>
        </w:tc>
        <w:tc>
          <w:tcPr>
            <w:tcW w:w="992" w:type="dxa"/>
            <w:tcBorders>
              <w:bottom w:val="single" w:sz="18" w:space="0" w:color="auto"/>
            </w:tcBorders>
            <w:shd w:val="clear" w:color="auto" w:fill="auto"/>
            <w:noWrap/>
            <w:vAlign w:val="bottom"/>
            <w:hideMark/>
          </w:tcPr>
          <w:p w14:paraId="60A42A37" w14:textId="77777777" w:rsidR="00D82C73" w:rsidRPr="007C5A6E" w:rsidRDefault="00D82C73" w:rsidP="00B15B8A">
            <w:pPr>
              <w:spacing w:after="0" w:line="240" w:lineRule="auto"/>
              <w:jc w:val="right"/>
              <w:rPr>
                <w:rFonts w:ascii="Times New Roman" w:hAnsi="Times New Roman"/>
                <w:color w:val="000000"/>
                <w:lang w:eastAsia="en-US"/>
              </w:rPr>
            </w:pPr>
          </w:p>
        </w:tc>
        <w:tc>
          <w:tcPr>
            <w:tcW w:w="993" w:type="dxa"/>
            <w:tcBorders>
              <w:bottom w:val="single" w:sz="18" w:space="0" w:color="auto"/>
            </w:tcBorders>
            <w:shd w:val="clear" w:color="auto" w:fill="auto"/>
            <w:noWrap/>
            <w:vAlign w:val="bottom"/>
            <w:hideMark/>
          </w:tcPr>
          <w:p w14:paraId="14F45D32" w14:textId="77777777" w:rsidR="00D82C73" w:rsidRPr="007C5A6E" w:rsidRDefault="00D82C73" w:rsidP="00B15B8A">
            <w:pPr>
              <w:spacing w:after="0" w:line="240" w:lineRule="auto"/>
              <w:jc w:val="right"/>
              <w:rPr>
                <w:rFonts w:ascii="Times New Roman" w:hAnsi="Times New Roman"/>
                <w:color w:val="000000"/>
                <w:lang w:eastAsia="en-US"/>
              </w:rPr>
            </w:pPr>
          </w:p>
        </w:tc>
        <w:tc>
          <w:tcPr>
            <w:tcW w:w="1134" w:type="dxa"/>
            <w:tcBorders>
              <w:bottom w:val="single" w:sz="18" w:space="0" w:color="auto"/>
            </w:tcBorders>
            <w:shd w:val="clear" w:color="auto" w:fill="auto"/>
            <w:noWrap/>
            <w:vAlign w:val="bottom"/>
            <w:hideMark/>
          </w:tcPr>
          <w:p w14:paraId="7DA7F923" w14:textId="77777777" w:rsidR="00D82C73" w:rsidRPr="007C5A6E" w:rsidRDefault="00D82C73" w:rsidP="00B15B8A">
            <w:pPr>
              <w:spacing w:after="0" w:line="240" w:lineRule="auto"/>
              <w:jc w:val="right"/>
              <w:rPr>
                <w:rFonts w:ascii="Times New Roman" w:hAnsi="Times New Roman"/>
                <w:color w:val="000000"/>
                <w:lang w:eastAsia="en-US"/>
              </w:rPr>
            </w:pPr>
          </w:p>
        </w:tc>
        <w:tc>
          <w:tcPr>
            <w:tcW w:w="992" w:type="dxa"/>
            <w:tcBorders>
              <w:bottom w:val="single" w:sz="18" w:space="0" w:color="auto"/>
            </w:tcBorders>
            <w:shd w:val="clear" w:color="auto" w:fill="auto"/>
            <w:noWrap/>
            <w:vAlign w:val="bottom"/>
            <w:hideMark/>
          </w:tcPr>
          <w:p w14:paraId="300DB9D6" w14:textId="77777777" w:rsidR="00D82C73" w:rsidRPr="007C5A6E" w:rsidRDefault="00D82C73" w:rsidP="00B15B8A">
            <w:pPr>
              <w:spacing w:after="0" w:line="240" w:lineRule="auto"/>
              <w:jc w:val="right"/>
              <w:rPr>
                <w:rFonts w:ascii="Times New Roman" w:hAnsi="Times New Roman"/>
                <w:color w:val="000000"/>
                <w:lang w:eastAsia="en-US"/>
              </w:rPr>
            </w:pPr>
          </w:p>
        </w:tc>
        <w:tc>
          <w:tcPr>
            <w:tcW w:w="992" w:type="dxa"/>
            <w:tcBorders>
              <w:bottom w:val="single" w:sz="18" w:space="0" w:color="auto"/>
            </w:tcBorders>
            <w:shd w:val="clear" w:color="auto" w:fill="auto"/>
            <w:noWrap/>
            <w:vAlign w:val="bottom"/>
            <w:hideMark/>
          </w:tcPr>
          <w:p w14:paraId="199F25FB" w14:textId="77777777" w:rsidR="00D82C73" w:rsidRPr="007C5A6E" w:rsidRDefault="00D82C73" w:rsidP="00B15B8A">
            <w:pPr>
              <w:spacing w:after="0" w:line="240" w:lineRule="auto"/>
              <w:jc w:val="right"/>
              <w:rPr>
                <w:rFonts w:ascii="Times New Roman" w:hAnsi="Times New Roman"/>
                <w:color w:val="000000"/>
                <w:lang w:eastAsia="en-US"/>
              </w:rPr>
            </w:pPr>
          </w:p>
        </w:tc>
        <w:tc>
          <w:tcPr>
            <w:tcW w:w="965" w:type="dxa"/>
            <w:tcBorders>
              <w:bottom w:val="single" w:sz="18" w:space="0" w:color="auto"/>
            </w:tcBorders>
            <w:shd w:val="clear" w:color="auto" w:fill="auto"/>
            <w:noWrap/>
            <w:vAlign w:val="bottom"/>
            <w:hideMark/>
          </w:tcPr>
          <w:p w14:paraId="0980BC7E" w14:textId="77777777" w:rsidR="00D82C73" w:rsidRPr="007C5A6E" w:rsidRDefault="00D82C73" w:rsidP="00B15B8A">
            <w:pPr>
              <w:spacing w:after="0" w:line="240" w:lineRule="auto"/>
              <w:jc w:val="right"/>
              <w:rPr>
                <w:rFonts w:ascii="Times New Roman" w:hAnsi="Times New Roman"/>
                <w:color w:val="000000"/>
                <w:lang w:eastAsia="en-US"/>
              </w:rPr>
            </w:pPr>
          </w:p>
        </w:tc>
      </w:tr>
    </w:tbl>
    <w:p w14:paraId="6C02D51B" w14:textId="77777777" w:rsidR="00D82C73" w:rsidRPr="007C5A6E" w:rsidRDefault="00D82C73" w:rsidP="00B15B8A">
      <w:pPr>
        <w:shd w:val="clear" w:color="auto" w:fill="FFFFFF"/>
        <w:spacing w:after="0" w:line="240" w:lineRule="auto"/>
        <w:jc w:val="both"/>
        <w:rPr>
          <w:rFonts w:ascii="Times New Roman" w:eastAsia="Calibri" w:hAnsi="Times New Roman"/>
          <w:sz w:val="20"/>
          <w:szCs w:val="20"/>
          <w:lang w:eastAsia="en-US"/>
          <w14:ligatures w14:val="standardContextual"/>
        </w:rPr>
      </w:pPr>
      <w:r w:rsidRPr="007C5A6E">
        <w:rPr>
          <w:rFonts w:ascii="Times New Roman" w:eastAsia="Calibri" w:hAnsi="Times New Roman"/>
          <w:sz w:val="20"/>
          <w:szCs w:val="20"/>
          <w:lang w:eastAsia="en-US"/>
          <w14:ligatures w14:val="standardContextual"/>
        </w:rPr>
        <w:t>MTMUSR/Agence Nationale de la Météorologie 2016-2021</w:t>
      </w:r>
    </w:p>
    <w:p w14:paraId="43B66DE9" w14:textId="77777777" w:rsidR="00D82C73" w:rsidRPr="007C5A6E" w:rsidRDefault="00D82C73" w:rsidP="00B15B8A">
      <w:pPr>
        <w:shd w:val="clear" w:color="auto" w:fill="FFFFFF"/>
        <w:spacing w:after="0" w:line="240" w:lineRule="auto"/>
        <w:jc w:val="both"/>
        <w:rPr>
          <w:rFonts w:ascii="Times New Roman" w:eastAsia="Calibri" w:hAnsi="Times New Roman"/>
          <w:sz w:val="20"/>
          <w:szCs w:val="20"/>
          <w:lang w:eastAsia="en-US"/>
          <w14:ligatures w14:val="standardContextual"/>
        </w:rPr>
      </w:pPr>
    </w:p>
    <w:p w14:paraId="41D606C0" w14:textId="77777777" w:rsidR="00905928" w:rsidRPr="007C5A6E" w:rsidRDefault="00905928" w:rsidP="00712C43">
      <w:pPr>
        <w:pStyle w:val="Titre2"/>
        <w:sectPr w:rsidR="00905928" w:rsidRPr="007C5A6E" w:rsidSect="006514BA">
          <w:pgSz w:w="11907" w:h="16840" w:code="9"/>
          <w:pgMar w:top="1191" w:right="1361" w:bottom="1191" w:left="1361" w:header="709" w:footer="709" w:gutter="0"/>
          <w:cols w:space="708"/>
          <w:docGrid w:linePitch="360"/>
        </w:sectPr>
      </w:pPr>
    </w:p>
    <w:p w14:paraId="2BA57095" w14:textId="176C53DF" w:rsidR="00F54298" w:rsidRPr="007C5A6E" w:rsidRDefault="005E061D" w:rsidP="00712C43">
      <w:pPr>
        <w:pStyle w:val="Titre2"/>
      </w:pPr>
      <w:bookmarkStart w:id="768" w:name="_Toc183340149"/>
      <w:r w:rsidRPr="007C5A6E">
        <w:t>État</w:t>
      </w:r>
      <w:r w:rsidR="00B94F95" w:rsidRPr="007C5A6E">
        <w:t xml:space="preserve"> et dynamique des sols</w:t>
      </w:r>
      <w:bookmarkEnd w:id="768"/>
      <w:r w:rsidR="00B94F95" w:rsidRPr="007C5A6E">
        <w:t xml:space="preserve"> </w:t>
      </w:r>
    </w:p>
    <w:p w14:paraId="4B2B7175" w14:textId="77777777" w:rsidR="00F54298" w:rsidRPr="007C5A6E" w:rsidRDefault="00F54298" w:rsidP="005E061D">
      <w:pPr>
        <w:spacing w:after="0" w:line="240" w:lineRule="auto"/>
        <w:rPr>
          <w:rFonts w:ascii="Times New Roman" w:hAnsi="Times New Roman"/>
          <w:sz w:val="24"/>
          <w:szCs w:val="24"/>
        </w:rPr>
      </w:pPr>
    </w:p>
    <w:p w14:paraId="3F9E05CB" w14:textId="77777777" w:rsidR="00F54298" w:rsidRPr="007C5A6E" w:rsidRDefault="00F54298" w:rsidP="003F3821">
      <w:pPr>
        <w:pStyle w:val="Paragraphedeliste"/>
        <w:numPr>
          <w:ilvl w:val="0"/>
          <w:numId w:val="30"/>
        </w:numPr>
        <w:spacing w:after="0" w:line="240" w:lineRule="auto"/>
        <w:contextualSpacing w:val="0"/>
        <w:outlineLvl w:val="1"/>
        <w:rPr>
          <w:rFonts w:ascii="Times New Roman" w:hAnsi="Times New Roman"/>
          <w:b/>
          <w:bCs/>
          <w:vanish/>
          <w:sz w:val="28"/>
          <w:szCs w:val="28"/>
        </w:rPr>
      </w:pPr>
      <w:bookmarkStart w:id="769" w:name="_Toc183287908"/>
      <w:bookmarkStart w:id="770" w:name="_Toc183291149"/>
      <w:bookmarkStart w:id="771" w:name="_Toc183291553"/>
      <w:bookmarkStart w:id="772" w:name="_Toc183291957"/>
      <w:bookmarkStart w:id="773" w:name="_Toc183340150"/>
      <w:bookmarkEnd w:id="769"/>
      <w:bookmarkEnd w:id="770"/>
      <w:bookmarkEnd w:id="771"/>
      <w:bookmarkEnd w:id="772"/>
      <w:bookmarkEnd w:id="773"/>
    </w:p>
    <w:p w14:paraId="74020AF0" w14:textId="77777777" w:rsidR="00F54298" w:rsidRPr="007C5A6E" w:rsidRDefault="00F54298" w:rsidP="003F3821">
      <w:pPr>
        <w:pStyle w:val="Paragraphedeliste"/>
        <w:numPr>
          <w:ilvl w:val="1"/>
          <w:numId w:val="30"/>
        </w:numPr>
        <w:spacing w:after="0" w:line="240" w:lineRule="auto"/>
        <w:contextualSpacing w:val="0"/>
        <w:outlineLvl w:val="1"/>
        <w:rPr>
          <w:rFonts w:ascii="Times New Roman" w:hAnsi="Times New Roman"/>
          <w:b/>
          <w:bCs/>
          <w:vanish/>
          <w:sz w:val="28"/>
          <w:szCs w:val="28"/>
        </w:rPr>
      </w:pPr>
      <w:bookmarkStart w:id="774" w:name="_Toc183287909"/>
      <w:bookmarkStart w:id="775" w:name="_Toc183291150"/>
      <w:bookmarkStart w:id="776" w:name="_Toc183291554"/>
      <w:bookmarkStart w:id="777" w:name="_Toc183291958"/>
      <w:bookmarkStart w:id="778" w:name="_Toc183340151"/>
      <w:bookmarkEnd w:id="774"/>
      <w:bookmarkEnd w:id="775"/>
      <w:bookmarkEnd w:id="776"/>
      <w:bookmarkEnd w:id="777"/>
      <w:bookmarkEnd w:id="778"/>
    </w:p>
    <w:p w14:paraId="4932F50D" w14:textId="77777777" w:rsidR="00F54298" w:rsidRPr="007C5A6E" w:rsidRDefault="00F54298" w:rsidP="003F3821">
      <w:pPr>
        <w:pStyle w:val="Paragraphedeliste"/>
        <w:numPr>
          <w:ilvl w:val="1"/>
          <w:numId w:val="30"/>
        </w:numPr>
        <w:spacing w:after="0" w:line="240" w:lineRule="auto"/>
        <w:contextualSpacing w:val="0"/>
        <w:outlineLvl w:val="1"/>
        <w:rPr>
          <w:rFonts w:ascii="Times New Roman" w:hAnsi="Times New Roman"/>
          <w:b/>
          <w:bCs/>
          <w:vanish/>
          <w:sz w:val="28"/>
          <w:szCs w:val="28"/>
        </w:rPr>
      </w:pPr>
      <w:bookmarkStart w:id="779" w:name="_Toc183287910"/>
      <w:bookmarkStart w:id="780" w:name="_Toc183291151"/>
      <w:bookmarkStart w:id="781" w:name="_Toc183291555"/>
      <w:bookmarkStart w:id="782" w:name="_Toc183291959"/>
      <w:bookmarkStart w:id="783" w:name="_Toc183340152"/>
      <w:bookmarkEnd w:id="779"/>
      <w:bookmarkEnd w:id="780"/>
      <w:bookmarkEnd w:id="781"/>
      <w:bookmarkEnd w:id="782"/>
      <w:bookmarkEnd w:id="783"/>
    </w:p>
    <w:p w14:paraId="48E7CDC5" w14:textId="77777777" w:rsidR="002C5D46" w:rsidRPr="007C5A6E" w:rsidRDefault="002C5D46" w:rsidP="003F3821">
      <w:pPr>
        <w:pStyle w:val="Paragraphedeliste"/>
        <w:keepNext/>
        <w:keepLines/>
        <w:numPr>
          <w:ilvl w:val="1"/>
          <w:numId w:val="4"/>
        </w:numPr>
        <w:spacing w:after="0" w:line="240" w:lineRule="auto"/>
        <w:contextualSpacing w:val="0"/>
        <w:outlineLvl w:val="2"/>
        <w:rPr>
          <w:rFonts w:ascii="Times New Roman" w:eastAsiaTheme="minorHAnsi" w:hAnsi="Times New Roman" w:cstheme="majorBidi"/>
          <w:b/>
          <w:vanish/>
          <w:sz w:val="26"/>
          <w:szCs w:val="24"/>
          <w:lang w:eastAsia="en-US"/>
        </w:rPr>
      </w:pPr>
      <w:bookmarkStart w:id="784" w:name="_Toc183287911"/>
      <w:bookmarkStart w:id="785" w:name="_Toc183291152"/>
      <w:bookmarkStart w:id="786" w:name="_Toc183291556"/>
      <w:bookmarkStart w:id="787" w:name="_Toc183291960"/>
      <w:bookmarkStart w:id="788" w:name="_Toc183340153"/>
      <w:bookmarkEnd w:id="784"/>
      <w:bookmarkEnd w:id="785"/>
      <w:bookmarkEnd w:id="786"/>
      <w:bookmarkEnd w:id="787"/>
      <w:bookmarkEnd w:id="788"/>
    </w:p>
    <w:p w14:paraId="09E35116" w14:textId="2FBE8636" w:rsidR="00F54298" w:rsidRPr="007C5A6E" w:rsidRDefault="008F01A8" w:rsidP="002C5D46">
      <w:pPr>
        <w:pStyle w:val="Titre3"/>
      </w:pPr>
      <w:bookmarkStart w:id="789" w:name="_Toc183340154"/>
      <w:r w:rsidRPr="007C5A6E">
        <w:t>Caractéristiques d</w:t>
      </w:r>
      <w:r w:rsidR="00F54298" w:rsidRPr="007C5A6E">
        <w:t>es sols du Burkina Faso</w:t>
      </w:r>
      <w:bookmarkEnd w:id="789"/>
      <w:r w:rsidR="00F54298" w:rsidRPr="007C5A6E">
        <w:t xml:space="preserve"> </w:t>
      </w:r>
    </w:p>
    <w:p w14:paraId="77000C12" w14:textId="77777777" w:rsidR="005E061D" w:rsidRPr="007C5A6E" w:rsidRDefault="005E061D" w:rsidP="005E061D">
      <w:pPr>
        <w:spacing w:after="0" w:line="240" w:lineRule="auto"/>
        <w:contextualSpacing/>
        <w:jc w:val="both"/>
        <w:rPr>
          <w:rFonts w:ascii="Times New Roman" w:eastAsia="Calibri" w:hAnsi="Times New Roman"/>
          <w:kern w:val="2"/>
          <w:sz w:val="24"/>
          <w:szCs w:val="24"/>
          <w:lang w:eastAsia="en-US"/>
          <w14:ligatures w14:val="standardContextual"/>
        </w:rPr>
      </w:pPr>
    </w:p>
    <w:p w14:paraId="3FCDD3C7" w14:textId="0B2295F0" w:rsidR="00905928" w:rsidRPr="007C5A6E" w:rsidRDefault="00905928" w:rsidP="005E061D">
      <w:pPr>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Les sols du Burkina Faso sont caractérisés par leur hétérogénéité pédologique, due à la diversité du substratum géologique et à la longue évolution géomorphologique.</w:t>
      </w:r>
      <w:r w:rsidR="008F01A8" w:rsidRPr="007C5A6E">
        <w:rPr>
          <w:rFonts w:ascii="Times New Roman" w:eastAsia="Calibri" w:hAnsi="Times New Roman"/>
          <w:kern w:val="2"/>
          <w:sz w:val="24"/>
          <w:szCs w:val="24"/>
          <w:lang w:eastAsia="en-US"/>
          <w14:ligatures w14:val="standardContextual"/>
        </w:rPr>
        <w:t xml:space="preserve"> </w:t>
      </w:r>
      <w:r w:rsidRPr="007C5A6E">
        <w:rPr>
          <w:rFonts w:ascii="Times New Roman" w:eastAsia="Calibri" w:hAnsi="Times New Roman"/>
          <w:kern w:val="2"/>
          <w:sz w:val="24"/>
          <w:szCs w:val="24"/>
          <w:lang w:eastAsia="en-US"/>
          <w14:ligatures w14:val="standardContextual"/>
        </w:rPr>
        <w:t>La couverture pédologique est constituée de 9 classes (CPCS, 1967).</w:t>
      </w:r>
    </w:p>
    <w:p w14:paraId="4D66238C" w14:textId="77777777" w:rsidR="005E061D" w:rsidRPr="007C5A6E" w:rsidRDefault="005E061D" w:rsidP="005E061D">
      <w:pPr>
        <w:spacing w:after="0" w:line="240" w:lineRule="auto"/>
        <w:contextualSpacing/>
        <w:jc w:val="both"/>
        <w:rPr>
          <w:rFonts w:ascii="Times New Roman" w:eastAsia="Calibri" w:hAnsi="Times New Roman"/>
          <w:kern w:val="2"/>
          <w:sz w:val="24"/>
          <w:szCs w:val="24"/>
          <w:lang w:eastAsia="en-US"/>
          <w14:ligatures w14:val="standardContextual"/>
        </w:rPr>
      </w:pPr>
    </w:p>
    <w:p w14:paraId="4928B4C6" w14:textId="390FC4F1" w:rsidR="00905928" w:rsidRPr="007C5A6E" w:rsidRDefault="00905928" w:rsidP="00684FF8">
      <w:pPr>
        <w:pStyle w:val="Titre4"/>
      </w:pPr>
      <w:bookmarkStart w:id="790" w:name="_Toc181982232"/>
      <w:bookmarkStart w:id="791" w:name="_Toc183340155"/>
      <w:r w:rsidRPr="007C5A6E">
        <w:t>Classe des sols minéraux bruts</w:t>
      </w:r>
      <w:bookmarkEnd w:id="790"/>
      <w:bookmarkEnd w:id="791"/>
    </w:p>
    <w:p w14:paraId="69BEF9E0" w14:textId="77777777" w:rsidR="005E061D" w:rsidRPr="007C5A6E" w:rsidRDefault="005E061D" w:rsidP="005E061D">
      <w:pPr>
        <w:spacing w:after="0" w:line="240" w:lineRule="auto"/>
        <w:jc w:val="both"/>
        <w:rPr>
          <w:rFonts w:ascii="Times New Roman" w:eastAsia="Calibri" w:hAnsi="Times New Roman"/>
          <w:kern w:val="2"/>
          <w:sz w:val="24"/>
          <w:szCs w:val="24"/>
          <w:lang w:eastAsia="en-US"/>
          <w14:ligatures w14:val="standardContextual"/>
        </w:rPr>
      </w:pPr>
    </w:p>
    <w:p w14:paraId="39ABEDBE" w14:textId="2D031164" w:rsidR="00905928" w:rsidRPr="007C5A6E" w:rsidRDefault="00905928" w:rsidP="005E061D">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Les sols minéraux bruts correspondent aux buttes rocheuses et cuirassées. Le sous-groupe représenté est celui des lithosols. Selon la nature du matériau constitutif, on distingue les lithosols sur cuirasse ferrugineuse et les lithosols sur roches diverses. Ils représentent 4,75 % de la superficie totale.</w:t>
      </w:r>
    </w:p>
    <w:p w14:paraId="4653DF4D" w14:textId="77777777" w:rsidR="005E061D" w:rsidRPr="007C5A6E" w:rsidRDefault="005E061D" w:rsidP="005E061D">
      <w:pPr>
        <w:spacing w:after="0" w:line="240" w:lineRule="auto"/>
        <w:jc w:val="both"/>
        <w:rPr>
          <w:rFonts w:ascii="Times New Roman" w:eastAsia="Calibri" w:hAnsi="Times New Roman"/>
          <w:kern w:val="2"/>
          <w:sz w:val="24"/>
          <w:szCs w:val="24"/>
          <w:lang w:eastAsia="en-US"/>
          <w14:ligatures w14:val="standardContextual"/>
        </w:rPr>
      </w:pPr>
    </w:p>
    <w:p w14:paraId="13CC5563" w14:textId="433482B8" w:rsidR="00905928" w:rsidRPr="007C5A6E" w:rsidRDefault="00905928" w:rsidP="00684FF8">
      <w:pPr>
        <w:pStyle w:val="Titre4"/>
      </w:pPr>
      <w:bookmarkStart w:id="792" w:name="_Toc181982233"/>
      <w:bookmarkStart w:id="793" w:name="_Toc183340156"/>
      <w:r w:rsidRPr="007C5A6E">
        <w:t>Classe des sols peu évolués</w:t>
      </w:r>
      <w:bookmarkEnd w:id="792"/>
      <w:bookmarkEnd w:id="793"/>
    </w:p>
    <w:p w14:paraId="7C40D9B4" w14:textId="77777777" w:rsidR="005E061D" w:rsidRPr="007C5A6E" w:rsidRDefault="005E061D" w:rsidP="005E061D">
      <w:pPr>
        <w:spacing w:after="0" w:line="240" w:lineRule="auto"/>
        <w:contextualSpacing/>
        <w:jc w:val="both"/>
        <w:rPr>
          <w:rFonts w:ascii="Times New Roman" w:eastAsia="Calibri" w:hAnsi="Times New Roman"/>
          <w:kern w:val="2"/>
          <w:sz w:val="24"/>
          <w:szCs w:val="24"/>
          <w:lang w:eastAsia="en-US"/>
          <w14:ligatures w14:val="standardContextual"/>
        </w:rPr>
      </w:pPr>
    </w:p>
    <w:p w14:paraId="20F475C2" w14:textId="508793E0" w:rsidR="00905928" w:rsidRPr="007C5A6E" w:rsidRDefault="00905928" w:rsidP="005E061D">
      <w:pPr>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Les sols peu évolués sont des sols dont l’altération des minéraux primaires est quasi nulle. Elle est due à la très courte durée d’évolution du sol. Le profil est de type A C. ce sont des sols qui ont une fertilité chimique faible à moyenne, aptes au mil et aux légumineuses. Ils sont bien représentés sur l’ensemble du territoire et occupent 30,25 % de la superficie du Burkina Faso.</w:t>
      </w:r>
    </w:p>
    <w:p w14:paraId="5D564F31" w14:textId="77777777" w:rsidR="00905928" w:rsidRPr="007C5A6E" w:rsidRDefault="00905928" w:rsidP="005E061D">
      <w:pPr>
        <w:spacing w:after="0" w:line="240" w:lineRule="auto"/>
        <w:rPr>
          <w:rFonts w:eastAsia="Calibri"/>
          <w:kern w:val="2"/>
          <w:lang w:eastAsia="en-US"/>
          <w14:ligatures w14:val="standardContextual"/>
        </w:rPr>
      </w:pPr>
    </w:p>
    <w:p w14:paraId="53290216" w14:textId="2F46CA75" w:rsidR="00905928" w:rsidRPr="007C5A6E" w:rsidRDefault="00905928" w:rsidP="00684FF8">
      <w:pPr>
        <w:pStyle w:val="Titre4"/>
      </w:pPr>
      <w:bookmarkStart w:id="794" w:name="_Toc181982234"/>
      <w:bookmarkStart w:id="795" w:name="_Toc183340157"/>
      <w:r w:rsidRPr="007C5A6E">
        <w:t>Classe des vertisols</w:t>
      </w:r>
      <w:bookmarkEnd w:id="794"/>
      <w:bookmarkEnd w:id="795"/>
    </w:p>
    <w:p w14:paraId="0C63D84E" w14:textId="77777777" w:rsidR="005E061D" w:rsidRPr="007C5A6E" w:rsidRDefault="005E061D" w:rsidP="005E061D">
      <w:pPr>
        <w:spacing w:after="0" w:line="240" w:lineRule="auto"/>
        <w:jc w:val="both"/>
        <w:rPr>
          <w:rFonts w:ascii="Times New Roman" w:eastAsia="Calibri" w:hAnsi="Times New Roman"/>
          <w:kern w:val="2"/>
          <w:sz w:val="24"/>
          <w:szCs w:val="24"/>
          <w:lang w:eastAsia="en-US"/>
          <w14:ligatures w14:val="standardContextual"/>
        </w:rPr>
      </w:pPr>
    </w:p>
    <w:p w14:paraId="6741E66C" w14:textId="49D1B043" w:rsidR="00905928" w:rsidRPr="007C5A6E" w:rsidRDefault="00905928" w:rsidP="005E061D">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Les vertisols sont issus de l’altération des roches </w:t>
      </w:r>
      <w:proofErr w:type="spellStart"/>
      <w:r w:rsidRPr="007C5A6E">
        <w:rPr>
          <w:rFonts w:ascii="Times New Roman" w:eastAsia="Calibri" w:hAnsi="Times New Roman"/>
          <w:kern w:val="2"/>
          <w:sz w:val="24"/>
          <w:szCs w:val="24"/>
          <w:lang w:eastAsia="en-US"/>
          <w14:ligatures w14:val="standardContextual"/>
        </w:rPr>
        <w:t>volcano</w:t>
      </w:r>
      <w:proofErr w:type="spellEnd"/>
      <w:r w:rsidRPr="007C5A6E">
        <w:rPr>
          <w:rFonts w:ascii="Times New Roman" w:eastAsia="Calibri" w:hAnsi="Times New Roman"/>
          <w:kern w:val="2"/>
          <w:sz w:val="24"/>
          <w:szCs w:val="24"/>
          <w:lang w:eastAsia="en-US"/>
          <w14:ligatures w14:val="standardContextual"/>
        </w:rPr>
        <w:t>-sédimentaires. Ce sont des sols profonds, dotés d’une bonne réserve utile en eau et d’une fertilité chimique élevée : CEC et bases échangeables élevées, complexe saturé, pH faiblement acide à neutre. Aptitude : sorgho, maïs, cotonnier, riz pluvial et irrigué, canne à sucre. Ils occupent 3,90 % de la superficie du Burkina</w:t>
      </w:r>
    </w:p>
    <w:p w14:paraId="294EDAFB" w14:textId="77777777" w:rsidR="005E061D" w:rsidRPr="007C5A6E" w:rsidRDefault="005E061D" w:rsidP="005E061D">
      <w:pPr>
        <w:spacing w:after="0" w:line="240" w:lineRule="auto"/>
        <w:jc w:val="both"/>
        <w:rPr>
          <w:rFonts w:ascii="Times New Roman" w:eastAsia="Calibri" w:hAnsi="Times New Roman"/>
          <w:kern w:val="2"/>
          <w:sz w:val="24"/>
          <w:szCs w:val="24"/>
          <w:lang w:eastAsia="en-US"/>
          <w14:ligatures w14:val="standardContextual"/>
        </w:rPr>
      </w:pPr>
    </w:p>
    <w:p w14:paraId="6631B4AB" w14:textId="43F64C92" w:rsidR="00905928" w:rsidRPr="007C5A6E" w:rsidRDefault="00905928" w:rsidP="00684FF8">
      <w:pPr>
        <w:pStyle w:val="Titre4"/>
      </w:pPr>
      <w:bookmarkStart w:id="796" w:name="_Toc181982235"/>
      <w:bookmarkStart w:id="797" w:name="_Toc183340158"/>
      <w:r w:rsidRPr="007C5A6E">
        <w:t>Classe des sols isohumiques</w:t>
      </w:r>
      <w:bookmarkEnd w:id="796"/>
      <w:bookmarkEnd w:id="797"/>
    </w:p>
    <w:p w14:paraId="6EB01B7C" w14:textId="77777777" w:rsidR="005E061D" w:rsidRPr="007C5A6E" w:rsidRDefault="005E061D" w:rsidP="005E061D">
      <w:pPr>
        <w:spacing w:after="0" w:line="240" w:lineRule="auto"/>
        <w:jc w:val="both"/>
        <w:rPr>
          <w:rFonts w:ascii="Times New Roman" w:eastAsia="Calibri" w:hAnsi="Times New Roman"/>
          <w:kern w:val="2"/>
          <w:sz w:val="24"/>
          <w:szCs w:val="24"/>
          <w:lang w:eastAsia="en-US"/>
          <w14:ligatures w14:val="standardContextual"/>
        </w:rPr>
      </w:pPr>
    </w:p>
    <w:p w14:paraId="1BECF27E" w14:textId="13563EB3" w:rsidR="00905928" w:rsidRPr="007C5A6E" w:rsidRDefault="00905928" w:rsidP="005E061D">
      <w:pPr>
        <w:spacing w:after="0" w:line="240" w:lineRule="auto"/>
        <w:jc w:val="both"/>
        <w:rPr>
          <w:rFonts w:eastAsia="Calibri"/>
          <w:kern w:val="2"/>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Les sols isohumiques se rencontrent exclusivement en zone sahélienne. La MO est repartie de manière homogène sur l’ensemble du profil. Les sous-groupes sont les sols brun </w:t>
      </w:r>
      <w:proofErr w:type="spellStart"/>
      <w:r w:rsidRPr="007C5A6E">
        <w:rPr>
          <w:rFonts w:ascii="Times New Roman" w:eastAsia="Calibri" w:hAnsi="Times New Roman"/>
          <w:kern w:val="2"/>
          <w:sz w:val="24"/>
          <w:szCs w:val="24"/>
          <w:lang w:eastAsia="en-US"/>
          <w14:ligatures w14:val="standardContextual"/>
        </w:rPr>
        <w:t>sub-arides</w:t>
      </w:r>
      <w:proofErr w:type="spellEnd"/>
      <w:r w:rsidRPr="007C5A6E">
        <w:rPr>
          <w:rFonts w:ascii="Times New Roman" w:eastAsia="Calibri" w:hAnsi="Times New Roman"/>
          <w:kern w:val="2"/>
          <w:sz w:val="24"/>
          <w:szCs w:val="24"/>
          <w:lang w:eastAsia="en-US"/>
          <w14:ligatures w14:val="standardContextual"/>
        </w:rPr>
        <w:t xml:space="preserve"> modaux, les sols brun rouge </w:t>
      </w:r>
      <w:proofErr w:type="spellStart"/>
      <w:r w:rsidRPr="007C5A6E">
        <w:rPr>
          <w:rFonts w:ascii="Times New Roman" w:eastAsia="Calibri" w:hAnsi="Times New Roman"/>
          <w:kern w:val="2"/>
          <w:sz w:val="24"/>
          <w:szCs w:val="24"/>
          <w:lang w:eastAsia="en-US"/>
          <w14:ligatures w14:val="standardContextual"/>
        </w:rPr>
        <w:t>sub-arides</w:t>
      </w:r>
      <w:proofErr w:type="spellEnd"/>
      <w:r w:rsidRPr="007C5A6E">
        <w:rPr>
          <w:rFonts w:ascii="Times New Roman" w:eastAsia="Calibri" w:hAnsi="Times New Roman"/>
          <w:kern w:val="2"/>
          <w:sz w:val="24"/>
          <w:szCs w:val="24"/>
          <w:lang w:eastAsia="en-US"/>
          <w14:ligatures w14:val="standardContextual"/>
        </w:rPr>
        <w:t xml:space="preserve"> qui occupent les ergs anciens, les sols brun </w:t>
      </w:r>
      <w:proofErr w:type="spellStart"/>
      <w:r w:rsidRPr="007C5A6E">
        <w:rPr>
          <w:rFonts w:ascii="Times New Roman" w:eastAsia="Calibri" w:hAnsi="Times New Roman"/>
          <w:kern w:val="2"/>
          <w:sz w:val="24"/>
          <w:szCs w:val="24"/>
          <w:lang w:eastAsia="en-US"/>
          <w14:ligatures w14:val="standardContextual"/>
        </w:rPr>
        <w:t>sub-arides</w:t>
      </w:r>
      <w:proofErr w:type="spellEnd"/>
      <w:r w:rsidRPr="007C5A6E">
        <w:rPr>
          <w:rFonts w:ascii="Times New Roman" w:eastAsia="Calibri" w:hAnsi="Times New Roman"/>
          <w:kern w:val="2"/>
          <w:sz w:val="24"/>
          <w:szCs w:val="24"/>
          <w:lang w:eastAsia="en-US"/>
          <w14:ligatures w14:val="standardContextual"/>
        </w:rPr>
        <w:t xml:space="preserve"> à pseudogley situés sur les bas de pente des glacis de raccordement et les sols brun </w:t>
      </w:r>
      <w:proofErr w:type="spellStart"/>
      <w:r w:rsidRPr="007C5A6E">
        <w:rPr>
          <w:rFonts w:ascii="Times New Roman" w:eastAsia="Calibri" w:hAnsi="Times New Roman"/>
          <w:kern w:val="2"/>
          <w:sz w:val="24"/>
          <w:szCs w:val="24"/>
          <w:lang w:eastAsia="en-US"/>
          <w14:ligatures w14:val="standardContextual"/>
        </w:rPr>
        <w:t>sub-arides</w:t>
      </w:r>
      <w:proofErr w:type="spellEnd"/>
      <w:r w:rsidRPr="007C5A6E">
        <w:rPr>
          <w:rFonts w:ascii="Times New Roman" w:eastAsia="Calibri" w:hAnsi="Times New Roman"/>
          <w:kern w:val="2"/>
          <w:sz w:val="24"/>
          <w:szCs w:val="24"/>
          <w:lang w:eastAsia="en-US"/>
          <w14:ligatures w14:val="standardContextual"/>
        </w:rPr>
        <w:t xml:space="preserve"> vertiques issus de l’altération des roches </w:t>
      </w:r>
      <w:proofErr w:type="spellStart"/>
      <w:r w:rsidRPr="007C5A6E">
        <w:rPr>
          <w:rFonts w:ascii="Times New Roman" w:eastAsia="Calibri" w:hAnsi="Times New Roman"/>
          <w:kern w:val="2"/>
          <w:sz w:val="24"/>
          <w:szCs w:val="24"/>
          <w:lang w:eastAsia="en-US"/>
          <w14:ligatures w14:val="standardContextual"/>
        </w:rPr>
        <w:t>volcano</w:t>
      </w:r>
      <w:proofErr w:type="spellEnd"/>
      <w:r w:rsidRPr="007C5A6E">
        <w:rPr>
          <w:rFonts w:ascii="Times New Roman" w:eastAsia="Calibri" w:hAnsi="Times New Roman"/>
          <w:kern w:val="2"/>
          <w:sz w:val="24"/>
          <w:szCs w:val="24"/>
          <w:lang w:eastAsia="en-US"/>
          <w14:ligatures w14:val="standardContextual"/>
        </w:rPr>
        <w:t xml:space="preserve">-sédimentaire sur les moyennes pentes des glacis de raccordement. Ils sont profonds. Les sols brun rouge </w:t>
      </w:r>
      <w:proofErr w:type="spellStart"/>
      <w:r w:rsidRPr="007C5A6E">
        <w:rPr>
          <w:rFonts w:ascii="Times New Roman" w:eastAsia="Calibri" w:hAnsi="Times New Roman"/>
          <w:kern w:val="2"/>
          <w:sz w:val="24"/>
          <w:szCs w:val="24"/>
          <w:lang w:eastAsia="en-US"/>
          <w14:ligatures w14:val="standardContextual"/>
        </w:rPr>
        <w:t>sub-arides</w:t>
      </w:r>
      <w:proofErr w:type="spellEnd"/>
      <w:r w:rsidRPr="007C5A6E">
        <w:rPr>
          <w:rFonts w:ascii="Times New Roman" w:eastAsia="Calibri" w:hAnsi="Times New Roman"/>
          <w:kern w:val="2"/>
          <w:sz w:val="24"/>
          <w:szCs w:val="24"/>
          <w:lang w:eastAsia="en-US"/>
          <w14:ligatures w14:val="standardContextual"/>
        </w:rPr>
        <w:t xml:space="preserve"> ont une faible fertilité chimique, aptes au mil, légumineuses et calebassiers. Les autres sous-groupes ont une fertilité chimique élevée, aptes au sorgho et au riz. Les sols isohumiques représentent 1,77 % du territoire national</w:t>
      </w:r>
      <w:r w:rsidRPr="007C5A6E">
        <w:rPr>
          <w:rFonts w:eastAsia="Calibri"/>
          <w:kern w:val="2"/>
          <w:lang w:eastAsia="en-US"/>
          <w14:ligatures w14:val="standardContextual"/>
        </w:rPr>
        <w:t>.</w:t>
      </w:r>
    </w:p>
    <w:p w14:paraId="06F98F7D" w14:textId="77777777" w:rsidR="005E061D" w:rsidRPr="007C5A6E" w:rsidRDefault="005E061D" w:rsidP="005E061D">
      <w:pPr>
        <w:spacing w:after="0" w:line="240" w:lineRule="auto"/>
        <w:jc w:val="both"/>
        <w:rPr>
          <w:rFonts w:eastAsia="Calibri"/>
          <w:kern w:val="2"/>
          <w:lang w:eastAsia="en-US"/>
          <w14:ligatures w14:val="standardContextual"/>
        </w:rPr>
      </w:pPr>
    </w:p>
    <w:p w14:paraId="6C1F949A" w14:textId="7E0346F8" w:rsidR="00905928" w:rsidRPr="007C5A6E" w:rsidRDefault="00905928" w:rsidP="00684FF8">
      <w:pPr>
        <w:pStyle w:val="Titre4"/>
      </w:pPr>
      <w:bookmarkStart w:id="798" w:name="_Toc181982236"/>
      <w:bookmarkStart w:id="799" w:name="_Toc183340159"/>
      <w:r w:rsidRPr="007C5A6E">
        <w:t>Classe des sols brunifiés</w:t>
      </w:r>
      <w:bookmarkEnd w:id="798"/>
      <w:bookmarkEnd w:id="799"/>
    </w:p>
    <w:p w14:paraId="05F83453" w14:textId="77777777" w:rsidR="005E061D" w:rsidRPr="007C5A6E" w:rsidRDefault="005E061D" w:rsidP="005E061D">
      <w:pPr>
        <w:tabs>
          <w:tab w:val="left" w:pos="2119"/>
        </w:tabs>
        <w:spacing w:after="0" w:line="240" w:lineRule="auto"/>
        <w:contextualSpacing/>
        <w:jc w:val="both"/>
        <w:rPr>
          <w:rFonts w:ascii="Times New Roman" w:eastAsia="Calibri" w:hAnsi="Times New Roman"/>
          <w:kern w:val="2"/>
          <w:sz w:val="24"/>
          <w:szCs w:val="24"/>
          <w:lang w:eastAsia="en-US"/>
          <w14:ligatures w14:val="standardContextual"/>
        </w:rPr>
      </w:pPr>
    </w:p>
    <w:p w14:paraId="1294C711" w14:textId="5EC6A6C1" w:rsidR="00905928" w:rsidRPr="007C5A6E" w:rsidRDefault="00905928" w:rsidP="005E061D">
      <w:pPr>
        <w:tabs>
          <w:tab w:val="left" w:pos="2119"/>
        </w:tabs>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Les sols de cette classe sont caractérisés par une matière organique bien décomposée donnant un humus de type mull. La structure est nuciforme en surface, cubique à polyédrique angulaire en profondeur. Le complexe adsorbant est saturé avec une prédominance en calcium. Ce sont des sols profonds, ayant une bonne fertilité chimique, aptes au sorgho, maïs, cotonnier, riz pluvial, canne à sucre et légumineuses. Ils représentent 5,33 % de la superficie totale.</w:t>
      </w:r>
    </w:p>
    <w:p w14:paraId="6A360C37" w14:textId="77777777" w:rsidR="005E061D" w:rsidRPr="007C5A6E" w:rsidRDefault="005E061D" w:rsidP="005E061D">
      <w:pPr>
        <w:tabs>
          <w:tab w:val="left" w:pos="2119"/>
        </w:tabs>
        <w:spacing w:after="0" w:line="240" w:lineRule="auto"/>
        <w:contextualSpacing/>
        <w:jc w:val="both"/>
        <w:rPr>
          <w:rFonts w:ascii="Times New Roman" w:eastAsia="Calibri" w:hAnsi="Times New Roman"/>
          <w:kern w:val="2"/>
          <w:sz w:val="24"/>
          <w:szCs w:val="24"/>
          <w:lang w:eastAsia="en-US"/>
          <w14:ligatures w14:val="standardContextual"/>
        </w:rPr>
      </w:pPr>
    </w:p>
    <w:p w14:paraId="70A59909" w14:textId="31348846" w:rsidR="00905928" w:rsidRPr="007C5A6E" w:rsidRDefault="00905928" w:rsidP="00684FF8">
      <w:pPr>
        <w:pStyle w:val="Titre4"/>
      </w:pPr>
      <w:bookmarkStart w:id="800" w:name="_Toc181982237"/>
      <w:bookmarkStart w:id="801" w:name="_Toc183340160"/>
      <w:r w:rsidRPr="007C5A6E">
        <w:t>Classe des sols à sesquioxydes de fer et de manganèse</w:t>
      </w:r>
      <w:bookmarkEnd w:id="800"/>
      <w:bookmarkEnd w:id="801"/>
    </w:p>
    <w:p w14:paraId="57CF344E" w14:textId="77777777" w:rsidR="005E061D" w:rsidRPr="007C5A6E" w:rsidRDefault="005E061D" w:rsidP="005E061D">
      <w:pPr>
        <w:tabs>
          <w:tab w:val="left" w:pos="2119"/>
        </w:tabs>
        <w:spacing w:after="0" w:line="240" w:lineRule="auto"/>
        <w:contextualSpacing/>
        <w:jc w:val="both"/>
        <w:rPr>
          <w:rFonts w:ascii="Times New Roman" w:eastAsia="Calibri" w:hAnsi="Times New Roman"/>
          <w:kern w:val="2"/>
          <w:lang w:eastAsia="en-US"/>
          <w14:ligatures w14:val="standardContextual"/>
        </w:rPr>
      </w:pPr>
    </w:p>
    <w:p w14:paraId="1BECE183" w14:textId="367F96F6" w:rsidR="00905928" w:rsidRPr="007C5A6E" w:rsidRDefault="00905928" w:rsidP="005E061D">
      <w:pPr>
        <w:tabs>
          <w:tab w:val="left" w:pos="2119"/>
        </w:tabs>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lang w:eastAsia="en-US"/>
          <w14:ligatures w14:val="standardContextual"/>
        </w:rPr>
        <w:t xml:space="preserve">Ce sont des sols riches en sesquioxydes. La sous-classe est celle des sols ferrugineux tropicaux caractérisés par une coloration de l’horizon B se situant dans les jaunes (10 YR et 7,5 YR), une structure massive en A et B, un complexe argileux en B moyennement désaturé (S/T compris entre 50 et 65 %), une individualisation des sesquioxydes. </w:t>
      </w:r>
      <w:r w:rsidRPr="007C5A6E">
        <w:rPr>
          <w:rFonts w:ascii="Times New Roman" w:eastAsia="Calibri" w:hAnsi="Times New Roman"/>
          <w:kern w:val="2"/>
          <w:sz w:val="24"/>
          <w:szCs w:val="24"/>
          <w:lang w:eastAsia="en-US"/>
          <w14:ligatures w14:val="standardContextual"/>
        </w:rPr>
        <w:t>Tous les sous-groupes ont une faible fertilité chimique et une faible disponibilité en eau. Ils occupent 43,10 % de la superficie totale.</w:t>
      </w:r>
    </w:p>
    <w:p w14:paraId="520B7DCC" w14:textId="77777777" w:rsidR="005E061D" w:rsidRPr="007C5A6E" w:rsidRDefault="005E061D" w:rsidP="005E061D">
      <w:pPr>
        <w:tabs>
          <w:tab w:val="left" w:pos="2119"/>
        </w:tabs>
        <w:spacing w:after="0" w:line="240" w:lineRule="auto"/>
        <w:contextualSpacing/>
        <w:jc w:val="both"/>
        <w:rPr>
          <w:rFonts w:ascii="Times New Roman" w:eastAsia="Calibri" w:hAnsi="Times New Roman"/>
          <w:kern w:val="2"/>
          <w:sz w:val="24"/>
          <w:szCs w:val="24"/>
          <w:lang w:eastAsia="en-US"/>
          <w14:ligatures w14:val="standardContextual"/>
        </w:rPr>
      </w:pPr>
    </w:p>
    <w:p w14:paraId="69942026" w14:textId="46C3D943" w:rsidR="00905928" w:rsidRPr="007C5A6E" w:rsidRDefault="00905928" w:rsidP="00684FF8">
      <w:pPr>
        <w:pStyle w:val="Titre4"/>
      </w:pPr>
      <w:bookmarkStart w:id="802" w:name="_Toc181982238"/>
      <w:bookmarkStart w:id="803" w:name="_Toc183340161"/>
      <w:r w:rsidRPr="007C5A6E">
        <w:t>Classe des sols ferrallitiques</w:t>
      </w:r>
      <w:bookmarkEnd w:id="802"/>
      <w:bookmarkEnd w:id="803"/>
    </w:p>
    <w:p w14:paraId="121ECAAE" w14:textId="77777777" w:rsidR="005E061D" w:rsidRPr="007C5A6E" w:rsidRDefault="005E061D" w:rsidP="005E061D">
      <w:pPr>
        <w:tabs>
          <w:tab w:val="left" w:pos="2119"/>
        </w:tabs>
        <w:spacing w:after="0" w:line="240" w:lineRule="auto"/>
        <w:contextualSpacing/>
        <w:jc w:val="both"/>
        <w:rPr>
          <w:rFonts w:ascii="Times New Roman" w:eastAsia="Calibri" w:hAnsi="Times New Roman"/>
          <w:kern w:val="2"/>
          <w:sz w:val="24"/>
          <w:szCs w:val="24"/>
          <w:lang w:eastAsia="en-US"/>
          <w14:ligatures w14:val="standardContextual"/>
        </w:rPr>
      </w:pPr>
    </w:p>
    <w:p w14:paraId="72A24F88" w14:textId="35DA4892" w:rsidR="00905928" w:rsidRPr="007C5A6E" w:rsidRDefault="00905928" w:rsidP="005E061D">
      <w:pPr>
        <w:tabs>
          <w:tab w:val="left" w:pos="2119"/>
        </w:tabs>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Ce sont des sols caractérisés par une altération intense des minéraux primaires, une élimination hors du profil des bases alcalines et d’une grande partie de la silice, une </w:t>
      </w:r>
      <w:proofErr w:type="spellStart"/>
      <w:r w:rsidRPr="007C5A6E">
        <w:rPr>
          <w:rFonts w:ascii="Times New Roman" w:eastAsia="Calibri" w:hAnsi="Times New Roman"/>
          <w:kern w:val="2"/>
          <w:sz w:val="24"/>
          <w:szCs w:val="24"/>
          <w:lang w:eastAsia="en-US"/>
          <w14:ligatures w14:val="standardContextual"/>
        </w:rPr>
        <w:t>néo-synthèse</w:t>
      </w:r>
      <w:proofErr w:type="spellEnd"/>
      <w:r w:rsidRPr="007C5A6E">
        <w:rPr>
          <w:rFonts w:ascii="Times New Roman" w:eastAsia="Calibri" w:hAnsi="Times New Roman"/>
          <w:kern w:val="2"/>
          <w:sz w:val="24"/>
          <w:szCs w:val="24"/>
          <w:lang w:eastAsia="en-US"/>
          <w14:ligatures w14:val="standardContextual"/>
        </w:rPr>
        <w:t xml:space="preserve"> des silicates d’alumine (kaolinite). Leur fertilité chimique est faible. L’altération profonde leur confère un profil cultural épais pouvant atteindre plus de 8 m. Ils ont des potentialités intéressantes pour le maïs, sorgho, cotonnier, légumineuses, tubercule et l’arboriculture. Ils occupent 1,04 % de la superficie totale.</w:t>
      </w:r>
    </w:p>
    <w:p w14:paraId="659C31D9" w14:textId="77777777" w:rsidR="005E061D" w:rsidRPr="007C5A6E" w:rsidRDefault="005E061D" w:rsidP="005E061D">
      <w:pPr>
        <w:tabs>
          <w:tab w:val="left" w:pos="2119"/>
        </w:tabs>
        <w:spacing w:after="0" w:line="240" w:lineRule="auto"/>
        <w:contextualSpacing/>
        <w:jc w:val="both"/>
        <w:rPr>
          <w:rFonts w:ascii="Times New Roman" w:eastAsia="Calibri" w:hAnsi="Times New Roman"/>
          <w:kern w:val="2"/>
          <w:sz w:val="24"/>
          <w:szCs w:val="24"/>
          <w:lang w:eastAsia="en-US"/>
          <w14:ligatures w14:val="standardContextual"/>
        </w:rPr>
      </w:pPr>
    </w:p>
    <w:p w14:paraId="57D20CAA" w14:textId="69000989" w:rsidR="00905928" w:rsidRPr="007C5A6E" w:rsidRDefault="00905928" w:rsidP="00684FF8">
      <w:pPr>
        <w:pStyle w:val="Titre4"/>
      </w:pPr>
      <w:bookmarkStart w:id="804" w:name="_Toc181982239"/>
      <w:bookmarkStart w:id="805" w:name="_Toc183340162"/>
      <w:r w:rsidRPr="007C5A6E">
        <w:t>Classe des sols hydromorphes</w:t>
      </w:r>
      <w:bookmarkEnd w:id="804"/>
      <w:bookmarkEnd w:id="805"/>
    </w:p>
    <w:p w14:paraId="23350AB4" w14:textId="77777777" w:rsidR="005E061D" w:rsidRPr="007C5A6E" w:rsidRDefault="005E061D" w:rsidP="005E061D">
      <w:pPr>
        <w:spacing w:after="0" w:line="240" w:lineRule="auto"/>
        <w:contextualSpacing/>
        <w:jc w:val="both"/>
        <w:rPr>
          <w:rFonts w:ascii="Times New Roman" w:eastAsia="Calibri" w:hAnsi="Times New Roman"/>
          <w:kern w:val="2"/>
          <w:sz w:val="24"/>
          <w:szCs w:val="24"/>
          <w:lang w:eastAsia="en-US"/>
          <w14:ligatures w14:val="standardContextual"/>
        </w:rPr>
      </w:pPr>
    </w:p>
    <w:p w14:paraId="303CC421" w14:textId="68E48E54" w:rsidR="00905928" w:rsidRPr="007C5A6E" w:rsidRDefault="00905928" w:rsidP="005E061D">
      <w:pPr>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Ce sont des sols qui se sont formés sous l’effet d’un engorgement temporaire ou permanent d’une partie ou de la totalité du profil. L’excès d’eau peut être dû soit à la présence ou à la remontée d’une nappe phréatique soit au manque d’infiltration des eaux de pluie provoquant une nappe perchée ou un engorgement de surface. Ils ont une fertilité moyenne et sont aptes à la riziculture pluviale et irriguée et au maraîchage. Ils représentent 6,60 % de la superficie totale.</w:t>
      </w:r>
    </w:p>
    <w:p w14:paraId="263CEED2" w14:textId="77777777" w:rsidR="00905928" w:rsidRPr="007C5A6E" w:rsidRDefault="00905928" w:rsidP="005E061D">
      <w:pPr>
        <w:spacing w:after="0" w:line="240" w:lineRule="auto"/>
        <w:contextualSpacing/>
        <w:jc w:val="both"/>
        <w:rPr>
          <w:rFonts w:ascii="Times New Roman" w:eastAsia="Calibri" w:hAnsi="Times New Roman"/>
          <w:b/>
          <w:bCs/>
          <w:kern w:val="2"/>
          <w:sz w:val="24"/>
          <w:szCs w:val="24"/>
          <w:lang w:eastAsia="en-US"/>
          <w14:ligatures w14:val="standardContextual"/>
        </w:rPr>
      </w:pPr>
    </w:p>
    <w:p w14:paraId="0AA2B70C" w14:textId="17DD2594" w:rsidR="00905928" w:rsidRPr="007C5A6E" w:rsidRDefault="00905928" w:rsidP="00684FF8">
      <w:pPr>
        <w:pStyle w:val="Titre4"/>
      </w:pPr>
      <w:bookmarkStart w:id="806" w:name="_Toc181982240"/>
      <w:bookmarkStart w:id="807" w:name="_Toc183340163"/>
      <w:r w:rsidRPr="007C5A6E">
        <w:t>Classe des sols sodiques</w:t>
      </w:r>
      <w:bookmarkEnd w:id="806"/>
      <w:bookmarkEnd w:id="807"/>
    </w:p>
    <w:p w14:paraId="2100B6FC" w14:textId="77777777" w:rsidR="005E061D" w:rsidRPr="007C5A6E" w:rsidRDefault="005E061D" w:rsidP="005E061D">
      <w:pPr>
        <w:spacing w:after="0" w:line="240" w:lineRule="auto"/>
        <w:contextualSpacing/>
        <w:jc w:val="both"/>
        <w:rPr>
          <w:rFonts w:ascii="Times New Roman" w:eastAsia="Calibri" w:hAnsi="Times New Roman"/>
          <w:kern w:val="2"/>
          <w:sz w:val="24"/>
          <w:szCs w:val="24"/>
          <w:lang w:eastAsia="en-US"/>
          <w14:ligatures w14:val="standardContextual"/>
        </w:rPr>
      </w:pPr>
    </w:p>
    <w:p w14:paraId="1F550926" w14:textId="44E85B3B" w:rsidR="00905928" w:rsidRPr="007C5A6E" w:rsidRDefault="00905928" w:rsidP="005E061D">
      <w:pPr>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Le sous-groupe cartographié au Burkina est celui des sols sodiques à structure en colonnettes de l’horizon B (Solonetz). Ils sont issus de granites </w:t>
      </w:r>
      <w:proofErr w:type="spellStart"/>
      <w:r w:rsidRPr="007C5A6E">
        <w:rPr>
          <w:rFonts w:ascii="Times New Roman" w:eastAsia="Calibri" w:hAnsi="Times New Roman"/>
          <w:kern w:val="2"/>
          <w:sz w:val="24"/>
          <w:szCs w:val="24"/>
          <w:lang w:eastAsia="en-US"/>
          <w14:ligatures w14:val="standardContextual"/>
        </w:rPr>
        <w:t>calco</w:t>
      </w:r>
      <w:proofErr w:type="spellEnd"/>
      <w:r w:rsidRPr="007C5A6E">
        <w:rPr>
          <w:rFonts w:ascii="Times New Roman" w:eastAsia="Calibri" w:hAnsi="Times New Roman"/>
          <w:kern w:val="2"/>
          <w:sz w:val="24"/>
          <w:szCs w:val="24"/>
          <w:lang w:eastAsia="en-US"/>
          <w14:ligatures w14:val="standardContextual"/>
        </w:rPr>
        <w:t>-alcalins. L’ion Na</w:t>
      </w:r>
      <w:r w:rsidRPr="007C5A6E">
        <w:rPr>
          <w:rFonts w:ascii="Times New Roman" w:eastAsia="Calibri" w:hAnsi="Times New Roman"/>
          <w:kern w:val="2"/>
          <w:sz w:val="24"/>
          <w:szCs w:val="24"/>
          <w:vertAlign w:val="superscript"/>
          <w:lang w:eastAsia="en-US"/>
          <w14:ligatures w14:val="standardContextual"/>
        </w:rPr>
        <w:t>+</w:t>
      </w:r>
      <w:r w:rsidRPr="007C5A6E">
        <w:rPr>
          <w:rFonts w:ascii="Times New Roman" w:eastAsia="Calibri" w:hAnsi="Times New Roman"/>
          <w:kern w:val="2"/>
          <w:sz w:val="24"/>
          <w:szCs w:val="24"/>
          <w:lang w:eastAsia="en-US"/>
          <w14:ligatures w14:val="standardContextual"/>
        </w:rPr>
        <w:t xml:space="preserve"> occupe 15 % de la CEC. Ce sont des sols profonds, à structure massive et avec une compacité très élevée. Ils représentent 3,20 % de la superficie totale du Burkina.</w:t>
      </w:r>
    </w:p>
    <w:p w14:paraId="69267ACC" w14:textId="77777777" w:rsidR="008F01A8" w:rsidRPr="007C5A6E" w:rsidRDefault="008F01A8" w:rsidP="005E061D">
      <w:pPr>
        <w:spacing w:after="0" w:line="240" w:lineRule="auto"/>
        <w:contextualSpacing/>
        <w:jc w:val="both"/>
        <w:rPr>
          <w:rFonts w:ascii="Times New Roman" w:eastAsia="Calibri" w:hAnsi="Times New Roman"/>
          <w:b/>
          <w:bCs/>
          <w:kern w:val="2"/>
          <w:sz w:val="24"/>
          <w:szCs w:val="24"/>
          <w:lang w:eastAsia="en-US"/>
          <w14:ligatures w14:val="standardContextual"/>
        </w:rPr>
      </w:pPr>
    </w:p>
    <w:p w14:paraId="7801F1C7" w14:textId="2D72DF14" w:rsidR="005E061D" w:rsidRPr="007C5A6E" w:rsidRDefault="00905928" w:rsidP="0097382E">
      <w:pPr>
        <w:tabs>
          <w:tab w:val="left" w:pos="2119"/>
        </w:tabs>
        <w:spacing w:after="0" w:line="240" w:lineRule="auto"/>
        <w:contextualSpacing/>
        <w:jc w:val="both"/>
        <w:rPr>
          <w:rFonts w:ascii="Times New Roman" w:eastAsia="Calibri" w:hAnsi="Times New Roman"/>
          <w:kern w:val="2"/>
          <w:sz w:val="20"/>
          <w:szCs w:val="20"/>
          <w:lang w:eastAsia="en-US"/>
          <w14:ligatures w14:val="standardContextual"/>
        </w:rPr>
      </w:pPr>
      <w:r w:rsidRPr="007C5A6E">
        <w:rPr>
          <w:rFonts w:eastAsia="Calibri"/>
          <w:noProof/>
          <w:kern w:val="2"/>
          <w:lang w:eastAsia="en-US"/>
          <w14:ligatures w14:val="standardContextual"/>
        </w:rPr>
        <w:drawing>
          <wp:inline distT="0" distB="0" distL="0" distR="0" wp14:anchorId="7496C4A4" wp14:editId="7422ACA2">
            <wp:extent cx="6846570" cy="4333875"/>
            <wp:effectExtent l="0" t="0" r="0" b="9525"/>
            <wp:docPr id="15121849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184937" name=""/>
                    <pic:cNvPicPr/>
                  </pic:nvPicPr>
                  <pic:blipFill>
                    <a:blip r:embed="rId134" cstate="email">
                      <a:extLst>
                        <a:ext uri="{28A0092B-C50C-407E-A947-70E740481C1C}">
                          <a14:useLocalDpi xmlns:a14="http://schemas.microsoft.com/office/drawing/2010/main"/>
                        </a:ext>
                      </a:extLst>
                    </a:blip>
                    <a:stretch>
                      <a:fillRect/>
                    </a:stretch>
                  </pic:blipFill>
                  <pic:spPr>
                    <a:xfrm>
                      <a:off x="0" y="0"/>
                      <a:ext cx="6846570" cy="4333875"/>
                    </a:xfrm>
                    <a:prstGeom prst="rect">
                      <a:avLst/>
                    </a:prstGeom>
                  </pic:spPr>
                </pic:pic>
              </a:graphicData>
            </a:graphic>
          </wp:inline>
        </w:drawing>
      </w:r>
      <w:bookmarkStart w:id="808" w:name="_Toc181983057"/>
      <w:r w:rsidR="0097382E" w:rsidRPr="007C5A6E">
        <w:rPr>
          <w:rFonts w:ascii="Times New Roman" w:eastAsia="Calibri" w:hAnsi="Times New Roman"/>
          <w:kern w:val="2"/>
          <w:sz w:val="20"/>
          <w:szCs w:val="20"/>
          <w:lang w:eastAsia="en-US"/>
          <w14:ligatures w14:val="standardContextual"/>
        </w:rPr>
        <w:t>(</w:t>
      </w:r>
      <w:r w:rsidR="005E061D" w:rsidRPr="007C5A6E">
        <w:rPr>
          <w:rFonts w:ascii="Times New Roman" w:eastAsia="Calibri" w:hAnsi="Times New Roman"/>
          <w:kern w:val="2"/>
          <w:sz w:val="20"/>
          <w:szCs w:val="20"/>
          <w:lang w:eastAsia="en-US"/>
          <w14:ligatures w14:val="standardContextual"/>
        </w:rPr>
        <w:t>Source : BUNASOLS</w:t>
      </w:r>
      <w:r w:rsidR="0097382E" w:rsidRPr="007C5A6E">
        <w:rPr>
          <w:rFonts w:ascii="Times New Roman" w:eastAsia="Calibri" w:hAnsi="Times New Roman"/>
          <w:kern w:val="2"/>
          <w:sz w:val="20"/>
          <w:szCs w:val="20"/>
          <w:lang w:eastAsia="en-US"/>
          <w14:ligatures w14:val="standardContextual"/>
        </w:rPr>
        <w:t xml:space="preserve">, </w:t>
      </w:r>
      <w:r w:rsidR="005E061D" w:rsidRPr="007C5A6E">
        <w:rPr>
          <w:rFonts w:ascii="Times New Roman" w:eastAsia="Calibri" w:hAnsi="Times New Roman"/>
          <w:kern w:val="2"/>
          <w:sz w:val="20"/>
          <w:szCs w:val="20"/>
          <w:lang w:eastAsia="en-US"/>
          <w14:ligatures w14:val="standardContextual"/>
        </w:rPr>
        <w:t>2017)</w:t>
      </w:r>
    </w:p>
    <w:p w14:paraId="46F07E04" w14:textId="36AFFBCD" w:rsidR="00905928" w:rsidRPr="007C5A6E" w:rsidRDefault="005E061D" w:rsidP="005E061D">
      <w:pPr>
        <w:pStyle w:val="Lgende"/>
        <w:spacing w:after="0"/>
        <w:rPr>
          <w:rFonts w:ascii="Times New Roman" w:hAnsi="Times New Roman"/>
          <w:color w:val="auto"/>
          <w:spacing w:val="10"/>
          <w:sz w:val="24"/>
          <w:szCs w:val="24"/>
          <w:lang w:eastAsia="en-US"/>
        </w:rPr>
      </w:pPr>
      <w:bookmarkStart w:id="809" w:name="_Toc183230899"/>
      <w:bookmarkStart w:id="810" w:name="_Toc183240692"/>
      <w:bookmarkStart w:id="811" w:name="_Toc183340431"/>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52</w:t>
      </w:r>
      <w:r w:rsidRPr="007C5A6E">
        <w:rPr>
          <w:rFonts w:ascii="Times New Roman" w:hAnsi="Times New Roman"/>
          <w:color w:val="auto"/>
          <w:sz w:val="24"/>
          <w:szCs w:val="24"/>
        </w:rPr>
        <w:fldChar w:fldCharType="end"/>
      </w:r>
      <w:r w:rsidR="00373254" w:rsidRPr="007C5A6E">
        <w:rPr>
          <w:rFonts w:ascii="Times New Roman" w:hAnsi="Times New Roman"/>
          <w:color w:val="auto"/>
          <w:sz w:val="24"/>
          <w:szCs w:val="24"/>
        </w:rPr>
        <w:t>.</w:t>
      </w:r>
      <w:r w:rsidR="00905928" w:rsidRPr="007C5A6E">
        <w:rPr>
          <w:rFonts w:ascii="Times New Roman" w:hAnsi="Times New Roman"/>
          <w:color w:val="auto"/>
          <w:spacing w:val="10"/>
          <w:sz w:val="24"/>
          <w:szCs w:val="24"/>
          <w:lang w:eastAsia="en-US"/>
        </w:rPr>
        <w:t xml:space="preserve"> Carte pédologique du Burkina Faso</w:t>
      </w:r>
      <w:bookmarkEnd w:id="808"/>
      <w:bookmarkEnd w:id="809"/>
      <w:bookmarkEnd w:id="810"/>
      <w:bookmarkEnd w:id="811"/>
    </w:p>
    <w:p w14:paraId="2D61E0E3" w14:textId="77777777" w:rsidR="00905928" w:rsidRPr="007C5A6E" w:rsidRDefault="00905928" w:rsidP="002C5D46">
      <w:pPr>
        <w:spacing w:after="0" w:line="240" w:lineRule="auto"/>
        <w:contextualSpacing/>
        <w:jc w:val="both"/>
        <w:rPr>
          <w:rFonts w:ascii="Times New Roman" w:eastAsia="Calibri" w:hAnsi="Times New Roman"/>
          <w:kern w:val="2"/>
          <w:sz w:val="24"/>
          <w:szCs w:val="24"/>
          <w:lang w:eastAsia="en-US"/>
          <w14:ligatures w14:val="standardContextual"/>
        </w:rPr>
      </w:pPr>
    </w:p>
    <w:p w14:paraId="5CC7F072" w14:textId="281A1786" w:rsidR="002C5D46" w:rsidRPr="007C5A6E" w:rsidRDefault="002C5D46" w:rsidP="00712C43">
      <w:pPr>
        <w:pStyle w:val="Titre2"/>
      </w:pPr>
      <w:bookmarkStart w:id="812" w:name="_Toc183340164"/>
      <w:r w:rsidRPr="007C5A6E">
        <w:t>Impacts des pressions sur les sols</w:t>
      </w:r>
      <w:bookmarkEnd w:id="812"/>
      <w:r w:rsidRPr="007C5A6E">
        <w:t xml:space="preserve"> </w:t>
      </w:r>
    </w:p>
    <w:p w14:paraId="6DB27A3A" w14:textId="77777777" w:rsidR="002C5D46" w:rsidRPr="007C5A6E" w:rsidRDefault="002C5D46" w:rsidP="000C39EA">
      <w:pPr>
        <w:spacing w:after="0" w:line="240" w:lineRule="auto"/>
        <w:contextualSpacing/>
        <w:jc w:val="both"/>
        <w:rPr>
          <w:rFonts w:ascii="Times New Roman" w:eastAsia="Calibri" w:hAnsi="Times New Roman"/>
          <w:kern w:val="2"/>
          <w:sz w:val="24"/>
          <w:szCs w:val="24"/>
          <w:lang w:eastAsia="en-US"/>
          <w14:ligatures w14:val="standardContextual"/>
        </w:rPr>
      </w:pPr>
    </w:p>
    <w:p w14:paraId="5ABF2BBF" w14:textId="7B9BC925" w:rsidR="00C82DE6" w:rsidRPr="007C5A6E" w:rsidRDefault="00C82DE6" w:rsidP="000C39EA">
      <w:pPr>
        <w:pStyle w:val="Titre3"/>
      </w:pPr>
      <w:bookmarkStart w:id="813" w:name="_Toc181982242"/>
      <w:bookmarkStart w:id="814" w:name="_Toc183340165"/>
      <w:r w:rsidRPr="007C5A6E">
        <w:t>Impacts anthropiques</w:t>
      </w:r>
      <w:bookmarkEnd w:id="813"/>
      <w:bookmarkEnd w:id="814"/>
    </w:p>
    <w:p w14:paraId="1574FE60" w14:textId="77777777" w:rsidR="00C82DE6" w:rsidRPr="007C5A6E" w:rsidRDefault="00C82DE6" w:rsidP="000C39EA">
      <w:pPr>
        <w:spacing w:after="0" w:line="240" w:lineRule="auto"/>
        <w:rPr>
          <w:rFonts w:ascii="Times New Roman" w:hAnsi="Times New Roman"/>
          <w:sz w:val="24"/>
          <w:szCs w:val="24"/>
        </w:rPr>
      </w:pPr>
    </w:p>
    <w:p w14:paraId="72FE3392" w14:textId="06F00C1F" w:rsidR="00C82DE6" w:rsidRPr="007C5A6E" w:rsidRDefault="00C82DE6" w:rsidP="00684FF8">
      <w:pPr>
        <w:pStyle w:val="Titre4"/>
      </w:pPr>
      <w:bookmarkStart w:id="815" w:name="_Toc181982243"/>
      <w:bookmarkStart w:id="816" w:name="_Toc183340166"/>
      <w:r w:rsidRPr="007C5A6E">
        <w:t>Impacts du surpâturage</w:t>
      </w:r>
      <w:bookmarkEnd w:id="815"/>
      <w:bookmarkEnd w:id="816"/>
    </w:p>
    <w:p w14:paraId="39A68D8F" w14:textId="77777777" w:rsidR="000C39EA" w:rsidRPr="007C5A6E" w:rsidRDefault="000C39EA" w:rsidP="000C39EA">
      <w:pPr>
        <w:shd w:val="clear" w:color="auto" w:fill="FFFFFF"/>
        <w:spacing w:after="0" w:line="240" w:lineRule="auto"/>
        <w:jc w:val="both"/>
        <w:rPr>
          <w:rFonts w:ascii="Times New Roman" w:hAnsi="Times New Roman"/>
          <w:color w:val="040C28"/>
          <w:sz w:val="24"/>
          <w:szCs w:val="24"/>
          <w:lang w:eastAsia="en-US"/>
        </w:rPr>
      </w:pPr>
    </w:p>
    <w:p w14:paraId="1D0D6B8A" w14:textId="72FB9C42" w:rsidR="00C82DE6" w:rsidRPr="007C5A6E" w:rsidRDefault="00C82DE6" w:rsidP="000C39EA">
      <w:pPr>
        <w:shd w:val="clear" w:color="auto" w:fill="FFFFFF"/>
        <w:spacing w:after="0" w:line="240" w:lineRule="auto"/>
        <w:jc w:val="both"/>
        <w:rPr>
          <w:rFonts w:ascii="Times New Roman" w:hAnsi="Times New Roman"/>
          <w:bCs/>
          <w:sz w:val="24"/>
          <w:szCs w:val="24"/>
          <w:lang w:eastAsia="en-US"/>
        </w:rPr>
      </w:pPr>
      <w:r w:rsidRPr="007C5A6E">
        <w:rPr>
          <w:rFonts w:ascii="Times New Roman" w:hAnsi="Times New Roman"/>
          <w:color w:val="040C28"/>
          <w:sz w:val="24"/>
          <w:szCs w:val="24"/>
          <w:lang w:eastAsia="en-US"/>
        </w:rPr>
        <w:t>Le surpâturage par les animaux peut endommager la couverture végétale et exposer davantage le sol aux intempéries du climat (</w:t>
      </w:r>
      <w:proofErr w:type="spellStart"/>
      <w:r w:rsidRPr="007C5A6E">
        <w:rPr>
          <w:rFonts w:ascii="Times New Roman" w:hAnsi="Times New Roman"/>
          <w:sz w:val="24"/>
          <w:szCs w:val="24"/>
          <w:lang w:eastAsia="en-US"/>
        </w:rPr>
        <w:t>Pougbila</w:t>
      </w:r>
      <w:proofErr w:type="spellEnd"/>
      <w:r w:rsidRPr="007C5A6E">
        <w:rPr>
          <w:rFonts w:ascii="Times New Roman" w:hAnsi="Times New Roman"/>
          <w:sz w:val="24"/>
          <w:szCs w:val="24"/>
          <w:lang w:eastAsia="en-US"/>
        </w:rPr>
        <w:t>, 2024</w:t>
      </w:r>
      <w:r w:rsidRPr="007C5A6E">
        <w:rPr>
          <w:rFonts w:ascii="Times New Roman" w:hAnsi="Times New Roman"/>
          <w:color w:val="040C28"/>
          <w:sz w:val="24"/>
          <w:szCs w:val="24"/>
          <w:lang w:eastAsia="en-US"/>
        </w:rPr>
        <w:t xml:space="preserve">). De même, le surpâturage par la divagation des animaux ne permet pas aux arbres et à la savane de regénérer. De telles pratiques conduit à court terme, à une dénudation des sols et leur exposition à la battance des eaux de pluie. </w:t>
      </w:r>
      <w:r w:rsidRPr="007C5A6E">
        <w:rPr>
          <w:rFonts w:ascii="Times New Roman" w:hAnsi="Times New Roman"/>
          <w:bCs/>
          <w:sz w:val="24"/>
          <w:szCs w:val="24"/>
          <w:lang w:eastAsia="en-US"/>
        </w:rPr>
        <w:t>La charge animale devient cruciale. Le piétinement du sol se traduit par un tassement et un compactage, une augmentation de la densité apparente, la formation d’une structure massive, la réduction de la porosité, une faible infiltration des eaux de pluie, une baisse de la rétention en eau, un ruissellement intense avec érosion du sol.</w:t>
      </w:r>
    </w:p>
    <w:p w14:paraId="26E35E95" w14:textId="77777777" w:rsidR="00C82DE6" w:rsidRPr="007C5A6E" w:rsidRDefault="00C82DE6" w:rsidP="000C39EA">
      <w:pPr>
        <w:shd w:val="clear" w:color="auto" w:fill="FFFFFF"/>
        <w:spacing w:after="0" w:line="240" w:lineRule="auto"/>
        <w:jc w:val="both"/>
        <w:rPr>
          <w:rFonts w:ascii="Times New Roman" w:hAnsi="Times New Roman"/>
          <w:bCs/>
          <w:sz w:val="24"/>
          <w:szCs w:val="24"/>
          <w:lang w:eastAsia="en-US"/>
        </w:rPr>
      </w:pPr>
    </w:p>
    <w:p w14:paraId="7BB03E9C" w14:textId="2613B8DB" w:rsidR="00C82DE6" w:rsidRPr="007C5A6E" w:rsidRDefault="00C82DE6" w:rsidP="00684FF8">
      <w:pPr>
        <w:pStyle w:val="Titre4"/>
      </w:pPr>
      <w:bookmarkStart w:id="817" w:name="_Toc181982244"/>
      <w:bookmarkStart w:id="818" w:name="_Toc183340167"/>
      <w:r w:rsidRPr="007C5A6E">
        <w:t>Impacts des feux de brousse</w:t>
      </w:r>
      <w:bookmarkEnd w:id="817"/>
      <w:bookmarkEnd w:id="818"/>
    </w:p>
    <w:p w14:paraId="53ADC3D7" w14:textId="77777777" w:rsidR="008F01A8" w:rsidRPr="007C5A6E" w:rsidRDefault="008F01A8" w:rsidP="000C39EA">
      <w:pPr>
        <w:spacing w:after="0" w:line="240" w:lineRule="auto"/>
        <w:contextualSpacing/>
        <w:jc w:val="both"/>
        <w:textAlignment w:val="baseline"/>
        <w:rPr>
          <w:rFonts w:ascii="Times New Roman" w:eastAsia="Calibri" w:hAnsi="Times New Roman"/>
          <w:color w:val="222222"/>
          <w:kern w:val="2"/>
          <w:sz w:val="24"/>
          <w:szCs w:val="24"/>
          <w:shd w:val="clear" w:color="auto" w:fill="FFFFFF"/>
          <w:lang w:eastAsia="en-US"/>
          <w14:ligatures w14:val="standardContextual"/>
        </w:rPr>
      </w:pPr>
    </w:p>
    <w:p w14:paraId="362DF15D" w14:textId="6E692B44" w:rsidR="00C82DE6" w:rsidRPr="007C5A6E" w:rsidRDefault="00C82DE6" w:rsidP="000C39EA">
      <w:pPr>
        <w:spacing w:after="0" w:line="240" w:lineRule="auto"/>
        <w:contextualSpacing/>
        <w:jc w:val="both"/>
        <w:textAlignment w:val="baseline"/>
        <w:rPr>
          <w:rFonts w:ascii="Times New Roman" w:eastAsia="Calibri" w:hAnsi="Times New Roman"/>
          <w:color w:val="222222"/>
          <w:kern w:val="2"/>
          <w:sz w:val="24"/>
          <w:szCs w:val="24"/>
          <w:shd w:val="clear" w:color="auto" w:fill="FFFFFF"/>
          <w:lang w:eastAsia="en-US"/>
          <w14:ligatures w14:val="standardContextual"/>
        </w:rPr>
      </w:pPr>
      <w:r w:rsidRPr="007C5A6E">
        <w:rPr>
          <w:rFonts w:ascii="Times New Roman" w:eastAsia="Calibri" w:hAnsi="Times New Roman"/>
          <w:color w:val="222222"/>
          <w:kern w:val="2"/>
          <w:sz w:val="24"/>
          <w:szCs w:val="24"/>
          <w:shd w:val="clear" w:color="auto" w:fill="FFFFFF"/>
          <w:lang w:eastAsia="en-US"/>
          <w14:ligatures w14:val="standardContextual"/>
        </w:rPr>
        <w:t>Au Burkina Faso, pendant la saison sèche, on assiste à des incendies spontanés dans la brousse. Les incendies récurrents représentent une menace majeure pour la région du Sud-Ouest tant sur le plan environnemental que socio-économique. Ce phénomène ravage l’environnement, défiant les efforts de lutte contre la déforestation déployée par les autorités. Dans cette région où la pluviométrie est abondante, l’Homme demeure le principal instigateur de ces brasiers dévastateurs de l’environnement (</w:t>
      </w:r>
      <w:r w:rsidRPr="007C5A6E">
        <w:rPr>
          <w:rFonts w:ascii="Times New Roman" w:eastAsia="Calibri" w:hAnsi="Times New Roman"/>
          <w:kern w:val="2"/>
          <w:sz w:val="24"/>
          <w:szCs w:val="24"/>
          <w:shd w:val="clear" w:color="auto" w:fill="FFFFFF"/>
          <w:lang w:eastAsia="en-US"/>
          <w14:ligatures w14:val="standardContextual"/>
        </w:rPr>
        <w:t xml:space="preserve">J K. </w:t>
      </w:r>
      <w:proofErr w:type="spellStart"/>
      <w:r w:rsidRPr="007C5A6E">
        <w:rPr>
          <w:rFonts w:ascii="Times New Roman" w:eastAsia="Calibri" w:hAnsi="Times New Roman"/>
          <w:kern w:val="2"/>
          <w:sz w:val="24"/>
          <w:szCs w:val="24"/>
          <w:shd w:val="clear" w:color="auto" w:fill="FFFFFF"/>
          <w:lang w:eastAsia="en-US"/>
          <w14:ligatures w14:val="standardContextual"/>
        </w:rPr>
        <w:t>Sidmaya</w:t>
      </w:r>
      <w:proofErr w:type="spellEnd"/>
      <w:r w:rsidRPr="007C5A6E">
        <w:rPr>
          <w:rFonts w:ascii="Times New Roman" w:eastAsia="Calibri" w:hAnsi="Times New Roman"/>
          <w:kern w:val="2"/>
          <w:sz w:val="24"/>
          <w:szCs w:val="24"/>
          <w:shd w:val="clear" w:color="auto" w:fill="FFFFFF"/>
          <w:lang w:eastAsia="en-US"/>
          <w14:ligatures w14:val="standardContextual"/>
        </w:rPr>
        <w:t>, 2024</w:t>
      </w:r>
      <w:r w:rsidRPr="007C5A6E">
        <w:rPr>
          <w:rFonts w:ascii="Times New Roman" w:eastAsia="Calibri" w:hAnsi="Times New Roman"/>
          <w:color w:val="222222"/>
          <w:kern w:val="2"/>
          <w:sz w:val="24"/>
          <w:szCs w:val="24"/>
          <w:shd w:val="clear" w:color="auto" w:fill="FFFFFF"/>
          <w:lang w:eastAsia="en-US"/>
          <w14:ligatures w14:val="standardContextual"/>
        </w:rPr>
        <w:t xml:space="preserve">). </w:t>
      </w:r>
    </w:p>
    <w:p w14:paraId="35B16C38" w14:textId="3E04E5B2" w:rsidR="00C82DE6" w:rsidRPr="007C5A6E" w:rsidRDefault="00C82DE6" w:rsidP="000C39EA">
      <w:pPr>
        <w:spacing w:after="0" w:line="240" w:lineRule="auto"/>
        <w:contextualSpacing/>
        <w:jc w:val="both"/>
        <w:textAlignment w:val="baseline"/>
        <w:rPr>
          <w:rFonts w:ascii="Times New Roman" w:eastAsia="Calibri" w:hAnsi="Times New Roman"/>
          <w:kern w:val="2"/>
          <w:sz w:val="24"/>
          <w:szCs w:val="24"/>
          <w:lang w:eastAsia="en-US"/>
          <w14:ligatures w14:val="standardContextual"/>
        </w:rPr>
      </w:pPr>
      <w:r w:rsidRPr="007C5A6E">
        <w:rPr>
          <w:rFonts w:ascii="Times New Roman" w:eastAsia="Calibri" w:hAnsi="Times New Roman"/>
          <w:color w:val="222222"/>
          <w:kern w:val="2"/>
          <w:sz w:val="24"/>
          <w:szCs w:val="24"/>
          <w:shd w:val="clear" w:color="auto" w:fill="FFFFFF"/>
          <w:lang w:eastAsia="en-US"/>
          <w14:ligatures w14:val="standardContextual"/>
        </w:rPr>
        <w:t>Selon plusieurs auteurs</w:t>
      </w:r>
      <w:r w:rsidRPr="007C5A6E">
        <w:rPr>
          <w:rFonts w:ascii="Times New Roman" w:eastAsia="Calibri" w:hAnsi="Times New Roman"/>
          <w:b/>
          <w:bCs/>
          <w:color w:val="222222"/>
          <w:kern w:val="2"/>
          <w:sz w:val="24"/>
          <w:szCs w:val="24"/>
          <w:shd w:val="clear" w:color="auto" w:fill="FFFFFF"/>
          <w:lang w:eastAsia="en-US"/>
          <w14:ligatures w14:val="standardContextual"/>
        </w:rPr>
        <w:t xml:space="preserve">, </w:t>
      </w:r>
      <w:r w:rsidRPr="007C5A6E">
        <w:rPr>
          <w:rFonts w:ascii="Times New Roman" w:eastAsia="Calibri" w:hAnsi="Times New Roman"/>
          <w:color w:val="222222"/>
          <w:kern w:val="2"/>
          <w:sz w:val="24"/>
          <w:szCs w:val="24"/>
          <w:shd w:val="clear" w:color="auto" w:fill="FFFFFF"/>
          <w:lang w:eastAsia="en-US"/>
          <w14:ligatures w14:val="standardContextual"/>
        </w:rPr>
        <w:t>la</w:t>
      </w:r>
      <w:r w:rsidRPr="007C5A6E">
        <w:rPr>
          <w:rFonts w:ascii="Times New Roman" w:eastAsia="Calibri" w:hAnsi="Times New Roman"/>
          <w:kern w:val="2"/>
          <w:sz w:val="24"/>
          <w:szCs w:val="24"/>
          <w:lang w:eastAsia="en-US"/>
          <w14:ligatures w14:val="standardContextual"/>
        </w:rPr>
        <w:t xml:space="preserve"> chaleur dégagée par les feux de brousse, peut entraîner une dégradation de la structure du sol et une chute de la porosité avec comme conséquence, une augmentation des risques d’érosion du sol par les eaux de ruissellement. Elle peut également entraîner une dessiccation de l’épipédon avec une remontée par capillarité des oxydes et hydroxydes de fer et leur précipitation en cuirasse ou carapace ferrugineuse réduisant la profondeur utile du sol. </w:t>
      </w:r>
    </w:p>
    <w:p w14:paraId="76BF3CD1" w14:textId="77777777" w:rsidR="000C39EA" w:rsidRPr="007C5A6E" w:rsidRDefault="000C39EA" w:rsidP="000C39EA">
      <w:pPr>
        <w:spacing w:after="0" w:line="240" w:lineRule="auto"/>
        <w:contextualSpacing/>
        <w:jc w:val="both"/>
        <w:textAlignment w:val="baseline"/>
        <w:rPr>
          <w:rFonts w:ascii="Times New Roman" w:eastAsia="Calibri" w:hAnsi="Times New Roman"/>
          <w:kern w:val="2"/>
          <w:sz w:val="24"/>
          <w:szCs w:val="24"/>
          <w:lang w:eastAsia="en-US"/>
          <w14:ligatures w14:val="standardContextual"/>
        </w:rPr>
      </w:pPr>
    </w:p>
    <w:p w14:paraId="13537396" w14:textId="77777777" w:rsidR="000C39EA" w:rsidRPr="007C5A6E" w:rsidRDefault="00C82DE6" w:rsidP="000C39EA">
      <w:pPr>
        <w:spacing w:after="0" w:line="240" w:lineRule="auto"/>
        <w:contextualSpacing/>
        <w:jc w:val="both"/>
        <w:textAlignment w:val="baseline"/>
        <w:rPr>
          <w:rFonts w:ascii="Times New Roman" w:eastAsia="Calibri" w:hAnsi="Times New Roman"/>
          <w:kern w:val="2"/>
          <w:sz w:val="24"/>
          <w:szCs w:val="24"/>
          <w:shd w:val="clear" w:color="auto" w:fill="FFFFFF"/>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En général, les feux de brousse appauvrissent les sols en matière organique emportée par le vent. Toutefois, une étude menée en zone soudanienne a montré </w:t>
      </w:r>
      <w:r w:rsidRPr="007C5A6E">
        <w:rPr>
          <w:rFonts w:ascii="Times New Roman" w:eastAsia="Calibri" w:hAnsi="Times New Roman"/>
          <w:kern w:val="2"/>
          <w:sz w:val="24"/>
          <w:szCs w:val="24"/>
          <w:shd w:val="clear" w:color="auto" w:fill="FFFFFF"/>
          <w:lang w:eastAsia="en-US"/>
          <w14:ligatures w14:val="standardContextual"/>
        </w:rPr>
        <w:t xml:space="preserve">un enrichissement en éléments nutritifs des couches superficielles. Le feu tardif a un effet plus néfaste sur les propriétés chimiques du sol que le feu précoce. </w:t>
      </w:r>
    </w:p>
    <w:p w14:paraId="335EE7A0" w14:textId="115209ED" w:rsidR="00C82DE6" w:rsidRPr="007C5A6E" w:rsidRDefault="00C82DE6" w:rsidP="000C39EA">
      <w:pPr>
        <w:spacing w:after="0" w:line="240" w:lineRule="auto"/>
        <w:contextualSpacing/>
        <w:jc w:val="both"/>
        <w:textAlignment w:val="baseline"/>
        <w:rPr>
          <w:rFonts w:ascii="Times New Roman" w:eastAsia="Calibri" w:hAnsi="Times New Roman"/>
          <w:kern w:val="2"/>
          <w:sz w:val="24"/>
          <w:szCs w:val="24"/>
          <w:shd w:val="clear" w:color="auto" w:fill="FFFFFF"/>
          <w:lang w:eastAsia="en-US"/>
          <w14:ligatures w14:val="standardContextual"/>
        </w:rPr>
      </w:pPr>
      <w:r w:rsidRPr="007C5A6E">
        <w:rPr>
          <w:rFonts w:ascii="Times New Roman" w:eastAsia="Calibri" w:hAnsi="Times New Roman"/>
          <w:kern w:val="2"/>
          <w:sz w:val="24"/>
          <w:szCs w:val="24"/>
          <w:shd w:val="clear" w:color="auto" w:fill="FFFFFF"/>
          <w:lang w:eastAsia="en-US"/>
          <w14:ligatures w14:val="standardContextual"/>
        </w:rPr>
        <w:t>L’effet immédiat du feu sur le macrofaune est la réduction considérable du nombre d’individus (</w:t>
      </w:r>
      <w:proofErr w:type="spellStart"/>
      <w:r w:rsidRPr="007C5A6E">
        <w:rPr>
          <w:rFonts w:ascii="Times New Roman" w:eastAsia="Calibri" w:hAnsi="Times New Roman"/>
          <w:kern w:val="2"/>
          <w:sz w:val="24"/>
          <w:szCs w:val="24"/>
          <w:shd w:val="clear" w:color="auto" w:fill="FFFFFF"/>
          <w:lang w:eastAsia="en-US"/>
          <w14:ligatures w14:val="standardContextual"/>
        </w:rPr>
        <w:t>Doamba</w:t>
      </w:r>
      <w:proofErr w:type="spellEnd"/>
      <w:r w:rsidRPr="007C5A6E">
        <w:rPr>
          <w:rFonts w:ascii="Times New Roman" w:eastAsia="Calibri" w:hAnsi="Times New Roman"/>
          <w:kern w:val="2"/>
          <w:sz w:val="24"/>
          <w:szCs w:val="24"/>
          <w:shd w:val="clear" w:color="auto" w:fill="FFFFFF"/>
          <w:lang w:eastAsia="en-US"/>
          <w14:ligatures w14:val="standardContextual"/>
        </w:rPr>
        <w:t xml:space="preserve"> et </w:t>
      </w:r>
      <w:r w:rsidRPr="007C5A6E">
        <w:rPr>
          <w:rFonts w:ascii="Times New Roman" w:eastAsia="Calibri" w:hAnsi="Times New Roman"/>
          <w:i/>
          <w:iCs/>
          <w:kern w:val="2"/>
          <w:sz w:val="24"/>
          <w:szCs w:val="24"/>
          <w:shd w:val="clear" w:color="auto" w:fill="FFFFFF"/>
          <w:lang w:eastAsia="en-US"/>
          <w14:ligatures w14:val="standardContextual"/>
        </w:rPr>
        <w:t>al</w:t>
      </w:r>
      <w:r w:rsidRPr="007C5A6E">
        <w:rPr>
          <w:rFonts w:ascii="Times New Roman" w:eastAsia="Calibri" w:hAnsi="Times New Roman"/>
          <w:kern w:val="2"/>
          <w:sz w:val="24"/>
          <w:szCs w:val="24"/>
          <w:shd w:val="clear" w:color="auto" w:fill="FFFFFF"/>
          <w:lang w:eastAsia="en-US"/>
          <w14:ligatures w14:val="standardContextual"/>
        </w:rPr>
        <w:t>., 2023).</w:t>
      </w:r>
    </w:p>
    <w:p w14:paraId="2F181665" w14:textId="77777777" w:rsidR="00C82DE6" w:rsidRPr="007C5A6E" w:rsidRDefault="00C82DE6" w:rsidP="000C39EA">
      <w:pPr>
        <w:spacing w:after="0" w:line="240" w:lineRule="auto"/>
        <w:contextualSpacing/>
        <w:jc w:val="both"/>
        <w:textAlignment w:val="baseline"/>
        <w:rPr>
          <w:rFonts w:ascii="Times New Roman" w:eastAsia="Calibri" w:hAnsi="Times New Roman"/>
          <w:kern w:val="2"/>
          <w:sz w:val="24"/>
          <w:szCs w:val="24"/>
          <w:lang w:eastAsia="en-US"/>
          <w14:ligatures w14:val="standardContextual"/>
        </w:rPr>
      </w:pPr>
    </w:p>
    <w:p w14:paraId="5AE8AFD4" w14:textId="6D7CABD3" w:rsidR="00C82DE6" w:rsidRPr="007C5A6E" w:rsidRDefault="00C82DE6" w:rsidP="00684FF8">
      <w:pPr>
        <w:pStyle w:val="Titre4"/>
      </w:pPr>
      <w:bookmarkStart w:id="819" w:name="_Toc181982245"/>
      <w:bookmarkStart w:id="820" w:name="_Toc183340168"/>
      <w:r w:rsidRPr="007C5A6E">
        <w:t>Impacts de l’orpaillage</w:t>
      </w:r>
      <w:bookmarkEnd w:id="819"/>
      <w:bookmarkEnd w:id="820"/>
    </w:p>
    <w:p w14:paraId="42FBBC82" w14:textId="77777777" w:rsidR="00C82DE6" w:rsidRPr="007C5A6E" w:rsidRDefault="00C82DE6" w:rsidP="000C39EA">
      <w:pPr>
        <w:spacing w:after="0" w:line="240" w:lineRule="auto"/>
        <w:jc w:val="both"/>
        <w:rPr>
          <w:rFonts w:ascii="Times New Roman" w:eastAsia="Calibri" w:hAnsi="Times New Roman"/>
          <w:kern w:val="2"/>
          <w:sz w:val="24"/>
          <w:szCs w:val="24"/>
          <w:lang w:eastAsia="en-US"/>
          <w14:ligatures w14:val="standardContextual"/>
        </w:rPr>
      </w:pPr>
    </w:p>
    <w:p w14:paraId="4505406A" w14:textId="77777777" w:rsidR="000C39EA" w:rsidRPr="007C5A6E" w:rsidRDefault="00C82DE6" w:rsidP="000C39EA">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L’orpaillage est l’une des sources de dégradation de l’environnement. En effet, les principaux problèmes sont liés à la déforestation. Les arbres sont coupés et les troncs utilisés à étayer les galeries. Les sols, quand ils ne sont pas directement touchés par l’exploitation minière, sont pollués durablement par le rejet de substances toxiques comme le mercure ou le cyanure. Les nappes phréatiques situées à proximité des sites miniers sont exposées aux risques de contamination aux métaux lourds. </w:t>
      </w:r>
    </w:p>
    <w:p w14:paraId="0ED96FF1" w14:textId="77777777" w:rsidR="000C39EA" w:rsidRPr="007C5A6E" w:rsidRDefault="00C82DE6" w:rsidP="000C39EA">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Les analyses chimiques réalisées par ANEEMAS, en 2020 sur la pollution des sols des sites d’orpaillage dans les communes de la province de la Comoé ont révélé des teneurs élevées de l’Arsenic, du Cadmium et du Mercure sur le site de </w:t>
      </w:r>
      <w:proofErr w:type="spellStart"/>
      <w:r w:rsidRPr="007C5A6E">
        <w:rPr>
          <w:rFonts w:ascii="Times New Roman" w:eastAsia="Calibri" w:hAnsi="Times New Roman"/>
          <w:kern w:val="2"/>
          <w:sz w:val="24"/>
          <w:szCs w:val="24"/>
          <w:lang w:eastAsia="en-US"/>
          <w14:ligatures w14:val="standardContextual"/>
        </w:rPr>
        <w:t>Kongan</w:t>
      </w:r>
      <w:proofErr w:type="spellEnd"/>
      <w:r w:rsidRPr="007C5A6E">
        <w:rPr>
          <w:rFonts w:ascii="Times New Roman" w:eastAsia="Calibri" w:hAnsi="Times New Roman"/>
          <w:kern w:val="2"/>
          <w:sz w:val="24"/>
          <w:szCs w:val="24"/>
          <w:lang w:eastAsia="en-US"/>
          <w14:ligatures w14:val="standardContextual"/>
        </w:rPr>
        <w:t xml:space="preserve">. Des concentrations élevées des ETM dans le sol comme l’Arsenic, le Cuivre et le Zinc ont été enregistrées sur le site d’exploitation de Tiéfora. </w:t>
      </w:r>
    </w:p>
    <w:p w14:paraId="6B036EC5" w14:textId="77777777" w:rsidR="000C39EA" w:rsidRPr="007C5A6E" w:rsidRDefault="00C82DE6" w:rsidP="000C39EA">
      <w:pPr>
        <w:spacing w:after="0" w:line="240" w:lineRule="auto"/>
        <w:jc w:val="both"/>
        <w:rPr>
          <w:rFonts w:ascii="Times New Roman" w:eastAsia="Calibri" w:hAnsi="Times New Roman"/>
          <w:bCs/>
          <w:kern w:val="2"/>
          <w:sz w:val="24"/>
          <w:szCs w:val="24"/>
          <w:lang w:eastAsia="en-US"/>
          <w14:ligatures w14:val="standardContextual"/>
        </w:rPr>
      </w:pPr>
      <w:r w:rsidRPr="007C5A6E">
        <w:rPr>
          <w:rFonts w:ascii="Times New Roman" w:eastAsia="Calibri" w:hAnsi="Times New Roman"/>
          <w:bCs/>
          <w:kern w:val="2"/>
          <w:sz w:val="24"/>
          <w:szCs w:val="24"/>
          <w:lang w:eastAsia="en-US"/>
          <w14:ligatures w14:val="standardContextual"/>
        </w:rPr>
        <w:t>Les résultats d’analyses des ETM obtenus par SOCREGE en 2023 sur les sites d’orpaillage à l’intérieur du permis minier Cascade, dans le département de Tiéfora</w:t>
      </w:r>
      <w:r w:rsidR="000C39EA" w:rsidRPr="007C5A6E">
        <w:rPr>
          <w:rFonts w:ascii="Times New Roman" w:eastAsia="Calibri" w:hAnsi="Times New Roman"/>
          <w:bCs/>
          <w:kern w:val="2"/>
          <w:sz w:val="24"/>
          <w:szCs w:val="24"/>
          <w:lang w:eastAsia="en-US"/>
          <w14:ligatures w14:val="standardContextual"/>
        </w:rPr>
        <w:t>,</w:t>
      </w:r>
      <w:r w:rsidRPr="007C5A6E">
        <w:rPr>
          <w:rFonts w:ascii="Times New Roman" w:eastAsia="Calibri" w:hAnsi="Times New Roman"/>
          <w:bCs/>
          <w:kern w:val="2"/>
          <w:sz w:val="24"/>
          <w:szCs w:val="24"/>
          <w:lang w:eastAsia="en-US"/>
          <w14:ligatures w14:val="standardContextual"/>
        </w:rPr>
        <w:t xml:space="preserve"> ont montré des teneurs élevées en Aluminium et en Fer quel que soit les sites. Les valeurs de l’Arsenic sont élevées, particulièrement dans les cours d’eau où sont lavés les minerais et dans les rejets. </w:t>
      </w:r>
    </w:p>
    <w:p w14:paraId="68702FD4" w14:textId="77777777" w:rsidR="000C39EA" w:rsidRPr="007C5A6E" w:rsidRDefault="00C82DE6" w:rsidP="000C39EA">
      <w:pPr>
        <w:spacing w:after="0" w:line="240" w:lineRule="auto"/>
        <w:jc w:val="both"/>
        <w:rPr>
          <w:rFonts w:ascii="Times New Roman" w:eastAsia="Calibri" w:hAnsi="Times New Roman"/>
          <w:bCs/>
          <w:kern w:val="2"/>
          <w:sz w:val="24"/>
          <w:szCs w:val="24"/>
          <w:lang w:eastAsia="en-US"/>
          <w14:ligatures w14:val="standardContextual"/>
        </w:rPr>
      </w:pPr>
      <w:r w:rsidRPr="007C5A6E">
        <w:rPr>
          <w:rFonts w:ascii="Times New Roman" w:eastAsia="Calibri" w:hAnsi="Times New Roman"/>
          <w:bCs/>
          <w:kern w:val="2"/>
          <w:sz w:val="24"/>
          <w:szCs w:val="24"/>
          <w:lang w:eastAsia="en-US"/>
          <w14:ligatures w14:val="standardContextual"/>
        </w:rPr>
        <w:t xml:space="preserve">Les teneurs en Chrome sont élevées dans tous les sites. De même, des concentrations élevées de Plomb ont été enregistrées sur certains sites. </w:t>
      </w:r>
    </w:p>
    <w:p w14:paraId="2BAE3587" w14:textId="7EBE634B" w:rsidR="00C82DE6" w:rsidRPr="007C5A6E" w:rsidRDefault="00C82DE6" w:rsidP="000C39EA">
      <w:pPr>
        <w:spacing w:after="0" w:line="240" w:lineRule="auto"/>
        <w:jc w:val="both"/>
        <w:rPr>
          <w:rFonts w:ascii="Times New Roman" w:eastAsia="Calibri" w:hAnsi="Times New Roman"/>
          <w:bCs/>
          <w:kern w:val="2"/>
          <w:sz w:val="24"/>
          <w:szCs w:val="24"/>
          <w:lang w:eastAsia="en-US"/>
          <w14:ligatures w14:val="standardContextual"/>
        </w:rPr>
      </w:pPr>
      <w:r w:rsidRPr="007C5A6E">
        <w:rPr>
          <w:rFonts w:ascii="Times New Roman" w:eastAsia="Calibri" w:hAnsi="Times New Roman"/>
          <w:bCs/>
          <w:kern w:val="2"/>
          <w:sz w:val="24"/>
          <w:szCs w:val="24"/>
          <w:lang w:eastAsia="en-US"/>
          <w14:ligatures w14:val="standardContextual"/>
        </w:rPr>
        <w:t xml:space="preserve">On peut également souligner la catastrophe survenue en juillet 2021 sur les berges et dans les eaux du Mouhoun, suite à une mortalité massive de poissons </w:t>
      </w:r>
      <w:r w:rsidRPr="007C5A6E">
        <w:rPr>
          <w:rFonts w:ascii="Times New Roman" w:eastAsia="Calibri" w:hAnsi="Times New Roman"/>
          <w:kern w:val="2"/>
          <w:sz w:val="24"/>
          <w:szCs w:val="24"/>
          <w:shd w:val="clear" w:color="auto" w:fill="FFFFFF"/>
          <w:lang w:eastAsia="en-US"/>
          <w14:ligatures w14:val="standardContextual"/>
        </w:rPr>
        <w:t xml:space="preserve">due à un empoisonnement des eaux par des produits chimiques usuellement utilisés par les orpailleurs dans les localités de Siby et de </w:t>
      </w:r>
      <w:proofErr w:type="spellStart"/>
      <w:r w:rsidRPr="007C5A6E">
        <w:rPr>
          <w:rFonts w:ascii="Times New Roman" w:eastAsia="Calibri" w:hAnsi="Times New Roman"/>
          <w:kern w:val="2"/>
          <w:sz w:val="24"/>
          <w:szCs w:val="24"/>
          <w:shd w:val="clear" w:color="auto" w:fill="FFFFFF"/>
          <w:lang w:eastAsia="en-US"/>
          <w14:ligatures w14:val="standardContextual"/>
        </w:rPr>
        <w:t>Sékako</w:t>
      </w:r>
      <w:proofErr w:type="spellEnd"/>
      <w:r w:rsidRPr="007C5A6E">
        <w:rPr>
          <w:rFonts w:ascii="Times New Roman" w:eastAsia="Calibri" w:hAnsi="Times New Roman"/>
          <w:kern w:val="2"/>
          <w:sz w:val="24"/>
          <w:szCs w:val="24"/>
          <w:shd w:val="clear" w:color="auto" w:fill="FFFFFF"/>
          <w:lang w:eastAsia="en-US"/>
          <w14:ligatures w14:val="standardContextual"/>
        </w:rPr>
        <w:t xml:space="preserve"> (Ouédraogo, 2023)</w:t>
      </w:r>
      <w:r w:rsidRPr="007C5A6E">
        <w:rPr>
          <w:rFonts w:ascii="Times New Roman" w:eastAsia="Calibri" w:hAnsi="Times New Roman"/>
          <w:bCs/>
          <w:kern w:val="2"/>
          <w:sz w:val="24"/>
          <w:szCs w:val="24"/>
          <w:lang w:eastAsia="en-US"/>
          <w14:ligatures w14:val="standardContextual"/>
        </w:rPr>
        <w:t>.</w:t>
      </w:r>
    </w:p>
    <w:p w14:paraId="554849E4" w14:textId="77777777" w:rsidR="00C82DE6" w:rsidRPr="007C5A6E" w:rsidRDefault="00C82DE6" w:rsidP="000C39EA">
      <w:pPr>
        <w:spacing w:after="0" w:line="240" w:lineRule="auto"/>
        <w:jc w:val="both"/>
        <w:rPr>
          <w:rFonts w:ascii="Times New Roman" w:eastAsia="Calibri" w:hAnsi="Times New Roman"/>
          <w:bCs/>
          <w:kern w:val="2"/>
          <w:sz w:val="24"/>
          <w:szCs w:val="24"/>
          <w:lang w:eastAsia="en-US"/>
          <w14:ligatures w14:val="standardContextual"/>
        </w:rPr>
      </w:pPr>
      <w:r w:rsidRPr="007C5A6E">
        <w:rPr>
          <w:rFonts w:ascii="Times New Roman" w:eastAsia="Calibri" w:hAnsi="Times New Roman"/>
          <w:bCs/>
          <w:kern w:val="2"/>
          <w:sz w:val="24"/>
          <w:szCs w:val="24"/>
          <w:lang w:eastAsia="en-US"/>
          <w14:ligatures w14:val="standardContextual"/>
        </w:rPr>
        <w:t xml:space="preserve"> </w:t>
      </w:r>
    </w:p>
    <w:p w14:paraId="44A3A6D0" w14:textId="391C2416" w:rsidR="00C82DE6" w:rsidRPr="007C5A6E" w:rsidRDefault="00C82DE6" w:rsidP="000C39EA">
      <w:pPr>
        <w:spacing w:after="0" w:line="240" w:lineRule="auto"/>
        <w:jc w:val="both"/>
        <w:rPr>
          <w:rFonts w:ascii="Times New Roman" w:eastAsia="Calibri" w:hAnsi="Times New Roman"/>
          <w:kern w:val="2"/>
          <w:sz w:val="24"/>
          <w:szCs w:val="24"/>
          <w:lang w:eastAsia="en-US"/>
          <w14:ligatures w14:val="standardContextual"/>
        </w:rPr>
      </w:pPr>
      <w:r w:rsidRPr="007C5A6E">
        <w:rPr>
          <w:rFonts w:ascii="Arial" w:eastAsia="Calibri" w:hAnsi="Arial" w:cs="Arial"/>
          <w:b/>
          <w:noProof/>
          <w:kern w:val="2"/>
          <w:sz w:val="16"/>
          <w:szCs w:val="16"/>
          <w:lang w:eastAsia="en-US"/>
          <w14:ligatures w14:val="standardContextual"/>
        </w:rPr>
        <w:drawing>
          <wp:inline distT="0" distB="0" distL="0" distR="0" wp14:anchorId="0438B358" wp14:editId="76A4E5BA">
            <wp:extent cx="3076575" cy="1861185"/>
            <wp:effectExtent l="0" t="0" r="9525" b="9525"/>
            <wp:docPr id="1390767754" name="Image 1390767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00715.JPG"/>
                    <pic:cNvPicPr/>
                  </pic:nvPicPr>
                  <pic:blipFill>
                    <a:blip r:embed="rId135" cstate="email">
                      <a:extLst>
                        <a:ext uri="{28A0092B-C50C-407E-A947-70E740481C1C}">
                          <a14:useLocalDpi xmlns:a14="http://schemas.microsoft.com/office/drawing/2010/main"/>
                        </a:ext>
                      </a:extLst>
                    </a:blip>
                    <a:stretch>
                      <a:fillRect/>
                    </a:stretch>
                  </pic:blipFill>
                  <pic:spPr>
                    <a:xfrm>
                      <a:off x="0" y="0"/>
                      <a:ext cx="3076575" cy="1861185"/>
                    </a:xfrm>
                    <a:prstGeom prst="rect">
                      <a:avLst/>
                    </a:prstGeom>
                  </pic:spPr>
                </pic:pic>
              </a:graphicData>
            </a:graphic>
          </wp:inline>
        </w:drawing>
      </w:r>
      <w:r w:rsidR="000C39EA" w:rsidRPr="007C5A6E">
        <w:rPr>
          <w:rFonts w:ascii="Times New Roman" w:eastAsia="Calibri" w:hAnsi="Times New Roman"/>
          <w:kern w:val="2"/>
          <w:sz w:val="24"/>
          <w:szCs w:val="24"/>
          <w:lang w:eastAsia="en-US"/>
          <w14:ligatures w14:val="standardContextual"/>
        </w:rPr>
        <w:tab/>
      </w:r>
      <w:r w:rsidR="000C39EA" w:rsidRPr="007C5A6E">
        <w:rPr>
          <w:rFonts w:ascii="Times New Roman" w:eastAsia="Calibri" w:hAnsi="Times New Roman"/>
          <w:kern w:val="2"/>
          <w:sz w:val="24"/>
          <w:szCs w:val="24"/>
          <w:lang w:eastAsia="en-US"/>
          <w14:ligatures w14:val="standardContextual"/>
        </w:rPr>
        <w:tab/>
      </w:r>
    </w:p>
    <w:p w14:paraId="55435892" w14:textId="18BBDE13" w:rsidR="00C82DE6" w:rsidRPr="007C5A6E" w:rsidRDefault="00BA076A" w:rsidP="000C39EA">
      <w:pPr>
        <w:spacing w:after="0" w:line="240" w:lineRule="auto"/>
        <w:contextualSpacing/>
        <w:jc w:val="both"/>
        <w:rPr>
          <w:rFonts w:ascii="Times New Roman" w:eastAsia="Calibri" w:hAnsi="Times New Roman"/>
          <w:kern w:val="2"/>
          <w:sz w:val="20"/>
          <w:szCs w:val="20"/>
          <w:lang w:eastAsia="en-US"/>
          <w14:ligatures w14:val="standardContextual"/>
        </w:rPr>
      </w:pPr>
      <w:r w:rsidRPr="007C5A6E">
        <w:rPr>
          <w:rFonts w:ascii="Times New Roman" w:eastAsia="Calibri" w:hAnsi="Times New Roman"/>
          <w:kern w:val="2"/>
          <w:sz w:val="20"/>
          <w:szCs w:val="20"/>
          <w:lang w:eastAsia="en-US"/>
          <w14:ligatures w14:val="standardContextual"/>
        </w:rPr>
        <w:t>(</w:t>
      </w:r>
      <w:r w:rsidR="00C82DE6" w:rsidRPr="007C5A6E">
        <w:rPr>
          <w:rFonts w:ascii="Times New Roman" w:eastAsia="Calibri" w:hAnsi="Times New Roman"/>
          <w:kern w:val="2"/>
          <w:sz w:val="20"/>
          <w:szCs w:val="20"/>
          <w:lang w:eastAsia="en-US"/>
          <w14:ligatures w14:val="standardContextual"/>
        </w:rPr>
        <w:t xml:space="preserve">Source : </w:t>
      </w:r>
      <w:proofErr w:type="spellStart"/>
      <w:r w:rsidR="00C82DE6" w:rsidRPr="007C5A6E">
        <w:rPr>
          <w:rFonts w:ascii="Times New Roman" w:eastAsia="Calibri" w:hAnsi="Times New Roman"/>
          <w:kern w:val="2"/>
          <w:sz w:val="20"/>
          <w:szCs w:val="20"/>
          <w:lang w:eastAsia="en-US"/>
          <w14:ligatures w14:val="standardContextual"/>
        </w:rPr>
        <w:t>Kissou</w:t>
      </w:r>
      <w:proofErr w:type="spellEnd"/>
      <w:r w:rsidRPr="007C5A6E">
        <w:rPr>
          <w:rFonts w:ascii="Times New Roman" w:eastAsia="Calibri" w:hAnsi="Times New Roman"/>
          <w:kern w:val="2"/>
          <w:sz w:val="20"/>
          <w:szCs w:val="20"/>
          <w:lang w:eastAsia="en-US"/>
          <w14:ligatures w14:val="standardContextual"/>
        </w:rPr>
        <w:t xml:space="preserve">, </w:t>
      </w:r>
      <w:r w:rsidR="00C82DE6" w:rsidRPr="007C5A6E">
        <w:rPr>
          <w:rFonts w:ascii="Times New Roman" w:eastAsia="Calibri" w:hAnsi="Times New Roman"/>
          <w:kern w:val="2"/>
          <w:sz w:val="20"/>
          <w:szCs w:val="20"/>
          <w:lang w:eastAsia="en-US"/>
          <w14:ligatures w14:val="standardContextual"/>
        </w:rPr>
        <w:t>2023)</w:t>
      </w:r>
    </w:p>
    <w:p w14:paraId="3FE5ACB9" w14:textId="033D7362" w:rsidR="000C39EA" w:rsidRPr="007C5A6E" w:rsidRDefault="000C39EA" w:rsidP="000C39EA">
      <w:pPr>
        <w:spacing w:after="0" w:line="240" w:lineRule="auto"/>
        <w:jc w:val="both"/>
        <w:rPr>
          <w:rFonts w:ascii="Times New Roman" w:hAnsi="Times New Roman"/>
          <w:i/>
          <w:iCs/>
          <w:spacing w:val="10"/>
          <w:sz w:val="24"/>
          <w:szCs w:val="24"/>
          <w:lang w:eastAsia="en-US"/>
        </w:rPr>
      </w:pPr>
      <w:bookmarkStart w:id="821" w:name="_Toc178703022"/>
      <w:bookmarkStart w:id="822" w:name="_Toc183292373"/>
      <w:r w:rsidRPr="007C5A6E">
        <w:rPr>
          <w:rFonts w:ascii="Times New Roman" w:hAnsi="Times New Roman"/>
          <w:i/>
          <w:iCs/>
          <w:spacing w:val="10"/>
          <w:sz w:val="24"/>
          <w:szCs w:val="24"/>
          <w:lang w:eastAsia="en-US"/>
        </w:rPr>
        <w:t xml:space="preserve">Photo </w:t>
      </w:r>
      <w:r w:rsidRPr="007C5A6E">
        <w:rPr>
          <w:rFonts w:ascii="Times New Roman" w:hAnsi="Times New Roman"/>
          <w:i/>
          <w:iCs/>
          <w:spacing w:val="10"/>
          <w:sz w:val="24"/>
          <w:szCs w:val="24"/>
          <w:lang w:eastAsia="en-US"/>
        </w:rPr>
        <w:fldChar w:fldCharType="begin"/>
      </w:r>
      <w:r w:rsidRPr="007C5A6E">
        <w:rPr>
          <w:rFonts w:ascii="Times New Roman" w:hAnsi="Times New Roman"/>
          <w:i/>
          <w:iCs/>
          <w:spacing w:val="10"/>
          <w:sz w:val="24"/>
          <w:szCs w:val="24"/>
          <w:lang w:eastAsia="en-US"/>
        </w:rPr>
        <w:instrText xml:space="preserve"> SEQ Photo \* ARABIC </w:instrText>
      </w:r>
      <w:r w:rsidRPr="007C5A6E">
        <w:rPr>
          <w:rFonts w:ascii="Times New Roman" w:hAnsi="Times New Roman"/>
          <w:i/>
          <w:iCs/>
          <w:spacing w:val="10"/>
          <w:sz w:val="24"/>
          <w:szCs w:val="24"/>
          <w:lang w:eastAsia="en-US"/>
        </w:rPr>
        <w:fldChar w:fldCharType="separate"/>
      </w:r>
      <w:r w:rsidR="00173386" w:rsidRPr="007C5A6E">
        <w:rPr>
          <w:rFonts w:ascii="Times New Roman" w:hAnsi="Times New Roman"/>
          <w:i/>
          <w:iCs/>
          <w:noProof/>
          <w:spacing w:val="10"/>
          <w:sz w:val="24"/>
          <w:szCs w:val="24"/>
          <w:lang w:eastAsia="en-US"/>
        </w:rPr>
        <w:t>1</w:t>
      </w:r>
      <w:r w:rsidRPr="007C5A6E">
        <w:rPr>
          <w:rFonts w:ascii="Times New Roman" w:hAnsi="Times New Roman"/>
          <w:i/>
          <w:iCs/>
          <w:spacing w:val="10"/>
          <w:sz w:val="24"/>
          <w:szCs w:val="24"/>
          <w:lang w:eastAsia="en-US"/>
        </w:rPr>
        <w:fldChar w:fldCharType="end"/>
      </w:r>
      <w:r w:rsidR="00BA076A" w:rsidRPr="007C5A6E">
        <w:rPr>
          <w:rFonts w:ascii="Times New Roman" w:hAnsi="Times New Roman"/>
          <w:i/>
          <w:iCs/>
          <w:spacing w:val="10"/>
          <w:sz w:val="24"/>
          <w:szCs w:val="24"/>
          <w:lang w:eastAsia="en-US"/>
        </w:rPr>
        <w:t>.</w:t>
      </w:r>
      <w:r w:rsidRPr="007C5A6E">
        <w:rPr>
          <w:rFonts w:ascii="Times New Roman" w:hAnsi="Times New Roman"/>
          <w:i/>
          <w:iCs/>
          <w:spacing w:val="10"/>
          <w:sz w:val="24"/>
          <w:szCs w:val="24"/>
          <w:lang w:eastAsia="en-US"/>
        </w:rPr>
        <w:t xml:space="preserve"> Site d’orpaillage dans la commune de Tiéfora</w:t>
      </w:r>
      <w:bookmarkEnd w:id="821"/>
      <w:bookmarkEnd w:id="822"/>
    </w:p>
    <w:p w14:paraId="13A9BF2B" w14:textId="4F8BBB0B" w:rsidR="00C82DE6" w:rsidRPr="007C5A6E" w:rsidRDefault="00C82DE6" w:rsidP="00684FF8">
      <w:pPr>
        <w:pStyle w:val="Titre4"/>
      </w:pPr>
      <w:bookmarkStart w:id="823" w:name="_Toc181982246"/>
      <w:bookmarkStart w:id="824" w:name="_Toc183340169"/>
      <w:r w:rsidRPr="007C5A6E">
        <w:t>Impacts des mines industrielles</w:t>
      </w:r>
      <w:bookmarkEnd w:id="823"/>
      <w:bookmarkEnd w:id="824"/>
    </w:p>
    <w:p w14:paraId="39ED2F75" w14:textId="77777777" w:rsidR="00C82DE6" w:rsidRPr="007C5A6E" w:rsidRDefault="00C82DE6" w:rsidP="000C39EA">
      <w:pPr>
        <w:spacing w:after="0" w:line="240" w:lineRule="auto"/>
        <w:jc w:val="both"/>
        <w:rPr>
          <w:rFonts w:ascii="Times New Roman" w:eastAsia="Calibri" w:hAnsi="Times New Roman"/>
          <w:kern w:val="2"/>
          <w:sz w:val="24"/>
          <w:szCs w:val="24"/>
          <w:lang w:eastAsia="en-US"/>
          <w14:ligatures w14:val="standardContextual"/>
        </w:rPr>
      </w:pPr>
    </w:p>
    <w:p w14:paraId="4B767DB0" w14:textId="77777777" w:rsidR="000C39EA" w:rsidRPr="007C5A6E" w:rsidRDefault="00C82DE6" w:rsidP="000C39EA">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L’implantation des infrastructures est accompagnée d’une destruction totale de la végétation avec</w:t>
      </w:r>
      <w:r w:rsidR="000C39EA" w:rsidRPr="007C5A6E">
        <w:rPr>
          <w:rFonts w:ascii="Times New Roman" w:eastAsia="Calibri" w:hAnsi="Times New Roman"/>
          <w:kern w:val="2"/>
          <w:sz w:val="24"/>
          <w:szCs w:val="24"/>
          <w:lang w:eastAsia="en-US"/>
          <w14:ligatures w14:val="standardContextual"/>
        </w:rPr>
        <w:t xml:space="preserve"> </w:t>
      </w:r>
      <w:r w:rsidRPr="007C5A6E">
        <w:rPr>
          <w:rFonts w:ascii="Times New Roman" w:eastAsia="Calibri" w:hAnsi="Times New Roman"/>
          <w:kern w:val="2"/>
          <w:sz w:val="24"/>
          <w:szCs w:val="24"/>
          <w:lang w:eastAsia="en-US"/>
          <w14:ligatures w14:val="standardContextual"/>
        </w:rPr>
        <w:t>un décapage de la couche humifère du sol, Les sols dénudés sont exposés à la battance des eaux de pluies et au ruissellement intense. Ces effets environnementaux ont des répercussions sur les populations environnantes et leurs conditions de vie (</w:t>
      </w:r>
      <w:proofErr w:type="spellStart"/>
      <w:r w:rsidRPr="007C5A6E">
        <w:rPr>
          <w:rFonts w:ascii="Times New Roman" w:eastAsia="Calibri" w:hAnsi="Times New Roman"/>
          <w:kern w:val="2"/>
          <w:sz w:val="24"/>
          <w:szCs w:val="24"/>
          <w:lang w:eastAsia="en-US"/>
          <w14:ligatures w14:val="standardContextual"/>
        </w:rPr>
        <w:t>Franza</w:t>
      </w:r>
      <w:proofErr w:type="spellEnd"/>
      <w:r w:rsidRPr="007C5A6E">
        <w:rPr>
          <w:rFonts w:ascii="Times New Roman" w:eastAsia="Calibri" w:hAnsi="Times New Roman"/>
          <w:kern w:val="2"/>
          <w:sz w:val="24"/>
          <w:szCs w:val="24"/>
          <w:lang w:eastAsia="en-US"/>
          <w14:ligatures w14:val="standardContextual"/>
        </w:rPr>
        <w:t xml:space="preserve"> et </w:t>
      </w:r>
      <w:r w:rsidRPr="007C5A6E">
        <w:rPr>
          <w:rFonts w:ascii="Times New Roman" w:eastAsia="Calibri" w:hAnsi="Times New Roman"/>
          <w:i/>
          <w:iCs/>
          <w:kern w:val="2"/>
          <w:sz w:val="24"/>
          <w:szCs w:val="24"/>
          <w:lang w:eastAsia="en-US"/>
          <w14:ligatures w14:val="standardContextual"/>
        </w:rPr>
        <w:t>al</w:t>
      </w:r>
      <w:r w:rsidRPr="007C5A6E">
        <w:rPr>
          <w:rFonts w:ascii="Times New Roman" w:eastAsia="Calibri" w:hAnsi="Times New Roman"/>
          <w:kern w:val="2"/>
          <w:sz w:val="24"/>
          <w:szCs w:val="24"/>
          <w:lang w:eastAsia="en-US"/>
          <w14:ligatures w14:val="standardContextual"/>
        </w:rPr>
        <w:t xml:space="preserve">., 2018). Le défi majeur de l'industrie minière est la restauration environnementale des </w:t>
      </w:r>
      <w:proofErr w:type="spellStart"/>
      <w:r w:rsidRPr="007C5A6E">
        <w:rPr>
          <w:rFonts w:ascii="Times New Roman" w:eastAsia="Calibri" w:hAnsi="Times New Roman"/>
          <w:kern w:val="2"/>
          <w:sz w:val="24"/>
          <w:szCs w:val="24"/>
          <w:lang w:eastAsia="en-US"/>
          <w14:ligatures w14:val="standardContextual"/>
        </w:rPr>
        <w:t>haldes</w:t>
      </w:r>
      <w:proofErr w:type="spellEnd"/>
      <w:r w:rsidRPr="007C5A6E">
        <w:rPr>
          <w:rFonts w:ascii="Times New Roman" w:eastAsia="Calibri" w:hAnsi="Times New Roman"/>
          <w:kern w:val="2"/>
          <w:sz w:val="24"/>
          <w:szCs w:val="24"/>
          <w:lang w:eastAsia="en-US"/>
          <w14:ligatures w14:val="standardContextual"/>
        </w:rPr>
        <w:t xml:space="preserve"> à stériles potentiellement génératrices de drainage minier acide (DMA). Le DMA se produit notamment lorsque les minéraux sulfureux composant les stériles miniers sont exposés à l’eau et à l’oxygène atmosphérique. La réaction d’oxydation qui en résulte entraîne la libération d’acide, de fer et de sulfate. Le lixiviat acide ainsi formé est alors susceptible de percoler dans la </w:t>
      </w:r>
      <w:proofErr w:type="spellStart"/>
      <w:r w:rsidRPr="007C5A6E">
        <w:rPr>
          <w:rFonts w:ascii="Times New Roman" w:eastAsia="Calibri" w:hAnsi="Times New Roman"/>
          <w:kern w:val="2"/>
          <w:sz w:val="24"/>
          <w:szCs w:val="24"/>
          <w:lang w:eastAsia="en-US"/>
          <w14:ligatures w14:val="standardContextual"/>
        </w:rPr>
        <w:t>halde</w:t>
      </w:r>
      <w:proofErr w:type="spellEnd"/>
      <w:r w:rsidRPr="007C5A6E">
        <w:rPr>
          <w:rFonts w:ascii="Times New Roman" w:eastAsia="Calibri" w:hAnsi="Times New Roman"/>
          <w:kern w:val="2"/>
          <w:sz w:val="24"/>
          <w:szCs w:val="24"/>
          <w:lang w:eastAsia="en-US"/>
          <w14:ligatures w14:val="standardContextual"/>
        </w:rPr>
        <w:t xml:space="preserve">, de s’y enrichir en divers contaminants, puis de se déverser dans le milieu naturel sur de vastes étendues, entraînant une dégradation des sols par augmentation de l’acidité et en général, des écosystèmes à long terme (Poirier, 2019). </w:t>
      </w:r>
    </w:p>
    <w:p w14:paraId="72179E33" w14:textId="69DFD836" w:rsidR="00C82DE6" w:rsidRPr="007C5A6E" w:rsidRDefault="00C82DE6" w:rsidP="000C39EA">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Le parc à résidus est une cuvette dont le fond est recouvert d’une géomembrane imperméable pour empêcher les résidus de s’infiltrer dans le sol. Les résidus sont des sous-produits de l’exploitation minière constitués principalement des roches traitées qui subsistent après séparation des minéraux utiles qu’elles contiennent. La composition des résidus varie en fonction de la matière première exploitée et de la technique de traitement. La membrane doit être étanche pour éviter l’infiltration des résidus dans le sol afin de permettre au sol d’assurer convenablement ses fonctions (GEO, 2022). </w:t>
      </w:r>
    </w:p>
    <w:p w14:paraId="4FDD4D72" w14:textId="70948D6B" w:rsidR="008F01A8" w:rsidRPr="007C5A6E" w:rsidRDefault="009A08D5" w:rsidP="000C39EA">
      <w:pPr>
        <w:spacing w:after="0" w:line="240" w:lineRule="auto"/>
        <w:jc w:val="both"/>
        <w:rPr>
          <w:rFonts w:ascii="Times New Roman" w:eastAsia="Calibri" w:hAnsi="Times New Roman"/>
          <w:kern w:val="2"/>
          <w:sz w:val="24"/>
          <w:szCs w:val="24"/>
          <w:lang w:eastAsia="en-US"/>
          <w14:ligatures w14:val="standardContextual"/>
        </w:rPr>
      </w:pPr>
      <w:r w:rsidRPr="007C5A6E">
        <w:rPr>
          <w:rFonts w:eastAsia="Calibri"/>
          <w:noProof/>
          <w:kern w:val="2"/>
          <w:lang w:eastAsia="en-US"/>
          <w14:ligatures w14:val="standardContextual"/>
        </w:rPr>
        <w:drawing>
          <wp:inline distT="0" distB="0" distL="0" distR="0" wp14:anchorId="0E0244C6" wp14:editId="08151FFF">
            <wp:extent cx="3627346" cy="1809750"/>
            <wp:effectExtent l="0" t="0" r="0" b="0"/>
            <wp:docPr id="21032404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240466" name=""/>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3816715" cy="1904230"/>
                    </a:xfrm>
                    <a:prstGeom prst="rect">
                      <a:avLst/>
                    </a:prstGeom>
                    <a:ln>
                      <a:noFill/>
                    </a:ln>
                    <a:extLst>
                      <a:ext uri="{53640926-AAD7-44D8-BBD7-CCE9431645EC}">
                        <a14:shadowObscured xmlns:a14="http://schemas.microsoft.com/office/drawing/2010/main"/>
                      </a:ext>
                    </a:extLst>
                  </pic:spPr>
                </pic:pic>
              </a:graphicData>
            </a:graphic>
          </wp:inline>
        </w:drawing>
      </w:r>
    </w:p>
    <w:p w14:paraId="1829FA79" w14:textId="77777777" w:rsidR="00A763B8" w:rsidRPr="007C5A6E" w:rsidRDefault="00A763B8" w:rsidP="00A763B8">
      <w:pPr>
        <w:spacing w:after="0" w:line="240" w:lineRule="auto"/>
        <w:contextualSpacing/>
        <w:jc w:val="both"/>
        <w:rPr>
          <w:rFonts w:ascii="Times New Roman" w:eastAsia="Calibri" w:hAnsi="Times New Roman"/>
          <w:kern w:val="2"/>
          <w:sz w:val="20"/>
          <w:szCs w:val="20"/>
          <w:lang w:eastAsia="en-US"/>
          <w14:ligatures w14:val="standardContextual"/>
        </w:rPr>
      </w:pPr>
      <w:r w:rsidRPr="007C5A6E">
        <w:rPr>
          <w:rFonts w:ascii="Times New Roman" w:eastAsia="Calibri" w:hAnsi="Times New Roman"/>
          <w:kern w:val="2"/>
          <w:sz w:val="20"/>
          <w:szCs w:val="20"/>
          <w:lang w:eastAsia="en-US"/>
          <w14:ligatures w14:val="standardContextual"/>
        </w:rPr>
        <w:t xml:space="preserve">(Source : </w:t>
      </w:r>
      <w:proofErr w:type="spellStart"/>
      <w:r w:rsidRPr="007C5A6E">
        <w:rPr>
          <w:rFonts w:ascii="Times New Roman" w:eastAsia="Calibri" w:hAnsi="Times New Roman"/>
          <w:kern w:val="2"/>
          <w:sz w:val="20"/>
          <w:szCs w:val="20"/>
          <w:lang w:eastAsia="en-US"/>
          <w14:ligatures w14:val="standardContextual"/>
        </w:rPr>
        <w:t>Kissou</w:t>
      </w:r>
      <w:proofErr w:type="spellEnd"/>
      <w:r w:rsidRPr="007C5A6E">
        <w:rPr>
          <w:rFonts w:ascii="Times New Roman" w:eastAsia="Calibri" w:hAnsi="Times New Roman"/>
          <w:kern w:val="2"/>
          <w:sz w:val="20"/>
          <w:szCs w:val="20"/>
          <w:lang w:eastAsia="en-US"/>
          <w14:ligatures w14:val="standardContextual"/>
        </w:rPr>
        <w:t>, 2023)</w:t>
      </w:r>
    </w:p>
    <w:p w14:paraId="7B339DAB" w14:textId="0A7D8437" w:rsidR="000C39EA" w:rsidRPr="007C5A6E" w:rsidRDefault="000C39EA" w:rsidP="000C39EA">
      <w:pPr>
        <w:spacing w:after="0" w:line="240" w:lineRule="auto"/>
        <w:contextualSpacing/>
        <w:jc w:val="both"/>
        <w:rPr>
          <w:rFonts w:ascii="Times New Roman" w:eastAsia="Calibri" w:hAnsi="Times New Roman"/>
          <w:i/>
          <w:iCs/>
          <w:kern w:val="2"/>
          <w:sz w:val="24"/>
          <w:szCs w:val="24"/>
          <w:lang w:eastAsia="en-US"/>
          <w14:ligatures w14:val="standardContextual"/>
        </w:rPr>
      </w:pPr>
      <w:bookmarkStart w:id="825" w:name="_Toc183292374"/>
      <w:r w:rsidRPr="007C5A6E">
        <w:rPr>
          <w:rFonts w:ascii="Times New Roman" w:eastAsia="Calibri" w:hAnsi="Times New Roman"/>
          <w:i/>
          <w:iCs/>
          <w:kern w:val="2"/>
          <w:sz w:val="24"/>
          <w:szCs w:val="24"/>
          <w:lang w:eastAsia="en-US"/>
          <w14:ligatures w14:val="standardContextual"/>
        </w:rPr>
        <w:t xml:space="preserve">Photo </w:t>
      </w:r>
      <w:r w:rsidRPr="007C5A6E">
        <w:rPr>
          <w:rFonts w:ascii="Times New Roman" w:eastAsia="Calibri" w:hAnsi="Times New Roman"/>
          <w:i/>
          <w:iCs/>
          <w:kern w:val="2"/>
          <w:sz w:val="24"/>
          <w:szCs w:val="24"/>
          <w:lang w:eastAsia="en-US"/>
          <w14:ligatures w14:val="standardContextual"/>
        </w:rPr>
        <w:fldChar w:fldCharType="begin"/>
      </w:r>
      <w:r w:rsidRPr="007C5A6E">
        <w:rPr>
          <w:rFonts w:ascii="Times New Roman" w:eastAsia="Calibri" w:hAnsi="Times New Roman"/>
          <w:i/>
          <w:iCs/>
          <w:kern w:val="2"/>
          <w:sz w:val="24"/>
          <w:szCs w:val="24"/>
          <w:lang w:eastAsia="en-US"/>
          <w14:ligatures w14:val="standardContextual"/>
        </w:rPr>
        <w:instrText xml:space="preserve"> SEQ Photo \* ARABIC </w:instrText>
      </w:r>
      <w:r w:rsidRPr="007C5A6E">
        <w:rPr>
          <w:rFonts w:ascii="Times New Roman" w:eastAsia="Calibri" w:hAnsi="Times New Roman"/>
          <w:i/>
          <w:iCs/>
          <w:kern w:val="2"/>
          <w:sz w:val="24"/>
          <w:szCs w:val="24"/>
          <w:lang w:eastAsia="en-US"/>
          <w14:ligatures w14:val="standardContextual"/>
        </w:rPr>
        <w:fldChar w:fldCharType="separate"/>
      </w:r>
      <w:r w:rsidR="00173386" w:rsidRPr="007C5A6E">
        <w:rPr>
          <w:rFonts w:ascii="Times New Roman" w:eastAsia="Calibri" w:hAnsi="Times New Roman"/>
          <w:i/>
          <w:iCs/>
          <w:noProof/>
          <w:kern w:val="2"/>
          <w:sz w:val="24"/>
          <w:szCs w:val="24"/>
          <w:lang w:eastAsia="en-US"/>
          <w14:ligatures w14:val="standardContextual"/>
        </w:rPr>
        <w:t>2</w:t>
      </w:r>
      <w:r w:rsidRPr="007C5A6E">
        <w:rPr>
          <w:rFonts w:ascii="Times New Roman" w:eastAsia="Calibri" w:hAnsi="Times New Roman"/>
          <w:i/>
          <w:iCs/>
          <w:kern w:val="2"/>
          <w:sz w:val="24"/>
          <w:szCs w:val="24"/>
          <w:lang w:eastAsia="en-US"/>
          <w14:ligatures w14:val="standardContextual"/>
        </w:rPr>
        <w:fldChar w:fldCharType="end"/>
      </w:r>
      <w:r w:rsidR="00A763B8" w:rsidRPr="007C5A6E">
        <w:rPr>
          <w:rFonts w:ascii="Times New Roman" w:eastAsia="Calibri" w:hAnsi="Times New Roman"/>
          <w:i/>
          <w:iCs/>
          <w:kern w:val="2"/>
          <w:sz w:val="24"/>
          <w:szCs w:val="24"/>
          <w:lang w:eastAsia="en-US"/>
          <w14:ligatures w14:val="standardContextual"/>
        </w:rPr>
        <w:t>.</w:t>
      </w:r>
      <w:r w:rsidRPr="007C5A6E">
        <w:rPr>
          <w:rFonts w:ascii="Times New Roman" w:eastAsia="Calibri" w:hAnsi="Times New Roman"/>
          <w:i/>
          <w:iCs/>
          <w:kern w:val="2"/>
          <w:sz w:val="24"/>
          <w:szCs w:val="24"/>
          <w:lang w:eastAsia="en-US"/>
          <w14:ligatures w14:val="standardContextual"/>
        </w:rPr>
        <w:t xml:space="preserve"> Halde à stériles</w:t>
      </w:r>
      <w:bookmarkEnd w:id="825"/>
    </w:p>
    <w:p w14:paraId="17975780" w14:textId="77777777" w:rsidR="008F01A8" w:rsidRPr="007C5A6E" w:rsidRDefault="008F01A8" w:rsidP="009A08D5">
      <w:pPr>
        <w:spacing w:after="0" w:line="240" w:lineRule="auto"/>
        <w:contextualSpacing/>
        <w:jc w:val="both"/>
        <w:rPr>
          <w:rFonts w:ascii="Times New Roman" w:eastAsia="Calibri" w:hAnsi="Times New Roman"/>
          <w:kern w:val="2"/>
          <w:sz w:val="24"/>
          <w:szCs w:val="24"/>
          <w:lang w:eastAsia="en-US"/>
          <w14:ligatures w14:val="standardContextual"/>
        </w:rPr>
      </w:pPr>
    </w:p>
    <w:p w14:paraId="0F1CF29B" w14:textId="4AA7849D" w:rsidR="00C82DE6" w:rsidRPr="007C5A6E" w:rsidRDefault="00C82DE6" w:rsidP="009A08D5">
      <w:pPr>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Les engins lourds chargés du transfert du minerai vers l’usine, provoquent des dommages par un tassement et un compactage du sol qui épouse une structure massive soutenue d’une diminution de la porosité, d’une faible réserve utile en eau (RU), d’un ruissellement qui entaille le sol par la formation de rigoles et de ravines.  Les photos 2 et 3 illustrent respectivement une </w:t>
      </w:r>
      <w:proofErr w:type="spellStart"/>
      <w:r w:rsidRPr="007C5A6E">
        <w:rPr>
          <w:rFonts w:ascii="Times New Roman" w:eastAsia="Calibri" w:hAnsi="Times New Roman"/>
          <w:kern w:val="2"/>
          <w:sz w:val="24"/>
          <w:szCs w:val="24"/>
          <w:lang w:eastAsia="en-US"/>
          <w14:ligatures w14:val="standardContextual"/>
        </w:rPr>
        <w:t>halde</w:t>
      </w:r>
      <w:proofErr w:type="spellEnd"/>
      <w:r w:rsidRPr="007C5A6E">
        <w:rPr>
          <w:rFonts w:ascii="Times New Roman" w:eastAsia="Calibri" w:hAnsi="Times New Roman"/>
          <w:kern w:val="2"/>
          <w:sz w:val="24"/>
          <w:szCs w:val="24"/>
          <w:lang w:eastAsia="en-US"/>
          <w14:ligatures w14:val="standardContextual"/>
        </w:rPr>
        <w:t xml:space="preserve"> à stériles et une destruction du couvert végétal et un décapage du sol.</w:t>
      </w:r>
      <w:bookmarkStart w:id="826" w:name="_Toc178703023"/>
    </w:p>
    <w:p w14:paraId="6493E352" w14:textId="77777777" w:rsidR="00C82DE6" w:rsidRPr="007C5A6E" w:rsidRDefault="00C82DE6" w:rsidP="009A08D5">
      <w:pPr>
        <w:spacing w:after="0" w:line="240" w:lineRule="auto"/>
        <w:contextualSpacing/>
        <w:jc w:val="both"/>
        <w:rPr>
          <w:rFonts w:ascii="Times New Roman" w:eastAsia="Calibri" w:hAnsi="Times New Roman"/>
          <w:kern w:val="2"/>
          <w:sz w:val="24"/>
          <w:szCs w:val="24"/>
          <w:lang w:eastAsia="en-US"/>
          <w14:ligatures w14:val="standardContextual"/>
        </w:rPr>
      </w:pPr>
    </w:p>
    <w:p w14:paraId="5D0FD0D7" w14:textId="749F2771" w:rsidR="00C82DE6" w:rsidRPr="007C5A6E" w:rsidRDefault="00C82DE6" w:rsidP="00684FF8">
      <w:pPr>
        <w:pStyle w:val="Titre4"/>
      </w:pPr>
      <w:bookmarkStart w:id="827" w:name="_Toc181982247"/>
      <w:bookmarkStart w:id="828" w:name="_Toc183340170"/>
      <w:bookmarkEnd w:id="826"/>
      <w:r w:rsidRPr="007C5A6E">
        <w:t>Impacts des migrations internes</w:t>
      </w:r>
      <w:bookmarkEnd w:id="827"/>
      <w:bookmarkEnd w:id="828"/>
      <w:r w:rsidRPr="007C5A6E">
        <w:t xml:space="preserve"> </w:t>
      </w:r>
    </w:p>
    <w:p w14:paraId="0CD2A829" w14:textId="77777777" w:rsidR="00C82DE6" w:rsidRPr="007C5A6E" w:rsidRDefault="00C82DE6" w:rsidP="009A08D5">
      <w:pPr>
        <w:spacing w:after="0" w:line="240" w:lineRule="auto"/>
        <w:jc w:val="both"/>
        <w:rPr>
          <w:rFonts w:ascii="Times New Roman" w:eastAsia="Calibri" w:hAnsi="Times New Roman"/>
          <w:kern w:val="2"/>
          <w:sz w:val="24"/>
          <w:szCs w:val="24"/>
          <w:lang w:eastAsia="en-US"/>
          <w14:ligatures w14:val="standardContextual"/>
        </w:rPr>
      </w:pPr>
    </w:p>
    <w:p w14:paraId="42CBB859" w14:textId="18B903C7" w:rsidR="00C82DE6" w:rsidRPr="007C5A6E" w:rsidRDefault="00C82DE6" w:rsidP="009A08D5">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Les zones d’accueil des migrants internes qui présentent d’habitude des conditions environnementales et climatiques favorables sont assujetties à des pratiques agricoles inadaptées qui dégradent les sols. Ils importent systématiquement les techniques culturales héritées, sans aucune initiative d’innovation respectueuse des sols et de la végétation.</w:t>
      </w:r>
    </w:p>
    <w:p w14:paraId="1C6C0BEC" w14:textId="77777777" w:rsidR="00C82DE6" w:rsidRPr="007C5A6E" w:rsidRDefault="00C82DE6" w:rsidP="009A08D5">
      <w:pPr>
        <w:spacing w:after="0" w:line="240" w:lineRule="auto"/>
        <w:jc w:val="both"/>
        <w:rPr>
          <w:rFonts w:ascii="Times New Roman" w:eastAsia="Calibri" w:hAnsi="Times New Roman"/>
          <w:kern w:val="2"/>
          <w:sz w:val="24"/>
          <w:szCs w:val="24"/>
          <w:lang w:eastAsia="en-US"/>
          <w14:ligatures w14:val="standardContextual"/>
        </w:rPr>
      </w:pPr>
    </w:p>
    <w:p w14:paraId="78120B30" w14:textId="666680F3" w:rsidR="00C82DE6" w:rsidRPr="007C5A6E" w:rsidRDefault="00C82DE6" w:rsidP="00684FF8">
      <w:pPr>
        <w:pStyle w:val="Titre4"/>
      </w:pPr>
      <w:bookmarkStart w:id="829" w:name="_Toc181982248"/>
      <w:bookmarkStart w:id="830" w:name="_Toc183340171"/>
      <w:r w:rsidRPr="007C5A6E">
        <w:t>Impacts des acquisitions massives des terres</w:t>
      </w:r>
      <w:bookmarkEnd w:id="829"/>
      <w:bookmarkEnd w:id="830"/>
    </w:p>
    <w:p w14:paraId="2BC6C71C" w14:textId="77777777" w:rsidR="009A08D5" w:rsidRPr="007C5A6E" w:rsidRDefault="009A08D5" w:rsidP="009A08D5">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674421F4" w14:textId="7091FDE9" w:rsidR="00C82DE6" w:rsidRPr="007C5A6E" w:rsidRDefault="00C82DE6" w:rsidP="000C39EA">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Les superficies exploitées par les agrobusiness occupent de grands espaces partiellement utilisés. Les installations sont accompagnées d’un abattage massif et systématique des arbres et d’une destruction totale des arbustes et du couvert herbacé. Le plus souvent, ce n’est qu’une infime partie du terrain qui est mise en valeur, laissant à nue la partie non exploitée. De telles pratiques exposent le sol à la battance des eaux de pluies, suivie de la formation de croûtes qui empêchent l’infiltration des eaux et favorisent ainsi un ruissellement intense entraînant un décapage de la couche humifère et un appauvrissement du sol en éléments nutritifs.</w:t>
      </w:r>
    </w:p>
    <w:p w14:paraId="3BD76EAC" w14:textId="77777777" w:rsidR="00C82DE6" w:rsidRPr="007C5A6E" w:rsidRDefault="00C82DE6" w:rsidP="000C39EA">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52BD9EF0" w14:textId="1F75DF54" w:rsidR="00C82DE6" w:rsidRPr="007C5A6E" w:rsidRDefault="00C82DE6" w:rsidP="00684FF8">
      <w:pPr>
        <w:pStyle w:val="Titre4"/>
      </w:pPr>
      <w:bookmarkStart w:id="831" w:name="_Toc181982249"/>
      <w:bookmarkStart w:id="832" w:name="_Toc183340172"/>
      <w:r w:rsidRPr="007C5A6E">
        <w:t>Impacts de l’agriculture pluviale</w:t>
      </w:r>
      <w:bookmarkEnd w:id="831"/>
      <w:bookmarkEnd w:id="832"/>
    </w:p>
    <w:p w14:paraId="4FE303E0" w14:textId="77777777" w:rsidR="00C82DE6" w:rsidRPr="007C5A6E" w:rsidRDefault="00C82DE6" w:rsidP="000C39EA">
      <w:pPr>
        <w:spacing w:after="0" w:line="240" w:lineRule="auto"/>
        <w:jc w:val="both"/>
        <w:rPr>
          <w:rFonts w:ascii="Times New Roman" w:eastAsia="Calibri" w:hAnsi="Times New Roman"/>
          <w:bCs/>
          <w:kern w:val="2"/>
          <w:sz w:val="24"/>
          <w:szCs w:val="24"/>
          <w:lang w:eastAsia="en-US"/>
          <w14:ligatures w14:val="standardContextual"/>
        </w:rPr>
      </w:pPr>
    </w:p>
    <w:p w14:paraId="4F8750F3" w14:textId="62542DDC" w:rsidR="00C82DE6" w:rsidRPr="007C5A6E" w:rsidRDefault="00C82DE6" w:rsidP="000C39EA">
      <w:pPr>
        <w:spacing w:after="0" w:line="240" w:lineRule="auto"/>
        <w:jc w:val="both"/>
        <w:rPr>
          <w:rFonts w:ascii="Times New Roman" w:eastAsia="Calibri" w:hAnsi="Times New Roman"/>
          <w:color w:val="1F1F1F"/>
          <w:kern w:val="2"/>
          <w:sz w:val="24"/>
          <w:szCs w:val="24"/>
          <w:shd w:val="clear" w:color="auto" w:fill="FFFFFF"/>
          <w:lang w:eastAsia="en-US"/>
          <w14:ligatures w14:val="standardContextual"/>
        </w:rPr>
      </w:pPr>
      <w:r w:rsidRPr="007C5A6E">
        <w:rPr>
          <w:rFonts w:ascii="Times New Roman" w:eastAsia="Calibri" w:hAnsi="Times New Roman"/>
          <w:bCs/>
          <w:kern w:val="2"/>
          <w:sz w:val="24"/>
          <w:szCs w:val="24"/>
          <w:lang w:eastAsia="en-US"/>
          <w14:ligatures w14:val="standardContextual"/>
        </w:rPr>
        <w:t xml:space="preserve">Les pratiques agricoles non durables au Burkina Faso, ont exacerbé le problème de la dégradation des sols. La surexploitation agricole et le surpâturage ont transformé des terres fertiles en paysages désertiques. </w:t>
      </w:r>
      <w:r w:rsidRPr="007C5A6E">
        <w:rPr>
          <w:rFonts w:ascii="Times New Roman" w:eastAsia="Calibri" w:hAnsi="Times New Roman"/>
          <w:color w:val="212529"/>
          <w:spacing w:val="5"/>
          <w:kern w:val="2"/>
          <w:sz w:val="24"/>
          <w:szCs w:val="24"/>
          <w:shd w:val="clear" w:color="auto" w:fill="FFFFFF"/>
          <w:lang w:eastAsia="en-US"/>
          <w14:ligatures w14:val="standardContextual"/>
        </w:rPr>
        <w:t>L'agriculture en monoculture a épuisé les nutriments du sol et provoqué l'érosion (IFAD, 2021).</w:t>
      </w:r>
      <w:r w:rsidRPr="007C5A6E">
        <w:rPr>
          <w:rFonts w:ascii="Open Sans" w:eastAsia="Calibri" w:hAnsi="Open Sans" w:cs="Open Sans"/>
          <w:color w:val="212529"/>
          <w:spacing w:val="5"/>
          <w:kern w:val="2"/>
          <w:shd w:val="clear" w:color="auto" w:fill="FFFFFF"/>
          <w:lang w:eastAsia="en-US"/>
          <w14:ligatures w14:val="standardContextual"/>
        </w:rPr>
        <w:t xml:space="preserve"> </w:t>
      </w:r>
      <w:r w:rsidRPr="007C5A6E">
        <w:rPr>
          <w:rFonts w:ascii="Times New Roman" w:eastAsia="Calibri" w:hAnsi="Times New Roman"/>
          <w:bCs/>
          <w:kern w:val="2"/>
          <w:sz w:val="24"/>
          <w:szCs w:val="24"/>
          <w:lang w:eastAsia="en-US"/>
          <w14:ligatures w14:val="standardContextual"/>
        </w:rPr>
        <w:t xml:space="preserve">Après la récolte des céréales et des cultures de rente, les champs sont abandonnés à l’état nu, les exposant à la battance des premières pluies torrentielles accompagnées souvent de vents violents affectant particulièrement en zone sahélienne les régosols sur ergs récents et les sols brun rouge </w:t>
      </w:r>
      <w:r w:rsidR="00643AF0" w:rsidRPr="007C5A6E">
        <w:rPr>
          <w:rFonts w:ascii="Times New Roman" w:eastAsia="Calibri" w:hAnsi="Times New Roman"/>
          <w:bCs/>
          <w:kern w:val="2"/>
          <w:sz w:val="24"/>
          <w:szCs w:val="24"/>
          <w:lang w:eastAsia="en-US"/>
          <w14:ligatures w14:val="standardContextual"/>
        </w:rPr>
        <w:t>subarides</w:t>
      </w:r>
      <w:r w:rsidRPr="007C5A6E">
        <w:rPr>
          <w:rFonts w:ascii="Times New Roman" w:eastAsia="Calibri" w:hAnsi="Times New Roman"/>
          <w:bCs/>
          <w:kern w:val="2"/>
          <w:sz w:val="24"/>
          <w:szCs w:val="24"/>
          <w:lang w:eastAsia="en-US"/>
          <w14:ligatures w14:val="standardContextual"/>
        </w:rPr>
        <w:t xml:space="preserve"> sur ergs anciens. Les </w:t>
      </w:r>
      <w:r w:rsidRPr="007C5A6E">
        <w:rPr>
          <w:rFonts w:ascii="Times New Roman" w:eastAsia="Calibri" w:hAnsi="Times New Roman"/>
          <w:color w:val="1F1F1F"/>
          <w:kern w:val="2"/>
          <w:sz w:val="24"/>
          <w:szCs w:val="24"/>
          <w:shd w:val="clear" w:color="auto" w:fill="FFFFFF"/>
          <w:lang w:eastAsia="en-US"/>
          <w14:ligatures w14:val="standardContextual"/>
        </w:rPr>
        <w:t>estimations des effets directs de l'érosion des sols à l'aide d'un modèle biophysique, ont montré une </w:t>
      </w:r>
      <w:r w:rsidRPr="007C5A6E">
        <w:rPr>
          <w:rFonts w:ascii="Times New Roman" w:eastAsia="Calibri" w:hAnsi="Times New Roman"/>
          <w:color w:val="040C28"/>
          <w:kern w:val="2"/>
          <w:sz w:val="24"/>
          <w:szCs w:val="24"/>
          <w:lang w:eastAsia="en-US"/>
          <w14:ligatures w14:val="standardContextual"/>
        </w:rPr>
        <w:t xml:space="preserve">baisse de la production agricole de 3 832 mille tonnes au Burkina Faso (Sartori et </w:t>
      </w:r>
      <w:r w:rsidRPr="007C5A6E">
        <w:rPr>
          <w:rFonts w:ascii="Times New Roman" w:eastAsia="Calibri" w:hAnsi="Times New Roman"/>
          <w:i/>
          <w:iCs/>
          <w:color w:val="040C28"/>
          <w:kern w:val="2"/>
          <w:sz w:val="24"/>
          <w:szCs w:val="24"/>
          <w:lang w:eastAsia="en-US"/>
          <w14:ligatures w14:val="standardContextual"/>
        </w:rPr>
        <w:t>al.</w:t>
      </w:r>
      <w:r w:rsidRPr="007C5A6E">
        <w:rPr>
          <w:rFonts w:ascii="Times New Roman" w:eastAsia="Calibri" w:hAnsi="Times New Roman"/>
          <w:color w:val="1F1F1F"/>
          <w:kern w:val="2"/>
          <w:sz w:val="24"/>
          <w:szCs w:val="24"/>
          <w:shd w:val="clear" w:color="auto" w:fill="FFFFFF"/>
          <w:lang w:eastAsia="en-US"/>
          <w14:ligatures w14:val="standardContextual"/>
        </w:rPr>
        <w:t xml:space="preserve">, 2019). De même, Sawadogo (2021) estime que la dégradation des terres au Burkina Faso, fait baisser le Produit Intérieur Brut. </w:t>
      </w:r>
      <w:r w:rsidRPr="007C5A6E">
        <w:rPr>
          <w:rFonts w:ascii="Times New Roman" w:eastAsia="Calibri" w:hAnsi="Times New Roman"/>
          <w:bCs/>
          <w:kern w:val="2"/>
          <w:sz w:val="24"/>
          <w:szCs w:val="24"/>
          <w:lang w:eastAsia="en-US"/>
          <w14:ligatures w14:val="standardContextual"/>
        </w:rPr>
        <w:t>Les engrais azotés intensivement utilisés dans les exploitations cotonnières ont acidifié les sols et ont fait baisser leur productivité.</w:t>
      </w:r>
      <w:r w:rsidRPr="007C5A6E">
        <w:rPr>
          <w:rFonts w:ascii="Times New Roman" w:eastAsia="Calibri" w:hAnsi="Times New Roman"/>
          <w:color w:val="1F1F1F"/>
          <w:kern w:val="2"/>
          <w:sz w:val="24"/>
          <w:szCs w:val="24"/>
          <w:shd w:val="clear" w:color="auto" w:fill="FFFFFF"/>
          <w:lang w:eastAsia="en-US"/>
          <w14:ligatures w14:val="standardContextual"/>
        </w:rPr>
        <w:t xml:space="preserve"> </w:t>
      </w:r>
    </w:p>
    <w:p w14:paraId="30F80699" w14:textId="77777777" w:rsidR="00AA4452" w:rsidRPr="007C5A6E" w:rsidRDefault="00AA4452" w:rsidP="000C39EA">
      <w:pPr>
        <w:spacing w:after="0" w:line="240" w:lineRule="auto"/>
        <w:jc w:val="both"/>
        <w:rPr>
          <w:rFonts w:ascii="Times New Roman" w:eastAsia="Calibri" w:hAnsi="Times New Roman"/>
          <w:kern w:val="2"/>
          <w:sz w:val="24"/>
          <w:szCs w:val="24"/>
          <w:lang w:eastAsia="en-US"/>
          <w14:ligatures w14:val="standardContextual"/>
        </w:rPr>
      </w:pPr>
    </w:p>
    <w:p w14:paraId="15396C79" w14:textId="12EFFD5B" w:rsidR="00C82DE6" w:rsidRPr="007C5A6E" w:rsidRDefault="00C82DE6" w:rsidP="00684FF8">
      <w:pPr>
        <w:pStyle w:val="Titre4"/>
      </w:pPr>
      <w:bookmarkStart w:id="833" w:name="_Toc181982250"/>
      <w:bookmarkStart w:id="834" w:name="_Toc183340173"/>
      <w:r w:rsidRPr="007C5A6E">
        <w:t>Impacts des périmètres irrigués</w:t>
      </w:r>
      <w:bookmarkEnd w:id="833"/>
      <w:bookmarkEnd w:id="834"/>
    </w:p>
    <w:p w14:paraId="2DDAE35B" w14:textId="77777777" w:rsidR="00C82DE6" w:rsidRPr="007C5A6E" w:rsidRDefault="00C82DE6" w:rsidP="000C39EA">
      <w:pPr>
        <w:autoSpaceDE w:val="0"/>
        <w:autoSpaceDN w:val="0"/>
        <w:adjustRightInd w:val="0"/>
        <w:spacing w:after="0" w:line="240" w:lineRule="auto"/>
        <w:jc w:val="both"/>
        <w:rPr>
          <w:rFonts w:ascii="Times New Roman" w:eastAsia="Calibri" w:hAnsi="Times New Roman"/>
          <w:bCs/>
          <w:kern w:val="2"/>
          <w:sz w:val="24"/>
          <w:szCs w:val="24"/>
          <w:lang w:eastAsia="en-US"/>
          <w14:ligatures w14:val="standardContextual"/>
        </w:rPr>
      </w:pPr>
    </w:p>
    <w:p w14:paraId="57030A8A" w14:textId="1BD74E13" w:rsidR="00C82DE6" w:rsidRPr="007C5A6E" w:rsidRDefault="00C82DE6" w:rsidP="000C39EA">
      <w:pPr>
        <w:autoSpaceDE w:val="0"/>
        <w:autoSpaceDN w:val="0"/>
        <w:adjustRightInd w:val="0"/>
        <w:spacing w:after="0" w:line="240" w:lineRule="auto"/>
        <w:jc w:val="both"/>
        <w:rPr>
          <w:rFonts w:ascii="Times New Roman" w:eastAsia="Calibri" w:hAnsi="Times New Roman"/>
          <w:bCs/>
          <w:kern w:val="2"/>
          <w:sz w:val="24"/>
          <w:szCs w:val="24"/>
          <w:lang w:eastAsia="en-US"/>
          <w14:ligatures w14:val="standardContextual"/>
        </w:rPr>
      </w:pPr>
      <w:r w:rsidRPr="007C5A6E">
        <w:rPr>
          <w:rFonts w:ascii="Times New Roman" w:eastAsia="Calibri" w:hAnsi="Times New Roman"/>
          <w:bCs/>
          <w:kern w:val="2"/>
          <w:sz w:val="24"/>
          <w:szCs w:val="24"/>
          <w:lang w:eastAsia="en-US"/>
          <w14:ligatures w14:val="standardContextual"/>
        </w:rPr>
        <w:t>Les barrages peuvent augmenter les risques d’inondation lorsque les réservoirs sont mal exploités. Dans le long terme, des problèmes écologiques comme l’érosion, la pollution et la salinité peuvent apparaître (</w:t>
      </w:r>
      <w:proofErr w:type="spellStart"/>
      <w:r w:rsidRPr="007C5A6E">
        <w:rPr>
          <w:rFonts w:ascii="Times New Roman" w:eastAsia="Calibri" w:hAnsi="Times New Roman"/>
          <w:bCs/>
          <w:kern w:val="2"/>
          <w:sz w:val="24"/>
          <w:szCs w:val="24"/>
          <w:lang w:eastAsia="en-US"/>
          <w14:ligatures w14:val="standardContextual"/>
        </w:rPr>
        <w:t>Tapsoba</w:t>
      </w:r>
      <w:proofErr w:type="spellEnd"/>
      <w:r w:rsidRPr="007C5A6E">
        <w:rPr>
          <w:rFonts w:ascii="Times New Roman" w:eastAsia="Calibri" w:hAnsi="Times New Roman"/>
          <w:bCs/>
          <w:kern w:val="2"/>
          <w:sz w:val="24"/>
          <w:szCs w:val="24"/>
          <w:lang w:eastAsia="en-US"/>
          <w14:ligatures w14:val="standardContextual"/>
        </w:rPr>
        <w:t xml:space="preserve"> et </w:t>
      </w:r>
      <w:r w:rsidRPr="007C5A6E">
        <w:rPr>
          <w:rFonts w:ascii="Times New Roman" w:eastAsia="Calibri" w:hAnsi="Times New Roman"/>
          <w:bCs/>
          <w:i/>
          <w:iCs/>
          <w:kern w:val="2"/>
          <w:sz w:val="24"/>
          <w:szCs w:val="24"/>
          <w:lang w:eastAsia="en-US"/>
          <w14:ligatures w14:val="standardContextual"/>
        </w:rPr>
        <w:t>al</w:t>
      </w:r>
      <w:r w:rsidRPr="007C5A6E">
        <w:rPr>
          <w:rFonts w:ascii="Times New Roman" w:eastAsia="Calibri" w:hAnsi="Times New Roman"/>
          <w:bCs/>
          <w:kern w:val="2"/>
          <w:sz w:val="24"/>
          <w:szCs w:val="24"/>
          <w:lang w:eastAsia="en-US"/>
          <w14:ligatures w14:val="standardContextual"/>
        </w:rPr>
        <w:t>., 2018).</w:t>
      </w:r>
    </w:p>
    <w:p w14:paraId="2AB82CE5" w14:textId="203BD6DA" w:rsidR="00C82DE6" w:rsidRPr="007C5A6E" w:rsidRDefault="00C82DE6" w:rsidP="000C39EA">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bCs/>
          <w:kern w:val="2"/>
          <w:sz w:val="24"/>
          <w:szCs w:val="24"/>
          <w:lang w:eastAsia="en-US"/>
          <w14:ligatures w14:val="standardContextual"/>
        </w:rPr>
        <w:t xml:space="preserve">Autour du barrage de </w:t>
      </w:r>
      <w:proofErr w:type="spellStart"/>
      <w:r w:rsidRPr="007C5A6E">
        <w:rPr>
          <w:rFonts w:ascii="Times New Roman" w:eastAsia="Calibri" w:hAnsi="Times New Roman"/>
          <w:bCs/>
          <w:kern w:val="2"/>
          <w:sz w:val="24"/>
          <w:szCs w:val="24"/>
          <w:lang w:eastAsia="en-US"/>
          <w14:ligatures w14:val="standardContextual"/>
        </w:rPr>
        <w:t>Dourou</w:t>
      </w:r>
      <w:proofErr w:type="spellEnd"/>
      <w:r w:rsidRPr="007C5A6E">
        <w:rPr>
          <w:rFonts w:ascii="Times New Roman" w:eastAsia="Calibri" w:hAnsi="Times New Roman"/>
          <w:bCs/>
          <w:kern w:val="2"/>
          <w:sz w:val="24"/>
          <w:szCs w:val="24"/>
          <w:lang w:eastAsia="en-US"/>
          <w14:ligatures w14:val="standardContextual"/>
        </w:rPr>
        <w:t xml:space="preserve">, province du Passoré, dans la partie non encore aménagée, les cultures maraîchères et fruitières sont pratiquées jusqu’aux berges du </w:t>
      </w:r>
      <w:proofErr w:type="spellStart"/>
      <w:r w:rsidRPr="007C5A6E">
        <w:rPr>
          <w:rFonts w:ascii="Times New Roman" w:eastAsia="Calibri" w:hAnsi="Times New Roman"/>
          <w:bCs/>
          <w:kern w:val="2"/>
          <w:sz w:val="24"/>
          <w:szCs w:val="24"/>
          <w:lang w:eastAsia="en-US"/>
          <w14:ligatures w14:val="standardContextual"/>
        </w:rPr>
        <w:t>Nakambé</w:t>
      </w:r>
      <w:proofErr w:type="spellEnd"/>
      <w:r w:rsidRPr="007C5A6E">
        <w:rPr>
          <w:rFonts w:ascii="Times New Roman" w:eastAsia="Calibri" w:hAnsi="Times New Roman"/>
          <w:bCs/>
          <w:kern w:val="2"/>
          <w:sz w:val="24"/>
          <w:szCs w:val="24"/>
          <w:lang w:eastAsia="en-US"/>
          <w14:ligatures w14:val="standardContextual"/>
        </w:rPr>
        <w:t xml:space="preserve">. Les installations se sont faites dans un désordre inouï, de telle sorte que les berges sont menacées par des risques d’érosion. L’analyse des eaux du barrage ont montré des teneurs </w:t>
      </w:r>
      <w:r w:rsidRPr="007C5A6E">
        <w:rPr>
          <w:rFonts w:ascii="Times New Roman" w:eastAsia="Calibri" w:hAnsi="Times New Roman"/>
          <w:kern w:val="2"/>
          <w:sz w:val="24"/>
          <w:szCs w:val="24"/>
          <w:lang w:eastAsia="en-US"/>
          <w14:ligatures w14:val="standardContextual"/>
        </w:rPr>
        <w:t xml:space="preserve">élevées en Chlore (3,55 mg. </w:t>
      </w:r>
      <w:proofErr w:type="gramStart"/>
      <w:r w:rsidRPr="007C5A6E">
        <w:rPr>
          <w:rFonts w:ascii="Times New Roman" w:eastAsia="Calibri" w:hAnsi="Times New Roman"/>
          <w:kern w:val="2"/>
          <w:sz w:val="24"/>
          <w:szCs w:val="24"/>
          <w:lang w:eastAsia="en-US"/>
          <w14:ligatures w14:val="standardContextual"/>
        </w:rPr>
        <w:t>l</w:t>
      </w:r>
      <w:proofErr w:type="gramEnd"/>
      <w:r w:rsidRPr="007C5A6E">
        <w:rPr>
          <w:rFonts w:ascii="Times New Roman" w:eastAsia="Calibri" w:hAnsi="Times New Roman"/>
          <w:kern w:val="2"/>
          <w:sz w:val="24"/>
          <w:szCs w:val="24"/>
          <w:vertAlign w:val="superscript"/>
          <w:lang w:eastAsia="en-US"/>
          <w14:ligatures w14:val="standardContextual"/>
        </w:rPr>
        <w:t>-1</w:t>
      </w:r>
      <w:r w:rsidRPr="007C5A6E">
        <w:rPr>
          <w:rFonts w:ascii="Times New Roman" w:eastAsia="Calibri" w:hAnsi="Times New Roman"/>
          <w:kern w:val="2"/>
          <w:sz w:val="24"/>
          <w:szCs w:val="24"/>
          <w:lang w:eastAsia="en-US"/>
          <w14:ligatures w14:val="standardContextual"/>
        </w:rPr>
        <w:t xml:space="preserve">) et en Nitrate (78 mg. </w:t>
      </w:r>
      <w:proofErr w:type="gramStart"/>
      <w:r w:rsidRPr="007C5A6E">
        <w:rPr>
          <w:rFonts w:ascii="Times New Roman" w:eastAsia="Calibri" w:hAnsi="Times New Roman"/>
          <w:kern w:val="2"/>
          <w:sz w:val="24"/>
          <w:szCs w:val="24"/>
          <w:lang w:eastAsia="en-US"/>
          <w14:ligatures w14:val="standardContextual"/>
        </w:rPr>
        <w:t>g</w:t>
      </w:r>
      <w:proofErr w:type="gramEnd"/>
      <w:r w:rsidRPr="007C5A6E">
        <w:rPr>
          <w:rFonts w:ascii="Times New Roman" w:eastAsia="Calibri" w:hAnsi="Times New Roman"/>
          <w:kern w:val="2"/>
          <w:sz w:val="24"/>
          <w:szCs w:val="24"/>
          <w:vertAlign w:val="superscript"/>
          <w:lang w:eastAsia="en-US"/>
          <w14:ligatures w14:val="standardContextual"/>
        </w:rPr>
        <w:t>-1</w:t>
      </w:r>
      <w:r w:rsidRPr="007C5A6E">
        <w:rPr>
          <w:rFonts w:ascii="Times New Roman" w:eastAsia="Calibri" w:hAnsi="Times New Roman"/>
          <w:kern w:val="2"/>
          <w:sz w:val="24"/>
          <w:szCs w:val="24"/>
          <w:lang w:eastAsia="en-US"/>
          <w14:ligatures w14:val="standardContextual"/>
        </w:rPr>
        <w:t>) qui offrent des risques d’eutrophisation avec apparition de plantes envahissantes comme la jacinthe d’eau (</w:t>
      </w:r>
      <w:proofErr w:type="spellStart"/>
      <w:r w:rsidRPr="007C5A6E">
        <w:rPr>
          <w:rFonts w:ascii="Times New Roman" w:eastAsia="Calibri" w:hAnsi="Times New Roman"/>
          <w:i/>
          <w:iCs/>
          <w:kern w:val="2"/>
          <w:sz w:val="24"/>
          <w:szCs w:val="24"/>
          <w:lang w:eastAsia="en-US"/>
          <w14:ligatures w14:val="standardContextual"/>
        </w:rPr>
        <w:t>Eichhornia</w:t>
      </w:r>
      <w:proofErr w:type="spellEnd"/>
      <w:r w:rsidRPr="007C5A6E">
        <w:rPr>
          <w:rFonts w:ascii="Times New Roman" w:eastAsia="Calibri" w:hAnsi="Times New Roman"/>
          <w:i/>
          <w:iCs/>
          <w:kern w:val="2"/>
          <w:sz w:val="24"/>
          <w:szCs w:val="24"/>
          <w:lang w:eastAsia="en-US"/>
          <w14:ligatures w14:val="standardContextual"/>
        </w:rPr>
        <w:t xml:space="preserve"> </w:t>
      </w:r>
      <w:proofErr w:type="spellStart"/>
      <w:r w:rsidRPr="007C5A6E">
        <w:rPr>
          <w:rFonts w:ascii="Times New Roman" w:eastAsia="Calibri" w:hAnsi="Times New Roman"/>
          <w:i/>
          <w:iCs/>
          <w:kern w:val="2"/>
          <w:sz w:val="24"/>
          <w:szCs w:val="24"/>
          <w:lang w:eastAsia="en-US"/>
          <w14:ligatures w14:val="standardContextual"/>
        </w:rPr>
        <w:t>crassipes</w:t>
      </w:r>
      <w:proofErr w:type="spellEnd"/>
      <w:r w:rsidRPr="007C5A6E">
        <w:rPr>
          <w:rFonts w:ascii="Times New Roman" w:eastAsia="Calibri" w:hAnsi="Times New Roman"/>
          <w:i/>
          <w:iCs/>
          <w:kern w:val="2"/>
          <w:sz w:val="24"/>
          <w:szCs w:val="24"/>
          <w:lang w:eastAsia="en-US"/>
          <w14:ligatures w14:val="standardContextual"/>
        </w:rPr>
        <w:t xml:space="preserve"> Mart 1823</w:t>
      </w:r>
      <w:r w:rsidRPr="007C5A6E">
        <w:rPr>
          <w:rFonts w:eastAsia="Calibri"/>
          <w:kern w:val="2"/>
          <w:lang w:eastAsia="en-US"/>
          <w14:ligatures w14:val="standardContextual"/>
        </w:rPr>
        <w:t xml:space="preserve"> </w:t>
      </w:r>
      <w:r w:rsidRPr="007C5A6E">
        <w:rPr>
          <w:rFonts w:ascii="Times New Roman" w:eastAsia="Calibri" w:hAnsi="Times New Roman"/>
          <w:kern w:val="2"/>
          <w:sz w:val="24"/>
          <w:szCs w:val="24"/>
          <w:lang w:eastAsia="en-US"/>
          <w14:ligatures w14:val="standardContextual"/>
        </w:rPr>
        <w:t>et</w:t>
      </w:r>
      <w:r w:rsidRPr="007C5A6E">
        <w:rPr>
          <w:rFonts w:eastAsia="Calibri"/>
          <w:kern w:val="2"/>
          <w:lang w:eastAsia="en-US"/>
          <w14:ligatures w14:val="standardContextual"/>
        </w:rPr>
        <w:t xml:space="preserve"> </w:t>
      </w:r>
      <w:r w:rsidRPr="007C5A6E">
        <w:rPr>
          <w:rFonts w:ascii="Times New Roman" w:eastAsia="Calibri" w:hAnsi="Times New Roman"/>
          <w:kern w:val="2"/>
          <w:sz w:val="24"/>
          <w:szCs w:val="24"/>
          <w:lang w:eastAsia="en-US"/>
          <w14:ligatures w14:val="standardContextual"/>
        </w:rPr>
        <w:t xml:space="preserve">le roseau </w:t>
      </w:r>
      <w:r w:rsidRPr="007C5A6E">
        <w:rPr>
          <w:rFonts w:eastAsia="Calibri"/>
          <w:kern w:val="2"/>
          <w:lang w:eastAsia="en-US"/>
          <w14:ligatures w14:val="standardContextual"/>
        </w:rPr>
        <w:t>(</w:t>
      </w:r>
      <w:proofErr w:type="spellStart"/>
      <w:r w:rsidRPr="007C5A6E">
        <w:rPr>
          <w:rFonts w:ascii="Times New Roman" w:eastAsia="Calibri" w:hAnsi="Times New Roman"/>
          <w:i/>
          <w:kern w:val="2"/>
          <w:sz w:val="24"/>
          <w:szCs w:val="24"/>
          <w:lang w:eastAsia="en-US"/>
          <w14:ligatures w14:val="standardContextual"/>
        </w:rPr>
        <w:t>Thypha</w:t>
      </w:r>
      <w:proofErr w:type="spellEnd"/>
      <w:r w:rsidRPr="007C5A6E">
        <w:rPr>
          <w:rFonts w:ascii="Times New Roman" w:eastAsia="Calibri" w:hAnsi="Times New Roman"/>
          <w:i/>
          <w:kern w:val="2"/>
          <w:sz w:val="24"/>
          <w:szCs w:val="24"/>
          <w:lang w:eastAsia="en-US"/>
          <w14:ligatures w14:val="standardContextual"/>
        </w:rPr>
        <w:t xml:space="preserve"> </w:t>
      </w:r>
      <w:proofErr w:type="spellStart"/>
      <w:r w:rsidRPr="007C5A6E">
        <w:rPr>
          <w:rFonts w:ascii="Times New Roman" w:eastAsia="Calibri" w:hAnsi="Times New Roman"/>
          <w:i/>
          <w:kern w:val="2"/>
          <w:sz w:val="24"/>
          <w:szCs w:val="24"/>
          <w:lang w:eastAsia="en-US"/>
          <w14:ligatures w14:val="standardContextual"/>
        </w:rPr>
        <w:t>domingensis</w:t>
      </w:r>
      <w:proofErr w:type="spellEnd"/>
      <w:r w:rsidRPr="007C5A6E">
        <w:rPr>
          <w:rFonts w:ascii="Times New Roman" w:eastAsia="Calibri" w:hAnsi="Times New Roman"/>
          <w:iCs/>
          <w:kern w:val="2"/>
          <w:sz w:val="24"/>
          <w:szCs w:val="24"/>
          <w:lang w:eastAsia="en-US"/>
          <w14:ligatures w14:val="standardContextual"/>
        </w:rPr>
        <w:t xml:space="preserve"> (Pers.) </w:t>
      </w:r>
      <w:proofErr w:type="spellStart"/>
      <w:r w:rsidRPr="007C5A6E">
        <w:rPr>
          <w:rFonts w:ascii="Times New Roman" w:eastAsia="Calibri" w:hAnsi="Times New Roman"/>
          <w:iCs/>
          <w:kern w:val="2"/>
          <w:sz w:val="24"/>
          <w:szCs w:val="24"/>
          <w:lang w:eastAsia="en-US"/>
          <w14:ligatures w14:val="standardContextual"/>
        </w:rPr>
        <w:t>Steud</w:t>
      </w:r>
      <w:proofErr w:type="spellEnd"/>
      <w:r w:rsidRPr="007C5A6E">
        <w:rPr>
          <w:rFonts w:ascii="Times New Roman" w:eastAsia="Calibri" w:hAnsi="Times New Roman"/>
          <w:iCs/>
          <w:kern w:val="2"/>
          <w:sz w:val="24"/>
          <w:szCs w:val="24"/>
          <w:lang w:eastAsia="en-US"/>
          <w14:ligatures w14:val="standardContextual"/>
        </w:rPr>
        <w:t xml:space="preserve">, 1821. </w:t>
      </w:r>
      <w:r w:rsidRPr="007C5A6E">
        <w:rPr>
          <w:rFonts w:ascii="Times New Roman" w:eastAsia="Calibri" w:hAnsi="Times New Roman"/>
          <w:kern w:val="2"/>
          <w:sz w:val="24"/>
          <w:szCs w:val="24"/>
          <w:lang w:eastAsia="en-US"/>
          <w14:ligatures w14:val="standardContextual"/>
        </w:rPr>
        <w:t>De même, l’abondance du Chlore favorise la formation de Chlorure de Calcium, sel très soluble qui entraîne une décalcification des eaux et des sols (PARIIS-BF, 2022).</w:t>
      </w:r>
    </w:p>
    <w:p w14:paraId="769F2215" w14:textId="77777777" w:rsidR="00C82DE6" w:rsidRPr="007C5A6E" w:rsidRDefault="00C82DE6" w:rsidP="000C39EA">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51EB781D" w14:textId="320C765D" w:rsidR="00C82DE6" w:rsidRPr="007C5A6E" w:rsidRDefault="00C82DE6" w:rsidP="00684FF8">
      <w:pPr>
        <w:pStyle w:val="Titre4"/>
      </w:pPr>
      <w:bookmarkStart w:id="835" w:name="_Toc181982251"/>
      <w:bookmarkStart w:id="836" w:name="_Toc183340174"/>
      <w:r w:rsidRPr="007C5A6E">
        <w:t>Impacts des engrais et des pesticides</w:t>
      </w:r>
      <w:bookmarkEnd w:id="835"/>
      <w:bookmarkEnd w:id="836"/>
    </w:p>
    <w:p w14:paraId="767CD837" w14:textId="77777777" w:rsidR="00C82DE6" w:rsidRPr="007C5A6E" w:rsidRDefault="00C82DE6" w:rsidP="008F01A8">
      <w:pPr>
        <w:autoSpaceDE w:val="0"/>
        <w:autoSpaceDN w:val="0"/>
        <w:adjustRightInd w:val="0"/>
        <w:spacing w:after="0" w:line="240" w:lineRule="auto"/>
        <w:jc w:val="both"/>
        <w:rPr>
          <w:rFonts w:ascii="Times New Roman" w:eastAsia="Calibri" w:hAnsi="Times New Roman"/>
          <w:color w:val="000000"/>
          <w:kern w:val="2"/>
          <w:sz w:val="24"/>
          <w:szCs w:val="24"/>
          <w:lang w:eastAsia="en-US"/>
          <w14:ligatures w14:val="standardContextual"/>
        </w:rPr>
      </w:pPr>
    </w:p>
    <w:p w14:paraId="516BCD5F" w14:textId="2325A6CD" w:rsidR="00C82DE6" w:rsidRPr="007C5A6E" w:rsidRDefault="00C82DE6" w:rsidP="008F01A8">
      <w:pPr>
        <w:autoSpaceDE w:val="0"/>
        <w:autoSpaceDN w:val="0"/>
        <w:adjustRightInd w:val="0"/>
        <w:spacing w:after="0" w:line="240" w:lineRule="auto"/>
        <w:jc w:val="both"/>
        <w:rPr>
          <w:rFonts w:ascii="Times New Roman" w:eastAsia="Calibri" w:hAnsi="Times New Roman"/>
          <w:color w:val="000000"/>
          <w:kern w:val="2"/>
          <w:sz w:val="24"/>
          <w:szCs w:val="24"/>
          <w:lang w:eastAsia="en-US"/>
          <w14:ligatures w14:val="standardContextual"/>
        </w:rPr>
      </w:pPr>
      <w:r w:rsidRPr="007C5A6E">
        <w:rPr>
          <w:rFonts w:ascii="Times New Roman" w:eastAsia="Calibri" w:hAnsi="Times New Roman"/>
          <w:color w:val="000000"/>
          <w:kern w:val="2"/>
          <w:sz w:val="24"/>
          <w:szCs w:val="24"/>
          <w:lang w:eastAsia="en-US"/>
          <w14:ligatures w14:val="standardContextual"/>
        </w:rPr>
        <w:t xml:space="preserve">L'usage intensif des fertilisants minéraux et des pesticides affecte les qualités et les caractéristiques des sols et des eaux en les contaminant. </w:t>
      </w:r>
    </w:p>
    <w:p w14:paraId="2FB29160" w14:textId="77777777" w:rsidR="00C82DE6" w:rsidRPr="007C5A6E" w:rsidRDefault="00C82DE6" w:rsidP="008F01A8">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hAnsi="Times New Roman"/>
          <w:color w:val="333333"/>
          <w:kern w:val="2"/>
          <w:sz w:val="24"/>
          <w:szCs w:val="24"/>
          <w14:ligatures w14:val="standardContextual"/>
        </w:rPr>
        <w:t>Les herbicides comme l’atrazine, le glyphosate et le diuron, très mobiles dans le sol, peuvent polluer les nappes souterraines et les eaux de surface. Les risques aigus de toxicité proviennent surtout du diuron, considéré comme produit cancérogène. Des travaux menés sur les pesticides ont montré que l’endosulfan aurait modifié la capacité d’échange cationique (CEC) des sols et réduit le pouvoir tampon (</w:t>
      </w:r>
      <w:r w:rsidRPr="007C5A6E">
        <w:rPr>
          <w:rFonts w:ascii="Times New Roman" w:eastAsia="Calibri" w:hAnsi="Times New Roman"/>
          <w:noProof/>
          <w:kern w:val="2"/>
          <w:sz w:val="24"/>
          <w:szCs w:val="24"/>
          <w14:ligatures w14:val="standardContextual"/>
        </w:rPr>
        <w:t xml:space="preserve">Ouattara </w:t>
      </w:r>
      <w:r w:rsidRPr="007C5A6E">
        <w:rPr>
          <w:rFonts w:ascii="Times New Roman" w:hAnsi="Times New Roman"/>
          <w:kern w:val="2"/>
          <w:sz w:val="24"/>
          <w:szCs w:val="24"/>
          <w14:ligatures w14:val="standardContextual"/>
        </w:rPr>
        <w:t xml:space="preserve">et </w:t>
      </w:r>
      <w:r w:rsidRPr="007C5A6E">
        <w:rPr>
          <w:rFonts w:ascii="Times New Roman" w:hAnsi="Times New Roman"/>
          <w:i/>
          <w:iCs/>
          <w:kern w:val="2"/>
          <w:sz w:val="24"/>
          <w:szCs w:val="24"/>
          <w14:ligatures w14:val="standardContextual"/>
        </w:rPr>
        <w:t>al.</w:t>
      </w:r>
      <w:r w:rsidRPr="007C5A6E">
        <w:rPr>
          <w:rFonts w:ascii="Times New Roman" w:hAnsi="Times New Roman"/>
          <w:kern w:val="2"/>
          <w:sz w:val="24"/>
          <w:szCs w:val="24"/>
          <w14:ligatures w14:val="standardContextual"/>
        </w:rPr>
        <w:t xml:space="preserve">, 2010 ; </w:t>
      </w:r>
      <w:proofErr w:type="spellStart"/>
      <w:r w:rsidRPr="007C5A6E">
        <w:rPr>
          <w:rFonts w:ascii="Times New Roman" w:hAnsi="Times New Roman"/>
          <w:kern w:val="2"/>
          <w:sz w:val="24"/>
          <w:szCs w:val="24"/>
          <w14:ligatures w14:val="standardContextual"/>
        </w:rPr>
        <w:t>Naré</w:t>
      </w:r>
      <w:proofErr w:type="spellEnd"/>
      <w:r w:rsidRPr="007C5A6E">
        <w:rPr>
          <w:rFonts w:ascii="Times New Roman" w:hAnsi="Times New Roman"/>
          <w:kern w:val="2"/>
          <w:sz w:val="24"/>
          <w:szCs w:val="24"/>
          <w14:ligatures w14:val="standardContextual"/>
        </w:rPr>
        <w:t xml:space="preserve"> et </w:t>
      </w:r>
      <w:r w:rsidRPr="007C5A6E">
        <w:rPr>
          <w:rFonts w:ascii="Times New Roman" w:hAnsi="Times New Roman"/>
          <w:i/>
          <w:iCs/>
          <w:kern w:val="2"/>
          <w:sz w:val="24"/>
          <w:szCs w:val="24"/>
          <w14:ligatures w14:val="standardContextual"/>
        </w:rPr>
        <w:t>al.</w:t>
      </w:r>
      <w:r w:rsidRPr="007C5A6E">
        <w:rPr>
          <w:rFonts w:ascii="Times New Roman" w:hAnsi="Times New Roman"/>
          <w:kern w:val="2"/>
          <w:sz w:val="24"/>
          <w:szCs w:val="24"/>
          <w14:ligatures w14:val="standardContextual"/>
        </w:rPr>
        <w:t xml:space="preserve">, 2015a ; </w:t>
      </w:r>
      <w:proofErr w:type="spellStart"/>
      <w:r w:rsidRPr="007C5A6E">
        <w:rPr>
          <w:rFonts w:ascii="Times New Roman" w:hAnsi="Times New Roman"/>
          <w:kern w:val="2"/>
          <w:sz w:val="24"/>
          <w:szCs w:val="24"/>
          <w14:ligatures w14:val="standardContextual"/>
        </w:rPr>
        <w:t>Naré</w:t>
      </w:r>
      <w:proofErr w:type="spellEnd"/>
      <w:r w:rsidRPr="007C5A6E">
        <w:rPr>
          <w:rFonts w:ascii="Times New Roman" w:hAnsi="Times New Roman"/>
          <w:kern w:val="2"/>
          <w:sz w:val="24"/>
          <w:szCs w:val="24"/>
          <w14:ligatures w14:val="standardContextual"/>
        </w:rPr>
        <w:t xml:space="preserve"> et </w:t>
      </w:r>
      <w:r w:rsidRPr="007C5A6E">
        <w:rPr>
          <w:rFonts w:ascii="Times New Roman" w:hAnsi="Times New Roman"/>
          <w:i/>
          <w:iCs/>
          <w:kern w:val="2"/>
          <w:sz w:val="24"/>
          <w:szCs w:val="24"/>
          <w14:ligatures w14:val="standardContextual"/>
        </w:rPr>
        <w:t>al</w:t>
      </w:r>
      <w:r w:rsidRPr="007C5A6E">
        <w:rPr>
          <w:rFonts w:ascii="Times New Roman" w:hAnsi="Times New Roman"/>
          <w:color w:val="333333"/>
          <w:kern w:val="2"/>
          <w:sz w:val="24"/>
          <w:szCs w:val="24"/>
          <w14:ligatures w14:val="standardContextual"/>
        </w:rPr>
        <w:t>., 2015b).</w:t>
      </w:r>
      <w:r w:rsidRPr="007C5A6E">
        <w:rPr>
          <w:rFonts w:ascii="Times New Roman" w:eastAsia="Calibri" w:hAnsi="Times New Roman"/>
          <w:kern w:val="2"/>
          <w:sz w:val="24"/>
          <w:szCs w:val="24"/>
          <w:lang w:eastAsia="en-US"/>
          <w14:ligatures w14:val="standardContextual"/>
        </w:rPr>
        <w:t xml:space="preserve"> </w:t>
      </w:r>
    </w:p>
    <w:p w14:paraId="707FDDDF" w14:textId="1CBAD3B0" w:rsidR="00C82DE6" w:rsidRPr="007C5A6E" w:rsidRDefault="00C82DE6" w:rsidP="008F01A8">
      <w:pPr>
        <w:shd w:val="clear" w:color="auto" w:fill="FFFFFF"/>
        <w:spacing w:after="0" w:line="240" w:lineRule="auto"/>
        <w:jc w:val="both"/>
        <w:rPr>
          <w:rFonts w:ascii="Times New Roman" w:eastAsia="Calibri" w:hAnsi="Times New Roman"/>
          <w:bCs/>
          <w:kern w:val="2"/>
          <w:sz w:val="24"/>
          <w:szCs w:val="24"/>
          <w:lang w:eastAsia="en-US"/>
          <w14:ligatures w14:val="standardContextual"/>
        </w:rPr>
      </w:pPr>
      <w:r w:rsidRPr="007C5A6E">
        <w:rPr>
          <w:rFonts w:ascii="Times New Roman" w:eastAsia="Calibri" w:hAnsi="Times New Roman"/>
          <w:b/>
          <w:bCs/>
          <w:kern w:val="2"/>
          <w:sz w:val="24"/>
          <w:szCs w:val="24"/>
          <w:lang w:eastAsia="en-US"/>
          <w14:ligatures w14:val="standardContextual"/>
        </w:rPr>
        <w:t>Les engrais minéraux sont généralement efficaces pendant les premières années de culture. On observe, après cinq à dix années d’apports continus de fumures exclusivement minérales, une baisse des rendements</w:t>
      </w:r>
      <w:r w:rsidRPr="007C5A6E">
        <w:rPr>
          <w:rFonts w:ascii="Times New Roman" w:eastAsia="Calibri" w:hAnsi="Times New Roman"/>
          <w:kern w:val="2"/>
          <w:sz w:val="24"/>
          <w:szCs w:val="24"/>
          <w:lang w:eastAsia="en-US"/>
          <w14:ligatures w14:val="standardContextual"/>
        </w:rPr>
        <w:t>. Outre les éléments nutritifs qu’ils apportent, l’engrais minéral modifient les propriétés physico-chimiques du sol (</w:t>
      </w:r>
      <w:proofErr w:type="spellStart"/>
      <w:r w:rsidRPr="007C5A6E">
        <w:rPr>
          <w:rFonts w:ascii="Times New Roman" w:eastAsia="Calibri" w:hAnsi="Times New Roman"/>
          <w:kern w:val="2"/>
          <w:sz w:val="24"/>
          <w:szCs w:val="24"/>
          <w:lang w:eastAsia="en-US"/>
          <w14:ligatures w14:val="standardContextual"/>
        </w:rPr>
        <w:t>Sakandé</w:t>
      </w:r>
      <w:proofErr w:type="spellEnd"/>
      <w:r w:rsidRPr="007C5A6E">
        <w:rPr>
          <w:rFonts w:ascii="Times New Roman" w:eastAsia="Calibri" w:hAnsi="Times New Roman"/>
          <w:kern w:val="2"/>
          <w:sz w:val="24"/>
          <w:szCs w:val="24"/>
          <w:lang w:eastAsia="en-US"/>
          <w14:ligatures w14:val="standardContextual"/>
        </w:rPr>
        <w:t xml:space="preserve"> et </w:t>
      </w:r>
      <w:r w:rsidRPr="007C5A6E">
        <w:rPr>
          <w:rFonts w:ascii="Times New Roman" w:eastAsia="Calibri" w:hAnsi="Times New Roman"/>
          <w:i/>
          <w:iCs/>
          <w:kern w:val="2"/>
          <w:sz w:val="24"/>
          <w:szCs w:val="24"/>
          <w:lang w:eastAsia="en-US"/>
          <w14:ligatures w14:val="standardContextual"/>
        </w:rPr>
        <w:t>al</w:t>
      </w:r>
      <w:r w:rsidRPr="007C5A6E">
        <w:rPr>
          <w:rFonts w:ascii="Times New Roman" w:eastAsia="Calibri" w:hAnsi="Times New Roman"/>
          <w:kern w:val="2"/>
          <w:sz w:val="24"/>
          <w:szCs w:val="24"/>
          <w:lang w:eastAsia="en-US"/>
          <w14:ligatures w14:val="standardContextual"/>
        </w:rPr>
        <w:t xml:space="preserve">., 2022). Les engrais minéraux azotés sont notamment acidifiants. Une forte acidité du sol réduit la disponibilité en éléments nutritifs et induit des toxicités en aluminium ou en manganate provoquant une baisse des rendements </w:t>
      </w:r>
      <w:r w:rsidRPr="007C5A6E">
        <w:rPr>
          <w:rFonts w:ascii="Times New Roman" w:eastAsia="Calibri" w:hAnsi="Times New Roman"/>
          <w:bCs/>
          <w:kern w:val="2"/>
          <w:sz w:val="24"/>
          <w:szCs w:val="24"/>
          <w:lang w:eastAsia="en-US"/>
          <w14:ligatures w14:val="standardContextual"/>
        </w:rPr>
        <w:t>(</w:t>
      </w:r>
      <w:proofErr w:type="spellStart"/>
      <w:r w:rsidRPr="007C5A6E">
        <w:rPr>
          <w:rFonts w:ascii="Times New Roman" w:eastAsia="Calibri" w:hAnsi="Times New Roman"/>
          <w:bCs/>
          <w:kern w:val="2"/>
          <w:sz w:val="24"/>
          <w:szCs w:val="24"/>
          <w:lang w:eastAsia="en-US"/>
          <w14:ligatures w14:val="standardContextual"/>
        </w:rPr>
        <w:t>Koulibaly</w:t>
      </w:r>
      <w:proofErr w:type="spellEnd"/>
      <w:r w:rsidRPr="007C5A6E">
        <w:rPr>
          <w:rFonts w:ascii="Times New Roman" w:eastAsia="Calibri" w:hAnsi="Times New Roman"/>
          <w:bCs/>
          <w:kern w:val="2"/>
          <w:sz w:val="24"/>
          <w:szCs w:val="24"/>
          <w:lang w:eastAsia="en-US"/>
          <w14:ligatures w14:val="standardContextual"/>
        </w:rPr>
        <w:t xml:space="preserve"> et </w:t>
      </w:r>
      <w:r w:rsidRPr="007C5A6E">
        <w:rPr>
          <w:rFonts w:ascii="Times New Roman" w:eastAsia="Calibri" w:hAnsi="Times New Roman"/>
          <w:bCs/>
          <w:i/>
          <w:iCs/>
          <w:kern w:val="2"/>
          <w:sz w:val="24"/>
          <w:szCs w:val="24"/>
          <w:lang w:eastAsia="en-US"/>
          <w14:ligatures w14:val="standardContextual"/>
        </w:rPr>
        <w:t>al.,</w:t>
      </w:r>
      <w:r w:rsidRPr="007C5A6E">
        <w:rPr>
          <w:rFonts w:ascii="Times New Roman" w:eastAsia="Calibri" w:hAnsi="Times New Roman"/>
          <w:bCs/>
          <w:kern w:val="2"/>
          <w:sz w:val="24"/>
          <w:szCs w:val="24"/>
          <w:lang w:eastAsia="en-US"/>
          <w14:ligatures w14:val="standardContextual"/>
        </w:rPr>
        <w:t xml:space="preserve"> 2014 ; Konaté et </w:t>
      </w:r>
      <w:r w:rsidRPr="007C5A6E">
        <w:rPr>
          <w:rFonts w:ascii="Times New Roman" w:eastAsia="Calibri" w:hAnsi="Times New Roman"/>
          <w:bCs/>
          <w:i/>
          <w:iCs/>
          <w:kern w:val="2"/>
          <w:sz w:val="24"/>
          <w:szCs w:val="24"/>
          <w:lang w:eastAsia="en-US"/>
          <w14:ligatures w14:val="standardContextual"/>
        </w:rPr>
        <w:t>al</w:t>
      </w:r>
      <w:r w:rsidRPr="007C5A6E">
        <w:rPr>
          <w:rFonts w:ascii="Times New Roman" w:eastAsia="Calibri" w:hAnsi="Times New Roman"/>
          <w:bCs/>
          <w:kern w:val="2"/>
          <w:sz w:val="24"/>
          <w:szCs w:val="24"/>
          <w:lang w:eastAsia="en-US"/>
          <w14:ligatures w14:val="standardContextual"/>
        </w:rPr>
        <w:t>., 2022).</w:t>
      </w:r>
    </w:p>
    <w:p w14:paraId="746FB795" w14:textId="77777777" w:rsidR="00C82DE6" w:rsidRPr="007C5A6E" w:rsidRDefault="00C82DE6" w:rsidP="000C39EA">
      <w:pPr>
        <w:shd w:val="clear" w:color="auto" w:fill="FFFFFF"/>
        <w:spacing w:after="0" w:line="240" w:lineRule="auto"/>
        <w:jc w:val="both"/>
        <w:rPr>
          <w:rFonts w:ascii="Times New Roman" w:eastAsia="Calibri" w:hAnsi="Times New Roman"/>
          <w:bCs/>
          <w:kern w:val="2"/>
          <w:sz w:val="24"/>
          <w:szCs w:val="24"/>
          <w:lang w:eastAsia="en-US"/>
          <w14:ligatures w14:val="standardContextual"/>
        </w:rPr>
      </w:pPr>
    </w:p>
    <w:p w14:paraId="7CE2CDD4" w14:textId="3B2DE3E6" w:rsidR="00C82DE6" w:rsidRPr="007C5A6E" w:rsidRDefault="00C82DE6" w:rsidP="00684FF8">
      <w:pPr>
        <w:pStyle w:val="Titre4"/>
      </w:pPr>
      <w:bookmarkStart w:id="837" w:name="_Toc181982252"/>
      <w:bookmarkStart w:id="838" w:name="_Toc183340175"/>
      <w:r w:rsidRPr="007C5A6E">
        <w:t>Impacts des déchets urbains</w:t>
      </w:r>
      <w:bookmarkEnd w:id="837"/>
      <w:bookmarkEnd w:id="838"/>
    </w:p>
    <w:p w14:paraId="79FBD72A" w14:textId="77777777" w:rsidR="00C82DE6" w:rsidRPr="007C5A6E" w:rsidRDefault="00C82DE6" w:rsidP="000C39EA">
      <w:pPr>
        <w:spacing w:after="0" w:line="240" w:lineRule="auto"/>
        <w:jc w:val="both"/>
        <w:textAlignment w:val="baseline"/>
        <w:rPr>
          <w:rFonts w:ascii="Times New Roman" w:hAnsi="Times New Roman"/>
          <w:color w:val="000000"/>
          <w:sz w:val="24"/>
          <w:szCs w:val="24"/>
          <w:bdr w:val="none" w:sz="0" w:space="0" w:color="auto" w:frame="1"/>
          <w:lang w:eastAsia="en-US"/>
        </w:rPr>
      </w:pPr>
    </w:p>
    <w:p w14:paraId="23FF4437" w14:textId="0337426C" w:rsidR="00C82DE6" w:rsidRPr="007C5A6E" w:rsidRDefault="00C82DE6" w:rsidP="000C39EA">
      <w:pPr>
        <w:spacing w:after="0" w:line="240" w:lineRule="auto"/>
        <w:jc w:val="both"/>
        <w:textAlignment w:val="baseline"/>
        <w:rPr>
          <w:rFonts w:ascii="Times New Roman" w:hAnsi="Times New Roman"/>
          <w:color w:val="000000"/>
          <w:lang w:eastAsia="en-US"/>
        </w:rPr>
      </w:pPr>
      <w:r w:rsidRPr="007C5A6E">
        <w:rPr>
          <w:rFonts w:ascii="Times New Roman" w:hAnsi="Times New Roman"/>
          <w:color w:val="000000"/>
          <w:sz w:val="24"/>
          <w:szCs w:val="24"/>
          <w:bdr w:val="none" w:sz="0" w:space="0" w:color="auto" w:frame="1"/>
          <w:lang w:eastAsia="en-US"/>
        </w:rPr>
        <w:t>L’importance de la quantité de déchets importés ou produits, présente un danger pour l’environnement et pour les humains d’autant plus que les municipalités et les entreprises privées de nettoyage arrivent à collecter que 50% des déchets en milieu urbain. Les sachets plastiques fins en polyéthylène sont devenus un fléau environnemental, où plus de 90 % des immondices sont jetées dans des dépotoirs anarchiques qui sont incinérés en plein air (PNUE, 2024). Le phénomène des sachets plastiques, dont la durée de vie est de 400 ans minimum, entraîne une chaîne de problème écologique à savoir qu’ils rendent le sol imperméable et les eaux de ruissellement ne peuvent donc pas s'infiltrer dans le sol, une pollution de l’air troublant souvent la visibilité des personnes, entre autres.</w:t>
      </w:r>
    </w:p>
    <w:p w14:paraId="12E8B1BF" w14:textId="77777777" w:rsidR="00C82DE6" w:rsidRPr="007C5A6E" w:rsidRDefault="00C82DE6" w:rsidP="000C39EA">
      <w:pPr>
        <w:spacing w:after="0" w:line="240" w:lineRule="auto"/>
        <w:jc w:val="both"/>
        <w:rPr>
          <w:rFonts w:ascii="Times New Roman" w:hAnsi="Times New Roman"/>
          <w:sz w:val="24"/>
          <w:szCs w:val="24"/>
          <w:lang w:eastAsia="en-US"/>
        </w:rPr>
      </w:pPr>
      <w:r w:rsidRPr="007C5A6E">
        <w:rPr>
          <w:rFonts w:ascii="Times New Roman" w:hAnsi="Times New Roman"/>
          <w:sz w:val="24"/>
          <w:szCs w:val="24"/>
          <w:lang w:eastAsia="en-US"/>
        </w:rPr>
        <w:t>Les résultats d’une étude sur la pollution des sols par les déchets urbains menée dans la forêt classée de Dindéresso ont montré que les concentrations en Cadmium, Chrome, Cuivre, Nickel, Plomb et Zinc dans le sol, sont variées. Elles varient en fonction de l’ETM du site et de l’horizon du sol. (</w:t>
      </w:r>
      <w:proofErr w:type="spellStart"/>
      <w:r w:rsidRPr="007C5A6E">
        <w:rPr>
          <w:rFonts w:ascii="Times New Roman" w:hAnsi="Times New Roman"/>
          <w:sz w:val="24"/>
          <w:szCs w:val="24"/>
          <w:lang w:eastAsia="en-US"/>
        </w:rPr>
        <w:t>Yé</w:t>
      </w:r>
      <w:proofErr w:type="spellEnd"/>
      <w:r w:rsidRPr="007C5A6E">
        <w:rPr>
          <w:rFonts w:ascii="Times New Roman" w:hAnsi="Times New Roman"/>
          <w:sz w:val="24"/>
          <w:szCs w:val="24"/>
          <w:lang w:eastAsia="en-US"/>
        </w:rPr>
        <w:t xml:space="preserve"> et </w:t>
      </w:r>
      <w:r w:rsidRPr="007C5A6E">
        <w:rPr>
          <w:rFonts w:ascii="Times New Roman" w:hAnsi="Times New Roman"/>
          <w:i/>
          <w:iCs/>
          <w:sz w:val="24"/>
          <w:szCs w:val="24"/>
          <w:lang w:eastAsia="en-US"/>
        </w:rPr>
        <w:t>al</w:t>
      </w:r>
      <w:r w:rsidRPr="007C5A6E">
        <w:rPr>
          <w:rFonts w:ascii="Times New Roman" w:hAnsi="Times New Roman"/>
          <w:sz w:val="24"/>
          <w:szCs w:val="24"/>
          <w:lang w:eastAsia="en-US"/>
        </w:rPr>
        <w:t xml:space="preserve">., 2020). </w:t>
      </w:r>
    </w:p>
    <w:p w14:paraId="2DE60C49" w14:textId="77777777" w:rsidR="00C82DE6" w:rsidRPr="007C5A6E" w:rsidRDefault="00C82DE6" w:rsidP="000C39EA">
      <w:pPr>
        <w:spacing w:after="0" w:line="240" w:lineRule="auto"/>
        <w:jc w:val="both"/>
        <w:rPr>
          <w:rFonts w:ascii="Times New Roman" w:hAnsi="Times New Roman"/>
          <w:sz w:val="20"/>
          <w:szCs w:val="20"/>
          <w:lang w:eastAsia="en-US"/>
        </w:rPr>
      </w:pPr>
    </w:p>
    <w:p w14:paraId="6D72120D" w14:textId="38A4165A" w:rsidR="00C82DE6" w:rsidRPr="007C5A6E" w:rsidRDefault="00C82DE6" w:rsidP="000C39EA">
      <w:pPr>
        <w:pStyle w:val="Titre3"/>
      </w:pPr>
      <w:bookmarkStart w:id="839" w:name="_Toc181982253"/>
      <w:bookmarkStart w:id="840" w:name="_Toc183340176"/>
      <w:r w:rsidRPr="007C5A6E">
        <w:t>Impacts climatiques</w:t>
      </w:r>
      <w:bookmarkEnd w:id="839"/>
      <w:bookmarkEnd w:id="840"/>
    </w:p>
    <w:p w14:paraId="4C2B6C24" w14:textId="77777777" w:rsidR="00C82DE6" w:rsidRPr="007C5A6E" w:rsidRDefault="00C82DE6" w:rsidP="000C39EA">
      <w:pPr>
        <w:spacing w:after="0" w:line="240" w:lineRule="auto"/>
        <w:rPr>
          <w:rFonts w:eastAsia="Calibri"/>
          <w:kern w:val="2"/>
          <w14:ligatures w14:val="standardContextual"/>
        </w:rPr>
      </w:pPr>
    </w:p>
    <w:p w14:paraId="38E07ED0" w14:textId="57E5A96E" w:rsidR="00C82DE6" w:rsidRPr="007C5A6E" w:rsidRDefault="00C82DE6" w:rsidP="00684FF8">
      <w:pPr>
        <w:pStyle w:val="Titre4"/>
      </w:pPr>
      <w:bookmarkStart w:id="841" w:name="_Toc181982254"/>
      <w:bookmarkStart w:id="842" w:name="_Toc183340177"/>
      <w:r w:rsidRPr="007C5A6E">
        <w:t>Impacts des inondations</w:t>
      </w:r>
      <w:bookmarkEnd w:id="841"/>
      <w:bookmarkEnd w:id="842"/>
    </w:p>
    <w:p w14:paraId="4F0BB059" w14:textId="77777777" w:rsidR="00C82DE6" w:rsidRPr="007C5A6E" w:rsidRDefault="00C82DE6" w:rsidP="000C39EA">
      <w:pPr>
        <w:spacing w:after="0" w:line="240" w:lineRule="auto"/>
        <w:contextualSpacing/>
        <w:jc w:val="both"/>
        <w:rPr>
          <w:rFonts w:ascii="Times New Roman" w:eastAsia="Calibri" w:hAnsi="Times New Roman"/>
          <w:kern w:val="2"/>
          <w:sz w:val="24"/>
          <w:szCs w:val="24"/>
          <w:lang w:eastAsia="en-US"/>
          <w14:ligatures w14:val="standardContextual"/>
        </w:rPr>
      </w:pPr>
    </w:p>
    <w:p w14:paraId="176DD452" w14:textId="4E55DCFD" w:rsidR="00C82DE6" w:rsidRPr="007C5A6E" w:rsidRDefault="00C82DE6" w:rsidP="000C39EA">
      <w:pPr>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Les inondations sont à la source des ruptures de barrage. Elles peuvent varier en intensité allant de petites inondations locales à des catastrophes affectant de vastes superficies. Les inondations sont dommageables, causant des pertes en vie, des pertes de sol, des dégâts matériels, des pertes de cultures ainsi que des problèmes de santé publique en raison de la contamination de l’eau et la propagation des maladies (DGRE, 2023). Elles entraînent des pertes énormes en terre. Les masses de terre emportées restent jusque-là non évaluées</w:t>
      </w:r>
      <w:r w:rsidRPr="007C5A6E">
        <w:rPr>
          <w:rFonts w:eastAsia="Calibri"/>
          <w:kern w:val="2"/>
          <w:sz w:val="24"/>
          <w:szCs w:val="24"/>
          <w:lang w:eastAsia="en-US"/>
          <w14:ligatures w14:val="standardContextual"/>
        </w:rPr>
        <w:t xml:space="preserve">. </w:t>
      </w:r>
      <w:r w:rsidRPr="007C5A6E">
        <w:rPr>
          <w:rFonts w:ascii="Times New Roman" w:eastAsia="Calibri" w:hAnsi="Times New Roman"/>
          <w:kern w:val="2"/>
          <w:sz w:val="24"/>
          <w:szCs w:val="24"/>
          <w:lang w:eastAsia="en-US"/>
          <w14:ligatures w14:val="standardContextual"/>
        </w:rPr>
        <w:t xml:space="preserve">La photo 4 présente l’inondation de </w:t>
      </w:r>
      <w:proofErr w:type="spellStart"/>
      <w:r w:rsidRPr="007C5A6E">
        <w:rPr>
          <w:rFonts w:ascii="Times New Roman" w:eastAsia="Calibri" w:hAnsi="Times New Roman"/>
          <w:kern w:val="2"/>
          <w:sz w:val="24"/>
          <w:szCs w:val="24"/>
          <w:lang w:eastAsia="en-US"/>
          <w14:ligatures w14:val="standardContextual"/>
        </w:rPr>
        <w:t>Yako</w:t>
      </w:r>
      <w:proofErr w:type="spellEnd"/>
      <w:r w:rsidRPr="007C5A6E">
        <w:rPr>
          <w:rFonts w:ascii="Times New Roman" w:eastAsia="Calibri" w:hAnsi="Times New Roman"/>
          <w:kern w:val="2"/>
          <w:sz w:val="24"/>
          <w:szCs w:val="24"/>
          <w:lang w:eastAsia="en-US"/>
          <w14:ligatures w14:val="standardContextual"/>
        </w:rPr>
        <w:t>.</w:t>
      </w:r>
    </w:p>
    <w:p w14:paraId="3E8007B4" w14:textId="77777777" w:rsidR="00C82DE6" w:rsidRPr="007C5A6E" w:rsidRDefault="00C82DE6" w:rsidP="000C39EA">
      <w:pPr>
        <w:spacing w:after="0" w:line="240" w:lineRule="auto"/>
        <w:rPr>
          <w:rFonts w:ascii="Times New Roman" w:eastAsia="Calibri" w:hAnsi="Times New Roman"/>
          <w:kern w:val="2"/>
          <w:sz w:val="20"/>
          <w:szCs w:val="20"/>
          <w:lang w:eastAsia="en-US"/>
          <w14:ligatures w14:val="standardContextual"/>
        </w:rPr>
      </w:pPr>
    </w:p>
    <w:p w14:paraId="50B46A24" w14:textId="11F8AE7C" w:rsidR="00C82DE6" w:rsidRPr="007C5A6E" w:rsidRDefault="00C82DE6" w:rsidP="00684FF8">
      <w:pPr>
        <w:pStyle w:val="Titre4"/>
      </w:pPr>
      <w:bookmarkStart w:id="843" w:name="_Toc181982255"/>
      <w:bookmarkStart w:id="844" w:name="_Toc183340178"/>
      <w:r w:rsidRPr="007C5A6E">
        <w:t>Impacts de l’intensité des pluies</w:t>
      </w:r>
      <w:bookmarkEnd w:id="843"/>
      <w:bookmarkEnd w:id="844"/>
    </w:p>
    <w:p w14:paraId="079C6074" w14:textId="77777777" w:rsidR="00C82DE6" w:rsidRPr="007C5A6E" w:rsidRDefault="00C82DE6" w:rsidP="000C39EA">
      <w:pPr>
        <w:spacing w:after="0" w:line="240" w:lineRule="auto"/>
        <w:jc w:val="both"/>
        <w:rPr>
          <w:rFonts w:ascii="Times New Roman" w:eastAsia="Calibri" w:hAnsi="Times New Roman"/>
          <w:kern w:val="2"/>
          <w:sz w:val="24"/>
          <w:szCs w:val="24"/>
          <w:lang w:eastAsia="en-US"/>
          <w14:ligatures w14:val="standardContextual"/>
        </w:rPr>
      </w:pPr>
    </w:p>
    <w:p w14:paraId="2044BD8A" w14:textId="42D459F6" w:rsidR="00C82DE6" w:rsidRPr="007C5A6E" w:rsidRDefault="00C82DE6" w:rsidP="00AA4452">
      <w:pPr>
        <w:spacing w:after="0" w:line="240" w:lineRule="auto"/>
        <w:jc w:val="both"/>
        <w:rPr>
          <w:rFonts w:ascii="Times New Roman" w:eastAsia="Calibri" w:hAnsi="Times New Roman"/>
          <w:bCs/>
          <w:kern w:val="2"/>
          <w:sz w:val="20"/>
          <w:szCs w:val="20"/>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Les précipitations, qu’elles soient abondantes ou pas, lorsqu’elles arrivent avec une forte intensité, l’eau ruisselle au lieu de s’infiltrer dans le sol. Dans ce cas, l’intensité est supérieure à la capacité d’infiltration du sol ; ce qui provoque le ruissellement des eaux de pluie </w:t>
      </w:r>
      <w:r w:rsidRPr="007C5A6E">
        <w:rPr>
          <w:rFonts w:ascii="Times New Roman" w:eastAsia="Calibri" w:hAnsi="Times New Roman"/>
          <w:b/>
          <w:kern w:val="2"/>
          <w:sz w:val="24"/>
          <w:szCs w:val="24"/>
          <w:lang w:eastAsia="en-US"/>
          <w14:ligatures w14:val="standardContextual"/>
        </w:rPr>
        <w:t>(</w:t>
      </w:r>
      <w:proofErr w:type="spellStart"/>
      <w:r w:rsidRPr="007C5A6E">
        <w:rPr>
          <w:rFonts w:ascii="Times New Roman" w:eastAsia="Calibri" w:hAnsi="Times New Roman"/>
          <w:bCs/>
          <w:kern w:val="2"/>
          <w:sz w:val="24"/>
          <w:szCs w:val="24"/>
          <w:lang w:eastAsia="en-US"/>
          <w14:ligatures w14:val="standardContextual"/>
        </w:rPr>
        <w:t>Guillobez</w:t>
      </w:r>
      <w:proofErr w:type="spellEnd"/>
      <w:r w:rsidRPr="007C5A6E">
        <w:rPr>
          <w:rFonts w:ascii="Times New Roman" w:eastAsia="Calibri" w:hAnsi="Times New Roman"/>
          <w:bCs/>
          <w:kern w:val="2"/>
          <w:sz w:val="24"/>
          <w:szCs w:val="24"/>
          <w:lang w:eastAsia="en-US"/>
          <w14:ligatures w14:val="standardContextual"/>
        </w:rPr>
        <w:t>, 2024</w:t>
      </w:r>
      <w:r w:rsidRPr="007C5A6E">
        <w:rPr>
          <w:rFonts w:ascii="Times New Roman" w:eastAsia="Calibri" w:hAnsi="Times New Roman"/>
          <w:kern w:val="2"/>
          <w:sz w:val="24"/>
          <w:szCs w:val="24"/>
          <w:lang w:eastAsia="en-US"/>
          <w14:ligatures w14:val="standardContextual"/>
        </w:rPr>
        <w:t xml:space="preserve">). Le ruissellement décape la couche humifère, appauvrit les sols en matière organique et en nutriments et provoque une dénudation des sols et l’exposition de la couche minérale à la battance des eaux de pluie. </w:t>
      </w:r>
    </w:p>
    <w:p w14:paraId="082813C1" w14:textId="77777777" w:rsidR="00C82DE6" w:rsidRPr="007C5A6E" w:rsidRDefault="00C82DE6" w:rsidP="000C39EA">
      <w:pPr>
        <w:shd w:val="clear" w:color="auto" w:fill="FFFFFF"/>
        <w:spacing w:after="0" w:line="240" w:lineRule="auto"/>
        <w:jc w:val="both"/>
        <w:rPr>
          <w:rFonts w:ascii="Times New Roman" w:eastAsia="Calibri" w:hAnsi="Times New Roman"/>
          <w:bCs/>
          <w:kern w:val="2"/>
          <w:sz w:val="20"/>
          <w:szCs w:val="20"/>
          <w:lang w:eastAsia="en-US"/>
          <w14:ligatures w14:val="standardContextual"/>
        </w:rPr>
      </w:pPr>
    </w:p>
    <w:p w14:paraId="048A8492" w14:textId="3C4C9FB1" w:rsidR="00C82DE6" w:rsidRPr="007C5A6E" w:rsidRDefault="00C82DE6" w:rsidP="00684FF8">
      <w:pPr>
        <w:pStyle w:val="Titre4"/>
      </w:pPr>
      <w:bookmarkStart w:id="845" w:name="_Toc181982256"/>
      <w:bookmarkStart w:id="846" w:name="_Toc183340179"/>
      <w:r w:rsidRPr="007C5A6E">
        <w:t>Impacts de la température</w:t>
      </w:r>
      <w:bookmarkEnd w:id="845"/>
      <w:bookmarkEnd w:id="846"/>
    </w:p>
    <w:p w14:paraId="5882AC66" w14:textId="77777777" w:rsidR="000C39EA" w:rsidRPr="007C5A6E" w:rsidRDefault="000C39EA" w:rsidP="000C39EA">
      <w:pPr>
        <w:spacing w:after="0" w:line="240" w:lineRule="auto"/>
        <w:jc w:val="both"/>
        <w:rPr>
          <w:rFonts w:ascii="Times New Roman" w:eastAsia="Calibri" w:hAnsi="Times New Roman"/>
          <w:kern w:val="2"/>
          <w:sz w:val="24"/>
          <w:szCs w:val="24"/>
          <w:lang w:eastAsia="en-US"/>
          <w14:ligatures w14:val="standardContextual"/>
        </w:rPr>
      </w:pPr>
    </w:p>
    <w:p w14:paraId="510C8405" w14:textId="32AE3E3D" w:rsidR="00C82DE6" w:rsidRPr="007C5A6E" w:rsidRDefault="00C82DE6" w:rsidP="000C39EA">
      <w:pPr>
        <w:spacing w:after="0" w:line="240" w:lineRule="auto"/>
        <w:jc w:val="both"/>
        <w:rPr>
          <w:rFonts w:ascii="Times New Roman" w:hAnsi="Times New Roman"/>
          <w:sz w:val="24"/>
          <w:szCs w:val="24"/>
          <w:lang w:eastAsia="en-US"/>
        </w:rPr>
      </w:pPr>
      <w:r w:rsidRPr="007C5A6E">
        <w:rPr>
          <w:rFonts w:ascii="Times New Roman" w:eastAsia="Calibri" w:hAnsi="Times New Roman"/>
          <w:kern w:val="2"/>
          <w:sz w:val="24"/>
          <w:szCs w:val="24"/>
          <w:lang w:eastAsia="en-US"/>
          <w14:ligatures w14:val="standardContextual"/>
        </w:rPr>
        <w:t>Les déperdition</w:t>
      </w:r>
      <w:r w:rsidR="00AA4452" w:rsidRPr="007C5A6E">
        <w:rPr>
          <w:rFonts w:ascii="Times New Roman" w:eastAsia="Calibri" w:hAnsi="Times New Roman"/>
          <w:kern w:val="2"/>
          <w:sz w:val="24"/>
          <w:szCs w:val="24"/>
          <w:lang w:eastAsia="en-US"/>
          <w14:ligatures w14:val="standardContextual"/>
        </w:rPr>
        <w:t>s</w:t>
      </w:r>
      <w:r w:rsidRPr="007C5A6E">
        <w:rPr>
          <w:rFonts w:ascii="Times New Roman" w:eastAsia="Calibri" w:hAnsi="Times New Roman"/>
          <w:kern w:val="2"/>
          <w:sz w:val="24"/>
          <w:szCs w:val="24"/>
          <w:lang w:eastAsia="en-US"/>
          <w14:ligatures w14:val="standardContextual"/>
        </w:rPr>
        <w:t xml:space="preserve"> des sols en matière organique sont dues aux températures élevées et à l’humidité, facteurs stimulants de la biodégradation de la matière organique. Ces pertes privent le sol en éléments nutritifs et lui confèrent des propriétés physico-chimiques défavorables : structure massive, faible infiltration des eaux de pluie, faible recharge de la nappe phréatique, baisse de l’activité de la pédofaune et pauvreté chimique du sol. </w:t>
      </w:r>
      <w:r w:rsidRPr="007C5A6E">
        <w:rPr>
          <w:rFonts w:ascii="Times New Roman" w:hAnsi="Times New Roman"/>
          <w:sz w:val="24"/>
          <w:szCs w:val="24"/>
          <w:lang w:eastAsia="en-US"/>
        </w:rPr>
        <w:t xml:space="preserve">Les températures élevées provoquent une dessiccation des sols et une précipitation des oxydes et hydroxydes de fer en cuirasse ou carapace ferrugineuse donnant au sol une morphologie squelettique. L’induration est un handicap majeur à l’enracinement des cultures et réduit la disponibilité en eau du sol. La photo 6 présente une dalle de cuirasse ferrugineuse. </w:t>
      </w:r>
    </w:p>
    <w:p w14:paraId="64527AE6" w14:textId="4BB4A596" w:rsidR="00C82DE6" w:rsidRPr="007C5A6E" w:rsidRDefault="00C82DE6" w:rsidP="00AA4452">
      <w:pPr>
        <w:spacing w:after="0" w:line="240" w:lineRule="auto"/>
        <w:contextualSpacing/>
        <w:jc w:val="both"/>
        <w:rPr>
          <w:rFonts w:ascii="Times New Roman" w:hAnsi="Times New Roman"/>
          <w:sz w:val="24"/>
          <w:szCs w:val="24"/>
          <w:lang w:eastAsia="en-US"/>
        </w:rPr>
      </w:pPr>
      <w:r w:rsidRPr="007C5A6E">
        <w:rPr>
          <w:rFonts w:ascii="Times New Roman" w:eastAsia="Calibri" w:hAnsi="Times New Roman"/>
          <w:kern w:val="2"/>
          <w:sz w:val="24"/>
          <w:szCs w:val="24"/>
          <w:lang w:eastAsia="en-US"/>
          <w14:ligatures w14:val="standardContextual"/>
        </w:rPr>
        <w:t xml:space="preserve">Les sols ferrallitiques ne peuvent exister qu’à partir des isohyètes 1000 et 1200 </w:t>
      </w:r>
      <w:proofErr w:type="spellStart"/>
      <w:r w:rsidRPr="007C5A6E">
        <w:rPr>
          <w:rFonts w:ascii="Times New Roman" w:eastAsia="Calibri" w:hAnsi="Times New Roman"/>
          <w:kern w:val="2"/>
          <w:sz w:val="24"/>
          <w:szCs w:val="24"/>
          <w:lang w:eastAsia="en-US"/>
          <w14:ligatures w14:val="standardContextual"/>
        </w:rPr>
        <w:t>mm.</w:t>
      </w:r>
      <w:proofErr w:type="spellEnd"/>
      <w:r w:rsidRPr="007C5A6E">
        <w:rPr>
          <w:rFonts w:ascii="Times New Roman" w:eastAsia="Calibri" w:hAnsi="Times New Roman"/>
          <w:kern w:val="2"/>
          <w:sz w:val="24"/>
          <w:szCs w:val="24"/>
          <w:lang w:eastAsia="en-US"/>
          <w14:ligatures w14:val="standardContextual"/>
        </w:rPr>
        <w:t xml:space="preserve"> Cependant, dans le contexte des changements climatiques, la pluviosité a baissé et les températures ont augmenté. Les températures élevées ont entraîné une forte dessiccation des sols durant les longues périodes sèches. Elles ont alors induit un assèchement très poussé, une prise en masse du sol et une augmentation de la cohésion ce qui a donné à l’horizon B une structure massive et une perte de la friabilité. C’est le processus de la </w:t>
      </w:r>
      <w:r w:rsidR="00AA4452" w:rsidRPr="007C5A6E">
        <w:rPr>
          <w:rFonts w:ascii="Times New Roman" w:eastAsia="Calibri" w:hAnsi="Times New Roman"/>
          <w:kern w:val="2"/>
          <w:sz w:val="24"/>
          <w:szCs w:val="24"/>
          <w:lang w:eastAsia="en-US"/>
          <w14:ligatures w14:val="standardContextual"/>
        </w:rPr>
        <w:t>« </w:t>
      </w:r>
      <w:r w:rsidRPr="007C5A6E">
        <w:rPr>
          <w:rFonts w:ascii="Times New Roman" w:eastAsia="Calibri" w:hAnsi="Times New Roman"/>
          <w:kern w:val="2"/>
          <w:sz w:val="24"/>
          <w:szCs w:val="24"/>
          <w:lang w:eastAsia="en-US"/>
          <w14:ligatures w14:val="standardContextual"/>
        </w:rPr>
        <w:t>déferrallitisation</w:t>
      </w:r>
      <w:r w:rsidR="00AA4452" w:rsidRPr="007C5A6E">
        <w:rPr>
          <w:rFonts w:ascii="Times New Roman" w:eastAsia="Calibri" w:hAnsi="Times New Roman"/>
          <w:kern w:val="2"/>
          <w:sz w:val="24"/>
          <w:szCs w:val="24"/>
          <w:lang w:eastAsia="en-US"/>
          <w14:ligatures w14:val="standardContextual"/>
        </w:rPr>
        <w:t> »</w:t>
      </w:r>
      <w:r w:rsidRPr="007C5A6E">
        <w:rPr>
          <w:rFonts w:ascii="Times New Roman" w:eastAsia="Calibri" w:hAnsi="Times New Roman"/>
          <w:kern w:val="2"/>
          <w:sz w:val="24"/>
          <w:szCs w:val="24"/>
          <w:lang w:eastAsia="en-US"/>
          <w14:ligatures w14:val="standardContextual"/>
        </w:rPr>
        <w:t xml:space="preserve"> qui pose aujourd’hui l</w:t>
      </w:r>
      <w:r w:rsidR="00AA4452" w:rsidRPr="007C5A6E">
        <w:rPr>
          <w:rFonts w:ascii="Times New Roman" w:eastAsia="Calibri" w:hAnsi="Times New Roman"/>
          <w:kern w:val="2"/>
          <w:sz w:val="24"/>
          <w:szCs w:val="24"/>
          <w:lang w:eastAsia="en-US"/>
          <w14:ligatures w14:val="standardContextual"/>
        </w:rPr>
        <w:t xml:space="preserve">e </w:t>
      </w:r>
      <w:r w:rsidRPr="007C5A6E">
        <w:rPr>
          <w:rFonts w:ascii="Times New Roman" w:eastAsia="Calibri" w:hAnsi="Times New Roman"/>
          <w:kern w:val="2"/>
          <w:sz w:val="24"/>
          <w:szCs w:val="24"/>
          <w:lang w:eastAsia="en-US"/>
          <w14:ligatures w14:val="standardContextual"/>
        </w:rPr>
        <w:t>probl</w:t>
      </w:r>
      <w:r w:rsidR="00AA4452" w:rsidRPr="007C5A6E">
        <w:rPr>
          <w:rFonts w:ascii="Times New Roman" w:eastAsia="Calibri" w:hAnsi="Times New Roman"/>
          <w:kern w:val="2"/>
          <w:sz w:val="24"/>
          <w:szCs w:val="24"/>
          <w:lang w:eastAsia="en-US"/>
          <w14:ligatures w14:val="standardContextual"/>
        </w:rPr>
        <w:t xml:space="preserve">ème </w:t>
      </w:r>
      <w:r w:rsidRPr="007C5A6E">
        <w:rPr>
          <w:rFonts w:ascii="Times New Roman" w:eastAsia="Calibri" w:hAnsi="Times New Roman"/>
          <w:kern w:val="2"/>
          <w:sz w:val="24"/>
          <w:szCs w:val="24"/>
          <w:lang w:eastAsia="en-US"/>
          <w14:ligatures w14:val="standardContextual"/>
        </w:rPr>
        <w:t>de l’existence des sols ferrallitiques au Burkina Faso</w:t>
      </w:r>
    </w:p>
    <w:p w14:paraId="332B6893" w14:textId="77777777" w:rsidR="00C82DE6" w:rsidRPr="007C5A6E" w:rsidRDefault="00C82DE6" w:rsidP="009A08D5">
      <w:pPr>
        <w:autoSpaceDE w:val="0"/>
        <w:autoSpaceDN w:val="0"/>
        <w:adjustRightInd w:val="0"/>
        <w:spacing w:after="0" w:line="240" w:lineRule="auto"/>
        <w:jc w:val="both"/>
        <w:rPr>
          <w:rFonts w:ascii="Times New Roman" w:eastAsia="Calibri" w:hAnsi="Times New Roman"/>
          <w:bCs/>
          <w:iCs/>
          <w:kern w:val="2"/>
          <w:sz w:val="20"/>
          <w:szCs w:val="20"/>
          <w:lang w:eastAsia="en-US"/>
          <w14:ligatures w14:val="standardContextual"/>
        </w:rPr>
      </w:pPr>
    </w:p>
    <w:p w14:paraId="2357ACC4" w14:textId="33A31C3F" w:rsidR="00C82DE6" w:rsidRPr="007C5A6E" w:rsidRDefault="00C82DE6" w:rsidP="00684FF8">
      <w:pPr>
        <w:pStyle w:val="Titre4"/>
      </w:pPr>
      <w:bookmarkStart w:id="847" w:name="_Toc181982257"/>
      <w:bookmarkStart w:id="848" w:name="_Toc183340180"/>
      <w:r w:rsidRPr="007C5A6E">
        <w:t>Impacts du vent</w:t>
      </w:r>
      <w:bookmarkEnd w:id="847"/>
      <w:bookmarkEnd w:id="848"/>
    </w:p>
    <w:p w14:paraId="229EFFF6" w14:textId="77777777" w:rsidR="000C39EA" w:rsidRPr="007C5A6E" w:rsidRDefault="000C39EA" w:rsidP="009A08D5">
      <w:pPr>
        <w:spacing w:after="0" w:line="240" w:lineRule="auto"/>
        <w:jc w:val="both"/>
        <w:rPr>
          <w:rFonts w:ascii="Times New Roman" w:eastAsia="Calibri" w:hAnsi="Times New Roman"/>
          <w:kern w:val="2"/>
          <w:sz w:val="24"/>
          <w:szCs w:val="24"/>
          <w:lang w:eastAsia="en-US"/>
          <w14:ligatures w14:val="standardContextual"/>
        </w:rPr>
      </w:pPr>
    </w:p>
    <w:p w14:paraId="758B9B1D" w14:textId="4B193F52" w:rsidR="00C82DE6" w:rsidRPr="007C5A6E" w:rsidRDefault="00C82DE6" w:rsidP="009A08D5">
      <w:pPr>
        <w:spacing w:after="0" w:line="240" w:lineRule="auto"/>
        <w:jc w:val="both"/>
        <w:rPr>
          <w:rFonts w:ascii="Times New Roman" w:eastAsia="Calibri" w:hAnsi="Times New Roman"/>
          <w:color w:val="14212A"/>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Au Sahel, des vents particulièrement violents précèdent généralement les premières pluies. Ils transportent les particules de sol et les déposent un peu plus loin ; c’est le phénomène de l’érosion éolienne qui dégrade les sols en arrachant les particules fines et abîme les cultures et la végétation naturelle (brûlure des feuilles). </w:t>
      </w:r>
      <w:r w:rsidRPr="007C5A6E">
        <w:rPr>
          <w:rFonts w:ascii="Times New Roman" w:eastAsia="Calibri" w:hAnsi="Times New Roman"/>
          <w:color w:val="14212A"/>
          <w:kern w:val="2"/>
          <w:sz w:val="24"/>
          <w:szCs w:val="24"/>
          <w:lang w:eastAsia="en-US"/>
          <w14:ligatures w14:val="standardContextual"/>
        </w:rPr>
        <w:t>Les sols dépourvus de couverture végétale sont les plus susceptibles d’être emportés par le vent particulièrement les régosols et les sols brun rouge subarides développés sur les ergs récents et anciens en zone sahélienne. La dégradation des sols entraîne la disparition d’espèces végétales et animales, perturbe l’équilibre écologique (</w:t>
      </w:r>
      <w:proofErr w:type="spellStart"/>
      <w:r w:rsidRPr="007C5A6E">
        <w:rPr>
          <w:rFonts w:ascii="Times New Roman" w:eastAsia="Calibri" w:hAnsi="Times New Roman"/>
          <w:color w:val="14212A"/>
          <w:kern w:val="2"/>
          <w:sz w:val="24"/>
          <w:szCs w:val="24"/>
          <w:lang w:eastAsia="en-US"/>
          <w14:ligatures w14:val="standardContextual"/>
        </w:rPr>
        <w:t>Pougbila</w:t>
      </w:r>
      <w:proofErr w:type="spellEnd"/>
      <w:r w:rsidRPr="007C5A6E">
        <w:rPr>
          <w:rFonts w:ascii="Times New Roman" w:eastAsia="Calibri" w:hAnsi="Times New Roman"/>
          <w:color w:val="14212A"/>
          <w:kern w:val="2"/>
          <w:sz w:val="24"/>
          <w:szCs w:val="24"/>
          <w:lang w:eastAsia="en-US"/>
          <w14:ligatures w14:val="standardContextual"/>
        </w:rPr>
        <w:t>, 2024).</w:t>
      </w:r>
    </w:p>
    <w:p w14:paraId="6C07DB2D" w14:textId="77777777" w:rsidR="00A340F1" w:rsidRPr="007C5A6E" w:rsidRDefault="00A340F1" w:rsidP="009A08D5">
      <w:pPr>
        <w:spacing w:after="0" w:line="240" w:lineRule="auto"/>
        <w:contextualSpacing/>
        <w:jc w:val="both"/>
        <w:rPr>
          <w:rFonts w:ascii="Times New Roman" w:eastAsia="Calibri" w:hAnsi="Times New Roman"/>
          <w:kern w:val="2"/>
          <w:sz w:val="24"/>
          <w:szCs w:val="24"/>
          <w:lang w:eastAsia="en-US"/>
          <w14:ligatures w14:val="standardContextual"/>
        </w:rPr>
      </w:pPr>
    </w:p>
    <w:p w14:paraId="36E9D2C5" w14:textId="0DD012F7" w:rsidR="00006463" w:rsidRPr="007C5A6E" w:rsidRDefault="00006463" w:rsidP="00712C43">
      <w:pPr>
        <w:pStyle w:val="Titre2"/>
      </w:pPr>
      <w:bookmarkStart w:id="849" w:name="_Toc183340181"/>
      <w:r w:rsidRPr="007C5A6E">
        <w:t>Les réponses aux pressions et impacts</w:t>
      </w:r>
      <w:bookmarkEnd w:id="849"/>
      <w:r w:rsidRPr="007C5A6E">
        <w:t xml:space="preserve"> </w:t>
      </w:r>
    </w:p>
    <w:p w14:paraId="25BE8468" w14:textId="77777777" w:rsidR="007B1FA5" w:rsidRPr="007C5A6E" w:rsidRDefault="007B1FA5" w:rsidP="009A08D5">
      <w:pPr>
        <w:spacing w:after="0" w:line="240" w:lineRule="auto"/>
        <w:contextualSpacing/>
        <w:jc w:val="both"/>
        <w:rPr>
          <w:rFonts w:ascii="Times New Roman" w:eastAsia="Calibri" w:hAnsi="Times New Roman"/>
          <w:kern w:val="2"/>
          <w:sz w:val="24"/>
          <w:szCs w:val="24"/>
          <w:lang w:eastAsia="en-US"/>
          <w14:ligatures w14:val="standardContextual"/>
        </w:rPr>
      </w:pPr>
    </w:p>
    <w:p w14:paraId="210BB23E" w14:textId="77777777" w:rsidR="00643AF0" w:rsidRPr="007C5A6E" w:rsidRDefault="00643AF0" w:rsidP="009A08D5">
      <w:pPr>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Les réponses sont des mesures prises en vue de faire face à l’adversité du climat mais aussi à l’ensemble des facteurs de dégradation des sols (Pressions), y compris ceux d’origine anthropique.</w:t>
      </w:r>
    </w:p>
    <w:p w14:paraId="3C7C11EE" w14:textId="77777777" w:rsidR="00643AF0" w:rsidRPr="007C5A6E" w:rsidRDefault="00643AF0" w:rsidP="009A08D5">
      <w:pPr>
        <w:spacing w:after="0" w:line="240" w:lineRule="auto"/>
        <w:contextualSpacing/>
        <w:jc w:val="both"/>
        <w:rPr>
          <w:rFonts w:ascii="Times New Roman" w:eastAsia="Calibri" w:hAnsi="Times New Roman"/>
          <w:kern w:val="2"/>
          <w:sz w:val="24"/>
          <w:szCs w:val="24"/>
          <w:lang w:eastAsia="en-US"/>
          <w14:ligatures w14:val="standardContextual"/>
        </w:rPr>
      </w:pPr>
    </w:p>
    <w:p w14:paraId="58C1A899" w14:textId="05ED5649" w:rsidR="00643AF0" w:rsidRPr="007C5A6E" w:rsidRDefault="00643AF0" w:rsidP="009A08D5">
      <w:pPr>
        <w:pStyle w:val="Titre3"/>
      </w:pPr>
      <w:bookmarkStart w:id="850" w:name="_Toc181982259"/>
      <w:bookmarkStart w:id="851" w:name="_Toc183340182"/>
      <w:r w:rsidRPr="007C5A6E">
        <w:t>L’utilisation des déchets</w:t>
      </w:r>
      <w:bookmarkEnd w:id="850"/>
      <w:r w:rsidRPr="007C5A6E">
        <w:t xml:space="preserve"> urbains</w:t>
      </w:r>
      <w:bookmarkEnd w:id="851"/>
      <w:r w:rsidRPr="007C5A6E">
        <w:t xml:space="preserve"> </w:t>
      </w:r>
    </w:p>
    <w:p w14:paraId="186DD8A4" w14:textId="77777777" w:rsidR="00643AF0" w:rsidRPr="007C5A6E" w:rsidRDefault="00643AF0" w:rsidP="009A08D5">
      <w:pPr>
        <w:spacing w:after="0" w:line="240" w:lineRule="auto"/>
        <w:jc w:val="both"/>
        <w:rPr>
          <w:rFonts w:ascii="Times New Roman" w:eastAsia="Calibri" w:hAnsi="Times New Roman"/>
          <w:kern w:val="2"/>
          <w:sz w:val="24"/>
          <w:szCs w:val="24"/>
          <w:lang w:eastAsia="en-US"/>
          <w14:ligatures w14:val="standardContextual"/>
        </w:rPr>
      </w:pPr>
    </w:p>
    <w:p w14:paraId="491CC400" w14:textId="77777777" w:rsidR="00643AF0" w:rsidRPr="007C5A6E" w:rsidRDefault="00643AF0" w:rsidP="009A08D5">
      <w:pPr>
        <w:spacing w:after="0" w:line="240" w:lineRule="auto"/>
        <w:jc w:val="both"/>
        <w:rPr>
          <w:rFonts w:ascii="Times New Roman" w:eastAsia="Calibri" w:hAnsi="Times New Roman"/>
          <w:color w:val="4D4D4D"/>
          <w:kern w:val="2"/>
          <w:sz w:val="24"/>
          <w:szCs w:val="24"/>
          <w:shd w:val="clear" w:color="auto" w:fill="FFFFFF"/>
          <w:lang w:eastAsia="en-US"/>
          <w14:ligatures w14:val="standardContextual"/>
        </w:rPr>
      </w:pPr>
      <w:r w:rsidRPr="007C5A6E">
        <w:rPr>
          <w:rFonts w:ascii="Times New Roman" w:eastAsia="Calibri" w:hAnsi="Times New Roman"/>
          <w:kern w:val="2"/>
          <w:sz w:val="24"/>
          <w:szCs w:val="24"/>
          <w:lang w:eastAsia="en-US"/>
          <w14:ligatures w14:val="standardContextual"/>
        </w:rPr>
        <w:t>D</w:t>
      </w:r>
      <w:r w:rsidRPr="007C5A6E">
        <w:rPr>
          <w:rFonts w:ascii="Times New Roman" w:hAnsi="Times New Roman"/>
          <w:sz w:val="24"/>
          <w:szCs w:val="24"/>
          <w:lang w:eastAsia="en-US"/>
        </w:rPr>
        <w:t xml:space="preserve">e nombreux agriculteurs ont recours aux déchets urbains solides pour la fertilisation des sols de leur exploitation. Ils sont source de matière organique qui améliore les propriétés physiques, chimiques et biologiques du sol. Toutefois, ces déchets sont composés en partie de sachets non biodégradables. </w:t>
      </w:r>
      <w:r w:rsidRPr="007C5A6E">
        <w:rPr>
          <w:rFonts w:ascii="Times New Roman" w:hAnsi="Times New Roman"/>
          <w:color w:val="000000"/>
          <w:sz w:val="24"/>
          <w:szCs w:val="24"/>
          <w:bdr w:val="none" w:sz="0" w:space="0" w:color="auto" w:frame="1"/>
          <w:lang w:eastAsia="en-US"/>
        </w:rPr>
        <w:t xml:space="preserve">Dans le contexte de crise sécuritaire et humanitaire que traverse le Burkina Faso, la recherche d’une approche alternative de gestion des déchets par le recyclage et l’élimination à moindre coût s’avère donc utile et d’une impérieuse nécessité (PNUD, 2024). </w:t>
      </w:r>
      <w:r w:rsidRPr="007C5A6E">
        <w:rPr>
          <w:rFonts w:ascii="Times New Roman" w:eastAsia="Calibri" w:hAnsi="Times New Roman"/>
          <w:color w:val="4D4D4D"/>
          <w:kern w:val="2"/>
          <w:sz w:val="24"/>
          <w:szCs w:val="24"/>
          <w:shd w:val="clear" w:color="auto" w:fill="FFFFFF"/>
          <w:lang w:eastAsia="en-US"/>
          <w14:ligatures w14:val="standardContextual"/>
        </w:rPr>
        <w:t>Depuis plusieurs années, à Koudougou, dans la région du Centre-Ouest, des jeunes Burkinabè redonnent une seconde vie aux déchets en les transformant en pavés. Une solution d’avenir ? (CENAZO, 2024).</w:t>
      </w:r>
    </w:p>
    <w:p w14:paraId="6F980538" w14:textId="77777777" w:rsidR="00643AF0" w:rsidRPr="007C5A6E" w:rsidRDefault="00643AF0" w:rsidP="009A08D5">
      <w:pPr>
        <w:spacing w:after="0" w:line="240" w:lineRule="auto"/>
        <w:jc w:val="both"/>
        <w:rPr>
          <w:rFonts w:ascii="Times New Roman" w:eastAsia="Calibri" w:hAnsi="Times New Roman"/>
          <w:color w:val="4D4D4D"/>
          <w:kern w:val="2"/>
          <w:sz w:val="24"/>
          <w:szCs w:val="24"/>
          <w:shd w:val="clear" w:color="auto" w:fill="FFFFFF"/>
          <w:lang w:eastAsia="en-US"/>
          <w14:ligatures w14:val="standardContextual"/>
        </w:rPr>
      </w:pPr>
      <w:r w:rsidRPr="007C5A6E">
        <w:rPr>
          <w:rFonts w:ascii="Times New Roman" w:eastAsia="Calibri" w:hAnsi="Times New Roman"/>
          <w:color w:val="4D4D4D"/>
          <w:kern w:val="2"/>
          <w:sz w:val="24"/>
          <w:szCs w:val="24"/>
          <w:shd w:val="clear" w:color="auto" w:fill="FFFFFF"/>
          <w:lang w:eastAsia="en-US"/>
          <w14:ligatures w14:val="standardContextual"/>
        </w:rPr>
        <w:t xml:space="preserve">Les mesures vigoureuses prises par le Ministre en charge de l’Environnement, de l’Eau et de l’Assainissement, interdisant l’emballage et la production des sachets plastiques constituent une réponse appropriée dans l’assainissement de l’environnent et en particulier de la pollution des sols. </w:t>
      </w:r>
    </w:p>
    <w:p w14:paraId="360D31A7" w14:textId="77777777" w:rsidR="00643AF0" w:rsidRPr="007C5A6E" w:rsidRDefault="00643AF0" w:rsidP="009A08D5">
      <w:pPr>
        <w:spacing w:after="0" w:line="240" w:lineRule="auto"/>
        <w:jc w:val="both"/>
        <w:rPr>
          <w:rFonts w:ascii="Times New Roman" w:eastAsia="Calibri" w:hAnsi="Times New Roman"/>
          <w:color w:val="4D4D4D"/>
          <w:kern w:val="2"/>
          <w:sz w:val="24"/>
          <w:szCs w:val="24"/>
          <w:shd w:val="clear" w:color="auto" w:fill="FFFFFF"/>
          <w:lang w:eastAsia="en-US"/>
          <w14:ligatures w14:val="standardContextual"/>
        </w:rPr>
      </w:pPr>
    </w:p>
    <w:p w14:paraId="4FE5515A" w14:textId="463880ED" w:rsidR="00643AF0" w:rsidRPr="007C5A6E" w:rsidRDefault="00643AF0" w:rsidP="009A08D5">
      <w:pPr>
        <w:pStyle w:val="Titre3"/>
      </w:pPr>
      <w:bookmarkStart w:id="852" w:name="_Toc181982260"/>
      <w:bookmarkStart w:id="853" w:name="_Toc183340183"/>
      <w:r w:rsidRPr="007C5A6E">
        <w:t>Les savoirs endogènes</w:t>
      </w:r>
      <w:bookmarkEnd w:id="852"/>
      <w:bookmarkEnd w:id="853"/>
    </w:p>
    <w:p w14:paraId="5C3B6969" w14:textId="77777777" w:rsidR="00643AF0" w:rsidRPr="007C5A6E" w:rsidRDefault="00643AF0" w:rsidP="009A08D5">
      <w:pPr>
        <w:spacing w:after="0" w:line="240" w:lineRule="auto"/>
        <w:contextualSpacing/>
        <w:jc w:val="both"/>
        <w:rPr>
          <w:rFonts w:ascii="Times New Roman" w:eastAsia="Calibri" w:hAnsi="Times New Roman"/>
          <w:kern w:val="2"/>
          <w:sz w:val="24"/>
          <w:szCs w:val="24"/>
          <w:lang w:eastAsia="en-US"/>
          <w14:ligatures w14:val="standardContextual"/>
        </w:rPr>
      </w:pPr>
    </w:p>
    <w:p w14:paraId="2B6EC6AF" w14:textId="100CF5B9" w:rsidR="00643AF0" w:rsidRPr="007C5A6E" w:rsidRDefault="00643AF0" w:rsidP="009A08D5">
      <w:pPr>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En Afrique subsaharienne, particulièrement au Burkina Faso, les paysans font face à la récurrence des sécheresses, accompagnées de températures élevées se traduisant par une dessiccation et une dégradation des sols. Ils ont alors, sur leur propre initiative, mis en œuvre des technologies de conservation et de restauration des sols pour assurer leur survie (Traoré et Riquier, 2019). Il s’avère désormais que la gestion durable des sols dans un contexte de changement climatique, ne peut s’opérer de manière efficace sans intégrer les connaissances endogènes dans les systèmes de production (</w:t>
      </w:r>
      <w:proofErr w:type="spellStart"/>
      <w:r w:rsidRPr="007C5A6E">
        <w:rPr>
          <w:rFonts w:ascii="Times New Roman" w:eastAsia="Calibri" w:hAnsi="Times New Roman"/>
          <w:kern w:val="2"/>
          <w:sz w:val="24"/>
          <w:szCs w:val="24"/>
          <w:lang w:eastAsia="en-US"/>
          <w14:ligatures w14:val="standardContextual"/>
        </w:rPr>
        <w:t>Kissou</w:t>
      </w:r>
      <w:proofErr w:type="spellEnd"/>
      <w:r w:rsidRPr="007C5A6E">
        <w:rPr>
          <w:rFonts w:ascii="Times New Roman" w:eastAsia="Calibri" w:hAnsi="Times New Roman"/>
          <w:kern w:val="2"/>
          <w:sz w:val="24"/>
          <w:szCs w:val="24"/>
          <w:lang w:eastAsia="en-US"/>
          <w14:ligatures w14:val="standardContextual"/>
        </w:rPr>
        <w:t>, 2018b).</w:t>
      </w:r>
    </w:p>
    <w:p w14:paraId="53C8EB02" w14:textId="77777777" w:rsidR="00643AF0" w:rsidRPr="007C5A6E" w:rsidRDefault="00643AF0" w:rsidP="009A08D5">
      <w:pPr>
        <w:autoSpaceDE w:val="0"/>
        <w:autoSpaceDN w:val="0"/>
        <w:adjustRightInd w:val="0"/>
        <w:spacing w:after="0" w:line="240" w:lineRule="auto"/>
        <w:jc w:val="both"/>
        <w:rPr>
          <w:rFonts w:ascii="Times New Roman" w:eastAsia="Calibri" w:hAnsi="Times New Roman"/>
          <w:b/>
          <w:bCs/>
          <w:kern w:val="2"/>
          <w:sz w:val="24"/>
          <w:szCs w:val="24"/>
          <w:lang w:eastAsia="en-US"/>
          <w14:ligatures w14:val="standardContextual"/>
        </w:rPr>
      </w:pPr>
    </w:p>
    <w:p w14:paraId="5DEC97D9" w14:textId="2D3C3BC9" w:rsidR="00643AF0" w:rsidRPr="007C5A6E" w:rsidRDefault="00643AF0" w:rsidP="00684FF8">
      <w:pPr>
        <w:pStyle w:val="Titre4"/>
      </w:pPr>
      <w:bookmarkStart w:id="854" w:name="_Toc181982261"/>
      <w:bookmarkStart w:id="855" w:name="_Toc183340184"/>
      <w:r w:rsidRPr="007C5A6E">
        <w:t>Cordons pierreux</w:t>
      </w:r>
      <w:bookmarkEnd w:id="854"/>
      <w:bookmarkEnd w:id="855"/>
    </w:p>
    <w:p w14:paraId="3A1100AB" w14:textId="77777777" w:rsidR="00391460" w:rsidRPr="007C5A6E" w:rsidRDefault="00391460" w:rsidP="009A08D5">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588A3DCA" w14:textId="5F3CCC00" w:rsidR="00643AF0" w:rsidRPr="007C5A6E" w:rsidRDefault="00643AF0" w:rsidP="009A08D5">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Face au ruissellement des eaux, les paysans ont adopté des techniques simples pour diminuer la vitesse de ruissellement des eaux. Ce sont des troncs d’arbre ou des branches disposés dans le sens contraire à l’écoulement des eaux. La technique des cordons pierreux provient des connaissances endogènes. Elle a été ensuite améliorée par la recherche.  Ce sont des obstacles filtrants disposés selon les courbes de niveau qui ralentissent la vitesse de ruissellement des eaux de pluie. Ils favorisent la sédimentation des particules minérales et organiques à l’amont de la diguette et une augmentation de l’infiltration des eaux de ruissellement. Le tableau </w:t>
      </w:r>
      <w:r w:rsidR="00391460" w:rsidRPr="007C5A6E">
        <w:rPr>
          <w:rFonts w:ascii="Times New Roman" w:eastAsia="Calibri" w:hAnsi="Times New Roman"/>
          <w:kern w:val="2"/>
          <w:sz w:val="24"/>
          <w:szCs w:val="24"/>
          <w:lang w:eastAsia="en-US"/>
          <w14:ligatures w14:val="standardContextual"/>
        </w:rPr>
        <w:t>3</w:t>
      </w:r>
      <w:r w:rsidR="0041104B" w:rsidRPr="007C5A6E">
        <w:rPr>
          <w:rFonts w:ascii="Times New Roman" w:eastAsia="Calibri" w:hAnsi="Times New Roman"/>
          <w:kern w:val="2"/>
          <w:sz w:val="24"/>
          <w:szCs w:val="24"/>
          <w:lang w:eastAsia="en-US"/>
          <w14:ligatures w14:val="standardContextual"/>
        </w:rPr>
        <w:t>5</w:t>
      </w:r>
      <w:r w:rsidRPr="007C5A6E">
        <w:rPr>
          <w:rFonts w:ascii="Times New Roman" w:eastAsia="Calibri" w:hAnsi="Times New Roman"/>
          <w:kern w:val="2"/>
          <w:sz w:val="24"/>
          <w:szCs w:val="24"/>
          <w:lang w:eastAsia="en-US"/>
          <w14:ligatures w14:val="standardContextual"/>
        </w:rPr>
        <w:t xml:space="preserve"> montre la part de la superficie sous cordons pierreux de 2016 à 2021, en pourcentage.</w:t>
      </w:r>
    </w:p>
    <w:p w14:paraId="4A71660B" w14:textId="77777777" w:rsidR="00643AF0" w:rsidRPr="007C5A6E" w:rsidRDefault="00643AF0" w:rsidP="009A08D5">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7B6490E7" w14:textId="39B2FE1A" w:rsidR="00643AF0" w:rsidRPr="007C5A6E" w:rsidRDefault="00643AF0" w:rsidP="009A08D5">
      <w:pPr>
        <w:keepNext/>
        <w:spacing w:after="0" w:line="240" w:lineRule="auto"/>
        <w:jc w:val="both"/>
        <w:rPr>
          <w:rFonts w:ascii="Times New Roman" w:hAnsi="Times New Roman"/>
          <w:spacing w:val="10"/>
          <w:sz w:val="24"/>
          <w:szCs w:val="24"/>
          <w:lang w:eastAsia="en-US"/>
        </w:rPr>
      </w:pPr>
      <w:bookmarkStart w:id="856" w:name="_Toc181983404"/>
      <w:bookmarkStart w:id="857" w:name="_Toc183240997"/>
      <w:bookmarkStart w:id="858" w:name="_Toc183292239"/>
      <w:bookmarkStart w:id="859" w:name="_Toc183340519"/>
      <w:r w:rsidRPr="007C5A6E">
        <w:rPr>
          <w:rFonts w:ascii="Times New Roman" w:hAnsi="Times New Roman"/>
          <w:spacing w:val="10"/>
          <w:sz w:val="24"/>
          <w:szCs w:val="24"/>
          <w:lang w:eastAsia="en-US"/>
        </w:rPr>
        <w:t xml:space="preserve">Tableau </w:t>
      </w:r>
      <w:r w:rsidRPr="007C5A6E">
        <w:rPr>
          <w:rFonts w:ascii="Times New Roman" w:hAnsi="Times New Roman"/>
          <w:spacing w:val="10"/>
          <w:sz w:val="24"/>
          <w:szCs w:val="24"/>
          <w:lang w:eastAsia="en-US"/>
        </w:rPr>
        <w:fldChar w:fldCharType="begin"/>
      </w:r>
      <w:r w:rsidRPr="007C5A6E">
        <w:rPr>
          <w:rFonts w:ascii="Times New Roman" w:hAnsi="Times New Roman"/>
          <w:spacing w:val="10"/>
          <w:sz w:val="24"/>
          <w:szCs w:val="24"/>
          <w:lang w:eastAsia="en-US"/>
        </w:rPr>
        <w:instrText xml:space="preserve"> SEQ Tableau \* ARABIC </w:instrText>
      </w:r>
      <w:r w:rsidRPr="007C5A6E">
        <w:rPr>
          <w:rFonts w:ascii="Times New Roman" w:hAnsi="Times New Roman"/>
          <w:spacing w:val="10"/>
          <w:sz w:val="24"/>
          <w:szCs w:val="24"/>
          <w:lang w:eastAsia="en-US"/>
        </w:rPr>
        <w:fldChar w:fldCharType="separate"/>
      </w:r>
      <w:r w:rsidR="009A08D5" w:rsidRPr="007C5A6E">
        <w:rPr>
          <w:rFonts w:ascii="Times New Roman" w:hAnsi="Times New Roman"/>
          <w:noProof/>
          <w:spacing w:val="10"/>
          <w:sz w:val="24"/>
          <w:szCs w:val="24"/>
          <w:lang w:eastAsia="en-US"/>
        </w:rPr>
        <w:t>35</w:t>
      </w:r>
      <w:r w:rsidRPr="007C5A6E">
        <w:rPr>
          <w:rFonts w:ascii="Times New Roman" w:hAnsi="Times New Roman"/>
          <w:spacing w:val="10"/>
          <w:sz w:val="24"/>
          <w:szCs w:val="24"/>
          <w:lang w:eastAsia="en-US"/>
        </w:rPr>
        <w:fldChar w:fldCharType="end"/>
      </w:r>
      <w:r w:rsidRPr="007C5A6E">
        <w:rPr>
          <w:rFonts w:ascii="Times New Roman" w:hAnsi="Times New Roman"/>
          <w:spacing w:val="10"/>
          <w:sz w:val="24"/>
          <w:szCs w:val="24"/>
          <w:lang w:eastAsia="en-US"/>
        </w:rPr>
        <w:t xml:space="preserve"> : Part de la superficie sous cordons pierreux de 2016 à 2021 (en %)</w:t>
      </w:r>
      <w:bookmarkEnd w:id="856"/>
      <w:bookmarkEnd w:id="857"/>
      <w:bookmarkEnd w:id="858"/>
      <w:bookmarkEnd w:id="859"/>
    </w:p>
    <w:p w14:paraId="045ECF18" w14:textId="77777777" w:rsidR="00391460" w:rsidRPr="007C5A6E" w:rsidRDefault="00391460" w:rsidP="009A08D5">
      <w:pPr>
        <w:keepNext/>
        <w:spacing w:after="0" w:line="240" w:lineRule="auto"/>
        <w:jc w:val="both"/>
        <w:rPr>
          <w:rFonts w:ascii="Times New Roman" w:hAnsi="Times New Roman"/>
          <w:spacing w:val="10"/>
          <w:sz w:val="24"/>
          <w:szCs w:val="24"/>
          <w:lang w:eastAsia="en-US"/>
        </w:rPr>
      </w:pPr>
    </w:p>
    <w:tbl>
      <w:tblPr>
        <w:tblW w:w="9040" w:type="dxa"/>
        <w:tblLook w:val="04A0" w:firstRow="1" w:lastRow="0" w:firstColumn="1" w:lastColumn="0" w:noHBand="0" w:noVBand="1"/>
      </w:tblPr>
      <w:tblGrid>
        <w:gridCol w:w="2972"/>
        <w:gridCol w:w="992"/>
        <w:gridCol w:w="993"/>
        <w:gridCol w:w="1134"/>
        <w:gridCol w:w="992"/>
        <w:gridCol w:w="992"/>
        <w:gridCol w:w="965"/>
      </w:tblGrid>
      <w:tr w:rsidR="00643AF0" w:rsidRPr="007C5A6E" w14:paraId="7B5015DF" w14:textId="77777777" w:rsidTr="001461B0">
        <w:trPr>
          <w:trHeight w:val="290"/>
        </w:trPr>
        <w:tc>
          <w:tcPr>
            <w:tcW w:w="2972" w:type="dxa"/>
            <w:tcBorders>
              <w:top w:val="single" w:sz="18" w:space="0" w:color="auto"/>
              <w:bottom w:val="single" w:sz="18" w:space="0" w:color="auto"/>
            </w:tcBorders>
            <w:shd w:val="clear" w:color="auto" w:fill="auto"/>
            <w:noWrap/>
            <w:vAlign w:val="bottom"/>
            <w:hideMark/>
          </w:tcPr>
          <w:p w14:paraId="5C17F71C" w14:textId="77777777" w:rsidR="00643AF0" w:rsidRPr="007C5A6E" w:rsidRDefault="00643AF0" w:rsidP="009A08D5">
            <w:pPr>
              <w:spacing w:after="0" w:line="240" w:lineRule="auto"/>
              <w:rPr>
                <w:rFonts w:ascii="Times New Roman" w:hAnsi="Times New Roman"/>
                <w:color w:val="000000"/>
                <w:lang w:eastAsia="en-US"/>
              </w:rPr>
            </w:pPr>
            <w:r w:rsidRPr="007C5A6E">
              <w:rPr>
                <w:rFonts w:ascii="Times New Roman" w:hAnsi="Times New Roman"/>
                <w:color w:val="000000"/>
                <w:lang w:eastAsia="en-US"/>
              </w:rPr>
              <w:t>Année</w:t>
            </w:r>
          </w:p>
        </w:tc>
        <w:tc>
          <w:tcPr>
            <w:tcW w:w="992" w:type="dxa"/>
            <w:tcBorders>
              <w:top w:val="single" w:sz="18" w:space="0" w:color="auto"/>
              <w:bottom w:val="single" w:sz="18" w:space="0" w:color="auto"/>
            </w:tcBorders>
            <w:shd w:val="clear" w:color="auto" w:fill="auto"/>
            <w:noWrap/>
            <w:vAlign w:val="bottom"/>
            <w:hideMark/>
          </w:tcPr>
          <w:p w14:paraId="1E6FDD7E" w14:textId="77777777" w:rsidR="00643AF0" w:rsidRPr="007C5A6E" w:rsidRDefault="00643AF0" w:rsidP="009A08D5">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2016</w:t>
            </w:r>
          </w:p>
        </w:tc>
        <w:tc>
          <w:tcPr>
            <w:tcW w:w="993" w:type="dxa"/>
            <w:tcBorders>
              <w:top w:val="single" w:sz="18" w:space="0" w:color="auto"/>
              <w:bottom w:val="single" w:sz="18" w:space="0" w:color="auto"/>
            </w:tcBorders>
            <w:shd w:val="clear" w:color="auto" w:fill="auto"/>
            <w:noWrap/>
            <w:vAlign w:val="bottom"/>
            <w:hideMark/>
          </w:tcPr>
          <w:p w14:paraId="4490E8F7" w14:textId="77777777" w:rsidR="00643AF0" w:rsidRPr="007C5A6E" w:rsidRDefault="00643AF0" w:rsidP="009A08D5">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2017</w:t>
            </w:r>
          </w:p>
        </w:tc>
        <w:tc>
          <w:tcPr>
            <w:tcW w:w="1134" w:type="dxa"/>
            <w:tcBorders>
              <w:top w:val="single" w:sz="18" w:space="0" w:color="auto"/>
              <w:bottom w:val="single" w:sz="18" w:space="0" w:color="auto"/>
            </w:tcBorders>
            <w:shd w:val="clear" w:color="auto" w:fill="auto"/>
            <w:noWrap/>
            <w:vAlign w:val="bottom"/>
            <w:hideMark/>
          </w:tcPr>
          <w:p w14:paraId="06461C6F" w14:textId="77777777" w:rsidR="00643AF0" w:rsidRPr="007C5A6E" w:rsidRDefault="00643AF0" w:rsidP="009A08D5">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2018</w:t>
            </w:r>
          </w:p>
        </w:tc>
        <w:tc>
          <w:tcPr>
            <w:tcW w:w="992" w:type="dxa"/>
            <w:tcBorders>
              <w:top w:val="single" w:sz="18" w:space="0" w:color="auto"/>
              <w:bottom w:val="single" w:sz="18" w:space="0" w:color="auto"/>
            </w:tcBorders>
            <w:shd w:val="clear" w:color="auto" w:fill="auto"/>
            <w:noWrap/>
            <w:vAlign w:val="bottom"/>
            <w:hideMark/>
          </w:tcPr>
          <w:p w14:paraId="4ABD737D" w14:textId="77777777" w:rsidR="00643AF0" w:rsidRPr="007C5A6E" w:rsidRDefault="00643AF0" w:rsidP="009A08D5">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2019</w:t>
            </w:r>
          </w:p>
        </w:tc>
        <w:tc>
          <w:tcPr>
            <w:tcW w:w="992" w:type="dxa"/>
            <w:tcBorders>
              <w:top w:val="single" w:sz="18" w:space="0" w:color="auto"/>
              <w:bottom w:val="single" w:sz="18" w:space="0" w:color="auto"/>
            </w:tcBorders>
            <w:shd w:val="clear" w:color="auto" w:fill="auto"/>
            <w:noWrap/>
            <w:vAlign w:val="bottom"/>
            <w:hideMark/>
          </w:tcPr>
          <w:p w14:paraId="61045FD8" w14:textId="77777777" w:rsidR="00643AF0" w:rsidRPr="007C5A6E" w:rsidRDefault="00643AF0" w:rsidP="009A08D5">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2020</w:t>
            </w:r>
          </w:p>
        </w:tc>
        <w:tc>
          <w:tcPr>
            <w:tcW w:w="965" w:type="dxa"/>
            <w:tcBorders>
              <w:top w:val="single" w:sz="18" w:space="0" w:color="auto"/>
              <w:bottom w:val="single" w:sz="18" w:space="0" w:color="auto"/>
            </w:tcBorders>
            <w:shd w:val="clear" w:color="auto" w:fill="auto"/>
            <w:noWrap/>
            <w:vAlign w:val="bottom"/>
            <w:hideMark/>
          </w:tcPr>
          <w:p w14:paraId="7FDDCEB6" w14:textId="77777777" w:rsidR="00643AF0" w:rsidRPr="007C5A6E" w:rsidRDefault="00643AF0" w:rsidP="009A08D5">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2021</w:t>
            </w:r>
          </w:p>
        </w:tc>
      </w:tr>
      <w:tr w:rsidR="00643AF0" w:rsidRPr="007C5A6E" w14:paraId="70C2FE75" w14:textId="77777777" w:rsidTr="001461B0">
        <w:trPr>
          <w:trHeight w:val="290"/>
        </w:trPr>
        <w:tc>
          <w:tcPr>
            <w:tcW w:w="2972" w:type="dxa"/>
            <w:tcBorders>
              <w:top w:val="single" w:sz="18" w:space="0" w:color="auto"/>
            </w:tcBorders>
            <w:shd w:val="clear" w:color="auto" w:fill="auto"/>
            <w:noWrap/>
            <w:vAlign w:val="bottom"/>
          </w:tcPr>
          <w:p w14:paraId="4A6412A8" w14:textId="77777777" w:rsidR="00643AF0" w:rsidRPr="007C5A6E" w:rsidRDefault="00643AF0" w:rsidP="009A08D5">
            <w:pPr>
              <w:spacing w:after="0" w:line="240" w:lineRule="auto"/>
              <w:rPr>
                <w:rFonts w:ascii="Times New Roman" w:hAnsi="Times New Roman"/>
                <w:color w:val="000000"/>
                <w:lang w:eastAsia="en-US"/>
              </w:rPr>
            </w:pPr>
            <w:r w:rsidRPr="007C5A6E">
              <w:rPr>
                <w:rFonts w:ascii="Times New Roman" w:hAnsi="Times New Roman"/>
                <w:color w:val="000000"/>
                <w:lang w:eastAsia="en-US"/>
              </w:rPr>
              <w:t>Burkina Faso</w:t>
            </w:r>
          </w:p>
        </w:tc>
        <w:tc>
          <w:tcPr>
            <w:tcW w:w="992" w:type="dxa"/>
            <w:tcBorders>
              <w:top w:val="single" w:sz="18" w:space="0" w:color="auto"/>
            </w:tcBorders>
            <w:shd w:val="clear" w:color="auto" w:fill="auto"/>
            <w:noWrap/>
            <w:vAlign w:val="bottom"/>
            <w:hideMark/>
          </w:tcPr>
          <w:p w14:paraId="7C2CA09A" w14:textId="77777777" w:rsidR="00643AF0" w:rsidRPr="007C5A6E" w:rsidRDefault="00643AF0" w:rsidP="009A08D5">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6,25</w:t>
            </w:r>
          </w:p>
        </w:tc>
        <w:tc>
          <w:tcPr>
            <w:tcW w:w="993" w:type="dxa"/>
            <w:tcBorders>
              <w:top w:val="single" w:sz="18" w:space="0" w:color="auto"/>
            </w:tcBorders>
            <w:shd w:val="clear" w:color="auto" w:fill="auto"/>
            <w:noWrap/>
            <w:vAlign w:val="bottom"/>
            <w:hideMark/>
          </w:tcPr>
          <w:p w14:paraId="571A3186" w14:textId="77777777" w:rsidR="00643AF0" w:rsidRPr="007C5A6E" w:rsidRDefault="00643AF0" w:rsidP="009A08D5">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7,73</w:t>
            </w:r>
          </w:p>
        </w:tc>
        <w:tc>
          <w:tcPr>
            <w:tcW w:w="1134" w:type="dxa"/>
            <w:tcBorders>
              <w:top w:val="single" w:sz="18" w:space="0" w:color="auto"/>
            </w:tcBorders>
            <w:shd w:val="clear" w:color="auto" w:fill="auto"/>
            <w:noWrap/>
            <w:vAlign w:val="bottom"/>
            <w:hideMark/>
          </w:tcPr>
          <w:p w14:paraId="22EACC01" w14:textId="77777777" w:rsidR="00643AF0" w:rsidRPr="007C5A6E" w:rsidRDefault="00643AF0" w:rsidP="009A08D5">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6,83</w:t>
            </w:r>
          </w:p>
        </w:tc>
        <w:tc>
          <w:tcPr>
            <w:tcW w:w="992" w:type="dxa"/>
            <w:tcBorders>
              <w:top w:val="single" w:sz="18" w:space="0" w:color="auto"/>
            </w:tcBorders>
            <w:shd w:val="clear" w:color="auto" w:fill="auto"/>
            <w:noWrap/>
            <w:vAlign w:val="bottom"/>
            <w:hideMark/>
          </w:tcPr>
          <w:p w14:paraId="24A1128A" w14:textId="77777777" w:rsidR="00643AF0" w:rsidRPr="007C5A6E" w:rsidRDefault="00643AF0" w:rsidP="009A08D5">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7,60</w:t>
            </w:r>
          </w:p>
        </w:tc>
        <w:tc>
          <w:tcPr>
            <w:tcW w:w="992" w:type="dxa"/>
            <w:tcBorders>
              <w:top w:val="single" w:sz="18" w:space="0" w:color="auto"/>
            </w:tcBorders>
            <w:shd w:val="clear" w:color="auto" w:fill="auto"/>
            <w:noWrap/>
            <w:vAlign w:val="bottom"/>
            <w:hideMark/>
          </w:tcPr>
          <w:p w14:paraId="5250F93F" w14:textId="77777777" w:rsidR="00643AF0" w:rsidRPr="007C5A6E" w:rsidRDefault="00643AF0" w:rsidP="009A08D5">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7,90</w:t>
            </w:r>
          </w:p>
        </w:tc>
        <w:tc>
          <w:tcPr>
            <w:tcW w:w="965" w:type="dxa"/>
            <w:tcBorders>
              <w:top w:val="single" w:sz="18" w:space="0" w:color="auto"/>
            </w:tcBorders>
            <w:shd w:val="clear" w:color="auto" w:fill="auto"/>
            <w:noWrap/>
            <w:vAlign w:val="bottom"/>
            <w:hideMark/>
          </w:tcPr>
          <w:p w14:paraId="0776B9CF" w14:textId="77777777" w:rsidR="00643AF0" w:rsidRPr="007C5A6E" w:rsidRDefault="00643AF0" w:rsidP="009A08D5">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7,39</w:t>
            </w:r>
          </w:p>
        </w:tc>
      </w:tr>
      <w:tr w:rsidR="00643AF0" w:rsidRPr="007C5A6E" w14:paraId="3A0577FD" w14:textId="77777777" w:rsidTr="001461B0">
        <w:trPr>
          <w:trHeight w:val="60"/>
        </w:trPr>
        <w:tc>
          <w:tcPr>
            <w:tcW w:w="2972" w:type="dxa"/>
            <w:tcBorders>
              <w:bottom w:val="single" w:sz="18" w:space="0" w:color="auto"/>
            </w:tcBorders>
            <w:shd w:val="clear" w:color="auto" w:fill="auto"/>
            <w:noWrap/>
            <w:vAlign w:val="bottom"/>
            <w:hideMark/>
          </w:tcPr>
          <w:p w14:paraId="03A8BA8E" w14:textId="77777777" w:rsidR="00643AF0" w:rsidRPr="007C5A6E" w:rsidRDefault="00643AF0" w:rsidP="009A08D5">
            <w:pPr>
              <w:spacing w:after="0" w:line="240" w:lineRule="auto"/>
              <w:rPr>
                <w:rFonts w:ascii="Times New Roman" w:hAnsi="Times New Roman"/>
                <w:color w:val="000000"/>
                <w:lang w:eastAsia="en-US"/>
              </w:rPr>
            </w:pPr>
          </w:p>
        </w:tc>
        <w:tc>
          <w:tcPr>
            <w:tcW w:w="992" w:type="dxa"/>
            <w:tcBorders>
              <w:bottom w:val="single" w:sz="18" w:space="0" w:color="auto"/>
            </w:tcBorders>
            <w:shd w:val="clear" w:color="auto" w:fill="auto"/>
            <w:noWrap/>
            <w:vAlign w:val="bottom"/>
            <w:hideMark/>
          </w:tcPr>
          <w:p w14:paraId="7B098A5C" w14:textId="77777777" w:rsidR="00643AF0" w:rsidRPr="007C5A6E" w:rsidRDefault="00643AF0" w:rsidP="009A08D5">
            <w:pPr>
              <w:spacing w:after="0" w:line="240" w:lineRule="auto"/>
              <w:jc w:val="right"/>
              <w:rPr>
                <w:rFonts w:ascii="Times New Roman" w:hAnsi="Times New Roman"/>
                <w:color w:val="000000"/>
                <w:lang w:eastAsia="en-US"/>
              </w:rPr>
            </w:pPr>
          </w:p>
        </w:tc>
        <w:tc>
          <w:tcPr>
            <w:tcW w:w="993" w:type="dxa"/>
            <w:tcBorders>
              <w:bottom w:val="single" w:sz="18" w:space="0" w:color="auto"/>
            </w:tcBorders>
            <w:shd w:val="clear" w:color="auto" w:fill="auto"/>
            <w:noWrap/>
            <w:vAlign w:val="bottom"/>
            <w:hideMark/>
          </w:tcPr>
          <w:p w14:paraId="380DF524" w14:textId="77777777" w:rsidR="00643AF0" w:rsidRPr="007C5A6E" w:rsidRDefault="00643AF0" w:rsidP="009A08D5">
            <w:pPr>
              <w:spacing w:after="0" w:line="240" w:lineRule="auto"/>
              <w:jc w:val="right"/>
              <w:rPr>
                <w:rFonts w:ascii="Times New Roman" w:hAnsi="Times New Roman"/>
                <w:color w:val="000000"/>
                <w:lang w:eastAsia="en-US"/>
              </w:rPr>
            </w:pPr>
          </w:p>
        </w:tc>
        <w:tc>
          <w:tcPr>
            <w:tcW w:w="1134" w:type="dxa"/>
            <w:tcBorders>
              <w:bottom w:val="single" w:sz="18" w:space="0" w:color="auto"/>
            </w:tcBorders>
            <w:shd w:val="clear" w:color="auto" w:fill="auto"/>
            <w:noWrap/>
            <w:vAlign w:val="bottom"/>
            <w:hideMark/>
          </w:tcPr>
          <w:p w14:paraId="0A823A87" w14:textId="77777777" w:rsidR="00643AF0" w:rsidRPr="007C5A6E" w:rsidRDefault="00643AF0" w:rsidP="009A08D5">
            <w:pPr>
              <w:spacing w:after="0" w:line="240" w:lineRule="auto"/>
              <w:jc w:val="right"/>
              <w:rPr>
                <w:rFonts w:ascii="Times New Roman" w:hAnsi="Times New Roman"/>
                <w:color w:val="000000"/>
                <w:lang w:eastAsia="en-US"/>
              </w:rPr>
            </w:pPr>
          </w:p>
        </w:tc>
        <w:tc>
          <w:tcPr>
            <w:tcW w:w="992" w:type="dxa"/>
            <w:tcBorders>
              <w:bottom w:val="single" w:sz="18" w:space="0" w:color="auto"/>
            </w:tcBorders>
            <w:shd w:val="clear" w:color="auto" w:fill="auto"/>
            <w:noWrap/>
            <w:vAlign w:val="bottom"/>
            <w:hideMark/>
          </w:tcPr>
          <w:p w14:paraId="410BF55B" w14:textId="77777777" w:rsidR="00643AF0" w:rsidRPr="007C5A6E" w:rsidRDefault="00643AF0" w:rsidP="009A08D5">
            <w:pPr>
              <w:spacing w:after="0" w:line="240" w:lineRule="auto"/>
              <w:jc w:val="right"/>
              <w:rPr>
                <w:rFonts w:ascii="Times New Roman" w:hAnsi="Times New Roman"/>
                <w:color w:val="000000"/>
                <w:lang w:eastAsia="en-US"/>
              </w:rPr>
            </w:pPr>
          </w:p>
        </w:tc>
        <w:tc>
          <w:tcPr>
            <w:tcW w:w="992" w:type="dxa"/>
            <w:tcBorders>
              <w:bottom w:val="single" w:sz="18" w:space="0" w:color="auto"/>
            </w:tcBorders>
            <w:shd w:val="clear" w:color="auto" w:fill="auto"/>
            <w:noWrap/>
            <w:vAlign w:val="bottom"/>
            <w:hideMark/>
          </w:tcPr>
          <w:p w14:paraId="02D07343" w14:textId="77777777" w:rsidR="00643AF0" w:rsidRPr="007C5A6E" w:rsidRDefault="00643AF0" w:rsidP="009A08D5">
            <w:pPr>
              <w:spacing w:after="0" w:line="240" w:lineRule="auto"/>
              <w:jc w:val="right"/>
              <w:rPr>
                <w:rFonts w:ascii="Times New Roman" w:hAnsi="Times New Roman"/>
                <w:color w:val="000000"/>
                <w:lang w:eastAsia="en-US"/>
              </w:rPr>
            </w:pPr>
          </w:p>
        </w:tc>
        <w:tc>
          <w:tcPr>
            <w:tcW w:w="965" w:type="dxa"/>
            <w:tcBorders>
              <w:bottom w:val="single" w:sz="18" w:space="0" w:color="auto"/>
            </w:tcBorders>
            <w:shd w:val="clear" w:color="auto" w:fill="auto"/>
            <w:noWrap/>
            <w:vAlign w:val="bottom"/>
            <w:hideMark/>
          </w:tcPr>
          <w:p w14:paraId="11E28498" w14:textId="77777777" w:rsidR="00643AF0" w:rsidRPr="007C5A6E" w:rsidRDefault="00643AF0" w:rsidP="009A08D5">
            <w:pPr>
              <w:spacing w:after="0" w:line="240" w:lineRule="auto"/>
              <w:jc w:val="right"/>
              <w:rPr>
                <w:rFonts w:ascii="Times New Roman" w:hAnsi="Times New Roman"/>
                <w:color w:val="000000"/>
                <w:lang w:eastAsia="en-US"/>
              </w:rPr>
            </w:pPr>
          </w:p>
        </w:tc>
      </w:tr>
    </w:tbl>
    <w:p w14:paraId="7ED8FB4D" w14:textId="77777777" w:rsidR="00643AF0" w:rsidRPr="007C5A6E" w:rsidRDefault="00643AF0" w:rsidP="009A08D5">
      <w:pPr>
        <w:autoSpaceDE w:val="0"/>
        <w:autoSpaceDN w:val="0"/>
        <w:adjustRightInd w:val="0"/>
        <w:spacing w:after="0" w:line="240" w:lineRule="auto"/>
        <w:jc w:val="both"/>
        <w:rPr>
          <w:rFonts w:ascii="Times New Roman" w:eastAsia="Calibri" w:hAnsi="Times New Roman"/>
          <w:kern w:val="2"/>
          <w:sz w:val="20"/>
          <w:szCs w:val="20"/>
          <w:lang w:eastAsia="en-US"/>
          <w14:ligatures w14:val="standardContextual"/>
        </w:rPr>
      </w:pPr>
      <w:proofErr w:type="gramStart"/>
      <w:r w:rsidRPr="007C5A6E">
        <w:rPr>
          <w:rFonts w:ascii="Times New Roman" w:eastAsia="Calibri" w:hAnsi="Times New Roman"/>
          <w:sz w:val="20"/>
          <w:szCs w:val="20"/>
          <w:lang w:eastAsia="en-US"/>
          <w14:ligatures w14:val="standardContextual"/>
        </w:rPr>
        <w:t>Source:</w:t>
      </w:r>
      <w:proofErr w:type="gramEnd"/>
      <w:r w:rsidRPr="007C5A6E">
        <w:rPr>
          <w:rFonts w:ascii="Times New Roman" w:eastAsia="Calibri" w:hAnsi="Times New Roman"/>
          <w:sz w:val="20"/>
          <w:szCs w:val="20"/>
          <w:lang w:eastAsia="en-US"/>
          <w14:ligatures w14:val="standardContextual"/>
        </w:rPr>
        <w:t xml:space="preserve"> MARAH/DGESS/EPA, 2016-2021</w:t>
      </w:r>
    </w:p>
    <w:p w14:paraId="03436315" w14:textId="77777777" w:rsidR="00391460" w:rsidRPr="007C5A6E" w:rsidRDefault="00643AF0" w:rsidP="009A08D5">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 </w:t>
      </w:r>
    </w:p>
    <w:p w14:paraId="652DA35E" w14:textId="3E127881" w:rsidR="00643AF0" w:rsidRPr="007C5A6E" w:rsidRDefault="00643AF0" w:rsidP="009A08D5">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La photo </w:t>
      </w:r>
      <w:r w:rsidR="00173386" w:rsidRPr="007C5A6E">
        <w:rPr>
          <w:rFonts w:ascii="Times New Roman" w:eastAsia="Calibri" w:hAnsi="Times New Roman"/>
          <w:kern w:val="2"/>
          <w:sz w:val="24"/>
          <w:szCs w:val="24"/>
          <w:lang w:eastAsia="en-US"/>
          <w14:ligatures w14:val="standardContextual"/>
        </w:rPr>
        <w:t>3</w:t>
      </w:r>
      <w:r w:rsidRPr="007C5A6E">
        <w:rPr>
          <w:rFonts w:ascii="Times New Roman" w:eastAsia="Calibri" w:hAnsi="Times New Roman"/>
          <w:kern w:val="2"/>
          <w:sz w:val="24"/>
          <w:szCs w:val="24"/>
          <w:lang w:eastAsia="en-US"/>
          <w14:ligatures w14:val="standardContextual"/>
        </w:rPr>
        <w:t xml:space="preserve"> présente </w:t>
      </w:r>
      <w:r w:rsidR="00173386" w:rsidRPr="007C5A6E">
        <w:rPr>
          <w:rFonts w:ascii="Times New Roman" w:eastAsia="Calibri" w:hAnsi="Times New Roman"/>
          <w:kern w:val="2"/>
          <w:sz w:val="24"/>
          <w:szCs w:val="24"/>
          <w:lang w:eastAsia="en-US"/>
          <w14:ligatures w14:val="standardContextual"/>
        </w:rPr>
        <w:t>quelques technologies endogènes couramment diffusées au Burkina Faso pour la restauration ou la conservation des sols dégradées</w:t>
      </w:r>
      <w:r w:rsidRPr="007C5A6E">
        <w:rPr>
          <w:rFonts w:ascii="Times New Roman" w:eastAsia="Calibri" w:hAnsi="Times New Roman"/>
          <w:kern w:val="2"/>
          <w:sz w:val="24"/>
          <w:szCs w:val="24"/>
          <w:lang w:eastAsia="en-US"/>
          <w14:ligatures w14:val="standardContextual"/>
        </w:rPr>
        <w:t>.</w:t>
      </w:r>
    </w:p>
    <w:p w14:paraId="686E03EC" w14:textId="52190942" w:rsidR="004D600A" w:rsidRPr="007C5A6E" w:rsidRDefault="00173386"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noProof/>
          <w:kern w:val="2"/>
          <w:sz w:val="24"/>
          <w:szCs w:val="24"/>
          <w:lang w:eastAsia="en-US"/>
          <w14:ligatures w14:val="standardContextual"/>
        </w:rPr>
        <mc:AlternateContent>
          <mc:Choice Requires="wps">
            <w:drawing>
              <wp:anchor distT="0" distB="0" distL="114300" distR="114300" simplePos="0" relativeHeight="251701760" behindDoc="0" locked="0" layoutInCell="1" allowOverlap="1" wp14:anchorId="0B07A86F" wp14:editId="4340F1EC">
                <wp:simplePos x="0" y="0"/>
                <wp:positionH relativeFrom="column">
                  <wp:posOffset>3309620</wp:posOffset>
                </wp:positionH>
                <wp:positionV relativeFrom="paragraph">
                  <wp:posOffset>57785</wp:posOffset>
                </wp:positionV>
                <wp:extent cx="3049270" cy="2305050"/>
                <wp:effectExtent l="0" t="0" r="17780" b="19050"/>
                <wp:wrapNone/>
                <wp:docPr id="1610724385" name="Zone de texte 172"/>
                <wp:cNvGraphicFramePr/>
                <a:graphic xmlns:a="http://schemas.openxmlformats.org/drawingml/2006/main">
                  <a:graphicData uri="http://schemas.microsoft.com/office/word/2010/wordprocessingShape">
                    <wps:wsp>
                      <wps:cNvSpPr txBox="1"/>
                      <wps:spPr>
                        <a:xfrm>
                          <a:off x="0" y="0"/>
                          <a:ext cx="3049270" cy="2305050"/>
                        </a:xfrm>
                        <a:prstGeom prst="rect">
                          <a:avLst/>
                        </a:prstGeom>
                        <a:solidFill>
                          <a:schemeClr val="lt1"/>
                        </a:solidFill>
                        <a:ln w="6350">
                          <a:solidFill>
                            <a:prstClr val="black"/>
                          </a:solidFill>
                        </a:ln>
                      </wps:spPr>
                      <wps:txbx>
                        <w:txbxContent>
                          <w:p w14:paraId="1C2F6439" w14:textId="1B0EF8D7" w:rsidR="004D600A" w:rsidRDefault="004D600A" w:rsidP="004D600A">
                            <w:r>
                              <w:rPr>
                                <w:noProof/>
                                <w14:ligatures w14:val="standardContextual"/>
                              </w:rPr>
                              <w:drawing>
                                <wp:inline distT="0" distB="0" distL="0" distR="0" wp14:anchorId="286D1CD5" wp14:editId="443E2774">
                                  <wp:extent cx="2963545" cy="2200275"/>
                                  <wp:effectExtent l="0" t="0" r="8255" b="9525"/>
                                  <wp:docPr id="2045222172" name="Image 1" descr="E:\photo_kaya\DSCN2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descr="E:\photo_kaya\DSCN2181.JPG"/>
                                          <pic:cNvPicPr>
                                            <a:picLocks noChangeAspect="1"/>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2963545" cy="220027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07A86F" id="Zone de texte 172" o:spid="_x0000_s1208" type="#_x0000_t202" style="position:absolute;left:0;text-align:left;margin-left:260.6pt;margin-top:4.55pt;width:240.1pt;height:181.5pt;z-index:251701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" fillcolor="white [3201]" strokeweight=".5pt">
                <v:textbox>
                  <w:txbxContent>
                    <w:p w14:paraId="1C2F6439" w14:textId="1B0EF8D7" w:rsidR="004D600A" w:rsidRDefault="004D600A" w:rsidP="004D600A">
                      <w:r>
                        <w:rPr>
                          <w:noProof/>
                          <w14:ligatures w14:val="standardContextual"/>
                        </w:rPr>
                        <w:drawing>
                          <wp:inline distT="0" distB="0" distL="0" distR="0" wp14:anchorId="286D1CD5" wp14:editId="443E2774">
                            <wp:extent cx="2963545" cy="2200275"/>
                            <wp:effectExtent l="0" t="0" r="8255" b="9525"/>
                            <wp:docPr id="2045222172" name="Image 1" descr="E:\photo_kaya\DSCN2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descr="E:\photo_kaya\DSCN2181.JPG"/>
                                    <pic:cNvPicPr>
                                      <a:picLocks noChangeAspect="1"/>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2963545" cy="220027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7C5A6E">
        <w:rPr>
          <w:rFonts w:ascii="Times New Roman" w:eastAsia="Calibri" w:hAnsi="Times New Roman"/>
          <w:noProof/>
          <w:kern w:val="2"/>
          <w:sz w:val="24"/>
          <w:szCs w:val="24"/>
          <w:lang w:eastAsia="en-US"/>
          <w14:ligatures w14:val="standardContextual"/>
        </w:rPr>
        <mc:AlternateContent>
          <mc:Choice Requires="wps">
            <w:drawing>
              <wp:anchor distT="0" distB="0" distL="114300" distR="114300" simplePos="0" relativeHeight="251700736" behindDoc="0" locked="0" layoutInCell="1" allowOverlap="1" wp14:anchorId="0DEF9CBA" wp14:editId="74635491">
                <wp:simplePos x="0" y="0"/>
                <wp:positionH relativeFrom="column">
                  <wp:posOffset>42545</wp:posOffset>
                </wp:positionH>
                <wp:positionV relativeFrom="paragraph">
                  <wp:posOffset>57785</wp:posOffset>
                </wp:positionV>
                <wp:extent cx="3152775" cy="2305050"/>
                <wp:effectExtent l="0" t="0" r="28575" b="19050"/>
                <wp:wrapNone/>
                <wp:docPr id="1276233903" name="Zone de texte 172"/>
                <wp:cNvGraphicFramePr/>
                <a:graphic xmlns:a="http://schemas.openxmlformats.org/drawingml/2006/main">
                  <a:graphicData uri="http://schemas.microsoft.com/office/word/2010/wordprocessingShape">
                    <wps:wsp>
                      <wps:cNvSpPr txBox="1"/>
                      <wps:spPr>
                        <a:xfrm>
                          <a:off x="0" y="0"/>
                          <a:ext cx="3152775" cy="2305050"/>
                        </a:xfrm>
                        <a:prstGeom prst="rect">
                          <a:avLst/>
                        </a:prstGeom>
                        <a:solidFill>
                          <a:schemeClr val="lt1"/>
                        </a:solidFill>
                        <a:ln w="6350">
                          <a:solidFill>
                            <a:prstClr val="black"/>
                          </a:solidFill>
                        </a:ln>
                      </wps:spPr>
                      <wps:txbx>
                        <w:txbxContent>
                          <w:p w14:paraId="6B5DA155" w14:textId="1A99EFCA" w:rsidR="004D600A" w:rsidRDefault="004D600A">
                            <w:r>
                              <w:rPr>
                                <w:noProof/>
                                <w14:ligatures w14:val="standardContextual"/>
                              </w:rPr>
                              <w:drawing>
                                <wp:inline distT="0" distB="0" distL="0" distR="0" wp14:anchorId="1E90DC58" wp14:editId="3B8909AE">
                                  <wp:extent cx="3009900" cy="2209800"/>
                                  <wp:effectExtent l="0" t="0" r="0" b="0"/>
                                  <wp:docPr id="1469676622" name="Image 1" descr="E:\photo_kaya\DSCN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716595" name="Image 1735716595" descr="E:\photo_kaya\DSCN2248.JPG"/>
                                          <pic:cNvPicPr>
                                            <a:picLocks noChangeAspect="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3009900" cy="2209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EF9CBA" id="_x0000_s1209" type="#_x0000_t202" style="position:absolute;left:0;text-align:left;margin-left:3.35pt;margin-top:4.55pt;width:248.25pt;height:181.5pt;z-index:25170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" fillcolor="white [3201]" strokeweight=".5pt">
                <v:textbox>
                  <w:txbxContent>
                    <w:p w14:paraId="6B5DA155" w14:textId="1A99EFCA" w:rsidR="004D600A" w:rsidRDefault="004D600A">
                      <w:r>
                        <w:rPr>
                          <w:noProof/>
                          <w14:ligatures w14:val="standardContextual"/>
                        </w:rPr>
                        <w:drawing>
                          <wp:inline distT="0" distB="0" distL="0" distR="0" wp14:anchorId="1E90DC58" wp14:editId="3B8909AE">
                            <wp:extent cx="3009900" cy="2209800"/>
                            <wp:effectExtent l="0" t="0" r="0" b="0"/>
                            <wp:docPr id="1469676622" name="Image 1" descr="E:\photo_kaya\DSCN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716595" name="Image 1735716595" descr="E:\photo_kaya\DSCN2248.JPG"/>
                                    <pic:cNvPicPr>
                                      <a:picLocks noChangeAspect="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3009900" cy="2209800"/>
                                    </a:xfrm>
                                    <a:prstGeom prst="rect">
                                      <a:avLst/>
                                    </a:prstGeom>
                                    <a:noFill/>
                                    <a:ln>
                                      <a:noFill/>
                                    </a:ln>
                                  </pic:spPr>
                                </pic:pic>
                              </a:graphicData>
                            </a:graphic>
                          </wp:inline>
                        </w:drawing>
                      </w:r>
                    </w:p>
                  </w:txbxContent>
                </v:textbox>
              </v:shape>
            </w:pict>
          </mc:Fallback>
        </mc:AlternateContent>
      </w:r>
    </w:p>
    <w:p w14:paraId="0DB81D8A" w14:textId="718D3AE3"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noProof/>
          <w:kern w:val="2"/>
          <w:sz w:val="24"/>
          <w:szCs w:val="24"/>
          <w:lang w:eastAsia="en-US"/>
          <w14:ligatures w14:val="standardContextual"/>
        </w:rPr>
        <mc:AlternateContent>
          <mc:Choice Requires="wps">
            <w:drawing>
              <wp:anchor distT="0" distB="0" distL="114300" distR="114300" simplePos="0" relativeHeight="251707904" behindDoc="0" locked="0" layoutInCell="1" allowOverlap="1" wp14:anchorId="73A2791C" wp14:editId="68B8140F">
                <wp:simplePos x="0" y="0"/>
                <wp:positionH relativeFrom="column">
                  <wp:posOffset>3490595</wp:posOffset>
                </wp:positionH>
                <wp:positionV relativeFrom="paragraph">
                  <wp:posOffset>158750</wp:posOffset>
                </wp:positionV>
                <wp:extent cx="314325" cy="228600"/>
                <wp:effectExtent l="0" t="0" r="28575" b="19050"/>
                <wp:wrapNone/>
                <wp:docPr id="1880507498" name="Zone de texte 174"/>
                <wp:cNvGraphicFramePr/>
                <a:graphic xmlns:a="http://schemas.openxmlformats.org/drawingml/2006/main">
                  <a:graphicData uri="http://schemas.microsoft.com/office/word/2010/wordprocessingShape">
                    <wps:wsp>
                      <wps:cNvSpPr txBox="1"/>
                      <wps:spPr>
                        <a:xfrm>
                          <a:off x="0" y="0"/>
                          <a:ext cx="314325" cy="228600"/>
                        </a:xfrm>
                        <a:prstGeom prst="rect">
                          <a:avLst/>
                        </a:prstGeom>
                        <a:solidFill>
                          <a:schemeClr val="lt1"/>
                        </a:solidFill>
                        <a:ln w="6350">
                          <a:solidFill>
                            <a:prstClr val="black"/>
                          </a:solidFill>
                        </a:ln>
                      </wps:spPr>
                      <wps:txbx>
                        <w:txbxContent>
                          <w:p w14:paraId="4B598488" w14:textId="78E684C6" w:rsidR="004D600A" w:rsidRDefault="004D600A">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A2791C" id="Zone de texte 174" o:spid="_x0000_s1210" type="#_x0000_t202" style="position:absolute;left:0;text-align:left;margin-left:274.85pt;margin-top:12.5pt;width:24.75pt;height:18pt;z-index:251707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" fillcolor="white [3201]" strokeweight=".5pt">
                <v:textbox>
                  <w:txbxContent>
                    <w:p w14:paraId="4B598488" w14:textId="78E684C6" w:rsidR="004D600A" w:rsidRDefault="004D600A">
                      <w:r>
                        <w:t>B</w:t>
                      </w:r>
                    </w:p>
                  </w:txbxContent>
                </v:textbox>
              </v:shape>
            </w:pict>
          </mc:Fallback>
        </mc:AlternateContent>
      </w:r>
      <w:r w:rsidRPr="007C5A6E">
        <w:rPr>
          <w:rFonts w:ascii="Times New Roman" w:eastAsia="Calibri" w:hAnsi="Times New Roman"/>
          <w:noProof/>
          <w:kern w:val="2"/>
          <w:sz w:val="24"/>
          <w:szCs w:val="24"/>
          <w:lang w:eastAsia="en-US"/>
          <w14:ligatures w14:val="standardContextual"/>
        </w:rPr>
        <mc:AlternateContent>
          <mc:Choice Requires="wps">
            <w:drawing>
              <wp:anchor distT="0" distB="0" distL="114300" distR="114300" simplePos="0" relativeHeight="251706880" behindDoc="0" locked="0" layoutInCell="1" allowOverlap="1" wp14:anchorId="603FE32D" wp14:editId="6EEC63B8">
                <wp:simplePos x="0" y="0"/>
                <wp:positionH relativeFrom="column">
                  <wp:posOffset>366395</wp:posOffset>
                </wp:positionH>
                <wp:positionV relativeFrom="paragraph">
                  <wp:posOffset>177800</wp:posOffset>
                </wp:positionV>
                <wp:extent cx="285750" cy="228600"/>
                <wp:effectExtent l="0" t="0" r="19050" b="19050"/>
                <wp:wrapNone/>
                <wp:docPr id="1386657232" name="Zone de texte 173"/>
                <wp:cNvGraphicFramePr/>
                <a:graphic xmlns:a="http://schemas.openxmlformats.org/drawingml/2006/main">
                  <a:graphicData uri="http://schemas.microsoft.com/office/word/2010/wordprocessingShape">
                    <wps:wsp>
                      <wps:cNvSpPr txBox="1"/>
                      <wps:spPr>
                        <a:xfrm>
                          <a:off x="0" y="0"/>
                          <a:ext cx="285750" cy="228600"/>
                        </a:xfrm>
                        <a:prstGeom prst="rect">
                          <a:avLst/>
                        </a:prstGeom>
                        <a:solidFill>
                          <a:schemeClr val="lt1"/>
                        </a:solidFill>
                        <a:ln w="6350">
                          <a:solidFill>
                            <a:prstClr val="black"/>
                          </a:solidFill>
                        </a:ln>
                      </wps:spPr>
                      <wps:txbx>
                        <w:txbxContent>
                          <w:p w14:paraId="0017EE24" w14:textId="2DC216C5" w:rsidR="004D600A" w:rsidRDefault="004D600A">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3FE32D" id="Zone de texte 173" o:spid="_x0000_s1211" type="#_x0000_t202" style="position:absolute;left:0;text-align:left;margin-left:28.85pt;margin-top:14pt;width:22.5pt;height:18pt;z-index:25170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" fillcolor="white [3201]" strokeweight=".5pt">
                <v:textbox>
                  <w:txbxContent>
                    <w:p w14:paraId="0017EE24" w14:textId="2DC216C5" w:rsidR="004D600A" w:rsidRDefault="004D600A">
                      <w:r>
                        <w:t>A</w:t>
                      </w:r>
                    </w:p>
                  </w:txbxContent>
                </v:textbox>
              </v:shape>
            </w:pict>
          </mc:Fallback>
        </mc:AlternateContent>
      </w:r>
    </w:p>
    <w:p w14:paraId="119A41F4" w14:textId="49655648"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6D9CE74B" w14:textId="2FAD0068"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73F79F84" w14:textId="410E440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61EAF3CD"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03087F92"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35F3C343"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4AF0E28F"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5D7EFCAF"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394299F4"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21E1B362"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6D280DF2"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7B12619E"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0F9F7574" w14:textId="7C133F20" w:rsidR="004D600A" w:rsidRPr="007C5A6E" w:rsidRDefault="00133E87"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noProof/>
          <w:kern w:val="2"/>
          <w:sz w:val="24"/>
          <w:szCs w:val="24"/>
          <w:lang w:eastAsia="en-US"/>
          <w14:ligatures w14:val="standardContextual"/>
        </w:rPr>
        <mc:AlternateContent>
          <mc:Choice Requires="wps">
            <w:drawing>
              <wp:anchor distT="0" distB="0" distL="114300" distR="114300" simplePos="0" relativeHeight="251708928" behindDoc="0" locked="0" layoutInCell="1" allowOverlap="1" wp14:anchorId="51A8D8C6" wp14:editId="32337233">
                <wp:simplePos x="0" y="0"/>
                <wp:positionH relativeFrom="column">
                  <wp:posOffset>861695</wp:posOffset>
                </wp:positionH>
                <wp:positionV relativeFrom="paragraph">
                  <wp:posOffset>118745</wp:posOffset>
                </wp:positionV>
                <wp:extent cx="342900" cy="276225"/>
                <wp:effectExtent l="0" t="0" r="19050" b="28575"/>
                <wp:wrapNone/>
                <wp:docPr id="696042478" name="Zone de texte 175"/>
                <wp:cNvGraphicFramePr/>
                <a:graphic xmlns:a="http://schemas.openxmlformats.org/drawingml/2006/main">
                  <a:graphicData uri="http://schemas.microsoft.com/office/word/2010/wordprocessingShape">
                    <wps:wsp>
                      <wps:cNvSpPr txBox="1"/>
                      <wps:spPr>
                        <a:xfrm>
                          <a:off x="0" y="0"/>
                          <a:ext cx="342900" cy="276225"/>
                        </a:xfrm>
                        <a:prstGeom prst="rect">
                          <a:avLst/>
                        </a:prstGeom>
                        <a:solidFill>
                          <a:schemeClr val="lt1"/>
                        </a:solidFill>
                        <a:ln w="6350">
                          <a:solidFill>
                            <a:prstClr val="black"/>
                          </a:solidFill>
                        </a:ln>
                      </wps:spPr>
                      <wps:txbx>
                        <w:txbxContent>
                          <w:p w14:paraId="7BE8AD3D" w14:textId="554C1FB9" w:rsidR="004D600A" w:rsidRPr="004D600A" w:rsidRDefault="004D600A">
                            <w:pPr>
                              <w:rPr>
                                <w:b/>
                                <w:bCs/>
                              </w:rPr>
                            </w:pPr>
                            <w:r w:rsidRPr="004D600A">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A8D8C6" id="Zone de texte 175" o:spid="_x0000_s1212" type="#_x0000_t202" style="position:absolute;left:0;text-align:left;margin-left:67.85pt;margin-top:9.35pt;width:27pt;height:21.75pt;z-index:251708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" fillcolor="white [3201]" strokeweight=".5pt">
                <v:textbox>
                  <w:txbxContent>
                    <w:p w14:paraId="7BE8AD3D" w14:textId="554C1FB9" w:rsidR="004D600A" w:rsidRPr="004D600A" w:rsidRDefault="004D600A">
                      <w:pPr>
                        <w:rPr>
                          <w:b/>
                          <w:bCs/>
                        </w:rPr>
                      </w:pPr>
                      <w:r w:rsidRPr="004D600A">
                        <w:rPr>
                          <w:b/>
                          <w:bCs/>
                        </w:rPr>
                        <w:t>C</w:t>
                      </w:r>
                    </w:p>
                  </w:txbxContent>
                </v:textbox>
              </v:shape>
            </w:pict>
          </mc:Fallback>
        </mc:AlternateContent>
      </w:r>
      <w:r w:rsidR="00173386" w:rsidRPr="007C5A6E">
        <w:rPr>
          <w:rFonts w:ascii="Times New Roman" w:eastAsia="Calibri" w:hAnsi="Times New Roman"/>
          <w:noProof/>
          <w:kern w:val="2"/>
          <w:sz w:val="24"/>
          <w:szCs w:val="24"/>
          <w:lang w:eastAsia="en-US"/>
          <w14:ligatures w14:val="standardContextual"/>
        </w:rPr>
        <mc:AlternateContent>
          <mc:Choice Requires="wps">
            <w:drawing>
              <wp:anchor distT="0" distB="0" distL="114300" distR="114300" simplePos="0" relativeHeight="251703808" behindDoc="0" locked="0" layoutInCell="1" allowOverlap="1" wp14:anchorId="3155972D" wp14:editId="7D549B7B">
                <wp:simplePos x="0" y="0"/>
                <wp:positionH relativeFrom="column">
                  <wp:posOffset>3319145</wp:posOffset>
                </wp:positionH>
                <wp:positionV relativeFrom="paragraph">
                  <wp:posOffset>13970</wp:posOffset>
                </wp:positionV>
                <wp:extent cx="3058795" cy="2305050"/>
                <wp:effectExtent l="0" t="0" r="27305" b="19050"/>
                <wp:wrapNone/>
                <wp:docPr id="1918832465" name="Zone de texte 172"/>
                <wp:cNvGraphicFramePr/>
                <a:graphic xmlns:a="http://schemas.openxmlformats.org/drawingml/2006/main">
                  <a:graphicData uri="http://schemas.microsoft.com/office/word/2010/wordprocessingShape">
                    <wps:wsp>
                      <wps:cNvSpPr txBox="1"/>
                      <wps:spPr>
                        <a:xfrm>
                          <a:off x="0" y="0"/>
                          <a:ext cx="3058795" cy="2305050"/>
                        </a:xfrm>
                        <a:prstGeom prst="rect">
                          <a:avLst/>
                        </a:prstGeom>
                        <a:solidFill>
                          <a:schemeClr val="lt1"/>
                        </a:solidFill>
                        <a:ln w="6350">
                          <a:solidFill>
                            <a:prstClr val="black"/>
                          </a:solidFill>
                        </a:ln>
                      </wps:spPr>
                      <wps:txbx>
                        <w:txbxContent>
                          <w:p w14:paraId="62002EEF" w14:textId="0D5175EA" w:rsidR="004D600A" w:rsidRDefault="004D600A" w:rsidP="004D600A">
                            <w:r w:rsidRPr="00643AF0">
                              <w:rPr>
                                <w:rFonts w:eastAsia="Calibri"/>
                                <w:noProof/>
                                <w:kern w:val="2"/>
                                <w:lang w:eastAsia="en-US"/>
                                <w14:ligatures w14:val="standardContextual"/>
                              </w:rPr>
                              <w:drawing>
                                <wp:inline distT="0" distB="0" distL="0" distR="0" wp14:anchorId="0925572C" wp14:editId="6F8E275D">
                                  <wp:extent cx="2973070" cy="2209800"/>
                                  <wp:effectExtent l="0" t="0" r="0" b="0"/>
                                  <wp:docPr id="20992060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878425" name="Image 353878425"/>
                                          <pic:cNvPicPr/>
                                        </pic:nvPicPr>
                                        <pic:blipFill>
                                          <a:blip r:embed="rId139">
                                            <a:extLst>
                                              <a:ext uri="{28A0092B-C50C-407E-A947-70E740481C1C}">
                                                <a14:useLocalDpi xmlns:a14="http://schemas.microsoft.com/office/drawing/2010/main"/>
                                              </a:ext>
                                            </a:extLst>
                                          </a:blip>
                                          <a:stretch>
                                            <a:fillRect/>
                                          </a:stretch>
                                        </pic:blipFill>
                                        <pic:spPr>
                                          <a:xfrm>
                                            <a:off x="0" y="0"/>
                                            <a:ext cx="2975468" cy="221158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55972D" id="_x0000_s1213" type="#_x0000_t202" style="position:absolute;left:0;text-align:left;margin-left:261.35pt;margin-top:1.1pt;width:240.85pt;height:181.5pt;z-index:251703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" fillcolor="white [3201]" strokeweight=".5pt">
                <v:textbox>
                  <w:txbxContent>
                    <w:p w14:paraId="62002EEF" w14:textId="0D5175EA" w:rsidR="004D600A" w:rsidRDefault="004D600A" w:rsidP="004D600A">
                      <w:r w:rsidRPr="00643AF0">
                        <w:rPr>
                          <w:rFonts w:eastAsia="Calibri"/>
                          <w:noProof/>
                          <w:kern w:val="2"/>
                          <w:lang w:eastAsia="en-US"/>
                          <w14:ligatures w14:val="standardContextual"/>
                        </w:rPr>
                        <w:drawing>
                          <wp:inline distT="0" distB="0" distL="0" distR="0" wp14:anchorId="0925572C" wp14:editId="6F8E275D">
                            <wp:extent cx="2973070" cy="2209800"/>
                            <wp:effectExtent l="0" t="0" r="0" b="0"/>
                            <wp:docPr id="20992060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878425" name="Image 353878425"/>
                                    <pic:cNvPicPr/>
                                  </pic:nvPicPr>
                                  <pic:blipFill>
                                    <a:blip r:embed="rId139">
                                      <a:extLst>
                                        <a:ext uri="{28A0092B-C50C-407E-A947-70E740481C1C}">
                                          <a14:useLocalDpi xmlns:a14="http://schemas.microsoft.com/office/drawing/2010/main"/>
                                        </a:ext>
                                      </a:extLst>
                                    </a:blip>
                                    <a:stretch>
                                      <a:fillRect/>
                                    </a:stretch>
                                  </pic:blipFill>
                                  <pic:spPr>
                                    <a:xfrm>
                                      <a:off x="0" y="0"/>
                                      <a:ext cx="2975468" cy="2211582"/>
                                    </a:xfrm>
                                    <a:prstGeom prst="rect">
                                      <a:avLst/>
                                    </a:prstGeom>
                                  </pic:spPr>
                                </pic:pic>
                              </a:graphicData>
                            </a:graphic>
                          </wp:inline>
                        </w:drawing>
                      </w:r>
                    </w:p>
                  </w:txbxContent>
                </v:textbox>
              </v:shape>
            </w:pict>
          </mc:Fallback>
        </mc:AlternateContent>
      </w:r>
      <w:r w:rsidR="00173386" w:rsidRPr="007C5A6E">
        <w:rPr>
          <w:rFonts w:ascii="Times New Roman" w:eastAsia="Calibri" w:hAnsi="Times New Roman"/>
          <w:noProof/>
          <w:kern w:val="2"/>
          <w:sz w:val="24"/>
          <w:szCs w:val="24"/>
          <w:lang w:eastAsia="en-US"/>
          <w14:ligatures w14:val="standardContextual"/>
        </w:rPr>
        <mc:AlternateContent>
          <mc:Choice Requires="wps">
            <w:drawing>
              <wp:anchor distT="0" distB="0" distL="114300" distR="114300" simplePos="0" relativeHeight="251702784" behindDoc="0" locked="0" layoutInCell="1" allowOverlap="1" wp14:anchorId="38BF1C66" wp14:editId="0C7C3265">
                <wp:simplePos x="0" y="0"/>
                <wp:positionH relativeFrom="column">
                  <wp:posOffset>38100</wp:posOffset>
                </wp:positionH>
                <wp:positionV relativeFrom="paragraph">
                  <wp:posOffset>6985</wp:posOffset>
                </wp:positionV>
                <wp:extent cx="3152775" cy="2305050"/>
                <wp:effectExtent l="0" t="0" r="28575" b="19050"/>
                <wp:wrapNone/>
                <wp:docPr id="184915172" name="Zone de texte 172"/>
                <wp:cNvGraphicFramePr/>
                <a:graphic xmlns:a="http://schemas.openxmlformats.org/drawingml/2006/main">
                  <a:graphicData uri="http://schemas.microsoft.com/office/word/2010/wordprocessingShape">
                    <wps:wsp>
                      <wps:cNvSpPr txBox="1"/>
                      <wps:spPr>
                        <a:xfrm>
                          <a:off x="0" y="0"/>
                          <a:ext cx="3152775" cy="2305050"/>
                        </a:xfrm>
                        <a:prstGeom prst="rect">
                          <a:avLst/>
                        </a:prstGeom>
                        <a:solidFill>
                          <a:schemeClr val="lt1"/>
                        </a:solidFill>
                        <a:ln w="6350">
                          <a:solidFill>
                            <a:prstClr val="black"/>
                          </a:solidFill>
                        </a:ln>
                      </wps:spPr>
                      <wps:txbx>
                        <w:txbxContent>
                          <w:p w14:paraId="2E8489F5" w14:textId="495A1ADC" w:rsidR="004D600A" w:rsidRDefault="004D600A" w:rsidP="004D600A">
                            <w:r w:rsidRPr="00643AF0">
                              <w:rPr>
                                <w:rFonts w:ascii="Times New Roman" w:eastAsia="Calibri" w:hAnsi="Times New Roman"/>
                                <w:noProof/>
                                <w:kern w:val="2"/>
                                <w:sz w:val="24"/>
                                <w:szCs w:val="24"/>
                                <w:lang w:val="en-US" w:eastAsia="en-US"/>
                                <w14:ligatures w14:val="standardContextual"/>
                              </w:rPr>
                              <w:drawing>
                                <wp:inline distT="0" distB="0" distL="0" distR="0" wp14:anchorId="20C53441" wp14:editId="284AE7DC">
                                  <wp:extent cx="3067050" cy="2209800"/>
                                  <wp:effectExtent l="0" t="0" r="0" b="0"/>
                                  <wp:docPr id="1669345385" name="Image 2"/>
                                  <wp:cNvGraphicFramePr/>
                                  <a:graphic xmlns:a="http://schemas.openxmlformats.org/drawingml/2006/main">
                                    <a:graphicData uri="http://schemas.openxmlformats.org/drawingml/2006/picture">
                                      <pic:pic xmlns:pic="http://schemas.openxmlformats.org/drawingml/2006/picture">
                                        <pic:nvPicPr>
                                          <pic:cNvPr id="3" name="Image 2"/>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3139718" cy="22621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BF1C66" id="_x0000_s1214" type="#_x0000_t202" style="position:absolute;left:0;text-align:left;margin-left:3pt;margin-top:.55pt;width:248.25pt;height:181.5pt;z-index:25170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" fillcolor="white [3201]" strokeweight=".5pt">
                <v:textbox>
                  <w:txbxContent>
                    <w:p w14:paraId="2E8489F5" w14:textId="495A1ADC" w:rsidR="004D600A" w:rsidRDefault="004D600A" w:rsidP="004D600A">
                      <w:r w:rsidRPr="00643AF0">
                        <w:rPr>
                          <w:rFonts w:ascii="Times New Roman" w:eastAsia="Calibri" w:hAnsi="Times New Roman"/>
                          <w:noProof/>
                          <w:kern w:val="2"/>
                          <w:sz w:val="24"/>
                          <w:szCs w:val="24"/>
                          <w:lang w:val="en-US" w:eastAsia="en-US"/>
                          <w14:ligatures w14:val="standardContextual"/>
                        </w:rPr>
                        <w:drawing>
                          <wp:inline distT="0" distB="0" distL="0" distR="0" wp14:anchorId="20C53441" wp14:editId="284AE7DC">
                            <wp:extent cx="3067050" cy="2209800"/>
                            <wp:effectExtent l="0" t="0" r="0" b="0"/>
                            <wp:docPr id="1669345385" name="Image 2"/>
                            <wp:cNvGraphicFramePr/>
                            <a:graphic xmlns:a="http://schemas.openxmlformats.org/drawingml/2006/main">
                              <a:graphicData uri="http://schemas.openxmlformats.org/drawingml/2006/picture">
                                <pic:pic xmlns:pic="http://schemas.openxmlformats.org/drawingml/2006/picture">
                                  <pic:nvPicPr>
                                    <pic:cNvPr id="3" name="Image 2"/>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3139718" cy="2262157"/>
                                    </a:xfrm>
                                    <a:prstGeom prst="rect">
                                      <a:avLst/>
                                    </a:prstGeom>
                                    <a:noFill/>
                                    <a:ln>
                                      <a:noFill/>
                                    </a:ln>
                                  </pic:spPr>
                                </pic:pic>
                              </a:graphicData>
                            </a:graphic>
                          </wp:inline>
                        </w:drawing>
                      </w:r>
                    </w:p>
                  </w:txbxContent>
                </v:textbox>
              </v:shape>
            </w:pict>
          </mc:Fallback>
        </mc:AlternateContent>
      </w:r>
    </w:p>
    <w:p w14:paraId="3C584D8C" w14:textId="09361D6B"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noProof/>
          <w:kern w:val="2"/>
          <w:sz w:val="24"/>
          <w:szCs w:val="24"/>
          <w:lang w:eastAsia="en-US"/>
          <w14:ligatures w14:val="standardContextual"/>
        </w:rPr>
        <mc:AlternateContent>
          <mc:Choice Requires="wps">
            <w:drawing>
              <wp:anchor distT="0" distB="0" distL="114300" distR="114300" simplePos="0" relativeHeight="251709952" behindDoc="0" locked="0" layoutInCell="1" allowOverlap="1" wp14:anchorId="3933CC1B" wp14:editId="7BEA061B">
                <wp:simplePos x="0" y="0"/>
                <wp:positionH relativeFrom="column">
                  <wp:posOffset>6024245</wp:posOffset>
                </wp:positionH>
                <wp:positionV relativeFrom="paragraph">
                  <wp:posOffset>57785</wp:posOffset>
                </wp:positionV>
                <wp:extent cx="304800" cy="276225"/>
                <wp:effectExtent l="0" t="0" r="19050" b="28575"/>
                <wp:wrapNone/>
                <wp:docPr id="1763529382" name="Zone de texte 176"/>
                <wp:cNvGraphicFramePr/>
                <a:graphic xmlns:a="http://schemas.openxmlformats.org/drawingml/2006/main">
                  <a:graphicData uri="http://schemas.microsoft.com/office/word/2010/wordprocessingShape">
                    <wps:wsp>
                      <wps:cNvSpPr txBox="1"/>
                      <wps:spPr>
                        <a:xfrm>
                          <a:off x="0" y="0"/>
                          <a:ext cx="304800" cy="276225"/>
                        </a:xfrm>
                        <a:prstGeom prst="rect">
                          <a:avLst/>
                        </a:prstGeom>
                        <a:solidFill>
                          <a:schemeClr val="lt1"/>
                        </a:solidFill>
                        <a:ln w="6350">
                          <a:solidFill>
                            <a:prstClr val="black"/>
                          </a:solidFill>
                        </a:ln>
                      </wps:spPr>
                      <wps:txbx>
                        <w:txbxContent>
                          <w:p w14:paraId="098BB439" w14:textId="23AFED3F" w:rsidR="004D600A" w:rsidRPr="004D600A" w:rsidRDefault="004D600A">
                            <w:pPr>
                              <w:rPr>
                                <w:b/>
                                <w:bCs/>
                              </w:rPr>
                            </w:pPr>
                            <w:r w:rsidRPr="004D600A">
                              <w:rPr>
                                <w:b/>
                                <w:b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33CC1B" id="Zone de texte 176" o:spid="_x0000_s1215" type="#_x0000_t202" style="position:absolute;left:0;text-align:left;margin-left:474.35pt;margin-top:4.55pt;width:24pt;height:21.75pt;z-index:251709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" fillcolor="white [3201]" strokeweight=".5pt">
                <v:textbox>
                  <w:txbxContent>
                    <w:p w14:paraId="098BB439" w14:textId="23AFED3F" w:rsidR="004D600A" w:rsidRPr="004D600A" w:rsidRDefault="004D600A">
                      <w:pPr>
                        <w:rPr>
                          <w:b/>
                          <w:bCs/>
                        </w:rPr>
                      </w:pPr>
                      <w:r w:rsidRPr="004D600A">
                        <w:rPr>
                          <w:b/>
                          <w:bCs/>
                        </w:rPr>
                        <w:t>D</w:t>
                      </w:r>
                    </w:p>
                  </w:txbxContent>
                </v:textbox>
              </v:shape>
            </w:pict>
          </mc:Fallback>
        </mc:AlternateContent>
      </w:r>
    </w:p>
    <w:p w14:paraId="7013093E" w14:textId="0E602741"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121E5551"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2C31E59A"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311C9143"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162FEEF8"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44AAAB19"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6529545D"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0BAB139A"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684A4A90"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05B064E5"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40C40536"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7D037FAF" w14:textId="77777777" w:rsidR="009A08D5" w:rsidRPr="007C5A6E" w:rsidRDefault="009A08D5"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58BA23F4" w14:textId="6E232196" w:rsidR="004D600A" w:rsidRPr="007C5A6E" w:rsidRDefault="00173386"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noProof/>
          <w:kern w:val="2"/>
          <w:sz w:val="24"/>
          <w:szCs w:val="24"/>
          <w:lang w:eastAsia="en-US"/>
          <w14:ligatures w14:val="standardContextual"/>
        </w:rPr>
        <mc:AlternateContent>
          <mc:Choice Requires="wps">
            <w:drawing>
              <wp:anchor distT="0" distB="0" distL="114300" distR="114300" simplePos="0" relativeHeight="251705856" behindDoc="0" locked="0" layoutInCell="1" allowOverlap="1" wp14:anchorId="44A919D1" wp14:editId="0DCE4B8A">
                <wp:simplePos x="0" y="0"/>
                <wp:positionH relativeFrom="column">
                  <wp:posOffset>3315335</wp:posOffset>
                </wp:positionH>
                <wp:positionV relativeFrom="paragraph">
                  <wp:posOffset>112395</wp:posOffset>
                </wp:positionV>
                <wp:extent cx="3152775" cy="2305050"/>
                <wp:effectExtent l="0" t="0" r="28575" b="19050"/>
                <wp:wrapNone/>
                <wp:docPr id="469825183" name="Zone de texte 172"/>
                <wp:cNvGraphicFramePr/>
                <a:graphic xmlns:a="http://schemas.openxmlformats.org/drawingml/2006/main">
                  <a:graphicData uri="http://schemas.microsoft.com/office/word/2010/wordprocessingShape">
                    <wps:wsp>
                      <wps:cNvSpPr txBox="1"/>
                      <wps:spPr>
                        <a:xfrm>
                          <a:off x="0" y="0"/>
                          <a:ext cx="3152775" cy="2305050"/>
                        </a:xfrm>
                        <a:prstGeom prst="rect">
                          <a:avLst/>
                        </a:prstGeom>
                        <a:solidFill>
                          <a:schemeClr val="lt1"/>
                        </a:solidFill>
                        <a:ln w="6350">
                          <a:solidFill>
                            <a:prstClr val="black"/>
                          </a:solidFill>
                        </a:ln>
                      </wps:spPr>
                      <wps:txbx>
                        <w:txbxContent>
                          <w:p w14:paraId="32B4CEC4" w14:textId="319E665D" w:rsidR="004D600A" w:rsidRDefault="004D600A" w:rsidP="004D600A">
                            <w:r w:rsidRPr="00643AF0">
                              <w:rPr>
                                <w:rFonts w:eastAsia="Calibri"/>
                                <w:noProof/>
                                <w:kern w:val="2"/>
                                <w:lang w:val="en-US" w:eastAsia="en-US"/>
                                <w14:ligatures w14:val="standardContextual"/>
                              </w:rPr>
                              <w:drawing>
                                <wp:inline distT="0" distB="0" distL="0" distR="0" wp14:anchorId="24C9CD10" wp14:editId="5B1B4DCD">
                                  <wp:extent cx="2982595" cy="2228850"/>
                                  <wp:effectExtent l="0" t="0" r="8255" b="0"/>
                                  <wp:docPr id="13385541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3130815" cy="23396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A919D1" id="_x0000_s1216" type="#_x0000_t202" style="position:absolute;left:0;text-align:left;margin-left:261.05pt;margin-top:8.85pt;width:248.25pt;height:181.5pt;z-index:25170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" fillcolor="white [3201]" strokeweight=".5pt">
                <v:textbox>
                  <w:txbxContent>
                    <w:p w14:paraId="32B4CEC4" w14:textId="319E665D" w:rsidR="004D600A" w:rsidRDefault="004D600A" w:rsidP="004D600A">
                      <w:r w:rsidRPr="00643AF0">
                        <w:rPr>
                          <w:rFonts w:eastAsia="Calibri"/>
                          <w:noProof/>
                          <w:kern w:val="2"/>
                          <w:lang w:val="en-US" w:eastAsia="en-US"/>
                          <w14:ligatures w14:val="standardContextual"/>
                        </w:rPr>
                        <w:drawing>
                          <wp:inline distT="0" distB="0" distL="0" distR="0" wp14:anchorId="24C9CD10" wp14:editId="5B1B4DCD">
                            <wp:extent cx="2982595" cy="2228850"/>
                            <wp:effectExtent l="0" t="0" r="8255" b="0"/>
                            <wp:docPr id="13385541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3130815" cy="2339613"/>
                                    </a:xfrm>
                                    <a:prstGeom prst="rect">
                                      <a:avLst/>
                                    </a:prstGeom>
                                    <a:noFill/>
                                    <a:ln>
                                      <a:noFill/>
                                    </a:ln>
                                  </pic:spPr>
                                </pic:pic>
                              </a:graphicData>
                            </a:graphic>
                          </wp:inline>
                        </w:drawing>
                      </w:r>
                    </w:p>
                  </w:txbxContent>
                </v:textbox>
              </v:shape>
            </w:pict>
          </mc:Fallback>
        </mc:AlternateContent>
      </w:r>
      <w:r w:rsidRPr="007C5A6E">
        <w:rPr>
          <w:rFonts w:ascii="Times New Roman" w:eastAsia="Calibri" w:hAnsi="Times New Roman"/>
          <w:noProof/>
          <w:kern w:val="2"/>
          <w:sz w:val="24"/>
          <w:szCs w:val="24"/>
          <w:lang w:eastAsia="en-US"/>
          <w14:ligatures w14:val="standardContextual"/>
        </w:rPr>
        <mc:AlternateContent>
          <mc:Choice Requires="wps">
            <w:drawing>
              <wp:anchor distT="0" distB="0" distL="114300" distR="114300" simplePos="0" relativeHeight="251704832" behindDoc="0" locked="0" layoutInCell="1" allowOverlap="1" wp14:anchorId="3ACEDC8C" wp14:editId="38783186">
                <wp:simplePos x="0" y="0"/>
                <wp:positionH relativeFrom="column">
                  <wp:posOffset>38100</wp:posOffset>
                </wp:positionH>
                <wp:positionV relativeFrom="paragraph">
                  <wp:posOffset>110490</wp:posOffset>
                </wp:positionV>
                <wp:extent cx="3152775" cy="2305050"/>
                <wp:effectExtent l="0" t="0" r="28575" b="19050"/>
                <wp:wrapNone/>
                <wp:docPr id="197237541" name="Zone de texte 172"/>
                <wp:cNvGraphicFramePr/>
                <a:graphic xmlns:a="http://schemas.openxmlformats.org/drawingml/2006/main">
                  <a:graphicData uri="http://schemas.microsoft.com/office/word/2010/wordprocessingShape">
                    <wps:wsp>
                      <wps:cNvSpPr txBox="1"/>
                      <wps:spPr>
                        <a:xfrm>
                          <a:off x="0" y="0"/>
                          <a:ext cx="3152775" cy="2305050"/>
                        </a:xfrm>
                        <a:prstGeom prst="rect">
                          <a:avLst/>
                        </a:prstGeom>
                        <a:solidFill>
                          <a:schemeClr val="lt1"/>
                        </a:solidFill>
                        <a:ln w="6350">
                          <a:solidFill>
                            <a:prstClr val="black"/>
                          </a:solidFill>
                        </a:ln>
                      </wps:spPr>
                      <wps:txbx>
                        <w:txbxContent>
                          <w:p w14:paraId="741FD376" w14:textId="0B6BCD3B" w:rsidR="004D600A" w:rsidRDefault="004D600A" w:rsidP="004D600A">
                            <w:r w:rsidRPr="00643AF0">
                              <w:rPr>
                                <w:rFonts w:ascii="Times New Roman" w:eastAsia="Calibri" w:hAnsi="Times New Roman"/>
                                <w:bCs/>
                                <w:noProof/>
                                <w:kern w:val="2"/>
                                <w:sz w:val="24"/>
                                <w:szCs w:val="24"/>
                                <w:lang w:val="en-US" w:eastAsia="en-US"/>
                                <w14:ligatures w14:val="standardContextual"/>
                              </w:rPr>
                              <w:drawing>
                                <wp:inline distT="0" distB="0" distL="0" distR="0" wp14:anchorId="41AD1033" wp14:editId="2656EB50">
                                  <wp:extent cx="3019425" cy="2256969"/>
                                  <wp:effectExtent l="0" t="0" r="0" b="0"/>
                                  <wp:docPr id="1860965551" name="Image 4">
                                    <a:extLst xmlns:a="http://schemas.openxmlformats.org/drawingml/2006/main">
                                      <a:ext uri="{FF2B5EF4-FFF2-40B4-BE49-F238E27FC236}">
                                        <a16:creationId xmlns:a16="http://schemas.microsoft.com/office/drawing/2014/main" id="{4D3D0907-15D8-EE31-9B7E-E27BB2B4EC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4D3D0907-15D8-EE31-9B7E-E27BB2B4ECC3}"/>
                                              </a:ext>
                                            </a:extLst>
                                          </pic:cNvPr>
                                          <pic:cNvPicPr>
                                            <a:picLocks noChangeAspect="1"/>
                                          </pic:cNvPicPr>
                                        </pic:nvPicPr>
                                        <pic:blipFill rotWithShape="1">
                                          <a:blip r:embed="rId142" cstate="email">
                                            <a:extLst>
                                              <a:ext uri="{28A0092B-C50C-407E-A947-70E740481C1C}">
                                                <a14:useLocalDpi xmlns:a14="http://schemas.microsoft.com/office/drawing/2010/main"/>
                                              </a:ext>
                                            </a:extLst>
                                          </a:blip>
                                          <a:srcRect/>
                                          <a:stretch/>
                                        </pic:blipFill>
                                        <pic:spPr bwMode="auto">
                                          <a:xfrm>
                                            <a:off x="0" y="0"/>
                                            <a:ext cx="3227061" cy="241217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CEDC8C" id="_x0000_s1217" type="#_x0000_t202" style="position:absolute;left:0;text-align:left;margin-left:3pt;margin-top:8.7pt;width:248.25pt;height:181.5pt;z-index:25170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" fillcolor="white [3201]" strokeweight=".5pt">
                <v:textbox>
                  <w:txbxContent>
                    <w:p w14:paraId="741FD376" w14:textId="0B6BCD3B" w:rsidR="004D600A" w:rsidRDefault="004D600A" w:rsidP="004D600A">
                      <w:r w:rsidRPr="00643AF0">
                        <w:rPr>
                          <w:rFonts w:ascii="Times New Roman" w:eastAsia="Calibri" w:hAnsi="Times New Roman"/>
                          <w:bCs/>
                          <w:noProof/>
                          <w:kern w:val="2"/>
                          <w:sz w:val="24"/>
                          <w:szCs w:val="24"/>
                          <w:lang w:val="en-US" w:eastAsia="en-US"/>
                          <w14:ligatures w14:val="standardContextual"/>
                        </w:rPr>
                        <w:drawing>
                          <wp:inline distT="0" distB="0" distL="0" distR="0" wp14:anchorId="41AD1033" wp14:editId="2656EB50">
                            <wp:extent cx="3019425" cy="2256969"/>
                            <wp:effectExtent l="0" t="0" r="0" b="0"/>
                            <wp:docPr id="1860965551" name="Image 4">
                              <a:extLst xmlns:a="http://schemas.openxmlformats.org/drawingml/2006/main">
                                <a:ext uri="{FF2B5EF4-FFF2-40B4-BE49-F238E27FC236}">
                                  <a16:creationId xmlns:a16="http://schemas.microsoft.com/office/drawing/2014/main" id="{4D3D0907-15D8-EE31-9B7E-E27BB2B4EC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4D3D0907-15D8-EE31-9B7E-E27BB2B4ECC3}"/>
                                        </a:ext>
                                      </a:extLst>
                                    </pic:cNvPr>
                                    <pic:cNvPicPr>
                                      <a:picLocks noChangeAspect="1"/>
                                    </pic:cNvPicPr>
                                  </pic:nvPicPr>
                                  <pic:blipFill rotWithShape="1">
                                    <a:blip r:embed="rId142" cstate="email">
                                      <a:extLst>
                                        <a:ext uri="{28A0092B-C50C-407E-A947-70E740481C1C}">
                                          <a14:useLocalDpi xmlns:a14="http://schemas.microsoft.com/office/drawing/2010/main"/>
                                        </a:ext>
                                      </a:extLst>
                                    </a:blip>
                                    <a:srcRect/>
                                    <a:stretch/>
                                  </pic:blipFill>
                                  <pic:spPr bwMode="auto">
                                    <a:xfrm>
                                      <a:off x="0" y="0"/>
                                      <a:ext cx="3227061" cy="241217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5553727" w14:textId="7B39A95C"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2AB5060B" w14:textId="22D0264D"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noProof/>
          <w:kern w:val="2"/>
          <w:sz w:val="24"/>
          <w:szCs w:val="24"/>
          <w:lang w:eastAsia="en-US"/>
          <w14:ligatures w14:val="standardContextual"/>
        </w:rPr>
        <mc:AlternateContent>
          <mc:Choice Requires="wps">
            <w:drawing>
              <wp:anchor distT="0" distB="0" distL="114300" distR="114300" simplePos="0" relativeHeight="251712000" behindDoc="0" locked="0" layoutInCell="1" allowOverlap="1" wp14:anchorId="6524B9E2" wp14:editId="25E06F7F">
                <wp:simplePos x="0" y="0"/>
                <wp:positionH relativeFrom="column">
                  <wp:posOffset>5928995</wp:posOffset>
                </wp:positionH>
                <wp:positionV relativeFrom="paragraph">
                  <wp:posOffset>52705</wp:posOffset>
                </wp:positionV>
                <wp:extent cx="314325" cy="266700"/>
                <wp:effectExtent l="0" t="0" r="28575" b="19050"/>
                <wp:wrapNone/>
                <wp:docPr id="277715538" name="Zone de texte 178"/>
                <wp:cNvGraphicFramePr/>
                <a:graphic xmlns:a="http://schemas.openxmlformats.org/drawingml/2006/main">
                  <a:graphicData uri="http://schemas.microsoft.com/office/word/2010/wordprocessingShape">
                    <wps:wsp>
                      <wps:cNvSpPr txBox="1"/>
                      <wps:spPr>
                        <a:xfrm>
                          <a:off x="0" y="0"/>
                          <a:ext cx="314325" cy="266700"/>
                        </a:xfrm>
                        <a:prstGeom prst="rect">
                          <a:avLst/>
                        </a:prstGeom>
                        <a:solidFill>
                          <a:schemeClr val="lt1"/>
                        </a:solidFill>
                        <a:ln w="6350">
                          <a:solidFill>
                            <a:prstClr val="black"/>
                          </a:solidFill>
                        </a:ln>
                      </wps:spPr>
                      <wps:txbx>
                        <w:txbxContent>
                          <w:p w14:paraId="1AC0376F" w14:textId="2E221A4D" w:rsidR="004D600A" w:rsidRDefault="004D600A">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24B9E2" id="Zone de texte 178" o:spid="_x0000_s1218" type="#_x0000_t202" style="position:absolute;left:0;text-align:left;margin-left:466.85pt;margin-top:4.15pt;width:24.75pt;height:21pt;z-index:251712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" fillcolor="white [3201]" strokeweight=".5pt">
                <v:textbox>
                  <w:txbxContent>
                    <w:p w14:paraId="1AC0376F" w14:textId="2E221A4D" w:rsidR="004D600A" w:rsidRDefault="004D600A">
                      <w:r>
                        <w:t>F</w:t>
                      </w:r>
                    </w:p>
                  </w:txbxContent>
                </v:textbox>
              </v:shape>
            </w:pict>
          </mc:Fallback>
        </mc:AlternateContent>
      </w:r>
      <w:r w:rsidRPr="007C5A6E">
        <w:rPr>
          <w:rFonts w:ascii="Times New Roman" w:eastAsia="Calibri" w:hAnsi="Times New Roman"/>
          <w:noProof/>
          <w:kern w:val="2"/>
          <w:sz w:val="24"/>
          <w:szCs w:val="24"/>
          <w:lang w:eastAsia="en-US"/>
          <w14:ligatures w14:val="standardContextual"/>
        </w:rPr>
        <mc:AlternateContent>
          <mc:Choice Requires="wps">
            <w:drawing>
              <wp:anchor distT="0" distB="0" distL="114300" distR="114300" simplePos="0" relativeHeight="251710976" behindDoc="0" locked="0" layoutInCell="1" allowOverlap="1" wp14:anchorId="3698AE35" wp14:editId="25EFEE3C">
                <wp:simplePos x="0" y="0"/>
                <wp:positionH relativeFrom="column">
                  <wp:posOffset>2690495</wp:posOffset>
                </wp:positionH>
                <wp:positionV relativeFrom="paragraph">
                  <wp:posOffset>52705</wp:posOffset>
                </wp:positionV>
                <wp:extent cx="295275" cy="266700"/>
                <wp:effectExtent l="0" t="0" r="28575" b="19050"/>
                <wp:wrapNone/>
                <wp:docPr id="48677807" name="Zone de texte 177"/>
                <wp:cNvGraphicFramePr/>
                <a:graphic xmlns:a="http://schemas.openxmlformats.org/drawingml/2006/main">
                  <a:graphicData uri="http://schemas.microsoft.com/office/word/2010/wordprocessingShape">
                    <wps:wsp>
                      <wps:cNvSpPr txBox="1"/>
                      <wps:spPr>
                        <a:xfrm>
                          <a:off x="0" y="0"/>
                          <a:ext cx="295275" cy="266700"/>
                        </a:xfrm>
                        <a:prstGeom prst="rect">
                          <a:avLst/>
                        </a:prstGeom>
                        <a:solidFill>
                          <a:schemeClr val="lt1"/>
                        </a:solidFill>
                        <a:ln w="6350">
                          <a:solidFill>
                            <a:prstClr val="black"/>
                          </a:solidFill>
                        </a:ln>
                      </wps:spPr>
                      <wps:txbx>
                        <w:txbxContent>
                          <w:p w14:paraId="33053CA8" w14:textId="00933284" w:rsidR="004D600A" w:rsidRDefault="004D600A">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98AE35" id="Zone de texte 177" o:spid="_x0000_s1219" type="#_x0000_t202" style="position:absolute;left:0;text-align:left;margin-left:211.85pt;margin-top:4.15pt;width:23.25pt;height:21pt;z-index:25171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" fillcolor="white [3201]" strokeweight=".5pt">
                <v:textbox>
                  <w:txbxContent>
                    <w:p w14:paraId="33053CA8" w14:textId="00933284" w:rsidR="004D600A" w:rsidRDefault="004D600A">
                      <w:r>
                        <w:t>E</w:t>
                      </w:r>
                    </w:p>
                  </w:txbxContent>
                </v:textbox>
              </v:shape>
            </w:pict>
          </mc:Fallback>
        </mc:AlternateContent>
      </w:r>
    </w:p>
    <w:p w14:paraId="3C930B28" w14:textId="139AF5DA"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2683ECA7" w14:textId="2886547B"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46D284C4"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32F1D3AE"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26F8B03F"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071D3EF0"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63FA5311"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0E242DA0" w14:textId="77777777" w:rsidR="004D600A" w:rsidRPr="007C5A6E" w:rsidRDefault="004D600A"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22E14AA8" w14:textId="7A2B9D95" w:rsidR="00643AF0" w:rsidRPr="007C5A6E" w:rsidRDefault="00643AF0" w:rsidP="00391460">
      <w:pPr>
        <w:spacing w:after="0" w:line="240" w:lineRule="auto"/>
        <w:jc w:val="both"/>
        <w:rPr>
          <w:rFonts w:ascii="Times New Roman" w:hAnsi="Times New Roman"/>
          <w:b/>
          <w:bCs/>
          <w:spacing w:val="10"/>
          <w:sz w:val="24"/>
          <w:szCs w:val="24"/>
          <w:lang w:eastAsia="en-US"/>
        </w:rPr>
      </w:pPr>
      <w:bookmarkStart w:id="860" w:name="_Toc178703030"/>
    </w:p>
    <w:p w14:paraId="267EECA6" w14:textId="77777777" w:rsidR="00391460" w:rsidRPr="007C5A6E" w:rsidRDefault="00391460" w:rsidP="00391460">
      <w:pPr>
        <w:spacing w:after="0" w:line="240" w:lineRule="auto"/>
        <w:jc w:val="both"/>
        <w:rPr>
          <w:rFonts w:ascii="Times New Roman" w:hAnsi="Times New Roman"/>
          <w:b/>
          <w:bCs/>
          <w:spacing w:val="10"/>
          <w:sz w:val="24"/>
          <w:szCs w:val="24"/>
          <w:lang w:eastAsia="en-US"/>
        </w:rPr>
      </w:pPr>
    </w:p>
    <w:p w14:paraId="5274168A" w14:textId="77777777" w:rsidR="00391460" w:rsidRPr="007C5A6E" w:rsidRDefault="00391460" w:rsidP="00391460">
      <w:pPr>
        <w:spacing w:after="0" w:line="240" w:lineRule="auto"/>
        <w:jc w:val="both"/>
        <w:rPr>
          <w:rFonts w:ascii="Times New Roman" w:hAnsi="Times New Roman"/>
          <w:b/>
          <w:bCs/>
          <w:spacing w:val="10"/>
          <w:sz w:val="24"/>
          <w:szCs w:val="24"/>
          <w:lang w:eastAsia="en-US"/>
        </w:rPr>
      </w:pPr>
    </w:p>
    <w:p w14:paraId="3A127B6B" w14:textId="74ABF53B" w:rsidR="00391460" w:rsidRPr="007C5A6E" w:rsidRDefault="00A22DA3" w:rsidP="00391460">
      <w:pPr>
        <w:spacing w:after="0" w:line="240" w:lineRule="auto"/>
        <w:jc w:val="both"/>
        <w:rPr>
          <w:rFonts w:ascii="Times New Roman" w:hAnsi="Times New Roman"/>
          <w:spacing w:val="10"/>
          <w:sz w:val="20"/>
          <w:szCs w:val="20"/>
          <w:lang w:eastAsia="en-US"/>
        </w:rPr>
      </w:pPr>
      <w:r w:rsidRPr="007C5A6E">
        <w:rPr>
          <w:rFonts w:ascii="Times New Roman" w:hAnsi="Times New Roman"/>
          <w:spacing w:val="10"/>
          <w:sz w:val="20"/>
          <w:szCs w:val="20"/>
          <w:lang w:eastAsia="en-US"/>
        </w:rPr>
        <w:t>(</w:t>
      </w:r>
      <w:r w:rsidR="004D600A" w:rsidRPr="007C5A6E">
        <w:rPr>
          <w:rFonts w:ascii="Times New Roman" w:hAnsi="Times New Roman"/>
          <w:spacing w:val="10"/>
          <w:sz w:val="20"/>
          <w:szCs w:val="20"/>
          <w:lang w:eastAsia="en-US"/>
        </w:rPr>
        <w:t xml:space="preserve">Photos : </w:t>
      </w:r>
      <w:proofErr w:type="spellStart"/>
      <w:r w:rsidR="004D600A" w:rsidRPr="007C5A6E">
        <w:rPr>
          <w:rFonts w:ascii="Times New Roman" w:hAnsi="Times New Roman"/>
          <w:spacing w:val="10"/>
          <w:sz w:val="20"/>
          <w:szCs w:val="20"/>
          <w:lang w:eastAsia="en-US"/>
        </w:rPr>
        <w:t>Kissou</w:t>
      </w:r>
      <w:proofErr w:type="spellEnd"/>
      <w:r w:rsidR="004D600A" w:rsidRPr="007C5A6E">
        <w:rPr>
          <w:rFonts w:ascii="Times New Roman" w:hAnsi="Times New Roman"/>
          <w:spacing w:val="10"/>
          <w:sz w:val="20"/>
          <w:szCs w:val="20"/>
          <w:lang w:eastAsia="en-US"/>
        </w:rPr>
        <w:t xml:space="preserve">, Belemviré &amp; al, </w:t>
      </w:r>
      <w:proofErr w:type="spellStart"/>
      <w:r w:rsidR="00582A1F" w:rsidRPr="007C5A6E">
        <w:rPr>
          <w:rFonts w:ascii="Times New Roman" w:hAnsi="Times New Roman"/>
          <w:spacing w:val="10"/>
          <w:sz w:val="20"/>
          <w:szCs w:val="20"/>
          <w:lang w:eastAsia="en-US"/>
        </w:rPr>
        <w:t>Zombré</w:t>
      </w:r>
      <w:proofErr w:type="spellEnd"/>
      <w:r w:rsidR="00582A1F" w:rsidRPr="007C5A6E">
        <w:rPr>
          <w:rFonts w:ascii="Times New Roman" w:hAnsi="Times New Roman"/>
          <w:spacing w:val="10"/>
          <w:sz w:val="20"/>
          <w:szCs w:val="20"/>
          <w:lang w:eastAsia="en-US"/>
        </w:rPr>
        <w:t xml:space="preserve">, </w:t>
      </w:r>
      <w:proofErr w:type="spellStart"/>
      <w:r w:rsidR="004D600A" w:rsidRPr="007C5A6E">
        <w:rPr>
          <w:rFonts w:ascii="Times New Roman" w:hAnsi="Times New Roman"/>
          <w:spacing w:val="10"/>
          <w:sz w:val="20"/>
          <w:szCs w:val="20"/>
          <w:lang w:eastAsia="en-US"/>
        </w:rPr>
        <w:t>Botono</w:t>
      </w:r>
      <w:proofErr w:type="spellEnd"/>
      <w:r w:rsidR="004D600A" w:rsidRPr="007C5A6E">
        <w:rPr>
          <w:rFonts w:ascii="Times New Roman" w:hAnsi="Times New Roman"/>
          <w:spacing w:val="10"/>
          <w:sz w:val="20"/>
          <w:szCs w:val="20"/>
          <w:lang w:eastAsia="en-US"/>
        </w:rPr>
        <w:t xml:space="preserve"> &amp; al</w:t>
      </w:r>
      <w:r w:rsidRPr="007C5A6E">
        <w:rPr>
          <w:rFonts w:ascii="Times New Roman" w:hAnsi="Times New Roman"/>
          <w:spacing w:val="10"/>
          <w:sz w:val="20"/>
          <w:szCs w:val="20"/>
          <w:lang w:eastAsia="en-US"/>
        </w:rPr>
        <w:t>)</w:t>
      </w:r>
      <w:r w:rsidR="004D600A" w:rsidRPr="007C5A6E">
        <w:rPr>
          <w:rFonts w:ascii="Times New Roman" w:hAnsi="Times New Roman"/>
          <w:spacing w:val="10"/>
          <w:sz w:val="20"/>
          <w:szCs w:val="20"/>
          <w:lang w:eastAsia="en-US"/>
        </w:rPr>
        <w:t xml:space="preserve"> </w:t>
      </w:r>
    </w:p>
    <w:p w14:paraId="459437BB" w14:textId="01C20192" w:rsidR="00391460" w:rsidRPr="007C5A6E" w:rsidRDefault="00173386" w:rsidP="009A08D5">
      <w:pPr>
        <w:pStyle w:val="Lgende"/>
        <w:spacing w:after="0"/>
        <w:jc w:val="both"/>
        <w:rPr>
          <w:rFonts w:ascii="Times New Roman" w:hAnsi="Times New Roman"/>
          <w:color w:val="auto"/>
          <w:spacing w:val="10"/>
          <w:sz w:val="22"/>
          <w:szCs w:val="22"/>
          <w:lang w:eastAsia="en-US"/>
        </w:rPr>
      </w:pPr>
      <w:bookmarkStart w:id="861" w:name="_Toc183292375"/>
      <w:r w:rsidRPr="007C5A6E">
        <w:rPr>
          <w:rFonts w:ascii="Times New Roman" w:hAnsi="Times New Roman"/>
          <w:color w:val="auto"/>
          <w:sz w:val="22"/>
          <w:szCs w:val="22"/>
        </w:rPr>
        <w:t xml:space="preserve">Photo </w:t>
      </w:r>
      <w:r w:rsidRPr="007C5A6E">
        <w:rPr>
          <w:rFonts w:ascii="Times New Roman" w:hAnsi="Times New Roman"/>
          <w:color w:val="auto"/>
          <w:sz w:val="22"/>
          <w:szCs w:val="22"/>
        </w:rPr>
        <w:fldChar w:fldCharType="begin"/>
      </w:r>
      <w:r w:rsidRPr="007C5A6E">
        <w:rPr>
          <w:rFonts w:ascii="Times New Roman" w:hAnsi="Times New Roman"/>
          <w:color w:val="auto"/>
          <w:sz w:val="22"/>
          <w:szCs w:val="22"/>
        </w:rPr>
        <w:instrText xml:space="preserve"> SEQ Photo \* ARABIC </w:instrText>
      </w:r>
      <w:r w:rsidRPr="007C5A6E">
        <w:rPr>
          <w:rFonts w:ascii="Times New Roman" w:hAnsi="Times New Roman"/>
          <w:color w:val="auto"/>
          <w:sz w:val="22"/>
          <w:szCs w:val="22"/>
        </w:rPr>
        <w:fldChar w:fldCharType="separate"/>
      </w:r>
      <w:r w:rsidR="009A08D5" w:rsidRPr="007C5A6E">
        <w:rPr>
          <w:rFonts w:ascii="Times New Roman" w:hAnsi="Times New Roman"/>
          <w:noProof/>
          <w:color w:val="auto"/>
          <w:sz w:val="22"/>
          <w:szCs w:val="22"/>
        </w:rPr>
        <w:t>3</w:t>
      </w:r>
      <w:r w:rsidRPr="007C5A6E">
        <w:rPr>
          <w:rFonts w:ascii="Times New Roman" w:hAnsi="Times New Roman"/>
          <w:color w:val="auto"/>
          <w:sz w:val="22"/>
          <w:szCs w:val="22"/>
        </w:rPr>
        <w:fldChar w:fldCharType="end"/>
      </w:r>
      <w:r w:rsidR="00A22DA3" w:rsidRPr="007C5A6E">
        <w:rPr>
          <w:rFonts w:ascii="Times New Roman" w:hAnsi="Times New Roman"/>
          <w:color w:val="auto"/>
          <w:sz w:val="22"/>
          <w:szCs w:val="22"/>
        </w:rPr>
        <w:t>.</w:t>
      </w:r>
      <w:r w:rsidR="004D600A" w:rsidRPr="007C5A6E">
        <w:rPr>
          <w:rFonts w:ascii="Times New Roman" w:hAnsi="Times New Roman"/>
          <w:color w:val="auto"/>
          <w:spacing w:val="10"/>
          <w:sz w:val="22"/>
          <w:szCs w:val="22"/>
          <w:lang w:eastAsia="en-US"/>
        </w:rPr>
        <w:t xml:space="preserve"> Images de quelques technologies endogènes de conservation des eaux et des sols</w:t>
      </w:r>
      <w:r w:rsidRPr="007C5A6E">
        <w:rPr>
          <w:rFonts w:ascii="Times New Roman" w:hAnsi="Times New Roman"/>
          <w:color w:val="auto"/>
          <w:spacing w:val="10"/>
          <w:sz w:val="22"/>
          <w:szCs w:val="22"/>
          <w:lang w:eastAsia="en-US"/>
        </w:rPr>
        <w:t> : cordons pierreux (A), Diguettes filtrantes (B), Bande enherbées (C), Zaï (D), Demi-lunes (E), RNA (F)</w:t>
      </w:r>
      <w:bookmarkEnd w:id="861"/>
      <w:r w:rsidR="004D600A" w:rsidRPr="007C5A6E">
        <w:rPr>
          <w:rFonts w:ascii="Times New Roman" w:hAnsi="Times New Roman"/>
          <w:color w:val="auto"/>
          <w:spacing w:val="10"/>
          <w:sz w:val="22"/>
          <w:szCs w:val="22"/>
          <w:lang w:eastAsia="en-US"/>
        </w:rPr>
        <w:t xml:space="preserve"> </w:t>
      </w:r>
    </w:p>
    <w:p w14:paraId="0D9522A9" w14:textId="77777777" w:rsidR="009A08D5" w:rsidRPr="007C5A6E" w:rsidRDefault="009A08D5" w:rsidP="009A08D5">
      <w:pPr>
        <w:spacing w:after="0" w:line="240" w:lineRule="auto"/>
        <w:rPr>
          <w:lang w:eastAsia="en-US"/>
        </w:rPr>
      </w:pPr>
    </w:p>
    <w:p w14:paraId="69BBF0F0" w14:textId="77272085" w:rsidR="00643AF0" w:rsidRPr="007C5A6E" w:rsidRDefault="00643AF0" w:rsidP="00684FF8">
      <w:pPr>
        <w:pStyle w:val="Titre4"/>
      </w:pPr>
      <w:bookmarkStart w:id="862" w:name="_Toc181982262"/>
      <w:bookmarkStart w:id="863" w:name="_Toc183340185"/>
      <w:bookmarkEnd w:id="860"/>
      <w:r w:rsidRPr="007C5A6E">
        <w:t>Diguettes filtrantes</w:t>
      </w:r>
      <w:bookmarkEnd w:id="862"/>
      <w:bookmarkEnd w:id="863"/>
      <w:r w:rsidRPr="007C5A6E">
        <w:t xml:space="preserve"> </w:t>
      </w:r>
    </w:p>
    <w:p w14:paraId="3E672F78" w14:textId="77777777" w:rsidR="00173386" w:rsidRPr="007C5A6E" w:rsidRDefault="00173386"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14C4FF36" w14:textId="383D1E8C" w:rsidR="00643AF0" w:rsidRPr="007C5A6E" w:rsidRDefault="00643AF0"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Ce sont des ouvrages construits en pierres libres à travers un thalweg ou bas-fond dans lequel des eaux de ruissellement se concentrent lors des grandes pluies. La digue sert à freiner la vitesse de l'eau des crues, et elle épand ces eaux sur une superficie au côté amont, action par laquelle l'infiltration est augmentée et des sédiments sont déposés. La superficie inondable constitue un champ cultivable sur lequel on obtient de bons rendements (</w:t>
      </w:r>
      <w:proofErr w:type="spellStart"/>
      <w:r w:rsidRPr="007C5A6E">
        <w:rPr>
          <w:rFonts w:ascii="Times New Roman" w:eastAsia="Calibri" w:hAnsi="Times New Roman"/>
          <w:kern w:val="2"/>
          <w:sz w:val="24"/>
          <w:szCs w:val="24"/>
          <w:lang w:eastAsia="en-US"/>
          <w14:ligatures w14:val="standardContextual"/>
        </w:rPr>
        <w:t>CNABio</w:t>
      </w:r>
      <w:proofErr w:type="spellEnd"/>
      <w:r w:rsidRPr="007C5A6E">
        <w:rPr>
          <w:rFonts w:ascii="Times New Roman" w:eastAsia="Calibri" w:hAnsi="Times New Roman"/>
          <w:kern w:val="2"/>
          <w:sz w:val="24"/>
          <w:szCs w:val="24"/>
          <w:lang w:eastAsia="en-US"/>
          <w14:ligatures w14:val="standardContextual"/>
        </w:rPr>
        <w:t xml:space="preserve">, 2023). Le tableau </w:t>
      </w:r>
      <w:r w:rsidR="00173386" w:rsidRPr="007C5A6E">
        <w:rPr>
          <w:rFonts w:ascii="Times New Roman" w:eastAsia="Calibri" w:hAnsi="Times New Roman"/>
          <w:kern w:val="2"/>
          <w:sz w:val="24"/>
          <w:szCs w:val="24"/>
          <w:lang w:eastAsia="en-US"/>
          <w14:ligatures w14:val="standardContextual"/>
        </w:rPr>
        <w:t>3</w:t>
      </w:r>
      <w:r w:rsidR="0041104B" w:rsidRPr="007C5A6E">
        <w:rPr>
          <w:rFonts w:ascii="Times New Roman" w:eastAsia="Calibri" w:hAnsi="Times New Roman"/>
          <w:kern w:val="2"/>
          <w:sz w:val="24"/>
          <w:szCs w:val="24"/>
          <w:lang w:eastAsia="en-US"/>
          <w14:ligatures w14:val="standardContextual"/>
        </w:rPr>
        <w:t>6</w:t>
      </w:r>
      <w:r w:rsidRPr="007C5A6E">
        <w:rPr>
          <w:rFonts w:ascii="Times New Roman" w:eastAsia="Calibri" w:hAnsi="Times New Roman"/>
          <w:kern w:val="2"/>
          <w:sz w:val="24"/>
          <w:szCs w:val="24"/>
          <w:lang w:eastAsia="en-US"/>
          <w14:ligatures w14:val="standardContextual"/>
        </w:rPr>
        <w:t xml:space="preserve"> donne</w:t>
      </w:r>
      <w:r w:rsidR="00F34CA1" w:rsidRPr="007C5A6E">
        <w:rPr>
          <w:rFonts w:ascii="Times New Roman" w:eastAsia="Calibri" w:hAnsi="Times New Roman"/>
          <w:kern w:val="2"/>
          <w:sz w:val="24"/>
          <w:szCs w:val="24"/>
          <w:lang w:eastAsia="en-US"/>
          <w14:ligatures w14:val="standardContextual"/>
        </w:rPr>
        <w:t xml:space="preserve"> </w:t>
      </w:r>
      <w:r w:rsidRPr="007C5A6E">
        <w:rPr>
          <w:rFonts w:ascii="Times New Roman" w:eastAsia="Calibri" w:hAnsi="Times New Roman"/>
          <w:kern w:val="2"/>
          <w:sz w:val="24"/>
          <w:szCs w:val="24"/>
          <w:lang w:eastAsia="en-US"/>
          <w14:ligatures w14:val="standardContextual"/>
        </w:rPr>
        <w:t>les superficies des diguettes filtrantes en pourcentage.</w:t>
      </w:r>
    </w:p>
    <w:p w14:paraId="647F73A3" w14:textId="77777777" w:rsidR="00643AF0" w:rsidRPr="007C5A6E" w:rsidRDefault="00643AF0" w:rsidP="00391460">
      <w:pPr>
        <w:autoSpaceDE w:val="0"/>
        <w:autoSpaceDN w:val="0"/>
        <w:adjustRightInd w:val="0"/>
        <w:spacing w:after="0" w:line="240" w:lineRule="auto"/>
        <w:jc w:val="both"/>
        <w:rPr>
          <w:rFonts w:ascii="Times New Roman" w:eastAsia="Calibri" w:hAnsi="Times New Roman"/>
          <w:kern w:val="2"/>
          <w:sz w:val="24"/>
          <w:szCs w:val="24"/>
          <w:lang w:eastAsia="en-US"/>
          <w14:ligatures w14:val="standardContextual"/>
        </w:rPr>
      </w:pPr>
    </w:p>
    <w:p w14:paraId="088416D3" w14:textId="54748C04" w:rsidR="00643AF0" w:rsidRPr="007C5A6E" w:rsidRDefault="00643AF0" w:rsidP="00391460">
      <w:pPr>
        <w:keepNext/>
        <w:spacing w:after="0" w:line="240" w:lineRule="auto"/>
        <w:jc w:val="both"/>
        <w:rPr>
          <w:rFonts w:ascii="Times New Roman" w:hAnsi="Times New Roman"/>
          <w:spacing w:val="10"/>
          <w:sz w:val="24"/>
          <w:szCs w:val="24"/>
          <w:lang w:eastAsia="en-US"/>
        </w:rPr>
      </w:pPr>
      <w:bookmarkStart w:id="864" w:name="_Toc181983405"/>
      <w:bookmarkStart w:id="865" w:name="_Toc183240998"/>
      <w:bookmarkStart w:id="866" w:name="_Toc183292240"/>
      <w:bookmarkStart w:id="867" w:name="_Toc183340520"/>
      <w:r w:rsidRPr="007C5A6E">
        <w:rPr>
          <w:rFonts w:ascii="Times New Roman" w:hAnsi="Times New Roman"/>
          <w:spacing w:val="10"/>
          <w:sz w:val="24"/>
          <w:szCs w:val="24"/>
          <w:lang w:eastAsia="en-US"/>
        </w:rPr>
        <w:t xml:space="preserve">Tableau </w:t>
      </w:r>
      <w:r w:rsidRPr="007C5A6E">
        <w:rPr>
          <w:rFonts w:ascii="Times New Roman" w:hAnsi="Times New Roman"/>
          <w:spacing w:val="10"/>
          <w:sz w:val="24"/>
          <w:szCs w:val="24"/>
          <w:lang w:eastAsia="en-US"/>
        </w:rPr>
        <w:fldChar w:fldCharType="begin"/>
      </w:r>
      <w:r w:rsidRPr="007C5A6E">
        <w:rPr>
          <w:rFonts w:ascii="Times New Roman" w:hAnsi="Times New Roman"/>
          <w:spacing w:val="10"/>
          <w:sz w:val="24"/>
          <w:szCs w:val="24"/>
          <w:lang w:eastAsia="en-US"/>
        </w:rPr>
        <w:instrText xml:space="preserve"> SEQ Tableau \* ARABIC </w:instrText>
      </w:r>
      <w:r w:rsidRPr="007C5A6E">
        <w:rPr>
          <w:rFonts w:ascii="Times New Roman" w:hAnsi="Times New Roman"/>
          <w:spacing w:val="10"/>
          <w:sz w:val="24"/>
          <w:szCs w:val="24"/>
          <w:lang w:eastAsia="en-US"/>
        </w:rPr>
        <w:fldChar w:fldCharType="separate"/>
      </w:r>
      <w:r w:rsidR="009A08D5" w:rsidRPr="007C5A6E">
        <w:rPr>
          <w:rFonts w:ascii="Times New Roman" w:hAnsi="Times New Roman"/>
          <w:noProof/>
          <w:spacing w:val="10"/>
          <w:sz w:val="24"/>
          <w:szCs w:val="24"/>
          <w:lang w:eastAsia="en-US"/>
        </w:rPr>
        <w:t>36</w:t>
      </w:r>
      <w:r w:rsidRPr="007C5A6E">
        <w:rPr>
          <w:rFonts w:ascii="Times New Roman" w:hAnsi="Times New Roman"/>
          <w:spacing w:val="10"/>
          <w:sz w:val="24"/>
          <w:szCs w:val="24"/>
          <w:lang w:eastAsia="en-US"/>
        </w:rPr>
        <w:fldChar w:fldCharType="end"/>
      </w:r>
      <w:r w:rsidRPr="007C5A6E">
        <w:rPr>
          <w:rFonts w:ascii="Times New Roman" w:hAnsi="Times New Roman"/>
          <w:spacing w:val="10"/>
          <w:sz w:val="24"/>
          <w:szCs w:val="24"/>
          <w:lang w:eastAsia="en-US"/>
        </w:rPr>
        <w:t xml:space="preserve"> : Part de la superficie sous diguettes filtrantes de 2016 à 2021 (en %)</w:t>
      </w:r>
      <w:bookmarkEnd w:id="864"/>
      <w:bookmarkEnd w:id="865"/>
      <w:bookmarkEnd w:id="866"/>
      <w:bookmarkEnd w:id="867"/>
    </w:p>
    <w:p w14:paraId="5B500301" w14:textId="77777777" w:rsidR="0041104B" w:rsidRPr="007C5A6E" w:rsidRDefault="0041104B" w:rsidP="00391460">
      <w:pPr>
        <w:keepNext/>
        <w:spacing w:after="0" w:line="240" w:lineRule="auto"/>
        <w:jc w:val="both"/>
        <w:rPr>
          <w:rFonts w:ascii="Times New Roman" w:hAnsi="Times New Roman"/>
          <w:spacing w:val="10"/>
          <w:sz w:val="24"/>
          <w:szCs w:val="24"/>
          <w:lang w:eastAsia="en-US"/>
        </w:rPr>
      </w:pPr>
    </w:p>
    <w:tbl>
      <w:tblPr>
        <w:tblW w:w="9040" w:type="dxa"/>
        <w:tblLook w:val="04A0" w:firstRow="1" w:lastRow="0" w:firstColumn="1" w:lastColumn="0" w:noHBand="0" w:noVBand="1"/>
      </w:tblPr>
      <w:tblGrid>
        <w:gridCol w:w="2972"/>
        <w:gridCol w:w="992"/>
        <w:gridCol w:w="993"/>
        <w:gridCol w:w="1134"/>
        <w:gridCol w:w="992"/>
        <w:gridCol w:w="992"/>
        <w:gridCol w:w="965"/>
      </w:tblGrid>
      <w:tr w:rsidR="00643AF0" w:rsidRPr="007C5A6E" w14:paraId="6C4C3151" w14:textId="77777777" w:rsidTr="001461B0">
        <w:trPr>
          <w:trHeight w:val="290"/>
        </w:trPr>
        <w:tc>
          <w:tcPr>
            <w:tcW w:w="2972" w:type="dxa"/>
            <w:tcBorders>
              <w:top w:val="single" w:sz="18" w:space="0" w:color="auto"/>
              <w:bottom w:val="single" w:sz="18" w:space="0" w:color="auto"/>
            </w:tcBorders>
            <w:shd w:val="clear" w:color="auto" w:fill="auto"/>
            <w:noWrap/>
            <w:vAlign w:val="bottom"/>
            <w:hideMark/>
          </w:tcPr>
          <w:p w14:paraId="4E6C51A0" w14:textId="77777777" w:rsidR="00643AF0" w:rsidRPr="007C5A6E" w:rsidRDefault="00643AF0" w:rsidP="00391460">
            <w:pPr>
              <w:spacing w:after="0" w:line="240" w:lineRule="auto"/>
              <w:rPr>
                <w:rFonts w:ascii="Times New Roman" w:hAnsi="Times New Roman"/>
                <w:color w:val="000000"/>
                <w:lang w:eastAsia="en-US"/>
              </w:rPr>
            </w:pPr>
            <w:r w:rsidRPr="007C5A6E">
              <w:rPr>
                <w:rFonts w:ascii="Times New Roman" w:hAnsi="Times New Roman"/>
                <w:color w:val="000000"/>
                <w:lang w:eastAsia="en-US"/>
              </w:rPr>
              <w:t>Année</w:t>
            </w:r>
          </w:p>
        </w:tc>
        <w:tc>
          <w:tcPr>
            <w:tcW w:w="992" w:type="dxa"/>
            <w:tcBorders>
              <w:top w:val="single" w:sz="18" w:space="0" w:color="auto"/>
              <w:bottom w:val="single" w:sz="18" w:space="0" w:color="auto"/>
            </w:tcBorders>
            <w:shd w:val="clear" w:color="auto" w:fill="auto"/>
            <w:noWrap/>
            <w:vAlign w:val="bottom"/>
            <w:hideMark/>
          </w:tcPr>
          <w:p w14:paraId="2C845113"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2016</w:t>
            </w:r>
          </w:p>
        </w:tc>
        <w:tc>
          <w:tcPr>
            <w:tcW w:w="993" w:type="dxa"/>
            <w:tcBorders>
              <w:top w:val="single" w:sz="18" w:space="0" w:color="auto"/>
              <w:bottom w:val="single" w:sz="18" w:space="0" w:color="auto"/>
            </w:tcBorders>
            <w:shd w:val="clear" w:color="auto" w:fill="auto"/>
            <w:noWrap/>
            <w:vAlign w:val="bottom"/>
            <w:hideMark/>
          </w:tcPr>
          <w:p w14:paraId="6B271998"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2017</w:t>
            </w:r>
          </w:p>
        </w:tc>
        <w:tc>
          <w:tcPr>
            <w:tcW w:w="1134" w:type="dxa"/>
            <w:tcBorders>
              <w:top w:val="single" w:sz="18" w:space="0" w:color="auto"/>
              <w:bottom w:val="single" w:sz="18" w:space="0" w:color="auto"/>
            </w:tcBorders>
            <w:shd w:val="clear" w:color="auto" w:fill="auto"/>
            <w:noWrap/>
            <w:vAlign w:val="bottom"/>
            <w:hideMark/>
          </w:tcPr>
          <w:p w14:paraId="560DD84D"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2018</w:t>
            </w:r>
          </w:p>
        </w:tc>
        <w:tc>
          <w:tcPr>
            <w:tcW w:w="992" w:type="dxa"/>
            <w:tcBorders>
              <w:top w:val="single" w:sz="18" w:space="0" w:color="auto"/>
              <w:bottom w:val="single" w:sz="18" w:space="0" w:color="auto"/>
            </w:tcBorders>
            <w:shd w:val="clear" w:color="auto" w:fill="auto"/>
            <w:noWrap/>
            <w:vAlign w:val="bottom"/>
            <w:hideMark/>
          </w:tcPr>
          <w:p w14:paraId="6C2FD404"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2019</w:t>
            </w:r>
          </w:p>
        </w:tc>
        <w:tc>
          <w:tcPr>
            <w:tcW w:w="992" w:type="dxa"/>
            <w:tcBorders>
              <w:top w:val="single" w:sz="18" w:space="0" w:color="auto"/>
              <w:bottom w:val="single" w:sz="18" w:space="0" w:color="auto"/>
            </w:tcBorders>
            <w:shd w:val="clear" w:color="auto" w:fill="auto"/>
            <w:noWrap/>
            <w:vAlign w:val="bottom"/>
            <w:hideMark/>
          </w:tcPr>
          <w:p w14:paraId="01E599B0"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2020</w:t>
            </w:r>
          </w:p>
        </w:tc>
        <w:tc>
          <w:tcPr>
            <w:tcW w:w="965" w:type="dxa"/>
            <w:tcBorders>
              <w:top w:val="single" w:sz="18" w:space="0" w:color="auto"/>
              <w:bottom w:val="single" w:sz="18" w:space="0" w:color="auto"/>
            </w:tcBorders>
            <w:shd w:val="clear" w:color="auto" w:fill="auto"/>
            <w:noWrap/>
            <w:vAlign w:val="bottom"/>
            <w:hideMark/>
          </w:tcPr>
          <w:p w14:paraId="6045AEB5"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2021</w:t>
            </w:r>
          </w:p>
        </w:tc>
      </w:tr>
      <w:tr w:rsidR="00643AF0" w:rsidRPr="007C5A6E" w14:paraId="6EA3E5C0" w14:textId="77777777" w:rsidTr="001461B0">
        <w:trPr>
          <w:trHeight w:val="290"/>
        </w:trPr>
        <w:tc>
          <w:tcPr>
            <w:tcW w:w="2972" w:type="dxa"/>
            <w:tcBorders>
              <w:top w:val="single" w:sz="18" w:space="0" w:color="auto"/>
            </w:tcBorders>
            <w:shd w:val="clear" w:color="auto" w:fill="auto"/>
            <w:noWrap/>
            <w:vAlign w:val="bottom"/>
          </w:tcPr>
          <w:p w14:paraId="420CDFEB" w14:textId="77777777" w:rsidR="00643AF0" w:rsidRPr="007C5A6E" w:rsidRDefault="00643AF0" w:rsidP="00391460">
            <w:pPr>
              <w:spacing w:after="0" w:line="240" w:lineRule="auto"/>
              <w:rPr>
                <w:rFonts w:ascii="Times New Roman" w:hAnsi="Times New Roman"/>
                <w:color w:val="000000"/>
                <w:lang w:eastAsia="en-US"/>
              </w:rPr>
            </w:pPr>
            <w:r w:rsidRPr="007C5A6E">
              <w:rPr>
                <w:rFonts w:ascii="Times New Roman" w:hAnsi="Times New Roman"/>
                <w:color w:val="000000"/>
                <w:lang w:eastAsia="en-US"/>
              </w:rPr>
              <w:t>Burkina Faso</w:t>
            </w:r>
          </w:p>
        </w:tc>
        <w:tc>
          <w:tcPr>
            <w:tcW w:w="992" w:type="dxa"/>
            <w:tcBorders>
              <w:top w:val="single" w:sz="18" w:space="0" w:color="auto"/>
            </w:tcBorders>
            <w:shd w:val="clear" w:color="auto" w:fill="auto"/>
            <w:noWrap/>
            <w:vAlign w:val="bottom"/>
            <w:hideMark/>
          </w:tcPr>
          <w:p w14:paraId="02F71F01"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0,25</w:t>
            </w:r>
          </w:p>
        </w:tc>
        <w:tc>
          <w:tcPr>
            <w:tcW w:w="993" w:type="dxa"/>
            <w:tcBorders>
              <w:top w:val="single" w:sz="18" w:space="0" w:color="auto"/>
            </w:tcBorders>
            <w:shd w:val="clear" w:color="auto" w:fill="auto"/>
            <w:noWrap/>
            <w:vAlign w:val="bottom"/>
            <w:hideMark/>
          </w:tcPr>
          <w:p w14:paraId="5D6D1AAA"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0,31</w:t>
            </w:r>
          </w:p>
        </w:tc>
        <w:tc>
          <w:tcPr>
            <w:tcW w:w="1134" w:type="dxa"/>
            <w:tcBorders>
              <w:top w:val="single" w:sz="18" w:space="0" w:color="auto"/>
            </w:tcBorders>
            <w:shd w:val="clear" w:color="auto" w:fill="auto"/>
            <w:noWrap/>
            <w:vAlign w:val="bottom"/>
            <w:hideMark/>
          </w:tcPr>
          <w:p w14:paraId="3DA4D988"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0,41</w:t>
            </w:r>
          </w:p>
        </w:tc>
        <w:tc>
          <w:tcPr>
            <w:tcW w:w="992" w:type="dxa"/>
            <w:tcBorders>
              <w:top w:val="single" w:sz="18" w:space="0" w:color="auto"/>
            </w:tcBorders>
            <w:shd w:val="clear" w:color="auto" w:fill="auto"/>
            <w:noWrap/>
            <w:vAlign w:val="bottom"/>
            <w:hideMark/>
          </w:tcPr>
          <w:p w14:paraId="783A04DA"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0,20</w:t>
            </w:r>
          </w:p>
        </w:tc>
        <w:tc>
          <w:tcPr>
            <w:tcW w:w="992" w:type="dxa"/>
            <w:tcBorders>
              <w:top w:val="single" w:sz="18" w:space="0" w:color="auto"/>
            </w:tcBorders>
            <w:shd w:val="clear" w:color="auto" w:fill="auto"/>
            <w:noWrap/>
            <w:vAlign w:val="bottom"/>
            <w:hideMark/>
          </w:tcPr>
          <w:p w14:paraId="64D92637"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0,35</w:t>
            </w:r>
          </w:p>
        </w:tc>
        <w:tc>
          <w:tcPr>
            <w:tcW w:w="965" w:type="dxa"/>
            <w:tcBorders>
              <w:top w:val="single" w:sz="18" w:space="0" w:color="auto"/>
            </w:tcBorders>
            <w:shd w:val="clear" w:color="auto" w:fill="auto"/>
            <w:noWrap/>
            <w:vAlign w:val="bottom"/>
            <w:hideMark/>
          </w:tcPr>
          <w:p w14:paraId="799BF21B"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0,26</w:t>
            </w:r>
          </w:p>
        </w:tc>
      </w:tr>
      <w:tr w:rsidR="00643AF0" w:rsidRPr="007C5A6E" w14:paraId="293B542F" w14:textId="77777777" w:rsidTr="001461B0">
        <w:trPr>
          <w:trHeight w:val="60"/>
        </w:trPr>
        <w:tc>
          <w:tcPr>
            <w:tcW w:w="2972" w:type="dxa"/>
            <w:tcBorders>
              <w:bottom w:val="single" w:sz="18" w:space="0" w:color="auto"/>
            </w:tcBorders>
            <w:shd w:val="clear" w:color="auto" w:fill="auto"/>
            <w:noWrap/>
            <w:vAlign w:val="bottom"/>
            <w:hideMark/>
          </w:tcPr>
          <w:p w14:paraId="20B1DEFA" w14:textId="77777777" w:rsidR="00643AF0" w:rsidRPr="007C5A6E" w:rsidRDefault="00643AF0" w:rsidP="00391460">
            <w:pPr>
              <w:spacing w:after="0" w:line="240" w:lineRule="auto"/>
              <w:rPr>
                <w:rFonts w:ascii="Times New Roman" w:hAnsi="Times New Roman"/>
                <w:color w:val="000000"/>
                <w:lang w:eastAsia="en-US"/>
              </w:rPr>
            </w:pPr>
          </w:p>
        </w:tc>
        <w:tc>
          <w:tcPr>
            <w:tcW w:w="992" w:type="dxa"/>
            <w:tcBorders>
              <w:bottom w:val="single" w:sz="18" w:space="0" w:color="auto"/>
            </w:tcBorders>
            <w:shd w:val="clear" w:color="auto" w:fill="auto"/>
            <w:noWrap/>
            <w:vAlign w:val="bottom"/>
            <w:hideMark/>
          </w:tcPr>
          <w:p w14:paraId="62C3E9C5" w14:textId="77777777" w:rsidR="00643AF0" w:rsidRPr="007C5A6E" w:rsidRDefault="00643AF0" w:rsidP="00391460">
            <w:pPr>
              <w:spacing w:after="0" w:line="240" w:lineRule="auto"/>
              <w:jc w:val="right"/>
              <w:rPr>
                <w:rFonts w:ascii="Times New Roman" w:hAnsi="Times New Roman"/>
                <w:color w:val="000000"/>
                <w:lang w:eastAsia="en-US"/>
              </w:rPr>
            </w:pPr>
          </w:p>
        </w:tc>
        <w:tc>
          <w:tcPr>
            <w:tcW w:w="993" w:type="dxa"/>
            <w:tcBorders>
              <w:bottom w:val="single" w:sz="18" w:space="0" w:color="auto"/>
            </w:tcBorders>
            <w:shd w:val="clear" w:color="auto" w:fill="auto"/>
            <w:noWrap/>
            <w:vAlign w:val="bottom"/>
            <w:hideMark/>
          </w:tcPr>
          <w:p w14:paraId="10EC1950" w14:textId="77777777" w:rsidR="00643AF0" w:rsidRPr="007C5A6E" w:rsidRDefault="00643AF0" w:rsidP="00391460">
            <w:pPr>
              <w:spacing w:after="0" w:line="240" w:lineRule="auto"/>
              <w:jc w:val="right"/>
              <w:rPr>
                <w:rFonts w:ascii="Times New Roman" w:hAnsi="Times New Roman"/>
                <w:color w:val="000000"/>
                <w:lang w:eastAsia="en-US"/>
              </w:rPr>
            </w:pPr>
          </w:p>
        </w:tc>
        <w:tc>
          <w:tcPr>
            <w:tcW w:w="1134" w:type="dxa"/>
            <w:tcBorders>
              <w:bottom w:val="single" w:sz="18" w:space="0" w:color="auto"/>
            </w:tcBorders>
            <w:shd w:val="clear" w:color="auto" w:fill="auto"/>
            <w:noWrap/>
            <w:vAlign w:val="bottom"/>
            <w:hideMark/>
          </w:tcPr>
          <w:p w14:paraId="4C93D75F" w14:textId="77777777" w:rsidR="00643AF0" w:rsidRPr="007C5A6E" w:rsidRDefault="00643AF0" w:rsidP="00391460">
            <w:pPr>
              <w:spacing w:after="0" w:line="240" w:lineRule="auto"/>
              <w:jc w:val="right"/>
              <w:rPr>
                <w:rFonts w:ascii="Times New Roman" w:hAnsi="Times New Roman"/>
                <w:color w:val="000000"/>
                <w:lang w:eastAsia="en-US"/>
              </w:rPr>
            </w:pPr>
          </w:p>
        </w:tc>
        <w:tc>
          <w:tcPr>
            <w:tcW w:w="992" w:type="dxa"/>
            <w:tcBorders>
              <w:bottom w:val="single" w:sz="18" w:space="0" w:color="auto"/>
            </w:tcBorders>
            <w:shd w:val="clear" w:color="auto" w:fill="auto"/>
            <w:noWrap/>
            <w:vAlign w:val="bottom"/>
            <w:hideMark/>
          </w:tcPr>
          <w:p w14:paraId="5EBA3206" w14:textId="77777777" w:rsidR="00643AF0" w:rsidRPr="007C5A6E" w:rsidRDefault="00643AF0" w:rsidP="00391460">
            <w:pPr>
              <w:spacing w:after="0" w:line="240" w:lineRule="auto"/>
              <w:jc w:val="right"/>
              <w:rPr>
                <w:rFonts w:ascii="Times New Roman" w:hAnsi="Times New Roman"/>
                <w:color w:val="000000"/>
                <w:lang w:eastAsia="en-US"/>
              </w:rPr>
            </w:pPr>
          </w:p>
        </w:tc>
        <w:tc>
          <w:tcPr>
            <w:tcW w:w="992" w:type="dxa"/>
            <w:tcBorders>
              <w:bottom w:val="single" w:sz="18" w:space="0" w:color="auto"/>
            </w:tcBorders>
            <w:shd w:val="clear" w:color="auto" w:fill="auto"/>
            <w:noWrap/>
            <w:vAlign w:val="bottom"/>
            <w:hideMark/>
          </w:tcPr>
          <w:p w14:paraId="281DFA34" w14:textId="77777777" w:rsidR="00643AF0" w:rsidRPr="007C5A6E" w:rsidRDefault="00643AF0" w:rsidP="00391460">
            <w:pPr>
              <w:spacing w:after="0" w:line="240" w:lineRule="auto"/>
              <w:jc w:val="right"/>
              <w:rPr>
                <w:rFonts w:ascii="Times New Roman" w:hAnsi="Times New Roman"/>
                <w:color w:val="000000"/>
                <w:lang w:eastAsia="en-US"/>
              </w:rPr>
            </w:pPr>
          </w:p>
        </w:tc>
        <w:tc>
          <w:tcPr>
            <w:tcW w:w="965" w:type="dxa"/>
            <w:tcBorders>
              <w:bottom w:val="single" w:sz="18" w:space="0" w:color="auto"/>
            </w:tcBorders>
            <w:shd w:val="clear" w:color="auto" w:fill="auto"/>
            <w:noWrap/>
            <w:vAlign w:val="bottom"/>
            <w:hideMark/>
          </w:tcPr>
          <w:p w14:paraId="2114778E" w14:textId="77777777" w:rsidR="00643AF0" w:rsidRPr="007C5A6E" w:rsidRDefault="00643AF0" w:rsidP="00391460">
            <w:pPr>
              <w:spacing w:after="0" w:line="240" w:lineRule="auto"/>
              <w:jc w:val="right"/>
              <w:rPr>
                <w:rFonts w:ascii="Times New Roman" w:hAnsi="Times New Roman"/>
                <w:color w:val="000000"/>
                <w:lang w:eastAsia="en-US"/>
              </w:rPr>
            </w:pPr>
          </w:p>
        </w:tc>
      </w:tr>
    </w:tbl>
    <w:p w14:paraId="6419617E" w14:textId="77777777" w:rsidR="00643AF0" w:rsidRPr="007C5A6E" w:rsidRDefault="00643AF0" w:rsidP="00391460">
      <w:pPr>
        <w:spacing w:after="0" w:line="240" w:lineRule="auto"/>
        <w:rPr>
          <w:rFonts w:ascii="Times New Roman" w:eastAsia="Calibri" w:hAnsi="Times New Roman"/>
          <w:sz w:val="20"/>
          <w:szCs w:val="20"/>
          <w:lang w:eastAsia="en-US"/>
          <w14:ligatures w14:val="standardContextual"/>
        </w:rPr>
      </w:pPr>
      <w:proofErr w:type="gramStart"/>
      <w:r w:rsidRPr="007C5A6E">
        <w:rPr>
          <w:rFonts w:ascii="Times New Roman" w:eastAsia="Calibri" w:hAnsi="Times New Roman"/>
          <w:sz w:val="20"/>
          <w:szCs w:val="20"/>
          <w:lang w:eastAsia="en-US"/>
          <w14:ligatures w14:val="standardContextual"/>
        </w:rPr>
        <w:t>Source:</w:t>
      </w:r>
      <w:proofErr w:type="gramEnd"/>
      <w:r w:rsidRPr="007C5A6E">
        <w:rPr>
          <w:rFonts w:ascii="Times New Roman" w:eastAsia="Calibri" w:hAnsi="Times New Roman"/>
          <w:sz w:val="20"/>
          <w:szCs w:val="20"/>
          <w:lang w:eastAsia="en-US"/>
          <w14:ligatures w14:val="standardContextual"/>
        </w:rPr>
        <w:t xml:space="preserve"> MARAH/DGESS/EPA 2016-2021</w:t>
      </w:r>
    </w:p>
    <w:p w14:paraId="35EDABA2" w14:textId="77777777" w:rsidR="00173386" w:rsidRPr="007C5A6E" w:rsidRDefault="00173386" w:rsidP="00391460">
      <w:pPr>
        <w:spacing w:after="0" w:line="240" w:lineRule="auto"/>
        <w:rPr>
          <w:rFonts w:ascii="Times New Roman" w:eastAsia="Calibri" w:hAnsi="Times New Roman"/>
          <w:sz w:val="20"/>
          <w:szCs w:val="20"/>
          <w:lang w:eastAsia="en-US"/>
          <w14:ligatures w14:val="standardContextual"/>
        </w:rPr>
      </w:pPr>
    </w:p>
    <w:p w14:paraId="33809E09" w14:textId="04A9DAC4" w:rsidR="00643AF0" w:rsidRPr="007C5A6E" w:rsidRDefault="00643AF0" w:rsidP="00684FF8">
      <w:pPr>
        <w:pStyle w:val="Titre4"/>
      </w:pPr>
      <w:bookmarkStart w:id="868" w:name="_Toc181982263"/>
      <w:bookmarkStart w:id="869" w:name="_Toc183340186"/>
      <w:r w:rsidRPr="007C5A6E">
        <w:t>Bandes enherbées</w:t>
      </w:r>
      <w:bookmarkEnd w:id="868"/>
      <w:bookmarkEnd w:id="869"/>
    </w:p>
    <w:p w14:paraId="2F60BEEF" w14:textId="77777777" w:rsidR="00173386" w:rsidRPr="007C5A6E" w:rsidRDefault="00173386" w:rsidP="00391460">
      <w:pPr>
        <w:spacing w:after="0" w:line="240" w:lineRule="auto"/>
        <w:contextualSpacing/>
        <w:jc w:val="both"/>
        <w:rPr>
          <w:rFonts w:ascii="Times New Roman" w:eastAsia="Calibri" w:hAnsi="Times New Roman"/>
          <w:kern w:val="2"/>
          <w:sz w:val="24"/>
          <w:szCs w:val="24"/>
          <w:lang w:eastAsia="en-US"/>
          <w14:ligatures w14:val="standardContextual"/>
        </w:rPr>
      </w:pPr>
    </w:p>
    <w:p w14:paraId="683B88D9" w14:textId="267C2626" w:rsidR="00643AF0" w:rsidRPr="007C5A6E" w:rsidRDefault="00643AF0" w:rsidP="00391460">
      <w:pPr>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Ce sont des bandes d’herbes pérennes (</w:t>
      </w:r>
      <w:r w:rsidRPr="007C5A6E">
        <w:rPr>
          <w:rFonts w:ascii="Times New Roman" w:eastAsia="Calibri" w:hAnsi="Times New Roman"/>
          <w:i/>
          <w:kern w:val="2"/>
          <w:sz w:val="24"/>
          <w:szCs w:val="24"/>
          <w:lang w:eastAsia="en-US"/>
          <w14:ligatures w14:val="standardContextual"/>
        </w:rPr>
        <w:t xml:space="preserve">Andropogon </w:t>
      </w:r>
      <w:proofErr w:type="spellStart"/>
      <w:r w:rsidRPr="007C5A6E">
        <w:rPr>
          <w:rFonts w:ascii="Times New Roman" w:eastAsia="Calibri" w:hAnsi="Times New Roman"/>
          <w:i/>
          <w:kern w:val="2"/>
          <w:sz w:val="24"/>
          <w:szCs w:val="24"/>
          <w:lang w:eastAsia="en-US"/>
          <w14:ligatures w14:val="standardContextual"/>
        </w:rPr>
        <w:t>gayanus</w:t>
      </w:r>
      <w:proofErr w:type="spellEnd"/>
      <w:r w:rsidRPr="007C5A6E">
        <w:rPr>
          <w:rFonts w:ascii="Times New Roman" w:eastAsia="Calibri" w:hAnsi="Times New Roman"/>
          <w:kern w:val="2"/>
          <w:sz w:val="24"/>
          <w:szCs w:val="24"/>
          <w:lang w:eastAsia="en-US"/>
          <w14:ligatures w14:val="standardContextual"/>
        </w:rPr>
        <w:t xml:space="preserve"> </w:t>
      </w:r>
      <w:proofErr w:type="spellStart"/>
      <w:r w:rsidRPr="007C5A6E">
        <w:rPr>
          <w:rFonts w:ascii="Times New Roman" w:eastAsia="Calibri" w:hAnsi="Times New Roman"/>
          <w:kern w:val="2"/>
          <w:sz w:val="24"/>
          <w:szCs w:val="24"/>
          <w:lang w:eastAsia="en-US"/>
          <w14:ligatures w14:val="standardContextual"/>
        </w:rPr>
        <w:t>Kunth</w:t>
      </w:r>
      <w:proofErr w:type="spellEnd"/>
      <w:r w:rsidRPr="007C5A6E">
        <w:rPr>
          <w:rFonts w:ascii="Times New Roman" w:eastAsia="Calibri" w:hAnsi="Times New Roman"/>
          <w:kern w:val="2"/>
          <w:sz w:val="24"/>
          <w:szCs w:val="24"/>
          <w:lang w:eastAsia="en-US"/>
          <w14:ligatures w14:val="standardContextual"/>
        </w:rPr>
        <w:t xml:space="preserve">), établies selon les courbes de niveau. Elles permettent de réduire efficacement le ruissellement et l’érosion, favorisent l’infiltration et la sédimentation des particules minérales et organiques. Le tableau </w:t>
      </w:r>
      <w:r w:rsidR="00173386" w:rsidRPr="007C5A6E">
        <w:rPr>
          <w:rFonts w:ascii="Times New Roman" w:eastAsia="Calibri" w:hAnsi="Times New Roman"/>
          <w:kern w:val="2"/>
          <w:sz w:val="24"/>
          <w:szCs w:val="24"/>
          <w:lang w:eastAsia="en-US"/>
          <w14:ligatures w14:val="standardContextual"/>
        </w:rPr>
        <w:t>3</w:t>
      </w:r>
      <w:r w:rsidR="0041104B" w:rsidRPr="007C5A6E">
        <w:rPr>
          <w:rFonts w:ascii="Times New Roman" w:eastAsia="Calibri" w:hAnsi="Times New Roman"/>
          <w:kern w:val="2"/>
          <w:sz w:val="24"/>
          <w:szCs w:val="24"/>
          <w:lang w:eastAsia="en-US"/>
          <w14:ligatures w14:val="standardContextual"/>
        </w:rPr>
        <w:t>7</w:t>
      </w:r>
      <w:r w:rsidRPr="007C5A6E">
        <w:rPr>
          <w:rFonts w:ascii="Times New Roman" w:eastAsia="Calibri" w:hAnsi="Times New Roman"/>
          <w:kern w:val="2"/>
          <w:sz w:val="24"/>
          <w:szCs w:val="24"/>
          <w:lang w:eastAsia="en-US"/>
          <w14:ligatures w14:val="standardContextual"/>
        </w:rPr>
        <w:t xml:space="preserve"> indique la part de la superficie sous bandes enherbées en pourcentage.</w:t>
      </w:r>
    </w:p>
    <w:p w14:paraId="4EFDD4E8" w14:textId="77777777" w:rsidR="00643AF0" w:rsidRPr="007C5A6E" w:rsidRDefault="00643AF0" w:rsidP="00391460">
      <w:pPr>
        <w:spacing w:after="0" w:line="240" w:lineRule="auto"/>
        <w:contextualSpacing/>
        <w:jc w:val="both"/>
        <w:rPr>
          <w:rFonts w:ascii="Times New Roman" w:eastAsia="Calibri" w:hAnsi="Times New Roman"/>
          <w:kern w:val="2"/>
          <w:sz w:val="24"/>
          <w:szCs w:val="24"/>
          <w:lang w:eastAsia="en-US"/>
          <w14:ligatures w14:val="standardContextual"/>
        </w:rPr>
      </w:pPr>
    </w:p>
    <w:p w14:paraId="7ADDAD95" w14:textId="1EA2C4FA" w:rsidR="00643AF0" w:rsidRPr="007C5A6E" w:rsidRDefault="00643AF0" w:rsidP="00391460">
      <w:pPr>
        <w:keepNext/>
        <w:spacing w:after="0" w:line="240" w:lineRule="auto"/>
        <w:jc w:val="both"/>
        <w:rPr>
          <w:rFonts w:ascii="Times New Roman" w:hAnsi="Times New Roman"/>
          <w:spacing w:val="10"/>
          <w:sz w:val="24"/>
          <w:szCs w:val="24"/>
          <w:lang w:eastAsia="en-US"/>
        </w:rPr>
      </w:pPr>
      <w:bookmarkStart w:id="870" w:name="_Toc181983406"/>
      <w:bookmarkStart w:id="871" w:name="_Toc183240999"/>
      <w:bookmarkStart w:id="872" w:name="_Toc183292241"/>
      <w:bookmarkStart w:id="873" w:name="_Toc183340521"/>
      <w:r w:rsidRPr="007C5A6E">
        <w:rPr>
          <w:rFonts w:ascii="Times New Roman" w:hAnsi="Times New Roman"/>
          <w:spacing w:val="10"/>
          <w:sz w:val="24"/>
          <w:szCs w:val="24"/>
          <w:lang w:eastAsia="en-US"/>
        </w:rPr>
        <w:t xml:space="preserve">Tableau </w:t>
      </w:r>
      <w:r w:rsidRPr="007C5A6E">
        <w:rPr>
          <w:rFonts w:ascii="Times New Roman" w:hAnsi="Times New Roman"/>
          <w:spacing w:val="10"/>
          <w:sz w:val="24"/>
          <w:szCs w:val="24"/>
          <w:lang w:eastAsia="en-US"/>
        </w:rPr>
        <w:fldChar w:fldCharType="begin"/>
      </w:r>
      <w:r w:rsidRPr="007C5A6E">
        <w:rPr>
          <w:rFonts w:ascii="Times New Roman" w:hAnsi="Times New Roman"/>
          <w:spacing w:val="10"/>
          <w:sz w:val="24"/>
          <w:szCs w:val="24"/>
          <w:lang w:eastAsia="en-US"/>
        </w:rPr>
        <w:instrText xml:space="preserve"> SEQ Tableau \* ARABIC </w:instrText>
      </w:r>
      <w:r w:rsidRPr="007C5A6E">
        <w:rPr>
          <w:rFonts w:ascii="Times New Roman" w:hAnsi="Times New Roman"/>
          <w:spacing w:val="10"/>
          <w:sz w:val="24"/>
          <w:szCs w:val="24"/>
          <w:lang w:eastAsia="en-US"/>
        </w:rPr>
        <w:fldChar w:fldCharType="separate"/>
      </w:r>
      <w:r w:rsidR="003162F8" w:rsidRPr="007C5A6E">
        <w:rPr>
          <w:rFonts w:ascii="Times New Roman" w:hAnsi="Times New Roman"/>
          <w:noProof/>
          <w:spacing w:val="10"/>
          <w:sz w:val="24"/>
          <w:szCs w:val="24"/>
          <w:lang w:eastAsia="en-US"/>
        </w:rPr>
        <w:t>37</w:t>
      </w:r>
      <w:r w:rsidRPr="007C5A6E">
        <w:rPr>
          <w:rFonts w:ascii="Times New Roman" w:hAnsi="Times New Roman"/>
          <w:spacing w:val="10"/>
          <w:sz w:val="24"/>
          <w:szCs w:val="24"/>
          <w:lang w:eastAsia="en-US"/>
        </w:rPr>
        <w:fldChar w:fldCharType="end"/>
      </w:r>
      <w:r w:rsidRPr="007C5A6E">
        <w:rPr>
          <w:rFonts w:ascii="Times New Roman" w:hAnsi="Times New Roman"/>
          <w:spacing w:val="10"/>
          <w:sz w:val="24"/>
          <w:szCs w:val="24"/>
          <w:lang w:eastAsia="en-US"/>
        </w:rPr>
        <w:t xml:space="preserve"> : Part de la superficie sous bandes enherbées de 2016 à 2021 (en %)</w:t>
      </w:r>
      <w:bookmarkEnd w:id="870"/>
      <w:bookmarkEnd w:id="871"/>
      <w:bookmarkEnd w:id="872"/>
      <w:bookmarkEnd w:id="873"/>
    </w:p>
    <w:p w14:paraId="6E70313F" w14:textId="77777777" w:rsidR="0041104B" w:rsidRPr="007C5A6E" w:rsidRDefault="0041104B" w:rsidP="00391460">
      <w:pPr>
        <w:keepNext/>
        <w:spacing w:after="0" w:line="240" w:lineRule="auto"/>
        <w:jc w:val="both"/>
        <w:rPr>
          <w:rFonts w:ascii="Times New Roman" w:hAnsi="Times New Roman"/>
          <w:spacing w:val="10"/>
          <w:sz w:val="24"/>
          <w:szCs w:val="24"/>
          <w:lang w:eastAsia="en-US"/>
        </w:rPr>
      </w:pPr>
    </w:p>
    <w:tbl>
      <w:tblPr>
        <w:tblW w:w="9040" w:type="dxa"/>
        <w:tblLook w:val="04A0" w:firstRow="1" w:lastRow="0" w:firstColumn="1" w:lastColumn="0" w:noHBand="0" w:noVBand="1"/>
      </w:tblPr>
      <w:tblGrid>
        <w:gridCol w:w="2972"/>
        <w:gridCol w:w="992"/>
        <w:gridCol w:w="993"/>
        <w:gridCol w:w="1134"/>
        <w:gridCol w:w="992"/>
        <w:gridCol w:w="992"/>
        <w:gridCol w:w="965"/>
      </w:tblGrid>
      <w:tr w:rsidR="00643AF0" w:rsidRPr="007C5A6E" w14:paraId="5FE54958" w14:textId="77777777" w:rsidTr="001461B0">
        <w:trPr>
          <w:trHeight w:val="290"/>
        </w:trPr>
        <w:tc>
          <w:tcPr>
            <w:tcW w:w="2972" w:type="dxa"/>
            <w:tcBorders>
              <w:top w:val="single" w:sz="18" w:space="0" w:color="auto"/>
              <w:bottom w:val="single" w:sz="18" w:space="0" w:color="auto"/>
            </w:tcBorders>
            <w:shd w:val="clear" w:color="auto" w:fill="auto"/>
            <w:noWrap/>
            <w:vAlign w:val="bottom"/>
            <w:hideMark/>
          </w:tcPr>
          <w:p w14:paraId="25591D26" w14:textId="77777777" w:rsidR="00643AF0" w:rsidRPr="007C5A6E" w:rsidRDefault="00643AF0" w:rsidP="00391460">
            <w:pPr>
              <w:spacing w:after="0" w:line="240" w:lineRule="auto"/>
              <w:rPr>
                <w:rFonts w:ascii="Times New Roman" w:hAnsi="Times New Roman"/>
                <w:color w:val="000000"/>
                <w:lang w:eastAsia="en-US"/>
              </w:rPr>
            </w:pPr>
            <w:r w:rsidRPr="007C5A6E">
              <w:rPr>
                <w:rFonts w:ascii="Times New Roman" w:hAnsi="Times New Roman"/>
                <w:color w:val="000000"/>
                <w:lang w:eastAsia="en-US"/>
              </w:rPr>
              <w:t>Année</w:t>
            </w:r>
          </w:p>
        </w:tc>
        <w:tc>
          <w:tcPr>
            <w:tcW w:w="992" w:type="dxa"/>
            <w:tcBorders>
              <w:top w:val="single" w:sz="18" w:space="0" w:color="auto"/>
              <w:bottom w:val="single" w:sz="18" w:space="0" w:color="auto"/>
            </w:tcBorders>
            <w:shd w:val="clear" w:color="auto" w:fill="auto"/>
            <w:noWrap/>
            <w:vAlign w:val="bottom"/>
            <w:hideMark/>
          </w:tcPr>
          <w:p w14:paraId="66C0038F"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2016</w:t>
            </w:r>
          </w:p>
        </w:tc>
        <w:tc>
          <w:tcPr>
            <w:tcW w:w="993" w:type="dxa"/>
            <w:tcBorders>
              <w:top w:val="single" w:sz="18" w:space="0" w:color="auto"/>
              <w:bottom w:val="single" w:sz="18" w:space="0" w:color="auto"/>
            </w:tcBorders>
            <w:shd w:val="clear" w:color="auto" w:fill="auto"/>
            <w:noWrap/>
            <w:vAlign w:val="bottom"/>
            <w:hideMark/>
          </w:tcPr>
          <w:p w14:paraId="6F556D19"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2017</w:t>
            </w:r>
          </w:p>
        </w:tc>
        <w:tc>
          <w:tcPr>
            <w:tcW w:w="1134" w:type="dxa"/>
            <w:tcBorders>
              <w:top w:val="single" w:sz="18" w:space="0" w:color="auto"/>
              <w:bottom w:val="single" w:sz="18" w:space="0" w:color="auto"/>
            </w:tcBorders>
            <w:shd w:val="clear" w:color="auto" w:fill="auto"/>
            <w:noWrap/>
            <w:vAlign w:val="bottom"/>
            <w:hideMark/>
          </w:tcPr>
          <w:p w14:paraId="3B47445B"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2018</w:t>
            </w:r>
          </w:p>
        </w:tc>
        <w:tc>
          <w:tcPr>
            <w:tcW w:w="992" w:type="dxa"/>
            <w:tcBorders>
              <w:top w:val="single" w:sz="18" w:space="0" w:color="auto"/>
              <w:bottom w:val="single" w:sz="18" w:space="0" w:color="auto"/>
            </w:tcBorders>
            <w:shd w:val="clear" w:color="auto" w:fill="auto"/>
            <w:noWrap/>
            <w:vAlign w:val="bottom"/>
            <w:hideMark/>
          </w:tcPr>
          <w:p w14:paraId="38161CAB"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2019</w:t>
            </w:r>
          </w:p>
        </w:tc>
        <w:tc>
          <w:tcPr>
            <w:tcW w:w="992" w:type="dxa"/>
            <w:tcBorders>
              <w:top w:val="single" w:sz="18" w:space="0" w:color="auto"/>
              <w:bottom w:val="single" w:sz="18" w:space="0" w:color="auto"/>
            </w:tcBorders>
            <w:shd w:val="clear" w:color="auto" w:fill="auto"/>
            <w:noWrap/>
            <w:vAlign w:val="bottom"/>
            <w:hideMark/>
          </w:tcPr>
          <w:p w14:paraId="43569C25"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2020</w:t>
            </w:r>
          </w:p>
        </w:tc>
        <w:tc>
          <w:tcPr>
            <w:tcW w:w="965" w:type="dxa"/>
            <w:tcBorders>
              <w:top w:val="single" w:sz="18" w:space="0" w:color="auto"/>
              <w:bottom w:val="single" w:sz="18" w:space="0" w:color="auto"/>
            </w:tcBorders>
            <w:shd w:val="clear" w:color="auto" w:fill="auto"/>
            <w:noWrap/>
            <w:vAlign w:val="bottom"/>
            <w:hideMark/>
          </w:tcPr>
          <w:p w14:paraId="6CB110FA"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2021</w:t>
            </w:r>
          </w:p>
        </w:tc>
      </w:tr>
      <w:tr w:rsidR="00643AF0" w:rsidRPr="007C5A6E" w14:paraId="24B47C6E" w14:textId="77777777" w:rsidTr="001461B0">
        <w:trPr>
          <w:trHeight w:val="290"/>
        </w:trPr>
        <w:tc>
          <w:tcPr>
            <w:tcW w:w="2972" w:type="dxa"/>
            <w:tcBorders>
              <w:top w:val="single" w:sz="18" w:space="0" w:color="auto"/>
            </w:tcBorders>
            <w:shd w:val="clear" w:color="auto" w:fill="auto"/>
            <w:noWrap/>
            <w:vAlign w:val="bottom"/>
          </w:tcPr>
          <w:p w14:paraId="7A3B9EFD" w14:textId="77777777" w:rsidR="00643AF0" w:rsidRPr="007C5A6E" w:rsidRDefault="00643AF0" w:rsidP="00391460">
            <w:pPr>
              <w:spacing w:after="0" w:line="240" w:lineRule="auto"/>
              <w:rPr>
                <w:rFonts w:ascii="Times New Roman" w:hAnsi="Times New Roman"/>
                <w:color w:val="000000"/>
                <w:lang w:eastAsia="en-US"/>
              </w:rPr>
            </w:pPr>
            <w:r w:rsidRPr="007C5A6E">
              <w:rPr>
                <w:rFonts w:ascii="Times New Roman" w:hAnsi="Times New Roman"/>
                <w:color w:val="000000"/>
                <w:lang w:eastAsia="en-US"/>
              </w:rPr>
              <w:t>Burkina Faso</w:t>
            </w:r>
          </w:p>
        </w:tc>
        <w:tc>
          <w:tcPr>
            <w:tcW w:w="992" w:type="dxa"/>
            <w:tcBorders>
              <w:top w:val="single" w:sz="18" w:space="0" w:color="auto"/>
            </w:tcBorders>
            <w:shd w:val="clear" w:color="auto" w:fill="auto"/>
            <w:noWrap/>
            <w:vAlign w:val="bottom"/>
            <w:hideMark/>
          </w:tcPr>
          <w:p w14:paraId="5C4F50EF"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0,92</w:t>
            </w:r>
          </w:p>
        </w:tc>
        <w:tc>
          <w:tcPr>
            <w:tcW w:w="993" w:type="dxa"/>
            <w:tcBorders>
              <w:top w:val="single" w:sz="18" w:space="0" w:color="auto"/>
            </w:tcBorders>
            <w:shd w:val="clear" w:color="auto" w:fill="auto"/>
            <w:noWrap/>
            <w:vAlign w:val="bottom"/>
            <w:hideMark/>
          </w:tcPr>
          <w:p w14:paraId="69E0D8EF"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1,15</w:t>
            </w:r>
          </w:p>
        </w:tc>
        <w:tc>
          <w:tcPr>
            <w:tcW w:w="1134" w:type="dxa"/>
            <w:tcBorders>
              <w:top w:val="single" w:sz="18" w:space="0" w:color="auto"/>
            </w:tcBorders>
            <w:shd w:val="clear" w:color="auto" w:fill="auto"/>
            <w:noWrap/>
            <w:vAlign w:val="bottom"/>
            <w:hideMark/>
          </w:tcPr>
          <w:p w14:paraId="71EF292E"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1,18</w:t>
            </w:r>
          </w:p>
        </w:tc>
        <w:tc>
          <w:tcPr>
            <w:tcW w:w="992" w:type="dxa"/>
            <w:tcBorders>
              <w:top w:val="single" w:sz="18" w:space="0" w:color="auto"/>
            </w:tcBorders>
            <w:shd w:val="clear" w:color="auto" w:fill="auto"/>
            <w:noWrap/>
            <w:vAlign w:val="bottom"/>
            <w:hideMark/>
          </w:tcPr>
          <w:p w14:paraId="7F0BBA2D"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1,20</w:t>
            </w:r>
          </w:p>
        </w:tc>
        <w:tc>
          <w:tcPr>
            <w:tcW w:w="992" w:type="dxa"/>
            <w:tcBorders>
              <w:top w:val="single" w:sz="18" w:space="0" w:color="auto"/>
            </w:tcBorders>
            <w:shd w:val="clear" w:color="auto" w:fill="auto"/>
            <w:noWrap/>
            <w:vAlign w:val="bottom"/>
            <w:hideMark/>
          </w:tcPr>
          <w:p w14:paraId="7FF242E9"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1,01</w:t>
            </w:r>
          </w:p>
        </w:tc>
        <w:tc>
          <w:tcPr>
            <w:tcW w:w="965" w:type="dxa"/>
            <w:tcBorders>
              <w:top w:val="single" w:sz="18" w:space="0" w:color="auto"/>
            </w:tcBorders>
            <w:shd w:val="clear" w:color="auto" w:fill="auto"/>
            <w:noWrap/>
            <w:vAlign w:val="bottom"/>
            <w:hideMark/>
          </w:tcPr>
          <w:p w14:paraId="0BFDDA83"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1,47</w:t>
            </w:r>
          </w:p>
        </w:tc>
      </w:tr>
      <w:tr w:rsidR="00643AF0" w:rsidRPr="007C5A6E" w14:paraId="55EB96D3" w14:textId="77777777" w:rsidTr="001461B0">
        <w:trPr>
          <w:trHeight w:val="114"/>
        </w:trPr>
        <w:tc>
          <w:tcPr>
            <w:tcW w:w="2972" w:type="dxa"/>
            <w:tcBorders>
              <w:bottom w:val="single" w:sz="18" w:space="0" w:color="auto"/>
            </w:tcBorders>
            <w:shd w:val="clear" w:color="auto" w:fill="auto"/>
            <w:noWrap/>
            <w:vAlign w:val="bottom"/>
            <w:hideMark/>
          </w:tcPr>
          <w:p w14:paraId="3B163B36" w14:textId="77777777" w:rsidR="00643AF0" w:rsidRPr="007C5A6E" w:rsidRDefault="00643AF0" w:rsidP="00391460">
            <w:pPr>
              <w:spacing w:after="0" w:line="240" w:lineRule="auto"/>
              <w:rPr>
                <w:rFonts w:ascii="Times New Roman" w:hAnsi="Times New Roman"/>
                <w:color w:val="000000"/>
                <w:lang w:eastAsia="en-US"/>
              </w:rPr>
            </w:pPr>
          </w:p>
        </w:tc>
        <w:tc>
          <w:tcPr>
            <w:tcW w:w="992" w:type="dxa"/>
            <w:tcBorders>
              <w:bottom w:val="single" w:sz="18" w:space="0" w:color="auto"/>
            </w:tcBorders>
            <w:shd w:val="clear" w:color="auto" w:fill="auto"/>
            <w:noWrap/>
            <w:vAlign w:val="bottom"/>
            <w:hideMark/>
          </w:tcPr>
          <w:p w14:paraId="5EEA69BF" w14:textId="77777777" w:rsidR="00643AF0" w:rsidRPr="007C5A6E" w:rsidRDefault="00643AF0" w:rsidP="00391460">
            <w:pPr>
              <w:spacing w:after="0" w:line="240" w:lineRule="auto"/>
              <w:jc w:val="right"/>
              <w:rPr>
                <w:rFonts w:ascii="Times New Roman" w:hAnsi="Times New Roman"/>
                <w:color w:val="000000"/>
                <w:lang w:eastAsia="en-US"/>
              </w:rPr>
            </w:pPr>
          </w:p>
        </w:tc>
        <w:tc>
          <w:tcPr>
            <w:tcW w:w="993" w:type="dxa"/>
            <w:tcBorders>
              <w:bottom w:val="single" w:sz="18" w:space="0" w:color="auto"/>
            </w:tcBorders>
            <w:shd w:val="clear" w:color="auto" w:fill="auto"/>
            <w:noWrap/>
            <w:vAlign w:val="bottom"/>
            <w:hideMark/>
          </w:tcPr>
          <w:p w14:paraId="61E7AA23" w14:textId="77777777" w:rsidR="00643AF0" w:rsidRPr="007C5A6E" w:rsidRDefault="00643AF0" w:rsidP="00391460">
            <w:pPr>
              <w:spacing w:after="0" w:line="240" w:lineRule="auto"/>
              <w:jc w:val="right"/>
              <w:rPr>
                <w:rFonts w:ascii="Times New Roman" w:hAnsi="Times New Roman"/>
                <w:color w:val="000000"/>
                <w:lang w:eastAsia="en-US"/>
              </w:rPr>
            </w:pPr>
          </w:p>
        </w:tc>
        <w:tc>
          <w:tcPr>
            <w:tcW w:w="1134" w:type="dxa"/>
            <w:tcBorders>
              <w:bottom w:val="single" w:sz="18" w:space="0" w:color="auto"/>
            </w:tcBorders>
            <w:shd w:val="clear" w:color="auto" w:fill="auto"/>
            <w:noWrap/>
            <w:vAlign w:val="bottom"/>
            <w:hideMark/>
          </w:tcPr>
          <w:p w14:paraId="0F76F42F" w14:textId="77777777" w:rsidR="00643AF0" w:rsidRPr="007C5A6E" w:rsidRDefault="00643AF0" w:rsidP="00391460">
            <w:pPr>
              <w:spacing w:after="0" w:line="240" w:lineRule="auto"/>
              <w:jc w:val="right"/>
              <w:rPr>
                <w:rFonts w:ascii="Times New Roman" w:hAnsi="Times New Roman"/>
                <w:color w:val="000000"/>
                <w:lang w:eastAsia="en-US"/>
              </w:rPr>
            </w:pPr>
          </w:p>
        </w:tc>
        <w:tc>
          <w:tcPr>
            <w:tcW w:w="992" w:type="dxa"/>
            <w:tcBorders>
              <w:bottom w:val="single" w:sz="18" w:space="0" w:color="auto"/>
            </w:tcBorders>
            <w:shd w:val="clear" w:color="auto" w:fill="auto"/>
            <w:noWrap/>
            <w:vAlign w:val="bottom"/>
            <w:hideMark/>
          </w:tcPr>
          <w:p w14:paraId="61825F07" w14:textId="77777777" w:rsidR="00643AF0" w:rsidRPr="007C5A6E" w:rsidRDefault="00643AF0" w:rsidP="00391460">
            <w:pPr>
              <w:spacing w:after="0" w:line="240" w:lineRule="auto"/>
              <w:jc w:val="right"/>
              <w:rPr>
                <w:rFonts w:ascii="Times New Roman" w:hAnsi="Times New Roman"/>
                <w:color w:val="000000"/>
                <w:lang w:eastAsia="en-US"/>
              </w:rPr>
            </w:pPr>
          </w:p>
        </w:tc>
        <w:tc>
          <w:tcPr>
            <w:tcW w:w="992" w:type="dxa"/>
            <w:tcBorders>
              <w:bottom w:val="single" w:sz="18" w:space="0" w:color="auto"/>
            </w:tcBorders>
            <w:shd w:val="clear" w:color="auto" w:fill="auto"/>
            <w:noWrap/>
            <w:vAlign w:val="bottom"/>
            <w:hideMark/>
          </w:tcPr>
          <w:p w14:paraId="618472F9" w14:textId="77777777" w:rsidR="00643AF0" w:rsidRPr="007C5A6E" w:rsidRDefault="00643AF0" w:rsidP="00391460">
            <w:pPr>
              <w:spacing w:after="0" w:line="240" w:lineRule="auto"/>
              <w:jc w:val="right"/>
              <w:rPr>
                <w:rFonts w:ascii="Times New Roman" w:hAnsi="Times New Roman"/>
                <w:color w:val="000000"/>
                <w:lang w:eastAsia="en-US"/>
              </w:rPr>
            </w:pPr>
          </w:p>
        </w:tc>
        <w:tc>
          <w:tcPr>
            <w:tcW w:w="965" w:type="dxa"/>
            <w:tcBorders>
              <w:bottom w:val="single" w:sz="18" w:space="0" w:color="auto"/>
            </w:tcBorders>
            <w:shd w:val="clear" w:color="auto" w:fill="auto"/>
            <w:noWrap/>
            <w:vAlign w:val="bottom"/>
            <w:hideMark/>
          </w:tcPr>
          <w:p w14:paraId="313B95B9" w14:textId="77777777" w:rsidR="00643AF0" w:rsidRPr="007C5A6E" w:rsidRDefault="00643AF0" w:rsidP="00391460">
            <w:pPr>
              <w:spacing w:after="0" w:line="240" w:lineRule="auto"/>
              <w:jc w:val="right"/>
              <w:rPr>
                <w:rFonts w:ascii="Times New Roman" w:hAnsi="Times New Roman"/>
                <w:color w:val="000000"/>
                <w:lang w:eastAsia="en-US"/>
              </w:rPr>
            </w:pPr>
          </w:p>
        </w:tc>
      </w:tr>
    </w:tbl>
    <w:p w14:paraId="4A05F478" w14:textId="77777777" w:rsidR="00643AF0" w:rsidRPr="007C5A6E" w:rsidRDefault="00643AF0" w:rsidP="00391460">
      <w:pPr>
        <w:spacing w:after="0" w:line="240" w:lineRule="auto"/>
        <w:contextualSpacing/>
        <w:jc w:val="both"/>
        <w:rPr>
          <w:rFonts w:ascii="Times New Roman" w:eastAsia="Calibri" w:hAnsi="Times New Roman"/>
          <w:sz w:val="20"/>
          <w:szCs w:val="20"/>
          <w:lang w:eastAsia="en-US"/>
          <w14:ligatures w14:val="standardContextual"/>
        </w:rPr>
      </w:pPr>
      <w:r w:rsidRPr="007C5A6E">
        <w:rPr>
          <w:rFonts w:ascii="Times New Roman" w:eastAsia="Calibri" w:hAnsi="Times New Roman"/>
          <w:sz w:val="20"/>
          <w:szCs w:val="20"/>
          <w:lang w:eastAsia="en-US"/>
          <w14:ligatures w14:val="standardContextual"/>
        </w:rPr>
        <w:t>Source : MARAH/DGESS/EPA 2016-2021</w:t>
      </w:r>
    </w:p>
    <w:p w14:paraId="311E72D4" w14:textId="77777777" w:rsidR="00173386" w:rsidRPr="007C5A6E" w:rsidRDefault="00173386" w:rsidP="00391460">
      <w:pPr>
        <w:spacing w:after="0" w:line="240" w:lineRule="auto"/>
        <w:contextualSpacing/>
        <w:jc w:val="both"/>
        <w:rPr>
          <w:rFonts w:ascii="Times New Roman" w:eastAsia="Calibri" w:hAnsi="Times New Roman"/>
          <w:sz w:val="20"/>
          <w:szCs w:val="20"/>
          <w:lang w:eastAsia="en-US"/>
          <w14:ligatures w14:val="standardContextual"/>
        </w:rPr>
      </w:pPr>
    </w:p>
    <w:p w14:paraId="2AC0A12E" w14:textId="2FB3E9D0" w:rsidR="00643AF0" w:rsidRPr="007C5A6E" w:rsidRDefault="00643AF0" w:rsidP="00684FF8">
      <w:pPr>
        <w:pStyle w:val="Titre4"/>
      </w:pPr>
      <w:bookmarkStart w:id="874" w:name="_Toc181982264"/>
      <w:bookmarkStart w:id="875" w:name="_Toc183340187"/>
      <w:r w:rsidRPr="007C5A6E">
        <w:t>Zaï</w:t>
      </w:r>
      <w:bookmarkEnd w:id="874"/>
      <w:bookmarkEnd w:id="875"/>
    </w:p>
    <w:p w14:paraId="1BC1BAA4" w14:textId="77777777" w:rsidR="00173386" w:rsidRPr="007C5A6E" w:rsidRDefault="00173386" w:rsidP="00391460">
      <w:pPr>
        <w:spacing w:after="0" w:line="240" w:lineRule="auto"/>
        <w:jc w:val="both"/>
        <w:rPr>
          <w:rFonts w:ascii="Times New Roman" w:eastAsia="Calibri" w:hAnsi="Times New Roman"/>
          <w:kern w:val="2"/>
          <w:sz w:val="24"/>
          <w:szCs w:val="24"/>
          <w:lang w:eastAsia="en-US"/>
          <w14:ligatures w14:val="standardContextual"/>
        </w:rPr>
      </w:pPr>
    </w:p>
    <w:p w14:paraId="3AF43661" w14:textId="2C177A76" w:rsidR="00643AF0" w:rsidRPr="007C5A6E" w:rsidRDefault="00643AF0" w:rsidP="00391460">
      <w:pPr>
        <w:spacing w:after="0" w:line="240" w:lineRule="auto"/>
        <w:jc w:val="both"/>
        <w:rPr>
          <w:rFonts w:ascii="Times New Roman" w:eastAsia="Calibri" w:hAnsi="Times New Roman"/>
          <w:noProof/>
          <w:kern w:val="2"/>
          <w:sz w:val="24"/>
          <w:szCs w:val="24"/>
          <w14:ligatures w14:val="standardContextual"/>
        </w:rPr>
      </w:pPr>
      <w:r w:rsidRPr="007C5A6E">
        <w:rPr>
          <w:rFonts w:ascii="Times New Roman" w:eastAsia="Calibri" w:hAnsi="Times New Roman"/>
          <w:kern w:val="2"/>
          <w:sz w:val="24"/>
          <w:szCs w:val="24"/>
          <w:lang w:eastAsia="en-US"/>
          <w14:ligatures w14:val="standardContextual"/>
        </w:rPr>
        <w:t>Depuis les années 1980, les agriculteurs sahéliens ont expérimenté diverses techniques de conservation des sols et des eaux en vue de reconstituer, de maintenir ou d’améliorer la fertilité du sol. Une des techniques les plus appréciées des agriculteurs du nord du Burkina Faso est le système des trous à semis ou "zaï</w:t>
      </w:r>
      <w:r w:rsidRPr="007C5A6E">
        <w:rPr>
          <w:rFonts w:ascii="Times New Roman" w:eastAsia="Calibri" w:hAnsi="Times New Roman"/>
          <w:kern w:val="2"/>
          <w:sz w:val="24"/>
          <w:szCs w:val="24"/>
          <w:vertAlign w:val="superscript"/>
          <w:lang w:eastAsia="en-US"/>
          <w14:ligatures w14:val="standardContextual"/>
        </w:rPr>
        <w:t>"</w:t>
      </w:r>
      <w:r w:rsidRPr="007C5A6E">
        <w:rPr>
          <w:rFonts w:ascii="Times New Roman" w:eastAsia="Calibri" w:hAnsi="Times New Roman"/>
          <w:kern w:val="2"/>
          <w:sz w:val="24"/>
          <w:szCs w:val="24"/>
          <w:lang w:eastAsia="en-US"/>
          <w14:ligatures w14:val="standardContextual"/>
        </w:rPr>
        <w:t xml:space="preserve"> dans la langue locale. Cette technique a été importée du Mali, de la région des Dogons, et a été adoptée et améliorée par les agriculteurs du nord du Burkina Faso après les sécheresses des années 1980 (</w:t>
      </w:r>
      <w:r w:rsidRPr="007C5A6E">
        <w:rPr>
          <w:rFonts w:ascii="Times New Roman" w:eastAsia="Calibri" w:hAnsi="Times New Roman"/>
          <w:noProof/>
          <w:kern w:val="2"/>
          <w:sz w:val="24"/>
          <w:szCs w:val="24"/>
          <w14:ligatures w14:val="standardContextual"/>
        </w:rPr>
        <w:t xml:space="preserve">Association Sahel People Service, 2010). </w:t>
      </w:r>
    </w:p>
    <w:p w14:paraId="1184BE13" w14:textId="77777777" w:rsidR="00173386" w:rsidRPr="007C5A6E" w:rsidRDefault="00643AF0" w:rsidP="00391460">
      <w:pPr>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 </w:t>
      </w:r>
    </w:p>
    <w:p w14:paraId="7719300D" w14:textId="1C555AAF" w:rsidR="00173386" w:rsidRPr="007C5A6E" w:rsidRDefault="00643AF0" w:rsidP="00391460">
      <w:pPr>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Les trous de 30 à 40 cm de diamètre, sont creusés en quinconce en saison sèche. La terre excavée est déposée en croissant en aval des trous pour retenir les eaux de ruissellement. Avant ou dès les premières pluies, le paysan dépose une ou deux poignées de matière organique dans chaque micro-bassin. Les matières organiques attirent les termites qui creusent des galeries jusqu’à la surface permettant ainsi l’infiltration de l’eau et la formation de poches d’eau en profondeur exploitées par les racines des cultures. </w:t>
      </w:r>
      <w:r w:rsidRPr="007C5A6E">
        <w:rPr>
          <w:rFonts w:ascii="Times New Roman" w:eastAsia="Calibri" w:hAnsi="Times New Roman"/>
          <w:color w:val="36110F"/>
          <w:kern w:val="2"/>
          <w:sz w:val="24"/>
          <w:szCs w:val="24"/>
          <w:lang w:eastAsia="en-US"/>
          <w14:ligatures w14:val="standardContextual"/>
        </w:rPr>
        <w:t xml:space="preserve">En raison du temps de travail élevé en réalisation manuelle (plus de 300 heures homme/ha), une étude de la mécanisation du zaï en traction animale a été conduite </w:t>
      </w:r>
      <w:r w:rsidRPr="007C5A6E">
        <w:rPr>
          <w:rFonts w:ascii="Times New Roman" w:eastAsia="Calibri" w:hAnsi="Times New Roman"/>
          <w:kern w:val="2"/>
          <w:sz w:val="24"/>
          <w:szCs w:val="24"/>
          <w:lang w:eastAsia="en-US"/>
          <w14:ligatures w14:val="standardContextual"/>
        </w:rPr>
        <w:t xml:space="preserve">(Clavel et </w:t>
      </w:r>
      <w:r w:rsidRPr="007C5A6E">
        <w:rPr>
          <w:rFonts w:ascii="Times New Roman" w:eastAsia="Calibri" w:hAnsi="Times New Roman"/>
          <w:i/>
          <w:iCs/>
          <w:kern w:val="2"/>
          <w:sz w:val="24"/>
          <w:szCs w:val="24"/>
          <w:lang w:eastAsia="en-US"/>
          <w14:ligatures w14:val="standardContextual"/>
        </w:rPr>
        <w:t>al</w:t>
      </w:r>
      <w:r w:rsidRPr="007C5A6E">
        <w:rPr>
          <w:rFonts w:ascii="Times New Roman" w:eastAsia="Calibri" w:hAnsi="Times New Roman"/>
          <w:kern w:val="2"/>
          <w:sz w:val="24"/>
          <w:szCs w:val="24"/>
          <w:lang w:eastAsia="en-US"/>
          <w14:ligatures w14:val="standardContextual"/>
        </w:rPr>
        <w:t xml:space="preserve">., 2016). </w:t>
      </w:r>
    </w:p>
    <w:p w14:paraId="45D70AD1" w14:textId="66AAD30C" w:rsidR="00643AF0" w:rsidRPr="007C5A6E" w:rsidRDefault="00643AF0" w:rsidP="00391460">
      <w:pPr>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color w:val="36110F"/>
          <w:kern w:val="2"/>
          <w:sz w:val="24"/>
          <w:szCs w:val="24"/>
          <w:lang w:eastAsia="en-US"/>
          <w14:ligatures w14:val="standardContextual"/>
        </w:rPr>
        <w:t>Les résultats montrent que le zaï mécanisé a de nombreux avantages : il permet d’améliorer la perméabilité des sols, d’augmenter la production de grains et de paille, et ainsi d’accroître les revenus pour les petits agriculteurs. Par ailleurs, la réduction du temps de travail qu’il engendre (par rapport au zaï manuel) permet de libérer la main d’</w:t>
      </w:r>
      <w:r w:rsidR="00173386" w:rsidRPr="007C5A6E">
        <w:rPr>
          <w:rFonts w:ascii="Times New Roman" w:eastAsia="Calibri" w:hAnsi="Times New Roman"/>
          <w:color w:val="36110F"/>
          <w:kern w:val="2"/>
          <w:sz w:val="24"/>
          <w:szCs w:val="24"/>
          <w:lang w:eastAsia="en-US"/>
          <w14:ligatures w14:val="standardContextual"/>
        </w:rPr>
        <w:t>œuvre</w:t>
      </w:r>
      <w:r w:rsidRPr="007C5A6E">
        <w:rPr>
          <w:rFonts w:ascii="Times New Roman" w:eastAsia="Calibri" w:hAnsi="Times New Roman"/>
          <w:color w:val="36110F"/>
          <w:kern w:val="2"/>
          <w:sz w:val="24"/>
          <w:szCs w:val="24"/>
          <w:lang w:eastAsia="en-US"/>
          <w14:ligatures w14:val="standardContextual"/>
        </w:rPr>
        <w:t xml:space="preserve"> pour la réalisation d’autres activités. Cette pratique constitue donc une alternative intéressante, à la fois pour la restauration et la préservation de l’écosystème sahélien, mais aussi pour la lutte contre la pauvreté. </w:t>
      </w:r>
      <w:r w:rsidRPr="007C5A6E">
        <w:rPr>
          <w:rFonts w:ascii="Times New Roman" w:eastAsia="Calibri" w:hAnsi="Times New Roman"/>
          <w:kern w:val="2"/>
          <w:sz w:val="24"/>
          <w:szCs w:val="24"/>
          <w:lang w:eastAsia="en-US"/>
          <w14:ligatures w14:val="standardContextual"/>
        </w:rPr>
        <w:t xml:space="preserve">Le tableau </w:t>
      </w:r>
      <w:r w:rsidR="00173386" w:rsidRPr="007C5A6E">
        <w:rPr>
          <w:rFonts w:ascii="Times New Roman" w:eastAsia="Calibri" w:hAnsi="Times New Roman"/>
          <w:kern w:val="2"/>
          <w:sz w:val="24"/>
          <w:szCs w:val="24"/>
          <w:lang w:eastAsia="en-US"/>
          <w14:ligatures w14:val="standardContextual"/>
        </w:rPr>
        <w:t>3</w:t>
      </w:r>
      <w:r w:rsidR="0041104B" w:rsidRPr="007C5A6E">
        <w:rPr>
          <w:rFonts w:ascii="Times New Roman" w:eastAsia="Calibri" w:hAnsi="Times New Roman"/>
          <w:kern w:val="2"/>
          <w:sz w:val="24"/>
          <w:szCs w:val="24"/>
          <w:lang w:eastAsia="en-US"/>
          <w14:ligatures w14:val="standardContextual"/>
        </w:rPr>
        <w:t>8</w:t>
      </w:r>
      <w:r w:rsidRPr="007C5A6E">
        <w:rPr>
          <w:rFonts w:ascii="Times New Roman" w:eastAsia="Calibri" w:hAnsi="Times New Roman"/>
          <w:kern w:val="2"/>
          <w:sz w:val="24"/>
          <w:szCs w:val="24"/>
          <w:lang w:eastAsia="en-US"/>
          <w14:ligatures w14:val="standardContextual"/>
        </w:rPr>
        <w:t xml:space="preserve"> présente la part de la superficie sous zaï de 2016 à 2021 en pourcentage.</w:t>
      </w:r>
    </w:p>
    <w:p w14:paraId="65C6DD20" w14:textId="77777777" w:rsidR="00643AF0" w:rsidRPr="007C5A6E" w:rsidRDefault="00643AF0" w:rsidP="00391460">
      <w:pPr>
        <w:spacing w:after="0" w:line="240" w:lineRule="auto"/>
        <w:jc w:val="both"/>
        <w:rPr>
          <w:rFonts w:ascii="Times New Roman" w:hAnsi="Times New Roman"/>
          <w:sz w:val="24"/>
          <w:szCs w:val="24"/>
          <w:lang w:eastAsia="en-US"/>
        </w:rPr>
      </w:pPr>
    </w:p>
    <w:p w14:paraId="191DEF5E" w14:textId="678BD93A" w:rsidR="00643AF0" w:rsidRPr="007C5A6E" w:rsidRDefault="00643AF0" w:rsidP="00391460">
      <w:pPr>
        <w:keepNext/>
        <w:spacing w:after="0" w:line="240" w:lineRule="auto"/>
        <w:jc w:val="both"/>
        <w:rPr>
          <w:rFonts w:ascii="Times New Roman" w:hAnsi="Times New Roman"/>
          <w:spacing w:val="10"/>
          <w:sz w:val="24"/>
          <w:szCs w:val="24"/>
          <w:lang w:eastAsia="en-US"/>
        </w:rPr>
      </w:pPr>
      <w:bookmarkStart w:id="876" w:name="_Toc181983407"/>
      <w:bookmarkStart w:id="877" w:name="_Toc183241000"/>
      <w:bookmarkStart w:id="878" w:name="_Toc183292242"/>
      <w:bookmarkStart w:id="879" w:name="_Toc183340522"/>
      <w:r w:rsidRPr="007C5A6E">
        <w:rPr>
          <w:rFonts w:ascii="Times New Roman" w:hAnsi="Times New Roman"/>
          <w:spacing w:val="10"/>
          <w:sz w:val="24"/>
          <w:szCs w:val="24"/>
          <w:lang w:eastAsia="en-US"/>
        </w:rPr>
        <w:t xml:space="preserve">Tableau </w:t>
      </w:r>
      <w:r w:rsidRPr="007C5A6E">
        <w:rPr>
          <w:rFonts w:ascii="Times New Roman" w:hAnsi="Times New Roman"/>
          <w:spacing w:val="10"/>
          <w:sz w:val="24"/>
          <w:szCs w:val="24"/>
          <w:lang w:eastAsia="en-US"/>
        </w:rPr>
        <w:fldChar w:fldCharType="begin"/>
      </w:r>
      <w:r w:rsidRPr="007C5A6E">
        <w:rPr>
          <w:rFonts w:ascii="Times New Roman" w:hAnsi="Times New Roman"/>
          <w:spacing w:val="10"/>
          <w:sz w:val="24"/>
          <w:szCs w:val="24"/>
          <w:lang w:eastAsia="en-US"/>
        </w:rPr>
        <w:instrText xml:space="preserve"> SEQ Tableau \* ARABIC </w:instrText>
      </w:r>
      <w:r w:rsidRPr="007C5A6E">
        <w:rPr>
          <w:rFonts w:ascii="Times New Roman" w:hAnsi="Times New Roman"/>
          <w:spacing w:val="10"/>
          <w:sz w:val="24"/>
          <w:szCs w:val="24"/>
          <w:lang w:eastAsia="en-US"/>
        </w:rPr>
        <w:fldChar w:fldCharType="separate"/>
      </w:r>
      <w:r w:rsidR="009A08D5" w:rsidRPr="007C5A6E">
        <w:rPr>
          <w:rFonts w:ascii="Times New Roman" w:hAnsi="Times New Roman"/>
          <w:noProof/>
          <w:spacing w:val="10"/>
          <w:sz w:val="24"/>
          <w:szCs w:val="24"/>
          <w:lang w:eastAsia="en-US"/>
        </w:rPr>
        <w:t>38</w:t>
      </w:r>
      <w:r w:rsidRPr="007C5A6E">
        <w:rPr>
          <w:rFonts w:ascii="Times New Roman" w:hAnsi="Times New Roman"/>
          <w:spacing w:val="10"/>
          <w:sz w:val="24"/>
          <w:szCs w:val="24"/>
          <w:lang w:eastAsia="en-US"/>
        </w:rPr>
        <w:fldChar w:fldCharType="end"/>
      </w:r>
      <w:r w:rsidRPr="007C5A6E">
        <w:rPr>
          <w:rFonts w:ascii="Times New Roman" w:hAnsi="Times New Roman"/>
          <w:spacing w:val="10"/>
          <w:sz w:val="24"/>
          <w:szCs w:val="24"/>
          <w:lang w:eastAsia="en-US"/>
        </w:rPr>
        <w:t xml:space="preserve"> : Part de la superficie sous zaï de 2016 à 2021 (en %)</w:t>
      </w:r>
      <w:bookmarkEnd w:id="876"/>
      <w:bookmarkEnd w:id="877"/>
      <w:bookmarkEnd w:id="878"/>
      <w:bookmarkEnd w:id="879"/>
    </w:p>
    <w:p w14:paraId="4804B4BE" w14:textId="77777777" w:rsidR="0041104B" w:rsidRPr="007C5A6E" w:rsidRDefault="0041104B" w:rsidP="00391460">
      <w:pPr>
        <w:keepNext/>
        <w:spacing w:after="0" w:line="240" w:lineRule="auto"/>
        <w:jc w:val="both"/>
        <w:rPr>
          <w:rFonts w:ascii="Times New Roman" w:hAnsi="Times New Roman"/>
          <w:spacing w:val="10"/>
          <w:sz w:val="24"/>
          <w:szCs w:val="24"/>
          <w:lang w:eastAsia="en-US"/>
        </w:rPr>
      </w:pPr>
    </w:p>
    <w:tbl>
      <w:tblPr>
        <w:tblW w:w="9040" w:type="dxa"/>
        <w:tblLook w:val="04A0" w:firstRow="1" w:lastRow="0" w:firstColumn="1" w:lastColumn="0" w:noHBand="0" w:noVBand="1"/>
      </w:tblPr>
      <w:tblGrid>
        <w:gridCol w:w="2972"/>
        <w:gridCol w:w="992"/>
        <w:gridCol w:w="993"/>
        <w:gridCol w:w="1134"/>
        <w:gridCol w:w="992"/>
        <w:gridCol w:w="992"/>
        <w:gridCol w:w="965"/>
      </w:tblGrid>
      <w:tr w:rsidR="00643AF0" w:rsidRPr="007C5A6E" w14:paraId="73183B1D" w14:textId="77777777" w:rsidTr="001461B0">
        <w:trPr>
          <w:trHeight w:val="290"/>
        </w:trPr>
        <w:tc>
          <w:tcPr>
            <w:tcW w:w="2972" w:type="dxa"/>
            <w:tcBorders>
              <w:top w:val="single" w:sz="18" w:space="0" w:color="auto"/>
              <w:bottom w:val="single" w:sz="18" w:space="0" w:color="auto"/>
            </w:tcBorders>
            <w:shd w:val="clear" w:color="auto" w:fill="auto"/>
            <w:noWrap/>
            <w:vAlign w:val="bottom"/>
            <w:hideMark/>
          </w:tcPr>
          <w:p w14:paraId="2C749B5A" w14:textId="77777777" w:rsidR="00643AF0" w:rsidRPr="007C5A6E" w:rsidRDefault="00643AF0" w:rsidP="00391460">
            <w:pPr>
              <w:spacing w:after="0" w:line="240" w:lineRule="auto"/>
              <w:rPr>
                <w:rFonts w:ascii="Times New Roman" w:hAnsi="Times New Roman"/>
                <w:color w:val="000000"/>
                <w:lang w:eastAsia="en-US"/>
              </w:rPr>
            </w:pPr>
            <w:r w:rsidRPr="007C5A6E">
              <w:rPr>
                <w:rFonts w:ascii="Times New Roman" w:hAnsi="Times New Roman"/>
                <w:color w:val="000000"/>
                <w:lang w:eastAsia="en-US"/>
              </w:rPr>
              <w:t>Année</w:t>
            </w:r>
          </w:p>
        </w:tc>
        <w:tc>
          <w:tcPr>
            <w:tcW w:w="992" w:type="dxa"/>
            <w:tcBorders>
              <w:top w:val="single" w:sz="18" w:space="0" w:color="auto"/>
              <w:bottom w:val="single" w:sz="18" w:space="0" w:color="auto"/>
            </w:tcBorders>
            <w:shd w:val="clear" w:color="auto" w:fill="auto"/>
            <w:noWrap/>
            <w:vAlign w:val="bottom"/>
            <w:hideMark/>
          </w:tcPr>
          <w:p w14:paraId="10789A00"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2016</w:t>
            </w:r>
          </w:p>
        </w:tc>
        <w:tc>
          <w:tcPr>
            <w:tcW w:w="993" w:type="dxa"/>
            <w:tcBorders>
              <w:top w:val="single" w:sz="18" w:space="0" w:color="auto"/>
              <w:bottom w:val="single" w:sz="18" w:space="0" w:color="auto"/>
            </w:tcBorders>
            <w:shd w:val="clear" w:color="auto" w:fill="auto"/>
            <w:noWrap/>
            <w:vAlign w:val="bottom"/>
            <w:hideMark/>
          </w:tcPr>
          <w:p w14:paraId="7DB89E5B"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2017</w:t>
            </w:r>
          </w:p>
        </w:tc>
        <w:tc>
          <w:tcPr>
            <w:tcW w:w="1134" w:type="dxa"/>
            <w:tcBorders>
              <w:top w:val="single" w:sz="18" w:space="0" w:color="auto"/>
              <w:bottom w:val="single" w:sz="18" w:space="0" w:color="auto"/>
            </w:tcBorders>
            <w:shd w:val="clear" w:color="auto" w:fill="auto"/>
            <w:noWrap/>
            <w:vAlign w:val="bottom"/>
            <w:hideMark/>
          </w:tcPr>
          <w:p w14:paraId="2E9FF748"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2018</w:t>
            </w:r>
          </w:p>
        </w:tc>
        <w:tc>
          <w:tcPr>
            <w:tcW w:w="992" w:type="dxa"/>
            <w:tcBorders>
              <w:top w:val="single" w:sz="18" w:space="0" w:color="auto"/>
              <w:bottom w:val="single" w:sz="18" w:space="0" w:color="auto"/>
            </w:tcBorders>
            <w:shd w:val="clear" w:color="auto" w:fill="auto"/>
            <w:noWrap/>
            <w:vAlign w:val="bottom"/>
            <w:hideMark/>
          </w:tcPr>
          <w:p w14:paraId="49DE4020"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2019</w:t>
            </w:r>
          </w:p>
        </w:tc>
        <w:tc>
          <w:tcPr>
            <w:tcW w:w="992" w:type="dxa"/>
            <w:tcBorders>
              <w:top w:val="single" w:sz="18" w:space="0" w:color="auto"/>
              <w:bottom w:val="single" w:sz="18" w:space="0" w:color="auto"/>
            </w:tcBorders>
            <w:shd w:val="clear" w:color="auto" w:fill="auto"/>
            <w:noWrap/>
            <w:vAlign w:val="bottom"/>
            <w:hideMark/>
          </w:tcPr>
          <w:p w14:paraId="6E4EE397"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2020</w:t>
            </w:r>
          </w:p>
        </w:tc>
        <w:tc>
          <w:tcPr>
            <w:tcW w:w="965" w:type="dxa"/>
            <w:tcBorders>
              <w:top w:val="single" w:sz="18" w:space="0" w:color="auto"/>
              <w:bottom w:val="single" w:sz="18" w:space="0" w:color="auto"/>
            </w:tcBorders>
            <w:shd w:val="clear" w:color="auto" w:fill="auto"/>
            <w:noWrap/>
            <w:vAlign w:val="bottom"/>
            <w:hideMark/>
          </w:tcPr>
          <w:p w14:paraId="637DFB22"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2021</w:t>
            </w:r>
          </w:p>
        </w:tc>
      </w:tr>
      <w:tr w:rsidR="00643AF0" w:rsidRPr="007C5A6E" w14:paraId="12D3722A" w14:textId="77777777" w:rsidTr="001461B0">
        <w:trPr>
          <w:trHeight w:val="290"/>
        </w:trPr>
        <w:tc>
          <w:tcPr>
            <w:tcW w:w="2972" w:type="dxa"/>
            <w:tcBorders>
              <w:top w:val="single" w:sz="18" w:space="0" w:color="auto"/>
            </w:tcBorders>
            <w:shd w:val="clear" w:color="auto" w:fill="auto"/>
            <w:noWrap/>
            <w:vAlign w:val="bottom"/>
          </w:tcPr>
          <w:p w14:paraId="03A0B9BB" w14:textId="77777777" w:rsidR="00643AF0" w:rsidRPr="007C5A6E" w:rsidRDefault="00643AF0" w:rsidP="00391460">
            <w:pPr>
              <w:spacing w:after="0" w:line="240" w:lineRule="auto"/>
              <w:rPr>
                <w:rFonts w:ascii="Times New Roman" w:hAnsi="Times New Roman"/>
                <w:color w:val="000000"/>
                <w:lang w:eastAsia="en-US"/>
              </w:rPr>
            </w:pPr>
            <w:r w:rsidRPr="007C5A6E">
              <w:rPr>
                <w:rFonts w:ascii="Times New Roman" w:hAnsi="Times New Roman"/>
                <w:color w:val="000000"/>
                <w:lang w:eastAsia="en-US"/>
              </w:rPr>
              <w:t>Burkina Faso</w:t>
            </w:r>
          </w:p>
        </w:tc>
        <w:tc>
          <w:tcPr>
            <w:tcW w:w="992" w:type="dxa"/>
            <w:tcBorders>
              <w:top w:val="single" w:sz="18" w:space="0" w:color="auto"/>
            </w:tcBorders>
            <w:shd w:val="clear" w:color="auto" w:fill="auto"/>
            <w:noWrap/>
            <w:vAlign w:val="bottom"/>
            <w:hideMark/>
          </w:tcPr>
          <w:p w14:paraId="4801E784"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1,21</w:t>
            </w:r>
          </w:p>
        </w:tc>
        <w:tc>
          <w:tcPr>
            <w:tcW w:w="993" w:type="dxa"/>
            <w:tcBorders>
              <w:top w:val="single" w:sz="18" w:space="0" w:color="auto"/>
            </w:tcBorders>
            <w:shd w:val="clear" w:color="auto" w:fill="auto"/>
            <w:noWrap/>
            <w:vAlign w:val="bottom"/>
            <w:hideMark/>
          </w:tcPr>
          <w:p w14:paraId="0C1B8FB8"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1,26</w:t>
            </w:r>
          </w:p>
        </w:tc>
        <w:tc>
          <w:tcPr>
            <w:tcW w:w="1134" w:type="dxa"/>
            <w:tcBorders>
              <w:top w:val="single" w:sz="18" w:space="0" w:color="auto"/>
            </w:tcBorders>
            <w:shd w:val="clear" w:color="auto" w:fill="auto"/>
            <w:noWrap/>
            <w:vAlign w:val="bottom"/>
            <w:hideMark/>
          </w:tcPr>
          <w:p w14:paraId="18653461"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1,18</w:t>
            </w:r>
          </w:p>
        </w:tc>
        <w:tc>
          <w:tcPr>
            <w:tcW w:w="992" w:type="dxa"/>
            <w:tcBorders>
              <w:top w:val="single" w:sz="18" w:space="0" w:color="auto"/>
            </w:tcBorders>
            <w:shd w:val="clear" w:color="auto" w:fill="auto"/>
            <w:noWrap/>
            <w:vAlign w:val="bottom"/>
            <w:hideMark/>
          </w:tcPr>
          <w:p w14:paraId="7D9718FE"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1,38</w:t>
            </w:r>
          </w:p>
        </w:tc>
        <w:tc>
          <w:tcPr>
            <w:tcW w:w="992" w:type="dxa"/>
            <w:tcBorders>
              <w:top w:val="single" w:sz="18" w:space="0" w:color="auto"/>
            </w:tcBorders>
            <w:shd w:val="clear" w:color="auto" w:fill="auto"/>
            <w:noWrap/>
            <w:vAlign w:val="bottom"/>
            <w:hideMark/>
          </w:tcPr>
          <w:p w14:paraId="28A6CB7A"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1,29</w:t>
            </w:r>
          </w:p>
        </w:tc>
        <w:tc>
          <w:tcPr>
            <w:tcW w:w="965" w:type="dxa"/>
            <w:tcBorders>
              <w:top w:val="single" w:sz="18" w:space="0" w:color="auto"/>
            </w:tcBorders>
            <w:shd w:val="clear" w:color="auto" w:fill="auto"/>
            <w:noWrap/>
            <w:vAlign w:val="bottom"/>
            <w:hideMark/>
          </w:tcPr>
          <w:p w14:paraId="21D8BCE5"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1,71</w:t>
            </w:r>
          </w:p>
        </w:tc>
      </w:tr>
      <w:tr w:rsidR="00643AF0" w:rsidRPr="007C5A6E" w14:paraId="5BA90798" w14:textId="77777777" w:rsidTr="001461B0">
        <w:trPr>
          <w:trHeight w:val="60"/>
        </w:trPr>
        <w:tc>
          <w:tcPr>
            <w:tcW w:w="2972" w:type="dxa"/>
            <w:tcBorders>
              <w:bottom w:val="single" w:sz="18" w:space="0" w:color="auto"/>
            </w:tcBorders>
            <w:shd w:val="clear" w:color="auto" w:fill="auto"/>
            <w:noWrap/>
            <w:vAlign w:val="bottom"/>
            <w:hideMark/>
          </w:tcPr>
          <w:p w14:paraId="54CF67FC" w14:textId="77777777" w:rsidR="00643AF0" w:rsidRPr="007C5A6E" w:rsidRDefault="00643AF0" w:rsidP="00391460">
            <w:pPr>
              <w:spacing w:after="0" w:line="240" w:lineRule="auto"/>
              <w:rPr>
                <w:rFonts w:ascii="Times New Roman" w:hAnsi="Times New Roman"/>
                <w:color w:val="000000"/>
                <w:lang w:eastAsia="en-US"/>
              </w:rPr>
            </w:pPr>
          </w:p>
        </w:tc>
        <w:tc>
          <w:tcPr>
            <w:tcW w:w="992" w:type="dxa"/>
            <w:tcBorders>
              <w:bottom w:val="single" w:sz="18" w:space="0" w:color="auto"/>
            </w:tcBorders>
            <w:shd w:val="clear" w:color="auto" w:fill="auto"/>
            <w:noWrap/>
            <w:vAlign w:val="bottom"/>
            <w:hideMark/>
          </w:tcPr>
          <w:p w14:paraId="33D50743" w14:textId="77777777" w:rsidR="00643AF0" w:rsidRPr="007C5A6E" w:rsidRDefault="00643AF0" w:rsidP="00391460">
            <w:pPr>
              <w:spacing w:after="0" w:line="240" w:lineRule="auto"/>
              <w:jc w:val="right"/>
              <w:rPr>
                <w:rFonts w:ascii="Times New Roman" w:hAnsi="Times New Roman"/>
                <w:color w:val="000000"/>
                <w:lang w:eastAsia="en-US"/>
              </w:rPr>
            </w:pPr>
          </w:p>
        </w:tc>
        <w:tc>
          <w:tcPr>
            <w:tcW w:w="993" w:type="dxa"/>
            <w:tcBorders>
              <w:bottom w:val="single" w:sz="18" w:space="0" w:color="auto"/>
            </w:tcBorders>
            <w:shd w:val="clear" w:color="auto" w:fill="auto"/>
            <w:noWrap/>
            <w:vAlign w:val="bottom"/>
            <w:hideMark/>
          </w:tcPr>
          <w:p w14:paraId="0E847194" w14:textId="77777777" w:rsidR="00643AF0" w:rsidRPr="007C5A6E" w:rsidRDefault="00643AF0" w:rsidP="00391460">
            <w:pPr>
              <w:spacing w:after="0" w:line="240" w:lineRule="auto"/>
              <w:jc w:val="right"/>
              <w:rPr>
                <w:rFonts w:ascii="Times New Roman" w:hAnsi="Times New Roman"/>
                <w:color w:val="000000"/>
                <w:lang w:eastAsia="en-US"/>
              </w:rPr>
            </w:pPr>
          </w:p>
        </w:tc>
        <w:tc>
          <w:tcPr>
            <w:tcW w:w="1134" w:type="dxa"/>
            <w:tcBorders>
              <w:bottom w:val="single" w:sz="18" w:space="0" w:color="auto"/>
            </w:tcBorders>
            <w:shd w:val="clear" w:color="auto" w:fill="auto"/>
            <w:noWrap/>
            <w:vAlign w:val="bottom"/>
            <w:hideMark/>
          </w:tcPr>
          <w:p w14:paraId="0A06053F" w14:textId="77777777" w:rsidR="00643AF0" w:rsidRPr="007C5A6E" w:rsidRDefault="00643AF0" w:rsidP="00391460">
            <w:pPr>
              <w:spacing w:after="0" w:line="240" w:lineRule="auto"/>
              <w:jc w:val="right"/>
              <w:rPr>
                <w:rFonts w:ascii="Times New Roman" w:hAnsi="Times New Roman"/>
                <w:color w:val="000000"/>
                <w:lang w:eastAsia="en-US"/>
              </w:rPr>
            </w:pPr>
          </w:p>
        </w:tc>
        <w:tc>
          <w:tcPr>
            <w:tcW w:w="992" w:type="dxa"/>
            <w:tcBorders>
              <w:bottom w:val="single" w:sz="18" w:space="0" w:color="auto"/>
            </w:tcBorders>
            <w:shd w:val="clear" w:color="auto" w:fill="auto"/>
            <w:noWrap/>
            <w:vAlign w:val="bottom"/>
            <w:hideMark/>
          </w:tcPr>
          <w:p w14:paraId="24040A7F" w14:textId="77777777" w:rsidR="00643AF0" w:rsidRPr="007C5A6E" w:rsidRDefault="00643AF0" w:rsidP="00391460">
            <w:pPr>
              <w:spacing w:after="0" w:line="240" w:lineRule="auto"/>
              <w:jc w:val="right"/>
              <w:rPr>
                <w:rFonts w:ascii="Times New Roman" w:hAnsi="Times New Roman"/>
                <w:color w:val="000000"/>
                <w:lang w:eastAsia="en-US"/>
              </w:rPr>
            </w:pPr>
          </w:p>
        </w:tc>
        <w:tc>
          <w:tcPr>
            <w:tcW w:w="992" w:type="dxa"/>
            <w:tcBorders>
              <w:bottom w:val="single" w:sz="18" w:space="0" w:color="auto"/>
            </w:tcBorders>
            <w:shd w:val="clear" w:color="auto" w:fill="auto"/>
            <w:noWrap/>
            <w:vAlign w:val="bottom"/>
            <w:hideMark/>
          </w:tcPr>
          <w:p w14:paraId="4A135DFD" w14:textId="77777777" w:rsidR="00643AF0" w:rsidRPr="007C5A6E" w:rsidRDefault="00643AF0" w:rsidP="00391460">
            <w:pPr>
              <w:spacing w:after="0" w:line="240" w:lineRule="auto"/>
              <w:jc w:val="right"/>
              <w:rPr>
                <w:rFonts w:ascii="Times New Roman" w:hAnsi="Times New Roman"/>
                <w:color w:val="000000"/>
                <w:lang w:eastAsia="en-US"/>
              </w:rPr>
            </w:pPr>
          </w:p>
        </w:tc>
        <w:tc>
          <w:tcPr>
            <w:tcW w:w="965" w:type="dxa"/>
            <w:tcBorders>
              <w:bottom w:val="single" w:sz="18" w:space="0" w:color="auto"/>
            </w:tcBorders>
            <w:shd w:val="clear" w:color="auto" w:fill="auto"/>
            <w:noWrap/>
            <w:vAlign w:val="bottom"/>
            <w:hideMark/>
          </w:tcPr>
          <w:p w14:paraId="6409810F" w14:textId="77777777" w:rsidR="00643AF0" w:rsidRPr="007C5A6E" w:rsidRDefault="00643AF0" w:rsidP="00391460">
            <w:pPr>
              <w:spacing w:after="0" w:line="240" w:lineRule="auto"/>
              <w:jc w:val="right"/>
              <w:rPr>
                <w:rFonts w:ascii="Times New Roman" w:hAnsi="Times New Roman"/>
                <w:color w:val="000000"/>
                <w:lang w:eastAsia="en-US"/>
              </w:rPr>
            </w:pPr>
          </w:p>
        </w:tc>
      </w:tr>
    </w:tbl>
    <w:p w14:paraId="7E9548AD" w14:textId="77777777" w:rsidR="00643AF0" w:rsidRPr="007C5A6E" w:rsidRDefault="00643AF0" w:rsidP="00391460">
      <w:pPr>
        <w:spacing w:after="0" w:line="240" w:lineRule="auto"/>
        <w:contextualSpacing/>
        <w:jc w:val="both"/>
        <w:rPr>
          <w:rFonts w:ascii="Times New Roman" w:eastAsia="Calibri" w:hAnsi="Times New Roman"/>
          <w:sz w:val="20"/>
          <w:szCs w:val="20"/>
          <w:lang w:eastAsia="en-US"/>
          <w14:ligatures w14:val="standardContextual"/>
        </w:rPr>
      </w:pPr>
      <w:proofErr w:type="gramStart"/>
      <w:r w:rsidRPr="007C5A6E">
        <w:rPr>
          <w:rFonts w:ascii="Times New Roman" w:eastAsia="Calibri" w:hAnsi="Times New Roman"/>
          <w:sz w:val="20"/>
          <w:szCs w:val="20"/>
          <w:lang w:eastAsia="en-US"/>
          <w14:ligatures w14:val="standardContextual"/>
        </w:rPr>
        <w:t>Source;</w:t>
      </w:r>
      <w:proofErr w:type="gramEnd"/>
      <w:r w:rsidRPr="007C5A6E">
        <w:rPr>
          <w:rFonts w:ascii="Times New Roman" w:eastAsia="Calibri" w:hAnsi="Times New Roman"/>
          <w:sz w:val="20"/>
          <w:szCs w:val="20"/>
          <w:lang w:eastAsia="en-US"/>
          <w14:ligatures w14:val="standardContextual"/>
        </w:rPr>
        <w:t xml:space="preserve"> MARAH/DGESS/EPA, 2016-2021</w:t>
      </w:r>
    </w:p>
    <w:p w14:paraId="639A9926" w14:textId="77777777" w:rsidR="00643AF0" w:rsidRPr="007C5A6E" w:rsidRDefault="00643AF0" w:rsidP="00391460">
      <w:pPr>
        <w:spacing w:after="0" w:line="240" w:lineRule="auto"/>
        <w:rPr>
          <w:rFonts w:ascii="Times New Roman" w:eastAsia="Calibri" w:hAnsi="Times New Roman"/>
          <w:kern w:val="2"/>
          <w:sz w:val="20"/>
          <w:szCs w:val="20"/>
          <w:lang w:eastAsia="en-US"/>
          <w14:ligatures w14:val="standardContextual"/>
        </w:rPr>
      </w:pPr>
    </w:p>
    <w:p w14:paraId="3CF240B7" w14:textId="253B7FA0" w:rsidR="00643AF0" w:rsidRPr="007C5A6E" w:rsidRDefault="00643AF0" w:rsidP="00684FF8">
      <w:pPr>
        <w:pStyle w:val="Titre4"/>
      </w:pPr>
      <w:bookmarkStart w:id="880" w:name="_Toc181982265"/>
      <w:bookmarkStart w:id="881" w:name="_Toc183340188"/>
      <w:r w:rsidRPr="007C5A6E">
        <w:t>Demi-lune</w:t>
      </w:r>
      <w:bookmarkEnd w:id="880"/>
      <w:bookmarkEnd w:id="881"/>
    </w:p>
    <w:p w14:paraId="6A59CCBB" w14:textId="77777777" w:rsidR="00173386" w:rsidRPr="007C5A6E" w:rsidRDefault="00173386" w:rsidP="00391460">
      <w:pPr>
        <w:autoSpaceDE w:val="0"/>
        <w:autoSpaceDN w:val="0"/>
        <w:adjustRightInd w:val="0"/>
        <w:spacing w:after="0" w:line="240" w:lineRule="auto"/>
        <w:jc w:val="both"/>
        <w:rPr>
          <w:rFonts w:ascii="Times New Roman" w:eastAsia="Calibri" w:hAnsi="Times New Roman"/>
          <w:bCs/>
          <w:kern w:val="2"/>
          <w:sz w:val="24"/>
          <w:szCs w:val="24"/>
          <w:lang w:eastAsia="en-US"/>
          <w14:ligatures w14:val="standardContextual"/>
        </w:rPr>
      </w:pPr>
    </w:p>
    <w:p w14:paraId="34A97443" w14:textId="1D6943C6" w:rsidR="00643AF0" w:rsidRPr="007C5A6E" w:rsidRDefault="00643AF0" w:rsidP="00391460">
      <w:pPr>
        <w:autoSpaceDE w:val="0"/>
        <w:autoSpaceDN w:val="0"/>
        <w:adjustRightInd w:val="0"/>
        <w:spacing w:after="0" w:line="240" w:lineRule="auto"/>
        <w:jc w:val="both"/>
        <w:rPr>
          <w:rFonts w:ascii="Times New Roman" w:eastAsia="Calibri" w:hAnsi="Times New Roman"/>
          <w:bCs/>
          <w:kern w:val="2"/>
          <w:sz w:val="24"/>
          <w:szCs w:val="24"/>
          <w:lang w:eastAsia="en-US"/>
          <w14:ligatures w14:val="standardContextual"/>
        </w:rPr>
      </w:pPr>
      <w:r w:rsidRPr="007C5A6E">
        <w:rPr>
          <w:rFonts w:ascii="Times New Roman" w:eastAsia="Calibri" w:hAnsi="Times New Roman"/>
          <w:bCs/>
          <w:kern w:val="2"/>
          <w:sz w:val="24"/>
          <w:szCs w:val="24"/>
          <w:lang w:eastAsia="en-US"/>
          <w14:ligatures w14:val="standardContextual"/>
        </w:rPr>
        <w:t>Selon le responsable des opérations "terrains de Burkina Vert", les demi-lunes sont des techniques ancestrales, venues de la région de Ségou (République du Mali) au 16</w:t>
      </w:r>
      <w:r w:rsidRPr="007C5A6E">
        <w:rPr>
          <w:rFonts w:ascii="Times New Roman" w:eastAsia="Calibri" w:hAnsi="Times New Roman"/>
          <w:bCs/>
          <w:kern w:val="2"/>
          <w:sz w:val="24"/>
          <w:szCs w:val="24"/>
          <w:vertAlign w:val="superscript"/>
          <w:lang w:eastAsia="en-US"/>
          <w14:ligatures w14:val="standardContextual"/>
        </w:rPr>
        <w:t>ème</w:t>
      </w:r>
      <w:r w:rsidRPr="007C5A6E">
        <w:rPr>
          <w:rFonts w:ascii="Times New Roman" w:eastAsia="Calibri" w:hAnsi="Times New Roman"/>
          <w:bCs/>
          <w:kern w:val="2"/>
          <w:sz w:val="24"/>
          <w:szCs w:val="24"/>
          <w:lang w:eastAsia="en-US"/>
          <w14:ligatures w14:val="standardContextual"/>
        </w:rPr>
        <w:t xml:space="preserve"> siècle. Compte tenu de la similitude des problèmes climatiques et des sols entre tous les pays de la région, cette technique a été diffusée progressivement dans toute la sous-région. Elle a été importée dans la région du Yatenga, au Burkina Faso dans les années 1980.</w:t>
      </w:r>
    </w:p>
    <w:p w14:paraId="63DE08A0" w14:textId="0B5726F5" w:rsidR="00643AF0" w:rsidRPr="007C5A6E" w:rsidRDefault="00643AF0" w:rsidP="00391460">
      <w:pPr>
        <w:spacing w:after="0" w:line="240" w:lineRule="auto"/>
        <w:contextualSpacing/>
        <w:jc w:val="both"/>
        <w:rPr>
          <w:rFonts w:ascii="Times New Roman" w:eastAsia="Calibri" w:hAnsi="Times New Roman"/>
          <w:bCs/>
          <w:kern w:val="2"/>
          <w:sz w:val="24"/>
          <w:szCs w:val="24"/>
          <w:lang w:eastAsia="en-US"/>
          <w14:ligatures w14:val="standardContextual"/>
        </w:rPr>
      </w:pPr>
      <w:r w:rsidRPr="007C5A6E">
        <w:rPr>
          <w:rFonts w:ascii="Times New Roman" w:eastAsia="Calibri" w:hAnsi="Times New Roman"/>
          <w:bCs/>
          <w:kern w:val="2"/>
          <w:sz w:val="24"/>
          <w:szCs w:val="24"/>
          <w:lang w:eastAsia="en-US"/>
          <w14:ligatures w14:val="standardContextual"/>
        </w:rPr>
        <w:t xml:space="preserve">Les demi-lunes sont des micro-cuvettes en forme de demi-cercle, entourées avec des déblais de terre déposés en arc de cercle ouvert vers l’amont. Les dimensions couramment utilisées sont : diamètre : 4 m ; profondeur : 0,15 à 0,25 m. L’eau de pluie est piégée dans les bras de la demi-lune et stockée dans le creux. La pratique de la technique des demi-lunes est faible à l’échelle du pays. Le tableau </w:t>
      </w:r>
      <w:r w:rsidR="00582A1F" w:rsidRPr="007C5A6E">
        <w:rPr>
          <w:rFonts w:ascii="Times New Roman" w:eastAsia="Calibri" w:hAnsi="Times New Roman"/>
          <w:bCs/>
          <w:kern w:val="2"/>
          <w:sz w:val="24"/>
          <w:szCs w:val="24"/>
          <w:lang w:eastAsia="en-US"/>
          <w14:ligatures w14:val="standardContextual"/>
        </w:rPr>
        <w:t>3</w:t>
      </w:r>
      <w:r w:rsidR="00705AF5" w:rsidRPr="007C5A6E">
        <w:rPr>
          <w:rFonts w:ascii="Times New Roman" w:eastAsia="Calibri" w:hAnsi="Times New Roman"/>
          <w:bCs/>
          <w:kern w:val="2"/>
          <w:sz w:val="24"/>
          <w:szCs w:val="24"/>
          <w:lang w:eastAsia="en-US"/>
          <w14:ligatures w14:val="standardContextual"/>
        </w:rPr>
        <w:t>9</w:t>
      </w:r>
      <w:r w:rsidRPr="007C5A6E">
        <w:rPr>
          <w:rFonts w:ascii="Times New Roman" w:eastAsia="Calibri" w:hAnsi="Times New Roman"/>
          <w:bCs/>
          <w:kern w:val="2"/>
          <w:sz w:val="24"/>
          <w:szCs w:val="24"/>
          <w:lang w:eastAsia="en-US"/>
          <w14:ligatures w14:val="standardContextual"/>
        </w:rPr>
        <w:t xml:space="preserve"> illustre la part de la superficie </w:t>
      </w:r>
      <w:r w:rsidRPr="007C5A6E">
        <w:rPr>
          <w:rFonts w:ascii="Times New Roman" w:eastAsia="Calibri" w:hAnsi="Times New Roman"/>
          <w:kern w:val="2"/>
          <w:sz w:val="24"/>
          <w:szCs w:val="24"/>
          <w:lang w:eastAsia="en-US"/>
          <w14:ligatures w14:val="standardContextual"/>
        </w:rPr>
        <w:t xml:space="preserve">sous demi-lune de 2016 à 2021 en </w:t>
      </w:r>
      <w:r w:rsidRPr="007C5A6E">
        <w:rPr>
          <w:rFonts w:ascii="Times New Roman" w:eastAsia="Calibri" w:hAnsi="Times New Roman"/>
          <w:bCs/>
          <w:kern w:val="2"/>
          <w:sz w:val="24"/>
          <w:szCs w:val="24"/>
          <w:lang w:eastAsia="en-US"/>
          <w14:ligatures w14:val="standardContextual"/>
        </w:rPr>
        <w:t>pourcentage.</w:t>
      </w:r>
    </w:p>
    <w:p w14:paraId="57FDDD9B" w14:textId="77777777" w:rsidR="00643AF0" w:rsidRPr="007C5A6E" w:rsidRDefault="00643AF0" w:rsidP="00391460">
      <w:pPr>
        <w:autoSpaceDE w:val="0"/>
        <w:autoSpaceDN w:val="0"/>
        <w:adjustRightInd w:val="0"/>
        <w:spacing w:after="0" w:line="240" w:lineRule="auto"/>
        <w:jc w:val="both"/>
        <w:rPr>
          <w:rFonts w:ascii="Times New Roman" w:eastAsia="Calibri" w:hAnsi="Times New Roman"/>
          <w:bCs/>
          <w:kern w:val="2"/>
          <w:sz w:val="24"/>
          <w:szCs w:val="24"/>
          <w:lang w:eastAsia="en-US"/>
          <w14:ligatures w14:val="standardContextual"/>
        </w:rPr>
      </w:pPr>
    </w:p>
    <w:p w14:paraId="412B6A56" w14:textId="4EC682C4" w:rsidR="00643AF0" w:rsidRPr="007C5A6E" w:rsidRDefault="00643AF0" w:rsidP="00391460">
      <w:pPr>
        <w:keepNext/>
        <w:spacing w:after="0" w:line="240" w:lineRule="auto"/>
        <w:jc w:val="both"/>
        <w:rPr>
          <w:rFonts w:ascii="Times New Roman" w:hAnsi="Times New Roman"/>
          <w:spacing w:val="10"/>
          <w:sz w:val="24"/>
          <w:szCs w:val="24"/>
          <w:lang w:eastAsia="en-US"/>
        </w:rPr>
      </w:pPr>
      <w:bookmarkStart w:id="882" w:name="_Toc181983408"/>
      <w:bookmarkStart w:id="883" w:name="_Toc183241001"/>
      <w:bookmarkStart w:id="884" w:name="_Toc183292243"/>
      <w:bookmarkStart w:id="885" w:name="_Toc183340523"/>
      <w:r w:rsidRPr="007C5A6E">
        <w:rPr>
          <w:rFonts w:ascii="Times New Roman" w:hAnsi="Times New Roman"/>
          <w:spacing w:val="10"/>
          <w:sz w:val="24"/>
          <w:szCs w:val="24"/>
          <w:lang w:eastAsia="en-US"/>
        </w:rPr>
        <w:t xml:space="preserve">Tableau </w:t>
      </w:r>
      <w:r w:rsidRPr="007C5A6E">
        <w:rPr>
          <w:rFonts w:ascii="Times New Roman" w:hAnsi="Times New Roman"/>
          <w:spacing w:val="10"/>
          <w:sz w:val="24"/>
          <w:szCs w:val="24"/>
          <w:lang w:eastAsia="en-US"/>
        </w:rPr>
        <w:fldChar w:fldCharType="begin"/>
      </w:r>
      <w:r w:rsidRPr="007C5A6E">
        <w:rPr>
          <w:rFonts w:ascii="Times New Roman" w:hAnsi="Times New Roman"/>
          <w:spacing w:val="10"/>
          <w:sz w:val="24"/>
          <w:szCs w:val="24"/>
          <w:lang w:eastAsia="en-US"/>
        </w:rPr>
        <w:instrText xml:space="preserve"> SEQ Tableau \* ARABIC </w:instrText>
      </w:r>
      <w:r w:rsidRPr="007C5A6E">
        <w:rPr>
          <w:rFonts w:ascii="Times New Roman" w:hAnsi="Times New Roman"/>
          <w:spacing w:val="10"/>
          <w:sz w:val="24"/>
          <w:szCs w:val="24"/>
          <w:lang w:eastAsia="en-US"/>
        </w:rPr>
        <w:fldChar w:fldCharType="separate"/>
      </w:r>
      <w:r w:rsidR="003162F8" w:rsidRPr="007C5A6E">
        <w:rPr>
          <w:rFonts w:ascii="Times New Roman" w:hAnsi="Times New Roman"/>
          <w:noProof/>
          <w:spacing w:val="10"/>
          <w:sz w:val="24"/>
          <w:szCs w:val="24"/>
          <w:lang w:eastAsia="en-US"/>
        </w:rPr>
        <w:t>39</w:t>
      </w:r>
      <w:r w:rsidRPr="007C5A6E">
        <w:rPr>
          <w:rFonts w:ascii="Times New Roman" w:hAnsi="Times New Roman"/>
          <w:spacing w:val="10"/>
          <w:sz w:val="24"/>
          <w:szCs w:val="24"/>
          <w:lang w:eastAsia="en-US"/>
        </w:rPr>
        <w:fldChar w:fldCharType="end"/>
      </w:r>
      <w:r w:rsidRPr="007C5A6E">
        <w:rPr>
          <w:rFonts w:ascii="Times New Roman" w:hAnsi="Times New Roman"/>
          <w:spacing w:val="10"/>
          <w:sz w:val="24"/>
          <w:szCs w:val="24"/>
          <w:lang w:eastAsia="en-US"/>
        </w:rPr>
        <w:t xml:space="preserve"> : Part de la superficie sous demi-lune de 2016 à 2021 (en %)</w:t>
      </w:r>
      <w:bookmarkEnd w:id="882"/>
      <w:bookmarkEnd w:id="883"/>
      <w:bookmarkEnd w:id="884"/>
      <w:bookmarkEnd w:id="885"/>
    </w:p>
    <w:p w14:paraId="2679D829" w14:textId="77777777" w:rsidR="0079347E" w:rsidRPr="007C5A6E" w:rsidRDefault="0079347E" w:rsidP="00391460">
      <w:pPr>
        <w:keepNext/>
        <w:spacing w:after="0" w:line="240" w:lineRule="auto"/>
        <w:jc w:val="both"/>
        <w:rPr>
          <w:rFonts w:ascii="Times New Roman" w:hAnsi="Times New Roman"/>
          <w:spacing w:val="10"/>
          <w:sz w:val="24"/>
          <w:szCs w:val="24"/>
          <w:lang w:eastAsia="en-US"/>
        </w:rPr>
      </w:pPr>
    </w:p>
    <w:tbl>
      <w:tblPr>
        <w:tblW w:w="9040" w:type="dxa"/>
        <w:tblLook w:val="04A0" w:firstRow="1" w:lastRow="0" w:firstColumn="1" w:lastColumn="0" w:noHBand="0" w:noVBand="1"/>
      </w:tblPr>
      <w:tblGrid>
        <w:gridCol w:w="2972"/>
        <w:gridCol w:w="992"/>
        <w:gridCol w:w="993"/>
        <w:gridCol w:w="1134"/>
        <w:gridCol w:w="992"/>
        <w:gridCol w:w="992"/>
        <w:gridCol w:w="965"/>
      </w:tblGrid>
      <w:tr w:rsidR="00643AF0" w:rsidRPr="007C5A6E" w14:paraId="3CFC65BE" w14:textId="77777777" w:rsidTr="001461B0">
        <w:trPr>
          <w:trHeight w:val="290"/>
        </w:trPr>
        <w:tc>
          <w:tcPr>
            <w:tcW w:w="2972" w:type="dxa"/>
            <w:tcBorders>
              <w:top w:val="single" w:sz="18" w:space="0" w:color="auto"/>
              <w:bottom w:val="single" w:sz="18" w:space="0" w:color="auto"/>
            </w:tcBorders>
            <w:shd w:val="clear" w:color="auto" w:fill="auto"/>
            <w:noWrap/>
            <w:vAlign w:val="bottom"/>
            <w:hideMark/>
          </w:tcPr>
          <w:p w14:paraId="399B35B7" w14:textId="77777777" w:rsidR="00643AF0" w:rsidRPr="007C5A6E" w:rsidRDefault="00643AF0" w:rsidP="00391460">
            <w:pPr>
              <w:spacing w:after="0" w:line="240" w:lineRule="auto"/>
              <w:rPr>
                <w:rFonts w:ascii="Times New Roman" w:hAnsi="Times New Roman"/>
                <w:color w:val="000000"/>
                <w:lang w:eastAsia="en-US"/>
              </w:rPr>
            </w:pPr>
            <w:r w:rsidRPr="007C5A6E">
              <w:rPr>
                <w:rFonts w:ascii="Times New Roman" w:hAnsi="Times New Roman"/>
                <w:color w:val="000000"/>
                <w:lang w:eastAsia="en-US"/>
              </w:rPr>
              <w:t>Année</w:t>
            </w:r>
          </w:p>
        </w:tc>
        <w:tc>
          <w:tcPr>
            <w:tcW w:w="992" w:type="dxa"/>
            <w:tcBorders>
              <w:top w:val="single" w:sz="18" w:space="0" w:color="auto"/>
              <w:bottom w:val="single" w:sz="18" w:space="0" w:color="auto"/>
            </w:tcBorders>
            <w:shd w:val="clear" w:color="auto" w:fill="auto"/>
            <w:noWrap/>
            <w:vAlign w:val="bottom"/>
            <w:hideMark/>
          </w:tcPr>
          <w:p w14:paraId="12688A78"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2016</w:t>
            </w:r>
          </w:p>
        </w:tc>
        <w:tc>
          <w:tcPr>
            <w:tcW w:w="993" w:type="dxa"/>
            <w:tcBorders>
              <w:top w:val="single" w:sz="18" w:space="0" w:color="auto"/>
              <w:bottom w:val="single" w:sz="18" w:space="0" w:color="auto"/>
            </w:tcBorders>
            <w:shd w:val="clear" w:color="auto" w:fill="auto"/>
            <w:noWrap/>
            <w:vAlign w:val="bottom"/>
            <w:hideMark/>
          </w:tcPr>
          <w:p w14:paraId="4F94E107"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2017</w:t>
            </w:r>
          </w:p>
        </w:tc>
        <w:tc>
          <w:tcPr>
            <w:tcW w:w="1134" w:type="dxa"/>
            <w:tcBorders>
              <w:top w:val="single" w:sz="18" w:space="0" w:color="auto"/>
              <w:bottom w:val="single" w:sz="18" w:space="0" w:color="auto"/>
            </w:tcBorders>
            <w:shd w:val="clear" w:color="auto" w:fill="auto"/>
            <w:noWrap/>
            <w:vAlign w:val="bottom"/>
            <w:hideMark/>
          </w:tcPr>
          <w:p w14:paraId="1D89B5AB"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2018</w:t>
            </w:r>
          </w:p>
        </w:tc>
        <w:tc>
          <w:tcPr>
            <w:tcW w:w="992" w:type="dxa"/>
            <w:tcBorders>
              <w:top w:val="single" w:sz="18" w:space="0" w:color="auto"/>
              <w:bottom w:val="single" w:sz="18" w:space="0" w:color="auto"/>
            </w:tcBorders>
            <w:shd w:val="clear" w:color="auto" w:fill="auto"/>
            <w:noWrap/>
            <w:vAlign w:val="bottom"/>
            <w:hideMark/>
          </w:tcPr>
          <w:p w14:paraId="470B18B8"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2019</w:t>
            </w:r>
          </w:p>
        </w:tc>
        <w:tc>
          <w:tcPr>
            <w:tcW w:w="992" w:type="dxa"/>
            <w:tcBorders>
              <w:top w:val="single" w:sz="18" w:space="0" w:color="auto"/>
              <w:bottom w:val="single" w:sz="18" w:space="0" w:color="auto"/>
            </w:tcBorders>
            <w:shd w:val="clear" w:color="auto" w:fill="auto"/>
            <w:noWrap/>
            <w:vAlign w:val="bottom"/>
            <w:hideMark/>
          </w:tcPr>
          <w:p w14:paraId="0FC01C25"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2020</w:t>
            </w:r>
          </w:p>
        </w:tc>
        <w:tc>
          <w:tcPr>
            <w:tcW w:w="965" w:type="dxa"/>
            <w:tcBorders>
              <w:top w:val="single" w:sz="18" w:space="0" w:color="auto"/>
              <w:bottom w:val="single" w:sz="18" w:space="0" w:color="auto"/>
            </w:tcBorders>
            <w:shd w:val="clear" w:color="auto" w:fill="auto"/>
            <w:noWrap/>
            <w:vAlign w:val="bottom"/>
            <w:hideMark/>
          </w:tcPr>
          <w:p w14:paraId="58046DFD"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2021</w:t>
            </w:r>
          </w:p>
        </w:tc>
      </w:tr>
      <w:tr w:rsidR="00643AF0" w:rsidRPr="007C5A6E" w14:paraId="214ED0EA" w14:textId="77777777" w:rsidTr="001461B0">
        <w:trPr>
          <w:trHeight w:val="290"/>
        </w:trPr>
        <w:tc>
          <w:tcPr>
            <w:tcW w:w="2972" w:type="dxa"/>
            <w:tcBorders>
              <w:top w:val="single" w:sz="18" w:space="0" w:color="auto"/>
            </w:tcBorders>
            <w:shd w:val="clear" w:color="auto" w:fill="auto"/>
            <w:noWrap/>
            <w:vAlign w:val="bottom"/>
          </w:tcPr>
          <w:p w14:paraId="39D7F3E7" w14:textId="77777777" w:rsidR="00643AF0" w:rsidRPr="007C5A6E" w:rsidRDefault="00643AF0" w:rsidP="00391460">
            <w:pPr>
              <w:spacing w:after="0" w:line="240" w:lineRule="auto"/>
              <w:rPr>
                <w:rFonts w:ascii="Times New Roman" w:hAnsi="Times New Roman"/>
                <w:color w:val="000000"/>
                <w:lang w:eastAsia="en-US"/>
              </w:rPr>
            </w:pPr>
            <w:r w:rsidRPr="007C5A6E">
              <w:rPr>
                <w:rFonts w:ascii="Times New Roman" w:hAnsi="Times New Roman"/>
                <w:color w:val="000000"/>
                <w:lang w:eastAsia="en-US"/>
              </w:rPr>
              <w:t>Burkina Faso</w:t>
            </w:r>
          </w:p>
        </w:tc>
        <w:tc>
          <w:tcPr>
            <w:tcW w:w="992" w:type="dxa"/>
            <w:tcBorders>
              <w:top w:val="single" w:sz="18" w:space="0" w:color="auto"/>
            </w:tcBorders>
            <w:shd w:val="clear" w:color="auto" w:fill="auto"/>
            <w:noWrap/>
            <w:vAlign w:val="bottom"/>
            <w:hideMark/>
          </w:tcPr>
          <w:p w14:paraId="2CB4C281"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0,17</w:t>
            </w:r>
          </w:p>
        </w:tc>
        <w:tc>
          <w:tcPr>
            <w:tcW w:w="993" w:type="dxa"/>
            <w:tcBorders>
              <w:top w:val="single" w:sz="18" w:space="0" w:color="auto"/>
            </w:tcBorders>
            <w:shd w:val="clear" w:color="auto" w:fill="auto"/>
            <w:noWrap/>
            <w:vAlign w:val="bottom"/>
            <w:hideMark/>
          </w:tcPr>
          <w:p w14:paraId="2D96A3AF"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0,03</w:t>
            </w:r>
          </w:p>
        </w:tc>
        <w:tc>
          <w:tcPr>
            <w:tcW w:w="1134" w:type="dxa"/>
            <w:tcBorders>
              <w:top w:val="single" w:sz="18" w:space="0" w:color="auto"/>
            </w:tcBorders>
            <w:shd w:val="clear" w:color="auto" w:fill="auto"/>
            <w:noWrap/>
            <w:vAlign w:val="bottom"/>
            <w:hideMark/>
          </w:tcPr>
          <w:p w14:paraId="07123BBB"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0,08</w:t>
            </w:r>
          </w:p>
        </w:tc>
        <w:tc>
          <w:tcPr>
            <w:tcW w:w="992" w:type="dxa"/>
            <w:tcBorders>
              <w:top w:val="single" w:sz="18" w:space="0" w:color="auto"/>
            </w:tcBorders>
            <w:shd w:val="clear" w:color="auto" w:fill="auto"/>
            <w:noWrap/>
            <w:vAlign w:val="bottom"/>
            <w:hideMark/>
          </w:tcPr>
          <w:p w14:paraId="618A2F87"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0,12</w:t>
            </w:r>
          </w:p>
        </w:tc>
        <w:tc>
          <w:tcPr>
            <w:tcW w:w="992" w:type="dxa"/>
            <w:tcBorders>
              <w:top w:val="single" w:sz="18" w:space="0" w:color="auto"/>
            </w:tcBorders>
            <w:shd w:val="clear" w:color="auto" w:fill="auto"/>
            <w:noWrap/>
            <w:vAlign w:val="bottom"/>
            <w:hideMark/>
          </w:tcPr>
          <w:p w14:paraId="0D4E2989"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0,08</w:t>
            </w:r>
          </w:p>
        </w:tc>
        <w:tc>
          <w:tcPr>
            <w:tcW w:w="965" w:type="dxa"/>
            <w:tcBorders>
              <w:top w:val="single" w:sz="18" w:space="0" w:color="auto"/>
            </w:tcBorders>
            <w:shd w:val="clear" w:color="auto" w:fill="auto"/>
            <w:noWrap/>
            <w:vAlign w:val="bottom"/>
            <w:hideMark/>
          </w:tcPr>
          <w:p w14:paraId="0A9C17EF" w14:textId="77777777" w:rsidR="00643AF0" w:rsidRPr="007C5A6E" w:rsidRDefault="00643AF0" w:rsidP="00391460">
            <w:pPr>
              <w:spacing w:after="0" w:line="240" w:lineRule="auto"/>
              <w:jc w:val="right"/>
              <w:rPr>
                <w:rFonts w:ascii="Times New Roman" w:hAnsi="Times New Roman"/>
                <w:color w:val="000000"/>
                <w:lang w:eastAsia="en-US"/>
              </w:rPr>
            </w:pPr>
            <w:r w:rsidRPr="007C5A6E">
              <w:rPr>
                <w:rFonts w:ascii="Times New Roman" w:hAnsi="Times New Roman"/>
                <w:color w:val="000000"/>
                <w:lang w:eastAsia="en-US"/>
              </w:rPr>
              <w:t>0,71</w:t>
            </w:r>
          </w:p>
        </w:tc>
      </w:tr>
      <w:tr w:rsidR="00643AF0" w:rsidRPr="007C5A6E" w14:paraId="1C26D2AB" w14:textId="77777777" w:rsidTr="001461B0">
        <w:trPr>
          <w:trHeight w:val="60"/>
        </w:trPr>
        <w:tc>
          <w:tcPr>
            <w:tcW w:w="2972" w:type="dxa"/>
            <w:tcBorders>
              <w:bottom w:val="single" w:sz="18" w:space="0" w:color="auto"/>
            </w:tcBorders>
            <w:shd w:val="clear" w:color="auto" w:fill="auto"/>
            <w:noWrap/>
            <w:vAlign w:val="bottom"/>
            <w:hideMark/>
          </w:tcPr>
          <w:p w14:paraId="67B17779" w14:textId="77777777" w:rsidR="00643AF0" w:rsidRPr="007C5A6E" w:rsidRDefault="00643AF0" w:rsidP="00391460">
            <w:pPr>
              <w:spacing w:after="0" w:line="240" w:lineRule="auto"/>
              <w:rPr>
                <w:rFonts w:ascii="Times New Roman" w:hAnsi="Times New Roman"/>
                <w:color w:val="000000"/>
                <w:lang w:eastAsia="en-US"/>
              </w:rPr>
            </w:pPr>
          </w:p>
        </w:tc>
        <w:tc>
          <w:tcPr>
            <w:tcW w:w="992" w:type="dxa"/>
            <w:tcBorders>
              <w:bottom w:val="single" w:sz="18" w:space="0" w:color="auto"/>
            </w:tcBorders>
            <w:shd w:val="clear" w:color="auto" w:fill="auto"/>
            <w:noWrap/>
            <w:vAlign w:val="bottom"/>
            <w:hideMark/>
          </w:tcPr>
          <w:p w14:paraId="1E414E53" w14:textId="77777777" w:rsidR="00643AF0" w:rsidRPr="007C5A6E" w:rsidRDefault="00643AF0" w:rsidP="00391460">
            <w:pPr>
              <w:spacing w:after="0" w:line="240" w:lineRule="auto"/>
              <w:jc w:val="right"/>
              <w:rPr>
                <w:rFonts w:ascii="Times New Roman" w:hAnsi="Times New Roman"/>
                <w:color w:val="000000"/>
                <w:lang w:eastAsia="en-US"/>
              </w:rPr>
            </w:pPr>
          </w:p>
        </w:tc>
        <w:tc>
          <w:tcPr>
            <w:tcW w:w="993" w:type="dxa"/>
            <w:tcBorders>
              <w:bottom w:val="single" w:sz="18" w:space="0" w:color="auto"/>
            </w:tcBorders>
            <w:shd w:val="clear" w:color="auto" w:fill="auto"/>
            <w:noWrap/>
            <w:vAlign w:val="bottom"/>
            <w:hideMark/>
          </w:tcPr>
          <w:p w14:paraId="4A66992C" w14:textId="77777777" w:rsidR="00643AF0" w:rsidRPr="007C5A6E" w:rsidRDefault="00643AF0" w:rsidP="00391460">
            <w:pPr>
              <w:spacing w:after="0" w:line="240" w:lineRule="auto"/>
              <w:jc w:val="right"/>
              <w:rPr>
                <w:rFonts w:ascii="Times New Roman" w:hAnsi="Times New Roman"/>
                <w:color w:val="000000"/>
                <w:lang w:eastAsia="en-US"/>
              </w:rPr>
            </w:pPr>
          </w:p>
        </w:tc>
        <w:tc>
          <w:tcPr>
            <w:tcW w:w="1134" w:type="dxa"/>
            <w:tcBorders>
              <w:bottom w:val="single" w:sz="18" w:space="0" w:color="auto"/>
            </w:tcBorders>
            <w:shd w:val="clear" w:color="auto" w:fill="auto"/>
            <w:noWrap/>
            <w:vAlign w:val="bottom"/>
            <w:hideMark/>
          </w:tcPr>
          <w:p w14:paraId="5D0F10B6" w14:textId="77777777" w:rsidR="00643AF0" w:rsidRPr="007C5A6E" w:rsidRDefault="00643AF0" w:rsidP="00391460">
            <w:pPr>
              <w:spacing w:after="0" w:line="240" w:lineRule="auto"/>
              <w:jc w:val="right"/>
              <w:rPr>
                <w:rFonts w:ascii="Times New Roman" w:hAnsi="Times New Roman"/>
                <w:color w:val="000000"/>
                <w:lang w:eastAsia="en-US"/>
              </w:rPr>
            </w:pPr>
          </w:p>
        </w:tc>
        <w:tc>
          <w:tcPr>
            <w:tcW w:w="992" w:type="dxa"/>
            <w:tcBorders>
              <w:bottom w:val="single" w:sz="18" w:space="0" w:color="auto"/>
            </w:tcBorders>
            <w:shd w:val="clear" w:color="auto" w:fill="auto"/>
            <w:noWrap/>
            <w:vAlign w:val="bottom"/>
            <w:hideMark/>
          </w:tcPr>
          <w:p w14:paraId="26010D41" w14:textId="77777777" w:rsidR="00643AF0" w:rsidRPr="007C5A6E" w:rsidRDefault="00643AF0" w:rsidP="00391460">
            <w:pPr>
              <w:spacing w:after="0" w:line="240" w:lineRule="auto"/>
              <w:jc w:val="right"/>
              <w:rPr>
                <w:rFonts w:ascii="Times New Roman" w:hAnsi="Times New Roman"/>
                <w:color w:val="000000"/>
                <w:lang w:eastAsia="en-US"/>
              </w:rPr>
            </w:pPr>
          </w:p>
        </w:tc>
        <w:tc>
          <w:tcPr>
            <w:tcW w:w="992" w:type="dxa"/>
            <w:tcBorders>
              <w:bottom w:val="single" w:sz="18" w:space="0" w:color="auto"/>
            </w:tcBorders>
            <w:shd w:val="clear" w:color="auto" w:fill="auto"/>
            <w:noWrap/>
            <w:vAlign w:val="bottom"/>
            <w:hideMark/>
          </w:tcPr>
          <w:p w14:paraId="1166491D" w14:textId="77777777" w:rsidR="00643AF0" w:rsidRPr="007C5A6E" w:rsidRDefault="00643AF0" w:rsidP="00391460">
            <w:pPr>
              <w:spacing w:after="0" w:line="240" w:lineRule="auto"/>
              <w:jc w:val="right"/>
              <w:rPr>
                <w:rFonts w:ascii="Times New Roman" w:hAnsi="Times New Roman"/>
                <w:color w:val="000000"/>
                <w:lang w:eastAsia="en-US"/>
              </w:rPr>
            </w:pPr>
          </w:p>
        </w:tc>
        <w:tc>
          <w:tcPr>
            <w:tcW w:w="965" w:type="dxa"/>
            <w:tcBorders>
              <w:bottom w:val="single" w:sz="18" w:space="0" w:color="auto"/>
            </w:tcBorders>
            <w:shd w:val="clear" w:color="auto" w:fill="auto"/>
            <w:noWrap/>
            <w:vAlign w:val="bottom"/>
            <w:hideMark/>
          </w:tcPr>
          <w:p w14:paraId="1C0F907D" w14:textId="77777777" w:rsidR="00643AF0" w:rsidRPr="007C5A6E" w:rsidRDefault="00643AF0" w:rsidP="00391460">
            <w:pPr>
              <w:spacing w:after="0" w:line="240" w:lineRule="auto"/>
              <w:jc w:val="right"/>
              <w:rPr>
                <w:rFonts w:ascii="Times New Roman" w:hAnsi="Times New Roman"/>
                <w:color w:val="000000"/>
                <w:lang w:eastAsia="en-US"/>
              </w:rPr>
            </w:pPr>
          </w:p>
        </w:tc>
      </w:tr>
    </w:tbl>
    <w:p w14:paraId="186CB9FF" w14:textId="77777777" w:rsidR="00643AF0" w:rsidRPr="007C5A6E" w:rsidRDefault="00643AF0" w:rsidP="00391460">
      <w:pPr>
        <w:spacing w:after="0" w:line="240" w:lineRule="auto"/>
        <w:contextualSpacing/>
        <w:jc w:val="both"/>
        <w:rPr>
          <w:rFonts w:ascii="Times New Roman" w:eastAsia="Calibri" w:hAnsi="Times New Roman"/>
          <w:sz w:val="20"/>
          <w:szCs w:val="20"/>
          <w:lang w:eastAsia="en-US"/>
          <w14:ligatures w14:val="standardContextual"/>
        </w:rPr>
      </w:pPr>
      <w:r w:rsidRPr="007C5A6E">
        <w:rPr>
          <w:rFonts w:ascii="Times New Roman" w:eastAsia="Calibri" w:hAnsi="Times New Roman"/>
          <w:kern w:val="2"/>
          <w:sz w:val="20"/>
          <w:szCs w:val="20"/>
          <w:lang w:eastAsia="en-US"/>
          <w14:ligatures w14:val="standardContextual"/>
        </w:rPr>
        <w:t xml:space="preserve"> </w:t>
      </w:r>
      <w:r w:rsidRPr="007C5A6E">
        <w:rPr>
          <w:rFonts w:ascii="Times New Roman" w:eastAsia="Calibri" w:hAnsi="Times New Roman"/>
          <w:sz w:val="20"/>
          <w:szCs w:val="20"/>
          <w:lang w:eastAsia="en-US"/>
          <w14:ligatures w14:val="standardContextual"/>
        </w:rPr>
        <w:t>MARAH/DGESS/EPA, 2016-2021</w:t>
      </w:r>
    </w:p>
    <w:p w14:paraId="52B036CD" w14:textId="77777777" w:rsidR="00643AF0" w:rsidRPr="007C5A6E" w:rsidRDefault="00643AF0" w:rsidP="00391460">
      <w:pPr>
        <w:autoSpaceDE w:val="0"/>
        <w:autoSpaceDN w:val="0"/>
        <w:adjustRightInd w:val="0"/>
        <w:spacing w:after="0" w:line="240" w:lineRule="auto"/>
        <w:jc w:val="both"/>
        <w:rPr>
          <w:rFonts w:ascii="Times New Roman" w:eastAsia="Calibri" w:hAnsi="Times New Roman"/>
          <w:bCs/>
          <w:kern w:val="2"/>
          <w:sz w:val="20"/>
          <w:szCs w:val="20"/>
          <w:lang w:eastAsia="en-US"/>
          <w14:ligatures w14:val="standardContextual"/>
        </w:rPr>
      </w:pPr>
    </w:p>
    <w:p w14:paraId="4D3333AF" w14:textId="6A5AD7FC" w:rsidR="00643AF0" w:rsidRPr="007C5A6E" w:rsidRDefault="00643AF0" w:rsidP="00684FF8">
      <w:pPr>
        <w:pStyle w:val="Titre4"/>
      </w:pPr>
      <w:bookmarkStart w:id="886" w:name="_Toc181982266"/>
      <w:bookmarkStart w:id="887" w:name="_Toc183340189"/>
      <w:r w:rsidRPr="007C5A6E">
        <w:t>Paillage</w:t>
      </w:r>
      <w:bookmarkEnd w:id="886"/>
      <w:bookmarkEnd w:id="887"/>
    </w:p>
    <w:p w14:paraId="405298EA" w14:textId="0573D718" w:rsidR="00643AF0" w:rsidRPr="007C5A6E" w:rsidRDefault="00643AF0" w:rsidP="00391460">
      <w:pPr>
        <w:autoSpaceDE w:val="0"/>
        <w:autoSpaceDN w:val="0"/>
        <w:adjustRightInd w:val="0"/>
        <w:spacing w:after="0" w:line="240" w:lineRule="auto"/>
        <w:jc w:val="both"/>
        <w:rPr>
          <w:rFonts w:ascii="Times New Roman" w:eastAsia="Calibri" w:hAnsi="Times New Roman"/>
          <w:bCs/>
          <w:kern w:val="2"/>
          <w:sz w:val="24"/>
          <w:szCs w:val="24"/>
          <w:lang w:eastAsia="en-US"/>
          <w14:ligatures w14:val="standardContextual"/>
        </w:rPr>
      </w:pPr>
      <w:r w:rsidRPr="007C5A6E">
        <w:rPr>
          <w:rFonts w:ascii="Times New Roman" w:eastAsia="Calibri" w:hAnsi="Times New Roman"/>
          <w:bCs/>
          <w:kern w:val="2"/>
          <w:sz w:val="24"/>
          <w:szCs w:val="24"/>
          <w:lang w:eastAsia="en-US"/>
          <w14:ligatures w14:val="standardContextual"/>
        </w:rPr>
        <w:t>Le paillage est une technique endogène utilisée par les paysans pour recouvrir les parties dénudées des champs avec des branchages ou des herbes ou encore des résidus de récolte pour protéger le sol nu contre la battance des eaux de pluie et stimuler l’activité des termites. C’est une technique qui permet aux paysans de récupérer les sols dénudés et de les mettre en culture. La photo 14 présente le paillage.</w:t>
      </w:r>
    </w:p>
    <w:p w14:paraId="49498702" w14:textId="77777777" w:rsidR="00643AF0" w:rsidRPr="007C5A6E" w:rsidRDefault="00643AF0" w:rsidP="00391460">
      <w:pPr>
        <w:autoSpaceDE w:val="0"/>
        <w:autoSpaceDN w:val="0"/>
        <w:adjustRightInd w:val="0"/>
        <w:spacing w:after="0" w:line="240" w:lineRule="auto"/>
        <w:jc w:val="both"/>
        <w:rPr>
          <w:rFonts w:ascii="Times New Roman" w:eastAsia="Calibri" w:hAnsi="Times New Roman"/>
          <w:bCs/>
          <w:kern w:val="2"/>
          <w:sz w:val="20"/>
          <w:szCs w:val="20"/>
          <w:lang w:eastAsia="en-US"/>
          <w14:ligatures w14:val="standardContextual"/>
        </w:rPr>
      </w:pPr>
    </w:p>
    <w:p w14:paraId="24CD3983" w14:textId="6D3DF552" w:rsidR="00643AF0" w:rsidRPr="007C5A6E" w:rsidRDefault="00643AF0" w:rsidP="00684FF8">
      <w:pPr>
        <w:pStyle w:val="Titre4"/>
      </w:pPr>
      <w:bookmarkStart w:id="888" w:name="_Toc181982267"/>
      <w:bookmarkStart w:id="889" w:name="_Toc183340190"/>
      <w:r w:rsidRPr="007C5A6E">
        <w:t>Régénération Naturelle Assistée (RNA)</w:t>
      </w:r>
      <w:bookmarkEnd w:id="888"/>
      <w:bookmarkEnd w:id="889"/>
    </w:p>
    <w:p w14:paraId="000A83E4" w14:textId="77777777" w:rsidR="00582A1F" w:rsidRPr="007C5A6E" w:rsidRDefault="00582A1F" w:rsidP="00391460">
      <w:pPr>
        <w:spacing w:after="0" w:line="240" w:lineRule="auto"/>
        <w:jc w:val="both"/>
        <w:rPr>
          <w:rFonts w:ascii="Times New Roman" w:eastAsia="Calibri" w:hAnsi="Times New Roman"/>
          <w:color w:val="262626"/>
          <w:kern w:val="2"/>
          <w:sz w:val="24"/>
          <w:szCs w:val="24"/>
          <w:shd w:val="clear" w:color="auto" w:fill="FFFFFF"/>
          <w:lang w:eastAsia="en-US"/>
          <w14:ligatures w14:val="standardContextual"/>
        </w:rPr>
      </w:pPr>
    </w:p>
    <w:p w14:paraId="70240BA3" w14:textId="3A1CDB01" w:rsidR="00643AF0" w:rsidRPr="007C5A6E" w:rsidRDefault="00643AF0" w:rsidP="00391460">
      <w:pPr>
        <w:spacing w:after="0" w:line="240" w:lineRule="auto"/>
        <w:jc w:val="both"/>
        <w:rPr>
          <w:rFonts w:ascii="Times New Roman" w:eastAsia="Calibri" w:hAnsi="Times New Roman"/>
          <w:color w:val="262626"/>
          <w:kern w:val="2"/>
          <w:sz w:val="24"/>
          <w:szCs w:val="24"/>
          <w:shd w:val="clear" w:color="auto" w:fill="FFFFFF"/>
          <w:lang w:eastAsia="en-US"/>
          <w14:ligatures w14:val="standardContextual"/>
        </w:rPr>
      </w:pPr>
      <w:r w:rsidRPr="007C5A6E">
        <w:rPr>
          <w:rFonts w:ascii="Times New Roman" w:eastAsia="Calibri" w:hAnsi="Times New Roman"/>
          <w:color w:val="262626"/>
          <w:kern w:val="2"/>
          <w:sz w:val="24"/>
          <w:szCs w:val="24"/>
          <w:shd w:val="clear" w:color="auto" w:fill="FFFFFF"/>
          <w:lang w:eastAsia="en-US"/>
          <w14:ligatures w14:val="standardContextual"/>
        </w:rPr>
        <w:t>La Régénération Naturelle Assistée (RNA) est une technique d’agroforesterie qui consiste à protéger et gérer les repousses naturelles (pousses) que produisent les souches d’arbres et arbustes dans les champs. Des ensemencements par semis directs peuvent également être opérés pour permettre d’enrichir la biodiversité. Cette option d’enrichissement par semis directs en espèces d’intérêt a été introduite plus tard dans les forêts sèches en aménagement pour le ravitaillement des villes en bois de feu. La pratique est utilisée depuis les années 1980 pour accélérer la réhabilitation ou favoriser la recolonisation d’espèces d’intérêt ou leur enrichissement dans les parcelles exploitées dans les forêts aménagées pour la production du bois ou les champs (</w:t>
      </w:r>
      <w:proofErr w:type="spellStart"/>
      <w:r w:rsidRPr="007C5A6E">
        <w:rPr>
          <w:rFonts w:ascii="Times New Roman" w:eastAsia="Calibri" w:hAnsi="Times New Roman"/>
          <w:kern w:val="2"/>
          <w:sz w:val="24"/>
          <w:szCs w:val="24"/>
          <w:shd w:val="clear" w:color="auto" w:fill="FFFFFF"/>
          <w:lang w:eastAsia="en-US"/>
          <w14:ligatures w14:val="standardContextual"/>
        </w:rPr>
        <w:t>Botoni</w:t>
      </w:r>
      <w:proofErr w:type="spellEnd"/>
      <w:r w:rsidRPr="007C5A6E">
        <w:rPr>
          <w:rFonts w:ascii="Times New Roman" w:eastAsia="Calibri" w:hAnsi="Times New Roman"/>
          <w:kern w:val="2"/>
          <w:sz w:val="24"/>
          <w:szCs w:val="24"/>
          <w:shd w:val="clear" w:color="auto" w:fill="FFFFFF"/>
          <w:lang w:eastAsia="en-US"/>
          <w14:ligatures w14:val="standardContextual"/>
        </w:rPr>
        <w:t xml:space="preserve"> et </w:t>
      </w:r>
      <w:r w:rsidRPr="007C5A6E">
        <w:rPr>
          <w:rFonts w:ascii="Times New Roman" w:eastAsia="Calibri" w:hAnsi="Times New Roman"/>
          <w:i/>
          <w:iCs/>
          <w:kern w:val="2"/>
          <w:sz w:val="24"/>
          <w:szCs w:val="24"/>
          <w:shd w:val="clear" w:color="auto" w:fill="FFFFFF"/>
          <w:lang w:eastAsia="en-US"/>
          <w14:ligatures w14:val="standardContextual"/>
        </w:rPr>
        <w:t>al.</w:t>
      </w:r>
      <w:r w:rsidRPr="007C5A6E">
        <w:rPr>
          <w:rFonts w:ascii="Times New Roman" w:eastAsia="Calibri" w:hAnsi="Times New Roman"/>
          <w:kern w:val="2"/>
          <w:sz w:val="24"/>
          <w:szCs w:val="24"/>
          <w:shd w:val="clear" w:color="auto" w:fill="FFFFFF"/>
          <w:lang w:eastAsia="en-US"/>
          <w14:ligatures w14:val="standardContextual"/>
        </w:rPr>
        <w:t>, 2010)</w:t>
      </w:r>
      <w:r w:rsidRPr="007C5A6E">
        <w:rPr>
          <w:rFonts w:ascii="Noto Sans" w:eastAsia="Calibri" w:hAnsi="Noto Sans" w:cs="Noto Sans"/>
          <w:color w:val="262626"/>
          <w:kern w:val="2"/>
          <w:sz w:val="24"/>
          <w:szCs w:val="24"/>
          <w:shd w:val="clear" w:color="auto" w:fill="FFFFFF"/>
          <w:lang w:eastAsia="en-US"/>
          <w14:ligatures w14:val="standardContextual"/>
        </w:rPr>
        <w:t xml:space="preserve">. </w:t>
      </w:r>
      <w:r w:rsidRPr="007C5A6E">
        <w:rPr>
          <w:rFonts w:ascii="Times New Roman" w:eastAsia="Calibri" w:hAnsi="Times New Roman"/>
          <w:color w:val="262626"/>
          <w:kern w:val="2"/>
          <w:sz w:val="24"/>
          <w:szCs w:val="24"/>
          <w:shd w:val="clear" w:color="auto" w:fill="FFFFFF"/>
          <w:lang w:eastAsia="en-US"/>
          <w14:ligatures w14:val="standardContextual"/>
        </w:rPr>
        <w:t>La photo 15 illustre une Régénération Naturelle Assistée (RNA) dans la commune de Ouahigouya.</w:t>
      </w:r>
    </w:p>
    <w:p w14:paraId="425B8FFB" w14:textId="77777777" w:rsidR="00643AF0" w:rsidRPr="007C5A6E" w:rsidRDefault="00643AF0" w:rsidP="00391460">
      <w:pPr>
        <w:autoSpaceDE w:val="0"/>
        <w:autoSpaceDN w:val="0"/>
        <w:adjustRightInd w:val="0"/>
        <w:spacing w:after="0" w:line="240" w:lineRule="auto"/>
        <w:jc w:val="both"/>
        <w:rPr>
          <w:rFonts w:ascii="Times New Roman" w:eastAsia="Calibri" w:hAnsi="Times New Roman"/>
          <w:bCs/>
          <w:kern w:val="2"/>
          <w:sz w:val="20"/>
          <w:szCs w:val="20"/>
          <w:lang w:eastAsia="en-US"/>
          <w14:ligatures w14:val="standardContextual"/>
        </w:rPr>
      </w:pPr>
    </w:p>
    <w:p w14:paraId="4DAF6E85" w14:textId="67C0DB24" w:rsidR="00643AF0" w:rsidRPr="007C5A6E" w:rsidRDefault="00643AF0" w:rsidP="00582A1F">
      <w:pPr>
        <w:pStyle w:val="Titre3"/>
      </w:pPr>
      <w:bookmarkStart w:id="890" w:name="_Toc181982268"/>
      <w:bookmarkStart w:id="891" w:name="_Toc183340191"/>
      <w:r w:rsidRPr="007C5A6E">
        <w:t>Les Programmes et stratégies publics</w:t>
      </w:r>
      <w:bookmarkEnd w:id="890"/>
      <w:bookmarkEnd w:id="891"/>
    </w:p>
    <w:p w14:paraId="020C8C0B" w14:textId="77777777" w:rsidR="00582A1F" w:rsidRPr="007C5A6E" w:rsidRDefault="00582A1F"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p>
    <w:p w14:paraId="5E2FB217" w14:textId="7CF94658" w:rsidR="00643AF0" w:rsidRPr="007C5A6E" w:rsidRDefault="00643AF0"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La dégradation accélérée des ressources naturelles, notamment la ressource productive "terre" constitue une problématique quotidienne à résoudre pour le Burkina Faso. La pression anthropique conjuguée aux effets néfastes des changements climatiques sur cette ressource compromettent fortement la productivité et les productions agro-</w:t>
      </w:r>
      <w:proofErr w:type="spellStart"/>
      <w:r w:rsidRPr="007C5A6E">
        <w:rPr>
          <w:rFonts w:ascii="Times New Roman" w:eastAsia="Calibri" w:hAnsi="Times New Roman"/>
          <w:kern w:val="2"/>
          <w:sz w:val="24"/>
          <w:szCs w:val="24"/>
          <w:lang w:eastAsia="en-US"/>
          <w14:ligatures w14:val="standardContextual"/>
        </w:rPr>
        <w:t>sylvo</w:t>
      </w:r>
      <w:proofErr w:type="spellEnd"/>
      <w:r w:rsidRPr="007C5A6E">
        <w:rPr>
          <w:rFonts w:ascii="Times New Roman" w:eastAsia="Calibri" w:hAnsi="Times New Roman"/>
          <w:kern w:val="2"/>
          <w:sz w:val="24"/>
          <w:szCs w:val="24"/>
          <w:lang w:eastAsia="en-US"/>
          <w14:ligatures w14:val="standardContextual"/>
        </w:rPr>
        <w:t>-pastorales. Depuis plusieurs décennies, des actions multiformes engagées par différents acteurs pour restaurer, conserver et récupérer le potentiel productif des terres agricoles sont menées. Cependant, le phénomène perdure et cette persistance pourrait s'expliquer par (i) la faiblesse générale des financements dans le domaine ; (ii) l’insuffisance de synergie dans les actions due à la faiblesse de la concertation entre les acteurs ; (iii) l’absence d’orientation et de coordination des actions du domaine de la part de l’Etat ; (iv) l’inadéquation de certaines approches ; (v) la faible maîtrise des techniques et technologies utilisées. Face à cette dégradation accélérée, le gouvernement a élaboré et mis en œuvre des séries de politiques, de programmes et de stratégies en vue d’augmenter les capacités de résilience des populations locales et d’assurer une gestion durable des terres.</w:t>
      </w:r>
    </w:p>
    <w:p w14:paraId="66D00B06" w14:textId="77777777" w:rsidR="00643AF0" w:rsidRPr="007C5A6E" w:rsidRDefault="00643AF0"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p>
    <w:p w14:paraId="5643C9E2" w14:textId="137369ED" w:rsidR="00643AF0" w:rsidRPr="007C5A6E" w:rsidRDefault="00643AF0" w:rsidP="00684FF8">
      <w:pPr>
        <w:pStyle w:val="Titre4"/>
      </w:pPr>
      <w:bookmarkStart w:id="892" w:name="_Toc181982269"/>
      <w:bookmarkStart w:id="893" w:name="_Toc183340192"/>
      <w:r w:rsidRPr="007C5A6E">
        <w:t>Stratégie Nationale de Restauration, Conservation et Récupération des Sols (SNRCRS)</w:t>
      </w:r>
      <w:bookmarkEnd w:id="892"/>
      <w:bookmarkEnd w:id="893"/>
    </w:p>
    <w:p w14:paraId="66895ABA" w14:textId="77777777" w:rsidR="00582A1F" w:rsidRPr="007C5A6E" w:rsidRDefault="00582A1F"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p>
    <w:p w14:paraId="01A4C1BD" w14:textId="6CA3E4B1" w:rsidR="00643AF0" w:rsidRPr="007C5A6E" w:rsidRDefault="00643AF0" w:rsidP="00391460">
      <w:pPr>
        <w:shd w:val="clear" w:color="auto" w:fill="FFFFFF"/>
        <w:spacing w:after="0" w:line="240" w:lineRule="auto"/>
        <w:jc w:val="both"/>
        <w:rPr>
          <w:rFonts w:eastAsia="Calibri"/>
          <w:kern w:val="2"/>
          <w:lang w:eastAsia="en-US"/>
          <w14:ligatures w14:val="standardContextual"/>
        </w:rPr>
      </w:pPr>
      <w:r w:rsidRPr="007C5A6E">
        <w:rPr>
          <w:rFonts w:ascii="Times New Roman" w:eastAsia="Calibri" w:hAnsi="Times New Roman"/>
          <w:kern w:val="2"/>
          <w:sz w:val="24"/>
          <w:szCs w:val="24"/>
          <w:lang w:eastAsia="en-US"/>
          <w14:ligatures w14:val="standardContextual"/>
        </w:rPr>
        <w:t>Pour lever les défis de dégradation des sols, le Ministère en charge de l'agriculture avec l'appui des partenaires au développement a entrepris depuis 2014, le processus d'élaboration de la Stratégie Nationale de Restauration, Conservation et Récupération des Sols (SNRCRS). Le processus d’élaboration de cette stratégie a pris fin avec son adoption par le Gouvernement en 2019. Elle tire ses fondements d’un ensemble de référentiels développés aux niveaux international et national</w:t>
      </w:r>
      <w:r w:rsidRPr="007C5A6E">
        <w:rPr>
          <w:rFonts w:eastAsia="Calibri"/>
          <w:kern w:val="2"/>
          <w:lang w:eastAsia="en-US"/>
          <w14:ligatures w14:val="standardContextual"/>
        </w:rPr>
        <w:t>.</w:t>
      </w:r>
    </w:p>
    <w:p w14:paraId="28A932F3" w14:textId="77777777" w:rsidR="00643AF0" w:rsidRPr="007C5A6E" w:rsidRDefault="00643AF0"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A l’horizon 2024, la vision de la SNRCRS est que « Les sols du Burkina Faso retrouvent leurs pleines capacités productives et permettent de pratiquer une agriculture moderne, durable et résiliente » L’objectif global de la SNRCRS est de réduire/inverser la tendance de la dégradation des sols en vue d’augmenter durablement la production agricole.</w:t>
      </w:r>
    </w:p>
    <w:p w14:paraId="1595D693" w14:textId="77777777" w:rsidR="00582A1F" w:rsidRPr="007C5A6E" w:rsidRDefault="00582A1F"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p>
    <w:p w14:paraId="7E144C19" w14:textId="02E22A37" w:rsidR="00643AF0" w:rsidRPr="007C5A6E" w:rsidRDefault="00643AF0" w:rsidP="00684FF8">
      <w:pPr>
        <w:pStyle w:val="Titre4"/>
      </w:pPr>
      <w:bookmarkStart w:id="894" w:name="_Toc181982270"/>
      <w:bookmarkStart w:id="895" w:name="_Toc183340193"/>
      <w:r w:rsidRPr="007C5A6E">
        <w:t>Stratégie Nationale de Développement de l’Agroécologie (SND-AE) 2023-2027</w:t>
      </w:r>
      <w:bookmarkEnd w:id="894"/>
      <w:bookmarkEnd w:id="895"/>
    </w:p>
    <w:p w14:paraId="5CFC3F86" w14:textId="77777777" w:rsidR="00582A1F" w:rsidRPr="007C5A6E" w:rsidRDefault="00582A1F"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p>
    <w:p w14:paraId="6BB84CC9" w14:textId="61968A37" w:rsidR="00643AF0" w:rsidRPr="007C5A6E" w:rsidRDefault="00643AF0"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L’analyse des systèmes alimentaires au Burkina Faso montre que ceux actuels, malgré les grandes potentialités dont dispose le pays, ne permettent pas d’assurer la sécurité alimentaire et nutritionnelle de la population burkinabè. A l’occasion de ce Sommet, notre pays a alors pris des engagements dont, (i) la réduction les émissions des gaz à effet de serre de 25 % et (ii) la promotion des pratiques agroécologiques sur au moins 30% des emblavures à l’horizon 2040. Le respect de ces engagements exige des actions concrètes et vigoureuses dans le sens de l’amélioration des bases productives du secteur agro-</w:t>
      </w:r>
      <w:proofErr w:type="spellStart"/>
      <w:r w:rsidRPr="007C5A6E">
        <w:rPr>
          <w:rFonts w:ascii="Times New Roman" w:eastAsia="Calibri" w:hAnsi="Times New Roman"/>
          <w:kern w:val="2"/>
          <w:sz w:val="24"/>
          <w:szCs w:val="24"/>
          <w:lang w:eastAsia="en-US"/>
          <w14:ligatures w14:val="standardContextual"/>
        </w:rPr>
        <w:t>sylvo</w:t>
      </w:r>
      <w:proofErr w:type="spellEnd"/>
      <w:r w:rsidRPr="007C5A6E">
        <w:rPr>
          <w:rFonts w:ascii="Times New Roman" w:eastAsia="Calibri" w:hAnsi="Times New Roman"/>
          <w:kern w:val="2"/>
          <w:sz w:val="24"/>
          <w:szCs w:val="24"/>
          <w:lang w:eastAsia="en-US"/>
          <w14:ligatures w14:val="standardContextual"/>
        </w:rPr>
        <w:t>-pastoral, halieutique et faunique. L’élaboration de la Stratégie nationale de développement de l’agroécologie au Burkina Faso et de son Plan d’actions s’inscrit dans cette logique. Cette stratégie, qui se fixe comme objectif global durant la période 2023-2027 « d’Accroître durablement la productivité et la production agro-</w:t>
      </w:r>
      <w:proofErr w:type="spellStart"/>
      <w:r w:rsidRPr="007C5A6E">
        <w:rPr>
          <w:rFonts w:ascii="Times New Roman" w:eastAsia="Calibri" w:hAnsi="Times New Roman"/>
          <w:kern w:val="2"/>
          <w:sz w:val="24"/>
          <w:szCs w:val="24"/>
          <w:lang w:eastAsia="en-US"/>
          <w14:ligatures w14:val="standardContextual"/>
        </w:rPr>
        <w:t>sylvo</w:t>
      </w:r>
      <w:proofErr w:type="spellEnd"/>
      <w:r w:rsidRPr="007C5A6E">
        <w:rPr>
          <w:rFonts w:ascii="Times New Roman" w:eastAsia="Calibri" w:hAnsi="Times New Roman"/>
          <w:kern w:val="2"/>
          <w:sz w:val="24"/>
          <w:szCs w:val="24"/>
          <w:lang w:eastAsia="en-US"/>
          <w14:ligatures w14:val="standardContextual"/>
        </w:rPr>
        <w:t>-pastorale, halieutique et faunique par l’intensification agroécologique », bâtie autour de trois axes stratégiques : (i) l’amélioration de la gouvernance de l’agroécologie, (ii) la mise à l’échelle de l’agroécologie dans toutes les régions du Burkina Faso et (iii) le renforcement des capacités des acteurs de l’agroécologie et des agents d’appui-conseil.</w:t>
      </w:r>
    </w:p>
    <w:p w14:paraId="18669A42" w14:textId="77777777" w:rsidR="00643AF0" w:rsidRPr="007C5A6E" w:rsidRDefault="00643AF0" w:rsidP="00391460">
      <w:pPr>
        <w:shd w:val="clear" w:color="auto" w:fill="FFFFFF"/>
        <w:spacing w:after="0" w:line="240" w:lineRule="auto"/>
        <w:jc w:val="both"/>
        <w:rPr>
          <w:rFonts w:ascii="Times New Roman" w:eastAsia="Calibri" w:hAnsi="Times New Roman"/>
          <w:b/>
          <w:bCs/>
          <w:kern w:val="2"/>
          <w:sz w:val="24"/>
          <w:szCs w:val="24"/>
          <w:lang w:eastAsia="en-US"/>
          <w14:ligatures w14:val="standardContextual"/>
        </w:rPr>
      </w:pPr>
    </w:p>
    <w:p w14:paraId="3338845C" w14:textId="70CEBD62" w:rsidR="00643AF0" w:rsidRPr="007C5A6E" w:rsidRDefault="00643AF0" w:rsidP="00684FF8">
      <w:pPr>
        <w:pStyle w:val="Titre4"/>
      </w:pPr>
      <w:bookmarkStart w:id="896" w:name="_Toc181982271"/>
      <w:bookmarkStart w:id="897" w:name="_Toc183340194"/>
      <w:r w:rsidRPr="007C5A6E">
        <w:t>Stratégie de Développement Rural à l’horizon 2016-2025 du Burkina Faso (SDR)</w:t>
      </w:r>
      <w:bookmarkEnd w:id="896"/>
      <w:bookmarkEnd w:id="897"/>
    </w:p>
    <w:p w14:paraId="575426E0" w14:textId="77777777" w:rsidR="00582A1F" w:rsidRPr="007C5A6E" w:rsidRDefault="00582A1F"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p>
    <w:p w14:paraId="1A3A819C" w14:textId="1CBE9B2F" w:rsidR="00643AF0" w:rsidRPr="007C5A6E" w:rsidRDefault="00643AF0"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La vision de la Stratégie de Développement Rural s’intitule comme suit : « A l’horizon 2025, l’Agriculture (agro-</w:t>
      </w:r>
      <w:proofErr w:type="spellStart"/>
      <w:r w:rsidRPr="007C5A6E">
        <w:rPr>
          <w:rFonts w:ascii="Times New Roman" w:eastAsia="Calibri" w:hAnsi="Times New Roman"/>
          <w:kern w:val="2"/>
          <w:sz w:val="24"/>
          <w:szCs w:val="24"/>
          <w:lang w:eastAsia="en-US"/>
          <w14:ligatures w14:val="standardContextual"/>
        </w:rPr>
        <w:t>sylvo</w:t>
      </w:r>
      <w:proofErr w:type="spellEnd"/>
      <w:r w:rsidRPr="007C5A6E">
        <w:rPr>
          <w:rFonts w:ascii="Times New Roman" w:eastAsia="Calibri" w:hAnsi="Times New Roman"/>
          <w:kern w:val="2"/>
          <w:sz w:val="24"/>
          <w:szCs w:val="24"/>
          <w:lang w:eastAsia="en-US"/>
          <w14:ligatures w14:val="standardContextual"/>
        </w:rPr>
        <w:t xml:space="preserve">-pastorale, halieutique et faunique) burkinabé est moderne, compétitive, durable et moteur de la croissance économique, fondée sur des exploitations familiales et des entreprises agricoles performantes et assurant à tous les burkinabés un accès aux aliments nécessaires pour mener une vie saine et active ». L’objectif global de la SDR est de contribuer de manière durable à la sécurité alimentaire et nutritionnelle, à une croissance économique forte, et à la réduction de la pauvreté. Les objectifs spécifiques sont les suivants : </w:t>
      </w:r>
    </w:p>
    <w:p w14:paraId="518AFC63" w14:textId="77777777" w:rsidR="00643AF0" w:rsidRPr="007C5A6E" w:rsidRDefault="00643AF0"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1. accroître durablement la production et la productivité des productions agro-</w:t>
      </w:r>
      <w:proofErr w:type="spellStart"/>
      <w:r w:rsidRPr="007C5A6E">
        <w:rPr>
          <w:rFonts w:ascii="Times New Roman" w:eastAsia="Calibri" w:hAnsi="Times New Roman"/>
          <w:kern w:val="2"/>
          <w:sz w:val="24"/>
          <w:szCs w:val="24"/>
          <w:lang w:eastAsia="en-US"/>
          <w14:ligatures w14:val="standardContextual"/>
        </w:rPr>
        <w:t>sylvo</w:t>
      </w:r>
      <w:proofErr w:type="spellEnd"/>
      <w:r w:rsidRPr="007C5A6E">
        <w:rPr>
          <w:rFonts w:ascii="Times New Roman" w:eastAsia="Calibri" w:hAnsi="Times New Roman"/>
          <w:kern w:val="2"/>
          <w:sz w:val="24"/>
          <w:szCs w:val="24"/>
          <w:lang w:eastAsia="en-US"/>
          <w14:ligatures w14:val="standardContextual"/>
        </w:rPr>
        <w:t xml:space="preserve">-pastorales et halieutiques et fauniques ; </w:t>
      </w:r>
    </w:p>
    <w:p w14:paraId="5C013D14" w14:textId="77777777" w:rsidR="00643AF0" w:rsidRPr="007C5A6E" w:rsidRDefault="00643AF0"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2. contribuer durablement à la satisfaction des besoins en eaux de production des usagers et des écosystèmes aquatiques ;</w:t>
      </w:r>
    </w:p>
    <w:p w14:paraId="3690FD4F" w14:textId="77777777" w:rsidR="00643AF0" w:rsidRPr="007C5A6E" w:rsidRDefault="00643AF0"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 3. améliorer la compétitivité des filières agro-</w:t>
      </w:r>
      <w:proofErr w:type="spellStart"/>
      <w:r w:rsidRPr="007C5A6E">
        <w:rPr>
          <w:rFonts w:ascii="Times New Roman" w:eastAsia="Calibri" w:hAnsi="Times New Roman"/>
          <w:kern w:val="2"/>
          <w:sz w:val="24"/>
          <w:szCs w:val="24"/>
          <w:lang w:eastAsia="en-US"/>
          <w14:ligatures w14:val="standardContextual"/>
        </w:rPr>
        <w:t>sylvo</w:t>
      </w:r>
      <w:proofErr w:type="spellEnd"/>
      <w:r w:rsidRPr="007C5A6E">
        <w:rPr>
          <w:rFonts w:ascii="Times New Roman" w:eastAsia="Calibri" w:hAnsi="Times New Roman"/>
          <w:kern w:val="2"/>
          <w:sz w:val="24"/>
          <w:szCs w:val="24"/>
          <w:lang w:eastAsia="en-US"/>
          <w14:ligatures w14:val="standardContextual"/>
        </w:rPr>
        <w:t xml:space="preserve">-pastorales, halieutiques et fauniques en vue d’assurer une durabilité des revenus des ménages ruraux ; </w:t>
      </w:r>
    </w:p>
    <w:p w14:paraId="73529FC1" w14:textId="77777777" w:rsidR="00643AF0" w:rsidRPr="007C5A6E" w:rsidRDefault="00643AF0"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4. faciliter le développement et le transfert de technologies dans le domaine agro-</w:t>
      </w:r>
      <w:proofErr w:type="spellStart"/>
      <w:r w:rsidRPr="007C5A6E">
        <w:rPr>
          <w:rFonts w:ascii="Times New Roman" w:eastAsia="Calibri" w:hAnsi="Times New Roman"/>
          <w:kern w:val="2"/>
          <w:sz w:val="24"/>
          <w:szCs w:val="24"/>
          <w:lang w:eastAsia="en-US"/>
          <w14:ligatures w14:val="standardContextual"/>
        </w:rPr>
        <w:t>sylvo</w:t>
      </w:r>
      <w:proofErr w:type="spellEnd"/>
      <w:r w:rsidRPr="007C5A6E">
        <w:rPr>
          <w:rFonts w:ascii="Times New Roman" w:eastAsia="Calibri" w:hAnsi="Times New Roman"/>
          <w:kern w:val="2"/>
          <w:sz w:val="24"/>
          <w:szCs w:val="24"/>
          <w:lang w:eastAsia="en-US"/>
          <w14:ligatures w14:val="standardContextual"/>
        </w:rPr>
        <w:t xml:space="preserve">-pastorale ; </w:t>
      </w:r>
    </w:p>
    <w:p w14:paraId="43C7AA12" w14:textId="77777777" w:rsidR="00643AF0" w:rsidRPr="007C5A6E" w:rsidRDefault="00643AF0"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5. assurer aux populations un accès durable à l’eau potable et à l’assainissement ; </w:t>
      </w:r>
    </w:p>
    <w:p w14:paraId="5DD45139" w14:textId="77777777" w:rsidR="00643AF0" w:rsidRPr="007C5A6E" w:rsidRDefault="00643AF0"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6. inverser sensiblement la tendance à la dégradation de l’environnement et les effets néfastes des changements climatiques ; </w:t>
      </w:r>
    </w:p>
    <w:p w14:paraId="353CEBFF" w14:textId="77777777" w:rsidR="00643AF0" w:rsidRPr="007C5A6E" w:rsidRDefault="00643AF0"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7. renforcer la résilience des populations vulnérables à l’insécurité alimentaire et nutritionnelle, aux effets néfastes des changements climatiques et aux chocs.</w:t>
      </w:r>
    </w:p>
    <w:p w14:paraId="7D366BE0" w14:textId="77777777" w:rsidR="00643AF0" w:rsidRPr="007C5A6E" w:rsidRDefault="00643AF0"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p>
    <w:p w14:paraId="2BD57334" w14:textId="2F480F5E" w:rsidR="00643AF0" w:rsidRPr="007C5A6E" w:rsidRDefault="00643AF0" w:rsidP="00684FF8">
      <w:pPr>
        <w:pStyle w:val="Titre4"/>
      </w:pPr>
      <w:bookmarkStart w:id="898" w:name="_Toc174101742"/>
      <w:bookmarkStart w:id="899" w:name="_Toc181982272"/>
      <w:bookmarkStart w:id="900" w:name="_Toc183340195"/>
      <w:r w:rsidRPr="007C5A6E">
        <w:t>Terres dégradées : le Burkina Faso veut restaurer 5,16 millions d’hectares d’ici à 2030</w:t>
      </w:r>
      <w:bookmarkEnd w:id="898"/>
      <w:bookmarkEnd w:id="899"/>
      <w:bookmarkEnd w:id="900"/>
    </w:p>
    <w:p w14:paraId="078F4B72" w14:textId="77777777" w:rsidR="00582A1F" w:rsidRPr="007C5A6E" w:rsidRDefault="00582A1F" w:rsidP="00391460">
      <w:pPr>
        <w:shd w:val="clear" w:color="auto" w:fill="FFFFFF"/>
        <w:spacing w:after="0" w:line="240" w:lineRule="auto"/>
        <w:jc w:val="both"/>
        <w:rPr>
          <w:rFonts w:ascii="Times New Roman" w:hAnsi="Times New Roman"/>
          <w:sz w:val="24"/>
          <w:szCs w:val="24"/>
          <w:lang w:eastAsia="en-US"/>
        </w:rPr>
      </w:pPr>
    </w:p>
    <w:p w14:paraId="36B14B10" w14:textId="5A158B56" w:rsidR="00643AF0" w:rsidRPr="007C5A6E" w:rsidRDefault="00643AF0" w:rsidP="00391460">
      <w:pPr>
        <w:shd w:val="clear" w:color="auto" w:fill="FFFFFF"/>
        <w:spacing w:after="0" w:line="240" w:lineRule="auto"/>
        <w:jc w:val="both"/>
        <w:rPr>
          <w:rFonts w:ascii="Times New Roman" w:hAnsi="Times New Roman"/>
          <w:sz w:val="24"/>
          <w:szCs w:val="24"/>
          <w:lang w:eastAsia="en-US"/>
        </w:rPr>
      </w:pPr>
      <w:r w:rsidRPr="007C5A6E">
        <w:rPr>
          <w:rFonts w:ascii="Times New Roman" w:hAnsi="Times New Roman"/>
          <w:sz w:val="24"/>
          <w:szCs w:val="24"/>
          <w:lang w:eastAsia="en-US"/>
        </w:rPr>
        <w:t>Le Burkina Faso s’est engagé devant la communauté internationale à restaurer 5.16 millions hectares de territoire national dégradé, dû au mauvais système d’utilisation des terres et aux éléments démographiques, économiques ou sociopolitiques, d’ici à 2030.</w:t>
      </w:r>
    </w:p>
    <w:p w14:paraId="4A996EFE" w14:textId="77777777" w:rsidR="00643AF0" w:rsidRPr="007C5A6E" w:rsidRDefault="00643AF0" w:rsidP="00391460">
      <w:pPr>
        <w:shd w:val="clear" w:color="auto" w:fill="FFFFFF"/>
        <w:spacing w:after="0" w:line="240" w:lineRule="auto"/>
        <w:jc w:val="both"/>
        <w:rPr>
          <w:rFonts w:ascii="Times New Roman" w:hAnsi="Times New Roman"/>
          <w:sz w:val="24"/>
          <w:szCs w:val="24"/>
          <w:lang w:eastAsia="en-US"/>
        </w:rPr>
      </w:pPr>
      <w:r w:rsidRPr="007C5A6E">
        <w:rPr>
          <w:rFonts w:ascii="Times New Roman" w:hAnsi="Times New Roman"/>
          <w:sz w:val="24"/>
          <w:szCs w:val="24"/>
          <w:lang w:eastAsia="en-US"/>
        </w:rPr>
        <w:t>Environ 19% des terres du territoire national burkinabé sont en péril dû au mauvais système d’utilisation des terres et aux éléments démographiques, économiques ou sociopolitiques. Chaque année, le pays perd 469 650 hectares de ses terres productives. En effet, entre 2002 et 2013, 2 632 220 km</w:t>
      </w:r>
      <w:r w:rsidRPr="007C5A6E">
        <w:rPr>
          <w:rFonts w:ascii="Times New Roman" w:hAnsi="Times New Roman"/>
          <w:sz w:val="24"/>
          <w:szCs w:val="24"/>
          <w:vertAlign w:val="superscript"/>
          <w:lang w:eastAsia="en-US"/>
        </w:rPr>
        <w:t>2</w:t>
      </w:r>
      <w:r w:rsidRPr="007C5A6E">
        <w:rPr>
          <w:rFonts w:ascii="Times New Roman" w:hAnsi="Times New Roman"/>
          <w:sz w:val="24"/>
          <w:szCs w:val="24"/>
          <w:lang w:eastAsia="en-US"/>
        </w:rPr>
        <w:t xml:space="preserve"> des terres ont perdu leur couverture terrestre, 2 537 232 hectares ont perdu leur productivité et 798 521 hectares sont sans carbone dans le sol.</w:t>
      </w:r>
    </w:p>
    <w:p w14:paraId="7B43D95E" w14:textId="77777777" w:rsidR="00643AF0" w:rsidRPr="007C5A6E" w:rsidRDefault="00643AF0" w:rsidP="00391460">
      <w:pPr>
        <w:shd w:val="clear" w:color="auto" w:fill="FFFFFF"/>
        <w:spacing w:after="0" w:line="240" w:lineRule="auto"/>
        <w:jc w:val="both"/>
        <w:rPr>
          <w:rFonts w:ascii="Times New Roman" w:hAnsi="Times New Roman"/>
          <w:sz w:val="24"/>
          <w:szCs w:val="24"/>
          <w:lang w:eastAsia="en-US"/>
        </w:rPr>
      </w:pPr>
      <w:r w:rsidRPr="007C5A6E">
        <w:rPr>
          <w:rFonts w:ascii="Times New Roman" w:hAnsi="Times New Roman"/>
          <w:sz w:val="24"/>
          <w:szCs w:val="24"/>
          <w:lang w:eastAsia="en-US"/>
        </w:rPr>
        <w:t>La problématique de la dégradation des terres est une préoccupation majeure pour le Burkina Faso car elle affecte énormément les moyens de subsistances des populations avec pour corollaire l’insécurité alimentaire, les déplacements et les conflits. Il est plus que nécessaire de travailler à freiner cette dégradation et partant l’inversion de la tendance de dégradation des terres. Pour inverser donc cette tendance de dégradation accrue de nos terres, le pays s’est engagé vis-à-vis de la communauté internationale à travers le concept “Neutralité en matière de Dégradation des Terres (NDT)” pour restaurer d’ici à 2030, 5.16 millions ha (100%) des terres dégradées. Pour ce faire, les efforts seront maximisés pour réduire et contrôler la vitesse de dégradation des terres de sorte à atteindre un équilibre entre la dégradation anticipée des nouvelles terres et les efforts d’amélioration des terres dégradées à travers leur restauration et la pratique de la Gestion Durable des Terres (GDT) au Burkina Faso. De façon spécifique, il s’agit de :</w:t>
      </w:r>
    </w:p>
    <w:p w14:paraId="74F6D5D8" w14:textId="6EDBCE43" w:rsidR="00643AF0" w:rsidRPr="007C5A6E" w:rsidRDefault="00643AF0" w:rsidP="003F3821">
      <w:pPr>
        <w:pStyle w:val="Paragraphedeliste"/>
        <w:numPr>
          <w:ilvl w:val="0"/>
          <w:numId w:val="31"/>
        </w:numPr>
        <w:shd w:val="clear" w:color="auto" w:fill="FFFFFF"/>
        <w:spacing w:after="0" w:line="240" w:lineRule="auto"/>
        <w:ind w:left="360"/>
        <w:jc w:val="both"/>
        <w:rPr>
          <w:rFonts w:ascii="Times New Roman" w:hAnsi="Times New Roman"/>
          <w:sz w:val="24"/>
          <w:szCs w:val="24"/>
          <w:lang w:eastAsia="en-US"/>
        </w:rPr>
      </w:pPr>
      <w:r w:rsidRPr="007C5A6E">
        <w:rPr>
          <w:rFonts w:ascii="Times New Roman" w:hAnsi="Times New Roman"/>
          <w:sz w:val="24"/>
          <w:szCs w:val="24"/>
          <w:lang w:eastAsia="en-US"/>
        </w:rPr>
        <w:t>Mettre un terme à la conversion des forêts en d’autres classes d’occupation des terres d’ici à 2030 ;</w:t>
      </w:r>
    </w:p>
    <w:p w14:paraId="3C76B27C" w14:textId="5CF57C4D" w:rsidR="00643AF0" w:rsidRPr="007C5A6E" w:rsidRDefault="00643AF0" w:rsidP="003F3821">
      <w:pPr>
        <w:pStyle w:val="Paragraphedeliste"/>
        <w:numPr>
          <w:ilvl w:val="0"/>
          <w:numId w:val="31"/>
        </w:numPr>
        <w:shd w:val="clear" w:color="auto" w:fill="FFFFFF"/>
        <w:spacing w:after="0" w:line="240" w:lineRule="auto"/>
        <w:ind w:left="360"/>
        <w:jc w:val="both"/>
        <w:rPr>
          <w:rFonts w:ascii="Times New Roman" w:hAnsi="Times New Roman"/>
          <w:sz w:val="24"/>
          <w:szCs w:val="24"/>
          <w:lang w:eastAsia="en-US"/>
        </w:rPr>
      </w:pPr>
      <w:r w:rsidRPr="007C5A6E">
        <w:rPr>
          <w:rFonts w:ascii="Times New Roman" w:hAnsi="Times New Roman"/>
          <w:sz w:val="24"/>
          <w:szCs w:val="24"/>
          <w:lang w:eastAsia="en-US"/>
        </w:rPr>
        <w:t>Améliorer la productivité dans les catégories d’occupation « arbustes, prairies » et « terres cultivées » en déclin soit 2,5 millions d’hectares ;</w:t>
      </w:r>
    </w:p>
    <w:p w14:paraId="07811A0A" w14:textId="4F6EB6EA" w:rsidR="00643AF0" w:rsidRPr="007C5A6E" w:rsidRDefault="00643AF0" w:rsidP="003F3821">
      <w:pPr>
        <w:pStyle w:val="Paragraphedeliste"/>
        <w:numPr>
          <w:ilvl w:val="0"/>
          <w:numId w:val="31"/>
        </w:numPr>
        <w:shd w:val="clear" w:color="auto" w:fill="FFFFFF"/>
        <w:spacing w:after="0" w:line="240" w:lineRule="auto"/>
        <w:ind w:left="360"/>
        <w:jc w:val="both"/>
        <w:rPr>
          <w:rFonts w:ascii="Times New Roman" w:hAnsi="Times New Roman"/>
          <w:sz w:val="24"/>
          <w:szCs w:val="24"/>
          <w:lang w:eastAsia="en-US"/>
        </w:rPr>
      </w:pPr>
      <w:r w:rsidRPr="007C5A6E">
        <w:rPr>
          <w:rFonts w:ascii="Times New Roman" w:hAnsi="Times New Roman"/>
          <w:sz w:val="24"/>
          <w:szCs w:val="24"/>
          <w:lang w:eastAsia="en-US"/>
        </w:rPr>
        <w:t>Améliorer les stocks de carbone sur 798 000 ha pour parvenir à un minimum de 1% de matière organique (apport de 5 tonnes de matière organique à l’hectare tous les 2 ans) ;</w:t>
      </w:r>
    </w:p>
    <w:p w14:paraId="249D3D62" w14:textId="5BB4A904" w:rsidR="00643AF0" w:rsidRPr="007C5A6E" w:rsidRDefault="00643AF0" w:rsidP="003F3821">
      <w:pPr>
        <w:pStyle w:val="Paragraphedeliste"/>
        <w:numPr>
          <w:ilvl w:val="0"/>
          <w:numId w:val="31"/>
        </w:numPr>
        <w:shd w:val="clear" w:color="auto" w:fill="FFFFFF"/>
        <w:spacing w:after="0" w:line="240" w:lineRule="auto"/>
        <w:ind w:left="360"/>
        <w:jc w:val="both"/>
        <w:rPr>
          <w:rFonts w:ascii="Times New Roman" w:hAnsi="Times New Roman"/>
          <w:sz w:val="24"/>
          <w:szCs w:val="24"/>
          <w:lang w:eastAsia="en-US"/>
        </w:rPr>
      </w:pPr>
      <w:r w:rsidRPr="007C5A6E">
        <w:rPr>
          <w:rFonts w:ascii="Times New Roman" w:hAnsi="Times New Roman"/>
          <w:sz w:val="24"/>
          <w:szCs w:val="24"/>
          <w:lang w:eastAsia="en-US"/>
        </w:rPr>
        <w:t>Récupérer 295 000 hectares des terrains non viabilisés sur un total de 590 000 hectares.</w:t>
      </w:r>
    </w:p>
    <w:p w14:paraId="3F488F13" w14:textId="77777777" w:rsidR="00643AF0" w:rsidRPr="007C5A6E" w:rsidRDefault="00643AF0" w:rsidP="00582A1F">
      <w:pPr>
        <w:shd w:val="clear" w:color="auto" w:fill="FFFFFF"/>
        <w:spacing w:after="0" w:line="240" w:lineRule="auto"/>
        <w:jc w:val="both"/>
        <w:rPr>
          <w:rFonts w:ascii="Times New Roman" w:hAnsi="Times New Roman"/>
          <w:sz w:val="24"/>
          <w:szCs w:val="24"/>
          <w:lang w:eastAsia="en-US"/>
        </w:rPr>
      </w:pPr>
    </w:p>
    <w:p w14:paraId="5DA5A7C3" w14:textId="77777777" w:rsidR="00643AF0" w:rsidRPr="007C5A6E" w:rsidRDefault="00643AF0" w:rsidP="00391460">
      <w:pPr>
        <w:shd w:val="clear" w:color="auto" w:fill="FFFFFF"/>
        <w:spacing w:after="0" w:line="240" w:lineRule="auto"/>
        <w:jc w:val="both"/>
        <w:rPr>
          <w:rFonts w:ascii="Times New Roman" w:hAnsi="Times New Roman"/>
          <w:sz w:val="24"/>
          <w:szCs w:val="24"/>
          <w:lang w:eastAsia="en-US"/>
        </w:rPr>
      </w:pPr>
      <w:r w:rsidRPr="007C5A6E">
        <w:rPr>
          <w:rFonts w:ascii="Times New Roman" w:hAnsi="Times New Roman"/>
          <w:sz w:val="24"/>
          <w:szCs w:val="24"/>
          <w:lang w:eastAsia="en-US"/>
        </w:rPr>
        <w:t>Les engagements du pays confirment sa volonté à atteindre la cible 15.3 des ODD et la mise en œuvre de la Convention des Nations Unies sur la Lutte Contre la Dégradation (CNULCD). Ils contribueront également aux programmes nationaux de développement, notamment le pilier 3 (Renforcer l’État et améliorer la gouvernance) du plan d’action pour la stabilisation et le développement de la transition, le Plan national de développement économique et social (PNDES2), le Programme National du Secteur Rural (PNSR2), la Politique Nationale du Développement Durable (PNDD), la Contribution Déterminée au niveau National du Burkina Faso, le plan National d’Adaptation aux changements climatiques (PNA) l’Initiative Grande Muraille Verte au Sahara au Sahel (IGMVSS) au Burkina Faso, le Plan d’action pour la gestion intégrée des ressources en eau (PAGIRE), le Programme Priorités Résilience (PRP) du Burkina Faso, etc.</w:t>
      </w:r>
    </w:p>
    <w:p w14:paraId="3721D834" w14:textId="77777777" w:rsidR="00643AF0" w:rsidRPr="007C5A6E" w:rsidRDefault="00643AF0" w:rsidP="00391460">
      <w:pPr>
        <w:shd w:val="clear" w:color="auto" w:fill="FFFFFF"/>
        <w:spacing w:after="0" w:line="240" w:lineRule="auto"/>
        <w:jc w:val="both"/>
        <w:rPr>
          <w:rFonts w:ascii="Times New Roman" w:hAnsi="Times New Roman"/>
          <w:sz w:val="24"/>
          <w:szCs w:val="24"/>
          <w:lang w:eastAsia="en-US"/>
        </w:rPr>
      </w:pPr>
      <w:r w:rsidRPr="007C5A6E">
        <w:rPr>
          <w:rFonts w:ascii="Times New Roman" w:hAnsi="Times New Roman"/>
          <w:sz w:val="24"/>
          <w:szCs w:val="24"/>
          <w:lang w:eastAsia="en-US"/>
        </w:rPr>
        <w:t>Pour atteindre les cibles fixées en termes de NDT à l’horizon 2030, un effort financier de 2.7 milliards USD est à mobiliser. Les sources potentielles sont le budget de l’Etat et des canaux bilatéraux et multilatéraux ainsi que la contribution des ONG, OSC et du secteur privé.</w:t>
      </w:r>
    </w:p>
    <w:p w14:paraId="2870201A" w14:textId="77777777" w:rsidR="00643AF0" w:rsidRPr="007C5A6E" w:rsidRDefault="00643AF0" w:rsidP="00391460">
      <w:pPr>
        <w:shd w:val="clear" w:color="auto" w:fill="FFFFFF"/>
        <w:spacing w:after="0" w:line="240" w:lineRule="auto"/>
        <w:jc w:val="both"/>
        <w:rPr>
          <w:rFonts w:ascii="Times New Roman" w:eastAsia="Calibri" w:hAnsi="Times New Roman"/>
          <w:b/>
          <w:bCs/>
          <w:kern w:val="2"/>
          <w:sz w:val="24"/>
          <w:szCs w:val="24"/>
          <w:lang w:eastAsia="en-US"/>
          <w14:ligatures w14:val="standardContextual"/>
        </w:rPr>
      </w:pPr>
    </w:p>
    <w:p w14:paraId="708C5DC8" w14:textId="5C29F3C8" w:rsidR="00643AF0" w:rsidRPr="007C5A6E" w:rsidRDefault="00643AF0" w:rsidP="00684FF8">
      <w:pPr>
        <w:pStyle w:val="Titre4"/>
      </w:pPr>
      <w:bookmarkStart w:id="901" w:name="_Toc181982273"/>
      <w:bookmarkStart w:id="902" w:name="_Toc183340196"/>
      <w:r w:rsidRPr="007C5A6E">
        <w:t>Programme de Définition des Cibles de la Neutralité en Matière de Dégradation des Terres (PDC/NDT)</w:t>
      </w:r>
      <w:bookmarkEnd w:id="901"/>
      <w:bookmarkEnd w:id="902"/>
    </w:p>
    <w:p w14:paraId="5BA6F8D4" w14:textId="77777777" w:rsidR="00582A1F" w:rsidRPr="007C5A6E" w:rsidRDefault="00582A1F"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p>
    <w:p w14:paraId="53F6C7C7" w14:textId="560D69F6" w:rsidR="00643AF0" w:rsidRPr="007C5A6E" w:rsidRDefault="00643AF0"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Au Burkina Faso, la dégradation des terres met en péril toute l’économie basée sur le secteur agricole et partant, la stabilité sociopolitique du pays. Elle est donc une question centrale et fait l’objet de beaucoup d’attention. Malheureusement pour diverses raisons, les efforts consentis n’ont pas donné les résultats escomptés. Vu l’adoption des Objectifs du Développement Durable (ODD) par la communauté Internationale et l’approbation du concept de la Neutralité en matière de Dégradation des Terres (NDT) en tant que force motrice de premier ordre de la Convention des Nations Unies de Lutte Contre la Désertification (CNULCD), le Burkina Faso s’est engagé à définir des cibles volontaires nationales pour atteindre la NDT. La mise en œuvre de cette approche doit impliquer tous les acteurs concernés par la problématique de la désertification et de la dégradation des terres de manière à atteindre les résultats suivants : </w:t>
      </w:r>
    </w:p>
    <w:p w14:paraId="3D5AFC87" w14:textId="77777777" w:rsidR="00643AF0" w:rsidRPr="007C5A6E" w:rsidRDefault="00643AF0"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sym w:font="Symbol" w:char="F0B7"/>
      </w:r>
      <w:r w:rsidRPr="007C5A6E">
        <w:rPr>
          <w:rFonts w:ascii="Times New Roman" w:eastAsia="Calibri" w:hAnsi="Times New Roman"/>
          <w:kern w:val="2"/>
          <w:sz w:val="24"/>
          <w:szCs w:val="24"/>
          <w:lang w:eastAsia="en-US"/>
          <w14:ligatures w14:val="standardContextual"/>
        </w:rPr>
        <w:t xml:space="preserve"> Le leadership gouvernemental et l’implication des parties prenantes sont établis ;</w:t>
      </w:r>
    </w:p>
    <w:p w14:paraId="66969BB6" w14:textId="77777777" w:rsidR="00643AF0" w:rsidRPr="007C5A6E" w:rsidRDefault="00643AF0"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 </w:t>
      </w:r>
      <w:r w:rsidRPr="007C5A6E">
        <w:rPr>
          <w:rFonts w:ascii="Times New Roman" w:eastAsia="Calibri" w:hAnsi="Times New Roman"/>
          <w:kern w:val="2"/>
          <w:sz w:val="24"/>
          <w:szCs w:val="24"/>
          <w:lang w:eastAsia="en-US"/>
          <w14:ligatures w14:val="standardContextual"/>
        </w:rPr>
        <w:sym w:font="Symbol" w:char="F0B7"/>
      </w:r>
      <w:r w:rsidRPr="007C5A6E">
        <w:rPr>
          <w:rFonts w:ascii="Times New Roman" w:eastAsia="Calibri" w:hAnsi="Times New Roman"/>
          <w:kern w:val="2"/>
          <w:sz w:val="24"/>
          <w:szCs w:val="24"/>
          <w:lang w:eastAsia="en-US"/>
          <w14:ligatures w14:val="standardContextual"/>
        </w:rPr>
        <w:t xml:space="preserve"> La situation de référence pour la NDT est établie et cartographiée ;</w:t>
      </w:r>
    </w:p>
    <w:p w14:paraId="3AE078B3" w14:textId="77777777" w:rsidR="00643AF0" w:rsidRPr="007C5A6E" w:rsidRDefault="00643AF0"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 </w:t>
      </w:r>
      <w:r w:rsidRPr="007C5A6E">
        <w:rPr>
          <w:rFonts w:ascii="Times New Roman" w:eastAsia="Calibri" w:hAnsi="Times New Roman"/>
          <w:kern w:val="2"/>
          <w:sz w:val="24"/>
          <w:szCs w:val="24"/>
          <w:lang w:eastAsia="en-US"/>
          <w14:ligatures w14:val="standardContextual"/>
        </w:rPr>
        <w:sym w:font="Symbol" w:char="F0B7"/>
      </w:r>
      <w:r w:rsidRPr="007C5A6E">
        <w:rPr>
          <w:rFonts w:ascii="Times New Roman" w:eastAsia="Calibri" w:hAnsi="Times New Roman"/>
          <w:kern w:val="2"/>
          <w:sz w:val="24"/>
          <w:szCs w:val="24"/>
          <w:lang w:eastAsia="en-US"/>
          <w14:ligatures w14:val="standardContextual"/>
        </w:rPr>
        <w:t xml:space="preserve"> Les cibles de NDT ainsi que les mesures associées sont identifiées ; </w:t>
      </w:r>
    </w:p>
    <w:p w14:paraId="50832DDD" w14:textId="77777777" w:rsidR="00643AF0" w:rsidRPr="007C5A6E" w:rsidRDefault="00643AF0"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sym w:font="Symbol" w:char="F0B7"/>
      </w:r>
      <w:r w:rsidRPr="007C5A6E">
        <w:rPr>
          <w:rFonts w:ascii="Times New Roman" w:eastAsia="Calibri" w:hAnsi="Times New Roman"/>
          <w:kern w:val="2"/>
          <w:sz w:val="24"/>
          <w:szCs w:val="24"/>
          <w:lang w:eastAsia="en-US"/>
          <w14:ligatures w14:val="standardContextual"/>
        </w:rPr>
        <w:t xml:space="preserve"> La NDT est intégrée dans les politiques et engagements nationaux spécifiques ; </w:t>
      </w:r>
    </w:p>
    <w:p w14:paraId="53835206" w14:textId="77777777" w:rsidR="00643AF0" w:rsidRPr="007C5A6E" w:rsidRDefault="00643AF0"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sym w:font="Symbol" w:char="F0B7"/>
      </w:r>
      <w:r w:rsidRPr="007C5A6E">
        <w:rPr>
          <w:rFonts w:ascii="Times New Roman" w:eastAsia="Calibri" w:hAnsi="Times New Roman"/>
          <w:kern w:val="2"/>
          <w:sz w:val="24"/>
          <w:szCs w:val="24"/>
          <w:lang w:eastAsia="en-US"/>
          <w14:ligatures w14:val="standardContextual"/>
        </w:rPr>
        <w:t xml:space="preserve"> Les Projets/programmes transformatifs et les mécanismes innovants de financement sont identifiés. L’établissement du leadership gouvernemental et l’implication des parties prenantes au niveau du processus visent à faire de la NDT un levier pour la GDT au Burkina Faso. </w:t>
      </w:r>
    </w:p>
    <w:p w14:paraId="6FEE88BE" w14:textId="77777777" w:rsidR="00643AF0" w:rsidRPr="007C5A6E" w:rsidRDefault="00643AF0"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p>
    <w:p w14:paraId="2D00D5B0" w14:textId="6C861397" w:rsidR="00643AF0" w:rsidRPr="007C5A6E" w:rsidRDefault="00643AF0" w:rsidP="00582A1F">
      <w:pPr>
        <w:pStyle w:val="Titre3"/>
      </w:pPr>
      <w:bookmarkStart w:id="903" w:name="_Toc181982274"/>
      <w:bookmarkStart w:id="904" w:name="_Toc183340197"/>
      <w:r w:rsidRPr="007C5A6E">
        <w:t>Les lois et règlements</w:t>
      </w:r>
      <w:bookmarkEnd w:id="903"/>
      <w:bookmarkEnd w:id="904"/>
      <w:r w:rsidRPr="007C5A6E">
        <w:t xml:space="preserve"> </w:t>
      </w:r>
    </w:p>
    <w:p w14:paraId="141293BC" w14:textId="77777777" w:rsidR="00643AF0" w:rsidRPr="007C5A6E" w:rsidRDefault="00643AF0" w:rsidP="00391460">
      <w:pPr>
        <w:spacing w:after="0" w:line="240" w:lineRule="auto"/>
        <w:rPr>
          <w:rFonts w:eastAsia="Calibri"/>
          <w:kern w:val="2"/>
          <w14:ligatures w14:val="standardContextual"/>
        </w:rPr>
      </w:pPr>
    </w:p>
    <w:p w14:paraId="27BA6220" w14:textId="531DF7B4" w:rsidR="00643AF0" w:rsidRPr="007C5A6E" w:rsidRDefault="00643AF0" w:rsidP="00684FF8">
      <w:pPr>
        <w:pStyle w:val="Titre4"/>
      </w:pPr>
      <w:bookmarkStart w:id="905" w:name="_Toc181982275"/>
      <w:bookmarkStart w:id="906" w:name="_Toc183340198"/>
      <w:r w:rsidRPr="007C5A6E">
        <w:t>Loi sur</w:t>
      </w:r>
      <w:r w:rsidR="00582A1F" w:rsidRPr="007C5A6E">
        <w:t xml:space="preserve"> le contrôle des</w:t>
      </w:r>
      <w:r w:rsidRPr="007C5A6E">
        <w:t xml:space="preserve"> engrais</w:t>
      </w:r>
      <w:bookmarkEnd w:id="905"/>
      <w:bookmarkEnd w:id="906"/>
    </w:p>
    <w:p w14:paraId="152C564D" w14:textId="77777777" w:rsidR="00582A1F" w:rsidRPr="007C5A6E" w:rsidRDefault="00582A1F"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p>
    <w:p w14:paraId="34531C66" w14:textId="43EDCF09" w:rsidR="00643AF0" w:rsidRPr="007C5A6E" w:rsidRDefault="00643AF0" w:rsidP="00391460">
      <w:pPr>
        <w:shd w:val="clear" w:color="auto" w:fill="FFFFFF"/>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Les engrais minéraux azotés sont notamment acidifiants. Une forte acidité peut réduire la disponibilité en éléments nutritifs et induire des toxicités en aluminium ou en manganate (Mn) provoquant une baisse des rendements. </w:t>
      </w:r>
    </w:p>
    <w:p w14:paraId="7375466D" w14:textId="77777777" w:rsidR="00643AF0" w:rsidRPr="007C5A6E" w:rsidRDefault="00643AF0" w:rsidP="00391460">
      <w:pPr>
        <w:spacing w:after="0" w:line="240" w:lineRule="auto"/>
        <w:contextualSpacing/>
        <w:jc w:val="both"/>
        <w:rPr>
          <w:rFonts w:ascii="Times New Roman" w:eastAsia="Calibri" w:hAnsi="Times New Roman"/>
          <w:noProof/>
          <w:kern w:val="2"/>
          <w:sz w:val="24"/>
          <w:szCs w:val="24"/>
          <w14:ligatures w14:val="standardContextual"/>
        </w:rPr>
      </w:pPr>
      <w:r w:rsidRPr="007C5A6E">
        <w:rPr>
          <w:rFonts w:ascii="Times New Roman" w:eastAsia="Calibri" w:hAnsi="Times New Roman"/>
          <w:noProof/>
          <w:kern w:val="2"/>
          <w:sz w:val="24"/>
          <w:szCs w:val="24"/>
          <w14:ligatures w14:val="standardContextual"/>
        </w:rPr>
        <w:t>La Loi n° 26-2007/AN du 20 novembre 2007 institue un contrôle sur l’importation, l’exportation la fabrication locale et la commercialisation des engrais au Burkina Faso. Elle soumet l’importation des engrais à l’accomplissement d’une double formalité : i) le certificat national de conformité et ; ii) l’agrément.</w:t>
      </w:r>
    </w:p>
    <w:p w14:paraId="751BA779" w14:textId="77777777" w:rsidR="00643AF0" w:rsidRPr="007C5A6E" w:rsidRDefault="00643AF0" w:rsidP="00391460">
      <w:pPr>
        <w:spacing w:after="0" w:line="240" w:lineRule="auto"/>
        <w:contextualSpacing/>
        <w:jc w:val="both"/>
        <w:rPr>
          <w:rFonts w:ascii="Times New Roman" w:eastAsia="Calibri" w:hAnsi="Times New Roman"/>
          <w:noProof/>
          <w:kern w:val="2"/>
          <w:sz w:val="24"/>
          <w:szCs w:val="24"/>
          <w14:ligatures w14:val="standardContextual"/>
        </w:rPr>
      </w:pPr>
    </w:p>
    <w:p w14:paraId="40F4D21B" w14:textId="55342C68" w:rsidR="00643AF0" w:rsidRPr="007C5A6E" w:rsidRDefault="00643AF0" w:rsidP="00684FF8">
      <w:pPr>
        <w:pStyle w:val="Titre4"/>
      </w:pPr>
      <w:bookmarkStart w:id="907" w:name="_Toc181982276"/>
      <w:bookmarkStart w:id="908" w:name="_Toc183340199"/>
      <w:r w:rsidRPr="007C5A6E">
        <w:t>Loi sur</w:t>
      </w:r>
      <w:r w:rsidR="00582A1F" w:rsidRPr="007C5A6E">
        <w:t xml:space="preserve"> le contrôle de la gestion</w:t>
      </w:r>
      <w:r w:rsidRPr="007C5A6E">
        <w:t xml:space="preserve"> les pesticides</w:t>
      </w:r>
      <w:bookmarkEnd w:id="907"/>
      <w:bookmarkEnd w:id="908"/>
    </w:p>
    <w:p w14:paraId="56C93457" w14:textId="77777777" w:rsidR="00582A1F" w:rsidRPr="007C5A6E" w:rsidRDefault="00582A1F" w:rsidP="00391460">
      <w:pPr>
        <w:spacing w:after="0" w:line="240" w:lineRule="auto"/>
        <w:contextualSpacing/>
        <w:jc w:val="both"/>
        <w:rPr>
          <w:rFonts w:ascii="Times New Roman" w:eastAsia="Calibri" w:hAnsi="Times New Roman"/>
          <w:color w:val="000000"/>
          <w:kern w:val="2"/>
          <w:sz w:val="24"/>
          <w:szCs w:val="24"/>
          <w:lang w:eastAsia="en-US"/>
          <w14:ligatures w14:val="standardContextual"/>
        </w:rPr>
      </w:pPr>
    </w:p>
    <w:p w14:paraId="0B2D271C" w14:textId="6ECD5881" w:rsidR="00643AF0" w:rsidRPr="007C5A6E" w:rsidRDefault="00643AF0" w:rsidP="00391460">
      <w:pPr>
        <w:spacing w:after="0" w:line="240" w:lineRule="auto"/>
        <w:contextualSpacing/>
        <w:jc w:val="both"/>
        <w:rPr>
          <w:rFonts w:ascii="Times New Roman" w:eastAsia="Calibri" w:hAnsi="Times New Roman"/>
          <w:noProof/>
          <w:kern w:val="2"/>
          <w:sz w:val="24"/>
          <w:szCs w:val="24"/>
          <w14:ligatures w14:val="standardContextual"/>
        </w:rPr>
      </w:pPr>
      <w:r w:rsidRPr="007C5A6E">
        <w:rPr>
          <w:rFonts w:ascii="Times New Roman" w:eastAsia="Calibri" w:hAnsi="Times New Roman"/>
          <w:color w:val="000000"/>
          <w:kern w:val="2"/>
          <w:sz w:val="24"/>
          <w:szCs w:val="24"/>
          <w:lang w:eastAsia="en-US"/>
          <w14:ligatures w14:val="standardContextual"/>
        </w:rPr>
        <w:t>L'usage intensif des pesticides peut affecter les qualités et les caractéristiques des sols en les contaminant. L’utilisation incontrôlée des pesticides par les paysans conduit à la contamination des sols en surface et des eaux souterraines.</w:t>
      </w:r>
      <w:r w:rsidRPr="007C5A6E">
        <w:rPr>
          <w:rFonts w:ascii="Times New Roman" w:eastAsia="Calibri" w:hAnsi="Times New Roman"/>
          <w:noProof/>
          <w:kern w:val="2"/>
          <w:sz w:val="24"/>
          <w:szCs w:val="24"/>
          <w14:ligatures w14:val="standardContextual"/>
        </w:rPr>
        <w:t xml:space="preserve"> </w:t>
      </w:r>
    </w:p>
    <w:p w14:paraId="5E4213B8" w14:textId="77777777" w:rsidR="00643AF0" w:rsidRPr="007C5A6E" w:rsidRDefault="00643AF0" w:rsidP="00391460">
      <w:pPr>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noProof/>
          <w:kern w:val="2"/>
          <w:sz w:val="24"/>
          <w:szCs w:val="24"/>
          <w14:ligatures w14:val="standardContextual"/>
        </w:rPr>
        <w:t xml:space="preserve">La </w:t>
      </w:r>
      <w:r w:rsidRPr="007C5A6E">
        <w:rPr>
          <w:rFonts w:ascii="Times New Roman" w:eastAsia="Calibri" w:hAnsi="Times New Roman"/>
          <w:kern w:val="2"/>
          <w:sz w:val="24"/>
          <w:szCs w:val="24"/>
          <w:lang w:eastAsia="en-US"/>
          <w14:ligatures w14:val="standardContextual"/>
        </w:rPr>
        <w:t xml:space="preserve">LOI N°026-2017/AN PORTANT CONTROLE DE LA GESTION DES PESTICIDES AU BURKINA FASO dit en son article 1 : Il est institué un contrôle de la gestion des pesticides au Burkina Faso. </w:t>
      </w:r>
    </w:p>
    <w:p w14:paraId="27FB5CAD" w14:textId="77777777" w:rsidR="00643AF0" w:rsidRPr="007C5A6E" w:rsidRDefault="00643AF0" w:rsidP="00391460">
      <w:pPr>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L’article 2 stipule que le contrôle vise à s’assurer :</w:t>
      </w:r>
    </w:p>
    <w:p w14:paraId="711F22B9" w14:textId="2A8AB385" w:rsidR="00643AF0" w:rsidRPr="007C5A6E" w:rsidRDefault="009A08D5" w:rsidP="009A08D5">
      <w:pPr>
        <w:numPr>
          <w:ilvl w:val="0"/>
          <w:numId w:val="28"/>
        </w:numPr>
        <w:spacing w:after="0" w:line="240" w:lineRule="auto"/>
        <w:ind w:left="357" w:hanging="357"/>
        <w:contextualSpacing/>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De</w:t>
      </w:r>
      <w:r w:rsidR="00643AF0" w:rsidRPr="007C5A6E">
        <w:rPr>
          <w:rFonts w:ascii="Times New Roman" w:eastAsia="Calibri" w:hAnsi="Times New Roman"/>
          <w:sz w:val="24"/>
          <w:szCs w:val="24"/>
          <w:lang w:eastAsia="en-US"/>
        </w:rPr>
        <w:t xml:space="preserve"> la régularité des procédures de production, d’expérimentation, d’importation, d’exportation, de reconditionnement, de transit, de transport, de distribution, de stockage, d’utilisation, de destruction du pesticide et de publicité ;</w:t>
      </w:r>
    </w:p>
    <w:p w14:paraId="52841728" w14:textId="7C2A13CA" w:rsidR="00643AF0" w:rsidRPr="007C5A6E" w:rsidRDefault="00643AF0" w:rsidP="009A08D5">
      <w:pPr>
        <w:numPr>
          <w:ilvl w:val="0"/>
          <w:numId w:val="28"/>
        </w:numPr>
        <w:spacing w:after="0" w:line="240" w:lineRule="auto"/>
        <w:ind w:left="357" w:hanging="357"/>
        <w:contextualSpacing/>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 xml:space="preserve"> </w:t>
      </w:r>
      <w:r w:rsidR="009A08D5" w:rsidRPr="007C5A6E">
        <w:rPr>
          <w:rFonts w:ascii="Times New Roman" w:eastAsia="Calibri" w:hAnsi="Times New Roman"/>
          <w:sz w:val="24"/>
          <w:szCs w:val="24"/>
          <w:lang w:eastAsia="en-US"/>
        </w:rPr>
        <w:t>De</w:t>
      </w:r>
      <w:r w:rsidRPr="007C5A6E">
        <w:rPr>
          <w:rFonts w:ascii="Times New Roman" w:eastAsia="Calibri" w:hAnsi="Times New Roman"/>
          <w:sz w:val="24"/>
          <w:szCs w:val="24"/>
          <w:lang w:eastAsia="en-US"/>
        </w:rPr>
        <w:t xml:space="preserve"> la qualité des pesticides ; </w:t>
      </w:r>
    </w:p>
    <w:p w14:paraId="30792E6D" w14:textId="0955285A" w:rsidR="00643AF0" w:rsidRPr="007C5A6E" w:rsidRDefault="00643AF0" w:rsidP="009A08D5">
      <w:pPr>
        <w:numPr>
          <w:ilvl w:val="0"/>
          <w:numId w:val="28"/>
        </w:numPr>
        <w:spacing w:after="0" w:line="240" w:lineRule="auto"/>
        <w:ind w:left="357" w:hanging="357"/>
        <w:contextualSpacing/>
        <w:jc w:val="both"/>
        <w:rPr>
          <w:rFonts w:ascii="Times New Roman" w:eastAsia="Calibri" w:hAnsi="Times New Roman"/>
          <w:sz w:val="24"/>
          <w:szCs w:val="24"/>
          <w:lang w:eastAsia="en-US"/>
        </w:rPr>
      </w:pPr>
      <w:r w:rsidRPr="007C5A6E">
        <w:rPr>
          <w:rFonts w:ascii="Times New Roman" w:eastAsia="Calibri" w:hAnsi="Times New Roman"/>
          <w:sz w:val="24"/>
          <w:szCs w:val="24"/>
          <w:lang w:eastAsia="en-US"/>
        </w:rPr>
        <w:t xml:space="preserve"> </w:t>
      </w:r>
      <w:r w:rsidR="009A08D5" w:rsidRPr="007C5A6E">
        <w:rPr>
          <w:rFonts w:ascii="Times New Roman" w:eastAsia="Calibri" w:hAnsi="Times New Roman"/>
          <w:sz w:val="24"/>
          <w:szCs w:val="24"/>
          <w:lang w:eastAsia="en-US"/>
        </w:rPr>
        <w:t>Du</w:t>
      </w:r>
      <w:r w:rsidRPr="007C5A6E">
        <w:rPr>
          <w:rFonts w:ascii="Times New Roman" w:eastAsia="Calibri" w:hAnsi="Times New Roman"/>
          <w:sz w:val="24"/>
          <w:szCs w:val="24"/>
          <w:lang w:eastAsia="en-US"/>
        </w:rPr>
        <w:t xml:space="preserve"> respect des normes d’étiquetage, d’emballages et de procédures d’homologation en vigueur au Burkina Faso.</w:t>
      </w:r>
    </w:p>
    <w:p w14:paraId="33F6DDB8" w14:textId="33F9FDF2" w:rsidR="00643AF0" w:rsidRPr="007C5A6E" w:rsidRDefault="00643AF0" w:rsidP="00391460">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L’article 8</w:t>
      </w:r>
      <w:r w:rsidR="009A08D5" w:rsidRPr="007C5A6E">
        <w:rPr>
          <w:rFonts w:ascii="Times New Roman" w:eastAsia="Calibri" w:hAnsi="Times New Roman"/>
          <w:kern w:val="2"/>
          <w:sz w:val="24"/>
          <w:szCs w:val="24"/>
          <w:lang w:eastAsia="en-US"/>
          <w14:ligatures w14:val="standardContextual"/>
        </w:rPr>
        <w:t xml:space="preserve"> stipule que « s</w:t>
      </w:r>
      <w:r w:rsidRPr="007C5A6E">
        <w:rPr>
          <w:rFonts w:ascii="Times New Roman" w:eastAsia="Calibri" w:hAnsi="Times New Roman"/>
          <w:kern w:val="2"/>
          <w:sz w:val="24"/>
          <w:szCs w:val="24"/>
          <w:lang w:eastAsia="en-US"/>
          <w14:ligatures w14:val="standardContextual"/>
        </w:rPr>
        <w:t>ont interdits sur le territoire du Burkina Faso, la production, l’importation, le transport, l’exportation, le transit, la vente, la mise en vente, la détention, la distribution à titre gratuit et les prestations de service portant sur les pesticides ne faisant pas l’objet d’une homologation ou ne bénéficiant pas d’une Autorisation provisoire de vente (APV). Tout pesticide non homologué ou ne faisant pas l’objet d’une Autorisation provisoire de vente est considéré comme frauduleux</w:t>
      </w:r>
      <w:r w:rsidR="009A08D5" w:rsidRPr="007C5A6E">
        <w:rPr>
          <w:rFonts w:ascii="Times New Roman" w:eastAsia="Calibri" w:hAnsi="Times New Roman"/>
          <w:kern w:val="2"/>
          <w:sz w:val="24"/>
          <w:szCs w:val="24"/>
          <w:lang w:eastAsia="en-US"/>
          <w14:ligatures w14:val="standardContextual"/>
        </w:rPr>
        <w:t> »</w:t>
      </w:r>
      <w:r w:rsidRPr="007C5A6E">
        <w:rPr>
          <w:rFonts w:ascii="Times New Roman" w:eastAsia="Calibri" w:hAnsi="Times New Roman"/>
          <w:kern w:val="2"/>
          <w:sz w:val="24"/>
          <w:szCs w:val="24"/>
          <w:lang w:eastAsia="en-US"/>
          <w14:ligatures w14:val="standardContextual"/>
        </w:rPr>
        <w:t>.</w:t>
      </w:r>
    </w:p>
    <w:p w14:paraId="6B99421A" w14:textId="77777777" w:rsidR="00582A1F" w:rsidRPr="007C5A6E" w:rsidRDefault="00582A1F" w:rsidP="00391460">
      <w:pPr>
        <w:spacing w:after="0" w:line="240" w:lineRule="auto"/>
        <w:jc w:val="both"/>
        <w:rPr>
          <w:rFonts w:ascii="Times New Roman" w:eastAsia="Calibri" w:hAnsi="Times New Roman"/>
          <w:kern w:val="2"/>
          <w:sz w:val="24"/>
          <w:szCs w:val="24"/>
          <w:lang w:eastAsia="en-US"/>
          <w14:ligatures w14:val="standardContextual"/>
        </w:rPr>
      </w:pPr>
    </w:p>
    <w:p w14:paraId="20A4B8AF" w14:textId="2547E44A" w:rsidR="00643AF0" w:rsidRPr="007C5A6E" w:rsidRDefault="00582A1F" w:rsidP="00684FF8">
      <w:pPr>
        <w:pStyle w:val="Titre4"/>
      </w:pPr>
      <w:bookmarkStart w:id="909" w:name="_Toc181982277"/>
      <w:bookmarkStart w:id="910" w:name="_Toc183340200"/>
      <w:r w:rsidRPr="007C5A6E">
        <w:t xml:space="preserve">Règlementation des </w:t>
      </w:r>
      <w:r w:rsidR="00643AF0" w:rsidRPr="007C5A6E">
        <w:t>défriche</w:t>
      </w:r>
      <w:r w:rsidRPr="007C5A6E">
        <w:t>ments</w:t>
      </w:r>
      <w:bookmarkEnd w:id="909"/>
      <w:bookmarkEnd w:id="910"/>
    </w:p>
    <w:p w14:paraId="51A6316E" w14:textId="77777777" w:rsidR="00582A1F" w:rsidRPr="007C5A6E" w:rsidRDefault="00582A1F" w:rsidP="00391460">
      <w:pPr>
        <w:spacing w:after="0" w:line="240" w:lineRule="auto"/>
        <w:contextualSpacing/>
        <w:jc w:val="both"/>
        <w:rPr>
          <w:rFonts w:ascii="Times New Roman" w:eastAsia="Calibri" w:hAnsi="Times New Roman"/>
          <w:noProof/>
          <w:kern w:val="2"/>
          <w:sz w:val="24"/>
          <w:szCs w:val="24"/>
          <w14:ligatures w14:val="standardContextual"/>
        </w:rPr>
      </w:pPr>
    </w:p>
    <w:p w14:paraId="6A4DC712" w14:textId="7189E1BE" w:rsidR="00643AF0" w:rsidRPr="007C5A6E" w:rsidRDefault="00643AF0" w:rsidP="00391460">
      <w:pPr>
        <w:spacing w:after="0" w:line="240" w:lineRule="auto"/>
        <w:contextualSpacing/>
        <w:jc w:val="both"/>
        <w:rPr>
          <w:rFonts w:ascii="Times New Roman" w:eastAsia="Calibri" w:hAnsi="Times New Roman"/>
          <w:noProof/>
          <w:kern w:val="2"/>
          <w:sz w:val="24"/>
          <w:szCs w:val="24"/>
          <w14:ligatures w14:val="standardContextual"/>
        </w:rPr>
      </w:pPr>
      <w:r w:rsidRPr="007C5A6E">
        <w:rPr>
          <w:rFonts w:ascii="Times New Roman" w:eastAsia="Calibri" w:hAnsi="Times New Roman"/>
          <w:noProof/>
          <w:kern w:val="2"/>
          <w:sz w:val="24"/>
          <w:szCs w:val="24"/>
          <w14:ligatures w14:val="standardContextual"/>
        </w:rPr>
        <w:t xml:space="preserve">L’Arrêté conjoint n° 2009 - 073 MECV/MAHRH, portant réglementation des défrichements agricoles au Burkina Faso définit en son article 1 le défrichement comme toute opération de coupe pratiquée sur une formation végétale dans l'optique de changer sa vocation ou pour modifier sa composition floristique.  </w:t>
      </w:r>
    </w:p>
    <w:p w14:paraId="44DAF1E7" w14:textId="77777777" w:rsidR="00643AF0" w:rsidRPr="007C5A6E" w:rsidRDefault="00643AF0" w:rsidP="009A08D5">
      <w:pPr>
        <w:spacing w:after="0" w:line="240" w:lineRule="auto"/>
        <w:contextualSpacing/>
        <w:jc w:val="both"/>
        <w:rPr>
          <w:rFonts w:ascii="Times New Roman" w:eastAsia="Calibri" w:hAnsi="Times New Roman"/>
          <w:noProof/>
          <w:kern w:val="2"/>
          <w:sz w:val="24"/>
          <w:szCs w:val="24"/>
          <w14:ligatures w14:val="standardContextual"/>
        </w:rPr>
      </w:pPr>
      <w:r w:rsidRPr="007C5A6E">
        <w:rPr>
          <w:rFonts w:ascii="Times New Roman" w:eastAsia="Calibri" w:hAnsi="Times New Roman"/>
          <w:noProof/>
          <w:kern w:val="2"/>
          <w:sz w:val="24"/>
          <w:szCs w:val="24"/>
          <w14:ligatures w14:val="standardContextual"/>
        </w:rPr>
        <w:t>Selon l’article 3 de cet arrêté, dans les forêts protégées, les défrichements sont autorisés, sauf dans les cas des chantiers d'aménagement forestier et des zones d'intérêt cynégétique conformément à l'article 2. Cependant, tout défrichement portant sur une superficie supérieure à trois (03) hectares, est soumis à autorisation administrative des structures compétentes et au paiement d'une taxe de défrichement. En outre dans l’article 8, il est précisé que toute opération de défrichement d’une superficie supérieure à 20 ha, une Etude d’Impact sur l’Environnement doit être réalisée.</w:t>
      </w:r>
    </w:p>
    <w:p w14:paraId="34DD22A5" w14:textId="77777777" w:rsidR="009A08D5" w:rsidRPr="007C5A6E" w:rsidRDefault="009A08D5" w:rsidP="009A08D5">
      <w:pPr>
        <w:spacing w:after="0" w:line="240" w:lineRule="auto"/>
        <w:contextualSpacing/>
        <w:jc w:val="both"/>
        <w:rPr>
          <w:rFonts w:ascii="Times New Roman" w:eastAsia="Calibri" w:hAnsi="Times New Roman"/>
          <w:noProof/>
          <w:kern w:val="2"/>
          <w:sz w:val="24"/>
          <w:szCs w:val="24"/>
          <w14:ligatures w14:val="standardContextual"/>
        </w:rPr>
      </w:pPr>
    </w:p>
    <w:p w14:paraId="0A67B255" w14:textId="3D363A33" w:rsidR="00643AF0" w:rsidRPr="007C5A6E" w:rsidRDefault="00643AF0" w:rsidP="00684FF8">
      <w:pPr>
        <w:pStyle w:val="Titre4"/>
      </w:pPr>
      <w:bookmarkStart w:id="911" w:name="_Toc181982278"/>
      <w:bookmarkStart w:id="912" w:name="_Toc183340201"/>
      <w:r w:rsidRPr="007C5A6E">
        <w:t xml:space="preserve">Loi </w:t>
      </w:r>
      <w:r w:rsidR="00582A1F" w:rsidRPr="007C5A6E">
        <w:t>portant</w:t>
      </w:r>
      <w:r w:rsidRPr="007C5A6E">
        <w:t xml:space="preserve"> régime foncier rural</w:t>
      </w:r>
      <w:bookmarkEnd w:id="911"/>
      <w:bookmarkEnd w:id="912"/>
    </w:p>
    <w:p w14:paraId="4CB3A526" w14:textId="77777777" w:rsidR="00582A1F" w:rsidRPr="007C5A6E" w:rsidRDefault="00582A1F" w:rsidP="009A08D5">
      <w:pPr>
        <w:spacing w:after="0" w:line="240" w:lineRule="auto"/>
        <w:contextualSpacing/>
        <w:jc w:val="both"/>
        <w:rPr>
          <w:rFonts w:ascii="Times New Roman" w:eastAsia="Calibri" w:hAnsi="Times New Roman"/>
          <w:noProof/>
          <w:kern w:val="2"/>
          <w:sz w:val="24"/>
          <w:szCs w:val="24"/>
          <w14:ligatures w14:val="standardContextual"/>
        </w:rPr>
      </w:pPr>
    </w:p>
    <w:p w14:paraId="47312046" w14:textId="52601FE0" w:rsidR="00643AF0" w:rsidRPr="007C5A6E" w:rsidRDefault="00643AF0" w:rsidP="009A08D5">
      <w:pPr>
        <w:spacing w:after="0" w:line="240" w:lineRule="auto"/>
        <w:contextualSpacing/>
        <w:jc w:val="both"/>
        <w:rPr>
          <w:rFonts w:ascii="Times New Roman" w:eastAsia="Calibri" w:hAnsi="Times New Roman"/>
          <w:noProof/>
          <w:kern w:val="2"/>
          <w:sz w:val="24"/>
          <w:szCs w:val="24"/>
          <w14:ligatures w14:val="standardContextual"/>
        </w:rPr>
      </w:pPr>
      <w:r w:rsidRPr="007C5A6E">
        <w:rPr>
          <w:rFonts w:ascii="Times New Roman" w:eastAsia="Calibri" w:hAnsi="Times New Roman"/>
          <w:noProof/>
          <w:kern w:val="2"/>
          <w:sz w:val="24"/>
          <w:szCs w:val="24"/>
          <w14:ligatures w14:val="standardContextual"/>
        </w:rPr>
        <w:t xml:space="preserve">La loi portant régime foncier rural a été élaborée dans le cadre de la politique nationale de sécurisation foncière en milieu rural. Elle détermine le régime domanial et foncier applicable aux terres rurales ainsi que les principes de sécurisation foncière de l’ensemble des acteurs du foncier rural. La loi s’applique aux terres rurales, entendues comme celles situées à l’intérieur des limites administratives des communes rurales et destinées aux activités de production et de conservation. Sont également soumises à la présente loi, les terres des villages rattachés aux communes urbaines. Si la loi ne traite pas directement des aménagements ruraux, la forte implication des acteurs ruraux y est souhaitée, voire incontournable. comme le suggère ses décrets d’application. </w:t>
      </w:r>
    </w:p>
    <w:p w14:paraId="05A6B0C5" w14:textId="77777777" w:rsidR="00A340F1" w:rsidRPr="007C5A6E" w:rsidRDefault="00A340F1" w:rsidP="00391460">
      <w:pPr>
        <w:spacing w:after="0" w:line="240" w:lineRule="auto"/>
        <w:contextualSpacing/>
        <w:jc w:val="both"/>
        <w:rPr>
          <w:rFonts w:ascii="Times New Roman" w:eastAsia="Calibri" w:hAnsi="Times New Roman"/>
          <w:kern w:val="2"/>
          <w:sz w:val="24"/>
          <w:szCs w:val="24"/>
          <w:lang w:eastAsia="en-US"/>
          <w14:ligatures w14:val="standardContextual"/>
        </w:rPr>
      </w:pPr>
    </w:p>
    <w:p w14:paraId="0D393896" w14:textId="3AB93770" w:rsidR="00D63F90" w:rsidRPr="007C5A6E" w:rsidRDefault="007E67D5" w:rsidP="00712C43">
      <w:pPr>
        <w:pStyle w:val="Titre2"/>
      </w:pPr>
      <w:bookmarkStart w:id="913" w:name="_Toc183340202"/>
      <w:r w:rsidRPr="007C5A6E">
        <w:t xml:space="preserve">Changements climatiques et dynamique des sols </w:t>
      </w:r>
      <w:r w:rsidR="00D63F90" w:rsidRPr="007C5A6E">
        <w:t>: enjeux et risques du futur</w:t>
      </w:r>
      <w:bookmarkEnd w:id="913"/>
    </w:p>
    <w:p w14:paraId="140B3692" w14:textId="77777777" w:rsidR="00D63F90" w:rsidRPr="007C5A6E" w:rsidRDefault="00D63F90" w:rsidP="005E6545">
      <w:pPr>
        <w:spacing w:after="0" w:line="240" w:lineRule="auto"/>
        <w:contextualSpacing/>
        <w:jc w:val="both"/>
        <w:rPr>
          <w:rFonts w:ascii="Times New Roman" w:eastAsia="Calibri" w:hAnsi="Times New Roman"/>
          <w:kern w:val="2"/>
          <w:sz w:val="24"/>
          <w:szCs w:val="24"/>
          <w:lang w:eastAsia="en-US"/>
          <w14:ligatures w14:val="standardContextual"/>
        </w:rPr>
      </w:pPr>
    </w:p>
    <w:p w14:paraId="1818BA85" w14:textId="1538B84E" w:rsidR="007E67D5" w:rsidRPr="007C5A6E" w:rsidRDefault="007E67D5" w:rsidP="005E6545">
      <w:pPr>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Les projections climatiques traitées au chapitre 2 ci-dessus suggèrent qu’à l’horizon 2050 à 2100 que :</w:t>
      </w:r>
    </w:p>
    <w:p w14:paraId="0FD5AD0A" w14:textId="6EE0738B" w:rsidR="007E67D5" w:rsidRPr="007C5A6E" w:rsidRDefault="007E67D5" w:rsidP="003F3821">
      <w:pPr>
        <w:pStyle w:val="Paragraphedeliste"/>
        <w:numPr>
          <w:ilvl w:val="0"/>
          <w:numId w:val="32"/>
        </w:numPr>
        <w:spacing w:after="0" w:line="240" w:lineRule="auto"/>
        <w:ind w:left="357" w:hanging="357"/>
        <w:jc w:val="both"/>
        <w:rPr>
          <w:rFonts w:ascii="Times New Roman" w:hAnsi="Times New Roman"/>
          <w:sz w:val="24"/>
        </w:rPr>
      </w:pPr>
      <w:r w:rsidRPr="007C5A6E">
        <w:rPr>
          <w:rFonts w:ascii="Times New Roman" w:eastAsia="Calibri" w:hAnsi="Times New Roman"/>
          <w:kern w:val="2"/>
          <w:sz w:val="24"/>
          <w:szCs w:val="24"/>
          <w:lang w:eastAsia="en-US"/>
          <w14:ligatures w14:val="standardContextual"/>
        </w:rPr>
        <w:t>En ce qui concerne la pluviométrie, il ne pleuvra pas moins au Burkina Faso qu’au cours de la période historique 1990-2023, bien au contraire : l</w:t>
      </w:r>
      <w:r w:rsidRPr="007C5A6E">
        <w:rPr>
          <w:rFonts w:ascii="Times New Roman" w:hAnsi="Times New Roman"/>
          <w:sz w:val="24"/>
        </w:rPr>
        <w:t>e risque de sécheresse devrait diminuer tandis que celui des inondations augmenterait.</w:t>
      </w:r>
    </w:p>
    <w:p w14:paraId="27454A07" w14:textId="1FAE31DD" w:rsidR="00A340F1" w:rsidRPr="007C5A6E" w:rsidRDefault="007E67D5" w:rsidP="003F3821">
      <w:pPr>
        <w:pStyle w:val="Paragraphedeliste"/>
        <w:numPr>
          <w:ilvl w:val="0"/>
          <w:numId w:val="32"/>
        </w:numPr>
        <w:spacing w:after="0" w:line="240" w:lineRule="auto"/>
        <w:ind w:left="357" w:hanging="357"/>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Concernant les températures, </w:t>
      </w:r>
      <w:r w:rsidRPr="007C5A6E">
        <w:rPr>
          <w:rFonts w:ascii="Times New Roman" w:hAnsi="Times New Roman"/>
          <w:sz w:val="24"/>
        </w:rPr>
        <w:t>les températures maximales augmenteraient partir des données historiques</w:t>
      </w:r>
      <w:r w:rsidR="005E6545" w:rsidRPr="007C5A6E">
        <w:rPr>
          <w:rFonts w:ascii="Times New Roman" w:hAnsi="Times New Roman"/>
          <w:sz w:val="24"/>
        </w:rPr>
        <w:t>, entraînant une augmentation du nombre de jours de l’année où la T° est</w:t>
      </w:r>
      <w:r w:rsidRPr="007C5A6E">
        <w:rPr>
          <w:rFonts w:ascii="Times New Roman" w:hAnsi="Times New Roman"/>
          <w:sz w:val="24"/>
        </w:rPr>
        <w:t xml:space="preserve"> </w:t>
      </w:r>
      <w:r w:rsidR="005E6545" w:rsidRPr="007C5A6E">
        <w:rPr>
          <w:rFonts w:ascii="Times New Roman" w:hAnsi="Times New Roman"/>
          <w:sz w:val="24"/>
        </w:rPr>
        <w:t>supérieure à 40°C</w:t>
      </w:r>
    </w:p>
    <w:p w14:paraId="52601AF2" w14:textId="5D62287E" w:rsidR="007E67D5" w:rsidRPr="007C5A6E" w:rsidRDefault="005E6545" w:rsidP="005E6545">
      <w:pPr>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De tels changements auront nécessairement des conséquences sur la dynamique des sols. En effet, les changements climatiques font peser sur les sols et les systèmes qui en dépendent, d’importants risques :    </w:t>
      </w:r>
    </w:p>
    <w:p w14:paraId="755EB7FE" w14:textId="3ABADC89" w:rsidR="005E6545" w:rsidRPr="007C5A6E" w:rsidRDefault="005E6545" w:rsidP="003F3821">
      <w:pPr>
        <w:pStyle w:val="Paragraphedeliste"/>
        <w:numPr>
          <w:ilvl w:val="0"/>
          <w:numId w:val="32"/>
        </w:numPr>
        <w:spacing w:after="0" w:line="240" w:lineRule="auto"/>
        <w:ind w:left="357" w:hanging="357"/>
        <w:jc w:val="both"/>
        <w:rPr>
          <w:rFonts w:ascii="Times New Roman" w:hAnsi="Times New Roman"/>
          <w:sz w:val="24"/>
          <w:szCs w:val="24"/>
        </w:rPr>
      </w:pPr>
      <w:r w:rsidRPr="007C5A6E">
        <w:rPr>
          <w:rFonts w:ascii="Times New Roman" w:hAnsi="Times New Roman"/>
          <w:sz w:val="24"/>
          <w:szCs w:val="24"/>
        </w:rPr>
        <w:t xml:space="preserve">Les inondations sont dommageables, causant, des pertes de sol, de cultures, de vie et engendrant des problèmes de santé publique en raison de la contamination de l’eau et la propagation des maladies. Elles entraînent généralement d’importantes des pertes de terres. </w:t>
      </w:r>
    </w:p>
    <w:p w14:paraId="35C07D9F" w14:textId="77777777" w:rsidR="005E6545" w:rsidRPr="007C5A6E" w:rsidRDefault="005E6545" w:rsidP="003F3821">
      <w:pPr>
        <w:pStyle w:val="Paragraphedeliste"/>
        <w:numPr>
          <w:ilvl w:val="0"/>
          <w:numId w:val="32"/>
        </w:numPr>
        <w:spacing w:after="0" w:line="240" w:lineRule="auto"/>
        <w:ind w:left="357" w:hanging="357"/>
        <w:jc w:val="both"/>
        <w:rPr>
          <w:rFonts w:ascii="Times New Roman" w:hAnsi="Times New Roman"/>
          <w:sz w:val="24"/>
          <w:szCs w:val="24"/>
        </w:rPr>
      </w:pPr>
      <w:r w:rsidRPr="007C5A6E">
        <w:rPr>
          <w:rFonts w:ascii="Times New Roman" w:hAnsi="Times New Roman"/>
          <w:sz w:val="24"/>
          <w:szCs w:val="24"/>
        </w:rPr>
        <w:t>Les températures élevées provoquent une dessiccation des sols et une précipitation des oxydes et hydroxydes de fer en cuirasse ou carapace ferrugineuse conférant au sol une morphologie squelettique. L’induration réduit la profondeur utile d’enracinement des cultures.</w:t>
      </w:r>
    </w:p>
    <w:p w14:paraId="34A0055E" w14:textId="77777777" w:rsidR="005E6545" w:rsidRPr="007C5A6E" w:rsidRDefault="005E6545" w:rsidP="003F3821">
      <w:pPr>
        <w:pStyle w:val="Paragraphedeliste"/>
        <w:numPr>
          <w:ilvl w:val="0"/>
          <w:numId w:val="32"/>
        </w:numPr>
        <w:spacing w:after="0" w:line="240" w:lineRule="auto"/>
        <w:ind w:left="357" w:hanging="357"/>
        <w:jc w:val="both"/>
        <w:rPr>
          <w:rFonts w:ascii="Times New Roman" w:hAnsi="Times New Roman"/>
          <w:sz w:val="24"/>
          <w:szCs w:val="24"/>
        </w:rPr>
      </w:pPr>
      <w:r w:rsidRPr="007C5A6E">
        <w:rPr>
          <w:rFonts w:ascii="Times New Roman" w:hAnsi="Times New Roman"/>
          <w:sz w:val="24"/>
          <w:szCs w:val="24"/>
        </w:rPr>
        <w:t xml:space="preserve">Les fortes températures sont responsables de la déperdition des sols en matière organique. Elles contribuent également à un assèchement des sols, une forte évaporation de l’eau du sol et un abaissement en profondeur des nappes souterraines, ce qui ne permet plus à la végétation de s’alimenter en eau avec comme conséquence une mortalité du couvert végétal. Ce processus conduit à la dégradation des terres et à la formation de terres dénudées. </w:t>
      </w:r>
    </w:p>
    <w:p w14:paraId="375051F5" w14:textId="58575D9A" w:rsidR="005E6545" w:rsidRPr="007C5A6E" w:rsidRDefault="005E6545" w:rsidP="003F3821">
      <w:pPr>
        <w:pStyle w:val="Paragraphedeliste"/>
        <w:numPr>
          <w:ilvl w:val="0"/>
          <w:numId w:val="32"/>
        </w:numPr>
        <w:spacing w:after="0" w:line="240" w:lineRule="auto"/>
        <w:ind w:left="357" w:hanging="357"/>
        <w:jc w:val="both"/>
        <w:rPr>
          <w:rFonts w:ascii="Times New Roman" w:hAnsi="Times New Roman"/>
          <w:sz w:val="24"/>
          <w:szCs w:val="24"/>
        </w:rPr>
      </w:pPr>
      <w:r w:rsidRPr="007C5A6E">
        <w:rPr>
          <w:rFonts w:ascii="Times New Roman" w:hAnsi="Times New Roman"/>
          <w:sz w:val="24"/>
          <w:szCs w:val="24"/>
        </w:rPr>
        <w:t>L’un des facteurs importants de la déferrallitisation des sols ferrallitiques est la forte dessiccation favorisée par les fortes températures durant la longue période sèche. Elle est d’autant plus importante que la surface du sol est dépourvue de couvert végétal. Elle provoque alors un assèchement très poussé, une prise en masse du sol et une augmentation de la cohésion (Chauvel, 1977) ; ce qui confère à l’horizon B une structure massive et une perte de la friabilité, caractéristique des sols ferrallitiques.</w:t>
      </w:r>
    </w:p>
    <w:p w14:paraId="503FEAE4" w14:textId="77777777" w:rsidR="007E67D5" w:rsidRPr="007C5A6E" w:rsidRDefault="007E67D5" w:rsidP="005E6545">
      <w:pPr>
        <w:spacing w:after="0" w:line="240" w:lineRule="auto"/>
        <w:contextualSpacing/>
        <w:jc w:val="both"/>
        <w:rPr>
          <w:rFonts w:ascii="Times New Roman" w:eastAsia="Calibri" w:hAnsi="Times New Roman"/>
          <w:kern w:val="2"/>
          <w:sz w:val="24"/>
          <w:szCs w:val="24"/>
          <w:lang w:eastAsia="en-US"/>
          <w14:ligatures w14:val="standardContextual"/>
        </w:rPr>
      </w:pPr>
    </w:p>
    <w:p w14:paraId="40B79DC8" w14:textId="77777777" w:rsidR="007E67D5" w:rsidRPr="007C5A6E" w:rsidRDefault="007E67D5" w:rsidP="005E6545">
      <w:pPr>
        <w:spacing w:after="0" w:line="240" w:lineRule="auto"/>
        <w:contextualSpacing/>
        <w:jc w:val="both"/>
        <w:rPr>
          <w:rFonts w:ascii="Times New Roman" w:eastAsia="Calibri" w:hAnsi="Times New Roman"/>
          <w:kern w:val="2"/>
          <w:sz w:val="24"/>
          <w:szCs w:val="24"/>
          <w:lang w:eastAsia="en-US"/>
          <w14:ligatures w14:val="standardContextual"/>
        </w:rPr>
      </w:pPr>
    </w:p>
    <w:p w14:paraId="1D25733B" w14:textId="77777777" w:rsidR="005E6545" w:rsidRPr="007C5A6E" w:rsidRDefault="005E6545" w:rsidP="005E6545">
      <w:pPr>
        <w:pStyle w:val="Titre1"/>
        <w:keepNext w:val="0"/>
        <w:keepLines w:val="0"/>
        <w:spacing w:before="0"/>
        <w:ind w:left="510" w:hanging="510"/>
        <w:rPr>
          <w:bCs/>
          <w:szCs w:val="30"/>
        </w:rPr>
        <w:sectPr w:rsidR="005E6545" w:rsidRPr="007C5A6E" w:rsidSect="006514BA">
          <w:pgSz w:w="11907" w:h="16840" w:code="9"/>
          <w:pgMar w:top="1191" w:right="1361" w:bottom="1191" w:left="1361" w:header="709" w:footer="709" w:gutter="0"/>
          <w:cols w:space="708"/>
          <w:docGrid w:linePitch="360"/>
        </w:sectPr>
      </w:pPr>
    </w:p>
    <w:p w14:paraId="5BF015AF" w14:textId="1C9A7649" w:rsidR="005E7B17" w:rsidRPr="007C5A6E" w:rsidRDefault="00E17E61" w:rsidP="00F57A5C">
      <w:pPr>
        <w:pStyle w:val="Titre1"/>
        <w:keepNext w:val="0"/>
        <w:keepLines w:val="0"/>
        <w:spacing w:before="0"/>
        <w:ind w:left="510" w:hanging="510"/>
        <w:rPr>
          <w:bCs/>
          <w:szCs w:val="30"/>
        </w:rPr>
      </w:pPr>
      <w:bookmarkStart w:id="914" w:name="_Toc183340203"/>
      <w:r w:rsidRPr="007C5A6E">
        <w:rPr>
          <w:bCs/>
          <w:szCs w:val="30"/>
        </w:rPr>
        <w:t>ETAT ET DYNAMIQUES DE LA DIVERSITÉ</w:t>
      </w:r>
      <w:r w:rsidR="0010438E" w:rsidRPr="007C5A6E">
        <w:rPr>
          <w:bCs/>
          <w:szCs w:val="30"/>
        </w:rPr>
        <w:t xml:space="preserve"> BIOLOGIQUE</w:t>
      </w:r>
      <w:bookmarkEnd w:id="914"/>
      <w:r w:rsidRPr="007C5A6E">
        <w:rPr>
          <w:bCs/>
          <w:szCs w:val="30"/>
        </w:rPr>
        <w:t xml:space="preserve"> </w:t>
      </w:r>
    </w:p>
    <w:p w14:paraId="1D5564E3" w14:textId="77777777" w:rsidR="00E17E61" w:rsidRPr="007C5A6E" w:rsidRDefault="00E17E61" w:rsidP="00F57A5C">
      <w:pPr>
        <w:spacing w:after="0" w:line="240" w:lineRule="auto"/>
        <w:rPr>
          <w:rFonts w:ascii="Times New Roman" w:hAnsi="Times New Roman"/>
          <w:sz w:val="24"/>
          <w:szCs w:val="24"/>
        </w:rPr>
      </w:pPr>
    </w:p>
    <w:p w14:paraId="3B1D7183" w14:textId="01313958" w:rsidR="0010438E" w:rsidRPr="007C5A6E" w:rsidRDefault="0010438E" w:rsidP="0010438E">
      <w:pPr>
        <w:spacing w:after="0" w:line="240" w:lineRule="auto"/>
        <w:jc w:val="both"/>
        <w:rPr>
          <w:rFonts w:ascii="Times New Roman" w:hAnsi="Times New Roman"/>
          <w:sz w:val="24"/>
          <w:szCs w:val="24"/>
        </w:rPr>
      </w:pPr>
      <w:r w:rsidRPr="007C5A6E">
        <w:rPr>
          <w:rFonts w:ascii="Times New Roman" w:hAnsi="Times New Roman"/>
          <w:sz w:val="24"/>
          <w:szCs w:val="24"/>
        </w:rPr>
        <w:t xml:space="preserve">Ce chapitre fait l’état des lieux des ressources biologiques prenant en compte le changement climatique ainsi que le point des actions mises en œuvre en vue de la préservation de la diversité biologique. La démarche méthodologique qui a impliqué l’ensemble des acteurs, a consisté particulièrement en une revue documentaire, compilation et analyse d’informations et données disponibles auprès des services techniques du MEEA, des autres départements ministériels, ainsi qu’auprès des ONG et structures de recherches et sur internet. Le rapport présente particulièrement l’analyse de la dynamique d’évolution des ressources forestières, fauniques et piscicoles au cours des 7 dernières années, de l’évolution des pressions exercées sur ces ressources et leurs impacts, puis rend compte des réponses apportées par les différents acteurs, publics et privés dans le sens de leur gestion durable. </w:t>
      </w:r>
    </w:p>
    <w:p w14:paraId="4E9D8524" w14:textId="77777777" w:rsidR="00A340F1" w:rsidRPr="007C5A6E" w:rsidRDefault="00A340F1" w:rsidP="00F57A5C">
      <w:pPr>
        <w:spacing w:after="0" w:line="240" w:lineRule="auto"/>
        <w:rPr>
          <w:rFonts w:ascii="Times New Roman" w:hAnsi="Times New Roman"/>
          <w:sz w:val="24"/>
          <w:szCs w:val="24"/>
        </w:rPr>
      </w:pPr>
    </w:p>
    <w:p w14:paraId="7911133E" w14:textId="77777777" w:rsidR="00530291" w:rsidRPr="007C5A6E" w:rsidRDefault="00530291" w:rsidP="003F3821">
      <w:pPr>
        <w:pStyle w:val="Paragraphedeliste"/>
        <w:numPr>
          <w:ilvl w:val="0"/>
          <w:numId w:val="4"/>
        </w:numPr>
        <w:spacing w:after="0" w:line="240" w:lineRule="auto"/>
        <w:outlineLvl w:val="1"/>
        <w:rPr>
          <w:rFonts w:ascii="Times New Roman" w:hAnsi="Times New Roman"/>
          <w:b/>
          <w:bCs/>
          <w:vanish/>
          <w:sz w:val="24"/>
          <w:szCs w:val="24"/>
        </w:rPr>
      </w:pPr>
      <w:bookmarkStart w:id="915" w:name="_Toc183287962"/>
      <w:bookmarkStart w:id="916" w:name="_Toc183291203"/>
      <w:bookmarkStart w:id="917" w:name="_Toc183291607"/>
      <w:bookmarkStart w:id="918" w:name="_Toc183292011"/>
      <w:bookmarkStart w:id="919" w:name="_Toc183340204"/>
      <w:bookmarkEnd w:id="915"/>
      <w:bookmarkEnd w:id="916"/>
      <w:bookmarkEnd w:id="917"/>
      <w:bookmarkEnd w:id="918"/>
      <w:bookmarkEnd w:id="919"/>
    </w:p>
    <w:p w14:paraId="1EE80209" w14:textId="709E041F" w:rsidR="00006463" w:rsidRPr="007C5A6E" w:rsidRDefault="00006463" w:rsidP="00712C43">
      <w:pPr>
        <w:pStyle w:val="Titre2"/>
      </w:pPr>
      <w:bookmarkStart w:id="920" w:name="_Toc183340205"/>
      <w:r w:rsidRPr="007C5A6E">
        <w:t>Les pressions sur les ressources</w:t>
      </w:r>
      <w:bookmarkEnd w:id="920"/>
      <w:r w:rsidRPr="007C5A6E">
        <w:t xml:space="preserve"> </w:t>
      </w:r>
    </w:p>
    <w:p w14:paraId="04CFC409" w14:textId="77777777" w:rsidR="00006463" w:rsidRPr="007C5A6E" w:rsidRDefault="00006463" w:rsidP="00F57A5C">
      <w:pPr>
        <w:spacing w:after="0" w:line="240" w:lineRule="auto"/>
        <w:rPr>
          <w:rFonts w:ascii="Times New Roman" w:hAnsi="Times New Roman"/>
          <w:sz w:val="24"/>
          <w:szCs w:val="24"/>
        </w:rPr>
      </w:pPr>
    </w:p>
    <w:p w14:paraId="50A1BF4F" w14:textId="38506FFA" w:rsidR="0010438E" w:rsidRPr="007C5A6E" w:rsidRDefault="0010438E" w:rsidP="0010438E">
      <w:pPr>
        <w:pStyle w:val="Titre3"/>
      </w:pPr>
      <w:bookmarkStart w:id="921" w:name="_Toc182575426"/>
      <w:bookmarkStart w:id="922" w:name="_Toc183340206"/>
      <w:r w:rsidRPr="007C5A6E">
        <w:t>Les sources des pressions</w:t>
      </w:r>
      <w:bookmarkEnd w:id="921"/>
      <w:r w:rsidR="00C46E7A" w:rsidRPr="007C5A6E">
        <w:t xml:space="preserve"> sur la diversité biologique</w:t>
      </w:r>
      <w:bookmarkEnd w:id="922"/>
      <w:r w:rsidRPr="007C5A6E">
        <w:t> </w:t>
      </w:r>
    </w:p>
    <w:p w14:paraId="68350F0A" w14:textId="77777777" w:rsidR="0010438E" w:rsidRPr="007C5A6E" w:rsidRDefault="0010438E" w:rsidP="0010438E">
      <w:pPr>
        <w:spacing w:after="0" w:line="240" w:lineRule="auto"/>
      </w:pPr>
    </w:p>
    <w:p w14:paraId="568EEE90" w14:textId="77777777" w:rsidR="0010438E" w:rsidRPr="007C5A6E" w:rsidRDefault="0010438E" w:rsidP="00684FF8">
      <w:pPr>
        <w:pStyle w:val="Titre4"/>
      </w:pPr>
      <w:bookmarkStart w:id="923" w:name="_Toc182575427"/>
      <w:bookmarkStart w:id="924" w:name="_Toc183340207"/>
      <w:r w:rsidRPr="007C5A6E">
        <w:t>La croissance démographique</w:t>
      </w:r>
      <w:bookmarkEnd w:id="923"/>
      <w:bookmarkEnd w:id="924"/>
      <w:r w:rsidRPr="007C5A6E">
        <w:t xml:space="preserve"> </w:t>
      </w:r>
    </w:p>
    <w:p w14:paraId="4462F4C9" w14:textId="77777777" w:rsidR="0010438E" w:rsidRPr="007C5A6E" w:rsidRDefault="0010438E" w:rsidP="0010438E">
      <w:pPr>
        <w:spacing w:after="0" w:line="240" w:lineRule="auto"/>
        <w:jc w:val="both"/>
        <w:rPr>
          <w:rFonts w:ascii="Times New Roman" w:hAnsi="Times New Roman"/>
          <w:sz w:val="24"/>
          <w:szCs w:val="24"/>
        </w:rPr>
      </w:pPr>
    </w:p>
    <w:p w14:paraId="2355A122" w14:textId="683528B7" w:rsidR="0010438E" w:rsidRPr="007C5A6E" w:rsidRDefault="0010438E" w:rsidP="0010438E">
      <w:pPr>
        <w:spacing w:after="0" w:line="240" w:lineRule="auto"/>
        <w:jc w:val="both"/>
        <w:rPr>
          <w:rFonts w:ascii="Times New Roman" w:hAnsi="Times New Roman"/>
          <w:sz w:val="24"/>
          <w:szCs w:val="24"/>
        </w:rPr>
      </w:pPr>
      <w:r w:rsidRPr="007C5A6E">
        <w:rPr>
          <w:rFonts w:ascii="Times New Roman" w:hAnsi="Times New Roman"/>
          <w:sz w:val="24"/>
          <w:szCs w:val="24"/>
        </w:rPr>
        <w:t>La population burkinabè (20,5 millions en 2019) est majoritairement rurale (74%) avec quatre-vingt-cinq pour cent (85%) pratiquant l’agriculture, l’élevage et la foresterie (cf</w:t>
      </w:r>
      <w:r w:rsidR="00C46E7A" w:rsidRPr="007C5A6E">
        <w:rPr>
          <w:rFonts w:ascii="Times New Roman" w:hAnsi="Times New Roman"/>
          <w:sz w:val="24"/>
          <w:szCs w:val="24"/>
        </w:rPr>
        <w:t>.</w:t>
      </w:r>
      <w:r w:rsidRPr="007C5A6E">
        <w:rPr>
          <w:rFonts w:ascii="Times New Roman" w:hAnsi="Times New Roman"/>
          <w:sz w:val="24"/>
          <w:szCs w:val="24"/>
        </w:rPr>
        <w:t> chapitre 1.2). Elle est ainsi fortement dépendante des ressources naturelles : l’eau, les sols, les forêts, les pâturages, etc. (</w:t>
      </w:r>
      <w:bookmarkStart w:id="925" w:name="_Hlk182473314"/>
      <w:r w:rsidRPr="007C5A6E">
        <w:rPr>
          <w:rFonts w:ascii="Times New Roman" w:hAnsi="Times New Roman"/>
          <w:sz w:val="24"/>
          <w:szCs w:val="24"/>
        </w:rPr>
        <w:t>INSD, 2022a ; Burkina Faso, 2018</w:t>
      </w:r>
      <w:bookmarkEnd w:id="925"/>
      <w:r w:rsidRPr="007C5A6E">
        <w:rPr>
          <w:rFonts w:ascii="Times New Roman" w:hAnsi="Times New Roman"/>
          <w:sz w:val="24"/>
          <w:szCs w:val="24"/>
        </w:rPr>
        <w:t>). Ainsi que le confirment plusieurs rapports nationaux (</w:t>
      </w:r>
      <w:bookmarkStart w:id="926" w:name="_Hlk182473328"/>
      <w:r w:rsidRPr="007C5A6E">
        <w:rPr>
          <w:rFonts w:ascii="Times New Roman" w:hAnsi="Times New Roman"/>
          <w:sz w:val="24"/>
          <w:szCs w:val="24"/>
        </w:rPr>
        <w:t>Burkina Faso, 2017 ; 2018 ; MEEVCC, 2020</w:t>
      </w:r>
      <w:bookmarkEnd w:id="926"/>
      <w:r w:rsidRPr="007C5A6E">
        <w:rPr>
          <w:rFonts w:ascii="Times New Roman" w:hAnsi="Times New Roman"/>
          <w:sz w:val="24"/>
          <w:szCs w:val="24"/>
        </w:rPr>
        <w:t>), les effets de ces activités humaines amplifiés par la croissance démographique</w:t>
      </w:r>
      <w:r w:rsidR="00C46E7A" w:rsidRPr="007C5A6E">
        <w:rPr>
          <w:rFonts w:ascii="Times New Roman" w:hAnsi="Times New Roman"/>
          <w:sz w:val="24"/>
          <w:szCs w:val="24"/>
        </w:rPr>
        <w:t xml:space="preserve">, </w:t>
      </w:r>
      <w:r w:rsidRPr="007C5A6E">
        <w:rPr>
          <w:rFonts w:ascii="Times New Roman" w:hAnsi="Times New Roman"/>
          <w:sz w:val="24"/>
          <w:szCs w:val="24"/>
        </w:rPr>
        <w:t>les conflits sociaux (conflit fonciers, insécurité ; déplacements communautaires…)</w:t>
      </w:r>
      <w:r w:rsidR="00C46E7A" w:rsidRPr="007C5A6E">
        <w:rPr>
          <w:rFonts w:ascii="Times New Roman" w:hAnsi="Times New Roman"/>
          <w:sz w:val="24"/>
          <w:szCs w:val="24"/>
        </w:rPr>
        <w:t xml:space="preserve"> ainsi que</w:t>
      </w:r>
      <w:r w:rsidRPr="007C5A6E">
        <w:rPr>
          <w:rFonts w:ascii="Times New Roman" w:hAnsi="Times New Roman"/>
          <w:sz w:val="24"/>
          <w:szCs w:val="24"/>
        </w:rPr>
        <w:t xml:space="preserve"> la variabilité et la péjoration du climat, induisent une érosion croissante du capital naturel national </w:t>
      </w:r>
      <w:r w:rsidRPr="007C5A6E">
        <w:rPr>
          <w:rFonts w:ascii="Times New Roman" w:hAnsi="Times New Roman"/>
          <w:bCs/>
          <w:sz w:val="24"/>
          <w:szCs w:val="24"/>
        </w:rPr>
        <w:t xml:space="preserve">(Figure </w:t>
      </w:r>
      <w:r w:rsidR="00C46E7A" w:rsidRPr="007C5A6E">
        <w:rPr>
          <w:rFonts w:ascii="Times New Roman" w:hAnsi="Times New Roman"/>
          <w:bCs/>
          <w:sz w:val="24"/>
          <w:szCs w:val="24"/>
        </w:rPr>
        <w:t>53</w:t>
      </w:r>
      <w:r w:rsidRPr="007C5A6E">
        <w:rPr>
          <w:rFonts w:ascii="Times New Roman" w:hAnsi="Times New Roman"/>
          <w:bCs/>
          <w:sz w:val="24"/>
          <w:szCs w:val="24"/>
        </w:rPr>
        <w:t>)</w:t>
      </w:r>
      <w:r w:rsidRPr="007C5A6E">
        <w:rPr>
          <w:rFonts w:ascii="Times New Roman" w:hAnsi="Times New Roman"/>
          <w:sz w:val="24"/>
          <w:szCs w:val="24"/>
        </w:rPr>
        <w:t xml:space="preserve">. </w:t>
      </w:r>
    </w:p>
    <w:p w14:paraId="35E83E8C" w14:textId="77777777" w:rsidR="0010438E" w:rsidRPr="007C5A6E" w:rsidRDefault="0010438E" w:rsidP="0010438E">
      <w:pPr>
        <w:spacing w:after="0" w:line="240" w:lineRule="auto"/>
        <w:jc w:val="both"/>
        <w:rPr>
          <w:rFonts w:ascii="Times New Roman" w:hAnsi="Times New Roman"/>
          <w:sz w:val="24"/>
          <w:szCs w:val="24"/>
        </w:rPr>
      </w:pPr>
    </w:p>
    <w:p w14:paraId="29B458D4" w14:textId="77777777" w:rsidR="0010438E" w:rsidRPr="007C5A6E" w:rsidRDefault="0010438E" w:rsidP="0010438E">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47A3E51D" wp14:editId="75997461">
            <wp:extent cx="4572000" cy="2743200"/>
            <wp:effectExtent l="0" t="0" r="0" b="0"/>
            <wp:docPr id="6" name="Graphique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1B9126D1" w14:textId="77777777" w:rsidR="00C46E7A" w:rsidRPr="007C5A6E" w:rsidRDefault="00C46E7A" w:rsidP="00C46E7A">
      <w:pPr>
        <w:spacing w:after="0" w:line="240" w:lineRule="auto"/>
        <w:rPr>
          <w:rFonts w:ascii="Times New Roman" w:hAnsi="Times New Roman"/>
          <w:sz w:val="20"/>
          <w:szCs w:val="20"/>
        </w:rPr>
      </w:pPr>
      <w:bookmarkStart w:id="927" w:name="_Toc182575468"/>
      <w:bookmarkStart w:id="928" w:name="_Toc176507968"/>
      <w:r w:rsidRPr="007C5A6E">
        <w:rPr>
          <w:rFonts w:ascii="Times New Roman" w:hAnsi="Times New Roman"/>
          <w:sz w:val="20"/>
          <w:szCs w:val="20"/>
        </w:rPr>
        <w:t>(Source : Données INSD, 2023a ; SP/REED+, 2023)</w:t>
      </w:r>
    </w:p>
    <w:p w14:paraId="06C079F0" w14:textId="3CDE8A93" w:rsidR="0010438E" w:rsidRPr="007C5A6E" w:rsidRDefault="00C46E7A" w:rsidP="00F34CA1">
      <w:pPr>
        <w:pStyle w:val="Lgende"/>
        <w:spacing w:after="0"/>
        <w:rPr>
          <w:rFonts w:ascii="Times New Roman" w:hAnsi="Times New Roman"/>
          <w:color w:val="auto"/>
          <w:sz w:val="24"/>
          <w:szCs w:val="24"/>
        </w:rPr>
      </w:pPr>
      <w:bookmarkStart w:id="929" w:name="_Toc183230900"/>
      <w:bookmarkStart w:id="930" w:name="_Toc183240693"/>
      <w:bookmarkStart w:id="931" w:name="_Toc183340432"/>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9A08D5" w:rsidRPr="007C5A6E">
        <w:rPr>
          <w:rFonts w:ascii="Times New Roman" w:hAnsi="Times New Roman"/>
          <w:noProof/>
          <w:color w:val="auto"/>
          <w:sz w:val="24"/>
          <w:szCs w:val="24"/>
        </w:rPr>
        <w:t>53</w:t>
      </w:r>
      <w:r w:rsidRPr="007C5A6E">
        <w:rPr>
          <w:rFonts w:ascii="Times New Roman" w:hAnsi="Times New Roman"/>
          <w:color w:val="auto"/>
          <w:sz w:val="24"/>
          <w:szCs w:val="24"/>
        </w:rPr>
        <w:fldChar w:fldCharType="end"/>
      </w:r>
      <w:r w:rsidR="003E2FFC" w:rsidRPr="007C5A6E">
        <w:rPr>
          <w:rFonts w:ascii="Times New Roman" w:hAnsi="Times New Roman"/>
          <w:color w:val="auto"/>
          <w:sz w:val="24"/>
          <w:szCs w:val="24"/>
        </w:rPr>
        <w:t>.</w:t>
      </w:r>
      <w:r w:rsidR="0010438E" w:rsidRPr="007C5A6E">
        <w:rPr>
          <w:rFonts w:ascii="Times New Roman" w:hAnsi="Times New Roman"/>
          <w:color w:val="auto"/>
          <w:sz w:val="24"/>
          <w:szCs w:val="24"/>
        </w:rPr>
        <w:t xml:space="preserve"> Relation croissance démographique et couverture forestière nationale, de 2013 à 2022</w:t>
      </w:r>
      <w:bookmarkEnd w:id="927"/>
      <w:bookmarkEnd w:id="929"/>
      <w:bookmarkEnd w:id="930"/>
      <w:bookmarkEnd w:id="931"/>
      <w:r w:rsidR="0010438E" w:rsidRPr="007C5A6E">
        <w:rPr>
          <w:rFonts w:ascii="Times New Roman" w:hAnsi="Times New Roman"/>
          <w:color w:val="auto"/>
          <w:sz w:val="24"/>
          <w:szCs w:val="24"/>
        </w:rPr>
        <w:t xml:space="preserve"> </w:t>
      </w:r>
    </w:p>
    <w:p w14:paraId="06A6B71D" w14:textId="77777777" w:rsidR="009A08D5" w:rsidRPr="007C5A6E" w:rsidRDefault="009A08D5" w:rsidP="009A08D5"/>
    <w:p w14:paraId="20EF92CA" w14:textId="77777777" w:rsidR="009A08D5" w:rsidRPr="007C5A6E" w:rsidRDefault="009A08D5" w:rsidP="009A08D5"/>
    <w:bookmarkEnd w:id="928"/>
    <w:p w14:paraId="0F3B579D" w14:textId="77777777" w:rsidR="0010438E" w:rsidRPr="007C5A6E" w:rsidRDefault="0010438E" w:rsidP="00684FF8">
      <w:pPr>
        <w:pStyle w:val="Titre4"/>
      </w:pPr>
      <w:r w:rsidRPr="007C5A6E">
        <w:t xml:space="preserve"> </w:t>
      </w:r>
      <w:bookmarkStart w:id="932" w:name="_Toc182575428"/>
      <w:bookmarkStart w:id="933" w:name="_Toc183340208"/>
      <w:r w:rsidRPr="007C5A6E">
        <w:t>L’insuffisance ou la mauvaise gouvernance des ressources</w:t>
      </w:r>
      <w:bookmarkEnd w:id="932"/>
      <w:bookmarkEnd w:id="933"/>
    </w:p>
    <w:p w14:paraId="729CD80E" w14:textId="77777777" w:rsidR="0010438E" w:rsidRPr="007C5A6E" w:rsidRDefault="0010438E" w:rsidP="00C46E7A">
      <w:pPr>
        <w:spacing w:after="0" w:line="240" w:lineRule="auto"/>
        <w:jc w:val="both"/>
        <w:rPr>
          <w:rFonts w:ascii="Times New Roman" w:hAnsi="Times New Roman"/>
          <w:sz w:val="24"/>
          <w:szCs w:val="24"/>
        </w:rPr>
      </w:pPr>
    </w:p>
    <w:p w14:paraId="06198FDE" w14:textId="3D640569" w:rsidR="0010438E" w:rsidRPr="007C5A6E" w:rsidRDefault="0010438E" w:rsidP="00C46E7A">
      <w:pPr>
        <w:spacing w:after="0" w:line="240" w:lineRule="auto"/>
        <w:jc w:val="both"/>
        <w:rPr>
          <w:rFonts w:ascii="Times New Roman" w:hAnsi="Times New Roman"/>
          <w:sz w:val="24"/>
          <w:szCs w:val="24"/>
        </w:rPr>
      </w:pPr>
      <w:r w:rsidRPr="007C5A6E">
        <w:rPr>
          <w:rFonts w:ascii="Times New Roman" w:hAnsi="Times New Roman"/>
          <w:sz w:val="24"/>
          <w:szCs w:val="24"/>
        </w:rPr>
        <w:t>Les insuffisances et faiblesses de la gouvernance des ressources sont nombreuses et se retrouvent pratiquement à tous les niveaux. Elles ont des répercussions sur la bonne gouvernance des ressources naturelles et contribuent considérablement à l’augmentation des pressions sur les ressources</w:t>
      </w:r>
      <w:r w:rsidR="00C46E7A" w:rsidRPr="007C5A6E">
        <w:rPr>
          <w:rFonts w:ascii="Times New Roman" w:hAnsi="Times New Roman"/>
          <w:sz w:val="24"/>
          <w:szCs w:val="24"/>
        </w:rPr>
        <w:t xml:space="preserve">. En la matière, on relèvera </w:t>
      </w:r>
      <w:r w:rsidRPr="007C5A6E">
        <w:rPr>
          <w:rFonts w:ascii="Times New Roman" w:hAnsi="Times New Roman"/>
          <w:sz w:val="24"/>
          <w:szCs w:val="24"/>
        </w:rPr>
        <w:t>particulièrement (SP/REDD+, 2019 ; MEEVCC, 2020) :</w:t>
      </w:r>
    </w:p>
    <w:p w14:paraId="1DB0F804" w14:textId="1B19166C" w:rsidR="0010438E" w:rsidRPr="007C5A6E" w:rsidRDefault="00C46E7A" w:rsidP="003F3821">
      <w:pPr>
        <w:pStyle w:val="Paragraphedeliste"/>
        <w:numPr>
          <w:ilvl w:val="0"/>
          <w:numId w:val="33"/>
        </w:numPr>
        <w:spacing w:after="0" w:line="240" w:lineRule="auto"/>
        <w:ind w:left="340" w:hanging="340"/>
        <w:jc w:val="both"/>
        <w:rPr>
          <w:rFonts w:ascii="Times New Roman" w:hAnsi="Times New Roman"/>
          <w:sz w:val="24"/>
          <w:szCs w:val="24"/>
        </w:rPr>
      </w:pPr>
      <w:r w:rsidRPr="007C5A6E">
        <w:rPr>
          <w:rFonts w:ascii="Times New Roman" w:hAnsi="Times New Roman"/>
          <w:sz w:val="24"/>
          <w:szCs w:val="24"/>
        </w:rPr>
        <w:t>La</w:t>
      </w:r>
      <w:r w:rsidR="0010438E" w:rsidRPr="007C5A6E">
        <w:rPr>
          <w:rFonts w:ascii="Times New Roman" w:hAnsi="Times New Roman"/>
          <w:sz w:val="24"/>
          <w:szCs w:val="24"/>
        </w:rPr>
        <w:t xml:space="preserve"> procédure complexe de classement des forêts (avec un plan d'aménagement et l’accord du service forestier pour toute exploitation) bien qu’étant une garantie de la bonne gestion, limite considérablement les possibilités des communautés à s'impliquer dans la gestion des forêts ;</w:t>
      </w:r>
    </w:p>
    <w:p w14:paraId="2927660E" w14:textId="0D44EBA3" w:rsidR="0010438E" w:rsidRPr="007C5A6E" w:rsidRDefault="00C46E7A" w:rsidP="003F3821">
      <w:pPr>
        <w:pStyle w:val="Paragraphedeliste"/>
        <w:numPr>
          <w:ilvl w:val="0"/>
          <w:numId w:val="33"/>
        </w:numPr>
        <w:spacing w:after="0" w:line="240" w:lineRule="auto"/>
        <w:ind w:left="340" w:hanging="340"/>
        <w:jc w:val="both"/>
        <w:rPr>
          <w:rFonts w:ascii="Times New Roman" w:hAnsi="Times New Roman"/>
          <w:sz w:val="24"/>
          <w:szCs w:val="24"/>
        </w:rPr>
      </w:pPr>
      <w:r w:rsidRPr="007C5A6E">
        <w:rPr>
          <w:rFonts w:ascii="Times New Roman" w:hAnsi="Times New Roman"/>
          <w:sz w:val="24"/>
          <w:szCs w:val="24"/>
        </w:rPr>
        <w:t>Le</w:t>
      </w:r>
      <w:r w:rsidR="0010438E" w:rsidRPr="007C5A6E">
        <w:rPr>
          <w:rFonts w:ascii="Times New Roman" w:hAnsi="Times New Roman"/>
          <w:sz w:val="24"/>
          <w:szCs w:val="24"/>
        </w:rPr>
        <w:t xml:space="preserve"> manque de textes d’application sur le classement et l’immatriculation des forêts des collectivités territoriales ; </w:t>
      </w:r>
    </w:p>
    <w:p w14:paraId="6782EE31" w14:textId="407C2534" w:rsidR="0010438E" w:rsidRPr="007C5A6E" w:rsidRDefault="00C46E7A" w:rsidP="003F3821">
      <w:pPr>
        <w:pStyle w:val="Paragraphedeliste"/>
        <w:numPr>
          <w:ilvl w:val="0"/>
          <w:numId w:val="33"/>
        </w:numPr>
        <w:spacing w:after="0" w:line="240" w:lineRule="auto"/>
        <w:ind w:left="340" w:hanging="340"/>
        <w:jc w:val="both"/>
        <w:rPr>
          <w:rFonts w:ascii="Times New Roman" w:hAnsi="Times New Roman"/>
          <w:sz w:val="24"/>
          <w:szCs w:val="24"/>
        </w:rPr>
      </w:pPr>
      <w:r w:rsidRPr="007C5A6E">
        <w:rPr>
          <w:rFonts w:ascii="Times New Roman" w:hAnsi="Times New Roman"/>
          <w:sz w:val="24"/>
          <w:szCs w:val="24"/>
        </w:rPr>
        <w:t>La</w:t>
      </w:r>
      <w:r w:rsidR="0010438E" w:rsidRPr="007C5A6E">
        <w:rPr>
          <w:rFonts w:ascii="Times New Roman" w:hAnsi="Times New Roman"/>
          <w:sz w:val="24"/>
          <w:szCs w:val="24"/>
        </w:rPr>
        <w:t xml:space="preserve"> complexité de l’évaluation des coûts du bornage et de la fiscalité forestière ;</w:t>
      </w:r>
    </w:p>
    <w:p w14:paraId="24F8B61A" w14:textId="4B57EB11" w:rsidR="0010438E" w:rsidRPr="007C5A6E" w:rsidRDefault="00C46E7A" w:rsidP="003F3821">
      <w:pPr>
        <w:pStyle w:val="Paragraphedeliste"/>
        <w:numPr>
          <w:ilvl w:val="0"/>
          <w:numId w:val="33"/>
        </w:numPr>
        <w:spacing w:after="0" w:line="240" w:lineRule="auto"/>
        <w:ind w:left="340" w:hanging="340"/>
        <w:jc w:val="both"/>
        <w:rPr>
          <w:rFonts w:ascii="Times New Roman" w:hAnsi="Times New Roman"/>
          <w:sz w:val="24"/>
          <w:szCs w:val="24"/>
        </w:rPr>
      </w:pPr>
      <w:r w:rsidRPr="007C5A6E">
        <w:rPr>
          <w:rFonts w:ascii="Times New Roman" w:hAnsi="Times New Roman"/>
          <w:sz w:val="24"/>
          <w:szCs w:val="24"/>
        </w:rPr>
        <w:t>La</w:t>
      </w:r>
      <w:r w:rsidR="0010438E" w:rsidRPr="007C5A6E">
        <w:rPr>
          <w:rFonts w:ascii="Times New Roman" w:hAnsi="Times New Roman"/>
          <w:sz w:val="24"/>
          <w:szCs w:val="24"/>
        </w:rPr>
        <w:t xml:space="preserve"> non mise en place ou le non fonctionnement des structures foncières communales ; </w:t>
      </w:r>
    </w:p>
    <w:p w14:paraId="746ED74A" w14:textId="41FA6BCA" w:rsidR="0010438E" w:rsidRPr="007C5A6E" w:rsidRDefault="00C46E7A" w:rsidP="003F3821">
      <w:pPr>
        <w:pStyle w:val="Paragraphedeliste"/>
        <w:numPr>
          <w:ilvl w:val="0"/>
          <w:numId w:val="33"/>
        </w:numPr>
        <w:spacing w:after="0" w:line="240" w:lineRule="auto"/>
        <w:ind w:left="340" w:hanging="340"/>
        <w:jc w:val="both"/>
        <w:rPr>
          <w:rFonts w:ascii="Times New Roman" w:hAnsi="Times New Roman"/>
          <w:sz w:val="24"/>
          <w:szCs w:val="24"/>
        </w:rPr>
      </w:pPr>
      <w:r w:rsidRPr="007C5A6E">
        <w:rPr>
          <w:rFonts w:ascii="Times New Roman" w:hAnsi="Times New Roman"/>
          <w:sz w:val="24"/>
          <w:szCs w:val="24"/>
        </w:rPr>
        <w:t>La</w:t>
      </w:r>
      <w:r w:rsidR="0010438E" w:rsidRPr="007C5A6E">
        <w:rPr>
          <w:rFonts w:ascii="Times New Roman" w:hAnsi="Times New Roman"/>
          <w:sz w:val="24"/>
          <w:szCs w:val="24"/>
        </w:rPr>
        <w:t xml:space="preserve"> lenteur de mise à disposition ou le manque d’outils de travail et de moyens financiers pour les structures mises en place notamment par le MCA (imprimés, registres, faible budget des communes) ;</w:t>
      </w:r>
    </w:p>
    <w:p w14:paraId="5B461589" w14:textId="1DC5480E" w:rsidR="0010438E" w:rsidRPr="007C5A6E" w:rsidRDefault="0010438E" w:rsidP="003F3821">
      <w:pPr>
        <w:pStyle w:val="Paragraphedeliste"/>
        <w:numPr>
          <w:ilvl w:val="0"/>
          <w:numId w:val="33"/>
        </w:numPr>
        <w:spacing w:after="0" w:line="240" w:lineRule="auto"/>
        <w:ind w:left="340" w:hanging="340"/>
        <w:jc w:val="both"/>
        <w:rPr>
          <w:rFonts w:ascii="Times New Roman" w:hAnsi="Times New Roman"/>
          <w:sz w:val="24"/>
          <w:szCs w:val="24"/>
        </w:rPr>
      </w:pPr>
      <w:r w:rsidRPr="007C5A6E">
        <w:rPr>
          <w:rFonts w:ascii="Times New Roman" w:hAnsi="Times New Roman"/>
          <w:sz w:val="24"/>
          <w:szCs w:val="24"/>
        </w:rPr>
        <w:t xml:space="preserve">L’inadéquation du modèle financier du secteur bois-énergie qui met en péril la gestion des forêts avec une faible implication des communes dans la production du bois de chauffe, et une mauvaise application de la loi. Le système énergétique national est non durable et se caractérise par une très forte croissance de la demande d'énergie et contribue ainsi à la surexploitation des ressources ligneuses. Aujourd’hui, la gouvernance du secteur bois-énergie semble atteindre ses limites. En effet, la production actuelle de bois de chauffe ne permet de couvrir que 95 % de la demande ; toutefois, les forêts gérées de manière durable ne couvrent que 58 % des approvisionnements (Banque Mondiale, 2022) ; </w:t>
      </w:r>
    </w:p>
    <w:p w14:paraId="2AB51917" w14:textId="6965A764" w:rsidR="0010438E" w:rsidRPr="007C5A6E" w:rsidRDefault="00C46E7A" w:rsidP="003F3821">
      <w:pPr>
        <w:pStyle w:val="Paragraphedeliste"/>
        <w:numPr>
          <w:ilvl w:val="0"/>
          <w:numId w:val="33"/>
        </w:numPr>
        <w:spacing w:after="0" w:line="240" w:lineRule="auto"/>
        <w:ind w:left="340" w:hanging="340"/>
        <w:jc w:val="both"/>
        <w:rPr>
          <w:rFonts w:ascii="Times New Roman" w:hAnsi="Times New Roman"/>
          <w:sz w:val="24"/>
          <w:szCs w:val="24"/>
        </w:rPr>
      </w:pPr>
      <w:r w:rsidRPr="007C5A6E">
        <w:rPr>
          <w:rFonts w:ascii="Times New Roman" w:hAnsi="Times New Roman"/>
          <w:sz w:val="24"/>
          <w:szCs w:val="24"/>
        </w:rPr>
        <w:t>L</w:t>
      </w:r>
      <w:r w:rsidR="0010438E" w:rsidRPr="007C5A6E">
        <w:rPr>
          <w:rFonts w:ascii="Times New Roman" w:hAnsi="Times New Roman"/>
          <w:sz w:val="24"/>
          <w:szCs w:val="24"/>
        </w:rPr>
        <w:t>’insuffisance du budget dédié à la gestion des forêts qui d’environ 1% du budget annuel national (Banque Mondiale, 2022). Les autorités forestières notamment au niveau décentralisé, manquent de ressources humaines, matérielles et financières pour protéger efficacement les domaines classés et protégés forestiers. En conséquence, de multiples activités clés ne sont pas effectuées. Par exemple, les plans de gestion forestière ne sont pas mis à jour sans financement externe, et certaines forêts classées sont même créées sans plan de gestion. La méthodologie de planification de la gestion forestière elle-même n’a pas été mise à jour depuis 2002. Cela signifie également que les nouveaux aménagements et besoins dans ce domaine n’ont pas été pris en compte. L’exploitation continue des forêts classées est ainsi entreprise sans savoir si elle est durable ou conforme à la réglementation ;</w:t>
      </w:r>
    </w:p>
    <w:p w14:paraId="0090458D" w14:textId="60EEEF0D" w:rsidR="0010438E" w:rsidRPr="007C5A6E" w:rsidRDefault="00C46E7A" w:rsidP="003F3821">
      <w:pPr>
        <w:pStyle w:val="Paragraphedeliste"/>
        <w:numPr>
          <w:ilvl w:val="0"/>
          <w:numId w:val="33"/>
        </w:numPr>
        <w:spacing w:after="0" w:line="240" w:lineRule="auto"/>
        <w:ind w:left="340" w:hanging="340"/>
        <w:jc w:val="both"/>
        <w:rPr>
          <w:rFonts w:ascii="Times New Roman" w:hAnsi="Times New Roman"/>
          <w:sz w:val="24"/>
          <w:szCs w:val="24"/>
        </w:rPr>
      </w:pPr>
      <w:r w:rsidRPr="007C5A6E">
        <w:rPr>
          <w:rFonts w:ascii="Times New Roman" w:hAnsi="Times New Roman"/>
          <w:sz w:val="24"/>
          <w:szCs w:val="24"/>
        </w:rPr>
        <w:t>L</w:t>
      </w:r>
      <w:r w:rsidR="0010438E" w:rsidRPr="007C5A6E">
        <w:rPr>
          <w:rFonts w:ascii="Times New Roman" w:hAnsi="Times New Roman"/>
          <w:sz w:val="24"/>
          <w:szCs w:val="24"/>
        </w:rPr>
        <w:t xml:space="preserve">’inadéquation de certaines politiques sectorielles (secteurs des mines, de l’urbanisation et des infrastructures) qui impactent négativement sur les ressources biologiques. </w:t>
      </w:r>
    </w:p>
    <w:p w14:paraId="39C8DC8F" w14:textId="77777777" w:rsidR="0010438E" w:rsidRPr="007C5A6E" w:rsidRDefault="0010438E" w:rsidP="00C46E7A">
      <w:pPr>
        <w:spacing w:after="0" w:line="240" w:lineRule="auto"/>
        <w:jc w:val="both"/>
        <w:rPr>
          <w:rFonts w:ascii="Times New Roman" w:hAnsi="Times New Roman"/>
          <w:sz w:val="24"/>
          <w:szCs w:val="24"/>
        </w:rPr>
      </w:pPr>
    </w:p>
    <w:p w14:paraId="69C2257A" w14:textId="77777777" w:rsidR="0010438E" w:rsidRPr="007C5A6E" w:rsidRDefault="0010438E" w:rsidP="0010438E">
      <w:pPr>
        <w:spacing w:after="0" w:line="240" w:lineRule="auto"/>
        <w:jc w:val="both"/>
        <w:rPr>
          <w:rFonts w:ascii="Times New Roman" w:hAnsi="Times New Roman"/>
          <w:sz w:val="24"/>
          <w:szCs w:val="24"/>
        </w:rPr>
      </w:pPr>
      <w:r w:rsidRPr="007C5A6E">
        <w:rPr>
          <w:rFonts w:ascii="Times New Roman" w:hAnsi="Times New Roman"/>
          <w:sz w:val="24"/>
          <w:szCs w:val="24"/>
        </w:rPr>
        <w:t>Toutes ces insuffisances dans la gouvernance des ressources engendrent des conflits qui induisent des pressions sur la biodiversité. En effet les désaccords et différends sur l’accès, le contrôle et l’utilisation des ressources (forêts, eau, pâturages et terres) conduisent souvent les populations à saboter les actions de conservation. Aussi le mécanisme de gestion de ces conflits qui est généralement traditionnelle</w:t>
      </w:r>
      <w:r w:rsidRPr="007C5A6E">
        <w:rPr>
          <w:rFonts w:ascii="Times New Roman" w:hAnsi="Times New Roman"/>
          <w:sz w:val="24"/>
          <w:szCs w:val="24"/>
          <w:vertAlign w:val="superscript"/>
        </w:rPr>
        <w:footnoteReference w:id="1"/>
      </w:r>
      <w:r w:rsidRPr="007C5A6E">
        <w:rPr>
          <w:rFonts w:ascii="Times New Roman" w:hAnsi="Times New Roman"/>
          <w:sz w:val="24"/>
          <w:szCs w:val="24"/>
        </w:rPr>
        <w:t xml:space="preserve"> présente-t-il certaines insuffisances (MEEVCC, 2020). La divergence des intérêts et des besoins des utilisateurs, ou de négligence des priorités de certains groupes d’utilisateurs dans les politiques, programmes et projets constituent les mobiles de conflits, qui sont dommageable aux ressources.</w:t>
      </w:r>
    </w:p>
    <w:p w14:paraId="5824A238" w14:textId="77777777" w:rsidR="0010438E" w:rsidRPr="007C5A6E" w:rsidRDefault="0010438E" w:rsidP="0010438E">
      <w:pPr>
        <w:spacing w:after="0" w:line="240" w:lineRule="auto"/>
        <w:jc w:val="both"/>
        <w:rPr>
          <w:rFonts w:ascii="Times New Roman" w:hAnsi="Times New Roman"/>
          <w:sz w:val="24"/>
          <w:szCs w:val="24"/>
        </w:rPr>
      </w:pPr>
    </w:p>
    <w:p w14:paraId="10702393" w14:textId="77777777" w:rsidR="0010438E" w:rsidRPr="007C5A6E" w:rsidRDefault="0010438E" w:rsidP="0010438E">
      <w:pPr>
        <w:spacing w:after="0" w:line="240" w:lineRule="auto"/>
        <w:jc w:val="both"/>
        <w:rPr>
          <w:rFonts w:ascii="Times New Roman" w:hAnsi="Times New Roman"/>
          <w:sz w:val="24"/>
          <w:szCs w:val="24"/>
        </w:rPr>
      </w:pPr>
      <w:r w:rsidRPr="007C5A6E">
        <w:rPr>
          <w:rFonts w:ascii="Times New Roman" w:hAnsi="Times New Roman"/>
          <w:sz w:val="24"/>
          <w:szCs w:val="24"/>
        </w:rPr>
        <w:t>Entre le REEB4 et le REEB5 (2017-2024), la gouvernance des ressources s’est-elle davantage dégradée en lien avec la situation sécuritaire nationale ? En effet, depuis 2019, environ 12 aires de protection de faune et zones cynégétiques ont une gestion limitée pour cause d’insécurité. Par ailleurs, l’activité de chasse n’a pas officiellement repris depuis cette date.</w:t>
      </w:r>
    </w:p>
    <w:p w14:paraId="39118117" w14:textId="77777777" w:rsidR="0010438E" w:rsidRPr="007C5A6E" w:rsidRDefault="0010438E" w:rsidP="0010438E">
      <w:pPr>
        <w:spacing w:after="0" w:line="240" w:lineRule="auto"/>
        <w:jc w:val="both"/>
        <w:rPr>
          <w:rFonts w:ascii="Times New Roman" w:hAnsi="Times New Roman"/>
          <w:sz w:val="24"/>
          <w:szCs w:val="24"/>
        </w:rPr>
      </w:pPr>
    </w:p>
    <w:p w14:paraId="6F921C28" w14:textId="1CB1E08E" w:rsidR="0010438E" w:rsidRPr="007C5A6E" w:rsidRDefault="0010438E" w:rsidP="00684FF8">
      <w:pPr>
        <w:pStyle w:val="Titre4"/>
      </w:pPr>
      <w:bookmarkStart w:id="934" w:name="_Toc182575429"/>
      <w:bookmarkStart w:id="935" w:name="_Toc183340209"/>
      <w:r w:rsidRPr="007C5A6E">
        <w:t>L’instabilité socio-politique</w:t>
      </w:r>
      <w:r w:rsidR="00AF5C7B" w:rsidRPr="007C5A6E">
        <w:t xml:space="preserve">, </w:t>
      </w:r>
      <w:r w:rsidRPr="007C5A6E">
        <w:t>un facteur aggravant les pressions</w:t>
      </w:r>
      <w:bookmarkEnd w:id="934"/>
      <w:bookmarkEnd w:id="935"/>
    </w:p>
    <w:p w14:paraId="534F0B56" w14:textId="77777777" w:rsidR="0010438E" w:rsidRPr="007C5A6E" w:rsidRDefault="0010438E" w:rsidP="0010438E">
      <w:pPr>
        <w:spacing w:after="0" w:line="240" w:lineRule="auto"/>
        <w:jc w:val="both"/>
        <w:rPr>
          <w:rFonts w:ascii="Times New Roman" w:hAnsi="Times New Roman"/>
          <w:sz w:val="24"/>
          <w:szCs w:val="24"/>
        </w:rPr>
      </w:pPr>
    </w:p>
    <w:p w14:paraId="1A72D629" w14:textId="77777777" w:rsidR="0010438E" w:rsidRPr="007C5A6E" w:rsidRDefault="0010438E" w:rsidP="0010438E">
      <w:pPr>
        <w:spacing w:after="0" w:line="240" w:lineRule="auto"/>
        <w:jc w:val="both"/>
        <w:rPr>
          <w:rFonts w:ascii="Times New Roman" w:hAnsi="Times New Roman"/>
          <w:bCs/>
          <w:sz w:val="24"/>
          <w:szCs w:val="24"/>
        </w:rPr>
      </w:pPr>
      <w:r w:rsidRPr="007C5A6E">
        <w:rPr>
          <w:rFonts w:ascii="Times New Roman" w:hAnsi="Times New Roman"/>
          <w:sz w:val="24"/>
          <w:szCs w:val="24"/>
        </w:rPr>
        <w:t>La situation socio-politique du Burkina Faso, marquée par le déficit sécuritaire depuis 2014 (caractérisée par plusieurs incidents sécuritaires : 671 en 2020, 961 en 2021 et 1094 entre janvier et juillet 2022 ; ainsi que l’occupation des zones forestières par les Groupes Armés Terroristes), montre des évidences d’une probable dégradation des ressources en lien avec l’insécurité (OMS</w:t>
      </w:r>
      <w:r w:rsidRPr="007C5A6E">
        <w:rPr>
          <w:rFonts w:ascii="Times New Roman" w:hAnsi="Times New Roman"/>
          <w:bCs/>
          <w:sz w:val="24"/>
          <w:szCs w:val="24"/>
        </w:rPr>
        <w:t>-Burkina Faso</w:t>
      </w:r>
      <w:r w:rsidRPr="007C5A6E">
        <w:rPr>
          <w:rFonts w:ascii="Times New Roman" w:hAnsi="Times New Roman"/>
          <w:sz w:val="24"/>
          <w:szCs w:val="24"/>
        </w:rPr>
        <w:t xml:space="preserve">, 2022 ; </w:t>
      </w:r>
      <w:proofErr w:type="spellStart"/>
      <w:r w:rsidRPr="007C5A6E">
        <w:rPr>
          <w:rFonts w:ascii="Times New Roman" w:hAnsi="Times New Roman"/>
          <w:sz w:val="24"/>
          <w:szCs w:val="24"/>
        </w:rPr>
        <w:t>Karama</w:t>
      </w:r>
      <w:proofErr w:type="spellEnd"/>
      <w:r w:rsidRPr="007C5A6E">
        <w:rPr>
          <w:rFonts w:ascii="Times New Roman" w:hAnsi="Times New Roman"/>
          <w:sz w:val="24"/>
          <w:szCs w:val="24"/>
        </w:rPr>
        <w:t xml:space="preserve">, et al. 2024). En effet, l’ensemble des Aires Protégées du pays est sous influence des groupes terroristes et au moins 10 aires protégées (les parcs d’Arly et du W et les zones cynégétiques contiguës ; la réserve partielle de faune de </w:t>
      </w:r>
      <w:proofErr w:type="spellStart"/>
      <w:r w:rsidRPr="007C5A6E">
        <w:rPr>
          <w:rFonts w:ascii="Times New Roman" w:hAnsi="Times New Roman"/>
          <w:sz w:val="24"/>
          <w:szCs w:val="24"/>
        </w:rPr>
        <w:t>Pama</w:t>
      </w:r>
      <w:proofErr w:type="spellEnd"/>
      <w:r w:rsidRPr="007C5A6E">
        <w:rPr>
          <w:rFonts w:ascii="Times New Roman" w:hAnsi="Times New Roman"/>
          <w:sz w:val="24"/>
          <w:szCs w:val="24"/>
        </w:rPr>
        <w:t xml:space="preserve">; la réserve partielle de faune </w:t>
      </w:r>
      <w:proofErr w:type="spellStart"/>
      <w:r w:rsidRPr="007C5A6E">
        <w:rPr>
          <w:rFonts w:ascii="Times New Roman" w:hAnsi="Times New Roman"/>
          <w:sz w:val="24"/>
          <w:szCs w:val="24"/>
        </w:rPr>
        <w:t>Konkombouri</w:t>
      </w:r>
      <w:proofErr w:type="spellEnd"/>
      <w:r w:rsidRPr="007C5A6E">
        <w:rPr>
          <w:rFonts w:ascii="Times New Roman" w:hAnsi="Times New Roman"/>
          <w:sz w:val="24"/>
          <w:szCs w:val="24"/>
        </w:rPr>
        <w:t xml:space="preserve">; la réserve partielle de faune de </w:t>
      </w:r>
      <w:proofErr w:type="spellStart"/>
      <w:r w:rsidRPr="007C5A6E">
        <w:rPr>
          <w:rFonts w:ascii="Times New Roman" w:hAnsi="Times New Roman"/>
          <w:sz w:val="24"/>
          <w:szCs w:val="24"/>
        </w:rPr>
        <w:t>Singou</w:t>
      </w:r>
      <w:proofErr w:type="spellEnd"/>
      <w:r w:rsidRPr="007C5A6E">
        <w:rPr>
          <w:rFonts w:ascii="Times New Roman" w:hAnsi="Times New Roman"/>
          <w:sz w:val="24"/>
          <w:szCs w:val="24"/>
        </w:rPr>
        <w:t xml:space="preserve"> septentrional; la réserve partielle de faune de </w:t>
      </w:r>
      <w:proofErr w:type="spellStart"/>
      <w:r w:rsidRPr="007C5A6E">
        <w:rPr>
          <w:rFonts w:ascii="Times New Roman" w:hAnsi="Times New Roman"/>
          <w:sz w:val="24"/>
          <w:szCs w:val="24"/>
        </w:rPr>
        <w:t>Kourtiagou</w:t>
      </w:r>
      <w:proofErr w:type="spellEnd"/>
      <w:r w:rsidRPr="007C5A6E">
        <w:rPr>
          <w:rFonts w:ascii="Times New Roman" w:hAnsi="Times New Roman"/>
          <w:sz w:val="24"/>
          <w:szCs w:val="24"/>
        </w:rPr>
        <w:t>; la forêt classée et Réserve Partielle de Faune de la Comoé-Léraba) sont aujourd’hui occupées par des groupes terroristes (</w:t>
      </w:r>
      <w:r w:rsidRPr="007C5A6E">
        <w:rPr>
          <w:rFonts w:ascii="Times New Roman" w:hAnsi="Times New Roman"/>
          <w:bCs/>
          <w:sz w:val="24"/>
          <w:szCs w:val="24"/>
        </w:rPr>
        <w:t>Tubiana</w:t>
      </w:r>
      <w:r w:rsidRPr="007C5A6E">
        <w:rPr>
          <w:rFonts w:ascii="Times New Roman" w:hAnsi="Times New Roman"/>
          <w:bCs/>
          <w:i/>
          <w:iCs/>
          <w:sz w:val="24"/>
          <w:szCs w:val="24"/>
        </w:rPr>
        <w:t xml:space="preserve">, </w:t>
      </w:r>
      <w:r w:rsidRPr="007C5A6E">
        <w:rPr>
          <w:rFonts w:ascii="Times New Roman" w:hAnsi="Times New Roman"/>
          <w:sz w:val="24"/>
          <w:szCs w:val="24"/>
        </w:rPr>
        <w:t xml:space="preserve">2019). La situation </w:t>
      </w:r>
      <w:r w:rsidRPr="007C5A6E">
        <w:rPr>
          <w:rFonts w:ascii="Times New Roman" w:hAnsi="Times New Roman"/>
          <w:bCs/>
          <w:sz w:val="24"/>
          <w:szCs w:val="24"/>
        </w:rPr>
        <w:t>se traduit principalement par l’abandon partiel ou total de ces aires protégées, par les agents de protection</w:t>
      </w:r>
      <w:r w:rsidRPr="007C5A6E">
        <w:rPr>
          <w:rFonts w:ascii="Times New Roman" w:hAnsi="Times New Roman"/>
          <w:bCs/>
          <w:sz w:val="24"/>
          <w:szCs w:val="24"/>
          <w:vertAlign w:val="superscript"/>
        </w:rPr>
        <w:footnoteReference w:id="2"/>
      </w:r>
      <w:r w:rsidRPr="007C5A6E">
        <w:rPr>
          <w:rFonts w:ascii="Times New Roman" w:hAnsi="Times New Roman"/>
          <w:bCs/>
          <w:sz w:val="24"/>
          <w:szCs w:val="24"/>
        </w:rPr>
        <w:t>. Ils</w:t>
      </w:r>
      <w:r w:rsidRPr="007C5A6E">
        <w:rPr>
          <w:rFonts w:ascii="Times New Roman" w:hAnsi="Times New Roman"/>
          <w:sz w:val="24"/>
          <w:szCs w:val="24"/>
        </w:rPr>
        <w:t xml:space="preserve"> ne sont plus présents dans ces zones en raison des menaces et intimidations de tous genres qui pèsent sur eux notamment les risques d’atteinte à leur intégrité physique (enlèvements ou prise </w:t>
      </w:r>
      <w:proofErr w:type="gramStart"/>
      <w:r w:rsidRPr="007C5A6E">
        <w:rPr>
          <w:rFonts w:ascii="Times New Roman" w:hAnsi="Times New Roman"/>
          <w:sz w:val="24"/>
          <w:szCs w:val="24"/>
        </w:rPr>
        <w:t>d’otages;</w:t>
      </w:r>
      <w:proofErr w:type="gramEnd"/>
      <w:r w:rsidRPr="007C5A6E">
        <w:rPr>
          <w:rFonts w:ascii="Times New Roman" w:hAnsi="Times New Roman"/>
          <w:sz w:val="24"/>
          <w:szCs w:val="24"/>
        </w:rPr>
        <w:t xml:space="preserve"> assassinats). Cet état de fait qui amplifie la criminalité environnementale entraîne de </w:t>
      </w:r>
      <w:r w:rsidRPr="007C5A6E">
        <w:rPr>
          <w:rFonts w:ascii="Times New Roman" w:hAnsi="Times New Roman"/>
          <w:bCs/>
          <w:sz w:val="24"/>
          <w:szCs w:val="24"/>
        </w:rPr>
        <w:t>nombreuses conséquences dommageables sur les ressources.</w:t>
      </w:r>
      <w:r w:rsidRPr="007C5A6E">
        <w:rPr>
          <w:rFonts w:ascii="Times New Roman" w:hAnsi="Times New Roman"/>
          <w:sz w:val="24"/>
          <w:szCs w:val="24"/>
        </w:rPr>
        <w:t xml:space="preserve"> Par exemple, certains endroits de la région de l’Est sont devenus de nos jours, des sanctuaires des braconniers et narcotrafiquants. Cette partie du pays sert ainsi d’interface entre la zone sahélienne et les façades maritimes du Bénin, du Ghana et du Togo, pour le trafic des produits de braconnage (</w:t>
      </w:r>
      <w:r w:rsidRPr="007C5A6E">
        <w:rPr>
          <w:rFonts w:ascii="Cambria" w:hAnsi="Cambria" w:cs="Tahoma"/>
          <w:bCs/>
          <w:sz w:val="24"/>
          <w:szCs w:val="24"/>
        </w:rPr>
        <w:t>Bationo, 2021</w:t>
      </w:r>
      <w:r w:rsidRPr="007C5A6E">
        <w:rPr>
          <w:rFonts w:ascii="Times New Roman" w:hAnsi="Times New Roman"/>
          <w:sz w:val="24"/>
          <w:szCs w:val="24"/>
        </w:rPr>
        <w:t>). Le braconnage et les activités illicites alimentent le terrorisme en ressources de toute sorte. Pour gagner l’approbation des populations de la région (Est), les premières mesures instaurées par les groupes armés dans les villages ont consisté à ouvrir les zones de chasse et de pêche pour les habitants et à favoriser les activités informelles : orpaillage, braconnage ou trafic transfrontalier (</w:t>
      </w:r>
      <w:r w:rsidRPr="007C5A6E">
        <w:rPr>
          <w:rFonts w:ascii="Cambria" w:hAnsi="Cambria" w:cs="Tahoma"/>
          <w:bCs/>
          <w:sz w:val="24"/>
          <w:szCs w:val="24"/>
        </w:rPr>
        <w:t>Bationo, 2021</w:t>
      </w:r>
      <w:r w:rsidRPr="007C5A6E">
        <w:rPr>
          <w:rFonts w:ascii="Times New Roman" w:hAnsi="Times New Roman"/>
          <w:sz w:val="24"/>
          <w:szCs w:val="24"/>
        </w:rPr>
        <w:t xml:space="preserve">). </w:t>
      </w:r>
      <w:r w:rsidRPr="007C5A6E">
        <w:rPr>
          <w:rFonts w:ascii="Times New Roman" w:hAnsi="Times New Roman"/>
          <w:bCs/>
          <w:sz w:val="24"/>
          <w:szCs w:val="24"/>
        </w:rPr>
        <w:t>La présence humaine anarchique continue ou même ponctuelle dans les Aires Protégées, constitue un risque de dégradation de ces sites protégés (Exploitation illicite ; pollution et nuisances sonores, introduction d’espèces envahissantes ; etc.). De plus, les interventions armées (telles que les bombardements), pour déloger les groupes terroristes ne sont pas sans conséquence sur les ressources biologiques.</w:t>
      </w:r>
    </w:p>
    <w:p w14:paraId="428E964C" w14:textId="77777777" w:rsidR="0010438E" w:rsidRPr="007C5A6E" w:rsidRDefault="0010438E" w:rsidP="0010438E">
      <w:pPr>
        <w:spacing w:after="0" w:line="240" w:lineRule="auto"/>
        <w:jc w:val="both"/>
        <w:rPr>
          <w:rFonts w:ascii="Times New Roman" w:hAnsi="Times New Roman"/>
          <w:bCs/>
          <w:sz w:val="24"/>
          <w:szCs w:val="24"/>
        </w:rPr>
      </w:pPr>
    </w:p>
    <w:p w14:paraId="7328AC4F" w14:textId="77777777" w:rsidR="0010438E" w:rsidRPr="007C5A6E" w:rsidRDefault="0010438E" w:rsidP="0010438E">
      <w:pPr>
        <w:spacing w:after="0" w:line="240" w:lineRule="auto"/>
        <w:jc w:val="both"/>
        <w:rPr>
          <w:rFonts w:ascii="Times New Roman" w:hAnsi="Times New Roman"/>
          <w:sz w:val="24"/>
          <w:szCs w:val="24"/>
        </w:rPr>
      </w:pPr>
      <w:r w:rsidRPr="007C5A6E">
        <w:rPr>
          <w:rFonts w:ascii="Times New Roman" w:hAnsi="Times New Roman"/>
          <w:bCs/>
          <w:sz w:val="24"/>
          <w:szCs w:val="24"/>
        </w:rPr>
        <w:t xml:space="preserve">Le contexte socio-politique et sécuritaire a engendré le déplacement massif des populations. </w:t>
      </w:r>
      <w:r w:rsidRPr="007C5A6E">
        <w:rPr>
          <w:rFonts w:ascii="Times New Roman" w:hAnsi="Times New Roman"/>
          <w:sz w:val="24"/>
          <w:szCs w:val="24"/>
        </w:rPr>
        <w:t>Depuis 2019, le nombre des personnes déplacées internes (PDI) est en progression, et atteignait 2,06 millions en fin mars 2023 (Figure 2). A cela, il faut ajouter le phénomène migratoire traditionnel des populations des zones arides sahéliennes vers la zone soudanienne plus humide (13,4% de la population en 2019 sont des migrants). Ces déplacements massifs et non organisés des personnes dans les zones plus sécurisées constituent une réelle menace pour la diversité biologique et les ressources génétiques en ce sens qu’ils aggravent les pressions sur les ressources naturelles, à travers une dégradation des écosystèmes et un accroissement du risque de conflits entre utilisateurs des ressources dans les zones d’accueil. En particulier, le paysage national subit de plus un changement à cause de l'effet des pressions migratrices et des systèmes de production de grande envergure.</w:t>
      </w:r>
    </w:p>
    <w:p w14:paraId="7A675692" w14:textId="77777777" w:rsidR="0010438E" w:rsidRPr="007C5A6E" w:rsidRDefault="0010438E" w:rsidP="0010438E">
      <w:pPr>
        <w:spacing w:after="0" w:line="240" w:lineRule="auto"/>
      </w:pPr>
    </w:p>
    <w:p w14:paraId="52F57CED" w14:textId="3D6C4F79" w:rsidR="00AF5C7B" w:rsidRPr="007C5A6E" w:rsidRDefault="0010438E" w:rsidP="00FA6B50">
      <w:pPr>
        <w:spacing w:after="0" w:line="240" w:lineRule="auto"/>
        <w:rPr>
          <w:rFonts w:ascii="Times New Roman" w:hAnsi="Times New Roman"/>
          <w:sz w:val="20"/>
          <w:szCs w:val="20"/>
        </w:rPr>
      </w:pPr>
      <w:r w:rsidRPr="007C5A6E">
        <w:rPr>
          <w:noProof/>
          <w:bdr w:val="single" w:sz="4" w:space="0" w:color="auto"/>
        </w:rPr>
        <w:drawing>
          <wp:inline distT="0" distB="0" distL="0" distR="0" wp14:anchorId="1B12AE31" wp14:editId="484328D6">
            <wp:extent cx="5760720" cy="3740281"/>
            <wp:effectExtent l="0" t="0" r="0" b="0"/>
            <wp:docPr id="246684" name="Picture 246684"/>
            <wp:cNvGraphicFramePr/>
            <a:graphic xmlns:a="http://schemas.openxmlformats.org/drawingml/2006/main">
              <a:graphicData uri="http://schemas.openxmlformats.org/drawingml/2006/picture">
                <pic:pic xmlns:pic="http://schemas.openxmlformats.org/drawingml/2006/picture">
                  <pic:nvPicPr>
                    <pic:cNvPr id="246684" name="Picture 246684"/>
                    <pic:cNvPicPr/>
                  </pic:nvPicPr>
                  <pic:blipFill>
                    <a:blip r:embed="rId144" cstate="email">
                      <a:extLst>
                        <a:ext uri="{28A0092B-C50C-407E-A947-70E740481C1C}">
                          <a14:useLocalDpi xmlns:a14="http://schemas.microsoft.com/office/drawing/2010/main"/>
                        </a:ext>
                      </a:extLst>
                    </a:blip>
                    <a:stretch>
                      <a:fillRect/>
                    </a:stretch>
                  </pic:blipFill>
                  <pic:spPr>
                    <a:xfrm>
                      <a:off x="0" y="0"/>
                      <a:ext cx="5760720" cy="3740281"/>
                    </a:xfrm>
                    <a:prstGeom prst="rect">
                      <a:avLst/>
                    </a:prstGeom>
                  </pic:spPr>
                </pic:pic>
              </a:graphicData>
            </a:graphic>
          </wp:inline>
        </w:drawing>
      </w:r>
      <w:r w:rsidR="00AF5C7B" w:rsidRPr="007C5A6E">
        <w:rPr>
          <w:rFonts w:ascii="Times New Roman" w:hAnsi="Times New Roman"/>
          <w:sz w:val="20"/>
          <w:szCs w:val="20"/>
        </w:rPr>
        <w:t>(Source : OCHA, 2023)</w:t>
      </w:r>
    </w:p>
    <w:p w14:paraId="69711340" w14:textId="79C1670A" w:rsidR="0010438E" w:rsidRPr="007C5A6E" w:rsidRDefault="00AF5C7B" w:rsidP="00AF5C7B">
      <w:pPr>
        <w:pStyle w:val="Lgende"/>
        <w:spacing w:after="0"/>
        <w:rPr>
          <w:rFonts w:ascii="Times New Roman" w:hAnsi="Times New Roman"/>
          <w:color w:val="auto"/>
          <w:sz w:val="24"/>
          <w:szCs w:val="24"/>
        </w:rPr>
      </w:pPr>
      <w:bookmarkStart w:id="936" w:name="_Toc183230901"/>
      <w:bookmarkStart w:id="937" w:name="_Toc183240694"/>
      <w:bookmarkStart w:id="938" w:name="_Toc183340433"/>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54</w:t>
      </w:r>
      <w:r w:rsidRPr="007C5A6E">
        <w:rPr>
          <w:rFonts w:ascii="Times New Roman" w:hAnsi="Times New Roman"/>
          <w:color w:val="auto"/>
          <w:sz w:val="24"/>
          <w:szCs w:val="24"/>
        </w:rPr>
        <w:fldChar w:fldCharType="end"/>
      </w:r>
      <w:r w:rsidR="003E2FFC" w:rsidRPr="007C5A6E">
        <w:rPr>
          <w:rFonts w:ascii="Times New Roman" w:hAnsi="Times New Roman"/>
          <w:color w:val="auto"/>
          <w:sz w:val="24"/>
          <w:szCs w:val="24"/>
        </w:rPr>
        <w:t>.</w:t>
      </w:r>
      <w:r w:rsidR="0010438E" w:rsidRPr="007C5A6E">
        <w:rPr>
          <w:rFonts w:ascii="Times New Roman" w:hAnsi="Times New Roman"/>
          <w:color w:val="auto"/>
          <w:sz w:val="24"/>
          <w:szCs w:val="24"/>
        </w:rPr>
        <w:t xml:space="preserve"> </w:t>
      </w:r>
      <w:r w:rsidR="003E2FFC" w:rsidRPr="007C5A6E">
        <w:rPr>
          <w:rFonts w:ascii="Times New Roman" w:hAnsi="Times New Roman"/>
          <w:color w:val="auto"/>
          <w:sz w:val="24"/>
          <w:szCs w:val="24"/>
        </w:rPr>
        <w:t>S</w:t>
      </w:r>
      <w:r w:rsidR="0010438E" w:rsidRPr="007C5A6E">
        <w:rPr>
          <w:rFonts w:ascii="Times New Roman" w:hAnsi="Times New Roman"/>
          <w:color w:val="auto"/>
          <w:sz w:val="24"/>
          <w:szCs w:val="24"/>
        </w:rPr>
        <w:t>ituation des personnes déplacées internes au 31 mars 2023</w:t>
      </w:r>
      <w:bookmarkEnd w:id="936"/>
      <w:bookmarkEnd w:id="937"/>
      <w:bookmarkEnd w:id="938"/>
      <w:r w:rsidR="0010438E" w:rsidRPr="007C5A6E">
        <w:rPr>
          <w:rFonts w:ascii="Times New Roman" w:hAnsi="Times New Roman"/>
          <w:color w:val="auto"/>
          <w:sz w:val="24"/>
          <w:szCs w:val="24"/>
        </w:rPr>
        <w:t xml:space="preserve"> </w:t>
      </w:r>
    </w:p>
    <w:p w14:paraId="3CF98BEB" w14:textId="77777777" w:rsidR="0010438E" w:rsidRPr="007C5A6E" w:rsidRDefault="0010438E" w:rsidP="0010438E">
      <w:pPr>
        <w:spacing w:after="0" w:line="240" w:lineRule="auto"/>
        <w:jc w:val="both"/>
        <w:rPr>
          <w:rFonts w:ascii="Times New Roman" w:hAnsi="Times New Roman"/>
          <w:sz w:val="24"/>
          <w:szCs w:val="24"/>
        </w:rPr>
      </w:pPr>
    </w:p>
    <w:p w14:paraId="4C799142" w14:textId="77777777" w:rsidR="0010438E" w:rsidRPr="007C5A6E" w:rsidRDefault="0010438E" w:rsidP="00684FF8">
      <w:pPr>
        <w:pStyle w:val="Titre4"/>
      </w:pPr>
      <w:bookmarkStart w:id="939" w:name="_Toc182575430"/>
      <w:bookmarkStart w:id="940" w:name="_Toc183340210"/>
      <w:r w:rsidRPr="007C5A6E">
        <w:t>La péjoration climatique</w:t>
      </w:r>
      <w:bookmarkEnd w:id="939"/>
      <w:bookmarkEnd w:id="940"/>
    </w:p>
    <w:p w14:paraId="6EC6777A" w14:textId="77777777" w:rsidR="0010438E" w:rsidRPr="007C5A6E" w:rsidRDefault="0010438E" w:rsidP="0010438E">
      <w:pPr>
        <w:spacing w:after="0" w:line="240" w:lineRule="auto"/>
        <w:jc w:val="both"/>
        <w:rPr>
          <w:rFonts w:ascii="Times New Roman" w:hAnsi="Times New Roman"/>
          <w:sz w:val="24"/>
          <w:szCs w:val="24"/>
        </w:rPr>
      </w:pPr>
    </w:p>
    <w:p w14:paraId="4EE26FBE" w14:textId="77777777" w:rsidR="0010438E" w:rsidRPr="007C5A6E" w:rsidRDefault="0010438E" w:rsidP="0010438E">
      <w:pPr>
        <w:spacing w:after="0" w:line="240" w:lineRule="auto"/>
        <w:jc w:val="both"/>
        <w:rPr>
          <w:rFonts w:ascii="Times New Roman" w:hAnsi="Times New Roman"/>
          <w:sz w:val="24"/>
          <w:szCs w:val="24"/>
        </w:rPr>
      </w:pPr>
      <w:r w:rsidRPr="007C5A6E">
        <w:rPr>
          <w:rFonts w:ascii="Times New Roman" w:hAnsi="Times New Roman"/>
          <w:sz w:val="24"/>
          <w:szCs w:val="24"/>
        </w:rPr>
        <w:t>La conjonction de la variabilité pluviométrique et du changement climatique constitue l’une des principales causes de la dégradation des écosystèmes, de leurs services et de leurs composantes biologiques au Burkina Faso, particulièrement les systèmes de production végétale et les systèmes d’élevage qui sont sévèrement affectés par les sécheresses. Les effets du climat amplifient ceux des actions anthropiques sur les ressources (MEEVCC, 2020). A titre illustratif, les résultats du suivi écologique de l’arboretum du CNRST, ont montré d’une part, la régression de certaines espèces telles que </w:t>
      </w:r>
      <w:proofErr w:type="spellStart"/>
      <w:r w:rsidRPr="007C5A6E">
        <w:rPr>
          <w:rFonts w:ascii="Times New Roman" w:hAnsi="Times New Roman"/>
          <w:i/>
          <w:iCs/>
          <w:sz w:val="24"/>
          <w:szCs w:val="24"/>
        </w:rPr>
        <w:t>Terminalia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avicennioides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Guiera</w:t>
      </w:r>
      <w:proofErr w:type="spellEnd"/>
      <w:r w:rsidRPr="007C5A6E">
        <w:rPr>
          <w:rFonts w:ascii="Times New Roman" w:hAnsi="Times New Roman"/>
          <w:i/>
          <w:iCs/>
          <w:sz w:val="24"/>
          <w:szCs w:val="24"/>
        </w:rPr>
        <w:t xml:space="preserve"> senegalensis, </w:t>
      </w:r>
      <w:proofErr w:type="spellStart"/>
      <w:r w:rsidRPr="007C5A6E">
        <w:rPr>
          <w:rFonts w:ascii="Times New Roman" w:hAnsi="Times New Roman"/>
          <w:i/>
          <w:iCs/>
          <w:sz w:val="24"/>
          <w:szCs w:val="24"/>
        </w:rPr>
        <w:t>Combretum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glutinosum</w:t>
      </w:r>
      <w:proofErr w:type="spellEnd"/>
      <w:r w:rsidRPr="007C5A6E">
        <w:rPr>
          <w:rFonts w:ascii="Times New Roman" w:hAnsi="Times New Roman"/>
          <w:i/>
          <w:iCs/>
          <w:sz w:val="24"/>
          <w:szCs w:val="24"/>
        </w:rPr>
        <w:t>, Ximenia americana</w:t>
      </w:r>
      <w:r w:rsidRPr="007C5A6E">
        <w:rPr>
          <w:rFonts w:ascii="Times New Roman" w:hAnsi="Times New Roman"/>
          <w:sz w:val="24"/>
          <w:szCs w:val="24"/>
        </w:rPr>
        <w:t xml:space="preserve"> et </w:t>
      </w:r>
      <w:proofErr w:type="spellStart"/>
      <w:r w:rsidRPr="007C5A6E">
        <w:rPr>
          <w:rFonts w:ascii="Times New Roman" w:hAnsi="Times New Roman"/>
          <w:i/>
          <w:iCs/>
          <w:sz w:val="24"/>
          <w:szCs w:val="24"/>
        </w:rPr>
        <w:t>Boscia</w:t>
      </w:r>
      <w:proofErr w:type="spellEnd"/>
      <w:r w:rsidRPr="007C5A6E">
        <w:rPr>
          <w:rFonts w:ascii="Times New Roman" w:hAnsi="Times New Roman"/>
          <w:i/>
          <w:iCs/>
          <w:sz w:val="24"/>
          <w:szCs w:val="24"/>
        </w:rPr>
        <w:t xml:space="preserve"> senegalensis</w:t>
      </w:r>
      <w:r w:rsidRPr="007C5A6E">
        <w:rPr>
          <w:rFonts w:ascii="Times New Roman" w:hAnsi="Times New Roman"/>
          <w:sz w:val="24"/>
          <w:szCs w:val="24"/>
        </w:rPr>
        <w:t xml:space="preserve"> ; et d’autre part, l’envahissement du milieu par </w:t>
      </w:r>
      <w:proofErr w:type="spellStart"/>
      <w:r w:rsidRPr="007C5A6E">
        <w:rPr>
          <w:rFonts w:ascii="Times New Roman" w:hAnsi="Times New Roman"/>
          <w:i/>
          <w:iCs/>
          <w:sz w:val="24"/>
          <w:szCs w:val="24"/>
        </w:rPr>
        <w:t>Grewia</w:t>
      </w:r>
      <w:proofErr w:type="spellEnd"/>
      <w:r w:rsidRPr="007C5A6E">
        <w:rPr>
          <w:rFonts w:ascii="Times New Roman" w:hAnsi="Times New Roman"/>
          <w:i/>
          <w:iCs/>
          <w:sz w:val="24"/>
          <w:szCs w:val="24"/>
        </w:rPr>
        <w:t xml:space="preserve"> bicolor</w:t>
      </w:r>
      <w:r w:rsidRPr="007C5A6E">
        <w:rPr>
          <w:rFonts w:ascii="Times New Roman" w:hAnsi="Times New Roman"/>
          <w:sz w:val="24"/>
          <w:szCs w:val="24"/>
        </w:rPr>
        <w:t xml:space="preserve"> et </w:t>
      </w:r>
      <w:r w:rsidRPr="007C5A6E">
        <w:rPr>
          <w:rFonts w:ascii="Times New Roman" w:hAnsi="Times New Roman"/>
          <w:i/>
          <w:iCs/>
          <w:sz w:val="24"/>
          <w:szCs w:val="24"/>
        </w:rPr>
        <w:t xml:space="preserve">Azadirachta </w:t>
      </w:r>
      <w:proofErr w:type="spellStart"/>
      <w:r w:rsidRPr="007C5A6E">
        <w:rPr>
          <w:rFonts w:ascii="Times New Roman" w:hAnsi="Times New Roman"/>
          <w:i/>
          <w:iCs/>
          <w:sz w:val="24"/>
          <w:szCs w:val="24"/>
        </w:rPr>
        <w:t>indica</w:t>
      </w:r>
      <w:proofErr w:type="spellEnd"/>
      <w:r w:rsidRPr="007C5A6E">
        <w:rPr>
          <w:rFonts w:ascii="Times New Roman" w:hAnsi="Times New Roman"/>
          <w:sz w:val="24"/>
          <w:szCs w:val="24"/>
        </w:rPr>
        <w:t xml:space="preserve">. Les effets du climat, combinés aux effets anthropiques, induisent des transformations écologiques de l’arboretum vers un écosystème aride (MEEVCC, 2020). </w:t>
      </w:r>
    </w:p>
    <w:p w14:paraId="07276BD3" w14:textId="5BF53B85" w:rsidR="0010438E" w:rsidRPr="007C5A6E" w:rsidRDefault="0010438E" w:rsidP="0010438E">
      <w:pPr>
        <w:spacing w:after="0" w:line="240" w:lineRule="auto"/>
        <w:jc w:val="both"/>
        <w:rPr>
          <w:rFonts w:ascii="Times New Roman" w:hAnsi="Times New Roman"/>
          <w:sz w:val="24"/>
          <w:szCs w:val="24"/>
        </w:rPr>
      </w:pPr>
      <w:r w:rsidRPr="007C5A6E">
        <w:rPr>
          <w:rFonts w:ascii="Times New Roman" w:hAnsi="Times New Roman"/>
          <w:sz w:val="24"/>
          <w:szCs w:val="24"/>
        </w:rPr>
        <w:t xml:space="preserve">Au Burkina Faso, les effets du changement climatique sont particulièrement visibles sur les ressources agricoles. Ils conduisent les agriculteurs à adopter des variétés et des espèces de plantes adaptées au détriment des espèces locales (MEEVCC, 2020). </w:t>
      </w:r>
    </w:p>
    <w:p w14:paraId="0E603195" w14:textId="77777777" w:rsidR="0010438E" w:rsidRPr="007C5A6E" w:rsidRDefault="0010438E" w:rsidP="0010438E">
      <w:pPr>
        <w:spacing w:after="0" w:line="240" w:lineRule="auto"/>
        <w:jc w:val="both"/>
        <w:rPr>
          <w:rFonts w:ascii="Times New Roman" w:hAnsi="Times New Roman"/>
          <w:sz w:val="24"/>
          <w:szCs w:val="24"/>
        </w:rPr>
      </w:pPr>
    </w:p>
    <w:p w14:paraId="519529A1" w14:textId="65E9EDD8" w:rsidR="00AF5C7B" w:rsidRPr="007C5A6E" w:rsidRDefault="0010438E" w:rsidP="0010438E">
      <w:pPr>
        <w:spacing w:after="0" w:line="240" w:lineRule="auto"/>
        <w:jc w:val="both"/>
        <w:rPr>
          <w:rFonts w:ascii="Times New Roman" w:hAnsi="Times New Roman"/>
          <w:sz w:val="24"/>
          <w:szCs w:val="24"/>
        </w:rPr>
      </w:pPr>
      <w:r w:rsidRPr="007C5A6E">
        <w:rPr>
          <w:rFonts w:ascii="Times New Roman" w:hAnsi="Times New Roman"/>
          <w:sz w:val="24"/>
          <w:szCs w:val="24"/>
        </w:rPr>
        <w:t>Au niveau de l’occupation ou utilisation des terres, les effets climatiques entrainent des changements d’affectation des terres. Entre 2000 et 2022, la dégradation des forêts a affecté 71 937,07 ha de terres au Burkina Faso dont principalement des forêts galeries (1571,38 ha) et des forêts claires (4 688,84 ha) qui ont été dégradées en savane arborée, et des savanes arborées (65 676,84 ha) qui ont été dégradées en savanes arbustives (SP/REDD+, 2023). Ce type de dégradation implique une réduction de la densité et de la diversité des arbres, ainsi qu'une modification du microclimat et du cycle hydrologique. Elle est en adéquation avec la description faite de la variabilité climatique. En particulier, au regard des rapports du Groupe d’experts intergouvernemental sur l’évolution du climat (GIEC), il apparait que le réchauffement de la terre s’est accéléré au cours des 30 dernières années (UNFCCC, 2021)</w:t>
      </w:r>
      <w:r w:rsidR="00AF5C7B" w:rsidRPr="007C5A6E">
        <w:rPr>
          <w:rFonts w:ascii="Times New Roman" w:hAnsi="Times New Roman"/>
          <w:sz w:val="24"/>
          <w:szCs w:val="24"/>
        </w:rPr>
        <w:t> ; ce qui est confirmé au Burkina Faso par les tendances climatiques des 32 dernières années (cf. chapitre 2.1 ci-dessus)</w:t>
      </w:r>
      <w:r w:rsidRPr="007C5A6E">
        <w:rPr>
          <w:rFonts w:ascii="Times New Roman" w:hAnsi="Times New Roman"/>
          <w:sz w:val="24"/>
          <w:szCs w:val="24"/>
        </w:rPr>
        <w:t xml:space="preserve"> </w:t>
      </w:r>
    </w:p>
    <w:p w14:paraId="202129B8" w14:textId="77777777" w:rsidR="00A340F1" w:rsidRPr="007C5A6E" w:rsidRDefault="00A340F1" w:rsidP="00F57A5C">
      <w:pPr>
        <w:spacing w:after="0" w:line="240" w:lineRule="auto"/>
        <w:rPr>
          <w:rFonts w:ascii="Times New Roman" w:hAnsi="Times New Roman"/>
          <w:sz w:val="24"/>
          <w:szCs w:val="24"/>
        </w:rPr>
      </w:pPr>
    </w:p>
    <w:p w14:paraId="41CA738B" w14:textId="77777777" w:rsidR="00CB4C35" w:rsidRPr="007C5A6E" w:rsidRDefault="00CB4C35" w:rsidP="00CB4C35">
      <w:pPr>
        <w:pStyle w:val="Titre3"/>
      </w:pPr>
      <w:bookmarkStart w:id="941" w:name="_Toc182575431"/>
      <w:bookmarkStart w:id="942" w:name="_Toc183340211"/>
      <w:r w:rsidRPr="007C5A6E">
        <w:t>Les pressions sur les ressources forestières</w:t>
      </w:r>
      <w:bookmarkEnd w:id="941"/>
      <w:bookmarkEnd w:id="942"/>
    </w:p>
    <w:p w14:paraId="0EBF70C5" w14:textId="77777777" w:rsidR="00CB4C35" w:rsidRPr="007C5A6E" w:rsidRDefault="00CB4C35" w:rsidP="00CB4C35">
      <w:pPr>
        <w:spacing w:after="0" w:line="240" w:lineRule="auto"/>
        <w:jc w:val="both"/>
        <w:rPr>
          <w:rFonts w:ascii="Times New Roman" w:hAnsi="Times New Roman"/>
          <w:sz w:val="24"/>
          <w:szCs w:val="24"/>
        </w:rPr>
      </w:pPr>
    </w:p>
    <w:p w14:paraId="6155DDCD" w14:textId="77777777" w:rsidR="00CB4C35" w:rsidRPr="007C5A6E" w:rsidRDefault="00CB4C35" w:rsidP="00684FF8">
      <w:pPr>
        <w:pStyle w:val="Titre4"/>
      </w:pPr>
      <w:bookmarkStart w:id="943" w:name="_Toc182575432"/>
      <w:bookmarkStart w:id="944" w:name="_Toc183340212"/>
      <w:bookmarkStart w:id="945" w:name="_Hlk175900275"/>
      <w:r w:rsidRPr="007C5A6E">
        <w:t>Les défrichements</w:t>
      </w:r>
      <w:bookmarkEnd w:id="943"/>
      <w:bookmarkEnd w:id="944"/>
    </w:p>
    <w:bookmarkEnd w:id="945"/>
    <w:p w14:paraId="362AF011" w14:textId="77777777" w:rsidR="00CB4C35" w:rsidRPr="007C5A6E" w:rsidRDefault="00CB4C35" w:rsidP="00CB4C35">
      <w:pPr>
        <w:spacing w:after="0" w:line="240" w:lineRule="auto"/>
        <w:jc w:val="both"/>
        <w:rPr>
          <w:rFonts w:ascii="Times New Roman" w:hAnsi="Times New Roman"/>
          <w:sz w:val="24"/>
          <w:szCs w:val="24"/>
        </w:rPr>
      </w:pPr>
    </w:p>
    <w:p w14:paraId="44B9B4FE" w14:textId="77777777"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Au Burkina Faso, la dynamique des peuplements forestiers est influencée par les types d’utilisation des terres. Les effets combinés du climat et des pressions socio-démographiques, notamment la demande d’espace agricole croissante ainsi que la demande énergétique, accélèrent la déforestation et l’érosion de la biodiversité (</w:t>
      </w:r>
      <w:hyperlink r:id="rId145" w:anchor="bib24" w:history="1">
        <w:r w:rsidRPr="007C5A6E">
          <w:rPr>
            <w:rFonts w:ascii="Times New Roman" w:hAnsi="Times New Roman"/>
            <w:sz w:val="24"/>
            <w:szCs w:val="24"/>
          </w:rPr>
          <w:t>Coulibaly et al., 2021</w:t>
        </w:r>
      </w:hyperlink>
      <w:r w:rsidRPr="007C5A6E">
        <w:rPr>
          <w:rFonts w:ascii="Times New Roman" w:hAnsi="Times New Roman"/>
          <w:sz w:val="24"/>
          <w:szCs w:val="24"/>
        </w:rPr>
        <w:t>). En plus, le développement des exploitations agricoles de type agro-business qui s’étendent sur de vaste espaces (pouvant atteindre plusieurs centaines d’ha) induit des pertes de végétation en raison des défriches à blanc (</w:t>
      </w:r>
      <w:bookmarkStart w:id="946" w:name="_Hlk176618031"/>
      <w:bookmarkStart w:id="947" w:name="_Hlk182476867"/>
      <w:r w:rsidRPr="007C5A6E">
        <w:rPr>
          <w:rFonts w:ascii="Times New Roman" w:hAnsi="Times New Roman"/>
          <w:sz w:val="24"/>
          <w:szCs w:val="24"/>
        </w:rPr>
        <w:t>MEDD</w:t>
      </w:r>
      <w:bookmarkEnd w:id="946"/>
      <w:r w:rsidRPr="007C5A6E">
        <w:rPr>
          <w:rFonts w:ascii="Times New Roman" w:hAnsi="Times New Roman"/>
          <w:sz w:val="24"/>
          <w:szCs w:val="24"/>
        </w:rPr>
        <w:t>, 2012</w:t>
      </w:r>
      <w:bookmarkEnd w:id="947"/>
      <w:r w:rsidRPr="007C5A6E">
        <w:rPr>
          <w:rFonts w:ascii="Times New Roman" w:hAnsi="Times New Roman"/>
          <w:sz w:val="24"/>
          <w:szCs w:val="24"/>
        </w:rPr>
        <w:t xml:space="preserve">). </w:t>
      </w:r>
    </w:p>
    <w:p w14:paraId="569DD8BE" w14:textId="77777777" w:rsidR="00CB4C35" w:rsidRPr="007C5A6E" w:rsidRDefault="00CB4C35" w:rsidP="00CB4C35">
      <w:pPr>
        <w:spacing w:after="0" w:line="240" w:lineRule="auto"/>
        <w:jc w:val="both"/>
        <w:rPr>
          <w:rFonts w:ascii="Times New Roman" w:hAnsi="Times New Roman"/>
          <w:sz w:val="24"/>
          <w:szCs w:val="24"/>
        </w:rPr>
      </w:pPr>
    </w:p>
    <w:p w14:paraId="43239D08" w14:textId="01067367"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 xml:space="preserve">Aujourd’hui, l'occupation des terres au Burkina Faso se caractérise par la prédominance des terres cultivées, qui couvrent 16 836 155,49 ha, soit 61,58% de la superficie totale du pays. Les terres forestières occupent le deuxième rang avec 7 211 447,84 ha, soit 26,38% du territoire national. Les prairies représentent 2 551 638,34 ha, soit 9,33% de la surface totale (figure 55). </w:t>
      </w:r>
      <w:bookmarkStart w:id="948" w:name="_Hlk175900149"/>
      <w:r w:rsidRPr="007C5A6E">
        <w:rPr>
          <w:rFonts w:ascii="Times New Roman" w:hAnsi="Times New Roman"/>
          <w:sz w:val="24"/>
          <w:szCs w:val="24"/>
        </w:rPr>
        <w:t xml:space="preserve">Selon une étude réalisée par le SP-REED+ en 2022, la superficie des terres forestières était estimée à 9 653 379,79 ha en 2000. En considérant donc cette situation de référence, le pays a perdu plus de 11% de sa couverture forestière, soit environ 1,1 million hectares avec un taux de déforestation moyen annuel estimé à 1,15% soit 110 996,91 ha en 22 ans (SP/REED+, 2023). </w:t>
      </w:r>
    </w:p>
    <w:p w14:paraId="7C314521" w14:textId="77777777" w:rsidR="00CB4C35" w:rsidRPr="007C5A6E" w:rsidRDefault="00CB4C35" w:rsidP="00CB4C35">
      <w:pPr>
        <w:spacing w:after="0" w:line="240" w:lineRule="auto"/>
        <w:jc w:val="both"/>
        <w:rPr>
          <w:rFonts w:ascii="Times New Roman" w:hAnsi="Times New Roman"/>
          <w:sz w:val="24"/>
          <w:szCs w:val="24"/>
        </w:rPr>
      </w:pPr>
    </w:p>
    <w:p w14:paraId="284899EA" w14:textId="680B90DC"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Le pays a ainsi enregistré une perte de superficie en forêts au profit d’autres unités d’occupation des terres (principalement des arbustes, prairies etc.), avec toutefois, une augmentation annuelle nette des terres cultivées estimée à 117 655,53 ha. Pour la dernière décennie (REEB4 – REEB5), cette augmentation a été d’environ 7% (SP/REDD+, 2023).</w:t>
      </w:r>
      <w:bookmarkEnd w:id="948"/>
      <w:r w:rsidRPr="007C5A6E">
        <w:rPr>
          <w:rFonts w:ascii="Times New Roman" w:hAnsi="Times New Roman"/>
          <w:sz w:val="24"/>
          <w:szCs w:val="24"/>
        </w:rPr>
        <w:t xml:space="preserve"> Les régions à forte potentialité forestière subissent les plus lourdes pertes de superficies (figure 56). </w:t>
      </w:r>
    </w:p>
    <w:p w14:paraId="04456267" w14:textId="77777777" w:rsidR="00CB4C35" w:rsidRPr="007C5A6E" w:rsidRDefault="00CB4C35" w:rsidP="00CB4C35">
      <w:pPr>
        <w:spacing w:after="0" w:line="240" w:lineRule="auto"/>
        <w:jc w:val="both"/>
        <w:rPr>
          <w:rFonts w:ascii="Times New Roman" w:hAnsi="Times New Roman"/>
          <w:sz w:val="24"/>
          <w:szCs w:val="24"/>
        </w:rPr>
      </w:pPr>
    </w:p>
    <w:p w14:paraId="5A064CED" w14:textId="4971803A"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En plus de l’agriculture, il convient de relever les autres causes de défrichement telles l’exploitation du bois (bois de feu, bois de service et bois d’œuvre), la création de retenues d’eau et l’exploitation minières. Les prélèvements annuels de bois surtout en bois-énergie, estimés à 6,8 millions de tonnes de bois en 2019, continuent de croitre</w:t>
      </w:r>
      <w:r w:rsidRPr="007C5A6E">
        <w:rPr>
          <w:rFonts w:ascii="Times New Roman" w:hAnsi="Times New Roman"/>
          <w:sz w:val="24"/>
          <w:szCs w:val="24"/>
          <w:vertAlign w:val="superscript"/>
        </w:rPr>
        <w:footnoteReference w:id="3"/>
      </w:r>
      <w:r w:rsidRPr="007C5A6E">
        <w:rPr>
          <w:rFonts w:ascii="Times New Roman" w:hAnsi="Times New Roman"/>
          <w:sz w:val="24"/>
          <w:szCs w:val="24"/>
        </w:rPr>
        <w:t>, dépassant aujourd’hui largement les quotas annuels supportables par la ressource dans différentes zones phytogéographiques du pays (</w:t>
      </w:r>
      <w:bookmarkStart w:id="949" w:name="_Hlk182477054"/>
      <w:r w:rsidRPr="007C5A6E">
        <w:rPr>
          <w:rFonts w:ascii="Times New Roman" w:hAnsi="Times New Roman"/>
          <w:sz w:val="24"/>
          <w:szCs w:val="24"/>
        </w:rPr>
        <w:t>MEEVCC, 2020 ; DGESS/MEEA, 2023</w:t>
      </w:r>
      <w:bookmarkEnd w:id="949"/>
      <w:r w:rsidRPr="007C5A6E">
        <w:rPr>
          <w:rFonts w:ascii="Times New Roman" w:hAnsi="Times New Roman"/>
          <w:sz w:val="24"/>
          <w:szCs w:val="24"/>
        </w:rPr>
        <w:t>)</w:t>
      </w:r>
    </w:p>
    <w:p w14:paraId="74DCCC53" w14:textId="77777777"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7B02CDF6" wp14:editId="28B9A9D0">
            <wp:extent cx="5682615" cy="3573145"/>
            <wp:effectExtent l="0" t="0" r="0" b="8255"/>
            <wp:docPr id="1732697716"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82615" cy="3573145"/>
                    </a:xfrm>
                    <a:prstGeom prst="rect">
                      <a:avLst/>
                    </a:prstGeom>
                    <a:noFill/>
                    <a:ln>
                      <a:noFill/>
                    </a:ln>
                  </pic:spPr>
                </pic:pic>
              </a:graphicData>
            </a:graphic>
          </wp:inline>
        </w:drawing>
      </w:r>
    </w:p>
    <w:p w14:paraId="47D7165C" w14:textId="77777777" w:rsidR="00CB4C35" w:rsidRPr="007C5A6E" w:rsidRDefault="00CB4C35" w:rsidP="00CB4C35">
      <w:pPr>
        <w:spacing w:after="0" w:line="240" w:lineRule="auto"/>
        <w:rPr>
          <w:rFonts w:ascii="Times New Roman" w:hAnsi="Times New Roman"/>
          <w:sz w:val="20"/>
          <w:szCs w:val="20"/>
        </w:rPr>
      </w:pPr>
      <w:bookmarkStart w:id="950" w:name="_Toc164841298"/>
      <w:bookmarkStart w:id="951" w:name="_Toc182575470"/>
      <w:bookmarkStart w:id="952" w:name="_Toc176507970"/>
      <w:r w:rsidRPr="007C5A6E">
        <w:rPr>
          <w:rFonts w:ascii="Times New Roman" w:hAnsi="Times New Roman"/>
          <w:sz w:val="20"/>
          <w:szCs w:val="20"/>
        </w:rPr>
        <w:t>(Source : SP/REED+, 2023)</w:t>
      </w:r>
    </w:p>
    <w:p w14:paraId="55979439" w14:textId="2A61900A" w:rsidR="00CB4C35" w:rsidRPr="007C5A6E" w:rsidRDefault="00CB4C35" w:rsidP="00CB4C35">
      <w:pPr>
        <w:pStyle w:val="Lgende"/>
        <w:spacing w:after="0"/>
        <w:rPr>
          <w:rFonts w:ascii="Times New Roman" w:hAnsi="Times New Roman"/>
          <w:color w:val="auto"/>
          <w:sz w:val="24"/>
          <w:szCs w:val="24"/>
        </w:rPr>
      </w:pPr>
      <w:bookmarkStart w:id="953" w:name="_Toc183230902"/>
      <w:bookmarkStart w:id="954" w:name="_Toc183240695"/>
      <w:bookmarkStart w:id="955" w:name="_Toc183340434"/>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55</w:t>
      </w:r>
      <w:r w:rsidRPr="007C5A6E">
        <w:rPr>
          <w:rFonts w:ascii="Times New Roman" w:hAnsi="Times New Roman"/>
          <w:color w:val="auto"/>
          <w:sz w:val="24"/>
          <w:szCs w:val="24"/>
        </w:rPr>
        <w:fldChar w:fldCharType="end"/>
      </w:r>
      <w:r w:rsidR="001E1106" w:rsidRPr="007C5A6E">
        <w:rPr>
          <w:rFonts w:ascii="Times New Roman" w:hAnsi="Times New Roman"/>
          <w:color w:val="auto"/>
          <w:sz w:val="24"/>
          <w:szCs w:val="24"/>
        </w:rPr>
        <w:t>.</w:t>
      </w:r>
      <w:r w:rsidRPr="007C5A6E">
        <w:rPr>
          <w:rFonts w:ascii="Times New Roman" w:hAnsi="Times New Roman"/>
          <w:color w:val="auto"/>
          <w:sz w:val="24"/>
          <w:szCs w:val="24"/>
        </w:rPr>
        <w:t xml:space="preserve"> Utilisation des terres en 2000 et 2022</w:t>
      </w:r>
      <w:bookmarkEnd w:id="950"/>
      <w:bookmarkEnd w:id="951"/>
      <w:bookmarkEnd w:id="953"/>
      <w:bookmarkEnd w:id="954"/>
      <w:bookmarkEnd w:id="955"/>
      <w:r w:rsidRPr="007C5A6E">
        <w:rPr>
          <w:rFonts w:ascii="Times New Roman" w:hAnsi="Times New Roman"/>
          <w:color w:val="auto"/>
          <w:sz w:val="24"/>
          <w:szCs w:val="24"/>
        </w:rPr>
        <w:t xml:space="preserve"> </w:t>
      </w:r>
    </w:p>
    <w:bookmarkEnd w:id="952"/>
    <w:p w14:paraId="26375DD8" w14:textId="77777777" w:rsidR="00CB4C35" w:rsidRPr="007C5A6E" w:rsidRDefault="00CB4C35" w:rsidP="00CB4C35">
      <w:pPr>
        <w:spacing w:after="0" w:line="240" w:lineRule="auto"/>
        <w:jc w:val="both"/>
        <w:rPr>
          <w:rFonts w:ascii="Times New Roman" w:hAnsi="Times New Roman"/>
          <w:sz w:val="24"/>
          <w:szCs w:val="24"/>
        </w:rPr>
      </w:pPr>
    </w:p>
    <w:p w14:paraId="3517F6AB" w14:textId="77777777"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7A3B6BFF" wp14:editId="54AB0893">
            <wp:extent cx="5760720" cy="3231515"/>
            <wp:effectExtent l="0" t="0" r="0" b="6985"/>
            <wp:docPr id="2065155420"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60720" cy="3231515"/>
                    </a:xfrm>
                    <a:prstGeom prst="rect">
                      <a:avLst/>
                    </a:prstGeom>
                    <a:noFill/>
                    <a:ln>
                      <a:noFill/>
                    </a:ln>
                  </pic:spPr>
                </pic:pic>
              </a:graphicData>
            </a:graphic>
          </wp:inline>
        </w:drawing>
      </w:r>
    </w:p>
    <w:p w14:paraId="4D4E0594" w14:textId="77777777" w:rsidR="00CB4C35" w:rsidRPr="007C5A6E" w:rsidRDefault="00CB4C35" w:rsidP="00CB4C35">
      <w:pPr>
        <w:spacing w:after="0" w:line="240" w:lineRule="auto"/>
        <w:rPr>
          <w:rFonts w:ascii="Times New Roman" w:hAnsi="Times New Roman"/>
          <w:sz w:val="20"/>
          <w:szCs w:val="20"/>
        </w:rPr>
      </w:pPr>
      <w:bookmarkStart w:id="956" w:name="_Toc164841299"/>
      <w:bookmarkStart w:id="957" w:name="_Toc182575471"/>
      <w:bookmarkStart w:id="958" w:name="_Toc176507971"/>
      <w:r w:rsidRPr="007C5A6E">
        <w:rPr>
          <w:rFonts w:ascii="Times New Roman" w:hAnsi="Times New Roman"/>
          <w:sz w:val="20"/>
          <w:szCs w:val="20"/>
        </w:rPr>
        <w:t>(Source : SP/REED+, 2023)</w:t>
      </w:r>
    </w:p>
    <w:p w14:paraId="735ED7BC" w14:textId="4E97D714" w:rsidR="00CB4C35" w:rsidRPr="007C5A6E" w:rsidRDefault="00CB4C35" w:rsidP="00CB4C35">
      <w:pPr>
        <w:pStyle w:val="Lgende"/>
        <w:spacing w:after="0"/>
        <w:rPr>
          <w:rFonts w:ascii="Times New Roman" w:hAnsi="Times New Roman"/>
          <w:color w:val="auto"/>
          <w:sz w:val="24"/>
          <w:szCs w:val="24"/>
        </w:rPr>
      </w:pPr>
      <w:bookmarkStart w:id="959" w:name="_Toc183230903"/>
      <w:bookmarkStart w:id="960" w:name="_Toc183240696"/>
      <w:bookmarkStart w:id="961" w:name="_Toc183340435"/>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56</w:t>
      </w:r>
      <w:r w:rsidRPr="007C5A6E">
        <w:rPr>
          <w:rFonts w:ascii="Times New Roman" w:hAnsi="Times New Roman"/>
          <w:color w:val="auto"/>
          <w:sz w:val="24"/>
          <w:szCs w:val="24"/>
        </w:rPr>
        <w:fldChar w:fldCharType="end"/>
      </w:r>
      <w:r w:rsidR="001E1106" w:rsidRPr="007C5A6E">
        <w:rPr>
          <w:rFonts w:ascii="Times New Roman" w:hAnsi="Times New Roman"/>
          <w:color w:val="auto"/>
          <w:sz w:val="24"/>
          <w:szCs w:val="24"/>
        </w:rPr>
        <w:t>.</w:t>
      </w:r>
      <w:r w:rsidRPr="007C5A6E">
        <w:rPr>
          <w:rFonts w:ascii="Times New Roman" w:hAnsi="Times New Roman"/>
          <w:color w:val="auto"/>
          <w:sz w:val="24"/>
          <w:szCs w:val="24"/>
        </w:rPr>
        <w:t xml:space="preserve"> Déforestation en milliers d’hectare par région</w:t>
      </w:r>
      <w:bookmarkEnd w:id="956"/>
      <w:r w:rsidRPr="007C5A6E">
        <w:rPr>
          <w:rFonts w:ascii="Times New Roman" w:hAnsi="Times New Roman"/>
          <w:color w:val="auto"/>
          <w:sz w:val="24"/>
          <w:szCs w:val="24"/>
        </w:rPr>
        <w:t xml:space="preserve"> en 2022</w:t>
      </w:r>
      <w:bookmarkEnd w:id="957"/>
      <w:bookmarkEnd w:id="959"/>
      <w:bookmarkEnd w:id="960"/>
      <w:bookmarkEnd w:id="961"/>
      <w:r w:rsidRPr="007C5A6E">
        <w:rPr>
          <w:rFonts w:ascii="Times New Roman" w:hAnsi="Times New Roman"/>
          <w:color w:val="auto"/>
          <w:sz w:val="24"/>
          <w:szCs w:val="24"/>
        </w:rPr>
        <w:t xml:space="preserve"> </w:t>
      </w:r>
    </w:p>
    <w:bookmarkEnd w:id="958"/>
    <w:p w14:paraId="14737D6E" w14:textId="77777777" w:rsidR="00CB4C35" w:rsidRPr="007C5A6E" w:rsidRDefault="00CB4C35" w:rsidP="00CB4C35">
      <w:pPr>
        <w:spacing w:after="0" w:line="240" w:lineRule="auto"/>
        <w:jc w:val="both"/>
        <w:rPr>
          <w:rFonts w:ascii="Times New Roman" w:hAnsi="Times New Roman"/>
          <w:sz w:val="24"/>
          <w:szCs w:val="24"/>
        </w:rPr>
      </w:pPr>
    </w:p>
    <w:p w14:paraId="3C10133B" w14:textId="722FD5E5"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 xml:space="preserve">La demande énergétique est estimée à 624 kg de bois de chauffe et 106 kg de charbon de bois en moyenne par an et par ménage. Les entreprises quant à elles, consomment environ 1,3 million de tonnes de bois de chauffe et 11 326 tonnes de charbon de bois par an (Banque Mondiale, 2022). Pour ces besoins énergétiques (bois de feu et charbon), les statistiques nationales font état d’une contribution des forêts (notamment les forêts non aménagées) à hauteur de 75 % et au profit de plus de 87 % des ménages du pays, essentiellement pour la cuisine (INSD, 2019). </w:t>
      </w:r>
    </w:p>
    <w:p w14:paraId="4FBE962D" w14:textId="77777777" w:rsidR="00CB4C35" w:rsidRPr="007C5A6E" w:rsidRDefault="00CB4C35" w:rsidP="00CB4C35">
      <w:pPr>
        <w:spacing w:after="0" w:line="240" w:lineRule="auto"/>
        <w:jc w:val="both"/>
        <w:rPr>
          <w:rFonts w:ascii="Times New Roman" w:hAnsi="Times New Roman"/>
          <w:sz w:val="24"/>
          <w:szCs w:val="24"/>
        </w:rPr>
      </w:pPr>
    </w:p>
    <w:p w14:paraId="5D940AB9" w14:textId="47D61390"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Avec une population en constante croissance et un besoin énergétique assuré principalement (96%) par le bois-énergie, la consommation du bois de chauffe et de charbon de bois, pour la population Burkinabè est en constante évolution (figure 57). Cette demande en consommation de bois (estimée à 496 553 stères en 2017 et 524 720 stères en 2018) contribue à un déboisement annuel moyen de 98 266 ha de forêt (SP/REED+, 2023 ; DGESS/MEEA, 2023).</w:t>
      </w:r>
    </w:p>
    <w:p w14:paraId="136C34E6" w14:textId="77777777" w:rsidR="00CB4C35" w:rsidRPr="007C5A6E" w:rsidRDefault="00CB4C35" w:rsidP="00CB4C35">
      <w:pPr>
        <w:spacing w:after="0" w:line="240" w:lineRule="auto"/>
        <w:jc w:val="both"/>
        <w:rPr>
          <w:rFonts w:ascii="Times New Roman" w:hAnsi="Times New Roman"/>
          <w:sz w:val="24"/>
          <w:szCs w:val="24"/>
        </w:rPr>
      </w:pPr>
    </w:p>
    <w:p w14:paraId="39361F4A" w14:textId="77777777"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4074E1D1" wp14:editId="5F07F6C6">
            <wp:extent cx="4892675" cy="3100070"/>
            <wp:effectExtent l="0" t="0" r="3175" b="5080"/>
            <wp:docPr id="1626730434"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892675" cy="3100070"/>
                    </a:xfrm>
                    <a:prstGeom prst="rect">
                      <a:avLst/>
                    </a:prstGeom>
                    <a:noFill/>
                    <a:ln>
                      <a:noFill/>
                    </a:ln>
                  </pic:spPr>
                </pic:pic>
              </a:graphicData>
            </a:graphic>
          </wp:inline>
        </w:drawing>
      </w:r>
    </w:p>
    <w:p w14:paraId="3C8468C8" w14:textId="77777777" w:rsidR="00CB4C35" w:rsidRPr="007C5A6E" w:rsidRDefault="00CB4C35" w:rsidP="00CB4C35">
      <w:pPr>
        <w:spacing w:after="0" w:line="240" w:lineRule="auto"/>
        <w:rPr>
          <w:rFonts w:ascii="Times New Roman" w:hAnsi="Times New Roman"/>
          <w:sz w:val="20"/>
          <w:szCs w:val="20"/>
        </w:rPr>
      </w:pPr>
      <w:bookmarkStart w:id="962" w:name="_Toc182575472"/>
      <w:r w:rsidRPr="007C5A6E">
        <w:rPr>
          <w:rFonts w:ascii="Times New Roman" w:hAnsi="Times New Roman"/>
          <w:sz w:val="20"/>
          <w:szCs w:val="20"/>
        </w:rPr>
        <w:t>(Source : DGESS/MEEA, 2023)</w:t>
      </w:r>
    </w:p>
    <w:p w14:paraId="6C5B3B83" w14:textId="4874A40A" w:rsidR="00CB4C35" w:rsidRPr="007C5A6E" w:rsidRDefault="00CB4C35" w:rsidP="00CB4C35">
      <w:pPr>
        <w:pStyle w:val="Lgende"/>
        <w:spacing w:after="0"/>
        <w:rPr>
          <w:rFonts w:ascii="Times New Roman" w:hAnsi="Times New Roman"/>
          <w:color w:val="auto"/>
          <w:sz w:val="24"/>
          <w:szCs w:val="24"/>
        </w:rPr>
      </w:pPr>
      <w:bookmarkStart w:id="963" w:name="_Toc183230904"/>
      <w:bookmarkStart w:id="964" w:name="_Toc183240697"/>
      <w:bookmarkStart w:id="965" w:name="_Toc183340436"/>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57</w:t>
      </w:r>
      <w:r w:rsidRPr="007C5A6E">
        <w:rPr>
          <w:rFonts w:ascii="Times New Roman" w:hAnsi="Times New Roman"/>
          <w:color w:val="auto"/>
          <w:sz w:val="24"/>
          <w:szCs w:val="24"/>
        </w:rPr>
        <w:fldChar w:fldCharType="end"/>
      </w:r>
      <w:r w:rsidR="001E1106" w:rsidRPr="007C5A6E">
        <w:rPr>
          <w:rFonts w:ascii="Times New Roman" w:hAnsi="Times New Roman"/>
          <w:color w:val="auto"/>
          <w:sz w:val="24"/>
          <w:szCs w:val="24"/>
        </w:rPr>
        <w:t>.</w:t>
      </w:r>
      <w:r w:rsidRPr="007C5A6E">
        <w:rPr>
          <w:rFonts w:ascii="Times New Roman" w:hAnsi="Times New Roman"/>
          <w:color w:val="auto"/>
          <w:sz w:val="24"/>
          <w:szCs w:val="24"/>
        </w:rPr>
        <w:t xml:space="preserve"> </w:t>
      </w:r>
      <w:r w:rsidR="001E1106" w:rsidRPr="007C5A6E">
        <w:rPr>
          <w:rFonts w:ascii="Times New Roman" w:hAnsi="Times New Roman"/>
          <w:color w:val="auto"/>
          <w:sz w:val="24"/>
          <w:szCs w:val="24"/>
        </w:rPr>
        <w:t>C</w:t>
      </w:r>
      <w:r w:rsidRPr="007C5A6E">
        <w:rPr>
          <w:rFonts w:ascii="Times New Roman" w:hAnsi="Times New Roman"/>
          <w:color w:val="auto"/>
          <w:sz w:val="24"/>
          <w:szCs w:val="24"/>
        </w:rPr>
        <w:t>onsommation de bois et charbon de bois au Burkina Fas, en milliers de tonne</w:t>
      </w:r>
      <w:bookmarkEnd w:id="962"/>
      <w:bookmarkEnd w:id="963"/>
      <w:bookmarkEnd w:id="964"/>
      <w:bookmarkEnd w:id="965"/>
      <w:r w:rsidRPr="007C5A6E">
        <w:rPr>
          <w:rFonts w:ascii="Times New Roman" w:hAnsi="Times New Roman"/>
          <w:color w:val="auto"/>
          <w:sz w:val="24"/>
          <w:szCs w:val="24"/>
        </w:rPr>
        <w:t xml:space="preserve"> </w:t>
      </w:r>
    </w:p>
    <w:p w14:paraId="3F41C2E8" w14:textId="77777777" w:rsidR="00CB4C35" w:rsidRPr="007C5A6E" w:rsidRDefault="00CB4C35" w:rsidP="00CB4C35">
      <w:pPr>
        <w:spacing w:after="0" w:line="240" w:lineRule="auto"/>
        <w:jc w:val="both"/>
        <w:rPr>
          <w:rFonts w:ascii="Times New Roman" w:hAnsi="Times New Roman"/>
          <w:sz w:val="24"/>
          <w:szCs w:val="24"/>
        </w:rPr>
      </w:pPr>
    </w:p>
    <w:p w14:paraId="58DF1B0B" w14:textId="77777777"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 xml:space="preserve">Les défrichements liés à la création des retenues d’eau travaux concernent principalement les travaux d’aménagements des barrages, des boulis, des mares et les aménagements hydro agricoles. Les statistiques du </w:t>
      </w:r>
      <w:bookmarkStart w:id="966" w:name="_Hlk182477176"/>
      <w:r w:rsidRPr="007C5A6E">
        <w:rPr>
          <w:rFonts w:ascii="Times New Roman" w:hAnsi="Times New Roman"/>
          <w:sz w:val="24"/>
          <w:szCs w:val="24"/>
        </w:rPr>
        <w:t xml:space="preserve">MEEA (2023) </w:t>
      </w:r>
      <w:bookmarkEnd w:id="966"/>
      <w:r w:rsidRPr="007C5A6E">
        <w:rPr>
          <w:rFonts w:ascii="Times New Roman" w:hAnsi="Times New Roman"/>
          <w:sz w:val="24"/>
          <w:szCs w:val="24"/>
        </w:rPr>
        <w:t>fonds état de 1828 retenues d’eau de surface dont 57 % de barrages. Sur la période 2016 à 2020, le Programme National des Aménagements Hydrauliques (PNAH) a réalisé 15 barrages sur l’ensemble du pays. Ces aménagements ont sans doute occasionné la destruction du couvert végétal.</w:t>
      </w:r>
    </w:p>
    <w:p w14:paraId="3C1AFA3F" w14:textId="77777777"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 xml:space="preserve">L’explosion de l’activité minière, a une incidence directe sur les forêts à travers, l’occupation des terres, l’utilisation du bois pour soutenir les structures des puits, les rejets de produits chimiques et la consommation des stocks d’énergies fossiles. Cette dégradation des forêts est autant plus exacerbée par l’agrandissement physique du site, le forage de nouveaux puits, les grands amas de roches stériles ainsi que l’ouverture de nouvelles routes d’accès aux sites. Au plan national, cette activité contribue à une perte annuelle moyenne de 2 457 ha de forêt avec un enlèvement de 975 000 tonnes de bois pour 300 puits en moyenne (Banque Mondiale, 2022). Il convient de relever également que l’exploitation des mines qui dépossède les populations riveraines de leurs terres, affecte indirectement la forêt. Il faut en effet déboiser de nouvelles terres pour l’agriculture lorsque les champs disparaissent à cause d’une mine. Plus généralement, la demande de produits agricoles augmente du fait de l’accroissement de la population autour du site minier. </w:t>
      </w:r>
    </w:p>
    <w:p w14:paraId="71FF208C" w14:textId="77777777" w:rsidR="00CB4C35" w:rsidRPr="007C5A6E" w:rsidRDefault="00CB4C35" w:rsidP="00CB4C35">
      <w:pPr>
        <w:spacing w:after="0" w:line="240" w:lineRule="auto"/>
        <w:jc w:val="both"/>
        <w:rPr>
          <w:rFonts w:ascii="Times New Roman" w:hAnsi="Times New Roman"/>
          <w:sz w:val="24"/>
          <w:szCs w:val="24"/>
        </w:rPr>
      </w:pPr>
    </w:p>
    <w:p w14:paraId="63908DA6" w14:textId="77777777" w:rsidR="00CB4C35" w:rsidRPr="007C5A6E" w:rsidRDefault="00CB4C35" w:rsidP="00684FF8">
      <w:pPr>
        <w:pStyle w:val="Titre4"/>
      </w:pPr>
      <w:r w:rsidRPr="007C5A6E">
        <w:t xml:space="preserve"> </w:t>
      </w:r>
      <w:bookmarkStart w:id="967" w:name="_Toc182575433"/>
      <w:bookmarkStart w:id="968" w:name="_Toc183340213"/>
      <w:r w:rsidRPr="007C5A6E">
        <w:t>La surexploitation et les mauvaises pratiques d’exploitation et de récolte</w:t>
      </w:r>
      <w:bookmarkEnd w:id="967"/>
      <w:bookmarkEnd w:id="968"/>
    </w:p>
    <w:p w14:paraId="3B96FDA2" w14:textId="77777777" w:rsidR="00CB4C35" w:rsidRPr="007C5A6E" w:rsidRDefault="00CB4C35" w:rsidP="00CB4C35">
      <w:pPr>
        <w:spacing w:after="0" w:line="240" w:lineRule="auto"/>
        <w:jc w:val="both"/>
        <w:rPr>
          <w:rFonts w:ascii="Times New Roman" w:hAnsi="Times New Roman"/>
          <w:sz w:val="24"/>
          <w:szCs w:val="24"/>
        </w:rPr>
      </w:pPr>
    </w:p>
    <w:p w14:paraId="2A8D1202" w14:textId="77777777"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L’utilisation intensive des terres pour l’agriculture et la forte demande d’essences de bois à différentes fins, combinées à la menace climatique, entraînent la perte d’essences polyvalentes (</w:t>
      </w:r>
      <w:proofErr w:type="spellStart"/>
      <w:r w:rsidRPr="007C5A6E">
        <w:rPr>
          <w:rFonts w:ascii="Times New Roman" w:hAnsi="Times New Roman"/>
          <w:sz w:val="24"/>
          <w:szCs w:val="24"/>
        </w:rPr>
        <w:t>Taonda</w:t>
      </w:r>
      <w:proofErr w:type="spellEnd"/>
      <w:r w:rsidRPr="007C5A6E">
        <w:rPr>
          <w:rFonts w:ascii="Times New Roman" w:hAnsi="Times New Roman"/>
          <w:sz w:val="24"/>
          <w:szCs w:val="24"/>
        </w:rPr>
        <w:t xml:space="preserve"> et al., 2024). </w:t>
      </w:r>
      <w:bookmarkStart w:id="969" w:name="bbib13"/>
      <w:r w:rsidRPr="007C5A6E">
        <w:rPr>
          <w:rFonts w:ascii="Times New Roman" w:hAnsi="Times New Roman"/>
          <w:sz w:val="24"/>
          <w:szCs w:val="24"/>
        </w:rPr>
        <w:t xml:space="preserve">Selon </w:t>
      </w:r>
      <w:hyperlink r:id="rId149" w:anchor="bib13" w:history="1">
        <w:proofErr w:type="spellStart"/>
        <w:r w:rsidRPr="007C5A6E">
          <w:rPr>
            <w:rFonts w:ascii="Times New Roman" w:hAnsi="Times New Roman"/>
            <w:sz w:val="24"/>
            <w:szCs w:val="24"/>
          </w:rPr>
          <w:t>Taonda</w:t>
        </w:r>
        <w:proofErr w:type="spellEnd"/>
      </w:hyperlink>
      <w:bookmarkEnd w:id="969"/>
      <w:r w:rsidRPr="007C5A6E">
        <w:rPr>
          <w:rFonts w:ascii="Times New Roman" w:hAnsi="Times New Roman"/>
          <w:sz w:val="24"/>
          <w:szCs w:val="24"/>
        </w:rPr>
        <w:t xml:space="preserve"> et al. (2024) et MEEVCC (2020), les espèces ligneuses cibles au regard de leurs valeurs d’usages, souvent surexploitées à la régénération déficiente, sont en déclins du fait que les récoltes sont généralement axées sur les parties vitales telles que les racines (</w:t>
      </w:r>
      <w:proofErr w:type="spellStart"/>
      <w:r w:rsidRPr="007C5A6E">
        <w:rPr>
          <w:rFonts w:ascii="Times New Roman" w:hAnsi="Times New Roman"/>
          <w:i/>
          <w:sz w:val="24"/>
          <w:szCs w:val="24"/>
        </w:rPr>
        <w:t>Securidaca</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longipedunculata</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Sarcocephalus</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latifolius</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Parinari</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curatellifolia</w:t>
      </w:r>
      <w:proofErr w:type="spellEnd"/>
      <w:r w:rsidRPr="007C5A6E">
        <w:rPr>
          <w:rFonts w:ascii="Times New Roman" w:hAnsi="Times New Roman"/>
          <w:sz w:val="24"/>
          <w:szCs w:val="24"/>
        </w:rPr>
        <w:t>), les fleurs (</w:t>
      </w:r>
      <w:r w:rsidRPr="007C5A6E">
        <w:rPr>
          <w:rFonts w:ascii="Times New Roman" w:hAnsi="Times New Roman"/>
          <w:i/>
          <w:sz w:val="24"/>
          <w:szCs w:val="24"/>
        </w:rPr>
        <w:t xml:space="preserve">Bombax </w:t>
      </w:r>
      <w:proofErr w:type="spellStart"/>
      <w:r w:rsidRPr="007C5A6E">
        <w:rPr>
          <w:rFonts w:ascii="Times New Roman" w:hAnsi="Times New Roman"/>
          <w:i/>
          <w:sz w:val="24"/>
          <w:szCs w:val="24"/>
        </w:rPr>
        <w:t>costatum</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Annona</w:t>
      </w:r>
      <w:proofErr w:type="spellEnd"/>
      <w:r w:rsidRPr="007C5A6E">
        <w:rPr>
          <w:rFonts w:ascii="Times New Roman" w:hAnsi="Times New Roman"/>
          <w:i/>
          <w:sz w:val="24"/>
          <w:szCs w:val="24"/>
        </w:rPr>
        <w:t xml:space="preserve"> senegalensis</w:t>
      </w:r>
      <w:r w:rsidRPr="007C5A6E">
        <w:rPr>
          <w:rFonts w:ascii="Times New Roman" w:hAnsi="Times New Roman"/>
          <w:sz w:val="24"/>
          <w:szCs w:val="24"/>
        </w:rPr>
        <w:t>), les graines (</w:t>
      </w:r>
      <w:proofErr w:type="spellStart"/>
      <w:r w:rsidRPr="007C5A6E">
        <w:rPr>
          <w:rFonts w:ascii="Times New Roman" w:hAnsi="Times New Roman"/>
          <w:i/>
          <w:sz w:val="24"/>
          <w:szCs w:val="24"/>
        </w:rPr>
        <w:t>Vitellaria</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paradoxa</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Parkia</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biglobosa</w:t>
      </w:r>
      <w:proofErr w:type="spellEnd"/>
      <w:r w:rsidRPr="007C5A6E">
        <w:rPr>
          <w:rFonts w:ascii="Times New Roman" w:hAnsi="Times New Roman"/>
          <w:i/>
          <w:sz w:val="24"/>
          <w:szCs w:val="24"/>
        </w:rPr>
        <w:t xml:space="preserve">, Acacia </w:t>
      </w:r>
      <w:proofErr w:type="spellStart"/>
      <w:r w:rsidRPr="007C5A6E">
        <w:rPr>
          <w:rFonts w:ascii="Times New Roman" w:hAnsi="Times New Roman"/>
          <w:i/>
          <w:sz w:val="24"/>
          <w:szCs w:val="24"/>
        </w:rPr>
        <w:t>macrostachya</w:t>
      </w:r>
      <w:proofErr w:type="spellEnd"/>
      <w:r w:rsidRPr="007C5A6E">
        <w:rPr>
          <w:rFonts w:ascii="Times New Roman" w:hAnsi="Times New Roman"/>
          <w:i/>
          <w:iCs/>
          <w:sz w:val="24"/>
          <w:szCs w:val="24"/>
        </w:rPr>
        <w:t xml:space="preserve"> et </w:t>
      </w:r>
      <w:proofErr w:type="spellStart"/>
      <w:r w:rsidRPr="007C5A6E">
        <w:rPr>
          <w:rFonts w:ascii="Times New Roman" w:hAnsi="Times New Roman"/>
          <w:i/>
          <w:iCs/>
          <w:sz w:val="24"/>
          <w:szCs w:val="24"/>
        </w:rPr>
        <w:t>Detarium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microcapum</w:t>
      </w:r>
      <w:proofErr w:type="spellEnd"/>
      <w:r w:rsidRPr="007C5A6E">
        <w:rPr>
          <w:rFonts w:ascii="Times New Roman" w:hAnsi="Times New Roman"/>
          <w:sz w:val="24"/>
          <w:szCs w:val="24"/>
        </w:rPr>
        <w:t>), les repousses (</w:t>
      </w:r>
      <w:r w:rsidRPr="007C5A6E">
        <w:rPr>
          <w:rFonts w:ascii="Times New Roman" w:hAnsi="Times New Roman"/>
          <w:i/>
          <w:sz w:val="24"/>
          <w:szCs w:val="24"/>
        </w:rPr>
        <w:t xml:space="preserve">Borassus </w:t>
      </w:r>
      <w:proofErr w:type="spellStart"/>
      <w:r w:rsidRPr="007C5A6E">
        <w:rPr>
          <w:rFonts w:ascii="Times New Roman" w:hAnsi="Times New Roman"/>
          <w:i/>
          <w:sz w:val="24"/>
          <w:szCs w:val="24"/>
        </w:rPr>
        <w:t>aethiopum</w:t>
      </w:r>
      <w:proofErr w:type="spellEnd"/>
      <w:r w:rsidRPr="007C5A6E">
        <w:rPr>
          <w:rFonts w:ascii="Times New Roman" w:hAnsi="Times New Roman"/>
          <w:sz w:val="24"/>
          <w:szCs w:val="24"/>
        </w:rPr>
        <w:t>) et les feuilles (</w:t>
      </w:r>
      <w:proofErr w:type="spellStart"/>
      <w:r w:rsidRPr="007C5A6E">
        <w:rPr>
          <w:rFonts w:ascii="Times New Roman" w:hAnsi="Times New Roman"/>
          <w:i/>
          <w:sz w:val="24"/>
          <w:szCs w:val="24"/>
        </w:rPr>
        <w:t>Adansonia</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digitata</w:t>
      </w:r>
      <w:proofErr w:type="spellEnd"/>
      <w:r w:rsidRPr="007C5A6E">
        <w:rPr>
          <w:rFonts w:ascii="Times New Roman" w:hAnsi="Times New Roman"/>
          <w:sz w:val="24"/>
          <w:szCs w:val="24"/>
        </w:rPr>
        <w:t xml:space="preserve">). En 2005 déjà, </w:t>
      </w:r>
      <w:proofErr w:type="spellStart"/>
      <w:r w:rsidRPr="007C5A6E">
        <w:rPr>
          <w:rFonts w:ascii="Times New Roman" w:hAnsi="Times New Roman"/>
          <w:sz w:val="24"/>
          <w:szCs w:val="24"/>
        </w:rPr>
        <w:t>Ganaba</w:t>
      </w:r>
      <w:proofErr w:type="spellEnd"/>
      <w:r w:rsidRPr="007C5A6E">
        <w:rPr>
          <w:rFonts w:ascii="Times New Roman" w:hAnsi="Times New Roman"/>
          <w:sz w:val="24"/>
          <w:szCs w:val="24"/>
        </w:rPr>
        <w:t xml:space="preserve"> et ses collaborateurs cités par MEEVCC (2020), présentaient d’une part une liste des plantes les plus utilisées</w:t>
      </w:r>
      <w:r w:rsidRPr="007C5A6E">
        <w:rPr>
          <w:rFonts w:ascii="Times New Roman" w:hAnsi="Times New Roman"/>
          <w:sz w:val="24"/>
          <w:szCs w:val="24"/>
          <w:vertAlign w:val="superscript"/>
        </w:rPr>
        <w:footnoteReference w:id="4"/>
      </w:r>
      <w:r w:rsidRPr="007C5A6E">
        <w:rPr>
          <w:rFonts w:ascii="Times New Roman" w:hAnsi="Times New Roman"/>
          <w:sz w:val="24"/>
          <w:szCs w:val="24"/>
        </w:rPr>
        <w:t xml:space="preserve"> incluant </w:t>
      </w:r>
      <w:r w:rsidRPr="007C5A6E">
        <w:rPr>
          <w:rFonts w:ascii="Times New Roman" w:hAnsi="Times New Roman"/>
          <w:i/>
          <w:sz w:val="24"/>
          <w:szCs w:val="24"/>
        </w:rPr>
        <w:t xml:space="preserve">Acacia nilotica, </w:t>
      </w:r>
      <w:proofErr w:type="spellStart"/>
      <w:r w:rsidRPr="007C5A6E">
        <w:rPr>
          <w:rFonts w:ascii="Times New Roman" w:hAnsi="Times New Roman"/>
          <w:i/>
          <w:sz w:val="24"/>
          <w:szCs w:val="24"/>
        </w:rPr>
        <w:t>Anogeissus</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leiocarpa</w:t>
      </w:r>
      <w:proofErr w:type="spellEnd"/>
      <w:r w:rsidRPr="007C5A6E">
        <w:rPr>
          <w:rFonts w:ascii="Times New Roman" w:hAnsi="Times New Roman"/>
          <w:i/>
          <w:sz w:val="24"/>
          <w:szCs w:val="24"/>
        </w:rPr>
        <w:t xml:space="preserve">, Balanites aegyptiaca, </w:t>
      </w:r>
      <w:proofErr w:type="spellStart"/>
      <w:r w:rsidRPr="007C5A6E">
        <w:rPr>
          <w:rFonts w:ascii="Times New Roman" w:hAnsi="Times New Roman"/>
          <w:i/>
          <w:sz w:val="24"/>
          <w:szCs w:val="24"/>
        </w:rPr>
        <w:t>Combretum</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micranthum</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Commiphora</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africana</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Grewia</w:t>
      </w:r>
      <w:proofErr w:type="spellEnd"/>
      <w:r w:rsidRPr="007C5A6E">
        <w:rPr>
          <w:rFonts w:ascii="Times New Roman" w:hAnsi="Times New Roman"/>
          <w:i/>
          <w:sz w:val="24"/>
          <w:szCs w:val="24"/>
        </w:rPr>
        <w:t xml:space="preserve"> bicolor, </w:t>
      </w:r>
      <w:proofErr w:type="spellStart"/>
      <w:r w:rsidRPr="007C5A6E">
        <w:rPr>
          <w:rFonts w:ascii="Times New Roman" w:hAnsi="Times New Roman"/>
          <w:i/>
          <w:sz w:val="24"/>
          <w:szCs w:val="24"/>
        </w:rPr>
        <w:t>Hyphaene</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thebaica</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Mitragyna</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inermis</w:t>
      </w:r>
      <w:proofErr w:type="spellEnd"/>
      <w:r w:rsidRPr="007C5A6E">
        <w:rPr>
          <w:rFonts w:ascii="Times New Roman" w:hAnsi="Times New Roman"/>
          <w:sz w:val="24"/>
          <w:szCs w:val="24"/>
        </w:rPr>
        <w:t xml:space="preserve"> et </w:t>
      </w:r>
      <w:proofErr w:type="spellStart"/>
      <w:r w:rsidRPr="007C5A6E">
        <w:rPr>
          <w:rFonts w:ascii="Times New Roman" w:hAnsi="Times New Roman"/>
          <w:i/>
          <w:sz w:val="24"/>
          <w:szCs w:val="24"/>
        </w:rPr>
        <w:t>Sclerocarya</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birrea</w:t>
      </w:r>
      <w:proofErr w:type="spellEnd"/>
      <w:r w:rsidRPr="007C5A6E">
        <w:rPr>
          <w:rFonts w:ascii="Times New Roman" w:hAnsi="Times New Roman"/>
          <w:sz w:val="24"/>
          <w:szCs w:val="24"/>
        </w:rPr>
        <w:t xml:space="preserve"> ; et d’autre part, celle des plantes moyennement utilisées incluant </w:t>
      </w:r>
      <w:r w:rsidRPr="007C5A6E">
        <w:rPr>
          <w:rFonts w:ascii="Times New Roman" w:hAnsi="Times New Roman"/>
          <w:i/>
          <w:sz w:val="24"/>
          <w:szCs w:val="24"/>
        </w:rPr>
        <w:t xml:space="preserve">Acacia </w:t>
      </w:r>
      <w:proofErr w:type="spellStart"/>
      <w:r w:rsidRPr="007C5A6E">
        <w:rPr>
          <w:rFonts w:ascii="Times New Roman" w:hAnsi="Times New Roman"/>
          <w:i/>
          <w:sz w:val="24"/>
          <w:szCs w:val="24"/>
        </w:rPr>
        <w:t>senegal</w:t>
      </w:r>
      <w:proofErr w:type="spellEnd"/>
      <w:r w:rsidRPr="007C5A6E">
        <w:rPr>
          <w:rFonts w:ascii="Times New Roman" w:hAnsi="Times New Roman"/>
          <w:sz w:val="24"/>
          <w:szCs w:val="24"/>
        </w:rPr>
        <w:t xml:space="preserve"> (</w:t>
      </w:r>
      <w:r w:rsidRPr="007C5A6E">
        <w:rPr>
          <w:rFonts w:ascii="Times New Roman" w:hAnsi="Times New Roman"/>
          <w:i/>
          <w:sz w:val="24"/>
          <w:szCs w:val="24"/>
        </w:rPr>
        <w:t xml:space="preserve">A. </w:t>
      </w:r>
      <w:proofErr w:type="spellStart"/>
      <w:r w:rsidRPr="007C5A6E">
        <w:rPr>
          <w:rFonts w:ascii="Times New Roman" w:hAnsi="Times New Roman"/>
          <w:i/>
          <w:sz w:val="24"/>
          <w:szCs w:val="24"/>
        </w:rPr>
        <w:t>laeta</w:t>
      </w:r>
      <w:proofErr w:type="spellEnd"/>
      <w:r w:rsidRPr="007C5A6E">
        <w:rPr>
          <w:rFonts w:ascii="Times New Roman" w:hAnsi="Times New Roman"/>
          <w:sz w:val="24"/>
          <w:szCs w:val="24"/>
        </w:rPr>
        <w:t xml:space="preserve">), </w:t>
      </w:r>
      <w:r w:rsidRPr="007C5A6E">
        <w:rPr>
          <w:rFonts w:ascii="Times New Roman" w:hAnsi="Times New Roman"/>
          <w:i/>
          <w:sz w:val="24"/>
          <w:szCs w:val="24"/>
        </w:rPr>
        <w:t xml:space="preserve">Acacia seyal, </w:t>
      </w:r>
      <w:proofErr w:type="spellStart"/>
      <w:r w:rsidRPr="007C5A6E">
        <w:rPr>
          <w:rFonts w:ascii="Times New Roman" w:hAnsi="Times New Roman"/>
          <w:i/>
          <w:sz w:val="24"/>
          <w:szCs w:val="24"/>
        </w:rPr>
        <w:t>Adansonia</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digitata</w:t>
      </w:r>
      <w:proofErr w:type="spellEnd"/>
      <w:r w:rsidRPr="007C5A6E">
        <w:rPr>
          <w:rFonts w:ascii="Times New Roman" w:hAnsi="Times New Roman"/>
          <w:i/>
          <w:sz w:val="24"/>
          <w:szCs w:val="24"/>
        </w:rPr>
        <w:t xml:space="preserve">, Azadirachta </w:t>
      </w:r>
      <w:proofErr w:type="spellStart"/>
      <w:r w:rsidRPr="007C5A6E">
        <w:rPr>
          <w:rFonts w:ascii="Times New Roman" w:hAnsi="Times New Roman"/>
          <w:i/>
          <w:sz w:val="24"/>
          <w:szCs w:val="24"/>
        </w:rPr>
        <w:t>indica</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Combretum</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glutinosum</w:t>
      </w:r>
      <w:proofErr w:type="spellEnd"/>
      <w:r w:rsidRPr="007C5A6E">
        <w:rPr>
          <w:rFonts w:ascii="Times New Roman" w:hAnsi="Times New Roman"/>
          <w:sz w:val="24"/>
          <w:szCs w:val="24"/>
        </w:rPr>
        <w:t xml:space="preserve"> et </w:t>
      </w:r>
      <w:r w:rsidRPr="007C5A6E">
        <w:rPr>
          <w:rFonts w:ascii="Times New Roman" w:hAnsi="Times New Roman"/>
          <w:bCs/>
          <w:i/>
          <w:sz w:val="24"/>
          <w:szCs w:val="24"/>
        </w:rPr>
        <w:t xml:space="preserve">Pterocarpus </w:t>
      </w:r>
      <w:proofErr w:type="spellStart"/>
      <w:r w:rsidRPr="007C5A6E">
        <w:rPr>
          <w:rFonts w:ascii="Times New Roman" w:hAnsi="Times New Roman"/>
          <w:bCs/>
          <w:i/>
          <w:sz w:val="24"/>
          <w:szCs w:val="24"/>
        </w:rPr>
        <w:t>lucens</w:t>
      </w:r>
      <w:proofErr w:type="spellEnd"/>
      <w:r w:rsidRPr="007C5A6E">
        <w:rPr>
          <w:rFonts w:ascii="Times New Roman" w:hAnsi="Times New Roman"/>
          <w:bCs/>
          <w:sz w:val="24"/>
          <w:szCs w:val="24"/>
        </w:rPr>
        <w:t>.</w:t>
      </w:r>
      <w:r w:rsidRPr="007C5A6E">
        <w:rPr>
          <w:rFonts w:ascii="Times New Roman" w:hAnsi="Times New Roman"/>
          <w:sz w:val="24"/>
          <w:szCs w:val="24"/>
        </w:rPr>
        <w:t xml:space="preserve"> En conséquence, et exception faite de 3 espèces (</w:t>
      </w:r>
      <w:r w:rsidRPr="007C5A6E">
        <w:rPr>
          <w:rFonts w:ascii="Times New Roman" w:hAnsi="Times New Roman"/>
          <w:i/>
          <w:sz w:val="24"/>
          <w:szCs w:val="24"/>
        </w:rPr>
        <w:t xml:space="preserve">Balanites aegyptiaca, </w:t>
      </w:r>
      <w:proofErr w:type="spellStart"/>
      <w:r w:rsidRPr="007C5A6E">
        <w:rPr>
          <w:rFonts w:ascii="Times New Roman" w:hAnsi="Times New Roman"/>
          <w:i/>
          <w:sz w:val="24"/>
          <w:szCs w:val="24"/>
        </w:rPr>
        <w:t>Hyphaene</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thebaica</w:t>
      </w:r>
      <w:proofErr w:type="spellEnd"/>
      <w:r w:rsidRPr="007C5A6E">
        <w:rPr>
          <w:rFonts w:ascii="Times New Roman" w:hAnsi="Times New Roman"/>
          <w:sz w:val="24"/>
          <w:szCs w:val="24"/>
        </w:rPr>
        <w:t xml:space="preserve"> et </w:t>
      </w:r>
      <w:r w:rsidRPr="007C5A6E">
        <w:rPr>
          <w:rFonts w:ascii="Times New Roman" w:hAnsi="Times New Roman"/>
          <w:i/>
          <w:sz w:val="24"/>
          <w:szCs w:val="24"/>
        </w:rPr>
        <w:t xml:space="preserve">Azadirachta </w:t>
      </w:r>
      <w:proofErr w:type="spellStart"/>
      <w:r w:rsidRPr="007C5A6E">
        <w:rPr>
          <w:rFonts w:ascii="Times New Roman" w:hAnsi="Times New Roman"/>
          <w:i/>
          <w:sz w:val="24"/>
          <w:szCs w:val="24"/>
        </w:rPr>
        <w:t>indica</w:t>
      </w:r>
      <w:proofErr w:type="spellEnd"/>
      <w:r w:rsidRPr="007C5A6E">
        <w:rPr>
          <w:rFonts w:ascii="Times New Roman" w:hAnsi="Times New Roman"/>
          <w:sz w:val="24"/>
          <w:szCs w:val="24"/>
        </w:rPr>
        <w:t>), ces plantes présentent le taux le plus élevé de dégradation au Burkina Faso (MEEVCC, 2020).</w:t>
      </w:r>
    </w:p>
    <w:p w14:paraId="00F8AE9F" w14:textId="77777777" w:rsidR="00CB4C35" w:rsidRPr="007C5A6E" w:rsidRDefault="00CB4C35" w:rsidP="00CB4C35">
      <w:pPr>
        <w:spacing w:after="0" w:line="240" w:lineRule="auto"/>
        <w:jc w:val="both"/>
        <w:rPr>
          <w:rFonts w:ascii="Times New Roman" w:hAnsi="Times New Roman"/>
          <w:sz w:val="24"/>
          <w:szCs w:val="24"/>
        </w:rPr>
      </w:pPr>
    </w:p>
    <w:p w14:paraId="5F4FBFB5" w14:textId="5D20E756"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 xml:space="preserve">La collecte des PFNL au Burkina Faso (qui procure 23 % du revenu et de l’emploi des ménages ruraux), explose du fait de la demande croissante aux niveaux local, national et international (DGEVCC, 2018). Par exemple, les exportations d’amandes et de beurre de karité qui ne cessent de s’accroitre au fil des ans, ont augmenté de 9 % entre 2007 et 2016 ; aussi, le marché des fruits du baobab s’est-il accru de 6 % entre 2018 et 2022. Entre 2013 et 2019, la demande globale des PFNL au Burkina Faso, a connu une augmentation, passant de 750 425 à 982 600 tonnes (figure </w:t>
      </w:r>
      <w:r w:rsidR="004B0D7B" w:rsidRPr="007C5A6E">
        <w:rPr>
          <w:rFonts w:ascii="Times New Roman" w:hAnsi="Times New Roman"/>
          <w:sz w:val="24"/>
          <w:szCs w:val="24"/>
        </w:rPr>
        <w:t>58</w:t>
      </w:r>
      <w:r w:rsidRPr="007C5A6E">
        <w:rPr>
          <w:rFonts w:ascii="Times New Roman" w:hAnsi="Times New Roman"/>
          <w:sz w:val="24"/>
          <w:szCs w:val="24"/>
        </w:rPr>
        <w:t xml:space="preserve">). </w:t>
      </w:r>
    </w:p>
    <w:p w14:paraId="4268B8B2" w14:textId="77777777" w:rsidR="00CB4C35" w:rsidRPr="007C5A6E" w:rsidRDefault="00CB4C35" w:rsidP="00CB4C35">
      <w:pPr>
        <w:spacing w:after="0" w:line="240" w:lineRule="auto"/>
        <w:jc w:val="both"/>
        <w:rPr>
          <w:rFonts w:ascii="Times New Roman" w:hAnsi="Times New Roman"/>
          <w:sz w:val="24"/>
          <w:szCs w:val="24"/>
        </w:rPr>
      </w:pPr>
    </w:p>
    <w:p w14:paraId="468264F2" w14:textId="77777777"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4F9300B1" wp14:editId="41CBAB20">
            <wp:extent cx="5760720" cy="1885950"/>
            <wp:effectExtent l="0" t="0" r="0" b="0"/>
            <wp:docPr id="647362699"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b="6891"/>
                    <a:stretch/>
                  </pic:blipFill>
                  <pic:spPr bwMode="auto">
                    <a:xfrm>
                      <a:off x="0" y="0"/>
                      <a:ext cx="5760720" cy="1885950"/>
                    </a:xfrm>
                    <a:prstGeom prst="rect">
                      <a:avLst/>
                    </a:prstGeom>
                    <a:noFill/>
                    <a:ln>
                      <a:noFill/>
                    </a:ln>
                    <a:extLst>
                      <a:ext uri="{53640926-AAD7-44D8-BBD7-CCE9431645EC}">
                        <a14:shadowObscured xmlns:a14="http://schemas.microsoft.com/office/drawing/2010/main"/>
                      </a:ext>
                    </a:extLst>
                  </pic:spPr>
                </pic:pic>
              </a:graphicData>
            </a:graphic>
          </wp:inline>
        </w:drawing>
      </w:r>
    </w:p>
    <w:p w14:paraId="5DB121FD" w14:textId="77777777" w:rsidR="004B0D7B" w:rsidRPr="007C5A6E" w:rsidRDefault="004B0D7B" w:rsidP="004B0D7B">
      <w:pPr>
        <w:spacing w:after="0" w:line="240" w:lineRule="auto"/>
        <w:jc w:val="both"/>
        <w:rPr>
          <w:rFonts w:ascii="Times New Roman" w:hAnsi="Times New Roman"/>
          <w:sz w:val="20"/>
          <w:szCs w:val="20"/>
        </w:rPr>
      </w:pPr>
      <w:bookmarkStart w:id="970" w:name="_Toc176507972"/>
      <w:bookmarkStart w:id="971" w:name="_Toc182575473"/>
      <w:r w:rsidRPr="007C5A6E">
        <w:rPr>
          <w:rFonts w:ascii="Times New Roman" w:hAnsi="Times New Roman"/>
          <w:sz w:val="20"/>
          <w:szCs w:val="20"/>
        </w:rPr>
        <w:t>(</w:t>
      </w:r>
      <w:r w:rsidRPr="007C5A6E">
        <w:rPr>
          <w:rFonts w:ascii="Times New Roman" w:eastAsia="Calibri" w:hAnsi="Times New Roman"/>
          <w:sz w:val="20"/>
          <w:szCs w:val="20"/>
        </w:rPr>
        <w:t xml:space="preserve">Source : </w:t>
      </w:r>
      <w:bookmarkStart w:id="972" w:name="_Hlk182481639"/>
      <w:r w:rsidRPr="007C5A6E">
        <w:rPr>
          <w:rFonts w:ascii="Times New Roman" w:eastAsia="Calibri" w:hAnsi="Times New Roman"/>
          <w:sz w:val="20"/>
          <w:szCs w:val="20"/>
        </w:rPr>
        <w:t>DGESS/MEEA, 2022</w:t>
      </w:r>
      <w:bookmarkEnd w:id="972"/>
      <w:r w:rsidRPr="007C5A6E">
        <w:rPr>
          <w:rFonts w:ascii="Times New Roman" w:eastAsia="Calibri" w:hAnsi="Times New Roman"/>
          <w:sz w:val="20"/>
          <w:szCs w:val="20"/>
        </w:rPr>
        <w:t xml:space="preserve">) </w:t>
      </w:r>
    </w:p>
    <w:p w14:paraId="1367816B" w14:textId="4F5AA90E" w:rsidR="00CB4C35" w:rsidRPr="007C5A6E" w:rsidRDefault="004B0D7B" w:rsidP="004B0D7B">
      <w:pPr>
        <w:pStyle w:val="Lgende"/>
        <w:spacing w:after="0"/>
        <w:rPr>
          <w:rFonts w:ascii="Times New Roman" w:hAnsi="Times New Roman"/>
          <w:color w:val="auto"/>
          <w:sz w:val="24"/>
          <w:szCs w:val="24"/>
        </w:rPr>
      </w:pPr>
      <w:bookmarkStart w:id="973" w:name="_Toc183230905"/>
      <w:bookmarkStart w:id="974" w:name="_Toc183240698"/>
      <w:bookmarkStart w:id="975" w:name="_Toc183340437"/>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58</w:t>
      </w:r>
      <w:r w:rsidRPr="007C5A6E">
        <w:rPr>
          <w:rFonts w:ascii="Times New Roman" w:hAnsi="Times New Roman"/>
          <w:color w:val="auto"/>
          <w:sz w:val="24"/>
          <w:szCs w:val="24"/>
        </w:rPr>
        <w:fldChar w:fldCharType="end"/>
      </w:r>
      <w:r w:rsidR="00285688" w:rsidRPr="007C5A6E">
        <w:rPr>
          <w:rFonts w:ascii="Times New Roman" w:hAnsi="Times New Roman"/>
          <w:color w:val="auto"/>
          <w:sz w:val="24"/>
          <w:szCs w:val="24"/>
        </w:rPr>
        <w:t>.</w:t>
      </w:r>
      <w:r w:rsidR="00CB4C35" w:rsidRPr="007C5A6E">
        <w:rPr>
          <w:rFonts w:ascii="Times New Roman" w:hAnsi="Times New Roman"/>
          <w:color w:val="auto"/>
          <w:sz w:val="24"/>
          <w:szCs w:val="24"/>
        </w:rPr>
        <w:t xml:space="preserve"> Evolution des quantités (tonnes) de PFNL collectée au Burkina Faso</w:t>
      </w:r>
      <w:bookmarkEnd w:id="970"/>
      <w:bookmarkEnd w:id="971"/>
      <w:bookmarkEnd w:id="973"/>
      <w:bookmarkEnd w:id="974"/>
      <w:bookmarkEnd w:id="975"/>
      <w:r w:rsidR="00CB4C35" w:rsidRPr="007C5A6E">
        <w:rPr>
          <w:rFonts w:ascii="Times New Roman" w:hAnsi="Times New Roman"/>
          <w:color w:val="auto"/>
          <w:sz w:val="24"/>
          <w:szCs w:val="24"/>
        </w:rPr>
        <w:t xml:space="preserve"> </w:t>
      </w:r>
    </w:p>
    <w:p w14:paraId="2518FD01" w14:textId="77777777" w:rsidR="009A08D5" w:rsidRPr="007C5A6E" w:rsidRDefault="009A08D5" w:rsidP="009A08D5">
      <w:pPr>
        <w:spacing w:after="0" w:line="240" w:lineRule="auto"/>
        <w:jc w:val="both"/>
        <w:rPr>
          <w:rFonts w:ascii="Times New Roman" w:hAnsi="Times New Roman"/>
          <w:sz w:val="24"/>
          <w:szCs w:val="24"/>
        </w:rPr>
      </w:pPr>
      <w:r w:rsidRPr="007C5A6E">
        <w:rPr>
          <w:rFonts w:ascii="Times New Roman" w:hAnsi="Times New Roman"/>
          <w:sz w:val="24"/>
          <w:szCs w:val="24"/>
        </w:rPr>
        <w:t xml:space="preserve">Selon Banque Mondiale (2022), l’exploitation des PFNL contribue à une perte annuelle moyenne de 1 237 ha de couverture végétale au Burkina Faso. </w:t>
      </w:r>
    </w:p>
    <w:p w14:paraId="1C83CD8F" w14:textId="77777777" w:rsidR="00CB4C35" w:rsidRPr="007C5A6E" w:rsidRDefault="00CB4C35" w:rsidP="00CB4C35">
      <w:pPr>
        <w:spacing w:after="0" w:line="240" w:lineRule="auto"/>
        <w:jc w:val="both"/>
        <w:rPr>
          <w:rFonts w:ascii="Times New Roman" w:hAnsi="Times New Roman"/>
          <w:sz w:val="24"/>
          <w:szCs w:val="24"/>
        </w:rPr>
      </w:pPr>
    </w:p>
    <w:p w14:paraId="0771B6C0" w14:textId="77777777" w:rsidR="00CB4C35" w:rsidRPr="007C5A6E" w:rsidRDefault="00CB4C35" w:rsidP="00684FF8">
      <w:pPr>
        <w:pStyle w:val="Titre4"/>
      </w:pPr>
      <w:bookmarkStart w:id="976" w:name="_Toc182575434"/>
      <w:bookmarkStart w:id="977" w:name="_Toc183340214"/>
      <w:r w:rsidRPr="007C5A6E">
        <w:t>La surcharge pastorale</w:t>
      </w:r>
      <w:bookmarkEnd w:id="976"/>
      <w:bookmarkEnd w:id="977"/>
      <w:r w:rsidRPr="007C5A6E">
        <w:t xml:space="preserve"> </w:t>
      </w:r>
    </w:p>
    <w:p w14:paraId="307CA863" w14:textId="77777777" w:rsidR="00CB4C35" w:rsidRPr="007C5A6E" w:rsidRDefault="00CB4C35" w:rsidP="00CB4C35">
      <w:pPr>
        <w:spacing w:after="0" w:line="240" w:lineRule="auto"/>
        <w:jc w:val="both"/>
        <w:rPr>
          <w:rFonts w:ascii="Times New Roman" w:hAnsi="Times New Roman"/>
          <w:sz w:val="24"/>
          <w:szCs w:val="24"/>
        </w:rPr>
      </w:pPr>
    </w:p>
    <w:p w14:paraId="3954A021" w14:textId="5C39BAED"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 xml:space="preserve">Au Burkina Faso, le pastoralisme est l’un des moteurs les plus importants de l’utilisation des terres. L’effectif du cheptel (Tableau </w:t>
      </w:r>
      <w:r w:rsidR="002314C4" w:rsidRPr="007C5A6E">
        <w:rPr>
          <w:rFonts w:ascii="Times New Roman" w:hAnsi="Times New Roman"/>
          <w:sz w:val="24"/>
          <w:szCs w:val="24"/>
        </w:rPr>
        <w:t>40</w:t>
      </w:r>
      <w:r w:rsidRPr="007C5A6E">
        <w:rPr>
          <w:rFonts w:ascii="Times New Roman" w:hAnsi="Times New Roman"/>
          <w:sz w:val="24"/>
          <w:szCs w:val="24"/>
        </w:rPr>
        <w:t xml:space="preserve">), est de 9 940 000 bovins, 10 798 000 caprins, 11 286 000 ovins, 1 454 000 porcins, 1 564 000 </w:t>
      </w:r>
      <w:r w:rsidR="004B0D7B" w:rsidRPr="007C5A6E">
        <w:rPr>
          <w:rFonts w:ascii="Times New Roman" w:hAnsi="Times New Roman"/>
          <w:sz w:val="24"/>
          <w:szCs w:val="24"/>
        </w:rPr>
        <w:t>azins</w:t>
      </w:r>
      <w:r w:rsidRPr="007C5A6E">
        <w:rPr>
          <w:rFonts w:ascii="Times New Roman" w:hAnsi="Times New Roman"/>
          <w:sz w:val="24"/>
          <w:szCs w:val="24"/>
        </w:rPr>
        <w:t xml:space="preserve">, 177 000 équins, 29 000 camelins et plus de 31 millions de volailles (DGESS/MARAH, 2022). Les estimations en 2017 (REEB4) étaient de 9,6 millions de têtes de bovins ; 9,8 millions d’ovins ; 1,2 millions </w:t>
      </w:r>
      <w:r w:rsidR="004B0D7B" w:rsidRPr="007C5A6E">
        <w:rPr>
          <w:rFonts w:ascii="Times New Roman" w:hAnsi="Times New Roman"/>
          <w:sz w:val="24"/>
          <w:szCs w:val="24"/>
        </w:rPr>
        <w:t>d’azins ;</w:t>
      </w:r>
      <w:r w:rsidRPr="007C5A6E">
        <w:rPr>
          <w:rFonts w:ascii="Times New Roman" w:hAnsi="Times New Roman"/>
          <w:sz w:val="24"/>
          <w:szCs w:val="24"/>
        </w:rPr>
        <w:t xml:space="preserve"> soit une augmentation de 2 millions de têtes en 2022, pour l’ensemble de ces trois catégories. Cette croissance du cheptel conjuguée au mode d'élevage de type extensif pratiqué au Burkina Faso, exerce des pressions sur les ressources naturelles entrainant ainsi la dégradation de l’environnement. </w:t>
      </w:r>
    </w:p>
    <w:p w14:paraId="7E8FD45F" w14:textId="77777777" w:rsidR="00CB4C35" w:rsidRPr="007C5A6E" w:rsidRDefault="00CB4C35" w:rsidP="00CB4C35">
      <w:pPr>
        <w:spacing w:after="0" w:line="240" w:lineRule="auto"/>
        <w:jc w:val="both"/>
        <w:rPr>
          <w:rFonts w:ascii="Times New Roman" w:hAnsi="Times New Roman"/>
          <w:sz w:val="24"/>
          <w:szCs w:val="24"/>
        </w:rPr>
      </w:pPr>
    </w:p>
    <w:p w14:paraId="7F06948A" w14:textId="72D93B2F" w:rsidR="004B0D7B"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 xml:space="preserve">Le pays dispose de 26 zones pastorales aménagées et de 187 zones et aires de pâtures potentielles couvrant ainsi une superficie d’environ 2 millions d’ha (DGEAP, 2013). Toutes les régions et zones agroécologiques du pays sont utilisées par les pasteurs, avec toutefois, une disparité de répartition des effectifs du cheptel (Tableau </w:t>
      </w:r>
      <w:r w:rsidR="00F34CA1" w:rsidRPr="007C5A6E">
        <w:rPr>
          <w:rFonts w:ascii="Times New Roman" w:hAnsi="Times New Roman"/>
          <w:sz w:val="24"/>
          <w:szCs w:val="24"/>
        </w:rPr>
        <w:t>40</w:t>
      </w:r>
      <w:r w:rsidRPr="007C5A6E">
        <w:rPr>
          <w:rFonts w:ascii="Times New Roman" w:hAnsi="Times New Roman"/>
          <w:sz w:val="24"/>
          <w:szCs w:val="24"/>
        </w:rPr>
        <w:t xml:space="preserve"> ; Figure </w:t>
      </w:r>
      <w:r w:rsidR="004B0D7B" w:rsidRPr="007C5A6E">
        <w:rPr>
          <w:rFonts w:ascii="Times New Roman" w:hAnsi="Times New Roman"/>
          <w:sz w:val="24"/>
          <w:szCs w:val="24"/>
        </w:rPr>
        <w:t>59</w:t>
      </w:r>
      <w:r w:rsidRPr="007C5A6E">
        <w:rPr>
          <w:rFonts w:ascii="Times New Roman" w:hAnsi="Times New Roman"/>
          <w:sz w:val="24"/>
          <w:szCs w:val="24"/>
        </w:rPr>
        <w:t xml:space="preserve">), du fait de la persistance du système d’élevage extensif et la réduction des aires de parcours du bétail (espace pastoral) liées aux activités humaines et les effets climatique (UICN, 2022). </w:t>
      </w:r>
    </w:p>
    <w:p w14:paraId="71746288" w14:textId="088F5D9A" w:rsidR="004B0D7B"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 xml:space="preserve">Il en résulte un déséquilibre entre la charge animale et la capacité de charge des formations végétales (qui est constamment en dépassement). La pression de pâturage impact sur la diversité des espèces en affectant la taille, la circonférence basale, le volume de la canopée, la surface basale et la densité des arbres. </w:t>
      </w:r>
    </w:p>
    <w:p w14:paraId="4FBC83BE" w14:textId="77777777" w:rsidR="004B0D7B"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L’environnement déséquilibré en transition constante engendre des pâturages dont la quantité et la qualité de la production sont très variables et imprévisible dans le temps et l’espace (</w:t>
      </w:r>
      <w:bookmarkStart w:id="978" w:name="_Hlk182481951"/>
      <w:r w:rsidRPr="007C5A6E">
        <w:rPr>
          <w:rFonts w:ascii="Times New Roman" w:hAnsi="Times New Roman"/>
          <w:sz w:val="24"/>
          <w:szCs w:val="24"/>
        </w:rPr>
        <w:t>GREENOUGH et ZAMPALIGRE, 2017</w:t>
      </w:r>
      <w:bookmarkEnd w:id="978"/>
      <w:r w:rsidRPr="007C5A6E">
        <w:rPr>
          <w:rFonts w:ascii="Times New Roman" w:hAnsi="Times New Roman"/>
          <w:sz w:val="24"/>
          <w:szCs w:val="24"/>
        </w:rPr>
        <w:t xml:space="preserve">). Cette problématique est souvent plus fréquente dans les zones à faible résilience (steppes, savanes herbeuses) qui sont caractérisées par une production de biomasse irrégulière. Une pression de pâturage excessive sur les écosystèmes à steppes et savanes herbeuses conduit à une fragmentation du couvert herbacé et augmentation de la surface de sol nu (UICN, 2022). </w:t>
      </w:r>
    </w:p>
    <w:p w14:paraId="6ED33E2A" w14:textId="59E8B6E0"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Ainsi, la dégradation des zones de pâturages, est une source de menace inquiétante pour la diversité biologique. Bien que la quantification de cet impact ne soit pas disponible, on constate toutefois que de nombreux systèmes de pâturages sont en cours de désertification. Souvent ces systèmes sont dominés par quelques espèces ligneuses qui dominent la majorité de la surface et laissent peu de couvert herbacé.</w:t>
      </w:r>
    </w:p>
    <w:p w14:paraId="3904C2A0" w14:textId="77777777" w:rsidR="00CB4C35" w:rsidRPr="007C5A6E" w:rsidRDefault="00CB4C35" w:rsidP="00CB4C35">
      <w:pPr>
        <w:spacing w:after="0" w:line="240" w:lineRule="auto"/>
        <w:jc w:val="both"/>
        <w:rPr>
          <w:rFonts w:ascii="Times New Roman" w:hAnsi="Times New Roman"/>
          <w:sz w:val="24"/>
          <w:szCs w:val="24"/>
        </w:rPr>
      </w:pPr>
    </w:p>
    <w:p w14:paraId="7A2F873F" w14:textId="095460B3" w:rsidR="00CB4C35" w:rsidRPr="007C5A6E" w:rsidRDefault="004B0D7B" w:rsidP="004B0D7B">
      <w:pPr>
        <w:pStyle w:val="Lgende"/>
        <w:spacing w:after="0"/>
        <w:rPr>
          <w:rFonts w:ascii="Times New Roman" w:eastAsia="Calibri" w:hAnsi="Times New Roman"/>
          <w:i w:val="0"/>
          <w:iCs w:val="0"/>
          <w:color w:val="auto"/>
          <w:sz w:val="24"/>
          <w:szCs w:val="24"/>
          <w:lang w:eastAsia="en-US"/>
          <w14:ligatures w14:val="standardContextual"/>
        </w:rPr>
      </w:pPr>
      <w:bookmarkStart w:id="979" w:name="_Toc182575497"/>
      <w:bookmarkStart w:id="980" w:name="_Toc183241002"/>
      <w:bookmarkStart w:id="981" w:name="_Toc183292244"/>
      <w:bookmarkStart w:id="982" w:name="_Toc183340524"/>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2314C4" w:rsidRPr="007C5A6E">
        <w:rPr>
          <w:rFonts w:ascii="Times New Roman" w:hAnsi="Times New Roman"/>
          <w:i w:val="0"/>
          <w:iCs w:val="0"/>
          <w:noProof/>
          <w:color w:val="auto"/>
          <w:sz w:val="24"/>
          <w:szCs w:val="24"/>
        </w:rPr>
        <w:t>40</w:t>
      </w:r>
      <w:r w:rsidRPr="007C5A6E">
        <w:rPr>
          <w:rFonts w:ascii="Times New Roman" w:hAnsi="Times New Roman"/>
          <w:i w:val="0"/>
          <w:iCs w:val="0"/>
          <w:color w:val="auto"/>
          <w:sz w:val="24"/>
          <w:szCs w:val="24"/>
        </w:rPr>
        <w:fldChar w:fldCharType="end"/>
      </w:r>
      <w:r w:rsidR="002314C4" w:rsidRPr="007C5A6E">
        <w:rPr>
          <w:rFonts w:ascii="Times New Roman" w:hAnsi="Times New Roman"/>
          <w:i w:val="0"/>
          <w:iCs w:val="0"/>
          <w:color w:val="auto"/>
          <w:sz w:val="24"/>
          <w:szCs w:val="24"/>
        </w:rPr>
        <w:t xml:space="preserve"> </w:t>
      </w:r>
      <w:r w:rsidR="00CB4C35" w:rsidRPr="007C5A6E">
        <w:rPr>
          <w:rFonts w:ascii="Times New Roman" w:eastAsia="Calibri" w:hAnsi="Times New Roman"/>
          <w:i w:val="0"/>
          <w:iCs w:val="0"/>
          <w:color w:val="auto"/>
          <w:sz w:val="24"/>
          <w:szCs w:val="24"/>
          <w:lang w:eastAsia="en-US"/>
          <w14:ligatures w14:val="standardContextual"/>
        </w:rPr>
        <w:t>: Evolution des effectifs du cheptel par espèce (en milliers de têtes)</w:t>
      </w:r>
      <w:bookmarkEnd w:id="979"/>
      <w:bookmarkEnd w:id="980"/>
      <w:bookmarkEnd w:id="981"/>
      <w:bookmarkEnd w:id="982"/>
    </w:p>
    <w:p w14:paraId="4F51A747" w14:textId="77777777" w:rsidR="004B0D7B" w:rsidRPr="007C5A6E" w:rsidRDefault="004B0D7B" w:rsidP="00CB4C35">
      <w:pPr>
        <w:spacing w:after="0" w:line="240" w:lineRule="auto"/>
        <w:rPr>
          <w:rFonts w:ascii="Times New Roman" w:eastAsia="Calibri" w:hAnsi="Times New Roman"/>
          <w:sz w:val="24"/>
          <w:szCs w:val="24"/>
          <w:lang w:eastAsia="en-US"/>
          <w14:ligatures w14:val="standardContextual"/>
        </w:rPr>
      </w:pPr>
    </w:p>
    <w:tbl>
      <w:tblPr>
        <w:tblW w:w="8900" w:type="dxa"/>
        <w:tblCellMar>
          <w:left w:w="70" w:type="dxa"/>
          <w:right w:w="70" w:type="dxa"/>
        </w:tblCellMar>
        <w:tblLook w:val="04A0" w:firstRow="1" w:lastRow="0" w:firstColumn="1" w:lastColumn="0" w:noHBand="0" w:noVBand="1"/>
      </w:tblPr>
      <w:tblGrid>
        <w:gridCol w:w="1100"/>
        <w:gridCol w:w="1000"/>
        <w:gridCol w:w="960"/>
        <w:gridCol w:w="960"/>
        <w:gridCol w:w="960"/>
        <w:gridCol w:w="960"/>
        <w:gridCol w:w="960"/>
        <w:gridCol w:w="960"/>
        <w:gridCol w:w="1040"/>
      </w:tblGrid>
      <w:tr w:rsidR="00CB4C35" w:rsidRPr="007C5A6E" w14:paraId="149BD640" w14:textId="77777777" w:rsidTr="004B0D7B">
        <w:trPr>
          <w:trHeight w:val="300"/>
        </w:trPr>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647F04"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 </w:t>
            </w:r>
          </w:p>
        </w:tc>
        <w:tc>
          <w:tcPr>
            <w:tcW w:w="1000" w:type="dxa"/>
            <w:tcBorders>
              <w:top w:val="single" w:sz="4" w:space="0" w:color="auto"/>
              <w:left w:val="nil"/>
              <w:bottom w:val="single" w:sz="4" w:space="0" w:color="auto"/>
              <w:right w:val="single" w:sz="4" w:space="0" w:color="auto"/>
            </w:tcBorders>
            <w:shd w:val="clear" w:color="auto" w:fill="002060"/>
            <w:noWrap/>
            <w:vAlign w:val="bottom"/>
            <w:hideMark/>
          </w:tcPr>
          <w:p w14:paraId="06696B23" w14:textId="77777777" w:rsidR="00CB4C35" w:rsidRPr="007C5A6E" w:rsidRDefault="00CB4C35" w:rsidP="00CB4C35">
            <w:pPr>
              <w:spacing w:after="0" w:line="240" w:lineRule="auto"/>
              <w:jc w:val="both"/>
              <w:rPr>
                <w:rFonts w:ascii="Times New Roman" w:hAnsi="Times New Roman"/>
                <w:b/>
                <w:bCs/>
                <w:sz w:val="21"/>
                <w:szCs w:val="21"/>
              </w:rPr>
            </w:pPr>
            <w:r w:rsidRPr="007C5A6E">
              <w:rPr>
                <w:rFonts w:ascii="Times New Roman" w:hAnsi="Times New Roman"/>
                <w:b/>
                <w:bCs/>
                <w:sz w:val="21"/>
                <w:szCs w:val="21"/>
              </w:rPr>
              <w:t>2015</w:t>
            </w:r>
          </w:p>
        </w:tc>
        <w:tc>
          <w:tcPr>
            <w:tcW w:w="960" w:type="dxa"/>
            <w:tcBorders>
              <w:top w:val="single" w:sz="4" w:space="0" w:color="auto"/>
              <w:left w:val="nil"/>
              <w:bottom w:val="single" w:sz="4" w:space="0" w:color="auto"/>
              <w:right w:val="single" w:sz="4" w:space="0" w:color="auto"/>
            </w:tcBorders>
            <w:shd w:val="clear" w:color="auto" w:fill="002060"/>
            <w:noWrap/>
            <w:vAlign w:val="bottom"/>
            <w:hideMark/>
          </w:tcPr>
          <w:p w14:paraId="153FD76A" w14:textId="77777777" w:rsidR="00CB4C35" w:rsidRPr="007C5A6E" w:rsidRDefault="00CB4C35" w:rsidP="00CB4C35">
            <w:pPr>
              <w:spacing w:after="0" w:line="240" w:lineRule="auto"/>
              <w:jc w:val="both"/>
              <w:rPr>
                <w:rFonts w:ascii="Times New Roman" w:hAnsi="Times New Roman"/>
                <w:b/>
                <w:bCs/>
                <w:sz w:val="21"/>
                <w:szCs w:val="21"/>
              </w:rPr>
            </w:pPr>
            <w:r w:rsidRPr="007C5A6E">
              <w:rPr>
                <w:rFonts w:ascii="Times New Roman" w:hAnsi="Times New Roman"/>
                <w:b/>
                <w:bCs/>
                <w:sz w:val="21"/>
                <w:szCs w:val="21"/>
              </w:rPr>
              <w:t>2016</w:t>
            </w:r>
          </w:p>
        </w:tc>
        <w:tc>
          <w:tcPr>
            <w:tcW w:w="960" w:type="dxa"/>
            <w:tcBorders>
              <w:top w:val="single" w:sz="4" w:space="0" w:color="auto"/>
              <w:left w:val="nil"/>
              <w:bottom w:val="single" w:sz="4" w:space="0" w:color="auto"/>
              <w:right w:val="single" w:sz="4" w:space="0" w:color="auto"/>
            </w:tcBorders>
            <w:shd w:val="clear" w:color="auto" w:fill="002060"/>
            <w:noWrap/>
            <w:vAlign w:val="bottom"/>
            <w:hideMark/>
          </w:tcPr>
          <w:p w14:paraId="4D37ABBD" w14:textId="77777777" w:rsidR="00CB4C35" w:rsidRPr="007C5A6E" w:rsidRDefault="00CB4C35" w:rsidP="00CB4C35">
            <w:pPr>
              <w:spacing w:after="0" w:line="240" w:lineRule="auto"/>
              <w:jc w:val="both"/>
              <w:rPr>
                <w:rFonts w:ascii="Times New Roman" w:hAnsi="Times New Roman"/>
                <w:b/>
                <w:bCs/>
                <w:sz w:val="21"/>
                <w:szCs w:val="21"/>
              </w:rPr>
            </w:pPr>
            <w:r w:rsidRPr="007C5A6E">
              <w:rPr>
                <w:rFonts w:ascii="Times New Roman" w:hAnsi="Times New Roman"/>
                <w:b/>
                <w:bCs/>
                <w:sz w:val="21"/>
                <w:szCs w:val="21"/>
              </w:rPr>
              <w:t>2017</w:t>
            </w:r>
          </w:p>
        </w:tc>
        <w:tc>
          <w:tcPr>
            <w:tcW w:w="960" w:type="dxa"/>
            <w:tcBorders>
              <w:top w:val="single" w:sz="4" w:space="0" w:color="auto"/>
              <w:left w:val="nil"/>
              <w:bottom w:val="single" w:sz="4" w:space="0" w:color="auto"/>
              <w:right w:val="single" w:sz="4" w:space="0" w:color="auto"/>
            </w:tcBorders>
            <w:shd w:val="clear" w:color="auto" w:fill="002060"/>
            <w:noWrap/>
            <w:vAlign w:val="bottom"/>
            <w:hideMark/>
          </w:tcPr>
          <w:p w14:paraId="6BC44E45" w14:textId="77777777" w:rsidR="00CB4C35" w:rsidRPr="007C5A6E" w:rsidRDefault="00CB4C35" w:rsidP="00CB4C35">
            <w:pPr>
              <w:spacing w:after="0" w:line="240" w:lineRule="auto"/>
              <w:jc w:val="both"/>
              <w:rPr>
                <w:rFonts w:ascii="Times New Roman" w:hAnsi="Times New Roman"/>
                <w:b/>
                <w:bCs/>
                <w:sz w:val="21"/>
                <w:szCs w:val="21"/>
              </w:rPr>
            </w:pPr>
            <w:r w:rsidRPr="007C5A6E">
              <w:rPr>
                <w:rFonts w:ascii="Times New Roman" w:hAnsi="Times New Roman"/>
                <w:b/>
                <w:bCs/>
                <w:sz w:val="21"/>
                <w:szCs w:val="21"/>
              </w:rPr>
              <w:t>2018</w:t>
            </w:r>
          </w:p>
        </w:tc>
        <w:tc>
          <w:tcPr>
            <w:tcW w:w="960" w:type="dxa"/>
            <w:tcBorders>
              <w:top w:val="single" w:sz="4" w:space="0" w:color="auto"/>
              <w:left w:val="nil"/>
              <w:bottom w:val="single" w:sz="4" w:space="0" w:color="auto"/>
              <w:right w:val="single" w:sz="4" w:space="0" w:color="auto"/>
            </w:tcBorders>
            <w:shd w:val="clear" w:color="auto" w:fill="002060"/>
            <w:noWrap/>
            <w:vAlign w:val="bottom"/>
            <w:hideMark/>
          </w:tcPr>
          <w:p w14:paraId="64FB9A63" w14:textId="77777777" w:rsidR="00CB4C35" w:rsidRPr="007C5A6E" w:rsidRDefault="00CB4C35" w:rsidP="00CB4C35">
            <w:pPr>
              <w:spacing w:after="0" w:line="240" w:lineRule="auto"/>
              <w:jc w:val="both"/>
              <w:rPr>
                <w:rFonts w:ascii="Times New Roman" w:hAnsi="Times New Roman"/>
                <w:b/>
                <w:bCs/>
                <w:sz w:val="21"/>
                <w:szCs w:val="21"/>
              </w:rPr>
            </w:pPr>
            <w:r w:rsidRPr="007C5A6E">
              <w:rPr>
                <w:rFonts w:ascii="Times New Roman" w:hAnsi="Times New Roman"/>
                <w:b/>
                <w:bCs/>
                <w:sz w:val="21"/>
                <w:szCs w:val="21"/>
              </w:rPr>
              <w:t>2019</w:t>
            </w:r>
          </w:p>
        </w:tc>
        <w:tc>
          <w:tcPr>
            <w:tcW w:w="960" w:type="dxa"/>
            <w:tcBorders>
              <w:top w:val="single" w:sz="4" w:space="0" w:color="auto"/>
              <w:left w:val="nil"/>
              <w:bottom w:val="single" w:sz="4" w:space="0" w:color="auto"/>
              <w:right w:val="single" w:sz="4" w:space="0" w:color="auto"/>
            </w:tcBorders>
            <w:shd w:val="clear" w:color="auto" w:fill="002060"/>
            <w:noWrap/>
            <w:vAlign w:val="bottom"/>
            <w:hideMark/>
          </w:tcPr>
          <w:p w14:paraId="235EA268" w14:textId="77777777" w:rsidR="00CB4C35" w:rsidRPr="007C5A6E" w:rsidRDefault="00CB4C35" w:rsidP="00CB4C35">
            <w:pPr>
              <w:spacing w:after="0" w:line="240" w:lineRule="auto"/>
              <w:jc w:val="both"/>
              <w:rPr>
                <w:rFonts w:ascii="Times New Roman" w:hAnsi="Times New Roman"/>
                <w:b/>
                <w:bCs/>
                <w:sz w:val="21"/>
                <w:szCs w:val="21"/>
              </w:rPr>
            </w:pPr>
            <w:r w:rsidRPr="007C5A6E">
              <w:rPr>
                <w:rFonts w:ascii="Times New Roman" w:hAnsi="Times New Roman"/>
                <w:b/>
                <w:bCs/>
                <w:sz w:val="21"/>
                <w:szCs w:val="21"/>
              </w:rPr>
              <w:t>2020</w:t>
            </w:r>
          </w:p>
        </w:tc>
        <w:tc>
          <w:tcPr>
            <w:tcW w:w="960" w:type="dxa"/>
            <w:tcBorders>
              <w:top w:val="single" w:sz="4" w:space="0" w:color="auto"/>
              <w:left w:val="nil"/>
              <w:bottom w:val="single" w:sz="4" w:space="0" w:color="auto"/>
              <w:right w:val="single" w:sz="4" w:space="0" w:color="auto"/>
            </w:tcBorders>
            <w:shd w:val="clear" w:color="auto" w:fill="002060"/>
            <w:noWrap/>
            <w:vAlign w:val="bottom"/>
            <w:hideMark/>
          </w:tcPr>
          <w:p w14:paraId="00892C7A" w14:textId="77777777" w:rsidR="00CB4C35" w:rsidRPr="007C5A6E" w:rsidRDefault="00CB4C35" w:rsidP="00CB4C35">
            <w:pPr>
              <w:spacing w:after="0" w:line="240" w:lineRule="auto"/>
              <w:jc w:val="both"/>
              <w:rPr>
                <w:rFonts w:ascii="Times New Roman" w:hAnsi="Times New Roman"/>
                <w:b/>
                <w:bCs/>
                <w:sz w:val="21"/>
                <w:szCs w:val="21"/>
              </w:rPr>
            </w:pPr>
            <w:r w:rsidRPr="007C5A6E">
              <w:rPr>
                <w:rFonts w:ascii="Times New Roman" w:hAnsi="Times New Roman"/>
                <w:b/>
                <w:bCs/>
                <w:sz w:val="21"/>
                <w:szCs w:val="21"/>
              </w:rPr>
              <w:t>2021</w:t>
            </w:r>
          </w:p>
        </w:tc>
        <w:tc>
          <w:tcPr>
            <w:tcW w:w="1040" w:type="dxa"/>
            <w:tcBorders>
              <w:top w:val="single" w:sz="4" w:space="0" w:color="auto"/>
              <w:left w:val="nil"/>
              <w:bottom w:val="single" w:sz="4" w:space="0" w:color="auto"/>
              <w:right w:val="single" w:sz="4" w:space="0" w:color="auto"/>
            </w:tcBorders>
            <w:shd w:val="clear" w:color="auto" w:fill="002060"/>
            <w:noWrap/>
            <w:vAlign w:val="bottom"/>
            <w:hideMark/>
          </w:tcPr>
          <w:p w14:paraId="297BFCBE"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2022</w:t>
            </w:r>
          </w:p>
        </w:tc>
      </w:tr>
      <w:tr w:rsidR="00CB4C35" w:rsidRPr="007C5A6E" w14:paraId="5207C34A" w14:textId="77777777" w:rsidTr="001461B0">
        <w:trPr>
          <w:trHeight w:val="300"/>
        </w:trPr>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39771055" w14:textId="77777777" w:rsidR="00CB4C35" w:rsidRPr="007C5A6E" w:rsidRDefault="00CB4C35" w:rsidP="00CB4C35">
            <w:pPr>
              <w:spacing w:after="0" w:line="240" w:lineRule="auto"/>
              <w:jc w:val="both"/>
              <w:rPr>
                <w:rFonts w:ascii="Times New Roman" w:hAnsi="Times New Roman"/>
                <w:b/>
                <w:bCs/>
                <w:sz w:val="21"/>
                <w:szCs w:val="21"/>
              </w:rPr>
            </w:pPr>
            <w:proofErr w:type="spellStart"/>
            <w:r w:rsidRPr="007C5A6E">
              <w:rPr>
                <w:rFonts w:ascii="Times New Roman" w:hAnsi="Times New Roman"/>
                <w:b/>
                <w:bCs/>
                <w:sz w:val="21"/>
                <w:szCs w:val="21"/>
              </w:rPr>
              <w:t>Asins</w:t>
            </w:r>
            <w:proofErr w:type="spellEnd"/>
          </w:p>
        </w:tc>
        <w:tc>
          <w:tcPr>
            <w:tcW w:w="1000" w:type="dxa"/>
            <w:tcBorders>
              <w:top w:val="nil"/>
              <w:left w:val="nil"/>
              <w:bottom w:val="single" w:sz="4" w:space="0" w:color="auto"/>
              <w:right w:val="single" w:sz="4" w:space="0" w:color="auto"/>
            </w:tcBorders>
            <w:shd w:val="clear" w:color="auto" w:fill="auto"/>
            <w:noWrap/>
            <w:vAlign w:val="bottom"/>
            <w:hideMark/>
          </w:tcPr>
          <w:p w14:paraId="27BA5C1E"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1159,6</w:t>
            </w:r>
          </w:p>
        </w:tc>
        <w:tc>
          <w:tcPr>
            <w:tcW w:w="960" w:type="dxa"/>
            <w:tcBorders>
              <w:top w:val="nil"/>
              <w:left w:val="nil"/>
              <w:bottom w:val="single" w:sz="4" w:space="0" w:color="auto"/>
              <w:right w:val="single" w:sz="4" w:space="0" w:color="auto"/>
            </w:tcBorders>
            <w:shd w:val="clear" w:color="auto" w:fill="auto"/>
            <w:noWrap/>
            <w:vAlign w:val="bottom"/>
            <w:hideMark/>
          </w:tcPr>
          <w:p w14:paraId="336CB4C7"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1182,7</w:t>
            </w:r>
          </w:p>
        </w:tc>
        <w:tc>
          <w:tcPr>
            <w:tcW w:w="960" w:type="dxa"/>
            <w:tcBorders>
              <w:top w:val="nil"/>
              <w:left w:val="nil"/>
              <w:bottom w:val="single" w:sz="4" w:space="0" w:color="auto"/>
              <w:right w:val="single" w:sz="4" w:space="0" w:color="auto"/>
            </w:tcBorders>
            <w:shd w:val="clear" w:color="auto" w:fill="auto"/>
            <w:noWrap/>
            <w:vAlign w:val="bottom"/>
            <w:hideMark/>
          </w:tcPr>
          <w:p w14:paraId="6C6013E0"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1206,4</w:t>
            </w:r>
          </w:p>
        </w:tc>
        <w:tc>
          <w:tcPr>
            <w:tcW w:w="960" w:type="dxa"/>
            <w:tcBorders>
              <w:top w:val="nil"/>
              <w:left w:val="nil"/>
              <w:bottom w:val="single" w:sz="4" w:space="0" w:color="auto"/>
              <w:right w:val="single" w:sz="4" w:space="0" w:color="auto"/>
            </w:tcBorders>
            <w:shd w:val="clear" w:color="auto" w:fill="auto"/>
            <w:noWrap/>
            <w:vAlign w:val="bottom"/>
            <w:hideMark/>
          </w:tcPr>
          <w:p w14:paraId="3CE7738F"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1230,5</w:t>
            </w:r>
          </w:p>
        </w:tc>
        <w:tc>
          <w:tcPr>
            <w:tcW w:w="960" w:type="dxa"/>
            <w:tcBorders>
              <w:top w:val="nil"/>
              <w:left w:val="nil"/>
              <w:bottom w:val="single" w:sz="4" w:space="0" w:color="auto"/>
              <w:right w:val="single" w:sz="4" w:space="0" w:color="auto"/>
            </w:tcBorders>
            <w:shd w:val="clear" w:color="auto" w:fill="auto"/>
            <w:noWrap/>
            <w:vAlign w:val="bottom"/>
            <w:hideMark/>
          </w:tcPr>
          <w:p w14:paraId="1649001B"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1256,3</w:t>
            </w:r>
          </w:p>
        </w:tc>
        <w:tc>
          <w:tcPr>
            <w:tcW w:w="960" w:type="dxa"/>
            <w:tcBorders>
              <w:top w:val="nil"/>
              <w:left w:val="nil"/>
              <w:bottom w:val="single" w:sz="4" w:space="0" w:color="auto"/>
              <w:right w:val="single" w:sz="4" w:space="0" w:color="auto"/>
            </w:tcBorders>
            <w:shd w:val="clear" w:color="auto" w:fill="auto"/>
            <w:noWrap/>
            <w:vAlign w:val="bottom"/>
            <w:hideMark/>
          </w:tcPr>
          <w:p w14:paraId="0995C668"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1465,4</w:t>
            </w:r>
          </w:p>
        </w:tc>
        <w:tc>
          <w:tcPr>
            <w:tcW w:w="960" w:type="dxa"/>
            <w:tcBorders>
              <w:top w:val="nil"/>
              <w:left w:val="nil"/>
              <w:bottom w:val="single" w:sz="4" w:space="0" w:color="auto"/>
              <w:right w:val="single" w:sz="4" w:space="0" w:color="auto"/>
            </w:tcBorders>
            <w:shd w:val="clear" w:color="auto" w:fill="auto"/>
            <w:noWrap/>
            <w:vAlign w:val="bottom"/>
            <w:hideMark/>
          </w:tcPr>
          <w:p w14:paraId="51E938E8"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1530</w:t>
            </w:r>
          </w:p>
        </w:tc>
        <w:tc>
          <w:tcPr>
            <w:tcW w:w="1040" w:type="dxa"/>
            <w:tcBorders>
              <w:top w:val="nil"/>
              <w:left w:val="nil"/>
              <w:bottom w:val="single" w:sz="4" w:space="0" w:color="auto"/>
              <w:right w:val="single" w:sz="4" w:space="0" w:color="auto"/>
            </w:tcBorders>
            <w:shd w:val="clear" w:color="auto" w:fill="auto"/>
            <w:noWrap/>
            <w:vAlign w:val="bottom"/>
            <w:hideMark/>
          </w:tcPr>
          <w:p w14:paraId="7B38EDCD"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1 564</w:t>
            </w:r>
          </w:p>
        </w:tc>
      </w:tr>
      <w:tr w:rsidR="00CB4C35" w:rsidRPr="007C5A6E" w14:paraId="54F08D2A" w14:textId="77777777" w:rsidTr="001461B0">
        <w:trPr>
          <w:trHeight w:val="300"/>
        </w:trPr>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0EDBC46E" w14:textId="77777777" w:rsidR="00CB4C35" w:rsidRPr="007C5A6E" w:rsidRDefault="00CB4C35" w:rsidP="00CB4C35">
            <w:pPr>
              <w:spacing w:after="0" w:line="240" w:lineRule="auto"/>
              <w:jc w:val="both"/>
              <w:rPr>
                <w:rFonts w:ascii="Times New Roman" w:hAnsi="Times New Roman"/>
                <w:b/>
                <w:bCs/>
                <w:sz w:val="21"/>
                <w:szCs w:val="21"/>
              </w:rPr>
            </w:pPr>
            <w:r w:rsidRPr="007C5A6E">
              <w:rPr>
                <w:rFonts w:ascii="Times New Roman" w:hAnsi="Times New Roman"/>
                <w:b/>
                <w:bCs/>
                <w:sz w:val="21"/>
                <w:szCs w:val="21"/>
              </w:rPr>
              <w:t>Bovins</w:t>
            </w:r>
          </w:p>
        </w:tc>
        <w:tc>
          <w:tcPr>
            <w:tcW w:w="1000" w:type="dxa"/>
            <w:tcBorders>
              <w:top w:val="nil"/>
              <w:left w:val="nil"/>
              <w:bottom w:val="single" w:sz="4" w:space="0" w:color="auto"/>
              <w:right w:val="single" w:sz="4" w:space="0" w:color="auto"/>
            </w:tcBorders>
            <w:shd w:val="clear" w:color="auto" w:fill="auto"/>
            <w:noWrap/>
            <w:vAlign w:val="bottom"/>
            <w:hideMark/>
          </w:tcPr>
          <w:p w14:paraId="200B5B92"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9272,5</w:t>
            </w:r>
          </w:p>
        </w:tc>
        <w:tc>
          <w:tcPr>
            <w:tcW w:w="960" w:type="dxa"/>
            <w:tcBorders>
              <w:top w:val="nil"/>
              <w:left w:val="nil"/>
              <w:bottom w:val="single" w:sz="4" w:space="0" w:color="auto"/>
              <w:right w:val="single" w:sz="4" w:space="0" w:color="auto"/>
            </w:tcBorders>
            <w:shd w:val="clear" w:color="auto" w:fill="auto"/>
            <w:noWrap/>
            <w:vAlign w:val="bottom"/>
            <w:hideMark/>
          </w:tcPr>
          <w:p w14:paraId="6EC4BEF0"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9457,9</w:t>
            </w:r>
          </w:p>
        </w:tc>
        <w:tc>
          <w:tcPr>
            <w:tcW w:w="960" w:type="dxa"/>
            <w:tcBorders>
              <w:top w:val="nil"/>
              <w:left w:val="nil"/>
              <w:bottom w:val="single" w:sz="4" w:space="0" w:color="auto"/>
              <w:right w:val="single" w:sz="4" w:space="0" w:color="auto"/>
            </w:tcBorders>
            <w:shd w:val="clear" w:color="auto" w:fill="auto"/>
            <w:noWrap/>
            <w:vAlign w:val="bottom"/>
            <w:hideMark/>
          </w:tcPr>
          <w:p w14:paraId="0CDDE14C"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9647,1</w:t>
            </w:r>
          </w:p>
        </w:tc>
        <w:tc>
          <w:tcPr>
            <w:tcW w:w="960" w:type="dxa"/>
            <w:tcBorders>
              <w:top w:val="nil"/>
              <w:left w:val="nil"/>
              <w:bottom w:val="single" w:sz="4" w:space="0" w:color="auto"/>
              <w:right w:val="single" w:sz="4" w:space="0" w:color="auto"/>
            </w:tcBorders>
            <w:shd w:val="clear" w:color="auto" w:fill="auto"/>
            <w:noWrap/>
            <w:vAlign w:val="bottom"/>
            <w:hideMark/>
          </w:tcPr>
          <w:p w14:paraId="3718C77F"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9840</w:t>
            </w:r>
          </w:p>
        </w:tc>
        <w:tc>
          <w:tcPr>
            <w:tcW w:w="960" w:type="dxa"/>
            <w:tcBorders>
              <w:top w:val="nil"/>
              <w:left w:val="nil"/>
              <w:bottom w:val="single" w:sz="4" w:space="0" w:color="auto"/>
              <w:right w:val="single" w:sz="4" w:space="0" w:color="auto"/>
            </w:tcBorders>
            <w:shd w:val="clear" w:color="auto" w:fill="auto"/>
            <w:noWrap/>
            <w:vAlign w:val="bottom"/>
            <w:hideMark/>
          </w:tcPr>
          <w:p w14:paraId="4CAA3764"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10046,8</w:t>
            </w:r>
          </w:p>
        </w:tc>
        <w:tc>
          <w:tcPr>
            <w:tcW w:w="960" w:type="dxa"/>
            <w:tcBorders>
              <w:top w:val="nil"/>
              <w:left w:val="nil"/>
              <w:bottom w:val="single" w:sz="4" w:space="0" w:color="auto"/>
              <w:right w:val="single" w:sz="4" w:space="0" w:color="auto"/>
            </w:tcBorders>
            <w:shd w:val="clear" w:color="auto" w:fill="auto"/>
            <w:noWrap/>
            <w:vAlign w:val="bottom"/>
            <w:hideMark/>
          </w:tcPr>
          <w:p w14:paraId="391BD284"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9544,9</w:t>
            </w:r>
          </w:p>
        </w:tc>
        <w:tc>
          <w:tcPr>
            <w:tcW w:w="960" w:type="dxa"/>
            <w:tcBorders>
              <w:top w:val="nil"/>
              <w:left w:val="nil"/>
              <w:bottom w:val="single" w:sz="4" w:space="0" w:color="auto"/>
              <w:right w:val="single" w:sz="4" w:space="0" w:color="auto"/>
            </w:tcBorders>
            <w:shd w:val="clear" w:color="auto" w:fill="auto"/>
            <w:noWrap/>
            <w:vAlign w:val="bottom"/>
            <w:hideMark/>
          </w:tcPr>
          <w:p w14:paraId="7B67EDF6"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9763,5</w:t>
            </w:r>
          </w:p>
        </w:tc>
        <w:tc>
          <w:tcPr>
            <w:tcW w:w="1040" w:type="dxa"/>
            <w:tcBorders>
              <w:top w:val="nil"/>
              <w:left w:val="nil"/>
              <w:bottom w:val="single" w:sz="4" w:space="0" w:color="auto"/>
              <w:right w:val="single" w:sz="4" w:space="0" w:color="auto"/>
            </w:tcBorders>
            <w:shd w:val="clear" w:color="auto" w:fill="auto"/>
            <w:noWrap/>
            <w:vAlign w:val="bottom"/>
            <w:hideMark/>
          </w:tcPr>
          <w:p w14:paraId="5D20F8AB"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9 940</w:t>
            </w:r>
          </w:p>
        </w:tc>
      </w:tr>
      <w:tr w:rsidR="00CB4C35" w:rsidRPr="007C5A6E" w14:paraId="0D7BAD40" w14:textId="77777777" w:rsidTr="001461B0">
        <w:trPr>
          <w:trHeight w:val="300"/>
        </w:trPr>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2B646451" w14:textId="77777777" w:rsidR="00CB4C35" w:rsidRPr="007C5A6E" w:rsidRDefault="00CB4C35" w:rsidP="00CB4C35">
            <w:pPr>
              <w:spacing w:after="0" w:line="240" w:lineRule="auto"/>
              <w:jc w:val="both"/>
              <w:rPr>
                <w:rFonts w:ascii="Times New Roman" w:hAnsi="Times New Roman"/>
                <w:b/>
                <w:bCs/>
                <w:sz w:val="21"/>
                <w:szCs w:val="21"/>
              </w:rPr>
            </w:pPr>
            <w:r w:rsidRPr="007C5A6E">
              <w:rPr>
                <w:rFonts w:ascii="Times New Roman" w:hAnsi="Times New Roman"/>
                <w:b/>
                <w:bCs/>
                <w:sz w:val="21"/>
                <w:szCs w:val="21"/>
              </w:rPr>
              <w:t>Camelins</w:t>
            </w:r>
          </w:p>
        </w:tc>
        <w:tc>
          <w:tcPr>
            <w:tcW w:w="1000" w:type="dxa"/>
            <w:tcBorders>
              <w:top w:val="nil"/>
              <w:left w:val="nil"/>
              <w:bottom w:val="single" w:sz="4" w:space="0" w:color="auto"/>
              <w:right w:val="single" w:sz="4" w:space="0" w:color="auto"/>
            </w:tcBorders>
            <w:shd w:val="clear" w:color="auto" w:fill="auto"/>
            <w:noWrap/>
            <w:vAlign w:val="bottom"/>
            <w:hideMark/>
          </w:tcPr>
          <w:p w14:paraId="45694C05"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18,7</w:t>
            </w:r>
          </w:p>
        </w:tc>
        <w:tc>
          <w:tcPr>
            <w:tcW w:w="960" w:type="dxa"/>
            <w:tcBorders>
              <w:top w:val="nil"/>
              <w:left w:val="nil"/>
              <w:bottom w:val="single" w:sz="4" w:space="0" w:color="auto"/>
              <w:right w:val="single" w:sz="4" w:space="0" w:color="auto"/>
            </w:tcBorders>
            <w:shd w:val="clear" w:color="auto" w:fill="auto"/>
            <w:noWrap/>
            <w:vAlign w:val="bottom"/>
            <w:hideMark/>
          </w:tcPr>
          <w:p w14:paraId="7396386D"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19,1</w:t>
            </w:r>
          </w:p>
        </w:tc>
        <w:tc>
          <w:tcPr>
            <w:tcW w:w="960" w:type="dxa"/>
            <w:tcBorders>
              <w:top w:val="nil"/>
              <w:left w:val="nil"/>
              <w:bottom w:val="single" w:sz="4" w:space="0" w:color="auto"/>
              <w:right w:val="single" w:sz="4" w:space="0" w:color="auto"/>
            </w:tcBorders>
            <w:shd w:val="clear" w:color="auto" w:fill="auto"/>
            <w:noWrap/>
            <w:vAlign w:val="bottom"/>
            <w:hideMark/>
          </w:tcPr>
          <w:p w14:paraId="64FF9AEB"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19,5</w:t>
            </w:r>
          </w:p>
        </w:tc>
        <w:tc>
          <w:tcPr>
            <w:tcW w:w="960" w:type="dxa"/>
            <w:tcBorders>
              <w:top w:val="nil"/>
              <w:left w:val="nil"/>
              <w:bottom w:val="single" w:sz="4" w:space="0" w:color="auto"/>
              <w:right w:val="single" w:sz="4" w:space="0" w:color="auto"/>
            </w:tcBorders>
            <w:shd w:val="clear" w:color="auto" w:fill="auto"/>
            <w:noWrap/>
            <w:vAlign w:val="bottom"/>
            <w:hideMark/>
          </w:tcPr>
          <w:p w14:paraId="3CE703CF"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19,9</w:t>
            </w:r>
          </w:p>
        </w:tc>
        <w:tc>
          <w:tcPr>
            <w:tcW w:w="960" w:type="dxa"/>
            <w:tcBorders>
              <w:top w:val="nil"/>
              <w:left w:val="nil"/>
              <w:bottom w:val="single" w:sz="4" w:space="0" w:color="auto"/>
              <w:right w:val="single" w:sz="4" w:space="0" w:color="auto"/>
            </w:tcBorders>
            <w:shd w:val="clear" w:color="auto" w:fill="auto"/>
            <w:noWrap/>
            <w:vAlign w:val="bottom"/>
            <w:hideMark/>
          </w:tcPr>
          <w:p w14:paraId="0589FF42"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20,3</w:t>
            </w:r>
          </w:p>
        </w:tc>
        <w:tc>
          <w:tcPr>
            <w:tcW w:w="960" w:type="dxa"/>
            <w:tcBorders>
              <w:top w:val="nil"/>
              <w:left w:val="nil"/>
              <w:bottom w:val="single" w:sz="4" w:space="0" w:color="auto"/>
              <w:right w:val="single" w:sz="4" w:space="0" w:color="auto"/>
            </w:tcBorders>
            <w:shd w:val="clear" w:color="auto" w:fill="auto"/>
            <w:noWrap/>
            <w:vAlign w:val="bottom"/>
            <w:hideMark/>
          </w:tcPr>
          <w:p w14:paraId="1A123F66"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158</w:t>
            </w:r>
          </w:p>
        </w:tc>
        <w:tc>
          <w:tcPr>
            <w:tcW w:w="960" w:type="dxa"/>
            <w:tcBorders>
              <w:top w:val="nil"/>
              <w:left w:val="nil"/>
              <w:bottom w:val="single" w:sz="4" w:space="0" w:color="auto"/>
              <w:right w:val="single" w:sz="4" w:space="0" w:color="auto"/>
            </w:tcBorders>
            <w:shd w:val="clear" w:color="auto" w:fill="auto"/>
            <w:noWrap/>
            <w:vAlign w:val="bottom"/>
            <w:hideMark/>
          </w:tcPr>
          <w:p w14:paraId="4916FD47"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167,7</w:t>
            </w:r>
          </w:p>
        </w:tc>
        <w:tc>
          <w:tcPr>
            <w:tcW w:w="1040" w:type="dxa"/>
            <w:tcBorders>
              <w:top w:val="nil"/>
              <w:left w:val="nil"/>
              <w:bottom w:val="single" w:sz="4" w:space="0" w:color="auto"/>
              <w:right w:val="single" w:sz="4" w:space="0" w:color="auto"/>
            </w:tcBorders>
            <w:shd w:val="clear" w:color="auto" w:fill="auto"/>
            <w:noWrap/>
            <w:vAlign w:val="bottom"/>
            <w:hideMark/>
          </w:tcPr>
          <w:p w14:paraId="11FF62BD"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29</w:t>
            </w:r>
          </w:p>
        </w:tc>
      </w:tr>
      <w:tr w:rsidR="00CB4C35" w:rsidRPr="007C5A6E" w14:paraId="233B0A45" w14:textId="77777777" w:rsidTr="001461B0">
        <w:trPr>
          <w:trHeight w:val="300"/>
        </w:trPr>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5CB239C1" w14:textId="77777777" w:rsidR="00CB4C35" w:rsidRPr="007C5A6E" w:rsidRDefault="00CB4C35" w:rsidP="00CB4C35">
            <w:pPr>
              <w:spacing w:after="0" w:line="240" w:lineRule="auto"/>
              <w:jc w:val="both"/>
              <w:rPr>
                <w:rFonts w:ascii="Times New Roman" w:hAnsi="Times New Roman"/>
                <w:b/>
                <w:bCs/>
                <w:sz w:val="21"/>
                <w:szCs w:val="21"/>
              </w:rPr>
            </w:pPr>
            <w:r w:rsidRPr="007C5A6E">
              <w:rPr>
                <w:rFonts w:ascii="Times New Roman" w:hAnsi="Times New Roman"/>
                <w:b/>
                <w:bCs/>
                <w:sz w:val="21"/>
                <w:szCs w:val="21"/>
              </w:rPr>
              <w:t>Caprins</w:t>
            </w:r>
          </w:p>
        </w:tc>
        <w:tc>
          <w:tcPr>
            <w:tcW w:w="1000" w:type="dxa"/>
            <w:tcBorders>
              <w:top w:val="nil"/>
              <w:left w:val="nil"/>
              <w:bottom w:val="single" w:sz="4" w:space="0" w:color="auto"/>
              <w:right w:val="single" w:sz="4" w:space="0" w:color="auto"/>
            </w:tcBorders>
            <w:shd w:val="clear" w:color="auto" w:fill="auto"/>
            <w:noWrap/>
            <w:vAlign w:val="bottom"/>
            <w:hideMark/>
          </w:tcPr>
          <w:p w14:paraId="3C5E8239"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14308,2</w:t>
            </w:r>
          </w:p>
        </w:tc>
        <w:tc>
          <w:tcPr>
            <w:tcW w:w="960" w:type="dxa"/>
            <w:tcBorders>
              <w:top w:val="nil"/>
              <w:left w:val="nil"/>
              <w:bottom w:val="single" w:sz="4" w:space="0" w:color="auto"/>
              <w:right w:val="single" w:sz="4" w:space="0" w:color="auto"/>
            </w:tcBorders>
            <w:shd w:val="clear" w:color="auto" w:fill="auto"/>
            <w:noWrap/>
            <w:vAlign w:val="bottom"/>
            <w:hideMark/>
          </w:tcPr>
          <w:p w14:paraId="10B687C5"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14737,4</w:t>
            </w:r>
          </w:p>
        </w:tc>
        <w:tc>
          <w:tcPr>
            <w:tcW w:w="960" w:type="dxa"/>
            <w:tcBorders>
              <w:top w:val="nil"/>
              <w:left w:val="nil"/>
              <w:bottom w:val="single" w:sz="4" w:space="0" w:color="auto"/>
              <w:right w:val="single" w:sz="4" w:space="0" w:color="auto"/>
            </w:tcBorders>
            <w:shd w:val="clear" w:color="auto" w:fill="auto"/>
            <w:noWrap/>
            <w:vAlign w:val="bottom"/>
            <w:hideMark/>
          </w:tcPr>
          <w:p w14:paraId="458359D9"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15179,5</w:t>
            </w:r>
          </w:p>
        </w:tc>
        <w:tc>
          <w:tcPr>
            <w:tcW w:w="960" w:type="dxa"/>
            <w:tcBorders>
              <w:top w:val="nil"/>
              <w:left w:val="nil"/>
              <w:bottom w:val="single" w:sz="4" w:space="0" w:color="auto"/>
              <w:right w:val="single" w:sz="4" w:space="0" w:color="auto"/>
            </w:tcBorders>
            <w:shd w:val="clear" w:color="auto" w:fill="auto"/>
            <w:noWrap/>
            <w:vAlign w:val="bottom"/>
            <w:hideMark/>
          </w:tcPr>
          <w:p w14:paraId="5B1AA608"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15634,9</w:t>
            </w:r>
          </w:p>
        </w:tc>
        <w:tc>
          <w:tcPr>
            <w:tcW w:w="960" w:type="dxa"/>
            <w:tcBorders>
              <w:top w:val="nil"/>
              <w:left w:val="nil"/>
              <w:bottom w:val="single" w:sz="4" w:space="0" w:color="auto"/>
              <w:right w:val="single" w:sz="4" w:space="0" w:color="auto"/>
            </w:tcBorders>
            <w:shd w:val="clear" w:color="auto" w:fill="auto"/>
            <w:noWrap/>
            <w:vAlign w:val="bottom"/>
            <w:hideMark/>
          </w:tcPr>
          <w:p w14:paraId="286076B2"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16120</w:t>
            </w:r>
          </w:p>
        </w:tc>
        <w:tc>
          <w:tcPr>
            <w:tcW w:w="960" w:type="dxa"/>
            <w:tcBorders>
              <w:top w:val="nil"/>
              <w:left w:val="nil"/>
              <w:bottom w:val="single" w:sz="4" w:space="0" w:color="auto"/>
              <w:right w:val="single" w:sz="4" w:space="0" w:color="auto"/>
            </w:tcBorders>
            <w:shd w:val="clear" w:color="auto" w:fill="auto"/>
            <w:noWrap/>
            <w:vAlign w:val="bottom"/>
            <w:hideMark/>
          </w:tcPr>
          <w:p w14:paraId="17B652D3"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10711,3</w:t>
            </w:r>
          </w:p>
        </w:tc>
        <w:tc>
          <w:tcPr>
            <w:tcW w:w="960" w:type="dxa"/>
            <w:tcBorders>
              <w:top w:val="nil"/>
              <w:left w:val="nil"/>
              <w:bottom w:val="single" w:sz="4" w:space="0" w:color="auto"/>
              <w:right w:val="single" w:sz="4" w:space="0" w:color="auto"/>
            </w:tcBorders>
            <w:shd w:val="clear" w:color="auto" w:fill="auto"/>
            <w:noWrap/>
            <w:vAlign w:val="bottom"/>
            <w:hideMark/>
          </w:tcPr>
          <w:p w14:paraId="4894190E"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10772,4</w:t>
            </w:r>
          </w:p>
        </w:tc>
        <w:tc>
          <w:tcPr>
            <w:tcW w:w="1040" w:type="dxa"/>
            <w:tcBorders>
              <w:top w:val="nil"/>
              <w:left w:val="nil"/>
              <w:bottom w:val="single" w:sz="4" w:space="0" w:color="auto"/>
              <w:right w:val="single" w:sz="4" w:space="0" w:color="auto"/>
            </w:tcBorders>
            <w:shd w:val="clear" w:color="auto" w:fill="auto"/>
            <w:noWrap/>
            <w:vAlign w:val="bottom"/>
            <w:hideMark/>
          </w:tcPr>
          <w:p w14:paraId="749214F6"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10 798</w:t>
            </w:r>
          </w:p>
        </w:tc>
      </w:tr>
      <w:tr w:rsidR="00CB4C35" w:rsidRPr="007C5A6E" w14:paraId="1E1084D0" w14:textId="77777777" w:rsidTr="001461B0">
        <w:trPr>
          <w:trHeight w:val="300"/>
        </w:trPr>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2B05B7EF" w14:textId="77777777" w:rsidR="00CB4C35" w:rsidRPr="007C5A6E" w:rsidRDefault="00CB4C35" w:rsidP="00CB4C35">
            <w:pPr>
              <w:spacing w:after="0" w:line="240" w:lineRule="auto"/>
              <w:jc w:val="both"/>
              <w:rPr>
                <w:rFonts w:ascii="Times New Roman" w:hAnsi="Times New Roman"/>
                <w:b/>
                <w:bCs/>
                <w:sz w:val="21"/>
                <w:szCs w:val="21"/>
              </w:rPr>
            </w:pPr>
            <w:r w:rsidRPr="007C5A6E">
              <w:rPr>
                <w:rFonts w:ascii="Times New Roman" w:hAnsi="Times New Roman"/>
                <w:b/>
                <w:bCs/>
                <w:sz w:val="21"/>
                <w:szCs w:val="21"/>
              </w:rPr>
              <w:t>Equins</w:t>
            </w:r>
          </w:p>
        </w:tc>
        <w:tc>
          <w:tcPr>
            <w:tcW w:w="1000" w:type="dxa"/>
            <w:tcBorders>
              <w:top w:val="nil"/>
              <w:left w:val="nil"/>
              <w:bottom w:val="single" w:sz="4" w:space="0" w:color="auto"/>
              <w:right w:val="single" w:sz="4" w:space="0" w:color="auto"/>
            </w:tcBorders>
            <w:shd w:val="clear" w:color="auto" w:fill="auto"/>
            <w:noWrap/>
            <w:vAlign w:val="bottom"/>
            <w:hideMark/>
          </w:tcPr>
          <w:p w14:paraId="156E0E83"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40,4</w:t>
            </w:r>
          </w:p>
        </w:tc>
        <w:tc>
          <w:tcPr>
            <w:tcW w:w="960" w:type="dxa"/>
            <w:tcBorders>
              <w:top w:val="nil"/>
              <w:left w:val="nil"/>
              <w:bottom w:val="single" w:sz="4" w:space="0" w:color="auto"/>
              <w:right w:val="single" w:sz="4" w:space="0" w:color="auto"/>
            </w:tcBorders>
            <w:shd w:val="clear" w:color="auto" w:fill="auto"/>
            <w:noWrap/>
            <w:vAlign w:val="bottom"/>
            <w:hideMark/>
          </w:tcPr>
          <w:p w14:paraId="3A2F8464"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40,8</w:t>
            </w:r>
          </w:p>
        </w:tc>
        <w:tc>
          <w:tcPr>
            <w:tcW w:w="960" w:type="dxa"/>
            <w:tcBorders>
              <w:top w:val="nil"/>
              <w:left w:val="nil"/>
              <w:bottom w:val="single" w:sz="4" w:space="0" w:color="auto"/>
              <w:right w:val="single" w:sz="4" w:space="0" w:color="auto"/>
            </w:tcBorders>
            <w:shd w:val="clear" w:color="auto" w:fill="auto"/>
            <w:noWrap/>
            <w:vAlign w:val="bottom"/>
            <w:hideMark/>
          </w:tcPr>
          <w:p w14:paraId="4BF6D123"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41,2</w:t>
            </w:r>
          </w:p>
        </w:tc>
        <w:tc>
          <w:tcPr>
            <w:tcW w:w="960" w:type="dxa"/>
            <w:tcBorders>
              <w:top w:val="nil"/>
              <w:left w:val="nil"/>
              <w:bottom w:val="single" w:sz="4" w:space="0" w:color="auto"/>
              <w:right w:val="single" w:sz="4" w:space="0" w:color="auto"/>
            </w:tcBorders>
            <w:shd w:val="clear" w:color="auto" w:fill="auto"/>
            <w:noWrap/>
            <w:vAlign w:val="bottom"/>
            <w:hideMark/>
          </w:tcPr>
          <w:p w14:paraId="56C1F944"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41,6</w:t>
            </w:r>
          </w:p>
        </w:tc>
        <w:tc>
          <w:tcPr>
            <w:tcW w:w="960" w:type="dxa"/>
            <w:tcBorders>
              <w:top w:val="nil"/>
              <w:left w:val="nil"/>
              <w:bottom w:val="single" w:sz="4" w:space="0" w:color="auto"/>
              <w:right w:val="single" w:sz="4" w:space="0" w:color="auto"/>
            </w:tcBorders>
            <w:shd w:val="clear" w:color="auto" w:fill="auto"/>
            <w:noWrap/>
            <w:vAlign w:val="bottom"/>
            <w:hideMark/>
          </w:tcPr>
          <w:p w14:paraId="6A847F77"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42</w:t>
            </w:r>
          </w:p>
        </w:tc>
        <w:tc>
          <w:tcPr>
            <w:tcW w:w="960" w:type="dxa"/>
            <w:tcBorders>
              <w:top w:val="nil"/>
              <w:left w:val="nil"/>
              <w:bottom w:val="single" w:sz="4" w:space="0" w:color="auto"/>
              <w:right w:val="single" w:sz="4" w:space="0" w:color="auto"/>
            </w:tcBorders>
            <w:shd w:val="clear" w:color="auto" w:fill="auto"/>
            <w:noWrap/>
            <w:vAlign w:val="bottom"/>
            <w:hideMark/>
          </w:tcPr>
          <w:p w14:paraId="781AE94B"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158</w:t>
            </w:r>
          </w:p>
        </w:tc>
        <w:tc>
          <w:tcPr>
            <w:tcW w:w="960" w:type="dxa"/>
            <w:tcBorders>
              <w:top w:val="nil"/>
              <w:left w:val="nil"/>
              <w:bottom w:val="single" w:sz="4" w:space="0" w:color="auto"/>
              <w:right w:val="single" w:sz="4" w:space="0" w:color="auto"/>
            </w:tcBorders>
            <w:shd w:val="clear" w:color="auto" w:fill="auto"/>
            <w:noWrap/>
            <w:vAlign w:val="bottom"/>
            <w:hideMark/>
          </w:tcPr>
          <w:p w14:paraId="3B74E61F"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181,1</w:t>
            </w:r>
          </w:p>
        </w:tc>
        <w:tc>
          <w:tcPr>
            <w:tcW w:w="1040" w:type="dxa"/>
            <w:tcBorders>
              <w:top w:val="nil"/>
              <w:left w:val="nil"/>
              <w:bottom w:val="single" w:sz="4" w:space="0" w:color="auto"/>
              <w:right w:val="single" w:sz="4" w:space="0" w:color="auto"/>
            </w:tcBorders>
            <w:shd w:val="clear" w:color="auto" w:fill="auto"/>
            <w:noWrap/>
            <w:vAlign w:val="bottom"/>
            <w:hideMark/>
          </w:tcPr>
          <w:p w14:paraId="0EAD011E"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177</w:t>
            </w:r>
          </w:p>
        </w:tc>
      </w:tr>
      <w:tr w:rsidR="00CB4C35" w:rsidRPr="007C5A6E" w14:paraId="133E3359" w14:textId="77777777" w:rsidTr="001461B0">
        <w:trPr>
          <w:trHeight w:val="300"/>
        </w:trPr>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7AC3D9C7" w14:textId="77777777" w:rsidR="00CB4C35" w:rsidRPr="007C5A6E" w:rsidRDefault="00CB4C35" w:rsidP="00CB4C35">
            <w:pPr>
              <w:spacing w:after="0" w:line="240" w:lineRule="auto"/>
              <w:jc w:val="both"/>
              <w:rPr>
                <w:rFonts w:ascii="Times New Roman" w:hAnsi="Times New Roman"/>
                <w:b/>
                <w:bCs/>
                <w:sz w:val="21"/>
                <w:szCs w:val="21"/>
              </w:rPr>
            </w:pPr>
            <w:r w:rsidRPr="007C5A6E">
              <w:rPr>
                <w:rFonts w:ascii="Times New Roman" w:hAnsi="Times New Roman"/>
                <w:b/>
                <w:bCs/>
                <w:sz w:val="21"/>
                <w:szCs w:val="21"/>
              </w:rPr>
              <w:t>Ovins</w:t>
            </w:r>
          </w:p>
        </w:tc>
        <w:tc>
          <w:tcPr>
            <w:tcW w:w="1000" w:type="dxa"/>
            <w:tcBorders>
              <w:top w:val="nil"/>
              <w:left w:val="nil"/>
              <w:bottom w:val="single" w:sz="4" w:space="0" w:color="auto"/>
              <w:right w:val="single" w:sz="4" w:space="0" w:color="auto"/>
            </w:tcBorders>
            <w:shd w:val="clear" w:color="auto" w:fill="auto"/>
            <w:noWrap/>
            <w:vAlign w:val="bottom"/>
            <w:hideMark/>
          </w:tcPr>
          <w:p w14:paraId="4686ACAA"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9556,1</w:t>
            </w:r>
          </w:p>
        </w:tc>
        <w:tc>
          <w:tcPr>
            <w:tcW w:w="960" w:type="dxa"/>
            <w:tcBorders>
              <w:top w:val="nil"/>
              <w:left w:val="nil"/>
              <w:bottom w:val="single" w:sz="4" w:space="0" w:color="auto"/>
              <w:right w:val="single" w:sz="4" w:space="0" w:color="auto"/>
            </w:tcBorders>
            <w:shd w:val="clear" w:color="auto" w:fill="auto"/>
            <w:noWrap/>
            <w:vAlign w:val="bottom"/>
            <w:hideMark/>
          </w:tcPr>
          <w:p w14:paraId="379ADBE3"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9842,7</w:t>
            </w:r>
          </w:p>
        </w:tc>
        <w:tc>
          <w:tcPr>
            <w:tcW w:w="960" w:type="dxa"/>
            <w:tcBorders>
              <w:top w:val="nil"/>
              <w:left w:val="nil"/>
              <w:bottom w:val="single" w:sz="4" w:space="0" w:color="auto"/>
              <w:right w:val="single" w:sz="4" w:space="0" w:color="auto"/>
            </w:tcBorders>
            <w:shd w:val="clear" w:color="auto" w:fill="auto"/>
            <w:noWrap/>
            <w:vAlign w:val="bottom"/>
            <w:hideMark/>
          </w:tcPr>
          <w:p w14:paraId="4AF25D0B"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10138</w:t>
            </w:r>
          </w:p>
        </w:tc>
        <w:tc>
          <w:tcPr>
            <w:tcW w:w="960" w:type="dxa"/>
            <w:tcBorders>
              <w:top w:val="nil"/>
              <w:left w:val="nil"/>
              <w:bottom w:val="single" w:sz="4" w:space="0" w:color="auto"/>
              <w:right w:val="single" w:sz="4" w:space="0" w:color="auto"/>
            </w:tcBorders>
            <w:shd w:val="clear" w:color="auto" w:fill="auto"/>
            <w:noWrap/>
            <w:vAlign w:val="bottom"/>
            <w:hideMark/>
          </w:tcPr>
          <w:p w14:paraId="4EE85712"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10442,1</w:t>
            </w:r>
          </w:p>
        </w:tc>
        <w:tc>
          <w:tcPr>
            <w:tcW w:w="960" w:type="dxa"/>
            <w:tcBorders>
              <w:top w:val="nil"/>
              <w:left w:val="nil"/>
              <w:bottom w:val="single" w:sz="4" w:space="0" w:color="auto"/>
              <w:right w:val="single" w:sz="4" w:space="0" w:color="auto"/>
            </w:tcBorders>
            <w:shd w:val="clear" w:color="auto" w:fill="auto"/>
            <w:noWrap/>
            <w:vAlign w:val="bottom"/>
            <w:hideMark/>
          </w:tcPr>
          <w:p w14:paraId="426132D8"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10766,1</w:t>
            </w:r>
          </w:p>
        </w:tc>
        <w:tc>
          <w:tcPr>
            <w:tcW w:w="960" w:type="dxa"/>
            <w:tcBorders>
              <w:top w:val="nil"/>
              <w:left w:val="nil"/>
              <w:bottom w:val="single" w:sz="4" w:space="0" w:color="auto"/>
              <w:right w:val="single" w:sz="4" w:space="0" w:color="auto"/>
            </w:tcBorders>
            <w:shd w:val="clear" w:color="auto" w:fill="auto"/>
            <w:noWrap/>
            <w:vAlign w:val="bottom"/>
            <w:hideMark/>
          </w:tcPr>
          <w:p w14:paraId="25E85220"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11004,1</w:t>
            </w:r>
          </w:p>
        </w:tc>
        <w:tc>
          <w:tcPr>
            <w:tcW w:w="960" w:type="dxa"/>
            <w:tcBorders>
              <w:top w:val="nil"/>
              <w:left w:val="nil"/>
              <w:bottom w:val="single" w:sz="4" w:space="0" w:color="auto"/>
              <w:right w:val="single" w:sz="4" w:space="0" w:color="auto"/>
            </w:tcBorders>
            <w:shd w:val="clear" w:color="auto" w:fill="auto"/>
            <w:noWrap/>
            <w:vAlign w:val="bottom"/>
            <w:hideMark/>
          </w:tcPr>
          <w:p w14:paraId="5CA35E4E"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11533,4</w:t>
            </w:r>
          </w:p>
        </w:tc>
        <w:tc>
          <w:tcPr>
            <w:tcW w:w="1040" w:type="dxa"/>
            <w:tcBorders>
              <w:top w:val="nil"/>
              <w:left w:val="nil"/>
              <w:bottom w:val="single" w:sz="4" w:space="0" w:color="auto"/>
              <w:right w:val="single" w:sz="4" w:space="0" w:color="auto"/>
            </w:tcBorders>
            <w:shd w:val="clear" w:color="auto" w:fill="auto"/>
            <w:noWrap/>
            <w:vAlign w:val="bottom"/>
            <w:hideMark/>
          </w:tcPr>
          <w:p w14:paraId="0265B786"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11 286</w:t>
            </w:r>
          </w:p>
        </w:tc>
      </w:tr>
      <w:tr w:rsidR="00CB4C35" w:rsidRPr="007C5A6E" w14:paraId="3E0D5615" w14:textId="77777777" w:rsidTr="001461B0">
        <w:trPr>
          <w:trHeight w:val="300"/>
        </w:trPr>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5444A27E" w14:textId="77777777" w:rsidR="00CB4C35" w:rsidRPr="007C5A6E" w:rsidRDefault="00CB4C35" w:rsidP="00CB4C35">
            <w:pPr>
              <w:spacing w:after="0" w:line="240" w:lineRule="auto"/>
              <w:jc w:val="both"/>
              <w:rPr>
                <w:rFonts w:ascii="Times New Roman" w:hAnsi="Times New Roman"/>
                <w:b/>
                <w:bCs/>
                <w:sz w:val="21"/>
                <w:szCs w:val="21"/>
              </w:rPr>
            </w:pPr>
            <w:r w:rsidRPr="007C5A6E">
              <w:rPr>
                <w:rFonts w:ascii="Times New Roman" w:hAnsi="Times New Roman"/>
                <w:b/>
                <w:bCs/>
                <w:sz w:val="21"/>
                <w:szCs w:val="21"/>
              </w:rPr>
              <w:t>Pintades</w:t>
            </w:r>
          </w:p>
        </w:tc>
        <w:tc>
          <w:tcPr>
            <w:tcW w:w="1000" w:type="dxa"/>
            <w:tcBorders>
              <w:top w:val="nil"/>
              <w:left w:val="nil"/>
              <w:bottom w:val="single" w:sz="4" w:space="0" w:color="auto"/>
              <w:right w:val="single" w:sz="4" w:space="0" w:color="auto"/>
            </w:tcBorders>
            <w:shd w:val="clear" w:color="auto" w:fill="auto"/>
            <w:noWrap/>
            <w:vAlign w:val="bottom"/>
            <w:hideMark/>
          </w:tcPr>
          <w:p w14:paraId="681A9F5A"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8722,2</w:t>
            </w:r>
          </w:p>
        </w:tc>
        <w:tc>
          <w:tcPr>
            <w:tcW w:w="960" w:type="dxa"/>
            <w:tcBorders>
              <w:top w:val="nil"/>
              <w:left w:val="nil"/>
              <w:bottom w:val="single" w:sz="4" w:space="0" w:color="auto"/>
              <w:right w:val="single" w:sz="4" w:space="0" w:color="auto"/>
            </w:tcBorders>
            <w:shd w:val="clear" w:color="auto" w:fill="auto"/>
            <w:noWrap/>
            <w:vAlign w:val="bottom"/>
            <w:hideMark/>
          </w:tcPr>
          <w:p w14:paraId="606028E5"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8983,9</w:t>
            </w:r>
          </w:p>
        </w:tc>
        <w:tc>
          <w:tcPr>
            <w:tcW w:w="960" w:type="dxa"/>
            <w:tcBorders>
              <w:top w:val="nil"/>
              <w:left w:val="nil"/>
              <w:bottom w:val="single" w:sz="4" w:space="0" w:color="auto"/>
              <w:right w:val="single" w:sz="4" w:space="0" w:color="auto"/>
            </w:tcBorders>
            <w:shd w:val="clear" w:color="auto" w:fill="auto"/>
            <w:noWrap/>
            <w:vAlign w:val="bottom"/>
            <w:hideMark/>
          </w:tcPr>
          <w:p w14:paraId="640DB3ED"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9253,4</w:t>
            </w:r>
          </w:p>
        </w:tc>
        <w:tc>
          <w:tcPr>
            <w:tcW w:w="960" w:type="dxa"/>
            <w:tcBorders>
              <w:top w:val="nil"/>
              <w:left w:val="nil"/>
              <w:bottom w:val="single" w:sz="4" w:space="0" w:color="auto"/>
              <w:right w:val="single" w:sz="4" w:space="0" w:color="auto"/>
            </w:tcBorders>
            <w:shd w:val="clear" w:color="auto" w:fill="auto"/>
            <w:noWrap/>
            <w:vAlign w:val="bottom"/>
            <w:hideMark/>
          </w:tcPr>
          <w:p w14:paraId="7CBC8A06"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9531</w:t>
            </w:r>
          </w:p>
        </w:tc>
        <w:tc>
          <w:tcPr>
            <w:tcW w:w="960" w:type="dxa"/>
            <w:tcBorders>
              <w:top w:val="nil"/>
              <w:left w:val="nil"/>
              <w:bottom w:val="single" w:sz="4" w:space="0" w:color="auto"/>
              <w:right w:val="single" w:sz="4" w:space="0" w:color="auto"/>
            </w:tcBorders>
            <w:shd w:val="clear" w:color="auto" w:fill="auto"/>
            <w:noWrap/>
            <w:vAlign w:val="bottom"/>
            <w:hideMark/>
          </w:tcPr>
          <w:p w14:paraId="6807FCD7"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9826,7</w:t>
            </w:r>
          </w:p>
        </w:tc>
        <w:tc>
          <w:tcPr>
            <w:tcW w:w="960" w:type="dxa"/>
            <w:tcBorders>
              <w:top w:val="nil"/>
              <w:left w:val="nil"/>
              <w:bottom w:val="single" w:sz="4" w:space="0" w:color="auto"/>
              <w:right w:val="single" w:sz="4" w:space="0" w:color="auto"/>
            </w:tcBorders>
            <w:shd w:val="clear" w:color="auto" w:fill="auto"/>
            <w:noWrap/>
            <w:vAlign w:val="bottom"/>
            <w:hideMark/>
          </w:tcPr>
          <w:p w14:paraId="157BBD44"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5623,2</w:t>
            </w:r>
          </w:p>
        </w:tc>
        <w:tc>
          <w:tcPr>
            <w:tcW w:w="960" w:type="dxa"/>
            <w:tcBorders>
              <w:top w:val="nil"/>
              <w:left w:val="nil"/>
              <w:bottom w:val="single" w:sz="4" w:space="0" w:color="auto"/>
              <w:right w:val="single" w:sz="4" w:space="0" w:color="auto"/>
            </w:tcBorders>
            <w:shd w:val="clear" w:color="auto" w:fill="auto"/>
            <w:noWrap/>
            <w:vAlign w:val="bottom"/>
            <w:hideMark/>
          </w:tcPr>
          <w:p w14:paraId="4718A887"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5623,2</w:t>
            </w:r>
          </w:p>
        </w:tc>
        <w:tc>
          <w:tcPr>
            <w:tcW w:w="1040" w:type="dxa"/>
            <w:tcBorders>
              <w:top w:val="nil"/>
              <w:left w:val="nil"/>
              <w:bottom w:val="single" w:sz="4" w:space="0" w:color="auto"/>
              <w:right w:val="single" w:sz="4" w:space="0" w:color="auto"/>
            </w:tcBorders>
            <w:shd w:val="clear" w:color="auto" w:fill="auto"/>
            <w:noWrap/>
            <w:vAlign w:val="bottom"/>
            <w:hideMark/>
          </w:tcPr>
          <w:p w14:paraId="1806202E"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5 758</w:t>
            </w:r>
          </w:p>
        </w:tc>
      </w:tr>
      <w:tr w:rsidR="00CB4C35" w:rsidRPr="007C5A6E" w14:paraId="21ECA00D" w14:textId="77777777" w:rsidTr="001461B0">
        <w:trPr>
          <w:trHeight w:val="300"/>
        </w:trPr>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20AC4783" w14:textId="77777777" w:rsidR="00CB4C35" w:rsidRPr="007C5A6E" w:rsidRDefault="00CB4C35" w:rsidP="00CB4C35">
            <w:pPr>
              <w:spacing w:after="0" w:line="240" w:lineRule="auto"/>
              <w:jc w:val="both"/>
              <w:rPr>
                <w:rFonts w:ascii="Times New Roman" w:hAnsi="Times New Roman"/>
                <w:b/>
                <w:bCs/>
                <w:sz w:val="21"/>
                <w:szCs w:val="21"/>
              </w:rPr>
            </w:pPr>
            <w:r w:rsidRPr="007C5A6E">
              <w:rPr>
                <w:rFonts w:ascii="Times New Roman" w:hAnsi="Times New Roman"/>
                <w:b/>
                <w:bCs/>
                <w:sz w:val="21"/>
                <w:szCs w:val="21"/>
              </w:rPr>
              <w:t>Porcins</w:t>
            </w:r>
          </w:p>
        </w:tc>
        <w:tc>
          <w:tcPr>
            <w:tcW w:w="1000" w:type="dxa"/>
            <w:tcBorders>
              <w:top w:val="nil"/>
              <w:left w:val="nil"/>
              <w:bottom w:val="single" w:sz="4" w:space="0" w:color="auto"/>
              <w:right w:val="single" w:sz="4" w:space="0" w:color="auto"/>
            </w:tcBorders>
            <w:shd w:val="clear" w:color="auto" w:fill="auto"/>
            <w:noWrap/>
            <w:vAlign w:val="bottom"/>
            <w:hideMark/>
          </w:tcPr>
          <w:p w14:paraId="0C4024F0"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2392,7</w:t>
            </w:r>
          </w:p>
        </w:tc>
        <w:tc>
          <w:tcPr>
            <w:tcW w:w="960" w:type="dxa"/>
            <w:tcBorders>
              <w:top w:val="nil"/>
              <w:left w:val="nil"/>
              <w:bottom w:val="single" w:sz="4" w:space="0" w:color="auto"/>
              <w:right w:val="single" w:sz="4" w:space="0" w:color="auto"/>
            </w:tcBorders>
            <w:shd w:val="clear" w:color="auto" w:fill="auto"/>
            <w:noWrap/>
            <w:vAlign w:val="bottom"/>
            <w:hideMark/>
          </w:tcPr>
          <w:p w14:paraId="13D5D572"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2440,5</w:t>
            </w:r>
          </w:p>
        </w:tc>
        <w:tc>
          <w:tcPr>
            <w:tcW w:w="960" w:type="dxa"/>
            <w:tcBorders>
              <w:top w:val="nil"/>
              <w:left w:val="nil"/>
              <w:bottom w:val="single" w:sz="4" w:space="0" w:color="auto"/>
              <w:right w:val="single" w:sz="4" w:space="0" w:color="auto"/>
            </w:tcBorders>
            <w:shd w:val="clear" w:color="auto" w:fill="auto"/>
            <w:noWrap/>
            <w:vAlign w:val="bottom"/>
            <w:hideMark/>
          </w:tcPr>
          <w:p w14:paraId="0D6A2A1E"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2489,3</w:t>
            </w:r>
          </w:p>
        </w:tc>
        <w:tc>
          <w:tcPr>
            <w:tcW w:w="960" w:type="dxa"/>
            <w:tcBorders>
              <w:top w:val="nil"/>
              <w:left w:val="nil"/>
              <w:bottom w:val="single" w:sz="4" w:space="0" w:color="auto"/>
              <w:right w:val="single" w:sz="4" w:space="0" w:color="auto"/>
            </w:tcBorders>
            <w:shd w:val="clear" w:color="auto" w:fill="auto"/>
            <w:noWrap/>
            <w:vAlign w:val="bottom"/>
            <w:hideMark/>
          </w:tcPr>
          <w:p w14:paraId="3CDE811D"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2539,1</w:t>
            </w:r>
          </w:p>
        </w:tc>
        <w:tc>
          <w:tcPr>
            <w:tcW w:w="960" w:type="dxa"/>
            <w:tcBorders>
              <w:top w:val="nil"/>
              <w:left w:val="nil"/>
              <w:bottom w:val="single" w:sz="4" w:space="0" w:color="auto"/>
              <w:right w:val="single" w:sz="4" w:space="0" w:color="auto"/>
            </w:tcBorders>
            <w:shd w:val="clear" w:color="auto" w:fill="auto"/>
            <w:noWrap/>
            <w:vAlign w:val="bottom"/>
            <w:hideMark/>
          </w:tcPr>
          <w:p w14:paraId="3F0C0290"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2592,4</w:t>
            </w:r>
          </w:p>
        </w:tc>
        <w:tc>
          <w:tcPr>
            <w:tcW w:w="960" w:type="dxa"/>
            <w:tcBorders>
              <w:top w:val="nil"/>
              <w:left w:val="nil"/>
              <w:bottom w:val="single" w:sz="4" w:space="0" w:color="auto"/>
              <w:right w:val="single" w:sz="4" w:space="0" w:color="auto"/>
            </w:tcBorders>
            <w:shd w:val="clear" w:color="auto" w:fill="auto"/>
            <w:noWrap/>
            <w:vAlign w:val="bottom"/>
            <w:hideMark/>
          </w:tcPr>
          <w:p w14:paraId="4ACB1DA9"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1386,2</w:t>
            </w:r>
          </w:p>
        </w:tc>
        <w:tc>
          <w:tcPr>
            <w:tcW w:w="960" w:type="dxa"/>
            <w:tcBorders>
              <w:top w:val="nil"/>
              <w:left w:val="nil"/>
              <w:bottom w:val="single" w:sz="4" w:space="0" w:color="auto"/>
              <w:right w:val="single" w:sz="4" w:space="0" w:color="auto"/>
            </w:tcBorders>
            <w:shd w:val="clear" w:color="auto" w:fill="auto"/>
            <w:noWrap/>
            <w:vAlign w:val="bottom"/>
            <w:hideMark/>
          </w:tcPr>
          <w:p w14:paraId="6D3DC3F1"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1337,5</w:t>
            </w:r>
          </w:p>
        </w:tc>
        <w:tc>
          <w:tcPr>
            <w:tcW w:w="1040" w:type="dxa"/>
            <w:tcBorders>
              <w:top w:val="nil"/>
              <w:left w:val="nil"/>
              <w:bottom w:val="single" w:sz="4" w:space="0" w:color="auto"/>
              <w:right w:val="single" w:sz="4" w:space="0" w:color="auto"/>
            </w:tcBorders>
            <w:shd w:val="clear" w:color="auto" w:fill="auto"/>
            <w:noWrap/>
            <w:vAlign w:val="bottom"/>
            <w:hideMark/>
          </w:tcPr>
          <w:p w14:paraId="7592F5CD"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1 454</w:t>
            </w:r>
          </w:p>
        </w:tc>
      </w:tr>
      <w:tr w:rsidR="00CB4C35" w:rsidRPr="007C5A6E" w14:paraId="32C12C94" w14:textId="77777777" w:rsidTr="001461B0">
        <w:trPr>
          <w:trHeight w:val="300"/>
        </w:trPr>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0DC4DFD4" w14:textId="77777777" w:rsidR="00CB4C35" w:rsidRPr="007C5A6E" w:rsidRDefault="00CB4C35" w:rsidP="00CB4C35">
            <w:pPr>
              <w:spacing w:after="0" w:line="240" w:lineRule="auto"/>
              <w:jc w:val="both"/>
              <w:rPr>
                <w:rFonts w:ascii="Times New Roman" w:hAnsi="Times New Roman"/>
                <w:b/>
                <w:bCs/>
                <w:sz w:val="21"/>
                <w:szCs w:val="21"/>
              </w:rPr>
            </w:pPr>
            <w:r w:rsidRPr="007C5A6E">
              <w:rPr>
                <w:rFonts w:ascii="Times New Roman" w:hAnsi="Times New Roman"/>
                <w:b/>
                <w:bCs/>
                <w:sz w:val="21"/>
                <w:szCs w:val="21"/>
              </w:rPr>
              <w:t>Poules</w:t>
            </w:r>
          </w:p>
        </w:tc>
        <w:tc>
          <w:tcPr>
            <w:tcW w:w="1000" w:type="dxa"/>
            <w:tcBorders>
              <w:top w:val="nil"/>
              <w:left w:val="nil"/>
              <w:bottom w:val="single" w:sz="4" w:space="0" w:color="auto"/>
              <w:right w:val="single" w:sz="4" w:space="0" w:color="auto"/>
            </w:tcBorders>
            <w:shd w:val="clear" w:color="auto" w:fill="auto"/>
            <w:noWrap/>
            <w:vAlign w:val="bottom"/>
            <w:hideMark/>
          </w:tcPr>
          <w:p w14:paraId="54CB77F8"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34764,7</w:t>
            </w:r>
          </w:p>
        </w:tc>
        <w:tc>
          <w:tcPr>
            <w:tcW w:w="960" w:type="dxa"/>
            <w:tcBorders>
              <w:top w:val="nil"/>
              <w:left w:val="nil"/>
              <w:bottom w:val="single" w:sz="4" w:space="0" w:color="auto"/>
              <w:right w:val="single" w:sz="4" w:space="0" w:color="auto"/>
            </w:tcBorders>
            <w:shd w:val="clear" w:color="auto" w:fill="auto"/>
            <w:noWrap/>
            <w:vAlign w:val="bottom"/>
            <w:hideMark/>
          </w:tcPr>
          <w:p w14:paraId="1CC64887"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35807,7</w:t>
            </w:r>
          </w:p>
        </w:tc>
        <w:tc>
          <w:tcPr>
            <w:tcW w:w="960" w:type="dxa"/>
            <w:tcBorders>
              <w:top w:val="nil"/>
              <w:left w:val="nil"/>
              <w:bottom w:val="single" w:sz="4" w:space="0" w:color="auto"/>
              <w:right w:val="single" w:sz="4" w:space="0" w:color="auto"/>
            </w:tcBorders>
            <w:shd w:val="clear" w:color="auto" w:fill="auto"/>
            <w:noWrap/>
            <w:vAlign w:val="bottom"/>
            <w:hideMark/>
          </w:tcPr>
          <w:p w14:paraId="7DD917F0"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36881,9</w:t>
            </w:r>
          </w:p>
        </w:tc>
        <w:tc>
          <w:tcPr>
            <w:tcW w:w="960" w:type="dxa"/>
            <w:tcBorders>
              <w:top w:val="nil"/>
              <w:left w:val="nil"/>
              <w:bottom w:val="single" w:sz="4" w:space="0" w:color="auto"/>
              <w:right w:val="single" w:sz="4" w:space="0" w:color="auto"/>
            </w:tcBorders>
            <w:shd w:val="clear" w:color="auto" w:fill="auto"/>
            <w:noWrap/>
            <w:vAlign w:val="bottom"/>
            <w:hideMark/>
          </w:tcPr>
          <w:p w14:paraId="0C785B89"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37988,3</w:t>
            </w:r>
          </w:p>
        </w:tc>
        <w:tc>
          <w:tcPr>
            <w:tcW w:w="960" w:type="dxa"/>
            <w:tcBorders>
              <w:top w:val="nil"/>
              <w:left w:val="nil"/>
              <w:bottom w:val="single" w:sz="4" w:space="0" w:color="auto"/>
              <w:right w:val="single" w:sz="4" w:space="0" w:color="auto"/>
            </w:tcBorders>
            <w:shd w:val="clear" w:color="auto" w:fill="auto"/>
            <w:noWrap/>
            <w:vAlign w:val="bottom"/>
            <w:hideMark/>
          </w:tcPr>
          <w:p w14:paraId="005C484D"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39167,1</w:t>
            </w:r>
          </w:p>
        </w:tc>
        <w:tc>
          <w:tcPr>
            <w:tcW w:w="960" w:type="dxa"/>
            <w:tcBorders>
              <w:top w:val="nil"/>
              <w:left w:val="nil"/>
              <w:bottom w:val="single" w:sz="4" w:space="0" w:color="auto"/>
              <w:right w:val="single" w:sz="4" w:space="0" w:color="auto"/>
            </w:tcBorders>
            <w:shd w:val="clear" w:color="auto" w:fill="auto"/>
            <w:noWrap/>
            <w:vAlign w:val="bottom"/>
            <w:hideMark/>
          </w:tcPr>
          <w:p w14:paraId="6F4E67EB"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26197,6</w:t>
            </w:r>
          </w:p>
        </w:tc>
        <w:tc>
          <w:tcPr>
            <w:tcW w:w="960" w:type="dxa"/>
            <w:tcBorders>
              <w:top w:val="nil"/>
              <w:left w:val="nil"/>
              <w:bottom w:val="single" w:sz="4" w:space="0" w:color="auto"/>
              <w:right w:val="single" w:sz="4" w:space="0" w:color="auto"/>
            </w:tcBorders>
            <w:shd w:val="clear" w:color="auto" w:fill="auto"/>
            <w:noWrap/>
            <w:vAlign w:val="bottom"/>
            <w:hideMark/>
          </w:tcPr>
          <w:p w14:paraId="2DF59A2F"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26407,2</w:t>
            </w:r>
          </w:p>
        </w:tc>
        <w:tc>
          <w:tcPr>
            <w:tcW w:w="1040" w:type="dxa"/>
            <w:tcBorders>
              <w:top w:val="nil"/>
              <w:left w:val="nil"/>
              <w:bottom w:val="single" w:sz="4" w:space="0" w:color="auto"/>
              <w:right w:val="single" w:sz="4" w:space="0" w:color="auto"/>
            </w:tcBorders>
            <w:shd w:val="clear" w:color="auto" w:fill="auto"/>
            <w:noWrap/>
            <w:vAlign w:val="bottom"/>
            <w:hideMark/>
          </w:tcPr>
          <w:p w14:paraId="4228D005"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26 828</w:t>
            </w:r>
          </w:p>
        </w:tc>
      </w:tr>
      <w:tr w:rsidR="00CB4C35" w:rsidRPr="007C5A6E" w14:paraId="18756B0C" w14:textId="77777777" w:rsidTr="001461B0">
        <w:trPr>
          <w:trHeight w:val="300"/>
        </w:trPr>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37D7FEA9" w14:textId="77777777" w:rsidR="00CB4C35" w:rsidRPr="007C5A6E" w:rsidRDefault="00CB4C35" w:rsidP="00CB4C35">
            <w:pPr>
              <w:spacing w:after="0" w:line="240" w:lineRule="auto"/>
              <w:jc w:val="both"/>
              <w:rPr>
                <w:rFonts w:ascii="Times New Roman" w:hAnsi="Times New Roman"/>
                <w:b/>
                <w:bCs/>
                <w:sz w:val="21"/>
                <w:szCs w:val="21"/>
              </w:rPr>
            </w:pPr>
            <w:r w:rsidRPr="007C5A6E">
              <w:rPr>
                <w:rFonts w:ascii="Times New Roman" w:hAnsi="Times New Roman"/>
                <w:b/>
                <w:bCs/>
                <w:sz w:val="21"/>
                <w:szCs w:val="21"/>
              </w:rPr>
              <w:t>Total</w:t>
            </w:r>
          </w:p>
        </w:tc>
        <w:tc>
          <w:tcPr>
            <w:tcW w:w="1000" w:type="dxa"/>
            <w:tcBorders>
              <w:top w:val="nil"/>
              <w:left w:val="nil"/>
              <w:bottom w:val="single" w:sz="4" w:space="0" w:color="auto"/>
              <w:right w:val="single" w:sz="4" w:space="0" w:color="auto"/>
            </w:tcBorders>
            <w:shd w:val="clear" w:color="auto" w:fill="auto"/>
            <w:noWrap/>
            <w:vAlign w:val="bottom"/>
            <w:hideMark/>
          </w:tcPr>
          <w:p w14:paraId="74516B83"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80235,1</w:t>
            </w:r>
          </w:p>
        </w:tc>
        <w:tc>
          <w:tcPr>
            <w:tcW w:w="960" w:type="dxa"/>
            <w:tcBorders>
              <w:top w:val="nil"/>
              <w:left w:val="nil"/>
              <w:bottom w:val="single" w:sz="4" w:space="0" w:color="auto"/>
              <w:right w:val="single" w:sz="4" w:space="0" w:color="auto"/>
            </w:tcBorders>
            <w:shd w:val="clear" w:color="auto" w:fill="auto"/>
            <w:noWrap/>
            <w:vAlign w:val="bottom"/>
            <w:hideMark/>
          </w:tcPr>
          <w:p w14:paraId="729683C9"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82512,7</w:t>
            </w:r>
          </w:p>
        </w:tc>
        <w:tc>
          <w:tcPr>
            <w:tcW w:w="960" w:type="dxa"/>
            <w:tcBorders>
              <w:top w:val="nil"/>
              <w:left w:val="nil"/>
              <w:bottom w:val="single" w:sz="4" w:space="0" w:color="auto"/>
              <w:right w:val="single" w:sz="4" w:space="0" w:color="auto"/>
            </w:tcBorders>
            <w:shd w:val="clear" w:color="auto" w:fill="auto"/>
            <w:noWrap/>
            <w:vAlign w:val="bottom"/>
            <w:hideMark/>
          </w:tcPr>
          <w:p w14:paraId="134AB853"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84856,3</w:t>
            </w:r>
          </w:p>
        </w:tc>
        <w:tc>
          <w:tcPr>
            <w:tcW w:w="960" w:type="dxa"/>
            <w:tcBorders>
              <w:top w:val="nil"/>
              <w:left w:val="nil"/>
              <w:bottom w:val="single" w:sz="4" w:space="0" w:color="auto"/>
              <w:right w:val="single" w:sz="4" w:space="0" w:color="auto"/>
            </w:tcBorders>
            <w:shd w:val="clear" w:color="auto" w:fill="auto"/>
            <w:noWrap/>
            <w:vAlign w:val="bottom"/>
            <w:hideMark/>
          </w:tcPr>
          <w:p w14:paraId="348DF6D5"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87267,4</w:t>
            </w:r>
          </w:p>
        </w:tc>
        <w:tc>
          <w:tcPr>
            <w:tcW w:w="960" w:type="dxa"/>
            <w:tcBorders>
              <w:top w:val="nil"/>
              <w:left w:val="nil"/>
              <w:bottom w:val="single" w:sz="4" w:space="0" w:color="auto"/>
              <w:right w:val="single" w:sz="4" w:space="0" w:color="auto"/>
            </w:tcBorders>
            <w:shd w:val="clear" w:color="auto" w:fill="auto"/>
            <w:noWrap/>
            <w:vAlign w:val="bottom"/>
            <w:hideMark/>
          </w:tcPr>
          <w:p w14:paraId="45432970"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89837,7</w:t>
            </w:r>
          </w:p>
        </w:tc>
        <w:tc>
          <w:tcPr>
            <w:tcW w:w="960" w:type="dxa"/>
            <w:tcBorders>
              <w:top w:val="nil"/>
              <w:left w:val="nil"/>
              <w:bottom w:val="single" w:sz="4" w:space="0" w:color="auto"/>
              <w:right w:val="single" w:sz="4" w:space="0" w:color="auto"/>
            </w:tcBorders>
            <w:shd w:val="clear" w:color="auto" w:fill="auto"/>
            <w:noWrap/>
            <w:vAlign w:val="bottom"/>
            <w:hideMark/>
          </w:tcPr>
          <w:p w14:paraId="3C998248"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66248,7</w:t>
            </w:r>
          </w:p>
        </w:tc>
        <w:tc>
          <w:tcPr>
            <w:tcW w:w="960" w:type="dxa"/>
            <w:tcBorders>
              <w:top w:val="nil"/>
              <w:left w:val="nil"/>
              <w:bottom w:val="single" w:sz="4" w:space="0" w:color="auto"/>
              <w:right w:val="single" w:sz="4" w:space="0" w:color="auto"/>
            </w:tcBorders>
            <w:shd w:val="clear" w:color="auto" w:fill="auto"/>
            <w:noWrap/>
            <w:vAlign w:val="bottom"/>
            <w:hideMark/>
          </w:tcPr>
          <w:p w14:paraId="6827E0C4"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67316</w:t>
            </w:r>
          </w:p>
        </w:tc>
        <w:tc>
          <w:tcPr>
            <w:tcW w:w="1040" w:type="dxa"/>
            <w:tcBorders>
              <w:top w:val="nil"/>
              <w:left w:val="nil"/>
              <w:bottom w:val="single" w:sz="4" w:space="0" w:color="auto"/>
              <w:right w:val="single" w:sz="4" w:space="0" w:color="auto"/>
            </w:tcBorders>
            <w:shd w:val="clear" w:color="auto" w:fill="auto"/>
            <w:noWrap/>
            <w:vAlign w:val="bottom"/>
            <w:hideMark/>
          </w:tcPr>
          <w:p w14:paraId="5CE6AC86" w14:textId="77777777" w:rsidR="00CB4C35" w:rsidRPr="007C5A6E" w:rsidRDefault="00CB4C35" w:rsidP="00CB4C35">
            <w:pPr>
              <w:spacing w:after="0" w:line="240" w:lineRule="auto"/>
              <w:jc w:val="both"/>
              <w:rPr>
                <w:rFonts w:ascii="Times New Roman" w:hAnsi="Times New Roman"/>
                <w:sz w:val="21"/>
                <w:szCs w:val="21"/>
              </w:rPr>
            </w:pPr>
            <w:r w:rsidRPr="007C5A6E">
              <w:rPr>
                <w:rFonts w:ascii="Times New Roman" w:hAnsi="Times New Roman"/>
                <w:sz w:val="21"/>
                <w:szCs w:val="21"/>
              </w:rPr>
              <w:t>67834</w:t>
            </w:r>
          </w:p>
        </w:tc>
      </w:tr>
    </w:tbl>
    <w:p w14:paraId="6B986115" w14:textId="77777777" w:rsidR="00CB4C35" w:rsidRPr="007C5A6E" w:rsidRDefault="00CB4C35" w:rsidP="00CB4C35">
      <w:pPr>
        <w:spacing w:after="0" w:line="240" w:lineRule="auto"/>
        <w:jc w:val="both"/>
        <w:rPr>
          <w:rFonts w:ascii="Times New Roman" w:hAnsi="Times New Roman"/>
          <w:sz w:val="20"/>
          <w:szCs w:val="20"/>
        </w:rPr>
      </w:pPr>
      <w:r w:rsidRPr="007C5A6E">
        <w:rPr>
          <w:rFonts w:ascii="Times New Roman" w:hAnsi="Times New Roman"/>
          <w:sz w:val="20"/>
          <w:szCs w:val="20"/>
        </w:rPr>
        <w:t>Source : DGESS/MARAH, 2022</w:t>
      </w:r>
    </w:p>
    <w:p w14:paraId="4FD14589" w14:textId="77777777" w:rsidR="00CB4C35" w:rsidRPr="007C5A6E" w:rsidRDefault="00CB4C35" w:rsidP="00CB4C35">
      <w:pPr>
        <w:spacing w:after="0" w:line="240" w:lineRule="auto"/>
        <w:jc w:val="both"/>
        <w:rPr>
          <w:rFonts w:ascii="Times New Roman" w:hAnsi="Times New Roman"/>
          <w:sz w:val="24"/>
          <w:szCs w:val="24"/>
        </w:rPr>
      </w:pPr>
    </w:p>
    <w:p w14:paraId="0F91ABDE" w14:textId="3227E92A" w:rsidR="00CB4C35" w:rsidRPr="007C5A6E" w:rsidRDefault="004B0D7B" w:rsidP="004B0D7B">
      <w:pPr>
        <w:pStyle w:val="Lgende"/>
        <w:spacing w:after="0"/>
        <w:rPr>
          <w:rFonts w:ascii="Times New Roman" w:hAnsi="Times New Roman"/>
          <w:i w:val="0"/>
          <w:iCs w:val="0"/>
          <w:color w:val="auto"/>
          <w:sz w:val="24"/>
          <w:szCs w:val="24"/>
        </w:rPr>
      </w:pPr>
      <w:bookmarkStart w:id="983" w:name="_Toc182575498"/>
      <w:bookmarkStart w:id="984" w:name="_Toc183241003"/>
      <w:bookmarkStart w:id="985" w:name="_Toc183292245"/>
      <w:bookmarkStart w:id="986" w:name="_Toc183340525"/>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3162F8" w:rsidRPr="007C5A6E">
        <w:rPr>
          <w:rFonts w:ascii="Times New Roman" w:hAnsi="Times New Roman"/>
          <w:i w:val="0"/>
          <w:iCs w:val="0"/>
          <w:noProof/>
          <w:color w:val="auto"/>
          <w:sz w:val="24"/>
          <w:szCs w:val="24"/>
        </w:rPr>
        <w:t>41</w:t>
      </w:r>
      <w:r w:rsidRPr="007C5A6E">
        <w:rPr>
          <w:rFonts w:ascii="Times New Roman" w:hAnsi="Times New Roman"/>
          <w:i w:val="0"/>
          <w:iCs w:val="0"/>
          <w:color w:val="auto"/>
          <w:sz w:val="24"/>
          <w:szCs w:val="24"/>
        </w:rPr>
        <w:fldChar w:fldCharType="end"/>
      </w:r>
      <w:r w:rsidR="00CB4C35" w:rsidRPr="007C5A6E">
        <w:rPr>
          <w:rFonts w:ascii="Times New Roman" w:hAnsi="Times New Roman"/>
          <w:i w:val="0"/>
          <w:iCs w:val="0"/>
          <w:color w:val="auto"/>
          <w:sz w:val="24"/>
          <w:szCs w:val="24"/>
        </w:rPr>
        <w:t xml:space="preserve"> : Evolution des effectifs des bovins par région</w:t>
      </w:r>
      <w:bookmarkEnd w:id="983"/>
      <w:bookmarkEnd w:id="984"/>
      <w:bookmarkEnd w:id="985"/>
      <w:bookmarkEnd w:id="986"/>
    </w:p>
    <w:p w14:paraId="1234CEEC" w14:textId="77777777" w:rsidR="002314C4" w:rsidRPr="007C5A6E" w:rsidRDefault="002314C4" w:rsidP="002314C4">
      <w:pPr>
        <w:pStyle w:val="Sansinterligne"/>
      </w:pPr>
    </w:p>
    <w:tbl>
      <w:tblPr>
        <w:tblStyle w:val="Grilledutableau6"/>
        <w:tblW w:w="8931" w:type="dxa"/>
        <w:tblInd w:w="-5" w:type="dxa"/>
        <w:tblLook w:val="04A0" w:firstRow="1" w:lastRow="0" w:firstColumn="1" w:lastColumn="0" w:noHBand="0" w:noVBand="1"/>
      </w:tblPr>
      <w:tblGrid>
        <w:gridCol w:w="2127"/>
        <w:gridCol w:w="1134"/>
        <w:gridCol w:w="1275"/>
        <w:gridCol w:w="1134"/>
        <w:gridCol w:w="1134"/>
        <w:gridCol w:w="1134"/>
        <w:gridCol w:w="993"/>
      </w:tblGrid>
      <w:tr w:rsidR="00CB4C35" w:rsidRPr="007C5A6E" w14:paraId="6C6011CC" w14:textId="77777777" w:rsidTr="004B0D7B">
        <w:tc>
          <w:tcPr>
            <w:tcW w:w="2127" w:type="dxa"/>
          </w:tcPr>
          <w:p w14:paraId="627B127A" w14:textId="77777777" w:rsidR="00CB4C35" w:rsidRPr="007C5A6E" w:rsidRDefault="00CB4C35" w:rsidP="00CB4C35">
            <w:pPr>
              <w:spacing w:after="0" w:line="240" w:lineRule="auto"/>
              <w:rPr>
                <w:rFonts w:ascii="Times New Roman" w:hAnsi="Times New Roman"/>
                <w:sz w:val="21"/>
                <w:szCs w:val="21"/>
              </w:rPr>
            </w:pPr>
          </w:p>
        </w:tc>
        <w:tc>
          <w:tcPr>
            <w:tcW w:w="1134" w:type="dxa"/>
            <w:shd w:val="clear" w:color="auto" w:fill="002060"/>
          </w:tcPr>
          <w:p w14:paraId="2680C051" w14:textId="77777777" w:rsidR="00CB4C35" w:rsidRPr="007C5A6E" w:rsidRDefault="00CB4C35" w:rsidP="00CB4C35">
            <w:pPr>
              <w:spacing w:after="0" w:line="240" w:lineRule="auto"/>
              <w:ind w:left="60"/>
              <w:rPr>
                <w:rFonts w:ascii="Times New Roman" w:hAnsi="Times New Roman"/>
                <w:b/>
                <w:sz w:val="21"/>
                <w:szCs w:val="21"/>
              </w:rPr>
            </w:pPr>
            <w:r w:rsidRPr="007C5A6E">
              <w:rPr>
                <w:rFonts w:ascii="Times New Roman" w:hAnsi="Times New Roman"/>
                <w:b/>
                <w:sz w:val="21"/>
                <w:szCs w:val="21"/>
              </w:rPr>
              <w:t>2017</w:t>
            </w:r>
          </w:p>
        </w:tc>
        <w:tc>
          <w:tcPr>
            <w:tcW w:w="1275" w:type="dxa"/>
            <w:shd w:val="clear" w:color="auto" w:fill="002060"/>
          </w:tcPr>
          <w:p w14:paraId="345EAFC7" w14:textId="77777777" w:rsidR="00CB4C35" w:rsidRPr="007C5A6E" w:rsidRDefault="00CB4C35" w:rsidP="00CB4C35">
            <w:pPr>
              <w:spacing w:after="0" w:line="240" w:lineRule="auto"/>
              <w:ind w:left="360"/>
              <w:rPr>
                <w:rFonts w:ascii="Times New Roman" w:hAnsi="Times New Roman"/>
                <w:b/>
                <w:sz w:val="21"/>
                <w:szCs w:val="21"/>
              </w:rPr>
            </w:pPr>
            <w:r w:rsidRPr="007C5A6E">
              <w:rPr>
                <w:rFonts w:ascii="Times New Roman" w:hAnsi="Times New Roman"/>
                <w:b/>
                <w:sz w:val="21"/>
                <w:szCs w:val="21"/>
              </w:rPr>
              <w:t>2018</w:t>
            </w:r>
          </w:p>
        </w:tc>
        <w:tc>
          <w:tcPr>
            <w:tcW w:w="1134" w:type="dxa"/>
            <w:shd w:val="clear" w:color="auto" w:fill="002060"/>
          </w:tcPr>
          <w:p w14:paraId="2F8A42A8" w14:textId="77777777" w:rsidR="00CB4C35" w:rsidRPr="007C5A6E" w:rsidRDefault="00CB4C35" w:rsidP="00CB4C35">
            <w:pPr>
              <w:spacing w:after="0" w:line="240" w:lineRule="auto"/>
              <w:ind w:left="142"/>
              <w:rPr>
                <w:rFonts w:ascii="Times New Roman" w:hAnsi="Times New Roman"/>
                <w:b/>
                <w:sz w:val="21"/>
                <w:szCs w:val="21"/>
              </w:rPr>
            </w:pPr>
            <w:r w:rsidRPr="007C5A6E">
              <w:rPr>
                <w:rFonts w:ascii="Times New Roman" w:hAnsi="Times New Roman"/>
                <w:b/>
                <w:sz w:val="21"/>
                <w:szCs w:val="21"/>
              </w:rPr>
              <w:t>2019</w:t>
            </w:r>
          </w:p>
        </w:tc>
        <w:tc>
          <w:tcPr>
            <w:tcW w:w="1134" w:type="dxa"/>
            <w:shd w:val="clear" w:color="auto" w:fill="002060"/>
          </w:tcPr>
          <w:p w14:paraId="662BE6F1" w14:textId="77777777" w:rsidR="00CB4C35" w:rsidRPr="007C5A6E" w:rsidRDefault="00CB4C35" w:rsidP="00CB4C35">
            <w:pPr>
              <w:spacing w:after="0" w:line="240" w:lineRule="auto"/>
              <w:ind w:left="146"/>
              <w:rPr>
                <w:rFonts w:ascii="Times New Roman" w:hAnsi="Times New Roman"/>
                <w:b/>
                <w:sz w:val="21"/>
                <w:szCs w:val="21"/>
              </w:rPr>
            </w:pPr>
            <w:r w:rsidRPr="007C5A6E">
              <w:rPr>
                <w:rFonts w:ascii="Times New Roman" w:hAnsi="Times New Roman"/>
                <w:b/>
                <w:sz w:val="21"/>
                <w:szCs w:val="21"/>
              </w:rPr>
              <w:t>2020</w:t>
            </w:r>
          </w:p>
        </w:tc>
        <w:tc>
          <w:tcPr>
            <w:tcW w:w="1134" w:type="dxa"/>
            <w:shd w:val="clear" w:color="auto" w:fill="002060"/>
          </w:tcPr>
          <w:p w14:paraId="3D47A96E" w14:textId="77777777" w:rsidR="00CB4C35" w:rsidRPr="007C5A6E" w:rsidRDefault="00CB4C35" w:rsidP="00CB4C35">
            <w:pPr>
              <w:spacing w:after="0" w:line="240" w:lineRule="auto"/>
              <w:ind w:left="110"/>
              <w:rPr>
                <w:rFonts w:ascii="Times New Roman" w:hAnsi="Times New Roman"/>
                <w:b/>
                <w:sz w:val="21"/>
                <w:szCs w:val="21"/>
              </w:rPr>
            </w:pPr>
            <w:r w:rsidRPr="007C5A6E">
              <w:rPr>
                <w:rFonts w:ascii="Times New Roman" w:hAnsi="Times New Roman"/>
                <w:b/>
                <w:sz w:val="21"/>
                <w:szCs w:val="21"/>
              </w:rPr>
              <w:t>2021</w:t>
            </w:r>
          </w:p>
        </w:tc>
        <w:tc>
          <w:tcPr>
            <w:tcW w:w="993" w:type="dxa"/>
            <w:shd w:val="clear" w:color="auto" w:fill="002060"/>
          </w:tcPr>
          <w:p w14:paraId="013BC0CC" w14:textId="77777777" w:rsidR="00CB4C35" w:rsidRPr="007C5A6E" w:rsidRDefault="00CB4C35" w:rsidP="00CB4C35">
            <w:pPr>
              <w:spacing w:after="0" w:line="240" w:lineRule="auto"/>
              <w:ind w:left="60"/>
              <w:rPr>
                <w:rFonts w:ascii="Times New Roman" w:hAnsi="Times New Roman"/>
                <w:b/>
                <w:sz w:val="21"/>
                <w:szCs w:val="21"/>
              </w:rPr>
            </w:pPr>
            <w:r w:rsidRPr="007C5A6E">
              <w:rPr>
                <w:rFonts w:ascii="Times New Roman" w:hAnsi="Times New Roman"/>
                <w:b/>
                <w:sz w:val="21"/>
                <w:szCs w:val="21"/>
              </w:rPr>
              <w:t>2022</w:t>
            </w:r>
          </w:p>
        </w:tc>
      </w:tr>
      <w:tr w:rsidR="00CB4C35" w:rsidRPr="007C5A6E" w14:paraId="3F0180BF" w14:textId="77777777" w:rsidTr="001461B0">
        <w:tc>
          <w:tcPr>
            <w:tcW w:w="2127" w:type="dxa"/>
          </w:tcPr>
          <w:p w14:paraId="3C97A816"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Boucle du Mouhoun</w:t>
            </w:r>
          </w:p>
        </w:tc>
        <w:tc>
          <w:tcPr>
            <w:tcW w:w="1134" w:type="dxa"/>
          </w:tcPr>
          <w:p w14:paraId="21182571"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851, 7</w:t>
            </w:r>
          </w:p>
        </w:tc>
        <w:tc>
          <w:tcPr>
            <w:tcW w:w="1275" w:type="dxa"/>
          </w:tcPr>
          <w:p w14:paraId="36612489" w14:textId="77777777" w:rsidR="00CB4C35" w:rsidRPr="007C5A6E" w:rsidRDefault="00CB4C35" w:rsidP="00CB4C35">
            <w:pPr>
              <w:spacing w:after="0" w:line="240" w:lineRule="auto"/>
              <w:ind w:left="110"/>
              <w:rPr>
                <w:rFonts w:ascii="Times New Roman" w:hAnsi="Times New Roman"/>
                <w:sz w:val="21"/>
                <w:szCs w:val="21"/>
              </w:rPr>
            </w:pPr>
            <w:r w:rsidRPr="007C5A6E">
              <w:rPr>
                <w:rFonts w:ascii="Times New Roman" w:hAnsi="Times New Roman"/>
                <w:sz w:val="21"/>
                <w:szCs w:val="21"/>
              </w:rPr>
              <w:t>1 143, 1</w:t>
            </w:r>
          </w:p>
        </w:tc>
        <w:tc>
          <w:tcPr>
            <w:tcW w:w="1134" w:type="dxa"/>
          </w:tcPr>
          <w:p w14:paraId="47C3765C"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1 166, 5</w:t>
            </w:r>
          </w:p>
        </w:tc>
        <w:tc>
          <w:tcPr>
            <w:tcW w:w="1134" w:type="dxa"/>
          </w:tcPr>
          <w:p w14:paraId="30A0720D"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1 190, 3</w:t>
            </w:r>
          </w:p>
        </w:tc>
        <w:tc>
          <w:tcPr>
            <w:tcW w:w="1134" w:type="dxa"/>
          </w:tcPr>
          <w:p w14:paraId="16443345"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1 214, 7</w:t>
            </w:r>
          </w:p>
        </w:tc>
        <w:tc>
          <w:tcPr>
            <w:tcW w:w="993" w:type="dxa"/>
          </w:tcPr>
          <w:p w14:paraId="516F89AD"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1 239, 6</w:t>
            </w:r>
          </w:p>
        </w:tc>
      </w:tr>
      <w:tr w:rsidR="00CB4C35" w:rsidRPr="007C5A6E" w14:paraId="57150FA1" w14:textId="77777777" w:rsidTr="001461B0">
        <w:tc>
          <w:tcPr>
            <w:tcW w:w="2127" w:type="dxa"/>
          </w:tcPr>
          <w:p w14:paraId="37B5037E"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Cascades</w:t>
            </w:r>
          </w:p>
        </w:tc>
        <w:tc>
          <w:tcPr>
            <w:tcW w:w="1134" w:type="dxa"/>
          </w:tcPr>
          <w:p w14:paraId="3653C607"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717, 7</w:t>
            </w:r>
          </w:p>
        </w:tc>
        <w:tc>
          <w:tcPr>
            <w:tcW w:w="1275" w:type="dxa"/>
          </w:tcPr>
          <w:p w14:paraId="46E0B86F" w14:textId="77777777" w:rsidR="00CB4C35" w:rsidRPr="007C5A6E" w:rsidRDefault="00CB4C35" w:rsidP="00CB4C35">
            <w:pPr>
              <w:spacing w:after="0" w:line="240" w:lineRule="auto"/>
              <w:ind w:left="425"/>
              <w:rPr>
                <w:rFonts w:ascii="Times New Roman" w:hAnsi="Times New Roman"/>
                <w:sz w:val="21"/>
                <w:szCs w:val="21"/>
              </w:rPr>
            </w:pPr>
            <w:r w:rsidRPr="007C5A6E">
              <w:rPr>
                <w:rFonts w:ascii="Times New Roman" w:hAnsi="Times New Roman"/>
                <w:sz w:val="21"/>
                <w:szCs w:val="21"/>
              </w:rPr>
              <w:t>635, 0</w:t>
            </w:r>
          </w:p>
        </w:tc>
        <w:tc>
          <w:tcPr>
            <w:tcW w:w="1134" w:type="dxa"/>
          </w:tcPr>
          <w:p w14:paraId="36105583"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648, 0</w:t>
            </w:r>
          </w:p>
        </w:tc>
        <w:tc>
          <w:tcPr>
            <w:tcW w:w="1134" w:type="dxa"/>
          </w:tcPr>
          <w:p w14:paraId="2BAD5E9A"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661, 3</w:t>
            </w:r>
          </w:p>
        </w:tc>
        <w:tc>
          <w:tcPr>
            <w:tcW w:w="1134" w:type="dxa"/>
          </w:tcPr>
          <w:p w14:paraId="351315E2"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674, 9</w:t>
            </w:r>
          </w:p>
        </w:tc>
        <w:tc>
          <w:tcPr>
            <w:tcW w:w="993" w:type="dxa"/>
          </w:tcPr>
          <w:p w14:paraId="383B5412"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688, 7</w:t>
            </w:r>
          </w:p>
        </w:tc>
      </w:tr>
      <w:tr w:rsidR="00CB4C35" w:rsidRPr="007C5A6E" w14:paraId="7533EF72" w14:textId="77777777" w:rsidTr="001461B0">
        <w:tc>
          <w:tcPr>
            <w:tcW w:w="2127" w:type="dxa"/>
          </w:tcPr>
          <w:p w14:paraId="5E056C34"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Centre</w:t>
            </w:r>
          </w:p>
        </w:tc>
        <w:tc>
          <w:tcPr>
            <w:tcW w:w="1134" w:type="dxa"/>
          </w:tcPr>
          <w:p w14:paraId="1114E321"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165, 3</w:t>
            </w:r>
          </w:p>
        </w:tc>
        <w:tc>
          <w:tcPr>
            <w:tcW w:w="1275" w:type="dxa"/>
          </w:tcPr>
          <w:p w14:paraId="695A3377" w14:textId="77777777" w:rsidR="00CB4C35" w:rsidRPr="007C5A6E" w:rsidRDefault="00CB4C35" w:rsidP="00CB4C35">
            <w:pPr>
              <w:spacing w:after="0" w:line="240" w:lineRule="auto"/>
              <w:ind w:left="526"/>
              <w:rPr>
                <w:rFonts w:ascii="Times New Roman" w:hAnsi="Times New Roman"/>
                <w:sz w:val="21"/>
                <w:szCs w:val="21"/>
              </w:rPr>
            </w:pPr>
            <w:r w:rsidRPr="007C5A6E">
              <w:rPr>
                <w:rFonts w:ascii="Times New Roman" w:hAnsi="Times New Roman"/>
                <w:sz w:val="21"/>
                <w:szCs w:val="21"/>
              </w:rPr>
              <w:t>56, 3</w:t>
            </w:r>
          </w:p>
        </w:tc>
        <w:tc>
          <w:tcPr>
            <w:tcW w:w="1134" w:type="dxa"/>
          </w:tcPr>
          <w:p w14:paraId="44754B33" w14:textId="77777777" w:rsidR="00CB4C35" w:rsidRPr="007C5A6E" w:rsidRDefault="00CB4C35" w:rsidP="00CB4C35">
            <w:pPr>
              <w:spacing w:after="0" w:line="240" w:lineRule="auto"/>
              <w:ind w:left="100"/>
              <w:rPr>
                <w:rFonts w:ascii="Times New Roman" w:hAnsi="Times New Roman"/>
                <w:sz w:val="21"/>
                <w:szCs w:val="21"/>
              </w:rPr>
            </w:pPr>
            <w:r w:rsidRPr="007C5A6E">
              <w:rPr>
                <w:rFonts w:ascii="Times New Roman" w:hAnsi="Times New Roman"/>
                <w:sz w:val="21"/>
                <w:szCs w:val="21"/>
              </w:rPr>
              <w:t>57, 5</w:t>
            </w:r>
          </w:p>
        </w:tc>
        <w:tc>
          <w:tcPr>
            <w:tcW w:w="1134" w:type="dxa"/>
          </w:tcPr>
          <w:p w14:paraId="62D2BDBD" w14:textId="77777777" w:rsidR="00CB4C35" w:rsidRPr="007C5A6E" w:rsidRDefault="00CB4C35" w:rsidP="00CB4C35">
            <w:pPr>
              <w:spacing w:after="0" w:line="240" w:lineRule="auto"/>
              <w:ind w:left="25"/>
              <w:rPr>
                <w:rFonts w:ascii="Times New Roman" w:hAnsi="Times New Roman"/>
                <w:sz w:val="21"/>
                <w:szCs w:val="21"/>
              </w:rPr>
            </w:pPr>
            <w:r w:rsidRPr="007C5A6E">
              <w:rPr>
                <w:rFonts w:ascii="Times New Roman" w:hAnsi="Times New Roman"/>
                <w:sz w:val="21"/>
                <w:szCs w:val="21"/>
              </w:rPr>
              <w:t>58, 7</w:t>
            </w:r>
          </w:p>
        </w:tc>
        <w:tc>
          <w:tcPr>
            <w:tcW w:w="1134" w:type="dxa"/>
          </w:tcPr>
          <w:p w14:paraId="49C5F02C" w14:textId="77777777" w:rsidR="00CB4C35" w:rsidRPr="007C5A6E" w:rsidRDefault="00CB4C35" w:rsidP="00CB4C35">
            <w:pPr>
              <w:spacing w:after="0" w:line="240" w:lineRule="auto"/>
              <w:ind w:left="252"/>
              <w:rPr>
                <w:rFonts w:ascii="Times New Roman" w:hAnsi="Times New Roman"/>
                <w:sz w:val="21"/>
                <w:szCs w:val="21"/>
              </w:rPr>
            </w:pPr>
            <w:r w:rsidRPr="007C5A6E">
              <w:rPr>
                <w:rFonts w:ascii="Times New Roman" w:hAnsi="Times New Roman"/>
                <w:sz w:val="21"/>
                <w:szCs w:val="21"/>
              </w:rPr>
              <w:t>59, 9</w:t>
            </w:r>
          </w:p>
        </w:tc>
        <w:tc>
          <w:tcPr>
            <w:tcW w:w="993" w:type="dxa"/>
          </w:tcPr>
          <w:p w14:paraId="499BB322" w14:textId="77777777" w:rsidR="00CB4C35" w:rsidRPr="007C5A6E" w:rsidRDefault="00CB4C35" w:rsidP="00CB4C35">
            <w:pPr>
              <w:spacing w:after="0" w:line="240" w:lineRule="auto"/>
              <w:ind w:right="1"/>
              <w:rPr>
                <w:rFonts w:ascii="Times New Roman" w:hAnsi="Times New Roman"/>
                <w:sz w:val="21"/>
                <w:szCs w:val="21"/>
              </w:rPr>
            </w:pPr>
            <w:r w:rsidRPr="007C5A6E">
              <w:rPr>
                <w:rFonts w:ascii="Times New Roman" w:hAnsi="Times New Roman"/>
                <w:sz w:val="21"/>
                <w:szCs w:val="21"/>
              </w:rPr>
              <w:t>61, 1</w:t>
            </w:r>
          </w:p>
        </w:tc>
      </w:tr>
      <w:tr w:rsidR="00CB4C35" w:rsidRPr="007C5A6E" w14:paraId="2FD82286" w14:textId="77777777" w:rsidTr="001461B0">
        <w:tc>
          <w:tcPr>
            <w:tcW w:w="2127" w:type="dxa"/>
          </w:tcPr>
          <w:p w14:paraId="6475EF48"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Centre-Est</w:t>
            </w:r>
          </w:p>
        </w:tc>
        <w:tc>
          <w:tcPr>
            <w:tcW w:w="1134" w:type="dxa"/>
          </w:tcPr>
          <w:p w14:paraId="1B699B90"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452, 8</w:t>
            </w:r>
          </w:p>
        </w:tc>
        <w:tc>
          <w:tcPr>
            <w:tcW w:w="1275" w:type="dxa"/>
          </w:tcPr>
          <w:p w14:paraId="3D81A733" w14:textId="77777777" w:rsidR="00CB4C35" w:rsidRPr="007C5A6E" w:rsidRDefault="00CB4C35" w:rsidP="00CB4C35">
            <w:pPr>
              <w:spacing w:after="0" w:line="240" w:lineRule="auto"/>
              <w:ind w:left="425"/>
              <w:rPr>
                <w:rFonts w:ascii="Times New Roman" w:hAnsi="Times New Roman"/>
                <w:sz w:val="21"/>
                <w:szCs w:val="21"/>
              </w:rPr>
            </w:pPr>
            <w:r w:rsidRPr="007C5A6E">
              <w:rPr>
                <w:rFonts w:ascii="Times New Roman" w:hAnsi="Times New Roman"/>
                <w:sz w:val="21"/>
                <w:szCs w:val="21"/>
              </w:rPr>
              <w:t>688, 6</w:t>
            </w:r>
          </w:p>
        </w:tc>
        <w:tc>
          <w:tcPr>
            <w:tcW w:w="1134" w:type="dxa"/>
          </w:tcPr>
          <w:p w14:paraId="31F818BC"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702, 7</w:t>
            </w:r>
          </w:p>
        </w:tc>
        <w:tc>
          <w:tcPr>
            <w:tcW w:w="1134" w:type="dxa"/>
          </w:tcPr>
          <w:p w14:paraId="15D9A989"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717, 1</w:t>
            </w:r>
          </w:p>
        </w:tc>
        <w:tc>
          <w:tcPr>
            <w:tcW w:w="1134" w:type="dxa"/>
          </w:tcPr>
          <w:p w14:paraId="5A4999F3"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731, 8</w:t>
            </w:r>
          </w:p>
        </w:tc>
        <w:tc>
          <w:tcPr>
            <w:tcW w:w="993" w:type="dxa"/>
          </w:tcPr>
          <w:p w14:paraId="54A3ED6C"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746, 8</w:t>
            </w:r>
          </w:p>
        </w:tc>
      </w:tr>
      <w:tr w:rsidR="00CB4C35" w:rsidRPr="007C5A6E" w14:paraId="19809D2A" w14:textId="77777777" w:rsidTr="001461B0">
        <w:tc>
          <w:tcPr>
            <w:tcW w:w="2127" w:type="dxa"/>
          </w:tcPr>
          <w:p w14:paraId="11B143CD"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Centre-Nord</w:t>
            </w:r>
          </w:p>
        </w:tc>
        <w:tc>
          <w:tcPr>
            <w:tcW w:w="1134" w:type="dxa"/>
          </w:tcPr>
          <w:p w14:paraId="5882D022"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543, 2</w:t>
            </w:r>
          </w:p>
        </w:tc>
        <w:tc>
          <w:tcPr>
            <w:tcW w:w="1275" w:type="dxa"/>
          </w:tcPr>
          <w:p w14:paraId="2D779F30" w14:textId="77777777" w:rsidR="00CB4C35" w:rsidRPr="007C5A6E" w:rsidRDefault="00CB4C35" w:rsidP="00CB4C35">
            <w:pPr>
              <w:spacing w:after="0" w:line="240" w:lineRule="auto"/>
              <w:ind w:left="425"/>
              <w:rPr>
                <w:rFonts w:ascii="Times New Roman" w:hAnsi="Times New Roman"/>
                <w:sz w:val="21"/>
                <w:szCs w:val="21"/>
              </w:rPr>
            </w:pPr>
            <w:r w:rsidRPr="007C5A6E">
              <w:rPr>
                <w:rFonts w:ascii="Times New Roman" w:hAnsi="Times New Roman"/>
                <w:sz w:val="21"/>
                <w:szCs w:val="21"/>
              </w:rPr>
              <w:t>748, 2</w:t>
            </w:r>
          </w:p>
        </w:tc>
        <w:tc>
          <w:tcPr>
            <w:tcW w:w="1134" w:type="dxa"/>
          </w:tcPr>
          <w:p w14:paraId="6122D16C"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763, 5</w:t>
            </w:r>
          </w:p>
        </w:tc>
        <w:tc>
          <w:tcPr>
            <w:tcW w:w="1134" w:type="dxa"/>
          </w:tcPr>
          <w:p w14:paraId="0FC90609"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779, 2</w:t>
            </w:r>
          </w:p>
        </w:tc>
        <w:tc>
          <w:tcPr>
            <w:tcW w:w="1134" w:type="dxa"/>
          </w:tcPr>
          <w:p w14:paraId="2DF94D07"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795, 1</w:t>
            </w:r>
          </w:p>
        </w:tc>
        <w:tc>
          <w:tcPr>
            <w:tcW w:w="993" w:type="dxa"/>
          </w:tcPr>
          <w:p w14:paraId="500CE381"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811, 4</w:t>
            </w:r>
          </w:p>
        </w:tc>
      </w:tr>
      <w:tr w:rsidR="00CB4C35" w:rsidRPr="007C5A6E" w14:paraId="5A5EC895" w14:textId="77777777" w:rsidTr="001461B0">
        <w:tc>
          <w:tcPr>
            <w:tcW w:w="2127" w:type="dxa"/>
          </w:tcPr>
          <w:p w14:paraId="761A0ACD"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Centre-Ouest</w:t>
            </w:r>
          </w:p>
        </w:tc>
        <w:tc>
          <w:tcPr>
            <w:tcW w:w="1134" w:type="dxa"/>
          </w:tcPr>
          <w:p w14:paraId="601D63AA"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749, 0</w:t>
            </w:r>
          </w:p>
        </w:tc>
        <w:tc>
          <w:tcPr>
            <w:tcW w:w="1275" w:type="dxa"/>
          </w:tcPr>
          <w:p w14:paraId="62856113" w14:textId="77777777" w:rsidR="00CB4C35" w:rsidRPr="007C5A6E" w:rsidRDefault="00CB4C35" w:rsidP="00CB4C35">
            <w:pPr>
              <w:spacing w:after="0" w:line="240" w:lineRule="auto"/>
              <w:ind w:left="425"/>
              <w:rPr>
                <w:rFonts w:ascii="Times New Roman" w:hAnsi="Times New Roman"/>
                <w:sz w:val="21"/>
                <w:szCs w:val="21"/>
              </w:rPr>
            </w:pPr>
            <w:r w:rsidRPr="007C5A6E">
              <w:rPr>
                <w:rFonts w:ascii="Times New Roman" w:hAnsi="Times New Roman"/>
                <w:sz w:val="21"/>
                <w:szCs w:val="21"/>
              </w:rPr>
              <w:t>542, 0</w:t>
            </w:r>
          </w:p>
        </w:tc>
        <w:tc>
          <w:tcPr>
            <w:tcW w:w="1134" w:type="dxa"/>
          </w:tcPr>
          <w:p w14:paraId="31E9FA75"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553, 1</w:t>
            </w:r>
          </w:p>
        </w:tc>
        <w:tc>
          <w:tcPr>
            <w:tcW w:w="1134" w:type="dxa"/>
          </w:tcPr>
          <w:p w14:paraId="783A2B33"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564, 5</w:t>
            </w:r>
          </w:p>
        </w:tc>
        <w:tc>
          <w:tcPr>
            <w:tcW w:w="1134" w:type="dxa"/>
          </w:tcPr>
          <w:p w14:paraId="6A98356B"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576, 0</w:t>
            </w:r>
          </w:p>
        </w:tc>
        <w:tc>
          <w:tcPr>
            <w:tcW w:w="993" w:type="dxa"/>
          </w:tcPr>
          <w:p w14:paraId="6C46274E"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587, 8</w:t>
            </w:r>
          </w:p>
        </w:tc>
      </w:tr>
      <w:tr w:rsidR="00CB4C35" w:rsidRPr="007C5A6E" w14:paraId="4E5D1C9C" w14:textId="77777777" w:rsidTr="001461B0">
        <w:tc>
          <w:tcPr>
            <w:tcW w:w="2127" w:type="dxa"/>
          </w:tcPr>
          <w:p w14:paraId="0141CFAE"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Centre-Sud</w:t>
            </w:r>
          </w:p>
        </w:tc>
        <w:tc>
          <w:tcPr>
            <w:tcW w:w="1134" w:type="dxa"/>
          </w:tcPr>
          <w:p w14:paraId="54C8E7A1"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337, 4</w:t>
            </w:r>
          </w:p>
        </w:tc>
        <w:tc>
          <w:tcPr>
            <w:tcW w:w="1275" w:type="dxa"/>
          </w:tcPr>
          <w:p w14:paraId="3A6AE5C7" w14:textId="77777777" w:rsidR="00CB4C35" w:rsidRPr="007C5A6E" w:rsidRDefault="00CB4C35" w:rsidP="00CB4C35">
            <w:pPr>
              <w:spacing w:after="0" w:line="240" w:lineRule="auto"/>
              <w:ind w:left="425"/>
              <w:rPr>
                <w:rFonts w:ascii="Times New Roman" w:hAnsi="Times New Roman"/>
                <w:sz w:val="21"/>
                <w:szCs w:val="21"/>
              </w:rPr>
            </w:pPr>
            <w:r w:rsidRPr="007C5A6E">
              <w:rPr>
                <w:rFonts w:ascii="Times New Roman" w:hAnsi="Times New Roman"/>
                <w:sz w:val="21"/>
                <w:szCs w:val="21"/>
              </w:rPr>
              <w:t>278, 7</w:t>
            </w:r>
          </w:p>
        </w:tc>
        <w:tc>
          <w:tcPr>
            <w:tcW w:w="1134" w:type="dxa"/>
          </w:tcPr>
          <w:p w14:paraId="31FDE3E0"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284, 4</w:t>
            </w:r>
          </w:p>
        </w:tc>
        <w:tc>
          <w:tcPr>
            <w:tcW w:w="1134" w:type="dxa"/>
          </w:tcPr>
          <w:p w14:paraId="741BE762"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290, 2</w:t>
            </w:r>
          </w:p>
        </w:tc>
        <w:tc>
          <w:tcPr>
            <w:tcW w:w="1134" w:type="dxa"/>
          </w:tcPr>
          <w:p w14:paraId="6D8880BA"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296, 1</w:t>
            </w:r>
          </w:p>
        </w:tc>
        <w:tc>
          <w:tcPr>
            <w:tcW w:w="993" w:type="dxa"/>
          </w:tcPr>
          <w:p w14:paraId="28BF4F97"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302, 2</w:t>
            </w:r>
          </w:p>
        </w:tc>
      </w:tr>
      <w:tr w:rsidR="00CB4C35" w:rsidRPr="007C5A6E" w14:paraId="76229F9B" w14:textId="77777777" w:rsidTr="001461B0">
        <w:tc>
          <w:tcPr>
            <w:tcW w:w="2127" w:type="dxa"/>
          </w:tcPr>
          <w:p w14:paraId="651F74D2"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Est</w:t>
            </w:r>
          </w:p>
        </w:tc>
        <w:tc>
          <w:tcPr>
            <w:tcW w:w="1134" w:type="dxa"/>
          </w:tcPr>
          <w:p w14:paraId="02D18891"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1 096, 7</w:t>
            </w:r>
          </w:p>
        </w:tc>
        <w:tc>
          <w:tcPr>
            <w:tcW w:w="1275" w:type="dxa"/>
          </w:tcPr>
          <w:p w14:paraId="3B70C1D9" w14:textId="77777777" w:rsidR="00CB4C35" w:rsidRPr="007C5A6E" w:rsidRDefault="00CB4C35" w:rsidP="00CB4C35">
            <w:pPr>
              <w:spacing w:after="0" w:line="240" w:lineRule="auto"/>
              <w:ind w:left="110"/>
              <w:rPr>
                <w:rFonts w:ascii="Times New Roman" w:hAnsi="Times New Roman"/>
                <w:sz w:val="21"/>
                <w:szCs w:val="21"/>
              </w:rPr>
            </w:pPr>
            <w:r w:rsidRPr="007C5A6E">
              <w:rPr>
                <w:rFonts w:ascii="Times New Roman" w:hAnsi="Times New Roman"/>
                <w:sz w:val="21"/>
                <w:szCs w:val="21"/>
              </w:rPr>
              <w:t>1 377, 2</w:t>
            </w:r>
          </w:p>
        </w:tc>
        <w:tc>
          <w:tcPr>
            <w:tcW w:w="1134" w:type="dxa"/>
          </w:tcPr>
          <w:p w14:paraId="6FC96AE3"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1 405, 4</w:t>
            </w:r>
          </w:p>
        </w:tc>
        <w:tc>
          <w:tcPr>
            <w:tcW w:w="1134" w:type="dxa"/>
          </w:tcPr>
          <w:p w14:paraId="1D167B21"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1 434, 2</w:t>
            </w:r>
          </w:p>
        </w:tc>
        <w:tc>
          <w:tcPr>
            <w:tcW w:w="1134" w:type="dxa"/>
          </w:tcPr>
          <w:p w14:paraId="027E73CA"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1 463, 6</w:t>
            </w:r>
          </w:p>
        </w:tc>
        <w:tc>
          <w:tcPr>
            <w:tcW w:w="993" w:type="dxa"/>
          </w:tcPr>
          <w:p w14:paraId="482CB4D8"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1 493, 5</w:t>
            </w:r>
          </w:p>
        </w:tc>
      </w:tr>
      <w:tr w:rsidR="00CB4C35" w:rsidRPr="007C5A6E" w14:paraId="050158C3" w14:textId="77777777" w:rsidTr="001461B0">
        <w:tc>
          <w:tcPr>
            <w:tcW w:w="2127" w:type="dxa"/>
          </w:tcPr>
          <w:p w14:paraId="2951E5AF"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Hauts-Bassins</w:t>
            </w:r>
          </w:p>
        </w:tc>
        <w:tc>
          <w:tcPr>
            <w:tcW w:w="1134" w:type="dxa"/>
          </w:tcPr>
          <w:p w14:paraId="45E54576"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1 601, 8</w:t>
            </w:r>
          </w:p>
        </w:tc>
        <w:tc>
          <w:tcPr>
            <w:tcW w:w="1275" w:type="dxa"/>
          </w:tcPr>
          <w:p w14:paraId="07A6A65F" w14:textId="77777777" w:rsidR="00CB4C35" w:rsidRPr="007C5A6E" w:rsidRDefault="00CB4C35" w:rsidP="00CB4C35">
            <w:pPr>
              <w:spacing w:after="0" w:line="240" w:lineRule="auto"/>
              <w:ind w:left="110"/>
              <w:rPr>
                <w:rFonts w:ascii="Times New Roman" w:hAnsi="Times New Roman"/>
                <w:sz w:val="21"/>
                <w:szCs w:val="21"/>
              </w:rPr>
            </w:pPr>
            <w:r w:rsidRPr="007C5A6E">
              <w:rPr>
                <w:rFonts w:ascii="Times New Roman" w:hAnsi="Times New Roman"/>
                <w:sz w:val="21"/>
                <w:szCs w:val="21"/>
              </w:rPr>
              <w:t>1 210, 7</w:t>
            </w:r>
          </w:p>
        </w:tc>
        <w:tc>
          <w:tcPr>
            <w:tcW w:w="1134" w:type="dxa"/>
          </w:tcPr>
          <w:p w14:paraId="1F495092"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1 235, 5</w:t>
            </w:r>
          </w:p>
        </w:tc>
        <w:tc>
          <w:tcPr>
            <w:tcW w:w="1134" w:type="dxa"/>
          </w:tcPr>
          <w:p w14:paraId="5AA4C482"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1 260, 8</w:t>
            </w:r>
          </w:p>
        </w:tc>
        <w:tc>
          <w:tcPr>
            <w:tcW w:w="1134" w:type="dxa"/>
          </w:tcPr>
          <w:p w14:paraId="7E139666"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1 286, 6</w:t>
            </w:r>
          </w:p>
        </w:tc>
        <w:tc>
          <w:tcPr>
            <w:tcW w:w="993" w:type="dxa"/>
          </w:tcPr>
          <w:p w14:paraId="507DCBD4"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1 312, 9</w:t>
            </w:r>
          </w:p>
        </w:tc>
      </w:tr>
      <w:tr w:rsidR="00CB4C35" w:rsidRPr="007C5A6E" w14:paraId="688D88E6" w14:textId="77777777" w:rsidTr="001461B0">
        <w:tc>
          <w:tcPr>
            <w:tcW w:w="2127" w:type="dxa"/>
          </w:tcPr>
          <w:p w14:paraId="1FB6F507"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Nord</w:t>
            </w:r>
          </w:p>
        </w:tc>
        <w:tc>
          <w:tcPr>
            <w:tcW w:w="1134" w:type="dxa"/>
          </w:tcPr>
          <w:p w14:paraId="48E2CC42"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440, 3</w:t>
            </w:r>
          </w:p>
        </w:tc>
        <w:tc>
          <w:tcPr>
            <w:tcW w:w="1275" w:type="dxa"/>
          </w:tcPr>
          <w:p w14:paraId="3FC2DB17" w14:textId="77777777" w:rsidR="00CB4C35" w:rsidRPr="007C5A6E" w:rsidRDefault="00CB4C35" w:rsidP="00CB4C35">
            <w:pPr>
              <w:spacing w:after="0" w:line="240" w:lineRule="auto"/>
              <w:ind w:left="425"/>
              <w:rPr>
                <w:rFonts w:ascii="Times New Roman" w:hAnsi="Times New Roman"/>
                <w:sz w:val="21"/>
                <w:szCs w:val="21"/>
              </w:rPr>
            </w:pPr>
            <w:r w:rsidRPr="007C5A6E">
              <w:rPr>
                <w:rFonts w:ascii="Times New Roman" w:hAnsi="Times New Roman"/>
                <w:sz w:val="21"/>
                <w:szCs w:val="21"/>
              </w:rPr>
              <w:t>430, 6</w:t>
            </w:r>
          </w:p>
        </w:tc>
        <w:tc>
          <w:tcPr>
            <w:tcW w:w="1134" w:type="dxa"/>
          </w:tcPr>
          <w:p w14:paraId="315BD666"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439, 5</w:t>
            </w:r>
          </w:p>
        </w:tc>
        <w:tc>
          <w:tcPr>
            <w:tcW w:w="1134" w:type="dxa"/>
          </w:tcPr>
          <w:p w14:paraId="2B3CE71D"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448, 4</w:t>
            </w:r>
          </w:p>
        </w:tc>
        <w:tc>
          <w:tcPr>
            <w:tcW w:w="1134" w:type="dxa"/>
          </w:tcPr>
          <w:p w14:paraId="5A7B1821"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457, 6</w:t>
            </w:r>
          </w:p>
        </w:tc>
        <w:tc>
          <w:tcPr>
            <w:tcW w:w="993" w:type="dxa"/>
          </w:tcPr>
          <w:p w14:paraId="3F59869A"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467, 0</w:t>
            </w:r>
          </w:p>
        </w:tc>
      </w:tr>
      <w:tr w:rsidR="00CB4C35" w:rsidRPr="007C5A6E" w14:paraId="2EFA20C8" w14:textId="77777777" w:rsidTr="001461B0">
        <w:tc>
          <w:tcPr>
            <w:tcW w:w="2127" w:type="dxa"/>
          </w:tcPr>
          <w:p w14:paraId="18C9E049"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Plateau Central</w:t>
            </w:r>
          </w:p>
        </w:tc>
        <w:tc>
          <w:tcPr>
            <w:tcW w:w="1134" w:type="dxa"/>
          </w:tcPr>
          <w:p w14:paraId="13AE063F"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343, 8</w:t>
            </w:r>
          </w:p>
        </w:tc>
        <w:tc>
          <w:tcPr>
            <w:tcW w:w="1275" w:type="dxa"/>
          </w:tcPr>
          <w:p w14:paraId="16325B6F" w14:textId="77777777" w:rsidR="00CB4C35" w:rsidRPr="007C5A6E" w:rsidRDefault="00CB4C35" w:rsidP="00CB4C35">
            <w:pPr>
              <w:spacing w:after="0" w:line="240" w:lineRule="auto"/>
              <w:ind w:left="425"/>
              <w:rPr>
                <w:rFonts w:ascii="Times New Roman" w:hAnsi="Times New Roman"/>
                <w:sz w:val="21"/>
                <w:szCs w:val="21"/>
              </w:rPr>
            </w:pPr>
            <w:r w:rsidRPr="007C5A6E">
              <w:rPr>
                <w:rFonts w:ascii="Times New Roman" w:hAnsi="Times New Roman"/>
                <w:sz w:val="21"/>
                <w:szCs w:val="21"/>
              </w:rPr>
              <w:t>274, 2</w:t>
            </w:r>
          </w:p>
        </w:tc>
        <w:tc>
          <w:tcPr>
            <w:tcW w:w="1134" w:type="dxa"/>
          </w:tcPr>
          <w:p w14:paraId="24EA5BCF"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279, 9</w:t>
            </w:r>
          </w:p>
        </w:tc>
        <w:tc>
          <w:tcPr>
            <w:tcW w:w="1134" w:type="dxa"/>
          </w:tcPr>
          <w:p w14:paraId="4DD0EDAA"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285, 6</w:t>
            </w:r>
          </w:p>
        </w:tc>
        <w:tc>
          <w:tcPr>
            <w:tcW w:w="1134" w:type="dxa"/>
          </w:tcPr>
          <w:p w14:paraId="633A67F3"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291, 4</w:t>
            </w:r>
          </w:p>
        </w:tc>
        <w:tc>
          <w:tcPr>
            <w:tcW w:w="993" w:type="dxa"/>
          </w:tcPr>
          <w:p w14:paraId="52B2C345"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297, 4</w:t>
            </w:r>
          </w:p>
        </w:tc>
      </w:tr>
      <w:tr w:rsidR="00CB4C35" w:rsidRPr="007C5A6E" w14:paraId="60178236" w14:textId="77777777" w:rsidTr="001461B0">
        <w:tc>
          <w:tcPr>
            <w:tcW w:w="2127" w:type="dxa"/>
          </w:tcPr>
          <w:p w14:paraId="4CC87604"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Sahel</w:t>
            </w:r>
          </w:p>
        </w:tc>
        <w:tc>
          <w:tcPr>
            <w:tcW w:w="1134" w:type="dxa"/>
          </w:tcPr>
          <w:p w14:paraId="41645DBB"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1 982, 5</w:t>
            </w:r>
          </w:p>
        </w:tc>
        <w:tc>
          <w:tcPr>
            <w:tcW w:w="1275" w:type="dxa"/>
          </w:tcPr>
          <w:p w14:paraId="426CA673" w14:textId="77777777" w:rsidR="00CB4C35" w:rsidRPr="007C5A6E" w:rsidRDefault="00CB4C35" w:rsidP="00CB4C35">
            <w:pPr>
              <w:spacing w:after="0" w:line="240" w:lineRule="auto"/>
              <w:ind w:left="110"/>
              <w:rPr>
                <w:rFonts w:ascii="Times New Roman" w:hAnsi="Times New Roman"/>
                <w:sz w:val="21"/>
                <w:szCs w:val="21"/>
              </w:rPr>
            </w:pPr>
            <w:r w:rsidRPr="007C5A6E">
              <w:rPr>
                <w:rFonts w:ascii="Times New Roman" w:hAnsi="Times New Roman"/>
                <w:sz w:val="21"/>
                <w:szCs w:val="21"/>
              </w:rPr>
              <w:t>1 373, 2</w:t>
            </w:r>
          </w:p>
        </w:tc>
        <w:tc>
          <w:tcPr>
            <w:tcW w:w="1134" w:type="dxa"/>
          </w:tcPr>
          <w:p w14:paraId="5D3A699C"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1 401, 3</w:t>
            </w:r>
          </w:p>
        </w:tc>
        <w:tc>
          <w:tcPr>
            <w:tcW w:w="1134" w:type="dxa"/>
          </w:tcPr>
          <w:p w14:paraId="24F26BBA"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1 430, 0</w:t>
            </w:r>
          </w:p>
        </w:tc>
        <w:tc>
          <w:tcPr>
            <w:tcW w:w="1134" w:type="dxa"/>
          </w:tcPr>
          <w:p w14:paraId="031B8130"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1 459, 3</w:t>
            </w:r>
          </w:p>
        </w:tc>
        <w:tc>
          <w:tcPr>
            <w:tcW w:w="993" w:type="dxa"/>
          </w:tcPr>
          <w:p w14:paraId="5137ADE8"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1 489, 2</w:t>
            </w:r>
          </w:p>
        </w:tc>
      </w:tr>
      <w:tr w:rsidR="00CB4C35" w:rsidRPr="007C5A6E" w14:paraId="63B7C7D9" w14:textId="77777777" w:rsidTr="001461B0">
        <w:tc>
          <w:tcPr>
            <w:tcW w:w="2127" w:type="dxa"/>
          </w:tcPr>
          <w:p w14:paraId="00EB35CD"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Sud-Ouest</w:t>
            </w:r>
          </w:p>
        </w:tc>
        <w:tc>
          <w:tcPr>
            <w:tcW w:w="1134" w:type="dxa"/>
          </w:tcPr>
          <w:p w14:paraId="5A7BA754"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364, 1</w:t>
            </w:r>
          </w:p>
        </w:tc>
        <w:tc>
          <w:tcPr>
            <w:tcW w:w="1275" w:type="dxa"/>
          </w:tcPr>
          <w:p w14:paraId="54CF21A6" w14:textId="77777777" w:rsidR="00CB4C35" w:rsidRPr="007C5A6E" w:rsidRDefault="00CB4C35" w:rsidP="00CB4C35">
            <w:pPr>
              <w:spacing w:after="0" w:line="240" w:lineRule="auto"/>
              <w:ind w:left="425"/>
              <w:rPr>
                <w:rFonts w:ascii="Times New Roman" w:hAnsi="Times New Roman"/>
                <w:sz w:val="21"/>
                <w:szCs w:val="21"/>
              </w:rPr>
            </w:pPr>
            <w:r w:rsidRPr="007C5A6E">
              <w:rPr>
                <w:rFonts w:ascii="Times New Roman" w:hAnsi="Times New Roman"/>
                <w:sz w:val="21"/>
                <w:szCs w:val="21"/>
              </w:rPr>
              <w:t>407, 1</w:t>
            </w:r>
          </w:p>
        </w:tc>
        <w:tc>
          <w:tcPr>
            <w:tcW w:w="1134" w:type="dxa"/>
          </w:tcPr>
          <w:p w14:paraId="294AC455"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415, 5</w:t>
            </w:r>
          </w:p>
        </w:tc>
        <w:tc>
          <w:tcPr>
            <w:tcW w:w="1134" w:type="dxa"/>
          </w:tcPr>
          <w:p w14:paraId="345AC15A"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424, 0</w:t>
            </w:r>
          </w:p>
        </w:tc>
        <w:tc>
          <w:tcPr>
            <w:tcW w:w="1134" w:type="dxa"/>
          </w:tcPr>
          <w:p w14:paraId="18B876AF"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432, 6</w:t>
            </w:r>
          </w:p>
        </w:tc>
        <w:tc>
          <w:tcPr>
            <w:tcW w:w="993" w:type="dxa"/>
          </w:tcPr>
          <w:p w14:paraId="77ADDB02" w14:textId="77777777" w:rsidR="00CB4C35" w:rsidRPr="007C5A6E" w:rsidRDefault="00CB4C35" w:rsidP="00CB4C35">
            <w:pPr>
              <w:spacing w:after="0" w:line="240" w:lineRule="auto"/>
              <w:ind w:left="151"/>
              <w:rPr>
                <w:rFonts w:ascii="Times New Roman" w:hAnsi="Times New Roman"/>
                <w:sz w:val="21"/>
                <w:szCs w:val="21"/>
              </w:rPr>
            </w:pPr>
            <w:r w:rsidRPr="007C5A6E">
              <w:rPr>
                <w:rFonts w:ascii="Times New Roman" w:hAnsi="Times New Roman"/>
                <w:sz w:val="21"/>
                <w:szCs w:val="21"/>
              </w:rPr>
              <w:t>441, 5</w:t>
            </w:r>
          </w:p>
        </w:tc>
      </w:tr>
      <w:tr w:rsidR="00CB4C35" w:rsidRPr="007C5A6E" w14:paraId="57CA0035" w14:textId="77777777" w:rsidTr="001461B0">
        <w:tc>
          <w:tcPr>
            <w:tcW w:w="2127" w:type="dxa"/>
          </w:tcPr>
          <w:p w14:paraId="1C7AADDF"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Burkina Faso</w:t>
            </w:r>
          </w:p>
        </w:tc>
        <w:tc>
          <w:tcPr>
            <w:tcW w:w="1134" w:type="dxa"/>
          </w:tcPr>
          <w:p w14:paraId="296CF5EA"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9 647, 0</w:t>
            </w:r>
          </w:p>
        </w:tc>
        <w:tc>
          <w:tcPr>
            <w:tcW w:w="1275" w:type="dxa"/>
          </w:tcPr>
          <w:p w14:paraId="5422EACC" w14:textId="77777777" w:rsidR="00CB4C35" w:rsidRPr="007C5A6E" w:rsidRDefault="00CB4C35" w:rsidP="00CB4C35">
            <w:pPr>
              <w:spacing w:after="0" w:line="240" w:lineRule="auto"/>
              <w:ind w:left="110"/>
              <w:rPr>
                <w:rFonts w:ascii="Times New Roman" w:hAnsi="Times New Roman"/>
                <w:sz w:val="21"/>
                <w:szCs w:val="21"/>
              </w:rPr>
            </w:pPr>
            <w:r w:rsidRPr="007C5A6E">
              <w:rPr>
                <w:rFonts w:ascii="Times New Roman" w:hAnsi="Times New Roman"/>
                <w:sz w:val="21"/>
                <w:szCs w:val="21"/>
              </w:rPr>
              <w:t>9 165, 6</w:t>
            </w:r>
          </w:p>
        </w:tc>
        <w:tc>
          <w:tcPr>
            <w:tcW w:w="1134" w:type="dxa"/>
          </w:tcPr>
          <w:p w14:paraId="5A967750"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9 353, 3</w:t>
            </w:r>
          </w:p>
        </w:tc>
        <w:tc>
          <w:tcPr>
            <w:tcW w:w="1134" w:type="dxa"/>
          </w:tcPr>
          <w:p w14:paraId="596C24C8"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9 544, 8</w:t>
            </w:r>
          </w:p>
        </w:tc>
        <w:tc>
          <w:tcPr>
            <w:tcW w:w="1134" w:type="dxa"/>
          </w:tcPr>
          <w:p w14:paraId="24CBFC00"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9 740, 3</w:t>
            </w:r>
          </w:p>
        </w:tc>
        <w:tc>
          <w:tcPr>
            <w:tcW w:w="993" w:type="dxa"/>
          </w:tcPr>
          <w:p w14:paraId="408F62B1" w14:textId="77777777" w:rsidR="00CB4C35" w:rsidRPr="007C5A6E" w:rsidRDefault="00CB4C35" w:rsidP="00CB4C35">
            <w:pPr>
              <w:spacing w:after="0" w:line="240" w:lineRule="auto"/>
              <w:rPr>
                <w:rFonts w:ascii="Times New Roman" w:hAnsi="Times New Roman"/>
                <w:sz w:val="21"/>
                <w:szCs w:val="21"/>
              </w:rPr>
            </w:pPr>
            <w:r w:rsidRPr="007C5A6E">
              <w:rPr>
                <w:rFonts w:ascii="Times New Roman" w:hAnsi="Times New Roman"/>
                <w:sz w:val="21"/>
                <w:szCs w:val="21"/>
              </w:rPr>
              <w:t>9 939, 7</w:t>
            </w:r>
          </w:p>
        </w:tc>
      </w:tr>
    </w:tbl>
    <w:p w14:paraId="7B76DE45" w14:textId="77777777" w:rsidR="00CB4C35" w:rsidRPr="007C5A6E" w:rsidRDefault="00CB4C35" w:rsidP="00CB4C35">
      <w:pPr>
        <w:spacing w:after="0" w:line="240" w:lineRule="auto"/>
        <w:jc w:val="both"/>
        <w:rPr>
          <w:rFonts w:ascii="Times New Roman" w:hAnsi="Times New Roman"/>
          <w:sz w:val="20"/>
          <w:szCs w:val="20"/>
        </w:rPr>
      </w:pPr>
      <w:r w:rsidRPr="007C5A6E">
        <w:rPr>
          <w:rFonts w:ascii="Times New Roman" w:hAnsi="Times New Roman"/>
          <w:sz w:val="20"/>
          <w:szCs w:val="20"/>
        </w:rPr>
        <w:t>Source : DGESS/MARAH, 2022</w:t>
      </w:r>
    </w:p>
    <w:p w14:paraId="1A3A0849" w14:textId="77777777" w:rsidR="00CB4C35" w:rsidRPr="007C5A6E" w:rsidRDefault="00CB4C35" w:rsidP="00CB4C35">
      <w:pPr>
        <w:spacing w:after="0" w:line="240" w:lineRule="auto"/>
        <w:jc w:val="both"/>
        <w:rPr>
          <w:rFonts w:ascii="Times New Roman" w:hAnsi="Times New Roman"/>
          <w:sz w:val="24"/>
          <w:szCs w:val="24"/>
        </w:rPr>
      </w:pPr>
    </w:p>
    <w:p w14:paraId="3F5C9EE1" w14:textId="77777777"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51787D58" wp14:editId="3B3DADD9">
            <wp:extent cx="5399405" cy="3818255"/>
            <wp:effectExtent l="0" t="0" r="0" b="0"/>
            <wp:docPr id="3675" name="Picture 3675"/>
            <wp:cNvGraphicFramePr/>
            <a:graphic xmlns:a="http://schemas.openxmlformats.org/drawingml/2006/main">
              <a:graphicData uri="http://schemas.openxmlformats.org/drawingml/2006/picture">
                <pic:pic xmlns:pic="http://schemas.openxmlformats.org/drawingml/2006/picture">
                  <pic:nvPicPr>
                    <pic:cNvPr id="3675" name="Picture 3675"/>
                    <pic:cNvPicPr/>
                  </pic:nvPicPr>
                  <pic:blipFill>
                    <a:blip r:embed="rId151" cstate="email">
                      <a:extLst>
                        <a:ext uri="{28A0092B-C50C-407E-A947-70E740481C1C}">
                          <a14:useLocalDpi xmlns:a14="http://schemas.microsoft.com/office/drawing/2010/main"/>
                        </a:ext>
                      </a:extLst>
                    </a:blip>
                    <a:stretch>
                      <a:fillRect/>
                    </a:stretch>
                  </pic:blipFill>
                  <pic:spPr>
                    <a:xfrm>
                      <a:off x="0" y="0"/>
                      <a:ext cx="5399405" cy="3818255"/>
                    </a:xfrm>
                    <a:prstGeom prst="rect">
                      <a:avLst/>
                    </a:prstGeom>
                  </pic:spPr>
                </pic:pic>
              </a:graphicData>
            </a:graphic>
          </wp:inline>
        </w:drawing>
      </w:r>
    </w:p>
    <w:p w14:paraId="2D180F2A" w14:textId="77777777" w:rsidR="004B0D7B" w:rsidRPr="007C5A6E" w:rsidRDefault="004B0D7B" w:rsidP="004B0D7B">
      <w:pPr>
        <w:spacing w:after="0" w:line="240" w:lineRule="auto"/>
        <w:jc w:val="both"/>
        <w:rPr>
          <w:rFonts w:ascii="Times New Roman" w:hAnsi="Times New Roman"/>
          <w:sz w:val="20"/>
          <w:szCs w:val="20"/>
        </w:rPr>
      </w:pPr>
      <w:bookmarkStart w:id="987" w:name="_Toc176507973"/>
      <w:bookmarkStart w:id="988" w:name="_Toc182575474"/>
      <w:r w:rsidRPr="007C5A6E">
        <w:rPr>
          <w:rFonts w:ascii="Times New Roman" w:hAnsi="Times New Roman"/>
          <w:sz w:val="20"/>
          <w:szCs w:val="20"/>
        </w:rPr>
        <w:t>(Source : Action Contre la Faim, 2023)</w:t>
      </w:r>
    </w:p>
    <w:p w14:paraId="5F47E6B8" w14:textId="5C3F3BF6" w:rsidR="00CB4C35" w:rsidRPr="007C5A6E" w:rsidRDefault="004B0D7B" w:rsidP="004B0D7B">
      <w:pPr>
        <w:pStyle w:val="Lgende"/>
        <w:spacing w:after="0"/>
        <w:rPr>
          <w:rFonts w:ascii="Times New Roman" w:hAnsi="Times New Roman"/>
          <w:color w:val="auto"/>
          <w:sz w:val="24"/>
          <w:szCs w:val="24"/>
        </w:rPr>
      </w:pPr>
      <w:bookmarkStart w:id="989" w:name="_Toc183230906"/>
      <w:bookmarkStart w:id="990" w:name="_Toc183240699"/>
      <w:bookmarkStart w:id="991" w:name="_Toc183340438"/>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59</w:t>
      </w:r>
      <w:r w:rsidRPr="007C5A6E">
        <w:rPr>
          <w:rFonts w:ascii="Times New Roman" w:hAnsi="Times New Roman"/>
          <w:color w:val="auto"/>
          <w:sz w:val="24"/>
          <w:szCs w:val="24"/>
        </w:rPr>
        <w:fldChar w:fldCharType="end"/>
      </w:r>
      <w:r w:rsidR="00290FD1" w:rsidRPr="007C5A6E">
        <w:rPr>
          <w:rFonts w:ascii="Times New Roman" w:hAnsi="Times New Roman"/>
          <w:color w:val="auto"/>
          <w:sz w:val="24"/>
          <w:szCs w:val="24"/>
        </w:rPr>
        <w:t>.</w:t>
      </w:r>
      <w:r w:rsidR="00CB4C35" w:rsidRPr="007C5A6E">
        <w:rPr>
          <w:rFonts w:ascii="Times New Roman" w:hAnsi="Times New Roman"/>
          <w:color w:val="auto"/>
          <w:sz w:val="24"/>
          <w:szCs w:val="24"/>
        </w:rPr>
        <w:t xml:space="preserve"> Mouvements et concentration en bétail rapportés sur le Burkina Faso</w:t>
      </w:r>
      <w:bookmarkEnd w:id="987"/>
      <w:bookmarkEnd w:id="988"/>
      <w:bookmarkEnd w:id="989"/>
      <w:bookmarkEnd w:id="990"/>
      <w:bookmarkEnd w:id="991"/>
      <w:r w:rsidR="00CB4C35" w:rsidRPr="007C5A6E">
        <w:rPr>
          <w:rFonts w:ascii="Times New Roman" w:hAnsi="Times New Roman"/>
          <w:color w:val="auto"/>
          <w:sz w:val="24"/>
          <w:szCs w:val="24"/>
        </w:rPr>
        <w:t xml:space="preserve"> </w:t>
      </w:r>
    </w:p>
    <w:p w14:paraId="76A722AD" w14:textId="77777777" w:rsidR="00CB4C35" w:rsidRPr="007C5A6E" w:rsidRDefault="00CB4C35" w:rsidP="00CB4C35">
      <w:pPr>
        <w:spacing w:after="0" w:line="240" w:lineRule="auto"/>
        <w:jc w:val="both"/>
        <w:rPr>
          <w:rFonts w:ascii="Times New Roman" w:hAnsi="Times New Roman"/>
          <w:sz w:val="24"/>
          <w:szCs w:val="24"/>
        </w:rPr>
      </w:pPr>
    </w:p>
    <w:p w14:paraId="3965ACF7" w14:textId="77777777" w:rsidR="009A08D5" w:rsidRPr="007C5A6E" w:rsidRDefault="009A08D5" w:rsidP="00CB4C35">
      <w:pPr>
        <w:spacing w:after="0" w:line="240" w:lineRule="auto"/>
        <w:jc w:val="both"/>
        <w:rPr>
          <w:rFonts w:ascii="Times New Roman" w:hAnsi="Times New Roman"/>
          <w:sz w:val="24"/>
          <w:szCs w:val="24"/>
        </w:rPr>
      </w:pPr>
    </w:p>
    <w:p w14:paraId="04EA33DF" w14:textId="77777777" w:rsidR="00CB4C35" w:rsidRPr="007C5A6E" w:rsidRDefault="00CB4C35" w:rsidP="00684FF8">
      <w:pPr>
        <w:pStyle w:val="Titre4"/>
      </w:pPr>
      <w:bookmarkStart w:id="992" w:name="_Toc182575435"/>
      <w:bookmarkStart w:id="993" w:name="_Toc183340215"/>
      <w:r w:rsidRPr="007C5A6E">
        <w:t>Les feux de brousse incontrôlés</w:t>
      </w:r>
      <w:bookmarkEnd w:id="992"/>
      <w:bookmarkEnd w:id="993"/>
    </w:p>
    <w:p w14:paraId="27D4B094" w14:textId="77777777" w:rsidR="00CB4C35" w:rsidRPr="007C5A6E" w:rsidRDefault="00CB4C35" w:rsidP="00CB4C35">
      <w:pPr>
        <w:spacing w:after="0" w:line="240" w:lineRule="auto"/>
        <w:jc w:val="both"/>
        <w:rPr>
          <w:rFonts w:ascii="Times New Roman" w:hAnsi="Times New Roman"/>
          <w:sz w:val="24"/>
          <w:szCs w:val="24"/>
        </w:rPr>
      </w:pPr>
    </w:p>
    <w:p w14:paraId="2586EAF2" w14:textId="77777777"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Au cours des 10 dernières années, les feux ont touché environ 7% de la surface totale du pays, avec une moyenne annuelle de 1 959 280,2 ha de surface brûlée (</w:t>
      </w:r>
      <w:bookmarkStart w:id="994" w:name="_Hlk182482044"/>
      <w:r w:rsidRPr="007C5A6E">
        <w:rPr>
          <w:rFonts w:ascii="Times New Roman" w:hAnsi="Times New Roman"/>
          <w:sz w:val="24"/>
          <w:szCs w:val="24"/>
        </w:rPr>
        <w:t>DGESS/MEEA, 2023</w:t>
      </w:r>
      <w:bookmarkEnd w:id="994"/>
      <w:r w:rsidRPr="007C5A6E">
        <w:rPr>
          <w:rFonts w:ascii="Times New Roman" w:hAnsi="Times New Roman"/>
          <w:sz w:val="24"/>
          <w:szCs w:val="24"/>
        </w:rPr>
        <w:t xml:space="preserve">). Les feux de brousse, quel que soit leur régime, induisent une sélection au sein de la flore, éliminant ainsi au fil des années les espèces les plus sensibles. Ils impactent aussi sur la diversité faunique notamment la microfaune du sol et constituent un facteur non négligeable de déforestation et de perte de diversité biologique. </w:t>
      </w:r>
    </w:p>
    <w:p w14:paraId="0744B9FA" w14:textId="0A9C8472" w:rsidR="004B0D7B"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La pratique des feux de brousse concerne une grande partie du pays (Figure </w:t>
      </w:r>
      <w:r w:rsidR="004B0D7B" w:rsidRPr="007C5A6E">
        <w:rPr>
          <w:rFonts w:ascii="Times New Roman" w:hAnsi="Times New Roman"/>
          <w:sz w:val="24"/>
          <w:szCs w:val="24"/>
        </w:rPr>
        <w:t>60</w:t>
      </w:r>
      <w:r w:rsidRPr="007C5A6E">
        <w:rPr>
          <w:rFonts w:ascii="Times New Roman" w:hAnsi="Times New Roman"/>
          <w:sz w:val="24"/>
          <w:szCs w:val="24"/>
        </w:rPr>
        <w:t xml:space="preserve"> ; Tableau 4</w:t>
      </w:r>
      <w:r w:rsidR="003B3F85" w:rsidRPr="007C5A6E">
        <w:rPr>
          <w:rFonts w:ascii="Times New Roman" w:hAnsi="Times New Roman"/>
          <w:sz w:val="24"/>
          <w:szCs w:val="24"/>
        </w:rPr>
        <w:t>2</w:t>
      </w:r>
      <w:r w:rsidRPr="007C5A6E">
        <w:rPr>
          <w:rFonts w:ascii="Times New Roman" w:hAnsi="Times New Roman"/>
          <w:sz w:val="24"/>
          <w:szCs w:val="24"/>
        </w:rPr>
        <w:t xml:space="preserve">). Elle est surtout persistante et par ordre de grandeur dans les régions de l’Est, Boucle du Mouhoun et Centre-Ouest et de façon générale dans la zone sud soudanienne (figure </w:t>
      </w:r>
      <w:r w:rsidR="004B0D7B" w:rsidRPr="007C5A6E">
        <w:rPr>
          <w:rFonts w:ascii="Times New Roman" w:hAnsi="Times New Roman"/>
          <w:sz w:val="24"/>
          <w:szCs w:val="24"/>
        </w:rPr>
        <w:t>61</w:t>
      </w:r>
      <w:r w:rsidRPr="007C5A6E">
        <w:rPr>
          <w:rFonts w:ascii="Times New Roman" w:hAnsi="Times New Roman"/>
          <w:sz w:val="24"/>
          <w:szCs w:val="24"/>
        </w:rPr>
        <w:t xml:space="preserve">). Ces régions abritent par ailleurs la grande majorité des aires protégées du pays, avec un important potentiel en produits forestiers ligneux. Comparativement aux décennies antérieurs (1990-2000 ; 2000-2010) où plus de la moitié du pays était couverte par les feux, les dernières décennies présentent des superficies brulées en nette régression. </w:t>
      </w:r>
    </w:p>
    <w:p w14:paraId="68C37D0C" w14:textId="62D7AE40"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Entre 2014 et 2022, cette régression est estimée à 688 824,78 ha. Dans le détail, le taux de recul de la superficie était de 6% entre 2014 et 2015 et de 24% entre 2015 et 2020. Par contre, une légère augmentation de 8% et de 7% a été constatée respectivement entre 2020-2021 et 2021-2022. Cette hausse s’explique par le contexte sécuritaire du pays qui ne facilite pas un aménagement adéquat des aires protégées qui subissent le braconnage et les pâturages illicites qui utilisent souvent les feux incontrôlés. En dehors de cette hausse circonstanciée, la tendance à la baisse des surfaces brulées est remarquable depuis le REEB4 qui présentait déjà une régression moyenne de l’ordre de 11% (</w:t>
      </w:r>
      <w:bookmarkStart w:id="995" w:name="_Hlk182482144"/>
      <w:r w:rsidRPr="007C5A6E">
        <w:rPr>
          <w:rFonts w:ascii="Times New Roman" w:hAnsi="Times New Roman"/>
          <w:sz w:val="24"/>
          <w:szCs w:val="24"/>
        </w:rPr>
        <w:t>SP/CNDD, 2017</w:t>
      </w:r>
      <w:bookmarkEnd w:id="995"/>
      <w:r w:rsidRPr="007C5A6E">
        <w:rPr>
          <w:rFonts w:ascii="Times New Roman" w:hAnsi="Times New Roman"/>
          <w:sz w:val="24"/>
          <w:szCs w:val="24"/>
        </w:rPr>
        <w:t xml:space="preserve">). Aujourd’hui, le taux de recul moyen des superficies brulées est de l’ordre de 25% (DGESS/MEEA, 2023). Cela signifie qu’entre les 2 périodes, la pratique des feux a encore chuté, même si le phénomène reste largement rependu sur une grande partie du territoire national.     </w:t>
      </w:r>
    </w:p>
    <w:p w14:paraId="2EA1375D" w14:textId="77777777" w:rsidR="00CB4C35" w:rsidRPr="007C5A6E" w:rsidRDefault="00CB4C35" w:rsidP="00CB4C35">
      <w:pPr>
        <w:spacing w:after="0" w:line="240" w:lineRule="auto"/>
        <w:jc w:val="both"/>
        <w:rPr>
          <w:rFonts w:ascii="Times New Roman" w:hAnsi="Times New Roman"/>
          <w:sz w:val="24"/>
          <w:szCs w:val="24"/>
        </w:rPr>
      </w:pPr>
    </w:p>
    <w:p w14:paraId="79D5A3E1" w14:textId="77777777"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028941F7" wp14:editId="68AA9BAA">
            <wp:extent cx="5760720" cy="3419475"/>
            <wp:effectExtent l="0" t="0" r="0" b="9525"/>
            <wp:docPr id="6354735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73507" name=""/>
                    <pic:cNvPicPr/>
                  </pic:nvPicPr>
                  <pic:blipFill>
                    <a:blip r:embed="rId152" cstate="email">
                      <a:extLst>
                        <a:ext uri="{28A0092B-C50C-407E-A947-70E740481C1C}">
                          <a14:useLocalDpi xmlns:a14="http://schemas.microsoft.com/office/drawing/2010/main"/>
                        </a:ext>
                      </a:extLst>
                    </a:blip>
                    <a:stretch>
                      <a:fillRect/>
                    </a:stretch>
                  </pic:blipFill>
                  <pic:spPr>
                    <a:xfrm>
                      <a:off x="0" y="0"/>
                      <a:ext cx="5760720" cy="3419475"/>
                    </a:xfrm>
                    <a:prstGeom prst="rect">
                      <a:avLst/>
                    </a:prstGeom>
                  </pic:spPr>
                </pic:pic>
              </a:graphicData>
            </a:graphic>
          </wp:inline>
        </w:drawing>
      </w:r>
    </w:p>
    <w:p w14:paraId="368F1A57" w14:textId="77777777" w:rsidR="00ED5192" w:rsidRPr="007C5A6E" w:rsidRDefault="00ED5192" w:rsidP="00ED5192">
      <w:pPr>
        <w:spacing w:after="0" w:line="240" w:lineRule="auto"/>
        <w:jc w:val="both"/>
        <w:rPr>
          <w:rFonts w:ascii="Times New Roman" w:hAnsi="Times New Roman"/>
          <w:sz w:val="20"/>
          <w:szCs w:val="20"/>
        </w:rPr>
      </w:pPr>
      <w:bookmarkStart w:id="996" w:name="_Toc176507974"/>
      <w:bookmarkStart w:id="997" w:name="_Toc182575475"/>
      <w:r w:rsidRPr="007C5A6E">
        <w:rPr>
          <w:rFonts w:ascii="Times New Roman" w:hAnsi="Times New Roman"/>
          <w:sz w:val="20"/>
          <w:szCs w:val="20"/>
        </w:rPr>
        <w:t xml:space="preserve">(Source : </w:t>
      </w:r>
      <w:bookmarkStart w:id="998" w:name="_Hlk182482175"/>
      <w:r w:rsidRPr="007C5A6E">
        <w:rPr>
          <w:rFonts w:ascii="Times New Roman" w:hAnsi="Times New Roman"/>
          <w:sz w:val="20"/>
          <w:szCs w:val="20"/>
        </w:rPr>
        <w:t>MEDD, 2012</w:t>
      </w:r>
      <w:bookmarkEnd w:id="998"/>
      <w:r w:rsidRPr="007C5A6E">
        <w:rPr>
          <w:rFonts w:ascii="Times New Roman" w:hAnsi="Times New Roman"/>
          <w:sz w:val="20"/>
          <w:szCs w:val="20"/>
        </w:rPr>
        <w:t>)</w:t>
      </w:r>
    </w:p>
    <w:p w14:paraId="13FCD851" w14:textId="65DEFD76" w:rsidR="00CB4C35" w:rsidRPr="007C5A6E" w:rsidRDefault="004B0D7B" w:rsidP="00ED5192">
      <w:pPr>
        <w:pStyle w:val="Lgende"/>
        <w:spacing w:after="0"/>
        <w:rPr>
          <w:rFonts w:ascii="Times New Roman" w:hAnsi="Times New Roman"/>
          <w:color w:val="auto"/>
          <w:sz w:val="24"/>
          <w:szCs w:val="24"/>
        </w:rPr>
      </w:pPr>
      <w:bookmarkStart w:id="999" w:name="_Toc183230907"/>
      <w:bookmarkStart w:id="1000" w:name="_Toc183240700"/>
      <w:bookmarkStart w:id="1001" w:name="_Toc183340439"/>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60</w:t>
      </w:r>
      <w:r w:rsidRPr="007C5A6E">
        <w:rPr>
          <w:rFonts w:ascii="Times New Roman" w:hAnsi="Times New Roman"/>
          <w:color w:val="auto"/>
          <w:sz w:val="24"/>
          <w:szCs w:val="24"/>
        </w:rPr>
        <w:fldChar w:fldCharType="end"/>
      </w:r>
      <w:r w:rsidR="000A2C06" w:rsidRPr="007C5A6E">
        <w:rPr>
          <w:rFonts w:ascii="Times New Roman" w:hAnsi="Times New Roman"/>
          <w:color w:val="auto"/>
          <w:sz w:val="24"/>
          <w:szCs w:val="24"/>
        </w:rPr>
        <w:t>.</w:t>
      </w:r>
      <w:r w:rsidR="00CB4C35" w:rsidRPr="007C5A6E">
        <w:rPr>
          <w:rFonts w:ascii="Times New Roman" w:hAnsi="Times New Roman"/>
          <w:color w:val="auto"/>
          <w:sz w:val="24"/>
          <w:szCs w:val="24"/>
        </w:rPr>
        <w:t xml:space="preserve"> Carte de situation des zones brûlées au cours des campagnes 2001 à 2004</w:t>
      </w:r>
      <w:bookmarkEnd w:id="996"/>
      <w:bookmarkEnd w:id="997"/>
      <w:bookmarkEnd w:id="999"/>
      <w:bookmarkEnd w:id="1000"/>
      <w:bookmarkEnd w:id="1001"/>
      <w:r w:rsidR="00CB4C35" w:rsidRPr="007C5A6E">
        <w:rPr>
          <w:rFonts w:ascii="Times New Roman" w:hAnsi="Times New Roman"/>
          <w:color w:val="auto"/>
          <w:sz w:val="24"/>
          <w:szCs w:val="24"/>
        </w:rPr>
        <w:t xml:space="preserve"> </w:t>
      </w:r>
    </w:p>
    <w:p w14:paraId="1BACFAF7" w14:textId="3191B7A5" w:rsidR="00CB4C35" w:rsidRPr="007C5A6E" w:rsidRDefault="004B0D7B" w:rsidP="00ED5192">
      <w:pPr>
        <w:pStyle w:val="Lgende"/>
        <w:spacing w:after="0"/>
        <w:rPr>
          <w:rFonts w:ascii="Times New Roman" w:hAnsi="Times New Roman"/>
          <w:i w:val="0"/>
          <w:iCs w:val="0"/>
          <w:color w:val="auto"/>
          <w:sz w:val="24"/>
          <w:szCs w:val="24"/>
        </w:rPr>
      </w:pPr>
      <w:bookmarkStart w:id="1002" w:name="_Toc182575499"/>
      <w:bookmarkStart w:id="1003" w:name="_Toc183241004"/>
      <w:bookmarkStart w:id="1004" w:name="_Toc183292246"/>
      <w:bookmarkStart w:id="1005" w:name="_Toc183340526"/>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3162F8" w:rsidRPr="007C5A6E">
        <w:rPr>
          <w:rFonts w:ascii="Times New Roman" w:hAnsi="Times New Roman"/>
          <w:i w:val="0"/>
          <w:iCs w:val="0"/>
          <w:noProof/>
          <w:color w:val="auto"/>
          <w:sz w:val="24"/>
          <w:szCs w:val="24"/>
        </w:rPr>
        <w:t>42</w:t>
      </w:r>
      <w:r w:rsidRPr="007C5A6E">
        <w:rPr>
          <w:rFonts w:ascii="Times New Roman" w:hAnsi="Times New Roman"/>
          <w:i w:val="0"/>
          <w:iCs w:val="0"/>
          <w:color w:val="auto"/>
          <w:sz w:val="24"/>
          <w:szCs w:val="24"/>
        </w:rPr>
        <w:fldChar w:fldCharType="end"/>
      </w:r>
      <w:r w:rsidR="003B3F85" w:rsidRPr="007C5A6E">
        <w:rPr>
          <w:rFonts w:ascii="Times New Roman" w:hAnsi="Times New Roman"/>
          <w:i w:val="0"/>
          <w:iCs w:val="0"/>
          <w:color w:val="auto"/>
          <w:sz w:val="24"/>
          <w:szCs w:val="24"/>
        </w:rPr>
        <w:t xml:space="preserve"> </w:t>
      </w:r>
      <w:r w:rsidR="00CB4C35" w:rsidRPr="007C5A6E">
        <w:rPr>
          <w:rFonts w:ascii="Times New Roman" w:hAnsi="Times New Roman"/>
          <w:i w:val="0"/>
          <w:iCs w:val="0"/>
          <w:color w:val="auto"/>
          <w:sz w:val="24"/>
          <w:szCs w:val="24"/>
        </w:rPr>
        <w:t>: Evolution des superficies brûlées, en ha</w:t>
      </w:r>
      <w:bookmarkEnd w:id="1002"/>
      <w:bookmarkEnd w:id="1003"/>
      <w:bookmarkEnd w:id="1004"/>
      <w:bookmarkEnd w:id="1005"/>
      <w:r w:rsidR="00CB4C35" w:rsidRPr="007C5A6E">
        <w:rPr>
          <w:rFonts w:ascii="Times New Roman" w:hAnsi="Times New Roman"/>
          <w:i w:val="0"/>
          <w:iCs w:val="0"/>
          <w:color w:val="auto"/>
          <w:sz w:val="24"/>
          <w:szCs w:val="24"/>
        </w:rPr>
        <w:t xml:space="preserve"> </w:t>
      </w:r>
    </w:p>
    <w:tbl>
      <w:tblPr>
        <w:tblStyle w:val="TableGrid"/>
        <w:tblW w:w="8386" w:type="dxa"/>
        <w:tblInd w:w="-22" w:type="dxa"/>
        <w:tblLayout w:type="fixed"/>
        <w:tblCellMar>
          <w:top w:w="38" w:type="dxa"/>
          <w:right w:w="115" w:type="dxa"/>
        </w:tblCellMar>
        <w:tblLook w:val="04A0" w:firstRow="1" w:lastRow="0" w:firstColumn="1" w:lastColumn="0" w:noHBand="0" w:noVBand="1"/>
      </w:tblPr>
      <w:tblGrid>
        <w:gridCol w:w="2290"/>
        <w:gridCol w:w="1134"/>
        <w:gridCol w:w="1276"/>
        <w:gridCol w:w="1276"/>
        <w:gridCol w:w="1134"/>
        <w:gridCol w:w="1276"/>
      </w:tblGrid>
      <w:tr w:rsidR="00CB4C35" w:rsidRPr="007C5A6E" w14:paraId="3190DB4E" w14:textId="77777777" w:rsidTr="00ED5192">
        <w:trPr>
          <w:trHeight w:val="444"/>
        </w:trPr>
        <w:tc>
          <w:tcPr>
            <w:tcW w:w="2290" w:type="dxa"/>
            <w:tcBorders>
              <w:top w:val="single" w:sz="17" w:space="0" w:color="00B050"/>
              <w:left w:val="nil"/>
              <w:bottom w:val="single" w:sz="17" w:space="0" w:color="00B050"/>
              <w:right w:val="nil"/>
            </w:tcBorders>
            <w:shd w:val="clear" w:color="auto" w:fill="002060"/>
            <w:vAlign w:val="center"/>
          </w:tcPr>
          <w:p w14:paraId="56249737" w14:textId="77777777" w:rsidR="00CB4C35" w:rsidRPr="007C5A6E" w:rsidRDefault="00CB4C35" w:rsidP="00CB4C35">
            <w:pPr>
              <w:spacing w:after="0" w:line="240" w:lineRule="auto"/>
              <w:ind w:left="22"/>
              <w:jc w:val="both"/>
              <w:rPr>
                <w:rFonts w:ascii="Times New Roman" w:hAnsi="Times New Roman"/>
              </w:rPr>
            </w:pPr>
            <w:r w:rsidRPr="007C5A6E">
              <w:rPr>
                <w:rFonts w:ascii="Times New Roman" w:eastAsia="Calibri" w:hAnsi="Times New Roman"/>
                <w:b/>
              </w:rPr>
              <w:t>Région</w:t>
            </w:r>
          </w:p>
        </w:tc>
        <w:tc>
          <w:tcPr>
            <w:tcW w:w="1134" w:type="dxa"/>
            <w:tcBorders>
              <w:top w:val="single" w:sz="17" w:space="0" w:color="00B050"/>
              <w:left w:val="nil"/>
              <w:bottom w:val="single" w:sz="17" w:space="0" w:color="00B050"/>
              <w:right w:val="nil"/>
            </w:tcBorders>
            <w:shd w:val="clear" w:color="auto" w:fill="002060"/>
            <w:vAlign w:val="center"/>
          </w:tcPr>
          <w:p w14:paraId="54CA0FBE" w14:textId="77777777" w:rsidR="00CB4C35" w:rsidRPr="007C5A6E" w:rsidRDefault="00CB4C35" w:rsidP="00ED5192">
            <w:pPr>
              <w:spacing w:after="0" w:line="240" w:lineRule="auto"/>
              <w:jc w:val="right"/>
              <w:rPr>
                <w:rFonts w:ascii="Times New Roman" w:hAnsi="Times New Roman"/>
              </w:rPr>
            </w:pPr>
            <w:r w:rsidRPr="007C5A6E">
              <w:rPr>
                <w:rFonts w:ascii="Times New Roman" w:eastAsia="Calibri" w:hAnsi="Times New Roman"/>
                <w:b/>
              </w:rPr>
              <w:t>2013-2014</w:t>
            </w:r>
          </w:p>
        </w:tc>
        <w:tc>
          <w:tcPr>
            <w:tcW w:w="1276" w:type="dxa"/>
            <w:tcBorders>
              <w:top w:val="single" w:sz="17" w:space="0" w:color="00B050"/>
              <w:left w:val="nil"/>
              <w:bottom w:val="single" w:sz="17" w:space="0" w:color="00B050"/>
              <w:right w:val="nil"/>
            </w:tcBorders>
            <w:shd w:val="clear" w:color="auto" w:fill="002060"/>
            <w:vAlign w:val="center"/>
          </w:tcPr>
          <w:p w14:paraId="66CAC20A" w14:textId="77777777" w:rsidR="00CB4C35" w:rsidRPr="007C5A6E" w:rsidRDefault="00CB4C35" w:rsidP="00ED5192">
            <w:pPr>
              <w:spacing w:after="0" w:line="240" w:lineRule="auto"/>
              <w:jc w:val="right"/>
              <w:rPr>
                <w:rFonts w:ascii="Times New Roman" w:hAnsi="Times New Roman"/>
              </w:rPr>
            </w:pPr>
            <w:r w:rsidRPr="007C5A6E">
              <w:rPr>
                <w:rFonts w:ascii="Times New Roman" w:eastAsia="Calibri" w:hAnsi="Times New Roman"/>
                <w:b/>
              </w:rPr>
              <w:t>2014-2015</w:t>
            </w:r>
          </w:p>
        </w:tc>
        <w:tc>
          <w:tcPr>
            <w:tcW w:w="1276" w:type="dxa"/>
            <w:tcBorders>
              <w:top w:val="single" w:sz="17" w:space="0" w:color="00B050"/>
              <w:left w:val="nil"/>
              <w:bottom w:val="single" w:sz="17" w:space="0" w:color="00B050"/>
              <w:right w:val="nil"/>
            </w:tcBorders>
            <w:shd w:val="clear" w:color="auto" w:fill="002060"/>
            <w:vAlign w:val="center"/>
          </w:tcPr>
          <w:p w14:paraId="0B82E78E" w14:textId="77777777" w:rsidR="00CB4C35" w:rsidRPr="007C5A6E" w:rsidRDefault="00CB4C35" w:rsidP="00ED5192">
            <w:pPr>
              <w:spacing w:after="0" w:line="240" w:lineRule="auto"/>
              <w:ind w:left="36"/>
              <w:jc w:val="right"/>
              <w:rPr>
                <w:rFonts w:ascii="Times New Roman" w:hAnsi="Times New Roman"/>
              </w:rPr>
            </w:pPr>
            <w:r w:rsidRPr="007C5A6E">
              <w:rPr>
                <w:rFonts w:ascii="Times New Roman" w:eastAsia="Calibri" w:hAnsi="Times New Roman"/>
                <w:b/>
              </w:rPr>
              <w:t>2019-2020</w:t>
            </w:r>
          </w:p>
        </w:tc>
        <w:tc>
          <w:tcPr>
            <w:tcW w:w="1134" w:type="dxa"/>
            <w:tcBorders>
              <w:top w:val="single" w:sz="17" w:space="0" w:color="00B050"/>
              <w:left w:val="nil"/>
              <w:bottom w:val="single" w:sz="17" w:space="0" w:color="00B050"/>
              <w:right w:val="nil"/>
            </w:tcBorders>
            <w:shd w:val="clear" w:color="auto" w:fill="002060"/>
            <w:vAlign w:val="center"/>
          </w:tcPr>
          <w:p w14:paraId="37F9F7F8" w14:textId="77777777" w:rsidR="00CB4C35" w:rsidRPr="007C5A6E" w:rsidRDefault="00CB4C35" w:rsidP="00ED5192">
            <w:pPr>
              <w:spacing w:after="0" w:line="240" w:lineRule="auto"/>
              <w:jc w:val="right"/>
              <w:rPr>
                <w:rFonts w:ascii="Times New Roman" w:hAnsi="Times New Roman"/>
              </w:rPr>
            </w:pPr>
            <w:r w:rsidRPr="007C5A6E">
              <w:rPr>
                <w:rFonts w:ascii="Times New Roman" w:eastAsia="Calibri" w:hAnsi="Times New Roman"/>
                <w:b/>
              </w:rPr>
              <w:t>2020-2021</w:t>
            </w:r>
          </w:p>
        </w:tc>
        <w:tc>
          <w:tcPr>
            <w:tcW w:w="1276" w:type="dxa"/>
            <w:tcBorders>
              <w:top w:val="single" w:sz="17" w:space="0" w:color="00B050"/>
              <w:left w:val="nil"/>
              <w:bottom w:val="single" w:sz="17" w:space="0" w:color="00B050"/>
              <w:right w:val="nil"/>
            </w:tcBorders>
            <w:shd w:val="clear" w:color="auto" w:fill="002060"/>
            <w:vAlign w:val="center"/>
          </w:tcPr>
          <w:p w14:paraId="0BAAC694" w14:textId="77777777" w:rsidR="00CB4C35" w:rsidRPr="007C5A6E" w:rsidRDefault="00CB4C35" w:rsidP="00ED5192">
            <w:pPr>
              <w:spacing w:after="0" w:line="240" w:lineRule="auto"/>
              <w:ind w:left="36"/>
              <w:jc w:val="right"/>
              <w:rPr>
                <w:rFonts w:ascii="Times New Roman" w:hAnsi="Times New Roman"/>
              </w:rPr>
            </w:pPr>
            <w:r w:rsidRPr="007C5A6E">
              <w:rPr>
                <w:rFonts w:ascii="Times New Roman" w:eastAsia="Calibri" w:hAnsi="Times New Roman"/>
                <w:b/>
              </w:rPr>
              <w:t>2021-2022</w:t>
            </w:r>
          </w:p>
        </w:tc>
      </w:tr>
      <w:tr w:rsidR="00CB4C35" w:rsidRPr="007C5A6E" w14:paraId="5CA1101C" w14:textId="77777777" w:rsidTr="00ED5192">
        <w:trPr>
          <w:trHeight w:val="456"/>
        </w:trPr>
        <w:tc>
          <w:tcPr>
            <w:tcW w:w="2290" w:type="dxa"/>
            <w:tcBorders>
              <w:top w:val="single" w:sz="17" w:space="0" w:color="00B050"/>
              <w:left w:val="nil"/>
              <w:bottom w:val="nil"/>
              <w:right w:val="nil"/>
            </w:tcBorders>
            <w:shd w:val="clear" w:color="auto" w:fill="E6EED5"/>
            <w:vAlign w:val="center"/>
          </w:tcPr>
          <w:p w14:paraId="1D3A1A60" w14:textId="77777777" w:rsidR="00CB4C35" w:rsidRPr="007C5A6E" w:rsidRDefault="00CB4C35" w:rsidP="00CB4C35">
            <w:pPr>
              <w:spacing w:after="0" w:line="240" w:lineRule="auto"/>
              <w:ind w:left="22"/>
              <w:jc w:val="both"/>
              <w:rPr>
                <w:rFonts w:ascii="Times New Roman" w:hAnsi="Times New Roman"/>
                <w:sz w:val="21"/>
                <w:szCs w:val="21"/>
              </w:rPr>
            </w:pPr>
            <w:r w:rsidRPr="007C5A6E">
              <w:rPr>
                <w:rFonts w:ascii="Times New Roman" w:eastAsia="Calibri" w:hAnsi="Times New Roman"/>
                <w:sz w:val="21"/>
                <w:szCs w:val="21"/>
              </w:rPr>
              <w:t>Boucle du Mouhoun</w:t>
            </w:r>
          </w:p>
        </w:tc>
        <w:tc>
          <w:tcPr>
            <w:tcW w:w="1134" w:type="dxa"/>
            <w:tcBorders>
              <w:top w:val="single" w:sz="17" w:space="0" w:color="00B050"/>
              <w:left w:val="nil"/>
              <w:bottom w:val="nil"/>
              <w:right w:val="nil"/>
            </w:tcBorders>
            <w:shd w:val="clear" w:color="auto" w:fill="E6EED5"/>
            <w:vAlign w:val="center"/>
          </w:tcPr>
          <w:p w14:paraId="5912A2F3" w14:textId="77777777" w:rsidR="00CB4C35" w:rsidRPr="007C5A6E" w:rsidRDefault="00CB4C35" w:rsidP="00ED5192">
            <w:pPr>
              <w:spacing w:after="0" w:line="240" w:lineRule="auto"/>
              <w:ind w:left="74"/>
              <w:jc w:val="right"/>
              <w:rPr>
                <w:rFonts w:ascii="Times New Roman" w:hAnsi="Times New Roman"/>
                <w:sz w:val="21"/>
                <w:szCs w:val="21"/>
              </w:rPr>
            </w:pPr>
            <w:r w:rsidRPr="007C5A6E">
              <w:rPr>
                <w:rFonts w:ascii="Times New Roman" w:eastAsia="Calibri" w:hAnsi="Times New Roman"/>
                <w:sz w:val="21"/>
                <w:szCs w:val="21"/>
              </w:rPr>
              <w:t>331 375</w:t>
            </w:r>
          </w:p>
        </w:tc>
        <w:tc>
          <w:tcPr>
            <w:tcW w:w="1276" w:type="dxa"/>
            <w:tcBorders>
              <w:top w:val="single" w:sz="17" w:space="0" w:color="00B050"/>
              <w:left w:val="nil"/>
              <w:bottom w:val="nil"/>
              <w:right w:val="nil"/>
            </w:tcBorders>
            <w:shd w:val="clear" w:color="auto" w:fill="E6EED5"/>
            <w:vAlign w:val="center"/>
          </w:tcPr>
          <w:p w14:paraId="3B022875" w14:textId="77777777" w:rsidR="00CB4C35" w:rsidRPr="007C5A6E" w:rsidRDefault="00CB4C35" w:rsidP="00ED5192">
            <w:pPr>
              <w:spacing w:after="0" w:line="240" w:lineRule="auto"/>
              <w:ind w:left="110"/>
              <w:jc w:val="right"/>
              <w:rPr>
                <w:rFonts w:ascii="Times New Roman" w:hAnsi="Times New Roman"/>
                <w:sz w:val="21"/>
                <w:szCs w:val="21"/>
              </w:rPr>
            </w:pPr>
            <w:r w:rsidRPr="007C5A6E">
              <w:rPr>
                <w:rFonts w:ascii="Times New Roman" w:eastAsia="Calibri" w:hAnsi="Times New Roman"/>
                <w:sz w:val="21"/>
                <w:szCs w:val="21"/>
              </w:rPr>
              <w:t>252250</w:t>
            </w:r>
          </w:p>
        </w:tc>
        <w:tc>
          <w:tcPr>
            <w:tcW w:w="1276" w:type="dxa"/>
            <w:tcBorders>
              <w:top w:val="single" w:sz="17" w:space="0" w:color="00B050"/>
              <w:left w:val="nil"/>
              <w:bottom w:val="nil"/>
              <w:right w:val="nil"/>
            </w:tcBorders>
            <w:shd w:val="clear" w:color="auto" w:fill="E6EED5"/>
            <w:vAlign w:val="center"/>
          </w:tcPr>
          <w:p w14:paraId="5CD6E4B9" w14:textId="77777777" w:rsidR="00CB4C35" w:rsidRPr="007C5A6E" w:rsidRDefault="00CB4C35" w:rsidP="00ED5192">
            <w:pPr>
              <w:spacing w:after="0" w:line="240" w:lineRule="auto"/>
              <w:ind w:left="149"/>
              <w:jc w:val="right"/>
              <w:rPr>
                <w:rFonts w:ascii="Times New Roman" w:hAnsi="Times New Roman"/>
                <w:sz w:val="21"/>
                <w:szCs w:val="21"/>
              </w:rPr>
            </w:pPr>
            <w:r w:rsidRPr="007C5A6E">
              <w:rPr>
                <w:rFonts w:ascii="Times New Roman" w:eastAsia="Calibri" w:hAnsi="Times New Roman"/>
                <w:sz w:val="21"/>
                <w:szCs w:val="21"/>
              </w:rPr>
              <w:t>149085</w:t>
            </w:r>
          </w:p>
        </w:tc>
        <w:tc>
          <w:tcPr>
            <w:tcW w:w="1134" w:type="dxa"/>
            <w:tcBorders>
              <w:top w:val="single" w:sz="17" w:space="0" w:color="00B050"/>
              <w:left w:val="nil"/>
              <w:bottom w:val="nil"/>
              <w:right w:val="nil"/>
            </w:tcBorders>
            <w:shd w:val="clear" w:color="auto" w:fill="E6EED5"/>
            <w:vAlign w:val="center"/>
          </w:tcPr>
          <w:p w14:paraId="3B116D57" w14:textId="77777777" w:rsidR="00CB4C35" w:rsidRPr="007C5A6E" w:rsidRDefault="00CB4C35" w:rsidP="00ED5192">
            <w:pPr>
              <w:spacing w:after="0" w:line="240" w:lineRule="auto"/>
              <w:ind w:left="113"/>
              <w:jc w:val="right"/>
              <w:rPr>
                <w:rFonts w:ascii="Times New Roman" w:hAnsi="Times New Roman"/>
                <w:sz w:val="21"/>
                <w:szCs w:val="21"/>
              </w:rPr>
            </w:pPr>
            <w:r w:rsidRPr="007C5A6E">
              <w:rPr>
                <w:rFonts w:ascii="Times New Roman" w:eastAsia="Calibri" w:hAnsi="Times New Roman"/>
                <w:sz w:val="21"/>
                <w:szCs w:val="21"/>
              </w:rPr>
              <w:t>120173</w:t>
            </w:r>
          </w:p>
        </w:tc>
        <w:tc>
          <w:tcPr>
            <w:tcW w:w="1276" w:type="dxa"/>
            <w:tcBorders>
              <w:top w:val="single" w:sz="17" w:space="0" w:color="00B050"/>
              <w:left w:val="nil"/>
              <w:bottom w:val="nil"/>
              <w:right w:val="nil"/>
            </w:tcBorders>
            <w:shd w:val="clear" w:color="auto" w:fill="E6EED5"/>
            <w:vAlign w:val="center"/>
          </w:tcPr>
          <w:p w14:paraId="269C7E2B" w14:textId="77777777" w:rsidR="00CB4C35" w:rsidRPr="007C5A6E" w:rsidRDefault="00CB4C35" w:rsidP="00ED5192">
            <w:pPr>
              <w:spacing w:after="0" w:line="240" w:lineRule="auto"/>
              <w:ind w:left="149"/>
              <w:jc w:val="right"/>
              <w:rPr>
                <w:rFonts w:ascii="Times New Roman" w:hAnsi="Times New Roman"/>
                <w:sz w:val="21"/>
                <w:szCs w:val="21"/>
              </w:rPr>
            </w:pPr>
            <w:r w:rsidRPr="007C5A6E">
              <w:rPr>
                <w:rFonts w:ascii="Times New Roman" w:eastAsia="Calibri" w:hAnsi="Times New Roman"/>
                <w:sz w:val="21"/>
                <w:szCs w:val="21"/>
              </w:rPr>
              <w:t>133683</w:t>
            </w:r>
          </w:p>
        </w:tc>
      </w:tr>
      <w:tr w:rsidR="00CB4C35" w:rsidRPr="007C5A6E" w14:paraId="016FDD79" w14:textId="77777777" w:rsidTr="00ED5192">
        <w:trPr>
          <w:trHeight w:val="214"/>
        </w:trPr>
        <w:tc>
          <w:tcPr>
            <w:tcW w:w="2290" w:type="dxa"/>
            <w:tcBorders>
              <w:top w:val="nil"/>
              <w:left w:val="nil"/>
              <w:bottom w:val="nil"/>
              <w:right w:val="nil"/>
            </w:tcBorders>
          </w:tcPr>
          <w:p w14:paraId="29F3EFDE" w14:textId="77777777" w:rsidR="00CB4C35" w:rsidRPr="007C5A6E" w:rsidRDefault="00CB4C35" w:rsidP="00CB4C35">
            <w:pPr>
              <w:spacing w:after="0" w:line="240" w:lineRule="auto"/>
              <w:ind w:left="22"/>
              <w:jc w:val="both"/>
              <w:rPr>
                <w:rFonts w:ascii="Times New Roman" w:hAnsi="Times New Roman"/>
                <w:sz w:val="21"/>
                <w:szCs w:val="21"/>
              </w:rPr>
            </w:pPr>
            <w:r w:rsidRPr="007C5A6E">
              <w:rPr>
                <w:rFonts w:ascii="Times New Roman" w:eastAsia="Calibri" w:hAnsi="Times New Roman"/>
                <w:sz w:val="21"/>
                <w:szCs w:val="21"/>
              </w:rPr>
              <w:t>Cascades</w:t>
            </w:r>
          </w:p>
        </w:tc>
        <w:tc>
          <w:tcPr>
            <w:tcW w:w="1134" w:type="dxa"/>
            <w:tcBorders>
              <w:top w:val="nil"/>
              <w:left w:val="nil"/>
              <w:bottom w:val="nil"/>
              <w:right w:val="nil"/>
            </w:tcBorders>
          </w:tcPr>
          <w:p w14:paraId="0E45EE7E" w14:textId="77777777" w:rsidR="00CB4C35" w:rsidRPr="007C5A6E" w:rsidRDefault="00CB4C35" w:rsidP="00ED5192">
            <w:pPr>
              <w:spacing w:after="0" w:line="240" w:lineRule="auto"/>
              <w:ind w:left="74"/>
              <w:jc w:val="right"/>
              <w:rPr>
                <w:rFonts w:ascii="Times New Roman" w:hAnsi="Times New Roman"/>
                <w:sz w:val="21"/>
                <w:szCs w:val="21"/>
              </w:rPr>
            </w:pPr>
            <w:r w:rsidRPr="007C5A6E">
              <w:rPr>
                <w:rFonts w:ascii="Times New Roman" w:eastAsia="Calibri" w:hAnsi="Times New Roman"/>
                <w:sz w:val="21"/>
                <w:szCs w:val="21"/>
              </w:rPr>
              <w:t>191 375</w:t>
            </w:r>
          </w:p>
        </w:tc>
        <w:tc>
          <w:tcPr>
            <w:tcW w:w="1276" w:type="dxa"/>
            <w:tcBorders>
              <w:top w:val="nil"/>
              <w:left w:val="nil"/>
              <w:bottom w:val="nil"/>
              <w:right w:val="nil"/>
            </w:tcBorders>
          </w:tcPr>
          <w:p w14:paraId="2BDB1F42" w14:textId="77777777" w:rsidR="00CB4C35" w:rsidRPr="007C5A6E" w:rsidRDefault="00CB4C35" w:rsidP="00ED5192">
            <w:pPr>
              <w:spacing w:after="0" w:line="240" w:lineRule="auto"/>
              <w:ind w:left="74"/>
              <w:jc w:val="right"/>
              <w:rPr>
                <w:rFonts w:ascii="Times New Roman" w:hAnsi="Times New Roman"/>
                <w:sz w:val="21"/>
                <w:szCs w:val="21"/>
              </w:rPr>
            </w:pPr>
            <w:r w:rsidRPr="007C5A6E">
              <w:rPr>
                <w:rFonts w:ascii="Times New Roman" w:eastAsia="Calibri" w:hAnsi="Times New Roman"/>
                <w:sz w:val="21"/>
                <w:szCs w:val="21"/>
              </w:rPr>
              <w:t>184 175</w:t>
            </w:r>
          </w:p>
        </w:tc>
        <w:tc>
          <w:tcPr>
            <w:tcW w:w="1276" w:type="dxa"/>
            <w:tcBorders>
              <w:top w:val="nil"/>
              <w:left w:val="nil"/>
              <w:bottom w:val="nil"/>
              <w:right w:val="nil"/>
            </w:tcBorders>
          </w:tcPr>
          <w:p w14:paraId="104AE565" w14:textId="77777777" w:rsidR="00CB4C35" w:rsidRPr="007C5A6E" w:rsidRDefault="00CB4C35" w:rsidP="00ED5192">
            <w:pPr>
              <w:spacing w:after="0" w:line="240" w:lineRule="auto"/>
              <w:ind w:left="154"/>
              <w:jc w:val="right"/>
              <w:rPr>
                <w:rFonts w:ascii="Times New Roman" w:hAnsi="Times New Roman"/>
                <w:sz w:val="21"/>
                <w:szCs w:val="21"/>
              </w:rPr>
            </w:pPr>
            <w:r w:rsidRPr="007C5A6E">
              <w:rPr>
                <w:rFonts w:ascii="Times New Roman" w:eastAsia="Calibri" w:hAnsi="Times New Roman"/>
                <w:sz w:val="21"/>
                <w:szCs w:val="21"/>
              </w:rPr>
              <w:t>84 730</w:t>
            </w:r>
          </w:p>
        </w:tc>
        <w:tc>
          <w:tcPr>
            <w:tcW w:w="1134" w:type="dxa"/>
            <w:tcBorders>
              <w:top w:val="nil"/>
              <w:left w:val="nil"/>
              <w:bottom w:val="nil"/>
              <w:right w:val="nil"/>
            </w:tcBorders>
          </w:tcPr>
          <w:p w14:paraId="244F12EF" w14:textId="77777777" w:rsidR="00CB4C35" w:rsidRPr="007C5A6E" w:rsidRDefault="00CB4C35" w:rsidP="00ED5192">
            <w:pPr>
              <w:spacing w:after="0" w:line="240" w:lineRule="auto"/>
              <w:ind w:left="118"/>
              <w:jc w:val="right"/>
              <w:rPr>
                <w:rFonts w:ascii="Times New Roman" w:hAnsi="Times New Roman"/>
                <w:sz w:val="21"/>
                <w:szCs w:val="21"/>
              </w:rPr>
            </w:pPr>
            <w:r w:rsidRPr="007C5A6E">
              <w:rPr>
                <w:rFonts w:ascii="Times New Roman" w:eastAsia="Calibri" w:hAnsi="Times New Roman"/>
                <w:sz w:val="21"/>
                <w:szCs w:val="21"/>
              </w:rPr>
              <w:t>81 203</w:t>
            </w:r>
          </w:p>
        </w:tc>
        <w:tc>
          <w:tcPr>
            <w:tcW w:w="1276" w:type="dxa"/>
            <w:tcBorders>
              <w:top w:val="nil"/>
              <w:left w:val="nil"/>
              <w:bottom w:val="nil"/>
              <w:right w:val="nil"/>
            </w:tcBorders>
          </w:tcPr>
          <w:p w14:paraId="089619FE" w14:textId="77777777" w:rsidR="00CB4C35" w:rsidRPr="007C5A6E" w:rsidRDefault="00CB4C35" w:rsidP="00ED5192">
            <w:pPr>
              <w:spacing w:after="0" w:line="240" w:lineRule="auto"/>
              <w:ind w:left="154"/>
              <w:jc w:val="right"/>
              <w:rPr>
                <w:rFonts w:ascii="Times New Roman" w:hAnsi="Times New Roman"/>
                <w:sz w:val="21"/>
                <w:szCs w:val="21"/>
              </w:rPr>
            </w:pPr>
            <w:r w:rsidRPr="007C5A6E">
              <w:rPr>
                <w:rFonts w:ascii="Times New Roman" w:eastAsia="Calibri" w:hAnsi="Times New Roman"/>
                <w:sz w:val="21"/>
                <w:szCs w:val="21"/>
              </w:rPr>
              <w:t>67 305</w:t>
            </w:r>
          </w:p>
        </w:tc>
      </w:tr>
      <w:tr w:rsidR="00CB4C35" w:rsidRPr="007C5A6E" w14:paraId="0AFC7AC5" w14:textId="77777777" w:rsidTr="00ED5192">
        <w:trPr>
          <w:trHeight w:val="218"/>
        </w:trPr>
        <w:tc>
          <w:tcPr>
            <w:tcW w:w="2290" w:type="dxa"/>
            <w:tcBorders>
              <w:top w:val="nil"/>
              <w:left w:val="nil"/>
              <w:bottom w:val="nil"/>
              <w:right w:val="nil"/>
            </w:tcBorders>
            <w:shd w:val="clear" w:color="auto" w:fill="E6EED5"/>
          </w:tcPr>
          <w:p w14:paraId="3B902746" w14:textId="77777777" w:rsidR="00CB4C35" w:rsidRPr="007C5A6E" w:rsidRDefault="00CB4C35" w:rsidP="00CB4C35">
            <w:pPr>
              <w:spacing w:after="0" w:line="240" w:lineRule="auto"/>
              <w:ind w:left="22"/>
              <w:jc w:val="both"/>
              <w:rPr>
                <w:rFonts w:ascii="Times New Roman" w:hAnsi="Times New Roman"/>
                <w:sz w:val="21"/>
                <w:szCs w:val="21"/>
              </w:rPr>
            </w:pPr>
            <w:r w:rsidRPr="007C5A6E">
              <w:rPr>
                <w:rFonts w:ascii="Times New Roman" w:eastAsia="Calibri" w:hAnsi="Times New Roman"/>
                <w:sz w:val="21"/>
                <w:szCs w:val="21"/>
              </w:rPr>
              <w:t>Centre</w:t>
            </w:r>
          </w:p>
        </w:tc>
        <w:tc>
          <w:tcPr>
            <w:tcW w:w="1134" w:type="dxa"/>
            <w:tcBorders>
              <w:top w:val="nil"/>
              <w:left w:val="nil"/>
              <w:bottom w:val="nil"/>
              <w:right w:val="nil"/>
            </w:tcBorders>
            <w:shd w:val="clear" w:color="auto" w:fill="E6EED5"/>
          </w:tcPr>
          <w:p w14:paraId="243F8ABD" w14:textId="77777777" w:rsidR="00CB4C35" w:rsidRPr="007C5A6E" w:rsidRDefault="00CB4C35" w:rsidP="00ED5192">
            <w:pPr>
              <w:spacing w:after="0" w:line="240" w:lineRule="auto"/>
              <w:ind w:left="156"/>
              <w:jc w:val="right"/>
              <w:rPr>
                <w:rFonts w:ascii="Times New Roman" w:hAnsi="Times New Roman"/>
                <w:sz w:val="21"/>
                <w:szCs w:val="21"/>
              </w:rPr>
            </w:pPr>
            <w:r w:rsidRPr="007C5A6E">
              <w:rPr>
                <w:rFonts w:ascii="Times New Roman" w:eastAsia="Calibri" w:hAnsi="Times New Roman"/>
                <w:sz w:val="21"/>
                <w:szCs w:val="21"/>
              </w:rPr>
              <w:t>9 125</w:t>
            </w:r>
          </w:p>
        </w:tc>
        <w:tc>
          <w:tcPr>
            <w:tcW w:w="1276" w:type="dxa"/>
            <w:tcBorders>
              <w:top w:val="nil"/>
              <w:left w:val="nil"/>
              <w:bottom w:val="nil"/>
              <w:right w:val="nil"/>
            </w:tcBorders>
            <w:shd w:val="clear" w:color="auto" w:fill="E6EED5"/>
          </w:tcPr>
          <w:p w14:paraId="34BA3F97" w14:textId="77777777" w:rsidR="00CB4C35" w:rsidRPr="007C5A6E" w:rsidRDefault="00CB4C35" w:rsidP="00ED5192">
            <w:pPr>
              <w:spacing w:after="0" w:line="240" w:lineRule="auto"/>
              <w:ind w:left="156"/>
              <w:jc w:val="right"/>
              <w:rPr>
                <w:rFonts w:ascii="Times New Roman" w:hAnsi="Times New Roman"/>
                <w:sz w:val="21"/>
                <w:szCs w:val="21"/>
              </w:rPr>
            </w:pPr>
            <w:r w:rsidRPr="007C5A6E">
              <w:rPr>
                <w:rFonts w:ascii="Times New Roman" w:eastAsia="Calibri" w:hAnsi="Times New Roman"/>
                <w:sz w:val="21"/>
                <w:szCs w:val="21"/>
              </w:rPr>
              <w:t>3 975</w:t>
            </w:r>
          </w:p>
        </w:tc>
        <w:tc>
          <w:tcPr>
            <w:tcW w:w="1276" w:type="dxa"/>
            <w:tcBorders>
              <w:top w:val="nil"/>
              <w:left w:val="nil"/>
              <w:bottom w:val="nil"/>
              <w:right w:val="nil"/>
            </w:tcBorders>
            <w:shd w:val="clear" w:color="auto" w:fill="E6EED5"/>
          </w:tcPr>
          <w:p w14:paraId="68264FE8" w14:textId="77777777" w:rsidR="00CB4C35" w:rsidRPr="007C5A6E" w:rsidRDefault="00CB4C35" w:rsidP="00ED5192">
            <w:pPr>
              <w:spacing w:after="0" w:line="240" w:lineRule="auto"/>
              <w:ind w:left="194"/>
              <w:jc w:val="right"/>
              <w:rPr>
                <w:rFonts w:ascii="Times New Roman" w:hAnsi="Times New Roman"/>
                <w:sz w:val="21"/>
                <w:szCs w:val="21"/>
              </w:rPr>
            </w:pPr>
            <w:r w:rsidRPr="007C5A6E">
              <w:rPr>
                <w:rFonts w:ascii="Times New Roman" w:eastAsia="Calibri" w:hAnsi="Times New Roman"/>
                <w:sz w:val="21"/>
                <w:szCs w:val="21"/>
              </w:rPr>
              <w:t>2 752</w:t>
            </w:r>
          </w:p>
        </w:tc>
        <w:tc>
          <w:tcPr>
            <w:tcW w:w="1134" w:type="dxa"/>
            <w:tcBorders>
              <w:top w:val="nil"/>
              <w:left w:val="nil"/>
              <w:bottom w:val="nil"/>
              <w:right w:val="nil"/>
            </w:tcBorders>
            <w:shd w:val="clear" w:color="auto" w:fill="E6EED5"/>
          </w:tcPr>
          <w:p w14:paraId="20D45F22" w14:textId="77777777" w:rsidR="00CB4C35" w:rsidRPr="007C5A6E" w:rsidRDefault="00CB4C35" w:rsidP="00ED5192">
            <w:pPr>
              <w:spacing w:after="0" w:line="240" w:lineRule="auto"/>
              <w:ind w:left="158"/>
              <w:jc w:val="right"/>
              <w:rPr>
                <w:rFonts w:ascii="Times New Roman" w:hAnsi="Times New Roman"/>
                <w:sz w:val="21"/>
                <w:szCs w:val="21"/>
              </w:rPr>
            </w:pPr>
            <w:r w:rsidRPr="007C5A6E">
              <w:rPr>
                <w:rFonts w:ascii="Times New Roman" w:eastAsia="Calibri" w:hAnsi="Times New Roman"/>
                <w:sz w:val="21"/>
                <w:szCs w:val="21"/>
              </w:rPr>
              <w:t>2 502</w:t>
            </w:r>
          </w:p>
        </w:tc>
        <w:tc>
          <w:tcPr>
            <w:tcW w:w="1276" w:type="dxa"/>
            <w:tcBorders>
              <w:top w:val="nil"/>
              <w:left w:val="nil"/>
              <w:bottom w:val="nil"/>
              <w:right w:val="nil"/>
            </w:tcBorders>
            <w:shd w:val="clear" w:color="auto" w:fill="E6EED5"/>
          </w:tcPr>
          <w:p w14:paraId="0E526BC1" w14:textId="77777777" w:rsidR="00CB4C35" w:rsidRPr="007C5A6E" w:rsidRDefault="00CB4C35" w:rsidP="00ED5192">
            <w:pPr>
              <w:spacing w:after="0" w:line="240" w:lineRule="auto"/>
              <w:ind w:left="194"/>
              <w:jc w:val="right"/>
              <w:rPr>
                <w:rFonts w:ascii="Times New Roman" w:hAnsi="Times New Roman"/>
                <w:sz w:val="21"/>
                <w:szCs w:val="21"/>
              </w:rPr>
            </w:pPr>
            <w:r w:rsidRPr="007C5A6E">
              <w:rPr>
                <w:rFonts w:ascii="Times New Roman" w:eastAsia="Calibri" w:hAnsi="Times New Roman"/>
                <w:sz w:val="21"/>
                <w:szCs w:val="21"/>
              </w:rPr>
              <w:t>2 207</w:t>
            </w:r>
          </w:p>
        </w:tc>
      </w:tr>
      <w:tr w:rsidR="00CB4C35" w:rsidRPr="007C5A6E" w14:paraId="3217B5DE" w14:textId="77777777" w:rsidTr="00ED5192">
        <w:trPr>
          <w:trHeight w:val="214"/>
        </w:trPr>
        <w:tc>
          <w:tcPr>
            <w:tcW w:w="2290" w:type="dxa"/>
            <w:tcBorders>
              <w:top w:val="nil"/>
              <w:left w:val="nil"/>
              <w:bottom w:val="nil"/>
              <w:right w:val="nil"/>
            </w:tcBorders>
          </w:tcPr>
          <w:p w14:paraId="12FE9F20" w14:textId="77777777" w:rsidR="00CB4C35" w:rsidRPr="007C5A6E" w:rsidRDefault="00CB4C35" w:rsidP="00CB4C35">
            <w:pPr>
              <w:spacing w:after="0" w:line="240" w:lineRule="auto"/>
              <w:ind w:left="22"/>
              <w:jc w:val="both"/>
              <w:rPr>
                <w:rFonts w:ascii="Times New Roman" w:hAnsi="Times New Roman"/>
                <w:sz w:val="21"/>
                <w:szCs w:val="21"/>
              </w:rPr>
            </w:pPr>
            <w:r w:rsidRPr="007C5A6E">
              <w:rPr>
                <w:rFonts w:ascii="Times New Roman" w:eastAsia="Calibri" w:hAnsi="Times New Roman"/>
                <w:sz w:val="21"/>
                <w:szCs w:val="21"/>
              </w:rPr>
              <w:t>Centre-Est</w:t>
            </w:r>
          </w:p>
        </w:tc>
        <w:tc>
          <w:tcPr>
            <w:tcW w:w="1134" w:type="dxa"/>
            <w:tcBorders>
              <w:top w:val="nil"/>
              <w:left w:val="nil"/>
              <w:bottom w:val="nil"/>
              <w:right w:val="nil"/>
            </w:tcBorders>
          </w:tcPr>
          <w:p w14:paraId="4D2B5402" w14:textId="77777777" w:rsidR="00CB4C35" w:rsidRPr="007C5A6E" w:rsidRDefault="00CB4C35" w:rsidP="00ED5192">
            <w:pPr>
              <w:spacing w:after="0" w:line="240" w:lineRule="auto"/>
              <w:ind w:left="115"/>
              <w:jc w:val="right"/>
              <w:rPr>
                <w:rFonts w:ascii="Times New Roman" w:hAnsi="Times New Roman"/>
                <w:sz w:val="21"/>
                <w:szCs w:val="21"/>
              </w:rPr>
            </w:pPr>
            <w:r w:rsidRPr="007C5A6E">
              <w:rPr>
                <w:rFonts w:ascii="Times New Roman" w:eastAsia="Calibri" w:hAnsi="Times New Roman"/>
                <w:sz w:val="21"/>
                <w:szCs w:val="21"/>
              </w:rPr>
              <w:t>45 350</w:t>
            </w:r>
          </w:p>
        </w:tc>
        <w:tc>
          <w:tcPr>
            <w:tcW w:w="1276" w:type="dxa"/>
            <w:tcBorders>
              <w:top w:val="nil"/>
              <w:left w:val="nil"/>
              <w:bottom w:val="nil"/>
              <w:right w:val="nil"/>
            </w:tcBorders>
          </w:tcPr>
          <w:p w14:paraId="1242B236" w14:textId="77777777" w:rsidR="00CB4C35" w:rsidRPr="007C5A6E" w:rsidRDefault="00CB4C35" w:rsidP="00ED5192">
            <w:pPr>
              <w:spacing w:after="0" w:line="240" w:lineRule="auto"/>
              <w:ind w:left="115"/>
              <w:jc w:val="right"/>
              <w:rPr>
                <w:rFonts w:ascii="Times New Roman" w:hAnsi="Times New Roman"/>
                <w:sz w:val="21"/>
                <w:szCs w:val="21"/>
              </w:rPr>
            </w:pPr>
            <w:r w:rsidRPr="007C5A6E">
              <w:rPr>
                <w:rFonts w:ascii="Times New Roman" w:eastAsia="Calibri" w:hAnsi="Times New Roman"/>
                <w:sz w:val="21"/>
                <w:szCs w:val="21"/>
              </w:rPr>
              <w:t>23 425</w:t>
            </w:r>
          </w:p>
        </w:tc>
        <w:tc>
          <w:tcPr>
            <w:tcW w:w="1276" w:type="dxa"/>
            <w:tcBorders>
              <w:top w:val="nil"/>
              <w:left w:val="nil"/>
              <w:bottom w:val="nil"/>
              <w:right w:val="nil"/>
            </w:tcBorders>
          </w:tcPr>
          <w:p w14:paraId="23BB8129" w14:textId="77777777" w:rsidR="00CB4C35" w:rsidRPr="007C5A6E" w:rsidRDefault="00CB4C35" w:rsidP="00ED5192">
            <w:pPr>
              <w:spacing w:after="0" w:line="240" w:lineRule="auto"/>
              <w:ind w:left="154"/>
              <w:jc w:val="right"/>
              <w:rPr>
                <w:rFonts w:ascii="Times New Roman" w:hAnsi="Times New Roman"/>
                <w:sz w:val="21"/>
                <w:szCs w:val="21"/>
              </w:rPr>
            </w:pPr>
            <w:r w:rsidRPr="007C5A6E">
              <w:rPr>
                <w:rFonts w:ascii="Times New Roman" w:eastAsia="Calibri" w:hAnsi="Times New Roman"/>
                <w:sz w:val="21"/>
                <w:szCs w:val="21"/>
              </w:rPr>
              <w:t>11 531</w:t>
            </w:r>
          </w:p>
        </w:tc>
        <w:tc>
          <w:tcPr>
            <w:tcW w:w="1134" w:type="dxa"/>
            <w:tcBorders>
              <w:top w:val="nil"/>
              <w:left w:val="nil"/>
              <w:bottom w:val="nil"/>
              <w:right w:val="nil"/>
            </w:tcBorders>
          </w:tcPr>
          <w:p w14:paraId="6B56B691" w14:textId="77777777" w:rsidR="00CB4C35" w:rsidRPr="007C5A6E" w:rsidRDefault="00CB4C35" w:rsidP="00ED5192">
            <w:pPr>
              <w:spacing w:after="0" w:line="240" w:lineRule="auto"/>
              <w:ind w:left="118"/>
              <w:jc w:val="right"/>
              <w:rPr>
                <w:rFonts w:ascii="Times New Roman" w:hAnsi="Times New Roman"/>
                <w:sz w:val="21"/>
                <w:szCs w:val="21"/>
              </w:rPr>
            </w:pPr>
            <w:r w:rsidRPr="007C5A6E">
              <w:rPr>
                <w:rFonts w:ascii="Times New Roman" w:eastAsia="Calibri" w:hAnsi="Times New Roman"/>
                <w:sz w:val="21"/>
                <w:szCs w:val="21"/>
              </w:rPr>
              <w:t>16 914</w:t>
            </w:r>
          </w:p>
        </w:tc>
        <w:tc>
          <w:tcPr>
            <w:tcW w:w="1276" w:type="dxa"/>
            <w:tcBorders>
              <w:top w:val="nil"/>
              <w:left w:val="nil"/>
              <w:bottom w:val="nil"/>
              <w:right w:val="nil"/>
            </w:tcBorders>
          </w:tcPr>
          <w:p w14:paraId="78A6CD1C" w14:textId="77777777" w:rsidR="00CB4C35" w:rsidRPr="007C5A6E" w:rsidRDefault="00CB4C35" w:rsidP="00ED5192">
            <w:pPr>
              <w:spacing w:after="0" w:line="240" w:lineRule="auto"/>
              <w:ind w:left="154"/>
              <w:jc w:val="right"/>
              <w:rPr>
                <w:rFonts w:ascii="Times New Roman" w:hAnsi="Times New Roman"/>
                <w:sz w:val="21"/>
                <w:szCs w:val="21"/>
              </w:rPr>
            </w:pPr>
            <w:r w:rsidRPr="007C5A6E">
              <w:rPr>
                <w:rFonts w:ascii="Times New Roman" w:eastAsia="Calibri" w:hAnsi="Times New Roman"/>
                <w:sz w:val="21"/>
                <w:szCs w:val="21"/>
              </w:rPr>
              <w:t>29 393</w:t>
            </w:r>
          </w:p>
        </w:tc>
      </w:tr>
      <w:tr w:rsidR="00CB4C35" w:rsidRPr="007C5A6E" w14:paraId="5B6B2DAB" w14:textId="77777777" w:rsidTr="00ED5192">
        <w:trPr>
          <w:trHeight w:val="218"/>
        </w:trPr>
        <w:tc>
          <w:tcPr>
            <w:tcW w:w="2290" w:type="dxa"/>
            <w:tcBorders>
              <w:top w:val="nil"/>
              <w:left w:val="nil"/>
              <w:bottom w:val="nil"/>
              <w:right w:val="nil"/>
            </w:tcBorders>
            <w:shd w:val="clear" w:color="auto" w:fill="E6EED5"/>
          </w:tcPr>
          <w:p w14:paraId="52A8C184" w14:textId="77777777" w:rsidR="00CB4C35" w:rsidRPr="007C5A6E" w:rsidRDefault="00CB4C35" w:rsidP="00CB4C35">
            <w:pPr>
              <w:spacing w:after="0" w:line="240" w:lineRule="auto"/>
              <w:ind w:left="22"/>
              <w:jc w:val="both"/>
              <w:rPr>
                <w:rFonts w:ascii="Times New Roman" w:hAnsi="Times New Roman"/>
                <w:sz w:val="21"/>
                <w:szCs w:val="21"/>
              </w:rPr>
            </w:pPr>
            <w:r w:rsidRPr="007C5A6E">
              <w:rPr>
                <w:rFonts w:ascii="Times New Roman" w:eastAsia="Calibri" w:hAnsi="Times New Roman"/>
                <w:sz w:val="21"/>
                <w:szCs w:val="21"/>
              </w:rPr>
              <w:t>Centre-Nord</w:t>
            </w:r>
          </w:p>
        </w:tc>
        <w:tc>
          <w:tcPr>
            <w:tcW w:w="1134" w:type="dxa"/>
            <w:tcBorders>
              <w:top w:val="nil"/>
              <w:left w:val="nil"/>
              <w:bottom w:val="nil"/>
              <w:right w:val="nil"/>
            </w:tcBorders>
            <w:shd w:val="clear" w:color="auto" w:fill="E6EED5"/>
          </w:tcPr>
          <w:p w14:paraId="2F14C3D0" w14:textId="77777777" w:rsidR="00CB4C35" w:rsidRPr="007C5A6E" w:rsidRDefault="00CB4C35" w:rsidP="00ED5192">
            <w:pPr>
              <w:spacing w:after="0" w:line="240" w:lineRule="auto"/>
              <w:ind w:left="156"/>
              <w:jc w:val="right"/>
              <w:rPr>
                <w:rFonts w:ascii="Times New Roman" w:hAnsi="Times New Roman"/>
                <w:sz w:val="21"/>
                <w:szCs w:val="21"/>
              </w:rPr>
            </w:pPr>
            <w:r w:rsidRPr="007C5A6E">
              <w:rPr>
                <w:rFonts w:ascii="Times New Roman" w:eastAsia="Calibri" w:hAnsi="Times New Roman"/>
                <w:sz w:val="21"/>
                <w:szCs w:val="21"/>
              </w:rPr>
              <w:t>1 875</w:t>
            </w:r>
          </w:p>
        </w:tc>
        <w:tc>
          <w:tcPr>
            <w:tcW w:w="1276" w:type="dxa"/>
            <w:tcBorders>
              <w:top w:val="nil"/>
              <w:left w:val="nil"/>
              <w:bottom w:val="nil"/>
              <w:right w:val="nil"/>
            </w:tcBorders>
            <w:shd w:val="clear" w:color="auto" w:fill="E6EED5"/>
          </w:tcPr>
          <w:p w14:paraId="4AA8DAC1" w14:textId="77777777" w:rsidR="00CB4C35" w:rsidRPr="007C5A6E" w:rsidRDefault="00CB4C35" w:rsidP="00ED5192">
            <w:pPr>
              <w:spacing w:after="0" w:line="240" w:lineRule="auto"/>
              <w:ind w:left="216"/>
              <w:jc w:val="right"/>
              <w:rPr>
                <w:rFonts w:ascii="Times New Roman" w:hAnsi="Times New Roman"/>
                <w:sz w:val="21"/>
                <w:szCs w:val="21"/>
              </w:rPr>
            </w:pPr>
            <w:r w:rsidRPr="007C5A6E">
              <w:rPr>
                <w:rFonts w:ascii="Times New Roman" w:eastAsia="Calibri" w:hAnsi="Times New Roman"/>
                <w:sz w:val="21"/>
                <w:szCs w:val="21"/>
              </w:rPr>
              <w:t>275</w:t>
            </w:r>
          </w:p>
        </w:tc>
        <w:tc>
          <w:tcPr>
            <w:tcW w:w="1276" w:type="dxa"/>
            <w:tcBorders>
              <w:top w:val="nil"/>
              <w:left w:val="nil"/>
              <w:bottom w:val="nil"/>
              <w:right w:val="nil"/>
            </w:tcBorders>
            <w:shd w:val="clear" w:color="auto" w:fill="E6EED5"/>
          </w:tcPr>
          <w:p w14:paraId="4ADCEFEF" w14:textId="77777777" w:rsidR="00CB4C35" w:rsidRPr="007C5A6E" w:rsidRDefault="00CB4C35" w:rsidP="00ED5192">
            <w:pPr>
              <w:spacing w:after="0" w:line="240" w:lineRule="auto"/>
              <w:ind w:left="194"/>
              <w:jc w:val="right"/>
              <w:rPr>
                <w:rFonts w:ascii="Times New Roman" w:hAnsi="Times New Roman"/>
                <w:sz w:val="21"/>
                <w:szCs w:val="21"/>
              </w:rPr>
            </w:pPr>
            <w:r w:rsidRPr="007C5A6E">
              <w:rPr>
                <w:rFonts w:ascii="Times New Roman" w:eastAsia="Calibri" w:hAnsi="Times New Roman"/>
                <w:sz w:val="21"/>
                <w:szCs w:val="21"/>
              </w:rPr>
              <w:t>2 062</w:t>
            </w:r>
          </w:p>
        </w:tc>
        <w:tc>
          <w:tcPr>
            <w:tcW w:w="1134" w:type="dxa"/>
            <w:tcBorders>
              <w:top w:val="nil"/>
              <w:left w:val="nil"/>
              <w:bottom w:val="nil"/>
              <w:right w:val="nil"/>
            </w:tcBorders>
            <w:shd w:val="clear" w:color="auto" w:fill="E6EED5"/>
          </w:tcPr>
          <w:p w14:paraId="18ED8B27" w14:textId="77777777" w:rsidR="00CB4C35" w:rsidRPr="007C5A6E" w:rsidRDefault="00CB4C35" w:rsidP="00ED5192">
            <w:pPr>
              <w:spacing w:after="0" w:line="240" w:lineRule="auto"/>
              <w:ind w:left="118"/>
              <w:jc w:val="right"/>
              <w:rPr>
                <w:rFonts w:ascii="Times New Roman" w:hAnsi="Times New Roman"/>
                <w:sz w:val="21"/>
                <w:szCs w:val="21"/>
              </w:rPr>
            </w:pPr>
            <w:r w:rsidRPr="007C5A6E">
              <w:rPr>
                <w:rFonts w:ascii="Times New Roman" w:eastAsia="Calibri" w:hAnsi="Times New Roman"/>
                <w:sz w:val="21"/>
                <w:szCs w:val="21"/>
              </w:rPr>
              <w:t>75 690</w:t>
            </w:r>
          </w:p>
        </w:tc>
        <w:tc>
          <w:tcPr>
            <w:tcW w:w="1276" w:type="dxa"/>
            <w:tcBorders>
              <w:top w:val="nil"/>
              <w:left w:val="nil"/>
              <w:bottom w:val="nil"/>
              <w:right w:val="nil"/>
            </w:tcBorders>
            <w:shd w:val="clear" w:color="auto" w:fill="E6EED5"/>
          </w:tcPr>
          <w:p w14:paraId="6C001D26" w14:textId="77777777" w:rsidR="00CB4C35" w:rsidRPr="007C5A6E" w:rsidRDefault="00CB4C35" w:rsidP="00ED5192">
            <w:pPr>
              <w:spacing w:after="0" w:line="240" w:lineRule="auto"/>
              <w:ind w:left="113"/>
              <w:jc w:val="right"/>
              <w:rPr>
                <w:rFonts w:ascii="Times New Roman" w:hAnsi="Times New Roman"/>
                <w:sz w:val="21"/>
                <w:szCs w:val="21"/>
              </w:rPr>
            </w:pPr>
            <w:r w:rsidRPr="007C5A6E">
              <w:rPr>
                <w:rFonts w:ascii="Times New Roman" w:eastAsia="Calibri" w:hAnsi="Times New Roman"/>
                <w:sz w:val="21"/>
                <w:szCs w:val="21"/>
              </w:rPr>
              <w:t>165 389</w:t>
            </w:r>
          </w:p>
        </w:tc>
      </w:tr>
      <w:tr w:rsidR="00CB4C35" w:rsidRPr="007C5A6E" w14:paraId="0E20266A" w14:textId="77777777" w:rsidTr="00ED5192">
        <w:trPr>
          <w:trHeight w:val="214"/>
        </w:trPr>
        <w:tc>
          <w:tcPr>
            <w:tcW w:w="2290" w:type="dxa"/>
            <w:tcBorders>
              <w:top w:val="nil"/>
              <w:left w:val="nil"/>
              <w:bottom w:val="nil"/>
              <w:right w:val="nil"/>
            </w:tcBorders>
          </w:tcPr>
          <w:p w14:paraId="39C3E47E" w14:textId="77777777" w:rsidR="00CB4C35" w:rsidRPr="007C5A6E" w:rsidRDefault="00CB4C35" w:rsidP="00CB4C35">
            <w:pPr>
              <w:spacing w:after="0" w:line="240" w:lineRule="auto"/>
              <w:ind w:left="22"/>
              <w:jc w:val="both"/>
              <w:rPr>
                <w:rFonts w:ascii="Times New Roman" w:hAnsi="Times New Roman"/>
                <w:sz w:val="21"/>
                <w:szCs w:val="21"/>
              </w:rPr>
            </w:pPr>
            <w:r w:rsidRPr="007C5A6E">
              <w:rPr>
                <w:rFonts w:ascii="Times New Roman" w:eastAsia="Calibri" w:hAnsi="Times New Roman"/>
                <w:sz w:val="21"/>
                <w:szCs w:val="21"/>
              </w:rPr>
              <w:t>Centre-Ouest</w:t>
            </w:r>
          </w:p>
        </w:tc>
        <w:tc>
          <w:tcPr>
            <w:tcW w:w="1134" w:type="dxa"/>
            <w:tcBorders>
              <w:top w:val="nil"/>
              <w:left w:val="nil"/>
              <w:bottom w:val="nil"/>
              <w:right w:val="nil"/>
            </w:tcBorders>
          </w:tcPr>
          <w:p w14:paraId="2B219AC7" w14:textId="77777777" w:rsidR="00CB4C35" w:rsidRPr="007C5A6E" w:rsidRDefault="00CB4C35" w:rsidP="00ED5192">
            <w:pPr>
              <w:spacing w:after="0" w:line="240" w:lineRule="auto"/>
              <w:ind w:left="74"/>
              <w:jc w:val="right"/>
              <w:rPr>
                <w:rFonts w:ascii="Times New Roman" w:hAnsi="Times New Roman"/>
                <w:sz w:val="21"/>
                <w:szCs w:val="21"/>
              </w:rPr>
            </w:pPr>
            <w:r w:rsidRPr="007C5A6E">
              <w:rPr>
                <w:rFonts w:ascii="Times New Roman" w:eastAsia="Calibri" w:hAnsi="Times New Roman"/>
                <w:sz w:val="21"/>
                <w:szCs w:val="21"/>
              </w:rPr>
              <w:t>291 750</w:t>
            </w:r>
          </w:p>
        </w:tc>
        <w:tc>
          <w:tcPr>
            <w:tcW w:w="1276" w:type="dxa"/>
            <w:tcBorders>
              <w:top w:val="nil"/>
              <w:left w:val="nil"/>
              <w:bottom w:val="nil"/>
              <w:right w:val="nil"/>
            </w:tcBorders>
          </w:tcPr>
          <w:p w14:paraId="433B9870" w14:textId="77777777" w:rsidR="00CB4C35" w:rsidRPr="007C5A6E" w:rsidRDefault="00CB4C35" w:rsidP="00ED5192">
            <w:pPr>
              <w:spacing w:after="0" w:line="240" w:lineRule="auto"/>
              <w:ind w:left="74"/>
              <w:jc w:val="right"/>
              <w:rPr>
                <w:rFonts w:ascii="Times New Roman" w:hAnsi="Times New Roman"/>
                <w:sz w:val="21"/>
                <w:szCs w:val="21"/>
              </w:rPr>
            </w:pPr>
            <w:r w:rsidRPr="007C5A6E">
              <w:rPr>
                <w:rFonts w:ascii="Times New Roman" w:eastAsia="Calibri" w:hAnsi="Times New Roman"/>
                <w:sz w:val="21"/>
                <w:szCs w:val="21"/>
              </w:rPr>
              <w:t>280 900</w:t>
            </w:r>
          </w:p>
        </w:tc>
        <w:tc>
          <w:tcPr>
            <w:tcW w:w="1276" w:type="dxa"/>
            <w:tcBorders>
              <w:top w:val="nil"/>
              <w:left w:val="nil"/>
              <w:bottom w:val="nil"/>
              <w:right w:val="nil"/>
            </w:tcBorders>
          </w:tcPr>
          <w:p w14:paraId="6053D9DA" w14:textId="77777777" w:rsidR="00CB4C35" w:rsidRPr="007C5A6E" w:rsidRDefault="00CB4C35" w:rsidP="00ED5192">
            <w:pPr>
              <w:spacing w:after="0" w:line="240" w:lineRule="auto"/>
              <w:ind w:left="113"/>
              <w:jc w:val="right"/>
              <w:rPr>
                <w:rFonts w:ascii="Times New Roman" w:hAnsi="Times New Roman"/>
                <w:sz w:val="21"/>
                <w:szCs w:val="21"/>
              </w:rPr>
            </w:pPr>
            <w:r w:rsidRPr="007C5A6E">
              <w:rPr>
                <w:rFonts w:ascii="Times New Roman" w:eastAsia="Calibri" w:hAnsi="Times New Roman"/>
                <w:sz w:val="21"/>
                <w:szCs w:val="21"/>
              </w:rPr>
              <w:t>180 823</w:t>
            </w:r>
          </w:p>
        </w:tc>
        <w:tc>
          <w:tcPr>
            <w:tcW w:w="1134" w:type="dxa"/>
            <w:tcBorders>
              <w:top w:val="nil"/>
              <w:left w:val="nil"/>
              <w:bottom w:val="nil"/>
              <w:right w:val="nil"/>
            </w:tcBorders>
          </w:tcPr>
          <w:p w14:paraId="0BD95FE2" w14:textId="77777777" w:rsidR="00CB4C35" w:rsidRPr="007C5A6E" w:rsidRDefault="00CB4C35" w:rsidP="00ED5192">
            <w:pPr>
              <w:spacing w:after="0" w:line="240" w:lineRule="auto"/>
              <w:ind w:left="77"/>
              <w:jc w:val="right"/>
              <w:rPr>
                <w:rFonts w:ascii="Times New Roman" w:hAnsi="Times New Roman"/>
                <w:sz w:val="21"/>
                <w:szCs w:val="21"/>
              </w:rPr>
            </w:pPr>
            <w:r w:rsidRPr="007C5A6E">
              <w:rPr>
                <w:rFonts w:ascii="Times New Roman" w:eastAsia="Calibri" w:hAnsi="Times New Roman"/>
                <w:sz w:val="21"/>
                <w:szCs w:val="21"/>
              </w:rPr>
              <w:t>200 905</w:t>
            </w:r>
          </w:p>
        </w:tc>
        <w:tc>
          <w:tcPr>
            <w:tcW w:w="1276" w:type="dxa"/>
            <w:tcBorders>
              <w:top w:val="nil"/>
              <w:left w:val="nil"/>
              <w:bottom w:val="nil"/>
              <w:right w:val="nil"/>
            </w:tcBorders>
          </w:tcPr>
          <w:p w14:paraId="2D4012DB" w14:textId="77777777" w:rsidR="00CB4C35" w:rsidRPr="007C5A6E" w:rsidRDefault="00CB4C35" w:rsidP="00ED5192">
            <w:pPr>
              <w:spacing w:after="0" w:line="240" w:lineRule="auto"/>
              <w:ind w:left="113"/>
              <w:jc w:val="right"/>
              <w:rPr>
                <w:rFonts w:ascii="Times New Roman" w:hAnsi="Times New Roman"/>
                <w:sz w:val="21"/>
                <w:szCs w:val="21"/>
              </w:rPr>
            </w:pPr>
            <w:r w:rsidRPr="007C5A6E">
              <w:rPr>
                <w:rFonts w:ascii="Times New Roman" w:eastAsia="Calibri" w:hAnsi="Times New Roman"/>
                <w:sz w:val="21"/>
                <w:szCs w:val="21"/>
              </w:rPr>
              <w:t>177 729</w:t>
            </w:r>
          </w:p>
        </w:tc>
      </w:tr>
      <w:tr w:rsidR="00CB4C35" w:rsidRPr="007C5A6E" w14:paraId="28E0F22F" w14:textId="77777777" w:rsidTr="00ED5192">
        <w:trPr>
          <w:trHeight w:val="219"/>
        </w:trPr>
        <w:tc>
          <w:tcPr>
            <w:tcW w:w="2290" w:type="dxa"/>
            <w:tcBorders>
              <w:top w:val="nil"/>
              <w:left w:val="nil"/>
              <w:bottom w:val="nil"/>
              <w:right w:val="nil"/>
            </w:tcBorders>
            <w:shd w:val="clear" w:color="auto" w:fill="E6EED5"/>
          </w:tcPr>
          <w:p w14:paraId="026E7599" w14:textId="77777777" w:rsidR="00CB4C35" w:rsidRPr="007C5A6E" w:rsidRDefault="00CB4C35" w:rsidP="00CB4C35">
            <w:pPr>
              <w:spacing w:after="0" w:line="240" w:lineRule="auto"/>
              <w:ind w:left="22"/>
              <w:jc w:val="both"/>
              <w:rPr>
                <w:rFonts w:ascii="Times New Roman" w:hAnsi="Times New Roman"/>
                <w:sz w:val="21"/>
                <w:szCs w:val="21"/>
              </w:rPr>
            </w:pPr>
            <w:r w:rsidRPr="007C5A6E">
              <w:rPr>
                <w:rFonts w:ascii="Times New Roman" w:eastAsia="Calibri" w:hAnsi="Times New Roman"/>
                <w:sz w:val="21"/>
                <w:szCs w:val="21"/>
              </w:rPr>
              <w:t>Centre-Sud</w:t>
            </w:r>
          </w:p>
        </w:tc>
        <w:tc>
          <w:tcPr>
            <w:tcW w:w="1134" w:type="dxa"/>
            <w:tcBorders>
              <w:top w:val="nil"/>
              <w:left w:val="nil"/>
              <w:bottom w:val="nil"/>
              <w:right w:val="nil"/>
            </w:tcBorders>
            <w:shd w:val="clear" w:color="auto" w:fill="E6EED5"/>
          </w:tcPr>
          <w:p w14:paraId="62A20DD3" w14:textId="77777777" w:rsidR="00CB4C35" w:rsidRPr="007C5A6E" w:rsidRDefault="00CB4C35" w:rsidP="00ED5192">
            <w:pPr>
              <w:spacing w:after="0" w:line="240" w:lineRule="auto"/>
              <w:ind w:left="74"/>
              <w:jc w:val="right"/>
              <w:rPr>
                <w:rFonts w:ascii="Times New Roman" w:hAnsi="Times New Roman"/>
                <w:sz w:val="21"/>
                <w:szCs w:val="21"/>
              </w:rPr>
            </w:pPr>
            <w:r w:rsidRPr="007C5A6E">
              <w:rPr>
                <w:rFonts w:ascii="Times New Roman" w:eastAsia="Calibri" w:hAnsi="Times New Roman"/>
                <w:sz w:val="21"/>
                <w:szCs w:val="21"/>
              </w:rPr>
              <w:t>146 000</w:t>
            </w:r>
          </w:p>
        </w:tc>
        <w:tc>
          <w:tcPr>
            <w:tcW w:w="1276" w:type="dxa"/>
            <w:tcBorders>
              <w:top w:val="nil"/>
              <w:left w:val="nil"/>
              <w:bottom w:val="nil"/>
              <w:right w:val="nil"/>
            </w:tcBorders>
            <w:shd w:val="clear" w:color="auto" w:fill="E6EED5"/>
          </w:tcPr>
          <w:p w14:paraId="7DF94E0A" w14:textId="77777777" w:rsidR="00CB4C35" w:rsidRPr="007C5A6E" w:rsidRDefault="00CB4C35" w:rsidP="00ED5192">
            <w:pPr>
              <w:spacing w:after="0" w:line="240" w:lineRule="auto"/>
              <w:ind w:left="74"/>
              <w:jc w:val="right"/>
              <w:rPr>
                <w:rFonts w:ascii="Times New Roman" w:hAnsi="Times New Roman"/>
                <w:sz w:val="21"/>
                <w:szCs w:val="21"/>
              </w:rPr>
            </w:pPr>
            <w:r w:rsidRPr="007C5A6E">
              <w:rPr>
                <w:rFonts w:ascii="Times New Roman" w:eastAsia="Calibri" w:hAnsi="Times New Roman"/>
                <w:sz w:val="21"/>
                <w:szCs w:val="21"/>
              </w:rPr>
              <w:t>140 775</w:t>
            </w:r>
          </w:p>
        </w:tc>
        <w:tc>
          <w:tcPr>
            <w:tcW w:w="1276" w:type="dxa"/>
            <w:tcBorders>
              <w:top w:val="nil"/>
              <w:left w:val="nil"/>
              <w:bottom w:val="nil"/>
              <w:right w:val="nil"/>
            </w:tcBorders>
            <w:shd w:val="clear" w:color="auto" w:fill="E6EED5"/>
          </w:tcPr>
          <w:p w14:paraId="6033C62C" w14:textId="77777777" w:rsidR="00CB4C35" w:rsidRPr="007C5A6E" w:rsidRDefault="00CB4C35" w:rsidP="00ED5192">
            <w:pPr>
              <w:spacing w:after="0" w:line="240" w:lineRule="auto"/>
              <w:ind w:left="113"/>
              <w:jc w:val="right"/>
              <w:rPr>
                <w:rFonts w:ascii="Times New Roman" w:hAnsi="Times New Roman"/>
                <w:sz w:val="21"/>
                <w:szCs w:val="21"/>
              </w:rPr>
            </w:pPr>
            <w:r w:rsidRPr="007C5A6E">
              <w:rPr>
                <w:rFonts w:ascii="Times New Roman" w:eastAsia="Calibri" w:hAnsi="Times New Roman"/>
                <w:sz w:val="21"/>
                <w:szCs w:val="21"/>
              </w:rPr>
              <w:t>123 714</w:t>
            </w:r>
          </w:p>
        </w:tc>
        <w:tc>
          <w:tcPr>
            <w:tcW w:w="1134" w:type="dxa"/>
            <w:tcBorders>
              <w:top w:val="nil"/>
              <w:left w:val="nil"/>
              <w:bottom w:val="nil"/>
              <w:right w:val="nil"/>
            </w:tcBorders>
            <w:shd w:val="clear" w:color="auto" w:fill="E6EED5"/>
          </w:tcPr>
          <w:p w14:paraId="3D467F98" w14:textId="77777777" w:rsidR="00CB4C35" w:rsidRPr="007C5A6E" w:rsidRDefault="00CB4C35" w:rsidP="00ED5192">
            <w:pPr>
              <w:spacing w:after="0" w:line="240" w:lineRule="auto"/>
              <w:ind w:left="77"/>
              <w:jc w:val="right"/>
              <w:rPr>
                <w:rFonts w:ascii="Times New Roman" w:hAnsi="Times New Roman"/>
                <w:sz w:val="21"/>
                <w:szCs w:val="21"/>
              </w:rPr>
            </w:pPr>
            <w:r w:rsidRPr="007C5A6E">
              <w:rPr>
                <w:rFonts w:ascii="Times New Roman" w:eastAsia="Calibri" w:hAnsi="Times New Roman"/>
                <w:sz w:val="21"/>
                <w:szCs w:val="21"/>
              </w:rPr>
              <w:t>121 346</w:t>
            </w:r>
          </w:p>
        </w:tc>
        <w:tc>
          <w:tcPr>
            <w:tcW w:w="1276" w:type="dxa"/>
            <w:tcBorders>
              <w:top w:val="nil"/>
              <w:left w:val="nil"/>
              <w:bottom w:val="nil"/>
              <w:right w:val="nil"/>
            </w:tcBorders>
            <w:shd w:val="clear" w:color="auto" w:fill="E6EED5"/>
          </w:tcPr>
          <w:p w14:paraId="5499BC7D" w14:textId="77777777" w:rsidR="00CB4C35" w:rsidRPr="007C5A6E" w:rsidRDefault="00CB4C35" w:rsidP="00ED5192">
            <w:pPr>
              <w:spacing w:after="0" w:line="240" w:lineRule="auto"/>
              <w:ind w:left="113"/>
              <w:jc w:val="right"/>
              <w:rPr>
                <w:rFonts w:ascii="Times New Roman" w:hAnsi="Times New Roman"/>
                <w:sz w:val="21"/>
                <w:szCs w:val="21"/>
              </w:rPr>
            </w:pPr>
            <w:r w:rsidRPr="007C5A6E">
              <w:rPr>
                <w:rFonts w:ascii="Times New Roman" w:eastAsia="Calibri" w:hAnsi="Times New Roman"/>
                <w:sz w:val="21"/>
                <w:szCs w:val="21"/>
              </w:rPr>
              <w:t>131 918</w:t>
            </w:r>
          </w:p>
        </w:tc>
      </w:tr>
      <w:tr w:rsidR="00CB4C35" w:rsidRPr="007C5A6E" w14:paraId="3DBC1047" w14:textId="77777777" w:rsidTr="00ED5192">
        <w:trPr>
          <w:trHeight w:val="214"/>
        </w:trPr>
        <w:tc>
          <w:tcPr>
            <w:tcW w:w="2290" w:type="dxa"/>
            <w:tcBorders>
              <w:top w:val="nil"/>
              <w:left w:val="nil"/>
              <w:bottom w:val="nil"/>
              <w:right w:val="nil"/>
            </w:tcBorders>
          </w:tcPr>
          <w:p w14:paraId="58B7C8B1" w14:textId="77777777" w:rsidR="00CB4C35" w:rsidRPr="007C5A6E" w:rsidRDefault="00CB4C35" w:rsidP="00CB4C35">
            <w:pPr>
              <w:spacing w:after="0" w:line="240" w:lineRule="auto"/>
              <w:ind w:left="22"/>
              <w:jc w:val="both"/>
              <w:rPr>
                <w:rFonts w:ascii="Times New Roman" w:hAnsi="Times New Roman"/>
                <w:sz w:val="21"/>
                <w:szCs w:val="21"/>
              </w:rPr>
            </w:pPr>
            <w:r w:rsidRPr="007C5A6E">
              <w:rPr>
                <w:rFonts w:ascii="Times New Roman" w:eastAsia="Calibri" w:hAnsi="Times New Roman"/>
                <w:sz w:val="21"/>
                <w:szCs w:val="21"/>
              </w:rPr>
              <w:t>Est</w:t>
            </w:r>
          </w:p>
        </w:tc>
        <w:tc>
          <w:tcPr>
            <w:tcW w:w="1134" w:type="dxa"/>
            <w:tcBorders>
              <w:top w:val="nil"/>
              <w:left w:val="nil"/>
              <w:bottom w:val="nil"/>
              <w:right w:val="nil"/>
            </w:tcBorders>
          </w:tcPr>
          <w:p w14:paraId="1D9B236B" w14:textId="77777777" w:rsidR="00CB4C35" w:rsidRPr="007C5A6E" w:rsidRDefault="00CB4C35" w:rsidP="00ED5192">
            <w:pPr>
              <w:spacing w:after="0" w:line="240" w:lineRule="auto"/>
              <w:ind w:left="17"/>
              <w:jc w:val="right"/>
              <w:rPr>
                <w:rFonts w:ascii="Times New Roman" w:hAnsi="Times New Roman"/>
                <w:sz w:val="21"/>
                <w:szCs w:val="21"/>
              </w:rPr>
            </w:pPr>
            <w:r w:rsidRPr="007C5A6E">
              <w:rPr>
                <w:rFonts w:ascii="Times New Roman" w:eastAsia="Calibri" w:hAnsi="Times New Roman"/>
                <w:sz w:val="21"/>
                <w:szCs w:val="21"/>
              </w:rPr>
              <w:t>1 032 700</w:t>
            </w:r>
          </w:p>
        </w:tc>
        <w:tc>
          <w:tcPr>
            <w:tcW w:w="1276" w:type="dxa"/>
            <w:tcBorders>
              <w:top w:val="nil"/>
              <w:left w:val="nil"/>
              <w:bottom w:val="nil"/>
              <w:right w:val="nil"/>
            </w:tcBorders>
          </w:tcPr>
          <w:p w14:paraId="63AA6FAC" w14:textId="77777777" w:rsidR="00CB4C35" w:rsidRPr="007C5A6E" w:rsidRDefault="00CB4C35" w:rsidP="00ED5192">
            <w:pPr>
              <w:spacing w:after="0" w:line="240" w:lineRule="auto"/>
              <w:ind w:left="17"/>
              <w:jc w:val="right"/>
              <w:rPr>
                <w:rFonts w:ascii="Times New Roman" w:hAnsi="Times New Roman"/>
                <w:sz w:val="21"/>
                <w:szCs w:val="21"/>
              </w:rPr>
            </w:pPr>
            <w:r w:rsidRPr="007C5A6E">
              <w:rPr>
                <w:rFonts w:ascii="Times New Roman" w:eastAsia="Calibri" w:hAnsi="Times New Roman"/>
                <w:sz w:val="21"/>
                <w:szCs w:val="21"/>
              </w:rPr>
              <w:t>1 051 325</w:t>
            </w:r>
          </w:p>
        </w:tc>
        <w:tc>
          <w:tcPr>
            <w:tcW w:w="1276" w:type="dxa"/>
            <w:tcBorders>
              <w:top w:val="nil"/>
              <w:left w:val="nil"/>
              <w:bottom w:val="nil"/>
              <w:right w:val="nil"/>
            </w:tcBorders>
          </w:tcPr>
          <w:p w14:paraId="1C8B1558" w14:textId="77777777" w:rsidR="00CB4C35" w:rsidRPr="007C5A6E" w:rsidRDefault="00CB4C35" w:rsidP="00ED5192">
            <w:pPr>
              <w:spacing w:after="0" w:line="240" w:lineRule="auto"/>
              <w:ind w:left="113"/>
              <w:jc w:val="right"/>
              <w:rPr>
                <w:rFonts w:ascii="Times New Roman" w:hAnsi="Times New Roman"/>
                <w:sz w:val="21"/>
                <w:szCs w:val="21"/>
              </w:rPr>
            </w:pPr>
            <w:r w:rsidRPr="007C5A6E">
              <w:rPr>
                <w:rFonts w:ascii="Times New Roman" w:eastAsia="Calibri" w:hAnsi="Times New Roman"/>
                <w:sz w:val="21"/>
                <w:szCs w:val="21"/>
              </w:rPr>
              <w:t>735 658</w:t>
            </w:r>
          </w:p>
        </w:tc>
        <w:tc>
          <w:tcPr>
            <w:tcW w:w="1134" w:type="dxa"/>
            <w:tcBorders>
              <w:top w:val="nil"/>
              <w:left w:val="nil"/>
              <w:bottom w:val="nil"/>
              <w:right w:val="nil"/>
            </w:tcBorders>
          </w:tcPr>
          <w:p w14:paraId="1EBE8E1D" w14:textId="77777777" w:rsidR="00CB4C35" w:rsidRPr="007C5A6E" w:rsidRDefault="00CB4C35" w:rsidP="00ED5192">
            <w:pPr>
              <w:spacing w:after="0" w:line="240" w:lineRule="auto"/>
              <w:ind w:left="77"/>
              <w:jc w:val="right"/>
              <w:rPr>
                <w:rFonts w:ascii="Times New Roman" w:hAnsi="Times New Roman"/>
                <w:sz w:val="21"/>
                <w:szCs w:val="21"/>
              </w:rPr>
            </w:pPr>
            <w:r w:rsidRPr="007C5A6E">
              <w:rPr>
                <w:rFonts w:ascii="Times New Roman" w:eastAsia="Calibri" w:hAnsi="Times New Roman"/>
                <w:sz w:val="21"/>
                <w:szCs w:val="21"/>
              </w:rPr>
              <w:t>672 971</w:t>
            </w:r>
          </w:p>
        </w:tc>
        <w:tc>
          <w:tcPr>
            <w:tcW w:w="1276" w:type="dxa"/>
            <w:tcBorders>
              <w:top w:val="nil"/>
              <w:left w:val="nil"/>
              <w:bottom w:val="nil"/>
              <w:right w:val="nil"/>
            </w:tcBorders>
          </w:tcPr>
          <w:p w14:paraId="0F5EAA68" w14:textId="77777777" w:rsidR="00CB4C35" w:rsidRPr="007C5A6E" w:rsidRDefault="00CB4C35" w:rsidP="00ED5192">
            <w:pPr>
              <w:spacing w:after="0" w:line="240" w:lineRule="auto"/>
              <w:ind w:left="113"/>
              <w:jc w:val="right"/>
              <w:rPr>
                <w:rFonts w:ascii="Times New Roman" w:hAnsi="Times New Roman"/>
                <w:sz w:val="21"/>
                <w:szCs w:val="21"/>
              </w:rPr>
            </w:pPr>
            <w:r w:rsidRPr="007C5A6E">
              <w:rPr>
                <w:rFonts w:ascii="Times New Roman" w:eastAsia="Calibri" w:hAnsi="Times New Roman"/>
                <w:sz w:val="21"/>
                <w:szCs w:val="21"/>
              </w:rPr>
              <w:t>789 862</w:t>
            </w:r>
          </w:p>
        </w:tc>
      </w:tr>
      <w:tr w:rsidR="00CB4C35" w:rsidRPr="007C5A6E" w14:paraId="49F0B9AB" w14:textId="77777777" w:rsidTr="00ED5192">
        <w:trPr>
          <w:trHeight w:val="218"/>
        </w:trPr>
        <w:tc>
          <w:tcPr>
            <w:tcW w:w="2290" w:type="dxa"/>
            <w:tcBorders>
              <w:top w:val="nil"/>
              <w:left w:val="nil"/>
              <w:bottom w:val="nil"/>
              <w:right w:val="nil"/>
            </w:tcBorders>
            <w:shd w:val="clear" w:color="auto" w:fill="E6EED5"/>
          </w:tcPr>
          <w:p w14:paraId="72C94BFB" w14:textId="77777777" w:rsidR="00CB4C35" w:rsidRPr="007C5A6E" w:rsidRDefault="00CB4C35" w:rsidP="00CB4C35">
            <w:pPr>
              <w:spacing w:after="0" w:line="240" w:lineRule="auto"/>
              <w:ind w:left="22"/>
              <w:jc w:val="both"/>
              <w:rPr>
                <w:rFonts w:ascii="Times New Roman" w:hAnsi="Times New Roman"/>
                <w:sz w:val="21"/>
                <w:szCs w:val="21"/>
              </w:rPr>
            </w:pPr>
            <w:r w:rsidRPr="007C5A6E">
              <w:rPr>
                <w:rFonts w:ascii="Times New Roman" w:eastAsia="Calibri" w:hAnsi="Times New Roman"/>
                <w:sz w:val="21"/>
                <w:szCs w:val="21"/>
              </w:rPr>
              <w:t>Haut-Bassins</w:t>
            </w:r>
          </w:p>
        </w:tc>
        <w:tc>
          <w:tcPr>
            <w:tcW w:w="1134" w:type="dxa"/>
            <w:tcBorders>
              <w:top w:val="nil"/>
              <w:left w:val="nil"/>
              <w:bottom w:val="nil"/>
              <w:right w:val="nil"/>
            </w:tcBorders>
            <w:shd w:val="clear" w:color="auto" w:fill="E6EED5"/>
          </w:tcPr>
          <w:p w14:paraId="2F74D45F" w14:textId="77777777" w:rsidR="00CB4C35" w:rsidRPr="007C5A6E" w:rsidRDefault="00CB4C35" w:rsidP="00ED5192">
            <w:pPr>
              <w:spacing w:after="0" w:line="240" w:lineRule="auto"/>
              <w:ind w:left="74"/>
              <w:jc w:val="right"/>
              <w:rPr>
                <w:rFonts w:ascii="Times New Roman" w:hAnsi="Times New Roman"/>
                <w:sz w:val="21"/>
                <w:szCs w:val="21"/>
              </w:rPr>
            </w:pPr>
            <w:r w:rsidRPr="007C5A6E">
              <w:rPr>
                <w:rFonts w:ascii="Times New Roman" w:eastAsia="Calibri" w:hAnsi="Times New Roman"/>
                <w:sz w:val="21"/>
                <w:szCs w:val="21"/>
              </w:rPr>
              <w:t>127 950</w:t>
            </w:r>
          </w:p>
        </w:tc>
        <w:tc>
          <w:tcPr>
            <w:tcW w:w="1276" w:type="dxa"/>
            <w:tcBorders>
              <w:top w:val="nil"/>
              <w:left w:val="nil"/>
              <w:bottom w:val="nil"/>
              <w:right w:val="nil"/>
            </w:tcBorders>
            <w:shd w:val="clear" w:color="auto" w:fill="E6EED5"/>
          </w:tcPr>
          <w:p w14:paraId="3004017A" w14:textId="77777777" w:rsidR="00CB4C35" w:rsidRPr="007C5A6E" w:rsidRDefault="00CB4C35" w:rsidP="00ED5192">
            <w:pPr>
              <w:spacing w:after="0" w:line="240" w:lineRule="auto"/>
              <w:ind w:left="74"/>
              <w:jc w:val="right"/>
              <w:rPr>
                <w:rFonts w:ascii="Times New Roman" w:hAnsi="Times New Roman"/>
                <w:sz w:val="21"/>
                <w:szCs w:val="21"/>
              </w:rPr>
            </w:pPr>
            <w:r w:rsidRPr="007C5A6E">
              <w:rPr>
                <w:rFonts w:ascii="Times New Roman" w:eastAsia="Calibri" w:hAnsi="Times New Roman"/>
                <w:sz w:val="21"/>
                <w:szCs w:val="21"/>
              </w:rPr>
              <w:t>113 025</w:t>
            </w:r>
          </w:p>
        </w:tc>
        <w:tc>
          <w:tcPr>
            <w:tcW w:w="1276" w:type="dxa"/>
            <w:tcBorders>
              <w:top w:val="nil"/>
              <w:left w:val="nil"/>
              <w:bottom w:val="nil"/>
              <w:right w:val="nil"/>
            </w:tcBorders>
            <w:shd w:val="clear" w:color="auto" w:fill="E6EED5"/>
          </w:tcPr>
          <w:p w14:paraId="24B96B4E" w14:textId="77777777" w:rsidR="00CB4C35" w:rsidRPr="007C5A6E" w:rsidRDefault="00CB4C35" w:rsidP="00ED5192">
            <w:pPr>
              <w:spacing w:after="0" w:line="240" w:lineRule="auto"/>
              <w:ind w:left="154"/>
              <w:jc w:val="right"/>
              <w:rPr>
                <w:rFonts w:ascii="Times New Roman" w:hAnsi="Times New Roman"/>
                <w:sz w:val="21"/>
                <w:szCs w:val="21"/>
              </w:rPr>
            </w:pPr>
            <w:r w:rsidRPr="007C5A6E">
              <w:rPr>
                <w:rFonts w:ascii="Times New Roman" w:eastAsia="Calibri" w:hAnsi="Times New Roman"/>
                <w:sz w:val="21"/>
                <w:szCs w:val="21"/>
              </w:rPr>
              <w:t>60 084</w:t>
            </w:r>
          </w:p>
        </w:tc>
        <w:tc>
          <w:tcPr>
            <w:tcW w:w="1134" w:type="dxa"/>
            <w:tcBorders>
              <w:top w:val="nil"/>
              <w:left w:val="nil"/>
              <w:bottom w:val="nil"/>
              <w:right w:val="nil"/>
            </w:tcBorders>
            <w:shd w:val="clear" w:color="auto" w:fill="E6EED5"/>
          </w:tcPr>
          <w:p w14:paraId="78565BD6" w14:textId="77777777" w:rsidR="00CB4C35" w:rsidRPr="007C5A6E" w:rsidRDefault="00CB4C35" w:rsidP="00ED5192">
            <w:pPr>
              <w:spacing w:after="0" w:line="240" w:lineRule="auto"/>
              <w:ind w:left="118"/>
              <w:jc w:val="right"/>
              <w:rPr>
                <w:rFonts w:ascii="Times New Roman" w:hAnsi="Times New Roman"/>
                <w:sz w:val="21"/>
                <w:szCs w:val="21"/>
              </w:rPr>
            </w:pPr>
            <w:r w:rsidRPr="007C5A6E">
              <w:rPr>
                <w:rFonts w:ascii="Times New Roman" w:eastAsia="Calibri" w:hAnsi="Times New Roman"/>
                <w:sz w:val="21"/>
                <w:szCs w:val="21"/>
              </w:rPr>
              <w:t>73 639</w:t>
            </w:r>
          </w:p>
        </w:tc>
        <w:tc>
          <w:tcPr>
            <w:tcW w:w="1276" w:type="dxa"/>
            <w:tcBorders>
              <w:top w:val="nil"/>
              <w:left w:val="nil"/>
              <w:bottom w:val="nil"/>
              <w:right w:val="nil"/>
            </w:tcBorders>
            <w:shd w:val="clear" w:color="auto" w:fill="E6EED5"/>
          </w:tcPr>
          <w:p w14:paraId="240E0C0B" w14:textId="77777777" w:rsidR="00CB4C35" w:rsidRPr="007C5A6E" w:rsidRDefault="00CB4C35" w:rsidP="00ED5192">
            <w:pPr>
              <w:spacing w:after="0" w:line="240" w:lineRule="auto"/>
              <w:ind w:left="154"/>
              <w:jc w:val="right"/>
              <w:rPr>
                <w:rFonts w:ascii="Times New Roman" w:hAnsi="Times New Roman"/>
                <w:sz w:val="21"/>
                <w:szCs w:val="21"/>
              </w:rPr>
            </w:pPr>
            <w:r w:rsidRPr="007C5A6E">
              <w:rPr>
                <w:rFonts w:ascii="Times New Roman" w:eastAsia="Calibri" w:hAnsi="Times New Roman"/>
                <w:sz w:val="21"/>
                <w:szCs w:val="21"/>
              </w:rPr>
              <w:t>44 420</w:t>
            </w:r>
          </w:p>
        </w:tc>
      </w:tr>
      <w:tr w:rsidR="00CB4C35" w:rsidRPr="007C5A6E" w14:paraId="3B9D3B1A" w14:textId="77777777" w:rsidTr="00ED5192">
        <w:trPr>
          <w:trHeight w:val="214"/>
        </w:trPr>
        <w:tc>
          <w:tcPr>
            <w:tcW w:w="2290" w:type="dxa"/>
            <w:tcBorders>
              <w:top w:val="nil"/>
              <w:left w:val="nil"/>
              <w:bottom w:val="nil"/>
              <w:right w:val="nil"/>
            </w:tcBorders>
          </w:tcPr>
          <w:p w14:paraId="330FAD63" w14:textId="77777777" w:rsidR="00CB4C35" w:rsidRPr="007C5A6E" w:rsidRDefault="00CB4C35" w:rsidP="00CB4C35">
            <w:pPr>
              <w:spacing w:after="0" w:line="240" w:lineRule="auto"/>
              <w:ind w:left="22"/>
              <w:jc w:val="both"/>
              <w:rPr>
                <w:rFonts w:ascii="Times New Roman" w:hAnsi="Times New Roman"/>
                <w:sz w:val="21"/>
                <w:szCs w:val="21"/>
              </w:rPr>
            </w:pPr>
            <w:r w:rsidRPr="007C5A6E">
              <w:rPr>
                <w:rFonts w:ascii="Times New Roman" w:eastAsia="Calibri" w:hAnsi="Times New Roman"/>
                <w:sz w:val="21"/>
                <w:szCs w:val="21"/>
              </w:rPr>
              <w:t>Nord</w:t>
            </w:r>
          </w:p>
        </w:tc>
        <w:tc>
          <w:tcPr>
            <w:tcW w:w="1134" w:type="dxa"/>
            <w:tcBorders>
              <w:top w:val="nil"/>
              <w:left w:val="nil"/>
              <w:bottom w:val="nil"/>
              <w:right w:val="nil"/>
            </w:tcBorders>
          </w:tcPr>
          <w:p w14:paraId="7B7B87C0" w14:textId="77777777" w:rsidR="00CB4C35" w:rsidRPr="007C5A6E" w:rsidRDefault="00CB4C35" w:rsidP="00ED5192">
            <w:pPr>
              <w:spacing w:after="0" w:line="240" w:lineRule="auto"/>
              <w:ind w:left="115"/>
              <w:jc w:val="right"/>
              <w:rPr>
                <w:rFonts w:ascii="Times New Roman" w:hAnsi="Times New Roman"/>
                <w:sz w:val="21"/>
                <w:szCs w:val="21"/>
              </w:rPr>
            </w:pPr>
            <w:r w:rsidRPr="007C5A6E">
              <w:rPr>
                <w:rFonts w:ascii="Times New Roman" w:eastAsia="Calibri" w:hAnsi="Times New Roman"/>
                <w:sz w:val="21"/>
                <w:szCs w:val="21"/>
              </w:rPr>
              <w:t>28 950</w:t>
            </w:r>
          </w:p>
        </w:tc>
        <w:tc>
          <w:tcPr>
            <w:tcW w:w="1276" w:type="dxa"/>
            <w:tcBorders>
              <w:top w:val="nil"/>
              <w:left w:val="nil"/>
              <w:bottom w:val="nil"/>
              <w:right w:val="nil"/>
            </w:tcBorders>
          </w:tcPr>
          <w:p w14:paraId="4D13DA51" w14:textId="77777777" w:rsidR="00CB4C35" w:rsidRPr="007C5A6E" w:rsidRDefault="00CB4C35" w:rsidP="00ED5192">
            <w:pPr>
              <w:spacing w:after="0" w:line="240" w:lineRule="auto"/>
              <w:ind w:left="115"/>
              <w:jc w:val="right"/>
              <w:rPr>
                <w:rFonts w:ascii="Times New Roman" w:hAnsi="Times New Roman"/>
                <w:sz w:val="21"/>
                <w:szCs w:val="21"/>
              </w:rPr>
            </w:pPr>
            <w:r w:rsidRPr="007C5A6E">
              <w:rPr>
                <w:rFonts w:ascii="Times New Roman" w:eastAsia="Calibri" w:hAnsi="Times New Roman"/>
                <w:sz w:val="21"/>
                <w:szCs w:val="21"/>
              </w:rPr>
              <w:t>34 600</w:t>
            </w:r>
          </w:p>
        </w:tc>
        <w:tc>
          <w:tcPr>
            <w:tcW w:w="1276" w:type="dxa"/>
            <w:tcBorders>
              <w:top w:val="nil"/>
              <w:left w:val="nil"/>
              <w:bottom w:val="nil"/>
              <w:right w:val="nil"/>
            </w:tcBorders>
          </w:tcPr>
          <w:p w14:paraId="0DAB4226" w14:textId="77777777" w:rsidR="00CB4C35" w:rsidRPr="007C5A6E" w:rsidRDefault="00CB4C35" w:rsidP="00ED5192">
            <w:pPr>
              <w:spacing w:after="0" w:line="240" w:lineRule="auto"/>
              <w:ind w:left="194"/>
              <w:jc w:val="right"/>
              <w:rPr>
                <w:rFonts w:ascii="Times New Roman" w:hAnsi="Times New Roman"/>
                <w:sz w:val="21"/>
                <w:szCs w:val="21"/>
              </w:rPr>
            </w:pPr>
            <w:r w:rsidRPr="007C5A6E">
              <w:rPr>
                <w:rFonts w:ascii="Times New Roman" w:eastAsia="Calibri" w:hAnsi="Times New Roman"/>
                <w:sz w:val="21"/>
                <w:szCs w:val="21"/>
              </w:rPr>
              <w:t>9 022</w:t>
            </w:r>
          </w:p>
        </w:tc>
        <w:tc>
          <w:tcPr>
            <w:tcW w:w="1134" w:type="dxa"/>
            <w:tcBorders>
              <w:top w:val="nil"/>
              <w:left w:val="nil"/>
              <w:bottom w:val="nil"/>
              <w:right w:val="nil"/>
            </w:tcBorders>
          </w:tcPr>
          <w:p w14:paraId="7E1574C8" w14:textId="77777777" w:rsidR="00CB4C35" w:rsidRPr="007C5A6E" w:rsidRDefault="00CB4C35" w:rsidP="00ED5192">
            <w:pPr>
              <w:spacing w:after="0" w:line="240" w:lineRule="auto"/>
              <w:ind w:left="118"/>
              <w:jc w:val="right"/>
              <w:rPr>
                <w:rFonts w:ascii="Times New Roman" w:hAnsi="Times New Roman"/>
                <w:sz w:val="21"/>
                <w:szCs w:val="21"/>
              </w:rPr>
            </w:pPr>
            <w:r w:rsidRPr="007C5A6E">
              <w:rPr>
                <w:rFonts w:ascii="Times New Roman" w:eastAsia="Calibri" w:hAnsi="Times New Roman"/>
                <w:sz w:val="21"/>
                <w:szCs w:val="21"/>
              </w:rPr>
              <w:t>22 227</w:t>
            </w:r>
          </w:p>
        </w:tc>
        <w:tc>
          <w:tcPr>
            <w:tcW w:w="1276" w:type="dxa"/>
            <w:tcBorders>
              <w:top w:val="nil"/>
              <w:left w:val="nil"/>
              <w:bottom w:val="nil"/>
              <w:right w:val="nil"/>
            </w:tcBorders>
          </w:tcPr>
          <w:p w14:paraId="182E19B7" w14:textId="77777777" w:rsidR="00CB4C35" w:rsidRPr="007C5A6E" w:rsidRDefault="00CB4C35" w:rsidP="00ED5192">
            <w:pPr>
              <w:spacing w:after="0" w:line="240" w:lineRule="auto"/>
              <w:ind w:left="194"/>
              <w:jc w:val="right"/>
              <w:rPr>
                <w:rFonts w:ascii="Times New Roman" w:hAnsi="Times New Roman"/>
                <w:sz w:val="21"/>
                <w:szCs w:val="21"/>
              </w:rPr>
            </w:pPr>
            <w:r w:rsidRPr="007C5A6E">
              <w:rPr>
                <w:rFonts w:ascii="Times New Roman" w:eastAsia="Calibri" w:hAnsi="Times New Roman"/>
                <w:sz w:val="21"/>
                <w:szCs w:val="21"/>
              </w:rPr>
              <w:t>5 494</w:t>
            </w:r>
          </w:p>
        </w:tc>
      </w:tr>
      <w:tr w:rsidR="00CB4C35" w:rsidRPr="007C5A6E" w14:paraId="0724FC80" w14:textId="77777777" w:rsidTr="00ED5192">
        <w:trPr>
          <w:trHeight w:val="218"/>
        </w:trPr>
        <w:tc>
          <w:tcPr>
            <w:tcW w:w="2290" w:type="dxa"/>
            <w:tcBorders>
              <w:top w:val="nil"/>
              <w:left w:val="nil"/>
              <w:bottom w:val="nil"/>
              <w:right w:val="nil"/>
            </w:tcBorders>
            <w:shd w:val="clear" w:color="auto" w:fill="E6EED5"/>
          </w:tcPr>
          <w:p w14:paraId="19F12213" w14:textId="77777777" w:rsidR="00CB4C35" w:rsidRPr="007C5A6E" w:rsidRDefault="00CB4C35" w:rsidP="00CB4C35">
            <w:pPr>
              <w:spacing w:after="0" w:line="240" w:lineRule="auto"/>
              <w:ind w:left="22"/>
              <w:jc w:val="both"/>
              <w:rPr>
                <w:rFonts w:ascii="Times New Roman" w:hAnsi="Times New Roman"/>
                <w:sz w:val="21"/>
                <w:szCs w:val="21"/>
              </w:rPr>
            </w:pPr>
            <w:r w:rsidRPr="007C5A6E">
              <w:rPr>
                <w:rFonts w:ascii="Times New Roman" w:eastAsia="Calibri" w:hAnsi="Times New Roman"/>
                <w:sz w:val="21"/>
                <w:szCs w:val="21"/>
              </w:rPr>
              <w:t>Plateau-Central</w:t>
            </w:r>
          </w:p>
        </w:tc>
        <w:tc>
          <w:tcPr>
            <w:tcW w:w="1134" w:type="dxa"/>
            <w:tcBorders>
              <w:top w:val="nil"/>
              <w:left w:val="nil"/>
              <w:bottom w:val="nil"/>
              <w:right w:val="nil"/>
            </w:tcBorders>
            <w:shd w:val="clear" w:color="auto" w:fill="E6EED5"/>
          </w:tcPr>
          <w:p w14:paraId="52B4ED45" w14:textId="77777777" w:rsidR="00CB4C35" w:rsidRPr="007C5A6E" w:rsidRDefault="00CB4C35" w:rsidP="00ED5192">
            <w:pPr>
              <w:spacing w:after="0" w:line="240" w:lineRule="auto"/>
              <w:ind w:left="115"/>
              <w:jc w:val="right"/>
              <w:rPr>
                <w:rFonts w:ascii="Times New Roman" w:hAnsi="Times New Roman"/>
                <w:sz w:val="21"/>
                <w:szCs w:val="21"/>
              </w:rPr>
            </w:pPr>
            <w:r w:rsidRPr="007C5A6E">
              <w:rPr>
                <w:rFonts w:ascii="Times New Roman" w:eastAsia="Calibri" w:hAnsi="Times New Roman"/>
                <w:sz w:val="21"/>
                <w:szCs w:val="21"/>
              </w:rPr>
              <w:t>18 050</w:t>
            </w:r>
          </w:p>
        </w:tc>
        <w:tc>
          <w:tcPr>
            <w:tcW w:w="1276" w:type="dxa"/>
            <w:tcBorders>
              <w:top w:val="nil"/>
              <w:left w:val="nil"/>
              <w:bottom w:val="nil"/>
              <w:right w:val="nil"/>
            </w:tcBorders>
            <w:shd w:val="clear" w:color="auto" w:fill="E6EED5"/>
          </w:tcPr>
          <w:p w14:paraId="01FF5D04" w14:textId="77777777" w:rsidR="00CB4C35" w:rsidRPr="007C5A6E" w:rsidRDefault="00CB4C35" w:rsidP="00ED5192">
            <w:pPr>
              <w:spacing w:after="0" w:line="240" w:lineRule="auto"/>
              <w:ind w:left="156"/>
              <w:jc w:val="right"/>
              <w:rPr>
                <w:rFonts w:ascii="Times New Roman" w:hAnsi="Times New Roman"/>
                <w:sz w:val="21"/>
                <w:szCs w:val="21"/>
              </w:rPr>
            </w:pPr>
            <w:r w:rsidRPr="007C5A6E">
              <w:rPr>
                <w:rFonts w:ascii="Times New Roman" w:eastAsia="Calibri" w:hAnsi="Times New Roman"/>
                <w:sz w:val="21"/>
                <w:szCs w:val="21"/>
              </w:rPr>
              <w:t>8 875</w:t>
            </w:r>
          </w:p>
        </w:tc>
        <w:tc>
          <w:tcPr>
            <w:tcW w:w="1276" w:type="dxa"/>
            <w:tcBorders>
              <w:top w:val="nil"/>
              <w:left w:val="nil"/>
              <w:bottom w:val="nil"/>
              <w:right w:val="nil"/>
            </w:tcBorders>
            <w:shd w:val="clear" w:color="auto" w:fill="E6EED5"/>
          </w:tcPr>
          <w:p w14:paraId="3CA019FA" w14:textId="77777777" w:rsidR="00CB4C35" w:rsidRPr="007C5A6E" w:rsidRDefault="00CB4C35" w:rsidP="00ED5192">
            <w:pPr>
              <w:spacing w:after="0" w:line="240" w:lineRule="auto"/>
              <w:ind w:left="194"/>
              <w:jc w:val="right"/>
              <w:rPr>
                <w:rFonts w:ascii="Times New Roman" w:hAnsi="Times New Roman"/>
                <w:sz w:val="21"/>
                <w:szCs w:val="21"/>
              </w:rPr>
            </w:pPr>
            <w:r w:rsidRPr="007C5A6E">
              <w:rPr>
                <w:rFonts w:ascii="Times New Roman" w:eastAsia="Calibri" w:hAnsi="Times New Roman"/>
                <w:sz w:val="21"/>
                <w:szCs w:val="21"/>
              </w:rPr>
              <w:t>1 806</w:t>
            </w:r>
          </w:p>
        </w:tc>
        <w:tc>
          <w:tcPr>
            <w:tcW w:w="1134" w:type="dxa"/>
            <w:tcBorders>
              <w:top w:val="nil"/>
              <w:left w:val="nil"/>
              <w:bottom w:val="nil"/>
              <w:right w:val="nil"/>
            </w:tcBorders>
            <w:shd w:val="clear" w:color="auto" w:fill="E6EED5"/>
          </w:tcPr>
          <w:p w14:paraId="65115626" w14:textId="77777777" w:rsidR="00CB4C35" w:rsidRPr="007C5A6E" w:rsidRDefault="00CB4C35" w:rsidP="00ED5192">
            <w:pPr>
              <w:spacing w:after="0" w:line="240" w:lineRule="auto"/>
              <w:ind w:left="216"/>
              <w:jc w:val="right"/>
              <w:rPr>
                <w:rFonts w:ascii="Times New Roman" w:hAnsi="Times New Roman"/>
                <w:sz w:val="21"/>
                <w:szCs w:val="21"/>
              </w:rPr>
            </w:pPr>
            <w:r w:rsidRPr="007C5A6E">
              <w:rPr>
                <w:rFonts w:ascii="Times New Roman" w:eastAsia="Calibri" w:hAnsi="Times New Roman"/>
                <w:sz w:val="21"/>
                <w:szCs w:val="21"/>
              </w:rPr>
              <w:t>994</w:t>
            </w:r>
          </w:p>
        </w:tc>
        <w:tc>
          <w:tcPr>
            <w:tcW w:w="1276" w:type="dxa"/>
            <w:tcBorders>
              <w:top w:val="nil"/>
              <w:left w:val="nil"/>
              <w:bottom w:val="nil"/>
              <w:right w:val="nil"/>
            </w:tcBorders>
            <w:shd w:val="clear" w:color="auto" w:fill="E6EED5"/>
          </w:tcPr>
          <w:p w14:paraId="6522E7D6" w14:textId="77777777" w:rsidR="00CB4C35" w:rsidRPr="007C5A6E" w:rsidRDefault="00CB4C35" w:rsidP="00ED5192">
            <w:pPr>
              <w:spacing w:after="0" w:line="240" w:lineRule="auto"/>
              <w:ind w:left="194"/>
              <w:jc w:val="right"/>
              <w:rPr>
                <w:rFonts w:ascii="Times New Roman" w:hAnsi="Times New Roman"/>
                <w:sz w:val="21"/>
                <w:szCs w:val="21"/>
              </w:rPr>
            </w:pPr>
            <w:r w:rsidRPr="007C5A6E">
              <w:rPr>
                <w:rFonts w:ascii="Times New Roman" w:eastAsia="Calibri" w:hAnsi="Times New Roman"/>
                <w:sz w:val="21"/>
                <w:szCs w:val="21"/>
              </w:rPr>
              <w:t>7 267</w:t>
            </w:r>
          </w:p>
        </w:tc>
      </w:tr>
      <w:tr w:rsidR="00CB4C35" w:rsidRPr="007C5A6E" w14:paraId="52A98DB8" w14:textId="77777777" w:rsidTr="00ED5192">
        <w:trPr>
          <w:trHeight w:val="214"/>
        </w:trPr>
        <w:tc>
          <w:tcPr>
            <w:tcW w:w="2290" w:type="dxa"/>
            <w:tcBorders>
              <w:top w:val="nil"/>
              <w:left w:val="nil"/>
              <w:bottom w:val="nil"/>
              <w:right w:val="nil"/>
            </w:tcBorders>
          </w:tcPr>
          <w:p w14:paraId="30F7625D" w14:textId="77777777" w:rsidR="00CB4C35" w:rsidRPr="007C5A6E" w:rsidRDefault="00CB4C35" w:rsidP="00CB4C35">
            <w:pPr>
              <w:spacing w:after="0" w:line="240" w:lineRule="auto"/>
              <w:ind w:left="22"/>
              <w:jc w:val="both"/>
              <w:rPr>
                <w:rFonts w:ascii="Times New Roman" w:hAnsi="Times New Roman"/>
                <w:sz w:val="21"/>
                <w:szCs w:val="21"/>
              </w:rPr>
            </w:pPr>
            <w:r w:rsidRPr="007C5A6E">
              <w:rPr>
                <w:rFonts w:ascii="Times New Roman" w:eastAsia="Calibri" w:hAnsi="Times New Roman"/>
                <w:sz w:val="21"/>
                <w:szCs w:val="21"/>
              </w:rPr>
              <w:t>Sahel</w:t>
            </w:r>
          </w:p>
        </w:tc>
        <w:tc>
          <w:tcPr>
            <w:tcW w:w="1134" w:type="dxa"/>
            <w:tcBorders>
              <w:top w:val="nil"/>
              <w:left w:val="nil"/>
              <w:bottom w:val="nil"/>
              <w:right w:val="nil"/>
            </w:tcBorders>
          </w:tcPr>
          <w:p w14:paraId="1D85558A" w14:textId="77777777" w:rsidR="00CB4C35" w:rsidRPr="007C5A6E" w:rsidRDefault="00CB4C35" w:rsidP="00ED5192">
            <w:pPr>
              <w:spacing w:after="0" w:line="240" w:lineRule="auto"/>
              <w:ind w:left="257"/>
              <w:jc w:val="right"/>
              <w:rPr>
                <w:rFonts w:ascii="Times New Roman" w:hAnsi="Times New Roman"/>
                <w:sz w:val="21"/>
                <w:szCs w:val="21"/>
              </w:rPr>
            </w:pPr>
            <w:r w:rsidRPr="007C5A6E">
              <w:rPr>
                <w:rFonts w:ascii="Times New Roman" w:eastAsia="Calibri" w:hAnsi="Times New Roman"/>
                <w:sz w:val="21"/>
                <w:szCs w:val="21"/>
              </w:rPr>
              <w:t>50</w:t>
            </w:r>
          </w:p>
        </w:tc>
        <w:tc>
          <w:tcPr>
            <w:tcW w:w="1276" w:type="dxa"/>
            <w:tcBorders>
              <w:top w:val="nil"/>
              <w:left w:val="nil"/>
              <w:bottom w:val="nil"/>
              <w:right w:val="nil"/>
            </w:tcBorders>
          </w:tcPr>
          <w:p w14:paraId="1F2F5B1D" w14:textId="77777777" w:rsidR="00CB4C35" w:rsidRPr="007C5A6E" w:rsidRDefault="00CB4C35" w:rsidP="00ED5192">
            <w:pPr>
              <w:spacing w:after="0" w:line="240" w:lineRule="auto"/>
              <w:ind w:left="298"/>
              <w:jc w:val="right"/>
              <w:rPr>
                <w:rFonts w:ascii="Times New Roman" w:hAnsi="Times New Roman"/>
                <w:sz w:val="21"/>
                <w:szCs w:val="21"/>
              </w:rPr>
            </w:pPr>
            <w:r w:rsidRPr="007C5A6E">
              <w:rPr>
                <w:rFonts w:ascii="Times New Roman" w:eastAsia="Calibri" w:hAnsi="Times New Roman"/>
                <w:sz w:val="21"/>
                <w:szCs w:val="21"/>
              </w:rPr>
              <w:t>0</w:t>
            </w:r>
          </w:p>
        </w:tc>
        <w:tc>
          <w:tcPr>
            <w:tcW w:w="1276" w:type="dxa"/>
            <w:tcBorders>
              <w:top w:val="nil"/>
              <w:left w:val="nil"/>
              <w:bottom w:val="nil"/>
              <w:right w:val="nil"/>
            </w:tcBorders>
          </w:tcPr>
          <w:p w14:paraId="76C7220D" w14:textId="77777777" w:rsidR="00CB4C35" w:rsidRPr="007C5A6E" w:rsidRDefault="00CB4C35" w:rsidP="00ED5192">
            <w:pPr>
              <w:spacing w:after="0" w:line="240" w:lineRule="auto"/>
              <w:ind w:left="154"/>
              <w:jc w:val="right"/>
              <w:rPr>
                <w:rFonts w:ascii="Times New Roman" w:hAnsi="Times New Roman"/>
                <w:sz w:val="21"/>
                <w:szCs w:val="21"/>
              </w:rPr>
            </w:pPr>
            <w:r w:rsidRPr="007C5A6E">
              <w:rPr>
                <w:rFonts w:ascii="Times New Roman" w:eastAsia="Calibri" w:hAnsi="Times New Roman"/>
                <w:sz w:val="21"/>
                <w:szCs w:val="21"/>
              </w:rPr>
              <w:t>18 538</w:t>
            </w:r>
          </w:p>
        </w:tc>
        <w:tc>
          <w:tcPr>
            <w:tcW w:w="1134" w:type="dxa"/>
            <w:tcBorders>
              <w:top w:val="nil"/>
              <w:left w:val="nil"/>
              <w:bottom w:val="nil"/>
              <w:right w:val="nil"/>
            </w:tcBorders>
          </w:tcPr>
          <w:p w14:paraId="5072479B" w14:textId="77777777" w:rsidR="00CB4C35" w:rsidRPr="007C5A6E" w:rsidRDefault="00CB4C35" w:rsidP="00ED5192">
            <w:pPr>
              <w:spacing w:after="0" w:line="240" w:lineRule="auto"/>
              <w:ind w:left="77"/>
              <w:jc w:val="right"/>
              <w:rPr>
                <w:rFonts w:ascii="Times New Roman" w:hAnsi="Times New Roman"/>
                <w:sz w:val="21"/>
                <w:szCs w:val="21"/>
              </w:rPr>
            </w:pPr>
            <w:r w:rsidRPr="007C5A6E">
              <w:rPr>
                <w:rFonts w:ascii="Times New Roman" w:eastAsia="Calibri" w:hAnsi="Times New Roman"/>
                <w:sz w:val="21"/>
                <w:szCs w:val="21"/>
              </w:rPr>
              <w:t>134 959</w:t>
            </w:r>
          </w:p>
        </w:tc>
        <w:tc>
          <w:tcPr>
            <w:tcW w:w="1276" w:type="dxa"/>
            <w:tcBorders>
              <w:top w:val="nil"/>
              <w:left w:val="nil"/>
              <w:bottom w:val="nil"/>
              <w:right w:val="nil"/>
            </w:tcBorders>
          </w:tcPr>
          <w:p w14:paraId="4B31DAF4" w14:textId="77777777" w:rsidR="00CB4C35" w:rsidRPr="007C5A6E" w:rsidRDefault="00CB4C35" w:rsidP="00ED5192">
            <w:pPr>
              <w:spacing w:after="0" w:line="240" w:lineRule="auto"/>
              <w:ind w:left="113"/>
              <w:jc w:val="right"/>
              <w:rPr>
                <w:rFonts w:ascii="Times New Roman" w:hAnsi="Times New Roman"/>
                <w:sz w:val="21"/>
                <w:szCs w:val="21"/>
              </w:rPr>
            </w:pPr>
            <w:r w:rsidRPr="007C5A6E">
              <w:rPr>
                <w:rFonts w:ascii="Times New Roman" w:eastAsia="Calibri" w:hAnsi="Times New Roman"/>
                <w:sz w:val="21"/>
                <w:szCs w:val="21"/>
              </w:rPr>
              <w:t>136 705</w:t>
            </w:r>
          </w:p>
        </w:tc>
      </w:tr>
      <w:tr w:rsidR="00CB4C35" w:rsidRPr="007C5A6E" w14:paraId="2693E6A5" w14:textId="77777777" w:rsidTr="00ED5192">
        <w:trPr>
          <w:trHeight w:val="218"/>
        </w:trPr>
        <w:tc>
          <w:tcPr>
            <w:tcW w:w="2290" w:type="dxa"/>
            <w:tcBorders>
              <w:top w:val="nil"/>
              <w:left w:val="nil"/>
              <w:bottom w:val="nil"/>
              <w:right w:val="nil"/>
            </w:tcBorders>
            <w:shd w:val="clear" w:color="auto" w:fill="E6EED5"/>
          </w:tcPr>
          <w:p w14:paraId="4DAEA5D5" w14:textId="77777777" w:rsidR="00CB4C35" w:rsidRPr="007C5A6E" w:rsidRDefault="00CB4C35" w:rsidP="00CB4C35">
            <w:pPr>
              <w:spacing w:after="0" w:line="240" w:lineRule="auto"/>
              <w:ind w:left="22"/>
              <w:jc w:val="both"/>
              <w:rPr>
                <w:rFonts w:ascii="Times New Roman" w:hAnsi="Times New Roman"/>
                <w:sz w:val="21"/>
                <w:szCs w:val="21"/>
              </w:rPr>
            </w:pPr>
            <w:r w:rsidRPr="007C5A6E">
              <w:rPr>
                <w:rFonts w:ascii="Times New Roman" w:eastAsia="Calibri" w:hAnsi="Times New Roman"/>
                <w:sz w:val="21"/>
                <w:szCs w:val="21"/>
              </w:rPr>
              <w:t>Sud-Ouest</w:t>
            </w:r>
          </w:p>
        </w:tc>
        <w:tc>
          <w:tcPr>
            <w:tcW w:w="1134" w:type="dxa"/>
            <w:tcBorders>
              <w:top w:val="nil"/>
              <w:left w:val="nil"/>
              <w:bottom w:val="nil"/>
              <w:right w:val="nil"/>
            </w:tcBorders>
            <w:shd w:val="clear" w:color="auto" w:fill="E6EED5"/>
          </w:tcPr>
          <w:p w14:paraId="401CBBFD" w14:textId="77777777" w:rsidR="00CB4C35" w:rsidRPr="007C5A6E" w:rsidRDefault="00CB4C35" w:rsidP="00ED5192">
            <w:pPr>
              <w:spacing w:after="0" w:line="240" w:lineRule="auto"/>
              <w:ind w:left="74"/>
              <w:jc w:val="right"/>
              <w:rPr>
                <w:rFonts w:ascii="Times New Roman" w:hAnsi="Times New Roman"/>
                <w:sz w:val="21"/>
                <w:szCs w:val="21"/>
              </w:rPr>
            </w:pPr>
            <w:r w:rsidRPr="007C5A6E">
              <w:rPr>
                <w:rFonts w:ascii="Times New Roman" w:eastAsia="Calibri" w:hAnsi="Times New Roman"/>
                <w:sz w:val="21"/>
                <w:szCs w:val="21"/>
              </w:rPr>
              <w:t>259 700</w:t>
            </w:r>
          </w:p>
        </w:tc>
        <w:tc>
          <w:tcPr>
            <w:tcW w:w="1276" w:type="dxa"/>
            <w:tcBorders>
              <w:top w:val="nil"/>
              <w:left w:val="nil"/>
              <w:bottom w:val="nil"/>
              <w:right w:val="nil"/>
            </w:tcBorders>
            <w:shd w:val="clear" w:color="auto" w:fill="E6EED5"/>
          </w:tcPr>
          <w:p w14:paraId="2964AA0F" w14:textId="77777777" w:rsidR="00CB4C35" w:rsidRPr="007C5A6E" w:rsidRDefault="00CB4C35" w:rsidP="00ED5192">
            <w:pPr>
              <w:spacing w:after="0" w:line="240" w:lineRule="auto"/>
              <w:ind w:left="74"/>
              <w:jc w:val="right"/>
              <w:rPr>
                <w:rFonts w:ascii="Times New Roman" w:hAnsi="Times New Roman"/>
                <w:sz w:val="21"/>
                <w:szCs w:val="21"/>
              </w:rPr>
            </w:pPr>
            <w:r w:rsidRPr="007C5A6E">
              <w:rPr>
                <w:rFonts w:ascii="Times New Roman" w:eastAsia="Calibri" w:hAnsi="Times New Roman"/>
                <w:sz w:val="21"/>
                <w:szCs w:val="21"/>
              </w:rPr>
              <w:t>228 225</w:t>
            </w:r>
          </w:p>
        </w:tc>
        <w:tc>
          <w:tcPr>
            <w:tcW w:w="1276" w:type="dxa"/>
            <w:tcBorders>
              <w:top w:val="nil"/>
              <w:left w:val="nil"/>
              <w:bottom w:val="nil"/>
              <w:right w:val="nil"/>
            </w:tcBorders>
            <w:shd w:val="clear" w:color="auto" w:fill="E6EED5"/>
          </w:tcPr>
          <w:p w14:paraId="15DCD06D" w14:textId="77777777" w:rsidR="00CB4C35" w:rsidRPr="007C5A6E" w:rsidRDefault="00CB4C35" w:rsidP="00ED5192">
            <w:pPr>
              <w:spacing w:after="0" w:line="240" w:lineRule="auto"/>
              <w:ind w:left="113"/>
              <w:jc w:val="right"/>
              <w:rPr>
                <w:rFonts w:ascii="Times New Roman" w:hAnsi="Times New Roman"/>
                <w:sz w:val="21"/>
                <w:szCs w:val="21"/>
              </w:rPr>
            </w:pPr>
            <w:r w:rsidRPr="007C5A6E">
              <w:rPr>
                <w:rFonts w:ascii="Times New Roman" w:eastAsia="Calibri" w:hAnsi="Times New Roman"/>
                <w:sz w:val="21"/>
                <w:szCs w:val="21"/>
              </w:rPr>
              <w:t>150 590</w:t>
            </w:r>
          </w:p>
        </w:tc>
        <w:tc>
          <w:tcPr>
            <w:tcW w:w="1134" w:type="dxa"/>
            <w:tcBorders>
              <w:top w:val="nil"/>
              <w:left w:val="nil"/>
              <w:bottom w:val="nil"/>
              <w:right w:val="nil"/>
            </w:tcBorders>
            <w:shd w:val="clear" w:color="auto" w:fill="E6EED5"/>
          </w:tcPr>
          <w:p w14:paraId="5334AA4E" w14:textId="77777777" w:rsidR="00CB4C35" w:rsidRPr="007C5A6E" w:rsidRDefault="00CB4C35" w:rsidP="00ED5192">
            <w:pPr>
              <w:spacing w:after="0" w:line="240" w:lineRule="auto"/>
              <w:ind w:left="77"/>
              <w:jc w:val="right"/>
              <w:rPr>
                <w:rFonts w:ascii="Times New Roman" w:hAnsi="Times New Roman"/>
                <w:sz w:val="21"/>
                <w:szCs w:val="21"/>
              </w:rPr>
            </w:pPr>
            <w:r w:rsidRPr="007C5A6E">
              <w:rPr>
                <w:rFonts w:ascii="Times New Roman" w:eastAsia="Calibri" w:hAnsi="Times New Roman"/>
                <w:sz w:val="21"/>
                <w:szCs w:val="21"/>
              </w:rPr>
              <w:t>140 980</w:t>
            </w:r>
          </w:p>
        </w:tc>
        <w:tc>
          <w:tcPr>
            <w:tcW w:w="1276" w:type="dxa"/>
            <w:tcBorders>
              <w:top w:val="nil"/>
              <w:left w:val="nil"/>
              <w:bottom w:val="nil"/>
              <w:right w:val="nil"/>
            </w:tcBorders>
            <w:shd w:val="clear" w:color="auto" w:fill="E6EED5"/>
          </w:tcPr>
          <w:p w14:paraId="267661D5" w14:textId="77777777" w:rsidR="00CB4C35" w:rsidRPr="007C5A6E" w:rsidRDefault="00CB4C35" w:rsidP="00ED5192">
            <w:pPr>
              <w:spacing w:after="0" w:line="240" w:lineRule="auto"/>
              <w:ind w:left="113"/>
              <w:jc w:val="right"/>
              <w:rPr>
                <w:rFonts w:ascii="Times New Roman" w:hAnsi="Times New Roman"/>
                <w:sz w:val="21"/>
                <w:szCs w:val="21"/>
              </w:rPr>
            </w:pPr>
            <w:r w:rsidRPr="007C5A6E">
              <w:rPr>
                <w:rFonts w:ascii="Times New Roman" w:eastAsia="Calibri" w:hAnsi="Times New Roman"/>
                <w:sz w:val="21"/>
                <w:szCs w:val="21"/>
              </w:rPr>
              <w:t>104 057</w:t>
            </w:r>
          </w:p>
        </w:tc>
      </w:tr>
      <w:tr w:rsidR="00CB4C35" w:rsidRPr="007C5A6E" w14:paraId="4C817A56" w14:textId="77777777" w:rsidTr="00ED5192">
        <w:trPr>
          <w:trHeight w:val="221"/>
        </w:trPr>
        <w:tc>
          <w:tcPr>
            <w:tcW w:w="2290" w:type="dxa"/>
            <w:tcBorders>
              <w:top w:val="nil"/>
              <w:left w:val="nil"/>
              <w:bottom w:val="single" w:sz="17" w:space="0" w:color="00B050"/>
              <w:right w:val="nil"/>
            </w:tcBorders>
          </w:tcPr>
          <w:p w14:paraId="13041F9C" w14:textId="77777777" w:rsidR="00CB4C35" w:rsidRPr="007C5A6E" w:rsidRDefault="00CB4C35" w:rsidP="00CB4C35">
            <w:pPr>
              <w:spacing w:after="0" w:line="240" w:lineRule="auto"/>
              <w:ind w:left="22"/>
              <w:jc w:val="both"/>
              <w:rPr>
                <w:rFonts w:ascii="Times New Roman" w:hAnsi="Times New Roman"/>
                <w:sz w:val="21"/>
                <w:szCs w:val="21"/>
              </w:rPr>
            </w:pPr>
            <w:r w:rsidRPr="007C5A6E">
              <w:rPr>
                <w:rFonts w:ascii="Times New Roman" w:eastAsia="Calibri" w:hAnsi="Times New Roman"/>
                <w:b/>
                <w:sz w:val="21"/>
                <w:szCs w:val="21"/>
              </w:rPr>
              <w:t>Burkina</w:t>
            </w:r>
          </w:p>
        </w:tc>
        <w:tc>
          <w:tcPr>
            <w:tcW w:w="1134" w:type="dxa"/>
            <w:tcBorders>
              <w:top w:val="nil"/>
              <w:left w:val="nil"/>
              <w:bottom w:val="single" w:sz="17" w:space="0" w:color="00B050"/>
              <w:right w:val="nil"/>
            </w:tcBorders>
          </w:tcPr>
          <w:p w14:paraId="203D6B15" w14:textId="77777777" w:rsidR="00CB4C35" w:rsidRPr="007C5A6E" w:rsidRDefault="00CB4C35" w:rsidP="00ED5192">
            <w:pPr>
              <w:spacing w:after="0" w:line="240" w:lineRule="auto"/>
              <w:ind w:left="65"/>
              <w:jc w:val="right"/>
              <w:rPr>
                <w:rFonts w:ascii="Times New Roman" w:hAnsi="Times New Roman"/>
                <w:sz w:val="21"/>
                <w:szCs w:val="21"/>
              </w:rPr>
            </w:pPr>
            <w:r w:rsidRPr="007C5A6E">
              <w:rPr>
                <w:rFonts w:ascii="Times New Roman" w:eastAsia="Calibri" w:hAnsi="Times New Roman"/>
                <w:b/>
                <w:sz w:val="21"/>
                <w:szCs w:val="21"/>
              </w:rPr>
              <w:t>2484250</w:t>
            </w:r>
          </w:p>
        </w:tc>
        <w:tc>
          <w:tcPr>
            <w:tcW w:w="1276" w:type="dxa"/>
            <w:tcBorders>
              <w:top w:val="nil"/>
              <w:left w:val="nil"/>
              <w:bottom w:val="single" w:sz="17" w:space="0" w:color="00B050"/>
              <w:right w:val="nil"/>
            </w:tcBorders>
          </w:tcPr>
          <w:p w14:paraId="6F41BC13" w14:textId="77777777" w:rsidR="00CB4C35" w:rsidRPr="007C5A6E" w:rsidRDefault="00CB4C35" w:rsidP="00ED5192">
            <w:pPr>
              <w:spacing w:after="0" w:line="240" w:lineRule="auto"/>
              <w:ind w:left="65"/>
              <w:jc w:val="right"/>
              <w:rPr>
                <w:rFonts w:ascii="Times New Roman" w:hAnsi="Times New Roman"/>
                <w:sz w:val="21"/>
                <w:szCs w:val="21"/>
              </w:rPr>
            </w:pPr>
            <w:r w:rsidRPr="007C5A6E">
              <w:rPr>
                <w:rFonts w:ascii="Times New Roman" w:eastAsia="Calibri" w:hAnsi="Times New Roman"/>
                <w:b/>
                <w:sz w:val="21"/>
                <w:szCs w:val="21"/>
              </w:rPr>
              <w:t>2321825</w:t>
            </w:r>
          </w:p>
        </w:tc>
        <w:tc>
          <w:tcPr>
            <w:tcW w:w="1276" w:type="dxa"/>
            <w:tcBorders>
              <w:top w:val="nil"/>
              <w:left w:val="nil"/>
              <w:bottom w:val="single" w:sz="17" w:space="0" w:color="00B050"/>
              <w:right w:val="nil"/>
            </w:tcBorders>
          </w:tcPr>
          <w:p w14:paraId="47D90EA0" w14:textId="77777777" w:rsidR="00CB4C35" w:rsidRPr="007C5A6E" w:rsidRDefault="00CB4C35" w:rsidP="00ED5192">
            <w:pPr>
              <w:spacing w:after="0" w:line="240" w:lineRule="auto"/>
              <w:jc w:val="right"/>
              <w:rPr>
                <w:rFonts w:ascii="Times New Roman" w:hAnsi="Times New Roman"/>
                <w:sz w:val="21"/>
                <w:szCs w:val="21"/>
              </w:rPr>
            </w:pPr>
            <w:r w:rsidRPr="007C5A6E">
              <w:rPr>
                <w:rFonts w:ascii="Times New Roman" w:eastAsia="Calibri" w:hAnsi="Times New Roman"/>
                <w:b/>
                <w:sz w:val="21"/>
                <w:szCs w:val="21"/>
              </w:rPr>
              <w:t>1530394,36</w:t>
            </w:r>
          </w:p>
        </w:tc>
        <w:tc>
          <w:tcPr>
            <w:tcW w:w="1134" w:type="dxa"/>
            <w:tcBorders>
              <w:top w:val="nil"/>
              <w:left w:val="nil"/>
              <w:bottom w:val="single" w:sz="17" w:space="0" w:color="00B050"/>
              <w:right w:val="nil"/>
            </w:tcBorders>
          </w:tcPr>
          <w:p w14:paraId="6D12F55A" w14:textId="77777777" w:rsidR="00CB4C35" w:rsidRPr="007C5A6E" w:rsidRDefault="00CB4C35" w:rsidP="00ED5192">
            <w:pPr>
              <w:spacing w:after="0" w:line="240" w:lineRule="auto"/>
              <w:ind w:left="5"/>
              <w:jc w:val="right"/>
              <w:rPr>
                <w:rFonts w:ascii="Times New Roman" w:hAnsi="Times New Roman"/>
                <w:sz w:val="21"/>
                <w:szCs w:val="21"/>
              </w:rPr>
            </w:pPr>
            <w:r w:rsidRPr="007C5A6E">
              <w:rPr>
                <w:rFonts w:ascii="Times New Roman" w:eastAsia="Calibri" w:hAnsi="Times New Roman"/>
                <w:b/>
                <w:sz w:val="21"/>
                <w:szCs w:val="21"/>
              </w:rPr>
              <w:t>1664502,8</w:t>
            </w:r>
          </w:p>
        </w:tc>
        <w:tc>
          <w:tcPr>
            <w:tcW w:w="1276" w:type="dxa"/>
            <w:tcBorders>
              <w:top w:val="nil"/>
              <w:left w:val="nil"/>
              <w:bottom w:val="single" w:sz="17" w:space="0" w:color="00B050"/>
              <w:right w:val="nil"/>
            </w:tcBorders>
          </w:tcPr>
          <w:p w14:paraId="0B5B66C0" w14:textId="77777777" w:rsidR="00CB4C35" w:rsidRPr="007C5A6E" w:rsidRDefault="00CB4C35" w:rsidP="00ED5192">
            <w:pPr>
              <w:spacing w:after="0" w:line="240" w:lineRule="auto"/>
              <w:jc w:val="right"/>
              <w:rPr>
                <w:rFonts w:ascii="Times New Roman" w:hAnsi="Times New Roman"/>
                <w:sz w:val="21"/>
                <w:szCs w:val="21"/>
              </w:rPr>
            </w:pPr>
            <w:r w:rsidRPr="007C5A6E">
              <w:rPr>
                <w:rFonts w:ascii="Times New Roman" w:eastAsia="Calibri" w:hAnsi="Times New Roman"/>
                <w:b/>
                <w:sz w:val="21"/>
                <w:szCs w:val="21"/>
              </w:rPr>
              <w:t>1795429,22</w:t>
            </w:r>
          </w:p>
        </w:tc>
      </w:tr>
    </w:tbl>
    <w:p w14:paraId="1E3F23FD" w14:textId="77777777" w:rsidR="00CB4C35" w:rsidRPr="007C5A6E" w:rsidRDefault="00CB4C35" w:rsidP="00CB4C35">
      <w:pPr>
        <w:spacing w:after="0" w:line="240" w:lineRule="auto"/>
        <w:jc w:val="both"/>
        <w:rPr>
          <w:rFonts w:ascii="Times New Roman" w:hAnsi="Times New Roman"/>
          <w:sz w:val="20"/>
          <w:szCs w:val="20"/>
        </w:rPr>
      </w:pPr>
      <w:r w:rsidRPr="007C5A6E">
        <w:rPr>
          <w:rFonts w:ascii="Times New Roman" w:hAnsi="Times New Roman"/>
          <w:sz w:val="20"/>
          <w:szCs w:val="20"/>
        </w:rPr>
        <w:t>Source : DGESS/MEEA, 2023</w:t>
      </w:r>
    </w:p>
    <w:p w14:paraId="77546637" w14:textId="77777777" w:rsidR="00CB4C35" w:rsidRPr="007C5A6E" w:rsidRDefault="00CB4C35" w:rsidP="00CB4C35">
      <w:pPr>
        <w:spacing w:after="0" w:line="240" w:lineRule="auto"/>
        <w:jc w:val="both"/>
        <w:rPr>
          <w:rFonts w:ascii="Times New Roman" w:hAnsi="Times New Roman"/>
          <w:sz w:val="24"/>
          <w:szCs w:val="24"/>
        </w:rPr>
      </w:pPr>
    </w:p>
    <w:p w14:paraId="7BE24CDB" w14:textId="77777777"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30DE121C" wp14:editId="26B6CE93">
            <wp:extent cx="5200650" cy="2743200"/>
            <wp:effectExtent l="0" t="0" r="0" b="0"/>
            <wp:docPr id="293508658"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00650" cy="2743200"/>
                    </a:xfrm>
                    <a:prstGeom prst="rect">
                      <a:avLst/>
                    </a:prstGeom>
                    <a:noFill/>
                    <a:ln>
                      <a:noFill/>
                    </a:ln>
                  </pic:spPr>
                </pic:pic>
              </a:graphicData>
            </a:graphic>
          </wp:inline>
        </w:drawing>
      </w:r>
    </w:p>
    <w:p w14:paraId="15978E11" w14:textId="77777777" w:rsidR="00ED5192" w:rsidRPr="007C5A6E" w:rsidRDefault="00CB4C35" w:rsidP="00ED5192">
      <w:pPr>
        <w:spacing w:after="0" w:line="240" w:lineRule="auto"/>
        <w:jc w:val="both"/>
        <w:rPr>
          <w:rFonts w:ascii="Times New Roman" w:hAnsi="Times New Roman"/>
          <w:sz w:val="20"/>
          <w:szCs w:val="20"/>
        </w:rPr>
      </w:pPr>
      <w:bookmarkStart w:id="1006" w:name="_Toc176507975"/>
      <w:bookmarkStart w:id="1007" w:name="_Toc182575476"/>
      <w:r w:rsidRPr="007C5A6E">
        <w:rPr>
          <w:rFonts w:ascii="Times New Roman" w:hAnsi="Times New Roman"/>
          <w:sz w:val="24"/>
          <w:szCs w:val="24"/>
        </w:rPr>
        <w:t> </w:t>
      </w:r>
      <w:r w:rsidR="00ED5192" w:rsidRPr="007C5A6E">
        <w:rPr>
          <w:rFonts w:ascii="Times New Roman" w:hAnsi="Times New Roman"/>
          <w:sz w:val="20"/>
          <w:szCs w:val="20"/>
        </w:rPr>
        <w:t>(Source : DGESS/MEEA, 2023)</w:t>
      </w:r>
    </w:p>
    <w:p w14:paraId="33AB5795" w14:textId="606EFA58" w:rsidR="00CB4C35" w:rsidRPr="007C5A6E" w:rsidRDefault="00ED5192" w:rsidP="00BB0BA4">
      <w:pPr>
        <w:pStyle w:val="Lgende"/>
        <w:spacing w:after="0"/>
        <w:jc w:val="both"/>
        <w:rPr>
          <w:rFonts w:ascii="Times New Roman" w:hAnsi="Times New Roman"/>
          <w:color w:val="auto"/>
          <w:sz w:val="24"/>
          <w:szCs w:val="24"/>
        </w:rPr>
      </w:pPr>
      <w:bookmarkStart w:id="1008" w:name="_Toc183230908"/>
      <w:bookmarkStart w:id="1009" w:name="_Toc183240701"/>
      <w:bookmarkStart w:id="1010" w:name="_Toc183340440"/>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61</w:t>
      </w:r>
      <w:r w:rsidRPr="007C5A6E">
        <w:rPr>
          <w:rFonts w:ascii="Times New Roman" w:hAnsi="Times New Roman"/>
          <w:color w:val="auto"/>
          <w:sz w:val="24"/>
          <w:szCs w:val="24"/>
        </w:rPr>
        <w:fldChar w:fldCharType="end"/>
      </w:r>
      <w:r w:rsidR="000A2C06" w:rsidRPr="007C5A6E">
        <w:rPr>
          <w:rFonts w:ascii="Times New Roman" w:hAnsi="Times New Roman"/>
          <w:color w:val="auto"/>
          <w:sz w:val="24"/>
          <w:szCs w:val="24"/>
        </w:rPr>
        <w:t>.</w:t>
      </w:r>
      <w:r w:rsidR="00CB4C35" w:rsidRPr="007C5A6E">
        <w:rPr>
          <w:rFonts w:ascii="Times New Roman" w:hAnsi="Times New Roman"/>
          <w:color w:val="auto"/>
          <w:sz w:val="24"/>
          <w:szCs w:val="24"/>
        </w:rPr>
        <w:t xml:space="preserve"> Evolution des feux tardifs selon </w:t>
      </w:r>
      <w:bookmarkEnd w:id="1006"/>
      <w:r w:rsidR="00CB4C35" w:rsidRPr="007C5A6E">
        <w:rPr>
          <w:rFonts w:ascii="Times New Roman" w:hAnsi="Times New Roman"/>
          <w:color w:val="auto"/>
          <w:sz w:val="24"/>
          <w:szCs w:val="24"/>
        </w:rPr>
        <w:t>les zones phytogéographiques</w:t>
      </w:r>
      <w:bookmarkEnd w:id="1007"/>
      <w:bookmarkEnd w:id="1008"/>
      <w:bookmarkEnd w:id="1009"/>
      <w:bookmarkEnd w:id="1010"/>
      <w:r w:rsidR="00CB4C35" w:rsidRPr="007C5A6E">
        <w:rPr>
          <w:rFonts w:ascii="Times New Roman" w:hAnsi="Times New Roman"/>
          <w:color w:val="auto"/>
          <w:sz w:val="24"/>
          <w:szCs w:val="24"/>
        </w:rPr>
        <w:t xml:space="preserve"> </w:t>
      </w:r>
    </w:p>
    <w:p w14:paraId="298C2237" w14:textId="77777777" w:rsidR="00CB4C35" w:rsidRPr="007C5A6E" w:rsidRDefault="00CB4C35" w:rsidP="00CB4C35">
      <w:pPr>
        <w:spacing w:after="0" w:line="240" w:lineRule="auto"/>
        <w:jc w:val="both"/>
        <w:rPr>
          <w:rFonts w:ascii="Times New Roman" w:hAnsi="Times New Roman"/>
          <w:sz w:val="24"/>
          <w:szCs w:val="24"/>
        </w:rPr>
      </w:pPr>
    </w:p>
    <w:p w14:paraId="00096649" w14:textId="77777777" w:rsidR="00CB4C35" w:rsidRPr="007C5A6E" w:rsidRDefault="00CB4C35" w:rsidP="00CB4C35">
      <w:pPr>
        <w:pStyle w:val="Titre3"/>
      </w:pPr>
      <w:bookmarkStart w:id="1011" w:name="_Toc182575436"/>
      <w:bookmarkStart w:id="1012" w:name="_Toc183340216"/>
      <w:r w:rsidRPr="007C5A6E">
        <w:t>Pression sur les ressources fauniques</w:t>
      </w:r>
      <w:bookmarkEnd w:id="1011"/>
      <w:bookmarkEnd w:id="1012"/>
    </w:p>
    <w:p w14:paraId="03A5AAE2" w14:textId="77777777" w:rsidR="00CB4C35" w:rsidRPr="007C5A6E" w:rsidRDefault="00CB4C35" w:rsidP="00CB4C35">
      <w:pPr>
        <w:spacing w:after="0" w:line="240" w:lineRule="auto"/>
        <w:jc w:val="both"/>
        <w:rPr>
          <w:rFonts w:ascii="Times New Roman" w:hAnsi="Times New Roman"/>
          <w:sz w:val="24"/>
          <w:szCs w:val="24"/>
        </w:rPr>
      </w:pPr>
    </w:p>
    <w:p w14:paraId="0599419A" w14:textId="77777777" w:rsidR="00CB4C35" w:rsidRPr="007C5A6E" w:rsidRDefault="00CB4C35" w:rsidP="00684FF8">
      <w:pPr>
        <w:pStyle w:val="Titre4"/>
      </w:pPr>
      <w:bookmarkStart w:id="1013" w:name="_Toc182575437"/>
      <w:bookmarkStart w:id="1014" w:name="_Toc183340217"/>
      <w:r w:rsidRPr="007C5A6E">
        <w:t>La dégradation de l’habitat des espèces</w:t>
      </w:r>
      <w:bookmarkEnd w:id="1013"/>
      <w:bookmarkEnd w:id="1014"/>
      <w:r w:rsidRPr="007C5A6E">
        <w:t xml:space="preserve"> </w:t>
      </w:r>
    </w:p>
    <w:p w14:paraId="63765321" w14:textId="77777777" w:rsidR="00CB4C35" w:rsidRPr="007C5A6E" w:rsidRDefault="00CB4C35" w:rsidP="00CB4C35">
      <w:pPr>
        <w:spacing w:after="0" w:line="240" w:lineRule="auto"/>
        <w:jc w:val="both"/>
        <w:rPr>
          <w:rFonts w:ascii="Times New Roman" w:hAnsi="Times New Roman"/>
          <w:sz w:val="24"/>
          <w:szCs w:val="24"/>
        </w:rPr>
      </w:pPr>
    </w:p>
    <w:p w14:paraId="4D600ABF" w14:textId="5C21A77D"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La destruction, la fragmentation et la dégradation des habitats sont considérés comme les principales menaces à la biodiversité animale. La dégradation de l’habitat est l’une des principales menaces pour les oiseaux, les amphibiens et les mammifères, affectant ainsi plus de 85% des espèces menacées dans le monde (</w:t>
      </w:r>
      <w:bookmarkStart w:id="1015" w:name="_Hlk182482313"/>
      <w:r w:rsidRPr="007C5A6E">
        <w:rPr>
          <w:rFonts w:ascii="Times New Roman" w:hAnsi="Times New Roman"/>
          <w:sz w:val="24"/>
          <w:szCs w:val="24"/>
        </w:rPr>
        <w:t>UICN, 2022</w:t>
      </w:r>
      <w:bookmarkEnd w:id="1015"/>
      <w:r w:rsidRPr="007C5A6E">
        <w:rPr>
          <w:rFonts w:ascii="Times New Roman" w:hAnsi="Times New Roman"/>
          <w:sz w:val="24"/>
          <w:szCs w:val="24"/>
        </w:rPr>
        <w:t xml:space="preserve">). Outre cette réduction de la diversité, la fragmentation est responsable : d’une diminution de la variabilité des habitats présents, d’une augmentation des installations d’espèces exotiques envahissantes, d’une diminution de la taille des populations sauvages, d’une augmentation de la consanguinité (et donc </w:t>
      </w:r>
      <w:r w:rsidR="00ED5192" w:rsidRPr="007C5A6E">
        <w:rPr>
          <w:rFonts w:ascii="Times New Roman" w:hAnsi="Times New Roman"/>
          <w:sz w:val="24"/>
          <w:szCs w:val="24"/>
        </w:rPr>
        <w:t>une érosion intraspécifique</w:t>
      </w:r>
      <w:r w:rsidRPr="007C5A6E">
        <w:rPr>
          <w:rFonts w:ascii="Times New Roman" w:hAnsi="Times New Roman"/>
          <w:sz w:val="24"/>
          <w:szCs w:val="24"/>
        </w:rPr>
        <w:t xml:space="preserve"> de la biodiversité), et enfin d’une perturbation de l’équilibre naturel des espèces, et en particulier de l’équilibre proies-prédateurs (UICN, 2022).</w:t>
      </w:r>
    </w:p>
    <w:p w14:paraId="41EB8EF4" w14:textId="77777777"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 xml:space="preserve">Les invasions biologiques par les espèces exotiques envahissantes est actuellement une réalité au Burkina Faso. Selon MEEVCC (2020) le phénomène constitue la cinquième menace la plus grave pour les amphibiens, et la troisième menace la plus grave pour les oiseaux et les mammifères. Les écosystèmes impactés par les 42 espèces envahissantes présentes au Burkina Faso, sont les écosystèmes aquatiques (08 espèces), semi-aquatiques (03 espèces) et les écosystèmes terrestres (30 espèces). L’espèce envahissante </w:t>
      </w:r>
      <w:proofErr w:type="spellStart"/>
      <w:r w:rsidRPr="007C5A6E">
        <w:rPr>
          <w:rFonts w:ascii="Times New Roman" w:hAnsi="Times New Roman"/>
          <w:i/>
          <w:iCs/>
          <w:sz w:val="24"/>
          <w:szCs w:val="24"/>
        </w:rPr>
        <w:t>Rhamphicarpa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fistulosa</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Hochst</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Benth</w:t>
      </w:r>
      <w:proofErr w:type="spellEnd"/>
      <w:r w:rsidRPr="007C5A6E">
        <w:rPr>
          <w:rFonts w:ascii="Times New Roman" w:hAnsi="Times New Roman"/>
          <w:sz w:val="24"/>
          <w:szCs w:val="24"/>
        </w:rPr>
        <w:t xml:space="preserve"> est un hygrophyte facultatif qui s’adapte aux trois écosystèmes. </w:t>
      </w:r>
    </w:p>
    <w:p w14:paraId="324B37CE" w14:textId="668AD7FE" w:rsidR="00F34CA1"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La tendance globale de l’évolution des superficies impactés par les espèces envahissantes est à la hausse. Une évaluation faite à Ouagadougou et dans le Kadiogo-Bazèga, montre que la couverture de la jacinthe d’eau a été évaluée en 2014 à 242 ha.</w:t>
      </w:r>
    </w:p>
    <w:p w14:paraId="04B708E3" w14:textId="77777777" w:rsidR="00F34CA1" w:rsidRPr="007C5A6E" w:rsidRDefault="00F34CA1" w:rsidP="00CB4C35">
      <w:pPr>
        <w:spacing w:after="0" w:line="240" w:lineRule="auto"/>
        <w:jc w:val="both"/>
        <w:rPr>
          <w:rFonts w:ascii="Times New Roman" w:hAnsi="Times New Roman"/>
          <w:sz w:val="24"/>
          <w:szCs w:val="24"/>
        </w:rPr>
      </w:pPr>
    </w:p>
    <w:p w14:paraId="76755FCF" w14:textId="77777777" w:rsidR="00CB4C35" w:rsidRPr="007C5A6E" w:rsidRDefault="00CB4C35" w:rsidP="001174C3">
      <w:pPr>
        <w:pBdr>
          <w:top w:val="single" w:sz="4" w:space="1" w:color="auto"/>
          <w:left w:val="single" w:sz="4" w:space="0" w:color="auto"/>
          <w:bottom w:val="single" w:sz="4" w:space="1" w:color="auto"/>
          <w:right w:val="single" w:sz="4" w:space="4" w:color="auto"/>
        </w:pBdr>
        <w:shd w:val="clear" w:color="auto" w:fill="E7E6E6" w:themeFill="background2"/>
        <w:spacing w:after="0" w:line="240" w:lineRule="auto"/>
        <w:jc w:val="both"/>
        <w:rPr>
          <w:rFonts w:ascii="Times New Roman" w:hAnsi="Times New Roman"/>
        </w:rPr>
      </w:pPr>
      <w:r w:rsidRPr="007C5A6E">
        <w:rPr>
          <w:rFonts w:ascii="Times New Roman" w:hAnsi="Times New Roman"/>
        </w:rPr>
        <w:t>Encadré n°1 (Source : MEEVCC, 2020)</w:t>
      </w:r>
    </w:p>
    <w:p w14:paraId="0FE971B4" w14:textId="77777777" w:rsidR="00CB4C35" w:rsidRPr="007C5A6E" w:rsidRDefault="00CB4C35" w:rsidP="001174C3">
      <w:pPr>
        <w:pBdr>
          <w:top w:val="single" w:sz="4" w:space="1" w:color="auto"/>
          <w:left w:val="single" w:sz="4" w:space="0" w:color="auto"/>
          <w:bottom w:val="single" w:sz="4" w:space="1" w:color="auto"/>
          <w:right w:val="single" w:sz="4" w:space="4" w:color="auto"/>
        </w:pBdr>
        <w:shd w:val="clear" w:color="auto" w:fill="E7E6E6" w:themeFill="background2"/>
        <w:spacing w:after="0" w:line="240" w:lineRule="auto"/>
        <w:jc w:val="both"/>
        <w:rPr>
          <w:rFonts w:ascii="Times New Roman" w:hAnsi="Times New Roman"/>
        </w:rPr>
      </w:pPr>
      <w:r w:rsidRPr="007C5A6E">
        <w:rPr>
          <w:rFonts w:ascii="Times New Roman" w:hAnsi="Times New Roman"/>
        </w:rPr>
        <w:t>De par les impacts souvent spectaculaires sur l’environnement comme la formation d’un tapis flottant immense mono-spécifique d’</w:t>
      </w:r>
      <w:proofErr w:type="spellStart"/>
      <w:r w:rsidRPr="007C5A6E">
        <w:rPr>
          <w:rFonts w:ascii="Times New Roman" w:hAnsi="Times New Roman"/>
          <w:i/>
          <w:iCs/>
        </w:rPr>
        <w:t>Eicchornia</w:t>
      </w:r>
      <w:proofErr w:type="spellEnd"/>
      <w:r w:rsidRPr="007C5A6E">
        <w:rPr>
          <w:rFonts w:ascii="Times New Roman" w:hAnsi="Times New Roman"/>
          <w:i/>
          <w:iCs/>
        </w:rPr>
        <w:t xml:space="preserve"> </w:t>
      </w:r>
      <w:proofErr w:type="spellStart"/>
      <w:r w:rsidRPr="007C5A6E">
        <w:rPr>
          <w:rFonts w:ascii="Times New Roman" w:hAnsi="Times New Roman"/>
          <w:i/>
          <w:iCs/>
        </w:rPr>
        <w:t>crassipes</w:t>
      </w:r>
      <w:proofErr w:type="spellEnd"/>
      <w:r w:rsidRPr="007C5A6E">
        <w:rPr>
          <w:rFonts w:ascii="Times New Roman" w:hAnsi="Times New Roman"/>
          <w:i/>
          <w:iCs/>
        </w:rPr>
        <w:t xml:space="preserve"> </w:t>
      </w:r>
      <w:r w:rsidRPr="007C5A6E">
        <w:rPr>
          <w:rFonts w:ascii="Times New Roman" w:hAnsi="Times New Roman"/>
        </w:rPr>
        <w:t xml:space="preserve">(Mart.) </w:t>
      </w:r>
      <w:proofErr w:type="spellStart"/>
      <w:r w:rsidRPr="007C5A6E">
        <w:rPr>
          <w:rFonts w:ascii="Times New Roman" w:hAnsi="Times New Roman"/>
        </w:rPr>
        <w:t>Solms</w:t>
      </w:r>
      <w:proofErr w:type="spellEnd"/>
      <w:r w:rsidRPr="007C5A6E">
        <w:rPr>
          <w:rFonts w:ascii="Times New Roman" w:hAnsi="Times New Roman"/>
        </w:rPr>
        <w:t xml:space="preserve">, sur les eaux de surface, cas des plans d’eau de Ouagadougou (2013-2016) où l’on constate un recouvrement presque total de la surface de la retenue n°2, soit plus d’une centaine d’ha (Ouédraogo et al., 2004, 2014, 2015, 2016). En d’autres lieux au Burkina Faso, on note des invasions de zones de maraîchage à la périphérie des plans d’eau, notamment dans les Provinces du Kadiogo-Bazèga. Des peuplements à perte de vue de </w:t>
      </w:r>
      <w:r w:rsidRPr="007C5A6E">
        <w:rPr>
          <w:rFonts w:ascii="Times New Roman" w:hAnsi="Times New Roman"/>
          <w:i/>
          <w:iCs/>
        </w:rPr>
        <w:t xml:space="preserve">Typha </w:t>
      </w:r>
      <w:proofErr w:type="spellStart"/>
      <w:r w:rsidRPr="007C5A6E">
        <w:rPr>
          <w:rFonts w:ascii="Times New Roman" w:hAnsi="Times New Roman"/>
          <w:i/>
          <w:iCs/>
        </w:rPr>
        <w:t>domingensis</w:t>
      </w:r>
      <w:proofErr w:type="spellEnd"/>
      <w:r w:rsidRPr="007C5A6E">
        <w:rPr>
          <w:rFonts w:ascii="Times New Roman" w:hAnsi="Times New Roman"/>
        </w:rPr>
        <w:t xml:space="preserve"> </w:t>
      </w:r>
      <w:proofErr w:type="spellStart"/>
      <w:r w:rsidRPr="007C5A6E">
        <w:rPr>
          <w:rFonts w:ascii="Times New Roman" w:hAnsi="Times New Roman"/>
        </w:rPr>
        <w:t>Schum</w:t>
      </w:r>
      <w:proofErr w:type="spellEnd"/>
      <w:r w:rsidRPr="007C5A6E">
        <w:rPr>
          <w:rFonts w:ascii="Times New Roman" w:hAnsi="Times New Roman"/>
        </w:rPr>
        <w:t xml:space="preserve"> &amp; </w:t>
      </w:r>
      <w:proofErr w:type="spellStart"/>
      <w:r w:rsidRPr="007C5A6E">
        <w:rPr>
          <w:rFonts w:ascii="Times New Roman" w:hAnsi="Times New Roman"/>
        </w:rPr>
        <w:t>Thonn</w:t>
      </w:r>
      <w:proofErr w:type="spellEnd"/>
      <w:r w:rsidRPr="007C5A6E">
        <w:rPr>
          <w:rFonts w:ascii="Times New Roman" w:hAnsi="Times New Roman"/>
        </w:rPr>
        <w:t xml:space="preserve"> sont observés dans la vallée du Sourou, les plans d’eau du Gourma, de la Comoé, du Houet. La retenue d’eau de </w:t>
      </w:r>
      <w:proofErr w:type="spellStart"/>
      <w:r w:rsidRPr="007C5A6E">
        <w:rPr>
          <w:rFonts w:ascii="Times New Roman" w:hAnsi="Times New Roman"/>
        </w:rPr>
        <w:t>Toéssé</w:t>
      </w:r>
      <w:proofErr w:type="spellEnd"/>
      <w:r w:rsidRPr="007C5A6E">
        <w:rPr>
          <w:rFonts w:ascii="Times New Roman" w:hAnsi="Times New Roman"/>
        </w:rPr>
        <w:t xml:space="preserve"> au Passoré est complètement envahie par Typha </w:t>
      </w:r>
      <w:proofErr w:type="spellStart"/>
      <w:r w:rsidRPr="007C5A6E">
        <w:rPr>
          <w:rFonts w:ascii="Times New Roman" w:hAnsi="Times New Roman"/>
        </w:rPr>
        <w:t>domingensis</w:t>
      </w:r>
      <w:proofErr w:type="spellEnd"/>
      <w:r w:rsidRPr="007C5A6E">
        <w:rPr>
          <w:rFonts w:ascii="Times New Roman" w:hAnsi="Times New Roman"/>
        </w:rPr>
        <w:t xml:space="preserve"> </w:t>
      </w:r>
      <w:proofErr w:type="spellStart"/>
      <w:r w:rsidRPr="007C5A6E">
        <w:rPr>
          <w:rFonts w:ascii="Times New Roman" w:hAnsi="Times New Roman"/>
        </w:rPr>
        <w:t>Schum</w:t>
      </w:r>
      <w:proofErr w:type="spellEnd"/>
      <w:r w:rsidRPr="007C5A6E">
        <w:rPr>
          <w:rFonts w:ascii="Times New Roman" w:hAnsi="Times New Roman"/>
        </w:rPr>
        <w:t xml:space="preserve">. &amp; </w:t>
      </w:r>
      <w:proofErr w:type="spellStart"/>
      <w:r w:rsidRPr="007C5A6E">
        <w:rPr>
          <w:rFonts w:ascii="Times New Roman" w:hAnsi="Times New Roman"/>
        </w:rPr>
        <w:t>Thonn</w:t>
      </w:r>
      <w:proofErr w:type="spellEnd"/>
      <w:r w:rsidRPr="007C5A6E">
        <w:rPr>
          <w:rFonts w:ascii="Times New Roman" w:hAnsi="Times New Roman"/>
        </w:rPr>
        <w:t xml:space="preserve">, </w:t>
      </w:r>
      <w:r w:rsidRPr="007C5A6E">
        <w:rPr>
          <w:rFonts w:ascii="Times New Roman" w:hAnsi="Times New Roman"/>
          <w:i/>
          <w:iCs/>
        </w:rPr>
        <w:t xml:space="preserve">Mimosa </w:t>
      </w:r>
      <w:proofErr w:type="spellStart"/>
      <w:r w:rsidRPr="007C5A6E">
        <w:rPr>
          <w:rFonts w:ascii="Times New Roman" w:hAnsi="Times New Roman"/>
          <w:i/>
          <w:iCs/>
        </w:rPr>
        <w:t>pigra</w:t>
      </w:r>
      <w:proofErr w:type="spellEnd"/>
      <w:r w:rsidRPr="007C5A6E">
        <w:rPr>
          <w:rFonts w:ascii="Times New Roman" w:hAnsi="Times New Roman"/>
          <w:i/>
          <w:iCs/>
        </w:rPr>
        <w:t xml:space="preserve"> </w:t>
      </w:r>
      <w:r w:rsidRPr="007C5A6E">
        <w:rPr>
          <w:rFonts w:ascii="Times New Roman" w:hAnsi="Times New Roman"/>
        </w:rPr>
        <w:t xml:space="preserve">L. et </w:t>
      </w:r>
      <w:r w:rsidRPr="007C5A6E">
        <w:rPr>
          <w:rFonts w:ascii="Times New Roman" w:hAnsi="Times New Roman"/>
          <w:i/>
          <w:iCs/>
        </w:rPr>
        <w:t xml:space="preserve">Cyperus </w:t>
      </w:r>
      <w:proofErr w:type="spellStart"/>
      <w:r w:rsidRPr="007C5A6E">
        <w:rPr>
          <w:rFonts w:ascii="Times New Roman" w:hAnsi="Times New Roman"/>
          <w:i/>
          <w:iCs/>
        </w:rPr>
        <w:t>articulatus</w:t>
      </w:r>
      <w:proofErr w:type="spellEnd"/>
      <w:r w:rsidRPr="007C5A6E">
        <w:rPr>
          <w:rFonts w:ascii="Times New Roman" w:hAnsi="Times New Roman"/>
        </w:rPr>
        <w:t xml:space="preserve"> L, etc. Des peuplements mono-spécifiques de </w:t>
      </w:r>
      <w:r w:rsidRPr="007C5A6E">
        <w:rPr>
          <w:rFonts w:ascii="Times New Roman" w:hAnsi="Times New Roman"/>
          <w:i/>
          <w:iCs/>
        </w:rPr>
        <w:t>Senna occidentalis</w:t>
      </w:r>
      <w:r w:rsidRPr="007C5A6E">
        <w:rPr>
          <w:rFonts w:ascii="Times New Roman" w:hAnsi="Times New Roman"/>
        </w:rPr>
        <w:t xml:space="preserve">, </w:t>
      </w:r>
      <w:r w:rsidRPr="007C5A6E">
        <w:rPr>
          <w:rFonts w:ascii="Times New Roman" w:hAnsi="Times New Roman"/>
          <w:i/>
          <w:iCs/>
        </w:rPr>
        <w:t xml:space="preserve">Senna </w:t>
      </w:r>
      <w:proofErr w:type="spellStart"/>
      <w:r w:rsidRPr="007C5A6E">
        <w:rPr>
          <w:rFonts w:ascii="Times New Roman" w:hAnsi="Times New Roman"/>
          <w:i/>
          <w:iCs/>
        </w:rPr>
        <w:t>obtusifolia</w:t>
      </w:r>
      <w:proofErr w:type="spellEnd"/>
      <w:r w:rsidRPr="007C5A6E">
        <w:rPr>
          <w:rFonts w:ascii="Times New Roman" w:hAnsi="Times New Roman"/>
        </w:rPr>
        <w:t xml:space="preserve"> et de </w:t>
      </w:r>
      <w:proofErr w:type="spellStart"/>
      <w:r w:rsidRPr="007C5A6E">
        <w:rPr>
          <w:rFonts w:ascii="Times New Roman" w:hAnsi="Times New Roman"/>
          <w:i/>
          <w:iCs/>
        </w:rPr>
        <w:t>Hyptis</w:t>
      </w:r>
      <w:proofErr w:type="spellEnd"/>
      <w:r w:rsidRPr="007C5A6E">
        <w:rPr>
          <w:rFonts w:ascii="Times New Roman" w:hAnsi="Times New Roman"/>
          <w:i/>
          <w:iCs/>
        </w:rPr>
        <w:t xml:space="preserve"> </w:t>
      </w:r>
      <w:proofErr w:type="spellStart"/>
      <w:r w:rsidRPr="007C5A6E">
        <w:rPr>
          <w:rFonts w:ascii="Times New Roman" w:hAnsi="Times New Roman"/>
          <w:i/>
          <w:iCs/>
        </w:rPr>
        <w:t>suaveolens</w:t>
      </w:r>
      <w:proofErr w:type="spellEnd"/>
      <w:r w:rsidRPr="007C5A6E">
        <w:rPr>
          <w:rFonts w:ascii="Times New Roman" w:hAnsi="Times New Roman"/>
        </w:rPr>
        <w:t xml:space="preserve"> sont observés le long des routes et dans les bas-fonds pastoraux au Burkina Faso.</w:t>
      </w:r>
    </w:p>
    <w:p w14:paraId="09BBB047" w14:textId="77777777" w:rsidR="00CB4C35" w:rsidRPr="007C5A6E" w:rsidRDefault="00CB4C35" w:rsidP="00CB4C35">
      <w:pPr>
        <w:spacing w:after="0" w:line="240" w:lineRule="auto"/>
        <w:jc w:val="both"/>
        <w:rPr>
          <w:rFonts w:ascii="Times New Roman" w:hAnsi="Times New Roman"/>
          <w:sz w:val="24"/>
          <w:szCs w:val="24"/>
        </w:rPr>
      </w:pPr>
    </w:p>
    <w:p w14:paraId="00665BE1" w14:textId="77777777" w:rsidR="00CB4C35" w:rsidRPr="007C5A6E" w:rsidRDefault="00CB4C35" w:rsidP="00684FF8">
      <w:pPr>
        <w:pStyle w:val="Titre4"/>
      </w:pPr>
      <w:bookmarkStart w:id="1016" w:name="_Toc182575438"/>
      <w:bookmarkStart w:id="1017" w:name="_Toc183340218"/>
      <w:r w:rsidRPr="007C5A6E">
        <w:t>Le braconnage et le non-respect des exigences d’exploitation de la faune</w:t>
      </w:r>
      <w:bookmarkEnd w:id="1016"/>
      <w:bookmarkEnd w:id="1017"/>
    </w:p>
    <w:p w14:paraId="71DF702C" w14:textId="77777777" w:rsidR="00CB4C35" w:rsidRPr="007C5A6E" w:rsidRDefault="00CB4C35" w:rsidP="00CB4C35">
      <w:pPr>
        <w:spacing w:after="0" w:line="240" w:lineRule="auto"/>
        <w:jc w:val="both"/>
        <w:rPr>
          <w:rFonts w:ascii="Times New Roman" w:hAnsi="Times New Roman"/>
          <w:sz w:val="24"/>
          <w:szCs w:val="24"/>
        </w:rPr>
      </w:pPr>
    </w:p>
    <w:p w14:paraId="23DF32FC" w14:textId="77777777"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 xml:space="preserve">Après la dégradation de l’habitat, le braconnage est probablement la deuxième forme de pression la plus importante, qui pèse sur la faune notamment les mammifères et oiseaux, au Burkina Faso. Certaines espèces d’oiseaux sont fortement utilisées dans la médecine traditionnelle et dans certaines pratiques dites « occultes » ce qui entraine une très forte pression sur ces espèces, caractérisée par le braconnage des œufs et des nouveaux nés et la destruction des nids (DABONE et al., 2019). </w:t>
      </w:r>
    </w:p>
    <w:p w14:paraId="3E9082AC" w14:textId="51EB1F33"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L’ampleur du braconnage au plan national reste méconnue. Pour certaines Aire Protégées comme la FCRGN et la FCRPFCL, l’évaluation de 10 années d’inventaires, réalisés dans le cadre du PAPSA par HEMA (2018a ; 2018b) montre une situation relativement sous contrôle (même si le nombre d’incidents reste relativement important), avec toutefois une hausse constatée à partir de 2017 (Figure</w:t>
      </w:r>
      <w:r w:rsidR="0054556C" w:rsidRPr="007C5A6E">
        <w:rPr>
          <w:rFonts w:ascii="Times New Roman" w:hAnsi="Times New Roman"/>
          <w:sz w:val="24"/>
          <w:szCs w:val="24"/>
        </w:rPr>
        <w:t>s</w:t>
      </w:r>
      <w:r w:rsidRPr="007C5A6E">
        <w:rPr>
          <w:rFonts w:ascii="Times New Roman" w:hAnsi="Times New Roman"/>
          <w:sz w:val="24"/>
          <w:szCs w:val="24"/>
        </w:rPr>
        <w:t xml:space="preserve"> </w:t>
      </w:r>
      <w:r w:rsidR="00ED5192" w:rsidRPr="007C5A6E">
        <w:rPr>
          <w:rFonts w:ascii="Times New Roman" w:hAnsi="Times New Roman"/>
          <w:sz w:val="24"/>
          <w:szCs w:val="24"/>
        </w:rPr>
        <w:t>62</w:t>
      </w:r>
      <w:r w:rsidRPr="007C5A6E">
        <w:rPr>
          <w:rFonts w:ascii="Times New Roman" w:hAnsi="Times New Roman"/>
          <w:sz w:val="24"/>
          <w:szCs w:val="24"/>
        </w:rPr>
        <w:t xml:space="preserve"> ; </w:t>
      </w:r>
      <w:r w:rsidR="00ED5192" w:rsidRPr="007C5A6E">
        <w:rPr>
          <w:rFonts w:ascii="Times New Roman" w:hAnsi="Times New Roman"/>
          <w:sz w:val="24"/>
          <w:szCs w:val="24"/>
        </w:rPr>
        <w:t>6</w:t>
      </w:r>
      <w:r w:rsidR="00BB0BA4" w:rsidRPr="007C5A6E">
        <w:rPr>
          <w:rFonts w:ascii="Times New Roman" w:hAnsi="Times New Roman"/>
          <w:sz w:val="24"/>
          <w:szCs w:val="24"/>
        </w:rPr>
        <w:t>3</w:t>
      </w:r>
      <w:r w:rsidRPr="007C5A6E">
        <w:rPr>
          <w:rFonts w:ascii="Times New Roman" w:hAnsi="Times New Roman"/>
          <w:sz w:val="24"/>
          <w:szCs w:val="24"/>
        </w:rPr>
        <w:t>). Cette fluctuation est visiblement caractéristique du niveau des efforts déployés dans le cadre de la gestion de ces Aires Protégées, qui a toutefois connue un relâchement à partir de 2018 en rapport à la fin du projet et le contexte sécuritaire national.</w:t>
      </w:r>
    </w:p>
    <w:p w14:paraId="03179F65" w14:textId="77777777" w:rsidR="00CB4C35" w:rsidRPr="007C5A6E" w:rsidRDefault="00CB4C35" w:rsidP="00CB4C35">
      <w:pPr>
        <w:spacing w:after="0" w:line="240" w:lineRule="auto"/>
        <w:jc w:val="both"/>
        <w:rPr>
          <w:rFonts w:ascii="Times New Roman" w:hAnsi="Times New Roman"/>
          <w:sz w:val="24"/>
          <w:szCs w:val="24"/>
        </w:rPr>
      </w:pPr>
    </w:p>
    <w:p w14:paraId="3C4A99C4" w14:textId="77777777"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339C3194" wp14:editId="56886676">
            <wp:extent cx="5505450" cy="2800350"/>
            <wp:effectExtent l="0" t="0" r="0" b="0"/>
            <wp:docPr id="1724897829"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05450" cy="2800350"/>
                    </a:xfrm>
                    <a:prstGeom prst="rect">
                      <a:avLst/>
                    </a:prstGeom>
                    <a:noFill/>
                    <a:ln>
                      <a:noFill/>
                    </a:ln>
                  </pic:spPr>
                </pic:pic>
              </a:graphicData>
            </a:graphic>
          </wp:inline>
        </w:drawing>
      </w:r>
    </w:p>
    <w:p w14:paraId="14F9D743" w14:textId="36E9AE6B" w:rsidR="00CB4C35" w:rsidRPr="007C5A6E" w:rsidRDefault="00ED5192" w:rsidP="00ED5192">
      <w:pPr>
        <w:pStyle w:val="Lgende"/>
        <w:spacing w:after="0"/>
        <w:rPr>
          <w:rFonts w:ascii="Times New Roman" w:hAnsi="Times New Roman"/>
          <w:color w:val="auto"/>
          <w:sz w:val="24"/>
          <w:szCs w:val="24"/>
        </w:rPr>
      </w:pPr>
      <w:bookmarkStart w:id="1018" w:name="_Toc535228279"/>
      <w:bookmarkStart w:id="1019" w:name="_Toc176507976"/>
      <w:bookmarkStart w:id="1020" w:name="_Toc182575477"/>
      <w:bookmarkStart w:id="1021" w:name="_Toc183230909"/>
      <w:bookmarkStart w:id="1022" w:name="_Toc183240702"/>
      <w:bookmarkStart w:id="1023" w:name="_Toc183340441"/>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62</w:t>
      </w:r>
      <w:r w:rsidRPr="007C5A6E">
        <w:rPr>
          <w:rFonts w:ascii="Times New Roman" w:hAnsi="Times New Roman"/>
          <w:color w:val="auto"/>
          <w:sz w:val="24"/>
          <w:szCs w:val="24"/>
        </w:rPr>
        <w:fldChar w:fldCharType="end"/>
      </w:r>
      <w:r w:rsidR="000A2C06" w:rsidRPr="007C5A6E">
        <w:rPr>
          <w:rFonts w:ascii="Times New Roman" w:hAnsi="Times New Roman"/>
          <w:color w:val="auto"/>
          <w:sz w:val="24"/>
          <w:szCs w:val="24"/>
        </w:rPr>
        <w:t>.</w:t>
      </w:r>
      <w:r w:rsidR="00CB4C35" w:rsidRPr="007C5A6E">
        <w:rPr>
          <w:rFonts w:ascii="Times New Roman" w:hAnsi="Times New Roman"/>
          <w:color w:val="auto"/>
          <w:sz w:val="24"/>
          <w:szCs w:val="24"/>
        </w:rPr>
        <w:t xml:space="preserve"> Evolution du nombre d’indices de braconnage</w:t>
      </w:r>
      <w:bookmarkEnd w:id="1018"/>
      <w:r w:rsidR="00CB4C35" w:rsidRPr="007C5A6E">
        <w:rPr>
          <w:rFonts w:ascii="Times New Roman" w:hAnsi="Times New Roman"/>
          <w:color w:val="auto"/>
          <w:sz w:val="24"/>
          <w:szCs w:val="24"/>
        </w:rPr>
        <w:t xml:space="preserve"> dans FCRPFCL entre 2010 et 2018</w:t>
      </w:r>
      <w:bookmarkEnd w:id="1019"/>
      <w:bookmarkEnd w:id="1020"/>
      <w:bookmarkEnd w:id="1021"/>
      <w:bookmarkEnd w:id="1022"/>
      <w:bookmarkEnd w:id="1023"/>
    </w:p>
    <w:p w14:paraId="4FC3F4C3" w14:textId="77777777"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0DFF1843" wp14:editId="7FAF70DE">
            <wp:extent cx="5648325" cy="2624818"/>
            <wp:effectExtent l="0" t="0" r="0" b="4445"/>
            <wp:docPr id="294807230"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662402" cy="2631360"/>
                    </a:xfrm>
                    <a:prstGeom prst="rect">
                      <a:avLst/>
                    </a:prstGeom>
                    <a:noFill/>
                    <a:ln>
                      <a:noFill/>
                    </a:ln>
                  </pic:spPr>
                </pic:pic>
              </a:graphicData>
            </a:graphic>
          </wp:inline>
        </w:drawing>
      </w:r>
    </w:p>
    <w:p w14:paraId="2B91CB5C" w14:textId="6805C595" w:rsidR="00CB4C35" w:rsidRPr="007C5A6E" w:rsidRDefault="00ED5192" w:rsidP="00ED5192">
      <w:pPr>
        <w:pStyle w:val="Lgende"/>
        <w:spacing w:after="0"/>
        <w:rPr>
          <w:rFonts w:ascii="Times New Roman" w:hAnsi="Times New Roman"/>
          <w:color w:val="auto"/>
          <w:sz w:val="24"/>
          <w:szCs w:val="24"/>
        </w:rPr>
      </w:pPr>
      <w:bookmarkStart w:id="1024" w:name="_Toc176507977"/>
      <w:bookmarkStart w:id="1025" w:name="_Toc182575478"/>
      <w:bookmarkStart w:id="1026" w:name="_Toc183230910"/>
      <w:bookmarkStart w:id="1027" w:name="_Toc183240703"/>
      <w:bookmarkStart w:id="1028" w:name="_Toc183340442"/>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63</w:t>
      </w:r>
      <w:r w:rsidRPr="007C5A6E">
        <w:rPr>
          <w:rFonts w:ascii="Times New Roman" w:hAnsi="Times New Roman"/>
          <w:color w:val="auto"/>
          <w:sz w:val="24"/>
          <w:szCs w:val="24"/>
        </w:rPr>
        <w:fldChar w:fldCharType="end"/>
      </w:r>
      <w:r w:rsidR="00CA49C5" w:rsidRPr="007C5A6E">
        <w:rPr>
          <w:rFonts w:ascii="Times New Roman" w:hAnsi="Times New Roman"/>
          <w:color w:val="auto"/>
          <w:sz w:val="24"/>
          <w:szCs w:val="24"/>
        </w:rPr>
        <w:t xml:space="preserve">. </w:t>
      </w:r>
      <w:r w:rsidR="00CB4C35" w:rsidRPr="007C5A6E">
        <w:rPr>
          <w:rFonts w:ascii="Times New Roman" w:hAnsi="Times New Roman"/>
          <w:color w:val="auto"/>
          <w:sz w:val="24"/>
          <w:szCs w:val="24"/>
        </w:rPr>
        <w:t>Evolution du nombre d’indices de braconnage dans FCRGN entre 2010 et 2017</w:t>
      </w:r>
      <w:bookmarkEnd w:id="1024"/>
      <w:bookmarkEnd w:id="1025"/>
      <w:bookmarkEnd w:id="1026"/>
      <w:bookmarkEnd w:id="1027"/>
      <w:bookmarkEnd w:id="1028"/>
    </w:p>
    <w:p w14:paraId="13335F31" w14:textId="77777777" w:rsidR="00CB4C35" w:rsidRPr="007C5A6E" w:rsidRDefault="00CB4C35" w:rsidP="009F25CF">
      <w:pPr>
        <w:spacing w:after="0" w:line="240" w:lineRule="auto"/>
        <w:jc w:val="both"/>
        <w:rPr>
          <w:rFonts w:ascii="Times New Roman" w:hAnsi="Times New Roman"/>
          <w:sz w:val="24"/>
          <w:szCs w:val="24"/>
        </w:rPr>
      </w:pPr>
    </w:p>
    <w:p w14:paraId="34D79B51" w14:textId="77777777" w:rsidR="00CB4C35" w:rsidRPr="007C5A6E" w:rsidRDefault="00CB4C35" w:rsidP="009F25CF">
      <w:pPr>
        <w:spacing w:after="0" w:line="240" w:lineRule="auto"/>
        <w:jc w:val="both"/>
        <w:rPr>
          <w:rFonts w:ascii="Times New Roman" w:hAnsi="Times New Roman"/>
          <w:sz w:val="24"/>
          <w:szCs w:val="24"/>
        </w:rPr>
      </w:pPr>
      <w:r w:rsidRPr="007C5A6E">
        <w:rPr>
          <w:rFonts w:ascii="Times New Roman" w:hAnsi="Times New Roman"/>
          <w:sz w:val="24"/>
          <w:szCs w:val="24"/>
        </w:rPr>
        <w:t xml:space="preserve">Selon les rapports des campagnes d’exploitation faunique de la DFRC (DFRC, 2018), le pays a enregistré 32 éléphants braconnés et 14 braconniers appréhendés avec 2 ivoires d’éléphants entre 2016 et 2017 contre un total de 40 braconniers enregistrés pour la campagne 2017-2018. En plus il convient de relever que lors des inventaires généraux des zones fauniques de la région de l’Est en 2018, un total de 50 carcasses d’éléphants (nouvelles et anciennes confondues) a été compté.  </w:t>
      </w:r>
    </w:p>
    <w:p w14:paraId="0E263DCD" w14:textId="77777777" w:rsidR="009F25CF" w:rsidRPr="007C5A6E" w:rsidRDefault="009F25CF" w:rsidP="009F25CF">
      <w:pPr>
        <w:spacing w:after="0" w:line="240" w:lineRule="auto"/>
        <w:jc w:val="both"/>
        <w:rPr>
          <w:rFonts w:ascii="Times New Roman" w:hAnsi="Times New Roman"/>
          <w:sz w:val="24"/>
          <w:szCs w:val="24"/>
        </w:rPr>
      </w:pPr>
    </w:p>
    <w:p w14:paraId="74F2A698" w14:textId="3E2E37FA" w:rsidR="00CB4C35" w:rsidRPr="007C5A6E" w:rsidRDefault="00CB4C35" w:rsidP="009F25CF">
      <w:pPr>
        <w:spacing w:after="0" w:line="240" w:lineRule="auto"/>
        <w:jc w:val="both"/>
        <w:rPr>
          <w:rFonts w:ascii="Times New Roman" w:hAnsi="Times New Roman"/>
          <w:sz w:val="24"/>
          <w:szCs w:val="24"/>
        </w:rPr>
      </w:pPr>
      <w:r w:rsidRPr="007C5A6E">
        <w:rPr>
          <w:rFonts w:ascii="Times New Roman" w:hAnsi="Times New Roman"/>
          <w:sz w:val="24"/>
          <w:szCs w:val="24"/>
        </w:rPr>
        <w:t>Tout comme à la FCRPFCL et à la FCRGN, ces résultats semblent soutenir une hausse de la pression de braconnage sur la faune au cours des dernières années caractérisée par l’insuffisance ou l’absence de gestion des AP, du fait du contexte sécuritaire national.</w:t>
      </w:r>
    </w:p>
    <w:p w14:paraId="35AEC0B5" w14:textId="77777777" w:rsidR="00F34CA1" w:rsidRPr="007C5A6E" w:rsidRDefault="00F34CA1" w:rsidP="009F25CF">
      <w:pPr>
        <w:spacing w:after="0" w:line="240" w:lineRule="auto"/>
        <w:jc w:val="both"/>
        <w:rPr>
          <w:rFonts w:ascii="Times New Roman" w:hAnsi="Times New Roman"/>
          <w:sz w:val="24"/>
          <w:szCs w:val="24"/>
        </w:rPr>
      </w:pPr>
    </w:p>
    <w:p w14:paraId="14406A05" w14:textId="77777777" w:rsidR="00CB4C35" w:rsidRPr="007C5A6E" w:rsidRDefault="00CB4C35" w:rsidP="00684FF8">
      <w:pPr>
        <w:pStyle w:val="Titre4"/>
      </w:pPr>
      <w:bookmarkStart w:id="1029" w:name="_Toc182575439"/>
      <w:bookmarkStart w:id="1030" w:name="_Toc183340219"/>
      <w:bookmarkStart w:id="1031" w:name="_Hlk182407295"/>
      <w:r w:rsidRPr="007C5A6E">
        <w:t>Les pollutions</w:t>
      </w:r>
      <w:bookmarkEnd w:id="1029"/>
      <w:bookmarkEnd w:id="1030"/>
    </w:p>
    <w:bookmarkEnd w:id="1031"/>
    <w:p w14:paraId="06300A33" w14:textId="77777777" w:rsidR="00CB4C35" w:rsidRPr="007C5A6E" w:rsidRDefault="00CB4C35" w:rsidP="00CB4C35">
      <w:pPr>
        <w:spacing w:after="0" w:line="240" w:lineRule="auto"/>
        <w:jc w:val="both"/>
        <w:rPr>
          <w:rFonts w:ascii="Times New Roman" w:hAnsi="Times New Roman"/>
          <w:sz w:val="24"/>
          <w:szCs w:val="24"/>
        </w:rPr>
      </w:pPr>
    </w:p>
    <w:p w14:paraId="7C040BD5" w14:textId="5FB02D9E"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 xml:space="preserve">Pendant la période 1995-2017 (figure </w:t>
      </w:r>
      <w:r w:rsidR="00ED5192" w:rsidRPr="007C5A6E">
        <w:rPr>
          <w:rFonts w:ascii="Times New Roman" w:hAnsi="Times New Roman"/>
          <w:sz w:val="24"/>
          <w:szCs w:val="24"/>
        </w:rPr>
        <w:t>64</w:t>
      </w:r>
      <w:r w:rsidRPr="007C5A6E">
        <w:rPr>
          <w:rFonts w:ascii="Times New Roman" w:hAnsi="Times New Roman"/>
          <w:sz w:val="24"/>
          <w:szCs w:val="24"/>
        </w:rPr>
        <w:t>), le Burkina Faso a émis en moyenne, y compris à partir de feux de brousse, 10,21 millions de tonnes d’équivalent CO2 par an, réparties comme suit : 6,65 millions de tonnes d’équivalent CO2 par an pour les émissions forestières nettes, soit 65 % du total des émissions ; 3,56 millions de tonnes d’équivalent CO2 par an pour les feux de brousse, soit 35 % du total (MEEVCC, 2020b).</w:t>
      </w:r>
    </w:p>
    <w:p w14:paraId="4246EB41" w14:textId="77777777" w:rsidR="00CB4C35" w:rsidRPr="007C5A6E" w:rsidRDefault="00CB4C35" w:rsidP="00CB4C35">
      <w:pPr>
        <w:spacing w:after="0" w:line="240" w:lineRule="auto"/>
        <w:jc w:val="both"/>
        <w:rPr>
          <w:rFonts w:ascii="Times New Roman" w:hAnsi="Times New Roman"/>
          <w:sz w:val="24"/>
          <w:szCs w:val="24"/>
        </w:rPr>
      </w:pPr>
    </w:p>
    <w:p w14:paraId="35BC06A3" w14:textId="77777777"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 xml:space="preserve">Au niveau des populations rurales, la pollution est constatée à partir des activités agricoles avec l’utilisation des produits chimique (notamment la culture du coton) et des activités d’exploitation minière artisanale avec l’utilisation sans précaution de produits chimiques dangereux tels le cyanure. Le plus souvent ces activités se mènent dans des zones à l’intérieur ou dans les périphéries des aires de conservation fauniques (Forêt Classée de </w:t>
      </w:r>
      <w:proofErr w:type="spellStart"/>
      <w:r w:rsidRPr="007C5A6E">
        <w:rPr>
          <w:rFonts w:ascii="Times New Roman" w:hAnsi="Times New Roman"/>
          <w:sz w:val="24"/>
          <w:szCs w:val="24"/>
        </w:rPr>
        <w:t>Koulbi</w:t>
      </w:r>
      <w:proofErr w:type="spellEnd"/>
      <w:r w:rsidRPr="007C5A6E">
        <w:rPr>
          <w:rFonts w:ascii="Times New Roman" w:hAnsi="Times New Roman"/>
          <w:sz w:val="24"/>
          <w:szCs w:val="24"/>
        </w:rPr>
        <w:t xml:space="preserve">, Forêt Classée et réserve partielle de Faune de </w:t>
      </w:r>
      <w:proofErr w:type="spellStart"/>
      <w:r w:rsidRPr="007C5A6E">
        <w:rPr>
          <w:rFonts w:ascii="Times New Roman" w:hAnsi="Times New Roman"/>
          <w:sz w:val="24"/>
          <w:szCs w:val="24"/>
        </w:rPr>
        <w:t>Bontioli</w:t>
      </w:r>
      <w:proofErr w:type="spellEnd"/>
      <w:r w:rsidRPr="007C5A6E">
        <w:rPr>
          <w:rFonts w:ascii="Times New Roman" w:hAnsi="Times New Roman"/>
          <w:sz w:val="24"/>
          <w:szCs w:val="24"/>
        </w:rPr>
        <w:t xml:space="preserve">, Forêt Classée de </w:t>
      </w:r>
      <w:proofErr w:type="spellStart"/>
      <w:r w:rsidRPr="007C5A6E">
        <w:rPr>
          <w:rFonts w:ascii="Times New Roman" w:hAnsi="Times New Roman"/>
          <w:sz w:val="24"/>
          <w:szCs w:val="24"/>
        </w:rPr>
        <w:t>Kalyo</w:t>
      </w:r>
      <w:proofErr w:type="spellEnd"/>
      <w:r w:rsidRPr="007C5A6E">
        <w:rPr>
          <w:rFonts w:ascii="Times New Roman" w:hAnsi="Times New Roman"/>
          <w:sz w:val="24"/>
          <w:szCs w:val="24"/>
        </w:rPr>
        <w:t>, etc</w:t>
      </w:r>
      <w:bookmarkStart w:id="1032" w:name="_Hlk182407261"/>
      <w:r w:rsidRPr="007C5A6E">
        <w:rPr>
          <w:rFonts w:ascii="Times New Roman" w:hAnsi="Times New Roman"/>
          <w:sz w:val="24"/>
          <w:szCs w:val="24"/>
        </w:rPr>
        <w:t xml:space="preserve">.). Les impacts résiduels des produits chimiques, drainés dans les cours d’eau et plans d’eau par les pluies entraînent la mort des espèces (notamment les poissons et autres animaux aquatiques). C’est le cas en 2023 avec le constat d’une forte mortalité de poisson dans le fleuve Mouhoun dont les enquêtes ont conclu à une pollution chimique (MARAH, 2022 ; HARO, 2023).  </w:t>
      </w:r>
    </w:p>
    <w:p w14:paraId="095775E2" w14:textId="77777777" w:rsidR="00CB4C35" w:rsidRPr="007C5A6E" w:rsidRDefault="00CB4C35" w:rsidP="00CB4C35">
      <w:pPr>
        <w:spacing w:after="0" w:line="240" w:lineRule="auto"/>
        <w:jc w:val="both"/>
        <w:rPr>
          <w:rFonts w:ascii="Times New Roman" w:hAnsi="Times New Roman"/>
          <w:sz w:val="24"/>
          <w:szCs w:val="24"/>
        </w:rPr>
      </w:pPr>
    </w:p>
    <w:p w14:paraId="7B520A55" w14:textId="77777777"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 xml:space="preserve">Sur la période 2012-2021, les herbicides apparaissent </w:t>
      </w:r>
      <w:proofErr w:type="gramStart"/>
      <w:r w:rsidRPr="007C5A6E">
        <w:rPr>
          <w:rFonts w:ascii="Times New Roman" w:hAnsi="Times New Roman"/>
          <w:sz w:val="24"/>
          <w:szCs w:val="24"/>
        </w:rPr>
        <w:t>être</w:t>
      </w:r>
      <w:proofErr w:type="gramEnd"/>
      <w:r w:rsidRPr="007C5A6E">
        <w:rPr>
          <w:rFonts w:ascii="Times New Roman" w:hAnsi="Times New Roman"/>
          <w:sz w:val="24"/>
          <w:szCs w:val="24"/>
        </w:rPr>
        <w:t xml:space="preserve"> les produits les plus utilisés sur les terres afin de lutter contre les herbes nuisibles aux cultures. En effet, de tous les produits phytosanitaires utilisés sur les parcelles agricoles, les herbicides se retrouvent sur plus de 40% des superficies contre moins de 30% pour les autres produits. L’on retrouve ensuite respectivement les pesticides (entre 16% et 25% des terres) pour lutter contre les bestioles, les fongicides (entre 11% et 28% des terres) pour lutter contre les champignons et les rodenticides (entre 3% et 12% des terres) pour la lutte contre les rongeurs. En 2021, le taux de traitement des fléaux est resté stable par rapport à 2020 à autour de 65% pour les herbicides, 19% pour les pesticides et fongicides et 6% pour les rodenticides (MARAH, 2022). </w:t>
      </w:r>
    </w:p>
    <w:bookmarkEnd w:id="1032"/>
    <w:p w14:paraId="156357AB" w14:textId="77777777" w:rsidR="00CB4C35" w:rsidRPr="007C5A6E" w:rsidRDefault="00CB4C35" w:rsidP="00CB4C35">
      <w:pPr>
        <w:spacing w:after="0" w:line="240" w:lineRule="auto"/>
        <w:jc w:val="both"/>
        <w:rPr>
          <w:rFonts w:ascii="Times New Roman" w:hAnsi="Times New Roman"/>
          <w:sz w:val="24"/>
          <w:szCs w:val="24"/>
        </w:rPr>
      </w:pPr>
    </w:p>
    <w:p w14:paraId="1F26E71B" w14:textId="77777777"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Au plan des régions, l’on note que les herbicides sont les plus utilisés dans les Cascades et les Hauts-bassins avec respectivement 95% et 92% des terres traitées par ces produits. Les régions où les produits phytosanitaires sont le moins utilisés en 2021 demeurent le Sahel avec seulement 1% des terres traitées aux herbicides, le Centre-nord (18%), le Centre (31%), le Nord (35%) et le Plateau central avec 45% (</w:t>
      </w:r>
      <w:bookmarkStart w:id="1033" w:name="_Hlk182483010"/>
      <w:r w:rsidRPr="007C5A6E">
        <w:rPr>
          <w:rFonts w:ascii="Times New Roman" w:hAnsi="Times New Roman"/>
          <w:sz w:val="24"/>
          <w:szCs w:val="24"/>
        </w:rPr>
        <w:t>MARAH, 2022</w:t>
      </w:r>
      <w:bookmarkEnd w:id="1033"/>
      <w:r w:rsidRPr="007C5A6E">
        <w:rPr>
          <w:rFonts w:ascii="Times New Roman" w:hAnsi="Times New Roman"/>
          <w:sz w:val="24"/>
          <w:szCs w:val="24"/>
        </w:rPr>
        <w:t>).</w:t>
      </w:r>
    </w:p>
    <w:p w14:paraId="327CC230" w14:textId="77777777" w:rsidR="00CB4C35" w:rsidRPr="007C5A6E" w:rsidRDefault="00CB4C35" w:rsidP="00CB4C35">
      <w:pPr>
        <w:spacing w:after="0" w:line="240" w:lineRule="auto"/>
        <w:jc w:val="both"/>
        <w:rPr>
          <w:rFonts w:ascii="Times New Roman" w:hAnsi="Times New Roman"/>
          <w:sz w:val="24"/>
          <w:szCs w:val="24"/>
        </w:rPr>
      </w:pPr>
    </w:p>
    <w:p w14:paraId="77327AEF" w14:textId="77777777" w:rsidR="00CB4C35" w:rsidRPr="007C5A6E" w:rsidRDefault="00CB4C35" w:rsidP="00CB4C35">
      <w:pPr>
        <w:spacing w:after="0" w:line="240" w:lineRule="auto"/>
        <w:jc w:val="both"/>
        <w:rPr>
          <w:rFonts w:ascii="Times New Roman" w:hAnsi="Times New Roman"/>
          <w:bCs/>
          <w:sz w:val="24"/>
          <w:szCs w:val="24"/>
          <w:lang w:eastAsia="ja-JP"/>
        </w:rPr>
      </w:pPr>
      <w:r w:rsidRPr="007C5A6E">
        <w:rPr>
          <w:rFonts w:ascii="Times New Roman" w:hAnsi="Times New Roman"/>
          <w:bCs/>
          <w:sz w:val="24"/>
          <w:szCs w:val="24"/>
          <w:lang w:eastAsia="ja-JP"/>
        </w:rPr>
        <w:t xml:space="preserve">De façon globale, les émissions nationales de GES projetées font état d’une tendance à la hausse entre 2015 et 2025. En effet, les émissions vont passer de 66 035,51 </w:t>
      </w:r>
      <w:proofErr w:type="spellStart"/>
      <w:r w:rsidRPr="007C5A6E">
        <w:rPr>
          <w:rFonts w:ascii="Times New Roman" w:hAnsi="Times New Roman"/>
          <w:bCs/>
          <w:sz w:val="24"/>
          <w:szCs w:val="24"/>
          <w:lang w:eastAsia="ja-JP"/>
        </w:rPr>
        <w:t>Gg</w:t>
      </w:r>
      <w:proofErr w:type="spellEnd"/>
      <w:r w:rsidRPr="007C5A6E">
        <w:rPr>
          <w:rFonts w:ascii="Times New Roman" w:hAnsi="Times New Roman"/>
          <w:bCs/>
          <w:sz w:val="24"/>
          <w:szCs w:val="24"/>
          <w:lang w:eastAsia="ja-JP"/>
        </w:rPr>
        <w:t xml:space="preserve"> CO2eq en 2015 à 92 511,38 </w:t>
      </w:r>
      <w:proofErr w:type="spellStart"/>
      <w:r w:rsidRPr="007C5A6E">
        <w:rPr>
          <w:rFonts w:ascii="Times New Roman" w:hAnsi="Times New Roman"/>
          <w:bCs/>
          <w:sz w:val="24"/>
          <w:szCs w:val="24"/>
          <w:lang w:eastAsia="ja-JP"/>
        </w:rPr>
        <w:t>Gg</w:t>
      </w:r>
      <w:proofErr w:type="spellEnd"/>
      <w:r w:rsidRPr="007C5A6E">
        <w:rPr>
          <w:rFonts w:ascii="Times New Roman" w:hAnsi="Times New Roman"/>
          <w:bCs/>
          <w:sz w:val="24"/>
          <w:szCs w:val="24"/>
          <w:lang w:eastAsia="ja-JP"/>
        </w:rPr>
        <w:t xml:space="preserve"> CO2eq en 2025 avec un taux annuel de 3 % (</w:t>
      </w:r>
      <w:r w:rsidRPr="007C5A6E">
        <w:rPr>
          <w:rFonts w:ascii="Times New Roman" w:hAnsi="Times New Roman"/>
          <w:sz w:val="24"/>
          <w:szCs w:val="24"/>
        </w:rPr>
        <w:t>Burkina Faso, 2021</w:t>
      </w:r>
      <w:r w:rsidRPr="007C5A6E">
        <w:rPr>
          <w:rFonts w:ascii="Times New Roman" w:hAnsi="Times New Roman"/>
          <w:bCs/>
          <w:sz w:val="24"/>
          <w:szCs w:val="24"/>
          <w:lang w:eastAsia="ja-JP"/>
        </w:rPr>
        <w:t xml:space="preserve">). </w:t>
      </w:r>
    </w:p>
    <w:p w14:paraId="66A3184F" w14:textId="77777777" w:rsidR="00CB4C35" w:rsidRPr="007C5A6E" w:rsidRDefault="00CB4C35" w:rsidP="00CB4C35">
      <w:pPr>
        <w:spacing w:after="0" w:line="240" w:lineRule="auto"/>
        <w:jc w:val="both"/>
        <w:rPr>
          <w:rFonts w:ascii="Times New Roman" w:hAnsi="Times New Roman"/>
          <w:bCs/>
          <w:sz w:val="24"/>
          <w:szCs w:val="24"/>
          <w:lang w:eastAsia="ja-JP"/>
        </w:rPr>
      </w:pPr>
    </w:p>
    <w:p w14:paraId="19E887B6" w14:textId="77777777" w:rsidR="00CB4C35" w:rsidRPr="007C5A6E" w:rsidRDefault="00CB4C35" w:rsidP="00CB4C35">
      <w:pPr>
        <w:spacing w:after="0" w:line="240" w:lineRule="auto"/>
        <w:jc w:val="both"/>
        <w:rPr>
          <w:rFonts w:ascii="Times New Roman" w:hAnsi="Times New Roman"/>
          <w:bCs/>
          <w:sz w:val="24"/>
          <w:szCs w:val="24"/>
          <w:lang w:eastAsia="ja-JP"/>
        </w:rPr>
      </w:pPr>
      <w:r w:rsidRPr="007C5A6E">
        <w:rPr>
          <w:noProof/>
        </w:rPr>
        <w:drawing>
          <wp:inline distT="0" distB="0" distL="0" distR="0" wp14:anchorId="0BB56DA7" wp14:editId="4A3C66A0">
            <wp:extent cx="4714875" cy="1996440"/>
            <wp:effectExtent l="0" t="0" r="0" b="0"/>
            <wp:docPr id="1764410531"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768028" cy="2018947"/>
                    </a:xfrm>
                    <a:prstGeom prst="rect">
                      <a:avLst/>
                    </a:prstGeom>
                    <a:noFill/>
                    <a:ln>
                      <a:noFill/>
                    </a:ln>
                  </pic:spPr>
                </pic:pic>
              </a:graphicData>
            </a:graphic>
          </wp:inline>
        </w:drawing>
      </w:r>
    </w:p>
    <w:p w14:paraId="12FEE2AC" w14:textId="77777777" w:rsidR="00ED5192" w:rsidRPr="007C5A6E" w:rsidRDefault="00ED5192" w:rsidP="00ED5192">
      <w:pPr>
        <w:spacing w:after="0" w:line="240" w:lineRule="auto"/>
        <w:rPr>
          <w:rFonts w:ascii="Times New Roman" w:hAnsi="Times New Roman"/>
          <w:sz w:val="20"/>
          <w:szCs w:val="20"/>
        </w:rPr>
      </w:pPr>
      <w:bookmarkStart w:id="1034" w:name="_Toc182575479"/>
      <w:r w:rsidRPr="007C5A6E">
        <w:rPr>
          <w:rFonts w:ascii="Times New Roman" w:hAnsi="Times New Roman"/>
          <w:sz w:val="20"/>
          <w:szCs w:val="20"/>
        </w:rPr>
        <w:t>(Source : Burkina Faso, 2021)</w:t>
      </w:r>
    </w:p>
    <w:p w14:paraId="08AB1202" w14:textId="5F7E3AD0" w:rsidR="00CB4C35" w:rsidRPr="007C5A6E" w:rsidRDefault="00ED5192" w:rsidP="00ED5192">
      <w:pPr>
        <w:pStyle w:val="Lgende"/>
        <w:spacing w:after="0"/>
        <w:rPr>
          <w:rFonts w:ascii="Times New Roman" w:hAnsi="Times New Roman"/>
          <w:color w:val="auto"/>
          <w:sz w:val="24"/>
          <w:szCs w:val="24"/>
        </w:rPr>
      </w:pPr>
      <w:bookmarkStart w:id="1035" w:name="_Toc183230911"/>
      <w:bookmarkStart w:id="1036" w:name="_Toc183240704"/>
      <w:bookmarkStart w:id="1037" w:name="_Toc183340443"/>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64</w:t>
      </w:r>
      <w:r w:rsidRPr="007C5A6E">
        <w:rPr>
          <w:rFonts w:ascii="Times New Roman" w:hAnsi="Times New Roman"/>
          <w:color w:val="auto"/>
          <w:sz w:val="24"/>
          <w:szCs w:val="24"/>
        </w:rPr>
        <w:fldChar w:fldCharType="end"/>
      </w:r>
      <w:r w:rsidR="00CA49C5" w:rsidRPr="007C5A6E">
        <w:rPr>
          <w:rFonts w:ascii="Times New Roman" w:hAnsi="Times New Roman"/>
          <w:color w:val="auto"/>
          <w:sz w:val="24"/>
          <w:szCs w:val="24"/>
        </w:rPr>
        <w:t>.</w:t>
      </w:r>
      <w:r w:rsidR="00CB4C35" w:rsidRPr="007C5A6E">
        <w:rPr>
          <w:rFonts w:ascii="Times New Roman" w:hAnsi="Times New Roman"/>
          <w:color w:val="auto"/>
          <w:sz w:val="24"/>
          <w:szCs w:val="24"/>
        </w:rPr>
        <w:t xml:space="preserve"> Évolution des émissions nationales de GES en </w:t>
      </w:r>
      <w:proofErr w:type="spellStart"/>
      <w:r w:rsidR="00CB4C35" w:rsidRPr="007C5A6E">
        <w:rPr>
          <w:rFonts w:ascii="Times New Roman" w:hAnsi="Times New Roman"/>
          <w:color w:val="auto"/>
          <w:sz w:val="24"/>
          <w:szCs w:val="24"/>
        </w:rPr>
        <w:t>Gg</w:t>
      </w:r>
      <w:proofErr w:type="spellEnd"/>
      <w:r w:rsidR="00CB4C35" w:rsidRPr="007C5A6E">
        <w:rPr>
          <w:rFonts w:ascii="Times New Roman" w:hAnsi="Times New Roman"/>
          <w:color w:val="auto"/>
          <w:sz w:val="24"/>
          <w:szCs w:val="24"/>
        </w:rPr>
        <w:t xml:space="preserve"> équivalent CO2 de 1995 à 2017</w:t>
      </w:r>
      <w:bookmarkEnd w:id="1034"/>
      <w:bookmarkEnd w:id="1035"/>
      <w:bookmarkEnd w:id="1036"/>
      <w:bookmarkEnd w:id="1037"/>
    </w:p>
    <w:p w14:paraId="67236AA5" w14:textId="77777777" w:rsidR="00CB4C35" w:rsidRPr="007C5A6E" w:rsidRDefault="00CB4C35" w:rsidP="00CB4C35">
      <w:pPr>
        <w:spacing w:after="0" w:line="240" w:lineRule="auto"/>
        <w:jc w:val="both"/>
        <w:rPr>
          <w:rFonts w:ascii="Times New Roman" w:hAnsi="Times New Roman"/>
          <w:sz w:val="24"/>
          <w:szCs w:val="24"/>
        </w:rPr>
      </w:pPr>
    </w:p>
    <w:p w14:paraId="54BF26DD" w14:textId="77777777" w:rsidR="00CB4C35" w:rsidRPr="007C5A6E" w:rsidRDefault="00CB4C35" w:rsidP="00684FF8">
      <w:pPr>
        <w:pStyle w:val="Titre4"/>
      </w:pPr>
      <w:bookmarkStart w:id="1038" w:name="_Toc182575440"/>
      <w:bookmarkStart w:id="1039" w:name="_Toc183340220"/>
      <w:r w:rsidRPr="007C5A6E">
        <w:t>Les conflits Hommes-Faune</w:t>
      </w:r>
      <w:bookmarkEnd w:id="1038"/>
      <w:bookmarkEnd w:id="1039"/>
    </w:p>
    <w:p w14:paraId="4442CDD8" w14:textId="77777777" w:rsidR="00CB4C35" w:rsidRPr="007C5A6E" w:rsidRDefault="00CB4C35" w:rsidP="00CB4C35">
      <w:pPr>
        <w:spacing w:after="0" w:line="240" w:lineRule="auto"/>
        <w:jc w:val="both"/>
        <w:rPr>
          <w:rFonts w:ascii="Times New Roman" w:hAnsi="Times New Roman"/>
          <w:sz w:val="24"/>
          <w:szCs w:val="24"/>
        </w:rPr>
      </w:pPr>
    </w:p>
    <w:p w14:paraId="51DF9DFA" w14:textId="77777777" w:rsidR="00CB4C35" w:rsidRPr="007C5A6E" w:rsidRDefault="00CB4C35" w:rsidP="00CB4C35">
      <w:pPr>
        <w:spacing w:after="0" w:line="240" w:lineRule="auto"/>
        <w:jc w:val="both"/>
        <w:rPr>
          <w:rFonts w:ascii="Times New Roman" w:hAnsi="Times New Roman"/>
          <w:sz w:val="24"/>
          <w:szCs w:val="24"/>
        </w:rPr>
      </w:pPr>
      <w:r w:rsidRPr="007C5A6E">
        <w:rPr>
          <w:rFonts w:ascii="Times New Roman" w:hAnsi="Times New Roman"/>
          <w:sz w:val="24"/>
          <w:szCs w:val="24"/>
        </w:rPr>
        <w:t xml:space="preserve">Cette forme de pression sur la faune est observée principalement dans les zones d’influences des aires de protection faunique. Elle engendre beaucoup de perte d’espèces fauniques à travers diverses formes de représailles des populations : dont l’abatage ; le piégeage ; l’empoisonnement ; les sabotages des actions de conservation des espèces, etc. </w:t>
      </w:r>
    </w:p>
    <w:p w14:paraId="0ABC56BE" w14:textId="77777777" w:rsidR="00CB4C35" w:rsidRPr="007C5A6E" w:rsidRDefault="00CB4C35" w:rsidP="00CB4C35">
      <w:pPr>
        <w:spacing w:after="0" w:line="240" w:lineRule="auto"/>
        <w:jc w:val="both"/>
        <w:rPr>
          <w:rFonts w:ascii="Times New Roman" w:hAnsi="Times New Roman"/>
          <w:sz w:val="24"/>
          <w:szCs w:val="24"/>
        </w:rPr>
      </w:pPr>
    </w:p>
    <w:p w14:paraId="76585F1B" w14:textId="77777777" w:rsidR="00CB4C35" w:rsidRPr="007C5A6E" w:rsidRDefault="00CB4C35" w:rsidP="00CB4C35">
      <w:pPr>
        <w:shd w:val="clear" w:color="auto" w:fill="FFFFFF"/>
        <w:spacing w:after="0" w:line="240" w:lineRule="auto"/>
        <w:jc w:val="both"/>
        <w:rPr>
          <w:rFonts w:ascii="Times New Roman" w:hAnsi="Times New Roman"/>
          <w:sz w:val="24"/>
          <w:szCs w:val="24"/>
        </w:rPr>
      </w:pPr>
      <w:r w:rsidRPr="007C5A6E">
        <w:rPr>
          <w:rFonts w:ascii="Times New Roman" w:hAnsi="Times New Roman"/>
          <w:sz w:val="24"/>
          <w:szCs w:val="24"/>
        </w:rPr>
        <w:t xml:space="preserve">Au cours des dernières années, les conflits liés aux ressources naturelles ont pris de l’ampleur et se sont intensifiés. Par exemple dans la région des cascades, sur la période de 2016 à 2020, 4 types de dommages ont été causés par la faune sauvage aux populations locales. Il s’agit des dégâts de cultures et plantations (95,61%), des destructions d’infrastructures (3,07%), des dégâts sur les animaux domestiques (0,44%) et des blessures et/ou morts d’hommes (0,88%) (Kabore, 2021). Dans cette région et toutes les autres régions transfrontalières abritant des populations d’éléphants, les conflits sont très nombreux et les harcèlements sur ces pachydermes et la faune en générale exacerbés, les poussant à migrer vers les pays voisins. C’est ainsi que la présence d’une trentaine d’éléphants au nord Côte-d’Ivoire en provenance du Burkina Faso a été signalée à la Direction de la Faune et des Ressources Cynégétiques en juin 2018 (DFRC, 2018). </w:t>
      </w:r>
    </w:p>
    <w:p w14:paraId="374595D5" w14:textId="77777777" w:rsidR="00CB4C35" w:rsidRPr="007C5A6E" w:rsidRDefault="00CB4C35" w:rsidP="00CB4C35">
      <w:pPr>
        <w:shd w:val="clear" w:color="auto" w:fill="FFFFFF"/>
        <w:spacing w:after="0" w:line="240" w:lineRule="auto"/>
        <w:jc w:val="both"/>
        <w:rPr>
          <w:rFonts w:ascii="Times New Roman" w:hAnsi="Times New Roman"/>
          <w:sz w:val="24"/>
          <w:szCs w:val="24"/>
        </w:rPr>
      </w:pPr>
    </w:p>
    <w:p w14:paraId="0391CC26" w14:textId="11563E5D" w:rsidR="00CB4C35" w:rsidRPr="007C5A6E" w:rsidRDefault="00CB4C35" w:rsidP="00CB4C35">
      <w:pPr>
        <w:shd w:val="clear" w:color="auto" w:fill="FFFFFF"/>
        <w:spacing w:after="0" w:line="240" w:lineRule="auto"/>
        <w:jc w:val="both"/>
        <w:rPr>
          <w:rFonts w:ascii="Times New Roman" w:hAnsi="Times New Roman"/>
          <w:sz w:val="24"/>
          <w:szCs w:val="24"/>
        </w:rPr>
      </w:pPr>
      <w:r w:rsidRPr="007C5A6E">
        <w:rPr>
          <w:rFonts w:ascii="Times New Roman" w:hAnsi="Times New Roman"/>
          <w:sz w:val="24"/>
          <w:szCs w:val="24"/>
        </w:rPr>
        <w:t xml:space="preserve">Nous n’avons pu obtenir la situation nationale précise du phénomène, toutefois, une évaluation des dégâts causés par les animaux sur la population à travers les procès-verbaux (PV) de constations rapportés par le FIE durant la période de 2016 à 2023 permet de relever un total de 1087 PV de constatation examinés et validés (Rapports d’activités FIE) avec un pic des dégâts (209 PV) en 2019 et une tendances plutôt régressive du nombre de dégâts depuis cette période probablement du faite du contexte sécuritaire national (Figure </w:t>
      </w:r>
      <w:r w:rsidR="00ED5192" w:rsidRPr="007C5A6E">
        <w:rPr>
          <w:rFonts w:ascii="Times New Roman" w:hAnsi="Times New Roman"/>
          <w:sz w:val="24"/>
          <w:szCs w:val="24"/>
        </w:rPr>
        <w:t>65</w:t>
      </w:r>
      <w:r w:rsidRPr="007C5A6E">
        <w:rPr>
          <w:rFonts w:ascii="Times New Roman" w:hAnsi="Times New Roman"/>
          <w:sz w:val="24"/>
          <w:szCs w:val="24"/>
        </w:rPr>
        <w:t>).</w:t>
      </w:r>
    </w:p>
    <w:p w14:paraId="0B517106" w14:textId="77777777" w:rsidR="00CB4C35" w:rsidRPr="007C5A6E" w:rsidRDefault="00CB4C35" w:rsidP="00CB4C35">
      <w:pPr>
        <w:shd w:val="clear" w:color="auto" w:fill="FFFFFF"/>
        <w:spacing w:after="0" w:line="240" w:lineRule="auto"/>
        <w:jc w:val="both"/>
        <w:rPr>
          <w:rFonts w:ascii="Times New Roman" w:hAnsi="Times New Roman"/>
          <w:sz w:val="24"/>
          <w:szCs w:val="24"/>
        </w:rPr>
      </w:pPr>
    </w:p>
    <w:p w14:paraId="4E69B4E4" w14:textId="77777777" w:rsidR="00CB4C35" w:rsidRPr="007C5A6E" w:rsidRDefault="00CB4C35" w:rsidP="00CB4C35">
      <w:pPr>
        <w:shd w:val="clear" w:color="auto" w:fill="FFFFFF"/>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0A39E27E" wp14:editId="631F5170">
            <wp:extent cx="5419725" cy="2743200"/>
            <wp:effectExtent l="0" t="0" r="9525" b="0"/>
            <wp:docPr id="1031478382" name="Graphique 10314783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3D3956D9" w14:textId="77777777" w:rsidR="00ED5192" w:rsidRPr="007C5A6E" w:rsidRDefault="00ED5192" w:rsidP="00ED5192">
      <w:pPr>
        <w:shd w:val="clear" w:color="auto" w:fill="FFFFFF"/>
        <w:spacing w:after="0" w:line="240" w:lineRule="auto"/>
        <w:jc w:val="both"/>
        <w:rPr>
          <w:rFonts w:ascii="Times New Roman" w:hAnsi="Times New Roman"/>
          <w:sz w:val="20"/>
          <w:szCs w:val="20"/>
        </w:rPr>
      </w:pPr>
      <w:bookmarkStart w:id="1040" w:name="_Toc182575480"/>
      <w:r w:rsidRPr="007C5A6E">
        <w:rPr>
          <w:rFonts w:ascii="Times New Roman" w:hAnsi="Times New Roman"/>
          <w:sz w:val="20"/>
          <w:szCs w:val="20"/>
        </w:rPr>
        <w:t xml:space="preserve">(Source : Données rapports d’activités FIE 2020, 2021, 2022, 2023) </w:t>
      </w:r>
    </w:p>
    <w:p w14:paraId="484D7422" w14:textId="43A414CC" w:rsidR="00CB4C35" w:rsidRPr="007C5A6E" w:rsidRDefault="00ED5192" w:rsidP="00ED5192">
      <w:pPr>
        <w:pStyle w:val="Lgende"/>
        <w:spacing w:after="0"/>
        <w:rPr>
          <w:rFonts w:ascii="Times New Roman" w:hAnsi="Times New Roman"/>
          <w:color w:val="auto"/>
          <w:sz w:val="24"/>
          <w:szCs w:val="24"/>
        </w:rPr>
      </w:pPr>
      <w:bookmarkStart w:id="1041" w:name="_Toc183230912"/>
      <w:bookmarkStart w:id="1042" w:name="_Toc183240705"/>
      <w:bookmarkStart w:id="1043" w:name="_Toc183340444"/>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65</w:t>
      </w:r>
      <w:r w:rsidRPr="007C5A6E">
        <w:rPr>
          <w:rFonts w:ascii="Times New Roman" w:hAnsi="Times New Roman"/>
          <w:color w:val="auto"/>
          <w:sz w:val="24"/>
          <w:szCs w:val="24"/>
        </w:rPr>
        <w:fldChar w:fldCharType="end"/>
      </w:r>
      <w:r w:rsidR="00CA49C5" w:rsidRPr="007C5A6E">
        <w:rPr>
          <w:rFonts w:ascii="Times New Roman" w:hAnsi="Times New Roman"/>
          <w:color w:val="auto"/>
          <w:sz w:val="24"/>
          <w:szCs w:val="24"/>
        </w:rPr>
        <w:t>.</w:t>
      </w:r>
      <w:r w:rsidR="00CB4C35" w:rsidRPr="007C5A6E">
        <w:rPr>
          <w:rFonts w:ascii="Times New Roman" w:hAnsi="Times New Roman"/>
          <w:color w:val="auto"/>
          <w:sz w:val="24"/>
          <w:szCs w:val="24"/>
        </w:rPr>
        <w:t xml:space="preserve"> Evolution du nombre de PV validés de constat de dégâts d’animaux</w:t>
      </w:r>
      <w:bookmarkEnd w:id="1040"/>
      <w:bookmarkEnd w:id="1041"/>
      <w:bookmarkEnd w:id="1042"/>
      <w:bookmarkEnd w:id="1043"/>
      <w:r w:rsidR="00CB4C35" w:rsidRPr="007C5A6E">
        <w:rPr>
          <w:rFonts w:ascii="Times New Roman" w:hAnsi="Times New Roman"/>
          <w:color w:val="auto"/>
          <w:sz w:val="24"/>
          <w:szCs w:val="24"/>
        </w:rPr>
        <w:t xml:space="preserve"> </w:t>
      </w:r>
    </w:p>
    <w:p w14:paraId="3D3DCBDF" w14:textId="77777777" w:rsidR="00AF5C7B" w:rsidRPr="007C5A6E" w:rsidRDefault="00AF5C7B" w:rsidP="00F57A5C">
      <w:pPr>
        <w:spacing w:after="0" w:line="240" w:lineRule="auto"/>
        <w:rPr>
          <w:rFonts w:ascii="Times New Roman" w:hAnsi="Times New Roman"/>
          <w:sz w:val="24"/>
          <w:szCs w:val="24"/>
        </w:rPr>
      </w:pPr>
    </w:p>
    <w:p w14:paraId="55957CDA" w14:textId="77777777" w:rsidR="009F25CF" w:rsidRPr="007C5A6E" w:rsidRDefault="009F25CF" w:rsidP="00712C43">
      <w:pPr>
        <w:pStyle w:val="Titre2"/>
        <w:sectPr w:rsidR="009F25CF" w:rsidRPr="007C5A6E" w:rsidSect="006514BA">
          <w:headerReference w:type="default" r:id="rId158"/>
          <w:footerReference w:type="default" r:id="rId159"/>
          <w:pgSz w:w="11907" w:h="16840" w:code="9"/>
          <w:pgMar w:top="1191" w:right="1361" w:bottom="1191" w:left="1361" w:header="709" w:footer="709" w:gutter="0"/>
          <w:cols w:space="708"/>
          <w:titlePg/>
          <w:docGrid w:linePitch="360"/>
        </w:sectPr>
      </w:pPr>
    </w:p>
    <w:p w14:paraId="7328694C" w14:textId="74563248" w:rsidR="00006463" w:rsidRPr="007C5A6E" w:rsidRDefault="00006463" w:rsidP="00712C43">
      <w:pPr>
        <w:pStyle w:val="Titre2"/>
      </w:pPr>
      <w:bookmarkStart w:id="1044" w:name="_Toc183340221"/>
      <w:r w:rsidRPr="007C5A6E">
        <w:t>L’état de</w:t>
      </w:r>
      <w:r w:rsidR="00CB4C35" w:rsidRPr="007C5A6E">
        <w:t>s ressources biologiques</w:t>
      </w:r>
      <w:bookmarkEnd w:id="1044"/>
      <w:r w:rsidR="00CB4C35" w:rsidRPr="007C5A6E">
        <w:t xml:space="preserve"> </w:t>
      </w:r>
      <w:r w:rsidRPr="007C5A6E">
        <w:t xml:space="preserve"> </w:t>
      </w:r>
    </w:p>
    <w:p w14:paraId="056247B6" w14:textId="77777777" w:rsidR="00006463" w:rsidRPr="007C5A6E" w:rsidRDefault="00006463" w:rsidP="009F25CF">
      <w:pPr>
        <w:spacing w:after="0" w:line="240" w:lineRule="auto"/>
        <w:rPr>
          <w:rFonts w:ascii="Times New Roman" w:hAnsi="Times New Roman"/>
          <w:sz w:val="24"/>
          <w:szCs w:val="24"/>
        </w:rPr>
      </w:pPr>
    </w:p>
    <w:p w14:paraId="056F874C" w14:textId="77777777" w:rsidR="007C3497" w:rsidRPr="007C5A6E" w:rsidRDefault="007C3497" w:rsidP="009F25CF">
      <w:pPr>
        <w:pStyle w:val="Titre3"/>
        <w:keepNext w:val="0"/>
        <w:keepLines w:val="0"/>
      </w:pPr>
      <w:bookmarkStart w:id="1045" w:name="_Toc182575442"/>
      <w:bookmarkStart w:id="1046" w:name="_Toc183340222"/>
      <w:r w:rsidRPr="007C5A6E">
        <w:t>La diversité biologique</w:t>
      </w:r>
      <w:bookmarkEnd w:id="1045"/>
      <w:bookmarkEnd w:id="1046"/>
    </w:p>
    <w:p w14:paraId="22A611C1" w14:textId="77777777" w:rsidR="007C3497" w:rsidRPr="007C5A6E" w:rsidRDefault="007C3497" w:rsidP="009F25CF">
      <w:pPr>
        <w:spacing w:after="0" w:line="240" w:lineRule="auto"/>
        <w:jc w:val="both"/>
        <w:rPr>
          <w:rFonts w:ascii="Times New Roman" w:hAnsi="Times New Roman"/>
          <w:b/>
          <w:bCs/>
          <w:sz w:val="24"/>
          <w:szCs w:val="24"/>
        </w:rPr>
      </w:pPr>
    </w:p>
    <w:p w14:paraId="5803D3DB" w14:textId="77777777" w:rsidR="007C3497" w:rsidRPr="007C5A6E" w:rsidRDefault="007C3497" w:rsidP="00684FF8">
      <w:pPr>
        <w:pStyle w:val="Titre4"/>
      </w:pPr>
      <w:bookmarkStart w:id="1047" w:name="_Toc182575443"/>
      <w:bookmarkStart w:id="1048" w:name="_Toc183340223"/>
      <w:r w:rsidRPr="007C5A6E">
        <w:t>Etat des lieux</w:t>
      </w:r>
      <w:bookmarkEnd w:id="1047"/>
      <w:bookmarkEnd w:id="1048"/>
    </w:p>
    <w:p w14:paraId="25E361FC" w14:textId="77777777" w:rsidR="007C3497" w:rsidRPr="007C5A6E" w:rsidRDefault="007C3497" w:rsidP="009F25CF">
      <w:pPr>
        <w:spacing w:after="0" w:line="240" w:lineRule="auto"/>
        <w:jc w:val="both"/>
        <w:rPr>
          <w:rFonts w:ascii="Times New Roman" w:hAnsi="Times New Roman"/>
          <w:sz w:val="24"/>
          <w:szCs w:val="24"/>
        </w:rPr>
      </w:pPr>
    </w:p>
    <w:p w14:paraId="1F32C9D4" w14:textId="77777777" w:rsidR="007C3497" w:rsidRPr="007C5A6E" w:rsidRDefault="007C3497" w:rsidP="009F25CF">
      <w:pPr>
        <w:spacing w:after="0" w:line="240" w:lineRule="auto"/>
        <w:jc w:val="both"/>
        <w:rPr>
          <w:rFonts w:ascii="Times New Roman" w:hAnsi="Times New Roman"/>
          <w:sz w:val="24"/>
          <w:szCs w:val="24"/>
        </w:rPr>
      </w:pPr>
      <w:r w:rsidRPr="007C5A6E">
        <w:rPr>
          <w:rFonts w:ascii="Times New Roman" w:hAnsi="Times New Roman"/>
          <w:sz w:val="24"/>
          <w:szCs w:val="24"/>
        </w:rPr>
        <w:t>La dernière monographie nationale sur la diversité biologique (MEEVCC, 2020), établit qu’il existe aujourd’hui au Burkina Faso un total de 531 espèces ligneuses, 1779 espèces herbacées, 301 espèces cultivées, 636 espèces d’algues, 128 espèces de champignons macroscopiques, 28 espèces de champignons microscopiques, 26 espèces de fougères, 120 espèces de poissons, 520 espèces d’oiseaux sauvages, 23 races d’oiseaux d’élevage, 140 espèces de mammifères sauvages, 91 races de mammifères d’élevage, 51 espèces de chauves-souris et 104 espèces de reptiles. Les groupes taxonomiques les plus rencontrés sont :</w:t>
      </w:r>
    </w:p>
    <w:p w14:paraId="7A759637" w14:textId="77777777" w:rsidR="007C3497" w:rsidRPr="007C5A6E" w:rsidRDefault="007C3497" w:rsidP="009F25CF">
      <w:pPr>
        <w:spacing w:after="0" w:line="240" w:lineRule="auto"/>
        <w:jc w:val="both"/>
        <w:rPr>
          <w:rFonts w:ascii="Times New Roman" w:hAnsi="Times New Roman"/>
          <w:sz w:val="24"/>
          <w:szCs w:val="24"/>
        </w:rPr>
      </w:pPr>
    </w:p>
    <w:p w14:paraId="3855D1C4" w14:textId="77777777" w:rsidR="007C3497" w:rsidRPr="007C5A6E" w:rsidRDefault="007C3497" w:rsidP="009F25CF">
      <w:pPr>
        <w:pStyle w:val="Titre5"/>
        <w:keepNext w:val="0"/>
        <w:keepLines w:val="0"/>
        <w:numPr>
          <w:ilvl w:val="4"/>
          <w:numId w:val="4"/>
        </w:numPr>
        <w:spacing w:before="0"/>
        <w:ind w:left="907" w:hanging="907"/>
        <w:rPr>
          <w:rFonts w:ascii="Times New Roman" w:hAnsi="Times New Roman" w:cs="Times New Roman"/>
          <w:color w:val="auto"/>
          <w:u w:val="single"/>
          <w:lang w:eastAsia="en-US"/>
        </w:rPr>
      </w:pPr>
      <w:bookmarkStart w:id="1049" w:name="_Toc183340224"/>
      <w:r w:rsidRPr="007C5A6E">
        <w:rPr>
          <w:rFonts w:ascii="Times New Roman" w:hAnsi="Times New Roman" w:cs="Times New Roman"/>
          <w:color w:val="auto"/>
          <w:u w:val="single"/>
          <w:lang w:eastAsia="en-US"/>
        </w:rPr>
        <w:t>Microorganismes et plantes inferieures</w:t>
      </w:r>
      <w:bookmarkEnd w:id="1049"/>
      <w:r w:rsidRPr="007C5A6E">
        <w:rPr>
          <w:rFonts w:ascii="Times New Roman" w:hAnsi="Times New Roman" w:cs="Times New Roman"/>
          <w:color w:val="auto"/>
          <w:u w:val="single"/>
          <w:lang w:eastAsia="en-US"/>
        </w:rPr>
        <w:t xml:space="preserve"> </w:t>
      </w:r>
    </w:p>
    <w:p w14:paraId="0C10B1C5" w14:textId="06990B5E" w:rsidR="007C3497" w:rsidRPr="007C5A6E" w:rsidRDefault="007C3497" w:rsidP="009F25CF">
      <w:pPr>
        <w:spacing w:after="0" w:line="240" w:lineRule="auto"/>
        <w:rPr>
          <w:rFonts w:ascii="Times New Roman" w:hAnsi="Times New Roman"/>
          <w:sz w:val="24"/>
          <w:szCs w:val="24"/>
          <w:lang w:eastAsia="en-US"/>
        </w:rPr>
      </w:pPr>
      <w:r w:rsidRPr="007C5A6E">
        <w:rPr>
          <w:rFonts w:ascii="Times New Roman" w:hAnsi="Times New Roman"/>
          <w:sz w:val="24"/>
          <w:szCs w:val="24"/>
          <w:lang w:eastAsia="en-US"/>
        </w:rPr>
        <w:t xml:space="preserve"> </w:t>
      </w:r>
    </w:p>
    <w:p w14:paraId="77809AB8" w14:textId="77777777" w:rsidR="007C3497" w:rsidRPr="007C5A6E" w:rsidRDefault="007C3497" w:rsidP="009F25CF">
      <w:pPr>
        <w:numPr>
          <w:ilvl w:val="0"/>
          <w:numId w:val="35"/>
        </w:numPr>
        <w:spacing w:after="0" w:line="240" w:lineRule="auto"/>
        <w:ind w:left="357" w:hanging="357"/>
        <w:contextualSpacing/>
        <w:jc w:val="both"/>
        <w:rPr>
          <w:rFonts w:ascii="Times New Roman" w:hAnsi="Times New Roman"/>
          <w:sz w:val="24"/>
          <w:szCs w:val="24"/>
        </w:rPr>
      </w:pPr>
      <w:r w:rsidRPr="007C5A6E">
        <w:rPr>
          <w:rFonts w:ascii="Times New Roman" w:hAnsi="Times New Roman"/>
          <w:i/>
          <w:iCs/>
          <w:sz w:val="24"/>
          <w:szCs w:val="24"/>
        </w:rPr>
        <w:t>Virus</w:t>
      </w:r>
      <w:r w:rsidRPr="007C5A6E">
        <w:rPr>
          <w:rFonts w:ascii="Times New Roman" w:hAnsi="Times New Roman"/>
          <w:sz w:val="24"/>
          <w:szCs w:val="24"/>
        </w:rPr>
        <w:t xml:space="preserve"> : d’un effectif total de 26 espèces connues en 2016, l’on dénombre aujourd’hui un total de 46 espèces de virus réparties dans 16 familles et 28 genres ; </w:t>
      </w:r>
    </w:p>
    <w:p w14:paraId="1BBC81FA" w14:textId="77777777" w:rsidR="007C3497" w:rsidRPr="007C5A6E" w:rsidRDefault="007C3497" w:rsidP="009F25CF">
      <w:pPr>
        <w:numPr>
          <w:ilvl w:val="0"/>
          <w:numId w:val="35"/>
        </w:numPr>
        <w:spacing w:after="0" w:line="240" w:lineRule="auto"/>
        <w:ind w:left="357" w:hanging="357"/>
        <w:contextualSpacing/>
        <w:jc w:val="both"/>
        <w:rPr>
          <w:rFonts w:ascii="Times New Roman" w:hAnsi="Times New Roman"/>
          <w:sz w:val="24"/>
          <w:szCs w:val="24"/>
        </w:rPr>
      </w:pPr>
      <w:r w:rsidRPr="007C5A6E">
        <w:rPr>
          <w:rFonts w:ascii="Times New Roman" w:hAnsi="Times New Roman"/>
          <w:i/>
          <w:iCs/>
          <w:sz w:val="24"/>
          <w:szCs w:val="24"/>
        </w:rPr>
        <w:t>Bactéries</w:t>
      </w:r>
      <w:r w:rsidRPr="007C5A6E">
        <w:rPr>
          <w:rFonts w:ascii="Times New Roman" w:hAnsi="Times New Roman"/>
          <w:sz w:val="24"/>
          <w:szCs w:val="24"/>
        </w:rPr>
        <w:t> : l’on dénombre au total 104 espèces de bactéries</w:t>
      </w:r>
      <w:r w:rsidRPr="007C5A6E">
        <w:rPr>
          <w:rFonts w:ascii="Times New Roman" w:hAnsi="Times New Roman"/>
          <w:sz w:val="24"/>
          <w:szCs w:val="24"/>
          <w:vertAlign w:val="superscript"/>
        </w:rPr>
        <w:footnoteReference w:id="5"/>
      </w:r>
      <w:r w:rsidRPr="007C5A6E">
        <w:rPr>
          <w:rFonts w:ascii="Times New Roman" w:hAnsi="Times New Roman"/>
          <w:sz w:val="24"/>
          <w:szCs w:val="24"/>
        </w:rPr>
        <w:t xml:space="preserve"> (procaryotes monères</w:t>
      </w:r>
      <w:r w:rsidRPr="007C5A6E">
        <w:rPr>
          <w:rFonts w:ascii="Times New Roman" w:hAnsi="Times New Roman"/>
          <w:sz w:val="24"/>
          <w:szCs w:val="24"/>
          <w:vertAlign w:val="superscript"/>
        </w:rPr>
        <w:footnoteReference w:id="6"/>
      </w:r>
      <w:r w:rsidRPr="007C5A6E">
        <w:rPr>
          <w:rFonts w:ascii="Times New Roman" w:hAnsi="Times New Roman"/>
          <w:sz w:val="24"/>
          <w:szCs w:val="24"/>
        </w:rPr>
        <w:t xml:space="preserve">) réparties dans 54 genres et 35 familles ; </w:t>
      </w:r>
    </w:p>
    <w:p w14:paraId="29D3147C" w14:textId="77777777" w:rsidR="007C3497" w:rsidRPr="007C5A6E" w:rsidRDefault="007C3497" w:rsidP="009F25CF">
      <w:pPr>
        <w:numPr>
          <w:ilvl w:val="0"/>
          <w:numId w:val="35"/>
        </w:numPr>
        <w:spacing w:after="0" w:line="240" w:lineRule="auto"/>
        <w:ind w:left="357" w:hanging="357"/>
        <w:contextualSpacing/>
        <w:jc w:val="both"/>
        <w:rPr>
          <w:rFonts w:ascii="Times New Roman" w:hAnsi="Times New Roman"/>
          <w:sz w:val="24"/>
          <w:szCs w:val="24"/>
        </w:rPr>
      </w:pPr>
      <w:r w:rsidRPr="007C5A6E">
        <w:rPr>
          <w:rFonts w:ascii="Times New Roman" w:hAnsi="Times New Roman"/>
          <w:i/>
          <w:iCs/>
          <w:sz w:val="24"/>
          <w:szCs w:val="24"/>
        </w:rPr>
        <w:t>Algues </w:t>
      </w:r>
      <w:r w:rsidRPr="007C5A6E">
        <w:rPr>
          <w:rFonts w:ascii="Times New Roman" w:hAnsi="Times New Roman"/>
          <w:sz w:val="24"/>
          <w:szCs w:val="24"/>
        </w:rPr>
        <w:t xml:space="preserve">: les connaissances de ce groupe font état de 636 taxa d’algues (protistes), répartis dans 31 familles et 108 genres ; </w:t>
      </w:r>
    </w:p>
    <w:p w14:paraId="21C5A986" w14:textId="77777777" w:rsidR="007C3497" w:rsidRPr="007C5A6E" w:rsidRDefault="007C3497" w:rsidP="009F25CF">
      <w:pPr>
        <w:numPr>
          <w:ilvl w:val="0"/>
          <w:numId w:val="35"/>
        </w:numPr>
        <w:spacing w:after="0" w:line="240" w:lineRule="auto"/>
        <w:ind w:left="357" w:hanging="357"/>
        <w:contextualSpacing/>
        <w:jc w:val="both"/>
        <w:rPr>
          <w:rFonts w:ascii="Times New Roman" w:hAnsi="Times New Roman"/>
          <w:sz w:val="24"/>
          <w:szCs w:val="24"/>
        </w:rPr>
      </w:pPr>
      <w:r w:rsidRPr="007C5A6E">
        <w:rPr>
          <w:rFonts w:ascii="Times New Roman" w:hAnsi="Times New Roman"/>
          <w:i/>
          <w:iCs/>
          <w:sz w:val="24"/>
          <w:szCs w:val="24"/>
        </w:rPr>
        <w:t>Protozoaires</w:t>
      </w:r>
      <w:r w:rsidRPr="007C5A6E">
        <w:rPr>
          <w:rFonts w:ascii="Times New Roman" w:hAnsi="Times New Roman"/>
          <w:sz w:val="24"/>
          <w:szCs w:val="24"/>
        </w:rPr>
        <w:t xml:space="preserve"> : au total, 29 espèces de Protozoaires (protistes) regroupés en 7 genres, 5 familles, ont été identifiées au Burkina Faso ; </w:t>
      </w:r>
    </w:p>
    <w:p w14:paraId="3705304E" w14:textId="77777777" w:rsidR="007C3497" w:rsidRPr="007C5A6E" w:rsidRDefault="007C3497" w:rsidP="009F25CF">
      <w:pPr>
        <w:numPr>
          <w:ilvl w:val="0"/>
          <w:numId w:val="35"/>
        </w:numPr>
        <w:spacing w:after="0" w:line="240" w:lineRule="auto"/>
        <w:ind w:left="357" w:hanging="357"/>
        <w:contextualSpacing/>
        <w:jc w:val="both"/>
        <w:rPr>
          <w:rFonts w:ascii="Times New Roman" w:hAnsi="Times New Roman"/>
          <w:sz w:val="24"/>
          <w:szCs w:val="24"/>
        </w:rPr>
      </w:pPr>
      <w:r w:rsidRPr="007C5A6E">
        <w:rPr>
          <w:rFonts w:ascii="Times New Roman" w:hAnsi="Times New Roman"/>
          <w:i/>
          <w:iCs/>
          <w:sz w:val="24"/>
          <w:szCs w:val="24"/>
        </w:rPr>
        <w:t>Champignons macroscopiques</w:t>
      </w:r>
      <w:r w:rsidRPr="007C5A6E">
        <w:rPr>
          <w:rFonts w:ascii="Times New Roman" w:hAnsi="Times New Roman"/>
          <w:sz w:val="24"/>
          <w:szCs w:val="24"/>
        </w:rPr>
        <w:t xml:space="preserve"> : à ce jour, l’on sait qu’il existe au Burkina Faso, 128 espèces de champignons macroscopiques dont 18 espèces d’ascomycètes (Champignons macroscopiques, </w:t>
      </w:r>
      <w:proofErr w:type="spellStart"/>
      <w:r w:rsidRPr="007C5A6E">
        <w:rPr>
          <w:rFonts w:ascii="Times New Roman" w:hAnsi="Times New Roman"/>
          <w:sz w:val="24"/>
          <w:szCs w:val="24"/>
        </w:rPr>
        <w:t>Ascomycota</w:t>
      </w:r>
      <w:proofErr w:type="spellEnd"/>
      <w:r w:rsidRPr="007C5A6E">
        <w:rPr>
          <w:rFonts w:ascii="Times New Roman" w:hAnsi="Times New Roman"/>
          <w:sz w:val="24"/>
          <w:szCs w:val="24"/>
        </w:rPr>
        <w:t xml:space="preserve">) réparties en 03 familles et 05 genres, et 110 espèces de Basidiomycètes (Champignons macroscopiques, </w:t>
      </w:r>
      <w:proofErr w:type="spellStart"/>
      <w:r w:rsidRPr="007C5A6E">
        <w:rPr>
          <w:rFonts w:ascii="Times New Roman" w:hAnsi="Times New Roman"/>
          <w:sz w:val="24"/>
          <w:szCs w:val="24"/>
        </w:rPr>
        <w:t>Basidiomycota</w:t>
      </w:r>
      <w:proofErr w:type="spellEnd"/>
      <w:r w:rsidRPr="007C5A6E">
        <w:rPr>
          <w:rFonts w:ascii="Times New Roman" w:hAnsi="Times New Roman"/>
          <w:sz w:val="24"/>
          <w:szCs w:val="24"/>
        </w:rPr>
        <w:t>) reparties en 45 genres et 22 familles ;</w:t>
      </w:r>
    </w:p>
    <w:p w14:paraId="5D1AE3C5" w14:textId="77777777" w:rsidR="007C3497" w:rsidRPr="007C5A6E" w:rsidRDefault="007C3497" w:rsidP="009F25CF">
      <w:pPr>
        <w:numPr>
          <w:ilvl w:val="0"/>
          <w:numId w:val="35"/>
        </w:numPr>
        <w:spacing w:after="0" w:line="240" w:lineRule="auto"/>
        <w:ind w:left="357" w:hanging="357"/>
        <w:contextualSpacing/>
        <w:jc w:val="both"/>
        <w:rPr>
          <w:rFonts w:ascii="Times New Roman" w:hAnsi="Times New Roman"/>
          <w:sz w:val="24"/>
          <w:szCs w:val="24"/>
        </w:rPr>
      </w:pPr>
      <w:r w:rsidRPr="007C5A6E">
        <w:rPr>
          <w:rFonts w:ascii="Times New Roman" w:hAnsi="Times New Roman"/>
          <w:i/>
          <w:iCs/>
          <w:sz w:val="24"/>
          <w:szCs w:val="24"/>
        </w:rPr>
        <w:t>Champignons</w:t>
      </w:r>
      <w:r w:rsidRPr="007C5A6E">
        <w:rPr>
          <w:rFonts w:ascii="Times New Roman" w:hAnsi="Times New Roman"/>
          <w:sz w:val="24"/>
          <w:szCs w:val="24"/>
        </w:rPr>
        <w:t> </w:t>
      </w:r>
      <w:r w:rsidRPr="007C5A6E">
        <w:rPr>
          <w:rFonts w:ascii="Times New Roman" w:hAnsi="Times New Roman"/>
          <w:i/>
          <w:iCs/>
          <w:sz w:val="24"/>
          <w:szCs w:val="24"/>
        </w:rPr>
        <w:t xml:space="preserve">microscopiques </w:t>
      </w:r>
      <w:r w:rsidRPr="007C5A6E">
        <w:rPr>
          <w:rFonts w:ascii="Times New Roman" w:hAnsi="Times New Roman"/>
          <w:sz w:val="24"/>
          <w:szCs w:val="24"/>
        </w:rPr>
        <w:t xml:space="preserve">: ils comportent 22 espèces de moisissures et levures (champignons microscopiques) réparties dans 20 genres et 16 familles dont 1 famille sans nom </w:t>
      </w:r>
      <w:proofErr w:type="gramStart"/>
      <w:r w:rsidRPr="007C5A6E">
        <w:rPr>
          <w:rFonts w:ascii="Times New Roman" w:hAnsi="Times New Roman"/>
          <w:sz w:val="24"/>
          <w:szCs w:val="24"/>
        </w:rPr>
        <w:t>attribué;</w:t>
      </w:r>
      <w:proofErr w:type="gramEnd"/>
      <w:r w:rsidRPr="007C5A6E">
        <w:rPr>
          <w:rFonts w:ascii="Times New Roman" w:hAnsi="Times New Roman"/>
          <w:sz w:val="24"/>
          <w:szCs w:val="24"/>
        </w:rPr>
        <w:t xml:space="preserve"> </w:t>
      </w:r>
    </w:p>
    <w:p w14:paraId="6BA0E8B0" w14:textId="77777777" w:rsidR="007C3497" w:rsidRPr="007C5A6E" w:rsidRDefault="007C3497" w:rsidP="009F25CF">
      <w:pPr>
        <w:numPr>
          <w:ilvl w:val="0"/>
          <w:numId w:val="35"/>
        </w:numPr>
        <w:spacing w:after="0" w:line="240" w:lineRule="auto"/>
        <w:ind w:left="357" w:hanging="357"/>
        <w:contextualSpacing/>
        <w:jc w:val="both"/>
        <w:rPr>
          <w:rFonts w:ascii="Times New Roman" w:hAnsi="Times New Roman"/>
          <w:sz w:val="24"/>
          <w:szCs w:val="24"/>
        </w:rPr>
      </w:pPr>
      <w:r w:rsidRPr="007C5A6E">
        <w:rPr>
          <w:rFonts w:ascii="Times New Roman" w:hAnsi="Times New Roman"/>
          <w:i/>
          <w:iCs/>
          <w:sz w:val="24"/>
          <w:szCs w:val="24"/>
        </w:rPr>
        <w:t>Fougères et apparentés</w:t>
      </w:r>
      <w:r w:rsidRPr="007C5A6E">
        <w:rPr>
          <w:rFonts w:ascii="Times New Roman" w:hAnsi="Times New Roman"/>
          <w:sz w:val="24"/>
          <w:szCs w:val="24"/>
        </w:rPr>
        <w:t xml:space="preserve"> : l’état des connaissances de ce groupe donne 26 espèces (Plantes inferieure, </w:t>
      </w:r>
      <w:proofErr w:type="spellStart"/>
      <w:r w:rsidRPr="007C5A6E">
        <w:rPr>
          <w:rFonts w:ascii="Times New Roman" w:hAnsi="Times New Roman"/>
          <w:sz w:val="24"/>
          <w:szCs w:val="24"/>
        </w:rPr>
        <w:t>Pteridophyta</w:t>
      </w:r>
      <w:proofErr w:type="spellEnd"/>
      <w:r w:rsidRPr="007C5A6E">
        <w:rPr>
          <w:rFonts w:ascii="Times New Roman" w:hAnsi="Times New Roman"/>
          <w:sz w:val="24"/>
          <w:szCs w:val="24"/>
        </w:rPr>
        <w:t xml:space="preserve">), réparties dans 14 genres et 12 familles. L’espèce de fougère, </w:t>
      </w:r>
      <w:proofErr w:type="spellStart"/>
      <w:r w:rsidRPr="007C5A6E">
        <w:rPr>
          <w:rFonts w:ascii="Times New Roman" w:hAnsi="Times New Roman"/>
          <w:i/>
          <w:iCs/>
          <w:sz w:val="24"/>
          <w:szCs w:val="24"/>
        </w:rPr>
        <w:t>Isoetes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jaegeri</w:t>
      </w:r>
      <w:proofErr w:type="spellEnd"/>
      <w:r w:rsidRPr="007C5A6E">
        <w:rPr>
          <w:rFonts w:ascii="Times New Roman" w:hAnsi="Times New Roman"/>
          <w:sz w:val="24"/>
          <w:szCs w:val="24"/>
        </w:rPr>
        <w:t xml:space="preserve"> Pitot est l’unique plante exclusivement endémique au Burkina Faso</w:t>
      </w:r>
      <w:r w:rsidRPr="007C5A6E">
        <w:rPr>
          <w:rFonts w:ascii="Times New Roman" w:hAnsi="Times New Roman"/>
          <w:sz w:val="24"/>
          <w:szCs w:val="24"/>
          <w:vertAlign w:val="superscript"/>
        </w:rPr>
        <w:footnoteReference w:id="7"/>
      </w:r>
      <w:r w:rsidRPr="007C5A6E">
        <w:rPr>
          <w:rFonts w:ascii="Times New Roman" w:hAnsi="Times New Roman"/>
          <w:sz w:val="24"/>
          <w:szCs w:val="24"/>
        </w:rPr>
        <w:t>. Elle est présente dans les Falaises de Banfora dans la province de la Comoé ;</w:t>
      </w:r>
    </w:p>
    <w:p w14:paraId="170B85E7" w14:textId="77777777" w:rsidR="007C3497" w:rsidRPr="007C5A6E" w:rsidRDefault="007C3497" w:rsidP="009F25CF">
      <w:pPr>
        <w:numPr>
          <w:ilvl w:val="0"/>
          <w:numId w:val="35"/>
        </w:numPr>
        <w:spacing w:after="0" w:line="240" w:lineRule="auto"/>
        <w:ind w:left="357" w:hanging="357"/>
        <w:contextualSpacing/>
        <w:jc w:val="both"/>
        <w:rPr>
          <w:rFonts w:ascii="Times New Roman" w:hAnsi="Times New Roman"/>
          <w:sz w:val="24"/>
          <w:szCs w:val="24"/>
        </w:rPr>
      </w:pPr>
      <w:r w:rsidRPr="007C5A6E">
        <w:rPr>
          <w:rFonts w:ascii="Times New Roman" w:hAnsi="Times New Roman"/>
          <w:i/>
          <w:iCs/>
          <w:sz w:val="24"/>
          <w:szCs w:val="24"/>
        </w:rPr>
        <w:t>Lichen :</w:t>
      </w:r>
      <w:r w:rsidRPr="007C5A6E">
        <w:rPr>
          <w:rFonts w:ascii="Times New Roman" w:hAnsi="Times New Roman"/>
          <w:sz w:val="24"/>
          <w:szCs w:val="24"/>
        </w:rPr>
        <w:t xml:space="preserve"> Des évidences d’espèces de </w:t>
      </w:r>
      <w:proofErr w:type="spellStart"/>
      <w:r w:rsidRPr="007C5A6E">
        <w:rPr>
          <w:rFonts w:ascii="Times New Roman" w:hAnsi="Times New Roman"/>
          <w:sz w:val="24"/>
          <w:szCs w:val="24"/>
        </w:rPr>
        <w:t>Lichenophyta</w:t>
      </w:r>
      <w:proofErr w:type="spellEnd"/>
      <w:r w:rsidRPr="007C5A6E">
        <w:rPr>
          <w:rFonts w:ascii="Times New Roman" w:hAnsi="Times New Roman"/>
          <w:sz w:val="24"/>
          <w:szCs w:val="24"/>
        </w:rPr>
        <w:t xml:space="preserve"> non encore étudiées, sur les arbres et arbustes dans la zone soudanienne du pays.</w:t>
      </w:r>
    </w:p>
    <w:p w14:paraId="301C9A01" w14:textId="77777777" w:rsidR="007C3497" w:rsidRPr="007C5A6E" w:rsidRDefault="007C3497" w:rsidP="009F25CF">
      <w:pPr>
        <w:spacing w:after="0" w:line="240" w:lineRule="auto"/>
        <w:jc w:val="both"/>
        <w:rPr>
          <w:rFonts w:ascii="Times New Roman" w:hAnsi="Times New Roman"/>
          <w:b/>
          <w:bCs/>
          <w:sz w:val="24"/>
          <w:szCs w:val="24"/>
        </w:rPr>
      </w:pPr>
    </w:p>
    <w:p w14:paraId="544CDCD9" w14:textId="77777777" w:rsidR="007C3497" w:rsidRPr="007C5A6E" w:rsidRDefault="007C3497" w:rsidP="009F25CF">
      <w:pPr>
        <w:pStyle w:val="Titre5"/>
        <w:keepNext w:val="0"/>
        <w:keepLines w:val="0"/>
        <w:numPr>
          <w:ilvl w:val="4"/>
          <w:numId w:val="4"/>
        </w:numPr>
        <w:spacing w:before="0"/>
        <w:ind w:left="907" w:hanging="907"/>
        <w:rPr>
          <w:rFonts w:ascii="Times New Roman" w:hAnsi="Times New Roman" w:cs="Times New Roman"/>
          <w:color w:val="auto"/>
          <w:u w:val="single"/>
          <w:lang w:eastAsia="en-US"/>
        </w:rPr>
      </w:pPr>
      <w:bookmarkStart w:id="1050" w:name="_Toc183340225"/>
      <w:r w:rsidRPr="007C5A6E">
        <w:rPr>
          <w:rFonts w:ascii="Times New Roman" w:hAnsi="Times New Roman" w:cs="Times New Roman"/>
          <w:color w:val="auto"/>
          <w:u w:val="single"/>
          <w:lang w:eastAsia="en-US"/>
        </w:rPr>
        <w:t>Plantes supérieures</w:t>
      </w:r>
      <w:bookmarkEnd w:id="1050"/>
    </w:p>
    <w:p w14:paraId="23C14B6C" w14:textId="77777777" w:rsidR="007C3497" w:rsidRPr="007C5A6E" w:rsidRDefault="007C3497" w:rsidP="009F25CF">
      <w:pPr>
        <w:numPr>
          <w:ilvl w:val="0"/>
          <w:numId w:val="35"/>
        </w:numPr>
        <w:spacing w:after="0" w:line="240" w:lineRule="auto"/>
        <w:ind w:left="357" w:hanging="357"/>
        <w:contextualSpacing/>
        <w:jc w:val="both"/>
        <w:rPr>
          <w:rFonts w:ascii="Times New Roman" w:hAnsi="Times New Roman"/>
          <w:sz w:val="24"/>
          <w:szCs w:val="24"/>
        </w:rPr>
      </w:pPr>
      <w:r w:rsidRPr="007C5A6E">
        <w:rPr>
          <w:rFonts w:ascii="Times New Roman" w:hAnsi="Times New Roman"/>
          <w:i/>
          <w:iCs/>
          <w:sz w:val="24"/>
          <w:szCs w:val="24"/>
        </w:rPr>
        <w:t>Ligneuses : </w:t>
      </w:r>
      <w:r w:rsidRPr="007C5A6E">
        <w:rPr>
          <w:rFonts w:ascii="Times New Roman" w:hAnsi="Times New Roman"/>
          <w:sz w:val="24"/>
          <w:szCs w:val="24"/>
        </w:rPr>
        <w:t>le nombre d’espèces de ligneux connus au Burkina Faso est de 537 dont 6 espèces de Gymnosperme</w:t>
      </w:r>
      <w:r w:rsidRPr="007C5A6E">
        <w:rPr>
          <w:rFonts w:ascii="Times New Roman" w:hAnsi="Times New Roman"/>
          <w:sz w:val="24"/>
          <w:szCs w:val="24"/>
          <w:vertAlign w:val="superscript"/>
        </w:rPr>
        <w:footnoteReference w:id="8"/>
      </w:r>
      <w:r w:rsidRPr="007C5A6E">
        <w:rPr>
          <w:rFonts w:ascii="Times New Roman" w:hAnsi="Times New Roman"/>
          <w:sz w:val="24"/>
          <w:szCs w:val="24"/>
        </w:rPr>
        <w:t xml:space="preserve"> réparties en 5 genres, 2 familles ; 531 espèces d’Angiosperme</w:t>
      </w:r>
      <w:r w:rsidRPr="007C5A6E">
        <w:rPr>
          <w:rFonts w:ascii="Times New Roman" w:hAnsi="Times New Roman"/>
          <w:sz w:val="24"/>
          <w:szCs w:val="24"/>
          <w:vertAlign w:val="superscript"/>
        </w:rPr>
        <w:footnoteReference w:id="9"/>
      </w:r>
      <w:r w:rsidRPr="007C5A6E">
        <w:rPr>
          <w:rFonts w:ascii="Times New Roman" w:hAnsi="Times New Roman"/>
          <w:sz w:val="24"/>
          <w:szCs w:val="24"/>
        </w:rPr>
        <w:t>, réparties dans 288 genres, 71 familles ;</w:t>
      </w:r>
    </w:p>
    <w:p w14:paraId="497738DD" w14:textId="77777777" w:rsidR="007C3497" w:rsidRPr="007C5A6E" w:rsidRDefault="007C3497" w:rsidP="009F25CF">
      <w:pPr>
        <w:numPr>
          <w:ilvl w:val="0"/>
          <w:numId w:val="35"/>
        </w:numPr>
        <w:spacing w:after="0" w:line="240" w:lineRule="auto"/>
        <w:ind w:left="357" w:hanging="357"/>
        <w:contextualSpacing/>
        <w:jc w:val="both"/>
        <w:rPr>
          <w:rFonts w:ascii="Times New Roman" w:hAnsi="Times New Roman"/>
          <w:sz w:val="24"/>
          <w:szCs w:val="24"/>
        </w:rPr>
      </w:pPr>
      <w:r w:rsidRPr="007C5A6E">
        <w:rPr>
          <w:rFonts w:ascii="Times New Roman" w:hAnsi="Times New Roman"/>
          <w:i/>
          <w:iCs/>
          <w:sz w:val="24"/>
          <w:szCs w:val="24"/>
        </w:rPr>
        <w:t>Herbacées </w:t>
      </w:r>
      <w:r w:rsidRPr="007C5A6E">
        <w:rPr>
          <w:rFonts w:ascii="Times New Roman" w:hAnsi="Times New Roman"/>
          <w:sz w:val="24"/>
          <w:szCs w:val="24"/>
        </w:rPr>
        <w:t xml:space="preserve">: les connaissances sur la flore herbacée font état de 1 779 espèces, contre 1 336 espèces dénombrées en 2012. Elle est dominée surtout par les </w:t>
      </w:r>
      <w:proofErr w:type="spellStart"/>
      <w:r w:rsidRPr="007C5A6E">
        <w:rPr>
          <w:rFonts w:ascii="Times New Roman" w:hAnsi="Times New Roman"/>
          <w:sz w:val="24"/>
          <w:szCs w:val="24"/>
        </w:rPr>
        <w:t>Poaceae</w:t>
      </w:r>
      <w:proofErr w:type="spellEnd"/>
      <w:r w:rsidRPr="007C5A6E">
        <w:rPr>
          <w:rFonts w:ascii="Times New Roman" w:hAnsi="Times New Roman"/>
          <w:sz w:val="24"/>
          <w:szCs w:val="24"/>
        </w:rPr>
        <w:t xml:space="preserve"> et les légumineuses.</w:t>
      </w:r>
    </w:p>
    <w:p w14:paraId="7DCD4CD3" w14:textId="77777777" w:rsidR="007C3497" w:rsidRPr="007C5A6E" w:rsidRDefault="007C3497" w:rsidP="009F25CF">
      <w:pPr>
        <w:spacing w:after="0" w:line="240" w:lineRule="auto"/>
        <w:jc w:val="both"/>
        <w:rPr>
          <w:rFonts w:ascii="Times New Roman" w:hAnsi="Times New Roman"/>
          <w:sz w:val="24"/>
          <w:szCs w:val="24"/>
        </w:rPr>
      </w:pPr>
    </w:p>
    <w:p w14:paraId="480932FD" w14:textId="77777777" w:rsidR="007C3497" w:rsidRPr="007C5A6E" w:rsidRDefault="007C3497" w:rsidP="009F25CF">
      <w:pPr>
        <w:pStyle w:val="Titre5"/>
        <w:keepNext w:val="0"/>
        <w:keepLines w:val="0"/>
        <w:numPr>
          <w:ilvl w:val="4"/>
          <w:numId w:val="4"/>
        </w:numPr>
        <w:spacing w:before="0"/>
        <w:ind w:left="907" w:hanging="907"/>
        <w:rPr>
          <w:rFonts w:ascii="Times New Roman" w:hAnsi="Times New Roman" w:cs="Times New Roman"/>
          <w:color w:val="auto"/>
          <w:u w:val="single"/>
          <w:lang w:eastAsia="en-US"/>
        </w:rPr>
      </w:pPr>
      <w:bookmarkStart w:id="1051" w:name="_Toc183340226"/>
      <w:r w:rsidRPr="007C5A6E">
        <w:rPr>
          <w:rFonts w:ascii="Times New Roman" w:hAnsi="Times New Roman" w:cs="Times New Roman"/>
          <w:color w:val="auto"/>
          <w:u w:val="single"/>
          <w:lang w:eastAsia="en-US"/>
        </w:rPr>
        <w:t>Plantes cultivées</w:t>
      </w:r>
      <w:bookmarkEnd w:id="1051"/>
    </w:p>
    <w:p w14:paraId="55302AA0" w14:textId="77777777" w:rsidR="007C3497" w:rsidRPr="007C5A6E" w:rsidRDefault="007C3497" w:rsidP="009F25CF">
      <w:pPr>
        <w:spacing w:after="0" w:line="240" w:lineRule="auto"/>
        <w:contextualSpacing/>
        <w:jc w:val="both"/>
        <w:rPr>
          <w:rFonts w:ascii="Times New Roman" w:hAnsi="Times New Roman"/>
          <w:sz w:val="24"/>
          <w:szCs w:val="24"/>
        </w:rPr>
      </w:pPr>
    </w:p>
    <w:p w14:paraId="23F5E2F6" w14:textId="02E2E321" w:rsidR="007C3497" w:rsidRPr="007C5A6E" w:rsidRDefault="007C3497" w:rsidP="009F25CF">
      <w:pPr>
        <w:spacing w:after="0" w:line="240" w:lineRule="auto"/>
        <w:contextualSpacing/>
        <w:jc w:val="both"/>
        <w:rPr>
          <w:rFonts w:ascii="Times New Roman" w:hAnsi="Times New Roman"/>
          <w:sz w:val="24"/>
          <w:szCs w:val="24"/>
        </w:rPr>
      </w:pPr>
      <w:r w:rsidRPr="007C5A6E">
        <w:rPr>
          <w:rFonts w:ascii="Times New Roman" w:hAnsi="Times New Roman"/>
          <w:sz w:val="24"/>
          <w:szCs w:val="24"/>
        </w:rPr>
        <w:t>Le Burkina Faso compte aujourd’hui, 301 espèces de plantes cultivées, dont 67 espèces considérées comme les plus vulgarisées comportant 06 espèces de céréales locales, 04 espèces de légumineuses locales, 07 espèces de tubercules locales, 05 espèces de culture de rente locales, 28 espèces de cultures maraîchères dont 06 locales et 22 introduites, 12 espèces d’arboricultures fruitières locales et introduites, 01 espèce d’algue locale et 04 espèces de plantes fourragères locales.</w:t>
      </w:r>
    </w:p>
    <w:p w14:paraId="2B10C30C" w14:textId="77777777" w:rsidR="007C3497" w:rsidRPr="007C5A6E" w:rsidRDefault="007C3497" w:rsidP="009F25CF">
      <w:pPr>
        <w:spacing w:after="0" w:line="240" w:lineRule="auto"/>
        <w:jc w:val="both"/>
        <w:rPr>
          <w:rFonts w:ascii="Times New Roman" w:hAnsi="Times New Roman"/>
          <w:sz w:val="24"/>
          <w:szCs w:val="24"/>
        </w:rPr>
      </w:pPr>
    </w:p>
    <w:p w14:paraId="3D17685E" w14:textId="77777777" w:rsidR="007C3497" w:rsidRPr="007C5A6E" w:rsidRDefault="007C3497" w:rsidP="009F25CF">
      <w:pPr>
        <w:pStyle w:val="Titre5"/>
        <w:keepNext w:val="0"/>
        <w:keepLines w:val="0"/>
        <w:numPr>
          <w:ilvl w:val="4"/>
          <w:numId w:val="4"/>
        </w:numPr>
        <w:spacing w:before="0"/>
        <w:ind w:left="907" w:hanging="907"/>
        <w:rPr>
          <w:rFonts w:ascii="Times New Roman" w:hAnsi="Times New Roman" w:cs="Times New Roman"/>
          <w:color w:val="auto"/>
          <w:u w:val="single"/>
          <w:lang w:eastAsia="en-US"/>
        </w:rPr>
      </w:pPr>
      <w:bookmarkStart w:id="1052" w:name="_Toc183340227"/>
      <w:r w:rsidRPr="007C5A6E">
        <w:rPr>
          <w:rFonts w:ascii="Times New Roman" w:hAnsi="Times New Roman" w:cs="Times New Roman"/>
          <w:color w:val="auto"/>
          <w:u w:val="single"/>
          <w:lang w:eastAsia="en-US"/>
        </w:rPr>
        <w:t>Invertébrés</w:t>
      </w:r>
      <w:bookmarkEnd w:id="1052"/>
    </w:p>
    <w:p w14:paraId="376405A6" w14:textId="77777777" w:rsidR="007C3497" w:rsidRPr="007C5A6E" w:rsidRDefault="007C3497" w:rsidP="009F25CF">
      <w:pPr>
        <w:spacing w:after="0" w:line="240" w:lineRule="auto"/>
        <w:contextualSpacing/>
        <w:jc w:val="both"/>
        <w:rPr>
          <w:rFonts w:ascii="Times New Roman" w:hAnsi="Times New Roman"/>
          <w:sz w:val="24"/>
          <w:szCs w:val="24"/>
        </w:rPr>
      </w:pPr>
    </w:p>
    <w:p w14:paraId="460BC327" w14:textId="33E01A77" w:rsidR="007C3497" w:rsidRPr="007C5A6E" w:rsidRDefault="007C3497" w:rsidP="009F25CF">
      <w:pPr>
        <w:spacing w:after="0" w:line="240" w:lineRule="auto"/>
        <w:contextualSpacing/>
        <w:jc w:val="both"/>
        <w:rPr>
          <w:rFonts w:ascii="Times New Roman" w:hAnsi="Times New Roman"/>
          <w:sz w:val="24"/>
          <w:szCs w:val="24"/>
        </w:rPr>
      </w:pPr>
      <w:r w:rsidRPr="007C5A6E">
        <w:rPr>
          <w:rFonts w:ascii="Times New Roman" w:hAnsi="Times New Roman"/>
          <w:sz w:val="24"/>
          <w:szCs w:val="24"/>
        </w:rPr>
        <w:t>Parmi les invertébrés présent au Burkina Faso, l’on connait aujourd’hui, 01 espèce de Cnidaire</w:t>
      </w:r>
      <w:r w:rsidRPr="007C5A6E">
        <w:rPr>
          <w:rFonts w:ascii="Times New Roman" w:hAnsi="Times New Roman"/>
          <w:sz w:val="24"/>
          <w:szCs w:val="24"/>
          <w:vertAlign w:val="superscript"/>
        </w:rPr>
        <w:footnoteReference w:id="10"/>
      </w:r>
      <w:r w:rsidRPr="007C5A6E">
        <w:rPr>
          <w:rFonts w:ascii="Times New Roman" w:hAnsi="Times New Roman"/>
          <w:sz w:val="24"/>
          <w:szCs w:val="24"/>
        </w:rPr>
        <w:t xml:space="preserve">, </w:t>
      </w:r>
      <w:proofErr w:type="spellStart"/>
      <w:r w:rsidRPr="007C5A6E">
        <w:rPr>
          <w:rFonts w:ascii="Times New Roman" w:hAnsi="Times New Roman"/>
          <w:i/>
          <w:iCs/>
          <w:sz w:val="24"/>
          <w:szCs w:val="24"/>
        </w:rPr>
        <w:t>Limnocnida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tanganjicae</w:t>
      </w:r>
      <w:proofErr w:type="spellEnd"/>
      <w:r w:rsidRPr="007C5A6E">
        <w:rPr>
          <w:rFonts w:ascii="Times New Roman" w:hAnsi="Times New Roman"/>
          <w:sz w:val="24"/>
          <w:szCs w:val="24"/>
        </w:rPr>
        <w:t xml:space="preserve"> de la famille des </w:t>
      </w:r>
      <w:proofErr w:type="spellStart"/>
      <w:proofErr w:type="gramStart"/>
      <w:r w:rsidRPr="007C5A6E">
        <w:rPr>
          <w:rFonts w:ascii="Times New Roman" w:hAnsi="Times New Roman"/>
          <w:sz w:val="24"/>
          <w:szCs w:val="24"/>
        </w:rPr>
        <w:t>Olindiidae</w:t>
      </w:r>
      <w:proofErr w:type="spellEnd"/>
      <w:r w:rsidRPr="007C5A6E">
        <w:rPr>
          <w:rFonts w:ascii="Times New Roman" w:hAnsi="Times New Roman"/>
          <w:sz w:val="24"/>
          <w:szCs w:val="24"/>
        </w:rPr>
        <w:t>;</w:t>
      </w:r>
      <w:proofErr w:type="gramEnd"/>
      <w:r w:rsidRPr="007C5A6E">
        <w:rPr>
          <w:rFonts w:ascii="Times New Roman" w:hAnsi="Times New Roman"/>
          <w:sz w:val="24"/>
          <w:szCs w:val="24"/>
        </w:rPr>
        <w:t xml:space="preserve"> 04 espèces de Trématodes</w:t>
      </w:r>
      <w:r w:rsidRPr="007C5A6E">
        <w:rPr>
          <w:rFonts w:ascii="Times New Roman" w:hAnsi="Times New Roman"/>
          <w:sz w:val="24"/>
          <w:szCs w:val="24"/>
          <w:vertAlign w:val="superscript"/>
        </w:rPr>
        <w:footnoteReference w:id="11"/>
      </w:r>
      <w:r w:rsidRPr="007C5A6E">
        <w:rPr>
          <w:rFonts w:ascii="Times New Roman" w:hAnsi="Times New Roman"/>
          <w:sz w:val="24"/>
          <w:szCs w:val="24"/>
        </w:rPr>
        <w:t xml:space="preserve"> (Plathelminthes): </w:t>
      </w:r>
      <w:proofErr w:type="spellStart"/>
      <w:r w:rsidRPr="007C5A6E">
        <w:rPr>
          <w:rFonts w:ascii="Times New Roman" w:hAnsi="Times New Roman"/>
          <w:i/>
          <w:iCs/>
          <w:sz w:val="24"/>
          <w:szCs w:val="24"/>
        </w:rPr>
        <w:t>Clinostomum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complanatum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Clinostomum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cutaneum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Clinostomum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sp</w:t>
      </w:r>
      <w:proofErr w:type="spellEnd"/>
      <w:r w:rsidRPr="007C5A6E">
        <w:rPr>
          <w:rFonts w:ascii="Times New Roman" w:hAnsi="Times New Roman"/>
          <w:i/>
          <w:iCs/>
          <w:sz w:val="24"/>
          <w:szCs w:val="24"/>
        </w:rPr>
        <w:t>.</w:t>
      </w:r>
      <w:r w:rsidRPr="007C5A6E">
        <w:rPr>
          <w:rFonts w:ascii="Times New Roman" w:hAnsi="Times New Roman"/>
          <w:sz w:val="24"/>
          <w:szCs w:val="24"/>
        </w:rPr>
        <w:t xml:space="preserve"> et </w:t>
      </w:r>
      <w:proofErr w:type="spellStart"/>
      <w:r w:rsidRPr="007C5A6E">
        <w:rPr>
          <w:rFonts w:ascii="Times New Roman" w:hAnsi="Times New Roman"/>
          <w:i/>
          <w:iCs/>
          <w:sz w:val="24"/>
          <w:szCs w:val="24"/>
        </w:rPr>
        <w:t>Clinostomum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tilapiae</w:t>
      </w:r>
      <w:proofErr w:type="spellEnd"/>
      <w:r w:rsidRPr="007C5A6E">
        <w:rPr>
          <w:rFonts w:ascii="Times New Roman" w:hAnsi="Times New Roman"/>
          <w:sz w:val="24"/>
          <w:szCs w:val="24"/>
        </w:rPr>
        <w:t> ; 07 espèces de Cestodes</w:t>
      </w:r>
      <w:r w:rsidRPr="007C5A6E">
        <w:rPr>
          <w:rFonts w:ascii="Times New Roman" w:hAnsi="Times New Roman"/>
          <w:sz w:val="24"/>
          <w:szCs w:val="24"/>
          <w:vertAlign w:val="superscript"/>
        </w:rPr>
        <w:footnoteReference w:id="12"/>
      </w:r>
      <w:r w:rsidRPr="007C5A6E">
        <w:rPr>
          <w:rFonts w:ascii="Times New Roman" w:hAnsi="Times New Roman"/>
          <w:sz w:val="24"/>
          <w:szCs w:val="24"/>
        </w:rPr>
        <w:t xml:space="preserve"> (Plathelminthes) aquatiques : </w:t>
      </w:r>
      <w:proofErr w:type="spellStart"/>
      <w:r w:rsidRPr="007C5A6E">
        <w:rPr>
          <w:rFonts w:ascii="Times New Roman" w:hAnsi="Times New Roman"/>
          <w:i/>
          <w:iCs/>
          <w:sz w:val="24"/>
          <w:szCs w:val="24"/>
        </w:rPr>
        <w:t>Monobothrioides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cunningtoni</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Monobothrioides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sp</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Proteocephallus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membranacei</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Polyonchobothrium</w:t>
      </w:r>
      <w:proofErr w:type="spellEnd"/>
      <w:r w:rsidRPr="007C5A6E">
        <w:rPr>
          <w:rFonts w:ascii="Times New Roman" w:hAnsi="Times New Roman"/>
          <w:i/>
          <w:iCs/>
          <w:sz w:val="24"/>
          <w:szCs w:val="24"/>
        </w:rPr>
        <w:t xml:space="preserve"> clarias, </w:t>
      </w:r>
      <w:proofErr w:type="spellStart"/>
      <w:r w:rsidRPr="007C5A6E">
        <w:rPr>
          <w:rFonts w:ascii="Times New Roman" w:hAnsi="Times New Roman"/>
          <w:i/>
          <w:iCs/>
          <w:sz w:val="24"/>
          <w:szCs w:val="24"/>
        </w:rPr>
        <w:t>Polyonchobothrium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polypteri</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Proteocephalus</w:t>
      </w:r>
      <w:proofErr w:type="spellEnd"/>
      <w:r w:rsidRPr="007C5A6E">
        <w:rPr>
          <w:rFonts w:ascii="Times New Roman" w:hAnsi="Times New Roman"/>
          <w:sz w:val="24"/>
          <w:szCs w:val="24"/>
        </w:rPr>
        <w:t xml:space="preserve"> (NA) et </w:t>
      </w:r>
      <w:proofErr w:type="spellStart"/>
      <w:r w:rsidRPr="007C5A6E">
        <w:rPr>
          <w:rFonts w:ascii="Times New Roman" w:hAnsi="Times New Roman"/>
          <w:i/>
          <w:iCs/>
          <w:sz w:val="24"/>
          <w:szCs w:val="24"/>
        </w:rPr>
        <w:t>Tetracampos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ciliotheca</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Wedl</w:t>
      </w:r>
      <w:proofErr w:type="spellEnd"/>
      <w:r w:rsidRPr="007C5A6E">
        <w:rPr>
          <w:rFonts w:ascii="Times New Roman" w:hAnsi="Times New Roman"/>
          <w:sz w:val="24"/>
          <w:szCs w:val="24"/>
        </w:rPr>
        <w:t>, 1861 ; 10 espèces de Monogènes</w:t>
      </w:r>
      <w:r w:rsidRPr="007C5A6E">
        <w:rPr>
          <w:rFonts w:ascii="Times New Roman" w:hAnsi="Times New Roman"/>
          <w:sz w:val="24"/>
          <w:szCs w:val="24"/>
          <w:vertAlign w:val="superscript"/>
        </w:rPr>
        <w:footnoteReference w:id="13"/>
      </w:r>
      <w:r w:rsidRPr="007C5A6E">
        <w:rPr>
          <w:rFonts w:ascii="Times New Roman" w:hAnsi="Times New Roman"/>
          <w:sz w:val="24"/>
          <w:szCs w:val="24"/>
        </w:rPr>
        <w:t xml:space="preserve"> (Plathelminthes) ; 55 espèces de rotifères</w:t>
      </w:r>
      <w:r w:rsidRPr="007C5A6E">
        <w:rPr>
          <w:rFonts w:ascii="Times New Roman" w:hAnsi="Times New Roman"/>
          <w:sz w:val="24"/>
          <w:szCs w:val="24"/>
          <w:vertAlign w:val="superscript"/>
        </w:rPr>
        <w:footnoteReference w:id="14"/>
      </w:r>
      <w:r w:rsidRPr="007C5A6E">
        <w:rPr>
          <w:rFonts w:ascii="Times New Roman" w:hAnsi="Times New Roman"/>
          <w:sz w:val="24"/>
          <w:szCs w:val="24"/>
        </w:rPr>
        <w:t>; 09 espèces de Nématodes</w:t>
      </w:r>
      <w:r w:rsidRPr="007C5A6E">
        <w:rPr>
          <w:rFonts w:ascii="Times New Roman" w:hAnsi="Times New Roman"/>
          <w:sz w:val="24"/>
          <w:szCs w:val="24"/>
          <w:vertAlign w:val="superscript"/>
        </w:rPr>
        <w:footnoteReference w:id="15"/>
      </w:r>
      <w:r w:rsidRPr="007C5A6E">
        <w:rPr>
          <w:rFonts w:ascii="Times New Roman" w:hAnsi="Times New Roman"/>
          <w:sz w:val="24"/>
          <w:szCs w:val="24"/>
        </w:rPr>
        <w:t xml:space="preserve"> (vers ronds) aquatiques ; 28 espèces de mollusques</w:t>
      </w:r>
      <w:r w:rsidRPr="007C5A6E">
        <w:rPr>
          <w:rFonts w:ascii="Times New Roman" w:hAnsi="Times New Roman"/>
          <w:sz w:val="24"/>
          <w:szCs w:val="24"/>
          <w:vertAlign w:val="superscript"/>
        </w:rPr>
        <w:footnoteReference w:id="16"/>
      </w:r>
      <w:r w:rsidRPr="007C5A6E">
        <w:rPr>
          <w:rFonts w:ascii="Times New Roman" w:hAnsi="Times New Roman"/>
          <w:sz w:val="24"/>
          <w:szCs w:val="24"/>
        </w:rPr>
        <w:t>; 76 espèces d’annélides</w:t>
      </w:r>
      <w:r w:rsidRPr="007C5A6E">
        <w:rPr>
          <w:rFonts w:ascii="Times New Roman" w:hAnsi="Times New Roman"/>
          <w:sz w:val="24"/>
          <w:szCs w:val="24"/>
          <w:vertAlign w:val="superscript"/>
        </w:rPr>
        <w:footnoteReference w:id="17"/>
      </w:r>
      <w:r w:rsidRPr="007C5A6E">
        <w:rPr>
          <w:rFonts w:ascii="Times New Roman" w:hAnsi="Times New Roman"/>
          <w:sz w:val="24"/>
          <w:szCs w:val="24"/>
        </w:rPr>
        <w:t>; 34 espèces de crustacés</w:t>
      </w:r>
      <w:r w:rsidRPr="007C5A6E">
        <w:rPr>
          <w:rFonts w:ascii="Times New Roman" w:hAnsi="Times New Roman"/>
          <w:sz w:val="24"/>
          <w:szCs w:val="24"/>
          <w:vertAlign w:val="superscript"/>
        </w:rPr>
        <w:footnoteReference w:id="18"/>
      </w:r>
      <w:r w:rsidRPr="007C5A6E">
        <w:rPr>
          <w:rFonts w:ascii="Times New Roman" w:hAnsi="Times New Roman"/>
          <w:sz w:val="24"/>
          <w:szCs w:val="24"/>
        </w:rPr>
        <w:t xml:space="preserve"> et 1608 espèces d’insectes. </w:t>
      </w:r>
    </w:p>
    <w:p w14:paraId="4C4A8350" w14:textId="77777777" w:rsidR="007C3497" w:rsidRPr="007C5A6E" w:rsidRDefault="007C3497" w:rsidP="009F25CF">
      <w:pPr>
        <w:spacing w:after="0" w:line="240" w:lineRule="auto"/>
        <w:jc w:val="both"/>
        <w:rPr>
          <w:rFonts w:ascii="Times New Roman" w:hAnsi="Times New Roman"/>
          <w:sz w:val="24"/>
          <w:szCs w:val="24"/>
        </w:rPr>
      </w:pPr>
    </w:p>
    <w:p w14:paraId="619C6D3A" w14:textId="77777777" w:rsidR="007C3497" w:rsidRPr="007C5A6E" w:rsidRDefault="007C3497" w:rsidP="009F25CF">
      <w:pPr>
        <w:pStyle w:val="Titre5"/>
        <w:keepNext w:val="0"/>
        <w:keepLines w:val="0"/>
        <w:numPr>
          <w:ilvl w:val="4"/>
          <w:numId w:val="4"/>
        </w:numPr>
        <w:spacing w:before="0"/>
        <w:ind w:left="907" w:hanging="907"/>
        <w:rPr>
          <w:rFonts w:ascii="Times New Roman" w:hAnsi="Times New Roman" w:cs="Times New Roman"/>
          <w:color w:val="auto"/>
          <w:u w:val="single"/>
          <w:lang w:eastAsia="en-US"/>
        </w:rPr>
      </w:pPr>
      <w:bookmarkStart w:id="1053" w:name="_Toc183340228"/>
      <w:r w:rsidRPr="007C5A6E">
        <w:rPr>
          <w:rFonts w:ascii="Times New Roman" w:hAnsi="Times New Roman" w:cs="Times New Roman"/>
          <w:color w:val="auto"/>
          <w:u w:val="single"/>
          <w:lang w:eastAsia="en-US"/>
        </w:rPr>
        <w:t>Vertébrés</w:t>
      </w:r>
      <w:bookmarkEnd w:id="1053"/>
    </w:p>
    <w:p w14:paraId="278A7AE3" w14:textId="77777777" w:rsidR="007C3497" w:rsidRPr="007C5A6E" w:rsidRDefault="007C3497" w:rsidP="009F25CF">
      <w:pPr>
        <w:spacing w:after="0" w:line="240" w:lineRule="auto"/>
        <w:contextualSpacing/>
        <w:jc w:val="both"/>
        <w:rPr>
          <w:rFonts w:ascii="Times New Roman" w:hAnsi="Times New Roman"/>
          <w:sz w:val="24"/>
          <w:szCs w:val="24"/>
        </w:rPr>
      </w:pPr>
    </w:p>
    <w:p w14:paraId="491729C1" w14:textId="18E51605" w:rsidR="007C3497" w:rsidRPr="007C5A6E" w:rsidRDefault="007C3497" w:rsidP="009F25CF">
      <w:pPr>
        <w:spacing w:after="0" w:line="240" w:lineRule="auto"/>
        <w:contextualSpacing/>
        <w:jc w:val="both"/>
        <w:rPr>
          <w:rFonts w:ascii="Times New Roman" w:hAnsi="Times New Roman"/>
          <w:b/>
          <w:bCs/>
          <w:i/>
          <w:iCs/>
          <w:sz w:val="24"/>
          <w:szCs w:val="24"/>
        </w:rPr>
      </w:pPr>
      <w:r w:rsidRPr="007C5A6E">
        <w:rPr>
          <w:rFonts w:ascii="Times New Roman" w:hAnsi="Times New Roman"/>
          <w:sz w:val="24"/>
          <w:szCs w:val="24"/>
        </w:rPr>
        <w:t>Les vertébrés connus aux Burkina Faso sont :</w:t>
      </w:r>
    </w:p>
    <w:p w14:paraId="18A9A93B" w14:textId="77777777" w:rsidR="007C3497" w:rsidRPr="007C5A6E" w:rsidRDefault="007C3497" w:rsidP="009F25CF">
      <w:pPr>
        <w:numPr>
          <w:ilvl w:val="0"/>
          <w:numId w:val="35"/>
        </w:numPr>
        <w:spacing w:after="0" w:line="240" w:lineRule="auto"/>
        <w:ind w:left="357" w:hanging="357"/>
        <w:contextualSpacing/>
        <w:jc w:val="both"/>
        <w:rPr>
          <w:rFonts w:ascii="Times New Roman" w:hAnsi="Times New Roman"/>
          <w:sz w:val="24"/>
          <w:szCs w:val="24"/>
        </w:rPr>
      </w:pPr>
      <w:proofErr w:type="gramStart"/>
      <w:r w:rsidRPr="007C5A6E">
        <w:rPr>
          <w:rFonts w:ascii="Times New Roman" w:hAnsi="Times New Roman"/>
          <w:sz w:val="24"/>
          <w:szCs w:val="24"/>
        </w:rPr>
        <w:t>les</w:t>
      </w:r>
      <w:proofErr w:type="gramEnd"/>
      <w:r w:rsidRPr="007C5A6E">
        <w:rPr>
          <w:rFonts w:ascii="Times New Roman" w:hAnsi="Times New Roman"/>
          <w:sz w:val="24"/>
          <w:szCs w:val="24"/>
        </w:rPr>
        <w:t xml:space="preserve"> poissons osseux comportent 128 espèces (</w:t>
      </w:r>
      <w:proofErr w:type="spellStart"/>
      <w:r w:rsidRPr="007C5A6E">
        <w:rPr>
          <w:rFonts w:ascii="Times New Roman" w:hAnsi="Times New Roman"/>
          <w:sz w:val="24"/>
          <w:szCs w:val="24"/>
        </w:rPr>
        <w:t>Osteichthyens</w:t>
      </w:r>
      <w:proofErr w:type="spellEnd"/>
      <w:r w:rsidRPr="007C5A6E">
        <w:rPr>
          <w:rFonts w:ascii="Times New Roman" w:hAnsi="Times New Roman"/>
          <w:sz w:val="24"/>
          <w:szCs w:val="24"/>
        </w:rPr>
        <w:t xml:space="preserve">) dons les plus grands groupes (familles) sont les </w:t>
      </w:r>
      <w:proofErr w:type="spellStart"/>
      <w:r w:rsidRPr="007C5A6E">
        <w:rPr>
          <w:rFonts w:ascii="Times New Roman" w:hAnsi="Times New Roman"/>
          <w:sz w:val="24"/>
          <w:szCs w:val="24"/>
        </w:rPr>
        <w:t>Cyprinidae</w:t>
      </w:r>
      <w:proofErr w:type="spellEnd"/>
      <w:r w:rsidRPr="007C5A6E">
        <w:rPr>
          <w:rFonts w:ascii="Times New Roman" w:hAnsi="Times New Roman"/>
          <w:sz w:val="24"/>
          <w:szCs w:val="24"/>
        </w:rPr>
        <w:t xml:space="preserve"> (23 espèces), les </w:t>
      </w:r>
      <w:proofErr w:type="spellStart"/>
      <w:r w:rsidRPr="007C5A6E">
        <w:rPr>
          <w:rFonts w:ascii="Times New Roman" w:hAnsi="Times New Roman"/>
          <w:sz w:val="24"/>
          <w:szCs w:val="24"/>
        </w:rPr>
        <w:t>Mormyridae</w:t>
      </w:r>
      <w:proofErr w:type="spellEnd"/>
      <w:r w:rsidRPr="007C5A6E">
        <w:rPr>
          <w:rFonts w:ascii="Times New Roman" w:hAnsi="Times New Roman"/>
          <w:sz w:val="24"/>
          <w:szCs w:val="24"/>
        </w:rPr>
        <w:t xml:space="preserve"> (21 espèces), les </w:t>
      </w:r>
      <w:proofErr w:type="spellStart"/>
      <w:r w:rsidRPr="007C5A6E">
        <w:rPr>
          <w:rFonts w:ascii="Times New Roman" w:hAnsi="Times New Roman"/>
          <w:sz w:val="24"/>
          <w:szCs w:val="24"/>
        </w:rPr>
        <w:t>Mochokidae</w:t>
      </w:r>
      <w:proofErr w:type="spellEnd"/>
      <w:r w:rsidRPr="007C5A6E">
        <w:rPr>
          <w:rFonts w:ascii="Times New Roman" w:hAnsi="Times New Roman"/>
          <w:sz w:val="24"/>
          <w:szCs w:val="24"/>
        </w:rPr>
        <w:t xml:space="preserve"> (20 espèces) et enfin les </w:t>
      </w:r>
      <w:proofErr w:type="spellStart"/>
      <w:r w:rsidRPr="007C5A6E">
        <w:rPr>
          <w:rFonts w:ascii="Times New Roman" w:hAnsi="Times New Roman"/>
          <w:sz w:val="24"/>
          <w:szCs w:val="24"/>
        </w:rPr>
        <w:t>Alestidae</w:t>
      </w:r>
      <w:proofErr w:type="spellEnd"/>
      <w:r w:rsidRPr="007C5A6E">
        <w:rPr>
          <w:rFonts w:ascii="Times New Roman" w:hAnsi="Times New Roman"/>
          <w:sz w:val="24"/>
          <w:szCs w:val="24"/>
        </w:rPr>
        <w:t xml:space="preserve"> (17 espèces) (</w:t>
      </w:r>
      <w:proofErr w:type="spellStart"/>
      <w:r w:rsidRPr="007C5A6E">
        <w:rPr>
          <w:rFonts w:ascii="Times New Roman" w:hAnsi="Times New Roman"/>
          <w:sz w:val="24"/>
          <w:szCs w:val="24"/>
        </w:rPr>
        <w:t>Silga</w:t>
      </w:r>
      <w:proofErr w:type="spellEnd"/>
      <w:r w:rsidRPr="007C5A6E">
        <w:rPr>
          <w:rFonts w:ascii="Times New Roman" w:hAnsi="Times New Roman"/>
          <w:sz w:val="24"/>
          <w:szCs w:val="24"/>
        </w:rPr>
        <w:t xml:space="preserve">, 2021) ; </w:t>
      </w:r>
    </w:p>
    <w:p w14:paraId="3FCE074A" w14:textId="13E9FD83" w:rsidR="007C3497" w:rsidRPr="007C5A6E" w:rsidRDefault="007C3497" w:rsidP="009F25CF">
      <w:pPr>
        <w:numPr>
          <w:ilvl w:val="0"/>
          <w:numId w:val="35"/>
        </w:numPr>
        <w:spacing w:after="0" w:line="240" w:lineRule="auto"/>
        <w:ind w:left="357" w:hanging="357"/>
        <w:contextualSpacing/>
        <w:jc w:val="both"/>
        <w:rPr>
          <w:rFonts w:ascii="Times New Roman" w:hAnsi="Times New Roman"/>
          <w:sz w:val="24"/>
          <w:szCs w:val="24"/>
        </w:rPr>
      </w:pPr>
      <w:proofErr w:type="gramStart"/>
      <w:r w:rsidRPr="007C5A6E">
        <w:rPr>
          <w:rFonts w:ascii="Times New Roman" w:hAnsi="Times New Roman"/>
          <w:sz w:val="24"/>
          <w:szCs w:val="24"/>
        </w:rPr>
        <w:t>les</w:t>
      </w:r>
      <w:proofErr w:type="gramEnd"/>
      <w:r w:rsidRPr="007C5A6E">
        <w:rPr>
          <w:rFonts w:ascii="Times New Roman" w:hAnsi="Times New Roman"/>
          <w:sz w:val="24"/>
          <w:szCs w:val="24"/>
        </w:rPr>
        <w:t xml:space="preserve"> amphibiens avec </w:t>
      </w:r>
      <w:r w:rsidRPr="007C5A6E">
        <w:rPr>
          <w:rFonts w:ascii="Times New Roman" w:hAnsi="Times New Roman"/>
          <w:sz w:val="24"/>
          <w:szCs w:val="24"/>
          <w:lang w:bidi="he-IL"/>
        </w:rPr>
        <w:t xml:space="preserve">42 espèces ; toutefois </w:t>
      </w:r>
      <w:r w:rsidRPr="007C5A6E">
        <w:rPr>
          <w:rFonts w:ascii="Times New Roman" w:hAnsi="Times New Roman"/>
          <w:sz w:val="24"/>
          <w:szCs w:val="24"/>
        </w:rPr>
        <w:t xml:space="preserve">la mise à jour réalisée par </w:t>
      </w:r>
      <w:proofErr w:type="spellStart"/>
      <w:r w:rsidRPr="007C5A6E">
        <w:rPr>
          <w:rFonts w:ascii="Times New Roman" w:hAnsi="Times New Roman"/>
          <w:sz w:val="24"/>
          <w:szCs w:val="24"/>
        </w:rPr>
        <w:t>Ayoro</w:t>
      </w:r>
      <w:proofErr w:type="spellEnd"/>
      <w:r w:rsidRPr="007C5A6E">
        <w:rPr>
          <w:rFonts w:ascii="Times New Roman" w:hAnsi="Times New Roman"/>
          <w:sz w:val="24"/>
          <w:szCs w:val="24"/>
        </w:rPr>
        <w:t xml:space="preserve"> et al., (2020) ainsi que les travaux de </w:t>
      </w:r>
      <w:proofErr w:type="spellStart"/>
      <w:r w:rsidRPr="007C5A6E">
        <w:rPr>
          <w:rFonts w:ascii="Times New Roman" w:hAnsi="Times New Roman"/>
          <w:sz w:val="24"/>
          <w:szCs w:val="24"/>
        </w:rPr>
        <w:t>Dayama</w:t>
      </w:r>
      <w:proofErr w:type="spellEnd"/>
      <w:r w:rsidRPr="007C5A6E">
        <w:rPr>
          <w:rFonts w:ascii="Times New Roman" w:hAnsi="Times New Roman"/>
          <w:sz w:val="24"/>
          <w:szCs w:val="24"/>
        </w:rPr>
        <w:t>, (2020) confirme l’existence de 39 espèces (Grenouilles, salamandres) ;</w:t>
      </w:r>
    </w:p>
    <w:p w14:paraId="5DFA66F7" w14:textId="77777777" w:rsidR="007C3497" w:rsidRPr="007C5A6E" w:rsidRDefault="007C3497" w:rsidP="009F25CF">
      <w:pPr>
        <w:numPr>
          <w:ilvl w:val="0"/>
          <w:numId w:val="35"/>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les reptiles avec 98 espèces, dont 11 espèces de tortues (</w:t>
      </w:r>
      <w:proofErr w:type="spellStart"/>
      <w:r w:rsidRPr="007C5A6E">
        <w:rPr>
          <w:rFonts w:ascii="Times New Roman" w:hAnsi="Times New Roman"/>
          <w:sz w:val="24"/>
          <w:szCs w:val="24"/>
          <w:lang w:bidi="he-IL"/>
        </w:rPr>
        <w:t>Lankoandé</w:t>
      </w:r>
      <w:proofErr w:type="spellEnd"/>
      <w:r w:rsidRPr="007C5A6E">
        <w:rPr>
          <w:rFonts w:ascii="Times New Roman" w:hAnsi="Times New Roman"/>
          <w:sz w:val="24"/>
          <w:szCs w:val="24"/>
          <w:lang w:bidi="he-IL"/>
        </w:rPr>
        <w:t>, 2023</w:t>
      </w:r>
      <w:r w:rsidRPr="007C5A6E">
        <w:rPr>
          <w:rFonts w:ascii="Times New Roman" w:hAnsi="Times New Roman"/>
          <w:sz w:val="24"/>
          <w:szCs w:val="24"/>
        </w:rPr>
        <w:t xml:space="preserve">) ; 03 espèces de crocodiles ; 67 espèces de serpents et 24 espèces de « lézards»; A noter que </w:t>
      </w:r>
      <w:proofErr w:type="spellStart"/>
      <w:r w:rsidRPr="007C5A6E">
        <w:rPr>
          <w:rFonts w:ascii="Times New Roman" w:hAnsi="Times New Roman"/>
          <w:sz w:val="24"/>
          <w:szCs w:val="24"/>
        </w:rPr>
        <w:t>Dayama</w:t>
      </w:r>
      <w:proofErr w:type="spellEnd"/>
      <w:r w:rsidRPr="007C5A6E">
        <w:rPr>
          <w:rFonts w:ascii="Times New Roman" w:hAnsi="Times New Roman"/>
          <w:sz w:val="24"/>
          <w:szCs w:val="24"/>
        </w:rPr>
        <w:t xml:space="preserve">, (2020) rapport en plus, la présence d’une nouvelle espèces de geckos du genre </w:t>
      </w:r>
      <w:proofErr w:type="spellStart"/>
      <w:r w:rsidRPr="007C5A6E">
        <w:rPr>
          <w:rFonts w:ascii="Times New Roman" w:hAnsi="Times New Roman"/>
          <w:sz w:val="24"/>
          <w:szCs w:val="24"/>
        </w:rPr>
        <w:t>Ptyodactylus</w:t>
      </w:r>
      <w:proofErr w:type="spellEnd"/>
      <w:r w:rsidRPr="007C5A6E">
        <w:rPr>
          <w:rFonts w:ascii="Times New Roman" w:hAnsi="Times New Roman"/>
          <w:sz w:val="24"/>
          <w:szCs w:val="24"/>
        </w:rPr>
        <w:t>, ce qui porte à deux le nombre d’espèces de ce genre; Au sujet des crocodiles il faut noter que les travaux récents de Ouédraogo (2020) n’ont répertorié qu’une seule espèce de crocodile au Burkina Faso après avoir visité 112 plans d’eau reparties sur l’ensemble du territoire, entre 2005 et 2018.</w:t>
      </w:r>
      <w:r w:rsidRPr="007C5A6E">
        <w:t xml:space="preserve"> </w:t>
      </w:r>
      <w:proofErr w:type="spellStart"/>
      <w:r w:rsidRPr="007C5A6E">
        <w:rPr>
          <w:rFonts w:ascii="Times New Roman" w:hAnsi="Times New Roman"/>
          <w:i/>
          <w:iCs/>
          <w:sz w:val="24"/>
          <w:szCs w:val="24"/>
        </w:rPr>
        <w:t>Osteolaemus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tetraspis</w:t>
      </w:r>
      <w:proofErr w:type="spellEnd"/>
      <w:r w:rsidRPr="007C5A6E">
        <w:rPr>
          <w:rFonts w:ascii="Times New Roman" w:hAnsi="Times New Roman"/>
          <w:sz w:val="24"/>
          <w:szCs w:val="24"/>
        </w:rPr>
        <w:t xml:space="preserve"> et </w:t>
      </w:r>
      <w:proofErr w:type="spellStart"/>
      <w:r w:rsidRPr="007C5A6E">
        <w:rPr>
          <w:rFonts w:ascii="Times New Roman" w:hAnsi="Times New Roman"/>
          <w:i/>
          <w:iCs/>
          <w:sz w:val="24"/>
          <w:szCs w:val="24"/>
        </w:rPr>
        <w:t>Mecistops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cataphractus</w:t>
      </w:r>
      <w:proofErr w:type="spellEnd"/>
      <w:r w:rsidRPr="007C5A6E">
        <w:rPr>
          <w:rFonts w:ascii="Times New Roman" w:hAnsi="Times New Roman"/>
          <w:sz w:val="24"/>
          <w:szCs w:val="24"/>
        </w:rPr>
        <w:t xml:space="preserve"> déjà signalé comme espèces menacées sur la Liste Rouge de l’UICN n’ont pas été rencontrées (OUEDA et al., 2021) ;</w:t>
      </w:r>
    </w:p>
    <w:p w14:paraId="6A4CFDB3" w14:textId="77777777" w:rsidR="007C3497" w:rsidRPr="007C5A6E" w:rsidRDefault="007C3497" w:rsidP="009F25CF">
      <w:pPr>
        <w:numPr>
          <w:ilvl w:val="0"/>
          <w:numId w:val="35"/>
        </w:numPr>
        <w:spacing w:after="0" w:line="240" w:lineRule="auto"/>
        <w:ind w:left="357" w:hanging="357"/>
        <w:contextualSpacing/>
        <w:jc w:val="both"/>
        <w:rPr>
          <w:rFonts w:ascii="Times New Roman" w:hAnsi="Times New Roman"/>
          <w:sz w:val="24"/>
          <w:szCs w:val="24"/>
        </w:rPr>
      </w:pPr>
      <w:proofErr w:type="gramStart"/>
      <w:r w:rsidRPr="007C5A6E">
        <w:rPr>
          <w:rFonts w:ascii="Times New Roman" w:hAnsi="Times New Roman"/>
          <w:sz w:val="24"/>
          <w:szCs w:val="24"/>
        </w:rPr>
        <w:t>les</w:t>
      </w:r>
      <w:proofErr w:type="gramEnd"/>
      <w:r w:rsidRPr="007C5A6E">
        <w:rPr>
          <w:rFonts w:ascii="Times New Roman" w:hAnsi="Times New Roman"/>
          <w:sz w:val="24"/>
          <w:szCs w:val="24"/>
        </w:rPr>
        <w:t xml:space="preserve"> oiseaux qui comportent 520 espèces d’oiseaux sauvages et 23 races d’oiseaux d’élevage ; Par ailleurs, la mise à jour réalisée par </w:t>
      </w:r>
      <w:bookmarkStart w:id="1054" w:name="_Hlk182483922"/>
      <w:proofErr w:type="spellStart"/>
      <w:r w:rsidRPr="007C5A6E">
        <w:rPr>
          <w:rFonts w:ascii="Times New Roman" w:hAnsi="Times New Roman"/>
          <w:sz w:val="24"/>
          <w:szCs w:val="24"/>
        </w:rPr>
        <w:t>Boano</w:t>
      </w:r>
      <w:proofErr w:type="spellEnd"/>
      <w:r w:rsidRPr="007C5A6E">
        <w:rPr>
          <w:rFonts w:ascii="Times New Roman" w:hAnsi="Times New Roman"/>
          <w:sz w:val="24"/>
          <w:szCs w:val="24"/>
        </w:rPr>
        <w:t xml:space="preserve"> et al. (2022) </w:t>
      </w:r>
      <w:bookmarkEnd w:id="1054"/>
      <w:r w:rsidRPr="007C5A6E">
        <w:rPr>
          <w:rFonts w:ascii="Times New Roman" w:hAnsi="Times New Roman"/>
          <w:sz w:val="24"/>
          <w:szCs w:val="24"/>
        </w:rPr>
        <w:t>a permis de confirmer plutôt 486 espèces d’oiseaux sauvages pour le pays ;</w:t>
      </w:r>
    </w:p>
    <w:p w14:paraId="26ADB26A" w14:textId="77777777" w:rsidR="007C3497" w:rsidRPr="007C5A6E" w:rsidRDefault="007C3497" w:rsidP="009F25CF">
      <w:pPr>
        <w:numPr>
          <w:ilvl w:val="0"/>
          <w:numId w:val="35"/>
        </w:numPr>
        <w:spacing w:after="0" w:line="240" w:lineRule="auto"/>
        <w:ind w:left="357" w:hanging="357"/>
        <w:contextualSpacing/>
        <w:jc w:val="both"/>
        <w:rPr>
          <w:rFonts w:ascii="Times New Roman" w:hAnsi="Times New Roman"/>
          <w:sz w:val="24"/>
          <w:szCs w:val="24"/>
        </w:rPr>
      </w:pPr>
      <w:proofErr w:type="gramStart"/>
      <w:r w:rsidRPr="007C5A6E">
        <w:rPr>
          <w:rFonts w:ascii="Times New Roman" w:hAnsi="Times New Roman"/>
          <w:sz w:val="24"/>
          <w:szCs w:val="24"/>
        </w:rPr>
        <w:t>les</w:t>
      </w:r>
      <w:proofErr w:type="gramEnd"/>
      <w:r w:rsidRPr="007C5A6E">
        <w:rPr>
          <w:rFonts w:ascii="Times New Roman" w:hAnsi="Times New Roman"/>
          <w:sz w:val="24"/>
          <w:szCs w:val="24"/>
        </w:rPr>
        <w:t xml:space="preserve"> mammifères sauvages avec 140 espèces dont 52 espèces de chauves-souris; 91 races de mammifères d’élevage parmi lesquelles on distingue des races locales, importées ou résultant de croisements divers. </w:t>
      </w:r>
    </w:p>
    <w:p w14:paraId="70A2660B" w14:textId="77777777" w:rsidR="007C3497" w:rsidRPr="007C5A6E" w:rsidRDefault="007C3497" w:rsidP="009F25CF">
      <w:pPr>
        <w:spacing w:after="0" w:line="240" w:lineRule="auto"/>
        <w:ind w:left="720"/>
        <w:contextualSpacing/>
        <w:jc w:val="both"/>
        <w:rPr>
          <w:rFonts w:ascii="Times New Roman" w:hAnsi="Times New Roman"/>
          <w:sz w:val="24"/>
          <w:szCs w:val="24"/>
        </w:rPr>
      </w:pPr>
    </w:p>
    <w:p w14:paraId="2131B686" w14:textId="77777777" w:rsidR="007C3497" w:rsidRPr="007C5A6E" w:rsidRDefault="007C3497" w:rsidP="009F25CF">
      <w:pPr>
        <w:pStyle w:val="Titre5"/>
        <w:keepNext w:val="0"/>
        <w:keepLines w:val="0"/>
        <w:numPr>
          <w:ilvl w:val="4"/>
          <w:numId w:val="4"/>
        </w:numPr>
        <w:spacing w:before="0"/>
        <w:ind w:left="907" w:hanging="907"/>
        <w:rPr>
          <w:rFonts w:ascii="Times New Roman" w:hAnsi="Times New Roman" w:cs="Times New Roman"/>
          <w:color w:val="auto"/>
          <w:u w:val="single"/>
          <w:lang w:eastAsia="en-US"/>
        </w:rPr>
      </w:pPr>
      <w:bookmarkStart w:id="1055" w:name="_Toc183340229"/>
      <w:r w:rsidRPr="007C5A6E">
        <w:rPr>
          <w:rFonts w:ascii="Times New Roman" w:hAnsi="Times New Roman" w:cs="Times New Roman"/>
          <w:color w:val="auto"/>
          <w:u w:val="single"/>
          <w:lang w:eastAsia="en-US"/>
        </w:rPr>
        <w:t>Espèces de plantes vasculaires introduites au Burkina Faso</w:t>
      </w:r>
      <w:bookmarkEnd w:id="1055"/>
    </w:p>
    <w:p w14:paraId="24457D4F" w14:textId="77777777" w:rsidR="007C3497" w:rsidRPr="007C5A6E" w:rsidRDefault="007C3497" w:rsidP="009F25CF">
      <w:pPr>
        <w:spacing w:after="0" w:line="240" w:lineRule="auto"/>
        <w:contextualSpacing/>
        <w:jc w:val="both"/>
        <w:rPr>
          <w:rFonts w:ascii="Times New Roman" w:hAnsi="Times New Roman"/>
          <w:sz w:val="24"/>
          <w:szCs w:val="24"/>
        </w:rPr>
      </w:pPr>
    </w:p>
    <w:p w14:paraId="0B33F658" w14:textId="50F363B8" w:rsidR="007C3497" w:rsidRPr="007C5A6E" w:rsidRDefault="007C3497" w:rsidP="009F25CF">
      <w:pPr>
        <w:spacing w:after="0" w:line="240" w:lineRule="auto"/>
        <w:contextualSpacing/>
        <w:jc w:val="both"/>
        <w:rPr>
          <w:rFonts w:ascii="Times New Roman" w:hAnsi="Times New Roman"/>
          <w:sz w:val="24"/>
          <w:szCs w:val="24"/>
        </w:rPr>
      </w:pPr>
      <w:r w:rsidRPr="007C5A6E">
        <w:rPr>
          <w:rFonts w:ascii="Times New Roman" w:hAnsi="Times New Roman"/>
          <w:sz w:val="24"/>
          <w:szCs w:val="24"/>
        </w:rPr>
        <w:t xml:space="preserve">A ce jour, 116 espèces de plantes ont été introduites au Burkina Faso soit 5,5 % des espèces végétales connues à l’échelle nationale (MEEVCC, 2020). De telles espèces sont observées dans toutes les zones y compris les aires protégées. Par exemple, dans la zone du W Burkina, 17 espèces introduites ont été identifiées par </w:t>
      </w:r>
      <w:proofErr w:type="spellStart"/>
      <w:r w:rsidRPr="007C5A6E">
        <w:rPr>
          <w:rFonts w:ascii="Times New Roman" w:hAnsi="Times New Roman"/>
          <w:sz w:val="24"/>
          <w:szCs w:val="24"/>
        </w:rPr>
        <w:t>Nacoulma</w:t>
      </w:r>
      <w:proofErr w:type="spellEnd"/>
      <w:r w:rsidRPr="007C5A6E">
        <w:rPr>
          <w:rFonts w:ascii="Times New Roman" w:hAnsi="Times New Roman"/>
          <w:sz w:val="24"/>
          <w:szCs w:val="24"/>
        </w:rPr>
        <w:t xml:space="preserve"> et al. (2018) : </w:t>
      </w:r>
      <w:proofErr w:type="spellStart"/>
      <w:r w:rsidRPr="007C5A6E">
        <w:rPr>
          <w:rFonts w:ascii="Times New Roman" w:hAnsi="Times New Roman"/>
          <w:i/>
          <w:iCs/>
          <w:sz w:val="24"/>
          <w:szCs w:val="24"/>
        </w:rPr>
        <w:t>Acanthospermum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hispidum</w:t>
      </w:r>
      <w:proofErr w:type="spellEnd"/>
      <w:r w:rsidRPr="007C5A6E">
        <w:rPr>
          <w:rFonts w:ascii="Times New Roman" w:hAnsi="Times New Roman"/>
          <w:i/>
          <w:iCs/>
          <w:sz w:val="24"/>
          <w:szCs w:val="24"/>
        </w:rPr>
        <w:t xml:space="preserve">, Ageratum </w:t>
      </w:r>
      <w:proofErr w:type="spellStart"/>
      <w:r w:rsidRPr="007C5A6E">
        <w:rPr>
          <w:rFonts w:ascii="Times New Roman" w:hAnsi="Times New Roman"/>
          <w:i/>
          <w:iCs/>
          <w:sz w:val="24"/>
          <w:szCs w:val="24"/>
        </w:rPr>
        <w:t>conyzoides</w:t>
      </w:r>
      <w:proofErr w:type="spellEnd"/>
      <w:r w:rsidRPr="007C5A6E">
        <w:rPr>
          <w:rFonts w:ascii="Times New Roman" w:hAnsi="Times New Roman"/>
          <w:i/>
          <w:iCs/>
          <w:sz w:val="24"/>
          <w:szCs w:val="24"/>
        </w:rPr>
        <w:t xml:space="preserve">, Azadirachta </w:t>
      </w:r>
      <w:proofErr w:type="spellStart"/>
      <w:r w:rsidRPr="007C5A6E">
        <w:rPr>
          <w:rFonts w:ascii="Times New Roman" w:hAnsi="Times New Roman"/>
          <w:i/>
          <w:iCs/>
          <w:sz w:val="24"/>
          <w:szCs w:val="24"/>
        </w:rPr>
        <w:t>indica</w:t>
      </w:r>
      <w:proofErr w:type="spellEnd"/>
      <w:r w:rsidRPr="007C5A6E">
        <w:rPr>
          <w:rFonts w:ascii="Times New Roman" w:hAnsi="Times New Roman"/>
          <w:i/>
          <w:iCs/>
          <w:sz w:val="24"/>
          <w:szCs w:val="24"/>
        </w:rPr>
        <w:t xml:space="preserve">, Bidens </w:t>
      </w:r>
      <w:proofErr w:type="spellStart"/>
      <w:r w:rsidRPr="007C5A6E">
        <w:rPr>
          <w:rFonts w:ascii="Times New Roman" w:hAnsi="Times New Roman"/>
          <w:i/>
          <w:iCs/>
          <w:sz w:val="24"/>
          <w:szCs w:val="24"/>
        </w:rPr>
        <w:t>pilosa</w:t>
      </w:r>
      <w:proofErr w:type="spellEnd"/>
      <w:r w:rsidRPr="007C5A6E">
        <w:rPr>
          <w:rFonts w:ascii="Times New Roman" w:hAnsi="Times New Roman"/>
          <w:i/>
          <w:iCs/>
          <w:sz w:val="24"/>
          <w:szCs w:val="24"/>
        </w:rPr>
        <w:t xml:space="preserve">, Cassia </w:t>
      </w:r>
      <w:proofErr w:type="spellStart"/>
      <w:r w:rsidRPr="007C5A6E">
        <w:rPr>
          <w:rFonts w:ascii="Times New Roman" w:hAnsi="Times New Roman"/>
          <w:i/>
          <w:iCs/>
          <w:sz w:val="24"/>
          <w:szCs w:val="24"/>
        </w:rPr>
        <w:t>obtusifolia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Chrysanthellum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indicum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Desmodium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adscendens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Hyptis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spicigera</w:t>
      </w:r>
      <w:proofErr w:type="spellEnd"/>
      <w:r w:rsidRPr="007C5A6E">
        <w:rPr>
          <w:rFonts w:ascii="Times New Roman" w:hAnsi="Times New Roman"/>
          <w:i/>
          <w:iCs/>
          <w:sz w:val="24"/>
          <w:szCs w:val="24"/>
        </w:rPr>
        <w:t xml:space="preserve">, H. </w:t>
      </w:r>
      <w:proofErr w:type="spellStart"/>
      <w:r w:rsidRPr="007C5A6E">
        <w:rPr>
          <w:rFonts w:ascii="Times New Roman" w:hAnsi="Times New Roman"/>
          <w:i/>
          <w:iCs/>
          <w:sz w:val="24"/>
          <w:szCs w:val="24"/>
        </w:rPr>
        <w:t>suaveolens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Indigofera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microcarpa</w:t>
      </w:r>
      <w:proofErr w:type="spellEnd"/>
      <w:r w:rsidRPr="007C5A6E">
        <w:rPr>
          <w:rFonts w:ascii="Times New Roman" w:hAnsi="Times New Roman"/>
          <w:i/>
          <w:iCs/>
          <w:sz w:val="24"/>
          <w:szCs w:val="24"/>
        </w:rPr>
        <w:t xml:space="preserve">, Ludwigia </w:t>
      </w:r>
      <w:proofErr w:type="spellStart"/>
      <w:r w:rsidRPr="007C5A6E">
        <w:rPr>
          <w:rFonts w:ascii="Times New Roman" w:hAnsi="Times New Roman"/>
          <w:i/>
          <w:iCs/>
          <w:sz w:val="24"/>
          <w:szCs w:val="24"/>
        </w:rPr>
        <w:t>erecta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Martynia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annua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Passiflora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foetida</w:t>
      </w:r>
      <w:proofErr w:type="spellEnd"/>
      <w:r w:rsidRPr="007C5A6E">
        <w:rPr>
          <w:rFonts w:ascii="Times New Roman" w:hAnsi="Times New Roman"/>
          <w:i/>
          <w:iCs/>
          <w:sz w:val="24"/>
          <w:szCs w:val="24"/>
        </w:rPr>
        <w:t xml:space="preserve">, Plumbago </w:t>
      </w:r>
      <w:proofErr w:type="spellStart"/>
      <w:r w:rsidRPr="007C5A6E">
        <w:rPr>
          <w:rFonts w:ascii="Times New Roman" w:hAnsi="Times New Roman"/>
          <w:i/>
          <w:iCs/>
          <w:sz w:val="24"/>
          <w:szCs w:val="24"/>
        </w:rPr>
        <w:t>zeylanica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Scoparia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dulcis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Spermacoce</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verticillata</w:t>
      </w:r>
      <w:proofErr w:type="spellEnd"/>
      <w:r w:rsidRPr="007C5A6E">
        <w:rPr>
          <w:rFonts w:ascii="Times New Roman" w:hAnsi="Times New Roman"/>
          <w:i/>
          <w:iCs/>
          <w:sz w:val="24"/>
          <w:szCs w:val="24"/>
        </w:rPr>
        <w:t xml:space="preserve"> and </w:t>
      </w:r>
      <w:proofErr w:type="spellStart"/>
      <w:r w:rsidRPr="007C5A6E">
        <w:rPr>
          <w:rFonts w:ascii="Times New Roman" w:hAnsi="Times New Roman"/>
          <w:i/>
          <w:iCs/>
          <w:sz w:val="24"/>
          <w:szCs w:val="24"/>
        </w:rPr>
        <w:t>Tridax</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procumbens</w:t>
      </w:r>
      <w:proofErr w:type="spellEnd"/>
      <w:r w:rsidRPr="007C5A6E">
        <w:rPr>
          <w:rFonts w:ascii="Times New Roman" w:hAnsi="Times New Roman"/>
          <w:i/>
          <w:iCs/>
          <w:sz w:val="24"/>
          <w:szCs w:val="24"/>
        </w:rPr>
        <w:t>.</w:t>
      </w:r>
      <w:r w:rsidRPr="007C5A6E">
        <w:rPr>
          <w:rFonts w:ascii="Times New Roman" w:hAnsi="Times New Roman"/>
          <w:sz w:val="24"/>
          <w:szCs w:val="24"/>
        </w:rPr>
        <w:t xml:space="preserve"> Les familles les mieux représentées dans ce groupe étaient les </w:t>
      </w:r>
      <w:proofErr w:type="spellStart"/>
      <w:r w:rsidRPr="007C5A6E">
        <w:rPr>
          <w:rFonts w:ascii="Times New Roman" w:hAnsi="Times New Roman"/>
          <w:sz w:val="24"/>
          <w:szCs w:val="24"/>
        </w:rPr>
        <w:t>Asteraceae</w:t>
      </w:r>
      <w:proofErr w:type="spellEnd"/>
      <w:r w:rsidRPr="007C5A6E">
        <w:rPr>
          <w:rFonts w:ascii="Times New Roman" w:hAnsi="Times New Roman"/>
          <w:sz w:val="24"/>
          <w:szCs w:val="24"/>
        </w:rPr>
        <w:t xml:space="preserve"> (5 </w:t>
      </w:r>
      <w:proofErr w:type="spellStart"/>
      <w:r w:rsidRPr="007C5A6E">
        <w:rPr>
          <w:rFonts w:ascii="Times New Roman" w:hAnsi="Times New Roman"/>
          <w:sz w:val="24"/>
          <w:szCs w:val="24"/>
        </w:rPr>
        <w:t>spp</w:t>
      </w:r>
      <w:proofErr w:type="spellEnd"/>
      <w:r w:rsidRPr="007C5A6E">
        <w:rPr>
          <w:rFonts w:ascii="Times New Roman" w:hAnsi="Times New Roman"/>
          <w:sz w:val="24"/>
          <w:szCs w:val="24"/>
        </w:rPr>
        <w:t>.) et les </w:t>
      </w:r>
      <w:proofErr w:type="spellStart"/>
      <w:r w:rsidRPr="007C5A6E">
        <w:rPr>
          <w:rFonts w:ascii="Times New Roman" w:hAnsi="Times New Roman"/>
          <w:sz w:val="24"/>
          <w:szCs w:val="24"/>
        </w:rPr>
        <w:t>Fabaceae</w:t>
      </w:r>
      <w:proofErr w:type="spellEnd"/>
      <w:r w:rsidRPr="007C5A6E">
        <w:rPr>
          <w:rFonts w:ascii="Times New Roman" w:hAnsi="Times New Roman"/>
          <w:sz w:val="24"/>
          <w:szCs w:val="24"/>
        </w:rPr>
        <w:t xml:space="preserve"> (3 </w:t>
      </w:r>
      <w:proofErr w:type="spellStart"/>
      <w:r w:rsidRPr="007C5A6E">
        <w:rPr>
          <w:rFonts w:ascii="Times New Roman" w:hAnsi="Times New Roman"/>
          <w:sz w:val="24"/>
          <w:szCs w:val="24"/>
        </w:rPr>
        <w:t>spp</w:t>
      </w:r>
      <w:proofErr w:type="spellEnd"/>
      <w:r w:rsidRPr="007C5A6E">
        <w:rPr>
          <w:rFonts w:ascii="Times New Roman" w:hAnsi="Times New Roman"/>
          <w:sz w:val="24"/>
          <w:szCs w:val="24"/>
        </w:rPr>
        <w:t>.).</w:t>
      </w:r>
    </w:p>
    <w:p w14:paraId="637E4244" w14:textId="77777777" w:rsidR="007C3497" w:rsidRPr="007C5A6E" w:rsidRDefault="007C3497" w:rsidP="009F25CF">
      <w:pPr>
        <w:spacing w:after="0" w:line="240" w:lineRule="auto"/>
        <w:jc w:val="both"/>
        <w:rPr>
          <w:rFonts w:ascii="Times New Roman" w:hAnsi="Times New Roman"/>
          <w:sz w:val="24"/>
          <w:szCs w:val="24"/>
        </w:rPr>
      </w:pPr>
    </w:p>
    <w:p w14:paraId="7DC122A9" w14:textId="77777777" w:rsidR="007C3497" w:rsidRPr="007C5A6E" w:rsidRDefault="007C3497" w:rsidP="009F25CF">
      <w:pPr>
        <w:pStyle w:val="Titre5"/>
        <w:keepNext w:val="0"/>
        <w:keepLines w:val="0"/>
        <w:numPr>
          <w:ilvl w:val="4"/>
          <w:numId w:val="4"/>
        </w:numPr>
        <w:spacing w:before="0"/>
        <w:ind w:left="907" w:hanging="907"/>
        <w:rPr>
          <w:rFonts w:ascii="Times New Roman" w:hAnsi="Times New Roman" w:cs="Times New Roman"/>
          <w:color w:val="auto"/>
          <w:u w:val="single"/>
          <w:lang w:eastAsia="en-US"/>
        </w:rPr>
      </w:pPr>
      <w:bookmarkStart w:id="1056" w:name="_Toc183340230"/>
      <w:r w:rsidRPr="007C5A6E">
        <w:rPr>
          <w:rFonts w:ascii="Times New Roman" w:hAnsi="Times New Roman" w:cs="Times New Roman"/>
          <w:color w:val="auto"/>
          <w:u w:val="single"/>
          <w:lang w:eastAsia="en-US"/>
        </w:rPr>
        <w:t>Distribution générale des espèces</w:t>
      </w:r>
      <w:bookmarkEnd w:id="1056"/>
    </w:p>
    <w:p w14:paraId="433BA929" w14:textId="77777777" w:rsidR="007C3497" w:rsidRPr="007C5A6E" w:rsidRDefault="007C3497" w:rsidP="009F25CF">
      <w:pPr>
        <w:spacing w:after="0" w:line="240" w:lineRule="auto"/>
        <w:contextualSpacing/>
        <w:jc w:val="both"/>
        <w:rPr>
          <w:rFonts w:ascii="Times New Roman" w:hAnsi="Times New Roman"/>
          <w:sz w:val="24"/>
          <w:szCs w:val="24"/>
        </w:rPr>
      </w:pPr>
    </w:p>
    <w:p w14:paraId="0D6B3E0D" w14:textId="77777777" w:rsidR="004A11BD" w:rsidRPr="007C5A6E" w:rsidRDefault="007C3497" w:rsidP="009F25CF">
      <w:pPr>
        <w:spacing w:after="0" w:line="240" w:lineRule="auto"/>
        <w:contextualSpacing/>
        <w:jc w:val="both"/>
        <w:rPr>
          <w:rFonts w:ascii="Times New Roman" w:hAnsi="Times New Roman"/>
          <w:sz w:val="24"/>
          <w:szCs w:val="24"/>
        </w:rPr>
      </w:pPr>
      <w:r w:rsidRPr="007C5A6E">
        <w:rPr>
          <w:rFonts w:ascii="Times New Roman" w:hAnsi="Times New Roman"/>
          <w:sz w:val="24"/>
          <w:szCs w:val="24"/>
        </w:rPr>
        <w:t xml:space="preserve">Les caractéristiques floristiques des zones phytogéographiques telles que décrits par </w:t>
      </w:r>
      <w:proofErr w:type="spellStart"/>
      <w:r w:rsidRPr="007C5A6E">
        <w:rPr>
          <w:rFonts w:ascii="Times New Roman" w:hAnsi="Times New Roman"/>
          <w:sz w:val="24"/>
          <w:szCs w:val="24"/>
        </w:rPr>
        <w:t>Guinko</w:t>
      </w:r>
      <w:proofErr w:type="spellEnd"/>
      <w:r w:rsidRPr="007C5A6E">
        <w:rPr>
          <w:rFonts w:ascii="Times New Roman" w:hAnsi="Times New Roman"/>
          <w:sz w:val="24"/>
          <w:szCs w:val="24"/>
        </w:rPr>
        <w:t xml:space="preserve">, (1984) donnent un aperçu de la distribution des espèces. Le climat sec du Burkina Faso, se caractérise par une dominance des familles des </w:t>
      </w:r>
      <w:proofErr w:type="spellStart"/>
      <w:r w:rsidRPr="007C5A6E">
        <w:rPr>
          <w:rFonts w:ascii="Times New Roman" w:hAnsi="Times New Roman"/>
          <w:sz w:val="24"/>
          <w:szCs w:val="24"/>
        </w:rPr>
        <w:t>Fabaceae</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Anacardiaceae</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Combretaceae</w:t>
      </w:r>
      <w:proofErr w:type="spellEnd"/>
      <w:r w:rsidRPr="007C5A6E">
        <w:rPr>
          <w:rFonts w:ascii="Times New Roman" w:hAnsi="Times New Roman"/>
          <w:sz w:val="24"/>
          <w:szCs w:val="24"/>
        </w:rPr>
        <w:t xml:space="preserve"> et </w:t>
      </w:r>
      <w:proofErr w:type="spellStart"/>
      <w:r w:rsidRPr="007C5A6E">
        <w:rPr>
          <w:rFonts w:ascii="Times New Roman" w:hAnsi="Times New Roman"/>
          <w:sz w:val="24"/>
          <w:szCs w:val="24"/>
        </w:rPr>
        <w:t>Malvaceae</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Tindano</w:t>
      </w:r>
      <w:proofErr w:type="spellEnd"/>
      <w:r w:rsidRPr="007C5A6E">
        <w:rPr>
          <w:rFonts w:ascii="Times New Roman" w:hAnsi="Times New Roman"/>
          <w:sz w:val="24"/>
          <w:szCs w:val="24"/>
        </w:rPr>
        <w:t xml:space="preserve"> et al., 2015). La diversité des espèces diminue considérablement de la zone soudanienne à la zone soudano-sahélienne (</w:t>
      </w:r>
      <w:bookmarkStart w:id="1057" w:name="_Hlk182484128"/>
      <w:proofErr w:type="spellStart"/>
      <w:r w:rsidRPr="007C5A6E">
        <w:rPr>
          <w:rFonts w:ascii="Times New Roman" w:hAnsi="Times New Roman"/>
          <w:sz w:val="24"/>
          <w:szCs w:val="24"/>
        </w:rPr>
        <w:t>Taonda</w:t>
      </w:r>
      <w:proofErr w:type="spellEnd"/>
      <w:r w:rsidRPr="007C5A6E">
        <w:rPr>
          <w:rFonts w:ascii="Times New Roman" w:hAnsi="Times New Roman"/>
          <w:sz w:val="24"/>
          <w:szCs w:val="24"/>
        </w:rPr>
        <w:t xml:space="preserve"> et al. </w:t>
      </w:r>
      <w:bookmarkEnd w:id="1057"/>
      <w:r w:rsidRPr="007C5A6E">
        <w:rPr>
          <w:rFonts w:ascii="Times New Roman" w:hAnsi="Times New Roman"/>
          <w:sz w:val="24"/>
          <w:szCs w:val="24"/>
        </w:rPr>
        <w:t xml:space="preserve">2024). </w:t>
      </w:r>
    </w:p>
    <w:p w14:paraId="16999475" w14:textId="77777777" w:rsidR="004A11BD" w:rsidRPr="007C5A6E" w:rsidRDefault="007C3497" w:rsidP="009F25CF">
      <w:pPr>
        <w:spacing w:after="0" w:line="240" w:lineRule="auto"/>
        <w:contextualSpacing/>
        <w:jc w:val="both"/>
        <w:rPr>
          <w:rFonts w:ascii="Times New Roman" w:hAnsi="Times New Roman"/>
          <w:sz w:val="24"/>
          <w:szCs w:val="24"/>
        </w:rPr>
      </w:pPr>
      <w:r w:rsidRPr="007C5A6E">
        <w:rPr>
          <w:rFonts w:ascii="Times New Roman" w:hAnsi="Times New Roman"/>
          <w:sz w:val="24"/>
          <w:szCs w:val="24"/>
        </w:rPr>
        <w:t>L’essentielle (77 %) des espèces est observé dans les aires protégées de la zone soudanienne (</w:t>
      </w:r>
      <w:bookmarkStart w:id="1058" w:name="_Hlk182484178"/>
      <w:proofErr w:type="spellStart"/>
      <w:r w:rsidRPr="007C5A6E">
        <w:rPr>
          <w:rFonts w:ascii="Times New Roman" w:hAnsi="Times New Roman"/>
          <w:sz w:val="24"/>
          <w:szCs w:val="24"/>
        </w:rPr>
        <w:t>Nacoulma</w:t>
      </w:r>
      <w:proofErr w:type="spellEnd"/>
      <w:r w:rsidRPr="007C5A6E">
        <w:rPr>
          <w:rFonts w:ascii="Times New Roman" w:hAnsi="Times New Roman"/>
          <w:sz w:val="24"/>
          <w:szCs w:val="24"/>
        </w:rPr>
        <w:t xml:space="preserve"> et al., 2018 ; Da et al., 2018 ; MEEVCC, 2020</w:t>
      </w:r>
      <w:bookmarkEnd w:id="1058"/>
      <w:r w:rsidRPr="007C5A6E">
        <w:rPr>
          <w:rFonts w:ascii="Times New Roman" w:hAnsi="Times New Roman"/>
          <w:sz w:val="24"/>
          <w:szCs w:val="24"/>
        </w:rPr>
        <w:t xml:space="preserve">) : 521 espèces pour la réserve forestière classée et faunique partielle de Comoé-Léraba, 353 espèces dans les forêts classées de </w:t>
      </w:r>
      <w:proofErr w:type="spellStart"/>
      <w:r w:rsidRPr="007C5A6E">
        <w:rPr>
          <w:rFonts w:ascii="Times New Roman" w:hAnsi="Times New Roman"/>
          <w:sz w:val="24"/>
          <w:szCs w:val="24"/>
        </w:rPr>
        <w:t>Kou</w:t>
      </w:r>
      <w:proofErr w:type="spellEnd"/>
      <w:r w:rsidRPr="007C5A6E">
        <w:rPr>
          <w:rFonts w:ascii="Times New Roman" w:hAnsi="Times New Roman"/>
          <w:sz w:val="24"/>
          <w:szCs w:val="24"/>
        </w:rPr>
        <w:t xml:space="preserve">, 275 dans la forêt classée de Niangoloko, 721 dans le parc national du W et ses zones de chasse adjacentes, 450 espèces dans la réserve de </w:t>
      </w:r>
      <w:proofErr w:type="spellStart"/>
      <w:r w:rsidRPr="007C5A6E">
        <w:rPr>
          <w:rFonts w:ascii="Times New Roman" w:hAnsi="Times New Roman"/>
          <w:sz w:val="24"/>
          <w:szCs w:val="24"/>
        </w:rPr>
        <w:t>Pama</w:t>
      </w:r>
      <w:proofErr w:type="spellEnd"/>
      <w:r w:rsidRPr="007C5A6E">
        <w:rPr>
          <w:rFonts w:ascii="Times New Roman" w:hAnsi="Times New Roman"/>
          <w:sz w:val="24"/>
          <w:szCs w:val="24"/>
        </w:rPr>
        <w:t xml:space="preserve">, et 490 espèces dans le parc national d’Arly. </w:t>
      </w:r>
    </w:p>
    <w:p w14:paraId="0066FF3D" w14:textId="77777777" w:rsidR="004A11BD" w:rsidRPr="007C5A6E" w:rsidRDefault="004A11BD" w:rsidP="009F25CF">
      <w:pPr>
        <w:spacing w:after="0" w:line="240" w:lineRule="auto"/>
        <w:contextualSpacing/>
        <w:jc w:val="both"/>
        <w:rPr>
          <w:rFonts w:ascii="Times New Roman" w:hAnsi="Times New Roman"/>
          <w:sz w:val="24"/>
          <w:szCs w:val="24"/>
        </w:rPr>
      </w:pPr>
    </w:p>
    <w:p w14:paraId="495C70B4" w14:textId="14913B8C" w:rsidR="004A11BD" w:rsidRPr="007C5A6E" w:rsidRDefault="007C3497" w:rsidP="007C3497">
      <w:pPr>
        <w:spacing w:after="0" w:line="240" w:lineRule="auto"/>
        <w:contextualSpacing/>
        <w:jc w:val="both"/>
        <w:rPr>
          <w:rFonts w:ascii="Times New Roman" w:hAnsi="Times New Roman"/>
          <w:sz w:val="24"/>
          <w:szCs w:val="24"/>
        </w:rPr>
      </w:pPr>
      <w:r w:rsidRPr="007C5A6E">
        <w:rPr>
          <w:rFonts w:ascii="Times New Roman" w:hAnsi="Times New Roman"/>
          <w:sz w:val="24"/>
          <w:szCs w:val="24"/>
        </w:rPr>
        <w:t xml:space="preserve">Aussi, les espèces les plus dominantes varient-elles selon les zones climatiques et les types d’utilisation des terres (Tableau </w:t>
      </w:r>
      <w:r w:rsidR="00DD1FDC" w:rsidRPr="007C5A6E">
        <w:rPr>
          <w:rFonts w:ascii="Times New Roman" w:hAnsi="Times New Roman"/>
          <w:sz w:val="24"/>
          <w:szCs w:val="24"/>
        </w:rPr>
        <w:t>4</w:t>
      </w:r>
      <w:r w:rsidR="003B3F85" w:rsidRPr="007C5A6E">
        <w:rPr>
          <w:rFonts w:ascii="Times New Roman" w:hAnsi="Times New Roman"/>
          <w:sz w:val="24"/>
          <w:szCs w:val="24"/>
        </w:rPr>
        <w:t>3</w:t>
      </w:r>
      <w:r w:rsidRPr="007C5A6E">
        <w:rPr>
          <w:rFonts w:ascii="Times New Roman" w:hAnsi="Times New Roman"/>
          <w:sz w:val="24"/>
          <w:szCs w:val="24"/>
        </w:rPr>
        <w:t xml:space="preserve">) : dans les zones protégées de la zone climatique soudanienne, les espèces les plus dominantes sont </w:t>
      </w:r>
      <w:proofErr w:type="spellStart"/>
      <w:r w:rsidRPr="007C5A6E">
        <w:rPr>
          <w:rFonts w:ascii="Times New Roman" w:hAnsi="Times New Roman"/>
          <w:i/>
          <w:iCs/>
          <w:sz w:val="24"/>
          <w:szCs w:val="24"/>
        </w:rPr>
        <w:t>Combretum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glutinosum</w:t>
      </w:r>
      <w:proofErr w:type="spellEnd"/>
      <w:r w:rsidRPr="007C5A6E">
        <w:rPr>
          <w:rFonts w:ascii="Times New Roman" w:hAnsi="Times New Roman"/>
          <w:sz w:val="24"/>
          <w:szCs w:val="24"/>
        </w:rPr>
        <w:t xml:space="preserve">, </w:t>
      </w:r>
      <w:proofErr w:type="spellStart"/>
      <w:r w:rsidRPr="007C5A6E">
        <w:rPr>
          <w:rFonts w:ascii="Times New Roman" w:hAnsi="Times New Roman"/>
          <w:i/>
          <w:iCs/>
          <w:sz w:val="24"/>
          <w:szCs w:val="24"/>
        </w:rPr>
        <w:t>Vitellaria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paradoxa</w:t>
      </w:r>
      <w:proofErr w:type="spellEnd"/>
      <w:r w:rsidRPr="007C5A6E">
        <w:rPr>
          <w:rFonts w:ascii="Times New Roman" w:hAnsi="Times New Roman"/>
          <w:sz w:val="24"/>
          <w:szCs w:val="24"/>
        </w:rPr>
        <w:t xml:space="preserve">; </w:t>
      </w:r>
      <w:proofErr w:type="spellStart"/>
      <w:r w:rsidRPr="007C5A6E">
        <w:rPr>
          <w:rFonts w:ascii="Times New Roman" w:hAnsi="Times New Roman"/>
          <w:i/>
          <w:iCs/>
          <w:sz w:val="24"/>
          <w:szCs w:val="24"/>
        </w:rPr>
        <w:t>Burkea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africana</w:t>
      </w:r>
      <w:proofErr w:type="spellEnd"/>
      <w:r w:rsidRPr="007C5A6E">
        <w:rPr>
          <w:rFonts w:ascii="Times New Roman" w:hAnsi="Times New Roman"/>
          <w:sz w:val="24"/>
          <w:szCs w:val="24"/>
        </w:rPr>
        <w:t xml:space="preserve">, </w:t>
      </w:r>
      <w:r w:rsidRPr="007C5A6E">
        <w:rPr>
          <w:rFonts w:ascii="Times New Roman" w:hAnsi="Times New Roman"/>
          <w:i/>
          <w:iCs/>
          <w:sz w:val="24"/>
          <w:szCs w:val="24"/>
        </w:rPr>
        <w:t>Pterocarpus erinaceus</w:t>
      </w:r>
      <w:r w:rsidRPr="007C5A6E">
        <w:rPr>
          <w:rFonts w:ascii="Times New Roman" w:hAnsi="Times New Roman"/>
          <w:sz w:val="24"/>
          <w:szCs w:val="24"/>
        </w:rPr>
        <w:t xml:space="preserve">, </w:t>
      </w:r>
      <w:proofErr w:type="spellStart"/>
      <w:r w:rsidRPr="007C5A6E">
        <w:rPr>
          <w:rFonts w:ascii="Times New Roman" w:hAnsi="Times New Roman"/>
          <w:i/>
          <w:iCs/>
          <w:sz w:val="24"/>
          <w:szCs w:val="24"/>
        </w:rPr>
        <w:t>Hexalobus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monopetalus</w:t>
      </w:r>
      <w:proofErr w:type="spellEnd"/>
      <w:r w:rsidRPr="007C5A6E">
        <w:rPr>
          <w:rFonts w:ascii="Times New Roman" w:hAnsi="Times New Roman"/>
          <w:sz w:val="24"/>
          <w:szCs w:val="24"/>
        </w:rPr>
        <w:t xml:space="preserve">; </w:t>
      </w:r>
      <w:proofErr w:type="spellStart"/>
      <w:r w:rsidRPr="007C5A6E">
        <w:rPr>
          <w:rFonts w:ascii="Times New Roman" w:hAnsi="Times New Roman"/>
          <w:i/>
          <w:iCs/>
          <w:sz w:val="24"/>
          <w:szCs w:val="24"/>
        </w:rPr>
        <w:t>Entada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Africana</w:t>
      </w:r>
      <w:proofErr w:type="spellEnd"/>
      <w:r w:rsidRPr="007C5A6E">
        <w:rPr>
          <w:rFonts w:ascii="Times New Roman" w:hAnsi="Times New Roman"/>
          <w:sz w:val="24"/>
          <w:szCs w:val="24"/>
        </w:rPr>
        <w:t xml:space="preserve">, tandis que dans les zones hors Aires Protégées de la même zone climatique, il y avait </w:t>
      </w:r>
      <w:proofErr w:type="spellStart"/>
      <w:r w:rsidRPr="007C5A6E">
        <w:rPr>
          <w:rFonts w:ascii="Times New Roman" w:hAnsi="Times New Roman"/>
          <w:i/>
          <w:iCs/>
          <w:sz w:val="24"/>
          <w:szCs w:val="24"/>
        </w:rPr>
        <w:t>Vitellaria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paradoxa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Terminalia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laxiflora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Combretum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glutinosum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Entada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africana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Lannea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velutina</w:t>
      </w:r>
      <w:proofErr w:type="spellEnd"/>
      <w:r w:rsidRPr="007C5A6E">
        <w:rPr>
          <w:rFonts w:ascii="Times New Roman" w:hAnsi="Times New Roman"/>
          <w:sz w:val="24"/>
          <w:szCs w:val="24"/>
        </w:rPr>
        <w:t xml:space="preserve">. </w:t>
      </w:r>
    </w:p>
    <w:p w14:paraId="755BA62D" w14:textId="0A5A6835" w:rsidR="007C3497" w:rsidRPr="007C5A6E" w:rsidRDefault="007C3497" w:rsidP="007C3497">
      <w:pPr>
        <w:spacing w:after="0" w:line="240" w:lineRule="auto"/>
        <w:contextualSpacing/>
        <w:jc w:val="both"/>
        <w:rPr>
          <w:rFonts w:ascii="Times New Roman" w:hAnsi="Times New Roman"/>
          <w:sz w:val="24"/>
          <w:szCs w:val="24"/>
        </w:rPr>
      </w:pPr>
      <w:r w:rsidRPr="007C5A6E">
        <w:rPr>
          <w:rFonts w:ascii="Times New Roman" w:hAnsi="Times New Roman"/>
          <w:sz w:val="24"/>
          <w:szCs w:val="24"/>
        </w:rPr>
        <w:t xml:space="preserve">Dans la zone </w:t>
      </w:r>
      <w:proofErr w:type="spellStart"/>
      <w:r w:rsidRPr="007C5A6E">
        <w:rPr>
          <w:rFonts w:ascii="Times New Roman" w:hAnsi="Times New Roman"/>
          <w:sz w:val="24"/>
          <w:szCs w:val="24"/>
        </w:rPr>
        <w:t>Sudano-Sahelienne</w:t>
      </w:r>
      <w:proofErr w:type="spellEnd"/>
      <w:r w:rsidRPr="007C5A6E">
        <w:rPr>
          <w:rFonts w:ascii="Times New Roman" w:hAnsi="Times New Roman"/>
          <w:sz w:val="24"/>
          <w:szCs w:val="24"/>
        </w:rPr>
        <w:t>, les espèces les plus dominantes dans les Aires Protégées sont</w:t>
      </w:r>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Crosopteryx</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febrifuga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Vitellaria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paradoxa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Terminalia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avicennioides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Pericopsis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laxiflora</w:t>
      </w:r>
      <w:proofErr w:type="spellEnd"/>
      <w:r w:rsidRPr="007C5A6E">
        <w:rPr>
          <w:rFonts w:ascii="Times New Roman" w:hAnsi="Times New Roman"/>
          <w:sz w:val="24"/>
          <w:szCs w:val="24"/>
        </w:rPr>
        <w:t xml:space="preserve"> et </w:t>
      </w:r>
      <w:proofErr w:type="spellStart"/>
      <w:r w:rsidRPr="007C5A6E">
        <w:rPr>
          <w:rFonts w:ascii="Times New Roman" w:hAnsi="Times New Roman"/>
          <w:i/>
          <w:iCs/>
          <w:sz w:val="24"/>
          <w:szCs w:val="24"/>
        </w:rPr>
        <w:t>Terminalia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macroptera</w:t>
      </w:r>
      <w:proofErr w:type="spellEnd"/>
      <w:r w:rsidRPr="007C5A6E">
        <w:rPr>
          <w:rFonts w:ascii="Times New Roman" w:hAnsi="Times New Roman"/>
          <w:sz w:val="24"/>
          <w:szCs w:val="24"/>
        </w:rPr>
        <w:t xml:space="preserve">, tandis que hors des Aires Protégées, les espèces les plus dominantes étaient </w:t>
      </w:r>
      <w:r w:rsidRPr="007C5A6E">
        <w:rPr>
          <w:rFonts w:ascii="Times New Roman" w:hAnsi="Times New Roman"/>
          <w:i/>
          <w:iCs/>
          <w:sz w:val="24"/>
          <w:szCs w:val="24"/>
        </w:rPr>
        <w:t xml:space="preserve">Balanites aegyptiaca, </w:t>
      </w:r>
      <w:proofErr w:type="spellStart"/>
      <w:r w:rsidRPr="007C5A6E">
        <w:rPr>
          <w:rFonts w:ascii="Times New Roman" w:hAnsi="Times New Roman"/>
          <w:i/>
          <w:iCs/>
          <w:sz w:val="24"/>
          <w:szCs w:val="24"/>
        </w:rPr>
        <w:t>Lannea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acida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Vitellaria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paradoxa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Combretum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collinum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Sterculia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setigera</w:t>
      </w:r>
      <w:proofErr w:type="spellEnd"/>
      <w:r w:rsidRPr="007C5A6E">
        <w:rPr>
          <w:rFonts w:ascii="Times New Roman" w:hAnsi="Times New Roman"/>
          <w:sz w:val="24"/>
          <w:szCs w:val="24"/>
        </w:rPr>
        <w:t xml:space="preserve">. Toutefois, </w:t>
      </w:r>
      <w:proofErr w:type="spellStart"/>
      <w:r w:rsidRPr="007C5A6E">
        <w:rPr>
          <w:rFonts w:ascii="Times New Roman" w:hAnsi="Times New Roman"/>
          <w:i/>
          <w:iCs/>
          <w:sz w:val="24"/>
          <w:szCs w:val="24"/>
        </w:rPr>
        <w:t>Vitellaria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paradoxa</w:t>
      </w:r>
      <w:proofErr w:type="spellEnd"/>
      <w:r w:rsidRPr="007C5A6E">
        <w:rPr>
          <w:rFonts w:ascii="Times New Roman" w:hAnsi="Times New Roman"/>
          <w:i/>
          <w:iCs/>
          <w:sz w:val="24"/>
          <w:szCs w:val="24"/>
        </w:rPr>
        <w:t xml:space="preserve"> et </w:t>
      </w:r>
      <w:proofErr w:type="spellStart"/>
      <w:r w:rsidRPr="007C5A6E">
        <w:rPr>
          <w:rFonts w:ascii="Times New Roman" w:hAnsi="Times New Roman"/>
          <w:i/>
          <w:iCs/>
          <w:sz w:val="24"/>
          <w:szCs w:val="24"/>
        </w:rPr>
        <w:t>Combretum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glutinosum</w:t>
      </w:r>
      <w:proofErr w:type="spellEnd"/>
      <w:r w:rsidRPr="007C5A6E">
        <w:rPr>
          <w:rFonts w:ascii="Times New Roman" w:hAnsi="Times New Roman"/>
          <w:sz w:val="24"/>
          <w:szCs w:val="24"/>
        </w:rPr>
        <w:t xml:space="preserve"> étaient couramment observées dans chaque zone climatique et dans tous les types d’utilisations des terres.</w:t>
      </w:r>
    </w:p>
    <w:p w14:paraId="5803050E" w14:textId="77777777" w:rsidR="007C3497" w:rsidRPr="007C5A6E" w:rsidRDefault="007C3497" w:rsidP="007C3497">
      <w:pPr>
        <w:spacing w:after="0" w:line="240" w:lineRule="auto"/>
        <w:jc w:val="both"/>
        <w:rPr>
          <w:rFonts w:ascii="Times New Roman" w:hAnsi="Times New Roman"/>
          <w:sz w:val="24"/>
          <w:szCs w:val="24"/>
        </w:rPr>
      </w:pPr>
    </w:p>
    <w:p w14:paraId="795DC519" w14:textId="22A61DDD" w:rsidR="004A11BD" w:rsidRPr="007C5A6E" w:rsidRDefault="004A11BD" w:rsidP="004A11BD">
      <w:pPr>
        <w:pStyle w:val="Lgende"/>
        <w:spacing w:after="0"/>
        <w:jc w:val="both"/>
        <w:rPr>
          <w:rFonts w:ascii="Times New Roman" w:eastAsia="Calibri" w:hAnsi="Times New Roman"/>
          <w:i w:val="0"/>
          <w:iCs w:val="0"/>
          <w:color w:val="auto"/>
          <w:sz w:val="24"/>
          <w:szCs w:val="24"/>
          <w:lang w:eastAsia="en-US"/>
        </w:rPr>
      </w:pPr>
      <w:bookmarkStart w:id="1059" w:name="_Toc182575500"/>
      <w:bookmarkStart w:id="1060" w:name="_Toc183241005"/>
      <w:bookmarkStart w:id="1061" w:name="_Toc183292247"/>
      <w:bookmarkStart w:id="1062" w:name="_Toc183340527"/>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3162F8" w:rsidRPr="007C5A6E">
        <w:rPr>
          <w:rFonts w:ascii="Times New Roman" w:hAnsi="Times New Roman"/>
          <w:i w:val="0"/>
          <w:iCs w:val="0"/>
          <w:noProof/>
          <w:color w:val="auto"/>
          <w:sz w:val="24"/>
          <w:szCs w:val="24"/>
        </w:rPr>
        <w:t>43</w:t>
      </w:r>
      <w:r w:rsidRPr="007C5A6E">
        <w:rPr>
          <w:rFonts w:ascii="Times New Roman" w:hAnsi="Times New Roman"/>
          <w:i w:val="0"/>
          <w:iCs w:val="0"/>
          <w:color w:val="auto"/>
          <w:sz w:val="24"/>
          <w:szCs w:val="24"/>
        </w:rPr>
        <w:fldChar w:fldCharType="end"/>
      </w:r>
      <w:r w:rsidR="003B3F85" w:rsidRPr="007C5A6E">
        <w:rPr>
          <w:rFonts w:ascii="Times New Roman" w:hAnsi="Times New Roman"/>
          <w:i w:val="0"/>
          <w:iCs w:val="0"/>
          <w:color w:val="auto"/>
          <w:sz w:val="24"/>
          <w:szCs w:val="24"/>
        </w:rPr>
        <w:t xml:space="preserve"> </w:t>
      </w:r>
      <w:r w:rsidR="007C3497" w:rsidRPr="007C5A6E">
        <w:rPr>
          <w:rFonts w:ascii="Times New Roman" w:eastAsia="Calibri" w:hAnsi="Times New Roman"/>
          <w:i w:val="0"/>
          <w:iCs w:val="0"/>
          <w:color w:val="auto"/>
          <w:sz w:val="24"/>
          <w:szCs w:val="24"/>
          <w:lang w:eastAsia="en-US"/>
        </w:rPr>
        <w:t>: Les 20 premières espèces ligneuses dominantes rencontrées sur quatre sites le long des zones climatiques et des types d’utilisation des terres en fonction de l’indice de valeur d’importance</w:t>
      </w:r>
      <w:bookmarkEnd w:id="1059"/>
      <w:bookmarkEnd w:id="1060"/>
      <w:bookmarkEnd w:id="1061"/>
      <w:bookmarkEnd w:id="1062"/>
    </w:p>
    <w:p w14:paraId="4300F8A2" w14:textId="77777777" w:rsidR="003B3F85" w:rsidRPr="007C5A6E" w:rsidRDefault="003B3F85" w:rsidP="003B3F85">
      <w:pPr>
        <w:pStyle w:val="Sansinterligne"/>
        <w:rPr>
          <w:rFonts w:eastAsia="Calibri"/>
          <w:lang w:eastAsia="en-US"/>
        </w:rPr>
      </w:pPr>
    </w:p>
    <w:p w14:paraId="06E5DBE8" w14:textId="10F3F07E" w:rsidR="007C3497" w:rsidRPr="007C5A6E" w:rsidRDefault="007C3497" w:rsidP="004A11BD">
      <w:pPr>
        <w:pStyle w:val="Lgende"/>
        <w:spacing w:after="0"/>
        <w:jc w:val="both"/>
        <w:rPr>
          <w:rFonts w:ascii="Times New Roman" w:hAnsi="Times New Roman"/>
          <w:sz w:val="24"/>
          <w:szCs w:val="24"/>
        </w:rPr>
      </w:pPr>
      <w:r w:rsidRPr="007C5A6E">
        <w:rPr>
          <w:rFonts w:ascii="Times New Roman" w:hAnsi="Times New Roman"/>
          <w:noProof/>
          <w:sz w:val="24"/>
          <w:szCs w:val="24"/>
        </w:rPr>
        <w:drawing>
          <wp:inline distT="0" distB="0" distL="0" distR="0" wp14:anchorId="2EFFA1CC" wp14:editId="3F00619D">
            <wp:extent cx="6743700" cy="5276850"/>
            <wp:effectExtent l="0" t="0" r="0" b="0"/>
            <wp:docPr id="7070705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070514" name=""/>
                    <pic:cNvPicPr/>
                  </pic:nvPicPr>
                  <pic:blipFill>
                    <a:blip r:embed="rId160" cstate="email">
                      <a:extLst>
                        <a:ext uri="{28A0092B-C50C-407E-A947-70E740481C1C}">
                          <a14:useLocalDpi xmlns:a14="http://schemas.microsoft.com/office/drawing/2010/main"/>
                        </a:ext>
                      </a:extLst>
                    </a:blip>
                    <a:stretch>
                      <a:fillRect/>
                    </a:stretch>
                  </pic:blipFill>
                  <pic:spPr>
                    <a:xfrm>
                      <a:off x="0" y="0"/>
                      <a:ext cx="6743700" cy="5276850"/>
                    </a:xfrm>
                    <a:prstGeom prst="rect">
                      <a:avLst/>
                    </a:prstGeom>
                  </pic:spPr>
                </pic:pic>
              </a:graphicData>
            </a:graphic>
          </wp:inline>
        </w:drawing>
      </w:r>
    </w:p>
    <w:p w14:paraId="3B320363" w14:textId="2AFD6936" w:rsidR="007C3497" w:rsidRPr="007C5A6E" w:rsidRDefault="007C3497" w:rsidP="007C3497">
      <w:pPr>
        <w:spacing w:after="0" w:line="240" w:lineRule="auto"/>
        <w:jc w:val="both"/>
        <w:rPr>
          <w:rFonts w:ascii="Times New Roman" w:hAnsi="Times New Roman"/>
          <w:sz w:val="20"/>
          <w:szCs w:val="20"/>
        </w:rPr>
      </w:pPr>
      <w:r w:rsidRPr="007C5A6E">
        <w:rPr>
          <w:rFonts w:ascii="Times New Roman" w:hAnsi="Times New Roman"/>
          <w:sz w:val="20"/>
          <w:szCs w:val="20"/>
        </w:rPr>
        <w:t>(Source</w:t>
      </w:r>
      <w:r w:rsidR="004A11BD" w:rsidRPr="007C5A6E">
        <w:rPr>
          <w:rFonts w:ascii="Times New Roman" w:hAnsi="Times New Roman"/>
          <w:sz w:val="20"/>
          <w:szCs w:val="20"/>
        </w:rPr>
        <w:t> </w:t>
      </w:r>
      <w:r w:rsidRPr="007C5A6E">
        <w:rPr>
          <w:rFonts w:ascii="Times New Roman" w:hAnsi="Times New Roman"/>
          <w:sz w:val="20"/>
          <w:szCs w:val="20"/>
        </w:rPr>
        <w:t xml:space="preserve">: </w:t>
      </w:r>
      <w:proofErr w:type="spellStart"/>
      <w:r w:rsidRPr="007C5A6E">
        <w:rPr>
          <w:rFonts w:ascii="Times New Roman" w:hAnsi="Times New Roman"/>
          <w:sz w:val="20"/>
          <w:szCs w:val="20"/>
        </w:rPr>
        <w:t>Taonda</w:t>
      </w:r>
      <w:proofErr w:type="spellEnd"/>
      <w:r w:rsidRPr="007C5A6E">
        <w:rPr>
          <w:rFonts w:ascii="Times New Roman" w:hAnsi="Times New Roman"/>
          <w:sz w:val="20"/>
          <w:szCs w:val="20"/>
        </w:rPr>
        <w:t xml:space="preserve"> et al., 2024)</w:t>
      </w:r>
    </w:p>
    <w:p w14:paraId="13CA3BF3" w14:textId="77777777" w:rsidR="009F25CF" w:rsidRPr="007C5A6E" w:rsidRDefault="009F25CF" w:rsidP="007C3497">
      <w:pPr>
        <w:spacing w:after="0" w:line="240" w:lineRule="auto"/>
        <w:jc w:val="both"/>
        <w:rPr>
          <w:rFonts w:ascii="Times New Roman" w:hAnsi="Times New Roman"/>
          <w:sz w:val="20"/>
          <w:szCs w:val="20"/>
        </w:rPr>
      </w:pPr>
    </w:p>
    <w:p w14:paraId="3176781E" w14:textId="77777777" w:rsidR="007C3497" w:rsidRPr="007C5A6E" w:rsidRDefault="007C3497" w:rsidP="004A11BD">
      <w:pPr>
        <w:shd w:val="clear" w:color="auto" w:fill="F2F2F2"/>
        <w:spacing w:after="0" w:line="240" w:lineRule="auto"/>
        <w:jc w:val="both"/>
        <w:rPr>
          <w:rFonts w:ascii="Times New Roman" w:hAnsi="Times New Roman"/>
          <w:b/>
          <w:bCs/>
        </w:rPr>
      </w:pPr>
      <w:r w:rsidRPr="007C5A6E">
        <w:rPr>
          <w:rFonts w:ascii="Times New Roman" w:hAnsi="Times New Roman"/>
          <w:b/>
          <w:bCs/>
        </w:rPr>
        <w:t>Encadré Numéro 1 (Source MEEVCC, 2020)</w:t>
      </w:r>
    </w:p>
    <w:p w14:paraId="28EAD444" w14:textId="77777777" w:rsidR="007C3497" w:rsidRPr="007C5A6E" w:rsidRDefault="007C3497" w:rsidP="004A11BD">
      <w:pPr>
        <w:shd w:val="clear" w:color="auto" w:fill="F2F2F2"/>
        <w:spacing w:after="0" w:line="240" w:lineRule="auto"/>
        <w:jc w:val="both"/>
        <w:rPr>
          <w:rFonts w:ascii="Times New Roman" w:hAnsi="Times New Roman"/>
        </w:rPr>
      </w:pPr>
      <w:r w:rsidRPr="007C5A6E">
        <w:rPr>
          <w:rFonts w:ascii="Times New Roman" w:hAnsi="Times New Roman"/>
        </w:rPr>
        <w:t>Deux cent vingt-deux (222) espèces recensées au niveau du peuplement principal au cours du deuxième inventaire national (MEEVCC, 2018) ont été considérées espèces ligneuses au Burkina Faso ou ayant un potentiel en produits forestiers ligneux. Ces espèces sont regroupées en 143 genres et 43 familles. Les régions les plus boisées sont situées à l’Ouest du Burkina Faso. La proportion des arbres de gros diamètre est particulièrement élevée dans les Régions du Centre, du Sahel, du Plateau Central, du Nord, du Centre-Nord et du Centre-Est. En considérant le diamètre des pieds vivants, les données de l’IFN2 montrent que le volume total des pieds vivants ayant un diamètre supérieur ou égal à 5 cm est estimé au niveau national à 467,9 millions de m3. Ce potentiel est réparti ainsi qu’il suit : - 207 millions de m3 de bois de feu potentiel ; - 212,2 millions de m3 de bois des espèces pourvoyeuses des principaux PFNL ; - 3,4 millions de m3 de bois de service et de bois d’œuvre potentiel (d’avenir) ; - 1,8 millions de m3 de bois d’œuvre exploitable ; - 4,8 millions de m3 de bois des fruitiers domestiques ; - 38,7 millions de m3 de bois des « autres espèces » constituées des espèces totémiques et de celles dont le pouvoir calorifique du bois est faible. Les régions qui disposent des volumes totaux de bois sur pied les plus importants sont : l’Est (88,8 millions de m3), la Boucle du Mouhoun (64,8 millions de m3), les Hauts-Bassins (55,1 millions de m3), le Centre-Ouest (44 millions de m3), les Cascades (40,8 millions de m3) et le Sud-Ouest (38,1 millions de m3).</w:t>
      </w:r>
    </w:p>
    <w:p w14:paraId="53DE057A" w14:textId="77777777" w:rsidR="007C3497" w:rsidRPr="007C5A6E" w:rsidRDefault="007C3497" w:rsidP="007C3497">
      <w:pPr>
        <w:spacing w:after="0" w:line="240" w:lineRule="auto"/>
        <w:jc w:val="both"/>
        <w:rPr>
          <w:rFonts w:ascii="Times New Roman" w:hAnsi="Times New Roman"/>
          <w:sz w:val="24"/>
          <w:szCs w:val="24"/>
        </w:rPr>
      </w:pPr>
    </w:p>
    <w:p w14:paraId="0784EBD2" w14:textId="77777777" w:rsidR="007C3497" w:rsidRPr="007C5A6E" w:rsidRDefault="007C3497" w:rsidP="00684FF8">
      <w:pPr>
        <w:pStyle w:val="Titre4"/>
      </w:pPr>
      <w:bookmarkStart w:id="1063" w:name="_Toc182575444"/>
      <w:bookmarkStart w:id="1064" w:name="_Toc183340231"/>
      <w:r w:rsidRPr="007C5A6E">
        <w:t>Analyse des tendances</w:t>
      </w:r>
      <w:bookmarkEnd w:id="1063"/>
      <w:bookmarkEnd w:id="1064"/>
      <w:r w:rsidRPr="007C5A6E">
        <w:t xml:space="preserve">  </w:t>
      </w:r>
    </w:p>
    <w:p w14:paraId="11578A3E" w14:textId="77777777" w:rsidR="007C3497" w:rsidRPr="007C5A6E" w:rsidRDefault="007C3497" w:rsidP="007C3497">
      <w:pPr>
        <w:spacing w:after="0" w:line="240" w:lineRule="auto"/>
        <w:jc w:val="both"/>
        <w:rPr>
          <w:rFonts w:ascii="Times New Roman" w:hAnsi="Times New Roman"/>
          <w:sz w:val="24"/>
          <w:szCs w:val="24"/>
        </w:rPr>
      </w:pPr>
    </w:p>
    <w:p w14:paraId="665F33C7" w14:textId="77777777" w:rsidR="007C3497" w:rsidRPr="007C5A6E" w:rsidRDefault="007C3497" w:rsidP="003F3821">
      <w:pPr>
        <w:pStyle w:val="Titre5"/>
        <w:keepNext w:val="0"/>
        <w:keepLines w:val="0"/>
        <w:numPr>
          <w:ilvl w:val="4"/>
          <w:numId w:val="4"/>
        </w:numPr>
        <w:spacing w:before="0"/>
        <w:ind w:left="907" w:hanging="907"/>
        <w:rPr>
          <w:rFonts w:ascii="Times New Roman" w:hAnsi="Times New Roman" w:cs="Times New Roman"/>
          <w:color w:val="auto"/>
          <w:u w:val="single"/>
          <w:lang w:eastAsia="en-US"/>
        </w:rPr>
      </w:pPr>
      <w:r w:rsidRPr="007C5A6E">
        <w:rPr>
          <w:rFonts w:ascii="Times New Roman" w:hAnsi="Times New Roman" w:cs="Times New Roman"/>
          <w:color w:val="auto"/>
          <w:u w:val="single"/>
          <w:lang w:eastAsia="en-US"/>
        </w:rPr>
        <w:t xml:space="preserve"> </w:t>
      </w:r>
      <w:bookmarkStart w:id="1065" w:name="_Toc182575445"/>
      <w:bookmarkStart w:id="1066" w:name="_Toc183340232"/>
      <w:r w:rsidRPr="007C5A6E">
        <w:rPr>
          <w:rFonts w:ascii="Times New Roman" w:hAnsi="Times New Roman" w:cs="Times New Roman"/>
          <w:color w:val="auto"/>
          <w:u w:val="single"/>
          <w:lang w:eastAsia="en-US"/>
        </w:rPr>
        <w:t>Espèces végétales</w:t>
      </w:r>
      <w:bookmarkEnd w:id="1065"/>
      <w:bookmarkEnd w:id="1066"/>
      <w:r w:rsidRPr="007C5A6E">
        <w:rPr>
          <w:rFonts w:ascii="Times New Roman" w:hAnsi="Times New Roman" w:cs="Times New Roman"/>
          <w:color w:val="auto"/>
          <w:u w:val="single"/>
          <w:lang w:eastAsia="en-US"/>
        </w:rPr>
        <w:t xml:space="preserve"> </w:t>
      </w:r>
    </w:p>
    <w:p w14:paraId="6D524F87" w14:textId="77777777" w:rsidR="007C3497" w:rsidRPr="007C5A6E" w:rsidRDefault="007C3497" w:rsidP="007C3497">
      <w:pPr>
        <w:spacing w:after="0" w:line="240" w:lineRule="auto"/>
        <w:jc w:val="both"/>
        <w:rPr>
          <w:rFonts w:ascii="Times New Roman" w:hAnsi="Times New Roman"/>
          <w:sz w:val="24"/>
          <w:szCs w:val="24"/>
        </w:rPr>
      </w:pPr>
    </w:p>
    <w:p w14:paraId="09C1E003" w14:textId="77777777" w:rsidR="007C3497" w:rsidRPr="007C5A6E" w:rsidRDefault="007C3497" w:rsidP="007C3497">
      <w:pPr>
        <w:spacing w:after="0" w:line="240" w:lineRule="auto"/>
        <w:jc w:val="both"/>
        <w:rPr>
          <w:rFonts w:ascii="Times New Roman" w:hAnsi="Times New Roman"/>
          <w:sz w:val="24"/>
          <w:szCs w:val="24"/>
          <w:lang w:val="en-US"/>
        </w:rPr>
      </w:pPr>
      <w:r w:rsidRPr="007C5A6E">
        <w:rPr>
          <w:rFonts w:ascii="Times New Roman" w:hAnsi="Times New Roman"/>
          <w:sz w:val="24"/>
          <w:szCs w:val="24"/>
        </w:rPr>
        <w:t xml:space="preserve">En 2012, s’appuyant sur les travaux de </w:t>
      </w:r>
      <w:bookmarkStart w:id="1067" w:name="_Hlk182484292"/>
      <w:r w:rsidRPr="007C5A6E">
        <w:rPr>
          <w:rFonts w:ascii="Times New Roman" w:hAnsi="Times New Roman"/>
          <w:sz w:val="24"/>
          <w:szCs w:val="24"/>
        </w:rPr>
        <w:t xml:space="preserve">LEBRUN &amp; al. (1991), </w:t>
      </w:r>
      <w:proofErr w:type="spellStart"/>
      <w:r w:rsidRPr="007C5A6E">
        <w:rPr>
          <w:rFonts w:ascii="Times New Roman" w:hAnsi="Times New Roman"/>
          <w:sz w:val="24"/>
          <w:szCs w:val="24"/>
        </w:rPr>
        <w:t>Thiombiano</w:t>
      </w:r>
      <w:proofErr w:type="spellEnd"/>
      <w:r w:rsidRPr="007C5A6E">
        <w:rPr>
          <w:rFonts w:ascii="Times New Roman" w:hAnsi="Times New Roman"/>
          <w:sz w:val="24"/>
          <w:szCs w:val="24"/>
        </w:rPr>
        <w:t xml:space="preserve"> et al (2012) </w:t>
      </w:r>
      <w:bookmarkEnd w:id="1067"/>
      <w:r w:rsidRPr="007C5A6E">
        <w:rPr>
          <w:rFonts w:ascii="Times New Roman" w:hAnsi="Times New Roman"/>
          <w:sz w:val="24"/>
          <w:szCs w:val="24"/>
        </w:rPr>
        <w:t xml:space="preserve">ont recensé 2067 espèces de plantes vasculaires soit un accroissement de 70% comparée à la dernière liste de 1991.  </w:t>
      </w:r>
      <w:bookmarkStart w:id="1068" w:name="_Hlk182484316"/>
      <w:r w:rsidRPr="007C5A6E">
        <w:rPr>
          <w:rFonts w:ascii="Times New Roman" w:hAnsi="Times New Roman"/>
          <w:sz w:val="24"/>
          <w:szCs w:val="24"/>
        </w:rPr>
        <w:t xml:space="preserve">Schmidt (2018) </w:t>
      </w:r>
      <w:bookmarkEnd w:id="1068"/>
      <w:r w:rsidRPr="007C5A6E">
        <w:rPr>
          <w:rFonts w:ascii="Times New Roman" w:hAnsi="Times New Roman"/>
          <w:sz w:val="24"/>
          <w:szCs w:val="24"/>
        </w:rPr>
        <w:t xml:space="preserve">pour sa part a recensé 13 nouvelles espèces : </w:t>
      </w:r>
      <w:proofErr w:type="spellStart"/>
      <w:r w:rsidRPr="007C5A6E">
        <w:rPr>
          <w:rFonts w:ascii="Times New Roman" w:hAnsi="Times New Roman"/>
          <w:i/>
          <w:iCs/>
          <w:sz w:val="24"/>
          <w:szCs w:val="24"/>
        </w:rPr>
        <w:t>Adenium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obesum</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Forssk</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Roem</w:t>
      </w:r>
      <w:proofErr w:type="spellEnd"/>
      <w:r w:rsidRPr="007C5A6E">
        <w:rPr>
          <w:rFonts w:ascii="Times New Roman" w:hAnsi="Times New Roman"/>
          <w:sz w:val="24"/>
          <w:szCs w:val="24"/>
        </w:rPr>
        <w:t xml:space="preserve">. &amp; </w:t>
      </w:r>
      <w:proofErr w:type="spellStart"/>
      <w:r w:rsidRPr="007C5A6E">
        <w:rPr>
          <w:rFonts w:ascii="Times New Roman" w:hAnsi="Times New Roman"/>
          <w:sz w:val="24"/>
          <w:szCs w:val="24"/>
        </w:rPr>
        <w:t>Schult</w:t>
      </w:r>
      <w:proofErr w:type="spellEnd"/>
      <w:r w:rsidRPr="007C5A6E">
        <w:rPr>
          <w:rFonts w:ascii="Times New Roman" w:hAnsi="Times New Roman"/>
          <w:sz w:val="24"/>
          <w:szCs w:val="24"/>
        </w:rPr>
        <w:t xml:space="preserve">. ; </w:t>
      </w:r>
      <w:proofErr w:type="spellStart"/>
      <w:r w:rsidRPr="007C5A6E">
        <w:rPr>
          <w:rFonts w:ascii="Times New Roman" w:hAnsi="Times New Roman"/>
          <w:i/>
          <w:iCs/>
          <w:sz w:val="24"/>
          <w:szCs w:val="24"/>
        </w:rPr>
        <w:t>Ceropegia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meyeri-johannis</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Engl</w:t>
      </w:r>
      <w:proofErr w:type="spellEnd"/>
      <w:r w:rsidRPr="007C5A6E">
        <w:rPr>
          <w:rFonts w:ascii="Times New Roman" w:hAnsi="Times New Roman"/>
          <w:sz w:val="24"/>
          <w:szCs w:val="24"/>
        </w:rPr>
        <w:t xml:space="preserve">. ; </w:t>
      </w:r>
      <w:proofErr w:type="spellStart"/>
      <w:r w:rsidRPr="007C5A6E">
        <w:rPr>
          <w:rFonts w:ascii="Times New Roman" w:hAnsi="Times New Roman"/>
          <w:i/>
          <w:iCs/>
          <w:sz w:val="24"/>
          <w:szCs w:val="24"/>
        </w:rPr>
        <w:t>Ceropegia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purpurascens</w:t>
      </w:r>
      <w:proofErr w:type="spellEnd"/>
      <w:r w:rsidRPr="007C5A6E">
        <w:rPr>
          <w:rFonts w:ascii="Times New Roman" w:hAnsi="Times New Roman"/>
          <w:sz w:val="24"/>
          <w:szCs w:val="24"/>
        </w:rPr>
        <w:t xml:space="preserve"> K. </w:t>
      </w:r>
      <w:proofErr w:type="spellStart"/>
      <w:r w:rsidRPr="007C5A6E">
        <w:rPr>
          <w:rFonts w:ascii="Times New Roman" w:hAnsi="Times New Roman"/>
          <w:sz w:val="24"/>
          <w:szCs w:val="24"/>
        </w:rPr>
        <w:t>Schum</w:t>
      </w:r>
      <w:proofErr w:type="spellEnd"/>
      <w:r w:rsidRPr="007C5A6E">
        <w:rPr>
          <w:rFonts w:ascii="Times New Roman" w:hAnsi="Times New Roman"/>
          <w:sz w:val="24"/>
          <w:szCs w:val="24"/>
        </w:rPr>
        <w:t xml:space="preserve">. ; </w:t>
      </w:r>
      <w:proofErr w:type="spellStart"/>
      <w:r w:rsidRPr="007C5A6E">
        <w:rPr>
          <w:rFonts w:ascii="Times New Roman" w:hAnsi="Times New Roman"/>
          <w:i/>
          <w:iCs/>
          <w:sz w:val="24"/>
          <w:szCs w:val="24"/>
        </w:rPr>
        <w:t>Tylophora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sylvatica</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Decne</w:t>
      </w:r>
      <w:proofErr w:type="spellEnd"/>
      <w:r w:rsidRPr="007C5A6E">
        <w:rPr>
          <w:rFonts w:ascii="Times New Roman" w:hAnsi="Times New Roman"/>
          <w:sz w:val="24"/>
          <w:szCs w:val="24"/>
        </w:rPr>
        <w:t xml:space="preserve"> ; </w:t>
      </w:r>
      <w:proofErr w:type="spellStart"/>
      <w:r w:rsidRPr="007C5A6E">
        <w:rPr>
          <w:rFonts w:ascii="Times New Roman" w:hAnsi="Times New Roman"/>
          <w:i/>
          <w:iCs/>
          <w:sz w:val="24"/>
          <w:szCs w:val="24"/>
        </w:rPr>
        <w:t>Albuca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abyssinica</w:t>
      </w:r>
      <w:proofErr w:type="spellEnd"/>
      <w:r w:rsidRPr="007C5A6E">
        <w:rPr>
          <w:rFonts w:ascii="Times New Roman" w:hAnsi="Times New Roman"/>
          <w:sz w:val="24"/>
          <w:szCs w:val="24"/>
        </w:rPr>
        <w:t xml:space="preserve"> Jacq. ; </w:t>
      </w:r>
      <w:proofErr w:type="spellStart"/>
      <w:r w:rsidRPr="007C5A6E">
        <w:rPr>
          <w:rFonts w:ascii="Times New Roman" w:hAnsi="Times New Roman"/>
          <w:i/>
          <w:iCs/>
          <w:sz w:val="24"/>
          <w:szCs w:val="24"/>
        </w:rPr>
        <w:t>Begonia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rostrata</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Welw</w:t>
      </w:r>
      <w:proofErr w:type="spellEnd"/>
      <w:r w:rsidRPr="007C5A6E">
        <w:rPr>
          <w:rFonts w:ascii="Times New Roman" w:hAnsi="Times New Roman"/>
          <w:sz w:val="24"/>
          <w:szCs w:val="24"/>
        </w:rPr>
        <w:t xml:space="preserve">. </w:t>
      </w:r>
      <w:proofErr w:type="gramStart"/>
      <w:r w:rsidRPr="007C5A6E">
        <w:rPr>
          <w:rFonts w:ascii="Times New Roman" w:hAnsi="Times New Roman"/>
          <w:sz w:val="24"/>
          <w:szCs w:val="24"/>
        </w:rPr>
        <w:t>ex</w:t>
      </w:r>
      <w:proofErr w:type="gramEnd"/>
      <w:r w:rsidRPr="007C5A6E">
        <w:rPr>
          <w:rFonts w:ascii="Times New Roman" w:hAnsi="Times New Roman"/>
          <w:sz w:val="24"/>
          <w:szCs w:val="24"/>
        </w:rPr>
        <w:t xml:space="preserve"> Hook. f. ; </w:t>
      </w:r>
      <w:proofErr w:type="spellStart"/>
      <w:r w:rsidRPr="007C5A6E">
        <w:rPr>
          <w:rFonts w:ascii="Times New Roman" w:hAnsi="Times New Roman"/>
          <w:i/>
          <w:iCs/>
          <w:sz w:val="24"/>
          <w:szCs w:val="24"/>
        </w:rPr>
        <w:t>Kyllinga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beninensis</w:t>
      </w:r>
      <w:proofErr w:type="spellEnd"/>
      <w:r w:rsidRPr="007C5A6E">
        <w:rPr>
          <w:rFonts w:ascii="Times New Roman" w:hAnsi="Times New Roman"/>
          <w:i/>
          <w:iCs/>
          <w:sz w:val="24"/>
          <w:szCs w:val="24"/>
        </w:rPr>
        <w:t xml:space="preserve"> </w:t>
      </w:r>
      <w:r w:rsidRPr="007C5A6E">
        <w:rPr>
          <w:rFonts w:ascii="Times New Roman" w:hAnsi="Times New Roman"/>
          <w:sz w:val="24"/>
          <w:szCs w:val="24"/>
        </w:rPr>
        <w:t xml:space="preserve">Samain, Reynders &amp; </w:t>
      </w:r>
      <w:proofErr w:type="spellStart"/>
      <w:r w:rsidRPr="007C5A6E">
        <w:rPr>
          <w:rFonts w:ascii="Times New Roman" w:hAnsi="Times New Roman"/>
          <w:sz w:val="24"/>
          <w:szCs w:val="24"/>
        </w:rPr>
        <w:t>Goetgh</w:t>
      </w:r>
      <w:proofErr w:type="spellEnd"/>
      <w:r w:rsidRPr="007C5A6E">
        <w:rPr>
          <w:rFonts w:ascii="Times New Roman" w:hAnsi="Times New Roman"/>
          <w:sz w:val="24"/>
          <w:szCs w:val="24"/>
        </w:rPr>
        <w:t xml:space="preserve"> ; </w:t>
      </w:r>
      <w:r w:rsidRPr="007C5A6E">
        <w:rPr>
          <w:rFonts w:ascii="Times New Roman" w:hAnsi="Times New Roman"/>
          <w:i/>
          <w:iCs/>
          <w:sz w:val="24"/>
          <w:szCs w:val="24"/>
        </w:rPr>
        <w:t xml:space="preserve">Eucalyptus </w:t>
      </w:r>
      <w:proofErr w:type="spellStart"/>
      <w:r w:rsidRPr="007C5A6E">
        <w:rPr>
          <w:rFonts w:ascii="Times New Roman" w:hAnsi="Times New Roman"/>
          <w:i/>
          <w:iCs/>
          <w:sz w:val="24"/>
          <w:szCs w:val="24"/>
        </w:rPr>
        <w:t>citriodora</w:t>
      </w:r>
      <w:proofErr w:type="spellEnd"/>
      <w:r w:rsidRPr="007C5A6E">
        <w:rPr>
          <w:rFonts w:ascii="Times New Roman" w:hAnsi="Times New Roman"/>
          <w:sz w:val="24"/>
          <w:szCs w:val="24"/>
        </w:rPr>
        <w:t xml:space="preserve"> Hook. [</w:t>
      </w:r>
      <w:proofErr w:type="spellStart"/>
      <w:proofErr w:type="gramStart"/>
      <w:r w:rsidRPr="007C5A6E">
        <w:rPr>
          <w:rFonts w:ascii="Times New Roman" w:hAnsi="Times New Roman"/>
          <w:sz w:val="24"/>
          <w:szCs w:val="24"/>
        </w:rPr>
        <w:t>cult</w:t>
      </w:r>
      <w:proofErr w:type="spellEnd"/>
      <w:proofErr w:type="gramEnd"/>
      <w:r w:rsidRPr="007C5A6E">
        <w:rPr>
          <w:rFonts w:ascii="Times New Roman" w:hAnsi="Times New Roman"/>
          <w:sz w:val="24"/>
          <w:szCs w:val="24"/>
        </w:rPr>
        <w:t xml:space="preserve">.] ; </w:t>
      </w:r>
      <w:proofErr w:type="spellStart"/>
      <w:r w:rsidRPr="007C5A6E">
        <w:rPr>
          <w:rFonts w:ascii="Times New Roman" w:hAnsi="Times New Roman"/>
          <w:i/>
          <w:iCs/>
          <w:sz w:val="24"/>
          <w:szCs w:val="24"/>
        </w:rPr>
        <w:t>Eulophia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cucullata</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Afzel</w:t>
      </w:r>
      <w:proofErr w:type="spellEnd"/>
      <w:r w:rsidRPr="007C5A6E">
        <w:rPr>
          <w:rFonts w:ascii="Times New Roman" w:hAnsi="Times New Roman"/>
          <w:sz w:val="24"/>
          <w:szCs w:val="24"/>
        </w:rPr>
        <w:t xml:space="preserve">. </w:t>
      </w:r>
      <w:proofErr w:type="gramStart"/>
      <w:r w:rsidRPr="007C5A6E">
        <w:rPr>
          <w:rFonts w:ascii="Times New Roman" w:hAnsi="Times New Roman"/>
          <w:sz w:val="24"/>
          <w:szCs w:val="24"/>
        </w:rPr>
        <w:t>ex</w:t>
      </w:r>
      <w:proofErr w:type="gramEnd"/>
      <w:r w:rsidRPr="007C5A6E">
        <w:rPr>
          <w:rFonts w:ascii="Times New Roman" w:hAnsi="Times New Roman"/>
          <w:sz w:val="24"/>
          <w:szCs w:val="24"/>
        </w:rPr>
        <w:t xml:space="preserve"> </w:t>
      </w:r>
      <w:proofErr w:type="spellStart"/>
      <w:r w:rsidRPr="007C5A6E">
        <w:rPr>
          <w:rFonts w:ascii="Times New Roman" w:hAnsi="Times New Roman"/>
          <w:sz w:val="24"/>
          <w:szCs w:val="24"/>
        </w:rPr>
        <w:t>Sw</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Steud</w:t>
      </w:r>
      <w:proofErr w:type="spellEnd"/>
      <w:r w:rsidRPr="007C5A6E">
        <w:rPr>
          <w:rFonts w:ascii="Times New Roman" w:hAnsi="Times New Roman"/>
          <w:sz w:val="24"/>
          <w:szCs w:val="24"/>
        </w:rPr>
        <w:t xml:space="preserve">. ; </w:t>
      </w:r>
      <w:proofErr w:type="spellStart"/>
      <w:r w:rsidRPr="007C5A6E">
        <w:rPr>
          <w:rFonts w:ascii="Times New Roman" w:hAnsi="Times New Roman"/>
          <w:i/>
          <w:iCs/>
          <w:sz w:val="24"/>
          <w:szCs w:val="24"/>
        </w:rPr>
        <w:t>Pentodon</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pentandrus</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Schumach</w:t>
      </w:r>
      <w:proofErr w:type="spellEnd"/>
      <w:r w:rsidRPr="007C5A6E">
        <w:rPr>
          <w:rFonts w:ascii="Times New Roman" w:hAnsi="Times New Roman"/>
          <w:sz w:val="24"/>
          <w:szCs w:val="24"/>
        </w:rPr>
        <w:t xml:space="preserve">. </w:t>
      </w:r>
      <w:r w:rsidRPr="007C5A6E">
        <w:rPr>
          <w:rFonts w:ascii="Times New Roman" w:hAnsi="Times New Roman"/>
          <w:sz w:val="24"/>
          <w:szCs w:val="24"/>
          <w:lang w:val="en-US"/>
        </w:rPr>
        <w:t xml:space="preserve">&amp; Thonn.) </w:t>
      </w:r>
      <w:proofErr w:type="gramStart"/>
      <w:r w:rsidRPr="007C5A6E">
        <w:rPr>
          <w:rFonts w:ascii="Times New Roman" w:hAnsi="Times New Roman"/>
          <w:sz w:val="24"/>
          <w:szCs w:val="24"/>
          <w:lang w:val="en-US"/>
        </w:rPr>
        <w:t>Vatke ;</w:t>
      </w:r>
      <w:proofErr w:type="gramEnd"/>
      <w:r w:rsidRPr="007C5A6E">
        <w:rPr>
          <w:rFonts w:ascii="Times New Roman" w:hAnsi="Times New Roman"/>
          <w:sz w:val="24"/>
          <w:szCs w:val="24"/>
          <w:lang w:val="en-US"/>
        </w:rPr>
        <w:t xml:space="preserve"> </w:t>
      </w:r>
      <w:r w:rsidRPr="007C5A6E">
        <w:rPr>
          <w:rFonts w:ascii="Times New Roman" w:hAnsi="Times New Roman"/>
          <w:i/>
          <w:iCs/>
          <w:sz w:val="24"/>
          <w:szCs w:val="24"/>
          <w:lang w:val="en-US"/>
        </w:rPr>
        <w:t xml:space="preserve">Citrus </w:t>
      </w:r>
      <w:proofErr w:type="spellStart"/>
      <w:r w:rsidRPr="007C5A6E">
        <w:rPr>
          <w:rFonts w:ascii="Times New Roman" w:hAnsi="Times New Roman"/>
          <w:i/>
          <w:iCs/>
          <w:sz w:val="24"/>
          <w:szCs w:val="24"/>
          <w:lang w:val="en-US"/>
        </w:rPr>
        <w:t>aurantiifolia</w:t>
      </w:r>
      <w:proofErr w:type="spellEnd"/>
      <w:r w:rsidRPr="007C5A6E">
        <w:rPr>
          <w:rFonts w:ascii="Times New Roman" w:hAnsi="Times New Roman"/>
          <w:sz w:val="24"/>
          <w:szCs w:val="24"/>
          <w:lang w:val="en-US"/>
        </w:rPr>
        <w:t xml:space="preserve"> (</w:t>
      </w:r>
      <w:proofErr w:type="spellStart"/>
      <w:r w:rsidRPr="007C5A6E">
        <w:rPr>
          <w:rFonts w:ascii="Times New Roman" w:hAnsi="Times New Roman"/>
          <w:sz w:val="24"/>
          <w:szCs w:val="24"/>
          <w:lang w:val="en-US"/>
        </w:rPr>
        <w:t>Christm</w:t>
      </w:r>
      <w:proofErr w:type="spellEnd"/>
      <w:r w:rsidRPr="007C5A6E">
        <w:rPr>
          <w:rFonts w:ascii="Times New Roman" w:hAnsi="Times New Roman"/>
          <w:sz w:val="24"/>
          <w:szCs w:val="24"/>
          <w:lang w:val="en-US"/>
        </w:rPr>
        <w:t>.) Swingle [cult.</w:t>
      </w:r>
      <w:proofErr w:type="gramStart"/>
      <w:r w:rsidRPr="007C5A6E">
        <w:rPr>
          <w:rFonts w:ascii="Times New Roman" w:hAnsi="Times New Roman"/>
          <w:sz w:val="24"/>
          <w:szCs w:val="24"/>
          <w:lang w:val="en-US"/>
        </w:rPr>
        <w:t>] ;</w:t>
      </w:r>
      <w:proofErr w:type="gramEnd"/>
      <w:r w:rsidRPr="007C5A6E">
        <w:rPr>
          <w:rFonts w:ascii="Times New Roman" w:hAnsi="Times New Roman"/>
          <w:sz w:val="24"/>
          <w:szCs w:val="24"/>
          <w:lang w:val="en-US"/>
        </w:rPr>
        <w:t xml:space="preserve"> </w:t>
      </w:r>
      <w:r w:rsidRPr="007C5A6E">
        <w:rPr>
          <w:rFonts w:ascii="Times New Roman" w:hAnsi="Times New Roman"/>
          <w:i/>
          <w:iCs/>
          <w:sz w:val="24"/>
          <w:szCs w:val="24"/>
          <w:lang w:val="en-US"/>
        </w:rPr>
        <w:t>Citrus maxima</w:t>
      </w:r>
      <w:r w:rsidRPr="007C5A6E">
        <w:rPr>
          <w:rFonts w:ascii="Times New Roman" w:hAnsi="Times New Roman"/>
          <w:sz w:val="24"/>
          <w:szCs w:val="24"/>
          <w:lang w:val="en-US"/>
        </w:rPr>
        <w:t xml:space="preserve"> (Burm.) </w:t>
      </w:r>
      <w:proofErr w:type="spellStart"/>
      <w:r w:rsidRPr="007C5A6E">
        <w:rPr>
          <w:rFonts w:ascii="Times New Roman" w:hAnsi="Times New Roman"/>
          <w:sz w:val="24"/>
          <w:szCs w:val="24"/>
          <w:lang w:val="en-US"/>
        </w:rPr>
        <w:t>Merr</w:t>
      </w:r>
      <w:proofErr w:type="spellEnd"/>
      <w:r w:rsidRPr="007C5A6E">
        <w:rPr>
          <w:rFonts w:ascii="Times New Roman" w:hAnsi="Times New Roman"/>
          <w:sz w:val="24"/>
          <w:szCs w:val="24"/>
          <w:lang w:val="en-US"/>
        </w:rPr>
        <w:t>. [cult.</w:t>
      </w:r>
      <w:proofErr w:type="gramStart"/>
      <w:r w:rsidRPr="007C5A6E">
        <w:rPr>
          <w:rFonts w:ascii="Times New Roman" w:hAnsi="Times New Roman"/>
          <w:sz w:val="24"/>
          <w:szCs w:val="24"/>
          <w:lang w:val="en-US"/>
        </w:rPr>
        <w:t>] ;</w:t>
      </w:r>
      <w:proofErr w:type="gramEnd"/>
      <w:r w:rsidRPr="007C5A6E">
        <w:rPr>
          <w:rFonts w:ascii="Times New Roman" w:hAnsi="Times New Roman"/>
          <w:sz w:val="24"/>
          <w:szCs w:val="24"/>
          <w:lang w:val="en-US"/>
        </w:rPr>
        <w:t xml:space="preserve"> </w:t>
      </w:r>
      <w:proofErr w:type="spellStart"/>
      <w:r w:rsidRPr="007C5A6E">
        <w:rPr>
          <w:rFonts w:ascii="Times New Roman" w:hAnsi="Times New Roman"/>
          <w:i/>
          <w:iCs/>
          <w:sz w:val="24"/>
          <w:szCs w:val="24"/>
          <w:lang w:val="en-US"/>
        </w:rPr>
        <w:t>Ampelopteris</w:t>
      </w:r>
      <w:proofErr w:type="spellEnd"/>
      <w:r w:rsidRPr="007C5A6E">
        <w:rPr>
          <w:rFonts w:ascii="Times New Roman" w:hAnsi="Times New Roman"/>
          <w:i/>
          <w:iCs/>
          <w:sz w:val="24"/>
          <w:szCs w:val="24"/>
          <w:lang w:val="en-US"/>
        </w:rPr>
        <w:t xml:space="preserve"> </w:t>
      </w:r>
      <w:proofErr w:type="spellStart"/>
      <w:r w:rsidRPr="007C5A6E">
        <w:rPr>
          <w:rFonts w:ascii="Times New Roman" w:hAnsi="Times New Roman"/>
          <w:i/>
          <w:iCs/>
          <w:sz w:val="24"/>
          <w:szCs w:val="24"/>
          <w:lang w:val="en-US"/>
        </w:rPr>
        <w:t>prolifera</w:t>
      </w:r>
      <w:proofErr w:type="spellEnd"/>
      <w:r w:rsidRPr="007C5A6E">
        <w:rPr>
          <w:rFonts w:ascii="Times New Roman" w:hAnsi="Times New Roman"/>
          <w:sz w:val="24"/>
          <w:szCs w:val="24"/>
          <w:lang w:val="en-US"/>
        </w:rPr>
        <w:t xml:space="preserve"> (Retz.) Copel.; et Nacoulma </w:t>
      </w:r>
      <w:proofErr w:type="spellStart"/>
      <w:r w:rsidRPr="007C5A6E">
        <w:rPr>
          <w:rFonts w:ascii="Times New Roman" w:hAnsi="Times New Roman"/>
          <w:sz w:val="24"/>
          <w:szCs w:val="24"/>
          <w:lang w:val="en-US"/>
        </w:rPr>
        <w:t>est</w:t>
      </w:r>
      <w:proofErr w:type="spellEnd"/>
      <w:r w:rsidRPr="007C5A6E">
        <w:rPr>
          <w:rFonts w:ascii="Times New Roman" w:hAnsi="Times New Roman"/>
          <w:sz w:val="24"/>
          <w:szCs w:val="24"/>
          <w:lang w:val="en-US"/>
        </w:rPr>
        <w:t xml:space="preserve"> al 2018 </w:t>
      </w:r>
      <w:proofErr w:type="spellStart"/>
      <w:r w:rsidRPr="007C5A6E">
        <w:rPr>
          <w:rFonts w:ascii="Times New Roman" w:hAnsi="Times New Roman"/>
          <w:sz w:val="24"/>
          <w:szCs w:val="24"/>
          <w:lang w:val="en-US"/>
        </w:rPr>
        <w:t>identifient</w:t>
      </w:r>
      <w:proofErr w:type="spellEnd"/>
      <w:r w:rsidRPr="007C5A6E">
        <w:rPr>
          <w:rFonts w:ascii="Times New Roman" w:hAnsi="Times New Roman"/>
          <w:sz w:val="24"/>
          <w:szCs w:val="24"/>
          <w:lang w:val="en-US"/>
        </w:rPr>
        <w:t xml:space="preserve"> 19 </w:t>
      </w:r>
      <w:proofErr w:type="spellStart"/>
      <w:r w:rsidRPr="007C5A6E">
        <w:rPr>
          <w:rFonts w:ascii="Times New Roman" w:hAnsi="Times New Roman"/>
          <w:sz w:val="24"/>
          <w:szCs w:val="24"/>
          <w:lang w:val="en-US"/>
        </w:rPr>
        <w:t>nouvelles</w:t>
      </w:r>
      <w:proofErr w:type="spellEnd"/>
      <w:r w:rsidRPr="007C5A6E">
        <w:rPr>
          <w:rFonts w:ascii="Times New Roman" w:hAnsi="Times New Roman"/>
          <w:sz w:val="24"/>
          <w:szCs w:val="24"/>
          <w:lang w:val="en-US"/>
        </w:rPr>
        <w:t xml:space="preserve"> </w:t>
      </w:r>
      <w:proofErr w:type="spellStart"/>
      <w:r w:rsidRPr="007C5A6E">
        <w:rPr>
          <w:rFonts w:ascii="Times New Roman" w:hAnsi="Times New Roman"/>
          <w:sz w:val="24"/>
          <w:szCs w:val="24"/>
          <w:lang w:val="en-US"/>
        </w:rPr>
        <w:t>espèces</w:t>
      </w:r>
      <w:proofErr w:type="spellEnd"/>
      <w:r w:rsidRPr="007C5A6E">
        <w:rPr>
          <w:rFonts w:ascii="Times New Roman" w:hAnsi="Times New Roman"/>
          <w:sz w:val="24"/>
          <w:szCs w:val="24"/>
          <w:lang w:val="en-US"/>
        </w:rPr>
        <w:t xml:space="preserve"> : </w:t>
      </w:r>
      <w:proofErr w:type="spellStart"/>
      <w:r w:rsidRPr="007C5A6E">
        <w:rPr>
          <w:rFonts w:ascii="Times New Roman" w:hAnsi="Times New Roman"/>
          <w:i/>
          <w:iCs/>
          <w:sz w:val="24"/>
          <w:szCs w:val="24"/>
          <w:lang w:val="en-US"/>
        </w:rPr>
        <w:t>Aponogeton</w:t>
      </w:r>
      <w:proofErr w:type="spellEnd"/>
      <w:r w:rsidRPr="007C5A6E">
        <w:rPr>
          <w:rFonts w:ascii="Times New Roman" w:hAnsi="Times New Roman"/>
          <w:i/>
          <w:iCs/>
          <w:sz w:val="24"/>
          <w:szCs w:val="24"/>
          <w:lang w:val="en-US"/>
        </w:rPr>
        <w:t xml:space="preserve"> </w:t>
      </w:r>
      <w:proofErr w:type="spellStart"/>
      <w:r w:rsidRPr="007C5A6E">
        <w:rPr>
          <w:rFonts w:ascii="Times New Roman" w:hAnsi="Times New Roman"/>
          <w:i/>
          <w:iCs/>
          <w:sz w:val="24"/>
          <w:szCs w:val="24"/>
          <w:lang w:val="en-US"/>
        </w:rPr>
        <w:t>vallisnerioides</w:t>
      </w:r>
      <w:proofErr w:type="spellEnd"/>
      <w:r w:rsidRPr="007C5A6E">
        <w:rPr>
          <w:rFonts w:ascii="Times New Roman" w:hAnsi="Times New Roman"/>
          <w:i/>
          <w:iCs/>
          <w:sz w:val="24"/>
          <w:szCs w:val="24"/>
          <w:lang w:val="en-US"/>
        </w:rPr>
        <w:t xml:space="preserve"> (</w:t>
      </w:r>
      <w:proofErr w:type="spellStart"/>
      <w:r w:rsidRPr="007C5A6E">
        <w:rPr>
          <w:rFonts w:ascii="Times New Roman" w:hAnsi="Times New Roman"/>
          <w:i/>
          <w:iCs/>
          <w:sz w:val="24"/>
          <w:szCs w:val="24"/>
          <w:lang w:val="en-US"/>
        </w:rPr>
        <w:t>Aponogetonaceae</w:t>
      </w:r>
      <w:proofErr w:type="spellEnd"/>
      <w:r w:rsidRPr="007C5A6E">
        <w:rPr>
          <w:rFonts w:ascii="Times New Roman" w:hAnsi="Times New Roman"/>
          <w:i/>
          <w:iCs/>
          <w:sz w:val="24"/>
          <w:szCs w:val="24"/>
          <w:lang w:val="en-US"/>
        </w:rPr>
        <w:t xml:space="preserve">), </w:t>
      </w:r>
      <w:proofErr w:type="spellStart"/>
      <w:r w:rsidRPr="007C5A6E">
        <w:rPr>
          <w:rFonts w:ascii="Times New Roman" w:hAnsi="Times New Roman"/>
          <w:i/>
          <w:iCs/>
          <w:sz w:val="24"/>
          <w:szCs w:val="24"/>
          <w:lang w:val="en-US"/>
        </w:rPr>
        <w:t>Drimiopsis</w:t>
      </w:r>
      <w:proofErr w:type="spellEnd"/>
      <w:r w:rsidRPr="007C5A6E">
        <w:rPr>
          <w:rFonts w:ascii="Times New Roman" w:hAnsi="Times New Roman"/>
          <w:i/>
          <w:iCs/>
          <w:sz w:val="24"/>
          <w:szCs w:val="24"/>
          <w:lang w:val="en-US"/>
        </w:rPr>
        <w:t xml:space="preserve"> </w:t>
      </w:r>
      <w:proofErr w:type="spellStart"/>
      <w:r w:rsidRPr="007C5A6E">
        <w:rPr>
          <w:rFonts w:ascii="Times New Roman" w:hAnsi="Times New Roman"/>
          <w:i/>
          <w:iCs/>
          <w:sz w:val="24"/>
          <w:szCs w:val="24"/>
          <w:lang w:val="en-US"/>
        </w:rPr>
        <w:t>barteri</w:t>
      </w:r>
      <w:proofErr w:type="spellEnd"/>
      <w:r w:rsidRPr="007C5A6E">
        <w:rPr>
          <w:rFonts w:ascii="Times New Roman" w:hAnsi="Times New Roman"/>
          <w:i/>
          <w:iCs/>
          <w:sz w:val="24"/>
          <w:szCs w:val="24"/>
          <w:lang w:val="en-US"/>
        </w:rPr>
        <w:t xml:space="preserve"> (Asparagaceae), Eleocharis </w:t>
      </w:r>
      <w:proofErr w:type="spellStart"/>
      <w:r w:rsidRPr="007C5A6E">
        <w:rPr>
          <w:rFonts w:ascii="Times New Roman" w:hAnsi="Times New Roman"/>
          <w:i/>
          <w:iCs/>
          <w:sz w:val="24"/>
          <w:szCs w:val="24"/>
          <w:lang w:val="en-US"/>
        </w:rPr>
        <w:t>naumanniana</w:t>
      </w:r>
      <w:proofErr w:type="spellEnd"/>
      <w:r w:rsidRPr="007C5A6E">
        <w:rPr>
          <w:rFonts w:ascii="Times New Roman" w:hAnsi="Times New Roman"/>
          <w:i/>
          <w:iCs/>
          <w:sz w:val="24"/>
          <w:szCs w:val="24"/>
          <w:lang w:val="en-US"/>
        </w:rPr>
        <w:t xml:space="preserve"> (Cyperaceae), Jatropha </w:t>
      </w:r>
      <w:proofErr w:type="spellStart"/>
      <w:r w:rsidRPr="007C5A6E">
        <w:rPr>
          <w:rFonts w:ascii="Times New Roman" w:hAnsi="Times New Roman"/>
          <w:i/>
          <w:iCs/>
          <w:sz w:val="24"/>
          <w:szCs w:val="24"/>
          <w:lang w:val="en-US"/>
        </w:rPr>
        <w:t>atacorensis</w:t>
      </w:r>
      <w:proofErr w:type="spellEnd"/>
      <w:r w:rsidRPr="007C5A6E">
        <w:rPr>
          <w:rFonts w:ascii="Times New Roman" w:hAnsi="Times New Roman"/>
          <w:i/>
          <w:iCs/>
          <w:sz w:val="24"/>
          <w:szCs w:val="24"/>
          <w:lang w:val="en-US"/>
        </w:rPr>
        <w:t xml:space="preserve">, </w:t>
      </w:r>
      <w:proofErr w:type="spellStart"/>
      <w:r w:rsidRPr="007C5A6E">
        <w:rPr>
          <w:rFonts w:ascii="Times New Roman" w:hAnsi="Times New Roman"/>
          <w:i/>
          <w:iCs/>
          <w:sz w:val="24"/>
          <w:szCs w:val="24"/>
          <w:lang w:val="en-US"/>
        </w:rPr>
        <w:t>Tragia</w:t>
      </w:r>
      <w:proofErr w:type="spellEnd"/>
      <w:r w:rsidRPr="007C5A6E">
        <w:rPr>
          <w:rFonts w:ascii="Times New Roman" w:hAnsi="Times New Roman"/>
          <w:i/>
          <w:iCs/>
          <w:sz w:val="24"/>
          <w:szCs w:val="24"/>
          <w:lang w:val="en-US"/>
        </w:rPr>
        <w:t xml:space="preserve"> </w:t>
      </w:r>
      <w:proofErr w:type="spellStart"/>
      <w:r w:rsidRPr="007C5A6E">
        <w:rPr>
          <w:rFonts w:ascii="Times New Roman" w:hAnsi="Times New Roman"/>
          <w:i/>
          <w:iCs/>
          <w:sz w:val="24"/>
          <w:szCs w:val="24"/>
          <w:lang w:val="en-US"/>
        </w:rPr>
        <w:t>laminularis</w:t>
      </w:r>
      <w:proofErr w:type="spellEnd"/>
      <w:r w:rsidRPr="007C5A6E">
        <w:rPr>
          <w:rFonts w:ascii="Times New Roman" w:hAnsi="Times New Roman"/>
          <w:i/>
          <w:iCs/>
          <w:sz w:val="24"/>
          <w:szCs w:val="24"/>
          <w:lang w:val="en-US"/>
        </w:rPr>
        <w:t xml:space="preserve"> (</w:t>
      </w:r>
      <w:proofErr w:type="spellStart"/>
      <w:r w:rsidRPr="007C5A6E">
        <w:rPr>
          <w:rFonts w:ascii="Times New Roman" w:hAnsi="Times New Roman"/>
          <w:i/>
          <w:iCs/>
          <w:sz w:val="24"/>
          <w:szCs w:val="24"/>
          <w:lang w:val="en-US"/>
        </w:rPr>
        <w:t>Euphorbiaceae</w:t>
      </w:r>
      <w:proofErr w:type="spellEnd"/>
      <w:r w:rsidRPr="007C5A6E">
        <w:rPr>
          <w:rFonts w:ascii="Times New Roman" w:hAnsi="Times New Roman"/>
          <w:i/>
          <w:iCs/>
          <w:sz w:val="24"/>
          <w:szCs w:val="24"/>
          <w:lang w:val="en-US"/>
        </w:rPr>
        <w:t xml:space="preserve">), </w:t>
      </w:r>
      <w:proofErr w:type="spellStart"/>
      <w:r w:rsidRPr="007C5A6E">
        <w:rPr>
          <w:rFonts w:ascii="Times New Roman" w:hAnsi="Times New Roman"/>
          <w:i/>
          <w:iCs/>
          <w:sz w:val="24"/>
          <w:szCs w:val="24"/>
          <w:lang w:val="en-US"/>
        </w:rPr>
        <w:t>Aeschynomene</w:t>
      </w:r>
      <w:proofErr w:type="spellEnd"/>
      <w:r w:rsidRPr="007C5A6E">
        <w:rPr>
          <w:rFonts w:ascii="Times New Roman" w:hAnsi="Times New Roman"/>
          <w:i/>
          <w:iCs/>
          <w:sz w:val="24"/>
          <w:szCs w:val="24"/>
          <w:lang w:val="en-US"/>
        </w:rPr>
        <w:t xml:space="preserve"> americana, </w:t>
      </w:r>
      <w:proofErr w:type="spellStart"/>
      <w:r w:rsidRPr="007C5A6E">
        <w:rPr>
          <w:rFonts w:ascii="Times New Roman" w:hAnsi="Times New Roman"/>
          <w:i/>
          <w:iCs/>
          <w:sz w:val="24"/>
          <w:szCs w:val="24"/>
          <w:lang w:val="en-US"/>
        </w:rPr>
        <w:t>Alysicarpus</w:t>
      </w:r>
      <w:proofErr w:type="spellEnd"/>
      <w:r w:rsidRPr="007C5A6E">
        <w:rPr>
          <w:rFonts w:ascii="Times New Roman" w:hAnsi="Times New Roman"/>
          <w:i/>
          <w:iCs/>
          <w:sz w:val="24"/>
          <w:szCs w:val="24"/>
          <w:lang w:val="en-US"/>
        </w:rPr>
        <w:t xml:space="preserve"> vaginalis, Crotalaria </w:t>
      </w:r>
      <w:proofErr w:type="spellStart"/>
      <w:r w:rsidRPr="007C5A6E">
        <w:rPr>
          <w:rFonts w:ascii="Times New Roman" w:hAnsi="Times New Roman"/>
          <w:i/>
          <w:iCs/>
          <w:sz w:val="24"/>
          <w:szCs w:val="24"/>
          <w:lang w:val="en-US"/>
        </w:rPr>
        <w:t>lachnophora</w:t>
      </w:r>
      <w:proofErr w:type="spellEnd"/>
      <w:r w:rsidRPr="007C5A6E">
        <w:rPr>
          <w:rFonts w:ascii="Times New Roman" w:hAnsi="Times New Roman"/>
          <w:i/>
          <w:iCs/>
          <w:sz w:val="24"/>
          <w:szCs w:val="24"/>
          <w:lang w:val="en-US"/>
        </w:rPr>
        <w:t xml:space="preserve"> , </w:t>
      </w:r>
      <w:proofErr w:type="spellStart"/>
      <w:r w:rsidRPr="007C5A6E">
        <w:rPr>
          <w:rFonts w:ascii="Times New Roman" w:hAnsi="Times New Roman"/>
          <w:i/>
          <w:iCs/>
          <w:sz w:val="24"/>
          <w:szCs w:val="24"/>
          <w:lang w:val="en-US"/>
        </w:rPr>
        <w:t>Desmodium</w:t>
      </w:r>
      <w:proofErr w:type="spellEnd"/>
      <w:r w:rsidRPr="007C5A6E">
        <w:rPr>
          <w:rFonts w:ascii="Times New Roman" w:hAnsi="Times New Roman"/>
          <w:i/>
          <w:iCs/>
          <w:sz w:val="24"/>
          <w:szCs w:val="24"/>
          <w:lang w:val="en-US"/>
        </w:rPr>
        <w:t xml:space="preserve"> </w:t>
      </w:r>
      <w:proofErr w:type="spellStart"/>
      <w:r w:rsidRPr="007C5A6E">
        <w:rPr>
          <w:rFonts w:ascii="Times New Roman" w:hAnsi="Times New Roman"/>
          <w:i/>
          <w:iCs/>
          <w:sz w:val="24"/>
          <w:szCs w:val="24"/>
          <w:lang w:val="en-US"/>
        </w:rPr>
        <w:t>ramosissimum</w:t>
      </w:r>
      <w:proofErr w:type="spellEnd"/>
      <w:r w:rsidRPr="007C5A6E">
        <w:rPr>
          <w:rFonts w:ascii="Times New Roman" w:hAnsi="Times New Roman"/>
          <w:i/>
          <w:iCs/>
          <w:sz w:val="24"/>
          <w:szCs w:val="24"/>
          <w:lang w:val="en-US"/>
        </w:rPr>
        <w:t xml:space="preserve">, Indigofera </w:t>
      </w:r>
      <w:proofErr w:type="spellStart"/>
      <w:r w:rsidRPr="007C5A6E">
        <w:rPr>
          <w:rFonts w:ascii="Times New Roman" w:hAnsi="Times New Roman"/>
          <w:i/>
          <w:iCs/>
          <w:sz w:val="24"/>
          <w:szCs w:val="24"/>
          <w:lang w:val="en-US"/>
        </w:rPr>
        <w:t>garckeana</w:t>
      </w:r>
      <w:proofErr w:type="spellEnd"/>
      <w:r w:rsidRPr="007C5A6E">
        <w:rPr>
          <w:rFonts w:ascii="Times New Roman" w:hAnsi="Times New Roman"/>
          <w:i/>
          <w:iCs/>
          <w:sz w:val="24"/>
          <w:szCs w:val="24"/>
          <w:lang w:val="en-US"/>
        </w:rPr>
        <w:t xml:space="preserve">, Vigna </w:t>
      </w:r>
      <w:proofErr w:type="spellStart"/>
      <w:r w:rsidRPr="007C5A6E">
        <w:rPr>
          <w:rFonts w:ascii="Times New Roman" w:hAnsi="Times New Roman"/>
          <w:i/>
          <w:iCs/>
          <w:sz w:val="24"/>
          <w:szCs w:val="24"/>
          <w:lang w:val="en-US"/>
        </w:rPr>
        <w:t>nigritia</w:t>
      </w:r>
      <w:proofErr w:type="spellEnd"/>
      <w:r w:rsidRPr="007C5A6E">
        <w:rPr>
          <w:rFonts w:ascii="Times New Roman" w:hAnsi="Times New Roman"/>
          <w:i/>
          <w:iCs/>
          <w:sz w:val="24"/>
          <w:szCs w:val="24"/>
          <w:lang w:val="en-US"/>
        </w:rPr>
        <w:t xml:space="preserve"> (Fabaceae), Gladiolus </w:t>
      </w:r>
      <w:proofErr w:type="spellStart"/>
      <w:r w:rsidRPr="007C5A6E">
        <w:rPr>
          <w:rFonts w:ascii="Times New Roman" w:hAnsi="Times New Roman"/>
          <w:i/>
          <w:iCs/>
          <w:sz w:val="24"/>
          <w:szCs w:val="24"/>
          <w:lang w:val="en-US"/>
        </w:rPr>
        <w:t>unguiculatus</w:t>
      </w:r>
      <w:proofErr w:type="spellEnd"/>
      <w:r w:rsidRPr="007C5A6E">
        <w:rPr>
          <w:rFonts w:ascii="Times New Roman" w:hAnsi="Times New Roman"/>
          <w:i/>
          <w:iCs/>
          <w:sz w:val="24"/>
          <w:szCs w:val="24"/>
          <w:lang w:val="en-US"/>
        </w:rPr>
        <w:t xml:space="preserve"> (Iridaceae), </w:t>
      </w:r>
      <w:proofErr w:type="spellStart"/>
      <w:r w:rsidRPr="007C5A6E">
        <w:rPr>
          <w:rFonts w:ascii="Times New Roman" w:hAnsi="Times New Roman"/>
          <w:i/>
          <w:iCs/>
          <w:sz w:val="24"/>
          <w:szCs w:val="24"/>
          <w:lang w:val="en-US"/>
        </w:rPr>
        <w:t>Ophioglossum</w:t>
      </w:r>
      <w:proofErr w:type="spellEnd"/>
      <w:r w:rsidRPr="007C5A6E">
        <w:rPr>
          <w:rFonts w:ascii="Times New Roman" w:hAnsi="Times New Roman"/>
          <w:i/>
          <w:iCs/>
          <w:sz w:val="24"/>
          <w:szCs w:val="24"/>
          <w:lang w:val="en-US"/>
        </w:rPr>
        <w:t xml:space="preserve"> </w:t>
      </w:r>
      <w:proofErr w:type="spellStart"/>
      <w:r w:rsidRPr="007C5A6E">
        <w:rPr>
          <w:rFonts w:ascii="Times New Roman" w:hAnsi="Times New Roman"/>
          <w:i/>
          <w:iCs/>
          <w:sz w:val="24"/>
          <w:szCs w:val="24"/>
          <w:lang w:val="en-US"/>
        </w:rPr>
        <w:t>thomasii</w:t>
      </w:r>
      <w:proofErr w:type="spellEnd"/>
      <w:r w:rsidRPr="007C5A6E">
        <w:rPr>
          <w:rFonts w:ascii="Times New Roman" w:hAnsi="Times New Roman"/>
          <w:i/>
          <w:iCs/>
          <w:sz w:val="24"/>
          <w:szCs w:val="24"/>
          <w:lang w:val="en-US"/>
        </w:rPr>
        <w:t xml:space="preserve"> (</w:t>
      </w:r>
      <w:proofErr w:type="spellStart"/>
      <w:r w:rsidRPr="007C5A6E">
        <w:rPr>
          <w:rFonts w:ascii="Times New Roman" w:hAnsi="Times New Roman"/>
          <w:i/>
          <w:iCs/>
          <w:sz w:val="24"/>
          <w:szCs w:val="24"/>
          <w:lang w:val="en-US"/>
        </w:rPr>
        <w:t>Ophioglossaceae</w:t>
      </w:r>
      <w:proofErr w:type="spellEnd"/>
      <w:r w:rsidRPr="007C5A6E">
        <w:rPr>
          <w:rFonts w:ascii="Times New Roman" w:hAnsi="Times New Roman"/>
          <w:i/>
          <w:iCs/>
          <w:sz w:val="24"/>
          <w:szCs w:val="24"/>
          <w:lang w:val="en-US"/>
        </w:rPr>
        <w:t xml:space="preserve">), Chloris </w:t>
      </w:r>
      <w:proofErr w:type="spellStart"/>
      <w:r w:rsidRPr="007C5A6E">
        <w:rPr>
          <w:rFonts w:ascii="Times New Roman" w:hAnsi="Times New Roman"/>
          <w:i/>
          <w:iCs/>
          <w:sz w:val="24"/>
          <w:szCs w:val="24"/>
          <w:lang w:val="en-US"/>
        </w:rPr>
        <w:t>gayana</w:t>
      </w:r>
      <w:proofErr w:type="spellEnd"/>
      <w:r w:rsidRPr="007C5A6E">
        <w:rPr>
          <w:rFonts w:ascii="Times New Roman" w:hAnsi="Times New Roman"/>
          <w:i/>
          <w:iCs/>
          <w:sz w:val="24"/>
          <w:szCs w:val="24"/>
          <w:lang w:val="en-US"/>
        </w:rPr>
        <w:t xml:space="preserve">, </w:t>
      </w:r>
      <w:proofErr w:type="spellStart"/>
      <w:r w:rsidRPr="007C5A6E">
        <w:rPr>
          <w:rFonts w:ascii="Times New Roman" w:hAnsi="Times New Roman"/>
          <w:i/>
          <w:iCs/>
          <w:sz w:val="24"/>
          <w:szCs w:val="24"/>
          <w:lang w:val="en-US"/>
        </w:rPr>
        <w:t>Loxodera</w:t>
      </w:r>
      <w:proofErr w:type="spellEnd"/>
      <w:r w:rsidRPr="007C5A6E">
        <w:rPr>
          <w:rFonts w:ascii="Times New Roman" w:hAnsi="Times New Roman"/>
          <w:i/>
          <w:iCs/>
          <w:sz w:val="24"/>
          <w:szCs w:val="24"/>
          <w:lang w:val="en-US"/>
        </w:rPr>
        <w:t xml:space="preserve"> </w:t>
      </w:r>
      <w:proofErr w:type="spellStart"/>
      <w:r w:rsidRPr="007C5A6E">
        <w:rPr>
          <w:rFonts w:ascii="Times New Roman" w:hAnsi="Times New Roman"/>
          <w:i/>
          <w:iCs/>
          <w:sz w:val="24"/>
          <w:szCs w:val="24"/>
          <w:lang w:val="en-US"/>
        </w:rPr>
        <w:t>ledermannii</w:t>
      </w:r>
      <w:proofErr w:type="spellEnd"/>
      <w:r w:rsidRPr="007C5A6E">
        <w:rPr>
          <w:rFonts w:ascii="Times New Roman" w:hAnsi="Times New Roman"/>
          <w:i/>
          <w:iCs/>
          <w:sz w:val="24"/>
          <w:szCs w:val="24"/>
          <w:lang w:val="en-US"/>
        </w:rPr>
        <w:t xml:space="preserve"> (</w:t>
      </w:r>
      <w:proofErr w:type="spellStart"/>
      <w:r w:rsidRPr="007C5A6E">
        <w:rPr>
          <w:rFonts w:ascii="Times New Roman" w:hAnsi="Times New Roman"/>
          <w:i/>
          <w:iCs/>
          <w:sz w:val="24"/>
          <w:szCs w:val="24"/>
          <w:lang w:val="en-US"/>
        </w:rPr>
        <w:t>Poaceae</w:t>
      </w:r>
      <w:proofErr w:type="spellEnd"/>
      <w:r w:rsidRPr="007C5A6E">
        <w:rPr>
          <w:rFonts w:ascii="Times New Roman" w:hAnsi="Times New Roman"/>
          <w:i/>
          <w:iCs/>
          <w:sz w:val="24"/>
          <w:szCs w:val="24"/>
          <w:lang w:val="en-US"/>
        </w:rPr>
        <w:t xml:space="preserve">), Salix </w:t>
      </w:r>
      <w:proofErr w:type="spellStart"/>
      <w:r w:rsidRPr="007C5A6E">
        <w:rPr>
          <w:rFonts w:ascii="Times New Roman" w:hAnsi="Times New Roman"/>
          <w:i/>
          <w:iCs/>
          <w:sz w:val="24"/>
          <w:szCs w:val="24"/>
          <w:lang w:val="en-US"/>
        </w:rPr>
        <w:t>chevalieri</w:t>
      </w:r>
      <w:proofErr w:type="spellEnd"/>
      <w:r w:rsidRPr="007C5A6E">
        <w:rPr>
          <w:rFonts w:ascii="Times New Roman" w:hAnsi="Times New Roman"/>
          <w:i/>
          <w:iCs/>
          <w:sz w:val="24"/>
          <w:szCs w:val="24"/>
          <w:lang w:val="en-US"/>
        </w:rPr>
        <w:t xml:space="preserve"> (Salicaceae), Selaginella </w:t>
      </w:r>
      <w:proofErr w:type="spellStart"/>
      <w:r w:rsidRPr="007C5A6E">
        <w:rPr>
          <w:rFonts w:ascii="Times New Roman" w:hAnsi="Times New Roman"/>
          <w:i/>
          <w:iCs/>
          <w:sz w:val="24"/>
          <w:szCs w:val="24"/>
          <w:lang w:val="en-US"/>
        </w:rPr>
        <w:t>buchholzii</w:t>
      </w:r>
      <w:proofErr w:type="spellEnd"/>
      <w:r w:rsidRPr="007C5A6E">
        <w:rPr>
          <w:rFonts w:ascii="Times New Roman" w:hAnsi="Times New Roman"/>
          <w:sz w:val="24"/>
          <w:szCs w:val="24"/>
          <w:lang w:val="en-US"/>
        </w:rPr>
        <w:t xml:space="preserve"> (</w:t>
      </w:r>
      <w:proofErr w:type="spellStart"/>
      <w:r w:rsidRPr="007C5A6E">
        <w:rPr>
          <w:rFonts w:ascii="Times New Roman" w:hAnsi="Times New Roman"/>
          <w:sz w:val="24"/>
          <w:szCs w:val="24"/>
          <w:lang w:val="en-US"/>
        </w:rPr>
        <w:t>Selaginellaceae</w:t>
      </w:r>
      <w:proofErr w:type="spellEnd"/>
      <w:r w:rsidRPr="007C5A6E">
        <w:rPr>
          <w:rFonts w:ascii="Times New Roman" w:hAnsi="Times New Roman"/>
          <w:sz w:val="24"/>
          <w:szCs w:val="24"/>
          <w:lang w:val="en-US"/>
        </w:rPr>
        <w:t xml:space="preserve">), </w:t>
      </w:r>
      <w:proofErr w:type="spellStart"/>
      <w:r w:rsidRPr="007C5A6E">
        <w:rPr>
          <w:rFonts w:ascii="Times New Roman" w:hAnsi="Times New Roman"/>
          <w:i/>
          <w:iCs/>
          <w:sz w:val="24"/>
          <w:szCs w:val="24"/>
          <w:lang w:val="en-US"/>
        </w:rPr>
        <w:t>Synaptolepis</w:t>
      </w:r>
      <w:proofErr w:type="spellEnd"/>
      <w:r w:rsidRPr="007C5A6E">
        <w:rPr>
          <w:rFonts w:ascii="Times New Roman" w:hAnsi="Times New Roman"/>
          <w:i/>
          <w:iCs/>
          <w:sz w:val="24"/>
          <w:szCs w:val="24"/>
          <w:lang w:val="en-US"/>
        </w:rPr>
        <w:t xml:space="preserve"> retusa</w:t>
      </w:r>
      <w:r w:rsidRPr="007C5A6E">
        <w:rPr>
          <w:rFonts w:ascii="Times New Roman" w:hAnsi="Times New Roman"/>
          <w:sz w:val="24"/>
          <w:szCs w:val="24"/>
          <w:lang w:val="en-US"/>
        </w:rPr>
        <w:t xml:space="preserve"> (</w:t>
      </w:r>
      <w:proofErr w:type="spellStart"/>
      <w:r w:rsidRPr="007C5A6E">
        <w:rPr>
          <w:rFonts w:ascii="Times New Roman" w:hAnsi="Times New Roman"/>
          <w:sz w:val="24"/>
          <w:szCs w:val="24"/>
          <w:lang w:val="en-US"/>
        </w:rPr>
        <w:t>Thymelaeaceae</w:t>
      </w:r>
      <w:proofErr w:type="spellEnd"/>
      <w:r w:rsidRPr="007C5A6E">
        <w:rPr>
          <w:rFonts w:ascii="Times New Roman" w:hAnsi="Times New Roman"/>
          <w:sz w:val="24"/>
          <w:szCs w:val="24"/>
          <w:lang w:val="en-US"/>
        </w:rPr>
        <w:t xml:space="preserve">) and </w:t>
      </w:r>
      <w:proofErr w:type="spellStart"/>
      <w:r w:rsidRPr="007C5A6E">
        <w:rPr>
          <w:rFonts w:ascii="Times New Roman" w:hAnsi="Times New Roman"/>
          <w:i/>
          <w:iCs/>
          <w:sz w:val="24"/>
          <w:szCs w:val="24"/>
          <w:lang w:val="en-US"/>
        </w:rPr>
        <w:t>Ampelocissus</w:t>
      </w:r>
      <w:proofErr w:type="spellEnd"/>
      <w:r w:rsidRPr="007C5A6E">
        <w:rPr>
          <w:rFonts w:ascii="Times New Roman" w:hAnsi="Times New Roman"/>
          <w:i/>
          <w:iCs/>
          <w:sz w:val="24"/>
          <w:szCs w:val="24"/>
          <w:lang w:val="en-US"/>
        </w:rPr>
        <w:t xml:space="preserve"> </w:t>
      </w:r>
      <w:proofErr w:type="spellStart"/>
      <w:r w:rsidRPr="007C5A6E">
        <w:rPr>
          <w:rFonts w:ascii="Times New Roman" w:hAnsi="Times New Roman"/>
          <w:i/>
          <w:iCs/>
          <w:sz w:val="24"/>
          <w:szCs w:val="24"/>
          <w:lang w:val="en-US"/>
        </w:rPr>
        <w:t>bombycina</w:t>
      </w:r>
      <w:proofErr w:type="spellEnd"/>
      <w:r w:rsidRPr="007C5A6E">
        <w:rPr>
          <w:rFonts w:ascii="Times New Roman" w:hAnsi="Times New Roman"/>
          <w:sz w:val="24"/>
          <w:szCs w:val="24"/>
          <w:lang w:val="en-US"/>
        </w:rPr>
        <w:t xml:space="preserve"> (Vitaceae).</w:t>
      </w:r>
    </w:p>
    <w:p w14:paraId="6DBB9134" w14:textId="77777777" w:rsidR="007C3497" w:rsidRPr="007C5A6E" w:rsidRDefault="007C3497" w:rsidP="007C3497">
      <w:pPr>
        <w:spacing w:after="0" w:line="240" w:lineRule="auto"/>
        <w:jc w:val="both"/>
        <w:rPr>
          <w:rFonts w:ascii="Times New Roman" w:hAnsi="Times New Roman"/>
          <w:sz w:val="24"/>
          <w:szCs w:val="24"/>
          <w:lang w:val="en-US"/>
        </w:rPr>
      </w:pPr>
    </w:p>
    <w:p w14:paraId="4FBE67FC" w14:textId="77777777" w:rsidR="007C3497" w:rsidRPr="007C5A6E" w:rsidRDefault="007C3497" w:rsidP="007C3497">
      <w:pPr>
        <w:spacing w:after="0" w:line="240" w:lineRule="auto"/>
        <w:jc w:val="both"/>
        <w:rPr>
          <w:rFonts w:ascii="Times New Roman" w:hAnsi="Times New Roman"/>
          <w:sz w:val="24"/>
          <w:szCs w:val="24"/>
        </w:rPr>
      </w:pPr>
      <w:r w:rsidRPr="007C5A6E">
        <w:rPr>
          <w:rFonts w:ascii="Times New Roman" w:hAnsi="Times New Roman"/>
          <w:sz w:val="24"/>
          <w:szCs w:val="24"/>
        </w:rPr>
        <w:t xml:space="preserve">Les résultats des travaux de Schmidt (2018) et </w:t>
      </w:r>
      <w:proofErr w:type="spellStart"/>
      <w:r w:rsidRPr="007C5A6E">
        <w:rPr>
          <w:rFonts w:ascii="Times New Roman" w:hAnsi="Times New Roman"/>
          <w:sz w:val="24"/>
          <w:szCs w:val="24"/>
        </w:rPr>
        <w:t>Nacoulma</w:t>
      </w:r>
      <w:proofErr w:type="spellEnd"/>
      <w:r w:rsidRPr="007C5A6E">
        <w:rPr>
          <w:rFonts w:ascii="Times New Roman" w:hAnsi="Times New Roman"/>
          <w:sz w:val="24"/>
          <w:szCs w:val="24"/>
        </w:rPr>
        <w:t xml:space="preserve"> et al (2018) portent désormais à 2099 le nombre d’espèces de plantes vasculaires connues au Burkina Faso.</w:t>
      </w:r>
    </w:p>
    <w:p w14:paraId="56A7FE32" w14:textId="77777777" w:rsidR="007C3497" w:rsidRPr="007C5A6E" w:rsidRDefault="007C3497" w:rsidP="007C3497">
      <w:pPr>
        <w:spacing w:after="0" w:line="240" w:lineRule="auto"/>
        <w:jc w:val="both"/>
        <w:rPr>
          <w:rFonts w:ascii="Times New Roman" w:hAnsi="Times New Roman"/>
          <w:sz w:val="24"/>
          <w:szCs w:val="24"/>
        </w:rPr>
      </w:pPr>
    </w:p>
    <w:p w14:paraId="05CFA13B" w14:textId="77777777" w:rsidR="007C3497" w:rsidRPr="007C5A6E" w:rsidRDefault="007C3497" w:rsidP="003F3821">
      <w:pPr>
        <w:pStyle w:val="Titre5"/>
        <w:keepNext w:val="0"/>
        <w:keepLines w:val="0"/>
        <w:numPr>
          <w:ilvl w:val="4"/>
          <w:numId w:val="4"/>
        </w:numPr>
        <w:spacing w:before="0"/>
        <w:ind w:left="907" w:hanging="907"/>
        <w:rPr>
          <w:rFonts w:ascii="Times New Roman" w:hAnsi="Times New Roman" w:cs="Times New Roman"/>
          <w:color w:val="auto"/>
          <w:u w:val="single"/>
          <w:lang w:eastAsia="en-US"/>
        </w:rPr>
      </w:pPr>
      <w:r w:rsidRPr="007C5A6E">
        <w:rPr>
          <w:rFonts w:ascii="Times New Roman" w:hAnsi="Times New Roman" w:cs="Times New Roman"/>
          <w:color w:val="auto"/>
          <w:u w:val="single"/>
          <w:lang w:eastAsia="en-US"/>
        </w:rPr>
        <w:t xml:space="preserve"> </w:t>
      </w:r>
      <w:bookmarkStart w:id="1069" w:name="_Toc182575446"/>
      <w:bookmarkStart w:id="1070" w:name="_Toc183340233"/>
      <w:r w:rsidRPr="007C5A6E">
        <w:rPr>
          <w:rFonts w:ascii="Times New Roman" w:hAnsi="Times New Roman" w:cs="Times New Roman"/>
          <w:color w:val="auto"/>
          <w:u w:val="single"/>
          <w:lang w:eastAsia="en-US"/>
        </w:rPr>
        <w:t>Cas spécifique des plantes cultivées</w:t>
      </w:r>
      <w:bookmarkEnd w:id="1069"/>
      <w:bookmarkEnd w:id="1070"/>
      <w:r w:rsidRPr="007C5A6E">
        <w:rPr>
          <w:rFonts w:ascii="Times New Roman" w:hAnsi="Times New Roman" w:cs="Times New Roman"/>
          <w:color w:val="auto"/>
          <w:u w:val="single"/>
          <w:lang w:eastAsia="en-US"/>
        </w:rPr>
        <w:t xml:space="preserve"> </w:t>
      </w:r>
    </w:p>
    <w:p w14:paraId="0968F87A" w14:textId="77777777" w:rsidR="007C3497" w:rsidRPr="007C5A6E" w:rsidRDefault="007C3497" w:rsidP="007C3497">
      <w:pPr>
        <w:spacing w:after="0" w:line="240" w:lineRule="auto"/>
        <w:jc w:val="both"/>
        <w:rPr>
          <w:rFonts w:ascii="Times New Roman" w:hAnsi="Times New Roman"/>
          <w:b/>
          <w:bCs/>
          <w:sz w:val="24"/>
          <w:szCs w:val="24"/>
        </w:rPr>
      </w:pPr>
    </w:p>
    <w:p w14:paraId="1B1121F6" w14:textId="45B0CC18" w:rsidR="007C3497" w:rsidRPr="007C5A6E" w:rsidRDefault="007C3497" w:rsidP="007C3497">
      <w:pPr>
        <w:spacing w:after="0" w:line="240" w:lineRule="auto"/>
        <w:jc w:val="both"/>
        <w:rPr>
          <w:rFonts w:ascii="Times New Roman" w:hAnsi="Times New Roman"/>
          <w:sz w:val="24"/>
          <w:szCs w:val="24"/>
        </w:rPr>
      </w:pPr>
      <w:r w:rsidRPr="007C5A6E">
        <w:rPr>
          <w:rFonts w:ascii="Times New Roman" w:hAnsi="Times New Roman"/>
          <w:sz w:val="24"/>
          <w:szCs w:val="24"/>
        </w:rPr>
        <w:t xml:space="preserve">En 2014, quarante-deux (42) espèces de plantes cultivées contenant au total 305 variétés ont été inscrites dans le catalogue national des espèces et variétés agricole du Burkina Faso </w:t>
      </w:r>
      <w:bookmarkStart w:id="1071" w:name="_Hlk182484818"/>
      <w:r w:rsidRPr="007C5A6E">
        <w:rPr>
          <w:rFonts w:ascii="Times New Roman" w:hAnsi="Times New Roman"/>
          <w:sz w:val="24"/>
          <w:szCs w:val="24"/>
        </w:rPr>
        <w:t xml:space="preserve">(Burkina Faso, 2014) </w:t>
      </w:r>
      <w:bookmarkEnd w:id="1071"/>
      <w:r w:rsidRPr="007C5A6E">
        <w:rPr>
          <w:rFonts w:ascii="Times New Roman" w:hAnsi="Times New Roman"/>
          <w:sz w:val="24"/>
          <w:szCs w:val="24"/>
        </w:rPr>
        <w:t xml:space="preserve">avec la </w:t>
      </w:r>
      <w:r w:rsidR="00707C11" w:rsidRPr="007C5A6E">
        <w:rPr>
          <w:rFonts w:ascii="Times New Roman" w:hAnsi="Times New Roman"/>
          <w:sz w:val="24"/>
          <w:szCs w:val="24"/>
        </w:rPr>
        <w:t>répartition</w:t>
      </w:r>
      <w:r w:rsidRPr="007C5A6E">
        <w:rPr>
          <w:rFonts w:ascii="Times New Roman" w:hAnsi="Times New Roman"/>
          <w:sz w:val="24"/>
          <w:szCs w:val="24"/>
        </w:rPr>
        <w:t xml:space="preserve"> suivante: les Céréales 120 variétés (39,34%), les </w:t>
      </w:r>
      <w:proofErr w:type="spellStart"/>
      <w:r w:rsidRPr="007C5A6E">
        <w:rPr>
          <w:rFonts w:ascii="Times New Roman" w:hAnsi="Times New Roman"/>
          <w:sz w:val="24"/>
          <w:szCs w:val="24"/>
        </w:rPr>
        <w:t>Oléoprotagineux</w:t>
      </w:r>
      <w:proofErr w:type="spellEnd"/>
      <w:r w:rsidRPr="007C5A6E">
        <w:rPr>
          <w:rFonts w:ascii="Times New Roman" w:hAnsi="Times New Roman"/>
          <w:sz w:val="24"/>
          <w:szCs w:val="24"/>
        </w:rPr>
        <w:t xml:space="preserve"> avec 54 variétés (soit 17,70%), 40 variétés de fruitiers soit 13,11% ; les cultures maraîchères avec 27 variétés (8,85%), les tubercules avec 19 variétés (6,23%), les plantes à fibres avec 13 variétés et le cotonnier 5 variétés. Le dernier rapport de la monographie nationale (MEEVCC, 2020) fait état de 301 variétés de plantes cultivées au Burkina Faso et 67 espèces comportant : 06 espèces de céréales locales ; 04 espèces de légumineuses locales ; 07 espèces de tubercules locales ;  05 espèces de culture de rente locales ; 28 espèces de cultures maraîchères dont 06 locales et 22 introduites ; 12 espèces d’arboricultures fruitières locales et introduites; 01 espèce d’algue locale et 04 espèces de plantes fourragères locales.</w:t>
      </w:r>
    </w:p>
    <w:p w14:paraId="5D0AE161" w14:textId="77777777" w:rsidR="007C3497" w:rsidRPr="007C5A6E" w:rsidRDefault="007C3497" w:rsidP="007C3497">
      <w:pPr>
        <w:spacing w:after="0" w:line="240" w:lineRule="auto"/>
        <w:jc w:val="both"/>
        <w:rPr>
          <w:rFonts w:ascii="Times New Roman" w:hAnsi="Times New Roman"/>
          <w:sz w:val="24"/>
          <w:szCs w:val="24"/>
        </w:rPr>
      </w:pPr>
    </w:p>
    <w:p w14:paraId="05753510" w14:textId="77777777" w:rsidR="007C3497" w:rsidRPr="007C5A6E" w:rsidRDefault="007C3497" w:rsidP="003F3821">
      <w:pPr>
        <w:pStyle w:val="Titre5"/>
        <w:keepNext w:val="0"/>
        <w:keepLines w:val="0"/>
        <w:numPr>
          <w:ilvl w:val="4"/>
          <w:numId w:val="4"/>
        </w:numPr>
        <w:spacing w:before="0"/>
        <w:ind w:left="907" w:hanging="907"/>
        <w:rPr>
          <w:rFonts w:ascii="Times New Roman" w:hAnsi="Times New Roman" w:cs="Times New Roman"/>
          <w:color w:val="auto"/>
          <w:u w:val="single"/>
          <w:lang w:eastAsia="en-US"/>
        </w:rPr>
      </w:pPr>
      <w:r w:rsidRPr="007C5A6E">
        <w:rPr>
          <w:rFonts w:ascii="Times New Roman" w:hAnsi="Times New Roman" w:cs="Times New Roman"/>
          <w:color w:val="auto"/>
          <w:u w:val="single"/>
          <w:lang w:eastAsia="en-US"/>
        </w:rPr>
        <w:t xml:space="preserve"> </w:t>
      </w:r>
      <w:bookmarkStart w:id="1072" w:name="_Toc182575447"/>
      <w:bookmarkStart w:id="1073" w:name="_Toc183340234"/>
      <w:r w:rsidRPr="007C5A6E">
        <w:rPr>
          <w:rFonts w:ascii="Times New Roman" w:hAnsi="Times New Roman" w:cs="Times New Roman"/>
          <w:color w:val="auto"/>
          <w:u w:val="single"/>
          <w:lang w:eastAsia="en-US"/>
        </w:rPr>
        <w:t>Cas spécifique des plantes envahissantes</w:t>
      </w:r>
      <w:bookmarkEnd w:id="1072"/>
      <w:bookmarkEnd w:id="1073"/>
      <w:r w:rsidRPr="007C5A6E">
        <w:rPr>
          <w:rFonts w:ascii="Times New Roman" w:hAnsi="Times New Roman" w:cs="Times New Roman"/>
          <w:color w:val="auto"/>
          <w:u w:val="single"/>
          <w:lang w:eastAsia="en-US"/>
        </w:rPr>
        <w:t xml:space="preserve"> </w:t>
      </w:r>
    </w:p>
    <w:p w14:paraId="7C814CB9" w14:textId="77777777" w:rsidR="007C3497" w:rsidRPr="007C5A6E" w:rsidRDefault="007C3497" w:rsidP="007C3497">
      <w:pPr>
        <w:spacing w:after="0" w:line="240" w:lineRule="auto"/>
        <w:jc w:val="both"/>
        <w:rPr>
          <w:rFonts w:ascii="Times New Roman" w:hAnsi="Times New Roman"/>
          <w:sz w:val="24"/>
          <w:szCs w:val="24"/>
        </w:rPr>
      </w:pPr>
    </w:p>
    <w:p w14:paraId="076951F7" w14:textId="69F86E2D" w:rsidR="007C3497" w:rsidRPr="007C5A6E" w:rsidRDefault="007C3497" w:rsidP="00CC5D3A">
      <w:pPr>
        <w:spacing w:after="0" w:line="240" w:lineRule="auto"/>
        <w:jc w:val="both"/>
        <w:rPr>
          <w:rFonts w:ascii="Times New Roman" w:hAnsi="Times New Roman"/>
          <w:sz w:val="24"/>
          <w:szCs w:val="24"/>
        </w:rPr>
      </w:pPr>
      <w:r w:rsidRPr="007C5A6E">
        <w:rPr>
          <w:rFonts w:ascii="Times New Roman" w:hAnsi="Times New Roman"/>
          <w:sz w:val="24"/>
          <w:szCs w:val="24"/>
        </w:rPr>
        <w:t xml:space="preserve">A ce jour, 42 espèces envahissantes sont identifiées au Burkina Faso (MEEVCC, 2020) ; Ces espèces concernes toutes les catégories de potentiel d’envahissement et la tendance est à la dominance des espèces les plus envahissantes (tableau </w:t>
      </w:r>
      <w:r w:rsidR="00CC5D3A" w:rsidRPr="007C5A6E">
        <w:rPr>
          <w:rFonts w:ascii="Times New Roman" w:hAnsi="Times New Roman"/>
          <w:sz w:val="24"/>
          <w:szCs w:val="24"/>
        </w:rPr>
        <w:t>4</w:t>
      </w:r>
      <w:r w:rsidR="003B3F85" w:rsidRPr="007C5A6E">
        <w:rPr>
          <w:rFonts w:ascii="Times New Roman" w:hAnsi="Times New Roman"/>
          <w:sz w:val="24"/>
          <w:szCs w:val="24"/>
        </w:rPr>
        <w:t>4</w:t>
      </w:r>
      <w:r w:rsidRPr="007C5A6E">
        <w:rPr>
          <w:rFonts w:ascii="Times New Roman" w:hAnsi="Times New Roman"/>
          <w:sz w:val="24"/>
          <w:szCs w:val="24"/>
        </w:rPr>
        <w:t>).</w:t>
      </w:r>
    </w:p>
    <w:p w14:paraId="6E7A34D6" w14:textId="77777777" w:rsidR="007C3497" w:rsidRPr="007C5A6E" w:rsidRDefault="007C3497" w:rsidP="00CC5D3A">
      <w:pPr>
        <w:spacing w:after="0" w:line="240" w:lineRule="auto"/>
        <w:jc w:val="both"/>
        <w:rPr>
          <w:rFonts w:ascii="Times New Roman" w:hAnsi="Times New Roman"/>
          <w:sz w:val="24"/>
          <w:szCs w:val="24"/>
        </w:rPr>
      </w:pPr>
    </w:p>
    <w:p w14:paraId="6149FA37" w14:textId="6E69676B" w:rsidR="007C3497" w:rsidRPr="007C5A6E" w:rsidRDefault="00CC5D3A" w:rsidP="00CC5D3A">
      <w:pPr>
        <w:pStyle w:val="Lgende"/>
        <w:spacing w:after="0"/>
        <w:rPr>
          <w:rFonts w:ascii="Times New Roman" w:eastAsia="Calibri" w:hAnsi="Times New Roman"/>
          <w:i w:val="0"/>
          <w:iCs w:val="0"/>
          <w:color w:val="auto"/>
          <w:sz w:val="24"/>
          <w:szCs w:val="24"/>
          <w:lang w:eastAsia="en-US"/>
          <w14:ligatures w14:val="standardContextual"/>
        </w:rPr>
      </w:pPr>
      <w:bookmarkStart w:id="1074" w:name="_Toc182575501"/>
      <w:bookmarkStart w:id="1075" w:name="_Toc183241006"/>
      <w:bookmarkStart w:id="1076" w:name="_Toc183292248"/>
      <w:bookmarkStart w:id="1077" w:name="_Toc183340528"/>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3162F8" w:rsidRPr="007C5A6E">
        <w:rPr>
          <w:rFonts w:ascii="Times New Roman" w:hAnsi="Times New Roman"/>
          <w:i w:val="0"/>
          <w:iCs w:val="0"/>
          <w:noProof/>
          <w:color w:val="auto"/>
          <w:sz w:val="24"/>
          <w:szCs w:val="24"/>
        </w:rPr>
        <w:t>44</w:t>
      </w:r>
      <w:r w:rsidRPr="007C5A6E">
        <w:rPr>
          <w:rFonts w:ascii="Times New Roman" w:hAnsi="Times New Roman"/>
          <w:i w:val="0"/>
          <w:iCs w:val="0"/>
          <w:color w:val="auto"/>
          <w:sz w:val="24"/>
          <w:szCs w:val="24"/>
        </w:rPr>
        <w:fldChar w:fldCharType="end"/>
      </w:r>
      <w:r w:rsidR="007C3497" w:rsidRPr="007C5A6E">
        <w:rPr>
          <w:rFonts w:ascii="Times New Roman" w:eastAsia="Calibri" w:hAnsi="Times New Roman"/>
          <w:i w:val="0"/>
          <w:iCs w:val="0"/>
          <w:color w:val="auto"/>
          <w:sz w:val="24"/>
          <w:szCs w:val="24"/>
          <w:lang w:eastAsia="en-US"/>
          <w14:ligatures w14:val="standardContextual"/>
        </w:rPr>
        <w:t xml:space="preserve"> : Nombre d’espèces envahissantes du Burkina Faso classées par catégorie de potentiel d’envahissement hiérarchisée de l’ICRAF</w:t>
      </w:r>
      <w:bookmarkEnd w:id="1074"/>
      <w:bookmarkEnd w:id="1075"/>
      <w:bookmarkEnd w:id="1076"/>
      <w:bookmarkEnd w:id="1077"/>
    </w:p>
    <w:p w14:paraId="6AABD847" w14:textId="77777777" w:rsidR="00CC5D3A" w:rsidRPr="007C5A6E" w:rsidRDefault="00CC5D3A" w:rsidP="00CC5D3A">
      <w:pPr>
        <w:spacing w:after="0" w:line="240" w:lineRule="auto"/>
        <w:rPr>
          <w:lang w:eastAsia="en-US"/>
        </w:rPr>
      </w:pPr>
    </w:p>
    <w:tbl>
      <w:tblPr>
        <w:tblStyle w:val="Grilledutableau7"/>
        <w:tblW w:w="0" w:type="auto"/>
        <w:tblLook w:val="04A0" w:firstRow="1" w:lastRow="0" w:firstColumn="1" w:lastColumn="0" w:noHBand="0" w:noVBand="1"/>
      </w:tblPr>
      <w:tblGrid>
        <w:gridCol w:w="4531"/>
        <w:gridCol w:w="4395"/>
      </w:tblGrid>
      <w:tr w:rsidR="007C3497" w:rsidRPr="007C5A6E" w14:paraId="4F37F509" w14:textId="77777777" w:rsidTr="007C3497">
        <w:tc>
          <w:tcPr>
            <w:tcW w:w="4531" w:type="dxa"/>
            <w:shd w:val="clear" w:color="auto" w:fill="70AD47"/>
          </w:tcPr>
          <w:p w14:paraId="6E10EF36" w14:textId="77777777" w:rsidR="007C3497" w:rsidRPr="007C5A6E" w:rsidRDefault="007C3497" w:rsidP="007C3497">
            <w:pPr>
              <w:spacing w:after="0" w:line="240" w:lineRule="auto"/>
              <w:rPr>
                <w:rFonts w:ascii="Times New Roman" w:hAnsi="Times New Roman"/>
              </w:rPr>
            </w:pPr>
            <w:r w:rsidRPr="007C5A6E">
              <w:rPr>
                <w:rFonts w:ascii="Times New Roman" w:hAnsi="Times New Roman"/>
              </w:rPr>
              <w:t>Catégories selon l’ICRAF</w:t>
            </w:r>
          </w:p>
        </w:tc>
        <w:tc>
          <w:tcPr>
            <w:tcW w:w="4395" w:type="dxa"/>
            <w:shd w:val="clear" w:color="auto" w:fill="70AD47"/>
          </w:tcPr>
          <w:p w14:paraId="1AB5E5A7" w14:textId="77777777" w:rsidR="007C3497" w:rsidRPr="007C5A6E" w:rsidRDefault="007C3497" w:rsidP="007C3497">
            <w:pPr>
              <w:spacing w:after="0" w:line="240" w:lineRule="auto"/>
              <w:rPr>
                <w:rFonts w:ascii="Times New Roman" w:hAnsi="Times New Roman"/>
              </w:rPr>
            </w:pPr>
            <w:r w:rsidRPr="007C5A6E">
              <w:rPr>
                <w:rFonts w:ascii="Times New Roman" w:hAnsi="Times New Roman"/>
              </w:rPr>
              <w:t>Nombre d’espèces</w:t>
            </w:r>
          </w:p>
        </w:tc>
      </w:tr>
      <w:tr w:rsidR="007C3497" w:rsidRPr="007C5A6E" w14:paraId="50D21616" w14:textId="77777777" w:rsidTr="007C3497">
        <w:tc>
          <w:tcPr>
            <w:tcW w:w="4531" w:type="dxa"/>
            <w:shd w:val="clear" w:color="auto" w:fill="DEEAF6"/>
          </w:tcPr>
          <w:p w14:paraId="30C02B0B" w14:textId="77777777" w:rsidR="007C3497" w:rsidRPr="007C5A6E" w:rsidRDefault="007C3497" w:rsidP="007C3497">
            <w:pPr>
              <w:spacing w:after="0" w:line="240" w:lineRule="auto"/>
              <w:jc w:val="center"/>
              <w:rPr>
                <w:rFonts w:ascii="Times New Roman" w:hAnsi="Times New Roman"/>
              </w:rPr>
            </w:pPr>
            <w:r w:rsidRPr="007C5A6E">
              <w:rPr>
                <w:rFonts w:ascii="Times New Roman" w:hAnsi="Times New Roman"/>
              </w:rPr>
              <w:t>A</w:t>
            </w:r>
          </w:p>
        </w:tc>
        <w:tc>
          <w:tcPr>
            <w:tcW w:w="4395" w:type="dxa"/>
            <w:shd w:val="clear" w:color="auto" w:fill="DEEAF6"/>
          </w:tcPr>
          <w:p w14:paraId="5740177E" w14:textId="77777777" w:rsidR="007C3497" w:rsidRPr="007C5A6E" w:rsidRDefault="007C3497" w:rsidP="007C3497">
            <w:pPr>
              <w:spacing w:after="0" w:line="240" w:lineRule="auto"/>
              <w:jc w:val="center"/>
              <w:rPr>
                <w:rFonts w:ascii="Times New Roman" w:hAnsi="Times New Roman"/>
              </w:rPr>
            </w:pPr>
            <w:r w:rsidRPr="007C5A6E">
              <w:rPr>
                <w:rFonts w:ascii="Times New Roman" w:hAnsi="Times New Roman"/>
              </w:rPr>
              <w:t>15</w:t>
            </w:r>
          </w:p>
        </w:tc>
      </w:tr>
      <w:tr w:rsidR="007C3497" w:rsidRPr="007C5A6E" w14:paraId="7443233F" w14:textId="77777777" w:rsidTr="00F23EE9">
        <w:tc>
          <w:tcPr>
            <w:tcW w:w="4531" w:type="dxa"/>
          </w:tcPr>
          <w:p w14:paraId="26A6379D" w14:textId="77777777" w:rsidR="007C3497" w:rsidRPr="007C5A6E" w:rsidRDefault="007C3497" w:rsidP="007C3497">
            <w:pPr>
              <w:spacing w:after="0" w:line="240" w:lineRule="auto"/>
              <w:jc w:val="center"/>
              <w:rPr>
                <w:rFonts w:ascii="Times New Roman" w:hAnsi="Times New Roman"/>
              </w:rPr>
            </w:pPr>
            <w:r w:rsidRPr="007C5A6E">
              <w:rPr>
                <w:rFonts w:ascii="Times New Roman" w:hAnsi="Times New Roman"/>
              </w:rPr>
              <w:t>B</w:t>
            </w:r>
          </w:p>
        </w:tc>
        <w:tc>
          <w:tcPr>
            <w:tcW w:w="4395" w:type="dxa"/>
          </w:tcPr>
          <w:p w14:paraId="51B051E8" w14:textId="77777777" w:rsidR="007C3497" w:rsidRPr="007C5A6E" w:rsidRDefault="007C3497" w:rsidP="007C3497">
            <w:pPr>
              <w:spacing w:after="0" w:line="240" w:lineRule="auto"/>
              <w:jc w:val="center"/>
              <w:rPr>
                <w:rFonts w:ascii="Times New Roman" w:hAnsi="Times New Roman"/>
              </w:rPr>
            </w:pPr>
            <w:r w:rsidRPr="007C5A6E">
              <w:rPr>
                <w:rFonts w:ascii="Times New Roman" w:hAnsi="Times New Roman"/>
              </w:rPr>
              <w:t>15</w:t>
            </w:r>
          </w:p>
        </w:tc>
      </w:tr>
      <w:tr w:rsidR="007C3497" w:rsidRPr="007C5A6E" w14:paraId="40B68C7F" w14:textId="77777777" w:rsidTr="007C3497">
        <w:tc>
          <w:tcPr>
            <w:tcW w:w="4531" w:type="dxa"/>
            <w:shd w:val="clear" w:color="auto" w:fill="DEEAF6"/>
          </w:tcPr>
          <w:p w14:paraId="4EAC0C4A" w14:textId="77777777" w:rsidR="007C3497" w:rsidRPr="007C5A6E" w:rsidRDefault="007C3497" w:rsidP="007C3497">
            <w:pPr>
              <w:spacing w:after="0" w:line="240" w:lineRule="auto"/>
              <w:jc w:val="center"/>
              <w:rPr>
                <w:rFonts w:ascii="Times New Roman" w:hAnsi="Times New Roman"/>
              </w:rPr>
            </w:pPr>
            <w:r w:rsidRPr="007C5A6E">
              <w:rPr>
                <w:rFonts w:ascii="Times New Roman" w:hAnsi="Times New Roman"/>
              </w:rPr>
              <w:t>C</w:t>
            </w:r>
          </w:p>
        </w:tc>
        <w:tc>
          <w:tcPr>
            <w:tcW w:w="4395" w:type="dxa"/>
            <w:shd w:val="clear" w:color="auto" w:fill="DEEAF6"/>
          </w:tcPr>
          <w:p w14:paraId="39605C02" w14:textId="77777777" w:rsidR="007C3497" w:rsidRPr="007C5A6E" w:rsidRDefault="007C3497" w:rsidP="007C3497">
            <w:pPr>
              <w:spacing w:after="0" w:line="240" w:lineRule="auto"/>
              <w:jc w:val="center"/>
              <w:rPr>
                <w:rFonts w:ascii="Times New Roman" w:hAnsi="Times New Roman"/>
              </w:rPr>
            </w:pPr>
            <w:r w:rsidRPr="007C5A6E">
              <w:rPr>
                <w:rFonts w:ascii="Times New Roman" w:hAnsi="Times New Roman"/>
              </w:rPr>
              <w:t>12</w:t>
            </w:r>
          </w:p>
        </w:tc>
      </w:tr>
      <w:tr w:rsidR="007C3497" w:rsidRPr="007C5A6E" w14:paraId="4A9D0002" w14:textId="77777777" w:rsidTr="007C3497">
        <w:tc>
          <w:tcPr>
            <w:tcW w:w="4531" w:type="dxa"/>
            <w:shd w:val="clear" w:color="auto" w:fill="70AD47"/>
          </w:tcPr>
          <w:p w14:paraId="3638C0D3" w14:textId="77777777" w:rsidR="007C3497" w:rsidRPr="007C5A6E" w:rsidRDefault="007C3497" w:rsidP="007C3497">
            <w:pPr>
              <w:spacing w:after="0" w:line="240" w:lineRule="auto"/>
              <w:rPr>
                <w:rFonts w:ascii="Times New Roman" w:hAnsi="Times New Roman"/>
              </w:rPr>
            </w:pPr>
            <w:r w:rsidRPr="007C5A6E">
              <w:rPr>
                <w:rFonts w:ascii="Times New Roman" w:hAnsi="Times New Roman"/>
              </w:rPr>
              <w:t>Total général</w:t>
            </w:r>
          </w:p>
        </w:tc>
        <w:tc>
          <w:tcPr>
            <w:tcW w:w="4395" w:type="dxa"/>
            <w:shd w:val="clear" w:color="auto" w:fill="70AD47"/>
          </w:tcPr>
          <w:p w14:paraId="3A4A2C94" w14:textId="77777777" w:rsidR="007C3497" w:rsidRPr="007C5A6E" w:rsidRDefault="007C3497" w:rsidP="007C3497">
            <w:pPr>
              <w:spacing w:after="0" w:line="240" w:lineRule="auto"/>
              <w:jc w:val="center"/>
              <w:rPr>
                <w:rFonts w:ascii="Times New Roman" w:hAnsi="Times New Roman"/>
              </w:rPr>
            </w:pPr>
            <w:r w:rsidRPr="007C5A6E">
              <w:rPr>
                <w:rFonts w:ascii="Times New Roman" w:hAnsi="Times New Roman"/>
              </w:rPr>
              <w:t>42</w:t>
            </w:r>
          </w:p>
        </w:tc>
      </w:tr>
    </w:tbl>
    <w:p w14:paraId="04162931" w14:textId="77777777" w:rsidR="007C3497" w:rsidRPr="007C5A6E" w:rsidRDefault="007C3497" w:rsidP="007C3497">
      <w:pPr>
        <w:spacing w:after="0" w:line="240" w:lineRule="auto"/>
        <w:jc w:val="both"/>
        <w:rPr>
          <w:rFonts w:ascii="Times New Roman" w:hAnsi="Times New Roman"/>
          <w:sz w:val="20"/>
          <w:szCs w:val="20"/>
        </w:rPr>
      </w:pPr>
      <w:r w:rsidRPr="007C5A6E">
        <w:rPr>
          <w:rFonts w:ascii="Times New Roman" w:hAnsi="Times New Roman"/>
          <w:sz w:val="20"/>
          <w:szCs w:val="20"/>
        </w:rPr>
        <w:t>(Source : MEEVCC, 2020)</w:t>
      </w:r>
    </w:p>
    <w:p w14:paraId="6136F5D2" w14:textId="77777777" w:rsidR="007C3497" w:rsidRPr="007C5A6E" w:rsidRDefault="007C3497" w:rsidP="007C3497">
      <w:pPr>
        <w:spacing w:after="0" w:line="240" w:lineRule="auto"/>
        <w:jc w:val="both"/>
        <w:rPr>
          <w:rFonts w:ascii="Times New Roman" w:hAnsi="Times New Roman"/>
          <w:i/>
          <w:iCs/>
          <w:sz w:val="21"/>
          <w:szCs w:val="21"/>
        </w:rPr>
      </w:pPr>
      <w:r w:rsidRPr="007C5A6E">
        <w:rPr>
          <w:rFonts w:ascii="Times New Roman" w:hAnsi="Times New Roman"/>
          <w:i/>
          <w:iCs/>
          <w:sz w:val="21"/>
          <w:szCs w:val="21"/>
        </w:rPr>
        <w:t>NB : - Taxons de catégorie A : ce sont des espèces connues pour être envahissantes, persistantes et destructrices, dont l’introduction dans un pays doit être interdite ; - Taxons de catégorie B : ce sont des espèces problématiques, connues pour être envahissantes dans certaines conditions, ou signalées comme envahissantes dans des endroits particuliers ; - Taxons de catégorie C : Espèces dont le potentiel envahissant est réel et présentant des risques en fonction des différents milieux exotiques, où elles sont exportées. - Taxons de catégorie D : Espèces connues pour avoir un faible potentiel envahissant en fonction de critères écologiques et par expériences</w:t>
      </w:r>
    </w:p>
    <w:p w14:paraId="14815BE6" w14:textId="77777777" w:rsidR="007C3497" w:rsidRPr="007C5A6E" w:rsidRDefault="007C3497" w:rsidP="007C3497">
      <w:pPr>
        <w:spacing w:after="0" w:line="240" w:lineRule="auto"/>
        <w:jc w:val="both"/>
        <w:rPr>
          <w:rFonts w:ascii="Times New Roman" w:hAnsi="Times New Roman"/>
          <w:sz w:val="24"/>
          <w:szCs w:val="24"/>
        </w:rPr>
      </w:pPr>
    </w:p>
    <w:p w14:paraId="41AF3B87" w14:textId="77777777" w:rsidR="007C3497" w:rsidRPr="007C5A6E" w:rsidRDefault="007C3497" w:rsidP="003F3821">
      <w:pPr>
        <w:pStyle w:val="Titre5"/>
        <w:keepNext w:val="0"/>
        <w:keepLines w:val="0"/>
        <w:numPr>
          <w:ilvl w:val="4"/>
          <w:numId w:val="4"/>
        </w:numPr>
        <w:spacing w:before="0"/>
        <w:ind w:left="907" w:hanging="907"/>
        <w:rPr>
          <w:rFonts w:ascii="Times New Roman" w:hAnsi="Times New Roman" w:cs="Times New Roman"/>
          <w:color w:val="auto"/>
          <w:u w:val="single"/>
          <w:lang w:eastAsia="en-US"/>
        </w:rPr>
      </w:pPr>
      <w:r w:rsidRPr="007C5A6E">
        <w:rPr>
          <w:rFonts w:ascii="Times New Roman" w:hAnsi="Times New Roman" w:cs="Times New Roman"/>
          <w:color w:val="auto"/>
          <w:u w:val="single"/>
          <w:lang w:eastAsia="en-US"/>
        </w:rPr>
        <w:t xml:space="preserve"> </w:t>
      </w:r>
      <w:bookmarkStart w:id="1078" w:name="_Toc182575448"/>
      <w:bookmarkStart w:id="1079" w:name="_Toc183340235"/>
      <w:r w:rsidRPr="007C5A6E">
        <w:rPr>
          <w:rFonts w:ascii="Times New Roman" w:hAnsi="Times New Roman" w:cs="Times New Roman"/>
          <w:color w:val="auto"/>
          <w:u w:val="single"/>
          <w:lang w:eastAsia="en-US"/>
        </w:rPr>
        <w:t>Espèces animales</w:t>
      </w:r>
      <w:bookmarkEnd w:id="1078"/>
      <w:bookmarkEnd w:id="1079"/>
    </w:p>
    <w:p w14:paraId="7A8B93FD" w14:textId="77777777" w:rsidR="007C3497" w:rsidRPr="007C5A6E" w:rsidRDefault="007C3497" w:rsidP="007C3497">
      <w:pPr>
        <w:spacing w:after="0" w:line="240" w:lineRule="auto"/>
        <w:jc w:val="both"/>
        <w:rPr>
          <w:rFonts w:ascii="Times New Roman" w:hAnsi="Times New Roman"/>
          <w:sz w:val="24"/>
          <w:szCs w:val="24"/>
        </w:rPr>
      </w:pPr>
    </w:p>
    <w:p w14:paraId="57B94AF8" w14:textId="77777777" w:rsidR="007C3497" w:rsidRPr="007C5A6E" w:rsidRDefault="007C3497" w:rsidP="007C3497">
      <w:pPr>
        <w:spacing w:after="0" w:line="240" w:lineRule="auto"/>
        <w:jc w:val="both"/>
        <w:rPr>
          <w:rFonts w:ascii="Times New Roman" w:hAnsi="Times New Roman"/>
          <w:sz w:val="24"/>
          <w:szCs w:val="24"/>
        </w:rPr>
      </w:pPr>
      <w:r w:rsidRPr="007C5A6E">
        <w:rPr>
          <w:rFonts w:ascii="Times New Roman" w:hAnsi="Times New Roman"/>
          <w:sz w:val="24"/>
          <w:szCs w:val="24"/>
        </w:rPr>
        <w:t xml:space="preserve">Au cours de la décennie, les différentes études ont permis d’améliorer les connaissances sur la biodiversité animal du pays ; particulièrement au plan des micro-organismes, des invertébrés et des espèces aquatiques. </w:t>
      </w:r>
    </w:p>
    <w:p w14:paraId="4A4F9A7B" w14:textId="77777777" w:rsidR="007C3497" w:rsidRPr="007C5A6E" w:rsidRDefault="007C3497" w:rsidP="007C3497">
      <w:pPr>
        <w:spacing w:after="0" w:line="240" w:lineRule="auto"/>
        <w:jc w:val="both"/>
        <w:rPr>
          <w:rFonts w:ascii="Times New Roman" w:hAnsi="Times New Roman"/>
          <w:sz w:val="24"/>
          <w:szCs w:val="24"/>
        </w:rPr>
      </w:pPr>
      <w:r w:rsidRPr="007C5A6E">
        <w:rPr>
          <w:rFonts w:ascii="Times New Roman" w:hAnsi="Times New Roman"/>
          <w:sz w:val="24"/>
          <w:szCs w:val="24"/>
        </w:rPr>
        <w:t xml:space="preserve">Le REEB4 n’a pu documenter la diversité des insectes. Toutefois ces dernières années, il a été identifié 404 espèces d’insectes portant désormais le nombre connus à 1608 espèces contre 1515 espèces rapportées dans la monographie sur la diversité biologique de 1999 (MEEVCC, 2020). </w:t>
      </w:r>
    </w:p>
    <w:p w14:paraId="43EE4A74" w14:textId="77777777" w:rsidR="00CC5D3A" w:rsidRPr="007C5A6E" w:rsidRDefault="00CC5D3A" w:rsidP="007C3497">
      <w:pPr>
        <w:autoSpaceDE w:val="0"/>
        <w:autoSpaceDN w:val="0"/>
        <w:adjustRightInd w:val="0"/>
        <w:spacing w:after="0" w:line="240" w:lineRule="auto"/>
        <w:jc w:val="both"/>
        <w:rPr>
          <w:rFonts w:ascii="Times New Roman" w:hAnsi="Times New Roman"/>
          <w:sz w:val="24"/>
          <w:szCs w:val="24"/>
          <w:lang w:bidi="he-IL"/>
        </w:rPr>
      </w:pPr>
    </w:p>
    <w:p w14:paraId="1C298652" w14:textId="2193F36C" w:rsidR="007C3497" w:rsidRPr="007C5A6E" w:rsidRDefault="007C3497" w:rsidP="007C3497">
      <w:pPr>
        <w:autoSpaceDE w:val="0"/>
        <w:autoSpaceDN w:val="0"/>
        <w:adjustRightInd w:val="0"/>
        <w:spacing w:after="0" w:line="240" w:lineRule="auto"/>
        <w:jc w:val="both"/>
        <w:rPr>
          <w:rFonts w:ascii="Times New Roman" w:hAnsi="Times New Roman"/>
          <w:sz w:val="24"/>
          <w:szCs w:val="24"/>
          <w:lang w:bidi="he-IL"/>
        </w:rPr>
      </w:pPr>
      <w:r w:rsidRPr="007C5A6E">
        <w:rPr>
          <w:rFonts w:ascii="Times New Roman" w:hAnsi="Times New Roman"/>
          <w:sz w:val="24"/>
          <w:szCs w:val="24"/>
          <w:lang w:bidi="he-IL"/>
        </w:rPr>
        <w:t xml:space="preserve">L’on enregistre au moins 1 nouvelle espèce de reptile, un lézard (gecko) du genre </w:t>
      </w:r>
      <w:proofErr w:type="spellStart"/>
      <w:r w:rsidRPr="007C5A6E">
        <w:rPr>
          <w:rFonts w:ascii="Times New Roman" w:hAnsi="Times New Roman"/>
          <w:i/>
          <w:iCs/>
          <w:sz w:val="24"/>
          <w:szCs w:val="24"/>
          <w:lang w:bidi="he-IL"/>
        </w:rPr>
        <w:t>Ptyodactylus</w:t>
      </w:r>
      <w:proofErr w:type="spellEnd"/>
      <w:r w:rsidRPr="007C5A6E">
        <w:rPr>
          <w:rFonts w:ascii="Times New Roman" w:hAnsi="Times New Roman"/>
          <w:i/>
          <w:iCs/>
          <w:sz w:val="24"/>
          <w:szCs w:val="24"/>
          <w:lang w:bidi="he-IL"/>
        </w:rPr>
        <w:t>.</w:t>
      </w:r>
      <w:r w:rsidRPr="007C5A6E">
        <w:rPr>
          <w:rFonts w:ascii="Times New Roman" w:hAnsi="Times New Roman"/>
          <w:sz w:val="24"/>
          <w:szCs w:val="24"/>
          <w:lang w:bidi="he-IL"/>
        </w:rPr>
        <w:t xml:space="preserve"> Chez les amphibiens, il faut noter que la diminution de nombre d’espèces constatée serait plutôt liée à des erreurs d’identifications et reclassements ; toutefois, les travaux de </w:t>
      </w:r>
      <w:bookmarkStart w:id="1080" w:name="_Hlk182484902"/>
      <w:proofErr w:type="spellStart"/>
      <w:r w:rsidRPr="007C5A6E">
        <w:rPr>
          <w:rFonts w:ascii="Times New Roman" w:hAnsi="Times New Roman"/>
          <w:sz w:val="24"/>
          <w:szCs w:val="24"/>
          <w:lang w:bidi="he-IL"/>
        </w:rPr>
        <w:t>Ayoro</w:t>
      </w:r>
      <w:proofErr w:type="spellEnd"/>
      <w:r w:rsidRPr="007C5A6E">
        <w:rPr>
          <w:rFonts w:ascii="Times New Roman" w:hAnsi="Times New Roman"/>
          <w:sz w:val="24"/>
          <w:szCs w:val="24"/>
          <w:lang w:bidi="he-IL"/>
        </w:rPr>
        <w:t xml:space="preserve"> et al. (2020) </w:t>
      </w:r>
      <w:bookmarkEnd w:id="1080"/>
      <w:r w:rsidRPr="007C5A6E">
        <w:rPr>
          <w:rFonts w:ascii="Times New Roman" w:hAnsi="Times New Roman"/>
          <w:sz w:val="24"/>
          <w:szCs w:val="24"/>
          <w:lang w:bidi="he-IL"/>
        </w:rPr>
        <w:t xml:space="preserve">ont permis d’identifier 7 nouvelles espèces d’amphibiens au Burkina Faso, et de confirmer la présence d’espèces rare comme </w:t>
      </w:r>
      <w:proofErr w:type="spellStart"/>
      <w:r w:rsidRPr="007C5A6E">
        <w:rPr>
          <w:rFonts w:ascii="Times New Roman" w:hAnsi="Times New Roman"/>
          <w:i/>
          <w:iCs/>
          <w:sz w:val="24"/>
          <w:szCs w:val="24"/>
          <w:lang w:bidi="he-IL"/>
        </w:rPr>
        <w:t>Arthroleptis</w:t>
      </w:r>
      <w:proofErr w:type="spellEnd"/>
      <w:r w:rsidRPr="007C5A6E">
        <w:rPr>
          <w:rFonts w:ascii="Times New Roman" w:hAnsi="Times New Roman"/>
          <w:i/>
          <w:sz w:val="24"/>
          <w:szCs w:val="24"/>
          <w:lang w:bidi="he-IL"/>
        </w:rPr>
        <w:t xml:space="preserve"> </w:t>
      </w:r>
      <w:proofErr w:type="spellStart"/>
      <w:r w:rsidRPr="007C5A6E">
        <w:rPr>
          <w:rFonts w:ascii="Times New Roman" w:hAnsi="Times New Roman"/>
          <w:i/>
          <w:sz w:val="24"/>
          <w:szCs w:val="24"/>
          <w:lang w:bidi="he-IL"/>
        </w:rPr>
        <w:t>poecilonotus</w:t>
      </w:r>
      <w:proofErr w:type="spellEnd"/>
      <w:r w:rsidRPr="007C5A6E">
        <w:rPr>
          <w:rFonts w:ascii="Times New Roman" w:hAnsi="Times New Roman"/>
          <w:i/>
          <w:sz w:val="24"/>
          <w:szCs w:val="24"/>
          <w:lang w:bidi="he-IL"/>
        </w:rPr>
        <w:t xml:space="preserve">, </w:t>
      </w:r>
      <w:proofErr w:type="spellStart"/>
      <w:r w:rsidRPr="007C5A6E">
        <w:rPr>
          <w:rFonts w:ascii="Times New Roman" w:hAnsi="Times New Roman"/>
          <w:i/>
          <w:sz w:val="24"/>
          <w:szCs w:val="24"/>
          <w:lang w:bidi="he-IL"/>
        </w:rPr>
        <w:t>Hyperolius</w:t>
      </w:r>
      <w:proofErr w:type="spellEnd"/>
      <w:r w:rsidRPr="007C5A6E">
        <w:rPr>
          <w:rFonts w:ascii="Times New Roman" w:hAnsi="Times New Roman"/>
          <w:i/>
          <w:sz w:val="24"/>
          <w:szCs w:val="24"/>
          <w:lang w:bidi="he-IL"/>
        </w:rPr>
        <w:t xml:space="preserve"> </w:t>
      </w:r>
      <w:proofErr w:type="spellStart"/>
      <w:r w:rsidRPr="007C5A6E">
        <w:rPr>
          <w:rFonts w:ascii="Times New Roman" w:hAnsi="Times New Roman"/>
          <w:i/>
          <w:sz w:val="24"/>
          <w:szCs w:val="24"/>
          <w:lang w:bidi="he-IL"/>
        </w:rPr>
        <w:t>lamottei</w:t>
      </w:r>
      <w:proofErr w:type="spellEnd"/>
      <w:r w:rsidRPr="007C5A6E">
        <w:rPr>
          <w:rFonts w:ascii="Times New Roman" w:hAnsi="Times New Roman"/>
          <w:i/>
          <w:sz w:val="24"/>
          <w:szCs w:val="24"/>
          <w:lang w:bidi="he-IL"/>
        </w:rPr>
        <w:t xml:space="preserve">, Xenopus </w:t>
      </w:r>
      <w:proofErr w:type="spellStart"/>
      <w:r w:rsidRPr="007C5A6E">
        <w:rPr>
          <w:rFonts w:ascii="Times New Roman" w:hAnsi="Times New Roman"/>
          <w:i/>
          <w:sz w:val="24"/>
          <w:szCs w:val="24"/>
          <w:lang w:bidi="he-IL"/>
        </w:rPr>
        <w:t>tropicalis</w:t>
      </w:r>
      <w:proofErr w:type="spellEnd"/>
      <w:r w:rsidRPr="007C5A6E">
        <w:rPr>
          <w:rFonts w:ascii="Times New Roman" w:hAnsi="Times New Roman"/>
          <w:i/>
          <w:sz w:val="24"/>
          <w:szCs w:val="24"/>
          <w:lang w:bidi="he-IL"/>
        </w:rPr>
        <w:t xml:space="preserve"> </w:t>
      </w:r>
      <w:r w:rsidRPr="007C5A6E">
        <w:rPr>
          <w:rFonts w:ascii="Times New Roman" w:hAnsi="Times New Roman"/>
          <w:sz w:val="24"/>
          <w:szCs w:val="24"/>
          <w:lang w:bidi="he-IL"/>
        </w:rPr>
        <w:t>et</w:t>
      </w:r>
      <w:r w:rsidRPr="007C5A6E">
        <w:rPr>
          <w:rFonts w:ascii="Times New Roman" w:hAnsi="Times New Roman"/>
          <w:i/>
          <w:sz w:val="24"/>
          <w:szCs w:val="24"/>
          <w:lang w:bidi="he-IL"/>
        </w:rPr>
        <w:t xml:space="preserve"> </w:t>
      </w:r>
      <w:proofErr w:type="spellStart"/>
      <w:r w:rsidRPr="007C5A6E">
        <w:rPr>
          <w:rFonts w:ascii="Times New Roman" w:hAnsi="Times New Roman"/>
          <w:i/>
          <w:sz w:val="24"/>
          <w:szCs w:val="24"/>
          <w:lang w:bidi="he-IL"/>
        </w:rPr>
        <w:t>Amnirana</w:t>
      </w:r>
      <w:proofErr w:type="spellEnd"/>
      <w:r w:rsidRPr="007C5A6E">
        <w:rPr>
          <w:rFonts w:ascii="Times New Roman" w:hAnsi="Times New Roman"/>
          <w:i/>
          <w:sz w:val="24"/>
          <w:szCs w:val="24"/>
          <w:lang w:bidi="he-IL"/>
        </w:rPr>
        <w:t xml:space="preserve"> “</w:t>
      </w:r>
      <w:proofErr w:type="spellStart"/>
      <w:r w:rsidRPr="007C5A6E">
        <w:rPr>
          <w:rFonts w:ascii="Times New Roman" w:hAnsi="Times New Roman"/>
          <w:i/>
          <w:sz w:val="24"/>
          <w:szCs w:val="24"/>
          <w:lang w:bidi="he-IL"/>
        </w:rPr>
        <w:t>albolabris</w:t>
      </w:r>
      <w:proofErr w:type="spellEnd"/>
      <w:r w:rsidRPr="007C5A6E">
        <w:rPr>
          <w:rFonts w:ascii="Times New Roman" w:hAnsi="Times New Roman"/>
          <w:i/>
          <w:sz w:val="24"/>
          <w:szCs w:val="24"/>
          <w:lang w:bidi="he-IL"/>
        </w:rPr>
        <w:t>"</w:t>
      </w:r>
      <w:r w:rsidRPr="007C5A6E">
        <w:rPr>
          <w:rFonts w:ascii="Times New Roman" w:hAnsi="Times New Roman"/>
          <w:sz w:val="24"/>
          <w:szCs w:val="24"/>
          <w:lang w:bidi="he-IL"/>
        </w:rPr>
        <w:t xml:space="preserve">. </w:t>
      </w:r>
    </w:p>
    <w:p w14:paraId="6AAAFA0F" w14:textId="77777777" w:rsidR="007C3497" w:rsidRPr="007C5A6E" w:rsidRDefault="007C3497" w:rsidP="007C3497">
      <w:pPr>
        <w:spacing w:after="0" w:line="240" w:lineRule="auto"/>
        <w:jc w:val="both"/>
        <w:rPr>
          <w:rFonts w:ascii="Times New Roman" w:hAnsi="Times New Roman"/>
          <w:sz w:val="24"/>
          <w:szCs w:val="24"/>
        </w:rPr>
      </w:pPr>
      <w:r w:rsidRPr="007C5A6E">
        <w:rPr>
          <w:rFonts w:ascii="Times New Roman" w:hAnsi="Times New Roman"/>
          <w:sz w:val="24"/>
          <w:szCs w:val="24"/>
        </w:rPr>
        <w:t xml:space="preserve">En ce que concerne la population aviaire sauvage, MEEVCC (2020) sur la base d’un total de 520 espèces enregistrées, note une identification de 51 nouvelles espèces d’oiseaux par rapport à la liste d’espèces d’oiseaux figurant dans la monographie de 1999. Tenant compte de la mise à jour de </w:t>
      </w:r>
      <w:bookmarkStart w:id="1081" w:name="_Hlk182484933"/>
      <w:proofErr w:type="spellStart"/>
      <w:r w:rsidRPr="007C5A6E">
        <w:rPr>
          <w:rFonts w:ascii="Times New Roman" w:hAnsi="Times New Roman"/>
          <w:sz w:val="24"/>
          <w:szCs w:val="24"/>
        </w:rPr>
        <w:t>Boano</w:t>
      </w:r>
      <w:proofErr w:type="spellEnd"/>
      <w:r w:rsidRPr="007C5A6E">
        <w:rPr>
          <w:rFonts w:ascii="Times New Roman" w:hAnsi="Times New Roman"/>
          <w:sz w:val="24"/>
          <w:szCs w:val="24"/>
        </w:rPr>
        <w:t xml:space="preserve"> et al. (2022), </w:t>
      </w:r>
      <w:bookmarkEnd w:id="1081"/>
      <w:r w:rsidRPr="007C5A6E">
        <w:rPr>
          <w:rFonts w:ascii="Times New Roman" w:hAnsi="Times New Roman"/>
          <w:sz w:val="24"/>
          <w:szCs w:val="24"/>
        </w:rPr>
        <w:t xml:space="preserve">ces nombres pourraient être réduits de 34. </w:t>
      </w:r>
      <w:r w:rsidRPr="007C5A6E">
        <w:rPr>
          <w:rFonts w:ascii="Times New Roman" w:hAnsi="Times New Roman"/>
          <w:sz w:val="24"/>
          <w:szCs w:val="24"/>
          <w:lang w:bidi="he-IL"/>
        </w:rPr>
        <w:t xml:space="preserve">La diminution de nombre d’espèces constatée serait plutôt liée à des erreurs d’identifications. </w:t>
      </w:r>
      <w:r w:rsidRPr="007C5A6E">
        <w:rPr>
          <w:rFonts w:ascii="Times New Roman" w:hAnsi="Times New Roman"/>
          <w:sz w:val="24"/>
          <w:szCs w:val="24"/>
        </w:rPr>
        <w:t xml:space="preserve">En tout état de cause, MEEVCC (2020) a relevé une augmentation du nombre de genres et d’espèces dans les ordres Passeriformes, Charadriiformes, Pélécaniformes, </w:t>
      </w:r>
      <w:proofErr w:type="spellStart"/>
      <w:r w:rsidRPr="007C5A6E">
        <w:rPr>
          <w:rFonts w:ascii="Times New Roman" w:hAnsi="Times New Roman"/>
          <w:sz w:val="24"/>
          <w:szCs w:val="24"/>
        </w:rPr>
        <w:t>Columbiformes</w:t>
      </w:r>
      <w:proofErr w:type="spellEnd"/>
      <w:r w:rsidRPr="007C5A6E">
        <w:rPr>
          <w:rFonts w:ascii="Times New Roman" w:hAnsi="Times New Roman"/>
          <w:sz w:val="24"/>
          <w:szCs w:val="24"/>
        </w:rPr>
        <w:t xml:space="preserve">, Piciformes et Psittaciformes. Une diminution du nombre de familles dans l’ordre des </w:t>
      </w:r>
      <w:proofErr w:type="spellStart"/>
      <w:r w:rsidRPr="007C5A6E">
        <w:rPr>
          <w:rFonts w:ascii="Times New Roman" w:hAnsi="Times New Roman"/>
          <w:sz w:val="24"/>
          <w:szCs w:val="24"/>
        </w:rPr>
        <w:t>Cuculiiformes</w:t>
      </w:r>
      <w:proofErr w:type="spellEnd"/>
      <w:r w:rsidRPr="007C5A6E">
        <w:rPr>
          <w:rFonts w:ascii="Times New Roman" w:hAnsi="Times New Roman"/>
          <w:sz w:val="24"/>
          <w:szCs w:val="24"/>
        </w:rPr>
        <w:t xml:space="preserve"> qui s’explique plutôt par une reclassification de certaines espèces qui étaient prises comme des genres ou des familles à part entière. C’est le cas de </w:t>
      </w:r>
      <w:proofErr w:type="spellStart"/>
      <w:r w:rsidRPr="007C5A6E">
        <w:rPr>
          <w:rFonts w:ascii="Times New Roman" w:hAnsi="Times New Roman"/>
          <w:i/>
          <w:iCs/>
          <w:sz w:val="24"/>
          <w:szCs w:val="24"/>
        </w:rPr>
        <w:t>Lamprotornis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pulcher</w:t>
      </w:r>
      <w:proofErr w:type="spellEnd"/>
      <w:r w:rsidRPr="007C5A6E">
        <w:rPr>
          <w:rFonts w:ascii="Times New Roman" w:hAnsi="Times New Roman"/>
          <w:sz w:val="24"/>
          <w:szCs w:val="24"/>
        </w:rPr>
        <w:t xml:space="preserve">, précédemment isolée comme genre </w:t>
      </w:r>
      <w:proofErr w:type="spellStart"/>
      <w:r w:rsidRPr="007C5A6E">
        <w:rPr>
          <w:rFonts w:ascii="Times New Roman" w:hAnsi="Times New Roman"/>
          <w:sz w:val="24"/>
          <w:szCs w:val="24"/>
        </w:rPr>
        <w:t>Spreo</w:t>
      </w:r>
      <w:proofErr w:type="spellEnd"/>
      <w:r w:rsidRPr="007C5A6E">
        <w:rPr>
          <w:rFonts w:ascii="Times New Roman" w:hAnsi="Times New Roman"/>
          <w:sz w:val="24"/>
          <w:szCs w:val="24"/>
        </w:rPr>
        <w:t xml:space="preserve">, de </w:t>
      </w:r>
      <w:proofErr w:type="spellStart"/>
      <w:r w:rsidRPr="007C5A6E">
        <w:rPr>
          <w:rFonts w:ascii="Times New Roman" w:hAnsi="Times New Roman"/>
          <w:i/>
          <w:iCs/>
          <w:sz w:val="24"/>
          <w:szCs w:val="24"/>
        </w:rPr>
        <w:t>Chlidonias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leucopterus</w:t>
      </w:r>
      <w:proofErr w:type="spellEnd"/>
      <w:r w:rsidRPr="007C5A6E">
        <w:rPr>
          <w:rFonts w:ascii="Times New Roman" w:hAnsi="Times New Roman"/>
          <w:sz w:val="24"/>
          <w:szCs w:val="24"/>
        </w:rPr>
        <w:t xml:space="preserve"> et </w:t>
      </w:r>
      <w:proofErr w:type="spellStart"/>
      <w:r w:rsidRPr="007C5A6E">
        <w:rPr>
          <w:rFonts w:ascii="Times New Roman" w:hAnsi="Times New Roman"/>
          <w:i/>
          <w:iCs/>
          <w:sz w:val="24"/>
          <w:szCs w:val="24"/>
        </w:rPr>
        <w:t>Chlidonias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niger</w:t>
      </w:r>
      <w:proofErr w:type="spellEnd"/>
      <w:r w:rsidRPr="007C5A6E">
        <w:rPr>
          <w:rFonts w:ascii="Times New Roman" w:hAnsi="Times New Roman"/>
          <w:sz w:val="24"/>
          <w:szCs w:val="24"/>
        </w:rPr>
        <w:t>, anciennement classées dans la famille des sternes. Le nombre d’espèces des races d’oiseaux d’élevage estimé aujourd’hui à 23 est une augmentation en rapport au REEB 4 qui n’en rapport aucun. Par ailleurs, en 2003, le pays en comptait 18 espèces (MEEVCC, 2020). L’analyse de la situation fait état d’un développement des initiatives d’élevages aviaires à forte utilisation d’intrants avec une importation de nombreuses races exotiques, particulièrement pour les races de poules, au cours des dernières années. Ces travaux de caractérisation des races locales expliquent aussi, l’augmentation du nombre d’espèces de mammifères d’élevages à 91 contre 31 en 2003. A noter que la nouvelle évaluation prend en compte certaines espèces qui n’étaient pas précédemment répertoriées telles les canins et les félins (MEEVCC, 2020).</w:t>
      </w:r>
    </w:p>
    <w:p w14:paraId="3C47F807" w14:textId="77777777" w:rsidR="007C3497" w:rsidRPr="007C5A6E" w:rsidRDefault="007C3497" w:rsidP="007C3497">
      <w:pPr>
        <w:spacing w:after="0" w:line="240" w:lineRule="auto"/>
        <w:jc w:val="both"/>
        <w:rPr>
          <w:rFonts w:ascii="Times New Roman" w:hAnsi="Times New Roman"/>
          <w:sz w:val="24"/>
          <w:szCs w:val="24"/>
        </w:rPr>
      </w:pPr>
    </w:p>
    <w:p w14:paraId="3002FF35" w14:textId="77777777" w:rsidR="007C3497" w:rsidRPr="007C5A6E" w:rsidRDefault="007C3497" w:rsidP="007C3497">
      <w:pPr>
        <w:spacing w:after="0" w:line="240" w:lineRule="auto"/>
        <w:jc w:val="both"/>
        <w:rPr>
          <w:rFonts w:ascii="Times New Roman" w:hAnsi="Times New Roman"/>
          <w:sz w:val="24"/>
          <w:szCs w:val="24"/>
        </w:rPr>
      </w:pPr>
      <w:r w:rsidRPr="007C5A6E">
        <w:rPr>
          <w:rFonts w:ascii="Times New Roman" w:hAnsi="Times New Roman"/>
          <w:sz w:val="24"/>
          <w:szCs w:val="24"/>
        </w:rPr>
        <w:t>En ce qui concerne la faune sauvage, il convient de relever que la quasi-totalité des mammifères caractéristiques des savanes des zones tropicales sont présentes au Burkina Faso. Certaines espèces comme la gazelle à front roux (</w:t>
      </w:r>
      <w:proofErr w:type="spellStart"/>
      <w:r w:rsidRPr="007C5A6E">
        <w:rPr>
          <w:rFonts w:ascii="Times New Roman" w:hAnsi="Times New Roman"/>
          <w:i/>
          <w:iCs/>
          <w:sz w:val="24"/>
          <w:szCs w:val="24"/>
        </w:rPr>
        <w:t>Gazella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rufifrons</w:t>
      </w:r>
      <w:proofErr w:type="spellEnd"/>
      <w:r w:rsidRPr="007C5A6E">
        <w:rPr>
          <w:rFonts w:ascii="Times New Roman" w:hAnsi="Times New Roman"/>
          <w:sz w:val="24"/>
          <w:szCs w:val="24"/>
        </w:rPr>
        <w:t>), le guépard (</w:t>
      </w:r>
      <w:proofErr w:type="spellStart"/>
      <w:r w:rsidRPr="007C5A6E">
        <w:rPr>
          <w:rFonts w:ascii="Times New Roman" w:hAnsi="Times New Roman"/>
          <w:i/>
          <w:iCs/>
          <w:sz w:val="24"/>
          <w:szCs w:val="24"/>
        </w:rPr>
        <w:t>Acinonyx</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jubatus</w:t>
      </w:r>
      <w:proofErr w:type="spellEnd"/>
      <w:r w:rsidRPr="007C5A6E">
        <w:rPr>
          <w:rFonts w:ascii="Times New Roman" w:hAnsi="Times New Roman"/>
          <w:sz w:val="24"/>
          <w:szCs w:val="24"/>
        </w:rPr>
        <w:t>), l’hyène tachetée (</w:t>
      </w:r>
      <w:proofErr w:type="spellStart"/>
      <w:r w:rsidRPr="007C5A6E">
        <w:rPr>
          <w:rFonts w:ascii="Times New Roman" w:hAnsi="Times New Roman"/>
          <w:i/>
          <w:iCs/>
          <w:sz w:val="24"/>
          <w:szCs w:val="24"/>
        </w:rPr>
        <w:t>Crocuta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crocuta</w:t>
      </w:r>
      <w:proofErr w:type="spellEnd"/>
      <w:r w:rsidRPr="007C5A6E">
        <w:rPr>
          <w:rFonts w:ascii="Times New Roman" w:hAnsi="Times New Roman"/>
          <w:sz w:val="24"/>
          <w:szCs w:val="24"/>
        </w:rPr>
        <w:t>), le léopard (</w:t>
      </w:r>
      <w:r w:rsidRPr="007C5A6E">
        <w:rPr>
          <w:rFonts w:ascii="Times New Roman" w:hAnsi="Times New Roman"/>
          <w:i/>
          <w:iCs/>
          <w:sz w:val="24"/>
          <w:szCs w:val="24"/>
        </w:rPr>
        <w:t xml:space="preserve">Panthera </w:t>
      </w:r>
      <w:proofErr w:type="spellStart"/>
      <w:r w:rsidRPr="007C5A6E">
        <w:rPr>
          <w:rFonts w:ascii="Times New Roman" w:hAnsi="Times New Roman"/>
          <w:i/>
          <w:iCs/>
          <w:sz w:val="24"/>
          <w:szCs w:val="24"/>
        </w:rPr>
        <w:t>pardus</w:t>
      </w:r>
      <w:proofErr w:type="spellEnd"/>
      <w:r w:rsidRPr="007C5A6E">
        <w:rPr>
          <w:rFonts w:ascii="Times New Roman" w:hAnsi="Times New Roman"/>
          <w:sz w:val="24"/>
          <w:szCs w:val="24"/>
        </w:rPr>
        <w:t xml:space="preserve">), le lycaon (Lycaon </w:t>
      </w:r>
      <w:proofErr w:type="spellStart"/>
      <w:r w:rsidRPr="007C5A6E">
        <w:rPr>
          <w:rFonts w:ascii="Times New Roman" w:hAnsi="Times New Roman"/>
          <w:sz w:val="24"/>
          <w:szCs w:val="24"/>
        </w:rPr>
        <w:t>pictus</w:t>
      </w:r>
      <w:proofErr w:type="spellEnd"/>
      <w:r w:rsidRPr="007C5A6E">
        <w:rPr>
          <w:rFonts w:ascii="Times New Roman" w:hAnsi="Times New Roman"/>
          <w:sz w:val="24"/>
          <w:szCs w:val="24"/>
        </w:rPr>
        <w:t>) et le damalisque (</w:t>
      </w:r>
      <w:proofErr w:type="spellStart"/>
      <w:r w:rsidRPr="007C5A6E">
        <w:rPr>
          <w:rFonts w:ascii="Times New Roman" w:hAnsi="Times New Roman"/>
          <w:sz w:val="24"/>
          <w:szCs w:val="24"/>
        </w:rPr>
        <w:t>Damaliscus</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lunatus</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korrigum</w:t>
      </w:r>
      <w:proofErr w:type="spellEnd"/>
      <w:r w:rsidRPr="007C5A6E">
        <w:rPr>
          <w:rFonts w:ascii="Times New Roman" w:hAnsi="Times New Roman"/>
          <w:sz w:val="24"/>
          <w:szCs w:val="24"/>
        </w:rPr>
        <w:t xml:space="preserve">) sont assez rares. Les travaux de </w:t>
      </w:r>
      <w:bookmarkStart w:id="1082" w:name="_Hlk182485009"/>
      <w:proofErr w:type="spellStart"/>
      <w:r w:rsidRPr="007C5A6E">
        <w:rPr>
          <w:rFonts w:ascii="Times New Roman" w:hAnsi="Times New Roman"/>
          <w:sz w:val="24"/>
          <w:szCs w:val="24"/>
        </w:rPr>
        <w:t>Thiombiano</w:t>
      </w:r>
      <w:proofErr w:type="spellEnd"/>
      <w:r w:rsidRPr="007C5A6E">
        <w:rPr>
          <w:rFonts w:ascii="Times New Roman" w:hAnsi="Times New Roman"/>
          <w:sz w:val="24"/>
          <w:szCs w:val="24"/>
        </w:rPr>
        <w:t xml:space="preserve"> et al. (2021)</w:t>
      </w:r>
      <w:bookmarkEnd w:id="1082"/>
      <w:r w:rsidRPr="007C5A6E">
        <w:rPr>
          <w:rFonts w:ascii="Times New Roman" w:hAnsi="Times New Roman"/>
          <w:sz w:val="24"/>
          <w:szCs w:val="24"/>
        </w:rPr>
        <w:t xml:space="preserve"> ont permis d’identifier une nouvelle espèce de chauves-souris </w:t>
      </w:r>
      <w:proofErr w:type="spellStart"/>
      <w:r w:rsidRPr="007C5A6E">
        <w:rPr>
          <w:rFonts w:ascii="Times New Roman" w:hAnsi="Times New Roman"/>
          <w:i/>
          <w:iCs/>
          <w:sz w:val="24"/>
          <w:szCs w:val="24"/>
        </w:rPr>
        <w:t>Taphozous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mauritianus</w:t>
      </w:r>
      <w:proofErr w:type="spellEnd"/>
      <w:r w:rsidRPr="007C5A6E">
        <w:rPr>
          <w:rFonts w:ascii="Times New Roman" w:hAnsi="Times New Roman"/>
          <w:sz w:val="24"/>
          <w:szCs w:val="24"/>
        </w:rPr>
        <w:t xml:space="preserve"> E. Geoffroy St.-Hilaire, 1818, au Burkina Faso, portant le nombre d’espèces de chauve-souris à 52 contre un nombre de 51 espèces rapporté de la REEB4.</w:t>
      </w:r>
    </w:p>
    <w:p w14:paraId="7E0565D9" w14:textId="77777777" w:rsidR="007C3497" w:rsidRPr="007C5A6E" w:rsidRDefault="007C3497" w:rsidP="007C3497">
      <w:pPr>
        <w:spacing w:after="0" w:line="240" w:lineRule="auto"/>
        <w:jc w:val="both"/>
        <w:rPr>
          <w:rFonts w:ascii="Times New Roman" w:hAnsi="Times New Roman"/>
          <w:sz w:val="24"/>
          <w:szCs w:val="24"/>
        </w:rPr>
      </w:pPr>
    </w:p>
    <w:p w14:paraId="30212E9E" w14:textId="77777777" w:rsidR="007C3497" w:rsidRPr="007C5A6E" w:rsidRDefault="007C3497" w:rsidP="007C3497">
      <w:pPr>
        <w:spacing w:after="0" w:line="240" w:lineRule="auto"/>
        <w:jc w:val="both"/>
        <w:rPr>
          <w:rFonts w:ascii="Times New Roman" w:hAnsi="Times New Roman"/>
          <w:sz w:val="24"/>
          <w:szCs w:val="24"/>
        </w:rPr>
      </w:pPr>
      <w:r w:rsidRPr="007C5A6E">
        <w:rPr>
          <w:rFonts w:ascii="Times New Roman" w:hAnsi="Times New Roman"/>
          <w:sz w:val="24"/>
          <w:szCs w:val="24"/>
        </w:rPr>
        <w:t xml:space="preserve">Au compte des ressources halieutiques, le REEB IV et la monographie de 2020 ont signalés la présence de 121 espèces de poissons. Les récentes études ont montré que la richesse spécifique piscicole est en hausse. En effet, 128 espèces de poissons ont été signalées, appartenant à 67 genres et 29 familles. Les familles qui ont les plus grandes richesses spécifiques sont les </w:t>
      </w:r>
      <w:proofErr w:type="spellStart"/>
      <w:r w:rsidRPr="007C5A6E">
        <w:rPr>
          <w:rFonts w:ascii="Times New Roman" w:hAnsi="Times New Roman"/>
          <w:sz w:val="24"/>
          <w:szCs w:val="24"/>
        </w:rPr>
        <w:t>Cyprinidae</w:t>
      </w:r>
      <w:proofErr w:type="spellEnd"/>
      <w:r w:rsidRPr="007C5A6E">
        <w:rPr>
          <w:rFonts w:ascii="Times New Roman" w:hAnsi="Times New Roman"/>
          <w:sz w:val="24"/>
          <w:szCs w:val="24"/>
        </w:rPr>
        <w:t xml:space="preserve"> avec 23 espèces suivies des </w:t>
      </w:r>
      <w:proofErr w:type="spellStart"/>
      <w:r w:rsidRPr="007C5A6E">
        <w:rPr>
          <w:rFonts w:ascii="Times New Roman" w:hAnsi="Times New Roman"/>
          <w:sz w:val="24"/>
          <w:szCs w:val="24"/>
        </w:rPr>
        <w:t>Mormyridae</w:t>
      </w:r>
      <w:proofErr w:type="spellEnd"/>
      <w:r w:rsidRPr="007C5A6E">
        <w:rPr>
          <w:rFonts w:ascii="Times New Roman" w:hAnsi="Times New Roman"/>
          <w:sz w:val="24"/>
          <w:szCs w:val="24"/>
        </w:rPr>
        <w:t xml:space="preserve">, des </w:t>
      </w:r>
      <w:proofErr w:type="spellStart"/>
      <w:r w:rsidRPr="007C5A6E">
        <w:rPr>
          <w:rFonts w:ascii="Times New Roman" w:hAnsi="Times New Roman"/>
          <w:sz w:val="24"/>
          <w:szCs w:val="24"/>
        </w:rPr>
        <w:t>Mochokidae</w:t>
      </w:r>
      <w:proofErr w:type="spellEnd"/>
      <w:r w:rsidRPr="007C5A6E">
        <w:rPr>
          <w:rFonts w:ascii="Times New Roman" w:hAnsi="Times New Roman"/>
          <w:sz w:val="24"/>
          <w:szCs w:val="24"/>
        </w:rPr>
        <w:t xml:space="preserve"> et des </w:t>
      </w:r>
      <w:proofErr w:type="spellStart"/>
      <w:r w:rsidRPr="007C5A6E">
        <w:rPr>
          <w:rFonts w:ascii="Times New Roman" w:hAnsi="Times New Roman"/>
          <w:sz w:val="24"/>
          <w:szCs w:val="24"/>
        </w:rPr>
        <w:t>Alestidae</w:t>
      </w:r>
      <w:proofErr w:type="spellEnd"/>
      <w:r w:rsidRPr="007C5A6E">
        <w:rPr>
          <w:rFonts w:ascii="Times New Roman" w:hAnsi="Times New Roman"/>
          <w:sz w:val="24"/>
          <w:szCs w:val="24"/>
        </w:rPr>
        <w:t xml:space="preserve"> avec respectivement 21, 20 et 17 espèces (</w:t>
      </w:r>
      <w:proofErr w:type="spellStart"/>
      <w:r w:rsidRPr="007C5A6E">
        <w:rPr>
          <w:rFonts w:ascii="Times New Roman" w:hAnsi="Times New Roman"/>
          <w:sz w:val="24"/>
          <w:szCs w:val="24"/>
        </w:rPr>
        <w:t>Silga</w:t>
      </w:r>
      <w:proofErr w:type="spellEnd"/>
      <w:r w:rsidRPr="007C5A6E">
        <w:rPr>
          <w:rFonts w:ascii="Times New Roman" w:hAnsi="Times New Roman"/>
          <w:sz w:val="24"/>
          <w:szCs w:val="24"/>
        </w:rPr>
        <w:t xml:space="preserve">, 2021). Les espèces les plus fréquemment rencontrées sont : </w:t>
      </w:r>
      <w:proofErr w:type="spellStart"/>
      <w:r w:rsidRPr="007C5A6E">
        <w:rPr>
          <w:rFonts w:ascii="Times New Roman" w:hAnsi="Times New Roman"/>
          <w:i/>
          <w:iCs/>
          <w:sz w:val="24"/>
          <w:szCs w:val="24"/>
        </w:rPr>
        <w:t>Oreochromis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niloticus</w:t>
      </w:r>
      <w:proofErr w:type="spellEnd"/>
      <w:r w:rsidRPr="007C5A6E">
        <w:rPr>
          <w:rFonts w:ascii="Times New Roman" w:hAnsi="Times New Roman"/>
          <w:sz w:val="24"/>
          <w:szCs w:val="24"/>
        </w:rPr>
        <w:t xml:space="preserve">, </w:t>
      </w:r>
      <w:proofErr w:type="spellStart"/>
      <w:r w:rsidRPr="007C5A6E">
        <w:rPr>
          <w:rFonts w:ascii="Times New Roman" w:hAnsi="Times New Roman"/>
          <w:i/>
          <w:iCs/>
          <w:sz w:val="24"/>
          <w:szCs w:val="24"/>
        </w:rPr>
        <w:t>Coptodon</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zillii</w:t>
      </w:r>
      <w:proofErr w:type="spellEnd"/>
      <w:r w:rsidRPr="007C5A6E">
        <w:rPr>
          <w:rFonts w:ascii="Times New Roman" w:hAnsi="Times New Roman"/>
          <w:sz w:val="24"/>
          <w:szCs w:val="24"/>
        </w:rPr>
        <w:t xml:space="preserve">, </w:t>
      </w:r>
      <w:proofErr w:type="spellStart"/>
      <w:r w:rsidRPr="007C5A6E">
        <w:rPr>
          <w:rFonts w:ascii="Times New Roman" w:hAnsi="Times New Roman"/>
          <w:i/>
          <w:iCs/>
          <w:sz w:val="24"/>
          <w:szCs w:val="24"/>
        </w:rPr>
        <w:t>Sarotherodon</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galilaeus</w:t>
      </w:r>
      <w:proofErr w:type="spellEnd"/>
      <w:r w:rsidRPr="007C5A6E">
        <w:rPr>
          <w:rFonts w:ascii="Times New Roman" w:hAnsi="Times New Roman"/>
          <w:sz w:val="24"/>
          <w:szCs w:val="24"/>
        </w:rPr>
        <w:t xml:space="preserve">, </w:t>
      </w:r>
      <w:r w:rsidRPr="007C5A6E">
        <w:rPr>
          <w:rFonts w:ascii="Times New Roman" w:hAnsi="Times New Roman"/>
          <w:i/>
          <w:iCs/>
          <w:sz w:val="24"/>
          <w:szCs w:val="24"/>
        </w:rPr>
        <w:t xml:space="preserve">Alestes </w:t>
      </w:r>
      <w:proofErr w:type="spellStart"/>
      <w:r w:rsidRPr="007C5A6E">
        <w:rPr>
          <w:rFonts w:ascii="Times New Roman" w:hAnsi="Times New Roman"/>
          <w:i/>
          <w:iCs/>
          <w:sz w:val="24"/>
          <w:szCs w:val="24"/>
        </w:rPr>
        <w:t>baremoze</w:t>
      </w:r>
      <w:proofErr w:type="spellEnd"/>
      <w:r w:rsidRPr="007C5A6E">
        <w:rPr>
          <w:rFonts w:ascii="Times New Roman" w:hAnsi="Times New Roman"/>
          <w:sz w:val="24"/>
          <w:szCs w:val="24"/>
        </w:rPr>
        <w:t xml:space="preserve">, </w:t>
      </w:r>
      <w:r w:rsidRPr="007C5A6E">
        <w:rPr>
          <w:rFonts w:ascii="Times New Roman" w:hAnsi="Times New Roman"/>
          <w:i/>
          <w:iCs/>
          <w:sz w:val="24"/>
          <w:szCs w:val="24"/>
        </w:rPr>
        <w:t xml:space="preserve">Protopterus </w:t>
      </w:r>
      <w:proofErr w:type="spellStart"/>
      <w:r w:rsidRPr="007C5A6E">
        <w:rPr>
          <w:rFonts w:ascii="Times New Roman" w:hAnsi="Times New Roman"/>
          <w:i/>
          <w:iCs/>
          <w:sz w:val="24"/>
          <w:szCs w:val="24"/>
        </w:rPr>
        <w:t>annectens</w:t>
      </w:r>
      <w:proofErr w:type="spellEnd"/>
      <w:r w:rsidRPr="007C5A6E">
        <w:rPr>
          <w:rFonts w:ascii="Times New Roman" w:hAnsi="Times New Roman"/>
          <w:sz w:val="24"/>
          <w:szCs w:val="24"/>
        </w:rPr>
        <w:t xml:space="preserve">, </w:t>
      </w:r>
      <w:proofErr w:type="spellStart"/>
      <w:r w:rsidRPr="007C5A6E">
        <w:rPr>
          <w:rFonts w:ascii="Times New Roman" w:hAnsi="Times New Roman"/>
          <w:i/>
          <w:iCs/>
          <w:sz w:val="24"/>
          <w:szCs w:val="24"/>
        </w:rPr>
        <w:t>Polypterus</w:t>
      </w:r>
      <w:proofErr w:type="spellEnd"/>
      <w:r w:rsidRPr="007C5A6E">
        <w:rPr>
          <w:rFonts w:ascii="Times New Roman" w:hAnsi="Times New Roman"/>
          <w:i/>
          <w:iCs/>
          <w:sz w:val="24"/>
          <w:szCs w:val="24"/>
        </w:rPr>
        <w:t xml:space="preserve"> senegalensis</w:t>
      </w:r>
      <w:r w:rsidRPr="007C5A6E">
        <w:rPr>
          <w:rFonts w:ascii="Times New Roman" w:hAnsi="Times New Roman"/>
          <w:sz w:val="24"/>
          <w:szCs w:val="24"/>
        </w:rPr>
        <w:t xml:space="preserve">, </w:t>
      </w:r>
      <w:proofErr w:type="spellStart"/>
      <w:r w:rsidRPr="007C5A6E">
        <w:rPr>
          <w:rFonts w:ascii="Times New Roman" w:hAnsi="Times New Roman"/>
          <w:i/>
          <w:iCs/>
          <w:sz w:val="24"/>
          <w:szCs w:val="24"/>
        </w:rPr>
        <w:t>Auchenoglanis</w:t>
      </w:r>
      <w:proofErr w:type="spellEnd"/>
      <w:r w:rsidRPr="007C5A6E">
        <w:rPr>
          <w:rFonts w:ascii="Times New Roman" w:hAnsi="Times New Roman"/>
          <w:i/>
          <w:iCs/>
          <w:sz w:val="24"/>
          <w:szCs w:val="24"/>
        </w:rPr>
        <w:t xml:space="preserve"> occidentalis</w:t>
      </w:r>
      <w:r w:rsidRPr="007C5A6E">
        <w:rPr>
          <w:rFonts w:ascii="Times New Roman" w:hAnsi="Times New Roman"/>
          <w:sz w:val="24"/>
          <w:szCs w:val="24"/>
        </w:rPr>
        <w:t xml:space="preserve">, </w:t>
      </w:r>
      <w:proofErr w:type="spellStart"/>
      <w:r w:rsidRPr="007C5A6E">
        <w:rPr>
          <w:rFonts w:ascii="Times New Roman" w:hAnsi="Times New Roman"/>
          <w:i/>
          <w:iCs/>
          <w:sz w:val="24"/>
          <w:szCs w:val="24"/>
        </w:rPr>
        <w:t>Labeo</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coubie</w:t>
      </w:r>
      <w:proofErr w:type="spellEnd"/>
      <w:r w:rsidRPr="007C5A6E">
        <w:rPr>
          <w:rFonts w:ascii="Times New Roman" w:hAnsi="Times New Roman"/>
          <w:sz w:val="24"/>
          <w:szCs w:val="24"/>
        </w:rPr>
        <w:t xml:space="preserve">, </w:t>
      </w:r>
      <w:proofErr w:type="spellStart"/>
      <w:r w:rsidRPr="007C5A6E">
        <w:rPr>
          <w:rFonts w:ascii="Times New Roman" w:hAnsi="Times New Roman"/>
          <w:i/>
          <w:iCs/>
          <w:sz w:val="24"/>
          <w:szCs w:val="24"/>
        </w:rPr>
        <w:t>Schilbe</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mystus</w:t>
      </w:r>
      <w:proofErr w:type="spellEnd"/>
      <w:r w:rsidRPr="007C5A6E">
        <w:rPr>
          <w:rFonts w:ascii="Times New Roman" w:hAnsi="Times New Roman"/>
          <w:sz w:val="24"/>
          <w:szCs w:val="24"/>
        </w:rPr>
        <w:t xml:space="preserve">, </w:t>
      </w:r>
      <w:proofErr w:type="spellStart"/>
      <w:r w:rsidRPr="007C5A6E">
        <w:rPr>
          <w:rFonts w:ascii="Times New Roman" w:hAnsi="Times New Roman"/>
          <w:i/>
          <w:iCs/>
          <w:sz w:val="24"/>
          <w:szCs w:val="24"/>
        </w:rPr>
        <w:t>Petrocephalus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bovei</w:t>
      </w:r>
      <w:proofErr w:type="spellEnd"/>
      <w:r w:rsidRPr="007C5A6E">
        <w:rPr>
          <w:rFonts w:ascii="Times New Roman" w:hAnsi="Times New Roman"/>
          <w:sz w:val="24"/>
          <w:szCs w:val="24"/>
        </w:rPr>
        <w:t xml:space="preserve">, </w:t>
      </w:r>
      <w:proofErr w:type="spellStart"/>
      <w:r w:rsidRPr="007C5A6E">
        <w:rPr>
          <w:rFonts w:ascii="Times New Roman" w:hAnsi="Times New Roman"/>
          <w:i/>
          <w:iCs/>
          <w:sz w:val="24"/>
          <w:szCs w:val="24"/>
        </w:rPr>
        <w:t>Mormyrus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rume</w:t>
      </w:r>
      <w:proofErr w:type="spellEnd"/>
      <w:r w:rsidRPr="007C5A6E">
        <w:rPr>
          <w:rFonts w:ascii="Times New Roman" w:hAnsi="Times New Roman"/>
          <w:sz w:val="24"/>
          <w:szCs w:val="24"/>
        </w:rPr>
        <w:t xml:space="preserve">, </w:t>
      </w:r>
      <w:proofErr w:type="spellStart"/>
      <w:r w:rsidRPr="007C5A6E">
        <w:rPr>
          <w:rFonts w:ascii="Times New Roman" w:hAnsi="Times New Roman"/>
          <w:i/>
          <w:iCs/>
          <w:sz w:val="24"/>
          <w:szCs w:val="24"/>
        </w:rPr>
        <w:t>Lates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niloticus</w:t>
      </w:r>
      <w:proofErr w:type="spellEnd"/>
      <w:r w:rsidRPr="007C5A6E">
        <w:rPr>
          <w:rFonts w:ascii="Times New Roman" w:hAnsi="Times New Roman"/>
          <w:sz w:val="24"/>
          <w:szCs w:val="24"/>
        </w:rPr>
        <w:t xml:space="preserve">, </w:t>
      </w:r>
      <w:proofErr w:type="spellStart"/>
      <w:r w:rsidRPr="007C5A6E">
        <w:rPr>
          <w:rFonts w:ascii="Times New Roman" w:hAnsi="Times New Roman"/>
          <w:i/>
          <w:iCs/>
          <w:sz w:val="24"/>
          <w:szCs w:val="24"/>
        </w:rPr>
        <w:t>Hyperopisus</w:t>
      </w:r>
      <w:proofErr w:type="spellEnd"/>
      <w:r w:rsidRPr="007C5A6E">
        <w:rPr>
          <w:rFonts w:ascii="Times New Roman" w:hAnsi="Times New Roman"/>
          <w:i/>
          <w:iCs/>
          <w:sz w:val="24"/>
          <w:szCs w:val="24"/>
        </w:rPr>
        <w:t xml:space="preserve"> bebe</w:t>
      </w:r>
      <w:r w:rsidRPr="007C5A6E">
        <w:rPr>
          <w:rFonts w:ascii="Times New Roman" w:hAnsi="Times New Roman"/>
          <w:sz w:val="24"/>
          <w:szCs w:val="24"/>
        </w:rPr>
        <w:t xml:space="preserve">, </w:t>
      </w:r>
      <w:proofErr w:type="spellStart"/>
      <w:r w:rsidRPr="007C5A6E">
        <w:rPr>
          <w:rFonts w:ascii="Times New Roman" w:hAnsi="Times New Roman"/>
          <w:i/>
          <w:iCs/>
          <w:sz w:val="24"/>
          <w:szCs w:val="24"/>
        </w:rPr>
        <w:t>Heterobranchus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bidorsalis</w:t>
      </w:r>
      <w:proofErr w:type="spellEnd"/>
      <w:r w:rsidRPr="007C5A6E">
        <w:rPr>
          <w:rFonts w:ascii="Times New Roman" w:hAnsi="Times New Roman"/>
          <w:sz w:val="24"/>
          <w:szCs w:val="24"/>
        </w:rPr>
        <w:t xml:space="preserve">, </w:t>
      </w:r>
      <w:proofErr w:type="spellStart"/>
      <w:r w:rsidRPr="007C5A6E">
        <w:rPr>
          <w:rFonts w:ascii="Times New Roman" w:hAnsi="Times New Roman"/>
          <w:i/>
          <w:iCs/>
          <w:sz w:val="24"/>
          <w:szCs w:val="24"/>
        </w:rPr>
        <w:t>Hemichromis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bimaculatus</w:t>
      </w:r>
      <w:proofErr w:type="spellEnd"/>
      <w:r w:rsidRPr="007C5A6E">
        <w:rPr>
          <w:rFonts w:ascii="Times New Roman" w:hAnsi="Times New Roman"/>
          <w:sz w:val="24"/>
          <w:szCs w:val="24"/>
        </w:rPr>
        <w:t xml:space="preserve">, </w:t>
      </w:r>
      <w:proofErr w:type="spellStart"/>
      <w:r w:rsidRPr="007C5A6E">
        <w:rPr>
          <w:rFonts w:ascii="Times New Roman" w:hAnsi="Times New Roman"/>
          <w:i/>
          <w:iCs/>
          <w:sz w:val="24"/>
          <w:szCs w:val="24"/>
        </w:rPr>
        <w:t>Hydrocynus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forskahlii</w:t>
      </w:r>
      <w:proofErr w:type="spellEnd"/>
      <w:r w:rsidRPr="007C5A6E">
        <w:rPr>
          <w:rFonts w:ascii="Times New Roman" w:hAnsi="Times New Roman"/>
          <w:sz w:val="24"/>
          <w:szCs w:val="24"/>
        </w:rPr>
        <w:t xml:space="preserve">, </w:t>
      </w:r>
      <w:proofErr w:type="spellStart"/>
      <w:r w:rsidRPr="007C5A6E">
        <w:rPr>
          <w:rFonts w:ascii="Times New Roman" w:hAnsi="Times New Roman"/>
          <w:i/>
          <w:iCs/>
          <w:sz w:val="24"/>
          <w:szCs w:val="24"/>
        </w:rPr>
        <w:t>Labeo</w:t>
      </w:r>
      <w:proofErr w:type="spellEnd"/>
      <w:r w:rsidRPr="007C5A6E">
        <w:rPr>
          <w:rFonts w:ascii="Times New Roman" w:hAnsi="Times New Roman"/>
          <w:i/>
          <w:iCs/>
          <w:sz w:val="24"/>
          <w:szCs w:val="24"/>
        </w:rPr>
        <w:t xml:space="preserve"> senegalensis</w:t>
      </w:r>
      <w:r w:rsidRPr="007C5A6E">
        <w:rPr>
          <w:rFonts w:ascii="Times New Roman" w:hAnsi="Times New Roman"/>
          <w:sz w:val="24"/>
          <w:szCs w:val="24"/>
        </w:rPr>
        <w:t xml:space="preserve">, </w:t>
      </w:r>
      <w:proofErr w:type="spellStart"/>
      <w:r w:rsidRPr="007C5A6E">
        <w:rPr>
          <w:rFonts w:ascii="Times New Roman" w:hAnsi="Times New Roman"/>
          <w:i/>
          <w:iCs/>
          <w:sz w:val="24"/>
          <w:szCs w:val="24"/>
        </w:rPr>
        <w:t>Hemichromis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fasciatus</w:t>
      </w:r>
      <w:proofErr w:type="spellEnd"/>
      <w:r w:rsidRPr="007C5A6E">
        <w:rPr>
          <w:rFonts w:ascii="Times New Roman" w:hAnsi="Times New Roman"/>
          <w:sz w:val="24"/>
          <w:szCs w:val="24"/>
        </w:rPr>
        <w:t xml:space="preserve">, </w:t>
      </w:r>
      <w:r w:rsidRPr="007C5A6E">
        <w:rPr>
          <w:rFonts w:ascii="Times New Roman" w:hAnsi="Times New Roman"/>
          <w:i/>
          <w:iCs/>
          <w:sz w:val="24"/>
          <w:szCs w:val="24"/>
        </w:rPr>
        <w:t xml:space="preserve">Clarias </w:t>
      </w:r>
      <w:proofErr w:type="spellStart"/>
      <w:r w:rsidRPr="007C5A6E">
        <w:rPr>
          <w:rFonts w:ascii="Times New Roman" w:hAnsi="Times New Roman"/>
          <w:i/>
          <w:iCs/>
          <w:sz w:val="24"/>
          <w:szCs w:val="24"/>
        </w:rPr>
        <w:t>anguillaris</w:t>
      </w:r>
      <w:proofErr w:type="spellEnd"/>
      <w:r w:rsidRPr="007C5A6E">
        <w:rPr>
          <w:rFonts w:ascii="Times New Roman" w:hAnsi="Times New Roman"/>
          <w:i/>
          <w:iCs/>
          <w:sz w:val="24"/>
          <w:szCs w:val="24"/>
        </w:rPr>
        <w:t xml:space="preserve">, Clarias </w:t>
      </w:r>
      <w:proofErr w:type="spellStart"/>
      <w:r w:rsidRPr="007C5A6E">
        <w:rPr>
          <w:rFonts w:ascii="Times New Roman" w:hAnsi="Times New Roman"/>
          <w:i/>
          <w:iCs/>
          <w:sz w:val="24"/>
          <w:szCs w:val="24"/>
        </w:rPr>
        <w:t>gariepinus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Synodontis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schall</w:t>
      </w:r>
      <w:proofErr w:type="spellEnd"/>
      <w:r w:rsidRPr="007C5A6E">
        <w:rPr>
          <w:rFonts w:ascii="Times New Roman" w:hAnsi="Times New Roman"/>
          <w:i/>
          <w:iCs/>
          <w:sz w:val="24"/>
          <w:szCs w:val="24"/>
        </w:rPr>
        <w:t xml:space="preserve"> et </w:t>
      </w:r>
      <w:proofErr w:type="spellStart"/>
      <w:r w:rsidRPr="007C5A6E">
        <w:rPr>
          <w:rFonts w:ascii="Times New Roman" w:hAnsi="Times New Roman"/>
          <w:i/>
          <w:iCs/>
          <w:sz w:val="24"/>
          <w:szCs w:val="24"/>
        </w:rPr>
        <w:t>Marcusenius</w:t>
      </w:r>
      <w:proofErr w:type="spellEnd"/>
      <w:r w:rsidRPr="007C5A6E">
        <w:rPr>
          <w:rFonts w:ascii="Times New Roman" w:hAnsi="Times New Roman"/>
          <w:i/>
          <w:iCs/>
          <w:sz w:val="24"/>
          <w:szCs w:val="24"/>
        </w:rPr>
        <w:t xml:space="preserve"> senegalensis </w:t>
      </w:r>
      <w:r w:rsidRPr="007C5A6E">
        <w:rPr>
          <w:rFonts w:ascii="Times New Roman" w:hAnsi="Times New Roman"/>
          <w:sz w:val="24"/>
          <w:szCs w:val="24"/>
        </w:rPr>
        <w:t>(</w:t>
      </w:r>
      <w:proofErr w:type="spellStart"/>
      <w:r w:rsidRPr="007C5A6E">
        <w:rPr>
          <w:rFonts w:ascii="Times New Roman" w:hAnsi="Times New Roman"/>
          <w:sz w:val="24"/>
          <w:szCs w:val="24"/>
        </w:rPr>
        <w:t>Silga</w:t>
      </w:r>
      <w:proofErr w:type="spellEnd"/>
      <w:r w:rsidRPr="007C5A6E">
        <w:rPr>
          <w:rFonts w:ascii="Times New Roman" w:hAnsi="Times New Roman"/>
          <w:sz w:val="24"/>
          <w:szCs w:val="24"/>
        </w:rPr>
        <w:t>, 2021)</w:t>
      </w:r>
      <w:r w:rsidRPr="007C5A6E">
        <w:rPr>
          <w:rFonts w:ascii="Times New Roman" w:hAnsi="Times New Roman"/>
          <w:i/>
          <w:iCs/>
          <w:sz w:val="24"/>
          <w:szCs w:val="24"/>
        </w:rPr>
        <w:t>.</w:t>
      </w:r>
      <w:r w:rsidRPr="007C5A6E">
        <w:rPr>
          <w:rFonts w:ascii="Times New Roman" w:hAnsi="Times New Roman"/>
          <w:sz w:val="24"/>
          <w:szCs w:val="24"/>
        </w:rPr>
        <w:t xml:space="preserve"> </w:t>
      </w:r>
    </w:p>
    <w:p w14:paraId="040635C0" w14:textId="77777777" w:rsidR="007C3497" w:rsidRPr="007C5A6E" w:rsidRDefault="007C3497" w:rsidP="007C3497">
      <w:pPr>
        <w:spacing w:after="0" w:line="240" w:lineRule="auto"/>
        <w:jc w:val="both"/>
        <w:rPr>
          <w:rFonts w:ascii="Times New Roman" w:hAnsi="Times New Roman"/>
          <w:sz w:val="24"/>
          <w:szCs w:val="24"/>
        </w:rPr>
      </w:pPr>
    </w:p>
    <w:p w14:paraId="7D48ABC3" w14:textId="77777777" w:rsidR="007C3497" w:rsidRPr="007C5A6E" w:rsidRDefault="007C3497" w:rsidP="007C3497">
      <w:pPr>
        <w:spacing w:after="0" w:line="240" w:lineRule="auto"/>
        <w:jc w:val="both"/>
        <w:rPr>
          <w:rFonts w:ascii="Times New Roman" w:hAnsi="Times New Roman"/>
          <w:sz w:val="24"/>
          <w:szCs w:val="24"/>
        </w:rPr>
      </w:pPr>
      <w:r w:rsidRPr="007C5A6E">
        <w:rPr>
          <w:rFonts w:ascii="Times New Roman" w:hAnsi="Times New Roman"/>
          <w:sz w:val="24"/>
          <w:szCs w:val="24"/>
        </w:rPr>
        <w:t xml:space="preserve">Les connaissances sur les crevettes ont beaucoup évolué au cours de la décennie. En effet, les récentes études de </w:t>
      </w:r>
      <w:bookmarkStart w:id="1083" w:name="_Hlk182485085"/>
      <w:r w:rsidRPr="007C5A6E">
        <w:rPr>
          <w:rFonts w:ascii="Times New Roman" w:hAnsi="Times New Roman"/>
          <w:sz w:val="24"/>
          <w:szCs w:val="24"/>
        </w:rPr>
        <w:t xml:space="preserve">Kaboré et al. (2023) </w:t>
      </w:r>
      <w:bookmarkEnd w:id="1083"/>
      <w:r w:rsidRPr="007C5A6E">
        <w:rPr>
          <w:rFonts w:ascii="Times New Roman" w:hAnsi="Times New Roman"/>
          <w:sz w:val="24"/>
          <w:szCs w:val="24"/>
        </w:rPr>
        <w:t xml:space="preserve">ont permis de recenser 07 espèces qui sont : </w:t>
      </w:r>
      <w:proofErr w:type="spellStart"/>
      <w:r w:rsidRPr="007C5A6E">
        <w:rPr>
          <w:rFonts w:ascii="Times New Roman" w:hAnsi="Times New Roman"/>
          <w:i/>
          <w:iCs/>
          <w:sz w:val="24"/>
          <w:szCs w:val="24"/>
        </w:rPr>
        <w:t>Macrobrachium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dux</w:t>
      </w:r>
      <w:proofErr w:type="spellEnd"/>
      <w:r w:rsidRPr="007C5A6E">
        <w:rPr>
          <w:rFonts w:ascii="Times New Roman" w:hAnsi="Times New Roman"/>
          <w:sz w:val="24"/>
          <w:szCs w:val="24"/>
        </w:rPr>
        <w:t xml:space="preserve"> Lenz, 1910 ; </w:t>
      </w:r>
      <w:proofErr w:type="spellStart"/>
      <w:r w:rsidRPr="007C5A6E">
        <w:rPr>
          <w:rFonts w:ascii="Times New Roman" w:hAnsi="Times New Roman"/>
          <w:sz w:val="24"/>
          <w:szCs w:val="24"/>
        </w:rPr>
        <w:t>M</w:t>
      </w:r>
      <w:r w:rsidRPr="007C5A6E">
        <w:rPr>
          <w:rFonts w:ascii="Times New Roman" w:hAnsi="Times New Roman"/>
          <w:i/>
          <w:iCs/>
          <w:sz w:val="24"/>
          <w:szCs w:val="24"/>
        </w:rPr>
        <w:t>acrobrachium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macrobrachion</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Herklots</w:t>
      </w:r>
      <w:proofErr w:type="spellEnd"/>
      <w:r w:rsidRPr="007C5A6E">
        <w:rPr>
          <w:rFonts w:ascii="Times New Roman" w:hAnsi="Times New Roman"/>
          <w:sz w:val="24"/>
          <w:szCs w:val="24"/>
        </w:rPr>
        <w:t xml:space="preserve">, 1851 ; </w:t>
      </w:r>
      <w:proofErr w:type="spellStart"/>
      <w:r w:rsidRPr="007C5A6E">
        <w:rPr>
          <w:rFonts w:ascii="Times New Roman" w:hAnsi="Times New Roman"/>
          <w:i/>
          <w:iCs/>
          <w:sz w:val="24"/>
          <w:szCs w:val="24"/>
        </w:rPr>
        <w:t>Macrobrachium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niloticum</w:t>
      </w:r>
      <w:proofErr w:type="spellEnd"/>
      <w:r w:rsidRPr="007C5A6E">
        <w:rPr>
          <w:rFonts w:ascii="Times New Roman" w:hAnsi="Times New Roman"/>
          <w:sz w:val="24"/>
          <w:szCs w:val="24"/>
        </w:rPr>
        <w:t xml:space="preserve"> P. Roux, 1823 ; </w:t>
      </w:r>
      <w:proofErr w:type="spellStart"/>
      <w:r w:rsidRPr="007C5A6E">
        <w:rPr>
          <w:rFonts w:ascii="Times New Roman" w:hAnsi="Times New Roman"/>
          <w:i/>
          <w:iCs/>
          <w:sz w:val="24"/>
          <w:szCs w:val="24"/>
        </w:rPr>
        <w:t>Macrobrachium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felicium</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Holthuis</w:t>
      </w:r>
      <w:proofErr w:type="spellEnd"/>
      <w:r w:rsidRPr="007C5A6E">
        <w:rPr>
          <w:rFonts w:ascii="Times New Roman" w:hAnsi="Times New Roman"/>
          <w:sz w:val="24"/>
          <w:szCs w:val="24"/>
        </w:rPr>
        <w:t xml:space="preserve">, 1949 ; </w:t>
      </w:r>
      <w:proofErr w:type="spellStart"/>
      <w:r w:rsidRPr="007C5A6E">
        <w:rPr>
          <w:rFonts w:ascii="Times New Roman" w:hAnsi="Times New Roman"/>
          <w:i/>
          <w:iCs/>
          <w:sz w:val="24"/>
          <w:szCs w:val="24"/>
        </w:rPr>
        <w:t>Macrobrachium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thysi</w:t>
      </w:r>
      <w:proofErr w:type="spellEnd"/>
      <w:r w:rsidRPr="007C5A6E">
        <w:rPr>
          <w:rFonts w:ascii="Times New Roman" w:hAnsi="Times New Roman"/>
          <w:sz w:val="24"/>
          <w:szCs w:val="24"/>
        </w:rPr>
        <w:t xml:space="preserve"> (Powell 1980) ; </w:t>
      </w:r>
      <w:proofErr w:type="spellStart"/>
      <w:r w:rsidRPr="007C5A6E">
        <w:rPr>
          <w:rFonts w:ascii="Times New Roman" w:hAnsi="Times New Roman"/>
          <w:i/>
          <w:iCs/>
          <w:sz w:val="24"/>
          <w:szCs w:val="24"/>
        </w:rPr>
        <w:t>Macrobrachium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raridens</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Hilgendorf</w:t>
      </w:r>
      <w:proofErr w:type="spellEnd"/>
      <w:r w:rsidRPr="007C5A6E">
        <w:rPr>
          <w:rFonts w:ascii="Times New Roman" w:hAnsi="Times New Roman"/>
          <w:sz w:val="24"/>
          <w:szCs w:val="24"/>
        </w:rPr>
        <w:t xml:space="preserve"> 1893 ; et </w:t>
      </w:r>
      <w:proofErr w:type="spellStart"/>
      <w:r w:rsidRPr="007C5A6E">
        <w:rPr>
          <w:rFonts w:ascii="Times New Roman" w:hAnsi="Times New Roman"/>
          <w:i/>
          <w:iCs/>
          <w:sz w:val="24"/>
          <w:szCs w:val="24"/>
        </w:rPr>
        <w:t>Macrobrachium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sp</w:t>
      </w:r>
      <w:proofErr w:type="spellEnd"/>
      <w:r w:rsidRPr="007C5A6E">
        <w:rPr>
          <w:rFonts w:ascii="Times New Roman" w:hAnsi="Times New Roman"/>
          <w:sz w:val="24"/>
          <w:szCs w:val="24"/>
        </w:rPr>
        <w:t xml:space="preserve">, appartenant au genre </w:t>
      </w:r>
      <w:proofErr w:type="spellStart"/>
      <w:r w:rsidRPr="007C5A6E">
        <w:rPr>
          <w:rFonts w:ascii="Times New Roman" w:hAnsi="Times New Roman"/>
          <w:i/>
          <w:iCs/>
          <w:sz w:val="24"/>
          <w:szCs w:val="24"/>
        </w:rPr>
        <w:t>Macrobranchium</w:t>
      </w:r>
      <w:proofErr w:type="spellEnd"/>
      <w:r w:rsidRPr="007C5A6E">
        <w:rPr>
          <w:rFonts w:ascii="Times New Roman" w:hAnsi="Times New Roman"/>
          <w:sz w:val="24"/>
          <w:szCs w:val="24"/>
        </w:rPr>
        <w:t xml:space="preserve"> et à la famille des </w:t>
      </w:r>
      <w:proofErr w:type="spellStart"/>
      <w:r w:rsidRPr="007C5A6E">
        <w:rPr>
          <w:rFonts w:ascii="Times New Roman" w:hAnsi="Times New Roman"/>
          <w:sz w:val="24"/>
          <w:szCs w:val="24"/>
        </w:rPr>
        <w:t>Paleamonidae</w:t>
      </w:r>
      <w:proofErr w:type="spellEnd"/>
      <w:r w:rsidRPr="007C5A6E">
        <w:rPr>
          <w:rFonts w:ascii="Times New Roman" w:hAnsi="Times New Roman"/>
          <w:sz w:val="24"/>
          <w:szCs w:val="24"/>
        </w:rPr>
        <w:t xml:space="preserve">. En ce qui concerne les crabes, selon </w:t>
      </w:r>
      <w:bookmarkStart w:id="1084" w:name="_Hlk182485122"/>
      <w:proofErr w:type="spellStart"/>
      <w:r w:rsidRPr="007C5A6E">
        <w:rPr>
          <w:rFonts w:ascii="Times New Roman" w:hAnsi="Times New Roman"/>
          <w:sz w:val="24"/>
          <w:szCs w:val="24"/>
        </w:rPr>
        <w:t>Dohinnon</w:t>
      </w:r>
      <w:proofErr w:type="spellEnd"/>
      <w:r w:rsidRPr="007C5A6E">
        <w:rPr>
          <w:rFonts w:ascii="Times New Roman" w:hAnsi="Times New Roman"/>
          <w:sz w:val="24"/>
          <w:szCs w:val="24"/>
        </w:rPr>
        <w:t xml:space="preserve"> (2023), </w:t>
      </w:r>
      <w:bookmarkEnd w:id="1084"/>
      <w:r w:rsidRPr="007C5A6E">
        <w:rPr>
          <w:rFonts w:ascii="Times New Roman" w:hAnsi="Times New Roman"/>
          <w:sz w:val="24"/>
          <w:szCs w:val="24"/>
        </w:rPr>
        <w:t>trois espèces (</w:t>
      </w:r>
      <w:proofErr w:type="spellStart"/>
      <w:r w:rsidRPr="007C5A6E">
        <w:rPr>
          <w:rFonts w:ascii="Times New Roman" w:hAnsi="Times New Roman"/>
          <w:i/>
          <w:iCs/>
          <w:sz w:val="24"/>
          <w:szCs w:val="24"/>
        </w:rPr>
        <w:t>Potamonautes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ecorssei</w:t>
      </w:r>
      <w:proofErr w:type="spellEnd"/>
      <w:r w:rsidRPr="007C5A6E">
        <w:rPr>
          <w:rFonts w:ascii="Times New Roman" w:hAnsi="Times New Roman"/>
          <w:sz w:val="24"/>
          <w:szCs w:val="24"/>
        </w:rPr>
        <w:t xml:space="preserve"> Marchand, 1902 ; </w:t>
      </w:r>
      <w:proofErr w:type="spellStart"/>
      <w:r w:rsidRPr="007C5A6E">
        <w:rPr>
          <w:rFonts w:ascii="Times New Roman" w:hAnsi="Times New Roman"/>
          <w:i/>
          <w:iCs/>
          <w:sz w:val="24"/>
          <w:szCs w:val="24"/>
        </w:rPr>
        <w:t>Potamonautes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luoboensis</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Rathbun</w:t>
      </w:r>
      <w:proofErr w:type="spellEnd"/>
      <w:r w:rsidRPr="007C5A6E">
        <w:rPr>
          <w:rFonts w:ascii="Times New Roman" w:hAnsi="Times New Roman"/>
          <w:sz w:val="24"/>
          <w:szCs w:val="24"/>
        </w:rPr>
        <w:t xml:space="preserve">, 1904 et </w:t>
      </w:r>
      <w:proofErr w:type="spellStart"/>
      <w:r w:rsidRPr="007C5A6E">
        <w:rPr>
          <w:rFonts w:ascii="Times New Roman" w:hAnsi="Times New Roman"/>
          <w:i/>
          <w:iCs/>
          <w:sz w:val="24"/>
          <w:szCs w:val="24"/>
        </w:rPr>
        <w:t>Geotelphusa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schubotzi</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Balss</w:t>
      </w:r>
      <w:proofErr w:type="spellEnd"/>
      <w:r w:rsidRPr="007C5A6E">
        <w:rPr>
          <w:rFonts w:ascii="Times New Roman" w:hAnsi="Times New Roman"/>
          <w:sz w:val="24"/>
          <w:szCs w:val="24"/>
        </w:rPr>
        <w:t xml:space="preserve">, 1914), appartenant à la famille de </w:t>
      </w:r>
      <w:proofErr w:type="spellStart"/>
      <w:r w:rsidRPr="007C5A6E">
        <w:rPr>
          <w:rFonts w:ascii="Times New Roman" w:hAnsi="Times New Roman"/>
          <w:sz w:val="24"/>
          <w:szCs w:val="24"/>
        </w:rPr>
        <w:t>Potamidae</w:t>
      </w:r>
      <w:proofErr w:type="spellEnd"/>
      <w:r w:rsidRPr="007C5A6E">
        <w:rPr>
          <w:rFonts w:ascii="Times New Roman" w:hAnsi="Times New Roman"/>
          <w:sz w:val="24"/>
          <w:szCs w:val="24"/>
        </w:rPr>
        <w:t xml:space="preserve">. </w:t>
      </w:r>
    </w:p>
    <w:p w14:paraId="67F24DB3" w14:textId="77777777" w:rsidR="007C3497" w:rsidRPr="007C5A6E" w:rsidRDefault="007C3497" w:rsidP="007C3497">
      <w:pPr>
        <w:spacing w:after="0" w:line="240" w:lineRule="auto"/>
        <w:jc w:val="both"/>
        <w:rPr>
          <w:rFonts w:ascii="Times New Roman" w:hAnsi="Times New Roman"/>
          <w:sz w:val="24"/>
          <w:szCs w:val="24"/>
        </w:rPr>
      </w:pPr>
    </w:p>
    <w:p w14:paraId="16B91D8A" w14:textId="77777777" w:rsidR="009F25CF" w:rsidRPr="007C5A6E" w:rsidRDefault="009F25CF" w:rsidP="007C3497">
      <w:pPr>
        <w:spacing w:after="0" w:line="240" w:lineRule="auto"/>
        <w:jc w:val="both"/>
        <w:rPr>
          <w:rFonts w:ascii="Times New Roman" w:hAnsi="Times New Roman"/>
          <w:sz w:val="24"/>
          <w:szCs w:val="24"/>
        </w:rPr>
      </w:pPr>
    </w:p>
    <w:p w14:paraId="559BC197" w14:textId="77777777" w:rsidR="007C3497" w:rsidRPr="007C5A6E" w:rsidRDefault="007C3497" w:rsidP="00CC5D3A">
      <w:pPr>
        <w:pStyle w:val="Titre3"/>
      </w:pPr>
      <w:r w:rsidRPr="007C5A6E">
        <w:t xml:space="preserve"> </w:t>
      </w:r>
      <w:bookmarkStart w:id="1085" w:name="_Toc182575449"/>
      <w:bookmarkStart w:id="1086" w:name="_Toc183340236"/>
      <w:r w:rsidRPr="007C5A6E">
        <w:t>Les grandes entités écologiques du Burkina Faso</w:t>
      </w:r>
      <w:bookmarkEnd w:id="1085"/>
      <w:bookmarkEnd w:id="1086"/>
    </w:p>
    <w:p w14:paraId="535E9778" w14:textId="77777777" w:rsidR="007C3497" w:rsidRPr="007C5A6E" w:rsidRDefault="007C3497" w:rsidP="007C3497">
      <w:pPr>
        <w:spacing w:after="0" w:line="240" w:lineRule="auto"/>
        <w:ind w:left="1416"/>
        <w:jc w:val="both"/>
        <w:rPr>
          <w:rFonts w:ascii="Times New Roman" w:hAnsi="Times New Roman"/>
          <w:sz w:val="24"/>
          <w:szCs w:val="24"/>
        </w:rPr>
      </w:pPr>
    </w:p>
    <w:p w14:paraId="6EE5B9B9" w14:textId="77777777" w:rsidR="007C3497" w:rsidRPr="007C5A6E" w:rsidRDefault="007C3497" w:rsidP="00684FF8">
      <w:pPr>
        <w:pStyle w:val="Titre4"/>
      </w:pPr>
      <w:r w:rsidRPr="007C5A6E">
        <w:t xml:space="preserve"> </w:t>
      </w:r>
      <w:bookmarkStart w:id="1087" w:name="_Toc182575450"/>
      <w:bookmarkStart w:id="1088" w:name="_Toc183340237"/>
      <w:r w:rsidRPr="007C5A6E">
        <w:t>Les zones phytogéographiques et formations végétales</w:t>
      </w:r>
      <w:bookmarkEnd w:id="1087"/>
      <w:bookmarkEnd w:id="1088"/>
    </w:p>
    <w:p w14:paraId="7E12D3F5" w14:textId="77777777" w:rsidR="007C3497" w:rsidRPr="007C5A6E" w:rsidRDefault="007C3497" w:rsidP="007C3497">
      <w:pPr>
        <w:spacing w:after="0" w:line="240" w:lineRule="auto"/>
        <w:jc w:val="both"/>
        <w:rPr>
          <w:rFonts w:ascii="Times New Roman" w:hAnsi="Times New Roman"/>
          <w:sz w:val="24"/>
          <w:szCs w:val="24"/>
        </w:rPr>
      </w:pPr>
    </w:p>
    <w:p w14:paraId="335A519F" w14:textId="07832553" w:rsidR="007C3497" w:rsidRPr="007C5A6E" w:rsidRDefault="007C3497" w:rsidP="007C3497">
      <w:pPr>
        <w:spacing w:after="0" w:line="240" w:lineRule="auto"/>
        <w:jc w:val="both"/>
        <w:rPr>
          <w:rFonts w:ascii="Times New Roman" w:hAnsi="Times New Roman"/>
          <w:sz w:val="24"/>
          <w:szCs w:val="24"/>
        </w:rPr>
      </w:pPr>
      <w:r w:rsidRPr="007C5A6E">
        <w:rPr>
          <w:rFonts w:ascii="Times New Roman" w:hAnsi="Times New Roman"/>
          <w:sz w:val="24"/>
          <w:szCs w:val="24"/>
        </w:rPr>
        <w:t xml:space="preserve">Les conditions climatiques et les caractéristiques floristiques, ont permis de subdiviser le territoire du Burkina Faso en deux grands domaines phytogéographiques, eux-mêmes subdivisés en secteurs avec un paysage caractérisé par plusieurs types de formations végétales résultant du gardien climatique et du mode d’utilisation des terres (Figure </w:t>
      </w:r>
      <w:r w:rsidR="00593390" w:rsidRPr="007C5A6E">
        <w:rPr>
          <w:rFonts w:ascii="Times New Roman" w:hAnsi="Times New Roman"/>
          <w:sz w:val="24"/>
          <w:szCs w:val="24"/>
        </w:rPr>
        <w:t>66</w:t>
      </w:r>
      <w:r w:rsidRPr="007C5A6E">
        <w:rPr>
          <w:rFonts w:ascii="Times New Roman" w:hAnsi="Times New Roman"/>
          <w:sz w:val="24"/>
          <w:szCs w:val="24"/>
        </w:rPr>
        <w:t xml:space="preserve">, </w:t>
      </w:r>
      <w:r w:rsidR="00593390" w:rsidRPr="007C5A6E">
        <w:rPr>
          <w:rFonts w:ascii="Times New Roman" w:hAnsi="Times New Roman"/>
          <w:sz w:val="24"/>
          <w:szCs w:val="24"/>
        </w:rPr>
        <w:t>67</w:t>
      </w:r>
      <w:r w:rsidRPr="007C5A6E">
        <w:rPr>
          <w:rFonts w:ascii="Times New Roman" w:hAnsi="Times New Roman"/>
          <w:sz w:val="24"/>
          <w:szCs w:val="24"/>
        </w:rPr>
        <w:t> ; Tableau</w:t>
      </w:r>
      <w:r w:rsidR="00593390" w:rsidRPr="007C5A6E">
        <w:rPr>
          <w:rFonts w:ascii="Times New Roman" w:hAnsi="Times New Roman"/>
          <w:sz w:val="24"/>
          <w:szCs w:val="24"/>
        </w:rPr>
        <w:t xml:space="preserve"> 4</w:t>
      </w:r>
      <w:r w:rsidR="008B6FB4" w:rsidRPr="007C5A6E">
        <w:rPr>
          <w:rFonts w:ascii="Times New Roman" w:hAnsi="Times New Roman"/>
          <w:sz w:val="24"/>
          <w:szCs w:val="24"/>
        </w:rPr>
        <w:t>5</w:t>
      </w:r>
      <w:r w:rsidRPr="007C5A6E">
        <w:rPr>
          <w:rFonts w:ascii="Times New Roman" w:hAnsi="Times New Roman"/>
          <w:sz w:val="24"/>
          <w:szCs w:val="24"/>
        </w:rPr>
        <w:t>)</w:t>
      </w:r>
      <w:r w:rsidR="008B6FB4" w:rsidRPr="007C5A6E">
        <w:rPr>
          <w:rFonts w:ascii="Times New Roman" w:hAnsi="Times New Roman"/>
          <w:sz w:val="24"/>
          <w:szCs w:val="24"/>
        </w:rPr>
        <w:t xml:space="preserve"> </w:t>
      </w:r>
      <w:r w:rsidRPr="007C5A6E">
        <w:rPr>
          <w:rFonts w:ascii="Times New Roman" w:hAnsi="Times New Roman"/>
          <w:sz w:val="24"/>
          <w:szCs w:val="24"/>
        </w:rPr>
        <w:t xml:space="preserve">: </w:t>
      </w:r>
    </w:p>
    <w:p w14:paraId="566B4276" w14:textId="5A1C6EDB" w:rsidR="007C3497" w:rsidRPr="007C5A6E" w:rsidRDefault="007C3497" w:rsidP="003F3821">
      <w:pPr>
        <w:numPr>
          <w:ilvl w:val="0"/>
          <w:numId w:val="34"/>
        </w:numPr>
        <w:spacing w:after="0" w:line="240" w:lineRule="auto"/>
        <w:ind w:left="357" w:hanging="357"/>
        <w:contextualSpacing/>
        <w:jc w:val="both"/>
        <w:rPr>
          <w:rFonts w:ascii="Times New Roman" w:hAnsi="Times New Roman"/>
          <w:sz w:val="24"/>
          <w:szCs w:val="24"/>
        </w:rPr>
      </w:pPr>
      <w:bookmarkStart w:id="1089" w:name="_Hlk176335037"/>
      <w:r w:rsidRPr="007C5A6E">
        <w:rPr>
          <w:rFonts w:ascii="Times New Roman" w:hAnsi="Times New Roman"/>
          <w:sz w:val="24"/>
          <w:szCs w:val="24"/>
        </w:rPr>
        <w:t xml:space="preserve">Le domaine soudanien </w:t>
      </w:r>
      <w:bookmarkEnd w:id="1089"/>
      <w:r w:rsidRPr="007C5A6E">
        <w:rPr>
          <w:rFonts w:ascii="Times New Roman" w:hAnsi="Times New Roman"/>
          <w:sz w:val="24"/>
          <w:szCs w:val="24"/>
        </w:rPr>
        <w:t xml:space="preserve">(MEEVCC, 2020 ; </w:t>
      </w:r>
      <w:proofErr w:type="spellStart"/>
      <w:r w:rsidRPr="007C5A6E">
        <w:rPr>
          <w:rFonts w:ascii="Times New Roman" w:hAnsi="Times New Roman"/>
          <w:sz w:val="24"/>
          <w:szCs w:val="24"/>
        </w:rPr>
        <w:t>Guinko</w:t>
      </w:r>
      <w:proofErr w:type="spellEnd"/>
      <w:r w:rsidRPr="007C5A6E">
        <w:rPr>
          <w:rFonts w:ascii="Times New Roman" w:hAnsi="Times New Roman"/>
          <w:sz w:val="24"/>
          <w:szCs w:val="24"/>
        </w:rPr>
        <w:t xml:space="preserve"> 1984) couvre les parties sud (36% du territoire ; densité de population de 20 habitants par Km2) et centre (33,7% du pays ; 50% de la population) du pays ; il comprend les secteurs sud soudanien et le secteur nord soudanien. La végétation est constituée par des formations savanicoles (savanes arbustives, savanes arborées, forêts claires, savanes herbeuses) avec comme espèces dominantes </w:t>
      </w:r>
      <w:proofErr w:type="spellStart"/>
      <w:r w:rsidRPr="007C5A6E">
        <w:rPr>
          <w:rFonts w:ascii="Times New Roman" w:hAnsi="Times New Roman"/>
          <w:i/>
          <w:iCs/>
          <w:sz w:val="24"/>
          <w:szCs w:val="24"/>
        </w:rPr>
        <w:t>Vitellaria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paradoxa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Parkia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biglobosa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Terminalia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avicennioides</w:t>
      </w:r>
      <w:proofErr w:type="spellEnd"/>
      <w:r w:rsidRPr="007C5A6E">
        <w:rPr>
          <w:rFonts w:ascii="Times New Roman" w:hAnsi="Times New Roman"/>
          <w:i/>
          <w:iCs/>
          <w:sz w:val="24"/>
          <w:szCs w:val="24"/>
        </w:rPr>
        <w:t xml:space="preserve">, T. </w:t>
      </w:r>
      <w:proofErr w:type="spellStart"/>
      <w:r w:rsidRPr="007C5A6E">
        <w:rPr>
          <w:rFonts w:ascii="Times New Roman" w:hAnsi="Times New Roman"/>
          <w:i/>
          <w:iCs/>
          <w:sz w:val="24"/>
          <w:szCs w:val="24"/>
        </w:rPr>
        <w:t>macroptera</w:t>
      </w:r>
      <w:proofErr w:type="spellEnd"/>
      <w:r w:rsidRPr="007C5A6E">
        <w:rPr>
          <w:rFonts w:ascii="Times New Roman" w:hAnsi="Times New Roman"/>
          <w:i/>
          <w:iCs/>
          <w:sz w:val="24"/>
          <w:szCs w:val="24"/>
        </w:rPr>
        <w:t xml:space="preserve">, T. </w:t>
      </w:r>
      <w:proofErr w:type="spellStart"/>
      <w:r w:rsidRPr="007C5A6E">
        <w:rPr>
          <w:rFonts w:ascii="Times New Roman" w:hAnsi="Times New Roman"/>
          <w:i/>
          <w:iCs/>
          <w:sz w:val="24"/>
          <w:szCs w:val="24"/>
        </w:rPr>
        <w:t>laxiflora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Combretum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collinum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Crossopteryx</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febrifuga</w:t>
      </w:r>
      <w:proofErr w:type="spellEnd"/>
      <w:r w:rsidRPr="007C5A6E">
        <w:rPr>
          <w:rFonts w:ascii="Times New Roman" w:hAnsi="Times New Roman"/>
          <w:sz w:val="24"/>
          <w:szCs w:val="24"/>
        </w:rPr>
        <w:t xml:space="preserve"> et la présence de taches de peuplements et de bosquets d’ilots à </w:t>
      </w:r>
      <w:proofErr w:type="spellStart"/>
      <w:r w:rsidRPr="007C5A6E">
        <w:rPr>
          <w:rFonts w:ascii="Times New Roman" w:hAnsi="Times New Roman"/>
          <w:i/>
          <w:iCs/>
          <w:sz w:val="24"/>
          <w:szCs w:val="24"/>
        </w:rPr>
        <w:t>Isoberlinia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doka</w:t>
      </w:r>
      <w:proofErr w:type="spellEnd"/>
      <w:r w:rsidRPr="007C5A6E">
        <w:rPr>
          <w:rFonts w:ascii="Times New Roman" w:hAnsi="Times New Roman"/>
          <w:sz w:val="24"/>
          <w:szCs w:val="24"/>
        </w:rPr>
        <w:t xml:space="preserve">, dans le secteur septentrional. D’après </w:t>
      </w:r>
      <w:bookmarkStart w:id="1090" w:name="_Hlk176335105"/>
      <w:r w:rsidRPr="007C5A6E">
        <w:rPr>
          <w:rFonts w:ascii="Times New Roman" w:hAnsi="Times New Roman"/>
          <w:sz w:val="24"/>
          <w:szCs w:val="24"/>
        </w:rPr>
        <w:t xml:space="preserve">SP/REDD+ (2023), </w:t>
      </w:r>
      <w:bookmarkEnd w:id="1090"/>
      <w:r w:rsidRPr="007C5A6E">
        <w:rPr>
          <w:rFonts w:ascii="Times New Roman" w:hAnsi="Times New Roman"/>
          <w:sz w:val="24"/>
          <w:szCs w:val="24"/>
        </w:rPr>
        <w:t xml:space="preserve">les superficies des terres forestières du secteur Sud Soudanien (3 688 391,44 ha) et du secteur Nord Soudanien (2 594 536,78 ha) couvrent près de 87 % de la superficie forestière totale du pays. </w:t>
      </w:r>
    </w:p>
    <w:p w14:paraId="6BE1852D" w14:textId="12AF45F0" w:rsidR="007C3497" w:rsidRPr="007C5A6E" w:rsidRDefault="00593390" w:rsidP="003F3821">
      <w:pPr>
        <w:numPr>
          <w:ilvl w:val="0"/>
          <w:numId w:val="34"/>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Le</w:t>
      </w:r>
      <w:r w:rsidR="007C3497" w:rsidRPr="007C5A6E">
        <w:rPr>
          <w:rFonts w:ascii="Times New Roman" w:hAnsi="Times New Roman"/>
          <w:sz w:val="24"/>
          <w:szCs w:val="24"/>
        </w:rPr>
        <w:t xml:space="preserve"> domaine sahélien (MEEVCC, 2020 ; </w:t>
      </w:r>
      <w:proofErr w:type="spellStart"/>
      <w:r w:rsidR="007C3497" w:rsidRPr="007C5A6E">
        <w:rPr>
          <w:rFonts w:ascii="Times New Roman" w:hAnsi="Times New Roman"/>
          <w:sz w:val="24"/>
          <w:szCs w:val="24"/>
        </w:rPr>
        <w:t>Guinko</w:t>
      </w:r>
      <w:proofErr w:type="spellEnd"/>
      <w:r w:rsidR="007C3497" w:rsidRPr="007C5A6E">
        <w:rPr>
          <w:rFonts w:ascii="Times New Roman" w:hAnsi="Times New Roman"/>
          <w:sz w:val="24"/>
          <w:szCs w:val="24"/>
        </w:rPr>
        <w:t xml:space="preserve"> 1984) qui couvre la partie nord du pays, comprend les secteurs </w:t>
      </w:r>
      <w:proofErr w:type="spellStart"/>
      <w:r w:rsidR="007C3497" w:rsidRPr="007C5A6E">
        <w:rPr>
          <w:rFonts w:ascii="Times New Roman" w:hAnsi="Times New Roman"/>
          <w:sz w:val="24"/>
          <w:szCs w:val="24"/>
        </w:rPr>
        <w:t>sub-sahelien</w:t>
      </w:r>
      <w:proofErr w:type="spellEnd"/>
      <w:r w:rsidR="007C3497" w:rsidRPr="007C5A6E">
        <w:rPr>
          <w:rFonts w:ascii="Times New Roman" w:hAnsi="Times New Roman"/>
          <w:sz w:val="24"/>
          <w:szCs w:val="24"/>
        </w:rPr>
        <w:t xml:space="preserve"> (19% du pays avec une densité de la population qui varie de 36 à 50 habitants par km2) et </w:t>
      </w:r>
      <w:proofErr w:type="spellStart"/>
      <w:r w:rsidR="007C3497" w:rsidRPr="007C5A6E">
        <w:rPr>
          <w:rFonts w:ascii="Times New Roman" w:hAnsi="Times New Roman"/>
          <w:sz w:val="24"/>
          <w:szCs w:val="24"/>
        </w:rPr>
        <w:t>sahelien</w:t>
      </w:r>
      <w:proofErr w:type="spellEnd"/>
      <w:r w:rsidR="007C3497" w:rsidRPr="007C5A6E">
        <w:rPr>
          <w:rFonts w:ascii="Times New Roman" w:hAnsi="Times New Roman"/>
          <w:sz w:val="24"/>
          <w:szCs w:val="24"/>
        </w:rPr>
        <w:t xml:space="preserve"> strict (11 % du pays ; densité de la population est d’environ 5 habitants par km2). Le secteur sahélien strict est principalement une zone de pâturage pour les troupeaux de bétail. Le système de production a évolué vers l’agro-pastoralisme avec une tendance vers l'activité sédentaire même si la transhumance pastorale est encore pratiquée. Le secteur </w:t>
      </w:r>
      <w:proofErr w:type="spellStart"/>
      <w:r w:rsidR="007C3497" w:rsidRPr="007C5A6E">
        <w:rPr>
          <w:rFonts w:ascii="Times New Roman" w:hAnsi="Times New Roman"/>
          <w:sz w:val="24"/>
          <w:szCs w:val="24"/>
        </w:rPr>
        <w:t>sub-sahélien</w:t>
      </w:r>
      <w:proofErr w:type="spellEnd"/>
      <w:r w:rsidR="007C3497" w:rsidRPr="007C5A6E">
        <w:rPr>
          <w:rFonts w:ascii="Times New Roman" w:hAnsi="Times New Roman"/>
          <w:sz w:val="24"/>
          <w:szCs w:val="24"/>
        </w:rPr>
        <w:t xml:space="preserve"> est la zone d’interférence des espèces sahéliennes et soudaniennes ubiquistes qui reste cependant dominé par les espèces sahariennes et sahéliennes telles que </w:t>
      </w:r>
      <w:r w:rsidR="007C3497" w:rsidRPr="007C5A6E">
        <w:rPr>
          <w:rFonts w:ascii="Times New Roman" w:hAnsi="Times New Roman"/>
          <w:i/>
          <w:iCs/>
          <w:sz w:val="24"/>
          <w:szCs w:val="24"/>
        </w:rPr>
        <w:t xml:space="preserve">Acacia </w:t>
      </w:r>
      <w:proofErr w:type="spellStart"/>
      <w:r w:rsidR="007C3497" w:rsidRPr="007C5A6E">
        <w:rPr>
          <w:rFonts w:ascii="Times New Roman" w:hAnsi="Times New Roman"/>
          <w:i/>
          <w:iCs/>
          <w:sz w:val="24"/>
          <w:szCs w:val="24"/>
        </w:rPr>
        <w:t>senegal</w:t>
      </w:r>
      <w:proofErr w:type="spellEnd"/>
      <w:r w:rsidR="007C3497" w:rsidRPr="007C5A6E">
        <w:rPr>
          <w:rFonts w:ascii="Times New Roman" w:hAnsi="Times New Roman"/>
          <w:i/>
          <w:iCs/>
          <w:sz w:val="24"/>
          <w:szCs w:val="24"/>
        </w:rPr>
        <w:t xml:space="preserve">, A. </w:t>
      </w:r>
      <w:proofErr w:type="spellStart"/>
      <w:r w:rsidR="007C3497" w:rsidRPr="007C5A6E">
        <w:rPr>
          <w:rFonts w:ascii="Times New Roman" w:hAnsi="Times New Roman"/>
          <w:i/>
          <w:iCs/>
          <w:sz w:val="24"/>
          <w:szCs w:val="24"/>
        </w:rPr>
        <w:t>laeta</w:t>
      </w:r>
      <w:proofErr w:type="spellEnd"/>
      <w:r w:rsidR="007C3497" w:rsidRPr="007C5A6E">
        <w:rPr>
          <w:rFonts w:ascii="Times New Roman" w:hAnsi="Times New Roman"/>
          <w:i/>
          <w:iCs/>
          <w:sz w:val="24"/>
          <w:szCs w:val="24"/>
        </w:rPr>
        <w:t xml:space="preserve">, Bauhinia </w:t>
      </w:r>
      <w:proofErr w:type="spellStart"/>
      <w:r w:rsidR="007C3497" w:rsidRPr="007C5A6E">
        <w:rPr>
          <w:rFonts w:ascii="Times New Roman" w:hAnsi="Times New Roman"/>
          <w:i/>
          <w:iCs/>
          <w:sz w:val="24"/>
          <w:szCs w:val="24"/>
        </w:rPr>
        <w:t>rufescens</w:t>
      </w:r>
      <w:proofErr w:type="spellEnd"/>
      <w:r w:rsidR="007C3497" w:rsidRPr="007C5A6E">
        <w:rPr>
          <w:rFonts w:ascii="Times New Roman" w:hAnsi="Times New Roman"/>
          <w:i/>
          <w:iCs/>
          <w:sz w:val="24"/>
          <w:szCs w:val="24"/>
        </w:rPr>
        <w:t xml:space="preserve">, </w:t>
      </w:r>
      <w:proofErr w:type="spellStart"/>
      <w:r w:rsidR="007C3497" w:rsidRPr="007C5A6E">
        <w:rPr>
          <w:rFonts w:ascii="Times New Roman" w:hAnsi="Times New Roman"/>
          <w:i/>
          <w:iCs/>
          <w:sz w:val="24"/>
          <w:szCs w:val="24"/>
        </w:rPr>
        <w:t>Capparis</w:t>
      </w:r>
      <w:proofErr w:type="spellEnd"/>
      <w:r w:rsidR="007C3497" w:rsidRPr="007C5A6E">
        <w:rPr>
          <w:rFonts w:ascii="Times New Roman" w:hAnsi="Times New Roman"/>
          <w:i/>
          <w:iCs/>
          <w:sz w:val="24"/>
          <w:szCs w:val="24"/>
        </w:rPr>
        <w:t xml:space="preserve"> </w:t>
      </w:r>
      <w:proofErr w:type="spellStart"/>
      <w:r w:rsidR="007C3497" w:rsidRPr="007C5A6E">
        <w:rPr>
          <w:rFonts w:ascii="Times New Roman" w:hAnsi="Times New Roman"/>
          <w:i/>
          <w:iCs/>
          <w:sz w:val="24"/>
          <w:szCs w:val="24"/>
        </w:rPr>
        <w:t>tomentosa</w:t>
      </w:r>
      <w:proofErr w:type="spellEnd"/>
      <w:r w:rsidR="007C3497" w:rsidRPr="007C5A6E">
        <w:rPr>
          <w:rFonts w:ascii="Times New Roman" w:hAnsi="Times New Roman"/>
          <w:i/>
          <w:iCs/>
          <w:sz w:val="24"/>
          <w:szCs w:val="24"/>
        </w:rPr>
        <w:t xml:space="preserve">, </w:t>
      </w:r>
      <w:proofErr w:type="spellStart"/>
      <w:r w:rsidR="007C3497" w:rsidRPr="007C5A6E">
        <w:rPr>
          <w:rFonts w:ascii="Times New Roman" w:hAnsi="Times New Roman"/>
          <w:i/>
          <w:iCs/>
          <w:sz w:val="24"/>
          <w:szCs w:val="24"/>
        </w:rPr>
        <w:t>Caralluma</w:t>
      </w:r>
      <w:proofErr w:type="spellEnd"/>
      <w:r w:rsidR="007C3497" w:rsidRPr="007C5A6E">
        <w:rPr>
          <w:rFonts w:ascii="Times New Roman" w:hAnsi="Times New Roman"/>
          <w:i/>
          <w:iCs/>
          <w:sz w:val="24"/>
          <w:szCs w:val="24"/>
        </w:rPr>
        <w:t xml:space="preserve"> </w:t>
      </w:r>
      <w:proofErr w:type="spellStart"/>
      <w:r w:rsidR="007C3497" w:rsidRPr="007C5A6E">
        <w:rPr>
          <w:rFonts w:ascii="Times New Roman" w:hAnsi="Times New Roman"/>
          <w:i/>
          <w:iCs/>
          <w:sz w:val="24"/>
          <w:szCs w:val="24"/>
        </w:rPr>
        <w:t>adscendens</w:t>
      </w:r>
      <w:proofErr w:type="spellEnd"/>
      <w:r w:rsidR="007C3497" w:rsidRPr="007C5A6E">
        <w:rPr>
          <w:rFonts w:ascii="Times New Roman" w:hAnsi="Times New Roman"/>
          <w:sz w:val="24"/>
          <w:szCs w:val="24"/>
        </w:rPr>
        <w:t xml:space="preserve"> (</w:t>
      </w:r>
      <w:proofErr w:type="gramStart"/>
      <w:r w:rsidR="007C3497" w:rsidRPr="007C5A6E">
        <w:rPr>
          <w:rFonts w:ascii="Times New Roman" w:hAnsi="Times New Roman"/>
          <w:sz w:val="24"/>
          <w:szCs w:val="24"/>
        </w:rPr>
        <w:t>synonymes:</w:t>
      </w:r>
      <w:proofErr w:type="gramEnd"/>
      <w:r w:rsidR="007C3497" w:rsidRPr="007C5A6E">
        <w:rPr>
          <w:rFonts w:ascii="Times New Roman" w:hAnsi="Times New Roman"/>
          <w:sz w:val="24"/>
          <w:szCs w:val="24"/>
        </w:rPr>
        <w:t xml:space="preserve"> </w:t>
      </w:r>
      <w:r w:rsidR="007C3497" w:rsidRPr="007C5A6E">
        <w:rPr>
          <w:rFonts w:ascii="Times New Roman" w:hAnsi="Times New Roman"/>
          <w:i/>
          <w:iCs/>
          <w:sz w:val="24"/>
          <w:szCs w:val="24"/>
        </w:rPr>
        <w:t xml:space="preserve">C. </w:t>
      </w:r>
      <w:proofErr w:type="spellStart"/>
      <w:r w:rsidR="007C3497" w:rsidRPr="007C5A6E">
        <w:rPr>
          <w:rFonts w:ascii="Times New Roman" w:hAnsi="Times New Roman"/>
          <w:i/>
          <w:iCs/>
          <w:sz w:val="24"/>
          <w:szCs w:val="24"/>
        </w:rPr>
        <w:t>dalzielii</w:t>
      </w:r>
      <w:proofErr w:type="spellEnd"/>
      <w:r w:rsidR="007C3497" w:rsidRPr="007C5A6E">
        <w:rPr>
          <w:rFonts w:ascii="Times New Roman" w:hAnsi="Times New Roman"/>
          <w:sz w:val="24"/>
          <w:szCs w:val="24"/>
        </w:rPr>
        <w:t xml:space="preserve">), </w:t>
      </w:r>
      <w:proofErr w:type="spellStart"/>
      <w:r w:rsidR="007C3497" w:rsidRPr="007C5A6E">
        <w:rPr>
          <w:rFonts w:ascii="Times New Roman" w:hAnsi="Times New Roman"/>
          <w:i/>
          <w:iCs/>
          <w:sz w:val="24"/>
          <w:szCs w:val="24"/>
        </w:rPr>
        <w:t>Boscia</w:t>
      </w:r>
      <w:proofErr w:type="spellEnd"/>
      <w:r w:rsidR="007C3497" w:rsidRPr="007C5A6E">
        <w:rPr>
          <w:rFonts w:ascii="Times New Roman" w:hAnsi="Times New Roman"/>
          <w:i/>
          <w:iCs/>
          <w:sz w:val="24"/>
          <w:szCs w:val="24"/>
        </w:rPr>
        <w:t xml:space="preserve"> </w:t>
      </w:r>
      <w:proofErr w:type="spellStart"/>
      <w:r w:rsidR="007C3497" w:rsidRPr="007C5A6E">
        <w:rPr>
          <w:rFonts w:ascii="Times New Roman" w:hAnsi="Times New Roman"/>
          <w:i/>
          <w:iCs/>
          <w:sz w:val="24"/>
          <w:szCs w:val="24"/>
        </w:rPr>
        <w:t>salicifolia</w:t>
      </w:r>
      <w:proofErr w:type="spellEnd"/>
      <w:r w:rsidR="007C3497" w:rsidRPr="007C5A6E">
        <w:rPr>
          <w:rFonts w:ascii="Times New Roman" w:hAnsi="Times New Roman"/>
          <w:i/>
          <w:iCs/>
          <w:sz w:val="24"/>
          <w:szCs w:val="24"/>
        </w:rPr>
        <w:t xml:space="preserve">, B. senegalensis, Dalbergia </w:t>
      </w:r>
      <w:proofErr w:type="spellStart"/>
      <w:r w:rsidR="007C3497" w:rsidRPr="007C5A6E">
        <w:rPr>
          <w:rFonts w:ascii="Times New Roman" w:hAnsi="Times New Roman"/>
          <w:i/>
          <w:iCs/>
          <w:sz w:val="24"/>
          <w:szCs w:val="24"/>
        </w:rPr>
        <w:t>melanoxylon</w:t>
      </w:r>
      <w:proofErr w:type="spellEnd"/>
      <w:r w:rsidR="007C3497" w:rsidRPr="007C5A6E">
        <w:rPr>
          <w:rFonts w:ascii="Times New Roman" w:hAnsi="Times New Roman"/>
          <w:i/>
          <w:iCs/>
          <w:sz w:val="24"/>
          <w:szCs w:val="24"/>
        </w:rPr>
        <w:t xml:space="preserve">, </w:t>
      </w:r>
      <w:proofErr w:type="spellStart"/>
      <w:r w:rsidR="007C3497" w:rsidRPr="007C5A6E">
        <w:rPr>
          <w:rFonts w:ascii="Times New Roman" w:hAnsi="Times New Roman"/>
          <w:i/>
          <w:iCs/>
          <w:sz w:val="24"/>
          <w:szCs w:val="24"/>
        </w:rPr>
        <w:t>Commiphora</w:t>
      </w:r>
      <w:proofErr w:type="spellEnd"/>
      <w:r w:rsidR="007C3497" w:rsidRPr="007C5A6E">
        <w:rPr>
          <w:rFonts w:ascii="Times New Roman" w:hAnsi="Times New Roman"/>
          <w:i/>
          <w:iCs/>
          <w:sz w:val="24"/>
          <w:szCs w:val="24"/>
        </w:rPr>
        <w:t xml:space="preserve"> </w:t>
      </w:r>
      <w:proofErr w:type="spellStart"/>
      <w:r w:rsidR="007C3497" w:rsidRPr="007C5A6E">
        <w:rPr>
          <w:rFonts w:ascii="Times New Roman" w:hAnsi="Times New Roman"/>
          <w:i/>
          <w:iCs/>
          <w:sz w:val="24"/>
          <w:szCs w:val="24"/>
        </w:rPr>
        <w:t>africana</w:t>
      </w:r>
      <w:proofErr w:type="spellEnd"/>
      <w:r w:rsidR="007C3497" w:rsidRPr="007C5A6E">
        <w:rPr>
          <w:rFonts w:ascii="Times New Roman" w:hAnsi="Times New Roman"/>
          <w:i/>
          <w:iCs/>
          <w:sz w:val="24"/>
          <w:szCs w:val="24"/>
        </w:rPr>
        <w:t xml:space="preserve">, </w:t>
      </w:r>
      <w:proofErr w:type="spellStart"/>
      <w:r w:rsidR="007C3497" w:rsidRPr="007C5A6E">
        <w:rPr>
          <w:rFonts w:ascii="Times New Roman" w:hAnsi="Times New Roman"/>
          <w:i/>
          <w:iCs/>
          <w:sz w:val="24"/>
          <w:szCs w:val="24"/>
        </w:rPr>
        <w:t>Grewia</w:t>
      </w:r>
      <w:proofErr w:type="spellEnd"/>
      <w:r w:rsidR="007C3497" w:rsidRPr="007C5A6E">
        <w:rPr>
          <w:rFonts w:ascii="Times New Roman" w:hAnsi="Times New Roman"/>
          <w:i/>
          <w:iCs/>
          <w:sz w:val="24"/>
          <w:szCs w:val="24"/>
        </w:rPr>
        <w:t xml:space="preserve"> </w:t>
      </w:r>
      <w:proofErr w:type="spellStart"/>
      <w:r w:rsidR="007C3497" w:rsidRPr="007C5A6E">
        <w:rPr>
          <w:rFonts w:ascii="Times New Roman" w:hAnsi="Times New Roman"/>
          <w:i/>
          <w:iCs/>
          <w:sz w:val="24"/>
          <w:szCs w:val="24"/>
        </w:rPr>
        <w:t>villosa</w:t>
      </w:r>
      <w:proofErr w:type="spellEnd"/>
      <w:r w:rsidR="007C3497" w:rsidRPr="007C5A6E">
        <w:rPr>
          <w:rFonts w:ascii="Times New Roman" w:hAnsi="Times New Roman"/>
          <w:i/>
          <w:iCs/>
          <w:sz w:val="24"/>
          <w:szCs w:val="24"/>
        </w:rPr>
        <w:t xml:space="preserve">, Pterocarpus </w:t>
      </w:r>
      <w:proofErr w:type="spellStart"/>
      <w:r w:rsidR="007C3497" w:rsidRPr="007C5A6E">
        <w:rPr>
          <w:rFonts w:ascii="Times New Roman" w:hAnsi="Times New Roman"/>
          <w:i/>
          <w:iCs/>
          <w:sz w:val="24"/>
          <w:szCs w:val="24"/>
        </w:rPr>
        <w:t>lucens</w:t>
      </w:r>
      <w:proofErr w:type="spellEnd"/>
      <w:r w:rsidR="007C3497" w:rsidRPr="007C5A6E">
        <w:rPr>
          <w:rFonts w:ascii="Times New Roman" w:hAnsi="Times New Roman"/>
          <w:sz w:val="24"/>
          <w:szCs w:val="24"/>
        </w:rPr>
        <w:t xml:space="preserve">. La végétation caractéristique du secteur sahélien strict est la steppe avec comme espèces caractéristiques </w:t>
      </w:r>
      <w:r w:rsidR="007C3497" w:rsidRPr="007C5A6E">
        <w:rPr>
          <w:rFonts w:ascii="Times New Roman" w:hAnsi="Times New Roman"/>
          <w:i/>
          <w:iCs/>
          <w:sz w:val="24"/>
          <w:szCs w:val="24"/>
        </w:rPr>
        <w:t xml:space="preserve">Acacia </w:t>
      </w:r>
      <w:proofErr w:type="spellStart"/>
      <w:r w:rsidR="007C3497" w:rsidRPr="007C5A6E">
        <w:rPr>
          <w:rFonts w:ascii="Times New Roman" w:hAnsi="Times New Roman"/>
          <w:i/>
          <w:iCs/>
          <w:sz w:val="24"/>
          <w:szCs w:val="24"/>
        </w:rPr>
        <w:t>ehrenbergiana</w:t>
      </w:r>
      <w:proofErr w:type="spellEnd"/>
      <w:r w:rsidR="007C3497" w:rsidRPr="007C5A6E">
        <w:rPr>
          <w:rFonts w:ascii="Times New Roman" w:hAnsi="Times New Roman"/>
          <w:i/>
          <w:iCs/>
          <w:sz w:val="24"/>
          <w:szCs w:val="24"/>
        </w:rPr>
        <w:t xml:space="preserve">, A. nilotica </w:t>
      </w:r>
      <w:proofErr w:type="spellStart"/>
      <w:r w:rsidR="007C3497" w:rsidRPr="007C5A6E">
        <w:rPr>
          <w:rFonts w:ascii="Times New Roman" w:hAnsi="Times New Roman"/>
          <w:i/>
          <w:iCs/>
          <w:sz w:val="24"/>
          <w:szCs w:val="24"/>
        </w:rPr>
        <w:t>subsp</w:t>
      </w:r>
      <w:proofErr w:type="spellEnd"/>
      <w:r w:rsidR="007C3497" w:rsidRPr="007C5A6E">
        <w:rPr>
          <w:rFonts w:ascii="Times New Roman" w:hAnsi="Times New Roman"/>
          <w:i/>
          <w:iCs/>
          <w:sz w:val="24"/>
          <w:szCs w:val="24"/>
        </w:rPr>
        <w:t xml:space="preserve">. </w:t>
      </w:r>
      <w:proofErr w:type="gramStart"/>
      <w:r w:rsidR="007C3497" w:rsidRPr="007C5A6E">
        <w:rPr>
          <w:rFonts w:ascii="Times New Roman" w:hAnsi="Times New Roman"/>
          <w:i/>
          <w:iCs/>
          <w:sz w:val="24"/>
          <w:szCs w:val="24"/>
        </w:rPr>
        <w:t>nilotica</w:t>
      </w:r>
      <w:proofErr w:type="gramEnd"/>
      <w:r w:rsidR="007C3497" w:rsidRPr="007C5A6E">
        <w:rPr>
          <w:rFonts w:ascii="Times New Roman" w:hAnsi="Times New Roman"/>
          <w:i/>
          <w:iCs/>
          <w:sz w:val="24"/>
          <w:szCs w:val="24"/>
        </w:rPr>
        <w:t xml:space="preserve">, A. </w:t>
      </w:r>
      <w:proofErr w:type="spellStart"/>
      <w:r w:rsidR="007C3497" w:rsidRPr="007C5A6E">
        <w:rPr>
          <w:rFonts w:ascii="Times New Roman" w:hAnsi="Times New Roman"/>
          <w:i/>
          <w:iCs/>
          <w:sz w:val="24"/>
          <w:szCs w:val="24"/>
        </w:rPr>
        <w:t>tortilis</w:t>
      </w:r>
      <w:proofErr w:type="spellEnd"/>
      <w:r w:rsidR="007C3497" w:rsidRPr="007C5A6E">
        <w:rPr>
          <w:rFonts w:ascii="Times New Roman" w:hAnsi="Times New Roman"/>
          <w:i/>
          <w:iCs/>
          <w:sz w:val="24"/>
          <w:szCs w:val="24"/>
        </w:rPr>
        <w:t xml:space="preserve">, </w:t>
      </w:r>
      <w:proofErr w:type="spellStart"/>
      <w:r w:rsidR="007C3497" w:rsidRPr="007C5A6E">
        <w:rPr>
          <w:rFonts w:ascii="Times New Roman" w:hAnsi="Times New Roman"/>
          <w:i/>
          <w:iCs/>
          <w:sz w:val="24"/>
          <w:szCs w:val="24"/>
        </w:rPr>
        <w:t>Caralluma</w:t>
      </w:r>
      <w:proofErr w:type="spellEnd"/>
      <w:r w:rsidR="007C3497" w:rsidRPr="007C5A6E">
        <w:rPr>
          <w:rFonts w:ascii="Times New Roman" w:hAnsi="Times New Roman"/>
          <w:i/>
          <w:iCs/>
          <w:sz w:val="24"/>
          <w:szCs w:val="24"/>
        </w:rPr>
        <w:t xml:space="preserve"> </w:t>
      </w:r>
      <w:proofErr w:type="spellStart"/>
      <w:r w:rsidR="007C3497" w:rsidRPr="007C5A6E">
        <w:rPr>
          <w:rFonts w:ascii="Times New Roman" w:hAnsi="Times New Roman"/>
          <w:i/>
          <w:iCs/>
          <w:sz w:val="24"/>
          <w:szCs w:val="24"/>
        </w:rPr>
        <w:t>acutangula</w:t>
      </w:r>
      <w:proofErr w:type="spellEnd"/>
      <w:r w:rsidR="007C3497" w:rsidRPr="007C5A6E">
        <w:rPr>
          <w:rFonts w:ascii="Times New Roman" w:hAnsi="Times New Roman"/>
          <w:i/>
          <w:iCs/>
          <w:sz w:val="24"/>
          <w:szCs w:val="24"/>
        </w:rPr>
        <w:t xml:space="preserve">, </w:t>
      </w:r>
      <w:proofErr w:type="spellStart"/>
      <w:r w:rsidR="007C3497" w:rsidRPr="007C5A6E">
        <w:rPr>
          <w:rFonts w:ascii="Times New Roman" w:hAnsi="Times New Roman"/>
          <w:i/>
          <w:iCs/>
          <w:sz w:val="24"/>
          <w:szCs w:val="24"/>
        </w:rPr>
        <w:t>Grewia</w:t>
      </w:r>
      <w:proofErr w:type="spellEnd"/>
      <w:r w:rsidR="007C3497" w:rsidRPr="007C5A6E">
        <w:rPr>
          <w:rFonts w:ascii="Times New Roman" w:hAnsi="Times New Roman"/>
          <w:i/>
          <w:iCs/>
          <w:sz w:val="24"/>
          <w:szCs w:val="24"/>
        </w:rPr>
        <w:t xml:space="preserve"> </w:t>
      </w:r>
      <w:proofErr w:type="spellStart"/>
      <w:r w:rsidR="007C3497" w:rsidRPr="007C5A6E">
        <w:rPr>
          <w:rFonts w:ascii="Times New Roman" w:hAnsi="Times New Roman"/>
          <w:i/>
          <w:iCs/>
          <w:sz w:val="24"/>
          <w:szCs w:val="24"/>
        </w:rPr>
        <w:t>tenax</w:t>
      </w:r>
      <w:proofErr w:type="spellEnd"/>
      <w:r w:rsidR="007C3497" w:rsidRPr="007C5A6E">
        <w:rPr>
          <w:rFonts w:ascii="Times New Roman" w:hAnsi="Times New Roman"/>
          <w:i/>
          <w:iCs/>
          <w:sz w:val="24"/>
          <w:szCs w:val="24"/>
        </w:rPr>
        <w:t xml:space="preserve">, </w:t>
      </w:r>
      <w:proofErr w:type="spellStart"/>
      <w:r w:rsidR="007C3497" w:rsidRPr="007C5A6E">
        <w:rPr>
          <w:rFonts w:ascii="Times New Roman" w:hAnsi="Times New Roman"/>
          <w:i/>
          <w:iCs/>
          <w:sz w:val="24"/>
          <w:szCs w:val="24"/>
        </w:rPr>
        <w:t>Hyphaena</w:t>
      </w:r>
      <w:proofErr w:type="spellEnd"/>
      <w:r w:rsidR="007C3497" w:rsidRPr="007C5A6E">
        <w:rPr>
          <w:rFonts w:ascii="Times New Roman" w:hAnsi="Times New Roman"/>
          <w:i/>
          <w:iCs/>
          <w:sz w:val="24"/>
          <w:szCs w:val="24"/>
        </w:rPr>
        <w:t xml:space="preserve"> </w:t>
      </w:r>
      <w:proofErr w:type="spellStart"/>
      <w:r w:rsidR="007C3497" w:rsidRPr="007C5A6E">
        <w:rPr>
          <w:rFonts w:ascii="Times New Roman" w:hAnsi="Times New Roman"/>
          <w:i/>
          <w:iCs/>
          <w:sz w:val="24"/>
          <w:szCs w:val="24"/>
        </w:rPr>
        <w:t>thebaica</w:t>
      </w:r>
      <w:proofErr w:type="spellEnd"/>
      <w:r w:rsidR="007C3497" w:rsidRPr="007C5A6E">
        <w:rPr>
          <w:rFonts w:ascii="Times New Roman" w:hAnsi="Times New Roman"/>
          <w:i/>
          <w:iCs/>
          <w:sz w:val="24"/>
          <w:szCs w:val="24"/>
        </w:rPr>
        <w:t xml:space="preserve">, </w:t>
      </w:r>
      <w:proofErr w:type="spellStart"/>
      <w:r w:rsidR="007C3497" w:rsidRPr="007C5A6E">
        <w:rPr>
          <w:rFonts w:ascii="Times New Roman" w:hAnsi="Times New Roman"/>
          <w:i/>
          <w:iCs/>
          <w:sz w:val="24"/>
          <w:szCs w:val="24"/>
        </w:rPr>
        <w:t>Leptadenia</w:t>
      </w:r>
      <w:proofErr w:type="spellEnd"/>
      <w:r w:rsidR="007C3497" w:rsidRPr="007C5A6E">
        <w:rPr>
          <w:rFonts w:ascii="Times New Roman" w:hAnsi="Times New Roman"/>
          <w:i/>
          <w:iCs/>
          <w:sz w:val="24"/>
          <w:szCs w:val="24"/>
        </w:rPr>
        <w:t xml:space="preserve"> </w:t>
      </w:r>
      <w:proofErr w:type="spellStart"/>
      <w:r w:rsidR="007C3497" w:rsidRPr="007C5A6E">
        <w:rPr>
          <w:rFonts w:ascii="Times New Roman" w:hAnsi="Times New Roman"/>
          <w:i/>
          <w:iCs/>
          <w:sz w:val="24"/>
          <w:szCs w:val="24"/>
        </w:rPr>
        <w:t>pyrotechnica</w:t>
      </w:r>
      <w:proofErr w:type="spellEnd"/>
      <w:r w:rsidR="007C3497" w:rsidRPr="007C5A6E">
        <w:rPr>
          <w:rFonts w:ascii="Times New Roman" w:hAnsi="Times New Roman"/>
          <w:i/>
          <w:iCs/>
          <w:sz w:val="24"/>
          <w:szCs w:val="24"/>
        </w:rPr>
        <w:t xml:space="preserve">, </w:t>
      </w:r>
      <w:proofErr w:type="spellStart"/>
      <w:r w:rsidR="007C3497" w:rsidRPr="007C5A6E">
        <w:rPr>
          <w:rFonts w:ascii="Times New Roman" w:hAnsi="Times New Roman"/>
          <w:i/>
          <w:iCs/>
          <w:sz w:val="24"/>
          <w:szCs w:val="24"/>
        </w:rPr>
        <w:t>Maerua</w:t>
      </w:r>
      <w:proofErr w:type="spellEnd"/>
      <w:r w:rsidR="007C3497" w:rsidRPr="007C5A6E">
        <w:rPr>
          <w:rFonts w:ascii="Times New Roman" w:hAnsi="Times New Roman"/>
          <w:i/>
          <w:iCs/>
          <w:sz w:val="24"/>
          <w:szCs w:val="24"/>
        </w:rPr>
        <w:t xml:space="preserve"> crassifolia</w:t>
      </w:r>
      <w:r w:rsidR="007C3497" w:rsidRPr="007C5A6E">
        <w:rPr>
          <w:rFonts w:ascii="Times New Roman" w:hAnsi="Times New Roman"/>
          <w:sz w:val="24"/>
          <w:szCs w:val="24"/>
        </w:rPr>
        <w:t xml:space="preserve">. Selon SP/REDD+ (2023), le </w:t>
      </w:r>
      <w:bookmarkStart w:id="1091" w:name="_Hlk176335364"/>
      <w:r w:rsidR="007C3497" w:rsidRPr="007C5A6E">
        <w:rPr>
          <w:rFonts w:ascii="Times New Roman" w:hAnsi="Times New Roman"/>
          <w:sz w:val="24"/>
          <w:szCs w:val="24"/>
        </w:rPr>
        <w:t xml:space="preserve">domaine sahélien </w:t>
      </w:r>
      <w:bookmarkEnd w:id="1091"/>
      <w:r w:rsidR="007C3497" w:rsidRPr="007C5A6E">
        <w:rPr>
          <w:rFonts w:ascii="Times New Roman" w:hAnsi="Times New Roman"/>
          <w:sz w:val="24"/>
          <w:szCs w:val="24"/>
        </w:rPr>
        <w:t xml:space="preserve">couvre une superficie de 928 519,61 ha de terres forestières.  </w:t>
      </w:r>
    </w:p>
    <w:p w14:paraId="45BF0728" w14:textId="77777777" w:rsidR="007C3497" w:rsidRPr="007C5A6E" w:rsidRDefault="007C3497" w:rsidP="007C3497">
      <w:pPr>
        <w:spacing w:after="0" w:line="240" w:lineRule="auto"/>
        <w:jc w:val="both"/>
        <w:rPr>
          <w:rFonts w:ascii="Times New Roman" w:hAnsi="Times New Roman"/>
          <w:sz w:val="24"/>
          <w:szCs w:val="24"/>
        </w:rPr>
      </w:pPr>
    </w:p>
    <w:p w14:paraId="4C827474" w14:textId="77777777" w:rsidR="007C3497" w:rsidRPr="007C5A6E" w:rsidRDefault="007C3497" w:rsidP="007C3497">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2B5D2499" wp14:editId="1C9058C7">
            <wp:extent cx="4870938" cy="3466465"/>
            <wp:effectExtent l="0" t="0" r="6350" b="635"/>
            <wp:docPr id="11826618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661876" name=""/>
                    <pic:cNvPicPr/>
                  </pic:nvPicPr>
                  <pic:blipFill rotWithShape="1">
                    <a:blip r:embed="rId161" cstate="email">
                      <a:extLst>
                        <a:ext uri="{28A0092B-C50C-407E-A947-70E740481C1C}">
                          <a14:useLocalDpi xmlns:a14="http://schemas.microsoft.com/office/drawing/2010/main"/>
                        </a:ext>
                      </a:extLst>
                    </a:blip>
                    <a:srcRect l="1281" r="1903"/>
                    <a:stretch/>
                  </pic:blipFill>
                  <pic:spPr bwMode="auto">
                    <a:xfrm>
                      <a:off x="0" y="0"/>
                      <a:ext cx="4930965" cy="3509184"/>
                    </a:xfrm>
                    <a:prstGeom prst="rect">
                      <a:avLst/>
                    </a:prstGeom>
                    <a:ln>
                      <a:noFill/>
                    </a:ln>
                    <a:extLst>
                      <a:ext uri="{53640926-AAD7-44D8-BBD7-CCE9431645EC}">
                        <a14:shadowObscured xmlns:a14="http://schemas.microsoft.com/office/drawing/2010/main"/>
                      </a:ext>
                    </a:extLst>
                  </pic:spPr>
                </pic:pic>
              </a:graphicData>
            </a:graphic>
          </wp:inline>
        </w:drawing>
      </w:r>
    </w:p>
    <w:p w14:paraId="2C56AFC1" w14:textId="77777777" w:rsidR="00CC5D3A" w:rsidRPr="007C5A6E" w:rsidRDefault="00CC5D3A" w:rsidP="00CC5D3A">
      <w:pPr>
        <w:spacing w:after="0" w:line="240" w:lineRule="auto"/>
        <w:jc w:val="both"/>
        <w:rPr>
          <w:rFonts w:ascii="Times New Roman" w:hAnsi="Times New Roman"/>
          <w:sz w:val="20"/>
          <w:szCs w:val="20"/>
        </w:rPr>
      </w:pPr>
      <w:bookmarkStart w:id="1092" w:name="_Toc182575481"/>
      <w:r w:rsidRPr="007C5A6E">
        <w:rPr>
          <w:rFonts w:ascii="Times New Roman" w:hAnsi="Times New Roman"/>
          <w:sz w:val="20"/>
          <w:szCs w:val="20"/>
        </w:rPr>
        <w:t>(Source : MEEVCC, 2020)</w:t>
      </w:r>
    </w:p>
    <w:p w14:paraId="43BA67B3" w14:textId="08E6C614" w:rsidR="007C3497" w:rsidRPr="007C5A6E" w:rsidRDefault="00593390" w:rsidP="00593390">
      <w:pPr>
        <w:pStyle w:val="Lgende"/>
        <w:spacing w:after="0"/>
        <w:rPr>
          <w:rFonts w:ascii="Times New Roman" w:hAnsi="Times New Roman"/>
          <w:color w:val="auto"/>
          <w:sz w:val="24"/>
          <w:szCs w:val="24"/>
        </w:rPr>
      </w:pPr>
      <w:bookmarkStart w:id="1093" w:name="_Toc183230913"/>
      <w:bookmarkStart w:id="1094" w:name="_Toc183240706"/>
      <w:bookmarkStart w:id="1095" w:name="_Toc183340445"/>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66</w:t>
      </w:r>
      <w:r w:rsidRPr="007C5A6E">
        <w:rPr>
          <w:rFonts w:ascii="Times New Roman" w:hAnsi="Times New Roman"/>
          <w:color w:val="auto"/>
          <w:sz w:val="24"/>
          <w:szCs w:val="24"/>
        </w:rPr>
        <w:fldChar w:fldCharType="end"/>
      </w:r>
      <w:r w:rsidR="00DE6A43" w:rsidRPr="007C5A6E">
        <w:rPr>
          <w:rFonts w:ascii="Times New Roman" w:hAnsi="Times New Roman"/>
          <w:color w:val="auto"/>
          <w:sz w:val="24"/>
          <w:szCs w:val="24"/>
        </w:rPr>
        <w:t xml:space="preserve">. </w:t>
      </w:r>
      <w:r w:rsidR="007C3497" w:rsidRPr="007C5A6E">
        <w:rPr>
          <w:rFonts w:ascii="Times New Roman" w:hAnsi="Times New Roman"/>
          <w:color w:val="auto"/>
          <w:sz w:val="24"/>
          <w:szCs w:val="24"/>
        </w:rPr>
        <w:t>Secteurs phytogéographiques du Burkina Faso</w:t>
      </w:r>
      <w:bookmarkEnd w:id="1092"/>
      <w:bookmarkEnd w:id="1093"/>
      <w:bookmarkEnd w:id="1094"/>
      <w:bookmarkEnd w:id="1095"/>
      <w:r w:rsidR="007C3497" w:rsidRPr="007C5A6E">
        <w:rPr>
          <w:rFonts w:ascii="Times New Roman" w:hAnsi="Times New Roman"/>
          <w:color w:val="auto"/>
          <w:sz w:val="24"/>
          <w:szCs w:val="24"/>
        </w:rPr>
        <w:t xml:space="preserve"> </w:t>
      </w:r>
    </w:p>
    <w:p w14:paraId="77627862" w14:textId="77777777" w:rsidR="007C3497" w:rsidRPr="007C5A6E" w:rsidRDefault="007C3497" w:rsidP="007C3497">
      <w:pPr>
        <w:spacing w:after="0" w:line="240" w:lineRule="auto"/>
        <w:jc w:val="both"/>
        <w:rPr>
          <w:rFonts w:ascii="Times New Roman" w:hAnsi="Times New Roman"/>
          <w:sz w:val="24"/>
          <w:szCs w:val="24"/>
        </w:rPr>
      </w:pPr>
    </w:p>
    <w:p w14:paraId="17B14EB3" w14:textId="77777777" w:rsidR="007C3497" w:rsidRPr="007C5A6E" w:rsidRDefault="007C3497" w:rsidP="007C3497">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6FA10F54" wp14:editId="10D60D3E">
            <wp:extent cx="4630615" cy="3003745"/>
            <wp:effectExtent l="0" t="0" r="17780" b="6350"/>
            <wp:docPr id="163382086" name="Graphique 1">
              <a:extLst xmlns:a="http://schemas.openxmlformats.org/drawingml/2006/main">
                <a:ext uri="{FF2B5EF4-FFF2-40B4-BE49-F238E27FC236}">
                  <a16:creationId xmlns:a16="http://schemas.microsoft.com/office/drawing/2014/main" id="{A3B60A7D-B71D-1259-D2E3-AF625FCE8A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5C33EDF1" w14:textId="77777777" w:rsidR="00CC5D3A" w:rsidRPr="007C5A6E" w:rsidRDefault="00CC5D3A" w:rsidP="00CC5D3A">
      <w:pPr>
        <w:spacing w:after="0" w:line="240" w:lineRule="auto"/>
        <w:jc w:val="both"/>
        <w:rPr>
          <w:rFonts w:ascii="Times New Roman" w:hAnsi="Times New Roman"/>
          <w:sz w:val="20"/>
          <w:szCs w:val="20"/>
        </w:rPr>
      </w:pPr>
      <w:bookmarkStart w:id="1096" w:name="_Toc164841297"/>
      <w:bookmarkStart w:id="1097" w:name="_Toc182575482"/>
      <w:r w:rsidRPr="007C5A6E">
        <w:rPr>
          <w:rFonts w:ascii="Times New Roman" w:hAnsi="Times New Roman"/>
          <w:sz w:val="20"/>
          <w:szCs w:val="20"/>
        </w:rPr>
        <w:t>(Source : SP/REDD+, 2023)</w:t>
      </w:r>
    </w:p>
    <w:p w14:paraId="0824EFB0" w14:textId="4818D019" w:rsidR="007C3497" w:rsidRPr="007C5A6E" w:rsidRDefault="00593390" w:rsidP="00593390">
      <w:pPr>
        <w:pStyle w:val="Lgende"/>
        <w:spacing w:after="0"/>
        <w:rPr>
          <w:rFonts w:ascii="Times New Roman" w:hAnsi="Times New Roman"/>
          <w:color w:val="auto"/>
          <w:sz w:val="24"/>
          <w:szCs w:val="24"/>
        </w:rPr>
      </w:pPr>
      <w:bookmarkStart w:id="1098" w:name="_Toc183230914"/>
      <w:bookmarkStart w:id="1099" w:name="_Toc183240707"/>
      <w:bookmarkStart w:id="1100" w:name="_Toc183340446"/>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67</w:t>
      </w:r>
      <w:r w:rsidRPr="007C5A6E">
        <w:rPr>
          <w:rFonts w:ascii="Times New Roman" w:hAnsi="Times New Roman"/>
          <w:color w:val="auto"/>
          <w:sz w:val="24"/>
          <w:szCs w:val="24"/>
        </w:rPr>
        <w:fldChar w:fldCharType="end"/>
      </w:r>
      <w:r w:rsidR="00DE6A43" w:rsidRPr="007C5A6E">
        <w:rPr>
          <w:rFonts w:ascii="Times New Roman" w:hAnsi="Times New Roman"/>
          <w:color w:val="auto"/>
          <w:sz w:val="24"/>
          <w:szCs w:val="24"/>
        </w:rPr>
        <w:t>.</w:t>
      </w:r>
      <w:r w:rsidR="007C3497" w:rsidRPr="007C5A6E">
        <w:rPr>
          <w:rFonts w:ascii="Times New Roman" w:hAnsi="Times New Roman"/>
          <w:color w:val="auto"/>
          <w:sz w:val="24"/>
          <w:szCs w:val="24"/>
        </w:rPr>
        <w:t xml:space="preserve"> Superficie des terres forestières par zone phytogéographique en ha</w:t>
      </w:r>
      <w:bookmarkEnd w:id="1096"/>
      <w:bookmarkEnd w:id="1097"/>
      <w:bookmarkEnd w:id="1098"/>
      <w:bookmarkEnd w:id="1099"/>
      <w:bookmarkEnd w:id="1100"/>
      <w:r w:rsidR="007C3497" w:rsidRPr="007C5A6E">
        <w:rPr>
          <w:rFonts w:ascii="Times New Roman" w:hAnsi="Times New Roman"/>
          <w:color w:val="auto"/>
          <w:sz w:val="24"/>
          <w:szCs w:val="24"/>
        </w:rPr>
        <w:t xml:space="preserve"> </w:t>
      </w:r>
    </w:p>
    <w:p w14:paraId="4139CF2B" w14:textId="77777777" w:rsidR="007C3497" w:rsidRPr="007C5A6E" w:rsidRDefault="007C3497" w:rsidP="007C3497">
      <w:pPr>
        <w:spacing w:after="0" w:line="240" w:lineRule="auto"/>
        <w:jc w:val="both"/>
        <w:rPr>
          <w:rFonts w:ascii="Times New Roman" w:hAnsi="Times New Roman"/>
          <w:sz w:val="24"/>
          <w:szCs w:val="24"/>
        </w:rPr>
      </w:pPr>
    </w:p>
    <w:p w14:paraId="61CD8607" w14:textId="70F847A8" w:rsidR="007C3497" w:rsidRPr="007C5A6E" w:rsidRDefault="00593390" w:rsidP="00593390">
      <w:pPr>
        <w:pStyle w:val="Lgende"/>
        <w:spacing w:after="0"/>
        <w:rPr>
          <w:rFonts w:ascii="Times New Roman" w:eastAsia="Calibri" w:hAnsi="Times New Roman"/>
          <w:i w:val="0"/>
          <w:iCs w:val="0"/>
          <w:color w:val="auto"/>
          <w:sz w:val="24"/>
          <w:szCs w:val="24"/>
          <w:lang w:eastAsia="en-US"/>
          <w14:ligatures w14:val="standardContextual"/>
        </w:rPr>
      </w:pPr>
      <w:bookmarkStart w:id="1101" w:name="_Toc182575502"/>
      <w:bookmarkStart w:id="1102" w:name="_Toc183241007"/>
      <w:bookmarkStart w:id="1103" w:name="_Toc183292249"/>
      <w:bookmarkStart w:id="1104" w:name="_Toc183340529"/>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9F25CF" w:rsidRPr="007C5A6E">
        <w:rPr>
          <w:rFonts w:ascii="Times New Roman" w:hAnsi="Times New Roman"/>
          <w:i w:val="0"/>
          <w:iCs w:val="0"/>
          <w:noProof/>
          <w:color w:val="auto"/>
          <w:sz w:val="24"/>
          <w:szCs w:val="24"/>
        </w:rPr>
        <w:t>45</w:t>
      </w:r>
      <w:r w:rsidRPr="007C5A6E">
        <w:rPr>
          <w:rFonts w:ascii="Times New Roman" w:hAnsi="Times New Roman"/>
          <w:i w:val="0"/>
          <w:iCs w:val="0"/>
          <w:color w:val="auto"/>
          <w:sz w:val="24"/>
          <w:szCs w:val="24"/>
        </w:rPr>
        <w:fldChar w:fldCharType="end"/>
      </w:r>
      <w:r w:rsidR="008B6FB4" w:rsidRPr="007C5A6E">
        <w:rPr>
          <w:rFonts w:ascii="Times New Roman" w:hAnsi="Times New Roman"/>
          <w:i w:val="0"/>
          <w:iCs w:val="0"/>
          <w:color w:val="auto"/>
          <w:sz w:val="24"/>
          <w:szCs w:val="24"/>
        </w:rPr>
        <w:t xml:space="preserve"> </w:t>
      </w:r>
      <w:r w:rsidR="007C3497" w:rsidRPr="007C5A6E">
        <w:rPr>
          <w:rFonts w:ascii="Times New Roman" w:eastAsia="Calibri" w:hAnsi="Times New Roman"/>
          <w:i w:val="0"/>
          <w:iCs w:val="0"/>
          <w:color w:val="auto"/>
          <w:sz w:val="24"/>
          <w:szCs w:val="24"/>
          <w:lang w:eastAsia="en-US"/>
          <w14:ligatures w14:val="standardContextual"/>
        </w:rPr>
        <w:t>: Formations végétales du Burkina Faso et leurs caractéristiques</w:t>
      </w:r>
      <w:bookmarkEnd w:id="1101"/>
      <w:bookmarkEnd w:id="1102"/>
      <w:bookmarkEnd w:id="1103"/>
      <w:bookmarkEnd w:id="1104"/>
      <w:r w:rsidR="007C3497" w:rsidRPr="007C5A6E">
        <w:rPr>
          <w:rFonts w:ascii="Times New Roman" w:eastAsia="Calibri" w:hAnsi="Times New Roman"/>
          <w:i w:val="0"/>
          <w:iCs w:val="0"/>
          <w:color w:val="auto"/>
          <w:sz w:val="24"/>
          <w:szCs w:val="24"/>
          <w:lang w:eastAsia="en-US"/>
          <w14:ligatures w14:val="standardContextual"/>
        </w:rPr>
        <w:t xml:space="preserve"> </w:t>
      </w:r>
    </w:p>
    <w:p w14:paraId="249B997B" w14:textId="44ADE34F" w:rsidR="007C3497" w:rsidRPr="007C5A6E" w:rsidRDefault="007C3497" w:rsidP="007C3497">
      <w:pPr>
        <w:spacing w:after="0" w:line="240" w:lineRule="auto"/>
        <w:rPr>
          <w:rFonts w:ascii="Times New Roman" w:hAnsi="Times New Roman"/>
          <w:sz w:val="20"/>
          <w:szCs w:val="20"/>
        </w:rPr>
      </w:pPr>
    </w:p>
    <w:tbl>
      <w:tblPr>
        <w:tblStyle w:val="Grilledutableau7"/>
        <w:tblW w:w="0" w:type="auto"/>
        <w:tblLayout w:type="fixed"/>
        <w:tblLook w:val="04A0" w:firstRow="1" w:lastRow="0" w:firstColumn="1" w:lastColumn="0" w:noHBand="0" w:noVBand="1"/>
      </w:tblPr>
      <w:tblGrid>
        <w:gridCol w:w="2182"/>
        <w:gridCol w:w="1924"/>
        <w:gridCol w:w="1301"/>
        <w:gridCol w:w="258"/>
        <w:gridCol w:w="3422"/>
      </w:tblGrid>
      <w:tr w:rsidR="007C3497" w:rsidRPr="007C5A6E" w14:paraId="7C49F889" w14:textId="77777777" w:rsidTr="00593390">
        <w:tc>
          <w:tcPr>
            <w:tcW w:w="2182" w:type="dxa"/>
            <w:shd w:val="clear" w:color="auto" w:fill="002060"/>
          </w:tcPr>
          <w:p w14:paraId="005BBC7C" w14:textId="77777777" w:rsidR="007C3497" w:rsidRPr="007C5A6E" w:rsidRDefault="007C3497" w:rsidP="00593390">
            <w:pPr>
              <w:spacing w:after="0" w:line="240" w:lineRule="auto"/>
              <w:jc w:val="center"/>
              <w:rPr>
                <w:rFonts w:ascii="Times New Roman" w:hAnsi="Times New Roman"/>
                <w:bCs/>
                <w:sz w:val="21"/>
                <w:szCs w:val="21"/>
              </w:rPr>
            </w:pPr>
            <w:r w:rsidRPr="007C5A6E">
              <w:rPr>
                <w:rFonts w:ascii="Times New Roman" w:hAnsi="Times New Roman"/>
                <w:bCs/>
                <w:sz w:val="21"/>
                <w:szCs w:val="21"/>
              </w:rPr>
              <w:t>Formations végétales</w:t>
            </w:r>
          </w:p>
        </w:tc>
        <w:tc>
          <w:tcPr>
            <w:tcW w:w="1924" w:type="dxa"/>
            <w:shd w:val="clear" w:color="auto" w:fill="002060"/>
          </w:tcPr>
          <w:p w14:paraId="5A5A8862" w14:textId="77777777" w:rsidR="007C3497" w:rsidRPr="007C5A6E" w:rsidRDefault="007C3497" w:rsidP="00593390">
            <w:pPr>
              <w:spacing w:after="0" w:line="240" w:lineRule="auto"/>
              <w:jc w:val="center"/>
              <w:rPr>
                <w:rFonts w:ascii="Times New Roman" w:hAnsi="Times New Roman"/>
                <w:bCs/>
                <w:sz w:val="21"/>
                <w:szCs w:val="21"/>
              </w:rPr>
            </w:pPr>
            <w:r w:rsidRPr="007C5A6E">
              <w:rPr>
                <w:rFonts w:ascii="Times New Roman" w:hAnsi="Times New Roman"/>
                <w:bCs/>
                <w:sz w:val="21"/>
                <w:szCs w:val="21"/>
              </w:rPr>
              <w:t>Secteurs phytogéographiques</w:t>
            </w:r>
          </w:p>
        </w:tc>
        <w:tc>
          <w:tcPr>
            <w:tcW w:w="1301" w:type="dxa"/>
            <w:shd w:val="clear" w:color="auto" w:fill="002060"/>
          </w:tcPr>
          <w:p w14:paraId="5E2EFF4D" w14:textId="77777777" w:rsidR="007C3497" w:rsidRPr="007C5A6E" w:rsidRDefault="007C3497" w:rsidP="00593390">
            <w:pPr>
              <w:spacing w:after="0" w:line="240" w:lineRule="auto"/>
              <w:jc w:val="center"/>
              <w:rPr>
                <w:rFonts w:ascii="Times New Roman" w:hAnsi="Times New Roman"/>
                <w:bCs/>
                <w:sz w:val="21"/>
                <w:szCs w:val="21"/>
              </w:rPr>
            </w:pPr>
            <w:r w:rsidRPr="007C5A6E">
              <w:rPr>
                <w:rFonts w:ascii="Times New Roman" w:hAnsi="Times New Roman"/>
                <w:bCs/>
                <w:sz w:val="21"/>
                <w:szCs w:val="21"/>
              </w:rPr>
              <w:t>Pluviométrie (mm)</w:t>
            </w:r>
          </w:p>
        </w:tc>
        <w:tc>
          <w:tcPr>
            <w:tcW w:w="3680" w:type="dxa"/>
            <w:gridSpan w:val="2"/>
            <w:shd w:val="clear" w:color="auto" w:fill="002060"/>
          </w:tcPr>
          <w:p w14:paraId="4C05242F" w14:textId="77777777" w:rsidR="007C3497" w:rsidRPr="007C5A6E" w:rsidRDefault="007C3497" w:rsidP="00593390">
            <w:pPr>
              <w:spacing w:after="0" w:line="240" w:lineRule="auto"/>
              <w:jc w:val="center"/>
              <w:rPr>
                <w:rFonts w:ascii="Times New Roman" w:hAnsi="Times New Roman"/>
                <w:bCs/>
                <w:sz w:val="21"/>
                <w:szCs w:val="21"/>
              </w:rPr>
            </w:pPr>
            <w:r w:rsidRPr="007C5A6E">
              <w:rPr>
                <w:rFonts w:ascii="Times New Roman" w:hAnsi="Times New Roman"/>
                <w:bCs/>
                <w:sz w:val="21"/>
                <w:szCs w:val="21"/>
              </w:rPr>
              <w:t>Espèces végétales caractéristiques</w:t>
            </w:r>
          </w:p>
        </w:tc>
      </w:tr>
      <w:tr w:rsidR="007C3497" w:rsidRPr="007C5A6E" w14:paraId="72FC3F4E" w14:textId="77777777" w:rsidTr="00593390">
        <w:tc>
          <w:tcPr>
            <w:tcW w:w="2182" w:type="dxa"/>
          </w:tcPr>
          <w:p w14:paraId="3CD09B54"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Ilots de forêts denses sèches</w:t>
            </w:r>
          </w:p>
        </w:tc>
        <w:tc>
          <w:tcPr>
            <w:tcW w:w="1924" w:type="dxa"/>
          </w:tcPr>
          <w:p w14:paraId="29E3AD39"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Sud-Soudanien</w:t>
            </w:r>
          </w:p>
        </w:tc>
        <w:tc>
          <w:tcPr>
            <w:tcW w:w="1559" w:type="dxa"/>
            <w:gridSpan w:val="2"/>
          </w:tcPr>
          <w:p w14:paraId="1E793708"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1000</w:t>
            </w:r>
          </w:p>
        </w:tc>
        <w:tc>
          <w:tcPr>
            <w:tcW w:w="3422" w:type="dxa"/>
          </w:tcPr>
          <w:p w14:paraId="2B40E0C9" w14:textId="77777777" w:rsidR="007C3497" w:rsidRPr="007C5A6E" w:rsidRDefault="007C3497" w:rsidP="007C3497">
            <w:pPr>
              <w:spacing w:after="0" w:line="240" w:lineRule="auto"/>
              <w:rPr>
                <w:rFonts w:ascii="Times New Roman" w:hAnsi="Times New Roman"/>
                <w:i/>
                <w:iCs/>
                <w:sz w:val="21"/>
                <w:szCs w:val="21"/>
              </w:rPr>
            </w:pPr>
            <w:proofErr w:type="spellStart"/>
            <w:r w:rsidRPr="007C5A6E">
              <w:rPr>
                <w:rFonts w:ascii="Times New Roman" w:hAnsi="Times New Roman"/>
                <w:i/>
                <w:iCs/>
                <w:sz w:val="21"/>
                <w:szCs w:val="21"/>
              </w:rPr>
              <w:t>Guibourtia</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copallifera</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Gardenia</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nitida</w:t>
            </w:r>
            <w:proofErr w:type="spellEnd"/>
            <w:r w:rsidRPr="007C5A6E">
              <w:rPr>
                <w:rFonts w:ascii="Times New Roman" w:hAnsi="Times New Roman"/>
                <w:i/>
                <w:iCs/>
                <w:sz w:val="21"/>
                <w:szCs w:val="21"/>
              </w:rPr>
              <w:t xml:space="preserve">, Dalbergia </w:t>
            </w:r>
            <w:proofErr w:type="spellStart"/>
            <w:r w:rsidRPr="007C5A6E">
              <w:rPr>
                <w:rFonts w:ascii="Times New Roman" w:hAnsi="Times New Roman"/>
                <w:i/>
                <w:iCs/>
                <w:sz w:val="21"/>
                <w:szCs w:val="21"/>
              </w:rPr>
              <w:t>hostilis</w:t>
            </w:r>
            <w:proofErr w:type="spellEnd"/>
          </w:p>
        </w:tc>
      </w:tr>
      <w:tr w:rsidR="007C3497" w:rsidRPr="007C5A6E" w14:paraId="76D8F9C8" w14:textId="77777777" w:rsidTr="00593390">
        <w:tc>
          <w:tcPr>
            <w:tcW w:w="2182" w:type="dxa"/>
          </w:tcPr>
          <w:p w14:paraId="52158DB1"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 xml:space="preserve">Forêts claires </w:t>
            </w:r>
          </w:p>
        </w:tc>
        <w:tc>
          <w:tcPr>
            <w:tcW w:w="1924" w:type="dxa"/>
          </w:tcPr>
          <w:p w14:paraId="1FE9B0F8"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Sud-Soudanien et Nord-Soudanien</w:t>
            </w:r>
          </w:p>
        </w:tc>
        <w:tc>
          <w:tcPr>
            <w:tcW w:w="1559" w:type="dxa"/>
            <w:gridSpan w:val="2"/>
          </w:tcPr>
          <w:p w14:paraId="6336E29F"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800-1000</w:t>
            </w:r>
          </w:p>
        </w:tc>
        <w:tc>
          <w:tcPr>
            <w:tcW w:w="3422" w:type="dxa"/>
          </w:tcPr>
          <w:p w14:paraId="4BA0E75F" w14:textId="77777777" w:rsidR="007C3497" w:rsidRPr="007C5A6E" w:rsidRDefault="007C3497" w:rsidP="007C3497">
            <w:pPr>
              <w:spacing w:after="0" w:line="240" w:lineRule="auto"/>
              <w:rPr>
                <w:rFonts w:ascii="Times New Roman" w:hAnsi="Times New Roman"/>
                <w:i/>
                <w:iCs/>
                <w:sz w:val="21"/>
                <w:szCs w:val="21"/>
              </w:rPr>
            </w:pPr>
            <w:proofErr w:type="spellStart"/>
            <w:r w:rsidRPr="007C5A6E">
              <w:rPr>
                <w:rFonts w:ascii="Times New Roman" w:hAnsi="Times New Roman"/>
                <w:i/>
                <w:iCs/>
                <w:sz w:val="21"/>
                <w:szCs w:val="21"/>
              </w:rPr>
              <w:t>Anogeissus</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leiocarpa</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Isoberlinia</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doka</w:t>
            </w:r>
            <w:proofErr w:type="spellEnd"/>
            <w:r w:rsidRPr="007C5A6E">
              <w:rPr>
                <w:rFonts w:ascii="Times New Roman" w:hAnsi="Times New Roman"/>
                <w:i/>
                <w:iCs/>
                <w:sz w:val="21"/>
                <w:szCs w:val="21"/>
              </w:rPr>
              <w:t xml:space="preserve">, Pterocarpus erinaceus </w:t>
            </w:r>
          </w:p>
        </w:tc>
      </w:tr>
      <w:tr w:rsidR="007C3497" w:rsidRPr="007C5A6E" w14:paraId="67A6A1DE" w14:textId="77777777" w:rsidTr="00593390">
        <w:tc>
          <w:tcPr>
            <w:tcW w:w="2182" w:type="dxa"/>
          </w:tcPr>
          <w:p w14:paraId="7CF3586D"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Savanes boisées</w:t>
            </w:r>
          </w:p>
        </w:tc>
        <w:tc>
          <w:tcPr>
            <w:tcW w:w="1924" w:type="dxa"/>
          </w:tcPr>
          <w:p w14:paraId="1E9447A9"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Sud-Soudanien, Nord-Soudanien</w:t>
            </w:r>
          </w:p>
        </w:tc>
        <w:tc>
          <w:tcPr>
            <w:tcW w:w="1559" w:type="dxa"/>
            <w:gridSpan w:val="2"/>
          </w:tcPr>
          <w:p w14:paraId="398DCDD3"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700-1000</w:t>
            </w:r>
          </w:p>
        </w:tc>
        <w:tc>
          <w:tcPr>
            <w:tcW w:w="3422" w:type="dxa"/>
          </w:tcPr>
          <w:p w14:paraId="101DF0AC" w14:textId="77777777" w:rsidR="007C3497" w:rsidRPr="007C5A6E" w:rsidRDefault="007C3497" w:rsidP="007C3497">
            <w:pPr>
              <w:spacing w:after="0" w:line="240" w:lineRule="auto"/>
              <w:rPr>
                <w:rFonts w:ascii="Times New Roman" w:hAnsi="Times New Roman"/>
                <w:i/>
                <w:iCs/>
                <w:sz w:val="21"/>
                <w:szCs w:val="21"/>
              </w:rPr>
            </w:pPr>
            <w:proofErr w:type="spellStart"/>
            <w:r w:rsidRPr="007C5A6E">
              <w:rPr>
                <w:rFonts w:ascii="Times New Roman" w:hAnsi="Times New Roman"/>
                <w:i/>
                <w:iCs/>
                <w:sz w:val="21"/>
                <w:szCs w:val="21"/>
              </w:rPr>
              <w:t>Vitellaria</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paradoxa</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Burkea</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africana</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Terminalia</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avicennioides</w:t>
            </w:r>
            <w:proofErr w:type="spellEnd"/>
          </w:p>
        </w:tc>
      </w:tr>
      <w:tr w:rsidR="007C3497" w:rsidRPr="007C5A6E" w14:paraId="15CE25BF" w14:textId="77777777" w:rsidTr="00593390">
        <w:tc>
          <w:tcPr>
            <w:tcW w:w="2182" w:type="dxa"/>
          </w:tcPr>
          <w:p w14:paraId="7E9CA201"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Savanes arborées</w:t>
            </w:r>
          </w:p>
        </w:tc>
        <w:tc>
          <w:tcPr>
            <w:tcW w:w="1924" w:type="dxa"/>
          </w:tcPr>
          <w:p w14:paraId="59FFF0D4"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Sud-Soudanien, Nord-Soudanien</w:t>
            </w:r>
          </w:p>
        </w:tc>
        <w:tc>
          <w:tcPr>
            <w:tcW w:w="1559" w:type="dxa"/>
            <w:gridSpan w:val="2"/>
          </w:tcPr>
          <w:p w14:paraId="4AC6E795"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700-1000</w:t>
            </w:r>
          </w:p>
        </w:tc>
        <w:tc>
          <w:tcPr>
            <w:tcW w:w="3422" w:type="dxa"/>
          </w:tcPr>
          <w:p w14:paraId="4BAF0E8D" w14:textId="77777777" w:rsidR="007C3497" w:rsidRPr="007C5A6E" w:rsidRDefault="007C3497" w:rsidP="007C3497">
            <w:pPr>
              <w:spacing w:after="0" w:line="240" w:lineRule="auto"/>
              <w:rPr>
                <w:rFonts w:ascii="Times New Roman" w:hAnsi="Times New Roman"/>
                <w:i/>
                <w:iCs/>
                <w:sz w:val="21"/>
                <w:szCs w:val="21"/>
              </w:rPr>
            </w:pPr>
            <w:proofErr w:type="spellStart"/>
            <w:r w:rsidRPr="007C5A6E">
              <w:rPr>
                <w:rFonts w:ascii="Times New Roman" w:hAnsi="Times New Roman"/>
                <w:i/>
                <w:iCs/>
                <w:sz w:val="21"/>
                <w:szCs w:val="21"/>
              </w:rPr>
              <w:t>Vitellaria</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paradoxa</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Lannea</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acida</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Daniellia</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oliveri</w:t>
            </w:r>
            <w:proofErr w:type="spellEnd"/>
          </w:p>
        </w:tc>
      </w:tr>
      <w:tr w:rsidR="007C3497" w:rsidRPr="007C5A6E" w14:paraId="18C9A2FF" w14:textId="77777777" w:rsidTr="00593390">
        <w:tc>
          <w:tcPr>
            <w:tcW w:w="2182" w:type="dxa"/>
          </w:tcPr>
          <w:p w14:paraId="208AC0CB"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 xml:space="preserve">Savanes arbustives et herbeuses </w:t>
            </w:r>
          </w:p>
        </w:tc>
        <w:tc>
          <w:tcPr>
            <w:tcW w:w="1924" w:type="dxa"/>
          </w:tcPr>
          <w:p w14:paraId="0612EC43"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 xml:space="preserve">Sud-Soudanien, Nord-Soudanien, </w:t>
            </w:r>
            <w:proofErr w:type="spellStart"/>
            <w:r w:rsidRPr="007C5A6E">
              <w:rPr>
                <w:rFonts w:ascii="Times New Roman" w:hAnsi="Times New Roman"/>
                <w:sz w:val="21"/>
                <w:szCs w:val="21"/>
              </w:rPr>
              <w:t>sub</w:t>
            </w:r>
            <w:proofErr w:type="spellEnd"/>
            <w:r w:rsidRPr="007C5A6E">
              <w:rPr>
                <w:rFonts w:ascii="Times New Roman" w:hAnsi="Times New Roman"/>
                <w:sz w:val="21"/>
                <w:szCs w:val="21"/>
              </w:rPr>
              <w:t>-Sahel</w:t>
            </w:r>
          </w:p>
        </w:tc>
        <w:tc>
          <w:tcPr>
            <w:tcW w:w="1559" w:type="dxa"/>
            <w:gridSpan w:val="2"/>
          </w:tcPr>
          <w:p w14:paraId="1EFE88E1"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500-800</w:t>
            </w:r>
          </w:p>
        </w:tc>
        <w:tc>
          <w:tcPr>
            <w:tcW w:w="3422" w:type="dxa"/>
          </w:tcPr>
          <w:p w14:paraId="25D5DE9B" w14:textId="77777777" w:rsidR="007C3497" w:rsidRPr="007C5A6E" w:rsidRDefault="007C3497" w:rsidP="007C3497">
            <w:pPr>
              <w:spacing w:after="0" w:line="240" w:lineRule="auto"/>
              <w:rPr>
                <w:rFonts w:ascii="Times New Roman" w:hAnsi="Times New Roman"/>
                <w:i/>
                <w:iCs/>
                <w:sz w:val="21"/>
                <w:szCs w:val="21"/>
              </w:rPr>
            </w:pPr>
            <w:r w:rsidRPr="007C5A6E">
              <w:rPr>
                <w:rFonts w:ascii="Times New Roman" w:hAnsi="Times New Roman"/>
                <w:i/>
                <w:iCs/>
                <w:sz w:val="21"/>
                <w:szCs w:val="21"/>
              </w:rPr>
              <w:t xml:space="preserve">Acacia seyal, Acacia </w:t>
            </w:r>
            <w:proofErr w:type="spellStart"/>
            <w:r w:rsidRPr="007C5A6E">
              <w:rPr>
                <w:rFonts w:ascii="Times New Roman" w:hAnsi="Times New Roman"/>
                <w:i/>
                <w:iCs/>
                <w:sz w:val="21"/>
                <w:szCs w:val="21"/>
              </w:rPr>
              <w:t>dudgeoni</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Combretum</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glutinosum</w:t>
            </w:r>
            <w:proofErr w:type="spellEnd"/>
            <w:r w:rsidRPr="007C5A6E">
              <w:rPr>
                <w:rFonts w:ascii="Times New Roman" w:hAnsi="Times New Roman"/>
                <w:i/>
                <w:iCs/>
                <w:sz w:val="21"/>
                <w:szCs w:val="21"/>
              </w:rPr>
              <w:t xml:space="preserve">, Andropogon </w:t>
            </w:r>
            <w:proofErr w:type="spellStart"/>
            <w:r w:rsidRPr="007C5A6E">
              <w:rPr>
                <w:rFonts w:ascii="Times New Roman" w:hAnsi="Times New Roman"/>
                <w:i/>
                <w:iCs/>
                <w:sz w:val="21"/>
                <w:szCs w:val="21"/>
              </w:rPr>
              <w:t>pseudapricus</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Loudetia</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togoensis</w:t>
            </w:r>
            <w:proofErr w:type="spellEnd"/>
          </w:p>
        </w:tc>
      </w:tr>
      <w:tr w:rsidR="007C3497" w:rsidRPr="000D60EA" w14:paraId="3D367018" w14:textId="77777777" w:rsidTr="00593390">
        <w:tc>
          <w:tcPr>
            <w:tcW w:w="2182" w:type="dxa"/>
          </w:tcPr>
          <w:p w14:paraId="0A7EDD71"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 xml:space="preserve">Steppe arborée </w:t>
            </w:r>
          </w:p>
        </w:tc>
        <w:tc>
          <w:tcPr>
            <w:tcW w:w="1924" w:type="dxa"/>
          </w:tcPr>
          <w:p w14:paraId="4001F27F"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 xml:space="preserve">Sahel </w:t>
            </w:r>
          </w:p>
        </w:tc>
        <w:tc>
          <w:tcPr>
            <w:tcW w:w="1559" w:type="dxa"/>
            <w:gridSpan w:val="2"/>
          </w:tcPr>
          <w:p w14:paraId="25C0BFB0"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300-400</w:t>
            </w:r>
          </w:p>
        </w:tc>
        <w:tc>
          <w:tcPr>
            <w:tcW w:w="3422" w:type="dxa"/>
          </w:tcPr>
          <w:p w14:paraId="6E869CB3" w14:textId="77777777" w:rsidR="007C3497" w:rsidRPr="007C5A6E" w:rsidRDefault="007C3497" w:rsidP="007C3497">
            <w:pPr>
              <w:spacing w:after="0" w:line="240" w:lineRule="auto"/>
              <w:rPr>
                <w:rFonts w:ascii="Times New Roman" w:hAnsi="Times New Roman"/>
                <w:i/>
                <w:iCs/>
                <w:sz w:val="21"/>
                <w:szCs w:val="21"/>
                <w:lang w:val="en-US"/>
              </w:rPr>
            </w:pPr>
            <w:r w:rsidRPr="007C5A6E">
              <w:rPr>
                <w:rFonts w:ascii="Times New Roman" w:hAnsi="Times New Roman"/>
                <w:i/>
                <w:iCs/>
                <w:sz w:val="21"/>
                <w:szCs w:val="21"/>
                <w:lang w:val="en-US"/>
              </w:rPr>
              <w:t xml:space="preserve">Acacia </w:t>
            </w:r>
            <w:proofErr w:type="spellStart"/>
            <w:r w:rsidRPr="007C5A6E">
              <w:rPr>
                <w:rFonts w:ascii="Times New Roman" w:hAnsi="Times New Roman"/>
                <w:i/>
                <w:iCs/>
                <w:sz w:val="21"/>
                <w:szCs w:val="21"/>
                <w:lang w:val="en-US"/>
              </w:rPr>
              <w:t>tortilis</w:t>
            </w:r>
            <w:proofErr w:type="spellEnd"/>
            <w:r w:rsidRPr="007C5A6E">
              <w:rPr>
                <w:rFonts w:ascii="Times New Roman" w:hAnsi="Times New Roman"/>
                <w:i/>
                <w:iCs/>
                <w:sz w:val="21"/>
                <w:szCs w:val="21"/>
                <w:lang w:val="en-US"/>
              </w:rPr>
              <w:t xml:space="preserve">, Dalbergia melanoxylon, Balanites </w:t>
            </w:r>
            <w:proofErr w:type="spellStart"/>
            <w:r w:rsidRPr="007C5A6E">
              <w:rPr>
                <w:rFonts w:ascii="Times New Roman" w:hAnsi="Times New Roman"/>
                <w:i/>
                <w:iCs/>
                <w:sz w:val="21"/>
                <w:szCs w:val="21"/>
                <w:lang w:val="en-US"/>
              </w:rPr>
              <w:t>aegyptiaca</w:t>
            </w:r>
            <w:proofErr w:type="spellEnd"/>
            <w:r w:rsidRPr="007C5A6E">
              <w:rPr>
                <w:rFonts w:ascii="Times New Roman" w:hAnsi="Times New Roman"/>
                <w:i/>
                <w:iCs/>
                <w:sz w:val="21"/>
                <w:szCs w:val="21"/>
                <w:lang w:val="en-US"/>
              </w:rPr>
              <w:t xml:space="preserve"> </w:t>
            </w:r>
          </w:p>
        </w:tc>
      </w:tr>
      <w:tr w:rsidR="007C3497" w:rsidRPr="007C5A6E" w14:paraId="69491EE4" w14:textId="77777777" w:rsidTr="00593390">
        <w:tc>
          <w:tcPr>
            <w:tcW w:w="2182" w:type="dxa"/>
          </w:tcPr>
          <w:p w14:paraId="6C77264D"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Steppes arbustives et herbeuses</w:t>
            </w:r>
          </w:p>
        </w:tc>
        <w:tc>
          <w:tcPr>
            <w:tcW w:w="1924" w:type="dxa"/>
          </w:tcPr>
          <w:p w14:paraId="32055328"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 xml:space="preserve">Sahel </w:t>
            </w:r>
          </w:p>
        </w:tc>
        <w:tc>
          <w:tcPr>
            <w:tcW w:w="1559" w:type="dxa"/>
            <w:gridSpan w:val="2"/>
          </w:tcPr>
          <w:p w14:paraId="1153F0B0"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300-400</w:t>
            </w:r>
          </w:p>
        </w:tc>
        <w:tc>
          <w:tcPr>
            <w:tcW w:w="3422" w:type="dxa"/>
          </w:tcPr>
          <w:p w14:paraId="5C454A88" w14:textId="77777777" w:rsidR="007C3497" w:rsidRPr="007C5A6E" w:rsidRDefault="007C3497" w:rsidP="007C3497">
            <w:pPr>
              <w:spacing w:after="0" w:line="240" w:lineRule="auto"/>
              <w:rPr>
                <w:rFonts w:ascii="Times New Roman" w:hAnsi="Times New Roman"/>
                <w:i/>
                <w:iCs/>
                <w:sz w:val="21"/>
                <w:szCs w:val="21"/>
              </w:rPr>
            </w:pPr>
            <w:proofErr w:type="spellStart"/>
            <w:r w:rsidRPr="007C5A6E">
              <w:rPr>
                <w:rFonts w:ascii="Times New Roman" w:hAnsi="Times New Roman"/>
                <w:i/>
                <w:iCs/>
                <w:sz w:val="21"/>
                <w:szCs w:val="21"/>
              </w:rPr>
              <w:t>Schoenefeldia</w:t>
            </w:r>
            <w:proofErr w:type="spellEnd"/>
            <w:r w:rsidRPr="007C5A6E">
              <w:rPr>
                <w:rFonts w:ascii="Times New Roman" w:hAnsi="Times New Roman"/>
                <w:i/>
                <w:iCs/>
                <w:sz w:val="21"/>
                <w:szCs w:val="21"/>
              </w:rPr>
              <w:t xml:space="preserve"> gracias, </w:t>
            </w:r>
            <w:proofErr w:type="spellStart"/>
            <w:r w:rsidRPr="007C5A6E">
              <w:rPr>
                <w:rFonts w:ascii="Times New Roman" w:hAnsi="Times New Roman"/>
                <w:i/>
                <w:iCs/>
                <w:sz w:val="21"/>
                <w:szCs w:val="21"/>
              </w:rPr>
              <w:t>Zornia</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glochidiata</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Cenchrus</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biflorus</w:t>
            </w:r>
            <w:proofErr w:type="spellEnd"/>
          </w:p>
        </w:tc>
      </w:tr>
      <w:tr w:rsidR="007C3497" w:rsidRPr="007C5A6E" w14:paraId="20222347" w14:textId="77777777" w:rsidTr="00593390">
        <w:tc>
          <w:tcPr>
            <w:tcW w:w="2182" w:type="dxa"/>
          </w:tcPr>
          <w:p w14:paraId="353308B7"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 xml:space="preserve">Brousse tigrée </w:t>
            </w:r>
          </w:p>
        </w:tc>
        <w:tc>
          <w:tcPr>
            <w:tcW w:w="1924" w:type="dxa"/>
          </w:tcPr>
          <w:p w14:paraId="01E21FF0"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 xml:space="preserve">Sahel </w:t>
            </w:r>
          </w:p>
        </w:tc>
        <w:tc>
          <w:tcPr>
            <w:tcW w:w="1559" w:type="dxa"/>
            <w:gridSpan w:val="2"/>
          </w:tcPr>
          <w:p w14:paraId="5AEFEA4A" w14:textId="77777777" w:rsidR="007C3497" w:rsidRPr="007C5A6E" w:rsidRDefault="007C3497" w:rsidP="007C3497">
            <w:pPr>
              <w:spacing w:after="0" w:line="240" w:lineRule="auto"/>
              <w:rPr>
                <w:rFonts w:ascii="Times New Roman" w:hAnsi="Times New Roman"/>
                <w:sz w:val="21"/>
                <w:szCs w:val="21"/>
              </w:rPr>
            </w:pPr>
            <w:r w:rsidRPr="007C5A6E">
              <w:rPr>
                <w:rFonts w:ascii="Times New Roman" w:hAnsi="Times New Roman"/>
                <w:sz w:val="21"/>
                <w:szCs w:val="21"/>
              </w:rPr>
              <w:t xml:space="preserve">300-400 </w:t>
            </w:r>
          </w:p>
        </w:tc>
        <w:tc>
          <w:tcPr>
            <w:tcW w:w="3422" w:type="dxa"/>
          </w:tcPr>
          <w:p w14:paraId="40FC0A40" w14:textId="77777777" w:rsidR="007C3497" w:rsidRPr="007C5A6E" w:rsidRDefault="007C3497" w:rsidP="007C3497">
            <w:pPr>
              <w:spacing w:after="0" w:line="240" w:lineRule="auto"/>
              <w:rPr>
                <w:rFonts w:ascii="Times New Roman" w:hAnsi="Times New Roman"/>
                <w:i/>
                <w:iCs/>
                <w:sz w:val="21"/>
                <w:szCs w:val="21"/>
              </w:rPr>
            </w:pPr>
            <w:r w:rsidRPr="007C5A6E">
              <w:rPr>
                <w:rFonts w:ascii="Times New Roman" w:hAnsi="Times New Roman"/>
                <w:i/>
                <w:iCs/>
                <w:sz w:val="21"/>
                <w:szCs w:val="21"/>
              </w:rPr>
              <w:t xml:space="preserve">Bauhinia </w:t>
            </w:r>
            <w:proofErr w:type="spellStart"/>
            <w:r w:rsidRPr="007C5A6E">
              <w:rPr>
                <w:rFonts w:ascii="Times New Roman" w:hAnsi="Times New Roman"/>
                <w:i/>
                <w:iCs/>
                <w:sz w:val="21"/>
                <w:szCs w:val="21"/>
              </w:rPr>
              <w:t>rufescens</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Guiera</w:t>
            </w:r>
            <w:proofErr w:type="spellEnd"/>
            <w:r w:rsidRPr="007C5A6E">
              <w:rPr>
                <w:rFonts w:ascii="Times New Roman" w:hAnsi="Times New Roman"/>
                <w:i/>
                <w:iCs/>
                <w:sz w:val="21"/>
                <w:szCs w:val="21"/>
              </w:rPr>
              <w:t xml:space="preserve"> senegalensis, </w:t>
            </w:r>
            <w:proofErr w:type="spellStart"/>
            <w:r w:rsidRPr="007C5A6E">
              <w:rPr>
                <w:rFonts w:ascii="Times New Roman" w:hAnsi="Times New Roman"/>
                <w:i/>
                <w:iCs/>
                <w:sz w:val="21"/>
                <w:szCs w:val="21"/>
              </w:rPr>
              <w:t>Boscia</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angustifolia</w:t>
            </w:r>
            <w:proofErr w:type="spellEnd"/>
            <w:r w:rsidRPr="007C5A6E">
              <w:rPr>
                <w:rFonts w:ascii="Times New Roman" w:hAnsi="Times New Roman"/>
                <w:i/>
                <w:iCs/>
                <w:sz w:val="21"/>
                <w:szCs w:val="21"/>
              </w:rPr>
              <w:t xml:space="preserve">, </w:t>
            </w:r>
            <w:proofErr w:type="spellStart"/>
            <w:r w:rsidRPr="007C5A6E">
              <w:rPr>
                <w:rFonts w:ascii="Times New Roman" w:hAnsi="Times New Roman"/>
                <w:i/>
                <w:iCs/>
                <w:sz w:val="21"/>
                <w:szCs w:val="21"/>
              </w:rPr>
              <w:t>Boscia</w:t>
            </w:r>
            <w:proofErr w:type="spellEnd"/>
            <w:r w:rsidRPr="007C5A6E">
              <w:rPr>
                <w:rFonts w:ascii="Times New Roman" w:hAnsi="Times New Roman"/>
                <w:i/>
                <w:iCs/>
                <w:sz w:val="21"/>
                <w:szCs w:val="21"/>
              </w:rPr>
              <w:t xml:space="preserve"> senegalensis</w:t>
            </w:r>
          </w:p>
        </w:tc>
      </w:tr>
    </w:tbl>
    <w:p w14:paraId="58B00F17" w14:textId="5DF61A46" w:rsidR="007C3497" w:rsidRPr="007C5A6E" w:rsidRDefault="00CC5D3A" w:rsidP="007C3497">
      <w:pPr>
        <w:spacing w:after="0" w:line="240" w:lineRule="auto"/>
        <w:jc w:val="both"/>
        <w:rPr>
          <w:rFonts w:ascii="Times New Roman" w:hAnsi="Times New Roman"/>
          <w:sz w:val="20"/>
          <w:szCs w:val="20"/>
        </w:rPr>
      </w:pPr>
      <w:r w:rsidRPr="007C5A6E">
        <w:rPr>
          <w:rFonts w:ascii="Times New Roman" w:hAnsi="Times New Roman"/>
          <w:sz w:val="20"/>
          <w:szCs w:val="20"/>
        </w:rPr>
        <w:t>(Source : MEEVCC, 2020)</w:t>
      </w:r>
    </w:p>
    <w:p w14:paraId="7C90A9F0" w14:textId="77777777" w:rsidR="00CC5D3A" w:rsidRPr="007C5A6E" w:rsidRDefault="00CC5D3A" w:rsidP="007C3497">
      <w:pPr>
        <w:spacing w:after="0" w:line="240" w:lineRule="auto"/>
        <w:jc w:val="both"/>
        <w:rPr>
          <w:rFonts w:ascii="Times New Roman" w:hAnsi="Times New Roman"/>
          <w:sz w:val="24"/>
          <w:szCs w:val="24"/>
        </w:rPr>
      </w:pPr>
    </w:p>
    <w:p w14:paraId="753FDD50" w14:textId="77777777" w:rsidR="007C3497" w:rsidRPr="007C5A6E" w:rsidRDefault="007C3497" w:rsidP="00684FF8">
      <w:pPr>
        <w:pStyle w:val="Titre4"/>
      </w:pPr>
      <w:r w:rsidRPr="007C5A6E">
        <w:t xml:space="preserve"> </w:t>
      </w:r>
      <w:bookmarkStart w:id="1105" w:name="_Toc182575451"/>
      <w:bookmarkStart w:id="1106" w:name="_Toc183340238"/>
      <w:r w:rsidRPr="007C5A6E">
        <w:t>Les écosystèmes spécifiques</w:t>
      </w:r>
      <w:bookmarkEnd w:id="1105"/>
      <w:bookmarkEnd w:id="1106"/>
    </w:p>
    <w:p w14:paraId="2E1A3ED9" w14:textId="77777777" w:rsidR="007C3497" w:rsidRPr="007C5A6E" w:rsidRDefault="007C3497" w:rsidP="007C3497">
      <w:pPr>
        <w:spacing w:after="0" w:line="240" w:lineRule="auto"/>
        <w:jc w:val="both"/>
        <w:rPr>
          <w:rFonts w:ascii="Times New Roman" w:hAnsi="Times New Roman"/>
          <w:sz w:val="24"/>
          <w:szCs w:val="24"/>
        </w:rPr>
      </w:pPr>
    </w:p>
    <w:p w14:paraId="3FE9DD2E" w14:textId="52908744" w:rsidR="007C3497" w:rsidRPr="007C5A6E" w:rsidRDefault="007C3497" w:rsidP="007C3497">
      <w:pPr>
        <w:spacing w:after="0" w:line="240" w:lineRule="auto"/>
        <w:jc w:val="both"/>
        <w:rPr>
          <w:rFonts w:ascii="Times New Roman" w:hAnsi="Times New Roman"/>
          <w:sz w:val="24"/>
          <w:szCs w:val="24"/>
        </w:rPr>
      </w:pPr>
      <w:r w:rsidRPr="007C5A6E">
        <w:rPr>
          <w:rFonts w:ascii="Times New Roman" w:hAnsi="Times New Roman"/>
          <w:sz w:val="24"/>
          <w:szCs w:val="24"/>
        </w:rPr>
        <w:t xml:space="preserve">Le paysage national se caractérise par plusieurs types d’écosystèmes qui sont principalement la résultante des effets du relief, du climat et de l’utilisation des terres (Figure </w:t>
      </w:r>
      <w:r w:rsidR="00593390" w:rsidRPr="007C5A6E">
        <w:rPr>
          <w:rFonts w:ascii="Times New Roman" w:hAnsi="Times New Roman"/>
          <w:sz w:val="24"/>
          <w:szCs w:val="24"/>
        </w:rPr>
        <w:t>68</w:t>
      </w:r>
      <w:r w:rsidRPr="007C5A6E">
        <w:rPr>
          <w:rFonts w:ascii="Times New Roman" w:hAnsi="Times New Roman"/>
          <w:sz w:val="24"/>
          <w:szCs w:val="24"/>
        </w:rPr>
        <w:t xml:space="preserve">). </w:t>
      </w:r>
    </w:p>
    <w:p w14:paraId="09D6F918" w14:textId="77777777" w:rsidR="007C3497" w:rsidRPr="007C5A6E" w:rsidRDefault="007C3497" w:rsidP="007C3497">
      <w:pPr>
        <w:spacing w:after="0" w:line="240" w:lineRule="auto"/>
        <w:jc w:val="both"/>
        <w:rPr>
          <w:rFonts w:ascii="Times New Roman" w:hAnsi="Times New Roman"/>
          <w:sz w:val="24"/>
          <w:szCs w:val="24"/>
        </w:rPr>
      </w:pPr>
    </w:p>
    <w:p w14:paraId="171EB6DB" w14:textId="77777777" w:rsidR="007C3497" w:rsidRPr="007C5A6E" w:rsidRDefault="007C3497" w:rsidP="007C3497">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7EC6C395" wp14:editId="5CCCF722">
            <wp:extent cx="5760720" cy="2933529"/>
            <wp:effectExtent l="0" t="0" r="0" b="635"/>
            <wp:docPr id="1062438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43804" name=""/>
                    <pic:cNvPicPr/>
                  </pic:nvPicPr>
                  <pic:blipFill>
                    <a:blip r:embed="rId163" cstate="email">
                      <a:extLst>
                        <a:ext uri="{28A0092B-C50C-407E-A947-70E740481C1C}">
                          <a14:useLocalDpi xmlns:a14="http://schemas.microsoft.com/office/drawing/2010/main"/>
                        </a:ext>
                      </a:extLst>
                    </a:blip>
                    <a:stretch>
                      <a:fillRect/>
                    </a:stretch>
                  </pic:blipFill>
                  <pic:spPr>
                    <a:xfrm>
                      <a:off x="0" y="0"/>
                      <a:ext cx="5792933" cy="2949933"/>
                    </a:xfrm>
                    <a:prstGeom prst="rect">
                      <a:avLst/>
                    </a:prstGeom>
                  </pic:spPr>
                </pic:pic>
              </a:graphicData>
            </a:graphic>
          </wp:inline>
        </w:drawing>
      </w:r>
    </w:p>
    <w:p w14:paraId="1656529A" w14:textId="678AF302" w:rsidR="00593390" w:rsidRPr="007C5A6E" w:rsidRDefault="00DE6A43" w:rsidP="00593390">
      <w:pPr>
        <w:spacing w:after="0" w:line="240" w:lineRule="auto"/>
        <w:jc w:val="both"/>
        <w:rPr>
          <w:rFonts w:ascii="Times New Roman" w:hAnsi="Times New Roman"/>
          <w:sz w:val="20"/>
          <w:szCs w:val="20"/>
        </w:rPr>
      </w:pPr>
      <w:bookmarkStart w:id="1107" w:name="_Toc182575483"/>
      <w:r w:rsidRPr="007C5A6E">
        <w:rPr>
          <w:rFonts w:ascii="Times New Roman" w:hAnsi="Times New Roman"/>
          <w:sz w:val="20"/>
          <w:szCs w:val="20"/>
        </w:rPr>
        <w:t>(</w:t>
      </w:r>
      <w:r w:rsidR="00593390" w:rsidRPr="007C5A6E">
        <w:rPr>
          <w:rFonts w:ascii="Times New Roman" w:hAnsi="Times New Roman"/>
          <w:sz w:val="20"/>
          <w:szCs w:val="20"/>
        </w:rPr>
        <w:t>Source : https://lcviewer.vito.be/2019/Burkina%20Faso) 04 09 2024 à 8h49</w:t>
      </w:r>
      <w:r w:rsidRPr="007C5A6E">
        <w:rPr>
          <w:rFonts w:ascii="Times New Roman" w:hAnsi="Times New Roman"/>
          <w:sz w:val="20"/>
          <w:szCs w:val="20"/>
        </w:rPr>
        <w:t>)</w:t>
      </w:r>
    </w:p>
    <w:p w14:paraId="1059BEB0" w14:textId="36BD661C" w:rsidR="007C3497" w:rsidRPr="007C5A6E" w:rsidRDefault="00593390" w:rsidP="00593390">
      <w:pPr>
        <w:pStyle w:val="Lgende"/>
        <w:spacing w:after="0"/>
        <w:rPr>
          <w:rFonts w:ascii="Times New Roman" w:hAnsi="Times New Roman"/>
          <w:color w:val="auto"/>
          <w:sz w:val="24"/>
          <w:szCs w:val="24"/>
        </w:rPr>
      </w:pPr>
      <w:bookmarkStart w:id="1108" w:name="_Toc183230915"/>
      <w:bookmarkStart w:id="1109" w:name="_Toc183240708"/>
      <w:bookmarkStart w:id="1110" w:name="_Toc183340447"/>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DE6A43" w:rsidRPr="007C5A6E">
        <w:rPr>
          <w:rFonts w:ascii="Times New Roman" w:hAnsi="Times New Roman"/>
          <w:noProof/>
          <w:color w:val="auto"/>
          <w:sz w:val="24"/>
          <w:szCs w:val="24"/>
        </w:rPr>
        <w:t>68</w:t>
      </w:r>
      <w:r w:rsidRPr="007C5A6E">
        <w:rPr>
          <w:rFonts w:ascii="Times New Roman" w:hAnsi="Times New Roman"/>
          <w:color w:val="auto"/>
          <w:sz w:val="24"/>
          <w:szCs w:val="24"/>
        </w:rPr>
        <w:fldChar w:fldCharType="end"/>
      </w:r>
      <w:r w:rsidR="00DE6A43" w:rsidRPr="007C5A6E">
        <w:rPr>
          <w:rFonts w:ascii="Times New Roman" w:hAnsi="Times New Roman"/>
          <w:color w:val="auto"/>
          <w:sz w:val="24"/>
          <w:szCs w:val="24"/>
        </w:rPr>
        <w:t>.</w:t>
      </w:r>
      <w:r w:rsidR="007C3497" w:rsidRPr="007C5A6E">
        <w:rPr>
          <w:rFonts w:ascii="Times New Roman" w:hAnsi="Times New Roman"/>
          <w:color w:val="auto"/>
          <w:sz w:val="24"/>
          <w:szCs w:val="24"/>
        </w:rPr>
        <w:t xml:space="preserve"> Utilisation des terres au Burkina Faso 2019</w:t>
      </w:r>
      <w:bookmarkEnd w:id="1107"/>
      <w:bookmarkEnd w:id="1108"/>
      <w:bookmarkEnd w:id="1109"/>
      <w:bookmarkEnd w:id="1110"/>
    </w:p>
    <w:p w14:paraId="1DC8D599" w14:textId="77777777" w:rsidR="007C3497" w:rsidRPr="007C5A6E" w:rsidRDefault="007C3497" w:rsidP="007C3497">
      <w:pPr>
        <w:spacing w:after="0" w:line="240" w:lineRule="auto"/>
        <w:jc w:val="both"/>
        <w:rPr>
          <w:rFonts w:ascii="Times New Roman" w:hAnsi="Times New Roman"/>
          <w:sz w:val="24"/>
          <w:szCs w:val="24"/>
        </w:rPr>
      </w:pPr>
    </w:p>
    <w:p w14:paraId="3CB70D99" w14:textId="77777777" w:rsidR="007C3497" w:rsidRPr="007C5A6E" w:rsidRDefault="007C3497" w:rsidP="007C3497">
      <w:pPr>
        <w:spacing w:after="0" w:line="240" w:lineRule="auto"/>
        <w:jc w:val="both"/>
        <w:rPr>
          <w:rFonts w:ascii="Times New Roman" w:hAnsi="Times New Roman"/>
          <w:sz w:val="24"/>
          <w:szCs w:val="24"/>
        </w:rPr>
      </w:pPr>
      <w:r w:rsidRPr="007C5A6E">
        <w:rPr>
          <w:rFonts w:ascii="Times New Roman" w:hAnsi="Times New Roman"/>
          <w:sz w:val="24"/>
          <w:szCs w:val="24"/>
        </w:rPr>
        <w:t>L’on distingue (MEEVCC, 2020) :</w:t>
      </w:r>
    </w:p>
    <w:p w14:paraId="55917734" w14:textId="77777777" w:rsidR="007C3497" w:rsidRPr="007C5A6E" w:rsidRDefault="007C3497" w:rsidP="003F3821">
      <w:pPr>
        <w:numPr>
          <w:ilvl w:val="0"/>
          <w:numId w:val="36"/>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u w:val="single"/>
        </w:rPr>
        <w:t>Les îlots de forêts denses sèches</w:t>
      </w:r>
      <w:r w:rsidRPr="007C5A6E">
        <w:rPr>
          <w:rFonts w:ascii="Times New Roman" w:hAnsi="Times New Roman"/>
          <w:sz w:val="24"/>
          <w:szCs w:val="24"/>
        </w:rPr>
        <w:t xml:space="preserve"> dont les peuplements sont principalement localisés dans les Aires Protégées des régions les plus humides du pays et quelques montagnes gréseuses. Ce sont les formations végétales les plus denses avec environ 1000 arbres ou arbustes/ha et une surface terrière de 38 m2/ha ; hauteur moyenne des arbres 16 m avec un taux de recouvrement de 97 voire 100 %. Les espèces ligneuses caractéristiques de ces formations sont </w:t>
      </w:r>
      <w:proofErr w:type="spellStart"/>
      <w:r w:rsidRPr="007C5A6E">
        <w:rPr>
          <w:rFonts w:ascii="Times New Roman" w:hAnsi="Times New Roman"/>
          <w:i/>
          <w:iCs/>
          <w:sz w:val="24"/>
          <w:szCs w:val="24"/>
        </w:rPr>
        <w:t>Guibourtia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copallifera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Gardenia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nitida</w:t>
      </w:r>
      <w:proofErr w:type="spellEnd"/>
      <w:r w:rsidRPr="007C5A6E">
        <w:rPr>
          <w:rFonts w:ascii="Times New Roman" w:hAnsi="Times New Roman"/>
          <w:i/>
          <w:iCs/>
          <w:sz w:val="24"/>
          <w:szCs w:val="24"/>
        </w:rPr>
        <w:t xml:space="preserve">, Strychnos </w:t>
      </w:r>
      <w:proofErr w:type="spellStart"/>
      <w:r w:rsidRPr="007C5A6E">
        <w:rPr>
          <w:rFonts w:ascii="Times New Roman" w:hAnsi="Times New Roman"/>
          <w:i/>
          <w:iCs/>
          <w:sz w:val="24"/>
          <w:szCs w:val="24"/>
        </w:rPr>
        <w:t>usambarensis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Alafia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scandens</w:t>
      </w:r>
      <w:proofErr w:type="spellEnd"/>
      <w:r w:rsidRPr="007C5A6E">
        <w:rPr>
          <w:rFonts w:ascii="Times New Roman" w:hAnsi="Times New Roman"/>
          <w:i/>
          <w:iCs/>
          <w:sz w:val="24"/>
          <w:szCs w:val="24"/>
        </w:rPr>
        <w:t xml:space="preserve">, Landolphia </w:t>
      </w:r>
      <w:proofErr w:type="spellStart"/>
      <w:r w:rsidRPr="007C5A6E">
        <w:rPr>
          <w:rFonts w:ascii="Times New Roman" w:hAnsi="Times New Roman"/>
          <w:i/>
          <w:iCs/>
          <w:sz w:val="24"/>
          <w:szCs w:val="24"/>
        </w:rPr>
        <w:t>hirsuta</w:t>
      </w:r>
      <w:proofErr w:type="spellEnd"/>
      <w:r w:rsidRPr="007C5A6E">
        <w:rPr>
          <w:rFonts w:ascii="Times New Roman" w:hAnsi="Times New Roman"/>
          <w:i/>
          <w:iCs/>
          <w:sz w:val="24"/>
          <w:szCs w:val="24"/>
        </w:rPr>
        <w:t xml:space="preserve">, Dalbergia </w:t>
      </w:r>
      <w:proofErr w:type="spellStart"/>
      <w:r w:rsidRPr="007C5A6E">
        <w:rPr>
          <w:rFonts w:ascii="Times New Roman" w:hAnsi="Times New Roman"/>
          <w:i/>
          <w:iCs/>
          <w:sz w:val="24"/>
          <w:szCs w:val="24"/>
        </w:rPr>
        <w:t>hostilis</w:t>
      </w:r>
      <w:proofErr w:type="spellEnd"/>
      <w:r w:rsidRPr="007C5A6E">
        <w:rPr>
          <w:rFonts w:ascii="Times New Roman" w:hAnsi="Times New Roman"/>
          <w:i/>
          <w:iCs/>
          <w:sz w:val="24"/>
          <w:szCs w:val="24"/>
        </w:rPr>
        <w:t xml:space="preserve">, Salacia </w:t>
      </w:r>
      <w:proofErr w:type="spellStart"/>
      <w:r w:rsidRPr="007C5A6E">
        <w:rPr>
          <w:rFonts w:ascii="Times New Roman" w:hAnsi="Times New Roman"/>
          <w:i/>
          <w:iCs/>
          <w:sz w:val="24"/>
          <w:szCs w:val="24"/>
        </w:rPr>
        <w:t>pallescens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Strophanthus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sarmentosus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Ceiba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pentandra</w:t>
      </w:r>
      <w:proofErr w:type="spellEnd"/>
      <w:r w:rsidRPr="007C5A6E">
        <w:rPr>
          <w:rFonts w:ascii="Times New Roman" w:hAnsi="Times New Roman"/>
          <w:i/>
          <w:iCs/>
          <w:sz w:val="24"/>
          <w:szCs w:val="24"/>
        </w:rPr>
        <w:t xml:space="preserve"> et </w:t>
      </w:r>
      <w:proofErr w:type="spellStart"/>
      <w:r w:rsidRPr="007C5A6E">
        <w:rPr>
          <w:rFonts w:ascii="Times New Roman" w:hAnsi="Times New Roman"/>
          <w:i/>
          <w:iCs/>
          <w:sz w:val="24"/>
          <w:szCs w:val="24"/>
        </w:rPr>
        <w:t>Mallotus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oppositifolia</w:t>
      </w:r>
      <w:proofErr w:type="spellEnd"/>
      <w:r w:rsidRPr="007C5A6E">
        <w:rPr>
          <w:rFonts w:ascii="Times New Roman" w:hAnsi="Times New Roman"/>
          <w:sz w:val="24"/>
          <w:szCs w:val="24"/>
        </w:rPr>
        <w:t xml:space="preserve"> ; Les herbacées les plus caractéristiques concernent </w:t>
      </w:r>
      <w:proofErr w:type="spellStart"/>
      <w:r w:rsidRPr="007C5A6E">
        <w:rPr>
          <w:rFonts w:ascii="Times New Roman" w:hAnsi="Times New Roman"/>
          <w:i/>
          <w:iCs/>
          <w:sz w:val="24"/>
          <w:szCs w:val="24"/>
        </w:rPr>
        <w:t>Cissus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petiolata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Commelina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africana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Commelina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subulata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Cyathula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prostrata</w:t>
      </w:r>
      <w:proofErr w:type="spellEnd"/>
      <w:r w:rsidRPr="007C5A6E">
        <w:rPr>
          <w:rFonts w:ascii="Times New Roman" w:hAnsi="Times New Roman"/>
          <w:i/>
          <w:iCs/>
          <w:sz w:val="24"/>
          <w:szCs w:val="24"/>
        </w:rPr>
        <w:t xml:space="preserve">, Cyperus </w:t>
      </w:r>
      <w:proofErr w:type="spellStart"/>
      <w:r w:rsidRPr="007C5A6E">
        <w:rPr>
          <w:rFonts w:ascii="Times New Roman" w:hAnsi="Times New Roman"/>
          <w:i/>
          <w:iCs/>
          <w:sz w:val="24"/>
          <w:szCs w:val="24"/>
        </w:rPr>
        <w:t>diffusus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Doryopteris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kirkii</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Elytraria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marginata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Malaxis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chevalieri</w:t>
      </w:r>
      <w:proofErr w:type="spellEnd"/>
      <w:r w:rsidRPr="007C5A6E">
        <w:rPr>
          <w:rFonts w:ascii="Times New Roman" w:hAnsi="Times New Roman"/>
          <w:i/>
          <w:iCs/>
          <w:sz w:val="24"/>
          <w:szCs w:val="24"/>
        </w:rPr>
        <w:t xml:space="preserve">, Hibiscus </w:t>
      </w:r>
      <w:proofErr w:type="spellStart"/>
      <w:r w:rsidRPr="007C5A6E">
        <w:rPr>
          <w:rFonts w:ascii="Times New Roman" w:hAnsi="Times New Roman"/>
          <w:i/>
          <w:iCs/>
          <w:sz w:val="24"/>
          <w:szCs w:val="24"/>
        </w:rPr>
        <w:t>surattensis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Oplismenus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hirtellus</w:t>
      </w:r>
      <w:proofErr w:type="spellEnd"/>
      <w:r w:rsidRPr="007C5A6E">
        <w:rPr>
          <w:rFonts w:ascii="Times New Roman" w:hAnsi="Times New Roman"/>
          <w:i/>
          <w:iCs/>
          <w:sz w:val="24"/>
          <w:szCs w:val="24"/>
        </w:rPr>
        <w:t xml:space="preserve"> et </w:t>
      </w:r>
      <w:proofErr w:type="spellStart"/>
      <w:r w:rsidRPr="007C5A6E">
        <w:rPr>
          <w:rFonts w:ascii="Times New Roman" w:hAnsi="Times New Roman"/>
          <w:i/>
          <w:iCs/>
          <w:sz w:val="24"/>
          <w:szCs w:val="24"/>
        </w:rPr>
        <w:t>Pouzolzia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guineensis</w:t>
      </w:r>
      <w:proofErr w:type="spellEnd"/>
      <w:r w:rsidRPr="007C5A6E">
        <w:rPr>
          <w:rFonts w:ascii="Times New Roman" w:hAnsi="Times New Roman"/>
          <w:sz w:val="24"/>
          <w:szCs w:val="24"/>
        </w:rPr>
        <w:t xml:space="preserve">. </w:t>
      </w:r>
    </w:p>
    <w:p w14:paraId="4896F0D0" w14:textId="77777777" w:rsidR="007C3497" w:rsidRPr="007C5A6E" w:rsidRDefault="007C3497" w:rsidP="007C3497">
      <w:pPr>
        <w:spacing w:after="0" w:line="240" w:lineRule="auto"/>
        <w:ind w:left="720"/>
        <w:contextualSpacing/>
        <w:jc w:val="both"/>
        <w:rPr>
          <w:rFonts w:ascii="Times New Roman" w:hAnsi="Times New Roman"/>
          <w:sz w:val="24"/>
          <w:szCs w:val="24"/>
        </w:rPr>
      </w:pPr>
    </w:p>
    <w:p w14:paraId="61A13D1E" w14:textId="77777777" w:rsidR="007C3497" w:rsidRPr="007C5A6E" w:rsidRDefault="007C3497" w:rsidP="003F3821">
      <w:pPr>
        <w:numPr>
          <w:ilvl w:val="0"/>
          <w:numId w:val="36"/>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u w:val="single"/>
        </w:rPr>
        <w:t>Les forêts claires</w:t>
      </w:r>
      <w:r w:rsidRPr="007C5A6E">
        <w:rPr>
          <w:rFonts w:ascii="Times New Roman" w:hAnsi="Times New Roman"/>
          <w:sz w:val="24"/>
          <w:szCs w:val="24"/>
        </w:rPr>
        <w:t>, sont rencontrées dans le secteur soudanien</w:t>
      </w:r>
      <w:r w:rsidRPr="007C5A6E">
        <w:rPr>
          <w:rFonts w:ascii="Times New Roman" w:hAnsi="Times New Roman"/>
          <w:sz w:val="24"/>
          <w:szCs w:val="24"/>
          <w:vertAlign w:val="superscript"/>
        </w:rPr>
        <w:footnoteReference w:id="19"/>
      </w:r>
      <w:r w:rsidRPr="007C5A6E">
        <w:rPr>
          <w:rFonts w:ascii="Times New Roman" w:hAnsi="Times New Roman"/>
          <w:sz w:val="24"/>
          <w:szCs w:val="24"/>
        </w:rPr>
        <w:t xml:space="preserve"> et confinées essentiellement dans les aires protégées et bois sacrés. Ce sont des peuplements ouverts d’arbres présentant, en moyenne 556 arbres/ha avec une surface terrière de 22 m²/ha et un volume moyen de bois atteignant 28 m3/ha. La densité des juvéniles est très hétérogène et varie entre 1 890 et 16 600 individus/</w:t>
      </w:r>
      <w:proofErr w:type="gramStart"/>
      <w:r w:rsidRPr="007C5A6E">
        <w:rPr>
          <w:rFonts w:ascii="Times New Roman" w:hAnsi="Times New Roman"/>
          <w:sz w:val="24"/>
          <w:szCs w:val="24"/>
        </w:rPr>
        <w:t>ha;</w:t>
      </w:r>
      <w:proofErr w:type="gramEnd"/>
      <w:r w:rsidRPr="007C5A6E">
        <w:rPr>
          <w:rFonts w:ascii="Times New Roman" w:hAnsi="Times New Roman"/>
          <w:sz w:val="24"/>
          <w:szCs w:val="24"/>
        </w:rPr>
        <w:t xml:space="preserve"> le taux de recouvrement supérieur à 50 % ; La hauteur moyenne des arbres peut atteindre 14 m. Les espèces dominantes sont </w:t>
      </w:r>
      <w:proofErr w:type="spellStart"/>
      <w:r w:rsidRPr="007C5A6E">
        <w:rPr>
          <w:rFonts w:ascii="Times New Roman" w:hAnsi="Times New Roman"/>
          <w:i/>
          <w:iCs/>
          <w:sz w:val="24"/>
          <w:szCs w:val="24"/>
        </w:rPr>
        <w:t>Anogeissus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leiocarpa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Isoberlinia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doka</w:t>
      </w:r>
      <w:proofErr w:type="spellEnd"/>
      <w:r w:rsidRPr="007C5A6E">
        <w:rPr>
          <w:rFonts w:ascii="Times New Roman" w:hAnsi="Times New Roman"/>
          <w:i/>
          <w:iCs/>
          <w:sz w:val="24"/>
          <w:szCs w:val="24"/>
        </w:rPr>
        <w:t xml:space="preserve">, Pterocarpus erinaceus, </w:t>
      </w:r>
      <w:proofErr w:type="spellStart"/>
      <w:r w:rsidRPr="007C5A6E">
        <w:rPr>
          <w:rFonts w:ascii="Times New Roman" w:hAnsi="Times New Roman"/>
          <w:i/>
          <w:iCs/>
          <w:sz w:val="24"/>
          <w:szCs w:val="24"/>
        </w:rPr>
        <w:t>Afzelia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africana</w:t>
      </w:r>
      <w:proofErr w:type="spellEnd"/>
      <w:r w:rsidRPr="007C5A6E">
        <w:rPr>
          <w:rFonts w:ascii="Times New Roman" w:hAnsi="Times New Roman"/>
          <w:i/>
          <w:iCs/>
          <w:sz w:val="24"/>
          <w:szCs w:val="24"/>
        </w:rPr>
        <w:t xml:space="preserve">, Cola </w:t>
      </w:r>
      <w:proofErr w:type="spellStart"/>
      <w:r w:rsidRPr="007C5A6E">
        <w:rPr>
          <w:rFonts w:ascii="Times New Roman" w:hAnsi="Times New Roman"/>
          <w:i/>
          <w:iCs/>
          <w:sz w:val="24"/>
          <w:szCs w:val="24"/>
        </w:rPr>
        <w:t>cordifolia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Khaya</w:t>
      </w:r>
      <w:proofErr w:type="spellEnd"/>
      <w:r w:rsidRPr="007C5A6E">
        <w:rPr>
          <w:rFonts w:ascii="Times New Roman" w:hAnsi="Times New Roman"/>
          <w:i/>
          <w:iCs/>
          <w:sz w:val="24"/>
          <w:szCs w:val="24"/>
        </w:rPr>
        <w:t xml:space="preserve"> senegalensis, </w:t>
      </w:r>
      <w:proofErr w:type="spellStart"/>
      <w:r w:rsidRPr="007C5A6E">
        <w:rPr>
          <w:rFonts w:ascii="Times New Roman" w:hAnsi="Times New Roman"/>
          <w:i/>
          <w:iCs/>
          <w:sz w:val="24"/>
          <w:szCs w:val="24"/>
        </w:rPr>
        <w:t>Diospyros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mespiliformis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Mitragyna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inermis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Tamarindus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indica</w:t>
      </w:r>
      <w:proofErr w:type="spellEnd"/>
      <w:r w:rsidRPr="007C5A6E">
        <w:rPr>
          <w:rFonts w:ascii="Times New Roman" w:hAnsi="Times New Roman"/>
          <w:sz w:val="24"/>
          <w:szCs w:val="24"/>
        </w:rPr>
        <w:t xml:space="preserve">. La strate herbacée est caractérisée par </w:t>
      </w:r>
      <w:proofErr w:type="spellStart"/>
      <w:r w:rsidRPr="007C5A6E">
        <w:rPr>
          <w:rFonts w:ascii="Times New Roman" w:hAnsi="Times New Roman"/>
          <w:i/>
          <w:iCs/>
          <w:sz w:val="24"/>
          <w:szCs w:val="24"/>
        </w:rPr>
        <w:t>Wissadula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amplissima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Setaria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barbata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Achyranthes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argentea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Desmodium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velutinum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Hoslundia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opposita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Peristrophe</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bicalyculata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Capparis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sepiaria</w:t>
      </w:r>
      <w:proofErr w:type="spellEnd"/>
      <w:r w:rsidRPr="007C5A6E">
        <w:rPr>
          <w:rFonts w:ascii="Times New Roman" w:hAnsi="Times New Roman"/>
          <w:sz w:val="24"/>
          <w:szCs w:val="24"/>
        </w:rPr>
        <w:t>. D’après SP/REDD+ (2023), au plan national, cet écosystème qui totalise aujourd’hui 115 640,14 ha.</w:t>
      </w:r>
    </w:p>
    <w:p w14:paraId="01B294C6" w14:textId="77777777" w:rsidR="007C3497" w:rsidRPr="007C5A6E" w:rsidRDefault="007C3497" w:rsidP="007C3497">
      <w:pPr>
        <w:spacing w:after="0" w:line="240" w:lineRule="auto"/>
        <w:jc w:val="both"/>
        <w:rPr>
          <w:rFonts w:ascii="Times New Roman" w:hAnsi="Times New Roman"/>
          <w:sz w:val="24"/>
          <w:szCs w:val="24"/>
        </w:rPr>
      </w:pPr>
    </w:p>
    <w:p w14:paraId="3B02207C" w14:textId="77777777" w:rsidR="007C3497" w:rsidRPr="007C5A6E" w:rsidRDefault="007C3497" w:rsidP="003F3821">
      <w:pPr>
        <w:numPr>
          <w:ilvl w:val="0"/>
          <w:numId w:val="36"/>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u w:val="single"/>
        </w:rPr>
        <w:t>Les Savanes</w:t>
      </w:r>
      <w:r w:rsidRPr="007C5A6E">
        <w:rPr>
          <w:rFonts w:ascii="Times New Roman" w:hAnsi="Times New Roman"/>
          <w:sz w:val="24"/>
          <w:szCs w:val="24"/>
        </w:rPr>
        <w:t> : Elles se caractérisent par une strate arborée et/ou arbustive disséminée dans un tapis herbacé continu. Le taux de recouvrement des ligneux varient entre 2 % et 50 %. Selon le type d’habitats l’on distingue principalement les savanes arborées, les savanes arbustives et les savanes herbeuses.</w:t>
      </w:r>
    </w:p>
    <w:p w14:paraId="648416CC" w14:textId="23E950DC" w:rsidR="007C3497" w:rsidRPr="007C5A6E" w:rsidRDefault="007C3497" w:rsidP="009F25CF">
      <w:pPr>
        <w:numPr>
          <w:ilvl w:val="0"/>
          <w:numId w:val="37"/>
        </w:numPr>
        <w:spacing w:after="0" w:line="240" w:lineRule="auto"/>
        <w:ind w:left="754" w:hanging="357"/>
        <w:contextualSpacing/>
        <w:jc w:val="both"/>
        <w:rPr>
          <w:rFonts w:ascii="Times New Roman" w:hAnsi="Times New Roman"/>
          <w:sz w:val="24"/>
          <w:szCs w:val="24"/>
        </w:rPr>
      </w:pPr>
      <w:r w:rsidRPr="007C5A6E">
        <w:rPr>
          <w:rFonts w:ascii="Times New Roman" w:hAnsi="Times New Roman"/>
          <w:sz w:val="24"/>
          <w:szCs w:val="24"/>
        </w:rPr>
        <w:t>Les savanes arborées sont rencontrées dans les secteurs phytogéographiques nord et sud soudaniens. La densité des arbres est de 645 individus/ha avec une surface terrière de 11 m²/ha et un volume de bois de 30 m3/ha ; le nombre de juvéniles est de 31 412 individus/</w:t>
      </w:r>
      <w:proofErr w:type="gramStart"/>
      <w:r w:rsidRPr="007C5A6E">
        <w:rPr>
          <w:rFonts w:ascii="Times New Roman" w:hAnsi="Times New Roman"/>
          <w:sz w:val="24"/>
          <w:szCs w:val="24"/>
        </w:rPr>
        <w:t>ha;</w:t>
      </w:r>
      <w:proofErr w:type="gramEnd"/>
      <w:r w:rsidRPr="007C5A6E">
        <w:rPr>
          <w:rFonts w:ascii="Times New Roman" w:hAnsi="Times New Roman"/>
          <w:sz w:val="24"/>
          <w:szCs w:val="24"/>
        </w:rPr>
        <w:t xml:space="preserve"> le taux de recouvrement des arbres varie entre 2 % et 50 % ; le tapis herbacé peut atteindre 2 m de haut et un taux de recouvrement de 80 % en milieu bien protégé sans pâturage ; il atteint difficilement 45 cm de hauteur hors des Aires Protégées. Les espèces ligneuses caractéristiques sont : </w:t>
      </w:r>
      <w:proofErr w:type="spellStart"/>
      <w:r w:rsidRPr="007C5A6E">
        <w:rPr>
          <w:rFonts w:ascii="Times New Roman" w:hAnsi="Times New Roman"/>
          <w:i/>
          <w:iCs/>
          <w:sz w:val="24"/>
          <w:szCs w:val="24"/>
        </w:rPr>
        <w:t>Vitellaria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paradoxa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Lannea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acida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Terminalia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avicennioides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Daniellia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oliveri</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Anogeissus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leiocarpa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Burkea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africana</w:t>
      </w:r>
      <w:proofErr w:type="spellEnd"/>
      <w:r w:rsidRPr="007C5A6E">
        <w:rPr>
          <w:rFonts w:ascii="Times New Roman" w:hAnsi="Times New Roman"/>
          <w:sz w:val="24"/>
          <w:szCs w:val="24"/>
        </w:rPr>
        <w:t xml:space="preserve"> et </w:t>
      </w:r>
      <w:r w:rsidRPr="007C5A6E">
        <w:rPr>
          <w:rFonts w:ascii="Times New Roman" w:hAnsi="Times New Roman"/>
          <w:i/>
          <w:iCs/>
          <w:sz w:val="24"/>
          <w:szCs w:val="24"/>
        </w:rPr>
        <w:t>Pterocarpus erinaceus</w:t>
      </w:r>
      <w:r w:rsidRPr="007C5A6E">
        <w:rPr>
          <w:rFonts w:ascii="Times New Roman" w:hAnsi="Times New Roman"/>
          <w:sz w:val="24"/>
          <w:szCs w:val="24"/>
        </w:rPr>
        <w:t xml:space="preserve">. Au niveau de la strate herbacée </w:t>
      </w:r>
      <w:r w:rsidRPr="007C5A6E">
        <w:rPr>
          <w:rFonts w:ascii="Times New Roman" w:hAnsi="Times New Roman"/>
          <w:i/>
          <w:iCs/>
          <w:sz w:val="24"/>
          <w:szCs w:val="24"/>
        </w:rPr>
        <w:t xml:space="preserve">Andropogon </w:t>
      </w:r>
      <w:proofErr w:type="spellStart"/>
      <w:r w:rsidRPr="007C5A6E">
        <w:rPr>
          <w:rFonts w:ascii="Times New Roman" w:hAnsi="Times New Roman"/>
          <w:i/>
          <w:iCs/>
          <w:sz w:val="24"/>
          <w:szCs w:val="24"/>
        </w:rPr>
        <w:t>gayanus</w:t>
      </w:r>
      <w:proofErr w:type="spellEnd"/>
      <w:r w:rsidRPr="007C5A6E">
        <w:rPr>
          <w:rFonts w:ascii="Times New Roman" w:hAnsi="Times New Roman"/>
          <w:i/>
          <w:iCs/>
          <w:sz w:val="24"/>
          <w:szCs w:val="24"/>
        </w:rPr>
        <w:t xml:space="preserve">, Andropogon </w:t>
      </w:r>
      <w:proofErr w:type="spellStart"/>
      <w:r w:rsidRPr="007C5A6E">
        <w:rPr>
          <w:rFonts w:ascii="Times New Roman" w:hAnsi="Times New Roman"/>
          <w:i/>
          <w:iCs/>
          <w:sz w:val="24"/>
          <w:szCs w:val="24"/>
        </w:rPr>
        <w:t>pseudapricus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Hyparrhenia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involucrata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Spermacoce</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stachydea</w:t>
      </w:r>
      <w:proofErr w:type="spellEnd"/>
      <w:r w:rsidRPr="007C5A6E">
        <w:rPr>
          <w:rFonts w:ascii="Times New Roman" w:hAnsi="Times New Roman"/>
          <w:sz w:val="24"/>
          <w:szCs w:val="24"/>
        </w:rPr>
        <w:t>. Selon SP/REDD+ (2023), les savanes arborées sont estimées un total de 3 961 316,64 ha.</w:t>
      </w:r>
    </w:p>
    <w:p w14:paraId="46423BA6" w14:textId="77777777" w:rsidR="007C3497" w:rsidRPr="007C5A6E" w:rsidRDefault="007C3497" w:rsidP="009F25CF">
      <w:pPr>
        <w:numPr>
          <w:ilvl w:val="0"/>
          <w:numId w:val="37"/>
        </w:numPr>
        <w:spacing w:after="0" w:line="240" w:lineRule="auto"/>
        <w:ind w:left="754" w:hanging="357"/>
        <w:contextualSpacing/>
        <w:jc w:val="both"/>
        <w:rPr>
          <w:rFonts w:ascii="Times New Roman" w:hAnsi="Times New Roman"/>
          <w:sz w:val="24"/>
          <w:szCs w:val="24"/>
        </w:rPr>
      </w:pPr>
      <w:bookmarkStart w:id="1111" w:name="_Hlk176342694"/>
      <w:r w:rsidRPr="007C5A6E">
        <w:rPr>
          <w:rFonts w:ascii="Times New Roman" w:hAnsi="Times New Roman"/>
          <w:sz w:val="24"/>
          <w:szCs w:val="24"/>
        </w:rPr>
        <w:t xml:space="preserve">Les Savanes arbustives et herbeuses </w:t>
      </w:r>
      <w:bookmarkEnd w:id="1111"/>
      <w:r w:rsidRPr="007C5A6E">
        <w:rPr>
          <w:rFonts w:ascii="Times New Roman" w:hAnsi="Times New Roman"/>
          <w:sz w:val="24"/>
          <w:szCs w:val="24"/>
        </w:rPr>
        <w:t xml:space="preserve">se caractérisent par des arbustes disséminés, un taux de recouvrement des arbres inférieur à 2% ainsi qu’une strate graminéenne pouvant dépasser 80 cm de hauteur en zone protégée. Les espèces ligneuses caractéristiques sont : </w:t>
      </w:r>
      <w:r w:rsidRPr="007C5A6E">
        <w:rPr>
          <w:rFonts w:ascii="Times New Roman" w:hAnsi="Times New Roman"/>
          <w:i/>
          <w:iCs/>
          <w:sz w:val="24"/>
          <w:szCs w:val="24"/>
        </w:rPr>
        <w:t xml:space="preserve">Acacia seyal, Acacia </w:t>
      </w:r>
      <w:proofErr w:type="spellStart"/>
      <w:r w:rsidRPr="007C5A6E">
        <w:rPr>
          <w:rFonts w:ascii="Times New Roman" w:hAnsi="Times New Roman"/>
          <w:i/>
          <w:iCs/>
          <w:sz w:val="24"/>
          <w:szCs w:val="24"/>
        </w:rPr>
        <w:t>dudgeoni</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Detarium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microcarpum</w:t>
      </w:r>
      <w:proofErr w:type="spellEnd"/>
      <w:r w:rsidRPr="007C5A6E">
        <w:rPr>
          <w:rFonts w:ascii="Times New Roman" w:hAnsi="Times New Roman"/>
          <w:i/>
          <w:iCs/>
          <w:sz w:val="24"/>
          <w:szCs w:val="24"/>
        </w:rPr>
        <w:t xml:space="preserve">, Balanites aegyptiaca, </w:t>
      </w:r>
      <w:proofErr w:type="spellStart"/>
      <w:r w:rsidRPr="007C5A6E">
        <w:rPr>
          <w:rFonts w:ascii="Times New Roman" w:hAnsi="Times New Roman"/>
          <w:i/>
          <w:iCs/>
          <w:sz w:val="24"/>
          <w:szCs w:val="24"/>
        </w:rPr>
        <w:t>Vitellaria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paradoxa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Combretum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glutinosum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Combretum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nigricans</w:t>
      </w:r>
      <w:proofErr w:type="spellEnd"/>
      <w:r w:rsidRPr="007C5A6E">
        <w:rPr>
          <w:rFonts w:ascii="Times New Roman" w:hAnsi="Times New Roman"/>
          <w:sz w:val="24"/>
          <w:szCs w:val="24"/>
        </w:rPr>
        <w:t xml:space="preserve">. La strate herbacée est constituée principalement </w:t>
      </w:r>
      <w:proofErr w:type="gramStart"/>
      <w:r w:rsidRPr="007C5A6E">
        <w:rPr>
          <w:rFonts w:ascii="Times New Roman" w:hAnsi="Times New Roman"/>
          <w:sz w:val="24"/>
          <w:szCs w:val="24"/>
        </w:rPr>
        <w:t xml:space="preserve">de </w:t>
      </w:r>
      <w:r w:rsidRPr="007C5A6E">
        <w:rPr>
          <w:rFonts w:ascii="Times New Roman" w:hAnsi="Times New Roman"/>
          <w:i/>
          <w:iCs/>
          <w:sz w:val="24"/>
          <w:szCs w:val="24"/>
        </w:rPr>
        <w:t>Andropogon</w:t>
      </w:r>
      <w:proofErr w:type="gram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pseudapricus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Loudetia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togoensis</w:t>
      </w:r>
      <w:proofErr w:type="spellEnd"/>
      <w:r w:rsidRPr="007C5A6E">
        <w:rPr>
          <w:rFonts w:ascii="Times New Roman" w:hAnsi="Times New Roman"/>
          <w:i/>
          <w:iCs/>
          <w:sz w:val="24"/>
          <w:szCs w:val="24"/>
        </w:rPr>
        <w:t xml:space="preserve"> et de </w:t>
      </w:r>
      <w:proofErr w:type="spellStart"/>
      <w:r w:rsidRPr="007C5A6E">
        <w:rPr>
          <w:rFonts w:ascii="Times New Roman" w:hAnsi="Times New Roman"/>
          <w:i/>
          <w:iCs/>
          <w:sz w:val="24"/>
          <w:szCs w:val="24"/>
        </w:rPr>
        <w:t>Pennisetum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pedicellatum</w:t>
      </w:r>
      <w:proofErr w:type="spellEnd"/>
      <w:r w:rsidRPr="007C5A6E">
        <w:rPr>
          <w:rFonts w:ascii="Times New Roman" w:hAnsi="Times New Roman"/>
          <w:sz w:val="24"/>
          <w:szCs w:val="24"/>
        </w:rPr>
        <w:t>. La densité des Arbustes et arbres est de 667 individus/ha avec toutefois une faible surface terrière (5 m2/ha). La densité en individus juvéniles est estimée à 21 331 individus/ha et le volume du bois à environ 20 m3/ha. Les savanes herbeuses elles, se caractérisent par des arbustes à faible densité (environ 92 individus/ha) et une surface terrière de 3 m2/ha. L’on les observe souvent dans les bas-fonds et les grandes plaines alluviales. MEEVCC (2020) note que les savanes arbustives et herbeuses couvrent environ 36,9 % de la superficie du territoire national.</w:t>
      </w:r>
    </w:p>
    <w:p w14:paraId="75F7192E" w14:textId="77777777" w:rsidR="007C3497" w:rsidRPr="007C5A6E" w:rsidRDefault="007C3497" w:rsidP="007C3497">
      <w:pPr>
        <w:spacing w:after="0" w:line="240" w:lineRule="auto"/>
        <w:ind w:left="1068"/>
        <w:contextualSpacing/>
        <w:jc w:val="both"/>
        <w:rPr>
          <w:rFonts w:ascii="Times New Roman" w:hAnsi="Times New Roman"/>
          <w:sz w:val="24"/>
          <w:szCs w:val="24"/>
        </w:rPr>
      </w:pPr>
    </w:p>
    <w:p w14:paraId="238DFDA9" w14:textId="77777777" w:rsidR="007C3497" w:rsidRPr="007C5A6E" w:rsidRDefault="007C3497" w:rsidP="003F3821">
      <w:pPr>
        <w:numPr>
          <w:ilvl w:val="0"/>
          <w:numId w:val="36"/>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u w:val="single"/>
        </w:rPr>
        <w:t>Les steppes</w:t>
      </w:r>
      <w:r w:rsidRPr="007C5A6E">
        <w:rPr>
          <w:rFonts w:ascii="Times New Roman" w:hAnsi="Times New Roman"/>
          <w:sz w:val="24"/>
          <w:szCs w:val="24"/>
        </w:rPr>
        <w:t xml:space="preserve"> sont spécifiques au domaine phytogéographique sahélien. Selon MEEVCC (2020) les steppes couvrent une superficie de 4 676 134 ha soit 17,2 % du territoire et se caractérisent par une strate arborée et/ou arbustive éparse avec un tapis herbacé discontinu dont la hauteur moyenne excède difficilement 40 cm. L’on rencontre deux types de steppes : les steppes arborées et les steppes arbustive et herbeuse.</w:t>
      </w:r>
    </w:p>
    <w:p w14:paraId="23291602" w14:textId="77777777" w:rsidR="007C3497" w:rsidRPr="007C5A6E" w:rsidRDefault="007C3497" w:rsidP="009F25CF">
      <w:pPr>
        <w:numPr>
          <w:ilvl w:val="0"/>
          <w:numId w:val="37"/>
        </w:numPr>
        <w:spacing w:after="0" w:line="240" w:lineRule="auto"/>
        <w:ind w:left="754" w:hanging="357"/>
        <w:contextualSpacing/>
        <w:jc w:val="both"/>
        <w:rPr>
          <w:rFonts w:ascii="Times New Roman" w:hAnsi="Times New Roman"/>
          <w:sz w:val="24"/>
          <w:szCs w:val="24"/>
        </w:rPr>
      </w:pPr>
      <w:r w:rsidRPr="007C5A6E">
        <w:rPr>
          <w:rFonts w:ascii="Times New Roman" w:hAnsi="Times New Roman"/>
          <w:sz w:val="24"/>
          <w:szCs w:val="24"/>
        </w:rPr>
        <w:t xml:space="preserve">Steppes arborées sont des formations clairsemées avec des arbres de petite taille et un faible taux de recouvrement des ligneux ; la densité en ligneux est environ 434 individus/ha ; une surface terrière de 4 m²/ha avec un volume de bois de 12 m3/ha. Le recrutement des juvéniles peut atteindre 5 144 individus à l’hectare. Les espèces caractéristiques sont </w:t>
      </w:r>
      <w:r w:rsidRPr="007C5A6E">
        <w:rPr>
          <w:rFonts w:ascii="Times New Roman" w:hAnsi="Times New Roman"/>
          <w:i/>
          <w:iCs/>
          <w:sz w:val="24"/>
          <w:szCs w:val="24"/>
        </w:rPr>
        <w:t xml:space="preserve">Pterocarpus </w:t>
      </w:r>
      <w:proofErr w:type="spellStart"/>
      <w:r w:rsidRPr="007C5A6E">
        <w:rPr>
          <w:rFonts w:ascii="Times New Roman" w:hAnsi="Times New Roman"/>
          <w:i/>
          <w:iCs/>
          <w:sz w:val="24"/>
          <w:szCs w:val="24"/>
        </w:rPr>
        <w:t>lucens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Combretum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micranthum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Grewia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flavescens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Commiphora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africana</w:t>
      </w:r>
      <w:proofErr w:type="spellEnd"/>
      <w:r w:rsidRPr="007C5A6E">
        <w:rPr>
          <w:rFonts w:ascii="Times New Roman" w:hAnsi="Times New Roman"/>
          <w:i/>
          <w:iCs/>
          <w:sz w:val="24"/>
          <w:szCs w:val="24"/>
        </w:rPr>
        <w:t xml:space="preserve">, Acacia </w:t>
      </w:r>
      <w:proofErr w:type="spellStart"/>
      <w:r w:rsidRPr="007C5A6E">
        <w:rPr>
          <w:rFonts w:ascii="Times New Roman" w:hAnsi="Times New Roman"/>
          <w:i/>
          <w:iCs/>
          <w:sz w:val="24"/>
          <w:szCs w:val="24"/>
        </w:rPr>
        <w:t>erythrocalyx</w:t>
      </w:r>
      <w:proofErr w:type="spellEnd"/>
      <w:r w:rsidRPr="007C5A6E">
        <w:rPr>
          <w:rFonts w:ascii="Times New Roman" w:hAnsi="Times New Roman"/>
          <w:i/>
          <w:iCs/>
          <w:sz w:val="24"/>
          <w:szCs w:val="24"/>
        </w:rPr>
        <w:t xml:space="preserve">, Acacia </w:t>
      </w:r>
      <w:proofErr w:type="spellStart"/>
      <w:r w:rsidRPr="007C5A6E">
        <w:rPr>
          <w:rFonts w:ascii="Times New Roman" w:hAnsi="Times New Roman"/>
          <w:i/>
          <w:iCs/>
          <w:sz w:val="24"/>
          <w:szCs w:val="24"/>
        </w:rPr>
        <w:t>tortilis</w:t>
      </w:r>
      <w:proofErr w:type="spellEnd"/>
      <w:r w:rsidRPr="007C5A6E">
        <w:rPr>
          <w:rFonts w:ascii="Times New Roman" w:hAnsi="Times New Roman"/>
          <w:i/>
          <w:iCs/>
          <w:sz w:val="24"/>
          <w:szCs w:val="24"/>
        </w:rPr>
        <w:t xml:space="preserve"> et Dalbergia </w:t>
      </w:r>
      <w:proofErr w:type="spellStart"/>
      <w:r w:rsidRPr="007C5A6E">
        <w:rPr>
          <w:rFonts w:ascii="Times New Roman" w:hAnsi="Times New Roman"/>
          <w:i/>
          <w:iCs/>
          <w:sz w:val="24"/>
          <w:szCs w:val="24"/>
        </w:rPr>
        <w:t>melanoxylon</w:t>
      </w:r>
      <w:proofErr w:type="spellEnd"/>
      <w:r w:rsidRPr="007C5A6E">
        <w:rPr>
          <w:rFonts w:ascii="Times New Roman" w:hAnsi="Times New Roman"/>
          <w:i/>
          <w:iCs/>
          <w:sz w:val="24"/>
          <w:szCs w:val="24"/>
        </w:rPr>
        <w:t xml:space="preserve">. Dans la strate herbacée, on rencontre </w:t>
      </w:r>
      <w:proofErr w:type="spellStart"/>
      <w:r w:rsidRPr="007C5A6E">
        <w:rPr>
          <w:rFonts w:ascii="Times New Roman" w:hAnsi="Times New Roman"/>
          <w:i/>
          <w:iCs/>
          <w:sz w:val="24"/>
          <w:szCs w:val="24"/>
        </w:rPr>
        <w:t>Schoenefeldia</w:t>
      </w:r>
      <w:proofErr w:type="spellEnd"/>
      <w:r w:rsidRPr="007C5A6E">
        <w:rPr>
          <w:rFonts w:ascii="Times New Roman" w:hAnsi="Times New Roman"/>
          <w:i/>
          <w:iCs/>
          <w:sz w:val="24"/>
          <w:szCs w:val="24"/>
        </w:rPr>
        <w:t xml:space="preserve"> gracilis, </w:t>
      </w:r>
      <w:proofErr w:type="spellStart"/>
      <w:r w:rsidRPr="007C5A6E">
        <w:rPr>
          <w:rFonts w:ascii="Times New Roman" w:hAnsi="Times New Roman"/>
          <w:i/>
          <w:iCs/>
          <w:sz w:val="24"/>
          <w:szCs w:val="24"/>
        </w:rPr>
        <w:t>Pennisetum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pedicellatum</w:t>
      </w:r>
      <w:proofErr w:type="spellEnd"/>
      <w:r w:rsidRPr="007C5A6E">
        <w:rPr>
          <w:rFonts w:ascii="Times New Roman" w:hAnsi="Times New Roman"/>
          <w:i/>
          <w:iCs/>
          <w:sz w:val="24"/>
          <w:szCs w:val="24"/>
        </w:rPr>
        <w:t xml:space="preserve">, Senna </w:t>
      </w:r>
      <w:proofErr w:type="spellStart"/>
      <w:r w:rsidRPr="007C5A6E">
        <w:rPr>
          <w:rFonts w:ascii="Times New Roman" w:hAnsi="Times New Roman"/>
          <w:i/>
          <w:iCs/>
          <w:sz w:val="24"/>
          <w:szCs w:val="24"/>
        </w:rPr>
        <w:t>obtusifolia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Zornia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glochidiata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Aristida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adscensionis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Aristida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kerstingii</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Eragrostis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tremula</w:t>
      </w:r>
      <w:proofErr w:type="spellEnd"/>
      <w:r w:rsidRPr="007C5A6E">
        <w:rPr>
          <w:rFonts w:ascii="Times New Roman" w:hAnsi="Times New Roman"/>
          <w:sz w:val="24"/>
          <w:szCs w:val="24"/>
        </w:rPr>
        <w:t xml:space="preserve"> et </w:t>
      </w:r>
      <w:proofErr w:type="spellStart"/>
      <w:r w:rsidRPr="007C5A6E">
        <w:rPr>
          <w:rFonts w:ascii="Times New Roman" w:hAnsi="Times New Roman"/>
          <w:i/>
          <w:iCs/>
          <w:sz w:val="24"/>
          <w:szCs w:val="24"/>
        </w:rPr>
        <w:t>Digitaria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ciliaris</w:t>
      </w:r>
      <w:proofErr w:type="spellEnd"/>
      <w:r w:rsidRPr="007C5A6E">
        <w:rPr>
          <w:rFonts w:ascii="Times New Roman" w:hAnsi="Times New Roman"/>
          <w:sz w:val="24"/>
          <w:szCs w:val="24"/>
        </w:rPr>
        <w:t xml:space="preserve">. Les steppes arborées couvrent environ 0,7 % du territoire national (MEEVCC, 2020).  </w:t>
      </w:r>
    </w:p>
    <w:p w14:paraId="37C0DD64" w14:textId="691AB644" w:rsidR="007C3497" w:rsidRPr="007C5A6E" w:rsidRDefault="007C3497" w:rsidP="009F25CF">
      <w:pPr>
        <w:numPr>
          <w:ilvl w:val="0"/>
          <w:numId w:val="37"/>
        </w:numPr>
        <w:spacing w:after="0" w:line="240" w:lineRule="auto"/>
        <w:ind w:left="754" w:hanging="357"/>
        <w:contextualSpacing/>
        <w:jc w:val="both"/>
        <w:rPr>
          <w:rFonts w:ascii="Times New Roman" w:hAnsi="Times New Roman"/>
          <w:sz w:val="24"/>
          <w:szCs w:val="24"/>
        </w:rPr>
      </w:pPr>
      <w:r w:rsidRPr="007C5A6E">
        <w:rPr>
          <w:rFonts w:ascii="Times New Roman" w:hAnsi="Times New Roman"/>
          <w:sz w:val="24"/>
          <w:szCs w:val="24"/>
        </w:rPr>
        <w:t xml:space="preserve">Les </w:t>
      </w:r>
      <w:r w:rsidRPr="007C5A6E">
        <w:rPr>
          <w:rFonts w:ascii="Times New Roman" w:hAnsi="Times New Roman"/>
          <w:i/>
          <w:iCs/>
          <w:sz w:val="24"/>
          <w:szCs w:val="24"/>
        </w:rPr>
        <w:t>Steppes arbustives et herbeuse</w:t>
      </w:r>
      <w:r w:rsidRPr="007C5A6E">
        <w:rPr>
          <w:rFonts w:ascii="Times New Roman" w:hAnsi="Times New Roman"/>
          <w:sz w:val="24"/>
          <w:szCs w:val="24"/>
        </w:rPr>
        <w:t xml:space="preserve"> se caractérisent par une densité des arbustes de 305 individus/ha avec une surface terrière faible (3 m²/ ha) ; un taux de recouvrement faible et compris entre 10 et 30% ; une régénération faible avec 790 juvéniles/ha ; une dominance d’espèces ligneuses telles </w:t>
      </w:r>
      <w:proofErr w:type="gramStart"/>
      <w:r w:rsidRPr="007C5A6E">
        <w:rPr>
          <w:rFonts w:ascii="Times New Roman" w:hAnsi="Times New Roman"/>
          <w:sz w:val="24"/>
          <w:szCs w:val="24"/>
        </w:rPr>
        <w:t xml:space="preserve">que </w:t>
      </w:r>
      <w:r w:rsidRPr="007C5A6E">
        <w:rPr>
          <w:rFonts w:ascii="Times New Roman" w:hAnsi="Times New Roman"/>
          <w:i/>
          <w:iCs/>
          <w:sz w:val="24"/>
          <w:szCs w:val="24"/>
        </w:rPr>
        <w:t>Acacia</w:t>
      </w:r>
      <w:proofErr w:type="gramEnd"/>
      <w:r w:rsidRPr="007C5A6E">
        <w:rPr>
          <w:rFonts w:ascii="Times New Roman" w:hAnsi="Times New Roman"/>
          <w:i/>
          <w:iCs/>
          <w:sz w:val="24"/>
          <w:szCs w:val="24"/>
        </w:rPr>
        <w:t xml:space="preserve"> seyal, Acacia </w:t>
      </w:r>
      <w:proofErr w:type="spellStart"/>
      <w:r w:rsidRPr="007C5A6E">
        <w:rPr>
          <w:rFonts w:ascii="Times New Roman" w:hAnsi="Times New Roman"/>
          <w:i/>
          <w:iCs/>
          <w:sz w:val="24"/>
          <w:szCs w:val="24"/>
        </w:rPr>
        <w:t>tortilis</w:t>
      </w:r>
      <w:proofErr w:type="spellEnd"/>
      <w:r w:rsidRPr="007C5A6E">
        <w:rPr>
          <w:rFonts w:ascii="Times New Roman" w:hAnsi="Times New Roman"/>
          <w:i/>
          <w:iCs/>
          <w:sz w:val="24"/>
          <w:szCs w:val="24"/>
        </w:rPr>
        <w:t xml:space="preserve"> var. </w:t>
      </w:r>
      <w:proofErr w:type="spellStart"/>
      <w:r w:rsidRPr="007C5A6E">
        <w:rPr>
          <w:rFonts w:ascii="Times New Roman" w:hAnsi="Times New Roman"/>
          <w:i/>
          <w:iCs/>
          <w:sz w:val="24"/>
          <w:szCs w:val="24"/>
        </w:rPr>
        <w:t>raddiana</w:t>
      </w:r>
      <w:proofErr w:type="spellEnd"/>
      <w:r w:rsidRPr="007C5A6E">
        <w:rPr>
          <w:rFonts w:ascii="Times New Roman" w:hAnsi="Times New Roman"/>
          <w:i/>
          <w:iCs/>
          <w:sz w:val="24"/>
          <w:szCs w:val="24"/>
        </w:rPr>
        <w:t xml:space="preserve">, Balanites aegyptiaca </w:t>
      </w:r>
      <w:r w:rsidRPr="007C5A6E">
        <w:rPr>
          <w:rFonts w:ascii="Times New Roman" w:hAnsi="Times New Roman"/>
          <w:sz w:val="24"/>
          <w:szCs w:val="24"/>
        </w:rPr>
        <w:t xml:space="preserve">et </w:t>
      </w:r>
      <w:r w:rsidRPr="007C5A6E">
        <w:rPr>
          <w:rFonts w:ascii="Times New Roman" w:hAnsi="Times New Roman"/>
          <w:i/>
          <w:iCs/>
          <w:sz w:val="24"/>
          <w:szCs w:val="24"/>
        </w:rPr>
        <w:t xml:space="preserve">Acacia </w:t>
      </w:r>
      <w:proofErr w:type="spellStart"/>
      <w:r w:rsidRPr="007C5A6E">
        <w:rPr>
          <w:rFonts w:ascii="Times New Roman" w:hAnsi="Times New Roman"/>
          <w:i/>
          <w:iCs/>
          <w:sz w:val="24"/>
          <w:szCs w:val="24"/>
        </w:rPr>
        <w:t>laeta</w:t>
      </w:r>
      <w:proofErr w:type="spellEnd"/>
      <w:r w:rsidRPr="007C5A6E">
        <w:rPr>
          <w:rFonts w:ascii="Times New Roman" w:hAnsi="Times New Roman"/>
          <w:sz w:val="24"/>
          <w:szCs w:val="24"/>
        </w:rPr>
        <w:t xml:space="preserve">. La strate herbacée des </w:t>
      </w:r>
      <w:r w:rsidRPr="007C5A6E">
        <w:rPr>
          <w:rFonts w:ascii="Times New Roman" w:hAnsi="Times New Roman"/>
          <w:i/>
          <w:iCs/>
          <w:sz w:val="24"/>
          <w:szCs w:val="24"/>
        </w:rPr>
        <w:t>Steppes arbustives et herbeuse</w:t>
      </w:r>
      <w:r w:rsidRPr="007C5A6E">
        <w:rPr>
          <w:rFonts w:ascii="Times New Roman" w:hAnsi="Times New Roman"/>
          <w:sz w:val="24"/>
          <w:szCs w:val="24"/>
        </w:rPr>
        <w:t xml:space="preserve"> ne dépassant pas 60 cm de hauteur et est composée essentiellement d’espèces annuelles dont les plus caractéristiques sont </w:t>
      </w:r>
      <w:proofErr w:type="spellStart"/>
      <w:r w:rsidRPr="007C5A6E">
        <w:rPr>
          <w:rFonts w:ascii="Times New Roman" w:hAnsi="Times New Roman"/>
          <w:i/>
          <w:iCs/>
          <w:sz w:val="24"/>
          <w:szCs w:val="24"/>
        </w:rPr>
        <w:t>Schoenefeldia</w:t>
      </w:r>
      <w:proofErr w:type="spellEnd"/>
      <w:r w:rsidRPr="007C5A6E">
        <w:rPr>
          <w:rFonts w:ascii="Times New Roman" w:hAnsi="Times New Roman"/>
          <w:i/>
          <w:iCs/>
          <w:sz w:val="24"/>
          <w:szCs w:val="24"/>
        </w:rPr>
        <w:t xml:space="preserve"> gracilis, </w:t>
      </w:r>
      <w:proofErr w:type="spellStart"/>
      <w:r w:rsidRPr="007C5A6E">
        <w:rPr>
          <w:rFonts w:ascii="Times New Roman" w:hAnsi="Times New Roman"/>
          <w:i/>
          <w:iCs/>
          <w:sz w:val="24"/>
          <w:szCs w:val="24"/>
        </w:rPr>
        <w:t>Zornia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glochidiata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Cenchrus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biflorus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Aristida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adscensionis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Aristida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kerstingii</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Eragrostis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tremula</w:t>
      </w:r>
      <w:proofErr w:type="spellEnd"/>
      <w:r w:rsidRPr="007C5A6E">
        <w:rPr>
          <w:rFonts w:ascii="Times New Roman" w:hAnsi="Times New Roman"/>
          <w:i/>
          <w:iCs/>
          <w:sz w:val="24"/>
          <w:szCs w:val="24"/>
        </w:rPr>
        <w:t xml:space="preserve">, Panicum </w:t>
      </w:r>
      <w:proofErr w:type="spellStart"/>
      <w:r w:rsidRPr="007C5A6E">
        <w:rPr>
          <w:rFonts w:ascii="Times New Roman" w:hAnsi="Times New Roman"/>
          <w:i/>
          <w:iCs/>
          <w:sz w:val="24"/>
          <w:szCs w:val="24"/>
        </w:rPr>
        <w:t>laetum</w:t>
      </w:r>
      <w:proofErr w:type="spellEnd"/>
      <w:r w:rsidRPr="007C5A6E">
        <w:rPr>
          <w:rFonts w:ascii="Times New Roman" w:hAnsi="Times New Roman"/>
          <w:sz w:val="24"/>
          <w:szCs w:val="24"/>
        </w:rPr>
        <w:t>. Les steppes arbustives et herbeuses couvrent environ 16,5 % du territoire national (MEEVCC, 2020).</w:t>
      </w:r>
    </w:p>
    <w:p w14:paraId="7CFA137A" w14:textId="77777777" w:rsidR="007C3497" w:rsidRPr="007C5A6E" w:rsidRDefault="007C3497" w:rsidP="007C3497">
      <w:pPr>
        <w:spacing w:after="0" w:line="240" w:lineRule="auto"/>
        <w:ind w:left="1068"/>
        <w:contextualSpacing/>
        <w:jc w:val="both"/>
        <w:rPr>
          <w:rFonts w:ascii="Times New Roman" w:hAnsi="Times New Roman"/>
          <w:sz w:val="24"/>
          <w:szCs w:val="24"/>
        </w:rPr>
      </w:pPr>
    </w:p>
    <w:p w14:paraId="04663DD9" w14:textId="19649520" w:rsidR="007C3497" w:rsidRPr="007C5A6E" w:rsidRDefault="007C3497" w:rsidP="003F3821">
      <w:pPr>
        <w:numPr>
          <w:ilvl w:val="0"/>
          <w:numId w:val="36"/>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u w:val="single"/>
        </w:rPr>
        <w:t>Formations ripicoles</w:t>
      </w:r>
      <w:r w:rsidR="00593390" w:rsidRPr="007C5A6E">
        <w:rPr>
          <w:rFonts w:ascii="Times New Roman" w:hAnsi="Times New Roman"/>
          <w:sz w:val="24"/>
          <w:szCs w:val="24"/>
          <w:u w:val="single"/>
        </w:rPr>
        <w:t xml:space="preserve">. </w:t>
      </w:r>
      <w:r w:rsidRPr="007C5A6E">
        <w:rPr>
          <w:rFonts w:ascii="Times New Roman" w:hAnsi="Times New Roman"/>
          <w:sz w:val="24"/>
          <w:szCs w:val="24"/>
        </w:rPr>
        <w:t>Les formations ripicoles rencontrées dans le paysage du Burkina Faso, sont essentiellement les forêts galeries et les cordons ripicoles.</w:t>
      </w:r>
    </w:p>
    <w:p w14:paraId="207BA406" w14:textId="77777777" w:rsidR="007C3497" w:rsidRPr="007C5A6E" w:rsidRDefault="007C3497" w:rsidP="009F25CF">
      <w:pPr>
        <w:numPr>
          <w:ilvl w:val="0"/>
          <w:numId w:val="37"/>
        </w:numPr>
        <w:spacing w:after="0" w:line="240" w:lineRule="auto"/>
        <w:ind w:left="754" w:hanging="357"/>
        <w:contextualSpacing/>
        <w:jc w:val="both"/>
        <w:rPr>
          <w:rFonts w:ascii="Times New Roman" w:hAnsi="Times New Roman"/>
          <w:sz w:val="24"/>
          <w:szCs w:val="24"/>
        </w:rPr>
      </w:pPr>
      <w:r w:rsidRPr="007C5A6E">
        <w:rPr>
          <w:rFonts w:ascii="Times New Roman" w:hAnsi="Times New Roman"/>
          <w:sz w:val="24"/>
          <w:szCs w:val="24"/>
        </w:rPr>
        <w:t>Les forêts galeries</w:t>
      </w:r>
      <w:r w:rsidRPr="007C5A6E">
        <w:rPr>
          <w:rFonts w:ascii="Times New Roman" w:hAnsi="Times New Roman"/>
          <w:sz w:val="24"/>
          <w:szCs w:val="24"/>
          <w:vertAlign w:val="superscript"/>
        </w:rPr>
        <w:footnoteReference w:id="20"/>
      </w:r>
      <w:r w:rsidRPr="007C5A6E">
        <w:rPr>
          <w:rFonts w:ascii="Times New Roman" w:hAnsi="Times New Roman"/>
          <w:sz w:val="24"/>
          <w:szCs w:val="24"/>
        </w:rPr>
        <w:t xml:space="preserve"> se caractérisent par une densité d’arbres qui atteint 438 individus/ha, une surface terrière de 22 m2/ha et un nombre de juvéniles de près de 29 108 individus/ha. Dans le secteur soudanien, les forêts galeries sont dominées par </w:t>
      </w:r>
      <w:r w:rsidRPr="007C5A6E">
        <w:rPr>
          <w:rFonts w:ascii="Times New Roman" w:hAnsi="Times New Roman"/>
          <w:i/>
          <w:iCs/>
          <w:sz w:val="24"/>
          <w:szCs w:val="24"/>
        </w:rPr>
        <w:t xml:space="preserve">Pterocarpus </w:t>
      </w:r>
      <w:proofErr w:type="spellStart"/>
      <w:r w:rsidRPr="007C5A6E">
        <w:rPr>
          <w:rFonts w:ascii="Times New Roman" w:hAnsi="Times New Roman"/>
          <w:i/>
          <w:iCs/>
          <w:sz w:val="24"/>
          <w:szCs w:val="24"/>
        </w:rPr>
        <w:t>santalinoides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Mitragyna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inermis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Diospyros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mespiliformis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Daniellia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oliveri</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Anogeissus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leiocarpa</w:t>
      </w:r>
      <w:proofErr w:type="spellEnd"/>
      <w:r w:rsidRPr="007C5A6E">
        <w:rPr>
          <w:rFonts w:ascii="Times New Roman" w:hAnsi="Times New Roman"/>
          <w:i/>
          <w:iCs/>
          <w:sz w:val="24"/>
          <w:szCs w:val="24"/>
        </w:rPr>
        <w:t xml:space="preserve">. </w:t>
      </w:r>
      <w:r w:rsidRPr="007C5A6E">
        <w:rPr>
          <w:rFonts w:ascii="Times New Roman" w:hAnsi="Times New Roman"/>
          <w:sz w:val="24"/>
          <w:szCs w:val="24"/>
        </w:rPr>
        <w:t xml:space="preserve">Dans le secteur sud-soudanien, ce sont </w:t>
      </w:r>
      <w:proofErr w:type="spellStart"/>
      <w:r w:rsidRPr="007C5A6E">
        <w:rPr>
          <w:rFonts w:ascii="Times New Roman" w:hAnsi="Times New Roman"/>
          <w:i/>
          <w:iCs/>
          <w:sz w:val="24"/>
          <w:szCs w:val="24"/>
        </w:rPr>
        <w:t>Berlinia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grandiflora</w:t>
      </w:r>
      <w:proofErr w:type="spellEnd"/>
      <w:r w:rsidRPr="007C5A6E">
        <w:rPr>
          <w:rFonts w:ascii="Times New Roman" w:hAnsi="Times New Roman"/>
          <w:i/>
          <w:iCs/>
          <w:sz w:val="24"/>
          <w:szCs w:val="24"/>
        </w:rPr>
        <w:t xml:space="preserve">, Vitex </w:t>
      </w:r>
      <w:proofErr w:type="spellStart"/>
      <w:r w:rsidRPr="007C5A6E">
        <w:rPr>
          <w:rFonts w:ascii="Times New Roman" w:hAnsi="Times New Roman"/>
          <w:i/>
          <w:iCs/>
          <w:sz w:val="24"/>
          <w:szCs w:val="24"/>
        </w:rPr>
        <w:t>chrysocarpa</w:t>
      </w:r>
      <w:proofErr w:type="spellEnd"/>
      <w:r w:rsidRPr="007C5A6E">
        <w:rPr>
          <w:rFonts w:ascii="Times New Roman" w:hAnsi="Times New Roman"/>
          <w:i/>
          <w:iCs/>
          <w:sz w:val="24"/>
          <w:szCs w:val="24"/>
        </w:rPr>
        <w:t xml:space="preserve">, Syzygium </w:t>
      </w:r>
      <w:proofErr w:type="spellStart"/>
      <w:r w:rsidRPr="007C5A6E">
        <w:rPr>
          <w:rFonts w:ascii="Times New Roman" w:hAnsi="Times New Roman"/>
          <w:i/>
          <w:iCs/>
          <w:sz w:val="24"/>
          <w:szCs w:val="24"/>
        </w:rPr>
        <w:t>guineense</w:t>
      </w:r>
      <w:proofErr w:type="spellEnd"/>
      <w:r w:rsidRPr="007C5A6E">
        <w:rPr>
          <w:rFonts w:ascii="Times New Roman" w:hAnsi="Times New Roman"/>
          <w:i/>
          <w:iCs/>
          <w:sz w:val="24"/>
          <w:szCs w:val="24"/>
        </w:rPr>
        <w:t xml:space="preserve">, Dialium </w:t>
      </w:r>
      <w:proofErr w:type="spellStart"/>
      <w:r w:rsidRPr="007C5A6E">
        <w:rPr>
          <w:rFonts w:ascii="Times New Roman" w:hAnsi="Times New Roman"/>
          <w:i/>
          <w:iCs/>
          <w:sz w:val="24"/>
          <w:szCs w:val="24"/>
        </w:rPr>
        <w:t>guineense</w:t>
      </w:r>
      <w:proofErr w:type="spellEnd"/>
      <w:r w:rsidRPr="007C5A6E">
        <w:rPr>
          <w:rFonts w:ascii="Times New Roman" w:hAnsi="Times New Roman"/>
          <w:i/>
          <w:iCs/>
          <w:sz w:val="24"/>
          <w:szCs w:val="24"/>
        </w:rPr>
        <w:t xml:space="preserve">, Cola </w:t>
      </w:r>
      <w:proofErr w:type="spellStart"/>
      <w:r w:rsidRPr="007C5A6E">
        <w:rPr>
          <w:rFonts w:ascii="Times New Roman" w:hAnsi="Times New Roman"/>
          <w:i/>
          <w:iCs/>
          <w:sz w:val="24"/>
          <w:szCs w:val="24"/>
        </w:rPr>
        <w:t>laurifolia</w:t>
      </w:r>
      <w:proofErr w:type="spellEnd"/>
      <w:r w:rsidRPr="007C5A6E">
        <w:rPr>
          <w:rFonts w:ascii="Times New Roman" w:hAnsi="Times New Roman"/>
          <w:i/>
          <w:iCs/>
          <w:sz w:val="24"/>
          <w:szCs w:val="24"/>
        </w:rPr>
        <w:t xml:space="preserve">, Morelia senegalensis, </w:t>
      </w:r>
      <w:proofErr w:type="spellStart"/>
      <w:r w:rsidRPr="007C5A6E">
        <w:rPr>
          <w:rFonts w:ascii="Times New Roman" w:hAnsi="Times New Roman"/>
          <w:i/>
          <w:iCs/>
          <w:sz w:val="24"/>
          <w:szCs w:val="24"/>
        </w:rPr>
        <w:t>Diospyros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mespiliformis</w:t>
      </w:r>
      <w:proofErr w:type="spellEnd"/>
      <w:r w:rsidRPr="007C5A6E">
        <w:rPr>
          <w:rFonts w:ascii="Times New Roman" w:hAnsi="Times New Roman"/>
          <w:sz w:val="24"/>
          <w:szCs w:val="24"/>
        </w:rPr>
        <w:t xml:space="preserve"> et </w:t>
      </w:r>
      <w:r w:rsidRPr="007C5A6E">
        <w:rPr>
          <w:rFonts w:ascii="Times New Roman" w:hAnsi="Times New Roman"/>
          <w:i/>
          <w:iCs/>
          <w:sz w:val="24"/>
          <w:szCs w:val="24"/>
        </w:rPr>
        <w:t xml:space="preserve">Carapa </w:t>
      </w:r>
      <w:proofErr w:type="spellStart"/>
      <w:r w:rsidRPr="007C5A6E">
        <w:rPr>
          <w:rFonts w:ascii="Times New Roman" w:hAnsi="Times New Roman"/>
          <w:i/>
          <w:iCs/>
          <w:sz w:val="24"/>
          <w:szCs w:val="24"/>
        </w:rPr>
        <w:t>procera</w:t>
      </w:r>
      <w:proofErr w:type="spellEnd"/>
      <w:r w:rsidRPr="007C5A6E">
        <w:rPr>
          <w:rFonts w:ascii="Times New Roman" w:hAnsi="Times New Roman"/>
          <w:sz w:val="24"/>
          <w:szCs w:val="24"/>
        </w:rPr>
        <w:t xml:space="preserve"> qui dominent. Les forêts galeries couvrent environ 0,4 % du territoire national.</w:t>
      </w:r>
    </w:p>
    <w:p w14:paraId="1B869A17" w14:textId="77777777" w:rsidR="007C3497" w:rsidRPr="007C5A6E" w:rsidRDefault="007C3497" w:rsidP="009F25CF">
      <w:pPr>
        <w:numPr>
          <w:ilvl w:val="0"/>
          <w:numId w:val="37"/>
        </w:numPr>
        <w:spacing w:after="0" w:line="240" w:lineRule="auto"/>
        <w:ind w:left="754" w:hanging="357"/>
        <w:contextualSpacing/>
        <w:jc w:val="both"/>
        <w:rPr>
          <w:rFonts w:ascii="Times New Roman" w:hAnsi="Times New Roman"/>
          <w:sz w:val="24"/>
          <w:szCs w:val="24"/>
        </w:rPr>
      </w:pPr>
      <w:r w:rsidRPr="007C5A6E">
        <w:rPr>
          <w:rFonts w:ascii="Times New Roman" w:hAnsi="Times New Roman"/>
          <w:sz w:val="24"/>
          <w:szCs w:val="24"/>
        </w:rPr>
        <w:t>Les cordons ripicoles</w:t>
      </w:r>
      <w:r w:rsidRPr="007C5A6E">
        <w:rPr>
          <w:rFonts w:ascii="Times New Roman" w:hAnsi="Times New Roman"/>
          <w:sz w:val="24"/>
          <w:szCs w:val="24"/>
          <w:vertAlign w:val="superscript"/>
        </w:rPr>
        <w:footnoteReference w:id="21"/>
      </w:r>
      <w:r w:rsidRPr="007C5A6E">
        <w:rPr>
          <w:rFonts w:ascii="Times New Roman" w:hAnsi="Times New Roman"/>
          <w:sz w:val="24"/>
          <w:szCs w:val="24"/>
        </w:rPr>
        <w:t xml:space="preserve"> ont une densité moyenne en ligneux de 233 individus/ha avec une surface terrière de 8 m²/ha ; la régénération des juvéniles est de 7404 individus/ha. Dans le secteur sahel strict, les espèces dominantes sont </w:t>
      </w:r>
      <w:proofErr w:type="spellStart"/>
      <w:r w:rsidRPr="007C5A6E">
        <w:rPr>
          <w:rFonts w:ascii="Times New Roman" w:hAnsi="Times New Roman"/>
          <w:i/>
          <w:iCs/>
          <w:sz w:val="24"/>
          <w:szCs w:val="24"/>
        </w:rPr>
        <w:t>Diospyros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mespiliformis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Piliostigma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reticulatum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Anogeissus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leiocarpa</w:t>
      </w:r>
      <w:proofErr w:type="spellEnd"/>
      <w:r w:rsidRPr="007C5A6E">
        <w:rPr>
          <w:rFonts w:ascii="Times New Roman" w:hAnsi="Times New Roman"/>
          <w:i/>
          <w:iCs/>
          <w:sz w:val="24"/>
          <w:szCs w:val="24"/>
        </w:rPr>
        <w:t xml:space="preserve">, Balanites aegyptiaca et Acacia </w:t>
      </w:r>
      <w:proofErr w:type="spellStart"/>
      <w:r w:rsidRPr="007C5A6E">
        <w:rPr>
          <w:rFonts w:ascii="Times New Roman" w:hAnsi="Times New Roman"/>
          <w:i/>
          <w:iCs/>
          <w:sz w:val="24"/>
          <w:szCs w:val="24"/>
        </w:rPr>
        <w:t>raddiana</w:t>
      </w:r>
      <w:proofErr w:type="spellEnd"/>
      <w:r w:rsidRPr="007C5A6E">
        <w:rPr>
          <w:rFonts w:ascii="Times New Roman" w:hAnsi="Times New Roman"/>
          <w:sz w:val="24"/>
          <w:szCs w:val="24"/>
        </w:rPr>
        <w:t xml:space="preserve">. Dans le secteur </w:t>
      </w:r>
      <w:proofErr w:type="spellStart"/>
      <w:r w:rsidRPr="007C5A6E">
        <w:rPr>
          <w:rFonts w:ascii="Times New Roman" w:hAnsi="Times New Roman"/>
          <w:sz w:val="24"/>
          <w:szCs w:val="24"/>
        </w:rPr>
        <w:t>sub</w:t>
      </w:r>
      <w:proofErr w:type="spellEnd"/>
      <w:r w:rsidRPr="007C5A6E">
        <w:rPr>
          <w:rFonts w:ascii="Times New Roman" w:hAnsi="Times New Roman"/>
          <w:sz w:val="24"/>
          <w:szCs w:val="24"/>
        </w:rPr>
        <w:t xml:space="preserve">-sahel ce sont </w:t>
      </w:r>
      <w:r w:rsidRPr="007C5A6E">
        <w:rPr>
          <w:rFonts w:ascii="Times New Roman" w:hAnsi="Times New Roman"/>
          <w:i/>
          <w:iCs/>
          <w:sz w:val="24"/>
          <w:szCs w:val="24"/>
        </w:rPr>
        <w:t xml:space="preserve">Acacia seyal, </w:t>
      </w:r>
      <w:proofErr w:type="spellStart"/>
      <w:r w:rsidRPr="007C5A6E">
        <w:rPr>
          <w:rFonts w:ascii="Times New Roman" w:hAnsi="Times New Roman"/>
          <w:i/>
          <w:iCs/>
          <w:sz w:val="24"/>
          <w:szCs w:val="24"/>
        </w:rPr>
        <w:t>Piliostigma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reticulatum</w:t>
      </w:r>
      <w:proofErr w:type="spellEnd"/>
      <w:r w:rsidRPr="007C5A6E">
        <w:rPr>
          <w:rFonts w:ascii="Times New Roman" w:hAnsi="Times New Roman"/>
          <w:i/>
          <w:iCs/>
          <w:sz w:val="24"/>
          <w:szCs w:val="24"/>
        </w:rPr>
        <w:t xml:space="preserve">, Balanites aegyptiaca, </w:t>
      </w:r>
      <w:proofErr w:type="spellStart"/>
      <w:r w:rsidRPr="007C5A6E">
        <w:rPr>
          <w:rFonts w:ascii="Times New Roman" w:hAnsi="Times New Roman"/>
          <w:i/>
          <w:iCs/>
          <w:sz w:val="24"/>
          <w:szCs w:val="24"/>
        </w:rPr>
        <w:t>Mitragyna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inermis</w:t>
      </w:r>
      <w:proofErr w:type="spellEnd"/>
      <w:r w:rsidRPr="007C5A6E">
        <w:rPr>
          <w:rFonts w:ascii="Times New Roman" w:hAnsi="Times New Roman"/>
          <w:i/>
          <w:iCs/>
          <w:sz w:val="24"/>
          <w:szCs w:val="24"/>
        </w:rPr>
        <w:t xml:space="preserve"> et Acacia </w:t>
      </w:r>
      <w:proofErr w:type="spellStart"/>
      <w:r w:rsidRPr="007C5A6E">
        <w:rPr>
          <w:rFonts w:ascii="Times New Roman" w:hAnsi="Times New Roman"/>
          <w:i/>
          <w:iCs/>
          <w:sz w:val="24"/>
          <w:szCs w:val="24"/>
        </w:rPr>
        <w:t>sieberiana</w:t>
      </w:r>
      <w:proofErr w:type="spellEnd"/>
      <w:r w:rsidRPr="007C5A6E">
        <w:rPr>
          <w:rFonts w:ascii="Times New Roman" w:hAnsi="Times New Roman"/>
          <w:sz w:val="24"/>
          <w:szCs w:val="24"/>
        </w:rPr>
        <w:t xml:space="preserve"> qui dominent. </w:t>
      </w:r>
    </w:p>
    <w:p w14:paraId="15D226BF" w14:textId="77777777" w:rsidR="007C3497" w:rsidRPr="007C5A6E" w:rsidRDefault="007C3497" w:rsidP="007C3497">
      <w:pPr>
        <w:spacing w:after="0" w:line="240" w:lineRule="auto"/>
        <w:jc w:val="both"/>
        <w:rPr>
          <w:rFonts w:ascii="Times New Roman" w:hAnsi="Times New Roman"/>
          <w:sz w:val="24"/>
          <w:szCs w:val="24"/>
        </w:rPr>
      </w:pPr>
    </w:p>
    <w:p w14:paraId="3D08D45B" w14:textId="6766BB54" w:rsidR="007C3497" w:rsidRPr="007C5A6E" w:rsidRDefault="007C3497" w:rsidP="003F3821">
      <w:pPr>
        <w:numPr>
          <w:ilvl w:val="0"/>
          <w:numId w:val="36"/>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u w:val="single"/>
        </w:rPr>
        <w:t>Écosystèmes spécialisés de la savane</w:t>
      </w:r>
      <w:r w:rsidR="00593390" w:rsidRPr="007C5A6E">
        <w:rPr>
          <w:rFonts w:ascii="Times New Roman" w:hAnsi="Times New Roman"/>
          <w:sz w:val="24"/>
          <w:szCs w:val="24"/>
        </w:rPr>
        <w:t xml:space="preserve">. </w:t>
      </w:r>
      <w:r w:rsidRPr="007C5A6E">
        <w:rPr>
          <w:rFonts w:ascii="Times New Roman" w:hAnsi="Times New Roman"/>
          <w:sz w:val="24"/>
          <w:szCs w:val="24"/>
        </w:rPr>
        <w:t xml:space="preserve">L’on observe également dans le paysage des écosystèmes particuliers tels que les affleurements rocheux ou cuirassés, les étendues dunaires et termitières. Les affleurements rocheux ou cuirassés qui totalisent environ 132 055 ha du territoire, regroupent les inselbergs, chaînes de collines et buttes, ainsi que les formations gréseuses ; les étendus dunaires sont les édifices sableux d’une superficie totale de 6 474 ha. Ces écosystèmes et termitières abritent une flore spécifique. En particulier, les massifs rocheux ainsi que les chaînes de collines et de buttes ont fait l’objet d’inventaires floristiques où 474 espèces végétales réparties en 85 familles y ont été recensées (MEEVCC, 2020). </w:t>
      </w:r>
    </w:p>
    <w:p w14:paraId="16C7731D" w14:textId="77777777" w:rsidR="007C3497" w:rsidRPr="007C5A6E" w:rsidRDefault="007C3497" w:rsidP="007C3497">
      <w:pPr>
        <w:spacing w:after="0" w:line="240" w:lineRule="auto"/>
        <w:jc w:val="both"/>
        <w:rPr>
          <w:rFonts w:ascii="Times New Roman" w:hAnsi="Times New Roman"/>
          <w:sz w:val="24"/>
          <w:szCs w:val="24"/>
        </w:rPr>
      </w:pPr>
    </w:p>
    <w:p w14:paraId="69A07393" w14:textId="775C2BDA" w:rsidR="007C3497" w:rsidRPr="007C5A6E" w:rsidRDefault="007C3497" w:rsidP="003F3821">
      <w:pPr>
        <w:numPr>
          <w:ilvl w:val="0"/>
          <w:numId w:val="36"/>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u w:val="single"/>
        </w:rPr>
        <w:t>Les agrosystèmes</w:t>
      </w:r>
      <w:r w:rsidR="005726AF" w:rsidRPr="007C5A6E">
        <w:rPr>
          <w:rFonts w:ascii="Times New Roman" w:hAnsi="Times New Roman"/>
          <w:sz w:val="24"/>
          <w:szCs w:val="24"/>
          <w:u w:val="single"/>
        </w:rPr>
        <w:t xml:space="preserve">. </w:t>
      </w:r>
      <w:r w:rsidRPr="007C5A6E">
        <w:rPr>
          <w:rFonts w:ascii="Times New Roman" w:hAnsi="Times New Roman"/>
          <w:sz w:val="24"/>
          <w:szCs w:val="24"/>
        </w:rPr>
        <w:t>Les effets combinés du climat, et du mode d’utilisation des terres permettent également de distinguer 07 agroécosystèmes au Burkina Faso (MEEVCC, 2020) qui se caractérisent chacun par ses cultures dominantes, ses cultures secondaires ainsi que des espèces agro-forestières selon les zones climatiques. Les zones d’occupation de cultures pluviales et les terres d’agroforesteries occupent environ 38 %du territoire national (</w:t>
      </w:r>
      <w:hyperlink r:id="rId164" w:history="1">
        <w:r w:rsidRPr="007C5A6E">
          <w:rPr>
            <w:rFonts w:ascii="Times New Roman" w:hAnsi="Times New Roman"/>
            <w:color w:val="0000FF"/>
            <w:sz w:val="24"/>
            <w:szCs w:val="24"/>
            <w:u w:val="single"/>
          </w:rPr>
          <w:t>https://lcviewer.vito.be/2019/Burkina%20Faso</w:t>
        </w:r>
      </w:hyperlink>
      <w:r w:rsidRPr="007C5A6E">
        <w:rPr>
          <w:rFonts w:ascii="Times New Roman" w:hAnsi="Times New Roman"/>
          <w:color w:val="0000FF"/>
          <w:sz w:val="24"/>
          <w:szCs w:val="24"/>
          <w:u w:val="single"/>
        </w:rPr>
        <w:t>)</w:t>
      </w:r>
    </w:p>
    <w:p w14:paraId="4B7ECADC" w14:textId="77777777" w:rsidR="007C3497" w:rsidRPr="007C5A6E" w:rsidRDefault="007C3497" w:rsidP="007C3497">
      <w:pPr>
        <w:spacing w:after="0" w:line="240" w:lineRule="auto"/>
        <w:ind w:left="720"/>
        <w:contextualSpacing/>
        <w:jc w:val="both"/>
        <w:rPr>
          <w:rFonts w:ascii="Times New Roman" w:hAnsi="Times New Roman"/>
          <w:sz w:val="24"/>
          <w:szCs w:val="24"/>
        </w:rPr>
      </w:pPr>
    </w:p>
    <w:p w14:paraId="5DD1850A" w14:textId="21F2D88C" w:rsidR="007C3497" w:rsidRPr="007C5A6E" w:rsidRDefault="007C3497" w:rsidP="003F3821">
      <w:pPr>
        <w:numPr>
          <w:ilvl w:val="0"/>
          <w:numId w:val="36"/>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u w:val="single"/>
        </w:rPr>
        <w:t>Écosystèmes pastoraux</w:t>
      </w:r>
      <w:r w:rsidR="005726AF" w:rsidRPr="007C5A6E">
        <w:rPr>
          <w:rFonts w:ascii="Times New Roman" w:hAnsi="Times New Roman"/>
          <w:sz w:val="24"/>
          <w:szCs w:val="24"/>
          <w:u w:val="single"/>
        </w:rPr>
        <w:t xml:space="preserve">. </w:t>
      </w:r>
      <w:r w:rsidRPr="007C5A6E">
        <w:rPr>
          <w:rFonts w:ascii="Times New Roman" w:hAnsi="Times New Roman"/>
          <w:sz w:val="24"/>
          <w:szCs w:val="24"/>
        </w:rPr>
        <w:t>Les zones de pâturages qui couvrent environ 36,9 % du territoire national (</w:t>
      </w:r>
      <w:hyperlink r:id="rId165" w:history="1">
        <w:r w:rsidRPr="007C5A6E">
          <w:rPr>
            <w:rFonts w:ascii="Times New Roman" w:hAnsi="Times New Roman"/>
            <w:color w:val="0000FF"/>
            <w:sz w:val="24"/>
            <w:szCs w:val="24"/>
            <w:u w:val="single"/>
          </w:rPr>
          <w:t>https://lcviewer.vito.be/2019/Burkina%20Faso</w:t>
        </w:r>
      </w:hyperlink>
      <w:r w:rsidRPr="007C5A6E">
        <w:rPr>
          <w:rFonts w:ascii="Times New Roman" w:hAnsi="Times New Roman"/>
          <w:sz w:val="24"/>
          <w:szCs w:val="24"/>
        </w:rPr>
        <w:t xml:space="preserve">) concernent en majeure partie par la savane arbustive et herbeuse. En particulier, les prairies et pâturages permanents du pays représentantes 49,59 % des zones agricoles soit 21,93 % de la superficie foncière nationale </w:t>
      </w:r>
      <w:bookmarkStart w:id="1112" w:name="_Hlk182485931"/>
      <w:r w:rsidRPr="007C5A6E">
        <w:rPr>
          <w:rFonts w:ascii="Times New Roman" w:hAnsi="Times New Roman"/>
          <w:sz w:val="24"/>
          <w:szCs w:val="24"/>
        </w:rPr>
        <w:t>(FAOSTAT, 2021)</w:t>
      </w:r>
      <w:bookmarkEnd w:id="1112"/>
      <w:r w:rsidRPr="007C5A6E">
        <w:rPr>
          <w:rFonts w:ascii="Times New Roman" w:hAnsi="Times New Roman"/>
          <w:sz w:val="24"/>
          <w:szCs w:val="24"/>
        </w:rPr>
        <w:t xml:space="preserve">. Le paysage national comporte 213 zones pastorales dont 26 actives (763 000 ha) et 187 potentielles (1 200 000 ha) reparties sur le territoire national. On dénombre 10 axes de pistes à bétail officielles d'une longueur de 3000 km environ </w:t>
      </w:r>
      <w:bookmarkStart w:id="1113" w:name="_Hlk182485989"/>
      <w:r w:rsidRPr="007C5A6E">
        <w:rPr>
          <w:rFonts w:ascii="Times New Roman" w:hAnsi="Times New Roman"/>
          <w:sz w:val="24"/>
          <w:szCs w:val="24"/>
        </w:rPr>
        <w:t>(DGEAP, 2013</w:t>
      </w:r>
      <w:bookmarkEnd w:id="1113"/>
      <w:r w:rsidRPr="007C5A6E">
        <w:rPr>
          <w:rFonts w:ascii="Times New Roman" w:hAnsi="Times New Roman"/>
          <w:sz w:val="24"/>
          <w:szCs w:val="24"/>
        </w:rPr>
        <w:t xml:space="preserve">). Au niveau communautaire, 77 espaces pastoraux communautaires totalisant une superficie de 159 741 ha avec des étendus très diversifiés allant de 2 à 95 000 ha. La superficie moyenne est de 2 662 ha (MEEVCC, 2020).  Cependant, on assiste à des remises en cause de ces zones pastorales à travers les empiètements agricoles. </w:t>
      </w:r>
    </w:p>
    <w:p w14:paraId="49E9B27D" w14:textId="77777777" w:rsidR="007C3497" w:rsidRPr="007C5A6E" w:rsidRDefault="007C3497" w:rsidP="007C3497">
      <w:pPr>
        <w:spacing w:after="0" w:line="240" w:lineRule="auto"/>
        <w:jc w:val="both"/>
        <w:rPr>
          <w:rFonts w:ascii="Times New Roman" w:hAnsi="Times New Roman"/>
          <w:sz w:val="24"/>
          <w:szCs w:val="24"/>
        </w:rPr>
      </w:pPr>
    </w:p>
    <w:p w14:paraId="05DBFD2F" w14:textId="71620DD8" w:rsidR="007C3497" w:rsidRPr="007C5A6E" w:rsidRDefault="007C3497" w:rsidP="003F3821">
      <w:pPr>
        <w:numPr>
          <w:ilvl w:val="0"/>
          <w:numId w:val="36"/>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u w:val="single"/>
        </w:rPr>
        <w:t>Plantations, reboisements, bosquets et végétation urbaine</w:t>
      </w:r>
      <w:r w:rsidR="005726AF" w:rsidRPr="007C5A6E">
        <w:rPr>
          <w:rFonts w:ascii="Times New Roman" w:hAnsi="Times New Roman"/>
          <w:sz w:val="24"/>
          <w:szCs w:val="24"/>
          <w:u w:val="single"/>
        </w:rPr>
        <w:t xml:space="preserve">. </w:t>
      </w:r>
      <w:r w:rsidRPr="007C5A6E">
        <w:rPr>
          <w:rFonts w:ascii="Times New Roman" w:hAnsi="Times New Roman"/>
          <w:sz w:val="24"/>
          <w:szCs w:val="24"/>
        </w:rPr>
        <w:t>D’après le rapport de la monographie nationale 1 206 bois sacrés abritant 470 espèces floristiques soit 24,54 % de la flore nationale ont été inventoriés au Burkina Faso (MEEVCC, 2020). Le même rapport précise qu’en 2017, un total de 2 403 espaces verts ont été recensés parmi lesquels 95 sont aménagés, 728 illégalement occupés et 1 580 constituent des terrains nus. Au titre de la diversité floristique de la végétation urbaine, le rapport fait état de 502 espèces végétales, parmi lesquelles la jacinthe d’eau</w:t>
      </w:r>
      <w:r w:rsidRPr="007C5A6E">
        <w:rPr>
          <w:rFonts w:ascii="Times New Roman" w:hAnsi="Times New Roman"/>
          <w:sz w:val="24"/>
          <w:szCs w:val="24"/>
          <w:vertAlign w:val="superscript"/>
        </w:rPr>
        <w:footnoteReference w:id="22"/>
      </w:r>
      <w:r w:rsidRPr="007C5A6E">
        <w:rPr>
          <w:rFonts w:ascii="Times New Roman" w:hAnsi="Times New Roman"/>
          <w:sz w:val="24"/>
          <w:szCs w:val="24"/>
        </w:rPr>
        <w:t xml:space="preserve"> et l’Azolla</w:t>
      </w:r>
      <w:r w:rsidRPr="007C5A6E">
        <w:rPr>
          <w:rFonts w:ascii="Times New Roman" w:hAnsi="Times New Roman"/>
          <w:sz w:val="24"/>
          <w:szCs w:val="24"/>
          <w:vertAlign w:val="superscript"/>
        </w:rPr>
        <w:footnoteReference w:id="23"/>
      </w:r>
      <w:r w:rsidRPr="007C5A6E">
        <w:rPr>
          <w:rFonts w:ascii="Times New Roman" w:hAnsi="Times New Roman"/>
          <w:sz w:val="24"/>
          <w:szCs w:val="24"/>
        </w:rPr>
        <w:t xml:space="preserve">. L’évolution des superficies reboisées est plutôt fluctuante au fil des ans (tableau </w:t>
      </w:r>
      <w:r w:rsidR="005726AF" w:rsidRPr="007C5A6E">
        <w:rPr>
          <w:rFonts w:ascii="Times New Roman" w:hAnsi="Times New Roman"/>
          <w:sz w:val="24"/>
          <w:szCs w:val="24"/>
        </w:rPr>
        <w:t>4</w:t>
      </w:r>
      <w:r w:rsidR="0097141F" w:rsidRPr="007C5A6E">
        <w:rPr>
          <w:rFonts w:ascii="Times New Roman" w:hAnsi="Times New Roman"/>
          <w:sz w:val="24"/>
          <w:szCs w:val="24"/>
        </w:rPr>
        <w:t>6</w:t>
      </w:r>
      <w:r w:rsidRPr="007C5A6E">
        <w:rPr>
          <w:rFonts w:ascii="Times New Roman" w:hAnsi="Times New Roman"/>
          <w:sz w:val="24"/>
          <w:szCs w:val="24"/>
        </w:rPr>
        <w:t xml:space="preserve">). Depuis 2017, la moyenne annuelle de terres reboisées est d’environ 10 000 ha.  </w:t>
      </w:r>
    </w:p>
    <w:p w14:paraId="638C9DA8" w14:textId="77777777" w:rsidR="007C3497" w:rsidRPr="007C5A6E" w:rsidRDefault="007C3497" w:rsidP="005726AF">
      <w:pPr>
        <w:spacing w:after="0" w:line="240" w:lineRule="auto"/>
        <w:jc w:val="both"/>
        <w:rPr>
          <w:rFonts w:ascii="Times New Roman" w:hAnsi="Times New Roman"/>
          <w:sz w:val="24"/>
          <w:szCs w:val="24"/>
        </w:rPr>
      </w:pPr>
    </w:p>
    <w:p w14:paraId="3618D52A" w14:textId="77777777" w:rsidR="009F25CF" w:rsidRPr="007C5A6E" w:rsidRDefault="009F25CF" w:rsidP="005726AF">
      <w:pPr>
        <w:spacing w:after="0" w:line="240" w:lineRule="auto"/>
        <w:jc w:val="both"/>
        <w:rPr>
          <w:rFonts w:ascii="Times New Roman" w:hAnsi="Times New Roman"/>
          <w:sz w:val="24"/>
          <w:szCs w:val="24"/>
        </w:rPr>
      </w:pPr>
    </w:p>
    <w:p w14:paraId="04115FCA" w14:textId="77777777" w:rsidR="009F25CF" w:rsidRPr="007C5A6E" w:rsidRDefault="009F25CF" w:rsidP="005726AF">
      <w:pPr>
        <w:spacing w:after="0" w:line="240" w:lineRule="auto"/>
        <w:jc w:val="both"/>
        <w:rPr>
          <w:rFonts w:ascii="Times New Roman" w:hAnsi="Times New Roman"/>
          <w:sz w:val="24"/>
          <w:szCs w:val="24"/>
        </w:rPr>
      </w:pPr>
    </w:p>
    <w:p w14:paraId="3B239E80" w14:textId="77777777" w:rsidR="009F25CF" w:rsidRPr="007C5A6E" w:rsidRDefault="009F25CF" w:rsidP="005726AF">
      <w:pPr>
        <w:spacing w:after="0" w:line="240" w:lineRule="auto"/>
        <w:jc w:val="both"/>
        <w:rPr>
          <w:rFonts w:ascii="Times New Roman" w:hAnsi="Times New Roman"/>
          <w:sz w:val="24"/>
          <w:szCs w:val="24"/>
        </w:rPr>
      </w:pPr>
    </w:p>
    <w:p w14:paraId="67EB4DDF" w14:textId="77777777" w:rsidR="009F25CF" w:rsidRPr="007C5A6E" w:rsidRDefault="009F25CF" w:rsidP="005726AF">
      <w:pPr>
        <w:spacing w:after="0" w:line="240" w:lineRule="auto"/>
        <w:jc w:val="both"/>
        <w:rPr>
          <w:rFonts w:ascii="Times New Roman" w:hAnsi="Times New Roman"/>
          <w:sz w:val="24"/>
          <w:szCs w:val="24"/>
        </w:rPr>
      </w:pPr>
    </w:p>
    <w:p w14:paraId="24892EF8" w14:textId="59BA04F0" w:rsidR="007C3497" w:rsidRPr="007C5A6E" w:rsidRDefault="005726AF" w:rsidP="005726AF">
      <w:pPr>
        <w:pStyle w:val="Lgende"/>
        <w:spacing w:after="0"/>
        <w:rPr>
          <w:rFonts w:ascii="Times New Roman" w:eastAsia="Calibri" w:hAnsi="Times New Roman"/>
          <w:i w:val="0"/>
          <w:iCs w:val="0"/>
          <w:color w:val="auto"/>
          <w:sz w:val="24"/>
          <w:szCs w:val="24"/>
          <w:lang w:eastAsia="en-US"/>
          <w14:ligatures w14:val="standardContextual"/>
        </w:rPr>
      </w:pPr>
      <w:bookmarkStart w:id="1114" w:name="_Toc182575503"/>
      <w:bookmarkStart w:id="1115" w:name="_Toc183241008"/>
      <w:bookmarkStart w:id="1116" w:name="_Toc183292250"/>
      <w:bookmarkStart w:id="1117" w:name="_Toc183340530"/>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3162F8" w:rsidRPr="007C5A6E">
        <w:rPr>
          <w:rFonts w:ascii="Times New Roman" w:hAnsi="Times New Roman"/>
          <w:i w:val="0"/>
          <w:iCs w:val="0"/>
          <w:noProof/>
          <w:color w:val="auto"/>
          <w:sz w:val="24"/>
          <w:szCs w:val="24"/>
        </w:rPr>
        <w:t>46</w:t>
      </w:r>
      <w:r w:rsidRPr="007C5A6E">
        <w:rPr>
          <w:rFonts w:ascii="Times New Roman" w:hAnsi="Times New Roman"/>
          <w:i w:val="0"/>
          <w:iCs w:val="0"/>
          <w:color w:val="auto"/>
          <w:sz w:val="24"/>
          <w:szCs w:val="24"/>
        </w:rPr>
        <w:fldChar w:fldCharType="end"/>
      </w:r>
      <w:r w:rsidR="0097141F" w:rsidRPr="007C5A6E">
        <w:rPr>
          <w:rFonts w:ascii="Times New Roman" w:hAnsi="Times New Roman"/>
          <w:i w:val="0"/>
          <w:iCs w:val="0"/>
          <w:color w:val="auto"/>
          <w:sz w:val="24"/>
          <w:szCs w:val="24"/>
        </w:rPr>
        <w:t xml:space="preserve"> </w:t>
      </w:r>
      <w:r w:rsidR="007C3497" w:rsidRPr="007C5A6E">
        <w:rPr>
          <w:rFonts w:ascii="Times New Roman" w:eastAsia="Calibri" w:hAnsi="Times New Roman"/>
          <w:i w:val="0"/>
          <w:iCs w:val="0"/>
          <w:color w:val="auto"/>
          <w:sz w:val="24"/>
          <w:szCs w:val="24"/>
          <w:lang w:eastAsia="en-US"/>
          <w14:ligatures w14:val="standardContextual"/>
        </w:rPr>
        <w:t>: Evolution des indicateurs de reboisement</w:t>
      </w:r>
      <w:bookmarkEnd w:id="1114"/>
      <w:bookmarkEnd w:id="1115"/>
      <w:bookmarkEnd w:id="1116"/>
      <w:bookmarkEnd w:id="1117"/>
      <w:r w:rsidR="007C3497" w:rsidRPr="007C5A6E">
        <w:rPr>
          <w:rFonts w:ascii="Times New Roman" w:eastAsia="Calibri" w:hAnsi="Times New Roman"/>
          <w:i w:val="0"/>
          <w:iCs w:val="0"/>
          <w:color w:val="auto"/>
          <w:sz w:val="24"/>
          <w:szCs w:val="24"/>
          <w:lang w:eastAsia="en-US"/>
          <w14:ligatures w14:val="standardContextual"/>
        </w:rPr>
        <w:t xml:space="preserve"> </w:t>
      </w:r>
    </w:p>
    <w:p w14:paraId="2CFACE1D" w14:textId="77777777" w:rsidR="005726AF" w:rsidRPr="007C5A6E" w:rsidRDefault="005726AF" w:rsidP="005726AF">
      <w:pPr>
        <w:spacing w:after="0" w:line="240" w:lineRule="auto"/>
        <w:rPr>
          <w:lang w:eastAsia="en-US"/>
        </w:rPr>
      </w:pPr>
    </w:p>
    <w:tbl>
      <w:tblPr>
        <w:tblW w:w="9505" w:type="dxa"/>
        <w:tblInd w:w="-5" w:type="dxa"/>
        <w:tblCellMar>
          <w:left w:w="70" w:type="dxa"/>
          <w:right w:w="70" w:type="dxa"/>
        </w:tblCellMar>
        <w:tblLook w:val="04A0" w:firstRow="1" w:lastRow="0" w:firstColumn="1" w:lastColumn="0" w:noHBand="0" w:noVBand="1"/>
      </w:tblPr>
      <w:tblGrid>
        <w:gridCol w:w="1985"/>
        <w:gridCol w:w="992"/>
        <w:gridCol w:w="992"/>
        <w:gridCol w:w="993"/>
        <w:gridCol w:w="567"/>
        <w:gridCol w:w="992"/>
        <w:gridCol w:w="992"/>
        <w:gridCol w:w="1000"/>
        <w:gridCol w:w="992"/>
      </w:tblGrid>
      <w:tr w:rsidR="007C3497" w:rsidRPr="007C5A6E" w14:paraId="4775EA01" w14:textId="77777777" w:rsidTr="005726AF">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DB9A04" w14:textId="77777777" w:rsidR="007C3497" w:rsidRPr="007C5A6E" w:rsidRDefault="007C3497" w:rsidP="007C3497">
            <w:pPr>
              <w:spacing w:after="0" w:line="240" w:lineRule="auto"/>
              <w:jc w:val="both"/>
              <w:rPr>
                <w:rFonts w:ascii="Times New Roman" w:hAnsi="Times New Roman"/>
                <w:sz w:val="20"/>
                <w:szCs w:val="20"/>
              </w:rPr>
            </w:pPr>
            <w:r w:rsidRPr="007C5A6E">
              <w:rPr>
                <w:rFonts w:ascii="Times New Roman" w:hAnsi="Times New Roman"/>
                <w:sz w:val="20"/>
                <w:szCs w:val="20"/>
              </w:rPr>
              <w:t> </w:t>
            </w:r>
          </w:p>
        </w:tc>
        <w:tc>
          <w:tcPr>
            <w:tcW w:w="992" w:type="dxa"/>
            <w:tcBorders>
              <w:top w:val="single" w:sz="4" w:space="0" w:color="auto"/>
              <w:left w:val="nil"/>
              <w:bottom w:val="single" w:sz="4" w:space="0" w:color="auto"/>
              <w:right w:val="single" w:sz="4" w:space="0" w:color="auto"/>
            </w:tcBorders>
            <w:shd w:val="clear" w:color="auto" w:fill="002060"/>
            <w:vAlign w:val="center"/>
            <w:hideMark/>
          </w:tcPr>
          <w:p w14:paraId="2CB04E97" w14:textId="77777777" w:rsidR="007C3497" w:rsidRPr="007C5A6E" w:rsidRDefault="007C3497" w:rsidP="007C3497">
            <w:pPr>
              <w:spacing w:after="0" w:line="240" w:lineRule="auto"/>
              <w:ind w:firstLineChars="100" w:firstLine="201"/>
              <w:jc w:val="both"/>
              <w:rPr>
                <w:rFonts w:ascii="Times New Roman" w:hAnsi="Times New Roman"/>
                <w:b/>
                <w:bCs/>
                <w:sz w:val="20"/>
                <w:szCs w:val="20"/>
              </w:rPr>
            </w:pPr>
            <w:r w:rsidRPr="007C5A6E">
              <w:rPr>
                <w:rFonts w:ascii="Times New Roman" w:hAnsi="Times New Roman"/>
                <w:b/>
                <w:bCs/>
                <w:sz w:val="20"/>
                <w:szCs w:val="20"/>
              </w:rPr>
              <w:t>2015</w:t>
            </w:r>
          </w:p>
        </w:tc>
        <w:tc>
          <w:tcPr>
            <w:tcW w:w="992" w:type="dxa"/>
            <w:tcBorders>
              <w:top w:val="single" w:sz="4" w:space="0" w:color="auto"/>
              <w:left w:val="nil"/>
              <w:bottom w:val="single" w:sz="4" w:space="0" w:color="auto"/>
              <w:right w:val="single" w:sz="4" w:space="0" w:color="auto"/>
            </w:tcBorders>
            <w:shd w:val="clear" w:color="auto" w:fill="002060"/>
            <w:vAlign w:val="center"/>
            <w:hideMark/>
          </w:tcPr>
          <w:p w14:paraId="02C3C71C" w14:textId="77777777" w:rsidR="007C3497" w:rsidRPr="007C5A6E" w:rsidRDefault="007C3497" w:rsidP="007C3497">
            <w:pPr>
              <w:spacing w:after="0" w:line="240" w:lineRule="auto"/>
              <w:ind w:firstLineChars="100" w:firstLine="201"/>
              <w:jc w:val="both"/>
              <w:rPr>
                <w:rFonts w:ascii="Times New Roman" w:hAnsi="Times New Roman"/>
                <w:b/>
                <w:bCs/>
                <w:sz w:val="20"/>
                <w:szCs w:val="20"/>
              </w:rPr>
            </w:pPr>
            <w:r w:rsidRPr="007C5A6E">
              <w:rPr>
                <w:rFonts w:ascii="Times New Roman" w:hAnsi="Times New Roman"/>
                <w:b/>
                <w:bCs/>
                <w:sz w:val="20"/>
                <w:szCs w:val="20"/>
              </w:rPr>
              <w:t>2016</w:t>
            </w:r>
          </w:p>
        </w:tc>
        <w:tc>
          <w:tcPr>
            <w:tcW w:w="993" w:type="dxa"/>
            <w:tcBorders>
              <w:top w:val="single" w:sz="4" w:space="0" w:color="auto"/>
              <w:left w:val="nil"/>
              <w:bottom w:val="single" w:sz="4" w:space="0" w:color="auto"/>
              <w:right w:val="single" w:sz="4" w:space="0" w:color="auto"/>
            </w:tcBorders>
            <w:shd w:val="clear" w:color="auto" w:fill="002060"/>
            <w:vAlign w:val="center"/>
            <w:hideMark/>
          </w:tcPr>
          <w:p w14:paraId="2BBA1EE4" w14:textId="77777777" w:rsidR="007C3497" w:rsidRPr="007C5A6E" w:rsidRDefault="007C3497" w:rsidP="007C3497">
            <w:pPr>
              <w:spacing w:after="0" w:line="240" w:lineRule="auto"/>
              <w:ind w:firstLineChars="100" w:firstLine="201"/>
              <w:jc w:val="both"/>
              <w:rPr>
                <w:rFonts w:ascii="Times New Roman" w:hAnsi="Times New Roman"/>
                <w:b/>
                <w:bCs/>
                <w:sz w:val="20"/>
                <w:szCs w:val="20"/>
              </w:rPr>
            </w:pPr>
            <w:r w:rsidRPr="007C5A6E">
              <w:rPr>
                <w:rFonts w:ascii="Times New Roman" w:hAnsi="Times New Roman"/>
                <w:b/>
                <w:bCs/>
                <w:sz w:val="20"/>
                <w:szCs w:val="20"/>
              </w:rPr>
              <w:t>2017</w:t>
            </w:r>
          </w:p>
        </w:tc>
        <w:tc>
          <w:tcPr>
            <w:tcW w:w="567" w:type="dxa"/>
            <w:tcBorders>
              <w:top w:val="single" w:sz="4" w:space="0" w:color="auto"/>
              <w:left w:val="nil"/>
              <w:bottom w:val="single" w:sz="4" w:space="0" w:color="auto"/>
              <w:right w:val="single" w:sz="4" w:space="0" w:color="auto"/>
            </w:tcBorders>
            <w:shd w:val="clear" w:color="auto" w:fill="002060"/>
            <w:vAlign w:val="center"/>
            <w:hideMark/>
          </w:tcPr>
          <w:p w14:paraId="1E3FE0A2" w14:textId="77777777" w:rsidR="007C3497" w:rsidRPr="007C5A6E" w:rsidRDefault="007C3497" w:rsidP="007C3497">
            <w:pPr>
              <w:spacing w:after="0" w:line="240" w:lineRule="auto"/>
              <w:jc w:val="both"/>
              <w:rPr>
                <w:rFonts w:ascii="Times New Roman" w:hAnsi="Times New Roman"/>
                <w:b/>
                <w:bCs/>
                <w:sz w:val="20"/>
                <w:szCs w:val="20"/>
              </w:rPr>
            </w:pPr>
            <w:r w:rsidRPr="007C5A6E">
              <w:rPr>
                <w:rFonts w:ascii="Times New Roman" w:hAnsi="Times New Roman"/>
                <w:b/>
                <w:bCs/>
                <w:sz w:val="20"/>
                <w:szCs w:val="20"/>
              </w:rPr>
              <w:t>2018</w:t>
            </w:r>
          </w:p>
        </w:tc>
        <w:tc>
          <w:tcPr>
            <w:tcW w:w="992" w:type="dxa"/>
            <w:tcBorders>
              <w:top w:val="single" w:sz="4" w:space="0" w:color="auto"/>
              <w:left w:val="nil"/>
              <w:bottom w:val="single" w:sz="4" w:space="0" w:color="auto"/>
              <w:right w:val="single" w:sz="4" w:space="0" w:color="auto"/>
            </w:tcBorders>
            <w:shd w:val="clear" w:color="auto" w:fill="002060"/>
            <w:vAlign w:val="center"/>
            <w:hideMark/>
          </w:tcPr>
          <w:p w14:paraId="13995C21" w14:textId="77777777" w:rsidR="007C3497" w:rsidRPr="007C5A6E" w:rsidRDefault="007C3497" w:rsidP="007C3497">
            <w:pPr>
              <w:spacing w:after="0" w:line="240" w:lineRule="auto"/>
              <w:ind w:firstLineChars="100" w:firstLine="201"/>
              <w:jc w:val="both"/>
              <w:rPr>
                <w:rFonts w:ascii="Times New Roman" w:hAnsi="Times New Roman"/>
                <w:b/>
                <w:bCs/>
                <w:sz w:val="20"/>
                <w:szCs w:val="20"/>
              </w:rPr>
            </w:pPr>
            <w:r w:rsidRPr="007C5A6E">
              <w:rPr>
                <w:rFonts w:ascii="Times New Roman" w:hAnsi="Times New Roman"/>
                <w:b/>
                <w:bCs/>
                <w:sz w:val="20"/>
                <w:szCs w:val="20"/>
              </w:rPr>
              <w:t>2019</w:t>
            </w:r>
          </w:p>
        </w:tc>
        <w:tc>
          <w:tcPr>
            <w:tcW w:w="992" w:type="dxa"/>
            <w:tcBorders>
              <w:top w:val="single" w:sz="4" w:space="0" w:color="auto"/>
              <w:left w:val="nil"/>
              <w:bottom w:val="single" w:sz="4" w:space="0" w:color="auto"/>
              <w:right w:val="single" w:sz="4" w:space="0" w:color="auto"/>
            </w:tcBorders>
            <w:shd w:val="clear" w:color="auto" w:fill="002060"/>
            <w:vAlign w:val="center"/>
            <w:hideMark/>
          </w:tcPr>
          <w:p w14:paraId="7D701715" w14:textId="77777777" w:rsidR="007C3497" w:rsidRPr="007C5A6E" w:rsidRDefault="007C3497" w:rsidP="007C3497">
            <w:pPr>
              <w:spacing w:after="0" w:line="240" w:lineRule="auto"/>
              <w:ind w:firstLineChars="100" w:firstLine="201"/>
              <w:jc w:val="both"/>
              <w:rPr>
                <w:rFonts w:ascii="Times New Roman" w:hAnsi="Times New Roman"/>
                <w:b/>
                <w:bCs/>
                <w:sz w:val="20"/>
                <w:szCs w:val="20"/>
              </w:rPr>
            </w:pPr>
            <w:r w:rsidRPr="007C5A6E">
              <w:rPr>
                <w:rFonts w:ascii="Times New Roman" w:hAnsi="Times New Roman"/>
                <w:b/>
                <w:bCs/>
                <w:sz w:val="20"/>
                <w:szCs w:val="20"/>
              </w:rPr>
              <w:t>2020</w:t>
            </w:r>
          </w:p>
        </w:tc>
        <w:tc>
          <w:tcPr>
            <w:tcW w:w="1000" w:type="dxa"/>
            <w:tcBorders>
              <w:top w:val="single" w:sz="4" w:space="0" w:color="auto"/>
              <w:left w:val="nil"/>
              <w:bottom w:val="single" w:sz="4" w:space="0" w:color="auto"/>
              <w:right w:val="single" w:sz="4" w:space="0" w:color="auto"/>
            </w:tcBorders>
            <w:shd w:val="clear" w:color="auto" w:fill="002060"/>
            <w:vAlign w:val="center"/>
            <w:hideMark/>
          </w:tcPr>
          <w:p w14:paraId="50326A34" w14:textId="77777777" w:rsidR="007C3497" w:rsidRPr="007C5A6E" w:rsidRDefault="007C3497" w:rsidP="007C3497">
            <w:pPr>
              <w:spacing w:after="0" w:line="240" w:lineRule="auto"/>
              <w:ind w:firstLineChars="100" w:firstLine="201"/>
              <w:jc w:val="both"/>
              <w:rPr>
                <w:rFonts w:ascii="Times New Roman" w:hAnsi="Times New Roman"/>
                <w:b/>
                <w:bCs/>
                <w:sz w:val="20"/>
                <w:szCs w:val="20"/>
              </w:rPr>
            </w:pPr>
            <w:r w:rsidRPr="007C5A6E">
              <w:rPr>
                <w:rFonts w:ascii="Times New Roman" w:hAnsi="Times New Roman"/>
                <w:b/>
                <w:bCs/>
                <w:sz w:val="20"/>
                <w:szCs w:val="20"/>
              </w:rPr>
              <w:t>2021</w:t>
            </w:r>
          </w:p>
        </w:tc>
        <w:tc>
          <w:tcPr>
            <w:tcW w:w="992" w:type="dxa"/>
            <w:tcBorders>
              <w:top w:val="single" w:sz="4" w:space="0" w:color="auto"/>
              <w:left w:val="nil"/>
              <w:bottom w:val="single" w:sz="4" w:space="0" w:color="auto"/>
              <w:right w:val="single" w:sz="4" w:space="0" w:color="auto"/>
            </w:tcBorders>
            <w:shd w:val="clear" w:color="auto" w:fill="002060"/>
            <w:vAlign w:val="center"/>
            <w:hideMark/>
          </w:tcPr>
          <w:p w14:paraId="3921242F" w14:textId="77777777" w:rsidR="007C3497" w:rsidRPr="007C5A6E" w:rsidRDefault="007C3497" w:rsidP="007C3497">
            <w:pPr>
              <w:spacing w:after="0" w:line="240" w:lineRule="auto"/>
              <w:ind w:firstLineChars="100" w:firstLine="201"/>
              <w:jc w:val="both"/>
              <w:rPr>
                <w:rFonts w:ascii="Times New Roman" w:hAnsi="Times New Roman"/>
                <w:b/>
                <w:bCs/>
                <w:sz w:val="20"/>
                <w:szCs w:val="20"/>
              </w:rPr>
            </w:pPr>
            <w:r w:rsidRPr="007C5A6E">
              <w:rPr>
                <w:rFonts w:ascii="Times New Roman" w:hAnsi="Times New Roman"/>
                <w:b/>
                <w:bCs/>
                <w:sz w:val="20"/>
                <w:szCs w:val="20"/>
              </w:rPr>
              <w:t>2022</w:t>
            </w:r>
          </w:p>
        </w:tc>
      </w:tr>
      <w:tr w:rsidR="007C3497" w:rsidRPr="007C5A6E" w14:paraId="45EAF0FF" w14:textId="77777777" w:rsidTr="00F23EE9">
        <w:trPr>
          <w:trHeight w:val="720"/>
        </w:trPr>
        <w:tc>
          <w:tcPr>
            <w:tcW w:w="1985" w:type="dxa"/>
            <w:tcBorders>
              <w:top w:val="nil"/>
              <w:left w:val="single" w:sz="4" w:space="0" w:color="auto"/>
              <w:bottom w:val="single" w:sz="4" w:space="0" w:color="auto"/>
              <w:right w:val="single" w:sz="4" w:space="0" w:color="auto"/>
            </w:tcBorders>
            <w:shd w:val="clear" w:color="000000" w:fill="EBF1DE"/>
            <w:vAlign w:val="center"/>
            <w:hideMark/>
          </w:tcPr>
          <w:p w14:paraId="119EF46B" w14:textId="77777777" w:rsidR="007C3497" w:rsidRPr="007C5A6E" w:rsidRDefault="007C3497" w:rsidP="007C3497">
            <w:pPr>
              <w:spacing w:after="0" w:line="240" w:lineRule="auto"/>
              <w:jc w:val="both"/>
              <w:rPr>
                <w:rFonts w:ascii="Times New Roman" w:hAnsi="Times New Roman"/>
                <w:sz w:val="20"/>
                <w:szCs w:val="20"/>
              </w:rPr>
            </w:pPr>
            <w:r w:rsidRPr="007C5A6E">
              <w:rPr>
                <w:rFonts w:ascii="Times New Roman" w:hAnsi="Times New Roman"/>
                <w:sz w:val="20"/>
                <w:szCs w:val="20"/>
              </w:rPr>
              <w:t>Nombre total de plants mis en terre</w:t>
            </w:r>
          </w:p>
        </w:tc>
        <w:tc>
          <w:tcPr>
            <w:tcW w:w="992" w:type="dxa"/>
            <w:tcBorders>
              <w:top w:val="nil"/>
              <w:left w:val="nil"/>
              <w:bottom w:val="single" w:sz="4" w:space="0" w:color="auto"/>
              <w:right w:val="single" w:sz="4" w:space="0" w:color="auto"/>
            </w:tcBorders>
            <w:shd w:val="clear" w:color="000000" w:fill="EBF1DE"/>
            <w:vAlign w:val="center"/>
            <w:hideMark/>
          </w:tcPr>
          <w:p w14:paraId="1A136E5C" w14:textId="77777777" w:rsidR="007C3497" w:rsidRPr="007C5A6E" w:rsidRDefault="007C3497" w:rsidP="007C3497">
            <w:pPr>
              <w:spacing w:after="0" w:line="240" w:lineRule="auto"/>
              <w:jc w:val="both"/>
              <w:rPr>
                <w:rFonts w:ascii="Times New Roman" w:hAnsi="Times New Roman"/>
                <w:sz w:val="20"/>
                <w:szCs w:val="20"/>
              </w:rPr>
            </w:pPr>
            <w:r w:rsidRPr="007C5A6E">
              <w:rPr>
                <w:rFonts w:ascii="Times New Roman" w:hAnsi="Times New Roman"/>
                <w:sz w:val="20"/>
                <w:szCs w:val="20"/>
              </w:rPr>
              <w:t>6 578 169</w:t>
            </w:r>
          </w:p>
        </w:tc>
        <w:tc>
          <w:tcPr>
            <w:tcW w:w="992" w:type="dxa"/>
            <w:tcBorders>
              <w:top w:val="nil"/>
              <w:left w:val="nil"/>
              <w:bottom w:val="single" w:sz="4" w:space="0" w:color="auto"/>
              <w:right w:val="single" w:sz="4" w:space="0" w:color="auto"/>
            </w:tcBorders>
            <w:shd w:val="clear" w:color="000000" w:fill="EBF1DE"/>
            <w:vAlign w:val="center"/>
            <w:hideMark/>
          </w:tcPr>
          <w:p w14:paraId="767D8FD1" w14:textId="77777777" w:rsidR="007C3497" w:rsidRPr="007C5A6E" w:rsidRDefault="007C3497" w:rsidP="007C3497">
            <w:pPr>
              <w:spacing w:after="0" w:line="240" w:lineRule="auto"/>
              <w:jc w:val="both"/>
              <w:rPr>
                <w:rFonts w:ascii="Times New Roman" w:hAnsi="Times New Roman"/>
                <w:sz w:val="20"/>
                <w:szCs w:val="20"/>
              </w:rPr>
            </w:pPr>
            <w:r w:rsidRPr="007C5A6E">
              <w:rPr>
                <w:rFonts w:ascii="Times New Roman" w:hAnsi="Times New Roman"/>
                <w:sz w:val="20"/>
                <w:szCs w:val="20"/>
              </w:rPr>
              <w:t>6 578 196</w:t>
            </w:r>
          </w:p>
        </w:tc>
        <w:tc>
          <w:tcPr>
            <w:tcW w:w="993" w:type="dxa"/>
            <w:tcBorders>
              <w:top w:val="nil"/>
              <w:left w:val="nil"/>
              <w:bottom w:val="single" w:sz="4" w:space="0" w:color="auto"/>
              <w:right w:val="single" w:sz="4" w:space="0" w:color="auto"/>
            </w:tcBorders>
            <w:shd w:val="clear" w:color="000000" w:fill="EBF1DE"/>
            <w:vAlign w:val="center"/>
            <w:hideMark/>
          </w:tcPr>
          <w:p w14:paraId="4A03414E" w14:textId="77777777" w:rsidR="007C3497" w:rsidRPr="007C5A6E" w:rsidRDefault="007C3497" w:rsidP="007C3497">
            <w:pPr>
              <w:spacing w:after="0" w:line="240" w:lineRule="auto"/>
              <w:jc w:val="both"/>
              <w:rPr>
                <w:rFonts w:ascii="Times New Roman" w:hAnsi="Times New Roman"/>
                <w:sz w:val="20"/>
                <w:szCs w:val="20"/>
              </w:rPr>
            </w:pPr>
            <w:r w:rsidRPr="007C5A6E">
              <w:rPr>
                <w:rFonts w:ascii="Times New Roman" w:hAnsi="Times New Roman"/>
                <w:sz w:val="20"/>
                <w:szCs w:val="20"/>
              </w:rPr>
              <w:t>4 835 357</w:t>
            </w:r>
          </w:p>
        </w:tc>
        <w:tc>
          <w:tcPr>
            <w:tcW w:w="567" w:type="dxa"/>
            <w:tcBorders>
              <w:top w:val="nil"/>
              <w:left w:val="nil"/>
              <w:bottom w:val="single" w:sz="4" w:space="0" w:color="auto"/>
              <w:right w:val="single" w:sz="4" w:space="0" w:color="auto"/>
            </w:tcBorders>
            <w:shd w:val="clear" w:color="000000" w:fill="EBF1DE"/>
            <w:vAlign w:val="center"/>
            <w:hideMark/>
          </w:tcPr>
          <w:p w14:paraId="79ED3B41" w14:textId="77777777" w:rsidR="007C3497" w:rsidRPr="007C5A6E" w:rsidRDefault="007C3497" w:rsidP="007C3497">
            <w:pPr>
              <w:spacing w:after="0" w:line="240" w:lineRule="auto"/>
              <w:jc w:val="both"/>
              <w:rPr>
                <w:rFonts w:ascii="Times New Roman" w:hAnsi="Times New Roman"/>
                <w:sz w:val="20"/>
                <w:szCs w:val="20"/>
              </w:rPr>
            </w:pPr>
            <w:proofErr w:type="spellStart"/>
            <w:proofErr w:type="gramStart"/>
            <w:r w:rsidRPr="007C5A6E">
              <w:rPr>
                <w:rFonts w:ascii="Times New Roman" w:hAnsi="Times New Roman"/>
                <w:sz w:val="20"/>
                <w:szCs w:val="20"/>
              </w:rPr>
              <w:t>nd</w:t>
            </w:r>
            <w:proofErr w:type="spellEnd"/>
            <w:proofErr w:type="gramEnd"/>
          </w:p>
        </w:tc>
        <w:tc>
          <w:tcPr>
            <w:tcW w:w="992" w:type="dxa"/>
            <w:tcBorders>
              <w:top w:val="nil"/>
              <w:left w:val="nil"/>
              <w:bottom w:val="single" w:sz="4" w:space="0" w:color="auto"/>
              <w:right w:val="single" w:sz="4" w:space="0" w:color="auto"/>
            </w:tcBorders>
            <w:shd w:val="clear" w:color="000000" w:fill="EBF1DE"/>
            <w:vAlign w:val="center"/>
            <w:hideMark/>
          </w:tcPr>
          <w:p w14:paraId="1D07185D" w14:textId="77777777" w:rsidR="007C3497" w:rsidRPr="007C5A6E" w:rsidRDefault="007C3497" w:rsidP="007C3497">
            <w:pPr>
              <w:spacing w:after="0" w:line="240" w:lineRule="auto"/>
              <w:jc w:val="both"/>
              <w:rPr>
                <w:rFonts w:ascii="Times New Roman" w:hAnsi="Times New Roman"/>
                <w:sz w:val="20"/>
                <w:szCs w:val="20"/>
              </w:rPr>
            </w:pPr>
            <w:r w:rsidRPr="007C5A6E">
              <w:rPr>
                <w:rFonts w:ascii="Times New Roman" w:hAnsi="Times New Roman"/>
                <w:sz w:val="20"/>
                <w:szCs w:val="20"/>
              </w:rPr>
              <w:t>4 583 678</w:t>
            </w:r>
          </w:p>
        </w:tc>
        <w:tc>
          <w:tcPr>
            <w:tcW w:w="992" w:type="dxa"/>
            <w:tcBorders>
              <w:top w:val="nil"/>
              <w:left w:val="nil"/>
              <w:bottom w:val="single" w:sz="4" w:space="0" w:color="auto"/>
              <w:right w:val="single" w:sz="4" w:space="0" w:color="auto"/>
            </w:tcBorders>
            <w:shd w:val="clear" w:color="000000" w:fill="EBF1DE"/>
            <w:vAlign w:val="center"/>
            <w:hideMark/>
          </w:tcPr>
          <w:p w14:paraId="343E630E" w14:textId="77777777" w:rsidR="007C3497" w:rsidRPr="007C5A6E" w:rsidRDefault="007C3497" w:rsidP="007C3497">
            <w:pPr>
              <w:spacing w:after="0" w:line="240" w:lineRule="auto"/>
              <w:jc w:val="both"/>
              <w:rPr>
                <w:rFonts w:ascii="Times New Roman" w:hAnsi="Times New Roman"/>
                <w:sz w:val="20"/>
                <w:szCs w:val="20"/>
              </w:rPr>
            </w:pPr>
            <w:r w:rsidRPr="007C5A6E">
              <w:rPr>
                <w:rFonts w:ascii="Times New Roman" w:hAnsi="Times New Roman"/>
                <w:sz w:val="20"/>
                <w:szCs w:val="20"/>
              </w:rPr>
              <w:t>6 364 143</w:t>
            </w:r>
          </w:p>
        </w:tc>
        <w:tc>
          <w:tcPr>
            <w:tcW w:w="1000" w:type="dxa"/>
            <w:tcBorders>
              <w:top w:val="nil"/>
              <w:left w:val="nil"/>
              <w:bottom w:val="single" w:sz="4" w:space="0" w:color="auto"/>
              <w:right w:val="single" w:sz="4" w:space="0" w:color="auto"/>
            </w:tcBorders>
            <w:shd w:val="clear" w:color="000000" w:fill="EBF1DE"/>
            <w:vAlign w:val="center"/>
            <w:hideMark/>
          </w:tcPr>
          <w:p w14:paraId="586ADD90" w14:textId="77777777" w:rsidR="007C3497" w:rsidRPr="007C5A6E" w:rsidRDefault="007C3497" w:rsidP="007C3497">
            <w:pPr>
              <w:spacing w:after="0" w:line="240" w:lineRule="auto"/>
              <w:jc w:val="both"/>
              <w:rPr>
                <w:rFonts w:ascii="Times New Roman" w:hAnsi="Times New Roman"/>
                <w:sz w:val="20"/>
                <w:szCs w:val="20"/>
              </w:rPr>
            </w:pPr>
            <w:r w:rsidRPr="007C5A6E">
              <w:rPr>
                <w:rFonts w:ascii="Times New Roman" w:hAnsi="Times New Roman"/>
                <w:sz w:val="20"/>
                <w:szCs w:val="20"/>
              </w:rPr>
              <w:t>5 398 631</w:t>
            </w:r>
          </w:p>
        </w:tc>
        <w:tc>
          <w:tcPr>
            <w:tcW w:w="992" w:type="dxa"/>
            <w:tcBorders>
              <w:top w:val="nil"/>
              <w:left w:val="nil"/>
              <w:bottom w:val="single" w:sz="4" w:space="0" w:color="auto"/>
              <w:right w:val="single" w:sz="4" w:space="0" w:color="auto"/>
            </w:tcBorders>
            <w:shd w:val="clear" w:color="000000" w:fill="EBF1DE"/>
            <w:vAlign w:val="center"/>
            <w:hideMark/>
          </w:tcPr>
          <w:p w14:paraId="16C2B01C" w14:textId="77777777" w:rsidR="007C3497" w:rsidRPr="007C5A6E" w:rsidRDefault="007C3497" w:rsidP="007C3497">
            <w:pPr>
              <w:spacing w:after="0" w:line="240" w:lineRule="auto"/>
              <w:jc w:val="both"/>
              <w:rPr>
                <w:rFonts w:ascii="Times New Roman" w:hAnsi="Times New Roman"/>
                <w:sz w:val="20"/>
                <w:szCs w:val="20"/>
              </w:rPr>
            </w:pPr>
            <w:r w:rsidRPr="007C5A6E">
              <w:rPr>
                <w:rFonts w:ascii="Times New Roman" w:hAnsi="Times New Roman"/>
                <w:sz w:val="20"/>
                <w:szCs w:val="20"/>
              </w:rPr>
              <w:t>4 936 066</w:t>
            </w:r>
          </w:p>
        </w:tc>
      </w:tr>
      <w:tr w:rsidR="007C3497" w:rsidRPr="007C5A6E" w14:paraId="342F8E5E" w14:textId="77777777" w:rsidTr="00F23EE9">
        <w:trPr>
          <w:trHeight w:val="480"/>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612C43C5" w14:textId="77777777" w:rsidR="007C3497" w:rsidRPr="007C5A6E" w:rsidRDefault="007C3497" w:rsidP="007C3497">
            <w:pPr>
              <w:spacing w:after="0" w:line="240" w:lineRule="auto"/>
              <w:jc w:val="both"/>
              <w:rPr>
                <w:rFonts w:ascii="Times New Roman" w:hAnsi="Times New Roman"/>
                <w:sz w:val="20"/>
                <w:szCs w:val="20"/>
              </w:rPr>
            </w:pPr>
            <w:r w:rsidRPr="007C5A6E">
              <w:rPr>
                <w:rFonts w:ascii="Times New Roman" w:hAnsi="Times New Roman"/>
                <w:sz w:val="20"/>
                <w:szCs w:val="20"/>
              </w:rPr>
              <w:t xml:space="preserve">Superficie reboisée </w:t>
            </w:r>
          </w:p>
          <w:p w14:paraId="7A30D44C" w14:textId="77777777" w:rsidR="007C3497" w:rsidRPr="007C5A6E" w:rsidRDefault="007C3497" w:rsidP="007C3497">
            <w:pPr>
              <w:spacing w:after="0" w:line="240" w:lineRule="auto"/>
              <w:jc w:val="both"/>
              <w:rPr>
                <w:rFonts w:ascii="Times New Roman" w:hAnsi="Times New Roman"/>
                <w:sz w:val="20"/>
                <w:szCs w:val="20"/>
              </w:rPr>
            </w:pPr>
            <w:proofErr w:type="gramStart"/>
            <w:r w:rsidRPr="007C5A6E">
              <w:rPr>
                <w:rFonts w:ascii="Times New Roman" w:hAnsi="Times New Roman"/>
                <w:sz w:val="20"/>
                <w:szCs w:val="20"/>
              </w:rPr>
              <w:t>( ha</w:t>
            </w:r>
            <w:proofErr w:type="gramEnd"/>
            <w:r w:rsidRPr="007C5A6E">
              <w:rPr>
                <w:rFonts w:ascii="Times New Roman" w:hAnsi="Times New Roman"/>
                <w:sz w:val="20"/>
                <w:szCs w:val="20"/>
              </w:rPr>
              <w:t>)</w:t>
            </w:r>
          </w:p>
        </w:tc>
        <w:tc>
          <w:tcPr>
            <w:tcW w:w="992" w:type="dxa"/>
            <w:tcBorders>
              <w:top w:val="nil"/>
              <w:left w:val="nil"/>
              <w:bottom w:val="single" w:sz="4" w:space="0" w:color="auto"/>
              <w:right w:val="single" w:sz="4" w:space="0" w:color="auto"/>
            </w:tcBorders>
            <w:shd w:val="clear" w:color="auto" w:fill="auto"/>
            <w:vAlign w:val="center"/>
            <w:hideMark/>
          </w:tcPr>
          <w:p w14:paraId="3E4D71DA" w14:textId="77777777" w:rsidR="007C3497" w:rsidRPr="007C5A6E" w:rsidRDefault="007C3497" w:rsidP="007C3497">
            <w:pPr>
              <w:spacing w:after="0" w:line="240" w:lineRule="auto"/>
              <w:jc w:val="both"/>
              <w:rPr>
                <w:rFonts w:ascii="Times New Roman" w:hAnsi="Times New Roman"/>
                <w:sz w:val="20"/>
                <w:szCs w:val="20"/>
              </w:rPr>
            </w:pPr>
            <w:r w:rsidRPr="007C5A6E">
              <w:rPr>
                <w:rFonts w:ascii="Times New Roman" w:hAnsi="Times New Roman"/>
                <w:sz w:val="20"/>
                <w:szCs w:val="20"/>
              </w:rPr>
              <w:t>12 954</w:t>
            </w:r>
          </w:p>
        </w:tc>
        <w:tc>
          <w:tcPr>
            <w:tcW w:w="992" w:type="dxa"/>
            <w:tcBorders>
              <w:top w:val="nil"/>
              <w:left w:val="nil"/>
              <w:bottom w:val="single" w:sz="4" w:space="0" w:color="auto"/>
              <w:right w:val="single" w:sz="4" w:space="0" w:color="auto"/>
            </w:tcBorders>
            <w:shd w:val="clear" w:color="auto" w:fill="auto"/>
            <w:vAlign w:val="center"/>
            <w:hideMark/>
          </w:tcPr>
          <w:p w14:paraId="3C1596FB" w14:textId="77777777" w:rsidR="007C3497" w:rsidRPr="007C5A6E" w:rsidRDefault="007C3497" w:rsidP="007C3497">
            <w:pPr>
              <w:spacing w:after="0" w:line="240" w:lineRule="auto"/>
              <w:ind w:firstLineChars="100" w:firstLine="200"/>
              <w:jc w:val="both"/>
              <w:rPr>
                <w:rFonts w:ascii="Times New Roman" w:hAnsi="Times New Roman"/>
                <w:sz w:val="20"/>
                <w:szCs w:val="20"/>
              </w:rPr>
            </w:pPr>
            <w:r w:rsidRPr="007C5A6E">
              <w:rPr>
                <w:rFonts w:ascii="Times New Roman" w:hAnsi="Times New Roman"/>
                <w:sz w:val="20"/>
                <w:szCs w:val="20"/>
              </w:rPr>
              <w:t>5 602</w:t>
            </w:r>
          </w:p>
        </w:tc>
        <w:tc>
          <w:tcPr>
            <w:tcW w:w="993" w:type="dxa"/>
            <w:tcBorders>
              <w:top w:val="nil"/>
              <w:left w:val="nil"/>
              <w:bottom w:val="single" w:sz="4" w:space="0" w:color="auto"/>
              <w:right w:val="single" w:sz="4" w:space="0" w:color="auto"/>
            </w:tcBorders>
            <w:shd w:val="clear" w:color="auto" w:fill="auto"/>
            <w:vAlign w:val="center"/>
            <w:hideMark/>
          </w:tcPr>
          <w:p w14:paraId="234DEC68" w14:textId="77777777" w:rsidR="007C3497" w:rsidRPr="007C5A6E" w:rsidRDefault="007C3497" w:rsidP="007C3497">
            <w:pPr>
              <w:spacing w:after="0" w:line="240" w:lineRule="auto"/>
              <w:ind w:firstLineChars="100" w:firstLine="200"/>
              <w:jc w:val="both"/>
              <w:rPr>
                <w:rFonts w:ascii="Times New Roman" w:hAnsi="Times New Roman"/>
                <w:sz w:val="20"/>
                <w:szCs w:val="20"/>
              </w:rPr>
            </w:pPr>
            <w:r w:rsidRPr="007C5A6E">
              <w:rPr>
                <w:rFonts w:ascii="Times New Roman" w:hAnsi="Times New Roman"/>
                <w:sz w:val="20"/>
                <w:szCs w:val="20"/>
              </w:rPr>
              <w:t>9 160</w:t>
            </w:r>
          </w:p>
        </w:tc>
        <w:tc>
          <w:tcPr>
            <w:tcW w:w="567" w:type="dxa"/>
            <w:tcBorders>
              <w:top w:val="nil"/>
              <w:left w:val="nil"/>
              <w:bottom w:val="single" w:sz="4" w:space="0" w:color="auto"/>
              <w:right w:val="single" w:sz="4" w:space="0" w:color="auto"/>
            </w:tcBorders>
            <w:shd w:val="clear" w:color="auto" w:fill="auto"/>
            <w:vAlign w:val="center"/>
            <w:hideMark/>
          </w:tcPr>
          <w:p w14:paraId="7F7327B8" w14:textId="77777777" w:rsidR="007C3497" w:rsidRPr="007C5A6E" w:rsidRDefault="007C3497" w:rsidP="007C3497">
            <w:pPr>
              <w:spacing w:after="0" w:line="240" w:lineRule="auto"/>
              <w:jc w:val="both"/>
              <w:rPr>
                <w:rFonts w:ascii="Times New Roman" w:hAnsi="Times New Roman"/>
                <w:sz w:val="20"/>
                <w:szCs w:val="20"/>
              </w:rPr>
            </w:pPr>
            <w:proofErr w:type="spellStart"/>
            <w:proofErr w:type="gramStart"/>
            <w:r w:rsidRPr="007C5A6E">
              <w:rPr>
                <w:rFonts w:ascii="Times New Roman" w:hAnsi="Times New Roman"/>
                <w:sz w:val="20"/>
                <w:szCs w:val="20"/>
              </w:rPr>
              <w:t>nd</w:t>
            </w:r>
            <w:proofErr w:type="spellEnd"/>
            <w:proofErr w:type="gramEnd"/>
          </w:p>
        </w:tc>
        <w:tc>
          <w:tcPr>
            <w:tcW w:w="992" w:type="dxa"/>
            <w:tcBorders>
              <w:top w:val="nil"/>
              <w:left w:val="nil"/>
              <w:bottom w:val="single" w:sz="4" w:space="0" w:color="auto"/>
              <w:right w:val="single" w:sz="4" w:space="0" w:color="auto"/>
            </w:tcBorders>
            <w:shd w:val="clear" w:color="auto" w:fill="auto"/>
            <w:vAlign w:val="center"/>
            <w:hideMark/>
          </w:tcPr>
          <w:p w14:paraId="7FC7CB28" w14:textId="77777777" w:rsidR="007C3497" w:rsidRPr="007C5A6E" w:rsidRDefault="007C3497" w:rsidP="007C3497">
            <w:pPr>
              <w:spacing w:after="0" w:line="240" w:lineRule="auto"/>
              <w:jc w:val="both"/>
              <w:rPr>
                <w:rFonts w:ascii="Times New Roman" w:hAnsi="Times New Roman"/>
                <w:sz w:val="20"/>
                <w:szCs w:val="20"/>
              </w:rPr>
            </w:pPr>
            <w:r w:rsidRPr="007C5A6E">
              <w:rPr>
                <w:rFonts w:ascii="Times New Roman" w:hAnsi="Times New Roman"/>
                <w:sz w:val="20"/>
                <w:szCs w:val="20"/>
              </w:rPr>
              <w:t>10 956</w:t>
            </w:r>
          </w:p>
        </w:tc>
        <w:tc>
          <w:tcPr>
            <w:tcW w:w="992" w:type="dxa"/>
            <w:tcBorders>
              <w:top w:val="nil"/>
              <w:left w:val="nil"/>
              <w:bottom w:val="single" w:sz="4" w:space="0" w:color="auto"/>
              <w:right w:val="single" w:sz="4" w:space="0" w:color="auto"/>
            </w:tcBorders>
            <w:shd w:val="clear" w:color="auto" w:fill="auto"/>
            <w:vAlign w:val="center"/>
            <w:hideMark/>
          </w:tcPr>
          <w:p w14:paraId="2EC9AD8D" w14:textId="77777777" w:rsidR="007C3497" w:rsidRPr="007C5A6E" w:rsidRDefault="007C3497" w:rsidP="007C3497">
            <w:pPr>
              <w:spacing w:after="0" w:line="240" w:lineRule="auto"/>
              <w:jc w:val="both"/>
              <w:rPr>
                <w:rFonts w:ascii="Times New Roman" w:hAnsi="Times New Roman"/>
                <w:sz w:val="20"/>
                <w:szCs w:val="20"/>
              </w:rPr>
            </w:pPr>
            <w:r w:rsidRPr="007C5A6E">
              <w:rPr>
                <w:rFonts w:ascii="Times New Roman" w:hAnsi="Times New Roman"/>
                <w:sz w:val="20"/>
                <w:szCs w:val="20"/>
              </w:rPr>
              <w:t>10 183</w:t>
            </w:r>
          </w:p>
        </w:tc>
        <w:tc>
          <w:tcPr>
            <w:tcW w:w="1000" w:type="dxa"/>
            <w:tcBorders>
              <w:top w:val="nil"/>
              <w:left w:val="nil"/>
              <w:bottom w:val="single" w:sz="4" w:space="0" w:color="auto"/>
              <w:right w:val="single" w:sz="4" w:space="0" w:color="auto"/>
            </w:tcBorders>
            <w:shd w:val="clear" w:color="auto" w:fill="auto"/>
            <w:vAlign w:val="center"/>
            <w:hideMark/>
          </w:tcPr>
          <w:p w14:paraId="0A13C2FB" w14:textId="77777777" w:rsidR="007C3497" w:rsidRPr="007C5A6E" w:rsidRDefault="007C3497" w:rsidP="007C3497">
            <w:pPr>
              <w:spacing w:after="0" w:line="240" w:lineRule="auto"/>
              <w:jc w:val="both"/>
              <w:rPr>
                <w:rFonts w:ascii="Times New Roman" w:hAnsi="Times New Roman"/>
                <w:sz w:val="20"/>
                <w:szCs w:val="20"/>
              </w:rPr>
            </w:pPr>
            <w:r w:rsidRPr="007C5A6E">
              <w:rPr>
                <w:rFonts w:ascii="Times New Roman" w:hAnsi="Times New Roman"/>
                <w:sz w:val="20"/>
                <w:szCs w:val="20"/>
              </w:rPr>
              <w:t>10 400</w:t>
            </w:r>
          </w:p>
        </w:tc>
        <w:tc>
          <w:tcPr>
            <w:tcW w:w="992" w:type="dxa"/>
            <w:tcBorders>
              <w:top w:val="nil"/>
              <w:left w:val="nil"/>
              <w:bottom w:val="single" w:sz="4" w:space="0" w:color="auto"/>
              <w:right w:val="single" w:sz="4" w:space="0" w:color="auto"/>
            </w:tcBorders>
            <w:shd w:val="clear" w:color="auto" w:fill="auto"/>
            <w:vAlign w:val="center"/>
            <w:hideMark/>
          </w:tcPr>
          <w:p w14:paraId="332BD8F9" w14:textId="77777777" w:rsidR="007C3497" w:rsidRPr="007C5A6E" w:rsidRDefault="007C3497" w:rsidP="007C3497">
            <w:pPr>
              <w:spacing w:after="0" w:line="240" w:lineRule="auto"/>
              <w:ind w:firstLineChars="200" w:firstLine="400"/>
              <w:jc w:val="both"/>
              <w:rPr>
                <w:rFonts w:ascii="Times New Roman" w:hAnsi="Times New Roman"/>
                <w:sz w:val="20"/>
                <w:szCs w:val="20"/>
              </w:rPr>
            </w:pPr>
            <w:proofErr w:type="spellStart"/>
            <w:proofErr w:type="gramStart"/>
            <w:r w:rsidRPr="007C5A6E">
              <w:rPr>
                <w:rFonts w:ascii="Times New Roman" w:hAnsi="Times New Roman"/>
                <w:sz w:val="20"/>
                <w:szCs w:val="20"/>
              </w:rPr>
              <w:t>nd</w:t>
            </w:r>
            <w:proofErr w:type="spellEnd"/>
            <w:proofErr w:type="gramEnd"/>
          </w:p>
        </w:tc>
      </w:tr>
      <w:tr w:rsidR="007C3497" w:rsidRPr="007C5A6E" w14:paraId="4D1747F1" w14:textId="77777777" w:rsidTr="00F23EE9">
        <w:trPr>
          <w:trHeight w:val="720"/>
        </w:trPr>
        <w:tc>
          <w:tcPr>
            <w:tcW w:w="1985" w:type="dxa"/>
            <w:tcBorders>
              <w:top w:val="nil"/>
              <w:left w:val="single" w:sz="4" w:space="0" w:color="auto"/>
              <w:bottom w:val="single" w:sz="4" w:space="0" w:color="auto"/>
              <w:right w:val="single" w:sz="4" w:space="0" w:color="auto"/>
            </w:tcBorders>
            <w:shd w:val="clear" w:color="000000" w:fill="EBF1DE"/>
            <w:vAlign w:val="center"/>
            <w:hideMark/>
          </w:tcPr>
          <w:p w14:paraId="1F7571AF" w14:textId="77777777" w:rsidR="007C3497" w:rsidRPr="007C5A6E" w:rsidRDefault="007C3497" w:rsidP="007C3497">
            <w:pPr>
              <w:spacing w:after="0" w:line="240" w:lineRule="auto"/>
              <w:jc w:val="both"/>
              <w:rPr>
                <w:rFonts w:ascii="Times New Roman" w:hAnsi="Times New Roman"/>
                <w:sz w:val="20"/>
                <w:szCs w:val="20"/>
              </w:rPr>
            </w:pPr>
            <w:r w:rsidRPr="007C5A6E">
              <w:rPr>
                <w:rFonts w:ascii="Times New Roman" w:hAnsi="Times New Roman"/>
                <w:sz w:val="20"/>
                <w:szCs w:val="20"/>
              </w:rPr>
              <w:t xml:space="preserve">Longueur des </w:t>
            </w:r>
          </w:p>
          <w:p w14:paraId="77970FA0" w14:textId="40CF43BE" w:rsidR="007C3497" w:rsidRPr="007C5A6E" w:rsidRDefault="007C3497" w:rsidP="007C3497">
            <w:pPr>
              <w:spacing w:after="0" w:line="240" w:lineRule="auto"/>
              <w:jc w:val="both"/>
              <w:rPr>
                <w:rFonts w:ascii="Times New Roman" w:hAnsi="Times New Roman"/>
                <w:sz w:val="20"/>
                <w:szCs w:val="20"/>
              </w:rPr>
            </w:pPr>
            <w:proofErr w:type="gramStart"/>
            <w:r w:rsidRPr="007C5A6E">
              <w:rPr>
                <w:rFonts w:ascii="Times New Roman" w:hAnsi="Times New Roman"/>
                <w:sz w:val="20"/>
                <w:szCs w:val="20"/>
              </w:rPr>
              <w:t>haies</w:t>
            </w:r>
            <w:proofErr w:type="gramEnd"/>
            <w:r w:rsidRPr="007C5A6E">
              <w:rPr>
                <w:rFonts w:ascii="Times New Roman" w:hAnsi="Times New Roman"/>
                <w:sz w:val="20"/>
                <w:szCs w:val="20"/>
              </w:rPr>
              <w:t>-vives (km)</w:t>
            </w:r>
          </w:p>
        </w:tc>
        <w:tc>
          <w:tcPr>
            <w:tcW w:w="992" w:type="dxa"/>
            <w:tcBorders>
              <w:top w:val="nil"/>
              <w:left w:val="nil"/>
              <w:bottom w:val="single" w:sz="4" w:space="0" w:color="auto"/>
              <w:right w:val="single" w:sz="4" w:space="0" w:color="auto"/>
            </w:tcBorders>
            <w:shd w:val="clear" w:color="000000" w:fill="EBF1DE"/>
            <w:vAlign w:val="center"/>
            <w:hideMark/>
          </w:tcPr>
          <w:p w14:paraId="793F7125" w14:textId="77777777" w:rsidR="007C3497" w:rsidRPr="007C5A6E" w:rsidRDefault="007C3497" w:rsidP="007C3497">
            <w:pPr>
              <w:spacing w:after="0" w:line="240" w:lineRule="auto"/>
              <w:ind w:firstLineChars="100" w:firstLine="200"/>
              <w:jc w:val="both"/>
              <w:rPr>
                <w:rFonts w:ascii="Times New Roman" w:hAnsi="Times New Roman"/>
                <w:sz w:val="20"/>
                <w:szCs w:val="20"/>
              </w:rPr>
            </w:pPr>
            <w:r w:rsidRPr="007C5A6E">
              <w:rPr>
                <w:rFonts w:ascii="Times New Roman" w:hAnsi="Times New Roman"/>
                <w:sz w:val="20"/>
                <w:szCs w:val="20"/>
              </w:rPr>
              <w:t>710</w:t>
            </w:r>
          </w:p>
        </w:tc>
        <w:tc>
          <w:tcPr>
            <w:tcW w:w="992" w:type="dxa"/>
            <w:tcBorders>
              <w:top w:val="nil"/>
              <w:left w:val="nil"/>
              <w:bottom w:val="single" w:sz="4" w:space="0" w:color="auto"/>
              <w:right w:val="single" w:sz="4" w:space="0" w:color="auto"/>
            </w:tcBorders>
            <w:shd w:val="clear" w:color="000000" w:fill="EBF1DE"/>
            <w:vAlign w:val="center"/>
            <w:hideMark/>
          </w:tcPr>
          <w:p w14:paraId="11E49ABF" w14:textId="77777777" w:rsidR="007C3497" w:rsidRPr="007C5A6E" w:rsidRDefault="007C3497" w:rsidP="007C3497">
            <w:pPr>
              <w:spacing w:after="0" w:line="240" w:lineRule="auto"/>
              <w:ind w:firstLineChars="200" w:firstLine="400"/>
              <w:jc w:val="both"/>
              <w:rPr>
                <w:rFonts w:ascii="Times New Roman" w:hAnsi="Times New Roman"/>
                <w:sz w:val="20"/>
                <w:szCs w:val="20"/>
              </w:rPr>
            </w:pPr>
            <w:proofErr w:type="spellStart"/>
            <w:proofErr w:type="gramStart"/>
            <w:r w:rsidRPr="007C5A6E">
              <w:rPr>
                <w:rFonts w:ascii="Times New Roman" w:hAnsi="Times New Roman"/>
                <w:sz w:val="20"/>
                <w:szCs w:val="20"/>
              </w:rPr>
              <w:t>nd</w:t>
            </w:r>
            <w:proofErr w:type="spellEnd"/>
            <w:proofErr w:type="gramEnd"/>
          </w:p>
        </w:tc>
        <w:tc>
          <w:tcPr>
            <w:tcW w:w="993" w:type="dxa"/>
            <w:tcBorders>
              <w:top w:val="nil"/>
              <w:left w:val="nil"/>
              <w:bottom w:val="single" w:sz="4" w:space="0" w:color="auto"/>
              <w:right w:val="single" w:sz="4" w:space="0" w:color="auto"/>
            </w:tcBorders>
            <w:shd w:val="clear" w:color="000000" w:fill="EBF1DE"/>
            <w:vAlign w:val="center"/>
            <w:hideMark/>
          </w:tcPr>
          <w:p w14:paraId="0A114012" w14:textId="77777777" w:rsidR="007C3497" w:rsidRPr="007C5A6E" w:rsidRDefault="007C3497" w:rsidP="007C3497">
            <w:pPr>
              <w:spacing w:after="0" w:line="240" w:lineRule="auto"/>
              <w:ind w:firstLineChars="100" w:firstLine="200"/>
              <w:jc w:val="both"/>
              <w:rPr>
                <w:rFonts w:ascii="Times New Roman" w:hAnsi="Times New Roman"/>
                <w:sz w:val="20"/>
                <w:szCs w:val="20"/>
              </w:rPr>
            </w:pPr>
            <w:r w:rsidRPr="007C5A6E">
              <w:rPr>
                <w:rFonts w:ascii="Times New Roman" w:hAnsi="Times New Roman"/>
                <w:sz w:val="20"/>
                <w:szCs w:val="20"/>
              </w:rPr>
              <w:t>785</w:t>
            </w:r>
          </w:p>
        </w:tc>
        <w:tc>
          <w:tcPr>
            <w:tcW w:w="567" w:type="dxa"/>
            <w:tcBorders>
              <w:top w:val="nil"/>
              <w:left w:val="nil"/>
              <w:bottom w:val="single" w:sz="4" w:space="0" w:color="auto"/>
              <w:right w:val="single" w:sz="4" w:space="0" w:color="auto"/>
            </w:tcBorders>
            <w:shd w:val="clear" w:color="000000" w:fill="EBF1DE"/>
            <w:vAlign w:val="center"/>
            <w:hideMark/>
          </w:tcPr>
          <w:p w14:paraId="52D3AC3C" w14:textId="77777777" w:rsidR="007C3497" w:rsidRPr="007C5A6E" w:rsidRDefault="007C3497" w:rsidP="007C3497">
            <w:pPr>
              <w:spacing w:after="0" w:line="240" w:lineRule="auto"/>
              <w:jc w:val="both"/>
              <w:rPr>
                <w:rFonts w:ascii="Times New Roman" w:hAnsi="Times New Roman"/>
                <w:sz w:val="20"/>
                <w:szCs w:val="20"/>
              </w:rPr>
            </w:pPr>
            <w:proofErr w:type="spellStart"/>
            <w:proofErr w:type="gramStart"/>
            <w:r w:rsidRPr="007C5A6E">
              <w:rPr>
                <w:rFonts w:ascii="Times New Roman" w:hAnsi="Times New Roman"/>
                <w:sz w:val="20"/>
                <w:szCs w:val="20"/>
              </w:rPr>
              <w:t>nd</w:t>
            </w:r>
            <w:proofErr w:type="spellEnd"/>
            <w:proofErr w:type="gramEnd"/>
          </w:p>
        </w:tc>
        <w:tc>
          <w:tcPr>
            <w:tcW w:w="992" w:type="dxa"/>
            <w:tcBorders>
              <w:top w:val="nil"/>
              <w:left w:val="nil"/>
              <w:bottom w:val="single" w:sz="4" w:space="0" w:color="auto"/>
              <w:right w:val="single" w:sz="4" w:space="0" w:color="auto"/>
            </w:tcBorders>
            <w:shd w:val="clear" w:color="000000" w:fill="EBF1DE"/>
            <w:vAlign w:val="center"/>
            <w:hideMark/>
          </w:tcPr>
          <w:p w14:paraId="1D834E65" w14:textId="77777777" w:rsidR="007C3497" w:rsidRPr="007C5A6E" w:rsidRDefault="007C3497" w:rsidP="007C3497">
            <w:pPr>
              <w:spacing w:after="0" w:line="240" w:lineRule="auto"/>
              <w:ind w:firstLineChars="100" w:firstLine="200"/>
              <w:jc w:val="both"/>
              <w:rPr>
                <w:rFonts w:ascii="Times New Roman" w:hAnsi="Times New Roman"/>
                <w:sz w:val="20"/>
                <w:szCs w:val="20"/>
              </w:rPr>
            </w:pPr>
            <w:r w:rsidRPr="007C5A6E">
              <w:rPr>
                <w:rFonts w:ascii="Times New Roman" w:hAnsi="Times New Roman"/>
                <w:sz w:val="20"/>
                <w:szCs w:val="20"/>
              </w:rPr>
              <w:t>1 009</w:t>
            </w:r>
          </w:p>
        </w:tc>
        <w:tc>
          <w:tcPr>
            <w:tcW w:w="992" w:type="dxa"/>
            <w:tcBorders>
              <w:top w:val="nil"/>
              <w:left w:val="nil"/>
              <w:bottom w:val="single" w:sz="4" w:space="0" w:color="auto"/>
              <w:right w:val="single" w:sz="4" w:space="0" w:color="auto"/>
            </w:tcBorders>
            <w:shd w:val="clear" w:color="000000" w:fill="EBF1DE"/>
            <w:vAlign w:val="center"/>
            <w:hideMark/>
          </w:tcPr>
          <w:p w14:paraId="51632EF0" w14:textId="77777777" w:rsidR="007C3497" w:rsidRPr="007C5A6E" w:rsidRDefault="007C3497" w:rsidP="007C3497">
            <w:pPr>
              <w:spacing w:after="0" w:line="240" w:lineRule="auto"/>
              <w:ind w:firstLineChars="100" w:firstLine="200"/>
              <w:jc w:val="both"/>
              <w:rPr>
                <w:rFonts w:ascii="Times New Roman" w:hAnsi="Times New Roman"/>
                <w:sz w:val="20"/>
                <w:szCs w:val="20"/>
              </w:rPr>
            </w:pPr>
            <w:r w:rsidRPr="007C5A6E">
              <w:rPr>
                <w:rFonts w:ascii="Times New Roman" w:hAnsi="Times New Roman"/>
                <w:sz w:val="20"/>
                <w:szCs w:val="20"/>
              </w:rPr>
              <w:t>986</w:t>
            </w:r>
          </w:p>
        </w:tc>
        <w:tc>
          <w:tcPr>
            <w:tcW w:w="1000" w:type="dxa"/>
            <w:tcBorders>
              <w:top w:val="nil"/>
              <w:left w:val="nil"/>
              <w:bottom w:val="single" w:sz="4" w:space="0" w:color="auto"/>
              <w:right w:val="single" w:sz="4" w:space="0" w:color="auto"/>
            </w:tcBorders>
            <w:shd w:val="clear" w:color="000000" w:fill="EBF1DE"/>
            <w:vAlign w:val="center"/>
            <w:hideMark/>
          </w:tcPr>
          <w:p w14:paraId="650C9A82" w14:textId="77777777" w:rsidR="007C3497" w:rsidRPr="007C5A6E" w:rsidRDefault="007C3497" w:rsidP="007C3497">
            <w:pPr>
              <w:spacing w:after="0" w:line="240" w:lineRule="auto"/>
              <w:ind w:firstLineChars="200" w:firstLine="400"/>
              <w:jc w:val="both"/>
              <w:rPr>
                <w:rFonts w:ascii="Times New Roman" w:hAnsi="Times New Roman"/>
                <w:sz w:val="20"/>
                <w:szCs w:val="20"/>
              </w:rPr>
            </w:pPr>
            <w:proofErr w:type="spellStart"/>
            <w:proofErr w:type="gramStart"/>
            <w:r w:rsidRPr="007C5A6E">
              <w:rPr>
                <w:rFonts w:ascii="Times New Roman" w:hAnsi="Times New Roman"/>
                <w:sz w:val="20"/>
                <w:szCs w:val="20"/>
              </w:rPr>
              <w:t>nd</w:t>
            </w:r>
            <w:proofErr w:type="spellEnd"/>
            <w:proofErr w:type="gramEnd"/>
          </w:p>
        </w:tc>
        <w:tc>
          <w:tcPr>
            <w:tcW w:w="992" w:type="dxa"/>
            <w:tcBorders>
              <w:top w:val="nil"/>
              <w:left w:val="nil"/>
              <w:bottom w:val="single" w:sz="4" w:space="0" w:color="auto"/>
              <w:right w:val="single" w:sz="4" w:space="0" w:color="auto"/>
            </w:tcBorders>
            <w:shd w:val="clear" w:color="000000" w:fill="EBF1DE"/>
            <w:vAlign w:val="center"/>
            <w:hideMark/>
          </w:tcPr>
          <w:p w14:paraId="2F904797" w14:textId="77777777" w:rsidR="007C3497" w:rsidRPr="007C5A6E" w:rsidRDefault="007C3497" w:rsidP="007C3497">
            <w:pPr>
              <w:spacing w:after="0" w:line="240" w:lineRule="auto"/>
              <w:ind w:firstLineChars="200" w:firstLine="400"/>
              <w:jc w:val="both"/>
              <w:rPr>
                <w:rFonts w:ascii="Times New Roman" w:hAnsi="Times New Roman"/>
                <w:sz w:val="20"/>
                <w:szCs w:val="20"/>
              </w:rPr>
            </w:pPr>
            <w:proofErr w:type="spellStart"/>
            <w:proofErr w:type="gramStart"/>
            <w:r w:rsidRPr="007C5A6E">
              <w:rPr>
                <w:rFonts w:ascii="Times New Roman" w:hAnsi="Times New Roman"/>
                <w:sz w:val="20"/>
                <w:szCs w:val="20"/>
              </w:rPr>
              <w:t>nd</w:t>
            </w:r>
            <w:proofErr w:type="spellEnd"/>
            <w:proofErr w:type="gramEnd"/>
          </w:p>
        </w:tc>
      </w:tr>
      <w:tr w:rsidR="007C3497" w:rsidRPr="007C5A6E" w14:paraId="2A0347DC" w14:textId="77777777" w:rsidTr="00F23EE9">
        <w:trPr>
          <w:trHeight w:val="300"/>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112FCB76" w14:textId="77777777" w:rsidR="007C3497" w:rsidRPr="007C5A6E" w:rsidRDefault="007C3497" w:rsidP="007C3497">
            <w:pPr>
              <w:spacing w:after="0" w:line="240" w:lineRule="auto"/>
              <w:jc w:val="both"/>
              <w:rPr>
                <w:rFonts w:ascii="Times New Roman" w:hAnsi="Times New Roman"/>
                <w:sz w:val="20"/>
                <w:szCs w:val="20"/>
              </w:rPr>
            </w:pPr>
            <w:r w:rsidRPr="007C5A6E">
              <w:rPr>
                <w:rFonts w:ascii="Times New Roman" w:hAnsi="Times New Roman"/>
                <w:sz w:val="20"/>
                <w:szCs w:val="20"/>
              </w:rPr>
              <w:t xml:space="preserve">Taux de reprise </w:t>
            </w:r>
          </w:p>
        </w:tc>
        <w:tc>
          <w:tcPr>
            <w:tcW w:w="992" w:type="dxa"/>
            <w:tcBorders>
              <w:top w:val="nil"/>
              <w:left w:val="nil"/>
              <w:bottom w:val="single" w:sz="4" w:space="0" w:color="auto"/>
              <w:right w:val="single" w:sz="4" w:space="0" w:color="auto"/>
            </w:tcBorders>
            <w:shd w:val="clear" w:color="auto" w:fill="auto"/>
            <w:vAlign w:val="center"/>
            <w:hideMark/>
          </w:tcPr>
          <w:p w14:paraId="719D1859" w14:textId="77777777" w:rsidR="007C3497" w:rsidRPr="007C5A6E" w:rsidRDefault="007C3497" w:rsidP="007C3497">
            <w:pPr>
              <w:spacing w:after="0" w:line="240" w:lineRule="auto"/>
              <w:ind w:firstLineChars="100" w:firstLine="200"/>
              <w:jc w:val="both"/>
              <w:rPr>
                <w:rFonts w:ascii="Times New Roman" w:hAnsi="Times New Roman"/>
                <w:sz w:val="20"/>
                <w:szCs w:val="20"/>
              </w:rPr>
            </w:pPr>
            <w:r w:rsidRPr="007C5A6E">
              <w:rPr>
                <w:rFonts w:ascii="Times New Roman" w:hAnsi="Times New Roman"/>
                <w:sz w:val="20"/>
                <w:szCs w:val="20"/>
              </w:rPr>
              <w:t>71%</w:t>
            </w:r>
          </w:p>
        </w:tc>
        <w:tc>
          <w:tcPr>
            <w:tcW w:w="992" w:type="dxa"/>
            <w:tcBorders>
              <w:top w:val="nil"/>
              <w:left w:val="nil"/>
              <w:bottom w:val="single" w:sz="4" w:space="0" w:color="auto"/>
              <w:right w:val="single" w:sz="4" w:space="0" w:color="auto"/>
            </w:tcBorders>
            <w:shd w:val="clear" w:color="auto" w:fill="auto"/>
            <w:vAlign w:val="center"/>
            <w:hideMark/>
          </w:tcPr>
          <w:p w14:paraId="32BC0E29" w14:textId="77777777" w:rsidR="007C3497" w:rsidRPr="007C5A6E" w:rsidRDefault="007C3497" w:rsidP="007C3497">
            <w:pPr>
              <w:spacing w:after="0" w:line="240" w:lineRule="auto"/>
              <w:ind w:firstLineChars="200" w:firstLine="400"/>
              <w:jc w:val="both"/>
              <w:rPr>
                <w:rFonts w:ascii="Times New Roman" w:hAnsi="Times New Roman"/>
                <w:sz w:val="20"/>
                <w:szCs w:val="20"/>
              </w:rPr>
            </w:pPr>
            <w:proofErr w:type="spellStart"/>
            <w:proofErr w:type="gramStart"/>
            <w:r w:rsidRPr="007C5A6E">
              <w:rPr>
                <w:rFonts w:ascii="Times New Roman" w:hAnsi="Times New Roman"/>
                <w:sz w:val="20"/>
                <w:szCs w:val="20"/>
              </w:rPr>
              <w:t>nd</w:t>
            </w:r>
            <w:proofErr w:type="spellEnd"/>
            <w:proofErr w:type="gramEnd"/>
          </w:p>
        </w:tc>
        <w:tc>
          <w:tcPr>
            <w:tcW w:w="993" w:type="dxa"/>
            <w:tcBorders>
              <w:top w:val="nil"/>
              <w:left w:val="nil"/>
              <w:bottom w:val="single" w:sz="4" w:space="0" w:color="auto"/>
              <w:right w:val="single" w:sz="4" w:space="0" w:color="auto"/>
            </w:tcBorders>
            <w:shd w:val="clear" w:color="auto" w:fill="auto"/>
            <w:vAlign w:val="center"/>
            <w:hideMark/>
          </w:tcPr>
          <w:p w14:paraId="7378103C" w14:textId="77777777" w:rsidR="007C3497" w:rsidRPr="007C5A6E" w:rsidRDefault="007C3497" w:rsidP="007C3497">
            <w:pPr>
              <w:spacing w:after="0" w:line="240" w:lineRule="auto"/>
              <w:ind w:firstLineChars="200" w:firstLine="400"/>
              <w:jc w:val="both"/>
              <w:rPr>
                <w:rFonts w:ascii="Times New Roman" w:hAnsi="Times New Roman"/>
                <w:sz w:val="20"/>
                <w:szCs w:val="20"/>
              </w:rPr>
            </w:pPr>
            <w:proofErr w:type="spellStart"/>
            <w:proofErr w:type="gramStart"/>
            <w:r w:rsidRPr="007C5A6E">
              <w:rPr>
                <w:rFonts w:ascii="Times New Roman" w:hAnsi="Times New Roman"/>
                <w:sz w:val="20"/>
                <w:szCs w:val="20"/>
              </w:rPr>
              <w:t>nd</w:t>
            </w:r>
            <w:proofErr w:type="spellEnd"/>
            <w:proofErr w:type="gramEnd"/>
          </w:p>
        </w:tc>
        <w:tc>
          <w:tcPr>
            <w:tcW w:w="567" w:type="dxa"/>
            <w:tcBorders>
              <w:top w:val="nil"/>
              <w:left w:val="nil"/>
              <w:bottom w:val="single" w:sz="4" w:space="0" w:color="auto"/>
              <w:right w:val="single" w:sz="4" w:space="0" w:color="auto"/>
            </w:tcBorders>
            <w:shd w:val="clear" w:color="auto" w:fill="auto"/>
            <w:vAlign w:val="center"/>
            <w:hideMark/>
          </w:tcPr>
          <w:p w14:paraId="6013C9BA" w14:textId="77777777" w:rsidR="007C3497" w:rsidRPr="007C5A6E" w:rsidRDefault="007C3497" w:rsidP="007C3497">
            <w:pPr>
              <w:spacing w:after="0" w:line="240" w:lineRule="auto"/>
              <w:jc w:val="both"/>
              <w:rPr>
                <w:rFonts w:ascii="Times New Roman" w:hAnsi="Times New Roman"/>
                <w:sz w:val="20"/>
                <w:szCs w:val="20"/>
              </w:rPr>
            </w:pPr>
            <w:proofErr w:type="spellStart"/>
            <w:proofErr w:type="gramStart"/>
            <w:r w:rsidRPr="007C5A6E">
              <w:rPr>
                <w:rFonts w:ascii="Times New Roman" w:hAnsi="Times New Roman"/>
                <w:sz w:val="20"/>
                <w:szCs w:val="20"/>
              </w:rPr>
              <w:t>nd</w:t>
            </w:r>
            <w:proofErr w:type="spellEnd"/>
            <w:proofErr w:type="gramEnd"/>
          </w:p>
        </w:tc>
        <w:tc>
          <w:tcPr>
            <w:tcW w:w="992" w:type="dxa"/>
            <w:tcBorders>
              <w:top w:val="nil"/>
              <w:left w:val="nil"/>
              <w:bottom w:val="single" w:sz="4" w:space="0" w:color="auto"/>
              <w:right w:val="single" w:sz="4" w:space="0" w:color="auto"/>
            </w:tcBorders>
            <w:shd w:val="clear" w:color="auto" w:fill="auto"/>
            <w:vAlign w:val="center"/>
            <w:hideMark/>
          </w:tcPr>
          <w:p w14:paraId="722ECF31" w14:textId="77777777" w:rsidR="007C3497" w:rsidRPr="007C5A6E" w:rsidRDefault="007C3497" w:rsidP="007C3497">
            <w:pPr>
              <w:spacing w:after="0" w:line="240" w:lineRule="auto"/>
              <w:ind w:firstLineChars="200" w:firstLine="400"/>
              <w:jc w:val="both"/>
              <w:rPr>
                <w:rFonts w:ascii="Times New Roman" w:hAnsi="Times New Roman"/>
                <w:sz w:val="20"/>
                <w:szCs w:val="20"/>
              </w:rPr>
            </w:pPr>
            <w:proofErr w:type="spellStart"/>
            <w:proofErr w:type="gramStart"/>
            <w:r w:rsidRPr="007C5A6E">
              <w:rPr>
                <w:rFonts w:ascii="Times New Roman" w:hAnsi="Times New Roman"/>
                <w:sz w:val="20"/>
                <w:szCs w:val="20"/>
              </w:rPr>
              <w:t>nd</w:t>
            </w:r>
            <w:proofErr w:type="spellEnd"/>
            <w:proofErr w:type="gramEnd"/>
          </w:p>
        </w:tc>
        <w:tc>
          <w:tcPr>
            <w:tcW w:w="992" w:type="dxa"/>
            <w:tcBorders>
              <w:top w:val="nil"/>
              <w:left w:val="nil"/>
              <w:bottom w:val="single" w:sz="4" w:space="0" w:color="auto"/>
              <w:right w:val="single" w:sz="4" w:space="0" w:color="auto"/>
            </w:tcBorders>
            <w:shd w:val="clear" w:color="auto" w:fill="auto"/>
            <w:vAlign w:val="center"/>
            <w:hideMark/>
          </w:tcPr>
          <w:p w14:paraId="08CF76DA" w14:textId="77777777" w:rsidR="007C3497" w:rsidRPr="007C5A6E" w:rsidRDefault="007C3497" w:rsidP="007C3497">
            <w:pPr>
              <w:spacing w:after="0" w:line="240" w:lineRule="auto"/>
              <w:ind w:firstLineChars="200" w:firstLine="400"/>
              <w:jc w:val="both"/>
              <w:rPr>
                <w:rFonts w:ascii="Times New Roman" w:hAnsi="Times New Roman"/>
                <w:sz w:val="20"/>
                <w:szCs w:val="20"/>
              </w:rPr>
            </w:pPr>
            <w:proofErr w:type="spellStart"/>
            <w:proofErr w:type="gramStart"/>
            <w:r w:rsidRPr="007C5A6E">
              <w:rPr>
                <w:rFonts w:ascii="Times New Roman" w:hAnsi="Times New Roman"/>
                <w:sz w:val="20"/>
                <w:szCs w:val="20"/>
              </w:rPr>
              <w:t>nd</w:t>
            </w:r>
            <w:proofErr w:type="spellEnd"/>
            <w:proofErr w:type="gramEnd"/>
          </w:p>
        </w:tc>
        <w:tc>
          <w:tcPr>
            <w:tcW w:w="1000" w:type="dxa"/>
            <w:tcBorders>
              <w:top w:val="nil"/>
              <w:left w:val="nil"/>
              <w:bottom w:val="single" w:sz="4" w:space="0" w:color="auto"/>
              <w:right w:val="single" w:sz="4" w:space="0" w:color="auto"/>
            </w:tcBorders>
            <w:shd w:val="clear" w:color="auto" w:fill="auto"/>
            <w:vAlign w:val="center"/>
            <w:hideMark/>
          </w:tcPr>
          <w:p w14:paraId="1A0F39FA" w14:textId="77777777" w:rsidR="007C3497" w:rsidRPr="007C5A6E" w:rsidRDefault="007C3497" w:rsidP="007C3497">
            <w:pPr>
              <w:spacing w:after="0" w:line="240" w:lineRule="auto"/>
              <w:ind w:firstLineChars="200" w:firstLine="400"/>
              <w:jc w:val="both"/>
              <w:rPr>
                <w:rFonts w:ascii="Times New Roman" w:hAnsi="Times New Roman"/>
                <w:sz w:val="20"/>
                <w:szCs w:val="20"/>
              </w:rPr>
            </w:pPr>
            <w:proofErr w:type="spellStart"/>
            <w:proofErr w:type="gramStart"/>
            <w:r w:rsidRPr="007C5A6E">
              <w:rPr>
                <w:rFonts w:ascii="Times New Roman" w:hAnsi="Times New Roman"/>
                <w:sz w:val="20"/>
                <w:szCs w:val="20"/>
              </w:rPr>
              <w:t>nd</w:t>
            </w:r>
            <w:proofErr w:type="spellEnd"/>
            <w:proofErr w:type="gramEnd"/>
          </w:p>
        </w:tc>
        <w:tc>
          <w:tcPr>
            <w:tcW w:w="992" w:type="dxa"/>
            <w:tcBorders>
              <w:top w:val="nil"/>
              <w:left w:val="nil"/>
              <w:bottom w:val="single" w:sz="4" w:space="0" w:color="auto"/>
              <w:right w:val="single" w:sz="4" w:space="0" w:color="auto"/>
            </w:tcBorders>
            <w:shd w:val="clear" w:color="auto" w:fill="auto"/>
            <w:vAlign w:val="center"/>
            <w:hideMark/>
          </w:tcPr>
          <w:p w14:paraId="552FE8D0" w14:textId="77777777" w:rsidR="007C3497" w:rsidRPr="007C5A6E" w:rsidRDefault="007C3497" w:rsidP="007C3497">
            <w:pPr>
              <w:spacing w:after="0" w:line="240" w:lineRule="auto"/>
              <w:ind w:firstLineChars="200" w:firstLine="400"/>
              <w:jc w:val="both"/>
              <w:rPr>
                <w:rFonts w:ascii="Times New Roman" w:hAnsi="Times New Roman"/>
                <w:sz w:val="20"/>
                <w:szCs w:val="20"/>
              </w:rPr>
            </w:pPr>
            <w:proofErr w:type="spellStart"/>
            <w:proofErr w:type="gramStart"/>
            <w:r w:rsidRPr="007C5A6E">
              <w:rPr>
                <w:rFonts w:ascii="Times New Roman" w:hAnsi="Times New Roman"/>
                <w:sz w:val="20"/>
                <w:szCs w:val="20"/>
              </w:rPr>
              <w:t>nd</w:t>
            </w:r>
            <w:proofErr w:type="spellEnd"/>
            <w:proofErr w:type="gramEnd"/>
          </w:p>
        </w:tc>
      </w:tr>
    </w:tbl>
    <w:p w14:paraId="5AE883A9" w14:textId="77777777" w:rsidR="007C3497" w:rsidRPr="007C5A6E" w:rsidRDefault="007C3497" w:rsidP="007C3497">
      <w:pPr>
        <w:spacing w:after="0" w:line="240" w:lineRule="auto"/>
        <w:jc w:val="both"/>
        <w:rPr>
          <w:rFonts w:ascii="Times New Roman" w:hAnsi="Times New Roman"/>
          <w:sz w:val="20"/>
          <w:szCs w:val="20"/>
        </w:rPr>
      </w:pPr>
      <w:r w:rsidRPr="007C5A6E">
        <w:rPr>
          <w:rFonts w:ascii="Times New Roman" w:hAnsi="Times New Roman"/>
          <w:sz w:val="20"/>
          <w:szCs w:val="20"/>
        </w:rPr>
        <w:t xml:space="preserve">(Source : </w:t>
      </w:r>
      <w:bookmarkStart w:id="1118" w:name="_Hlk182486045"/>
      <w:r w:rsidRPr="007C5A6E">
        <w:rPr>
          <w:rFonts w:ascii="Times New Roman" w:hAnsi="Times New Roman"/>
          <w:sz w:val="20"/>
          <w:szCs w:val="20"/>
        </w:rPr>
        <w:t>DGESS/MEEA, 2023</w:t>
      </w:r>
      <w:bookmarkEnd w:id="1118"/>
      <w:r w:rsidRPr="007C5A6E">
        <w:rPr>
          <w:rFonts w:ascii="Times New Roman" w:hAnsi="Times New Roman"/>
          <w:sz w:val="20"/>
          <w:szCs w:val="20"/>
        </w:rPr>
        <w:t>)</w:t>
      </w:r>
    </w:p>
    <w:p w14:paraId="250FC1D6" w14:textId="77777777" w:rsidR="007C3497" w:rsidRPr="007C5A6E" w:rsidRDefault="007C3497" w:rsidP="007C3497">
      <w:pPr>
        <w:spacing w:after="0" w:line="240" w:lineRule="auto"/>
        <w:jc w:val="both"/>
        <w:rPr>
          <w:rFonts w:ascii="Times New Roman" w:hAnsi="Times New Roman"/>
          <w:sz w:val="24"/>
          <w:szCs w:val="24"/>
        </w:rPr>
      </w:pPr>
    </w:p>
    <w:p w14:paraId="04B4EA4A" w14:textId="27CF64AD" w:rsidR="007C3497" w:rsidRPr="007C5A6E" w:rsidRDefault="007C3497" w:rsidP="003F3821">
      <w:pPr>
        <w:numPr>
          <w:ilvl w:val="0"/>
          <w:numId w:val="36"/>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u w:val="single"/>
        </w:rPr>
        <w:t>Les Aires Protégées du Burkina Faso</w:t>
      </w:r>
      <w:r w:rsidR="005726AF" w:rsidRPr="007C5A6E">
        <w:rPr>
          <w:rFonts w:ascii="Times New Roman" w:hAnsi="Times New Roman"/>
          <w:sz w:val="24"/>
          <w:szCs w:val="24"/>
          <w:u w:val="single"/>
        </w:rPr>
        <w:t>.</w:t>
      </w:r>
      <w:r w:rsidR="005726AF" w:rsidRPr="007C5A6E">
        <w:rPr>
          <w:rFonts w:ascii="Times New Roman" w:hAnsi="Times New Roman"/>
          <w:sz w:val="24"/>
          <w:szCs w:val="24"/>
        </w:rPr>
        <w:t xml:space="preserve"> </w:t>
      </w:r>
      <w:r w:rsidRPr="007C5A6E">
        <w:rPr>
          <w:rFonts w:ascii="Times New Roman" w:hAnsi="Times New Roman"/>
          <w:sz w:val="24"/>
          <w:szCs w:val="24"/>
        </w:rPr>
        <w:t xml:space="preserve">Le domaine forestier classé de l’Etat couvre une superficie totale estimée à 3,9 millions d’hectares, soit environ 14 % de la superficie du territoire national. Il est composé depuis 2015 de 77 aires classées (Figure </w:t>
      </w:r>
      <w:r w:rsidR="005726AF" w:rsidRPr="007C5A6E">
        <w:rPr>
          <w:rFonts w:ascii="Times New Roman" w:hAnsi="Times New Roman"/>
          <w:sz w:val="24"/>
          <w:szCs w:val="24"/>
        </w:rPr>
        <w:t>69</w:t>
      </w:r>
      <w:r w:rsidRPr="007C5A6E">
        <w:rPr>
          <w:rFonts w:ascii="Times New Roman" w:hAnsi="Times New Roman"/>
          <w:sz w:val="24"/>
          <w:szCs w:val="24"/>
        </w:rPr>
        <w:t xml:space="preserve">). Parmi ces aires, une a été entièrement engloutie par les eaux du barrage de Bagré. Il s’agit de la forêt classée de </w:t>
      </w:r>
      <w:proofErr w:type="spellStart"/>
      <w:r w:rsidRPr="007C5A6E">
        <w:rPr>
          <w:rFonts w:ascii="Times New Roman" w:hAnsi="Times New Roman"/>
          <w:sz w:val="24"/>
          <w:szCs w:val="24"/>
        </w:rPr>
        <w:t>Yakala</w:t>
      </w:r>
      <w:proofErr w:type="spellEnd"/>
      <w:r w:rsidRPr="007C5A6E">
        <w:rPr>
          <w:rFonts w:ascii="Times New Roman" w:hAnsi="Times New Roman"/>
          <w:sz w:val="24"/>
          <w:szCs w:val="24"/>
        </w:rPr>
        <w:t xml:space="preserve"> (région du Centre-Est). Ces différentes aires protégées correspondent à des régimes juridiques particuliers, tels que prévus par la Loi portant Code forestier au Burkina Faso :</w:t>
      </w:r>
    </w:p>
    <w:p w14:paraId="2B8CBBE0" w14:textId="77777777" w:rsidR="007C3497" w:rsidRPr="007C5A6E" w:rsidRDefault="007C3497" w:rsidP="003F3821">
      <w:pPr>
        <w:numPr>
          <w:ilvl w:val="0"/>
          <w:numId w:val="37"/>
        </w:numPr>
        <w:spacing w:after="0" w:line="240" w:lineRule="auto"/>
        <w:ind w:left="867" w:hanging="357"/>
        <w:contextualSpacing/>
        <w:jc w:val="both"/>
        <w:rPr>
          <w:rFonts w:ascii="Times New Roman" w:hAnsi="Times New Roman"/>
          <w:sz w:val="24"/>
          <w:szCs w:val="24"/>
        </w:rPr>
      </w:pPr>
      <w:r w:rsidRPr="007C5A6E">
        <w:rPr>
          <w:rFonts w:ascii="Times New Roman" w:hAnsi="Times New Roman"/>
          <w:sz w:val="24"/>
          <w:szCs w:val="24"/>
        </w:rPr>
        <w:t xml:space="preserve">Les parcs nationaux : ils sont au nombre de 3 (W, Po et Arly) totalisant une superficie de 607 930 ha. Le dernier, Arly a été constitué en 2015 ; </w:t>
      </w:r>
    </w:p>
    <w:p w14:paraId="5110538B" w14:textId="77777777" w:rsidR="007C3497" w:rsidRPr="007C5A6E" w:rsidRDefault="007C3497" w:rsidP="003F3821">
      <w:pPr>
        <w:numPr>
          <w:ilvl w:val="0"/>
          <w:numId w:val="37"/>
        </w:numPr>
        <w:spacing w:after="0" w:line="240" w:lineRule="auto"/>
        <w:ind w:left="867" w:hanging="357"/>
        <w:contextualSpacing/>
        <w:jc w:val="both"/>
        <w:rPr>
          <w:rFonts w:ascii="Times New Roman" w:hAnsi="Times New Roman"/>
          <w:sz w:val="24"/>
          <w:szCs w:val="24"/>
        </w:rPr>
      </w:pPr>
      <w:r w:rsidRPr="007C5A6E">
        <w:rPr>
          <w:rFonts w:ascii="Times New Roman" w:hAnsi="Times New Roman"/>
          <w:sz w:val="24"/>
          <w:szCs w:val="24"/>
        </w:rPr>
        <w:t xml:space="preserve">Les réserves de faune : elles concernent une réserve totale de faune (12 700 ha), 8 réserves partielles de faune strict (694 605 ha) et 1 réserve </w:t>
      </w:r>
      <w:proofErr w:type="spellStart"/>
      <w:r w:rsidRPr="007C5A6E">
        <w:rPr>
          <w:rFonts w:ascii="Times New Roman" w:hAnsi="Times New Roman"/>
          <w:sz w:val="24"/>
          <w:szCs w:val="24"/>
        </w:rPr>
        <w:t>sylvo-pastorale</w:t>
      </w:r>
      <w:proofErr w:type="spellEnd"/>
      <w:r w:rsidRPr="007C5A6E">
        <w:rPr>
          <w:rFonts w:ascii="Times New Roman" w:hAnsi="Times New Roman"/>
          <w:sz w:val="24"/>
          <w:szCs w:val="24"/>
        </w:rPr>
        <w:t xml:space="preserve"> et partielle de faune (1 600 000) ; </w:t>
      </w:r>
    </w:p>
    <w:p w14:paraId="7A61ED29" w14:textId="77777777" w:rsidR="007C3497" w:rsidRPr="007C5A6E" w:rsidRDefault="007C3497" w:rsidP="003F3821">
      <w:pPr>
        <w:numPr>
          <w:ilvl w:val="0"/>
          <w:numId w:val="37"/>
        </w:numPr>
        <w:spacing w:after="0" w:line="240" w:lineRule="auto"/>
        <w:ind w:left="867" w:hanging="357"/>
        <w:contextualSpacing/>
        <w:jc w:val="both"/>
        <w:rPr>
          <w:rFonts w:ascii="Times New Roman" w:hAnsi="Times New Roman"/>
          <w:sz w:val="24"/>
          <w:szCs w:val="24"/>
        </w:rPr>
      </w:pPr>
      <w:r w:rsidRPr="007C5A6E">
        <w:rPr>
          <w:rFonts w:ascii="Times New Roman" w:hAnsi="Times New Roman"/>
          <w:sz w:val="24"/>
          <w:szCs w:val="24"/>
        </w:rPr>
        <w:t xml:space="preserve">Les ranchs de gibier : un seul ranch de gibier est actuellement répertorié au Burkina Faso ; il s’agit du ranch de gibier de Nazinga d’une superficie de 91 300 ha ; </w:t>
      </w:r>
    </w:p>
    <w:p w14:paraId="19D42CCB" w14:textId="77777777" w:rsidR="007C3497" w:rsidRPr="007C5A6E" w:rsidRDefault="007C3497" w:rsidP="003F3821">
      <w:pPr>
        <w:numPr>
          <w:ilvl w:val="0"/>
          <w:numId w:val="37"/>
        </w:numPr>
        <w:spacing w:after="0" w:line="240" w:lineRule="auto"/>
        <w:ind w:left="867" w:hanging="357"/>
        <w:contextualSpacing/>
        <w:jc w:val="both"/>
        <w:rPr>
          <w:rFonts w:ascii="Times New Roman" w:hAnsi="Times New Roman"/>
          <w:sz w:val="24"/>
          <w:szCs w:val="24"/>
        </w:rPr>
      </w:pPr>
      <w:r w:rsidRPr="007C5A6E">
        <w:rPr>
          <w:rFonts w:ascii="Times New Roman" w:hAnsi="Times New Roman"/>
          <w:sz w:val="24"/>
          <w:szCs w:val="24"/>
        </w:rPr>
        <w:t xml:space="preserve">Les forêts classées : elles sont au nombre de 65 dont certaines sont à vocation faunique et d’autres à vocation forestière ; </w:t>
      </w:r>
    </w:p>
    <w:p w14:paraId="7BC714A0" w14:textId="77777777" w:rsidR="007C3497" w:rsidRPr="007C5A6E" w:rsidRDefault="007C3497" w:rsidP="003F3821">
      <w:pPr>
        <w:numPr>
          <w:ilvl w:val="0"/>
          <w:numId w:val="37"/>
        </w:numPr>
        <w:spacing w:after="0" w:line="240" w:lineRule="auto"/>
        <w:ind w:left="867" w:hanging="357"/>
        <w:contextualSpacing/>
        <w:jc w:val="both"/>
        <w:rPr>
          <w:rFonts w:ascii="Times New Roman" w:hAnsi="Times New Roman"/>
          <w:sz w:val="24"/>
          <w:szCs w:val="24"/>
        </w:rPr>
      </w:pPr>
      <w:r w:rsidRPr="007C5A6E">
        <w:rPr>
          <w:rFonts w:ascii="Times New Roman" w:hAnsi="Times New Roman"/>
          <w:sz w:val="24"/>
          <w:szCs w:val="24"/>
        </w:rPr>
        <w:t>Les zones de chasse : En plus des aires classées au nom de l’Etat, le Burkina Faso dispose aussi de 4 aires protégées non classées utilisées dans le cadre de l’exploitation de la faune. Il s’agit de la zone de chasse de Tapoa-</w:t>
      </w:r>
      <w:proofErr w:type="spellStart"/>
      <w:r w:rsidRPr="007C5A6E">
        <w:rPr>
          <w:rFonts w:ascii="Times New Roman" w:hAnsi="Times New Roman"/>
          <w:sz w:val="24"/>
          <w:szCs w:val="24"/>
        </w:rPr>
        <w:t>Djerma</w:t>
      </w:r>
      <w:proofErr w:type="spellEnd"/>
      <w:r w:rsidRPr="007C5A6E">
        <w:rPr>
          <w:rFonts w:ascii="Times New Roman" w:hAnsi="Times New Roman"/>
          <w:sz w:val="24"/>
          <w:szCs w:val="24"/>
        </w:rPr>
        <w:t xml:space="preserve"> (30 000 ha), la zone de chasse de </w:t>
      </w:r>
      <w:proofErr w:type="spellStart"/>
      <w:r w:rsidRPr="007C5A6E">
        <w:rPr>
          <w:rFonts w:ascii="Times New Roman" w:hAnsi="Times New Roman"/>
          <w:sz w:val="24"/>
          <w:szCs w:val="24"/>
        </w:rPr>
        <w:t>Koakrana</w:t>
      </w:r>
      <w:proofErr w:type="spellEnd"/>
      <w:r w:rsidRPr="007C5A6E">
        <w:rPr>
          <w:rFonts w:ascii="Times New Roman" w:hAnsi="Times New Roman"/>
          <w:sz w:val="24"/>
          <w:szCs w:val="24"/>
        </w:rPr>
        <w:t xml:space="preserve"> (25 000 ha), la zone de chasse de </w:t>
      </w:r>
      <w:proofErr w:type="spellStart"/>
      <w:r w:rsidRPr="007C5A6E">
        <w:rPr>
          <w:rFonts w:ascii="Times New Roman" w:hAnsi="Times New Roman"/>
          <w:sz w:val="24"/>
          <w:szCs w:val="24"/>
        </w:rPr>
        <w:t>Wamou</w:t>
      </w:r>
      <w:proofErr w:type="spellEnd"/>
      <w:r w:rsidRPr="007C5A6E">
        <w:rPr>
          <w:rFonts w:ascii="Times New Roman" w:hAnsi="Times New Roman"/>
          <w:sz w:val="24"/>
          <w:szCs w:val="24"/>
        </w:rPr>
        <w:t xml:space="preserve"> (64 426 ha) et la zone de chasse de </w:t>
      </w:r>
      <w:proofErr w:type="spellStart"/>
      <w:r w:rsidRPr="007C5A6E">
        <w:rPr>
          <w:rFonts w:ascii="Times New Roman" w:hAnsi="Times New Roman"/>
          <w:sz w:val="24"/>
          <w:szCs w:val="24"/>
        </w:rPr>
        <w:t>Pagou-Tandougou</w:t>
      </w:r>
      <w:proofErr w:type="spellEnd"/>
      <w:r w:rsidRPr="007C5A6E">
        <w:rPr>
          <w:rFonts w:ascii="Times New Roman" w:hAnsi="Times New Roman"/>
          <w:sz w:val="24"/>
          <w:szCs w:val="24"/>
        </w:rPr>
        <w:t xml:space="preserve"> (35 000 ha) ;</w:t>
      </w:r>
    </w:p>
    <w:p w14:paraId="1F6F36C3" w14:textId="00FE9621" w:rsidR="007C3497" w:rsidRPr="007C5A6E" w:rsidRDefault="007C3497" w:rsidP="003F3821">
      <w:pPr>
        <w:numPr>
          <w:ilvl w:val="0"/>
          <w:numId w:val="37"/>
        </w:numPr>
        <w:spacing w:after="0" w:line="240" w:lineRule="auto"/>
        <w:ind w:left="867" w:hanging="357"/>
        <w:contextualSpacing/>
        <w:jc w:val="both"/>
        <w:rPr>
          <w:rFonts w:ascii="Times New Roman" w:hAnsi="Times New Roman"/>
          <w:sz w:val="24"/>
          <w:szCs w:val="24"/>
        </w:rPr>
      </w:pPr>
      <w:r w:rsidRPr="007C5A6E">
        <w:rPr>
          <w:rFonts w:ascii="Times New Roman" w:hAnsi="Times New Roman"/>
          <w:sz w:val="24"/>
          <w:szCs w:val="24"/>
        </w:rPr>
        <w:t xml:space="preserve">Les chantiers d’aménagement forestiers (CAF) : Ils font aussi parti du réseau d’aires protégées au Burkina Faso. Ils sont au nombre de 26 dont des forêts classées et des forêts protégées (Tableau </w:t>
      </w:r>
      <w:r w:rsidR="005726AF" w:rsidRPr="007C5A6E">
        <w:rPr>
          <w:rFonts w:ascii="Times New Roman" w:hAnsi="Times New Roman"/>
          <w:sz w:val="24"/>
          <w:szCs w:val="24"/>
        </w:rPr>
        <w:t>4</w:t>
      </w:r>
      <w:r w:rsidR="0097141F" w:rsidRPr="007C5A6E">
        <w:rPr>
          <w:rFonts w:ascii="Times New Roman" w:hAnsi="Times New Roman"/>
          <w:sz w:val="24"/>
          <w:szCs w:val="24"/>
        </w:rPr>
        <w:t>7</w:t>
      </w:r>
      <w:r w:rsidRPr="007C5A6E">
        <w:rPr>
          <w:rFonts w:ascii="Times New Roman" w:hAnsi="Times New Roman"/>
          <w:sz w:val="24"/>
          <w:szCs w:val="24"/>
        </w:rPr>
        <w:t>) ;</w:t>
      </w:r>
    </w:p>
    <w:p w14:paraId="08949B67" w14:textId="77777777" w:rsidR="007C3497" w:rsidRPr="007C5A6E" w:rsidRDefault="007C3497" w:rsidP="007C3497">
      <w:pPr>
        <w:spacing w:after="0" w:line="240" w:lineRule="auto"/>
        <w:ind w:left="708"/>
        <w:jc w:val="both"/>
        <w:rPr>
          <w:rFonts w:ascii="Times New Roman" w:hAnsi="Times New Roman"/>
          <w:sz w:val="24"/>
          <w:szCs w:val="24"/>
        </w:rPr>
      </w:pPr>
    </w:p>
    <w:p w14:paraId="481A799C" w14:textId="77777777" w:rsidR="007C3497" w:rsidRPr="007C5A6E" w:rsidRDefault="007C3497" w:rsidP="00593390">
      <w:pPr>
        <w:spacing w:after="0" w:line="240" w:lineRule="auto"/>
        <w:jc w:val="both"/>
        <w:rPr>
          <w:rFonts w:ascii="Times New Roman" w:hAnsi="Times New Roman"/>
          <w:sz w:val="24"/>
          <w:szCs w:val="24"/>
        </w:rPr>
      </w:pPr>
      <w:r w:rsidRPr="007C5A6E">
        <w:rPr>
          <w:rFonts w:ascii="Times New Roman" w:hAnsi="Times New Roman"/>
          <w:sz w:val="24"/>
          <w:szCs w:val="24"/>
        </w:rPr>
        <w:t>En plus, le Burkina Faso dispose aussi d’aires protégées communautaires en nombre et superficie très importantes :</w:t>
      </w:r>
    </w:p>
    <w:p w14:paraId="3AB8428B" w14:textId="77777777" w:rsidR="007C3497" w:rsidRPr="007C5A6E" w:rsidRDefault="007C3497" w:rsidP="003F3821">
      <w:pPr>
        <w:numPr>
          <w:ilvl w:val="1"/>
          <w:numId w:val="38"/>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 xml:space="preserve">Les Zones villageoises d’intérêts cynégétiques (ZOVIC) : Au total, 63 ZOVIC ont été recensées dans les régions de l’EST, du Centre-Ouest et Centre-Sud du pays ; </w:t>
      </w:r>
    </w:p>
    <w:p w14:paraId="49DDA56A" w14:textId="77777777" w:rsidR="007C3497" w:rsidRPr="007C5A6E" w:rsidRDefault="007C3497" w:rsidP="003F3821">
      <w:pPr>
        <w:numPr>
          <w:ilvl w:val="1"/>
          <w:numId w:val="38"/>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Les refuges locaux : un seul refuge local a été répertorié dans le Centre-Est du pays avec une superficie de 3 800 ha ;</w:t>
      </w:r>
    </w:p>
    <w:p w14:paraId="571FA1F5" w14:textId="77777777" w:rsidR="007C3497" w:rsidRPr="007C5A6E" w:rsidRDefault="007C3497" w:rsidP="003F3821">
      <w:pPr>
        <w:numPr>
          <w:ilvl w:val="1"/>
          <w:numId w:val="38"/>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 xml:space="preserve">Les forêts villageoises : A ce jour, 43 forêts villageoises couvrant une superficie de 2 710 ha (MEEVCC, 2020) ; </w:t>
      </w:r>
    </w:p>
    <w:p w14:paraId="739514A9" w14:textId="77777777" w:rsidR="007C3497" w:rsidRPr="007C5A6E" w:rsidRDefault="007C3497" w:rsidP="003F3821">
      <w:pPr>
        <w:numPr>
          <w:ilvl w:val="1"/>
          <w:numId w:val="38"/>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 xml:space="preserve">Les bois sacrés avec un nombre de 1206 identifiés à ce jour ;  </w:t>
      </w:r>
    </w:p>
    <w:p w14:paraId="39467D5F" w14:textId="77777777" w:rsidR="007C3497" w:rsidRPr="007C5A6E" w:rsidRDefault="007C3497" w:rsidP="005726AF">
      <w:pPr>
        <w:spacing w:after="0" w:line="240" w:lineRule="auto"/>
        <w:jc w:val="both"/>
        <w:rPr>
          <w:rFonts w:ascii="Times New Roman" w:hAnsi="Times New Roman"/>
          <w:sz w:val="24"/>
          <w:szCs w:val="24"/>
        </w:rPr>
      </w:pPr>
    </w:p>
    <w:p w14:paraId="4012A324" w14:textId="23CE057F" w:rsidR="007C3497" w:rsidRPr="007C5A6E" w:rsidRDefault="005726AF" w:rsidP="005726AF">
      <w:pPr>
        <w:pStyle w:val="Lgende"/>
        <w:spacing w:after="0"/>
        <w:rPr>
          <w:rFonts w:ascii="Times New Roman" w:hAnsi="Times New Roman"/>
          <w:i w:val="0"/>
          <w:iCs w:val="0"/>
          <w:color w:val="auto"/>
          <w:sz w:val="24"/>
          <w:szCs w:val="24"/>
        </w:rPr>
      </w:pPr>
      <w:bookmarkStart w:id="1119" w:name="_Toc182575504"/>
      <w:bookmarkStart w:id="1120" w:name="_Toc183241009"/>
      <w:bookmarkStart w:id="1121" w:name="_Toc183292251"/>
      <w:bookmarkStart w:id="1122" w:name="_Toc183340531"/>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3162F8" w:rsidRPr="007C5A6E">
        <w:rPr>
          <w:rFonts w:ascii="Times New Roman" w:hAnsi="Times New Roman"/>
          <w:i w:val="0"/>
          <w:iCs w:val="0"/>
          <w:noProof/>
          <w:color w:val="auto"/>
          <w:sz w:val="24"/>
          <w:szCs w:val="24"/>
        </w:rPr>
        <w:t>47</w:t>
      </w:r>
      <w:r w:rsidRPr="007C5A6E">
        <w:rPr>
          <w:rFonts w:ascii="Times New Roman" w:hAnsi="Times New Roman"/>
          <w:i w:val="0"/>
          <w:iCs w:val="0"/>
          <w:color w:val="auto"/>
          <w:sz w:val="24"/>
          <w:szCs w:val="24"/>
        </w:rPr>
        <w:fldChar w:fldCharType="end"/>
      </w:r>
      <w:r w:rsidR="007C3497" w:rsidRPr="007C5A6E">
        <w:rPr>
          <w:rFonts w:ascii="Times New Roman" w:hAnsi="Times New Roman"/>
          <w:i w:val="0"/>
          <w:iCs w:val="0"/>
          <w:color w:val="auto"/>
          <w:sz w:val="24"/>
          <w:szCs w:val="24"/>
        </w:rPr>
        <w:t xml:space="preserve"> : Liste des chantiers d’aménagement forestiers (CAF) au Burkina Faso</w:t>
      </w:r>
      <w:bookmarkEnd w:id="1119"/>
      <w:bookmarkEnd w:id="1120"/>
      <w:bookmarkEnd w:id="1121"/>
      <w:bookmarkEnd w:id="1122"/>
      <w:r w:rsidR="007C3497" w:rsidRPr="007C5A6E">
        <w:rPr>
          <w:rFonts w:ascii="Times New Roman" w:hAnsi="Times New Roman"/>
          <w:i w:val="0"/>
          <w:iCs w:val="0"/>
          <w:color w:val="auto"/>
          <w:sz w:val="24"/>
          <w:szCs w:val="24"/>
        </w:rPr>
        <w:t xml:space="preserve"> </w:t>
      </w:r>
    </w:p>
    <w:p w14:paraId="6B7A4CA9" w14:textId="77777777" w:rsidR="005726AF" w:rsidRPr="007C5A6E" w:rsidRDefault="005726AF" w:rsidP="005726AF">
      <w:pPr>
        <w:spacing w:after="0" w:line="240" w:lineRule="auto"/>
      </w:pPr>
    </w:p>
    <w:tbl>
      <w:tblPr>
        <w:tblStyle w:val="TableGrid1"/>
        <w:tblW w:w="9601" w:type="dxa"/>
        <w:tblInd w:w="14" w:type="dxa"/>
        <w:tblCellMar>
          <w:left w:w="76" w:type="dxa"/>
          <w:right w:w="81" w:type="dxa"/>
        </w:tblCellMar>
        <w:tblLook w:val="04A0" w:firstRow="1" w:lastRow="0" w:firstColumn="1" w:lastColumn="0" w:noHBand="0" w:noVBand="1"/>
      </w:tblPr>
      <w:tblGrid>
        <w:gridCol w:w="1433"/>
        <w:gridCol w:w="1439"/>
        <w:gridCol w:w="2212"/>
        <w:gridCol w:w="1677"/>
        <w:gridCol w:w="1839"/>
        <w:gridCol w:w="1001"/>
      </w:tblGrid>
      <w:tr w:rsidR="007C3497" w:rsidRPr="007C5A6E" w14:paraId="68C789EF" w14:textId="77777777" w:rsidTr="008811D7">
        <w:trPr>
          <w:trHeight w:val="600"/>
        </w:trPr>
        <w:tc>
          <w:tcPr>
            <w:tcW w:w="1433" w:type="dxa"/>
            <w:tcBorders>
              <w:top w:val="single" w:sz="4" w:space="0" w:color="999A9A"/>
              <w:left w:val="single" w:sz="4" w:space="0" w:color="999A9A"/>
              <w:bottom w:val="single" w:sz="4" w:space="0" w:color="999A9A"/>
              <w:right w:val="single" w:sz="4" w:space="0" w:color="999A9A"/>
            </w:tcBorders>
            <w:shd w:val="clear" w:color="auto" w:fill="002060"/>
            <w:vAlign w:val="center"/>
          </w:tcPr>
          <w:p w14:paraId="26097C83" w14:textId="77777777" w:rsidR="007C3497" w:rsidRPr="007C5A6E" w:rsidRDefault="007C3497" w:rsidP="008811D7">
            <w:pPr>
              <w:spacing w:after="0" w:line="240" w:lineRule="auto"/>
              <w:ind w:left="4"/>
              <w:jc w:val="center"/>
              <w:rPr>
                <w:rFonts w:ascii="Times New Roman" w:hAnsi="Times New Roman"/>
                <w:sz w:val="21"/>
                <w:szCs w:val="21"/>
              </w:rPr>
            </w:pPr>
            <w:r w:rsidRPr="007C5A6E">
              <w:rPr>
                <w:rFonts w:ascii="Times New Roman" w:hAnsi="Times New Roman"/>
                <w:b/>
                <w:sz w:val="21"/>
                <w:szCs w:val="21"/>
              </w:rPr>
              <w:t>Régions</w:t>
            </w:r>
          </w:p>
        </w:tc>
        <w:tc>
          <w:tcPr>
            <w:tcW w:w="1439" w:type="dxa"/>
            <w:tcBorders>
              <w:top w:val="single" w:sz="4" w:space="0" w:color="999A9A"/>
              <w:left w:val="single" w:sz="4" w:space="0" w:color="999A9A"/>
              <w:bottom w:val="single" w:sz="4" w:space="0" w:color="999A9A"/>
              <w:right w:val="single" w:sz="4" w:space="0" w:color="999A9A"/>
            </w:tcBorders>
            <w:shd w:val="clear" w:color="auto" w:fill="002060"/>
            <w:vAlign w:val="center"/>
          </w:tcPr>
          <w:p w14:paraId="54FA7EA9" w14:textId="77777777" w:rsidR="007C3497" w:rsidRPr="007C5A6E" w:rsidRDefault="007C3497" w:rsidP="008811D7">
            <w:pPr>
              <w:spacing w:after="0" w:line="240" w:lineRule="auto"/>
              <w:ind w:left="4"/>
              <w:jc w:val="center"/>
              <w:rPr>
                <w:rFonts w:ascii="Times New Roman" w:hAnsi="Times New Roman"/>
                <w:sz w:val="21"/>
                <w:szCs w:val="21"/>
              </w:rPr>
            </w:pPr>
            <w:r w:rsidRPr="007C5A6E">
              <w:rPr>
                <w:rFonts w:ascii="Times New Roman" w:hAnsi="Times New Roman"/>
                <w:b/>
                <w:sz w:val="21"/>
                <w:szCs w:val="21"/>
              </w:rPr>
              <w:t>Provinces</w:t>
            </w:r>
          </w:p>
        </w:tc>
        <w:tc>
          <w:tcPr>
            <w:tcW w:w="2212" w:type="dxa"/>
            <w:tcBorders>
              <w:top w:val="single" w:sz="4" w:space="0" w:color="999A9A"/>
              <w:left w:val="single" w:sz="4" w:space="0" w:color="999A9A"/>
              <w:bottom w:val="single" w:sz="4" w:space="0" w:color="999A9A"/>
              <w:right w:val="single" w:sz="4" w:space="0" w:color="999A9A"/>
            </w:tcBorders>
            <w:shd w:val="clear" w:color="auto" w:fill="002060"/>
            <w:vAlign w:val="center"/>
          </w:tcPr>
          <w:p w14:paraId="28DA07C4" w14:textId="77777777" w:rsidR="007C3497" w:rsidRPr="007C5A6E" w:rsidRDefault="007C3497" w:rsidP="008811D7">
            <w:pPr>
              <w:spacing w:after="0" w:line="240" w:lineRule="auto"/>
              <w:ind w:left="4"/>
              <w:jc w:val="center"/>
              <w:rPr>
                <w:rFonts w:ascii="Times New Roman" w:hAnsi="Times New Roman"/>
                <w:sz w:val="21"/>
                <w:szCs w:val="21"/>
              </w:rPr>
            </w:pPr>
            <w:r w:rsidRPr="007C5A6E">
              <w:rPr>
                <w:rFonts w:ascii="Times New Roman" w:hAnsi="Times New Roman"/>
                <w:b/>
                <w:sz w:val="21"/>
                <w:szCs w:val="21"/>
              </w:rPr>
              <w:t>CAF</w:t>
            </w:r>
          </w:p>
        </w:tc>
        <w:tc>
          <w:tcPr>
            <w:tcW w:w="1677" w:type="dxa"/>
            <w:tcBorders>
              <w:top w:val="single" w:sz="4" w:space="0" w:color="999A9A"/>
              <w:left w:val="single" w:sz="4" w:space="0" w:color="999A9A"/>
              <w:bottom w:val="single" w:sz="4" w:space="0" w:color="999A9A"/>
              <w:right w:val="single" w:sz="4" w:space="0" w:color="999A9A"/>
            </w:tcBorders>
            <w:shd w:val="clear" w:color="auto" w:fill="002060"/>
          </w:tcPr>
          <w:p w14:paraId="4F68B308" w14:textId="77777777" w:rsidR="007C3497" w:rsidRPr="007C5A6E" w:rsidRDefault="007C3497" w:rsidP="008811D7">
            <w:pPr>
              <w:spacing w:after="0" w:line="240" w:lineRule="auto"/>
              <w:ind w:left="4"/>
              <w:jc w:val="center"/>
              <w:rPr>
                <w:rFonts w:ascii="Times New Roman" w:hAnsi="Times New Roman"/>
                <w:sz w:val="21"/>
                <w:szCs w:val="21"/>
              </w:rPr>
            </w:pPr>
            <w:r w:rsidRPr="007C5A6E">
              <w:rPr>
                <w:rFonts w:ascii="Times New Roman" w:hAnsi="Times New Roman"/>
                <w:b/>
                <w:sz w:val="21"/>
                <w:szCs w:val="21"/>
              </w:rPr>
              <w:t>Superficie aménagée (ha)</w:t>
            </w:r>
          </w:p>
        </w:tc>
        <w:tc>
          <w:tcPr>
            <w:tcW w:w="1839" w:type="dxa"/>
            <w:tcBorders>
              <w:top w:val="single" w:sz="4" w:space="0" w:color="999A9A"/>
              <w:left w:val="single" w:sz="4" w:space="0" w:color="999A9A"/>
              <w:bottom w:val="single" w:sz="4" w:space="0" w:color="999A9A"/>
              <w:right w:val="single" w:sz="4" w:space="0" w:color="999A9A"/>
            </w:tcBorders>
            <w:shd w:val="clear" w:color="auto" w:fill="002060"/>
            <w:vAlign w:val="center"/>
          </w:tcPr>
          <w:p w14:paraId="7EA92905" w14:textId="77777777" w:rsidR="007C3497" w:rsidRPr="007C5A6E" w:rsidRDefault="007C3497" w:rsidP="008811D7">
            <w:pPr>
              <w:spacing w:after="0" w:line="240" w:lineRule="auto"/>
              <w:ind w:left="4"/>
              <w:jc w:val="center"/>
              <w:rPr>
                <w:rFonts w:ascii="Times New Roman" w:hAnsi="Times New Roman"/>
                <w:sz w:val="21"/>
                <w:szCs w:val="21"/>
              </w:rPr>
            </w:pPr>
            <w:r w:rsidRPr="007C5A6E">
              <w:rPr>
                <w:rFonts w:ascii="Times New Roman" w:hAnsi="Times New Roman"/>
                <w:b/>
                <w:sz w:val="21"/>
                <w:szCs w:val="21"/>
              </w:rPr>
              <w:t>Statut</w:t>
            </w:r>
          </w:p>
        </w:tc>
        <w:tc>
          <w:tcPr>
            <w:tcW w:w="1001" w:type="dxa"/>
            <w:tcBorders>
              <w:top w:val="single" w:sz="4" w:space="0" w:color="999A9A"/>
              <w:left w:val="single" w:sz="4" w:space="0" w:color="999A9A"/>
              <w:bottom w:val="single" w:sz="4" w:space="0" w:color="999A9A"/>
              <w:right w:val="single" w:sz="4" w:space="0" w:color="999A9A"/>
            </w:tcBorders>
            <w:shd w:val="clear" w:color="auto" w:fill="002060"/>
          </w:tcPr>
          <w:p w14:paraId="3A97B355" w14:textId="77777777" w:rsidR="007C3497" w:rsidRPr="007C5A6E" w:rsidRDefault="007C3497" w:rsidP="008811D7">
            <w:pPr>
              <w:spacing w:after="0" w:line="240" w:lineRule="auto"/>
              <w:ind w:left="4"/>
              <w:jc w:val="center"/>
              <w:rPr>
                <w:rFonts w:ascii="Times New Roman" w:hAnsi="Times New Roman"/>
                <w:sz w:val="21"/>
                <w:szCs w:val="21"/>
              </w:rPr>
            </w:pPr>
            <w:r w:rsidRPr="007C5A6E">
              <w:rPr>
                <w:rFonts w:ascii="Times New Roman" w:hAnsi="Times New Roman"/>
                <w:b/>
                <w:sz w:val="21"/>
                <w:szCs w:val="21"/>
              </w:rPr>
              <w:t>Nombre de CAF</w:t>
            </w:r>
          </w:p>
        </w:tc>
      </w:tr>
      <w:tr w:rsidR="008811D7" w:rsidRPr="007C5A6E" w14:paraId="77D7518A" w14:textId="77777777" w:rsidTr="008811D7">
        <w:trPr>
          <w:trHeight w:val="272"/>
        </w:trPr>
        <w:tc>
          <w:tcPr>
            <w:tcW w:w="1433" w:type="dxa"/>
            <w:vMerge w:val="restart"/>
            <w:tcBorders>
              <w:top w:val="single" w:sz="4" w:space="0" w:color="999A9A"/>
              <w:left w:val="single" w:sz="4" w:space="0" w:color="999A9A"/>
              <w:right w:val="single" w:sz="4" w:space="0" w:color="999A9A"/>
            </w:tcBorders>
            <w:shd w:val="clear" w:color="auto" w:fill="auto"/>
            <w:vAlign w:val="center"/>
          </w:tcPr>
          <w:p w14:paraId="4A038FA8" w14:textId="22BC775D" w:rsidR="008811D7" w:rsidRPr="007C5A6E" w:rsidRDefault="008811D7" w:rsidP="008811D7">
            <w:pPr>
              <w:spacing w:after="0" w:line="240" w:lineRule="auto"/>
              <w:ind w:left="4"/>
              <w:rPr>
                <w:rFonts w:ascii="Times New Roman" w:hAnsi="Times New Roman"/>
                <w:sz w:val="21"/>
                <w:szCs w:val="21"/>
              </w:rPr>
            </w:pPr>
            <w:r w:rsidRPr="007C5A6E">
              <w:rPr>
                <w:rFonts w:ascii="Times New Roman" w:hAnsi="Times New Roman"/>
                <w:sz w:val="21"/>
                <w:szCs w:val="21"/>
              </w:rPr>
              <w:t>Centre – Ouest</w:t>
            </w:r>
          </w:p>
        </w:tc>
        <w:tc>
          <w:tcPr>
            <w:tcW w:w="1439" w:type="dxa"/>
            <w:vMerge w:val="restart"/>
            <w:tcBorders>
              <w:top w:val="single" w:sz="4" w:space="0" w:color="999A9A"/>
              <w:left w:val="single" w:sz="4" w:space="0" w:color="999A9A"/>
              <w:right w:val="single" w:sz="4" w:space="0" w:color="999A9A"/>
            </w:tcBorders>
            <w:shd w:val="clear" w:color="auto" w:fill="auto"/>
            <w:vAlign w:val="center"/>
          </w:tcPr>
          <w:p w14:paraId="05AB0736" w14:textId="6EB07757" w:rsidR="008811D7" w:rsidRPr="007C5A6E" w:rsidRDefault="008811D7" w:rsidP="008811D7">
            <w:pPr>
              <w:spacing w:after="0" w:line="240" w:lineRule="auto"/>
              <w:ind w:left="4"/>
              <w:rPr>
                <w:rFonts w:ascii="Times New Roman" w:hAnsi="Times New Roman"/>
                <w:sz w:val="21"/>
                <w:szCs w:val="21"/>
              </w:rPr>
            </w:pPr>
            <w:proofErr w:type="spellStart"/>
            <w:r w:rsidRPr="007C5A6E">
              <w:rPr>
                <w:rFonts w:ascii="Times New Roman" w:hAnsi="Times New Roman"/>
                <w:sz w:val="21"/>
                <w:szCs w:val="21"/>
              </w:rPr>
              <w:t>Ziro</w:t>
            </w:r>
            <w:proofErr w:type="spellEnd"/>
          </w:p>
        </w:tc>
        <w:tc>
          <w:tcPr>
            <w:tcW w:w="2212" w:type="dxa"/>
            <w:tcBorders>
              <w:top w:val="single" w:sz="4" w:space="0" w:color="999A9A"/>
              <w:left w:val="single" w:sz="4" w:space="0" w:color="999A9A"/>
              <w:bottom w:val="single" w:sz="4" w:space="0" w:color="999A9A"/>
              <w:right w:val="single" w:sz="4" w:space="0" w:color="999A9A"/>
            </w:tcBorders>
            <w:shd w:val="clear" w:color="auto" w:fill="auto"/>
          </w:tcPr>
          <w:p w14:paraId="0D405AAB" w14:textId="77777777" w:rsidR="008811D7" w:rsidRPr="007C5A6E" w:rsidRDefault="008811D7" w:rsidP="005726AF">
            <w:pPr>
              <w:spacing w:after="0" w:line="240" w:lineRule="auto"/>
              <w:ind w:left="4"/>
              <w:jc w:val="both"/>
              <w:rPr>
                <w:rFonts w:ascii="Times New Roman" w:hAnsi="Times New Roman"/>
                <w:sz w:val="21"/>
                <w:szCs w:val="21"/>
              </w:rPr>
            </w:pPr>
            <w:r w:rsidRPr="007C5A6E">
              <w:rPr>
                <w:rFonts w:ascii="Times New Roman" w:hAnsi="Times New Roman"/>
                <w:sz w:val="21"/>
                <w:szCs w:val="21"/>
              </w:rPr>
              <w:t>Cassou</w:t>
            </w:r>
          </w:p>
        </w:tc>
        <w:tc>
          <w:tcPr>
            <w:tcW w:w="1677" w:type="dxa"/>
            <w:tcBorders>
              <w:top w:val="single" w:sz="4" w:space="0" w:color="999A9A"/>
              <w:left w:val="single" w:sz="4" w:space="0" w:color="999A9A"/>
              <w:bottom w:val="single" w:sz="4" w:space="0" w:color="999A9A"/>
              <w:right w:val="single" w:sz="4" w:space="0" w:color="999A9A"/>
            </w:tcBorders>
            <w:shd w:val="clear" w:color="auto" w:fill="auto"/>
          </w:tcPr>
          <w:p w14:paraId="78E30080" w14:textId="77777777" w:rsidR="008811D7" w:rsidRPr="007C5A6E" w:rsidRDefault="008811D7" w:rsidP="005726AF">
            <w:pPr>
              <w:spacing w:after="0" w:line="240" w:lineRule="auto"/>
              <w:ind w:left="4"/>
              <w:jc w:val="both"/>
              <w:rPr>
                <w:rFonts w:ascii="Times New Roman" w:hAnsi="Times New Roman"/>
                <w:sz w:val="21"/>
                <w:szCs w:val="21"/>
              </w:rPr>
            </w:pPr>
            <w:r w:rsidRPr="007C5A6E">
              <w:rPr>
                <w:rFonts w:ascii="Times New Roman" w:hAnsi="Times New Roman"/>
                <w:sz w:val="21"/>
                <w:szCs w:val="21"/>
              </w:rPr>
              <w:t>29 515</w:t>
            </w: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3797190D" w14:textId="77777777" w:rsidR="008811D7" w:rsidRPr="007C5A6E" w:rsidRDefault="008811D7" w:rsidP="005726AF">
            <w:pPr>
              <w:spacing w:after="0" w:line="240" w:lineRule="auto"/>
              <w:ind w:left="4"/>
              <w:jc w:val="both"/>
              <w:rPr>
                <w:rFonts w:ascii="Times New Roman" w:hAnsi="Times New Roman"/>
                <w:sz w:val="21"/>
                <w:szCs w:val="21"/>
              </w:rPr>
            </w:pPr>
            <w:r w:rsidRPr="007C5A6E">
              <w:rPr>
                <w:rFonts w:ascii="Times New Roman" w:hAnsi="Times New Roman"/>
                <w:sz w:val="21"/>
                <w:szCs w:val="21"/>
              </w:rPr>
              <w:t>Forêt protégée</w:t>
            </w:r>
          </w:p>
        </w:tc>
        <w:tc>
          <w:tcPr>
            <w:tcW w:w="1001" w:type="dxa"/>
            <w:tcBorders>
              <w:top w:val="single" w:sz="4" w:space="0" w:color="999A9A"/>
              <w:left w:val="single" w:sz="4" w:space="0" w:color="999A9A"/>
              <w:bottom w:val="single" w:sz="4" w:space="0" w:color="999A9A"/>
              <w:right w:val="single" w:sz="4" w:space="0" w:color="999A9A"/>
            </w:tcBorders>
            <w:shd w:val="clear" w:color="auto" w:fill="auto"/>
          </w:tcPr>
          <w:p w14:paraId="3AA8C697" w14:textId="77777777" w:rsidR="008811D7" w:rsidRPr="007C5A6E" w:rsidRDefault="008811D7" w:rsidP="005726AF">
            <w:pPr>
              <w:spacing w:after="0" w:line="240" w:lineRule="auto"/>
              <w:ind w:left="4"/>
              <w:jc w:val="both"/>
              <w:rPr>
                <w:rFonts w:ascii="Times New Roman" w:hAnsi="Times New Roman"/>
                <w:sz w:val="21"/>
                <w:szCs w:val="21"/>
              </w:rPr>
            </w:pPr>
            <w:r w:rsidRPr="007C5A6E">
              <w:rPr>
                <w:rFonts w:ascii="Times New Roman" w:hAnsi="Times New Roman"/>
                <w:sz w:val="21"/>
                <w:szCs w:val="21"/>
              </w:rPr>
              <w:t>01</w:t>
            </w:r>
          </w:p>
        </w:tc>
      </w:tr>
      <w:tr w:rsidR="008811D7" w:rsidRPr="007C5A6E" w14:paraId="31653BC0" w14:textId="77777777" w:rsidTr="00625227">
        <w:trPr>
          <w:trHeight w:val="186"/>
        </w:trPr>
        <w:tc>
          <w:tcPr>
            <w:tcW w:w="1433" w:type="dxa"/>
            <w:vMerge/>
            <w:tcBorders>
              <w:left w:val="single" w:sz="4" w:space="0" w:color="999A9A"/>
              <w:right w:val="single" w:sz="4" w:space="0" w:color="999A9A"/>
            </w:tcBorders>
            <w:shd w:val="clear" w:color="auto" w:fill="auto"/>
          </w:tcPr>
          <w:p w14:paraId="1A600E4D" w14:textId="3807EA83" w:rsidR="008811D7" w:rsidRPr="007C5A6E" w:rsidRDefault="008811D7" w:rsidP="005726AF">
            <w:pPr>
              <w:spacing w:after="0" w:line="240" w:lineRule="auto"/>
              <w:ind w:left="4"/>
              <w:jc w:val="both"/>
              <w:rPr>
                <w:rFonts w:ascii="Times New Roman" w:hAnsi="Times New Roman"/>
                <w:sz w:val="21"/>
                <w:szCs w:val="21"/>
              </w:rPr>
            </w:pPr>
          </w:p>
        </w:tc>
        <w:tc>
          <w:tcPr>
            <w:tcW w:w="1439" w:type="dxa"/>
            <w:vMerge/>
            <w:tcBorders>
              <w:left w:val="single" w:sz="4" w:space="0" w:color="999A9A"/>
              <w:right w:val="single" w:sz="4" w:space="0" w:color="999A9A"/>
            </w:tcBorders>
            <w:shd w:val="clear" w:color="auto" w:fill="auto"/>
          </w:tcPr>
          <w:p w14:paraId="72115A7D" w14:textId="6B7B27BD" w:rsidR="008811D7" w:rsidRPr="007C5A6E" w:rsidRDefault="008811D7" w:rsidP="005726AF">
            <w:pPr>
              <w:spacing w:after="0" w:line="240" w:lineRule="auto"/>
              <w:ind w:left="4"/>
              <w:jc w:val="both"/>
              <w:rPr>
                <w:rFonts w:ascii="Times New Roman" w:hAnsi="Times New Roman"/>
                <w:sz w:val="21"/>
                <w:szCs w:val="21"/>
              </w:rPr>
            </w:pPr>
          </w:p>
        </w:tc>
        <w:tc>
          <w:tcPr>
            <w:tcW w:w="2212" w:type="dxa"/>
            <w:tcBorders>
              <w:top w:val="single" w:sz="4" w:space="0" w:color="999A9A"/>
              <w:left w:val="single" w:sz="4" w:space="0" w:color="999A9A"/>
              <w:bottom w:val="single" w:sz="4" w:space="0" w:color="999A9A"/>
              <w:right w:val="single" w:sz="4" w:space="0" w:color="999A9A"/>
            </w:tcBorders>
            <w:shd w:val="clear" w:color="auto" w:fill="auto"/>
          </w:tcPr>
          <w:p w14:paraId="1EC9684B" w14:textId="77777777" w:rsidR="008811D7" w:rsidRPr="007C5A6E" w:rsidRDefault="008811D7" w:rsidP="005726AF">
            <w:pPr>
              <w:spacing w:after="0" w:line="240" w:lineRule="auto"/>
              <w:ind w:left="4"/>
              <w:jc w:val="both"/>
              <w:rPr>
                <w:rFonts w:ascii="Times New Roman" w:hAnsi="Times New Roman"/>
                <w:sz w:val="21"/>
                <w:szCs w:val="21"/>
              </w:rPr>
            </w:pPr>
            <w:r w:rsidRPr="007C5A6E">
              <w:rPr>
                <w:rFonts w:ascii="Times New Roman" w:hAnsi="Times New Roman"/>
                <w:sz w:val="21"/>
                <w:szCs w:val="21"/>
              </w:rPr>
              <w:t xml:space="preserve">Bougnounou – </w:t>
            </w:r>
            <w:proofErr w:type="spellStart"/>
            <w:r w:rsidRPr="007C5A6E">
              <w:rPr>
                <w:rFonts w:ascii="Times New Roman" w:hAnsi="Times New Roman"/>
                <w:sz w:val="21"/>
                <w:szCs w:val="21"/>
              </w:rPr>
              <w:t>Nébielianayou</w:t>
            </w:r>
            <w:proofErr w:type="spellEnd"/>
          </w:p>
        </w:tc>
        <w:tc>
          <w:tcPr>
            <w:tcW w:w="1677" w:type="dxa"/>
            <w:tcBorders>
              <w:top w:val="single" w:sz="4" w:space="0" w:color="999A9A"/>
              <w:left w:val="single" w:sz="4" w:space="0" w:color="999A9A"/>
              <w:bottom w:val="single" w:sz="4" w:space="0" w:color="999A9A"/>
              <w:right w:val="single" w:sz="4" w:space="0" w:color="999A9A"/>
            </w:tcBorders>
            <w:shd w:val="clear" w:color="auto" w:fill="auto"/>
          </w:tcPr>
          <w:p w14:paraId="2FB2DAE4" w14:textId="77777777" w:rsidR="008811D7" w:rsidRPr="007C5A6E" w:rsidRDefault="008811D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 xml:space="preserve">24 914 </w:t>
            </w: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7B8427E7" w14:textId="77777777" w:rsidR="008811D7" w:rsidRPr="007C5A6E" w:rsidRDefault="008811D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Forêt protégée</w:t>
            </w:r>
          </w:p>
        </w:tc>
        <w:tc>
          <w:tcPr>
            <w:tcW w:w="1001" w:type="dxa"/>
            <w:tcBorders>
              <w:top w:val="single" w:sz="4" w:space="0" w:color="999A9A"/>
              <w:left w:val="single" w:sz="4" w:space="0" w:color="999A9A"/>
              <w:bottom w:val="single" w:sz="4" w:space="0" w:color="999A9A"/>
              <w:right w:val="single" w:sz="4" w:space="0" w:color="999A9A"/>
            </w:tcBorders>
            <w:shd w:val="clear" w:color="auto" w:fill="auto"/>
          </w:tcPr>
          <w:p w14:paraId="17FBC946" w14:textId="77777777" w:rsidR="008811D7" w:rsidRPr="007C5A6E" w:rsidRDefault="008811D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01</w:t>
            </w:r>
          </w:p>
        </w:tc>
      </w:tr>
      <w:tr w:rsidR="008811D7" w:rsidRPr="007C5A6E" w14:paraId="1DA6E171" w14:textId="77777777" w:rsidTr="008811D7">
        <w:trPr>
          <w:trHeight w:val="355"/>
        </w:trPr>
        <w:tc>
          <w:tcPr>
            <w:tcW w:w="1433" w:type="dxa"/>
            <w:vMerge/>
            <w:tcBorders>
              <w:left w:val="single" w:sz="4" w:space="0" w:color="999A9A"/>
              <w:right w:val="single" w:sz="4" w:space="0" w:color="999A9A"/>
            </w:tcBorders>
            <w:shd w:val="clear" w:color="auto" w:fill="auto"/>
          </w:tcPr>
          <w:p w14:paraId="13B20CDE" w14:textId="72285E5E" w:rsidR="008811D7" w:rsidRPr="007C5A6E" w:rsidRDefault="008811D7" w:rsidP="005726AF">
            <w:pPr>
              <w:spacing w:after="0" w:line="240" w:lineRule="auto"/>
              <w:ind w:left="4"/>
              <w:jc w:val="both"/>
              <w:rPr>
                <w:rFonts w:ascii="Times New Roman" w:hAnsi="Times New Roman"/>
                <w:sz w:val="21"/>
                <w:szCs w:val="21"/>
              </w:rPr>
            </w:pPr>
          </w:p>
        </w:tc>
        <w:tc>
          <w:tcPr>
            <w:tcW w:w="1439" w:type="dxa"/>
            <w:vMerge/>
            <w:tcBorders>
              <w:left w:val="single" w:sz="4" w:space="0" w:color="999A9A"/>
              <w:right w:val="single" w:sz="4" w:space="0" w:color="999A9A"/>
            </w:tcBorders>
            <w:shd w:val="clear" w:color="auto" w:fill="auto"/>
          </w:tcPr>
          <w:p w14:paraId="30A46B81" w14:textId="4E8087C3" w:rsidR="008811D7" w:rsidRPr="007C5A6E" w:rsidRDefault="008811D7" w:rsidP="005726AF">
            <w:pPr>
              <w:spacing w:after="0" w:line="240" w:lineRule="auto"/>
              <w:ind w:left="4"/>
              <w:jc w:val="both"/>
              <w:rPr>
                <w:rFonts w:ascii="Times New Roman" w:hAnsi="Times New Roman"/>
                <w:sz w:val="21"/>
                <w:szCs w:val="21"/>
              </w:rPr>
            </w:pPr>
          </w:p>
        </w:tc>
        <w:tc>
          <w:tcPr>
            <w:tcW w:w="2212" w:type="dxa"/>
            <w:vMerge w:val="restart"/>
            <w:tcBorders>
              <w:top w:val="single" w:sz="4" w:space="0" w:color="999A9A"/>
              <w:left w:val="single" w:sz="4" w:space="0" w:color="999A9A"/>
              <w:bottom w:val="single" w:sz="4" w:space="0" w:color="999A9A"/>
              <w:right w:val="single" w:sz="4" w:space="0" w:color="999A9A"/>
            </w:tcBorders>
            <w:shd w:val="clear" w:color="auto" w:fill="auto"/>
            <w:vAlign w:val="center"/>
          </w:tcPr>
          <w:p w14:paraId="2EBCF8F3" w14:textId="77777777" w:rsidR="008811D7" w:rsidRPr="007C5A6E" w:rsidRDefault="008811D7" w:rsidP="005726AF">
            <w:pPr>
              <w:spacing w:after="0" w:line="240" w:lineRule="auto"/>
              <w:ind w:left="3"/>
              <w:jc w:val="both"/>
              <w:rPr>
                <w:rFonts w:ascii="Times New Roman" w:hAnsi="Times New Roman"/>
                <w:sz w:val="21"/>
                <w:szCs w:val="21"/>
              </w:rPr>
            </w:pPr>
            <w:proofErr w:type="spellStart"/>
            <w:r w:rsidRPr="007C5A6E">
              <w:rPr>
                <w:rFonts w:ascii="Times New Roman" w:hAnsi="Times New Roman"/>
                <w:sz w:val="21"/>
                <w:szCs w:val="21"/>
              </w:rPr>
              <w:t>Nazinon</w:t>
            </w:r>
            <w:proofErr w:type="spellEnd"/>
          </w:p>
        </w:tc>
        <w:tc>
          <w:tcPr>
            <w:tcW w:w="1677" w:type="dxa"/>
            <w:vMerge w:val="restart"/>
            <w:tcBorders>
              <w:top w:val="single" w:sz="4" w:space="0" w:color="999A9A"/>
              <w:left w:val="single" w:sz="4" w:space="0" w:color="999A9A"/>
              <w:right w:val="single" w:sz="4" w:space="0" w:color="999A9A"/>
            </w:tcBorders>
            <w:shd w:val="clear" w:color="auto" w:fill="auto"/>
            <w:vAlign w:val="center"/>
          </w:tcPr>
          <w:p w14:paraId="22A747E3" w14:textId="67564B87" w:rsidR="008811D7" w:rsidRPr="007C5A6E" w:rsidRDefault="008811D7" w:rsidP="008811D7">
            <w:pPr>
              <w:spacing w:after="0" w:line="240" w:lineRule="auto"/>
              <w:ind w:left="3"/>
              <w:rPr>
                <w:rFonts w:ascii="Times New Roman" w:hAnsi="Times New Roman"/>
                <w:sz w:val="21"/>
                <w:szCs w:val="21"/>
              </w:rPr>
            </w:pPr>
            <w:r w:rsidRPr="007C5A6E">
              <w:rPr>
                <w:rFonts w:ascii="Times New Roman" w:hAnsi="Times New Roman"/>
                <w:sz w:val="21"/>
                <w:szCs w:val="21"/>
              </w:rPr>
              <w:t>24 899</w:t>
            </w: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067D9F7E" w14:textId="77777777" w:rsidR="008811D7" w:rsidRPr="007C5A6E" w:rsidRDefault="008811D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23 699 ha classés</w:t>
            </w:r>
          </w:p>
        </w:tc>
        <w:tc>
          <w:tcPr>
            <w:tcW w:w="1001" w:type="dxa"/>
            <w:vMerge w:val="restart"/>
            <w:tcBorders>
              <w:top w:val="single" w:sz="4" w:space="0" w:color="999A9A"/>
              <w:left w:val="single" w:sz="4" w:space="0" w:color="999A9A"/>
              <w:right w:val="single" w:sz="4" w:space="0" w:color="999A9A"/>
            </w:tcBorders>
            <w:shd w:val="clear" w:color="auto" w:fill="auto"/>
            <w:vAlign w:val="center"/>
          </w:tcPr>
          <w:p w14:paraId="1C5C57F4" w14:textId="57D0DF4E" w:rsidR="008811D7" w:rsidRPr="007C5A6E" w:rsidRDefault="008811D7" w:rsidP="008811D7">
            <w:pPr>
              <w:spacing w:after="0" w:line="240" w:lineRule="auto"/>
              <w:ind w:left="3"/>
              <w:rPr>
                <w:rFonts w:ascii="Times New Roman" w:hAnsi="Times New Roman"/>
                <w:sz w:val="21"/>
                <w:szCs w:val="21"/>
              </w:rPr>
            </w:pPr>
            <w:r w:rsidRPr="007C5A6E">
              <w:rPr>
                <w:rFonts w:ascii="Times New Roman" w:hAnsi="Times New Roman"/>
                <w:sz w:val="21"/>
                <w:szCs w:val="21"/>
              </w:rPr>
              <w:t>01</w:t>
            </w:r>
          </w:p>
        </w:tc>
      </w:tr>
      <w:tr w:rsidR="008811D7" w:rsidRPr="007C5A6E" w14:paraId="17ED8144" w14:textId="77777777" w:rsidTr="00B61941">
        <w:trPr>
          <w:trHeight w:val="70"/>
        </w:trPr>
        <w:tc>
          <w:tcPr>
            <w:tcW w:w="0" w:type="auto"/>
            <w:vMerge/>
            <w:tcBorders>
              <w:left w:val="single" w:sz="4" w:space="0" w:color="999A9A"/>
              <w:right w:val="single" w:sz="4" w:space="0" w:color="999A9A"/>
            </w:tcBorders>
            <w:shd w:val="clear" w:color="auto" w:fill="auto"/>
          </w:tcPr>
          <w:p w14:paraId="26236F90" w14:textId="51305469" w:rsidR="008811D7" w:rsidRPr="007C5A6E" w:rsidRDefault="008811D7" w:rsidP="005726AF">
            <w:pPr>
              <w:spacing w:after="0" w:line="240" w:lineRule="auto"/>
              <w:ind w:left="4"/>
              <w:jc w:val="both"/>
              <w:rPr>
                <w:rFonts w:ascii="Times New Roman" w:hAnsi="Times New Roman"/>
                <w:sz w:val="21"/>
                <w:szCs w:val="21"/>
              </w:rPr>
            </w:pPr>
          </w:p>
        </w:tc>
        <w:tc>
          <w:tcPr>
            <w:tcW w:w="0" w:type="auto"/>
            <w:vMerge/>
            <w:tcBorders>
              <w:left w:val="single" w:sz="4" w:space="0" w:color="999A9A"/>
              <w:right w:val="single" w:sz="4" w:space="0" w:color="999A9A"/>
            </w:tcBorders>
            <w:shd w:val="clear" w:color="auto" w:fill="auto"/>
          </w:tcPr>
          <w:p w14:paraId="387BB40A" w14:textId="77777777" w:rsidR="008811D7" w:rsidRPr="007C5A6E" w:rsidRDefault="008811D7" w:rsidP="005726AF">
            <w:pPr>
              <w:spacing w:after="0" w:line="240" w:lineRule="auto"/>
              <w:jc w:val="both"/>
              <w:rPr>
                <w:rFonts w:ascii="Times New Roman" w:hAnsi="Times New Roman"/>
                <w:sz w:val="21"/>
                <w:szCs w:val="21"/>
              </w:rPr>
            </w:pPr>
          </w:p>
        </w:tc>
        <w:tc>
          <w:tcPr>
            <w:tcW w:w="2212" w:type="dxa"/>
            <w:vMerge/>
            <w:tcBorders>
              <w:top w:val="nil"/>
              <w:left w:val="single" w:sz="4" w:space="0" w:color="999A9A"/>
              <w:bottom w:val="single" w:sz="4" w:space="0" w:color="999A9A"/>
              <w:right w:val="single" w:sz="4" w:space="0" w:color="999A9A"/>
            </w:tcBorders>
            <w:shd w:val="clear" w:color="auto" w:fill="auto"/>
          </w:tcPr>
          <w:p w14:paraId="7CB6BD78" w14:textId="77777777" w:rsidR="008811D7" w:rsidRPr="007C5A6E" w:rsidRDefault="008811D7" w:rsidP="005726AF">
            <w:pPr>
              <w:spacing w:after="0" w:line="240" w:lineRule="auto"/>
              <w:jc w:val="both"/>
              <w:rPr>
                <w:rFonts w:ascii="Times New Roman" w:hAnsi="Times New Roman"/>
                <w:sz w:val="21"/>
                <w:szCs w:val="21"/>
              </w:rPr>
            </w:pPr>
          </w:p>
        </w:tc>
        <w:tc>
          <w:tcPr>
            <w:tcW w:w="1677" w:type="dxa"/>
            <w:vMerge/>
            <w:tcBorders>
              <w:left w:val="single" w:sz="4" w:space="0" w:color="999A9A"/>
              <w:bottom w:val="single" w:sz="4" w:space="0" w:color="999A9A"/>
              <w:right w:val="single" w:sz="4" w:space="0" w:color="999A9A"/>
            </w:tcBorders>
            <w:shd w:val="clear" w:color="auto" w:fill="auto"/>
          </w:tcPr>
          <w:p w14:paraId="098F9CA2" w14:textId="58023273" w:rsidR="008811D7" w:rsidRPr="007C5A6E" w:rsidRDefault="008811D7" w:rsidP="008811D7">
            <w:pPr>
              <w:spacing w:after="0" w:line="240" w:lineRule="auto"/>
              <w:ind w:left="3"/>
              <w:rPr>
                <w:rFonts w:ascii="Times New Roman" w:hAnsi="Times New Roman"/>
                <w:sz w:val="21"/>
                <w:szCs w:val="21"/>
              </w:rPr>
            </w:pP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6578A607" w14:textId="77777777" w:rsidR="008811D7" w:rsidRPr="007C5A6E" w:rsidRDefault="008811D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1 200 ha non classés</w:t>
            </w:r>
          </w:p>
        </w:tc>
        <w:tc>
          <w:tcPr>
            <w:tcW w:w="1001" w:type="dxa"/>
            <w:vMerge/>
            <w:tcBorders>
              <w:left w:val="single" w:sz="4" w:space="0" w:color="999A9A"/>
              <w:bottom w:val="single" w:sz="4" w:space="0" w:color="999A9A"/>
              <w:right w:val="single" w:sz="4" w:space="0" w:color="999A9A"/>
            </w:tcBorders>
            <w:shd w:val="clear" w:color="auto" w:fill="auto"/>
          </w:tcPr>
          <w:p w14:paraId="608636B4" w14:textId="335B7CD6" w:rsidR="008811D7" w:rsidRPr="007C5A6E" w:rsidRDefault="008811D7" w:rsidP="005726AF">
            <w:pPr>
              <w:spacing w:after="0" w:line="240" w:lineRule="auto"/>
              <w:ind w:left="3"/>
              <w:jc w:val="both"/>
              <w:rPr>
                <w:rFonts w:ascii="Times New Roman" w:hAnsi="Times New Roman"/>
                <w:sz w:val="21"/>
                <w:szCs w:val="21"/>
              </w:rPr>
            </w:pPr>
          </w:p>
        </w:tc>
      </w:tr>
      <w:tr w:rsidR="008811D7" w:rsidRPr="007C5A6E" w14:paraId="65F639CA" w14:textId="77777777" w:rsidTr="00625227">
        <w:trPr>
          <w:trHeight w:val="70"/>
        </w:trPr>
        <w:tc>
          <w:tcPr>
            <w:tcW w:w="1433" w:type="dxa"/>
            <w:vMerge/>
            <w:tcBorders>
              <w:left w:val="single" w:sz="4" w:space="0" w:color="999A9A"/>
              <w:right w:val="single" w:sz="4" w:space="0" w:color="999A9A"/>
            </w:tcBorders>
            <w:shd w:val="clear" w:color="auto" w:fill="auto"/>
            <w:vAlign w:val="bottom"/>
          </w:tcPr>
          <w:p w14:paraId="0D84DA6F" w14:textId="20765271" w:rsidR="008811D7" w:rsidRPr="007C5A6E" w:rsidRDefault="008811D7" w:rsidP="005726AF">
            <w:pPr>
              <w:spacing w:after="0" w:line="240" w:lineRule="auto"/>
              <w:ind w:left="4"/>
              <w:jc w:val="both"/>
              <w:rPr>
                <w:rFonts w:ascii="Times New Roman" w:hAnsi="Times New Roman"/>
                <w:sz w:val="21"/>
                <w:szCs w:val="21"/>
              </w:rPr>
            </w:pPr>
          </w:p>
        </w:tc>
        <w:tc>
          <w:tcPr>
            <w:tcW w:w="1439" w:type="dxa"/>
            <w:vMerge/>
            <w:tcBorders>
              <w:left w:val="single" w:sz="4" w:space="0" w:color="999A9A"/>
              <w:bottom w:val="single" w:sz="4" w:space="0" w:color="999A9A"/>
              <w:right w:val="single" w:sz="4" w:space="0" w:color="999A9A"/>
            </w:tcBorders>
            <w:shd w:val="clear" w:color="auto" w:fill="auto"/>
          </w:tcPr>
          <w:p w14:paraId="3CBC87CD" w14:textId="77777777" w:rsidR="008811D7" w:rsidRPr="007C5A6E" w:rsidRDefault="008811D7" w:rsidP="005726AF">
            <w:pPr>
              <w:spacing w:after="0" w:line="240" w:lineRule="auto"/>
              <w:jc w:val="both"/>
              <w:rPr>
                <w:rFonts w:ascii="Times New Roman" w:hAnsi="Times New Roman"/>
                <w:sz w:val="21"/>
                <w:szCs w:val="21"/>
              </w:rPr>
            </w:pPr>
          </w:p>
        </w:tc>
        <w:tc>
          <w:tcPr>
            <w:tcW w:w="2212" w:type="dxa"/>
            <w:tcBorders>
              <w:top w:val="single" w:sz="4" w:space="0" w:color="999A9A"/>
              <w:left w:val="single" w:sz="4" w:space="0" w:color="999A9A"/>
              <w:bottom w:val="single" w:sz="4" w:space="0" w:color="999A9A"/>
              <w:right w:val="single" w:sz="4" w:space="0" w:color="999A9A"/>
            </w:tcBorders>
            <w:shd w:val="clear" w:color="auto" w:fill="auto"/>
          </w:tcPr>
          <w:p w14:paraId="27B29525" w14:textId="77777777" w:rsidR="008811D7" w:rsidRPr="007C5A6E" w:rsidRDefault="008811D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Sapouy – Biéha</w:t>
            </w:r>
          </w:p>
        </w:tc>
        <w:tc>
          <w:tcPr>
            <w:tcW w:w="1677" w:type="dxa"/>
            <w:tcBorders>
              <w:top w:val="single" w:sz="4" w:space="0" w:color="999A9A"/>
              <w:left w:val="single" w:sz="4" w:space="0" w:color="999A9A"/>
              <w:bottom w:val="single" w:sz="4" w:space="0" w:color="999A9A"/>
              <w:right w:val="single" w:sz="4" w:space="0" w:color="999A9A"/>
            </w:tcBorders>
            <w:shd w:val="clear" w:color="auto" w:fill="auto"/>
          </w:tcPr>
          <w:p w14:paraId="091085D6" w14:textId="77777777" w:rsidR="008811D7" w:rsidRPr="007C5A6E" w:rsidRDefault="008811D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21 000</w:t>
            </w: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59EB0A9A" w14:textId="77777777" w:rsidR="008811D7" w:rsidRPr="007C5A6E" w:rsidRDefault="008811D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Forêt protégée</w:t>
            </w:r>
          </w:p>
        </w:tc>
        <w:tc>
          <w:tcPr>
            <w:tcW w:w="1001" w:type="dxa"/>
            <w:tcBorders>
              <w:top w:val="single" w:sz="4" w:space="0" w:color="999A9A"/>
              <w:left w:val="single" w:sz="4" w:space="0" w:color="999A9A"/>
              <w:bottom w:val="single" w:sz="4" w:space="0" w:color="999A9A"/>
              <w:right w:val="single" w:sz="4" w:space="0" w:color="999A9A"/>
            </w:tcBorders>
            <w:shd w:val="clear" w:color="auto" w:fill="auto"/>
          </w:tcPr>
          <w:p w14:paraId="2902A810" w14:textId="77777777" w:rsidR="008811D7" w:rsidRPr="007C5A6E" w:rsidRDefault="008811D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01</w:t>
            </w:r>
          </w:p>
        </w:tc>
      </w:tr>
      <w:tr w:rsidR="008811D7" w:rsidRPr="007C5A6E" w14:paraId="0B6CA056" w14:textId="77777777" w:rsidTr="00625227">
        <w:trPr>
          <w:trHeight w:val="108"/>
        </w:trPr>
        <w:tc>
          <w:tcPr>
            <w:tcW w:w="1433" w:type="dxa"/>
            <w:vMerge/>
            <w:tcBorders>
              <w:left w:val="single" w:sz="4" w:space="0" w:color="999A9A"/>
              <w:right w:val="single" w:sz="4" w:space="0" w:color="999A9A"/>
            </w:tcBorders>
            <w:shd w:val="clear" w:color="auto" w:fill="auto"/>
          </w:tcPr>
          <w:p w14:paraId="3213DB44" w14:textId="77777777" w:rsidR="008811D7" w:rsidRPr="007C5A6E" w:rsidRDefault="008811D7" w:rsidP="005726AF">
            <w:pPr>
              <w:spacing w:after="0" w:line="240" w:lineRule="auto"/>
              <w:jc w:val="both"/>
              <w:rPr>
                <w:rFonts w:ascii="Times New Roman" w:hAnsi="Times New Roman"/>
                <w:sz w:val="21"/>
                <w:szCs w:val="21"/>
              </w:rPr>
            </w:pPr>
          </w:p>
        </w:tc>
        <w:tc>
          <w:tcPr>
            <w:tcW w:w="1439" w:type="dxa"/>
            <w:tcBorders>
              <w:top w:val="single" w:sz="4" w:space="0" w:color="999A9A"/>
              <w:left w:val="single" w:sz="4" w:space="0" w:color="999A9A"/>
              <w:bottom w:val="single" w:sz="4" w:space="0" w:color="999A9A"/>
              <w:right w:val="single" w:sz="4" w:space="0" w:color="999A9A"/>
            </w:tcBorders>
            <w:shd w:val="clear" w:color="auto" w:fill="auto"/>
            <w:vAlign w:val="center"/>
          </w:tcPr>
          <w:p w14:paraId="3ECF9439" w14:textId="77777777" w:rsidR="008811D7" w:rsidRPr="007C5A6E" w:rsidRDefault="008811D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Sissili</w:t>
            </w:r>
          </w:p>
        </w:tc>
        <w:tc>
          <w:tcPr>
            <w:tcW w:w="2212" w:type="dxa"/>
            <w:tcBorders>
              <w:top w:val="single" w:sz="4" w:space="0" w:color="999A9A"/>
              <w:left w:val="single" w:sz="4" w:space="0" w:color="999A9A"/>
              <w:bottom w:val="single" w:sz="4" w:space="0" w:color="999A9A"/>
              <w:right w:val="single" w:sz="4" w:space="0" w:color="999A9A"/>
            </w:tcBorders>
            <w:shd w:val="clear" w:color="auto" w:fill="auto"/>
            <w:vAlign w:val="center"/>
          </w:tcPr>
          <w:p w14:paraId="3C76245A" w14:textId="77777777" w:rsidR="008811D7" w:rsidRPr="007C5A6E" w:rsidRDefault="008811D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Sud – Ouest Sissili</w:t>
            </w:r>
          </w:p>
        </w:tc>
        <w:tc>
          <w:tcPr>
            <w:tcW w:w="1677" w:type="dxa"/>
            <w:tcBorders>
              <w:top w:val="single" w:sz="4" w:space="0" w:color="999A9A"/>
              <w:left w:val="single" w:sz="4" w:space="0" w:color="999A9A"/>
              <w:bottom w:val="single" w:sz="4" w:space="0" w:color="999A9A"/>
              <w:right w:val="single" w:sz="4" w:space="0" w:color="999A9A"/>
            </w:tcBorders>
            <w:shd w:val="clear" w:color="auto" w:fill="auto"/>
            <w:vAlign w:val="center"/>
          </w:tcPr>
          <w:p w14:paraId="1B5D5BC7" w14:textId="77777777" w:rsidR="008811D7" w:rsidRPr="007C5A6E" w:rsidRDefault="008811D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55 145</w:t>
            </w: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679694EB" w14:textId="77777777" w:rsidR="008811D7" w:rsidRPr="007C5A6E" w:rsidRDefault="008811D7" w:rsidP="005726AF">
            <w:pPr>
              <w:spacing w:after="0" w:line="240" w:lineRule="auto"/>
              <w:ind w:left="3" w:right="62"/>
              <w:jc w:val="both"/>
              <w:rPr>
                <w:rFonts w:ascii="Times New Roman" w:hAnsi="Times New Roman"/>
                <w:sz w:val="21"/>
                <w:szCs w:val="21"/>
              </w:rPr>
            </w:pPr>
            <w:r w:rsidRPr="007C5A6E">
              <w:rPr>
                <w:rFonts w:ascii="Times New Roman" w:hAnsi="Times New Roman"/>
                <w:sz w:val="21"/>
                <w:szCs w:val="21"/>
              </w:rPr>
              <w:t>Forêt classée et Forêt protégée</w:t>
            </w:r>
          </w:p>
        </w:tc>
        <w:tc>
          <w:tcPr>
            <w:tcW w:w="1001" w:type="dxa"/>
            <w:tcBorders>
              <w:top w:val="single" w:sz="4" w:space="0" w:color="999A9A"/>
              <w:left w:val="single" w:sz="4" w:space="0" w:color="999A9A"/>
              <w:bottom w:val="single" w:sz="4" w:space="0" w:color="999A9A"/>
              <w:right w:val="single" w:sz="4" w:space="0" w:color="999A9A"/>
            </w:tcBorders>
            <w:shd w:val="clear" w:color="auto" w:fill="auto"/>
            <w:vAlign w:val="center"/>
          </w:tcPr>
          <w:p w14:paraId="16DBDAFC" w14:textId="77777777" w:rsidR="008811D7" w:rsidRPr="007C5A6E" w:rsidRDefault="008811D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01</w:t>
            </w:r>
          </w:p>
        </w:tc>
      </w:tr>
      <w:tr w:rsidR="008811D7" w:rsidRPr="007C5A6E" w14:paraId="47E889D1" w14:textId="77777777" w:rsidTr="008811D7">
        <w:trPr>
          <w:trHeight w:val="355"/>
        </w:trPr>
        <w:tc>
          <w:tcPr>
            <w:tcW w:w="1433" w:type="dxa"/>
            <w:vMerge/>
            <w:tcBorders>
              <w:left w:val="single" w:sz="4" w:space="0" w:color="999A9A"/>
              <w:right w:val="single" w:sz="4" w:space="0" w:color="999A9A"/>
            </w:tcBorders>
            <w:shd w:val="clear" w:color="auto" w:fill="auto"/>
          </w:tcPr>
          <w:p w14:paraId="614FABDA" w14:textId="77777777" w:rsidR="008811D7" w:rsidRPr="007C5A6E" w:rsidRDefault="008811D7" w:rsidP="005726AF">
            <w:pPr>
              <w:spacing w:after="0" w:line="240" w:lineRule="auto"/>
              <w:jc w:val="both"/>
              <w:rPr>
                <w:rFonts w:ascii="Times New Roman" w:hAnsi="Times New Roman"/>
                <w:sz w:val="21"/>
                <w:szCs w:val="21"/>
              </w:rPr>
            </w:pPr>
          </w:p>
        </w:tc>
        <w:tc>
          <w:tcPr>
            <w:tcW w:w="1439" w:type="dxa"/>
            <w:vMerge w:val="restart"/>
            <w:tcBorders>
              <w:top w:val="single" w:sz="4" w:space="0" w:color="999A9A"/>
              <w:left w:val="single" w:sz="4" w:space="0" w:color="999A9A"/>
              <w:right w:val="single" w:sz="4" w:space="0" w:color="999A9A"/>
            </w:tcBorders>
            <w:shd w:val="clear" w:color="auto" w:fill="auto"/>
            <w:vAlign w:val="center"/>
          </w:tcPr>
          <w:p w14:paraId="4880B545" w14:textId="77777777" w:rsidR="008811D7" w:rsidRPr="007C5A6E" w:rsidRDefault="008811D7" w:rsidP="008811D7">
            <w:pPr>
              <w:spacing w:after="0" w:line="240" w:lineRule="auto"/>
              <w:ind w:left="3"/>
              <w:rPr>
                <w:rFonts w:ascii="Times New Roman" w:hAnsi="Times New Roman"/>
                <w:sz w:val="21"/>
                <w:szCs w:val="21"/>
              </w:rPr>
            </w:pPr>
            <w:r w:rsidRPr="007C5A6E">
              <w:rPr>
                <w:rFonts w:ascii="Times New Roman" w:hAnsi="Times New Roman"/>
                <w:sz w:val="21"/>
                <w:szCs w:val="21"/>
              </w:rPr>
              <w:t>Sanguié</w:t>
            </w:r>
          </w:p>
        </w:tc>
        <w:tc>
          <w:tcPr>
            <w:tcW w:w="2212" w:type="dxa"/>
            <w:vMerge w:val="restart"/>
            <w:tcBorders>
              <w:top w:val="single" w:sz="4" w:space="0" w:color="999A9A"/>
              <w:left w:val="single" w:sz="4" w:space="0" w:color="999A9A"/>
              <w:bottom w:val="single" w:sz="4" w:space="0" w:color="999A9A"/>
              <w:right w:val="single" w:sz="4" w:space="0" w:color="999A9A"/>
            </w:tcBorders>
            <w:shd w:val="clear" w:color="auto" w:fill="auto"/>
            <w:vAlign w:val="center"/>
          </w:tcPr>
          <w:p w14:paraId="0CB6E133" w14:textId="77777777" w:rsidR="008811D7" w:rsidRPr="007C5A6E" w:rsidRDefault="008811D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Silly – Zawara – Pouni</w:t>
            </w:r>
          </w:p>
        </w:tc>
        <w:tc>
          <w:tcPr>
            <w:tcW w:w="1677" w:type="dxa"/>
            <w:tcBorders>
              <w:top w:val="single" w:sz="4" w:space="0" w:color="999A9A"/>
              <w:left w:val="single" w:sz="4" w:space="0" w:color="999A9A"/>
              <w:bottom w:val="nil"/>
              <w:right w:val="single" w:sz="4" w:space="0" w:color="999A9A"/>
            </w:tcBorders>
            <w:shd w:val="clear" w:color="auto" w:fill="auto"/>
          </w:tcPr>
          <w:p w14:paraId="5EEA1FCB" w14:textId="77777777" w:rsidR="008811D7" w:rsidRPr="007C5A6E" w:rsidRDefault="008811D7" w:rsidP="005726AF">
            <w:pPr>
              <w:spacing w:after="0" w:line="240" w:lineRule="auto"/>
              <w:jc w:val="both"/>
              <w:rPr>
                <w:rFonts w:ascii="Times New Roman" w:hAnsi="Times New Roman"/>
                <w:sz w:val="21"/>
                <w:szCs w:val="21"/>
              </w:rPr>
            </w:pP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56D28669" w14:textId="77777777" w:rsidR="008811D7" w:rsidRPr="007C5A6E" w:rsidRDefault="008811D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17 500 ha classés</w:t>
            </w:r>
          </w:p>
        </w:tc>
        <w:tc>
          <w:tcPr>
            <w:tcW w:w="1001" w:type="dxa"/>
            <w:tcBorders>
              <w:top w:val="single" w:sz="4" w:space="0" w:color="999A9A"/>
              <w:left w:val="single" w:sz="4" w:space="0" w:color="999A9A"/>
              <w:bottom w:val="nil"/>
              <w:right w:val="single" w:sz="4" w:space="0" w:color="999A9A"/>
            </w:tcBorders>
            <w:shd w:val="clear" w:color="auto" w:fill="auto"/>
          </w:tcPr>
          <w:p w14:paraId="657B57EA" w14:textId="77777777" w:rsidR="008811D7" w:rsidRPr="007C5A6E" w:rsidRDefault="008811D7" w:rsidP="005726AF">
            <w:pPr>
              <w:spacing w:after="0" w:line="240" w:lineRule="auto"/>
              <w:jc w:val="both"/>
              <w:rPr>
                <w:rFonts w:ascii="Times New Roman" w:hAnsi="Times New Roman"/>
                <w:sz w:val="21"/>
                <w:szCs w:val="21"/>
              </w:rPr>
            </w:pPr>
          </w:p>
        </w:tc>
      </w:tr>
      <w:tr w:rsidR="008811D7" w:rsidRPr="007C5A6E" w14:paraId="390FEC22" w14:textId="77777777" w:rsidTr="006116B9">
        <w:trPr>
          <w:trHeight w:val="355"/>
        </w:trPr>
        <w:tc>
          <w:tcPr>
            <w:tcW w:w="0" w:type="auto"/>
            <w:vMerge/>
            <w:tcBorders>
              <w:left w:val="single" w:sz="4" w:space="0" w:color="999A9A"/>
              <w:right w:val="single" w:sz="4" w:space="0" w:color="999A9A"/>
            </w:tcBorders>
            <w:shd w:val="clear" w:color="auto" w:fill="auto"/>
          </w:tcPr>
          <w:p w14:paraId="3EFC00A6" w14:textId="77777777" w:rsidR="008811D7" w:rsidRPr="007C5A6E" w:rsidRDefault="008811D7" w:rsidP="005726AF">
            <w:pPr>
              <w:spacing w:after="0" w:line="240" w:lineRule="auto"/>
              <w:jc w:val="both"/>
              <w:rPr>
                <w:rFonts w:ascii="Times New Roman" w:hAnsi="Times New Roman"/>
                <w:sz w:val="21"/>
                <w:szCs w:val="21"/>
              </w:rPr>
            </w:pPr>
          </w:p>
        </w:tc>
        <w:tc>
          <w:tcPr>
            <w:tcW w:w="0" w:type="auto"/>
            <w:vMerge/>
            <w:tcBorders>
              <w:left w:val="single" w:sz="4" w:space="0" w:color="999A9A"/>
              <w:right w:val="single" w:sz="4" w:space="0" w:color="999A9A"/>
            </w:tcBorders>
            <w:shd w:val="clear" w:color="auto" w:fill="auto"/>
          </w:tcPr>
          <w:p w14:paraId="64B1C575" w14:textId="77777777" w:rsidR="008811D7" w:rsidRPr="007C5A6E" w:rsidRDefault="008811D7" w:rsidP="005726AF">
            <w:pPr>
              <w:spacing w:after="0" w:line="240" w:lineRule="auto"/>
              <w:jc w:val="both"/>
              <w:rPr>
                <w:rFonts w:ascii="Times New Roman" w:hAnsi="Times New Roman"/>
                <w:sz w:val="21"/>
                <w:szCs w:val="21"/>
              </w:rPr>
            </w:pPr>
          </w:p>
        </w:tc>
        <w:tc>
          <w:tcPr>
            <w:tcW w:w="2212" w:type="dxa"/>
            <w:vMerge/>
            <w:tcBorders>
              <w:top w:val="nil"/>
              <w:left w:val="single" w:sz="4" w:space="0" w:color="999A9A"/>
              <w:bottom w:val="single" w:sz="4" w:space="0" w:color="999A9A"/>
              <w:right w:val="single" w:sz="4" w:space="0" w:color="999A9A"/>
            </w:tcBorders>
            <w:shd w:val="clear" w:color="auto" w:fill="auto"/>
          </w:tcPr>
          <w:p w14:paraId="12F0FB97" w14:textId="77777777" w:rsidR="008811D7" w:rsidRPr="007C5A6E" w:rsidRDefault="008811D7" w:rsidP="005726AF">
            <w:pPr>
              <w:spacing w:after="0" w:line="240" w:lineRule="auto"/>
              <w:jc w:val="both"/>
              <w:rPr>
                <w:rFonts w:ascii="Times New Roman" w:hAnsi="Times New Roman"/>
                <w:sz w:val="21"/>
                <w:szCs w:val="21"/>
              </w:rPr>
            </w:pPr>
          </w:p>
        </w:tc>
        <w:tc>
          <w:tcPr>
            <w:tcW w:w="1677" w:type="dxa"/>
            <w:tcBorders>
              <w:top w:val="nil"/>
              <w:left w:val="single" w:sz="4" w:space="0" w:color="999A9A"/>
              <w:bottom w:val="single" w:sz="4" w:space="0" w:color="999A9A"/>
              <w:right w:val="single" w:sz="4" w:space="0" w:color="999A9A"/>
            </w:tcBorders>
            <w:shd w:val="clear" w:color="auto" w:fill="auto"/>
          </w:tcPr>
          <w:p w14:paraId="41F07A6A" w14:textId="77777777" w:rsidR="008811D7" w:rsidRPr="007C5A6E" w:rsidRDefault="008811D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 xml:space="preserve">52 550 </w:t>
            </w: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419514F1" w14:textId="77777777" w:rsidR="008811D7" w:rsidRPr="007C5A6E" w:rsidRDefault="008811D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35 050 ha non classés</w:t>
            </w:r>
          </w:p>
        </w:tc>
        <w:tc>
          <w:tcPr>
            <w:tcW w:w="1001" w:type="dxa"/>
            <w:tcBorders>
              <w:top w:val="nil"/>
              <w:left w:val="single" w:sz="4" w:space="0" w:color="999A9A"/>
              <w:bottom w:val="single" w:sz="4" w:space="0" w:color="999A9A"/>
              <w:right w:val="single" w:sz="4" w:space="0" w:color="999A9A"/>
            </w:tcBorders>
            <w:shd w:val="clear" w:color="auto" w:fill="auto"/>
          </w:tcPr>
          <w:p w14:paraId="0F5132A0" w14:textId="77777777" w:rsidR="008811D7" w:rsidRPr="007C5A6E" w:rsidRDefault="008811D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01</w:t>
            </w:r>
          </w:p>
        </w:tc>
      </w:tr>
      <w:tr w:rsidR="008811D7" w:rsidRPr="007C5A6E" w14:paraId="398C780B" w14:textId="77777777" w:rsidTr="006116B9">
        <w:trPr>
          <w:trHeight w:val="70"/>
        </w:trPr>
        <w:tc>
          <w:tcPr>
            <w:tcW w:w="1433" w:type="dxa"/>
            <w:vMerge/>
            <w:tcBorders>
              <w:left w:val="single" w:sz="4" w:space="0" w:color="999A9A"/>
              <w:bottom w:val="single" w:sz="4" w:space="0" w:color="999A9A"/>
              <w:right w:val="single" w:sz="4" w:space="0" w:color="999A9A"/>
            </w:tcBorders>
            <w:shd w:val="clear" w:color="auto" w:fill="auto"/>
          </w:tcPr>
          <w:p w14:paraId="32E29D2F" w14:textId="77777777" w:rsidR="008811D7" w:rsidRPr="007C5A6E" w:rsidRDefault="008811D7" w:rsidP="005726AF">
            <w:pPr>
              <w:spacing w:after="0" w:line="240" w:lineRule="auto"/>
              <w:jc w:val="both"/>
              <w:rPr>
                <w:rFonts w:ascii="Times New Roman" w:hAnsi="Times New Roman"/>
                <w:sz w:val="21"/>
                <w:szCs w:val="21"/>
              </w:rPr>
            </w:pPr>
          </w:p>
        </w:tc>
        <w:tc>
          <w:tcPr>
            <w:tcW w:w="1439" w:type="dxa"/>
            <w:vMerge/>
            <w:tcBorders>
              <w:left w:val="single" w:sz="4" w:space="0" w:color="999A9A"/>
              <w:bottom w:val="single" w:sz="4" w:space="0" w:color="999A9A"/>
              <w:right w:val="single" w:sz="4" w:space="0" w:color="999A9A"/>
            </w:tcBorders>
            <w:shd w:val="clear" w:color="auto" w:fill="auto"/>
          </w:tcPr>
          <w:p w14:paraId="3AB4DCD5" w14:textId="77777777" w:rsidR="008811D7" w:rsidRPr="007C5A6E" w:rsidRDefault="008811D7" w:rsidP="005726AF">
            <w:pPr>
              <w:spacing w:after="0" w:line="240" w:lineRule="auto"/>
              <w:jc w:val="both"/>
              <w:rPr>
                <w:rFonts w:ascii="Times New Roman" w:hAnsi="Times New Roman"/>
                <w:sz w:val="21"/>
                <w:szCs w:val="21"/>
              </w:rPr>
            </w:pPr>
          </w:p>
        </w:tc>
        <w:tc>
          <w:tcPr>
            <w:tcW w:w="2212" w:type="dxa"/>
            <w:tcBorders>
              <w:top w:val="single" w:sz="4" w:space="0" w:color="999A9A"/>
              <w:left w:val="single" w:sz="4" w:space="0" w:color="999A9A"/>
              <w:bottom w:val="single" w:sz="4" w:space="0" w:color="999A9A"/>
              <w:right w:val="single" w:sz="4" w:space="0" w:color="999A9A"/>
            </w:tcBorders>
            <w:shd w:val="clear" w:color="auto" w:fill="auto"/>
          </w:tcPr>
          <w:p w14:paraId="4788992A" w14:textId="77777777" w:rsidR="008811D7" w:rsidRPr="007C5A6E" w:rsidRDefault="008811D7" w:rsidP="005726AF">
            <w:pPr>
              <w:spacing w:after="0" w:line="240" w:lineRule="auto"/>
              <w:ind w:left="3"/>
              <w:jc w:val="both"/>
              <w:rPr>
                <w:rFonts w:ascii="Times New Roman" w:hAnsi="Times New Roman"/>
                <w:sz w:val="21"/>
                <w:szCs w:val="21"/>
              </w:rPr>
            </w:pPr>
            <w:proofErr w:type="spellStart"/>
            <w:r w:rsidRPr="007C5A6E">
              <w:rPr>
                <w:rFonts w:ascii="Times New Roman" w:hAnsi="Times New Roman"/>
                <w:sz w:val="21"/>
                <w:szCs w:val="21"/>
              </w:rPr>
              <w:t>Tiogo</w:t>
            </w:r>
            <w:proofErr w:type="spellEnd"/>
          </w:p>
        </w:tc>
        <w:tc>
          <w:tcPr>
            <w:tcW w:w="1677" w:type="dxa"/>
            <w:tcBorders>
              <w:top w:val="single" w:sz="4" w:space="0" w:color="999A9A"/>
              <w:left w:val="single" w:sz="4" w:space="0" w:color="999A9A"/>
              <w:bottom w:val="single" w:sz="4" w:space="0" w:color="999A9A"/>
              <w:right w:val="single" w:sz="4" w:space="0" w:color="999A9A"/>
            </w:tcBorders>
            <w:shd w:val="clear" w:color="auto" w:fill="auto"/>
          </w:tcPr>
          <w:p w14:paraId="5E68CC87" w14:textId="77777777" w:rsidR="008811D7" w:rsidRPr="007C5A6E" w:rsidRDefault="008811D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30 000</w:t>
            </w: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757B42F0" w14:textId="77777777" w:rsidR="008811D7" w:rsidRPr="007C5A6E" w:rsidRDefault="008811D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Forêt classée</w:t>
            </w:r>
          </w:p>
        </w:tc>
        <w:tc>
          <w:tcPr>
            <w:tcW w:w="1001" w:type="dxa"/>
            <w:tcBorders>
              <w:top w:val="single" w:sz="4" w:space="0" w:color="999A9A"/>
              <w:left w:val="single" w:sz="4" w:space="0" w:color="999A9A"/>
              <w:bottom w:val="single" w:sz="4" w:space="0" w:color="999A9A"/>
              <w:right w:val="single" w:sz="4" w:space="0" w:color="999A9A"/>
            </w:tcBorders>
            <w:shd w:val="clear" w:color="auto" w:fill="auto"/>
          </w:tcPr>
          <w:p w14:paraId="14C3E09C" w14:textId="77777777" w:rsidR="008811D7" w:rsidRPr="007C5A6E" w:rsidRDefault="008811D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01</w:t>
            </w:r>
          </w:p>
        </w:tc>
      </w:tr>
      <w:tr w:rsidR="007C3497" w:rsidRPr="007C5A6E" w14:paraId="527C8E86" w14:textId="77777777" w:rsidTr="008811D7">
        <w:trPr>
          <w:trHeight w:val="200"/>
        </w:trPr>
        <w:tc>
          <w:tcPr>
            <w:tcW w:w="1433" w:type="dxa"/>
            <w:tcBorders>
              <w:top w:val="single" w:sz="4" w:space="0" w:color="999A9A"/>
              <w:left w:val="single" w:sz="4" w:space="0" w:color="999A9A"/>
              <w:bottom w:val="nil"/>
              <w:right w:val="single" w:sz="4" w:space="0" w:color="999A9A"/>
            </w:tcBorders>
            <w:shd w:val="clear" w:color="auto" w:fill="auto"/>
            <w:vAlign w:val="bottom"/>
          </w:tcPr>
          <w:p w14:paraId="5CE620C0" w14:textId="77777777" w:rsidR="007C3497" w:rsidRPr="007C5A6E" w:rsidRDefault="007C349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 xml:space="preserve">Boucle du </w:t>
            </w:r>
          </w:p>
        </w:tc>
        <w:tc>
          <w:tcPr>
            <w:tcW w:w="1439" w:type="dxa"/>
            <w:tcBorders>
              <w:top w:val="single" w:sz="4" w:space="0" w:color="999A9A"/>
              <w:left w:val="single" w:sz="4" w:space="0" w:color="999A9A"/>
              <w:bottom w:val="single" w:sz="4" w:space="0" w:color="999A9A"/>
              <w:right w:val="single" w:sz="4" w:space="0" w:color="999A9A"/>
            </w:tcBorders>
            <w:shd w:val="clear" w:color="auto" w:fill="auto"/>
            <w:vAlign w:val="center"/>
          </w:tcPr>
          <w:p w14:paraId="03834F07" w14:textId="77777777" w:rsidR="007C3497" w:rsidRPr="007C5A6E" w:rsidRDefault="007C349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Mouhoun</w:t>
            </w:r>
          </w:p>
        </w:tc>
        <w:tc>
          <w:tcPr>
            <w:tcW w:w="2212" w:type="dxa"/>
            <w:tcBorders>
              <w:top w:val="single" w:sz="4" w:space="0" w:color="999A9A"/>
              <w:left w:val="single" w:sz="4" w:space="0" w:color="999A9A"/>
              <w:bottom w:val="single" w:sz="4" w:space="0" w:color="999A9A"/>
              <w:right w:val="single" w:sz="4" w:space="0" w:color="999A9A"/>
            </w:tcBorders>
            <w:shd w:val="clear" w:color="auto" w:fill="auto"/>
          </w:tcPr>
          <w:p w14:paraId="5F7B7AE2" w14:textId="77777777" w:rsidR="007C3497" w:rsidRPr="007C5A6E" w:rsidRDefault="007C349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 xml:space="preserve">Tissé, </w:t>
            </w:r>
            <w:proofErr w:type="spellStart"/>
            <w:r w:rsidRPr="007C5A6E">
              <w:rPr>
                <w:rFonts w:ascii="Times New Roman" w:hAnsi="Times New Roman"/>
                <w:sz w:val="21"/>
                <w:szCs w:val="21"/>
              </w:rPr>
              <w:t>Ouoro</w:t>
            </w:r>
            <w:proofErr w:type="spellEnd"/>
            <w:r w:rsidRPr="007C5A6E">
              <w:rPr>
                <w:rFonts w:ascii="Times New Roman" w:hAnsi="Times New Roman"/>
                <w:sz w:val="21"/>
                <w:szCs w:val="21"/>
              </w:rPr>
              <w:t xml:space="preserve"> (</w:t>
            </w:r>
            <w:proofErr w:type="spellStart"/>
            <w:r w:rsidRPr="007C5A6E">
              <w:rPr>
                <w:rFonts w:ascii="Times New Roman" w:hAnsi="Times New Roman"/>
                <w:sz w:val="21"/>
                <w:szCs w:val="21"/>
              </w:rPr>
              <w:t>Oualou</w:t>
            </w:r>
            <w:proofErr w:type="spellEnd"/>
            <w:r w:rsidRPr="007C5A6E">
              <w:rPr>
                <w:rFonts w:ascii="Times New Roman" w:hAnsi="Times New Roman"/>
                <w:sz w:val="21"/>
                <w:szCs w:val="21"/>
              </w:rPr>
              <w:t xml:space="preserve">), </w:t>
            </w:r>
            <w:proofErr w:type="spellStart"/>
            <w:r w:rsidRPr="007C5A6E">
              <w:rPr>
                <w:rFonts w:ascii="Times New Roman" w:hAnsi="Times New Roman"/>
                <w:sz w:val="21"/>
                <w:szCs w:val="21"/>
              </w:rPr>
              <w:t>Toroba</w:t>
            </w:r>
            <w:proofErr w:type="spellEnd"/>
            <w:r w:rsidRPr="007C5A6E">
              <w:rPr>
                <w:rFonts w:ascii="Times New Roman" w:hAnsi="Times New Roman"/>
                <w:sz w:val="21"/>
                <w:szCs w:val="21"/>
              </w:rPr>
              <w:t xml:space="preserve"> et Kari</w:t>
            </w:r>
          </w:p>
        </w:tc>
        <w:tc>
          <w:tcPr>
            <w:tcW w:w="1677" w:type="dxa"/>
            <w:tcBorders>
              <w:top w:val="single" w:sz="4" w:space="0" w:color="999A9A"/>
              <w:left w:val="single" w:sz="4" w:space="0" w:color="999A9A"/>
              <w:bottom w:val="single" w:sz="4" w:space="0" w:color="999A9A"/>
              <w:right w:val="single" w:sz="4" w:space="0" w:color="999A9A"/>
            </w:tcBorders>
            <w:shd w:val="clear" w:color="auto" w:fill="auto"/>
            <w:vAlign w:val="center"/>
          </w:tcPr>
          <w:p w14:paraId="1F262AE9" w14:textId="77777777" w:rsidR="007C3497" w:rsidRPr="007C5A6E" w:rsidRDefault="007C3497" w:rsidP="008811D7">
            <w:pPr>
              <w:spacing w:after="0" w:line="240" w:lineRule="auto"/>
              <w:ind w:left="3"/>
              <w:rPr>
                <w:rFonts w:ascii="Times New Roman" w:hAnsi="Times New Roman"/>
                <w:sz w:val="21"/>
                <w:szCs w:val="21"/>
              </w:rPr>
            </w:pPr>
            <w:r w:rsidRPr="007C5A6E">
              <w:rPr>
                <w:rFonts w:ascii="Times New Roman" w:hAnsi="Times New Roman"/>
                <w:sz w:val="21"/>
                <w:szCs w:val="21"/>
              </w:rPr>
              <w:t xml:space="preserve"> 51 200</w:t>
            </w:r>
          </w:p>
        </w:tc>
        <w:tc>
          <w:tcPr>
            <w:tcW w:w="1839" w:type="dxa"/>
            <w:tcBorders>
              <w:top w:val="single" w:sz="4" w:space="0" w:color="999A9A"/>
              <w:left w:val="single" w:sz="4" w:space="0" w:color="999A9A"/>
              <w:bottom w:val="single" w:sz="4" w:space="0" w:color="999A9A"/>
              <w:right w:val="single" w:sz="4" w:space="0" w:color="999A9A"/>
            </w:tcBorders>
            <w:shd w:val="clear" w:color="auto" w:fill="auto"/>
            <w:vAlign w:val="center"/>
          </w:tcPr>
          <w:p w14:paraId="1648FB52" w14:textId="77777777" w:rsidR="007C3497" w:rsidRPr="007C5A6E" w:rsidRDefault="007C349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Forêts classées</w:t>
            </w:r>
          </w:p>
        </w:tc>
        <w:tc>
          <w:tcPr>
            <w:tcW w:w="1001" w:type="dxa"/>
            <w:tcBorders>
              <w:top w:val="single" w:sz="4" w:space="0" w:color="999A9A"/>
              <w:left w:val="single" w:sz="4" w:space="0" w:color="999A9A"/>
              <w:bottom w:val="single" w:sz="4" w:space="0" w:color="999A9A"/>
              <w:right w:val="single" w:sz="4" w:space="0" w:color="999A9A"/>
            </w:tcBorders>
            <w:shd w:val="clear" w:color="auto" w:fill="auto"/>
            <w:vAlign w:val="center"/>
          </w:tcPr>
          <w:p w14:paraId="08DE47FE" w14:textId="77777777" w:rsidR="007C3497" w:rsidRPr="007C5A6E" w:rsidRDefault="007C349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03</w:t>
            </w:r>
          </w:p>
        </w:tc>
      </w:tr>
      <w:tr w:rsidR="007C3497" w:rsidRPr="007C5A6E" w14:paraId="4D061C63" w14:textId="77777777" w:rsidTr="008811D7">
        <w:trPr>
          <w:trHeight w:val="355"/>
        </w:trPr>
        <w:tc>
          <w:tcPr>
            <w:tcW w:w="1433" w:type="dxa"/>
            <w:tcBorders>
              <w:top w:val="nil"/>
              <w:left w:val="single" w:sz="4" w:space="0" w:color="999A9A"/>
              <w:bottom w:val="single" w:sz="4" w:space="0" w:color="999A9A"/>
              <w:right w:val="single" w:sz="4" w:space="0" w:color="999A9A"/>
            </w:tcBorders>
            <w:shd w:val="clear" w:color="auto" w:fill="auto"/>
          </w:tcPr>
          <w:p w14:paraId="0F748DD0" w14:textId="77777777" w:rsidR="007C3497" w:rsidRPr="007C5A6E" w:rsidRDefault="007C349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 xml:space="preserve">Mouhoun </w:t>
            </w:r>
          </w:p>
        </w:tc>
        <w:tc>
          <w:tcPr>
            <w:tcW w:w="1439" w:type="dxa"/>
            <w:tcBorders>
              <w:top w:val="single" w:sz="4" w:space="0" w:color="999A9A"/>
              <w:left w:val="single" w:sz="4" w:space="0" w:color="999A9A"/>
              <w:bottom w:val="single" w:sz="4" w:space="0" w:color="999A9A"/>
              <w:right w:val="single" w:sz="4" w:space="0" w:color="999A9A"/>
            </w:tcBorders>
            <w:shd w:val="clear" w:color="auto" w:fill="auto"/>
          </w:tcPr>
          <w:p w14:paraId="057123F5" w14:textId="77777777" w:rsidR="007C3497" w:rsidRPr="007C5A6E" w:rsidRDefault="007C349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 xml:space="preserve">Ballé </w:t>
            </w:r>
          </w:p>
        </w:tc>
        <w:tc>
          <w:tcPr>
            <w:tcW w:w="2212" w:type="dxa"/>
            <w:tcBorders>
              <w:top w:val="single" w:sz="4" w:space="0" w:color="999A9A"/>
              <w:left w:val="single" w:sz="4" w:space="0" w:color="999A9A"/>
              <w:bottom w:val="single" w:sz="4" w:space="0" w:color="999A9A"/>
              <w:right w:val="single" w:sz="4" w:space="0" w:color="999A9A"/>
            </w:tcBorders>
            <w:shd w:val="clear" w:color="auto" w:fill="auto"/>
          </w:tcPr>
          <w:p w14:paraId="607D14BD" w14:textId="77777777" w:rsidR="007C3497" w:rsidRPr="007C5A6E" w:rsidRDefault="007C3497" w:rsidP="005726AF">
            <w:pPr>
              <w:spacing w:after="0" w:line="240" w:lineRule="auto"/>
              <w:ind w:left="3"/>
              <w:jc w:val="both"/>
              <w:rPr>
                <w:rFonts w:ascii="Times New Roman" w:hAnsi="Times New Roman"/>
                <w:sz w:val="21"/>
                <w:szCs w:val="21"/>
              </w:rPr>
            </w:pPr>
            <w:proofErr w:type="spellStart"/>
            <w:r w:rsidRPr="007C5A6E">
              <w:rPr>
                <w:rFonts w:ascii="Times New Roman" w:hAnsi="Times New Roman"/>
                <w:sz w:val="21"/>
                <w:szCs w:val="21"/>
              </w:rPr>
              <w:t>Nosébo</w:t>
            </w:r>
            <w:proofErr w:type="spellEnd"/>
            <w:r w:rsidRPr="007C5A6E">
              <w:rPr>
                <w:rFonts w:ascii="Times New Roman" w:hAnsi="Times New Roman"/>
                <w:sz w:val="21"/>
                <w:szCs w:val="21"/>
              </w:rPr>
              <w:t xml:space="preserve">, et </w:t>
            </w:r>
            <w:proofErr w:type="spellStart"/>
            <w:r w:rsidRPr="007C5A6E">
              <w:rPr>
                <w:rFonts w:ascii="Times New Roman" w:hAnsi="Times New Roman"/>
                <w:sz w:val="21"/>
                <w:szCs w:val="21"/>
              </w:rPr>
              <w:t>Sorobouli</w:t>
            </w:r>
            <w:proofErr w:type="spellEnd"/>
          </w:p>
        </w:tc>
        <w:tc>
          <w:tcPr>
            <w:tcW w:w="1677" w:type="dxa"/>
            <w:tcBorders>
              <w:top w:val="single" w:sz="4" w:space="0" w:color="999A9A"/>
              <w:left w:val="single" w:sz="4" w:space="0" w:color="999A9A"/>
              <w:bottom w:val="single" w:sz="4" w:space="0" w:color="999A9A"/>
              <w:right w:val="single" w:sz="4" w:space="0" w:color="999A9A"/>
            </w:tcBorders>
            <w:shd w:val="clear" w:color="auto" w:fill="auto"/>
          </w:tcPr>
          <w:p w14:paraId="39919357" w14:textId="77777777" w:rsidR="007C3497" w:rsidRPr="007C5A6E" w:rsidRDefault="007C349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19 800</w:t>
            </w: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20CE540A" w14:textId="77777777" w:rsidR="007C3497" w:rsidRPr="007C5A6E" w:rsidRDefault="007C349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Forêt classée</w:t>
            </w:r>
          </w:p>
        </w:tc>
        <w:tc>
          <w:tcPr>
            <w:tcW w:w="1001" w:type="dxa"/>
            <w:tcBorders>
              <w:top w:val="single" w:sz="4" w:space="0" w:color="999A9A"/>
              <w:left w:val="single" w:sz="4" w:space="0" w:color="999A9A"/>
              <w:bottom w:val="single" w:sz="4" w:space="0" w:color="999A9A"/>
              <w:right w:val="single" w:sz="4" w:space="0" w:color="999A9A"/>
            </w:tcBorders>
            <w:shd w:val="clear" w:color="auto" w:fill="auto"/>
          </w:tcPr>
          <w:p w14:paraId="267AB889" w14:textId="77777777" w:rsidR="007C3497" w:rsidRPr="007C5A6E" w:rsidRDefault="007C349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01</w:t>
            </w:r>
          </w:p>
        </w:tc>
      </w:tr>
      <w:tr w:rsidR="007C3497" w:rsidRPr="007C5A6E" w14:paraId="7F8C2CA7" w14:textId="77777777" w:rsidTr="008811D7">
        <w:trPr>
          <w:trHeight w:val="70"/>
        </w:trPr>
        <w:tc>
          <w:tcPr>
            <w:tcW w:w="1433" w:type="dxa"/>
            <w:tcBorders>
              <w:top w:val="single" w:sz="4" w:space="0" w:color="999A9A"/>
              <w:left w:val="single" w:sz="4" w:space="0" w:color="999A9A"/>
              <w:bottom w:val="nil"/>
              <w:right w:val="single" w:sz="4" w:space="0" w:color="999A9A"/>
            </w:tcBorders>
            <w:shd w:val="clear" w:color="auto" w:fill="auto"/>
          </w:tcPr>
          <w:p w14:paraId="7E7BD9C7" w14:textId="77777777" w:rsidR="007C3497" w:rsidRPr="007C5A6E" w:rsidRDefault="007C3497" w:rsidP="005726AF">
            <w:pPr>
              <w:spacing w:after="0" w:line="240" w:lineRule="auto"/>
              <w:jc w:val="both"/>
              <w:rPr>
                <w:rFonts w:ascii="Times New Roman" w:hAnsi="Times New Roman"/>
                <w:sz w:val="21"/>
                <w:szCs w:val="21"/>
              </w:rPr>
            </w:pPr>
          </w:p>
        </w:tc>
        <w:tc>
          <w:tcPr>
            <w:tcW w:w="1439" w:type="dxa"/>
            <w:tcBorders>
              <w:top w:val="single" w:sz="4" w:space="0" w:color="999A9A"/>
              <w:left w:val="single" w:sz="4" w:space="0" w:color="999A9A"/>
              <w:bottom w:val="single" w:sz="4" w:space="0" w:color="999A9A"/>
              <w:right w:val="single" w:sz="4" w:space="0" w:color="999A9A"/>
            </w:tcBorders>
            <w:shd w:val="clear" w:color="auto" w:fill="auto"/>
          </w:tcPr>
          <w:p w14:paraId="705EA2FF" w14:textId="77777777" w:rsidR="007C3497" w:rsidRPr="007C5A6E" w:rsidRDefault="007C3497" w:rsidP="005726AF">
            <w:pPr>
              <w:spacing w:after="0" w:line="240" w:lineRule="auto"/>
              <w:ind w:left="2"/>
              <w:jc w:val="both"/>
              <w:rPr>
                <w:rFonts w:ascii="Times New Roman" w:hAnsi="Times New Roman"/>
                <w:sz w:val="21"/>
                <w:szCs w:val="21"/>
              </w:rPr>
            </w:pPr>
            <w:proofErr w:type="spellStart"/>
            <w:r w:rsidRPr="007C5A6E">
              <w:rPr>
                <w:rFonts w:ascii="Times New Roman" w:hAnsi="Times New Roman"/>
                <w:sz w:val="21"/>
                <w:szCs w:val="21"/>
              </w:rPr>
              <w:t>Sanematenga</w:t>
            </w:r>
            <w:proofErr w:type="spellEnd"/>
          </w:p>
        </w:tc>
        <w:tc>
          <w:tcPr>
            <w:tcW w:w="2212" w:type="dxa"/>
            <w:tcBorders>
              <w:top w:val="single" w:sz="4" w:space="0" w:color="999A9A"/>
              <w:left w:val="single" w:sz="4" w:space="0" w:color="999A9A"/>
              <w:bottom w:val="single" w:sz="4" w:space="0" w:color="999A9A"/>
              <w:right w:val="single" w:sz="4" w:space="0" w:color="999A9A"/>
            </w:tcBorders>
            <w:shd w:val="clear" w:color="auto" w:fill="auto"/>
          </w:tcPr>
          <w:p w14:paraId="79A00CA4" w14:textId="77777777" w:rsidR="007C3497" w:rsidRPr="007C5A6E" w:rsidRDefault="007C3497" w:rsidP="005726AF">
            <w:pPr>
              <w:spacing w:after="0" w:line="240" w:lineRule="auto"/>
              <w:ind w:left="2"/>
              <w:jc w:val="both"/>
              <w:rPr>
                <w:rFonts w:ascii="Times New Roman" w:hAnsi="Times New Roman"/>
                <w:sz w:val="21"/>
                <w:szCs w:val="21"/>
              </w:rPr>
            </w:pPr>
            <w:proofErr w:type="spellStart"/>
            <w:r w:rsidRPr="007C5A6E">
              <w:rPr>
                <w:rFonts w:ascii="Times New Roman" w:hAnsi="Times New Roman"/>
                <w:sz w:val="21"/>
                <w:szCs w:val="21"/>
              </w:rPr>
              <w:t>Korko</w:t>
            </w:r>
            <w:proofErr w:type="spellEnd"/>
            <w:r w:rsidRPr="007C5A6E">
              <w:rPr>
                <w:rFonts w:ascii="Times New Roman" w:hAnsi="Times New Roman"/>
                <w:sz w:val="21"/>
                <w:szCs w:val="21"/>
              </w:rPr>
              <w:t>-Barsalogho</w:t>
            </w:r>
          </w:p>
        </w:tc>
        <w:tc>
          <w:tcPr>
            <w:tcW w:w="1677" w:type="dxa"/>
            <w:tcBorders>
              <w:top w:val="single" w:sz="4" w:space="0" w:color="999A9A"/>
              <w:left w:val="single" w:sz="4" w:space="0" w:color="999A9A"/>
              <w:bottom w:val="single" w:sz="4" w:space="0" w:color="999A9A"/>
              <w:right w:val="single" w:sz="4" w:space="0" w:color="999A9A"/>
            </w:tcBorders>
            <w:shd w:val="clear" w:color="auto" w:fill="auto"/>
          </w:tcPr>
          <w:p w14:paraId="0C11E119" w14:textId="77777777" w:rsidR="007C3497" w:rsidRPr="007C5A6E" w:rsidRDefault="007C349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NP</w:t>
            </w: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24F536C1" w14:textId="77777777" w:rsidR="007C3497" w:rsidRPr="007C5A6E" w:rsidRDefault="007C349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Forêt protégée</w:t>
            </w:r>
          </w:p>
        </w:tc>
        <w:tc>
          <w:tcPr>
            <w:tcW w:w="1001" w:type="dxa"/>
            <w:tcBorders>
              <w:top w:val="single" w:sz="4" w:space="0" w:color="999A9A"/>
              <w:left w:val="single" w:sz="4" w:space="0" w:color="999A9A"/>
              <w:bottom w:val="single" w:sz="4" w:space="0" w:color="999A9A"/>
              <w:right w:val="single" w:sz="4" w:space="0" w:color="999A9A"/>
            </w:tcBorders>
            <w:shd w:val="clear" w:color="auto" w:fill="auto"/>
          </w:tcPr>
          <w:p w14:paraId="6E424634" w14:textId="77777777" w:rsidR="007C3497" w:rsidRPr="007C5A6E" w:rsidRDefault="007C349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01</w:t>
            </w:r>
          </w:p>
        </w:tc>
      </w:tr>
      <w:tr w:rsidR="007C3497" w:rsidRPr="007C5A6E" w14:paraId="11602634" w14:textId="77777777" w:rsidTr="008811D7">
        <w:trPr>
          <w:trHeight w:val="75"/>
        </w:trPr>
        <w:tc>
          <w:tcPr>
            <w:tcW w:w="1433" w:type="dxa"/>
            <w:tcBorders>
              <w:top w:val="nil"/>
              <w:left w:val="single" w:sz="4" w:space="0" w:color="999A9A"/>
              <w:bottom w:val="single" w:sz="4" w:space="0" w:color="999A9A"/>
              <w:right w:val="single" w:sz="4" w:space="0" w:color="999A9A"/>
            </w:tcBorders>
            <w:shd w:val="clear" w:color="auto" w:fill="auto"/>
          </w:tcPr>
          <w:p w14:paraId="3F99F4EF" w14:textId="77777777" w:rsidR="007C3497" w:rsidRPr="007C5A6E" w:rsidRDefault="007C3497" w:rsidP="005726AF">
            <w:pPr>
              <w:spacing w:after="0" w:line="240" w:lineRule="auto"/>
              <w:ind w:left="3"/>
              <w:jc w:val="both"/>
              <w:rPr>
                <w:rFonts w:ascii="Times New Roman" w:hAnsi="Times New Roman"/>
                <w:sz w:val="21"/>
                <w:szCs w:val="21"/>
              </w:rPr>
            </w:pPr>
            <w:r w:rsidRPr="007C5A6E">
              <w:rPr>
                <w:rFonts w:ascii="Times New Roman" w:hAnsi="Times New Roman"/>
                <w:sz w:val="21"/>
                <w:szCs w:val="21"/>
              </w:rPr>
              <w:t>Centre – Nord</w:t>
            </w:r>
          </w:p>
        </w:tc>
        <w:tc>
          <w:tcPr>
            <w:tcW w:w="1439" w:type="dxa"/>
            <w:tcBorders>
              <w:top w:val="single" w:sz="4" w:space="0" w:color="999A9A"/>
              <w:left w:val="single" w:sz="4" w:space="0" w:color="999A9A"/>
              <w:bottom w:val="single" w:sz="4" w:space="0" w:color="999A9A"/>
              <w:right w:val="single" w:sz="4" w:space="0" w:color="999A9A"/>
            </w:tcBorders>
            <w:shd w:val="clear" w:color="auto" w:fill="auto"/>
          </w:tcPr>
          <w:p w14:paraId="10564ED1" w14:textId="77777777" w:rsidR="007C3497" w:rsidRPr="007C5A6E" w:rsidRDefault="007C349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Bam</w:t>
            </w:r>
          </w:p>
        </w:tc>
        <w:tc>
          <w:tcPr>
            <w:tcW w:w="2212" w:type="dxa"/>
            <w:tcBorders>
              <w:top w:val="single" w:sz="4" w:space="0" w:color="999A9A"/>
              <w:left w:val="single" w:sz="4" w:space="0" w:color="999A9A"/>
              <w:bottom w:val="single" w:sz="4" w:space="0" w:color="999A9A"/>
              <w:right w:val="single" w:sz="4" w:space="0" w:color="999A9A"/>
            </w:tcBorders>
            <w:shd w:val="clear" w:color="auto" w:fill="auto"/>
          </w:tcPr>
          <w:p w14:paraId="5A1A612B" w14:textId="77777777" w:rsidR="007C3497" w:rsidRPr="007C5A6E" w:rsidRDefault="007C3497" w:rsidP="005726AF">
            <w:pPr>
              <w:spacing w:after="0" w:line="240" w:lineRule="auto"/>
              <w:ind w:left="2"/>
              <w:jc w:val="both"/>
              <w:rPr>
                <w:rFonts w:ascii="Times New Roman" w:hAnsi="Times New Roman"/>
                <w:sz w:val="21"/>
                <w:szCs w:val="21"/>
              </w:rPr>
            </w:pPr>
            <w:proofErr w:type="spellStart"/>
            <w:r w:rsidRPr="007C5A6E">
              <w:rPr>
                <w:rFonts w:ascii="Times New Roman" w:hAnsi="Times New Roman"/>
                <w:sz w:val="21"/>
                <w:szCs w:val="21"/>
              </w:rPr>
              <w:t>Yabo</w:t>
            </w:r>
            <w:proofErr w:type="spellEnd"/>
            <w:r w:rsidRPr="007C5A6E">
              <w:rPr>
                <w:rFonts w:ascii="Times New Roman" w:hAnsi="Times New Roman"/>
                <w:sz w:val="21"/>
                <w:szCs w:val="21"/>
              </w:rPr>
              <w:t xml:space="preserve"> – Malou</w:t>
            </w:r>
          </w:p>
        </w:tc>
        <w:tc>
          <w:tcPr>
            <w:tcW w:w="1677" w:type="dxa"/>
            <w:tcBorders>
              <w:top w:val="single" w:sz="4" w:space="0" w:color="999A9A"/>
              <w:left w:val="single" w:sz="4" w:space="0" w:color="999A9A"/>
              <w:bottom w:val="single" w:sz="4" w:space="0" w:color="999A9A"/>
              <w:right w:val="single" w:sz="4" w:space="0" w:color="999A9A"/>
            </w:tcBorders>
            <w:shd w:val="clear" w:color="auto" w:fill="auto"/>
          </w:tcPr>
          <w:p w14:paraId="410EA622" w14:textId="77777777" w:rsidR="007C3497" w:rsidRPr="007C5A6E" w:rsidRDefault="007C349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NP</w:t>
            </w: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6A083553" w14:textId="77777777" w:rsidR="007C3497" w:rsidRPr="007C5A6E" w:rsidRDefault="007C349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Forêt protégée</w:t>
            </w:r>
          </w:p>
        </w:tc>
        <w:tc>
          <w:tcPr>
            <w:tcW w:w="1001" w:type="dxa"/>
            <w:tcBorders>
              <w:top w:val="single" w:sz="4" w:space="0" w:color="999A9A"/>
              <w:left w:val="single" w:sz="4" w:space="0" w:color="999A9A"/>
              <w:bottom w:val="single" w:sz="4" w:space="0" w:color="999A9A"/>
              <w:right w:val="single" w:sz="4" w:space="0" w:color="999A9A"/>
            </w:tcBorders>
            <w:shd w:val="clear" w:color="auto" w:fill="auto"/>
          </w:tcPr>
          <w:p w14:paraId="57F29C39" w14:textId="77777777" w:rsidR="007C3497" w:rsidRPr="007C5A6E" w:rsidRDefault="007C349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01</w:t>
            </w:r>
          </w:p>
        </w:tc>
      </w:tr>
      <w:tr w:rsidR="007C3497" w:rsidRPr="007C5A6E" w14:paraId="5DEB43DE" w14:textId="77777777" w:rsidTr="008811D7">
        <w:trPr>
          <w:trHeight w:val="106"/>
        </w:trPr>
        <w:tc>
          <w:tcPr>
            <w:tcW w:w="1433" w:type="dxa"/>
            <w:tcBorders>
              <w:top w:val="single" w:sz="4" w:space="0" w:color="999A9A"/>
              <w:left w:val="single" w:sz="4" w:space="0" w:color="999A9A"/>
              <w:bottom w:val="nil"/>
              <w:right w:val="single" w:sz="4" w:space="0" w:color="999A9A"/>
            </w:tcBorders>
            <w:shd w:val="clear" w:color="auto" w:fill="auto"/>
          </w:tcPr>
          <w:p w14:paraId="30A65728" w14:textId="77777777" w:rsidR="007C3497" w:rsidRPr="007C5A6E" w:rsidRDefault="007C3497" w:rsidP="005726AF">
            <w:pPr>
              <w:spacing w:after="0" w:line="240" w:lineRule="auto"/>
              <w:jc w:val="both"/>
              <w:rPr>
                <w:rFonts w:ascii="Times New Roman" w:hAnsi="Times New Roman"/>
                <w:sz w:val="21"/>
                <w:szCs w:val="21"/>
              </w:rPr>
            </w:pPr>
          </w:p>
        </w:tc>
        <w:tc>
          <w:tcPr>
            <w:tcW w:w="1439" w:type="dxa"/>
            <w:tcBorders>
              <w:top w:val="single" w:sz="4" w:space="0" w:color="999A9A"/>
              <w:left w:val="single" w:sz="4" w:space="0" w:color="999A9A"/>
              <w:bottom w:val="nil"/>
              <w:right w:val="single" w:sz="4" w:space="0" w:color="999A9A"/>
            </w:tcBorders>
            <w:shd w:val="clear" w:color="auto" w:fill="auto"/>
          </w:tcPr>
          <w:p w14:paraId="786A7132" w14:textId="77777777" w:rsidR="007C3497" w:rsidRPr="007C5A6E" w:rsidRDefault="007C3497" w:rsidP="005726AF">
            <w:pPr>
              <w:spacing w:after="0" w:line="240" w:lineRule="auto"/>
              <w:jc w:val="both"/>
              <w:rPr>
                <w:rFonts w:ascii="Times New Roman" w:hAnsi="Times New Roman"/>
                <w:sz w:val="21"/>
                <w:szCs w:val="21"/>
              </w:rPr>
            </w:pPr>
          </w:p>
        </w:tc>
        <w:tc>
          <w:tcPr>
            <w:tcW w:w="2212" w:type="dxa"/>
            <w:tcBorders>
              <w:top w:val="single" w:sz="4" w:space="0" w:color="999A9A"/>
              <w:left w:val="single" w:sz="4" w:space="0" w:color="999A9A"/>
              <w:bottom w:val="single" w:sz="4" w:space="0" w:color="999A9A"/>
              <w:right w:val="single" w:sz="4" w:space="0" w:color="999A9A"/>
            </w:tcBorders>
            <w:shd w:val="clear" w:color="auto" w:fill="auto"/>
          </w:tcPr>
          <w:p w14:paraId="268578F0" w14:textId="77777777" w:rsidR="007C3497" w:rsidRPr="007C5A6E" w:rsidRDefault="007C3497" w:rsidP="005726AF">
            <w:pPr>
              <w:spacing w:after="0" w:line="240" w:lineRule="auto"/>
              <w:ind w:left="2"/>
              <w:jc w:val="both"/>
              <w:rPr>
                <w:rFonts w:ascii="Times New Roman" w:hAnsi="Times New Roman"/>
                <w:sz w:val="21"/>
                <w:szCs w:val="21"/>
              </w:rPr>
            </w:pPr>
            <w:proofErr w:type="spellStart"/>
            <w:r w:rsidRPr="007C5A6E">
              <w:rPr>
                <w:rFonts w:ascii="Times New Roman" w:hAnsi="Times New Roman"/>
                <w:sz w:val="21"/>
                <w:szCs w:val="21"/>
              </w:rPr>
              <w:t>Nazinon</w:t>
            </w:r>
            <w:proofErr w:type="spellEnd"/>
            <w:r w:rsidRPr="007C5A6E">
              <w:rPr>
                <w:rFonts w:ascii="Times New Roman" w:hAnsi="Times New Roman"/>
                <w:sz w:val="21"/>
                <w:szCs w:val="21"/>
              </w:rPr>
              <w:t xml:space="preserve"> – Nord et Gaongo</w:t>
            </w:r>
          </w:p>
        </w:tc>
        <w:tc>
          <w:tcPr>
            <w:tcW w:w="1677" w:type="dxa"/>
            <w:tcBorders>
              <w:top w:val="single" w:sz="4" w:space="0" w:color="999A9A"/>
              <w:left w:val="single" w:sz="4" w:space="0" w:color="999A9A"/>
              <w:bottom w:val="single" w:sz="4" w:space="0" w:color="999A9A"/>
              <w:right w:val="single" w:sz="4" w:space="0" w:color="999A9A"/>
            </w:tcBorders>
            <w:shd w:val="clear" w:color="auto" w:fill="auto"/>
          </w:tcPr>
          <w:p w14:paraId="697D46B5" w14:textId="77777777" w:rsidR="007C3497" w:rsidRPr="007C5A6E" w:rsidRDefault="007C349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21424</w:t>
            </w: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060E7E73" w14:textId="77777777" w:rsidR="007C3497" w:rsidRPr="007C5A6E" w:rsidRDefault="007C349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Forêt protégée</w:t>
            </w:r>
          </w:p>
        </w:tc>
        <w:tc>
          <w:tcPr>
            <w:tcW w:w="1001" w:type="dxa"/>
            <w:tcBorders>
              <w:top w:val="single" w:sz="4" w:space="0" w:color="999A9A"/>
              <w:left w:val="single" w:sz="4" w:space="0" w:color="999A9A"/>
              <w:bottom w:val="single" w:sz="4" w:space="0" w:color="999A9A"/>
              <w:right w:val="single" w:sz="4" w:space="0" w:color="999A9A"/>
            </w:tcBorders>
            <w:shd w:val="clear" w:color="auto" w:fill="auto"/>
          </w:tcPr>
          <w:p w14:paraId="7515BC71" w14:textId="77777777" w:rsidR="007C3497" w:rsidRPr="007C5A6E" w:rsidRDefault="007C349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02</w:t>
            </w:r>
          </w:p>
        </w:tc>
      </w:tr>
      <w:tr w:rsidR="007C3497" w:rsidRPr="007C5A6E" w14:paraId="5D394734" w14:textId="77777777" w:rsidTr="008811D7">
        <w:trPr>
          <w:trHeight w:val="240"/>
        </w:trPr>
        <w:tc>
          <w:tcPr>
            <w:tcW w:w="1433" w:type="dxa"/>
            <w:tcBorders>
              <w:top w:val="nil"/>
              <w:left w:val="single" w:sz="4" w:space="0" w:color="999A9A"/>
              <w:bottom w:val="single" w:sz="4" w:space="0" w:color="999A9A"/>
              <w:right w:val="single" w:sz="4" w:space="0" w:color="999A9A"/>
            </w:tcBorders>
            <w:shd w:val="clear" w:color="auto" w:fill="auto"/>
          </w:tcPr>
          <w:p w14:paraId="25978F90" w14:textId="77777777" w:rsidR="007C3497" w:rsidRPr="007C5A6E" w:rsidRDefault="007C349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Centre – Sud</w:t>
            </w:r>
          </w:p>
        </w:tc>
        <w:tc>
          <w:tcPr>
            <w:tcW w:w="1439" w:type="dxa"/>
            <w:tcBorders>
              <w:top w:val="nil"/>
              <w:left w:val="single" w:sz="4" w:space="0" w:color="999A9A"/>
              <w:bottom w:val="single" w:sz="4" w:space="0" w:color="999A9A"/>
              <w:right w:val="single" w:sz="4" w:space="0" w:color="999A9A"/>
            </w:tcBorders>
            <w:shd w:val="clear" w:color="auto" w:fill="auto"/>
          </w:tcPr>
          <w:p w14:paraId="426B6114" w14:textId="77777777" w:rsidR="007C3497" w:rsidRPr="007C5A6E" w:rsidRDefault="007C349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Zoundwéogo</w:t>
            </w:r>
          </w:p>
        </w:tc>
        <w:tc>
          <w:tcPr>
            <w:tcW w:w="2212" w:type="dxa"/>
            <w:tcBorders>
              <w:top w:val="single" w:sz="4" w:space="0" w:color="999A9A"/>
              <w:left w:val="single" w:sz="4" w:space="0" w:color="999A9A"/>
              <w:bottom w:val="single" w:sz="4" w:space="0" w:color="999A9A"/>
              <w:right w:val="single" w:sz="4" w:space="0" w:color="999A9A"/>
            </w:tcBorders>
            <w:shd w:val="clear" w:color="auto" w:fill="auto"/>
          </w:tcPr>
          <w:p w14:paraId="2C7806F8" w14:textId="77777777" w:rsidR="007C3497" w:rsidRPr="007C5A6E" w:rsidRDefault="007C349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 xml:space="preserve">Sud-ouest </w:t>
            </w:r>
            <w:proofErr w:type="spellStart"/>
            <w:r w:rsidRPr="007C5A6E">
              <w:rPr>
                <w:rFonts w:ascii="Times New Roman" w:hAnsi="Times New Roman"/>
                <w:sz w:val="21"/>
                <w:szCs w:val="21"/>
              </w:rPr>
              <w:t>zoundwéogo</w:t>
            </w:r>
            <w:proofErr w:type="spellEnd"/>
          </w:p>
        </w:tc>
        <w:tc>
          <w:tcPr>
            <w:tcW w:w="1677" w:type="dxa"/>
            <w:tcBorders>
              <w:top w:val="single" w:sz="4" w:space="0" w:color="999A9A"/>
              <w:left w:val="single" w:sz="4" w:space="0" w:color="999A9A"/>
              <w:bottom w:val="single" w:sz="4" w:space="0" w:color="999A9A"/>
              <w:right w:val="single" w:sz="4" w:space="0" w:color="999A9A"/>
            </w:tcBorders>
            <w:shd w:val="clear" w:color="auto" w:fill="auto"/>
          </w:tcPr>
          <w:p w14:paraId="13B0359B" w14:textId="77777777" w:rsidR="007C3497" w:rsidRPr="007C5A6E" w:rsidRDefault="007C349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NP</w:t>
            </w: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6A054928" w14:textId="77777777" w:rsidR="007C3497" w:rsidRPr="007C5A6E" w:rsidRDefault="007C349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Forêt protégée</w:t>
            </w:r>
          </w:p>
        </w:tc>
        <w:tc>
          <w:tcPr>
            <w:tcW w:w="1001" w:type="dxa"/>
            <w:tcBorders>
              <w:top w:val="single" w:sz="4" w:space="0" w:color="999A9A"/>
              <w:left w:val="single" w:sz="4" w:space="0" w:color="999A9A"/>
              <w:bottom w:val="single" w:sz="4" w:space="0" w:color="999A9A"/>
              <w:right w:val="single" w:sz="4" w:space="0" w:color="999A9A"/>
            </w:tcBorders>
            <w:shd w:val="clear" w:color="auto" w:fill="auto"/>
          </w:tcPr>
          <w:p w14:paraId="67D4792B" w14:textId="77777777" w:rsidR="007C3497" w:rsidRPr="007C5A6E" w:rsidRDefault="007C349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01</w:t>
            </w:r>
          </w:p>
        </w:tc>
      </w:tr>
      <w:tr w:rsidR="007C3497" w:rsidRPr="007C5A6E" w14:paraId="38FC937B" w14:textId="77777777" w:rsidTr="008811D7">
        <w:trPr>
          <w:trHeight w:val="355"/>
        </w:trPr>
        <w:tc>
          <w:tcPr>
            <w:tcW w:w="1433" w:type="dxa"/>
            <w:tcBorders>
              <w:top w:val="single" w:sz="4" w:space="0" w:color="999A9A"/>
              <w:left w:val="single" w:sz="4" w:space="0" w:color="999A9A"/>
              <w:bottom w:val="single" w:sz="4" w:space="0" w:color="999A9A"/>
              <w:right w:val="single" w:sz="4" w:space="0" w:color="999A9A"/>
            </w:tcBorders>
            <w:shd w:val="clear" w:color="auto" w:fill="auto"/>
          </w:tcPr>
          <w:p w14:paraId="796D74E6" w14:textId="77777777" w:rsidR="007C3497" w:rsidRPr="007C5A6E" w:rsidRDefault="007C349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Centre - Est</w:t>
            </w:r>
          </w:p>
        </w:tc>
        <w:tc>
          <w:tcPr>
            <w:tcW w:w="1439" w:type="dxa"/>
            <w:tcBorders>
              <w:top w:val="single" w:sz="4" w:space="0" w:color="999A9A"/>
              <w:left w:val="single" w:sz="4" w:space="0" w:color="999A9A"/>
              <w:bottom w:val="single" w:sz="4" w:space="0" w:color="999A9A"/>
              <w:right w:val="single" w:sz="4" w:space="0" w:color="999A9A"/>
            </w:tcBorders>
            <w:shd w:val="clear" w:color="auto" w:fill="auto"/>
          </w:tcPr>
          <w:p w14:paraId="772A81AE" w14:textId="77777777" w:rsidR="007C3497" w:rsidRPr="007C5A6E" w:rsidRDefault="007C349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Boulgou</w:t>
            </w:r>
          </w:p>
        </w:tc>
        <w:tc>
          <w:tcPr>
            <w:tcW w:w="2212" w:type="dxa"/>
            <w:tcBorders>
              <w:top w:val="single" w:sz="4" w:space="0" w:color="999A9A"/>
              <w:left w:val="single" w:sz="4" w:space="0" w:color="999A9A"/>
              <w:bottom w:val="single" w:sz="4" w:space="0" w:color="999A9A"/>
              <w:right w:val="single" w:sz="4" w:space="0" w:color="999A9A"/>
            </w:tcBorders>
            <w:shd w:val="clear" w:color="auto" w:fill="auto"/>
          </w:tcPr>
          <w:p w14:paraId="34BDE03B" w14:textId="77777777" w:rsidR="007C3497" w:rsidRPr="007C5A6E" w:rsidRDefault="007C3497" w:rsidP="005726AF">
            <w:pPr>
              <w:spacing w:after="0" w:line="240" w:lineRule="auto"/>
              <w:ind w:left="2"/>
              <w:jc w:val="both"/>
              <w:rPr>
                <w:rFonts w:ascii="Times New Roman" w:hAnsi="Times New Roman"/>
                <w:sz w:val="21"/>
                <w:szCs w:val="21"/>
              </w:rPr>
            </w:pPr>
            <w:proofErr w:type="spellStart"/>
            <w:r w:rsidRPr="007C5A6E">
              <w:rPr>
                <w:rFonts w:ascii="Times New Roman" w:hAnsi="Times New Roman"/>
                <w:sz w:val="21"/>
                <w:szCs w:val="21"/>
              </w:rPr>
              <w:t>Sondré</w:t>
            </w:r>
            <w:proofErr w:type="spellEnd"/>
            <w:r w:rsidRPr="007C5A6E">
              <w:rPr>
                <w:rFonts w:ascii="Times New Roman" w:hAnsi="Times New Roman"/>
                <w:sz w:val="21"/>
                <w:szCs w:val="21"/>
              </w:rPr>
              <w:t xml:space="preserve"> – Est </w:t>
            </w:r>
            <w:proofErr w:type="spellStart"/>
            <w:r w:rsidRPr="007C5A6E">
              <w:rPr>
                <w:rFonts w:ascii="Times New Roman" w:hAnsi="Times New Roman"/>
                <w:sz w:val="21"/>
                <w:szCs w:val="21"/>
              </w:rPr>
              <w:t>Moagha-Sablogo</w:t>
            </w:r>
            <w:proofErr w:type="spellEnd"/>
          </w:p>
        </w:tc>
        <w:tc>
          <w:tcPr>
            <w:tcW w:w="1677" w:type="dxa"/>
            <w:tcBorders>
              <w:top w:val="single" w:sz="4" w:space="0" w:color="999A9A"/>
              <w:left w:val="single" w:sz="4" w:space="0" w:color="999A9A"/>
              <w:bottom w:val="single" w:sz="4" w:space="0" w:color="999A9A"/>
              <w:right w:val="single" w:sz="4" w:space="0" w:color="999A9A"/>
            </w:tcBorders>
            <w:shd w:val="clear" w:color="auto" w:fill="auto"/>
          </w:tcPr>
          <w:p w14:paraId="73500030" w14:textId="77777777" w:rsidR="007C3497" w:rsidRPr="007C5A6E" w:rsidRDefault="007C349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NP</w:t>
            </w: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5F241996" w14:textId="77777777" w:rsidR="007C3497" w:rsidRPr="007C5A6E" w:rsidRDefault="007C349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Forêt protégée</w:t>
            </w:r>
          </w:p>
        </w:tc>
        <w:tc>
          <w:tcPr>
            <w:tcW w:w="1001" w:type="dxa"/>
            <w:tcBorders>
              <w:top w:val="single" w:sz="4" w:space="0" w:color="999A9A"/>
              <w:left w:val="single" w:sz="4" w:space="0" w:color="999A9A"/>
              <w:bottom w:val="single" w:sz="4" w:space="0" w:color="999A9A"/>
              <w:right w:val="single" w:sz="4" w:space="0" w:color="999A9A"/>
            </w:tcBorders>
            <w:shd w:val="clear" w:color="auto" w:fill="auto"/>
          </w:tcPr>
          <w:p w14:paraId="06F67BEB" w14:textId="77777777" w:rsidR="007C3497" w:rsidRPr="007C5A6E" w:rsidRDefault="007C349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01</w:t>
            </w:r>
          </w:p>
        </w:tc>
      </w:tr>
      <w:tr w:rsidR="008811D7" w:rsidRPr="007C5A6E" w14:paraId="3EBAA8F2" w14:textId="77777777" w:rsidTr="008811D7">
        <w:trPr>
          <w:trHeight w:val="70"/>
        </w:trPr>
        <w:tc>
          <w:tcPr>
            <w:tcW w:w="1433" w:type="dxa"/>
            <w:vMerge w:val="restart"/>
            <w:tcBorders>
              <w:top w:val="single" w:sz="4" w:space="0" w:color="999A9A"/>
              <w:left w:val="single" w:sz="4" w:space="0" w:color="999A9A"/>
              <w:right w:val="single" w:sz="4" w:space="0" w:color="999A9A"/>
            </w:tcBorders>
            <w:shd w:val="clear" w:color="auto" w:fill="auto"/>
            <w:vAlign w:val="center"/>
          </w:tcPr>
          <w:p w14:paraId="4CB2967F" w14:textId="348EB5F1" w:rsidR="008811D7" w:rsidRPr="007C5A6E" w:rsidRDefault="008811D7" w:rsidP="008811D7">
            <w:pPr>
              <w:spacing w:after="0" w:line="240" w:lineRule="auto"/>
              <w:ind w:left="2"/>
              <w:rPr>
                <w:rFonts w:ascii="Times New Roman" w:hAnsi="Times New Roman"/>
                <w:sz w:val="21"/>
                <w:szCs w:val="21"/>
              </w:rPr>
            </w:pPr>
            <w:r w:rsidRPr="007C5A6E">
              <w:rPr>
                <w:rFonts w:ascii="Times New Roman" w:hAnsi="Times New Roman"/>
                <w:sz w:val="21"/>
                <w:szCs w:val="21"/>
              </w:rPr>
              <w:t>Hauts – Bassins</w:t>
            </w:r>
          </w:p>
        </w:tc>
        <w:tc>
          <w:tcPr>
            <w:tcW w:w="1439" w:type="dxa"/>
            <w:vMerge w:val="restart"/>
            <w:tcBorders>
              <w:top w:val="single" w:sz="4" w:space="0" w:color="999A9A"/>
              <w:left w:val="single" w:sz="4" w:space="0" w:color="999A9A"/>
              <w:right w:val="single" w:sz="4" w:space="0" w:color="999A9A"/>
            </w:tcBorders>
            <w:shd w:val="clear" w:color="auto" w:fill="auto"/>
            <w:vAlign w:val="center"/>
          </w:tcPr>
          <w:p w14:paraId="7A44648B" w14:textId="2D4BF2A9" w:rsidR="008811D7" w:rsidRPr="007C5A6E" w:rsidRDefault="008811D7" w:rsidP="008811D7">
            <w:pPr>
              <w:spacing w:after="0" w:line="240" w:lineRule="auto"/>
              <w:ind w:left="2"/>
              <w:rPr>
                <w:rFonts w:ascii="Times New Roman" w:hAnsi="Times New Roman"/>
                <w:sz w:val="21"/>
                <w:szCs w:val="21"/>
              </w:rPr>
            </w:pPr>
            <w:r w:rsidRPr="007C5A6E">
              <w:rPr>
                <w:rFonts w:ascii="Times New Roman" w:hAnsi="Times New Roman"/>
                <w:sz w:val="21"/>
                <w:szCs w:val="21"/>
              </w:rPr>
              <w:t>Houet</w:t>
            </w:r>
          </w:p>
        </w:tc>
        <w:tc>
          <w:tcPr>
            <w:tcW w:w="2212" w:type="dxa"/>
            <w:tcBorders>
              <w:top w:val="single" w:sz="4" w:space="0" w:color="999A9A"/>
              <w:left w:val="single" w:sz="4" w:space="0" w:color="999A9A"/>
              <w:bottom w:val="single" w:sz="4" w:space="0" w:color="999A9A"/>
              <w:right w:val="single" w:sz="4" w:space="0" w:color="999A9A"/>
            </w:tcBorders>
            <w:shd w:val="clear" w:color="auto" w:fill="auto"/>
          </w:tcPr>
          <w:p w14:paraId="2CD2239B" w14:textId="77777777" w:rsidR="008811D7" w:rsidRPr="007C5A6E" w:rsidRDefault="008811D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Dindéresso</w:t>
            </w:r>
          </w:p>
        </w:tc>
        <w:tc>
          <w:tcPr>
            <w:tcW w:w="1677" w:type="dxa"/>
            <w:tcBorders>
              <w:top w:val="single" w:sz="4" w:space="0" w:color="999A9A"/>
              <w:left w:val="single" w:sz="4" w:space="0" w:color="999A9A"/>
              <w:bottom w:val="single" w:sz="4" w:space="0" w:color="999A9A"/>
              <w:right w:val="single" w:sz="4" w:space="0" w:color="999A9A"/>
            </w:tcBorders>
            <w:shd w:val="clear" w:color="auto" w:fill="auto"/>
          </w:tcPr>
          <w:p w14:paraId="14ACB592" w14:textId="77777777" w:rsidR="008811D7" w:rsidRPr="007C5A6E" w:rsidRDefault="008811D7" w:rsidP="005726AF">
            <w:pPr>
              <w:spacing w:after="0" w:line="240" w:lineRule="auto"/>
              <w:ind w:left="2"/>
              <w:jc w:val="both"/>
              <w:rPr>
                <w:rFonts w:ascii="Times New Roman" w:hAnsi="Times New Roman"/>
                <w:sz w:val="21"/>
                <w:szCs w:val="21"/>
              </w:rPr>
            </w:pPr>
            <w:r w:rsidRPr="007C5A6E">
              <w:rPr>
                <w:rFonts w:ascii="Times New Roman" w:hAnsi="Times New Roman"/>
                <w:sz w:val="21"/>
                <w:szCs w:val="21"/>
              </w:rPr>
              <w:t>8 500</w:t>
            </w: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40BE67B9" w14:textId="77777777" w:rsidR="008811D7" w:rsidRPr="007C5A6E" w:rsidRDefault="008811D7" w:rsidP="005726AF">
            <w:pPr>
              <w:spacing w:after="0" w:line="240" w:lineRule="auto"/>
              <w:ind w:left="1"/>
              <w:jc w:val="both"/>
              <w:rPr>
                <w:rFonts w:ascii="Times New Roman" w:hAnsi="Times New Roman"/>
                <w:sz w:val="21"/>
                <w:szCs w:val="21"/>
              </w:rPr>
            </w:pPr>
            <w:r w:rsidRPr="007C5A6E">
              <w:rPr>
                <w:rFonts w:ascii="Times New Roman" w:hAnsi="Times New Roman"/>
                <w:sz w:val="21"/>
                <w:szCs w:val="21"/>
              </w:rPr>
              <w:t>Forêt classée</w:t>
            </w:r>
          </w:p>
        </w:tc>
        <w:tc>
          <w:tcPr>
            <w:tcW w:w="1001" w:type="dxa"/>
            <w:tcBorders>
              <w:top w:val="single" w:sz="4" w:space="0" w:color="999A9A"/>
              <w:left w:val="single" w:sz="4" w:space="0" w:color="999A9A"/>
              <w:bottom w:val="single" w:sz="4" w:space="0" w:color="999A9A"/>
              <w:right w:val="single" w:sz="4" w:space="0" w:color="999A9A"/>
            </w:tcBorders>
            <w:shd w:val="clear" w:color="auto" w:fill="auto"/>
          </w:tcPr>
          <w:p w14:paraId="639DFB32" w14:textId="77777777" w:rsidR="008811D7" w:rsidRPr="007C5A6E" w:rsidRDefault="008811D7" w:rsidP="005726AF">
            <w:pPr>
              <w:spacing w:after="0" w:line="240" w:lineRule="auto"/>
              <w:ind w:left="1"/>
              <w:jc w:val="both"/>
              <w:rPr>
                <w:rFonts w:ascii="Times New Roman" w:hAnsi="Times New Roman"/>
                <w:sz w:val="21"/>
                <w:szCs w:val="21"/>
              </w:rPr>
            </w:pPr>
            <w:r w:rsidRPr="007C5A6E">
              <w:rPr>
                <w:rFonts w:ascii="Times New Roman" w:hAnsi="Times New Roman"/>
                <w:sz w:val="21"/>
                <w:szCs w:val="21"/>
              </w:rPr>
              <w:t>01</w:t>
            </w:r>
          </w:p>
        </w:tc>
      </w:tr>
      <w:tr w:rsidR="008811D7" w:rsidRPr="007C5A6E" w14:paraId="0B238DA8" w14:textId="77777777" w:rsidTr="00B34627">
        <w:trPr>
          <w:trHeight w:val="174"/>
        </w:trPr>
        <w:tc>
          <w:tcPr>
            <w:tcW w:w="1433" w:type="dxa"/>
            <w:vMerge/>
            <w:tcBorders>
              <w:left w:val="single" w:sz="4" w:space="0" w:color="999A9A"/>
              <w:right w:val="single" w:sz="4" w:space="0" w:color="999A9A"/>
            </w:tcBorders>
            <w:shd w:val="clear" w:color="auto" w:fill="auto"/>
          </w:tcPr>
          <w:p w14:paraId="19F02874" w14:textId="5F5AAC3E" w:rsidR="008811D7" w:rsidRPr="007C5A6E" w:rsidRDefault="008811D7" w:rsidP="00D71FFF">
            <w:pPr>
              <w:spacing w:after="0" w:line="240" w:lineRule="auto"/>
              <w:ind w:left="2"/>
              <w:jc w:val="both"/>
              <w:rPr>
                <w:rFonts w:ascii="Times New Roman" w:hAnsi="Times New Roman"/>
                <w:sz w:val="21"/>
                <w:szCs w:val="21"/>
              </w:rPr>
            </w:pPr>
          </w:p>
        </w:tc>
        <w:tc>
          <w:tcPr>
            <w:tcW w:w="1439" w:type="dxa"/>
            <w:vMerge/>
            <w:tcBorders>
              <w:left w:val="single" w:sz="4" w:space="0" w:color="999A9A"/>
              <w:right w:val="single" w:sz="4" w:space="0" w:color="999A9A"/>
            </w:tcBorders>
            <w:shd w:val="clear" w:color="auto" w:fill="auto"/>
          </w:tcPr>
          <w:p w14:paraId="2D4CAA21" w14:textId="1632935C" w:rsidR="008811D7" w:rsidRPr="007C5A6E" w:rsidRDefault="008811D7" w:rsidP="00D71FFF">
            <w:pPr>
              <w:spacing w:after="0" w:line="240" w:lineRule="auto"/>
              <w:ind w:left="2"/>
              <w:jc w:val="both"/>
              <w:rPr>
                <w:rFonts w:ascii="Times New Roman" w:hAnsi="Times New Roman"/>
                <w:sz w:val="21"/>
                <w:szCs w:val="21"/>
              </w:rPr>
            </w:pPr>
          </w:p>
        </w:tc>
        <w:tc>
          <w:tcPr>
            <w:tcW w:w="2212" w:type="dxa"/>
            <w:tcBorders>
              <w:top w:val="single" w:sz="4" w:space="0" w:color="999A9A"/>
              <w:left w:val="single" w:sz="4" w:space="0" w:color="999A9A"/>
              <w:bottom w:val="single" w:sz="4" w:space="0" w:color="999A9A"/>
              <w:right w:val="single" w:sz="4" w:space="0" w:color="999A9A"/>
            </w:tcBorders>
            <w:shd w:val="clear" w:color="auto" w:fill="auto"/>
          </w:tcPr>
          <w:p w14:paraId="71279278" w14:textId="77777777" w:rsidR="008811D7" w:rsidRPr="007C5A6E" w:rsidRDefault="008811D7" w:rsidP="005726AF">
            <w:pPr>
              <w:spacing w:after="0" w:line="240" w:lineRule="auto"/>
              <w:ind w:left="1"/>
              <w:jc w:val="both"/>
              <w:rPr>
                <w:rFonts w:ascii="Times New Roman" w:hAnsi="Times New Roman"/>
                <w:sz w:val="21"/>
                <w:szCs w:val="21"/>
              </w:rPr>
            </w:pPr>
            <w:proofErr w:type="spellStart"/>
            <w:r w:rsidRPr="007C5A6E">
              <w:rPr>
                <w:rFonts w:ascii="Times New Roman" w:hAnsi="Times New Roman"/>
                <w:sz w:val="21"/>
                <w:szCs w:val="21"/>
              </w:rPr>
              <w:t>Kou</w:t>
            </w:r>
            <w:proofErr w:type="spellEnd"/>
          </w:p>
        </w:tc>
        <w:tc>
          <w:tcPr>
            <w:tcW w:w="1677" w:type="dxa"/>
            <w:tcBorders>
              <w:top w:val="single" w:sz="4" w:space="0" w:color="999A9A"/>
              <w:left w:val="single" w:sz="4" w:space="0" w:color="999A9A"/>
              <w:bottom w:val="single" w:sz="4" w:space="0" w:color="999A9A"/>
              <w:right w:val="single" w:sz="4" w:space="0" w:color="999A9A"/>
            </w:tcBorders>
            <w:shd w:val="clear" w:color="auto" w:fill="auto"/>
          </w:tcPr>
          <w:p w14:paraId="162B07AC" w14:textId="77777777" w:rsidR="008811D7" w:rsidRPr="007C5A6E" w:rsidRDefault="008811D7" w:rsidP="005726AF">
            <w:pPr>
              <w:spacing w:after="0" w:line="240" w:lineRule="auto"/>
              <w:ind w:left="1"/>
              <w:jc w:val="both"/>
              <w:rPr>
                <w:rFonts w:ascii="Times New Roman" w:hAnsi="Times New Roman"/>
                <w:sz w:val="21"/>
                <w:szCs w:val="21"/>
              </w:rPr>
            </w:pPr>
            <w:r w:rsidRPr="007C5A6E">
              <w:rPr>
                <w:rFonts w:ascii="Times New Roman" w:hAnsi="Times New Roman"/>
                <w:sz w:val="21"/>
                <w:szCs w:val="21"/>
              </w:rPr>
              <w:t>117</w:t>
            </w: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0BD2118D" w14:textId="77777777" w:rsidR="008811D7" w:rsidRPr="007C5A6E" w:rsidRDefault="008811D7" w:rsidP="005726AF">
            <w:pPr>
              <w:spacing w:after="0" w:line="240" w:lineRule="auto"/>
              <w:ind w:left="1"/>
              <w:jc w:val="both"/>
              <w:rPr>
                <w:rFonts w:ascii="Times New Roman" w:hAnsi="Times New Roman"/>
                <w:sz w:val="21"/>
                <w:szCs w:val="21"/>
              </w:rPr>
            </w:pPr>
            <w:r w:rsidRPr="007C5A6E">
              <w:rPr>
                <w:rFonts w:ascii="Times New Roman" w:hAnsi="Times New Roman"/>
                <w:sz w:val="21"/>
                <w:szCs w:val="21"/>
              </w:rPr>
              <w:t>Forêt classée</w:t>
            </w:r>
          </w:p>
        </w:tc>
        <w:tc>
          <w:tcPr>
            <w:tcW w:w="1001" w:type="dxa"/>
            <w:tcBorders>
              <w:top w:val="single" w:sz="4" w:space="0" w:color="999A9A"/>
              <w:left w:val="single" w:sz="4" w:space="0" w:color="999A9A"/>
              <w:bottom w:val="single" w:sz="4" w:space="0" w:color="999A9A"/>
              <w:right w:val="single" w:sz="4" w:space="0" w:color="999A9A"/>
            </w:tcBorders>
            <w:shd w:val="clear" w:color="auto" w:fill="auto"/>
          </w:tcPr>
          <w:p w14:paraId="14F80D51" w14:textId="77777777" w:rsidR="008811D7" w:rsidRPr="007C5A6E" w:rsidRDefault="008811D7" w:rsidP="005726AF">
            <w:pPr>
              <w:spacing w:after="0" w:line="240" w:lineRule="auto"/>
              <w:ind w:left="1"/>
              <w:jc w:val="both"/>
              <w:rPr>
                <w:rFonts w:ascii="Times New Roman" w:hAnsi="Times New Roman"/>
                <w:sz w:val="21"/>
                <w:szCs w:val="21"/>
              </w:rPr>
            </w:pPr>
            <w:r w:rsidRPr="007C5A6E">
              <w:rPr>
                <w:rFonts w:ascii="Times New Roman" w:hAnsi="Times New Roman"/>
                <w:sz w:val="21"/>
                <w:szCs w:val="21"/>
              </w:rPr>
              <w:t>01</w:t>
            </w:r>
          </w:p>
        </w:tc>
      </w:tr>
      <w:tr w:rsidR="008811D7" w:rsidRPr="007C5A6E" w14:paraId="6A8DD807" w14:textId="77777777" w:rsidTr="00B34627">
        <w:trPr>
          <w:trHeight w:val="74"/>
        </w:trPr>
        <w:tc>
          <w:tcPr>
            <w:tcW w:w="1433" w:type="dxa"/>
            <w:vMerge/>
            <w:tcBorders>
              <w:left w:val="single" w:sz="4" w:space="0" w:color="999A9A"/>
              <w:right w:val="single" w:sz="4" w:space="0" w:color="999A9A"/>
            </w:tcBorders>
            <w:shd w:val="clear" w:color="auto" w:fill="auto"/>
          </w:tcPr>
          <w:p w14:paraId="6DFE2678" w14:textId="30E1731D" w:rsidR="008811D7" w:rsidRPr="007C5A6E" w:rsidRDefault="008811D7" w:rsidP="00D71FFF">
            <w:pPr>
              <w:spacing w:after="0" w:line="240" w:lineRule="auto"/>
              <w:ind w:left="2"/>
              <w:jc w:val="both"/>
              <w:rPr>
                <w:rFonts w:ascii="Times New Roman" w:hAnsi="Times New Roman"/>
                <w:sz w:val="21"/>
                <w:szCs w:val="21"/>
              </w:rPr>
            </w:pPr>
          </w:p>
        </w:tc>
        <w:tc>
          <w:tcPr>
            <w:tcW w:w="1439" w:type="dxa"/>
            <w:vMerge/>
            <w:tcBorders>
              <w:left w:val="single" w:sz="4" w:space="0" w:color="999A9A"/>
              <w:right w:val="single" w:sz="4" w:space="0" w:color="999A9A"/>
            </w:tcBorders>
            <w:shd w:val="clear" w:color="auto" w:fill="auto"/>
          </w:tcPr>
          <w:p w14:paraId="4A16AB86" w14:textId="40FDC5BB" w:rsidR="008811D7" w:rsidRPr="007C5A6E" w:rsidRDefault="008811D7" w:rsidP="00D71FFF">
            <w:pPr>
              <w:spacing w:after="0" w:line="240" w:lineRule="auto"/>
              <w:ind w:left="2"/>
              <w:jc w:val="both"/>
              <w:rPr>
                <w:rFonts w:ascii="Times New Roman" w:hAnsi="Times New Roman"/>
                <w:sz w:val="21"/>
                <w:szCs w:val="21"/>
              </w:rPr>
            </w:pPr>
          </w:p>
        </w:tc>
        <w:tc>
          <w:tcPr>
            <w:tcW w:w="2212" w:type="dxa"/>
            <w:tcBorders>
              <w:top w:val="single" w:sz="4" w:space="0" w:color="999A9A"/>
              <w:left w:val="single" w:sz="4" w:space="0" w:color="999A9A"/>
              <w:bottom w:val="single" w:sz="4" w:space="0" w:color="999A9A"/>
              <w:right w:val="single" w:sz="4" w:space="0" w:color="999A9A"/>
            </w:tcBorders>
            <w:shd w:val="clear" w:color="auto" w:fill="auto"/>
          </w:tcPr>
          <w:p w14:paraId="62BF1D1A" w14:textId="77777777" w:rsidR="008811D7" w:rsidRPr="007C5A6E" w:rsidRDefault="008811D7" w:rsidP="00D71FFF">
            <w:pPr>
              <w:spacing w:after="0" w:line="240" w:lineRule="auto"/>
              <w:ind w:left="1"/>
              <w:jc w:val="both"/>
              <w:rPr>
                <w:rFonts w:ascii="Times New Roman" w:hAnsi="Times New Roman"/>
                <w:sz w:val="21"/>
                <w:szCs w:val="21"/>
              </w:rPr>
            </w:pPr>
            <w:proofErr w:type="spellStart"/>
            <w:r w:rsidRPr="007C5A6E">
              <w:rPr>
                <w:rFonts w:ascii="Times New Roman" w:hAnsi="Times New Roman"/>
                <w:sz w:val="21"/>
                <w:szCs w:val="21"/>
              </w:rPr>
              <w:t>Koulima</w:t>
            </w:r>
            <w:proofErr w:type="spellEnd"/>
          </w:p>
        </w:tc>
        <w:tc>
          <w:tcPr>
            <w:tcW w:w="1677" w:type="dxa"/>
            <w:tcBorders>
              <w:top w:val="single" w:sz="4" w:space="0" w:color="999A9A"/>
              <w:left w:val="single" w:sz="4" w:space="0" w:color="999A9A"/>
              <w:bottom w:val="single" w:sz="4" w:space="0" w:color="999A9A"/>
              <w:right w:val="single" w:sz="4" w:space="0" w:color="999A9A"/>
            </w:tcBorders>
            <w:shd w:val="clear" w:color="auto" w:fill="auto"/>
          </w:tcPr>
          <w:p w14:paraId="58CC5E16" w14:textId="77777777" w:rsidR="008811D7" w:rsidRPr="007C5A6E" w:rsidRDefault="008811D7" w:rsidP="00D71FFF">
            <w:pPr>
              <w:spacing w:after="0" w:line="240" w:lineRule="auto"/>
              <w:ind w:left="1"/>
              <w:jc w:val="both"/>
              <w:rPr>
                <w:rFonts w:ascii="Times New Roman" w:hAnsi="Times New Roman"/>
                <w:sz w:val="21"/>
                <w:szCs w:val="21"/>
              </w:rPr>
            </w:pPr>
            <w:r w:rsidRPr="007C5A6E">
              <w:rPr>
                <w:rFonts w:ascii="Times New Roman" w:hAnsi="Times New Roman"/>
                <w:sz w:val="21"/>
                <w:szCs w:val="21"/>
              </w:rPr>
              <w:t>2 150</w:t>
            </w: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3342648F" w14:textId="77777777" w:rsidR="008811D7" w:rsidRPr="007C5A6E" w:rsidRDefault="008811D7" w:rsidP="00D71FFF">
            <w:pPr>
              <w:spacing w:after="0" w:line="240" w:lineRule="auto"/>
              <w:ind w:left="1"/>
              <w:jc w:val="both"/>
              <w:rPr>
                <w:rFonts w:ascii="Times New Roman" w:hAnsi="Times New Roman"/>
                <w:sz w:val="21"/>
                <w:szCs w:val="21"/>
              </w:rPr>
            </w:pPr>
            <w:r w:rsidRPr="007C5A6E">
              <w:rPr>
                <w:rFonts w:ascii="Times New Roman" w:hAnsi="Times New Roman"/>
                <w:sz w:val="21"/>
                <w:szCs w:val="21"/>
              </w:rPr>
              <w:t>Forêt classée</w:t>
            </w:r>
          </w:p>
        </w:tc>
        <w:tc>
          <w:tcPr>
            <w:tcW w:w="1001" w:type="dxa"/>
            <w:tcBorders>
              <w:top w:val="single" w:sz="4" w:space="0" w:color="999A9A"/>
              <w:left w:val="single" w:sz="4" w:space="0" w:color="999A9A"/>
              <w:bottom w:val="single" w:sz="4" w:space="0" w:color="999A9A"/>
              <w:right w:val="single" w:sz="4" w:space="0" w:color="999A9A"/>
            </w:tcBorders>
            <w:shd w:val="clear" w:color="auto" w:fill="auto"/>
          </w:tcPr>
          <w:p w14:paraId="15189160" w14:textId="77777777" w:rsidR="008811D7" w:rsidRPr="007C5A6E" w:rsidRDefault="008811D7" w:rsidP="00D71FFF">
            <w:pPr>
              <w:spacing w:after="0" w:line="240" w:lineRule="auto"/>
              <w:ind w:left="1"/>
              <w:jc w:val="both"/>
              <w:rPr>
                <w:rFonts w:ascii="Times New Roman" w:hAnsi="Times New Roman"/>
                <w:sz w:val="21"/>
                <w:szCs w:val="21"/>
              </w:rPr>
            </w:pPr>
            <w:r w:rsidRPr="007C5A6E">
              <w:rPr>
                <w:rFonts w:ascii="Times New Roman" w:hAnsi="Times New Roman"/>
                <w:sz w:val="21"/>
                <w:szCs w:val="21"/>
              </w:rPr>
              <w:t>01</w:t>
            </w:r>
          </w:p>
        </w:tc>
      </w:tr>
      <w:tr w:rsidR="008811D7" w:rsidRPr="007C5A6E" w14:paraId="4906D275" w14:textId="77777777" w:rsidTr="00B34627">
        <w:trPr>
          <w:trHeight w:val="158"/>
        </w:trPr>
        <w:tc>
          <w:tcPr>
            <w:tcW w:w="1433" w:type="dxa"/>
            <w:vMerge/>
            <w:tcBorders>
              <w:left w:val="single" w:sz="4" w:space="0" w:color="999A9A"/>
              <w:right w:val="single" w:sz="4" w:space="0" w:color="999A9A"/>
            </w:tcBorders>
            <w:shd w:val="clear" w:color="auto" w:fill="auto"/>
          </w:tcPr>
          <w:p w14:paraId="5EA581AC" w14:textId="77777777" w:rsidR="008811D7" w:rsidRPr="007C5A6E" w:rsidRDefault="008811D7" w:rsidP="005726AF">
            <w:pPr>
              <w:spacing w:after="0" w:line="240" w:lineRule="auto"/>
              <w:jc w:val="both"/>
              <w:rPr>
                <w:rFonts w:ascii="Times New Roman" w:hAnsi="Times New Roman"/>
                <w:sz w:val="21"/>
                <w:szCs w:val="21"/>
              </w:rPr>
            </w:pPr>
          </w:p>
        </w:tc>
        <w:tc>
          <w:tcPr>
            <w:tcW w:w="1439" w:type="dxa"/>
            <w:vMerge/>
            <w:tcBorders>
              <w:left w:val="single" w:sz="4" w:space="0" w:color="999A9A"/>
              <w:bottom w:val="single" w:sz="4" w:space="0" w:color="999A9A"/>
              <w:right w:val="single" w:sz="4" w:space="0" w:color="999A9A"/>
            </w:tcBorders>
            <w:shd w:val="clear" w:color="auto" w:fill="auto"/>
          </w:tcPr>
          <w:p w14:paraId="0E6C8A5D" w14:textId="77777777" w:rsidR="008811D7" w:rsidRPr="007C5A6E" w:rsidRDefault="008811D7" w:rsidP="005726AF">
            <w:pPr>
              <w:spacing w:after="0" w:line="240" w:lineRule="auto"/>
              <w:jc w:val="both"/>
              <w:rPr>
                <w:rFonts w:ascii="Times New Roman" w:hAnsi="Times New Roman"/>
                <w:sz w:val="21"/>
                <w:szCs w:val="21"/>
              </w:rPr>
            </w:pPr>
          </w:p>
        </w:tc>
        <w:tc>
          <w:tcPr>
            <w:tcW w:w="2212" w:type="dxa"/>
            <w:tcBorders>
              <w:top w:val="single" w:sz="4" w:space="0" w:color="999A9A"/>
              <w:left w:val="single" w:sz="4" w:space="0" w:color="999A9A"/>
              <w:bottom w:val="single" w:sz="4" w:space="0" w:color="999A9A"/>
              <w:right w:val="single" w:sz="4" w:space="0" w:color="999A9A"/>
            </w:tcBorders>
            <w:shd w:val="clear" w:color="auto" w:fill="auto"/>
          </w:tcPr>
          <w:p w14:paraId="7504D452" w14:textId="77777777" w:rsidR="008811D7" w:rsidRPr="007C5A6E" w:rsidRDefault="008811D7" w:rsidP="005726AF">
            <w:pPr>
              <w:spacing w:after="0" w:line="240" w:lineRule="auto"/>
              <w:ind w:left="1"/>
              <w:jc w:val="both"/>
              <w:rPr>
                <w:rFonts w:ascii="Times New Roman" w:hAnsi="Times New Roman"/>
                <w:sz w:val="21"/>
                <w:szCs w:val="21"/>
              </w:rPr>
            </w:pPr>
            <w:proofErr w:type="spellStart"/>
            <w:r w:rsidRPr="007C5A6E">
              <w:rPr>
                <w:rFonts w:ascii="Times New Roman" w:hAnsi="Times New Roman"/>
                <w:sz w:val="21"/>
                <w:szCs w:val="21"/>
              </w:rPr>
              <w:t>Poa</w:t>
            </w:r>
            <w:proofErr w:type="spellEnd"/>
            <w:r w:rsidRPr="007C5A6E">
              <w:rPr>
                <w:rFonts w:ascii="Times New Roman" w:hAnsi="Times New Roman"/>
                <w:sz w:val="21"/>
                <w:szCs w:val="21"/>
              </w:rPr>
              <w:t xml:space="preserve"> (</w:t>
            </w:r>
            <w:proofErr w:type="spellStart"/>
            <w:r w:rsidRPr="007C5A6E">
              <w:rPr>
                <w:rFonts w:ascii="Times New Roman" w:hAnsi="Times New Roman"/>
                <w:sz w:val="21"/>
                <w:szCs w:val="21"/>
              </w:rPr>
              <w:t>Koua</w:t>
            </w:r>
            <w:proofErr w:type="spellEnd"/>
            <w:r w:rsidRPr="007C5A6E">
              <w:rPr>
                <w:rFonts w:ascii="Times New Roman" w:hAnsi="Times New Roman"/>
                <w:sz w:val="21"/>
                <w:szCs w:val="21"/>
              </w:rPr>
              <w:t>)</w:t>
            </w:r>
          </w:p>
        </w:tc>
        <w:tc>
          <w:tcPr>
            <w:tcW w:w="1677" w:type="dxa"/>
            <w:tcBorders>
              <w:top w:val="single" w:sz="4" w:space="0" w:color="999A9A"/>
              <w:left w:val="single" w:sz="4" w:space="0" w:color="999A9A"/>
              <w:bottom w:val="single" w:sz="4" w:space="0" w:color="999A9A"/>
              <w:right w:val="single" w:sz="4" w:space="0" w:color="999A9A"/>
            </w:tcBorders>
            <w:shd w:val="clear" w:color="auto" w:fill="auto"/>
          </w:tcPr>
          <w:p w14:paraId="55523304" w14:textId="77777777" w:rsidR="008811D7" w:rsidRPr="007C5A6E" w:rsidRDefault="008811D7" w:rsidP="005726AF">
            <w:pPr>
              <w:spacing w:after="0" w:line="240" w:lineRule="auto"/>
              <w:ind w:left="1"/>
              <w:jc w:val="both"/>
              <w:rPr>
                <w:rFonts w:ascii="Times New Roman" w:hAnsi="Times New Roman"/>
                <w:sz w:val="21"/>
                <w:szCs w:val="21"/>
              </w:rPr>
            </w:pPr>
            <w:r w:rsidRPr="007C5A6E">
              <w:rPr>
                <w:rFonts w:ascii="Times New Roman" w:hAnsi="Times New Roman"/>
                <w:sz w:val="21"/>
                <w:szCs w:val="21"/>
              </w:rPr>
              <w:t>350</w:t>
            </w: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4D7C0994" w14:textId="77777777" w:rsidR="008811D7" w:rsidRPr="007C5A6E" w:rsidRDefault="008811D7" w:rsidP="005726AF">
            <w:pPr>
              <w:spacing w:after="0" w:line="240" w:lineRule="auto"/>
              <w:ind w:left="1"/>
              <w:jc w:val="both"/>
              <w:rPr>
                <w:rFonts w:ascii="Times New Roman" w:hAnsi="Times New Roman"/>
                <w:sz w:val="21"/>
                <w:szCs w:val="21"/>
              </w:rPr>
            </w:pPr>
            <w:r w:rsidRPr="007C5A6E">
              <w:rPr>
                <w:rFonts w:ascii="Times New Roman" w:hAnsi="Times New Roman"/>
                <w:sz w:val="21"/>
                <w:szCs w:val="21"/>
              </w:rPr>
              <w:t>Forêt classée</w:t>
            </w:r>
          </w:p>
        </w:tc>
        <w:tc>
          <w:tcPr>
            <w:tcW w:w="1001" w:type="dxa"/>
            <w:tcBorders>
              <w:top w:val="single" w:sz="4" w:space="0" w:color="999A9A"/>
              <w:left w:val="single" w:sz="4" w:space="0" w:color="999A9A"/>
              <w:bottom w:val="single" w:sz="4" w:space="0" w:color="999A9A"/>
              <w:right w:val="single" w:sz="4" w:space="0" w:color="999A9A"/>
            </w:tcBorders>
            <w:shd w:val="clear" w:color="auto" w:fill="auto"/>
          </w:tcPr>
          <w:p w14:paraId="2A884689" w14:textId="77777777" w:rsidR="008811D7" w:rsidRPr="007C5A6E" w:rsidRDefault="008811D7" w:rsidP="005726AF">
            <w:pPr>
              <w:spacing w:after="0" w:line="240" w:lineRule="auto"/>
              <w:ind w:left="1"/>
              <w:jc w:val="both"/>
              <w:rPr>
                <w:rFonts w:ascii="Times New Roman" w:hAnsi="Times New Roman"/>
                <w:sz w:val="21"/>
                <w:szCs w:val="21"/>
              </w:rPr>
            </w:pPr>
            <w:r w:rsidRPr="007C5A6E">
              <w:rPr>
                <w:rFonts w:ascii="Times New Roman" w:hAnsi="Times New Roman"/>
                <w:sz w:val="21"/>
                <w:szCs w:val="21"/>
              </w:rPr>
              <w:t>01</w:t>
            </w:r>
          </w:p>
        </w:tc>
      </w:tr>
      <w:tr w:rsidR="008811D7" w:rsidRPr="007C5A6E" w14:paraId="16257F12" w14:textId="77777777" w:rsidTr="00B34627">
        <w:trPr>
          <w:trHeight w:val="355"/>
        </w:trPr>
        <w:tc>
          <w:tcPr>
            <w:tcW w:w="1433" w:type="dxa"/>
            <w:vMerge/>
            <w:tcBorders>
              <w:left w:val="single" w:sz="4" w:space="0" w:color="999A9A"/>
              <w:bottom w:val="single" w:sz="4" w:space="0" w:color="999A9A"/>
              <w:right w:val="single" w:sz="4" w:space="0" w:color="999A9A"/>
            </w:tcBorders>
            <w:shd w:val="clear" w:color="auto" w:fill="auto"/>
          </w:tcPr>
          <w:p w14:paraId="25C4A06E" w14:textId="77777777" w:rsidR="008811D7" w:rsidRPr="007C5A6E" w:rsidRDefault="008811D7" w:rsidP="005726AF">
            <w:pPr>
              <w:spacing w:after="0" w:line="240" w:lineRule="auto"/>
              <w:jc w:val="both"/>
              <w:rPr>
                <w:rFonts w:ascii="Times New Roman" w:hAnsi="Times New Roman"/>
                <w:sz w:val="21"/>
                <w:szCs w:val="21"/>
              </w:rPr>
            </w:pPr>
          </w:p>
        </w:tc>
        <w:tc>
          <w:tcPr>
            <w:tcW w:w="1439" w:type="dxa"/>
            <w:tcBorders>
              <w:top w:val="single" w:sz="4" w:space="0" w:color="999A9A"/>
              <w:left w:val="single" w:sz="4" w:space="0" w:color="999A9A"/>
              <w:bottom w:val="single" w:sz="4" w:space="0" w:color="999A9A"/>
              <w:right w:val="single" w:sz="4" w:space="0" w:color="999A9A"/>
            </w:tcBorders>
            <w:shd w:val="clear" w:color="auto" w:fill="auto"/>
          </w:tcPr>
          <w:p w14:paraId="034B7235" w14:textId="77777777" w:rsidR="008811D7" w:rsidRPr="007C5A6E" w:rsidRDefault="008811D7" w:rsidP="005726AF">
            <w:pPr>
              <w:spacing w:after="0" w:line="240" w:lineRule="auto"/>
              <w:ind w:left="1"/>
              <w:jc w:val="both"/>
              <w:rPr>
                <w:rFonts w:ascii="Times New Roman" w:hAnsi="Times New Roman"/>
                <w:sz w:val="21"/>
                <w:szCs w:val="21"/>
              </w:rPr>
            </w:pPr>
            <w:r w:rsidRPr="007C5A6E">
              <w:rPr>
                <w:rFonts w:ascii="Times New Roman" w:hAnsi="Times New Roman"/>
                <w:sz w:val="21"/>
                <w:szCs w:val="21"/>
              </w:rPr>
              <w:t>Tuy</w:t>
            </w:r>
          </w:p>
        </w:tc>
        <w:tc>
          <w:tcPr>
            <w:tcW w:w="2212" w:type="dxa"/>
            <w:tcBorders>
              <w:top w:val="single" w:sz="4" w:space="0" w:color="999A9A"/>
              <w:left w:val="single" w:sz="4" w:space="0" w:color="999A9A"/>
              <w:bottom w:val="single" w:sz="4" w:space="0" w:color="999A9A"/>
              <w:right w:val="single" w:sz="4" w:space="0" w:color="999A9A"/>
            </w:tcBorders>
            <w:shd w:val="clear" w:color="auto" w:fill="auto"/>
          </w:tcPr>
          <w:p w14:paraId="0069115B" w14:textId="77777777" w:rsidR="008811D7" w:rsidRPr="007C5A6E" w:rsidRDefault="008811D7" w:rsidP="005726AF">
            <w:pPr>
              <w:spacing w:after="0" w:line="240" w:lineRule="auto"/>
              <w:ind w:left="1"/>
              <w:jc w:val="both"/>
              <w:rPr>
                <w:rFonts w:ascii="Times New Roman" w:hAnsi="Times New Roman"/>
                <w:sz w:val="21"/>
                <w:szCs w:val="21"/>
              </w:rPr>
            </w:pPr>
            <w:proofErr w:type="spellStart"/>
            <w:r w:rsidRPr="007C5A6E">
              <w:rPr>
                <w:rFonts w:ascii="Times New Roman" w:hAnsi="Times New Roman"/>
                <w:sz w:val="21"/>
                <w:szCs w:val="21"/>
              </w:rPr>
              <w:t>Maro</w:t>
            </w:r>
            <w:proofErr w:type="spellEnd"/>
          </w:p>
        </w:tc>
        <w:tc>
          <w:tcPr>
            <w:tcW w:w="1677" w:type="dxa"/>
            <w:tcBorders>
              <w:top w:val="single" w:sz="4" w:space="0" w:color="999A9A"/>
              <w:left w:val="single" w:sz="4" w:space="0" w:color="999A9A"/>
              <w:bottom w:val="single" w:sz="4" w:space="0" w:color="999A9A"/>
              <w:right w:val="single" w:sz="4" w:space="0" w:color="999A9A"/>
            </w:tcBorders>
            <w:shd w:val="clear" w:color="auto" w:fill="auto"/>
          </w:tcPr>
          <w:p w14:paraId="59CB8915" w14:textId="77777777" w:rsidR="008811D7" w:rsidRPr="007C5A6E" w:rsidRDefault="008811D7" w:rsidP="005726AF">
            <w:pPr>
              <w:spacing w:after="0" w:line="240" w:lineRule="auto"/>
              <w:ind w:left="1"/>
              <w:jc w:val="both"/>
              <w:rPr>
                <w:rFonts w:ascii="Times New Roman" w:hAnsi="Times New Roman"/>
                <w:sz w:val="21"/>
                <w:szCs w:val="21"/>
              </w:rPr>
            </w:pPr>
            <w:r w:rsidRPr="007C5A6E">
              <w:rPr>
                <w:rFonts w:ascii="Times New Roman" w:hAnsi="Times New Roman"/>
                <w:sz w:val="21"/>
                <w:szCs w:val="21"/>
              </w:rPr>
              <w:t>52 000</w:t>
            </w: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7056BDDE" w14:textId="77777777" w:rsidR="008811D7" w:rsidRPr="007C5A6E" w:rsidRDefault="008811D7" w:rsidP="005726AF">
            <w:pPr>
              <w:spacing w:after="0" w:line="240" w:lineRule="auto"/>
              <w:ind w:left="1"/>
              <w:jc w:val="both"/>
              <w:rPr>
                <w:rFonts w:ascii="Times New Roman" w:hAnsi="Times New Roman"/>
                <w:sz w:val="21"/>
                <w:szCs w:val="21"/>
              </w:rPr>
            </w:pPr>
            <w:r w:rsidRPr="007C5A6E">
              <w:rPr>
                <w:rFonts w:ascii="Times New Roman" w:hAnsi="Times New Roman"/>
                <w:sz w:val="21"/>
                <w:szCs w:val="21"/>
              </w:rPr>
              <w:t>Forêt classée</w:t>
            </w:r>
          </w:p>
        </w:tc>
        <w:tc>
          <w:tcPr>
            <w:tcW w:w="1001" w:type="dxa"/>
            <w:tcBorders>
              <w:top w:val="single" w:sz="4" w:space="0" w:color="999A9A"/>
              <w:left w:val="single" w:sz="4" w:space="0" w:color="999A9A"/>
              <w:bottom w:val="single" w:sz="4" w:space="0" w:color="999A9A"/>
              <w:right w:val="single" w:sz="4" w:space="0" w:color="999A9A"/>
            </w:tcBorders>
            <w:shd w:val="clear" w:color="auto" w:fill="auto"/>
          </w:tcPr>
          <w:p w14:paraId="4ABED606" w14:textId="77777777" w:rsidR="008811D7" w:rsidRPr="007C5A6E" w:rsidRDefault="008811D7" w:rsidP="005726AF">
            <w:pPr>
              <w:spacing w:after="0" w:line="240" w:lineRule="auto"/>
              <w:ind w:left="1"/>
              <w:jc w:val="both"/>
              <w:rPr>
                <w:rFonts w:ascii="Times New Roman" w:hAnsi="Times New Roman"/>
                <w:sz w:val="21"/>
                <w:szCs w:val="21"/>
              </w:rPr>
            </w:pPr>
            <w:r w:rsidRPr="007C5A6E">
              <w:rPr>
                <w:rFonts w:ascii="Times New Roman" w:hAnsi="Times New Roman"/>
                <w:sz w:val="21"/>
                <w:szCs w:val="21"/>
              </w:rPr>
              <w:t>01</w:t>
            </w:r>
          </w:p>
        </w:tc>
      </w:tr>
      <w:tr w:rsidR="008811D7" w:rsidRPr="007C5A6E" w14:paraId="274283BE" w14:textId="77777777" w:rsidTr="008811D7">
        <w:trPr>
          <w:trHeight w:val="70"/>
        </w:trPr>
        <w:tc>
          <w:tcPr>
            <w:tcW w:w="1433" w:type="dxa"/>
            <w:vMerge w:val="restart"/>
            <w:tcBorders>
              <w:top w:val="single" w:sz="4" w:space="0" w:color="999A9A"/>
              <w:left w:val="single" w:sz="4" w:space="0" w:color="999A9A"/>
              <w:right w:val="single" w:sz="4" w:space="0" w:color="999A9A"/>
            </w:tcBorders>
            <w:shd w:val="clear" w:color="auto" w:fill="auto"/>
            <w:vAlign w:val="center"/>
          </w:tcPr>
          <w:p w14:paraId="378895AE" w14:textId="4A01D682" w:rsidR="008811D7" w:rsidRPr="007C5A6E" w:rsidRDefault="008811D7" w:rsidP="008811D7">
            <w:pPr>
              <w:spacing w:after="0" w:line="240" w:lineRule="auto"/>
              <w:ind w:left="1"/>
              <w:rPr>
                <w:rFonts w:ascii="Times New Roman" w:hAnsi="Times New Roman"/>
                <w:sz w:val="21"/>
                <w:szCs w:val="21"/>
              </w:rPr>
            </w:pPr>
            <w:r w:rsidRPr="007C5A6E">
              <w:rPr>
                <w:rFonts w:ascii="Times New Roman" w:hAnsi="Times New Roman"/>
                <w:sz w:val="21"/>
                <w:szCs w:val="21"/>
              </w:rPr>
              <w:t>Cascades</w:t>
            </w:r>
          </w:p>
        </w:tc>
        <w:tc>
          <w:tcPr>
            <w:tcW w:w="1439" w:type="dxa"/>
            <w:vMerge w:val="restart"/>
            <w:tcBorders>
              <w:top w:val="single" w:sz="4" w:space="0" w:color="999A9A"/>
              <w:left w:val="single" w:sz="4" w:space="0" w:color="999A9A"/>
              <w:right w:val="single" w:sz="4" w:space="0" w:color="999A9A"/>
            </w:tcBorders>
            <w:shd w:val="clear" w:color="auto" w:fill="auto"/>
            <w:vAlign w:val="center"/>
          </w:tcPr>
          <w:p w14:paraId="0DE2FA46" w14:textId="7676E6D2" w:rsidR="008811D7" w:rsidRPr="007C5A6E" w:rsidRDefault="008811D7" w:rsidP="008811D7">
            <w:pPr>
              <w:spacing w:after="0" w:line="240" w:lineRule="auto"/>
              <w:ind w:left="1"/>
              <w:rPr>
                <w:rFonts w:ascii="Times New Roman" w:hAnsi="Times New Roman"/>
                <w:sz w:val="21"/>
                <w:szCs w:val="21"/>
              </w:rPr>
            </w:pPr>
            <w:r w:rsidRPr="007C5A6E">
              <w:rPr>
                <w:rFonts w:ascii="Times New Roman" w:hAnsi="Times New Roman"/>
                <w:sz w:val="21"/>
                <w:szCs w:val="21"/>
              </w:rPr>
              <w:t>Comoé</w:t>
            </w:r>
          </w:p>
        </w:tc>
        <w:tc>
          <w:tcPr>
            <w:tcW w:w="2212" w:type="dxa"/>
            <w:tcBorders>
              <w:top w:val="single" w:sz="4" w:space="0" w:color="999A9A"/>
              <w:left w:val="single" w:sz="4" w:space="0" w:color="999A9A"/>
              <w:bottom w:val="single" w:sz="4" w:space="0" w:color="999A9A"/>
              <w:right w:val="single" w:sz="4" w:space="0" w:color="999A9A"/>
            </w:tcBorders>
            <w:shd w:val="clear" w:color="auto" w:fill="auto"/>
          </w:tcPr>
          <w:p w14:paraId="57A7FC89" w14:textId="77777777" w:rsidR="008811D7" w:rsidRPr="007C5A6E" w:rsidRDefault="008811D7" w:rsidP="005726AF">
            <w:pPr>
              <w:spacing w:after="0" w:line="240" w:lineRule="auto"/>
              <w:ind w:left="1"/>
              <w:jc w:val="both"/>
              <w:rPr>
                <w:rFonts w:ascii="Times New Roman" w:hAnsi="Times New Roman"/>
                <w:sz w:val="21"/>
                <w:szCs w:val="21"/>
              </w:rPr>
            </w:pPr>
            <w:proofErr w:type="spellStart"/>
            <w:r w:rsidRPr="007C5A6E">
              <w:rPr>
                <w:rFonts w:ascii="Times New Roman" w:hAnsi="Times New Roman"/>
                <w:sz w:val="21"/>
                <w:szCs w:val="21"/>
              </w:rPr>
              <w:t>Gouandougou</w:t>
            </w:r>
            <w:proofErr w:type="spellEnd"/>
          </w:p>
        </w:tc>
        <w:tc>
          <w:tcPr>
            <w:tcW w:w="1677" w:type="dxa"/>
            <w:tcBorders>
              <w:top w:val="single" w:sz="4" w:space="0" w:color="999A9A"/>
              <w:left w:val="single" w:sz="4" w:space="0" w:color="999A9A"/>
              <w:bottom w:val="single" w:sz="4" w:space="0" w:color="999A9A"/>
              <w:right w:val="single" w:sz="4" w:space="0" w:color="999A9A"/>
            </w:tcBorders>
            <w:shd w:val="clear" w:color="auto" w:fill="auto"/>
          </w:tcPr>
          <w:p w14:paraId="628FFAF2" w14:textId="77777777" w:rsidR="008811D7" w:rsidRPr="007C5A6E" w:rsidRDefault="008811D7" w:rsidP="005726AF">
            <w:pPr>
              <w:spacing w:after="0" w:line="240" w:lineRule="auto"/>
              <w:ind w:left="1"/>
              <w:jc w:val="both"/>
              <w:rPr>
                <w:rFonts w:ascii="Times New Roman" w:hAnsi="Times New Roman"/>
                <w:sz w:val="21"/>
                <w:szCs w:val="21"/>
              </w:rPr>
            </w:pPr>
            <w:r w:rsidRPr="007C5A6E">
              <w:rPr>
                <w:rFonts w:ascii="Times New Roman" w:hAnsi="Times New Roman"/>
                <w:sz w:val="21"/>
                <w:szCs w:val="21"/>
              </w:rPr>
              <w:t>9 500</w:t>
            </w: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489AF453" w14:textId="77777777" w:rsidR="008811D7" w:rsidRPr="007C5A6E" w:rsidRDefault="008811D7" w:rsidP="005726AF">
            <w:pPr>
              <w:spacing w:after="0" w:line="240" w:lineRule="auto"/>
              <w:ind w:left="1"/>
              <w:jc w:val="both"/>
              <w:rPr>
                <w:rFonts w:ascii="Times New Roman" w:hAnsi="Times New Roman"/>
                <w:sz w:val="21"/>
                <w:szCs w:val="21"/>
              </w:rPr>
            </w:pPr>
            <w:r w:rsidRPr="007C5A6E">
              <w:rPr>
                <w:rFonts w:ascii="Times New Roman" w:hAnsi="Times New Roman"/>
                <w:sz w:val="21"/>
                <w:szCs w:val="21"/>
              </w:rPr>
              <w:t>Forêt classée</w:t>
            </w:r>
          </w:p>
        </w:tc>
        <w:tc>
          <w:tcPr>
            <w:tcW w:w="1001" w:type="dxa"/>
            <w:tcBorders>
              <w:top w:val="single" w:sz="4" w:space="0" w:color="999A9A"/>
              <w:left w:val="single" w:sz="4" w:space="0" w:color="999A9A"/>
              <w:bottom w:val="single" w:sz="4" w:space="0" w:color="999A9A"/>
              <w:right w:val="single" w:sz="4" w:space="0" w:color="999A9A"/>
            </w:tcBorders>
            <w:shd w:val="clear" w:color="auto" w:fill="auto"/>
          </w:tcPr>
          <w:p w14:paraId="7B9BE8E5" w14:textId="77777777" w:rsidR="008811D7" w:rsidRPr="007C5A6E" w:rsidRDefault="008811D7" w:rsidP="005726AF">
            <w:pPr>
              <w:spacing w:after="0" w:line="240" w:lineRule="auto"/>
              <w:ind w:left="1"/>
              <w:jc w:val="both"/>
              <w:rPr>
                <w:rFonts w:ascii="Times New Roman" w:hAnsi="Times New Roman"/>
                <w:sz w:val="21"/>
                <w:szCs w:val="21"/>
              </w:rPr>
            </w:pPr>
            <w:r w:rsidRPr="007C5A6E">
              <w:rPr>
                <w:rFonts w:ascii="Times New Roman" w:hAnsi="Times New Roman"/>
                <w:sz w:val="21"/>
                <w:szCs w:val="21"/>
              </w:rPr>
              <w:t>01</w:t>
            </w:r>
          </w:p>
        </w:tc>
      </w:tr>
      <w:tr w:rsidR="008811D7" w:rsidRPr="007C5A6E" w14:paraId="38B43739" w14:textId="77777777" w:rsidTr="008811D7">
        <w:trPr>
          <w:trHeight w:val="70"/>
        </w:trPr>
        <w:tc>
          <w:tcPr>
            <w:tcW w:w="1433" w:type="dxa"/>
            <w:vMerge/>
            <w:tcBorders>
              <w:left w:val="single" w:sz="4" w:space="0" w:color="999A9A"/>
              <w:right w:val="single" w:sz="4" w:space="0" w:color="999A9A"/>
            </w:tcBorders>
            <w:shd w:val="clear" w:color="auto" w:fill="auto"/>
          </w:tcPr>
          <w:p w14:paraId="3DC4CEE4" w14:textId="67A898FB" w:rsidR="008811D7" w:rsidRPr="007C5A6E" w:rsidRDefault="008811D7" w:rsidP="005726AF">
            <w:pPr>
              <w:spacing w:after="0" w:line="240" w:lineRule="auto"/>
              <w:ind w:left="1"/>
              <w:jc w:val="both"/>
              <w:rPr>
                <w:rFonts w:ascii="Times New Roman" w:hAnsi="Times New Roman"/>
                <w:sz w:val="21"/>
                <w:szCs w:val="21"/>
              </w:rPr>
            </w:pPr>
          </w:p>
        </w:tc>
        <w:tc>
          <w:tcPr>
            <w:tcW w:w="1439" w:type="dxa"/>
            <w:vMerge/>
            <w:tcBorders>
              <w:left w:val="single" w:sz="4" w:space="0" w:color="999A9A"/>
              <w:right w:val="single" w:sz="4" w:space="0" w:color="999A9A"/>
            </w:tcBorders>
            <w:shd w:val="clear" w:color="auto" w:fill="auto"/>
          </w:tcPr>
          <w:p w14:paraId="4241C384" w14:textId="1915DAC8" w:rsidR="008811D7" w:rsidRPr="007C5A6E" w:rsidRDefault="008811D7" w:rsidP="005726AF">
            <w:pPr>
              <w:spacing w:after="0" w:line="240" w:lineRule="auto"/>
              <w:ind w:left="1"/>
              <w:jc w:val="both"/>
              <w:rPr>
                <w:rFonts w:ascii="Times New Roman" w:hAnsi="Times New Roman"/>
                <w:sz w:val="21"/>
                <w:szCs w:val="21"/>
              </w:rPr>
            </w:pPr>
          </w:p>
        </w:tc>
        <w:tc>
          <w:tcPr>
            <w:tcW w:w="2212" w:type="dxa"/>
            <w:tcBorders>
              <w:top w:val="single" w:sz="4" w:space="0" w:color="999A9A"/>
              <w:left w:val="single" w:sz="4" w:space="0" w:color="999A9A"/>
              <w:bottom w:val="single" w:sz="4" w:space="0" w:color="999A9A"/>
              <w:right w:val="single" w:sz="4" w:space="0" w:color="999A9A"/>
            </w:tcBorders>
            <w:shd w:val="clear" w:color="auto" w:fill="auto"/>
          </w:tcPr>
          <w:p w14:paraId="6FF66BC1" w14:textId="77777777" w:rsidR="008811D7" w:rsidRPr="007C5A6E" w:rsidRDefault="008811D7" w:rsidP="005726AF">
            <w:pPr>
              <w:spacing w:after="0" w:line="240" w:lineRule="auto"/>
              <w:jc w:val="both"/>
              <w:rPr>
                <w:rFonts w:ascii="Times New Roman" w:hAnsi="Times New Roman"/>
                <w:sz w:val="21"/>
                <w:szCs w:val="21"/>
              </w:rPr>
            </w:pPr>
            <w:proofErr w:type="spellStart"/>
            <w:r w:rsidRPr="007C5A6E">
              <w:rPr>
                <w:rFonts w:ascii="Times New Roman" w:hAnsi="Times New Roman"/>
                <w:sz w:val="21"/>
                <w:szCs w:val="21"/>
              </w:rPr>
              <w:t>Kongouko</w:t>
            </w:r>
            <w:proofErr w:type="spellEnd"/>
          </w:p>
        </w:tc>
        <w:tc>
          <w:tcPr>
            <w:tcW w:w="1677" w:type="dxa"/>
            <w:tcBorders>
              <w:top w:val="single" w:sz="4" w:space="0" w:color="999A9A"/>
              <w:left w:val="single" w:sz="4" w:space="0" w:color="999A9A"/>
              <w:bottom w:val="single" w:sz="4" w:space="0" w:color="999A9A"/>
              <w:right w:val="single" w:sz="4" w:space="0" w:color="999A9A"/>
            </w:tcBorders>
            <w:shd w:val="clear" w:color="auto" w:fill="auto"/>
          </w:tcPr>
          <w:p w14:paraId="5B90ABEB" w14:textId="77777777" w:rsidR="008811D7" w:rsidRPr="007C5A6E" w:rsidRDefault="008811D7" w:rsidP="005726AF">
            <w:pPr>
              <w:spacing w:after="0" w:line="240" w:lineRule="auto"/>
              <w:jc w:val="both"/>
              <w:rPr>
                <w:rFonts w:ascii="Times New Roman" w:hAnsi="Times New Roman"/>
                <w:sz w:val="21"/>
                <w:szCs w:val="21"/>
              </w:rPr>
            </w:pPr>
            <w:r w:rsidRPr="007C5A6E">
              <w:rPr>
                <w:rFonts w:ascii="Times New Roman" w:hAnsi="Times New Roman"/>
                <w:sz w:val="21"/>
                <w:szCs w:val="21"/>
              </w:rPr>
              <w:t>27000</w:t>
            </w: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58204A49" w14:textId="77777777" w:rsidR="008811D7" w:rsidRPr="007C5A6E" w:rsidRDefault="008811D7" w:rsidP="005726AF">
            <w:pPr>
              <w:spacing w:after="0" w:line="240" w:lineRule="auto"/>
              <w:jc w:val="both"/>
              <w:rPr>
                <w:rFonts w:ascii="Times New Roman" w:hAnsi="Times New Roman"/>
                <w:sz w:val="21"/>
                <w:szCs w:val="21"/>
              </w:rPr>
            </w:pPr>
            <w:r w:rsidRPr="007C5A6E">
              <w:rPr>
                <w:rFonts w:ascii="Times New Roman" w:hAnsi="Times New Roman"/>
                <w:sz w:val="21"/>
                <w:szCs w:val="21"/>
              </w:rPr>
              <w:t>Forêt classée</w:t>
            </w:r>
          </w:p>
        </w:tc>
        <w:tc>
          <w:tcPr>
            <w:tcW w:w="1001" w:type="dxa"/>
            <w:tcBorders>
              <w:top w:val="single" w:sz="4" w:space="0" w:color="999A9A"/>
              <w:left w:val="single" w:sz="4" w:space="0" w:color="999A9A"/>
              <w:bottom w:val="single" w:sz="4" w:space="0" w:color="999A9A"/>
              <w:right w:val="single" w:sz="4" w:space="0" w:color="999A9A"/>
            </w:tcBorders>
            <w:shd w:val="clear" w:color="auto" w:fill="auto"/>
          </w:tcPr>
          <w:p w14:paraId="69CEAC48" w14:textId="77777777" w:rsidR="008811D7" w:rsidRPr="007C5A6E" w:rsidRDefault="008811D7" w:rsidP="005726AF">
            <w:pPr>
              <w:spacing w:after="0" w:line="240" w:lineRule="auto"/>
              <w:jc w:val="both"/>
              <w:rPr>
                <w:rFonts w:ascii="Times New Roman" w:hAnsi="Times New Roman"/>
                <w:sz w:val="21"/>
                <w:szCs w:val="21"/>
              </w:rPr>
            </w:pPr>
            <w:r w:rsidRPr="007C5A6E">
              <w:rPr>
                <w:rFonts w:ascii="Times New Roman" w:hAnsi="Times New Roman"/>
                <w:sz w:val="21"/>
                <w:szCs w:val="21"/>
              </w:rPr>
              <w:t>01</w:t>
            </w:r>
          </w:p>
        </w:tc>
      </w:tr>
      <w:tr w:rsidR="008811D7" w:rsidRPr="007C5A6E" w14:paraId="353F8FA3" w14:textId="77777777" w:rsidTr="008811D7">
        <w:trPr>
          <w:trHeight w:val="70"/>
        </w:trPr>
        <w:tc>
          <w:tcPr>
            <w:tcW w:w="1433" w:type="dxa"/>
            <w:vMerge/>
            <w:tcBorders>
              <w:left w:val="single" w:sz="4" w:space="0" w:color="999A9A"/>
              <w:right w:val="single" w:sz="4" w:space="0" w:color="999A9A"/>
            </w:tcBorders>
            <w:shd w:val="clear" w:color="auto" w:fill="auto"/>
          </w:tcPr>
          <w:p w14:paraId="74B76337" w14:textId="3EE39CB0" w:rsidR="008811D7" w:rsidRPr="007C5A6E" w:rsidRDefault="008811D7" w:rsidP="005726AF">
            <w:pPr>
              <w:spacing w:after="0" w:line="240" w:lineRule="auto"/>
              <w:ind w:left="1"/>
              <w:jc w:val="both"/>
              <w:rPr>
                <w:rFonts w:ascii="Times New Roman" w:hAnsi="Times New Roman"/>
                <w:sz w:val="21"/>
                <w:szCs w:val="21"/>
              </w:rPr>
            </w:pPr>
          </w:p>
        </w:tc>
        <w:tc>
          <w:tcPr>
            <w:tcW w:w="1439" w:type="dxa"/>
            <w:vMerge/>
            <w:tcBorders>
              <w:left w:val="single" w:sz="4" w:space="0" w:color="999A9A"/>
              <w:right w:val="single" w:sz="4" w:space="0" w:color="999A9A"/>
            </w:tcBorders>
            <w:shd w:val="clear" w:color="auto" w:fill="auto"/>
          </w:tcPr>
          <w:p w14:paraId="3A662932" w14:textId="25B29710" w:rsidR="008811D7" w:rsidRPr="007C5A6E" w:rsidRDefault="008811D7" w:rsidP="005726AF">
            <w:pPr>
              <w:spacing w:after="0" w:line="240" w:lineRule="auto"/>
              <w:ind w:left="1"/>
              <w:jc w:val="both"/>
              <w:rPr>
                <w:rFonts w:ascii="Times New Roman" w:hAnsi="Times New Roman"/>
                <w:sz w:val="21"/>
                <w:szCs w:val="21"/>
              </w:rPr>
            </w:pPr>
          </w:p>
        </w:tc>
        <w:tc>
          <w:tcPr>
            <w:tcW w:w="2212" w:type="dxa"/>
            <w:tcBorders>
              <w:top w:val="single" w:sz="4" w:space="0" w:color="999A9A"/>
              <w:left w:val="single" w:sz="4" w:space="0" w:color="999A9A"/>
              <w:bottom w:val="single" w:sz="4" w:space="0" w:color="999A9A"/>
              <w:right w:val="single" w:sz="4" w:space="0" w:color="999A9A"/>
            </w:tcBorders>
            <w:shd w:val="clear" w:color="auto" w:fill="auto"/>
          </w:tcPr>
          <w:p w14:paraId="7C473283" w14:textId="77777777" w:rsidR="008811D7" w:rsidRPr="007C5A6E" w:rsidRDefault="008811D7" w:rsidP="005726AF">
            <w:pPr>
              <w:spacing w:after="0" w:line="240" w:lineRule="auto"/>
              <w:jc w:val="both"/>
              <w:rPr>
                <w:rFonts w:ascii="Times New Roman" w:hAnsi="Times New Roman"/>
                <w:sz w:val="21"/>
                <w:szCs w:val="21"/>
              </w:rPr>
            </w:pPr>
            <w:proofErr w:type="spellStart"/>
            <w:r w:rsidRPr="007C5A6E">
              <w:rPr>
                <w:rFonts w:ascii="Times New Roman" w:hAnsi="Times New Roman"/>
                <w:sz w:val="21"/>
                <w:szCs w:val="21"/>
              </w:rPr>
              <w:t>Bounouna</w:t>
            </w:r>
            <w:proofErr w:type="spellEnd"/>
          </w:p>
        </w:tc>
        <w:tc>
          <w:tcPr>
            <w:tcW w:w="1677" w:type="dxa"/>
            <w:tcBorders>
              <w:top w:val="single" w:sz="4" w:space="0" w:color="999A9A"/>
              <w:left w:val="single" w:sz="4" w:space="0" w:color="999A9A"/>
              <w:bottom w:val="single" w:sz="4" w:space="0" w:color="999A9A"/>
              <w:right w:val="single" w:sz="4" w:space="0" w:color="999A9A"/>
            </w:tcBorders>
            <w:shd w:val="clear" w:color="auto" w:fill="auto"/>
          </w:tcPr>
          <w:p w14:paraId="5269B324" w14:textId="77777777" w:rsidR="008811D7" w:rsidRPr="007C5A6E" w:rsidRDefault="008811D7" w:rsidP="005726AF">
            <w:pPr>
              <w:spacing w:after="0" w:line="240" w:lineRule="auto"/>
              <w:jc w:val="both"/>
              <w:rPr>
                <w:rFonts w:ascii="Times New Roman" w:hAnsi="Times New Roman"/>
                <w:sz w:val="21"/>
                <w:szCs w:val="21"/>
              </w:rPr>
            </w:pPr>
            <w:r w:rsidRPr="007C5A6E">
              <w:rPr>
                <w:rFonts w:ascii="Times New Roman" w:hAnsi="Times New Roman"/>
                <w:sz w:val="21"/>
                <w:szCs w:val="21"/>
              </w:rPr>
              <w:t>1 300</w:t>
            </w: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3C0A471E" w14:textId="77777777" w:rsidR="008811D7" w:rsidRPr="007C5A6E" w:rsidRDefault="008811D7" w:rsidP="005726AF">
            <w:pPr>
              <w:spacing w:after="0" w:line="240" w:lineRule="auto"/>
              <w:jc w:val="both"/>
              <w:rPr>
                <w:rFonts w:ascii="Times New Roman" w:hAnsi="Times New Roman"/>
                <w:sz w:val="21"/>
                <w:szCs w:val="21"/>
              </w:rPr>
            </w:pPr>
            <w:r w:rsidRPr="007C5A6E">
              <w:rPr>
                <w:rFonts w:ascii="Times New Roman" w:hAnsi="Times New Roman"/>
                <w:sz w:val="21"/>
                <w:szCs w:val="21"/>
              </w:rPr>
              <w:t>Forêt classée</w:t>
            </w:r>
          </w:p>
        </w:tc>
        <w:tc>
          <w:tcPr>
            <w:tcW w:w="1001" w:type="dxa"/>
            <w:tcBorders>
              <w:top w:val="single" w:sz="4" w:space="0" w:color="999A9A"/>
              <w:left w:val="single" w:sz="4" w:space="0" w:color="999A9A"/>
              <w:bottom w:val="single" w:sz="4" w:space="0" w:color="999A9A"/>
              <w:right w:val="single" w:sz="4" w:space="0" w:color="999A9A"/>
            </w:tcBorders>
            <w:shd w:val="clear" w:color="auto" w:fill="auto"/>
          </w:tcPr>
          <w:p w14:paraId="715717F9" w14:textId="77777777" w:rsidR="008811D7" w:rsidRPr="007C5A6E" w:rsidRDefault="008811D7" w:rsidP="005726AF">
            <w:pPr>
              <w:spacing w:after="0" w:line="240" w:lineRule="auto"/>
              <w:jc w:val="both"/>
              <w:rPr>
                <w:rFonts w:ascii="Times New Roman" w:hAnsi="Times New Roman"/>
                <w:sz w:val="21"/>
                <w:szCs w:val="21"/>
              </w:rPr>
            </w:pPr>
            <w:r w:rsidRPr="007C5A6E">
              <w:rPr>
                <w:rFonts w:ascii="Times New Roman" w:hAnsi="Times New Roman"/>
                <w:sz w:val="21"/>
                <w:szCs w:val="21"/>
              </w:rPr>
              <w:t>01</w:t>
            </w:r>
          </w:p>
        </w:tc>
      </w:tr>
      <w:tr w:rsidR="008811D7" w:rsidRPr="007C5A6E" w14:paraId="191CD863" w14:textId="77777777" w:rsidTr="008811D7">
        <w:trPr>
          <w:trHeight w:val="70"/>
        </w:trPr>
        <w:tc>
          <w:tcPr>
            <w:tcW w:w="1433" w:type="dxa"/>
            <w:vMerge/>
            <w:tcBorders>
              <w:left w:val="single" w:sz="4" w:space="0" w:color="999A9A"/>
              <w:bottom w:val="single" w:sz="4" w:space="0" w:color="999A9A"/>
              <w:right w:val="single" w:sz="4" w:space="0" w:color="999A9A"/>
            </w:tcBorders>
            <w:shd w:val="clear" w:color="auto" w:fill="auto"/>
          </w:tcPr>
          <w:p w14:paraId="62763482" w14:textId="77777777" w:rsidR="008811D7" w:rsidRPr="007C5A6E" w:rsidRDefault="008811D7" w:rsidP="005726AF">
            <w:pPr>
              <w:spacing w:after="0" w:line="240" w:lineRule="auto"/>
              <w:jc w:val="both"/>
              <w:rPr>
                <w:rFonts w:ascii="Times New Roman" w:hAnsi="Times New Roman"/>
                <w:sz w:val="21"/>
                <w:szCs w:val="21"/>
              </w:rPr>
            </w:pPr>
          </w:p>
        </w:tc>
        <w:tc>
          <w:tcPr>
            <w:tcW w:w="1439" w:type="dxa"/>
            <w:vMerge/>
            <w:tcBorders>
              <w:left w:val="single" w:sz="4" w:space="0" w:color="999A9A"/>
              <w:bottom w:val="single" w:sz="4" w:space="0" w:color="999A9A"/>
              <w:right w:val="single" w:sz="4" w:space="0" w:color="999A9A"/>
            </w:tcBorders>
            <w:shd w:val="clear" w:color="auto" w:fill="auto"/>
          </w:tcPr>
          <w:p w14:paraId="6BC94653" w14:textId="77777777" w:rsidR="008811D7" w:rsidRPr="007C5A6E" w:rsidRDefault="008811D7" w:rsidP="005726AF">
            <w:pPr>
              <w:spacing w:after="0" w:line="240" w:lineRule="auto"/>
              <w:jc w:val="both"/>
              <w:rPr>
                <w:rFonts w:ascii="Times New Roman" w:hAnsi="Times New Roman"/>
                <w:sz w:val="21"/>
                <w:szCs w:val="21"/>
              </w:rPr>
            </w:pPr>
          </w:p>
        </w:tc>
        <w:tc>
          <w:tcPr>
            <w:tcW w:w="2212" w:type="dxa"/>
            <w:tcBorders>
              <w:top w:val="single" w:sz="4" w:space="0" w:color="999A9A"/>
              <w:left w:val="single" w:sz="4" w:space="0" w:color="999A9A"/>
              <w:bottom w:val="single" w:sz="4" w:space="0" w:color="999A9A"/>
              <w:right w:val="single" w:sz="4" w:space="0" w:color="999A9A"/>
            </w:tcBorders>
            <w:shd w:val="clear" w:color="auto" w:fill="auto"/>
          </w:tcPr>
          <w:p w14:paraId="239BDBF6" w14:textId="77777777" w:rsidR="008811D7" w:rsidRPr="007C5A6E" w:rsidRDefault="008811D7" w:rsidP="005726AF">
            <w:pPr>
              <w:spacing w:after="0" w:line="240" w:lineRule="auto"/>
              <w:jc w:val="both"/>
              <w:rPr>
                <w:rFonts w:ascii="Times New Roman" w:hAnsi="Times New Roman"/>
                <w:sz w:val="21"/>
                <w:szCs w:val="21"/>
              </w:rPr>
            </w:pPr>
            <w:proofErr w:type="spellStart"/>
            <w:r w:rsidRPr="007C5A6E">
              <w:rPr>
                <w:rFonts w:ascii="Times New Roman" w:hAnsi="Times New Roman"/>
                <w:sz w:val="21"/>
                <w:szCs w:val="21"/>
              </w:rPr>
              <w:t>Toumousséni</w:t>
            </w:r>
            <w:proofErr w:type="spellEnd"/>
          </w:p>
        </w:tc>
        <w:tc>
          <w:tcPr>
            <w:tcW w:w="1677" w:type="dxa"/>
            <w:tcBorders>
              <w:top w:val="single" w:sz="4" w:space="0" w:color="999A9A"/>
              <w:left w:val="single" w:sz="4" w:space="0" w:color="999A9A"/>
              <w:bottom w:val="single" w:sz="4" w:space="0" w:color="999A9A"/>
              <w:right w:val="single" w:sz="4" w:space="0" w:color="999A9A"/>
            </w:tcBorders>
            <w:shd w:val="clear" w:color="auto" w:fill="auto"/>
          </w:tcPr>
          <w:p w14:paraId="2D521EF2" w14:textId="77777777" w:rsidR="008811D7" w:rsidRPr="007C5A6E" w:rsidRDefault="008811D7" w:rsidP="005726AF">
            <w:pPr>
              <w:spacing w:after="0" w:line="240" w:lineRule="auto"/>
              <w:jc w:val="both"/>
              <w:rPr>
                <w:rFonts w:ascii="Times New Roman" w:hAnsi="Times New Roman"/>
                <w:sz w:val="21"/>
                <w:szCs w:val="21"/>
              </w:rPr>
            </w:pPr>
            <w:r w:rsidRPr="007C5A6E">
              <w:rPr>
                <w:rFonts w:ascii="Times New Roman" w:hAnsi="Times New Roman"/>
                <w:sz w:val="21"/>
                <w:szCs w:val="21"/>
              </w:rPr>
              <w:t>2 500</w:t>
            </w:r>
          </w:p>
        </w:tc>
        <w:tc>
          <w:tcPr>
            <w:tcW w:w="1839" w:type="dxa"/>
            <w:tcBorders>
              <w:top w:val="single" w:sz="4" w:space="0" w:color="999A9A"/>
              <w:left w:val="single" w:sz="4" w:space="0" w:color="999A9A"/>
              <w:bottom w:val="single" w:sz="4" w:space="0" w:color="999A9A"/>
              <w:right w:val="single" w:sz="4" w:space="0" w:color="999A9A"/>
            </w:tcBorders>
            <w:shd w:val="clear" w:color="auto" w:fill="auto"/>
          </w:tcPr>
          <w:p w14:paraId="4279F4B1" w14:textId="77777777" w:rsidR="008811D7" w:rsidRPr="007C5A6E" w:rsidRDefault="008811D7" w:rsidP="005726AF">
            <w:pPr>
              <w:spacing w:after="0" w:line="240" w:lineRule="auto"/>
              <w:jc w:val="both"/>
              <w:rPr>
                <w:rFonts w:ascii="Times New Roman" w:hAnsi="Times New Roman"/>
                <w:sz w:val="21"/>
                <w:szCs w:val="21"/>
              </w:rPr>
            </w:pPr>
            <w:r w:rsidRPr="007C5A6E">
              <w:rPr>
                <w:rFonts w:ascii="Times New Roman" w:hAnsi="Times New Roman"/>
                <w:sz w:val="21"/>
                <w:szCs w:val="21"/>
              </w:rPr>
              <w:t>Forêt classée</w:t>
            </w:r>
          </w:p>
        </w:tc>
        <w:tc>
          <w:tcPr>
            <w:tcW w:w="1001" w:type="dxa"/>
            <w:tcBorders>
              <w:top w:val="single" w:sz="4" w:space="0" w:color="999A9A"/>
              <w:left w:val="single" w:sz="4" w:space="0" w:color="999A9A"/>
              <w:bottom w:val="single" w:sz="4" w:space="0" w:color="999A9A"/>
              <w:right w:val="single" w:sz="4" w:space="0" w:color="999A9A"/>
            </w:tcBorders>
            <w:shd w:val="clear" w:color="auto" w:fill="auto"/>
          </w:tcPr>
          <w:p w14:paraId="5BAD0EC7" w14:textId="77777777" w:rsidR="008811D7" w:rsidRPr="007C5A6E" w:rsidRDefault="008811D7" w:rsidP="005726AF">
            <w:pPr>
              <w:spacing w:after="0" w:line="240" w:lineRule="auto"/>
              <w:jc w:val="both"/>
              <w:rPr>
                <w:rFonts w:ascii="Times New Roman" w:hAnsi="Times New Roman"/>
                <w:sz w:val="21"/>
                <w:szCs w:val="21"/>
              </w:rPr>
            </w:pPr>
            <w:r w:rsidRPr="007C5A6E">
              <w:rPr>
                <w:rFonts w:ascii="Times New Roman" w:hAnsi="Times New Roman"/>
                <w:sz w:val="21"/>
                <w:szCs w:val="21"/>
              </w:rPr>
              <w:t>01</w:t>
            </w:r>
          </w:p>
        </w:tc>
      </w:tr>
      <w:tr w:rsidR="007C3497" w:rsidRPr="007C5A6E" w14:paraId="38F6A27D" w14:textId="77777777" w:rsidTr="00D71FFF">
        <w:trPr>
          <w:trHeight w:val="105"/>
        </w:trPr>
        <w:tc>
          <w:tcPr>
            <w:tcW w:w="8600" w:type="dxa"/>
            <w:gridSpan w:val="5"/>
            <w:tcBorders>
              <w:top w:val="single" w:sz="4" w:space="0" w:color="999A9A"/>
              <w:left w:val="single" w:sz="4" w:space="0" w:color="999A9A"/>
              <w:bottom w:val="single" w:sz="4" w:space="0" w:color="999A9A"/>
              <w:right w:val="single" w:sz="4" w:space="0" w:color="999A9A"/>
            </w:tcBorders>
            <w:shd w:val="clear" w:color="auto" w:fill="auto"/>
          </w:tcPr>
          <w:p w14:paraId="02A61D9E" w14:textId="77777777" w:rsidR="007C3497" w:rsidRPr="007C5A6E" w:rsidRDefault="007C3497" w:rsidP="005726AF">
            <w:pPr>
              <w:spacing w:after="0" w:line="240" w:lineRule="auto"/>
              <w:jc w:val="both"/>
              <w:rPr>
                <w:rFonts w:ascii="Times New Roman" w:hAnsi="Times New Roman"/>
                <w:sz w:val="21"/>
                <w:szCs w:val="21"/>
              </w:rPr>
            </w:pPr>
            <w:r w:rsidRPr="007C5A6E">
              <w:rPr>
                <w:rFonts w:ascii="Times New Roman" w:hAnsi="Times New Roman"/>
                <w:b/>
                <w:sz w:val="21"/>
                <w:szCs w:val="21"/>
              </w:rPr>
              <w:t>Nombre total de CAF</w:t>
            </w:r>
          </w:p>
        </w:tc>
        <w:tc>
          <w:tcPr>
            <w:tcW w:w="1001" w:type="dxa"/>
            <w:tcBorders>
              <w:top w:val="single" w:sz="4" w:space="0" w:color="999A9A"/>
              <w:left w:val="single" w:sz="4" w:space="0" w:color="999A9A"/>
              <w:bottom w:val="single" w:sz="4" w:space="0" w:color="999A9A"/>
              <w:right w:val="single" w:sz="4" w:space="0" w:color="999A9A"/>
            </w:tcBorders>
            <w:shd w:val="clear" w:color="auto" w:fill="auto"/>
          </w:tcPr>
          <w:p w14:paraId="39CAED19" w14:textId="77777777" w:rsidR="007C3497" w:rsidRPr="007C5A6E" w:rsidRDefault="007C3497" w:rsidP="005726AF">
            <w:pPr>
              <w:spacing w:after="0" w:line="240" w:lineRule="auto"/>
              <w:jc w:val="both"/>
              <w:rPr>
                <w:rFonts w:ascii="Times New Roman" w:hAnsi="Times New Roman"/>
                <w:sz w:val="21"/>
                <w:szCs w:val="21"/>
              </w:rPr>
            </w:pPr>
            <w:r w:rsidRPr="007C5A6E">
              <w:rPr>
                <w:rFonts w:ascii="Times New Roman" w:hAnsi="Times New Roman"/>
                <w:b/>
                <w:sz w:val="21"/>
                <w:szCs w:val="21"/>
              </w:rPr>
              <w:t>26</w:t>
            </w:r>
          </w:p>
        </w:tc>
      </w:tr>
    </w:tbl>
    <w:p w14:paraId="68C46E0C" w14:textId="77777777" w:rsidR="007C3497" w:rsidRPr="007C5A6E" w:rsidRDefault="007C3497" w:rsidP="007C3497">
      <w:pPr>
        <w:spacing w:after="0" w:line="240" w:lineRule="auto"/>
        <w:rPr>
          <w:rFonts w:ascii="Times New Roman" w:hAnsi="Times New Roman"/>
          <w:sz w:val="20"/>
          <w:szCs w:val="20"/>
        </w:rPr>
      </w:pPr>
      <w:r w:rsidRPr="007C5A6E">
        <w:rPr>
          <w:rFonts w:ascii="Times New Roman" w:hAnsi="Times New Roman"/>
          <w:sz w:val="20"/>
          <w:szCs w:val="20"/>
        </w:rPr>
        <w:t xml:space="preserve">    (Source : MEEVCC, 2020)</w:t>
      </w:r>
    </w:p>
    <w:p w14:paraId="52BEBDFE" w14:textId="77777777" w:rsidR="007C3497" w:rsidRPr="007C5A6E" w:rsidRDefault="007C3497" w:rsidP="007C3497">
      <w:pPr>
        <w:spacing w:after="0" w:line="240" w:lineRule="auto"/>
        <w:rPr>
          <w:rFonts w:ascii="Times New Roman" w:hAnsi="Times New Roman"/>
          <w:sz w:val="24"/>
          <w:szCs w:val="24"/>
        </w:rPr>
      </w:pPr>
    </w:p>
    <w:p w14:paraId="7A8B87DF" w14:textId="77777777" w:rsidR="007C3497" w:rsidRPr="007C5A6E" w:rsidRDefault="007C3497" w:rsidP="007C3497">
      <w:pPr>
        <w:spacing w:after="0" w:line="240" w:lineRule="auto"/>
        <w:jc w:val="both"/>
        <w:rPr>
          <w:rFonts w:ascii="Times New Roman" w:hAnsi="Times New Roman"/>
          <w:sz w:val="24"/>
          <w:szCs w:val="24"/>
        </w:rPr>
      </w:pPr>
      <w:r w:rsidRPr="007C5A6E">
        <w:rPr>
          <w:rFonts w:ascii="Times New Roman" w:eastAsia="Calibri" w:hAnsi="Times New Roman"/>
          <w:noProof/>
          <w:sz w:val="24"/>
          <w:szCs w:val="24"/>
        </w:rPr>
        <mc:AlternateContent>
          <mc:Choice Requires="wpg">
            <w:drawing>
              <wp:inline distT="0" distB="0" distL="0" distR="0" wp14:anchorId="7C2AB9A7" wp14:editId="4398ED1B">
                <wp:extent cx="5721329" cy="4001134"/>
                <wp:effectExtent l="0" t="0" r="0" b="0"/>
                <wp:docPr id="100876" name="Group 100876"/>
                <wp:cNvGraphicFramePr/>
                <a:graphic xmlns:a="http://schemas.openxmlformats.org/drawingml/2006/main">
                  <a:graphicData uri="http://schemas.microsoft.com/office/word/2010/wordprocessingGroup">
                    <wpg:wgp>
                      <wpg:cNvGrpSpPr/>
                      <wpg:grpSpPr>
                        <a:xfrm>
                          <a:off x="0" y="0"/>
                          <a:ext cx="5721329" cy="4001134"/>
                          <a:chOff x="107683" y="0"/>
                          <a:chExt cx="6219365" cy="4349646"/>
                        </a:xfrm>
                      </wpg:grpSpPr>
                      <pic:pic xmlns:pic="http://schemas.openxmlformats.org/drawingml/2006/picture">
                        <pic:nvPicPr>
                          <pic:cNvPr id="124402" name="Picture 124402"/>
                          <pic:cNvPicPr/>
                        </pic:nvPicPr>
                        <pic:blipFill rotWithShape="1">
                          <a:blip r:embed="rId166" cstate="email">
                            <a:extLst>
                              <a:ext uri="{28A0092B-C50C-407E-A947-70E740481C1C}">
                                <a14:useLocalDpi xmlns:a14="http://schemas.microsoft.com/office/drawing/2010/main"/>
                              </a:ext>
                            </a:extLst>
                          </a:blip>
                          <a:srcRect l="1788" t="1" b="14"/>
                          <a:stretch/>
                        </pic:blipFill>
                        <pic:spPr>
                          <a:xfrm>
                            <a:off x="107683" y="9926"/>
                            <a:ext cx="6136655" cy="4339720"/>
                          </a:xfrm>
                          <a:prstGeom prst="rect">
                            <a:avLst/>
                          </a:prstGeom>
                        </pic:spPr>
                      </pic:pic>
                      <wps:wsp>
                        <wps:cNvPr id="783" name="Rectangle 783"/>
                        <wps:cNvSpPr/>
                        <wps:spPr>
                          <a:xfrm>
                            <a:off x="1245164" y="289447"/>
                            <a:ext cx="611771" cy="131630"/>
                          </a:xfrm>
                          <a:prstGeom prst="rect">
                            <a:avLst/>
                          </a:prstGeom>
                          <a:ln>
                            <a:noFill/>
                          </a:ln>
                        </wps:spPr>
                        <wps:txbx>
                          <w:txbxContent>
                            <w:p w14:paraId="1B754FF0" w14:textId="77777777" w:rsidR="007C3497" w:rsidRDefault="007C3497" w:rsidP="007C3497">
                              <w:pPr>
                                <w:spacing w:after="160"/>
                              </w:pPr>
                              <w:r>
                                <w:rPr>
                                  <w:rFonts w:ascii="Arial" w:eastAsia="Arial" w:hAnsi="Arial" w:cs="Arial"/>
                                  <w:sz w:val="10"/>
                                </w:rPr>
                                <w:t>BURKINA FASO</w:t>
                              </w:r>
                            </w:p>
                          </w:txbxContent>
                        </wps:txbx>
                        <wps:bodyPr horzOverflow="overflow" vert="horz" lIns="0" tIns="0" rIns="0" bIns="0" rtlCol="0">
                          <a:noAutofit/>
                        </wps:bodyPr>
                      </wps:wsp>
                      <wps:wsp>
                        <wps:cNvPr id="784" name="Rectangle 784"/>
                        <wps:cNvSpPr/>
                        <wps:spPr>
                          <a:xfrm>
                            <a:off x="1913371" y="760298"/>
                            <a:ext cx="315507" cy="210608"/>
                          </a:xfrm>
                          <a:prstGeom prst="rect">
                            <a:avLst/>
                          </a:prstGeom>
                          <a:ln>
                            <a:noFill/>
                          </a:ln>
                        </wps:spPr>
                        <wps:txbx>
                          <w:txbxContent>
                            <w:p w14:paraId="503ED746" w14:textId="77777777" w:rsidR="007C3497" w:rsidRDefault="007C3497" w:rsidP="007C3497">
                              <w:pPr>
                                <w:spacing w:after="160"/>
                              </w:pPr>
                              <w:r>
                                <w:rPr>
                                  <w:rFonts w:ascii="Arial" w:eastAsia="Arial" w:hAnsi="Arial" w:cs="Arial"/>
                                  <w:sz w:val="16"/>
                                </w:rPr>
                                <w:t>MALI</w:t>
                              </w:r>
                            </w:p>
                          </w:txbxContent>
                        </wps:txbx>
                        <wps:bodyPr horzOverflow="overflow" vert="horz" lIns="0" tIns="0" rIns="0" bIns="0" rtlCol="0">
                          <a:noAutofit/>
                        </wps:bodyPr>
                      </wps:wsp>
                      <wps:wsp>
                        <wps:cNvPr id="785" name="Rectangle 785"/>
                        <wps:cNvSpPr/>
                        <wps:spPr>
                          <a:xfrm>
                            <a:off x="2591602" y="1419014"/>
                            <a:ext cx="978829" cy="210608"/>
                          </a:xfrm>
                          <a:prstGeom prst="rect">
                            <a:avLst/>
                          </a:prstGeom>
                          <a:ln>
                            <a:noFill/>
                          </a:ln>
                        </wps:spPr>
                        <wps:txbx>
                          <w:txbxContent>
                            <w:p w14:paraId="3A92FB76" w14:textId="77777777" w:rsidR="007C3497" w:rsidRDefault="007C3497" w:rsidP="007C3497">
                              <w:pPr>
                                <w:spacing w:after="160"/>
                              </w:pPr>
                              <w:r>
                                <w:rPr>
                                  <w:rFonts w:ascii="Arial" w:eastAsia="Arial" w:hAnsi="Arial" w:cs="Arial"/>
                                  <w:sz w:val="16"/>
                                </w:rPr>
                                <w:t>BURKINA FASO</w:t>
                              </w:r>
                            </w:p>
                          </w:txbxContent>
                        </wps:txbx>
                        <wps:bodyPr horzOverflow="overflow" vert="horz" lIns="0" tIns="0" rIns="0" bIns="0" rtlCol="0">
                          <a:noAutofit/>
                        </wps:bodyPr>
                      </wps:wsp>
                      <wps:wsp>
                        <wps:cNvPr id="786" name="Rectangle 786"/>
                        <wps:cNvSpPr/>
                        <wps:spPr>
                          <a:xfrm>
                            <a:off x="281469" y="3752116"/>
                            <a:ext cx="961391" cy="210609"/>
                          </a:xfrm>
                          <a:prstGeom prst="rect">
                            <a:avLst/>
                          </a:prstGeom>
                          <a:ln>
                            <a:noFill/>
                          </a:ln>
                        </wps:spPr>
                        <wps:txbx>
                          <w:txbxContent>
                            <w:p w14:paraId="4125C372" w14:textId="77777777" w:rsidR="007C3497" w:rsidRDefault="007C3497" w:rsidP="007C3497">
                              <w:pPr>
                                <w:spacing w:after="160"/>
                              </w:pPr>
                              <w:r>
                                <w:rPr>
                                  <w:rFonts w:ascii="Arial" w:eastAsia="Arial" w:hAnsi="Arial" w:cs="Arial"/>
                                  <w:sz w:val="16"/>
                                </w:rPr>
                                <w:t>COTE D’IVOIRE</w:t>
                              </w:r>
                            </w:p>
                          </w:txbxContent>
                        </wps:txbx>
                        <wps:bodyPr horzOverflow="overflow" vert="horz" lIns="0" tIns="0" rIns="0" bIns="0" rtlCol="0">
                          <a:noAutofit/>
                        </wps:bodyPr>
                      </wps:wsp>
                      <wps:wsp>
                        <wps:cNvPr id="787" name="Rectangle 787"/>
                        <wps:cNvSpPr/>
                        <wps:spPr>
                          <a:xfrm>
                            <a:off x="1222267" y="2893015"/>
                            <a:ext cx="838967" cy="184281"/>
                          </a:xfrm>
                          <a:prstGeom prst="rect">
                            <a:avLst/>
                          </a:prstGeom>
                          <a:ln>
                            <a:noFill/>
                          </a:ln>
                        </wps:spPr>
                        <wps:txbx>
                          <w:txbxContent>
                            <w:p w14:paraId="6BAE760A" w14:textId="77777777" w:rsidR="007C3497" w:rsidRDefault="007C3497" w:rsidP="007C3497">
                              <w:pPr>
                                <w:spacing w:after="160"/>
                              </w:pPr>
                              <w:r>
                                <w:rPr>
                                  <w:rFonts w:ascii="Arial" w:eastAsia="Arial" w:hAnsi="Arial" w:cs="Arial"/>
                                  <w:sz w:val="14"/>
                                </w:rPr>
                                <w:t>Bobo Dioulasso</w:t>
                              </w:r>
                            </w:p>
                          </w:txbxContent>
                        </wps:txbx>
                        <wps:bodyPr horzOverflow="overflow" vert="horz" lIns="0" tIns="0" rIns="0" bIns="0" rtlCol="0">
                          <a:noAutofit/>
                        </wps:bodyPr>
                      </wps:wsp>
                      <wps:wsp>
                        <wps:cNvPr id="788" name="Rectangle 788"/>
                        <wps:cNvSpPr/>
                        <wps:spPr>
                          <a:xfrm>
                            <a:off x="2111331" y="3427858"/>
                            <a:ext cx="350466" cy="184282"/>
                          </a:xfrm>
                          <a:prstGeom prst="rect">
                            <a:avLst/>
                          </a:prstGeom>
                          <a:ln>
                            <a:noFill/>
                          </a:ln>
                        </wps:spPr>
                        <wps:txbx>
                          <w:txbxContent>
                            <w:p w14:paraId="793B6E4C" w14:textId="77777777" w:rsidR="007C3497" w:rsidRDefault="007C3497" w:rsidP="007C3497">
                              <w:pPr>
                                <w:spacing w:after="160"/>
                              </w:pPr>
                              <w:r>
                                <w:rPr>
                                  <w:rFonts w:ascii="Arial" w:eastAsia="Arial" w:hAnsi="Arial" w:cs="Arial"/>
                                  <w:sz w:val="14"/>
                                </w:rPr>
                                <w:t>Gaoua</w:t>
                              </w:r>
                            </w:p>
                          </w:txbxContent>
                        </wps:txbx>
                        <wps:bodyPr horzOverflow="overflow" vert="horz" lIns="0" tIns="0" rIns="0" bIns="0" rtlCol="0">
                          <a:noAutofit/>
                        </wps:bodyPr>
                      </wps:wsp>
                      <wps:wsp>
                        <wps:cNvPr id="789" name="Rectangle 789"/>
                        <wps:cNvSpPr/>
                        <wps:spPr>
                          <a:xfrm>
                            <a:off x="1712555" y="2077500"/>
                            <a:ext cx="552135" cy="184281"/>
                          </a:xfrm>
                          <a:prstGeom prst="rect">
                            <a:avLst/>
                          </a:prstGeom>
                          <a:ln>
                            <a:noFill/>
                          </a:ln>
                        </wps:spPr>
                        <wps:txbx>
                          <w:txbxContent>
                            <w:p w14:paraId="31B947D5" w14:textId="77777777" w:rsidR="007C3497" w:rsidRDefault="007C3497" w:rsidP="007C3497">
                              <w:pPr>
                                <w:spacing w:after="160"/>
                              </w:pPr>
                              <w:r>
                                <w:rPr>
                                  <w:rFonts w:ascii="Arial" w:eastAsia="Arial" w:hAnsi="Arial" w:cs="Arial"/>
                                  <w:sz w:val="14"/>
                                </w:rPr>
                                <w:t>Dédougou</w:t>
                              </w:r>
                            </w:p>
                          </w:txbxContent>
                        </wps:txbx>
                        <wps:bodyPr horzOverflow="overflow" vert="horz" lIns="0" tIns="0" rIns="0" bIns="0" rtlCol="0">
                          <a:noAutofit/>
                        </wps:bodyPr>
                      </wps:wsp>
                      <wps:wsp>
                        <wps:cNvPr id="790" name="Rectangle 790"/>
                        <wps:cNvSpPr/>
                        <wps:spPr>
                          <a:xfrm>
                            <a:off x="333115" y="1885849"/>
                            <a:ext cx="1198304" cy="184281"/>
                          </a:xfrm>
                          <a:prstGeom prst="rect">
                            <a:avLst/>
                          </a:prstGeom>
                          <a:ln>
                            <a:noFill/>
                          </a:ln>
                        </wps:spPr>
                        <wps:txbx>
                          <w:txbxContent>
                            <w:p w14:paraId="6C130AAB" w14:textId="77777777" w:rsidR="007C3497" w:rsidRDefault="007C3497" w:rsidP="007C3497">
                              <w:pPr>
                                <w:spacing w:after="160"/>
                              </w:pPr>
                              <w:r>
                                <w:rPr>
                                  <w:rFonts w:ascii="Arial" w:eastAsia="Arial" w:hAnsi="Arial" w:cs="Arial"/>
                                  <w:sz w:val="14"/>
                                </w:rPr>
                                <w:t>Burkina Faso’s regions</w:t>
                              </w:r>
                            </w:p>
                          </w:txbxContent>
                        </wps:txbx>
                        <wps:bodyPr horzOverflow="overflow" vert="horz" lIns="0" tIns="0" rIns="0" bIns="0" rtlCol="0">
                          <a:noAutofit/>
                        </wps:bodyPr>
                      </wps:wsp>
                      <wps:wsp>
                        <wps:cNvPr id="791" name="Rectangle 791"/>
                        <wps:cNvSpPr/>
                        <wps:spPr>
                          <a:xfrm>
                            <a:off x="333115" y="2182708"/>
                            <a:ext cx="1239821" cy="184281"/>
                          </a:xfrm>
                          <a:prstGeom prst="rect">
                            <a:avLst/>
                          </a:prstGeom>
                          <a:ln>
                            <a:noFill/>
                          </a:ln>
                        </wps:spPr>
                        <wps:txbx>
                          <w:txbxContent>
                            <w:p w14:paraId="12618579" w14:textId="77777777" w:rsidR="007C3497" w:rsidRDefault="007C3497" w:rsidP="007C3497">
                              <w:pPr>
                                <w:spacing w:after="160"/>
                              </w:pPr>
                              <w:r>
                                <w:rPr>
                                  <w:rFonts w:ascii="Arial" w:eastAsia="Arial" w:hAnsi="Arial" w:cs="Arial"/>
                                  <w:sz w:val="14"/>
                                </w:rPr>
                                <w:t>Major capital of regions</w:t>
                              </w:r>
                            </w:p>
                          </w:txbxContent>
                        </wps:txbx>
                        <wps:bodyPr horzOverflow="overflow" vert="horz" lIns="0" tIns="0" rIns="0" bIns="0" rtlCol="0">
                          <a:noAutofit/>
                        </wps:bodyPr>
                      </wps:wsp>
                      <wps:wsp>
                        <wps:cNvPr id="792" name="Rectangle 792"/>
                        <wps:cNvSpPr/>
                        <wps:spPr>
                          <a:xfrm>
                            <a:off x="333115" y="2005464"/>
                            <a:ext cx="1303337" cy="184281"/>
                          </a:xfrm>
                          <a:prstGeom prst="rect">
                            <a:avLst/>
                          </a:prstGeom>
                          <a:ln>
                            <a:noFill/>
                          </a:ln>
                        </wps:spPr>
                        <wps:txbx>
                          <w:txbxContent>
                            <w:p w14:paraId="32609A1C" w14:textId="77777777" w:rsidR="007C3497" w:rsidRDefault="007C3497" w:rsidP="007C3497">
                              <w:pPr>
                                <w:spacing w:after="160"/>
                              </w:pPr>
                              <w:r>
                                <w:rPr>
                                  <w:rFonts w:ascii="Arial" w:eastAsia="Arial" w:hAnsi="Arial" w:cs="Arial"/>
                                  <w:sz w:val="14"/>
                                </w:rPr>
                                <w:t>Burkina Faso’s classified</w:t>
                              </w:r>
                            </w:p>
                          </w:txbxContent>
                        </wps:txbx>
                        <wps:bodyPr horzOverflow="overflow" vert="horz" lIns="0" tIns="0" rIns="0" bIns="0" rtlCol="0">
                          <a:noAutofit/>
                        </wps:bodyPr>
                      </wps:wsp>
                      <wps:wsp>
                        <wps:cNvPr id="793" name="Rectangle 793"/>
                        <wps:cNvSpPr/>
                        <wps:spPr>
                          <a:xfrm>
                            <a:off x="333115" y="2094398"/>
                            <a:ext cx="392101" cy="184281"/>
                          </a:xfrm>
                          <a:prstGeom prst="rect">
                            <a:avLst/>
                          </a:prstGeom>
                          <a:ln>
                            <a:noFill/>
                          </a:ln>
                        </wps:spPr>
                        <wps:txbx>
                          <w:txbxContent>
                            <w:p w14:paraId="3A52D023" w14:textId="77777777" w:rsidR="007C3497" w:rsidRDefault="007C3497" w:rsidP="007C3497">
                              <w:pPr>
                                <w:spacing w:after="160"/>
                              </w:pPr>
                              <w:r>
                                <w:rPr>
                                  <w:rFonts w:ascii="Arial" w:eastAsia="Arial" w:hAnsi="Arial" w:cs="Arial"/>
                                  <w:sz w:val="14"/>
                                </w:rPr>
                                <w:t xml:space="preserve"> forests</w:t>
                              </w:r>
                            </w:p>
                          </w:txbxContent>
                        </wps:txbx>
                        <wps:bodyPr horzOverflow="overflow" vert="horz" lIns="0" tIns="0" rIns="0" bIns="0" rtlCol="0">
                          <a:noAutofit/>
                        </wps:bodyPr>
                      </wps:wsp>
                      <wps:wsp>
                        <wps:cNvPr id="794" name="Rectangle 794"/>
                        <wps:cNvSpPr/>
                        <wps:spPr>
                          <a:xfrm>
                            <a:off x="2514375" y="2051443"/>
                            <a:ext cx="617899" cy="184281"/>
                          </a:xfrm>
                          <a:prstGeom prst="rect">
                            <a:avLst/>
                          </a:prstGeom>
                          <a:ln>
                            <a:noFill/>
                          </a:ln>
                        </wps:spPr>
                        <wps:txbx>
                          <w:txbxContent>
                            <w:p w14:paraId="3F0AFF0F" w14:textId="77777777" w:rsidR="007C3497" w:rsidRDefault="007C3497" w:rsidP="007C3497">
                              <w:pPr>
                                <w:spacing w:after="160"/>
                              </w:pPr>
                              <w:r>
                                <w:rPr>
                                  <w:rFonts w:ascii="Arial" w:eastAsia="Arial" w:hAnsi="Arial" w:cs="Arial"/>
                                  <w:sz w:val="14"/>
                                </w:rPr>
                                <w:t>Koudougou</w:t>
                              </w:r>
                            </w:p>
                          </w:txbxContent>
                        </wps:txbx>
                        <wps:bodyPr horzOverflow="overflow" vert="horz" lIns="0" tIns="0" rIns="0" bIns="0" rtlCol="0">
                          <a:noAutofit/>
                        </wps:bodyPr>
                      </wps:wsp>
                      <wps:wsp>
                        <wps:cNvPr id="795" name="Rectangle 795"/>
                        <wps:cNvSpPr/>
                        <wps:spPr>
                          <a:xfrm>
                            <a:off x="3380049" y="2436523"/>
                            <a:ext cx="363714" cy="184281"/>
                          </a:xfrm>
                          <a:prstGeom prst="rect">
                            <a:avLst/>
                          </a:prstGeom>
                          <a:ln>
                            <a:noFill/>
                          </a:ln>
                        </wps:spPr>
                        <wps:txbx>
                          <w:txbxContent>
                            <w:p w14:paraId="0D1DC9D3" w14:textId="77777777" w:rsidR="007C3497" w:rsidRDefault="007C3497" w:rsidP="007C3497">
                              <w:pPr>
                                <w:spacing w:after="160"/>
                              </w:pPr>
                              <w:r>
                                <w:rPr>
                                  <w:rFonts w:ascii="Arial" w:eastAsia="Arial" w:hAnsi="Arial" w:cs="Arial"/>
                                  <w:sz w:val="14"/>
                                </w:rPr>
                                <w:t>Manga</w:t>
                              </w:r>
                            </w:p>
                          </w:txbxContent>
                        </wps:txbx>
                        <wps:bodyPr horzOverflow="overflow" vert="horz" lIns="0" tIns="0" rIns="0" bIns="0" rtlCol="0">
                          <a:noAutofit/>
                        </wps:bodyPr>
                      </wps:wsp>
                      <wps:wsp>
                        <wps:cNvPr id="796" name="Rectangle 796"/>
                        <wps:cNvSpPr/>
                        <wps:spPr>
                          <a:xfrm>
                            <a:off x="3966918" y="2538885"/>
                            <a:ext cx="587147" cy="184281"/>
                          </a:xfrm>
                          <a:prstGeom prst="rect">
                            <a:avLst/>
                          </a:prstGeom>
                          <a:ln>
                            <a:noFill/>
                          </a:ln>
                        </wps:spPr>
                        <wps:txbx>
                          <w:txbxContent>
                            <w:p w14:paraId="4F89B9E0" w14:textId="77777777" w:rsidR="007C3497" w:rsidRDefault="007C3497" w:rsidP="007C3497">
                              <w:pPr>
                                <w:spacing w:after="160"/>
                              </w:pPr>
                              <w:r>
                                <w:rPr>
                                  <w:rFonts w:ascii="Arial" w:eastAsia="Arial" w:hAnsi="Arial" w:cs="Arial"/>
                                  <w:sz w:val="14"/>
                                </w:rPr>
                                <w:t>Tenkodogo</w:t>
                              </w:r>
                            </w:p>
                          </w:txbxContent>
                        </wps:txbx>
                        <wps:bodyPr horzOverflow="overflow" vert="horz" lIns="0" tIns="0" rIns="0" bIns="0" rtlCol="0">
                          <a:noAutofit/>
                        </wps:bodyPr>
                      </wps:wsp>
                      <wps:wsp>
                        <wps:cNvPr id="797" name="Rectangle 797"/>
                        <wps:cNvSpPr/>
                        <wps:spPr>
                          <a:xfrm>
                            <a:off x="3585306" y="1566402"/>
                            <a:ext cx="265068" cy="184281"/>
                          </a:xfrm>
                          <a:prstGeom prst="rect">
                            <a:avLst/>
                          </a:prstGeom>
                          <a:ln>
                            <a:noFill/>
                          </a:ln>
                        </wps:spPr>
                        <wps:txbx>
                          <w:txbxContent>
                            <w:p w14:paraId="069F4EC0" w14:textId="77777777" w:rsidR="007C3497" w:rsidRDefault="007C3497" w:rsidP="007C3497">
                              <w:pPr>
                                <w:spacing w:after="160"/>
                              </w:pPr>
                              <w:r>
                                <w:rPr>
                                  <w:rFonts w:ascii="Arial" w:eastAsia="Arial" w:hAnsi="Arial" w:cs="Arial"/>
                                  <w:sz w:val="14"/>
                                </w:rPr>
                                <w:t>Kaya</w:t>
                              </w:r>
                            </w:p>
                          </w:txbxContent>
                        </wps:txbx>
                        <wps:bodyPr horzOverflow="overflow" vert="horz" lIns="0" tIns="0" rIns="0" bIns="0" rtlCol="0">
                          <a:noAutofit/>
                        </wps:bodyPr>
                      </wps:wsp>
                      <wps:wsp>
                        <wps:cNvPr id="798" name="Rectangle 798"/>
                        <wps:cNvSpPr/>
                        <wps:spPr>
                          <a:xfrm>
                            <a:off x="2471420" y="1224276"/>
                            <a:ext cx="635405" cy="184281"/>
                          </a:xfrm>
                          <a:prstGeom prst="rect">
                            <a:avLst/>
                          </a:prstGeom>
                          <a:ln>
                            <a:noFill/>
                          </a:ln>
                        </wps:spPr>
                        <wps:txbx>
                          <w:txbxContent>
                            <w:p w14:paraId="242565F7" w14:textId="77777777" w:rsidR="007C3497" w:rsidRDefault="007C3497" w:rsidP="007C3497">
                              <w:pPr>
                                <w:spacing w:after="160"/>
                              </w:pPr>
                              <w:r>
                                <w:rPr>
                                  <w:rFonts w:ascii="Arial" w:eastAsia="Arial" w:hAnsi="Arial" w:cs="Arial"/>
                                  <w:sz w:val="14"/>
                                </w:rPr>
                                <w:t>Ouahigouya</w:t>
                              </w:r>
                            </w:p>
                          </w:txbxContent>
                        </wps:txbx>
                        <wps:bodyPr horzOverflow="overflow" vert="horz" lIns="0" tIns="0" rIns="0" bIns="0" rtlCol="0">
                          <a:noAutofit/>
                        </wps:bodyPr>
                      </wps:wsp>
                      <wps:wsp>
                        <wps:cNvPr id="799" name="Rectangle 799"/>
                        <wps:cNvSpPr/>
                        <wps:spPr>
                          <a:xfrm>
                            <a:off x="3160918" y="1835424"/>
                            <a:ext cx="420489" cy="184281"/>
                          </a:xfrm>
                          <a:prstGeom prst="rect">
                            <a:avLst/>
                          </a:prstGeom>
                          <a:ln>
                            <a:noFill/>
                          </a:ln>
                        </wps:spPr>
                        <wps:txbx>
                          <w:txbxContent>
                            <w:p w14:paraId="3A4ED079" w14:textId="77777777" w:rsidR="007C3497" w:rsidRDefault="007C3497" w:rsidP="007C3497">
                              <w:pPr>
                                <w:spacing w:after="160"/>
                              </w:pPr>
                              <w:r>
                                <w:rPr>
                                  <w:rFonts w:ascii="Arial" w:eastAsia="Arial" w:hAnsi="Arial" w:cs="Arial"/>
                                  <w:sz w:val="14"/>
                                </w:rPr>
                                <w:t>Zianiaré</w:t>
                              </w:r>
                            </w:p>
                          </w:txbxContent>
                        </wps:txbx>
                        <wps:bodyPr horzOverflow="overflow" vert="horz" lIns="0" tIns="0" rIns="0" bIns="0" rtlCol="0">
                          <a:noAutofit/>
                        </wps:bodyPr>
                      </wps:wsp>
                      <wps:wsp>
                        <wps:cNvPr id="800" name="Rectangle 800"/>
                        <wps:cNvSpPr/>
                        <wps:spPr>
                          <a:xfrm>
                            <a:off x="2893407" y="2164032"/>
                            <a:ext cx="755933" cy="184281"/>
                          </a:xfrm>
                          <a:prstGeom prst="rect">
                            <a:avLst/>
                          </a:prstGeom>
                          <a:ln>
                            <a:noFill/>
                          </a:ln>
                        </wps:spPr>
                        <wps:txbx>
                          <w:txbxContent>
                            <w:p w14:paraId="32DE4849" w14:textId="77777777" w:rsidR="007C3497" w:rsidRDefault="007C3497" w:rsidP="007C3497">
                              <w:pPr>
                                <w:spacing w:after="160"/>
                              </w:pPr>
                              <w:r>
                                <w:rPr>
                                  <w:rFonts w:ascii="Arial" w:eastAsia="Arial" w:hAnsi="Arial" w:cs="Arial"/>
                                  <w:sz w:val="14"/>
                                </w:rPr>
                                <w:t>Ouagadougou</w:t>
                              </w:r>
                            </w:p>
                          </w:txbxContent>
                        </wps:txbx>
                        <wps:bodyPr horzOverflow="overflow" vert="horz" lIns="0" tIns="0" rIns="0" bIns="0" rtlCol="0">
                          <a:noAutofit/>
                        </wps:bodyPr>
                      </wps:wsp>
                      <wps:wsp>
                        <wps:cNvPr id="801" name="Rectangle 801"/>
                        <wps:cNvSpPr/>
                        <wps:spPr>
                          <a:xfrm>
                            <a:off x="4154566" y="929019"/>
                            <a:ext cx="216809" cy="184281"/>
                          </a:xfrm>
                          <a:prstGeom prst="rect">
                            <a:avLst/>
                          </a:prstGeom>
                          <a:ln>
                            <a:noFill/>
                          </a:ln>
                        </wps:spPr>
                        <wps:txbx>
                          <w:txbxContent>
                            <w:p w14:paraId="3F387BC8" w14:textId="77777777" w:rsidR="007C3497" w:rsidRDefault="007C3497" w:rsidP="007C3497">
                              <w:pPr>
                                <w:spacing w:after="160"/>
                              </w:pPr>
                              <w:r>
                                <w:rPr>
                                  <w:rFonts w:ascii="Arial" w:eastAsia="Arial" w:hAnsi="Arial" w:cs="Arial"/>
                                  <w:sz w:val="14"/>
                                </w:rPr>
                                <w:t>Dori</w:t>
                              </w:r>
                            </w:p>
                          </w:txbxContent>
                        </wps:txbx>
                        <wps:bodyPr horzOverflow="overflow" vert="horz" lIns="0" tIns="0" rIns="0" bIns="0" rtlCol="0">
                          <a:noAutofit/>
                        </wps:bodyPr>
                      </wps:wsp>
                      <wps:wsp>
                        <wps:cNvPr id="802" name="Rectangle 802"/>
                        <wps:cNvSpPr/>
                        <wps:spPr>
                          <a:xfrm>
                            <a:off x="4273915" y="2191513"/>
                            <a:ext cx="843461" cy="184281"/>
                          </a:xfrm>
                          <a:prstGeom prst="rect">
                            <a:avLst/>
                          </a:prstGeom>
                          <a:ln>
                            <a:noFill/>
                          </a:ln>
                        </wps:spPr>
                        <wps:txbx>
                          <w:txbxContent>
                            <w:p w14:paraId="717765FE" w14:textId="77777777" w:rsidR="007C3497" w:rsidRDefault="007C3497" w:rsidP="007C3497">
                              <w:pPr>
                                <w:spacing w:after="160"/>
                              </w:pPr>
                              <w:r>
                                <w:rPr>
                                  <w:rFonts w:ascii="Arial" w:eastAsia="Arial" w:hAnsi="Arial" w:cs="Arial"/>
                                  <w:sz w:val="14"/>
                                </w:rPr>
                                <w:t>Fada N’Gourma</w:t>
                              </w:r>
                            </w:p>
                          </w:txbxContent>
                        </wps:txbx>
                        <wps:bodyPr horzOverflow="overflow" vert="horz" lIns="0" tIns="0" rIns="0" bIns="0" rtlCol="0">
                          <a:noAutofit/>
                        </wps:bodyPr>
                      </wps:wsp>
                      <wps:wsp>
                        <wps:cNvPr id="803" name="Rectangle 803"/>
                        <wps:cNvSpPr/>
                        <wps:spPr>
                          <a:xfrm>
                            <a:off x="1194253" y="3243146"/>
                            <a:ext cx="416112" cy="184282"/>
                          </a:xfrm>
                          <a:prstGeom prst="rect">
                            <a:avLst/>
                          </a:prstGeom>
                          <a:ln>
                            <a:noFill/>
                          </a:ln>
                        </wps:spPr>
                        <wps:txbx>
                          <w:txbxContent>
                            <w:p w14:paraId="287DB584" w14:textId="77777777" w:rsidR="007C3497" w:rsidRDefault="007C3497" w:rsidP="007C3497">
                              <w:pPr>
                                <w:spacing w:after="160"/>
                              </w:pPr>
                              <w:r>
                                <w:rPr>
                                  <w:rFonts w:ascii="Arial" w:eastAsia="Arial" w:hAnsi="Arial" w:cs="Arial"/>
                                  <w:sz w:val="14"/>
                                </w:rPr>
                                <w:t>Banfora</w:t>
                              </w:r>
                            </w:p>
                          </w:txbxContent>
                        </wps:txbx>
                        <wps:bodyPr horzOverflow="overflow" vert="horz" lIns="0" tIns="0" rIns="0" bIns="0" rtlCol="0">
                          <a:noAutofit/>
                        </wps:bodyPr>
                      </wps:wsp>
                      <wps:wsp>
                        <wps:cNvPr id="804" name="Rectangle 804"/>
                        <wps:cNvSpPr/>
                        <wps:spPr>
                          <a:xfrm>
                            <a:off x="5126099" y="2925324"/>
                            <a:ext cx="405401" cy="210608"/>
                          </a:xfrm>
                          <a:prstGeom prst="rect">
                            <a:avLst/>
                          </a:prstGeom>
                          <a:ln>
                            <a:noFill/>
                          </a:ln>
                        </wps:spPr>
                        <wps:txbx>
                          <w:txbxContent>
                            <w:p w14:paraId="71907F4E" w14:textId="77777777" w:rsidR="007C3497" w:rsidRDefault="007C3497" w:rsidP="007C3497">
                              <w:pPr>
                                <w:spacing w:after="160"/>
                              </w:pPr>
                              <w:r>
                                <w:rPr>
                                  <w:rFonts w:ascii="Arial" w:eastAsia="Arial" w:hAnsi="Arial" w:cs="Arial"/>
                                  <w:sz w:val="16"/>
                                </w:rPr>
                                <w:t>BENIN</w:t>
                              </w:r>
                            </w:p>
                          </w:txbxContent>
                        </wps:txbx>
                        <wps:bodyPr horzOverflow="overflow" vert="horz" lIns="0" tIns="0" rIns="0" bIns="0" rtlCol="0">
                          <a:noAutofit/>
                        </wps:bodyPr>
                      </wps:wsp>
                      <wps:wsp>
                        <wps:cNvPr id="805" name="Rectangle 805"/>
                        <wps:cNvSpPr/>
                        <wps:spPr>
                          <a:xfrm>
                            <a:off x="4961750" y="1052134"/>
                            <a:ext cx="410403" cy="210608"/>
                          </a:xfrm>
                          <a:prstGeom prst="rect">
                            <a:avLst/>
                          </a:prstGeom>
                          <a:ln>
                            <a:noFill/>
                          </a:ln>
                        </wps:spPr>
                        <wps:txbx>
                          <w:txbxContent>
                            <w:p w14:paraId="33CF8525" w14:textId="77777777" w:rsidR="007C3497" w:rsidRDefault="007C3497" w:rsidP="007C3497">
                              <w:pPr>
                                <w:spacing w:after="160"/>
                              </w:pPr>
                              <w:r>
                                <w:rPr>
                                  <w:rFonts w:ascii="Arial" w:eastAsia="Arial" w:hAnsi="Arial" w:cs="Arial"/>
                                  <w:sz w:val="16"/>
                                </w:rPr>
                                <w:t>NIGER</w:t>
                              </w:r>
                            </w:p>
                          </w:txbxContent>
                        </wps:txbx>
                        <wps:bodyPr horzOverflow="overflow" vert="horz" lIns="0" tIns="0" rIns="0" bIns="0" rtlCol="0">
                          <a:noAutofit/>
                        </wps:bodyPr>
                      </wps:wsp>
                      <wps:wsp>
                        <wps:cNvPr id="100786" name="Rectangle 100786"/>
                        <wps:cNvSpPr/>
                        <wps:spPr>
                          <a:xfrm>
                            <a:off x="4228899" y="0"/>
                            <a:ext cx="40553" cy="157955"/>
                          </a:xfrm>
                          <a:prstGeom prst="rect">
                            <a:avLst/>
                          </a:prstGeom>
                          <a:ln>
                            <a:noFill/>
                          </a:ln>
                        </wps:spPr>
                        <wps:txbx>
                          <w:txbxContent>
                            <w:p w14:paraId="45E847BD" w14:textId="77777777" w:rsidR="007C3497" w:rsidRDefault="007C3497" w:rsidP="007C3497">
                              <w:pPr>
                                <w:spacing w:after="160"/>
                              </w:pPr>
                              <w:r>
                                <w:rPr>
                                  <w:rFonts w:ascii="Arial" w:eastAsia="Arial" w:hAnsi="Arial" w:cs="Arial"/>
                                  <w:sz w:val="12"/>
                                </w:rPr>
                                <w:t>°</w:t>
                              </w:r>
                            </w:p>
                          </w:txbxContent>
                        </wps:txbx>
                        <wps:bodyPr horzOverflow="overflow" vert="horz" lIns="0" tIns="0" rIns="0" bIns="0" rtlCol="0">
                          <a:noAutofit/>
                        </wps:bodyPr>
                      </wps:wsp>
                      <wps:wsp>
                        <wps:cNvPr id="100785" name="Rectangle 100785"/>
                        <wps:cNvSpPr/>
                        <wps:spPr>
                          <a:xfrm>
                            <a:off x="4186516" y="0"/>
                            <a:ext cx="56369" cy="157955"/>
                          </a:xfrm>
                          <a:prstGeom prst="rect">
                            <a:avLst/>
                          </a:prstGeom>
                          <a:ln>
                            <a:noFill/>
                          </a:ln>
                        </wps:spPr>
                        <wps:txbx>
                          <w:txbxContent>
                            <w:p w14:paraId="6F1CD306" w14:textId="77777777" w:rsidR="007C3497" w:rsidRDefault="007C3497" w:rsidP="007C3497">
                              <w:pPr>
                                <w:spacing w:after="160"/>
                              </w:pPr>
                              <w:r>
                                <w:rPr>
                                  <w:rFonts w:ascii="Arial" w:eastAsia="Arial" w:hAnsi="Arial" w:cs="Arial"/>
                                  <w:sz w:val="12"/>
                                </w:rPr>
                                <w:t>0</w:t>
                              </w:r>
                            </w:p>
                          </w:txbxContent>
                        </wps:txbx>
                        <wps:bodyPr horzOverflow="overflow" vert="horz" lIns="0" tIns="0" rIns="0" bIns="0" rtlCol="0">
                          <a:noAutofit/>
                        </wps:bodyPr>
                      </wps:wsp>
                      <wps:wsp>
                        <wps:cNvPr id="100788" name="Rectangle 100788"/>
                        <wps:cNvSpPr/>
                        <wps:spPr>
                          <a:xfrm>
                            <a:off x="2319617" y="0"/>
                            <a:ext cx="162619" cy="157955"/>
                          </a:xfrm>
                          <a:prstGeom prst="rect">
                            <a:avLst/>
                          </a:prstGeom>
                          <a:ln>
                            <a:noFill/>
                          </a:ln>
                        </wps:spPr>
                        <wps:txbx>
                          <w:txbxContent>
                            <w:p w14:paraId="6D3CADD1" w14:textId="77777777" w:rsidR="007C3497" w:rsidRDefault="007C3497" w:rsidP="007C3497">
                              <w:pPr>
                                <w:spacing w:after="160"/>
                              </w:pPr>
                              <w:r>
                                <w:rPr>
                                  <w:rFonts w:ascii="Arial" w:eastAsia="Arial" w:hAnsi="Arial" w:cs="Arial"/>
                                  <w:sz w:val="12"/>
                                </w:rPr>
                                <w:t>° W</w:t>
                              </w:r>
                            </w:p>
                          </w:txbxContent>
                        </wps:txbx>
                        <wps:bodyPr horzOverflow="overflow" vert="horz" lIns="0" tIns="0" rIns="0" bIns="0" rtlCol="0">
                          <a:noAutofit/>
                        </wps:bodyPr>
                      </wps:wsp>
                      <wps:wsp>
                        <wps:cNvPr id="100787" name="Rectangle 100787"/>
                        <wps:cNvSpPr/>
                        <wps:spPr>
                          <a:xfrm>
                            <a:off x="2277235" y="0"/>
                            <a:ext cx="56369" cy="157955"/>
                          </a:xfrm>
                          <a:prstGeom prst="rect">
                            <a:avLst/>
                          </a:prstGeom>
                          <a:ln>
                            <a:noFill/>
                          </a:ln>
                        </wps:spPr>
                        <wps:txbx>
                          <w:txbxContent>
                            <w:p w14:paraId="314447B4" w14:textId="77777777" w:rsidR="007C3497" w:rsidRDefault="007C3497" w:rsidP="007C3497">
                              <w:pPr>
                                <w:spacing w:after="160"/>
                              </w:pPr>
                              <w:r>
                                <w:rPr>
                                  <w:rFonts w:ascii="Arial" w:eastAsia="Arial" w:hAnsi="Arial" w:cs="Arial"/>
                                  <w:sz w:val="12"/>
                                </w:rPr>
                                <w:t>3</w:t>
                              </w:r>
                            </w:p>
                          </w:txbxContent>
                        </wps:txbx>
                        <wps:bodyPr horzOverflow="overflow" vert="horz" lIns="0" tIns="0" rIns="0" bIns="0" rtlCol="0">
                          <a:noAutofit/>
                        </wps:bodyPr>
                      </wps:wsp>
                      <wps:wsp>
                        <wps:cNvPr id="100790" name="Rectangle 100790"/>
                        <wps:cNvSpPr/>
                        <wps:spPr>
                          <a:xfrm rot="-5399999">
                            <a:off x="6090155" y="355499"/>
                            <a:ext cx="180281" cy="157955"/>
                          </a:xfrm>
                          <a:prstGeom prst="rect">
                            <a:avLst/>
                          </a:prstGeom>
                          <a:ln>
                            <a:noFill/>
                          </a:ln>
                        </wps:spPr>
                        <wps:txbx>
                          <w:txbxContent>
                            <w:p w14:paraId="72EBA356" w14:textId="77777777" w:rsidR="007C3497" w:rsidRDefault="007C3497" w:rsidP="007C3497">
                              <w:pPr>
                                <w:spacing w:after="160"/>
                              </w:pPr>
                              <w:r>
                                <w:rPr>
                                  <w:rFonts w:ascii="Arial" w:eastAsia="Arial" w:hAnsi="Arial" w:cs="Arial"/>
                                  <w:sz w:val="12"/>
                                </w:rPr>
                                <w:t xml:space="preserve">° </w:t>
                              </w:r>
                            </w:p>
                          </w:txbxContent>
                        </wps:txbx>
                        <wps:bodyPr horzOverflow="overflow" vert="horz" lIns="0" tIns="0" rIns="0" bIns="0" rtlCol="0">
                          <a:noAutofit/>
                        </wps:bodyPr>
                      </wps:wsp>
                      <wps:wsp>
                        <wps:cNvPr id="100789" name="Rectangle 100789"/>
                        <wps:cNvSpPr/>
                        <wps:spPr>
                          <a:xfrm rot="-5399999">
                            <a:off x="6157930" y="423274"/>
                            <a:ext cx="180281" cy="157955"/>
                          </a:xfrm>
                          <a:prstGeom prst="rect">
                            <a:avLst/>
                          </a:prstGeom>
                          <a:ln>
                            <a:noFill/>
                          </a:ln>
                        </wps:spPr>
                        <wps:txbx>
                          <w:txbxContent>
                            <w:p w14:paraId="160AED35" w14:textId="77777777" w:rsidR="007C3497" w:rsidRDefault="007C3497" w:rsidP="007C3497">
                              <w:pPr>
                                <w:spacing w:after="160"/>
                              </w:pPr>
                              <w:r>
                                <w:rPr>
                                  <w:rFonts w:ascii="Arial" w:eastAsia="Arial" w:hAnsi="Arial" w:cs="Arial"/>
                                  <w:sz w:val="12"/>
                                </w:rPr>
                                <w:t>15</w:t>
                              </w:r>
                            </w:p>
                          </w:txbxContent>
                        </wps:txbx>
                        <wps:bodyPr horzOverflow="overflow" vert="horz" lIns="0" tIns="0" rIns="0" bIns="0" rtlCol="0">
                          <a:noAutofit/>
                        </wps:bodyPr>
                      </wps:wsp>
                      <wps:wsp>
                        <wps:cNvPr id="808" name="Rectangle 808"/>
                        <wps:cNvSpPr/>
                        <wps:spPr>
                          <a:xfrm rot="-5399999">
                            <a:off x="6186040" y="315835"/>
                            <a:ext cx="72717" cy="157955"/>
                          </a:xfrm>
                          <a:prstGeom prst="rect">
                            <a:avLst/>
                          </a:prstGeom>
                          <a:ln>
                            <a:noFill/>
                          </a:ln>
                        </wps:spPr>
                        <wps:txbx>
                          <w:txbxContent>
                            <w:p w14:paraId="36288E1D" w14:textId="77777777" w:rsidR="007C3497" w:rsidRDefault="007C3497" w:rsidP="007C3497">
                              <w:pPr>
                                <w:spacing w:after="160"/>
                              </w:pPr>
                              <w:r>
                                <w:rPr>
                                  <w:rFonts w:ascii="Arial" w:eastAsia="Arial" w:hAnsi="Arial" w:cs="Arial"/>
                                  <w:sz w:val="12"/>
                                </w:rPr>
                                <w:t>N</w:t>
                              </w:r>
                            </w:p>
                          </w:txbxContent>
                        </wps:txbx>
                        <wps:bodyPr horzOverflow="overflow" vert="horz" lIns="0" tIns="0" rIns="0" bIns="0" rtlCol="0">
                          <a:noAutofit/>
                        </wps:bodyPr>
                      </wps:wsp>
                      <wps:wsp>
                        <wps:cNvPr id="809" name="Rectangle 809"/>
                        <wps:cNvSpPr/>
                        <wps:spPr>
                          <a:xfrm rot="-5399999">
                            <a:off x="6149250" y="2306576"/>
                            <a:ext cx="111996" cy="157955"/>
                          </a:xfrm>
                          <a:prstGeom prst="rect">
                            <a:avLst/>
                          </a:prstGeom>
                          <a:ln>
                            <a:noFill/>
                          </a:ln>
                        </wps:spPr>
                        <wps:txbx>
                          <w:txbxContent>
                            <w:p w14:paraId="644ED53F" w14:textId="77777777" w:rsidR="007C3497" w:rsidRDefault="007C3497" w:rsidP="007C3497">
                              <w:pPr>
                                <w:spacing w:after="160"/>
                              </w:pPr>
                              <w:r>
                                <w:rPr>
                                  <w:rFonts w:ascii="Arial" w:eastAsia="Arial" w:hAnsi="Arial" w:cs="Arial"/>
                                  <w:sz w:val="12"/>
                                </w:rPr>
                                <w:t>12</w:t>
                              </w:r>
                            </w:p>
                          </w:txbxContent>
                        </wps:txbx>
                        <wps:bodyPr horzOverflow="overflow" vert="horz" lIns="0" tIns="0" rIns="0" bIns="0" rtlCol="0">
                          <a:noAutofit/>
                        </wps:bodyPr>
                      </wps:wsp>
                      <wps:wsp>
                        <wps:cNvPr id="810" name="Rectangle 810"/>
                        <wps:cNvSpPr/>
                        <wps:spPr>
                          <a:xfrm rot="-5399999">
                            <a:off x="6185103" y="2258224"/>
                            <a:ext cx="40287" cy="157955"/>
                          </a:xfrm>
                          <a:prstGeom prst="rect">
                            <a:avLst/>
                          </a:prstGeom>
                          <a:ln>
                            <a:noFill/>
                          </a:ln>
                        </wps:spPr>
                        <wps:txbx>
                          <w:txbxContent>
                            <w:p w14:paraId="244C4EC0" w14:textId="77777777" w:rsidR="007C3497" w:rsidRDefault="007C3497" w:rsidP="007C3497">
                              <w:pPr>
                                <w:spacing w:after="160"/>
                              </w:pPr>
                              <w:r>
                                <w:rPr>
                                  <w:rFonts w:ascii="Arial" w:eastAsia="Arial" w:hAnsi="Arial" w:cs="Arial"/>
                                  <w:sz w:val="12"/>
                                </w:rPr>
                                <w:t>°</w:t>
                              </w:r>
                            </w:p>
                          </w:txbxContent>
                        </wps:txbx>
                        <wps:bodyPr horzOverflow="overflow" vert="horz" lIns="0" tIns="0" rIns="0" bIns="0" rtlCol="0">
                          <a:noAutofit/>
                        </wps:bodyPr>
                      </wps:wsp>
                      <wps:wsp>
                        <wps:cNvPr id="811" name="Shape 811"/>
                        <wps:cNvSpPr/>
                        <wps:spPr>
                          <a:xfrm>
                            <a:off x="512041" y="4179938"/>
                            <a:ext cx="1264514" cy="0"/>
                          </a:xfrm>
                          <a:custGeom>
                            <a:avLst/>
                            <a:gdLst/>
                            <a:ahLst/>
                            <a:cxnLst/>
                            <a:rect l="0" t="0" r="0" b="0"/>
                            <a:pathLst>
                              <a:path w="1264514">
                                <a:moveTo>
                                  <a:pt x="1264514" y="0"/>
                                </a:moveTo>
                                <a:lnTo>
                                  <a:pt x="0" y="0"/>
                                </a:lnTo>
                                <a:close/>
                              </a:path>
                            </a:pathLst>
                          </a:custGeom>
                          <a:solidFill>
                            <a:srgbClr val="181717"/>
                          </a:solidFill>
                          <a:ln w="0" cap="flat">
                            <a:noFill/>
                            <a:miter lim="127000"/>
                          </a:ln>
                          <a:effectLst/>
                        </wps:spPr>
                        <wps:bodyPr/>
                      </wps:wsp>
                      <wps:wsp>
                        <wps:cNvPr id="812" name="Shape 812"/>
                        <wps:cNvSpPr/>
                        <wps:spPr>
                          <a:xfrm>
                            <a:off x="512044" y="4179943"/>
                            <a:ext cx="1264514" cy="0"/>
                          </a:xfrm>
                          <a:custGeom>
                            <a:avLst/>
                            <a:gdLst/>
                            <a:ahLst/>
                            <a:cxnLst/>
                            <a:rect l="0" t="0" r="0" b="0"/>
                            <a:pathLst>
                              <a:path w="1264514">
                                <a:moveTo>
                                  <a:pt x="0" y="0"/>
                                </a:moveTo>
                                <a:lnTo>
                                  <a:pt x="1264514" y="0"/>
                                </a:lnTo>
                              </a:path>
                            </a:pathLst>
                          </a:custGeom>
                          <a:noFill/>
                          <a:ln w="12700" cap="flat" cmpd="sng" algn="ctr">
                            <a:solidFill>
                              <a:srgbClr val="181717"/>
                            </a:solidFill>
                            <a:prstDash val="solid"/>
                            <a:miter lim="127000"/>
                          </a:ln>
                          <a:effectLst/>
                        </wps:spPr>
                        <wps:bodyPr/>
                      </wps:wsp>
                      <wps:wsp>
                        <wps:cNvPr id="100793" name="Rectangle 100793"/>
                        <wps:cNvSpPr/>
                        <wps:spPr>
                          <a:xfrm>
                            <a:off x="1017843" y="4062629"/>
                            <a:ext cx="169107" cy="157955"/>
                          </a:xfrm>
                          <a:prstGeom prst="rect">
                            <a:avLst/>
                          </a:prstGeom>
                          <a:ln>
                            <a:noFill/>
                          </a:ln>
                        </wps:spPr>
                        <wps:txbx>
                          <w:txbxContent>
                            <w:p w14:paraId="29900AC0" w14:textId="77777777" w:rsidR="007C3497" w:rsidRDefault="007C3497" w:rsidP="007C3497">
                              <w:pPr>
                                <w:spacing w:after="160"/>
                              </w:pPr>
                              <w:r>
                                <w:rPr>
                                  <w:rFonts w:ascii="Arial" w:eastAsia="Arial" w:hAnsi="Arial" w:cs="Arial"/>
                                  <w:sz w:val="12"/>
                                </w:rPr>
                                <w:t>225</w:t>
                              </w:r>
                            </w:p>
                          </w:txbxContent>
                        </wps:txbx>
                        <wps:bodyPr horzOverflow="overflow" vert="horz" lIns="0" tIns="0" rIns="0" bIns="0" rtlCol="0">
                          <a:noAutofit/>
                        </wps:bodyPr>
                      </wps:wsp>
                      <wps:wsp>
                        <wps:cNvPr id="100794" name="Rectangle 100794"/>
                        <wps:cNvSpPr/>
                        <wps:spPr>
                          <a:xfrm>
                            <a:off x="1144991" y="4062629"/>
                            <a:ext cx="167282" cy="157955"/>
                          </a:xfrm>
                          <a:prstGeom prst="rect">
                            <a:avLst/>
                          </a:prstGeom>
                          <a:ln>
                            <a:noFill/>
                          </a:ln>
                        </wps:spPr>
                        <wps:txbx>
                          <w:txbxContent>
                            <w:p w14:paraId="158438F9" w14:textId="77777777" w:rsidR="007C3497" w:rsidRDefault="007C3497" w:rsidP="007C3497">
                              <w:pPr>
                                <w:spacing w:after="160"/>
                              </w:pPr>
                              <w:r>
                                <w:rPr>
                                  <w:rFonts w:ascii="Arial" w:eastAsia="Arial" w:hAnsi="Arial" w:cs="Arial"/>
                                  <w:sz w:val="12"/>
                                </w:rPr>
                                <w:t xml:space="preserve"> km</w:t>
                              </w:r>
                            </w:p>
                          </w:txbxContent>
                        </wps:txbx>
                        <wps:bodyPr horzOverflow="overflow" vert="horz" lIns="0" tIns="0" rIns="0" bIns="0" rtlCol="0">
                          <a:noAutofit/>
                        </wps:bodyPr>
                      </wps:wsp>
                      <wps:wsp>
                        <wps:cNvPr id="100792" name="Rectangle 100792"/>
                        <wps:cNvSpPr/>
                        <wps:spPr>
                          <a:xfrm>
                            <a:off x="230145" y="1643553"/>
                            <a:ext cx="139404" cy="131630"/>
                          </a:xfrm>
                          <a:prstGeom prst="rect">
                            <a:avLst/>
                          </a:prstGeom>
                          <a:ln>
                            <a:noFill/>
                          </a:ln>
                        </wps:spPr>
                        <wps:txbx>
                          <w:txbxContent>
                            <w:p w14:paraId="31FB9CC0" w14:textId="77777777" w:rsidR="007C3497" w:rsidRDefault="007C3497" w:rsidP="007C3497">
                              <w:pPr>
                                <w:spacing w:after="160"/>
                              </w:pPr>
                              <w:r>
                                <w:rPr>
                                  <w:rFonts w:ascii="Arial" w:eastAsia="Arial" w:hAnsi="Arial" w:cs="Arial"/>
                                  <w:sz w:val="10"/>
                                </w:rPr>
                                <w:t xml:space="preserve"> km</w:t>
                              </w:r>
                            </w:p>
                          </w:txbxContent>
                        </wps:txbx>
                        <wps:bodyPr horzOverflow="overflow" vert="horz" lIns="0" tIns="0" rIns="0" bIns="0" rtlCol="0">
                          <a:noAutofit/>
                        </wps:bodyPr>
                      </wps:wsp>
                      <wps:wsp>
                        <wps:cNvPr id="100791" name="Rectangle 100791"/>
                        <wps:cNvSpPr/>
                        <wps:spPr>
                          <a:xfrm>
                            <a:off x="194826" y="1643553"/>
                            <a:ext cx="46975" cy="131630"/>
                          </a:xfrm>
                          <a:prstGeom prst="rect">
                            <a:avLst/>
                          </a:prstGeom>
                          <a:ln>
                            <a:noFill/>
                          </a:ln>
                        </wps:spPr>
                        <wps:txbx>
                          <w:txbxContent>
                            <w:p w14:paraId="07C17DA2" w14:textId="77777777" w:rsidR="007C3497" w:rsidRDefault="007C3497" w:rsidP="007C3497">
                              <w:pPr>
                                <w:spacing w:after="160"/>
                              </w:pPr>
                              <w:r>
                                <w:rPr>
                                  <w:rFonts w:ascii="Arial" w:eastAsia="Arial" w:hAnsi="Arial" w:cs="Arial"/>
                                  <w:sz w:val="10"/>
                                </w:rPr>
                                <w:t>0</w:t>
                              </w:r>
                            </w:p>
                          </w:txbxContent>
                        </wps:txbx>
                        <wps:bodyPr horzOverflow="overflow" vert="horz" lIns="0" tIns="0" rIns="0" bIns="0" rtlCol="0">
                          <a:noAutofit/>
                        </wps:bodyPr>
                      </wps:wsp>
                      <wps:wsp>
                        <wps:cNvPr id="815" name="Rectangle 815"/>
                        <wps:cNvSpPr/>
                        <wps:spPr>
                          <a:xfrm>
                            <a:off x="748502" y="1643553"/>
                            <a:ext cx="187899" cy="131630"/>
                          </a:xfrm>
                          <a:prstGeom prst="rect">
                            <a:avLst/>
                          </a:prstGeom>
                          <a:ln>
                            <a:noFill/>
                          </a:ln>
                        </wps:spPr>
                        <wps:txbx>
                          <w:txbxContent>
                            <w:p w14:paraId="25A7D868" w14:textId="77777777" w:rsidR="007C3497" w:rsidRDefault="007C3497" w:rsidP="007C3497">
                              <w:pPr>
                                <w:spacing w:after="160"/>
                              </w:pPr>
                              <w:r>
                                <w:rPr>
                                  <w:rFonts w:ascii="Arial" w:eastAsia="Arial" w:hAnsi="Arial" w:cs="Arial"/>
                                  <w:sz w:val="10"/>
                                </w:rPr>
                                <w:t>3700</w:t>
                              </w:r>
                            </w:p>
                          </w:txbxContent>
                        </wps:txbx>
                        <wps:bodyPr horzOverflow="overflow" vert="horz" lIns="0" tIns="0" rIns="0" bIns="0" rtlCol="0">
                          <a:noAutofit/>
                        </wps:bodyPr>
                      </wps:wsp>
                      <wps:wsp>
                        <wps:cNvPr id="816" name="Rectangle 816"/>
                        <wps:cNvSpPr/>
                        <wps:spPr>
                          <a:xfrm>
                            <a:off x="1349059" y="1643553"/>
                            <a:ext cx="187899" cy="131630"/>
                          </a:xfrm>
                          <a:prstGeom prst="rect">
                            <a:avLst/>
                          </a:prstGeom>
                          <a:ln>
                            <a:noFill/>
                          </a:ln>
                        </wps:spPr>
                        <wps:txbx>
                          <w:txbxContent>
                            <w:p w14:paraId="4FD4B4B3" w14:textId="77777777" w:rsidR="007C3497" w:rsidRDefault="007C3497" w:rsidP="007C3497">
                              <w:pPr>
                                <w:spacing w:after="160"/>
                              </w:pPr>
                              <w:r>
                                <w:rPr>
                                  <w:rFonts w:ascii="Arial" w:eastAsia="Arial" w:hAnsi="Arial" w:cs="Arial"/>
                                  <w:sz w:val="10"/>
                                </w:rPr>
                                <w:t>7400</w:t>
                              </w:r>
                            </w:p>
                          </w:txbxContent>
                        </wps:txbx>
                        <wps:bodyPr horzOverflow="overflow" vert="horz" lIns="0" tIns="0" rIns="0" bIns="0" rtlCol="0">
                          <a:noAutofit/>
                        </wps:bodyPr>
                      </wps:wsp>
                      <wps:wsp>
                        <wps:cNvPr id="817" name="Shape 817"/>
                        <wps:cNvSpPr/>
                        <wps:spPr>
                          <a:xfrm>
                            <a:off x="235138" y="3993344"/>
                            <a:ext cx="0" cy="100927"/>
                          </a:xfrm>
                          <a:custGeom>
                            <a:avLst/>
                            <a:gdLst/>
                            <a:ahLst/>
                            <a:cxnLst/>
                            <a:rect l="0" t="0" r="0" b="0"/>
                            <a:pathLst>
                              <a:path h="100927">
                                <a:moveTo>
                                  <a:pt x="0" y="100927"/>
                                </a:moveTo>
                                <a:lnTo>
                                  <a:pt x="0" y="0"/>
                                </a:lnTo>
                                <a:close/>
                              </a:path>
                            </a:pathLst>
                          </a:custGeom>
                          <a:solidFill>
                            <a:srgbClr val="181717"/>
                          </a:solidFill>
                          <a:ln w="0" cap="flat">
                            <a:noFill/>
                            <a:miter lim="127000"/>
                          </a:ln>
                          <a:effectLst/>
                        </wps:spPr>
                        <wps:bodyPr/>
                      </wps:wsp>
                      <wps:wsp>
                        <wps:cNvPr id="818" name="Shape 818"/>
                        <wps:cNvSpPr/>
                        <wps:spPr>
                          <a:xfrm>
                            <a:off x="235139" y="4021492"/>
                            <a:ext cx="0" cy="72784"/>
                          </a:xfrm>
                          <a:custGeom>
                            <a:avLst/>
                            <a:gdLst/>
                            <a:ahLst/>
                            <a:cxnLst/>
                            <a:rect l="0" t="0" r="0" b="0"/>
                            <a:pathLst>
                              <a:path h="72784">
                                <a:moveTo>
                                  <a:pt x="0" y="72784"/>
                                </a:moveTo>
                                <a:lnTo>
                                  <a:pt x="0" y="0"/>
                                </a:lnTo>
                              </a:path>
                            </a:pathLst>
                          </a:custGeom>
                          <a:noFill/>
                          <a:ln w="3175" cap="flat" cmpd="sng" algn="ctr">
                            <a:solidFill>
                              <a:srgbClr val="181717"/>
                            </a:solidFill>
                            <a:prstDash val="solid"/>
                            <a:miter lim="127000"/>
                          </a:ln>
                          <a:effectLst/>
                        </wps:spPr>
                        <wps:bodyPr/>
                      </wps:wsp>
                      <wps:wsp>
                        <wps:cNvPr id="819" name="Shape 819"/>
                        <wps:cNvSpPr/>
                        <wps:spPr>
                          <a:xfrm>
                            <a:off x="225916" y="3993349"/>
                            <a:ext cx="18453" cy="34430"/>
                          </a:xfrm>
                          <a:custGeom>
                            <a:avLst/>
                            <a:gdLst/>
                            <a:ahLst/>
                            <a:cxnLst/>
                            <a:rect l="0" t="0" r="0" b="0"/>
                            <a:pathLst>
                              <a:path w="18453" h="34430">
                                <a:moveTo>
                                  <a:pt x="9220" y="0"/>
                                </a:moveTo>
                                <a:lnTo>
                                  <a:pt x="18453" y="34430"/>
                                </a:lnTo>
                                <a:lnTo>
                                  <a:pt x="0" y="34430"/>
                                </a:lnTo>
                                <a:lnTo>
                                  <a:pt x="9220" y="0"/>
                                </a:lnTo>
                                <a:close/>
                              </a:path>
                            </a:pathLst>
                          </a:custGeom>
                          <a:solidFill>
                            <a:srgbClr val="181717"/>
                          </a:solidFill>
                          <a:ln w="0" cap="flat">
                            <a:noFill/>
                            <a:miter lim="127000"/>
                          </a:ln>
                          <a:effectLst/>
                        </wps:spPr>
                        <wps:bodyPr/>
                      </wps:wsp>
                      <wps:wsp>
                        <wps:cNvPr id="820" name="Rectangle 820"/>
                        <wps:cNvSpPr/>
                        <wps:spPr>
                          <a:xfrm>
                            <a:off x="201662" y="4093234"/>
                            <a:ext cx="73199" cy="157955"/>
                          </a:xfrm>
                          <a:prstGeom prst="rect">
                            <a:avLst/>
                          </a:prstGeom>
                          <a:ln>
                            <a:noFill/>
                          </a:ln>
                        </wps:spPr>
                        <wps:txbx>
                          <w:txbxContent>
                            <w:p w14:paraId="6215A303" w14:textId="77777777" w:rsidR="007C3497" w:rsidRDefault="007C3497" w:rsidP="007C3497">
                              <w:pPr>
                                <w:spacing w:after="160"/>
                              </w:pPr>
                              <w:r>
                                <w:rPr>
                                  <w:rFonts w:ascii="Arial" w:eastAsia="Arial" w:hAnsi="Arial" w:cs="Arial"/>
                                  <w:sz w:val="12"/>
                                </w:rPr>
                                <w:t>N</w:t>
                              </w:r>
                            </w:p>
                          </w:txbxContent>
                        </wps:txbx>
                        <wps:bodyPr horzOverflow="overflow" vert="horz" lIns="0" tIns="0" rIns="0" bIns="0" rtlCol="0">
                          <a:noAutofit/>
                        </wps:bodyPr>
                      </wps:wsp>
                      <wps:wsp>
                        <wps:cNvPr id="821" name="Shape 821"/>
                        <wps:cNvSpPr/>
                        <wps:spPr>
                          <a:xfrm>
                            <a:off x="3503701" y="1655369"/>
                            <a:ext cx="69304" cy="69304"/>
                          </a:xfrm>
                          <a:custGeom>
                            <a:avLst/>
                            <a:gdLst/>
                            <a:ahLst/>
                            <a:cxnLst/>
                            <a:rect l="0" t="0" r="0" b="0"/>
                            <a:pathLst>
                              <a:path w="69304" h="69304">
                                <a:moveTo>
                                  <a:pt x="34658" y="0"/>
                                </a:moveTo>
                                <a:cubicBezTo>
                                  <a:pt x="53810" y="0"/>
                                  <a:pt x="69304" y="15519"/>
                                  <a:pt x="69304" y="34658"/>
                                </a:cubicBezTo>
                                <a:cubicBezTo>
                                  <a:pt x="69304" y="53797"/>
                                  <a:pt x="53810" y="69304"/>
                                  <a:pt x="34658" y="69304"/>
                                </a:cubicBezTo>
                                <a:cubicBezTo>
                                  <a:pt x="15507" y="69304"/>
                                  <a:pt x="0" y="53797"/>
                                  <a:pt x="0" y="34658"/>
                                </a:cubicBezTo>
                                <a:cubicBezTo>
                                  <a:pt x="0" y="15519"/>
                                  <a:pt x="15507" y="0"/>
                                  <a:pt x="34658" y="0"/>
                                </a:cubicBezTo>
                                <a:close/>
                              </a:path>
                            </a:pathLst>
                          </a:custGeom>
                          <a:solidFill>
                            <a:srgbClr val="E4322B"/>
                          </a:solidFill>
                          <a:ln w="0" cap="flat">
                            <a:noFill/>
                            <a:miter lim="127000"/>
                          </a:ln>
                          <a:effectLst/>
                        </wps:spPr>
                        <wps:bodyPr/>
                      </wps:wsp>
                      <wps:wsp>
                        <wps:cNvPr id="822" name="Shape 822"/>
                        <wps:cNvSpPr/>
                        <wps:spPr>
                          <a:xfrm>
                            <a:off x="3503701" y="1655369"/>
                            <a:ext cx="69304" cy="69304"/>
                          </a:xfrm>
                          <a:custGeom>
                            <a:avLst/>
                            <a:gdLst/>
                            <a:ahLst/>
                            <a:cxnLst/>
                            <a:rect l="0" t="0" r="0" b="0"/>
                            <a:pathLst>
                              <a:path w="69304" h="69304">
                                <a:moveTo>
                                  <a:pt x="69304" y="34658"/>
                                </a:moveTo>
                                <a:cubicBezTo>
                                  <a:pt x="69304" y="53797"/>
                                  <a:pt x="53810" y="69304"/>
                                  <a:pt x="34658" y="69304"/>
                                </a:cubicBezTo>
                                <a:cubicBezTo>
                                  <a:pt x="15507" y="69304"/>
                                  <a:pt x="0" y="53797"/>
                                  <a:pt x="0" y="34658"/>
                                </a:cubicBezTo>
                                <a:cubicBezTo>
                                  <a:pt x="0" y="15519"/>
                                  <a:pt x="15507" y="0"/>
                                  <a:pt x="34658" y="0"/>
                                </a:cubicBezTo>
                                <a:cubicBezTo>
                                  <a:pt x="53810" y="0"/>
                                  <a:pt x="69304" y="15519"/>
                                  <a:pt x="69304" y="34658"/>
                                </a:cubicBezTo>
                                <a:close/>
                              </a:path>
                            </a:pathLst>
                          </a:custGeom>
                          <a:noFill/>
                          <a:ln w="3175" cap="flat" cmpd="sng" algn="ctr">
                            <a:solidFill>
                              <a:srgbClr val="181717"/>
                            </a:solidFill>
                            <a:prstDash val="solid"/>
                            <a:miter lim="127000"/>
                          </a:ln>
                          <a:effectLst/>
                        </wps:spPr>
                        <wps:bodyPr/>
                      </wps:wsp>
                      <wps:wsp>
                        <wps:cNvPr id="823" name="Shape 823"/>
                        <wps:cNvSpPr/>
                        <wps:spPr>
                          <a:xfrm>
                            <a:off x="2662585" y="1348473"/>
                            <a:ext cx="69304" cy="69317"/>
                          </a:xfrm>
                          <a:custGeom>
                            <a:avLst/>
                            <a:gdLst/>
                            <a:ahLst/>
                            <a:cxnLst/>
                            <a:rect l="0" t="0" r="0" b="0"/>
                            <a:pathLst>
                              <a:path w="69304" h="69317">
                                <a:moveTo>
                                  <a:pt x="34646" y="0"/>
                                </a:moveTo>
                                <a:cubicBezTo>
                                  <a:pt x="53797" y="0"/>
                                  <a:pt x="69304" y="15507"/>
                                  <a:pt x="69304" y="34658"/>
                                </a:cubicBezTo>
                                <a:cubicBezTo>
                                  <a:pt x="69304" y="53797"/>
                                  <a:pt x="53797" y="69317"/>
                                  <a:pt x="34646" y="69317"/>
                                </a:cubicBezTo>
                                <a:cubicBezTo>
                                  <a:pt x="15507" y="69317"/>
                                  <a:pt x="0" y="53797"/>
                                  <a:pt x="0" y="34658"/>
                                </a:cubicBezTo>
                                <a:cubicBezTo>
                                  <a:pt x="0" y="15507"/>
                                  <a:pt x="15507" y="0"/>
                                  <a:pt x="34646" y="0"/>
                                </a:cubicBezTo>
                                <a:close/>
                              </a:path>
                            </a:pathLst>
                          </a:custGeom>
                          <a:solidFill>
                            <a:srgbClr val="E4322B"/>
                          </a:solidFill>
                          <a:ln w="0" cap="flat">
                            <a:noFill/>
                            <a:miter lim="127000"/>
                          </a:ln>
                          <a:effectLst/>
                        </wps:spPr>
                        <wps:bodyPr/>
                      </wps:wsp>
                      <wps:wsp>
                        <wps:cNvPr id="824" name="Shape 824"/>
                        <wps:cNvSpPr/>
                        <wps:spPr>
                          <a:xfrm>
                            <a:off x="2662585" y="1348473"/>
                            <a:ext cx="69304" cy="69317"/>
                          </a:xfrm>
                          <a:custGeom>
                            <a:avLst/>
                            <a:gdLst/>
                            <a:ahLst/>
                            <a:cxnLst/>
                            <a:rect l="0" t="0" r="0" b="0"/>
                            <a:pathLst>
                              <a:path w="69304" h="69317">
                                <a:moveTo>
                                  <a:pt x="69304" y="34658"/>
                                </a:moveTo>
                                <a:cubicBezTo>
                                  <a:pt x="69304" y="53797"/>
                                  <a:pt x="53797" y="69317"/>
                                  <a:pt x="34646" y="69317"/>
                                </a:cubicBezTo>
                                <a:cubicBezTo>
                                  <a:pt x="15507" y="69317"/>
                                  <a:pt x="0" y="53797"/>
                                  <a:pt x="0" y="34658"/>
                                </a:cubicBezTo>
                                <a:cubicBezTo>
                                  <a:pt x="0" y="15507"/>
                                  <a:pt x="15507" y="0"/>
                                  <a:pt x="34646" y="0"/>
                                </a:cubicBezTo>
                                <a:cubicBezTo>
                                  <a:pt x="53797" y="0"/>
                                  <a:pt x="69304" y="15507"/>
                                  <a:pt x="69304" y="34658"/>
                                </a:cubicBezTo>
                                <a:close/>
                              </a:path>
                            </a:pathLst>
                          </a:custGeom>
                          <a:noFill/>
                          <a:ln w="3175" cap="flat" cmpd="sng" algn="ctr">
                            <a:solidFill>
                              <a:srgbClr val="181717"/>
                            </a:solidFill>
                            <a:prstDash val="solid"/>
                            <a:miter lim="127000"/>
                          </a:ln>
                          <a:effectLst/>
                        </wps:spPr>
                        <wps:bodyPr/>
                      </wps:wsp>
                      <wps:wsp>
                        <wps:cNvPr id="825" name="Shape 825"/>
                        <wps:cNvSpPr/>
                        <wps:spPr>
                          <a:xfrm>
                            <a:off x="172883" y="2213997"/>
                            <a:ext cx="69304" cy="69304"/>
                          </a:xfrm>
                          <a:custGeom>
                            <a:avLst/>
                            <a:gdLst/>
                            <a:ahLst/>
                            <a:cxnLst/>
                            <a:rect l="0" t="0" r="0" b="0"/>
                            <a:pathLst>
                              <a:path w="69304" h="69304">
                                <a:moveTo>
                                  <a:pt x="34646" y="0"/>
                                </a:moveTo>
                                <a:cubicBezTo>
                                  <a:pt x="53785" y="0"/>
                                  <a:pt x="69304" y="15507"/>
                                  <a:pt x="69304" y="34658"/>
                                </a:cubicBezTo>
                                <a:cubicBezTo>
                                  <a:pt x="69304" y="53785"/>
                                  <a:pt x="53785" y="69304"/>
                                  <a:pt x="34646" y="69304"/>
                                </a:cubicBezTo>
                                <a:cubicBezTo>
                                  <a:pt x="15519" y="69304"/>
                                  <a:pt x="0" y="53785"/>
                                  <a:pt x="0" y="34658"/>
                                </a:cubicBezTo>
                                <a:cubicBezTo>
                                  <a:pt x="0" y="15507"/>
                                  <a:pt x="15519" y="0"/>
                                  <a:pt x="34646" y="0"/>
                                </a:cubicBezTo>
                                <a:close/>
                              </a:path>
                            </a:pathLst>
                          </a:custGeom>
                          <a:solidFill>
                            <a:srgbClr val="E4322B"/>
                          </a:solidFill>
                          <a:ln w="0" cap="flat">
                            <a:noFill/>
                            <a:miter lim="127000"/>
                          </a:ln>
                          <a:effectLst/>
                        </wps:spPr>
                        <wps:bodyPr/>
                      </wps:wsp>
                      <wps:wsp>
                        <wps:cNvPr id="826" name="Shape 826"/>
                        <wps:cNvSpPr/>
                        <wps:spPr>
                          <a:xfrm>
                            <a:off x="172883" y="2213997"/>
                            <a:ext cx="69304" cy="69304"/>
                          </a:xfrm>
                          <a:custGeom>
                            <a:avLst/>
                            <a:gdLst/>
                            <a:ahLst/>
                            <a:cxnLst/>
                            <a:rect l="0" t="0" r="0" b="0"/>
                            <a:pathLst>
                              <a:path w="69304" h="69304">
                                <a:moveTo>
                                  <a:pt x="69304" y="34658"/>
                                </a:moveTo>
                                <a:cubicBezTo>
                                  <a:pt x="69304" y="53785"/>
                                  <a:pt x="53785" y="69304"/>
                                  <a:pt x="34646" y="69304"/>
                                </a:cubicBezTo>
                                <a:cubicBezTo>
                                  <a:pt x="15519" y="69304"/>
                                  <a:pt x="0" y="53785"/>
                                  <a:pt x="0" y="34658"/>
                                </a:cubicBezTo>
                                <a:cubicBezTo>
                                  <a:pt x="0" y="15507"/>
                                  <a:pt x="15519" y="0"/>
                                  <a:pt x="34646" y="0"/>
                                </a:cubicBezTo>
                                <a:cubicBezTo>
                                  <a:pt x="53785" y="0"/>
                                  <a:pt x="69304" y="15507"/>
                                  <a:pt x="69304" y="34658"/>
                                </a:cubicBezTo>
                                <a:close/>
                              </a:path>
                            </a:pathLst>
                          </a:custGeom>
                          <a:noFill/>
                          <a:ln w="3175" cap="flat" cmpd="sng" algn="ctr">
                            <a:solidFill>
                              <a:srgbClr val="181717"/>
                            </a:solidFill>
                            <a:prstDash val="solid"/>
                            <a:miter lim="127000"/>
                          </a:ln>
                          <a:effectLst/>
                        </wps:spPr>
                        <wps:bodyPr/>
                      </wps:wsp>
                      <wps:wsp>
                        <wps:cNvPr id="827" name="Shape 827"/>
                        <wps:cNvSpPr/>
                        <wps:spPr>
                          <a:xfrm>
                            <a:off x="4142891" y="1052599"/>
                            <a:ext cx="69304" cy="69317"/>
                          </a:xfrm>
                          <a:custGeom>
                            <a:avLst/>
                            <a:gdLst/>
                            <a:ahLst/>
                            <a:cxnLst/>
                            <a:rect l="0" t="0" r="0" b="0"/>
                            <a:pathLst>
                              <a:path w="69304" h="69317">
                                <a:moveTo>
                                  <a:pt x="34646" y="0"/>
                                </a:moveTo>
                                <a:cubicBezTo>
                                  <a:pt x="53785" y="0"/>
                                  <a:pt x="69304" y="15519"/>
                                  <a:pt x="69304" y="34658"/>
                                </a:cubicBezTo>
                                <a:cubicBezTo>
                                  <a:pt x="69304" y="53797"/>
                                  <a:pt x="53785" y="69317"/>
                                  <a:pt x="34646" y="69317"/>
                                </a:cubicBezTo>
                                <a:cubicBezTo>
                                  <a:pt x="15494" y="69317"/>
                                  <a:pt x="0" y="53797"/>
                                  <a:pt x="0" y="34658"/>
                                </a:cubicBezTo>
                                <a:cubicBezTo>
                                  <a:pt x="0" y="15519"/>
                                  <a:pt x="15494" y="0"/>
                                  <a:pt x="34646" y="0"/>
                                </a:cubicBezTo>
                                <a:close/>
                              </a:path>
                            </a:pathLst>
                          </a:custGeom>
                          <a:solidFill>
                            <a:srgbClr val="E4322B"/>
                          </a:solidFill>
                          <a:ln w="0" cap="flat">
                            <a:noFill/>
                            <a:miter lim="127000"/>
                          </a:ln>
                          <a:effectLst/>
                        </wps:spPr>
                        <wps:bodyPr/>
                      </wps:wsp>
                      <wps:wsp>
                        <wps:cNvPr id="828" name="Shape 828"/>
                        <wps:cNvSpPr/>
                        <wps:spPr>
                          <a:xfrm>
                            <a:off x="4142891" y="1052599"/>
                            <a:ext cx="69304" cy="69317"/>
                          </a:xfrm>
                          <a:custGeom>
                            <a:avLst/>
                            <a:gdLst/>
                            <a:ahLst/>
                            <a:cxnLst/>
                            <a:rect l="0" t="0" r="0" b="0"/>
                            <a:pathLst>
                              <a:path w="69304" h="69317">
                                <a:moveTo>
                                  <a:pt x="69304" y="34658"/>
                                </a:moveTo>
                                <a:cubicBezTo>
                                  <a:pt x="69304" y="53797"/>
                                  <a:pt x="53785" y="69317"/>
                                  <a:pt x="34646" y="69317"/>
                                </a:cubicBezTo>
                                <a:cubicBezTo>
                                  <a:pt x="15494" y="69317"/>
                                  <a:pt x="0" y="53797"/>
                                  <a:pt x="0" y="34658"/>
                                </a:cubicBezTo>
                                <a:cubicBezTo>
                                  <a:pt x="0" y="15519"/>
                                  <a:pt x="15494" y="0"/>
                                  <a:pt x="34646" y="0"/>
                                </a:cubicBezTo>
                                <a:cubicBezTo>
                                  <a:pt x="53785" y="0"/>
                                  <a:pt x="69304" y="15519"/>
                                  <a:pt x="69304" y="34658"/>
                                </a:cubicBezTo>
                                <a:close/>
                              </a:path>
                            </a:pathLst>
                          </a:custGeom>
                          <a:noFill/>
                          <a:ln w="3175" cap="flat" cmpd="sng" algn="ctr">
                            <a:solidFill>
                              <a:srgbClr val="181717"/>
                            </a:solidFill>
                            <a:prstDash val="solid"/>
                            <a:miter lim="127000"/>
                          </a:ln>
                          <a:effectLst/>
                        </wps:spPr>
                        <wps:bodyPr/>
                      </wps:wsp>
                      <wps:wsp>
                        <wps:cNvPr id="829" name="Shape 829"/>
                        <wps:cNvSpPr/>
                        <wps:spPr>
                          <a:xfrm>
                            <a:off x="3370442" y="1970345"/>
                            <a:ext cx="69304" cy="69304"/>
                          </a:xfrm>
                          <a:custGeom>
                            <a:avLst/>
                            <a:gdLst/>
                            <a:ahLst/>
                            <a:cxnLst/>
                            <a:rect l="0" t="0" r="0" b="0"/>
                            <a:pathLst>
                              <a:path w="69304" h="69304">
                                <a:moveTo>
                                  <a:pt x="34646" y="0"/>
                                </a:moveTo>
                                <a:cubicBezTo>
                                  <a:pt x="53797" y="0"/>
                                  <a:pt x="69304" y="15519"/>
                                  <a:pt x="69304" y="34658"/>
                                </a:cubicBezTo>
                                <a:cubicBezTo>
                                  <a:pt x="69304" y="53797"/>
                                  <a:pt x="53797" y="69304"/>
                                  <a:pt x="34646" y="69304"/>
                                </a:cubicBezTo>
                                <a:cubicBezTo>
                                  <a:pt x="15520" y="69304"/>
                                  <a:pt x="0" y="53797"/>
                                  <a:pt x="0" y="34658"/>
                                </a:cubicBezTo>
                                <a:cubicBezTo>
                                  <a:pt x="0" y="15519"/>
                                  <a:pt x="15520" y="0"/>
                                  <a:pt x="34646" y="0"/>
                                </a:cubicBezTo>
                                <a:close/>
                              </a:path>
                            </a:pathLst>
                          </a:custGeom>
                          <a:solidFill>
                            <a:srgbClr val="E4322B"/>
                          </a:solidFill>
                          <a:ln w="0" cap="flat">
                            <a:noFill/>
                            <a:miter lim="127000"/>
                          </a:ln>
                          <a:effectLst/>
                        </wps:spPr>
                        <wps:bodyPr/>
                      </wps:wsp>
                      <wps:wsp>
                        <wps:cNvPr id="830" name="Shape 830"/>
                        <wps:cNvSpPr/>
                        <wps:spPr>
                          <a:xfrm>
                            <a:off x="3370442" y="1970345"/>
                            <a:ext cx="69304" cy="69304"/>
                          </a:xfrm>
                          <a:custGeom>
                            <a:avLst/>
                            <a:gdLst/>
                            <a:ahLst/>
                            <a:cxnLst/>
                            <a:rect l="0" t="0" r="0" b="0"/>
                            <a:pathLst>
                              <a:path w="69304" h="69304">
                                <a:moveTo>
                                  <a:pt x="69304" y="34658"/>
                                </a:moveTo>
                                <a:cubicBezTo>
                                  <a:pt x="69304" y="53797"/>
                                  <a:pt x="53797" y="69304"/>
                                  <a:pt x="34646" y="69304"/>
                                </a:cubicBezTo>
                                <a:cubicBezTo>
                                  <a:pt x="15520" y="69304"/>
                                  <a:pt x="0" y="53797"/>
                                  <a:pt x="0" y="34658"/>
                                </a:cubicBezTo>
                                <a:cubicBezTo>
                                  <a:pt x="0" y="15519"/>
                                  <a:pt x="15520" y="0"/>
                                  <a:pt x="34646" y="0"/>
                                </a:cubicBezTo>
                                <a:cubicBezTo>
                                  <a:pt x="53797" y="0"/>
                                  <a:pt x="69304" y="15519"/>
                                  <a:pt x="69304" y="34658"/>
                                </a:cubicBezTo>
                                <a:close/>
                              </a:path>
                            </a:pathLst>
                          </a:custGeom>
                          <a:noFill/>
                          <a:ln w="3175" cap="flat" cmpd="sng" algn="ctr">
                            <a:solidFill>
                              <a:srgbClr val="181717"/>
                            </a:solidFill>
                            <a:prstDash val="solid"/>
                            <a:miter lim="127000"/>
                          </a:ln>
                          <a:effectLst/>
                        </wps:spPr>
                        <wps:bodyPr/>
                      </wps:wsp>
                      <wps:wsp>
                        <wps:cNvPr id="831" name="Shape 831"/>
                        <wps:cNvSpPr/>
                        <wps:spPr>
                          <a:xfrm>
                            <a:off x="2697230" y="2179339"/>
                            <a:ext cx="69304" cy="69317"/>
                          </a:xfrm>
                          <a:custGeom>
                            <a:avLst/>
                            <a:gdLst/>
                            <a:ahLst/>
                            <a:cxnLst/>
                            <a:rect l="0" t="0" r="0" b="0"/>
                            <a:pathLst>
                              <a:path w="69304" h="69317">
                                <a:moveTo>
                                  <a:pt x="34658" y="0"/>
                                </a:moveTo>
                                <a:cubicBezTo>
                                  <a:pt x="53797" y="0"/>
                                  <a:pt x="69304" y="15507"/>
                                  <a:pt x="69304" y="34658"/>
                                </a:cubicBezTo>
                                <a:cubicBezTo>
                                  <a:pt x="69304" y="53797"/>
                                  <a:pt x="53797" y="69317"/>
                                  <a:pt x="34658" y="69317"/>
                                </a:cubicBezTo>
                                <a:cubicBezTo>
                                  <a:pt x="15507" y="69317"/>
                                  <a:pt x="0" y="53797"/>
                                  <a:pt x="0" y="34658"/>
                                </a:cubicBezTo>
                                <a:cubicBezTo>
                                  <a:pt x="0" y="15507"/>
                                  <a:pt x="15507" y="0"/>
                                  <a:pt x="34658" y="0"/>
                                </a:cubicBezTo>
                                <a:close/>
                              </a:path>
                            </a:pathLst>
                          </a:custGeom>
                          <a:solidFill>
                            <a:srgbClr val="E4322B"/>
                          </a:solidFill>
                          <a:ln w="0" cap="flat">
                            <a:noFill/>
                            <a:miter lim="127000"/>
                          </a:ln>
                          <a:effectLst/>
                        </wps:spPr>
                        <wps:bodyPr/>
                      </wps:wsp>
                      <wps:wsp>
                        <wps:cNvPr id="832" name="Shape 832"/>
                        <wps:cNvSpPr/>
                        <wps:spPr>
                          <a:xfrm>
                            <a:off x="2697230" y="2179339"/>
                            <a:ext cx="69304" cy="69317"/>
                          </a:xfrm>
                          <a:custGeom>
                            <a:avLst/>
                            <a:gdLst/>
                            <a:ahLst/>
                            <a:cxnLst/>
                            <a:rect l="0" t="0" r="0" b="0"/>
                            <a:pathLst>
                              <a:path w="69304" h="69317">
                                <a:moveTo>
                                  <a:pt x="69304" y="34658"/>
                                </a:moveTo>
                                <a:cubicBezTo>
                                  <a:pt x="69304" y="53797"/>
                                  <a:pt x="53797" y="69317"/>
                                  <a:pt x="34658" y="69317"/>
                                </a:cubicBezTo>
                                <a:cubicBezTo>
                                  <a:pt x="15507" y="69317"/>
                                  <a:pt x="0" y="53797"/>
                                  <a:pt x="0" y="34658"/>
                                </a:cubicBezTo>
                                <a:cubicBezTo>
                                  <a:pt x="0" y="15507"/>
                                  <a:pt x="15507" y="0"/>
                                  <a:pt x="34658" y="0"/>
                                </a:cubicBezTo>
                                <a:cubicBezTo>
                                  <a:pt x="53797" y="0"/>
                                  <a:pt x="69304" y="15507"/>
                                  <a:pt x="69304" y="34658"/>
                                </a:cubicBezTo>
                                <a:close/>
                              </a:path>
                            </a:pathLst>
                          </a:custGeom>
                          <a:noFill/>
                          <a:ln w="3175" cap="flat" cmpd="sng" algn="ctr">
                            <a:solidFill>
                              <a:srgbClr val="181717"/>
                            </a:solidFill>
                            <a:prstDash val="solid"/>
                            <a:miter lim="127000"/>
                          </a:ln>
                          <a:effectLst/>
                        </wps:spPr>
                        <wps:bodyPr/>
                      </wps:wsp>
                      <wps:wsp>
                        <wps:cNvPr id="833" name="Shape 833"/>
                        <wps:cNvSpPr/>
                        <wps:spPr>
                          <a:xfrm>
                            <a:off x="2016521" y="2037096"/>
                            <a:ext cx="69304" cy="69304"/>
                          </a:xfrm>
                          <a:custGeom>
                            <a:avLst/>
                            <a:gdLst/>
                            <a:ahLst/>
                            <a:cxnLst/>
                            <a:rect l="0" t="0" r="0" b="0"/>
                            <a:pathLst>
                              <a:path w="69304" h="69304">
                                <a:moveTo>
                                  <a:pt x="34646" y="0"/>
                                </a:moveTo>
                                <a:cubicBezTo>
                                  <a:pt x="53785" y="0"/>
                                  <a:pt x="69304" y="15507"/>
                                  <a:pt x="69304" y="34658"/>
                                </a:cubicBezTo>
                                <a:cubicBezTo>
                                  <a:pt x="69304" y="53797"/>
                                  <a:pt x="53785" y="69304"/>
                                  <a:pt x="34646" y="69304"/>
                                </a:cubicBezTo>
                                <a:cubicBezTo>
                                  <a:pt x="15507" y="69304"/>
                                  <a:pt x="0" y="53797"/>
                                  <a:pt x="0" y="34658"/>
                                </a:cubicBezTo>
                                <a:cubicBezTo>
                                  <a:pt x="0" y="15507"/>
                                  <a:pt x="15507" y="0"/>
                                  <a:pt x="34646" y="0"/>
                                </a:cubicBezTo>
                                <a:close/>
                              </a:path>
                            </a:pathLst>
                          </a:custGeom>
                          <a:solidFill>
                            <a:srgbClr val="E4322B"/>
                          </a:solidFill>
                          <a:ln w="0" cap="flat">
                            <a:noFill/>
                            <a:miter lim="127000"/>
                          </a:ln>
                          <a:effectLst/>
                        </wps:spPr>
                        <wps:bodyPr/>
                      </wps:wsp>
                      <wps:wsp>
                        <wps:cNvPr id="834" name="Shape 834"/>
                        <wps:cNvSpPr/>
                        <wps:spPr>
                          <a:xfrm>
                            <a:off x="2016521" y="2037096"/>
                            <a:ext cx="69304" cy="69304"/>
                          </a:xfrm>
                          <a:custGeom>
                            <a:avLst/>
                            <a:gdLst/>
                            <a:ahLst/>
                            <a:cxnLst/>
                            <a:rect l="0" t="0" r="0" b="0"/>
                            <a:pathLst>
                              <a:path w="69304" h="69304">
                                <a:moveTo>
                                  <a:pt x="69304" y="34658"/>
                                </a:moveTo>
                                <a:cubicBezTo>
                                  <a:pt x="69304" y="53797"/>
                                  <a:pt x="53785" y="69304"/>
                                  <a:pt x="34646" y="69304"/>
                                </a:cubicBezTo>
                                <a:cubicBezTo>
                                  <a:pt x="15507" y="69304"/>
                                  <a:pt x="0" y="53797"/>
                                  <a:pt x="0" y="34658"/>
                                </a:cubicBezTo>
                                <a:cubicBezTo>
                                  <a:pt x="0" y="15507"/>
                                  <a:pt x="15507" y="0"/>
                                  <a:pt x="34646" y="0"/>
                                </a:cubicBezTo>
                                <a:cubicBezTo>
                                  <a:pt x="53785" y="0"/>
                                  <a:pt x="69304" y="15507"/>
                                  <a:pt x="69304" y="34658"/>
                                </a:cubicBezTo>
                                <a:close/>
                              </a:path>
                            </a:pathLst>
                          </a:custGeom>
                          <a:noFill/>
                          <a:ln w="3175" cap="flat" cmpd="sng" algn="ctr">
                            <a:solidFill>
                              <a:srgbClr val="181717"/>
                            </a:solidFill>
                            <a:prstDash val="solid"/>
                            <a:miter lim="127000"/>
                          </a:ln>
                          <a:effectLst/>
                        </wps:spPr>
                        <wps:bodyPr/>
                      </wps:wsp>
                      <wps:wsp>
                        <wps:cNvPr id="835" name="Shape 835"/>
                        <wps:cNvSpPr/>
                        <wps:spPr>
                          <a:xfrm>
                            <a:off x="1505791" y="2862321"/>
                            <a:ext cx="69304" cy="69304"/>
                          </a:xfrm>
                          <a:custGeom>
                            <a:avLst/>
                            <a:gdLst/>
                            <a:ahLst/>
                            <a:cxnLst/>
                            <a:rect l="0" t="0" r="0" b="0"/>
                            <a:pathLst>
                              <a:path w="69304" h="69304">
                                <a:moveTo>
                                  <a:pt x="34646" y="0"/>
                                </a:moveTo>
                                <a:cubicBezTo>
                                  <a:pt x="53797" y="0"/>
                                  <a:pt x="69304" y="15507"/>
                                  <a:pt x="69304" y="34658"/>
                                </a:cubicBezTo>
                                <a:cubicBezTo>
                                  <a:pt x="69304" y="53797"/>
                                  <a:pt x="53797" y="69304"/>
                                  <a:pt x="34646" y="69304"/>
                                </a:cubicBezTo>
                                <a:cubicBezTo>
                                  <a:pt x="15507" y="69304"/>
                                  <a:pt x="0" y="53797"/>
                                  <a:pt x="0" y="34658"/>
                                </a:cubicBezTo>
                                <a:cubicBezTo>
                                  <a:pt x="0" y="15507"/>
                                  <a:pt x="15507" y="0"/>
                                  <a:pt x="34646" y="0"/>
                                </a:cubicBezTo>
                                <a:close/>
                              </a:path>
                            </a:pathLst>
                          </a:custGeom>
                          <a:solidFill>
                            <a:srgbClr val="E4322B"/>
                          </a:solidFill>
                          <a:ln w="0" cap="flat">
                            <a:noFill/>
                            <a:miter lim="127000"/>
                          </a:ln>
                          <a:effectLst/>
                        </wps:spPr>
                        <wps:bodyPr/>
                      </wps:wsp>
                      <wps:wsp>
                        <wps:cNvPr id="836" name="Shape 836"/>
                        <wps:cNvSpPr/>
                        <wps:spPr>
                          <a:xfrm>
                            <a:off x="1505791" y="2862321"/>
                            <a:ext cx="69304" cy="69304"/>
                          </a:xfrm>
                          <a:custGeom>
                            <a:avLst/>
                            <a:gdLst/>
                            <a:ahLst/>
                            <a:cxnLst/>
                            <a:rect l="0" t="0" r="0" b="0"/>
                            <a:pathLst>
                              <a:path w="69304" h="69304">
                                <a:moveTo>
                                  <a:pt x="69304" y="34658"/>
                                </a:moveTo>
                                <a:cubicBezTo>
                                  <a:pt x="69304" y="53797"/>
                                  <a:pt x="53797" y="69304"/>
                                  <a:pt x="34646" y="69304"/>
                                </a:cubicBezTo>
                                <a:cubicBezTo>
                                  <a:pt x="15507" y="69304"/>
                                  <a:pt x="0" y="53797"/>
                                  <a:pt x="0" y="34658"/>
                                </a:cubicBezTo>
                                <a:cubicBezTo>
                                  <a:pt x="0" y="15507"/>
                                  <a:pt x="15507" y="0"/>
                                  <a:pt x="34646" y="0"/>
                                </a:cubicBezTo>
                                <a:cubicBezTo>
                                  <a:pt x="53797" y="0"/>
                                  <a:pt x="69304" y="15507"/>
                                  <a:pt x="69304" y="34658"/>
                                </a:cubicBezTo>
                                <a:close/>
                              </a:path>
                            </a:pathLst>
                          </a:custGeom>
                          <a:noFill/>
                          <a:ln w="3175" cap="flat" cmpd="sng" algn="ctr">
                            <a:solidFill>
                              <a:srgbClr val="181717"/>
                            </a:solidFill>
                            <a:prstDash val="solid"/>
                            <a:miter lim="127000"/>
                          </a:ln>
                          <a:effectLst/>
                        </wps:spPr>
                        <wps:bodyPr/>
                      </wps:wsp>
                      <wps:wsp>
                        <wps:cNvPr id="837" name="Shape 837"/>
                        <wps:cNvSpPr/>
                        <wps:spPr>
                          <a:xfrm>
                            <a:off x="1210507" y="3194614"/>
                            <a:ext cx="69304" cy="69304"/>
                          </a:xfrm>
                          <a:custGeom>
                            <a:avLst/>
                            <a:gdLst/>
                            <a:ahLst/>
                            <a:cxnLst/>
                            <a:rect l="0" t="0" r="0" b="0"/>
                            <a:pathLst>
                              <a:path w="69304" h="69304">
                                <a:moveTo>
                                  <a:pt x="34658" y="0"/>
                                </a:moveTo>
                                <a:cubicBezTo>
                                  <a:pt x="53797" y="0"/>
                                  <a:pt x="69304" y="15494"/>
                                  <a:pt x="69304" y="34646"/>
                                </a:cubicBezTo>
                                <a:cubicBezTo>
                                  <a:pt x="69304" y="53784"/>
                                  <a:pt x="53797" y="69304"/>
                                  <a:pt x="34658" y="69304"/>
                                </a:cubicBezTo>
                                <a:cubicBezTo>
                                  <a:pt x="15519" y="69304"/>
                                  <a:pt x="0" y="53784"/>
                                  <a:pt x="0" y="34646"/>
                                </a:cubicBezTo>
                                <a:cubicBezTo>
                                  <a:pt x="0" y="15494"/>
                                  <a:pt x="15519" y="0"/>
                                  <a:pt x="34658" y="0"/>
                                </a:cubicBezTo>
                                <a:close/>
                              </a:path>
                            </a:pathLst>
                          </a:custGeom>
                          <a:solidFill>
                            <a:srgbClr val="E4322B"/>
                          </a:solidFill>
                          <a:ln w="0" cap="flat">
                            <a:noFill/>
                            <a:miter lim="127000"/>
                          </a:ln>
                          <a:effectLst/>
                        </wps:spPr>
                        <wps:bodyPr/>
                      </wps:wsp>
                      <wps:wsp>
                        <wps:cNvPr id="838" name="Shape 838"/>
                        <wps:cNvSpPr/>
                        <wps:spPr>
                          <a:xfrm>
                            <a:off x="1210507" y="3194614"/>
                            <a:ext cx="69304" cy="69304"/>
                          </a:xfrm>
                          <a:custGeom>
                            <a:avLst/>
                            <a:gdLst/>
                            <a:ahLst/>
                            <a:cxnLst/>
                            <a:rect l="0" t="0" r="0" b="0"/>
                            <a:pathLst>
                              <a:path w="69304" h="69304">
                                <a:moveTo>
                                  <a:pt x="69304" y="34646"/>
                                </a:moveTo>
                                <a:cubicBezTo>
                                  <a:pt x="69304" y="53784"/>
                                  <a:pt x="53797" y="69304"/>
                                  <a:pt x="34658" y="69304"/>
                                </a:cubicBezTo>
                                <a:cubicBezTo>
                                  <a:pt x="15519" y="69304"/>
                                  <a:pt x="0" y="53784"/>
                                  <a:pt x="0" y="34646"/>
                                </a:cubicBezTo>
                                <a:cubicBezTo>
                                  <a:pt x="0" y="15494"/>
                                  <a:pt x="15519" y="0"/>
                                  <a:pt x="34658" y="0"/>
                                </a:cubicBezTo>
                                <a:cubicBezTo>
                                  <a:pt x="53797" y="0"/>
                                  <a:pt x="69304" y="15494"/>
                                  <a:pt x="69304" y="34646"/>
                                </a:cubicBezTo>
                                <a:close/>
                              </a:path>
                            </a:pathLst>
                          </a:custGeom>
                          <a:noFill/>
                          <a:ln w="3175" cap="flat" cmpd="sng" algn="ctr">
                            <a:solidFill>
                              <a:srgbClr val="181717"/>
                            </a:solidFill>
                            <a:prstDash val="solid"/>
                            <a:miter lim="127000"/>
                          </a:ln>
                          <a:effectLst/>
                        </wps:spPr>
                        <wps:bodyPr/>
                      </wps:wsp>
                      <wps:wsp>
                        <wps:cNvPr id="839" name="Shape 839"/>
                        <wps:cNvSpPr/>
                        <wps:spPr>
                          <a:xfrm>
                            <a:off x="2191200" y="3389339"/>
                            <a:ext cx="69304" cy="69304"/>
                          </a:xfrm>
                          <a:custGeom>
                            <a:avLst/>
                            <a:gdLst/>
                            <a:ahLst/>
                            <a:cxnLst/>
                            <a:rect l="0" t="0" r="0" b="0"/>
                            <a:pathLst>
                              <a:path w="69304" h="69304">
                                <a:moveTo>
                                  <a:pt x="34658" y="0"/>
                                </a:moveTo>
                                <a:cubicBezTo>
                                  <a:pt x="53797" y="0"/>
                                  <a:pt x="69304" y="15494"/>
                                  <a:pt x="69304" y="34646"/>
                                </a:cubicBezTo>
                                <a:cubicBezTo>
                                  <a:pt x="69304" y="53784"/>
                                  <a:pt x="53797" y="69304"/>
                                  <a:pt x="34658" y="69304"/>
                                </a:cubicBezTo>
                                <a:cubicBezTo>
                                  <a:pt x="15507" y="69304"/>
                                  <a:pt x="0" y="53784"/>
                                  <a:pt x="0" y="34646"/>
                                </a:cubicBezTo>
                                <a:cubicBezTo>
                                  <a:pt x="0" y="15494"/>
                                  <a:pt x="15507" y="0"/>
                                  <a:pt x="34658" y="0"/>
                                </a:cubicBezTo>
                                <a:close/>
                              </a:path>
                            </a:pathLst>
                          </a:custGeom>
                          <a:solidFill>
                            <a:srgbClr val="E4322B"/>
                          </a:solidFill>
                          <a:ln w="0" cap="flat">
                            <a:noFill/>
                            <a:miter lim="127000"/>
                          </a:ln>
                          <a:effectLst/>
                        </wps:spPr>
                        <wps:bodyPr/>
                      </wps:wsp>
                      <wps:wsp>
                        <wps:cNvPr id="840" name="Shape 840"/>
                        <wps:cNvSpPr/>
                        <wps:spPr>
                          <a:xfrm>
                            <a:off x="2191200" y="3389339"/>
                            <a:ext cx="69304" cy="69304"/>
                          </a:xfrm>
                          <a:custGeom>
                            <a:avLst/>
                            <a:gdLst/>
                            <a:ahLst/>
                            <a:cxnLst/>
                            <a:rect l="0" t="0" r="0" b="0"/>
                            <a:pathLst>
                              <a:path w="69304" h="69304">
                                <a:moveTo>
                                  <a:pt x="69304" y="34646"/>
                                </a:moveTo>
                                <a:cubicBezTo>
                                  <a:pt x="69304" y="53784"/>
                                  <a:pt x="53797" y="69304"/>
                                  <a:pt x="34658" y="69304"/>
                                </a:cubicBezTo>
                                <a:cubicBezTo>
                                  <a:pt x="15507" y="69304"/>
                                  <a:pt x="0" y="53784"/>
                                  <a:pt x="0" y="34646"/>
                                </a:cubicBezTo>
                                <a:cubicBezTo>
                                  <a:pt x="0" y="15494"/>
                                  <a:pt x="15507" y="0"/>
                                  <a:pt x="34658" y="0"/>
                                </a:cubicBezTo>
                                <a:cubicBezTo>
                                  <a:pt x="53797" y="0"/>
                                  <a:pt x="69304" y="15494"/>
                                  <a:pt x="69304" y="34646"/>
                                </a:cubicBezTo>
                                <a:close/>
                              </a:path>
                            </a:pathLst>
                          </a:custGeom>
                          <a:noFill/>
                          <a:ln w="3175" cap="flat" cmpd="sng" algn="ctr">
                            <a:solidFill>
                              <a:srgbClr val="181717"/>
                            </a:solidFill>
                            <a:prstDash val="solid"/>
                            <a:miter lim="127000"/>
                          </a:ln>
                          <a:effectLst/>
                        </wps:spPr>
                        <wps:bodyPr/>
                      </wps:wsp>
                      <wps:wsp>
                        <wps:cNvPr id="841" name="Shape 841"/>
                        <wps:cNvSpPr/>
                        <wps:spPr>
                          <a:xfrm>
                            <a:off x="3503701" y="2550965"/>
                            <a:ext cx="69304" cy="69317"/>
                          </a:xfrm>
                          <a:custGeom>
                            <a:avLst/>
                            <a:gdLst/>
                            <a:ahLst/>
                            <a:cxnLst/>
                            <a:rect l="0" t="0" r="0" b="0"/>
                            <a:pathLst>
                              <a:path w="69304" h="69317">
                                <a:moveTo>
                                  <a:pt x="34658" y="0"/>
                                </a:moveTo>
                                <a:cubicBezTo>
                                  <a:pt x="53810" y="0"/>
                                  <a:pt x="69304" y="15507"/>
                                  <a:pt x="69304" y="34646"/>
                                </a:cubicBezTo>
                                <a:cubicBezTo>
                                  <a:pt x="69304" y="53797"/>
                                  <a:pt x="53810" y="69317"/>
                                  <a:pt x="34658" y="69317"/>
                                </a:cubicBezTo>
                                <a:cubicBezTo>
                                  <a:pt x="15507" y="69317"/>
                                  <a:pt x="0" y="53797"/>
                                  <a:pt x="0" y="34646"/>
                                </a:cubicBezTo>
                                <a:cubicBezTo>
                                  <a:pt x="0" y="15507"/>
                                  <a:pt x="15507" y="0"/>
                                  <a:pt x="34658" y="0"/>
                                </a:cubicBezTo>
                                <a:close/>
                              </a:path>
                            </a:pathLst>
                          </a:custGeom>
                          <a:solidFill>
                            <a:srgbClr val="E4322B"/>
                          </a:solidFill>
                          <a:ln w="0" cap="flat">
                            <a:noFill/>
                            <a:miter lim="127000"/>
                          </a:ln>
                          <a:effectLst/>
                        </wps:spPr>
                        <wps:bodyPr/>
                      </wps:wsp>
                      <wps:wsp>
                        <wps:cNvPr id="842" name="Shape 842"/>
                        <wps:cNvSpPr/>
                        <wps:spPr>
                          <a:xfrm>
                            <a:off x="3503701" y="2550965"/>
                            <a:ext cx="69304" cy="69317"/>
                          </a:xfrm>
                          <a:custGeom>
                            <a:avLst/>
                            <a:gdLst/>
                            <a:ahLst/>
                            <a:cxnLst/>
                            <a:rect l="0" t="0" r="0" b="0"/>
                            <a:pathLst>
                              <a:path w="69304" h="69317">
                                <a:moveTo>
                                  <a:pt x="69304" y="34646"/>
                                </a:moveTo>
                                <a:cubicBezTo>
                                  <a:pt x="69304" y="53797"/>
                                  <a:pt x="53810" y="69317"/>
                                  <a:pt x="34658" y="69317"/>
                                </a:cubicBezTo>
                                <a:cubicBezTo>
                                  <a:pt x="15507" y="69317"/>
                                  <a:pt x="0" y="53797"/>
                                  <a:pt x="0" y="34646"/>
                                </a:cubicBezTo>
                                <a:cubicBezTo>
                                  <a:pt x="0" y="15507"/>
                                  <a:pt x="15507" y="0"/>
                                  <a:pt x="34658" y="0"/>
                                </a:cubicBezTo>
                                <a:cubicBezTo>
                                  <a:pt x="53810" y="0"/>
                                  <a:pt x="69304" y="15507"/>
                                  <a:pt x="69304" y="34646"/>
                                </a:cubicBezTo>
                                <a:close/>
                              </a:path>
                            </a:pathLst>
                          </a:custGeom>
                          <a:noFill/>
                          <a:ln w="3175" cap="flat" cmpd="sng" algn="ctr">
                            <a:solidFill>
                              <a:srgbClr val="181717"/>
                            </a:solidFill>
                            <a:prstDash val="solid"/>
                            <a:miter lim="127000"/>
                          </a:ln>
                          <a:effectLst/>
                        </wps:spPr>
                        <wps:bodyPr/>
                      </wps:wsp>
                      <wps:wsp>
                        <wps:cNvPr id="843" name="Shape 843"/>
                        <wps:cNvSpPr/>
                        <wps:spPr>
                          <a:xfrm>
                            <a:off x="4396707" y="2305217"/>
                            <a:ext cx="69304" cy="69304"/>
                          </a:xfrm>
                          <a:custGeom>
                            <a:avLst/>
                            <a:gdLst/>
                            <a:ahLst/>
                            <a:cxnLst/>
                            <a:rect l="0" t="0" r="0" b="0"/>
                            <a:pathLst>
                              <a:path w="69304" h="69304">
                                <a:moveTo>
                                  <a:pt x="34658" y="0"/>
                                </a:moveTo>
                                <a:cubicBezTo>
                                  <a:pt x="53810" y="0"/>
                                  <a:pt x="69304" y="15507"/>
                                  <a:pt x="69304" y="34646"/>
                                </a:cubicBezTo>
                                <a:cubicBezTo>
                                  <a:pt x="69304" y="53797"/>
                                  <a:pt x="53810" y="69304"/>
                                  <a:pt x="34658" y="69304"/>
                                </a:cubicBezTo>
                                <a:cubicBezTo>
                                  <a:pt x="15507" y="69304"/>
                                  <a:pt x="0" y="53797"/>
                                  <a:pt x="0" y="34646"/>
                                </a:cubicBezTo>
                                <a:cubicBezTo>
                                  <a:pt x="0" y="15507"/>
                                  <a:pt x="15507" y="0"/>
                                  <a:pt x="34658" y="0"/>
                                </a:cubicBezTo>
                                <a:close/>
                              </a:path>
                            </a:pathLst>
                          </a:custGeom>
                          <a:solidFill>
                            <a:srgbClr val="E4322B"/>
                          </a:solidFill>
                          <a:ln w="0" cap="flat">
                            <a:noFill/>
                            <a:miter lim="127000"/>
                          </a:ln>
                          <a:effectLst/>
                        </wps:spPr>
                        <wps:bodyPr/>
                      </wps:wsp>
                      <wps:wsp>
                        <wps:cNvPr id="844" name="Shape 844"/>
                        <wps:cNvSpPr/>
                        <wps:spPr>
                          <a:xfrm>
                            <a:off x="4396707" y="2305217"/>
                            <a:ext cx="69304" cy="69304"/>
                          </a:xfrm>
                          <a:custGeom>
                            <a:avLst/>
                            <a:gdLst/>
                            <a:ahLst/>
                            <a:cxnLst/>
                            <a:rect l="0" t="0" r="0" b="0"/>
                            <a:pathLst>
                              <a:path w="69304" h="69304">
                                <a:moveTo>
                                  <a:pt x="69304" y="34646"/>
                                </a:moveTo>
                                <a:cubicBezTo>
                                  <a:pt x="69304" y="53797"/>
                                  <a:pt x="53810" y="69304"/>
                                  <a:pt x="34658" y="69304"/>
                                </a:cubicBezTo>
                                <a:cubicBezTo>
                                  <a:pt x="15507" y="69304"/>
                                  <a:pt x="0" y="53797"/>
                                  <a:pt x="0" y="34646"/>
                                </a:cubicBezTo>
                                <a:cubicBezTo>
                                  <a:pt x="0" y="15507"/>
                                  <a:pt x="15507" y="0"/>
                                  <a:pt x="34658" y="0"/>
                                </a:cubicBezTo>
                                <a:cubicBezTo>
                                  <a:pt x="53810" y="0"/>
                                  <a:pt x="69304" y="15507"/>
                                  <a:pt x="69304" y="34646"/>
                                </a:cubicBezTo>
                                <a:close/>
                              </a:path>
                            </a:pathLst>
                          </a:custGeom>
                          <a:noFill/>
                          <a:ln w="3175" cap="flat" cmpd="sng" algn="ctr">
                            <a:solidFill>
                              <a:srgbClr val="181717"/>
                            </a:solidFill>
                            <a:prstDash val="solid"/>
                            <a:miter lim="127000"/>
                          </a:ln>
                          <a:effectLst/>
                        </wps:spPr>
                        <wps:bodyPr/>
                      </wps:wsp>
                      <wps:wsp>
                        <wps:cNvPr id="845" name="Shape 845"/>
                        <wps:cNvSpPr/>
                        <wps:spPr>
                          <a:xfrm>
                            <a:off x="3944050" y="2488451"/>
                            <a:ext cx="78156" cy="73930"/>
                          </a:xfrm>
                          <a:custGeom>
                            <a:avLst/>
                            <a:gdLst/>
                            <a:ahLst/>
                            <a:cxnLst/>
                            <a:rect l="0" t="0" r="0" b="0"/>
                            <a:pathLst>
                              <a:path w="78156" h="73930">
                                <a:moveTo>
                                  <a:pt x="41038" y="257"/>
                                </a:moveTo>
                                <a:cubicBezTo>
                                  <a:pt x="54515" y="1027"/>
                                  <a:pt x="66888" y="9680"/>
                                  <a:pt x="71717" y="23206"/>
                                </a:cubicBezTo>
                                <a:cubicBezTo>
                                  <a:pt x="78156" y="41227"/>
                                  <a:pt x="68758" y="61052"/>
                                  <a:pt x="50724" y="67491"/>
                                </a:cubicBezTo>
                                <a:cubicBezTo>
                                  <a:pt x="32728" y="73930"/>
                                  <a:pt x="12878" y="64545"/>
                                  <a:pt x="6439" y="46536"/>
                                </a:cubicBezTo>
                                <a:cubicBezTo>
                                  <a:pt x="0" y="28502"/>
                                  <a:pt x="9398" y="8677"/>
                                  <a:pt x="27432" y="2225"/>
                                </a:cubicBezTo>
                                <a:cubicBezTo>
                                  <a:pt x="31931" y="619"/>
                                  <a:pt x="36546" y="0"/>
                                  <a:pt x="41038" y="257"/>
                                </a:cubicBezTo>
                                <a:close/>
                              </a:path>
                            </a:pathLst>
                          </a:custGeom>
                          <a:solidFill>
                            <a:srgbClr val="E4322B"/>
                          </a:solidFill>
                          <a:ln w="0" cap="flat">
                            <a:noFill/>
                            <a:miter lim="127000"/>
                          </a:ln>
                          <a:effectLst/>
                        </wps:spPr>
                        <wps:bodyPr/>
                      </wps:wsp>
                      <wps:wsp>
                        <wps:cNvPr id="846" name="Shape 846"/>
                        <wps:cNvSpPr/>
                        <wps:spPr>
                          <a:xfrm>
                            <a:off x="3944050" y="2484250"/>
                            <a:ext cx="78156" cy="78130"/>
                          </a:xfrm>
                          <a:custGeom>
                            <a:avLst/>
                            <a:gdLst/>
                            <a:ahLst/>
                            <a:cxnLst/>
                            <a:rect l="0" t="0" r="0" b="0"/>
                            <a:pathLst>
                              <a:path w="78156" h="78130">
                                <a:moveTo>
                                  <a:pt x="71717" y="27406"/>
                                </a:moveTo>
                                <a:cubicBezTo>
                                  <a:pt x="78156" y="45428"/>
                                  <a:pt x="68758" y="65253"/>
                                  <a:pt x="50724" y="71691"/>
                                </a:cubicBezTo>
                                <a:cubicBezTo>
                                  <a:pt x="32728" y="78130"/>
                                  <a:pt x="12878" y="68745"/>
                                  <a:pt x="6439" y="50736"/>
                                </a:cubicBezTo>
                                <a:cubicBezTo>
                                  <a:pt x="0" y="32702"/>
                                  <a:pt x="9398" y="12878"/>
                                  <a:pt x="27432" y="6426"/>
                                </a:cubicBezTo>
                                <a:cubicBezTo>
                                  <a:pt x="45428" y="0"/>
                                  <a:pt x="65278" y="9372"/>
                                  <a:pt x="71717" y="27406"/>
                                </a:cubicBezTo>
                                <a:close/>
                              </a:path>
                            </a:pathLst>
                          </a:custGeom>
                          <a:noFill/>
                          <a:ln w="3175" cap="flat" cmpd="sng" algn="ctr">
                            <a:solidFill>
                              <a:srgbClr val="181717"/>
                            </a:solidFill>
                            <a:prstDash val="solid"/>
                            <a:miter lim="127000"/>
                          </a:ln>
                          <a:effectLst/>
                        </wps:spPr>
                        <wps:bodyPr/>
                      </wps:wsp>
                      <wps:wsp>
                        <wps:cNvPr id="847" name="Shape 847"/>
                        <wps:cNvSpPr/>
                        <wps:spPr>
                          <a:xfrm>
                            <a:off x="3226090" y="2116678"/>
                            <a:ext cx="69304" cy="69304"/>
                          </a:xfrm>
                          <a:custGeom>
                            <a:avLst/>
                            <a:gdLst/>
                            <a:ahLst/>
                            <a:cxnLst/>
                            <a:rect l="0" t="0" r="0" b="0"/>
                            <a:pathLst>
                              <a:path w="69304" h="69304">
                                <a:moveTo>
                                  <a:pt x="34646" y="0"/>
                                </a:moveTo>
                                <a:cubicBezTo>
                                  <a:pt x="53797" y="0"/>
                                  <a:pt x="69304" y="15507"/>
                                  <a:pt x="69304" y="34646"/>
                                </a:cubicBezTo>
                                <a:cubicBezTo>
                                  <a:pt x="69304" y="53797"/>
                                  <a:pt x="53797" y="69304"/>
                                  <a:pt x="34646" y="69304"/>
                                </a:cubicBezTo>
                                <a:cubicBezTo>
                                  <a:pt x="15507" y="69304"/>
                                  <a:pt x="0" y="53797"/>
                                  <a:pt x="0" y="34646"/>
                                </a:cubicBezTo>
                                <a:cubicBezTo>
                                  <a:pt x="0" y="15507"/>
                                  <a:pt x="15507" y="0"/>
                                  <a:pt x="34646" y="0"/>
                                </a:cubicBezTo>
                                <a:close/>
                              </a:path>
                            </a:pathLst>
                          </a:custGeom>
                          <a:solidFill>
                            <a:srgbClr val="E4322B"/>
                          </a:solidFill>
                          <a:ln w="0" cap="flat">
                            <a:noFill/>
                            <a:miter lim="127000"/>
                          </a:ln>
                          <a:effectLst/>
                        </wps:spPr>
                        <wps:bodyPr/>
                      </wps:wsp>
                      <wps:wsp>
                        <wps:cNvPr id="848" name="Shape 848"/>
                        <wps:cNvSpPr/>
                        <wps:spPr>
                          <a:xfrm>
                            <a:off x="3226090" y="2116678"/>
                            <a:ext cx="69304" cy="69304"/>
                          </a:xfrm>
                          <a:custGeom>
                            <a:avLst/>
                            <a:gdLst/>
                            <a:ahLst/>
                            <a:cxnLst/>
                            <a:rect l="0" t="0" r="0" b="0"/>
                            <a:pathLst>
                              <a:path w="69304" h="69304">
                                <a:moveTo>
                                  <a:pt x="69304" y="34646"/>
                                </a:moveTo>
                                <a:cubicBezTo>
                                  <a:pt x="69304" y="53797"/>
                                  <a:pt x="53797" y="69304"/>
                                  <a:pt x="34646" y="69304"/>
                                </a:cubicBezTo>
                                <a:cubicBezTo>
                                  <a:pt x="15507" y="69304"/>
                                  <a:pt x="0" y="53797"/>
                                  <a:pt x="0" y="34646"/>
                                </a:cubicBezTo>
                                <a:cubicBezTo>
                                  <a:pt x="0" y="15507"/>
                                  <a:pt x="15507" y="0"/>
                                  <a:pt x="34646" y="0"/>
                                </a:cubicBezTo>
                                <a:cubicBezTo>
                                  <a:pt x="53797" y="0"/>
                                  <a:pt x="69304" y="15507"/>
                                  <a:pt x="69304" y="34646"/>
                                </a:cubicBezTo>
                                <a:close/>
                              </a:path>
                            </a:pathLst>
                          </a:custGeom>
                          <a:noFill/>
                          <a:ln w="3175" cap="flat" cmpd="sng" algn="ctr">
                            <a:solidFill>
                              <a:srgbClr val="181717"/>
                            </a:solidFill>
                            <a:prstDash val="solid"/>
                            <a:miter lim="127000"/>
                          </a:ln>
                          <a:effectLst/>
                        </wps:spPr>
                        <wps:bodyPr/>
                      </wps:wsp>
                    </wpg:wgp>
                  </a:graphicData>
                </a:graphic>
              </wp:inline>
            </w:drawing>
          </mc:Choice>
          <mc:Fallback>
            <w:pict>
              <v:group w14:anchorId="7C2AB9A7" id="Group 100876" o:spid="_x0000_s1220" style="width:450.5pt;height:315.05pt;mso-position-horizontal-relative:char;mso-position-vertical-relative:line" coordorigin="1076" coordsize="62193,43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">
                <v:shape id="Picture 124402" o:spid="_x0000_s1221" type="#_x0000_t75" style="position:absolute;left:1076;top:99;width:61367;height:43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">
                  <v:imagedata r:id="rId167" o:title="" croptop="1f" cropbottom="9f" cropleft="1172f"/>
                </v:shape>
                <v:rect id="Rectangle 783" o:spid="_x0000_s1222" style="position:absolute;left:12451;top:2894;width:6118;height:1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bO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5HGzn8YAAADcAAAA&#10;DwAAAAAAAAAAAAAAAAAHAgAAZHJzL2Rvd25yZXYueG1sUEsFBgAAAAADAAMAtwAAAPoCAAAAAA==&#10;" filled="f" stroked="f">
                  <v:textbox inset="0,0,0,0">
                    <w:txbxContent>
                      <w:p w14:paraId="1B754FF0" w14:textId="77777777" w:rsidR="007C3497" w:rsidRDefault="007C3497" w:rsidP="007C3497">
                        <w:pPr>
                          <w:spacing w:after="160"/>
                        </w:pPr>
                        <w:r>
                          <w:rPr>
                            <w:rFonts w:ascii="Arial" w:eastAsia="Arial" w:hAnsi="Arial" w:cs="Arial"/>
                            <w:sz w:val="10"/>
                          </w:rPr>
                          <w:t>BURKINA FASO</w:t>
                        </w:r>
                      </w:p>
                    </w:txbxContent>
                  </v:textbox>
                </v:rect>
                <v:rect id="Rectangle 784" o:spid="_x0000_s1223" style="position:absolute;left:19133;top:7602;width:3155;height:2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CvrxgAAANwAAAAPAAAAZHJzL2Rvd25yZXYueG1sRI9Pa8JA&#10;FMTvhX6H5RW81Y1FbI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a5gr68YAAADcAAAA&#10;DwAAAAAAAAAAAAAAAAAHAgAAZHJzL2Rvd25yZXYueG1sUEsFBgAAAAADAAMAtwAAAPoCAAAAAA==&#10;" filled="f" stroked="f">
                  <v:textbox inset="0,0,0,0">
                    <w:txbxContent>
                      <w:p w14:paraId="503ED746" w14:textId="77777777" w:rsidR="007C3497" w:rsidRDefault="007C3497" w:rsidP="007C3497">
                        <w:pPr>
                          <w:spacing w:after="160"/>
                        </w:pPr>
                        <w:r>
                          <w:rPr>
                            <w:rFonts w:ascii="Arial" w:eastAsia="Arial" w:hAnsi="Arial" w:cs="Arial"/>
                            <w:sz w:val="16"/>
                          </w:rPr>
                          <w:t>MALI</w:t>
                        </w:r>
                      </w:p>
                    </w:txbxContent>
                  </v:textbox>
                </v:rect>
                <v:rect id="Rectangle 785" o:spid="_x0000_s1224" style="position:absolute;left:25916;top:14190;width:9788;height:2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I5wxgAAANwAAAAPAAAAZHJzL2Rvd25yZXYueG1sRI9Pa8JA&#10;FMTvhX6H5RW81Y0FbY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BNSOcMYAAADcAAAA&#10;DwAAAAAAAAAAAAAAAAAHAgAAZHJzL2Rvd25yZXYueG1sUEsFBgAAAAADAAMAtwAAAPoCAAAAAA==&#10;" filled="f" stroked="f">
                  <v:textbox inset="0,0,0,0">
                    <w:txbxContent>
                      <w:p w14:paraId="3A92FB76" w14:textId="77777777" w:rsidR="007C3497" w:rsidRDefault="007C3497" w:rsidP="007C3497">
                        <w:pPr>
                          <w:spacing w:after="160"/>
                        </w:pPr>
                        <w:r>
                          <w:rPr>
                            <w:rFonts w:ascii="Arial" w:eastAsia="Arial" w:hAnsi="Arial" w:cs="Arial"/>
                            <w:sz w:val="16"/>
                          </w:rPr>
                          <w:t>BURKINA FASO</w:t>
                        </w:r>
                      </w:p>
                    </w:txbxContent>
                  </v:textbox>
                </v:rect>
                <v:rect id="Rectangle 786" o:spid="_x0000_s1225" style="position:absolute;left:2814;top:37521;width:9614;height:2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" filled="f" stroked="f">
                  <v:textbox inset="0,0,0,0">
                    <w:txbxContent>
                      <w:p w14:paraId="4125C372" w14:textId="77777777" w:rsidR="007C3497" w:rsidRDefault="007C3497" w:rsidP="007C3497">
                        <w:pPr>
                          <w:spacing w:after="160"/>
                        </w:pPr>
                        <w:r>
                          <w:rPr>
                            <w:rFonts w:ascii="Arial" w:eastAsia="Arial" w:hAnsi="Arial" w:cs="Arial"/>
                            <w:sz w:val="16"/>
                          </w:rPr>
                          <w:t>COTE D’IVOIRE</w:t>
                        </w:r>
                      </w:p>
                    </w:txbxContent>
                  </v:textbox>
                </v:rect>
                <v:rect id="Rectangle 787" o:spid="_x0000_s1226" style="position:absolute;left:12222;top:28930;width:8390;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" filled="f" stroked="f">
                  <v:textbox inset="0,0,0,0">
                    <w:txbxContent>
                      <w:p w14:paraId="6BAE760A" w14:textId="77777777" w:rsidR="007C3497" w:rsidRDefault="007C3497" w:rsidP="007C3497">
                        <w:pPr>
                          <w:spacing w:after="160"/>
                        </w:pPr>
                        <w:r>
                          <w:rPr>
                            <w:rFonts w:ascii="Arial" w:eastAsia="Arial" w:hAnsi="Arial" w:cs="Arial"/>
                            <w:sz w:val="14"/>
                          </w:rPr>
                          <w:t>Bobo Dioulasso</w:t>
                        </w:r>
                      </w:p>
                    </w:txbxContent>
                  </v:textbox>
                </v:rect>
                <v:rect id="Rectangle 788" o:spid="_x0000_s1227" style="position:absolute;left:21113;top:34278;width:3504;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" filled="f" stroked="f">
                  <v:textbox inset="0,0,0,0">
                    <w:txbxContent>
                      <w:p w14:paraId="793B6E4C" w14:textId="77777777" w:rsidR="007C3497" w:rsidRDefault="007C3497" w:rsidP="007C3497">
                        <w:pPr>
                          <w:spacing w:after="160"/>
                        </w:pPr>
                        <w:r>
                          <w:rPr>
                            <w:rFonts w:ascii="Arial" w:eastAsia="Arial" w:hAnsi="Arial" w:cs="Arial"/>
                            <w:sz w:val="14"/>
                          </w:rPr>
                          <w:t>Gaoua</w:t>
                        </w:r>
                      </w:p>
                    </w:txbxContent>
                  </v:textbox>
                </v:rect>
                <v:rect id="Rectangle 789" o:spid="_x0000_s1228" style="position:absolute;left:17125;top:20775;width:5521;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" filled="f" stroked="f">
                  <v:textbox inset="0,0,0,0">
                    <w:txbxContent>
                      <w:p w14:paraId="31B947D5" w14:textId="77777777" w:rsidR="007C3497" w:rsidRDefault="007C3497" w:rsidP="007C3497">
                        <w:pPr>
                          <w:spacing w:after="160"/>
                        </w:pPr>
                        <w:r>
                          <w:rPr>
                            <w:rFonts w:ascii="Arial" w:eastAsia="Arial" w:hAnsi="Arial" w:cs="Arial"/>
                            <w:sz w:val="14"/>
                          </w:rPr>
                          <w:t>Dédougou</w:t>
                        </w:r>
                      </w:p>
                    </w:txbxContent>
                  </v:textbox>
                </v:rect>
                <v:rect id="Rectangle 790" o:spid="_x0000_s1229" style="position:absolute;left:3331;top:18858;width:11983;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" filled="f" stroked="f">
                  <v:textbox inset="0,0,0,0">
                    <w:txbxContent>
                      <w:p w14:paraId="6C130AAB" w14:textId="77777777" w:rsidR="007C3497" w:rsidRDefault="007C3497" w:rsidP="007C3497">
                        <w:pPr>
                          <w:spacing w:after="160"/>
                        </w:pPr>
                        <w:r>
                          <w:rPr>
                            <w:rFonts w:ascii="Arial" w:eastAsia="Arial" w:hAnsi="Arial" w:cs="Arial"/>
                            <w:sz w:val="14"/>
                          </w:rPr>
                          <w:t>Burkina Faso’s regions</w:t>
                        </w:r>
                      </w:p>
                    </w:txbxContent>
                  </v:textbox>
                </v:rect>
                <v:rect id="Rectangle 791" o:spid="_x0000_s1230" style="position:absolute;left:3331;top:21827;width:12398;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" filled="f" stroked="f">
                  <v:textbox inset="0,0,0,0">
                    <w:txbxContent>
                      <w:p w14:paraId="12618579" w14:textId="77777777" w:rsidR="007C3497" w:rsidRDefault="007C3497" w:rsidP="007C3497">
                        <w:pPr>
                          <w:spacing w:after="160"/>
                        </w:pPr>
                        <w:r>
                          <w:rPr>
                            <w:rFonts w:ascii="Arial" w:eastAsia="Arial" w:hAnsi="Arial" w:cs="Arial"/>
                            <w:sz w:val="14"/>
                          </w:rPr>
                          <w:t>Major capital of regions</w:t>
                        </w:r>
                      </w:p>
                    </w:txbxContent>
                  </v:textbox>
                </v:rect>
                <v:rect id="Rectangle 792" o:spid="_x0000_s1231" style="position:absolute;left:3331;top:20054;width:13033;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" filled="f" stroked="f">
                  <v:textbox inset="0,0,0,0">
                    <w:txbxContent>
                      <w:p w14:paraId="32609A1C" w14:textId="77777777" w:rsidR="007C3497" w:rsidRDefault="007C3497" w:rsidP="007C3497">
                        <w:pPr>
                          <w:spacing w:after="160"/>
                        </w:pPr>
                        <w:r>
                          <w:rPr>
                            <w:rFonts w:ascii="Arial" w:eastAsia="Arial" w:hAnsi="Arial" w:cs="Arial"/>
                            <w:sz w:val="14"/>
                          </w:rPr>
                          <w:t>Burkina Faso’s classified</w:t>
                        </w:r>
                      </w:p>
                    </w:txbxContent>
                  </v:textbox>
                </v:rect>
                <v:rect id="Rectangle 793" o:spid="_x0000_s1232" style="position:absolute;left:3331;top:20943;width:3921;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CVCxQAAANwAAAAPAAAAZHJzL2Rvd25yZXYueG1sRI9Pa8JA&#10;FMTvhX6H5RW81Y0Vqo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BhqCVCxQAAANwAAAAP&#10;AAAAAAAAAAAAAAAAAAcCAABkcnMvZG93bnJldi54bWxQSwUGAAAAAAMAAwC3AAAA+QIAAAAA&#10;" filled="f" stroked="f">
                  <v:textbox inset="0,0,0,0">
                    <w:txbxContent>
                      <w:p w14:paraId="3A52D023" w14:textId="77777777" w:rsidR="007C3497" w:rsidRDefault="007C3497" w:rsidP="007C3497">
                        <w:pPr>
                          <w:spacing w:after="160"/>
                        </w:pPr>
                        <w:r>
                          <w:rPr>
                            <w:rFonts w:ascii="Arial" w:eastAsia="Arial" w:hAnsi="Arial" w:cs="Arial"/>
                            <w:sz w:val="14"/>
                          </w:rPr>
                          <w:t xml:space="preserve"> forests</w:t>
                        </w:r>
                      </w:p>
                    </w:txbxContent>
                  </v:textbox>
                </v:rect>
                <v:rect id="Rectangle 794" o:spid="_x0000_s1233" style="position:absolute;left:25143;top:20514;width:6179;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b02xQAAANwAAAAPAAAAZHJzL2Rvd25yZXYueG1sRI9Pa8JA&#10;FMTvhX6H5RW81Y1Fqo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DuQb02xQAAANwAAAAP&#10;AAAAAAAAAAAAAAAAAAcCAABkcnMvZG93bnJldi54bWxQSwUGAAAAAAMAAwC3AAAA+QIAAAAA&#10;" filled="f" stroked="f">
                  <v:textbox inset="0,0,0,0">
                    <w:txbxContent>
                      <w:p w14:paraId="3F0AFF0F" w14:textId="77777777" w:rsidR="007C3497" w:rsidRDefault="007C3497" w:rsidP="007C3497">
                        <w:pPr>
                          <w:spacing w:after="160"/>
                        </w:pPr>
                        <w:r>
                          <w:rPr>
                            <w:rFonts w:ascii="Arial" w:eastAsia="Arial" w:hAnsi="Arial" w:cs="Arial"/>
                            <w:sz w:val="14"/>
                          </w:rPr>
                          <w:t>Koudougou</w:t>
                        </w:r>
                      </w:p>
                    </w:txbxContent>
                  </v:textbox>
                </v:rect>
                <v:rect id="Rectangle 795" o:spid="_x0000_s1234" style="position:absolute;left:33800;top:24365;width:363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RitxQAAANwAAAAPAAAAZHJzL2Rvd25yZXYueG1sRI9Pa8JA&#10;FMTvhX6H5RW81Y0Fq4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CBDRitxQAAANwAAAAP&#10;AAAAAAAAAAAAAAAAAAcCAABkcnMvZG93bnJldi54bWxQSwUGAAAAAAMAAwC3AAAA+QIAAAAA&#10;" filled="f" stroked="f">
                  <v:textbox inset="0,0,0,0">
                    <w:txbxContent>
                      <w:p w14:paraId="0D1DC9D3" w14:textId="77777777" w:rsidR="007C3497" w:rsidRDefault="007C3497" w:rsidP="007C3497">
                        <w:pPr>
                          <w:spacing w:after="160"/>
                        </w:pPr>
                        <w:r>
                          <w:rPr>
                            <w:rFonts w:ascii="Arial" w:eastAsia="Arial" w:hAnsi="Arial" w:cs="Arial"/>
                            <w:sz w:val="14"/>
                          </w:rPr>
                          <w:t>Manga</w:t>
                        </w:r>
                      </w:p>
                    </w:txbxContent>
                  </v:textbox>
                </v:rect>
                <v:rect id="Rectangle 796" o:spid="_x0000_s1235" style="position:absolute;left:39669;top:25388;width:5871;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" filled="f" stroked="f">
                  <v:textbox inset="0,0,0,0">
                    <w:txbxContent>
                      <w:p w14:paraId="4F89B9E0" w14:textId="77777777" w:rsidR="007C3497" w:rsidRDefault="007C3497" w:rsidP="007C3497">
                        <w:pPr>
                          <w:spacing w:after="160"/>
                        </w:pPr>
                        <w:r>
                          <w:rPr>
                            <w:rFonts w:ascii="Arial" w:eastAsia="Arial" w:hAnsi="Arial" w:cs="Arial"/>
                            <w:sz w:val="14"/>
                          </w:rPr>
                          <w:t>Tenkodogo</w:t>
                        </w:r>
                      </w:p>
                    </w:txbxContent>
                  </v:textbox>
                </v:rect>
                <v:rect id="Rectangle 797" o:spid="_x0000_s1236" style="position:absolute;left:35853;top:15664;width:2650;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" filled="f" stroked="f">
                  <v:textbox inset="0,0,0,0">
                    <w:txbxContent>
                      <w:p w14:paraId="069F4EC0" w14:textId="77777777" w:rsidR="007C3497" w:rsidRDefault="007C3497" w:rsidP="007C3497">
                        <w:pPr>
                          <w:spacing w:after="160"/>
                        </w:pPr>
                        <w:r>
                          <w:rPr>
                            <w:rFonts w:ascii="Arial" w:eastAsia="Arial" w:hAnsi="Arial" w:cs="Arial"/>
                            <w:sz w:val="14"/>
                          </w:rPr>
                          <w:t>Kaya</w:t>
                        </w:r>
                      </w:p>
                    </w:txbxContent>
                  </v:textbox>
                </v:rect>
                <v:rect id="Rectangle 798" o:spid="_x0000_s1237" style="position:absolute;left:24714;top:12242;width:6354;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" filled="f" stroked="f">
                  <v:textbox inset="0,0,0,0">
                    <w:txbxContent>
                      <w:p w14:paraId="242565F7" w14:textId="77777777" w:rsidR="007C3497" w:rsidRDefault="007C3497" w:rsidP="007C3497">
                        <w:pPr>
                          <w:spacing w:after="160"/>
                        </w:pPr>
                        <w:r>
                          <w:rPr>
                            <w:rFonts w:ascii="Arial" w:eastAsia="Arial" w:hAnsi="Arial" w:cs="Arial"/>
                            <w:sz w:val="14"/>
                          </w:rPr>
                          <w:t>Ouahigouya</w:t>
                        </w:r>
                      </w:p>
                    </w:txbxContent>
                  </v:textbox>
                </v:rect>
                <v:rect id="Rectangle 799" o:spid="_x0000_s1238" style="position:absolute;left:31609;top:18354;width:4205;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" filled="f" stroked="f">
                  <v:textbox inset="0,0,0,0">
                    <w:txbxContent>
                      <w:p w14:paraId="3A4ED079" w14:textId="77777777" w:rsidR="007C3497" w:rsidRDefault="007C3497" w:rsidP="007C3497">
                        <w:pPr>
                          <w:spacing w:after="160"/>
                        </w:pPr>
                        <w:r>
                          <w:rPr>
                            <w:rFonts w:ascii="Arial" w:eastAsia="Arial" w:hAnsi="Arial" w:cs="Arial"/>
                            <w:sz w:val="14"/>
                          </w:rPr>
                          <w:t>Zianiaré</w:t>
                        </w:r>
                      </w:p>
                    </w:txbxContent>
                  </v:textbox>
                </v:rect>
                <v:rect id="Rectangle 800" o:spid="_x0000_s1239" style="position:absolute;left:28934;top:21640;width:7559;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" filled="f" stroked="f">
                  <v:textbox inset="0,0,0,0">
                    <w:txbxContent>
                      <w:p w14:paraId="32DE4849" w14:textId="77777777" w:rsidR="007C3497" w:rsidRDefault="007C3497" w:rsidP="007C3497">
                        <w:pPr>
                          <w:spacing w:after="160"/>
                        </w:pPr>
                        <w:r>
                          <w:rPr>
                            <w:rFonts w:ascii="Arial" w:eastAsia="Arial" w:hAnsi="Arial" w:cs="Arial"/>
                            <w:sz w:val="14"/>
                          </w:rPr>
                          <w:t>Ouagadougou</w:t>
                        </w:r>
                      </w:p>
                    </w:txbxContent>
                  </v:textbox>
                </v:rect>
                <v:rect id="Rectangle 801" o:spid="_x0000_s1240" style="position:absolute;left:41545;top:9290;width:2168;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" filled="f" stroked="f">
                  <v:textbox inset="0,0,0,0">
                    <w:txbxContent>
                      <w:p w14:paraId="3F387BC8" w14:textId="77777777" w:rsidR="007C3497" w:rsidRDefault="007C3497" w:rsidP="007C3497">
                        <w:pPr>
                          <w:spacing w:after="160"/>
                        </w:pPr>
                        <w:r>
                          <w:rPr>
                            <w:rFonts w:ascii="Arial" w:eastAsia="Arial" w:hAnsi="Arial" w:cs="Arial"/>
                            <w:sz w:val="14"/>
                          </w:rPr>
                          <w:t>Dori</w:t>
                        </w:r>
                      </w:p>
                    </w:txbxContent>
                  </v:textbox>
                </v:rect>
                <v:rect id="Rectangle 802" o:spid="_x0000_s1241" style="position:absolute;left:42739;top:21915;width:8434;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" filled="f" stroked="f">
                  <v:textbox inset="0,0,0,0">
                    <w:txbxContent>
                      <w:p w14:paraId="717765FE" w14:textId="77777777" w:rsidR="007C3497" w:rsidRDefault="007C3497" w:rsidP="007C3497">
                        <w:pPr>
                          <w:spacing w:after="160"/>
                        </w:pPr>
                        <w:r>
                          <w:rPr>
                            <w:rFonts w:ascii="Arial" w:eastAsia="Arial" w:hAnsi="Arial" w:cs="Arial"/>
                            <w:sz w:val="14"/>
                          </w:rPr>
                          <w:t>Fada N’Gourma</w:t>
                        </w:r>
                      </w:p>
                    </w:txbxContent>
                  </v:textbox>
                </v:rect>
                <v:rect id="Rectangle 803" o:spid="_x0000_s1242" style="position:absolute;left:11942;top:32431;width:4161;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" filled="f" stroked="f">
                  <v:textbox inset="0,0,0,0">
                    <w:txbxContent>
                      <w:p w14:paraId="287DB584" w14:textId="77777777" w:rsidR="007C3497" w:rsidRDefault="007C3497" w:rsidP="007C3497">
                        <w:pPr>
                          <w:spacing w:after="160"/>
                        </w:pPr>
                        <w:r>
                          <w:rPr>
                            <w:rFonts w:ascii="Arial" w:eastAsia="Arial" w:hAnsi="Arial" w:cs="Arial"/>
                            <w:sz w:val="14"/>
                          </w:rPr>
                          <w:t>Banfora</w:t>
                        </w:r>
                      </w:p>
                    </w:txbxContent>
                  </v:textbox>
                </v:rect>
                <v:rect id="Rectangle 804" o:spid="_x0000_s1243" style="position:absolute;left:51260;top:29253;width:4055;height:2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" filled="f" stroked="f">
                  <v:textbox inset="0,0,0,0">
                    <w:txbxContent>
                      <w:p w14:paraId="71907F4E" w14:textId="77777777" w:rsidR="007C3497" w:rsidRDefault="007C3497" w:rsidP="007C3497">
                        <w:pPr>
                          <w:spacing w:after="160"/>
                        </w:pPr>
                        <w:r>
                          <w:rPr>
                            <w:rFonts w:ascii="Arial" w:eastAsia="Arial" w:hAnsi="Arial" w:cs="Arial"/>
                            <w:sz w:val="16"/>
                          </w:rPr>
                          <w:t>BENIN</w:t>
                        </w:r>
                      </w:p>
                    </w:txbxContent>
                  </v:textbox>
                </v:rect>
                <v:rect id="Rectangle 805" o:spid="_x0000_s1244" style="position:absolute;left:49617;top:10521;width:4104;height:2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" filled="f" stroked="f">
                  <v:textbox inset="0,0,0,0">
                    <w:txbxContent>
                      <w:p w14:paraId="33CF8525" w14:textId="77777777" w:rsidR="007C3497" w:rsidRDefault="007C3497" w:rsidP="007C3497">
                        <w:pPr>
                          <w:spacing w:after="160"/>
                        </w:pPr>
                        <w:r>
                          <w:rPr>
                            <w:rFonts w:ascii="Arial" w:eastAsia="Arial" w:hAnsi="Arial" w:cs="Arial"/>
                            <w:sz w:val="16"/>
                          </w:rPr>
                          <w:t>NIGER</w:t>
                        </w:r>
                      </w:p>
                    </w:txbxContent>
                  </v:textbox>
                </v:rect>
                <v:rect id="Rectangle 100786" o:spid="_x0000_s1245" style="position:absolute;left:42288;width:406;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" filled="f" stroked="f">
                  <v:textbox inset="0,0,0,0">
                    <w:txbxContent>
                      <w:p w14:paraId="45E847BD" w14:textId="77777777" w:rsidR="007C3497" w:rsidRDefault="007C3497" w:rsidP="007C3497">
                        <w:pPr>
                          <w:spacing w:after="160"/>
                        </w:pPr>
                        <w:r>
                          <w:rPr>
                            <w:rFonts w:ascii="Arial" w:eastAsia="Arial" w:hAnsi="Arial" w:cs="Arial"/>
                            <w:sz w:val="12"/>
                          </w:rPr>
                          <w:t>°</w:t>
                        </w:r>
                      </w:p>
                    </w:txbxContent>
                  </v:textbox>
                </v:rect>
                <v:rect id="Rectangle 100785" o:spid="_x0000_s1246" style="position:absolute;left:41865;width:563;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" filled="f" stroked="f">
                  <v:textbox inset="0,0,0,0">
                    <w:txbxContent>
                      <w:p w14:paraId="6F1CD306" w14:textId="77777777" w:rsidR="007C3497" w:rsidRDefault="007C3497" w:rsidP="007C3497">
                        <w:pPr>
                          <w:spacing w:after="160"/>
                        </w:pPr>
                        <w:r>
                          <w:rPr>
                            <w:rFonts w:ascii="Arial" w:eastAsia="Arial" w:hAnsi="Arial" w:cs="Arial"/>
                            <w:sz w:val="12"/>
                          </w:rPr>
                          <w:t>0</w:t>
                        </w:r>
                      </w:p>
                    </w:txbxContent>
                  </v:textbox>
                </v:rect>
                <v:rect id="Rectangle 100788" o:spid="_x0000_s1247" style="position:absolute;left:23196;width:1626;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" filled="f" stroked="f">
                  <v:textbox inset="0,0,0,0">
                    <w:txbxContent>
                      <w:p w14:paraId="6D3CADD1" w14:textId="77777777" w:rsidR="007C3497" w:rsidRDefault="007C3497" w:rsidP="007C3497">
                        <w:pPr>
                          <w:spacing w:after="160"/>
                        </w:pPr>
                        <w:r>
                          <w:rPr>
                            <w:rFonts w:ascii="Arial" w:eastAsia="Arial" w:hAnsi="Arial" w:cs="Arial"/>
                            <w:sz w:val="12"/>
                          </w:rPr>
                          <w:t>° W</w:t>
                        </w:r>
                      </w:p>
                    </w:txbxContent>
                  </v:textbox>
                </v:rect>
                <v:rect id="Rectangle 100787" o:spid="_x0000_s1248" style="position:absolute;left:22772;width:564;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" filled="f" stroked="f">
                  <v:textbox inset="0,0,0,0">
                    <w:txbxContent>
                      <w:p w14:paraId="314447B4" w14:textId="77777777" w:rsidR="007C3497" w:rsidRDefault="007C3497" w:rsidP="007C3497">
                        <w:pPr>
                          <w:spacing w:after="160"/>
                        </w:pPr>
                        <w:r>
                          <w:rPr>
                            <w:rFonts w:ascii="Arial" w:eastAsia="Arial" w:hAnsi="Arial" w:cs="Arial"/>
                            <w:sz w:val="12"/>
                          </w:rPr>
                          <w:t>3</w:t>
                        </w:r>
                      </w:p>
                    </w:txbxContent>
                  </v:textbox>
                </v:rect>
                <v:rect id="Rectangle 100790" o:spid="_x0000_s1249" style="position:absolute;left:60901;top:3555;width:1803;height:157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" filled="f" stroked="f">
                  <v:textbox inset="0,0,0,0">
                    <w:txbxContent>
                      <w:p w14:paraId="72EBA356" w14:textId="77777777" w:rsidR="007C3497" w:rsidRDefault="007C3497" w:rsidP="007C3497">
                        <w:pPr>
                          <w:spacing w:after="160"/>
                        </w:pPr>
                        <w:r>
                          <w:rPr>
                            <w:rFonts w:ascii="Arial" w:eastAsia="Arial" w:hAnsi="Arial" w:cs="Arial"/>
                            <w:sz w:val="12"/>
                          </w:rPr>
                          <w:t xml:space="preserve">° </w:t>
                        </w:r>
                      </w:p>
                    </w:txbxContent>
                  </v:textbox>
                </v:rect>
                <v:rect id="Rectangle 100789" o:spid="_x0000_s1250" style="position:absolute;left:61579;top:4232;width:1802;height:158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" filled="f" stroked="f">
                  <v:textbox inset="0,0,0,0">
                    <w:txbxContent>
                      <w:p w14:paraId="160AED35" w14:textId="77777777" w:rsidR="007C3497" w:rsidRDefault="007C3497" w:rsidP="007C3497">
                        <w:pPr>
                          <w:spacing w:after="160"/>
                        </w:pPr>
                        <w:r>
                          <w:rPr>
                            <w:rFonts w:ascii="Arial" w:eastAsia="Arial" w:hAnsi="Arial" w:cs="Arial"/>
                            <w:sz w:val="12"/>
                          </w:rPr>
                          <w:t>15</w:t>
                        </w:r>
                      </w:p>
                    </w:txbxContent>
                  </v:textbox>
                </v:rect>
                <v:rect id="Rectangle 808" o:spid="_x0000_s1251" style="position:absolute;left:61860;top:3158;width:727;height:157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" filled="f" stroked="f">
                  <v:textbox inset="0,0,0,0">
                    <w:txbxContent>
                      <w:p w14:paraId="36288E1D" w14:textId="77777777" w:rsidR="007C3497" w:rsidRDefault="007C3497" w:rsidP="007C3497">
                        <w:pPr>
                          <w:spacing w:after="160"/>
                        </w:pPr>
                        <w:r>
                          <w:rPr>
                            <w:rFonts w:ascii="Arial" w:eastAsia="Arial" w:hAnsi="Arial" w:cs="Arial"/>
                            <w:sz w:val="12"/>
                          </w:rPr>
                          <w:t>N</w:t>
                        </w:r>
                      </w:p>
                    </w:txbxContent>
                  </v:textbox>
                </v:rect>
                <v:rect id="Rectangle 809" o:spid="_x0000_s1252" style="position:absolute;left:61492;top:23065;width:1120;height:158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" filled="f" stroked="f">
                  <v:textbox inset="0,0,0,0">
                    <w:txbxContent>
                      <w:p w14:paraId="644ED53F" w14:textId="77777777" w:rsidR="007C3497" w:rsidRDefault="007C3497" w:rsidP="007C3497">
                        <w:pPr>
                          <w:spacing w:after="160"/>
                        </w:pPr>
                        <w:r>
                          <w:rPr>
                            <w:rFonts w:ascii="Arial" w:eastAsia="Arial" w:hAnsi="Arial" w:cs="Arial"/>
                            <w:sz w:val="12"/>
                          </w:rPr>
                          <w:t>12</w:t>
                        </w:r>
                      </w:p>
                    </w:txbxContent>
                  </v:textbox>
                </v:rect>
                <v:rect id="Rectangle 810" o:spid="_x0000_s1253" style="position:absolute;left:61850;top:22582;width:403;height:158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" filled="f" stroked="f">
                  <v:textbox inset="0,0,0,0">
                    <w:txbxContent>
                      <w:p w14:paraId="244C4EC0" w14:textId="77777777" w:rsidR="007C3497" w:rsidRDefault="007C3497" w:rsidP="007C3497">
                        <w:pPr>
                          <w:spacing w:after="160"/>
                        </w:pPr>
                        <w:r>
                          <w:rPr>
                            <w:rFonts w:ascii="Arial" w:eastAsia="Arial" w:hAnsi="Arial" w:cs="Arial"/>
                            <w:sz w:val="12"/>
                          </w:rPr>
                          <w:t>°</w:t>
                        </w:r>
                      </w:p>
                    </w:txbxContent>
                  </v:textbox>
                </v:rect>
                <v:shape id="Shape 811" o:spid="_x0000_s1254" style="position:absolute;left:5120;top:41799;width:12645;height:0;visibility:visible;mso-wrap-style:square;v-text-anchor:top" coordsize="1264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" path="m1264514,l,,1264514,xe" fillcolor="#181717" stroked="f" strokeweight="0">
                  <v:stroke miterlimit="83231f" joinstyle="miter"/>
                  <v:path arrowok="t" textboxrect="0,0,1264514,0"/>
                </v:shape>
                <v:shape id="Shape 812" o:spid="_x0000_s1255" style="position:absolute;left:5120;top:41799;width:12645;height:0;visibility:visible;mso-wrap-style:square;v-text-anchor:top" coordsize="1264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" path="m,l1264514,e" filled="f" strokecolor="#181717" strokeweight="1pt">
                  <v:stroke miterlimit="83231f" joinstyle="miter"/>
                  <v:path arrowok="t" textboxrect="0,0,1264514,0"/>
                </v:shape>
                <v:rect id="Rectangle 100793" o:spid="_x0000_s1256" style="position:absolute;left:10178;top:40626;width:1691;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" filled="f" stroked="f">
                  <v:textbox inset="0,0,0,0">
                    <w:txbxContent>
                      <w:p w14:paraId="29900AC0" w14:textId="77777777" w:rsidR="007C3497" w:rsidRDefault="007C3497" w:rsidP="007C3497">
                        <w:pPr>
                          <w:spacing w:after="160"/>
                        </w:pPr>
                        <w:r>
                          <w:rPr>
                            <w:rFonts w:ascii="Arial" w:eastAsia="Arial" w:hAnsi="Arial" w:cs="Arial"/>
                            <w:sz w:val="12"/>
                          </w:rPr>
                          <w:t>225</w:t>
                        </w:r>
                      </w:p>
                    </w:txbxContent>
                  </v:textbox>
                </v:rect>
                <v:rect id="Rectangle 100794" o:spid="_x0000_s1257" style="position:absolute;left:11449;top:40626;width:1673;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" filled="f" stroked="f">
                  <v:textbox inset="0,0,0,0">
                    <w:txbxContent>
                      <w:p w14:paraId="158438F9" w14:textId="77777777" w:rsidR="007C3497" w:rsidRDefault="007C3497" w:rsidP="007C3497">
                        <w:pPr>
                          <w:spacing w:after="160"/>
                        </w:pPr>
                        <w:r>
                          <w:rPr>
                            <w:rFonts w:ascii="Arial" w:eastAsia="Arial" w:hAnsi="Arial" w:cs="Arial"/>
                            <w:sz w:val="12"/>
                          </w:rPr>
                          <w:t xml:space="preserve"> km</w:t>
                        </w:r>
                      </w:p>
                    </w:txbxContent>
                  </v:textbox>
                </v:rect>
                <v:rect id="Rectangle 100792" o:spid="_x0000_s1258" style="position:absolute;left:2301;top:16435;width:1394;height:1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" filled="f" stroked="f">
                  <v:textbox inset="0,0,0,0">
                    <w:txbxContent>
                      <w:p w14:paraId="31FB9CC0" w14:textId="77777777" w:rsidR="007C3497" w:rsidRDefault="007C3497" w:rsidP="007C3497">
                        <w:pPr>
                          <w:spacing w:after="160"/>
                        </w:pPr>
                        <w:r>
                          <w:rPr>
                            <w:rFonts w:ascii="Arial" w:eastAsia="Arial" w:hAnsi="Arial" w:cs="Arial"/>
                            <w:sz w:val="10"/>
                          </w:rPr>
                          <w:t xml:space="preserve"> km</w:t>
                        </w:r>
                      </w:p>
                    </w:txbxContent>
                  </v:textbox>
                </v:rect>
                <v:rect id="Rectangle 100791" o:spid="_x0000_s1259" style="position:absolute;left:1948;top:16435;width:470;height:1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" filled="f" stroked="f">
                  <v:textbox inset="0,0,0,0">
                    <w:txbxContent>
                      <w:p w14:paraId="07C17DA2" w14:textId="77777777" w:rsidR="007C3497" w:rsidRDefault="007C3497" w:rsidP="007C3497">
                        <w:pPr>
                          <w:spacing w:after="160"/>
                        </w:pPr>
                        <w:r>
                          <w:rPr>
                            <w:rFonts w:ascii="Arial" w:eastAsia="Arial" w:hAnsi="Arial" w:cs="Arial"/>
                            <w:sz w:val="10"/>
                          </w:rPr>
                          <w:t>0</w:t>
                        </w:r>
                      </w:p>
                    </w:txbxContent>
                  </v:textbox>
                </v:rect>
                <v:rect id="Rectangle 815" o:spid="_x0000_s1260" style="position:absolute;left:7485;top:16435;width:1879;height:1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" filled="f" stroked="f">
                  <v:textbox inset="0,0,0,0">
                    <w:txbxContent>
                      <w:p w14:paraId="25A7D868" w14:textId="77777777" w:rsidR="007C3497" w:rsidRDefault="007C3497" w:rsidP="007C3497">
                        <w:pPr>
                          <w:spacing w:after="160"/>
                        </w:pPr>
                        <w:r>
                          <w:rPr>
                            <w:rFonts w:ascii="Arial" w:eastAsia="Arial" w:hAnsi="Arial" w:cs="Arial"/>
                            <w:sz w:val="10"/>
                          </w:rPr>
                          <w:t>3700</w:t>
                        </w:r>
                      </w:p>
                    </w:txbxContent>
                  </v:textbox>
                </v:rect>
                <v:rect id="Rectangle 816" o:spid="_x0000_s1261" style="position:absolute;left:13490;top:16435;width:1879;height:1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" filled="f" stroked="f">
                  <v:textbox inset="0,0,0,0">
                    <w:txbxContent>
                      <w:p w14:paraId="4FD4B4B3" w14:textId="77777777" w:rsidR="007C3497" w:rsidRDefault="007C3497" w:rsidP="007C3497">
                        <w:pPr>
                          <w:spacing w:after="160"/>
                        </w:pPr>
                        <w:r>
                          <w:rPr>
                            <w:rFonts w:ascii="Arial" w:eastAsia="Arial" w:hAnsi="Arial" w:cs="Arial"/>
                            <w:sz w:val="10"/>
                          </w:rPr>
                          <w:t>7400</w:t>
                        </w:r>
                      </w:p>
                    </w:txbxContent>
                  </v:textbox>
                </v:rect>
                <v:shape id="Shape 817" o:spid="_x0000_s1262" style="position:absolute;left:2351;top:39933;width:0;height:1009;visibility:visible;mso-wrap-style:square;v-text-anchor:top" coordsize="0,100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" path="m,100927l,,,100927xe" fillcolor="#181717" stroked="f" strokeweight="0">
                  <v:stroke miterlimit="83231f" joinstyle="miter"/>
                  <v:path arrowok="t" textboxrect="0,0,0,100927"/>
                </v:shape>
                <v:shape id="Shape 818" o:spid="_x0000_s1263" style="position:absolute;left:2351;top:40214;width:0;height:728;visibility:visible;mso-wrap-style:square;v-text-anchor:top" coordsize="0,72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" path="m,72784l,e" filled="f" strokecolor="#181717" strokeweight=".25pt">
                  <v:stroke miterlimit="83231f" joinstyle="miter"/>
                  <v:path arrowok="t" textboxrect="0,0,0,72784"/>
                </v:shape>
                <v:shape id="Shape 819" o:spid="_x0000_s1264" style="position:absolute;left:2259;top:39933;width:184;height:344;visibility:visible;mso-wrap-style:square;v-text-anchor:top" coordsize="18453,34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" path="m9220,r9233,34430l,34430,9220,xe" fillcolor="#181717" stroked="f" strokeweight="0">
                  <v:stroke miterlimit="83231f" joinstyle="miter"/>
                  <v:path arrowok="t" textboxrect="0,0,18453,34430"/>
                </v:shape>
                <v:rect id="Rectangle 820" o:spid="_x0000_s1265" style="position:absolute;left:2016;top:40932;width:732;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" filled="f" stroked="f">
                  <v:textbox inset="0,0,0,0">
                    <w:txbxContent>
                      <w:p w14:paraId="6215A303" w14:textId="77777777" w:rsidR="007C3497" w:rsidRDefault="007C3497" w:rsidP="007C3497">
                        <w:pPr>
                          <w:spacing w:after="160"/>
                        </w:pPr>
                        <w:r>
                          <w:rPr>
                            <w:rFonts w:ascii="Arial" w:eastAsia="Arial" w:hAnsi="Arial" w:cs="Arial"/>
                            <w:sz w:val="12"/>
                          </w:rPr>
                          <w:t>N</w:t>
                        </w:r>
                      </w:p>
                    </w:txbxContent>
                  </v:textbox>
                </v:rect>
                <v:shape id="Shape 821" o:spid="_x0000_s1266" style="position:absolute;left:35037;top:16553;width:693;height:693;visibility:visible;mso-wrap-style:square;v-text-anchor:top" coordsize="69304,6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" path="m34658,c53810,,69304,15519,69304,34658v,19139,-15494,34646,-34646,34646c15507,69304,,53797,,34658,,15519,15507,,34658,xe" fillcolor="#e4322b" stroked="f" strokeweight="0">
                  <v:stroke miterlimit="83231f" joinstyle="miter"/>
                  <v:path arrowok="t" textboxrect="0,0,69304,69304"/>
                </v:shape>
                <v:shape id="Shape 822" o:spid="_x0000_s1267" style="position:absolute;left:35037;top:16553;width:693;height:693;visibility:visible;mso-wrap-style:square;v-text-anchor:top" coordsize="69304,6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" path="m69304,34658v,19139,-15494,34646,-34646,34646c15507,69304,,53797,,34658,,15519,15507,,34658,,53810,,69304,15519,69304,34658xe" filled="f" strokecolor="#181717" strokeweight=".25pt">
                  <v:stroke miterlimit="83231f" joinstyle="miter"/>
                  <v:path arrowok="t" textboxrect="0,0,69304,69304"/>
                </v:shape>
                <v:shape id="Shape 823" o:spid="_x0000_s1268" style="position:absolute;left:26625;top:13484;width:693;height:693;visibility:visible;mso-wrap-style:square;v-text-anchor:top" coordsize="69304,69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" path="m34646,c53797,,69304,15507,69304,34658v,19139,-15507,34659,-34658,34659c15507,69317,,53797,,34658,,15507,15507,,34646,xe" fillcolor="#e4322b" stroked="f" strokeweight="0">
                  <v:stroke miterlimit="83231f" joinstyle="miter"/>
                  <v:path arrowok="t" textboxrect="0,0,69304,69317"/>
                </v:shape>
                <v:shape id="Shape 824" o:spid="_x0000_s1269" style="position:absolute;left:26625;top:13484;width:693;height:693;visibility:visible;mso-wrap-style:square;v-text-anchor:top" coordsize="69304,69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" path="m69304,34658v,19139,-15507,34659,-34658,34659c15507,69317,,53797,,34658,,15507,15507,,34646,,53797,,69304,15507,69304,34658xe" filled="f" strokecolor="#181717" strokeweight=".25pt">
                  <v:stroke miterlimit="83231f" joinstyle="miter"/>
                  <v:path arrowok="t" textboxrect="0,0,69304,69317"/>
                </v:shape>
                <v:shape id="Shape 825" o:spid="_x0000_s1270" style="position:absolute;left:1728;top:22139;width:693;height:694;visibility:visible;mso-wrap-style:square;v-text-anchor:top" coordsize="69304,6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" path="m34646,c53785,,69304,15507,69304,34658v,19127,-15519,34646,-34658,34646c15519,69304,,53785,,34658,,15507,15519,,34646,xe" fillcolor="#e4322b" stroked="f" strokeweight="0">
                  <v:stroke miterlimit="83231f" joinstyle="miter"/>
                  <v:path arrowok="t" textboxrect="0,0,69304,69304"/>
                </v:shape>
                <v:shape id="Shape 826" o:spid="_x0000_s1271" style="position:absolute;left:1728;top:22139;width:693;height:694;visibility:visible;mso-wrap-style:square;v-text-anchor:top" coordsize="69304,6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" path="m69304,34658v,19127,-15519,34646,-34658,34646c15519,69304,,53785,,34658,,15507,15519,,34646,,53785,,69304,15507,69304,34658xe" filled="f" strokecolor="#181717" strokeweight=".25pt">
                  <v:stroke miterlimit="83231f" joinstyle="miter"/>
                  <v:path arrowok="t" textboxrect="0,0,69304,69304"/>
                </v:shape>
                <v:shape id="Shape 827" o:spid="_x0000_s1272" style="position:absolute;left:41428;top:10525;width:693;height:694;visibility:visible;mso-wrap-style:square;v-text-anchor:top" coordsize="69304,69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" path="m34646,c53785,,69304,15519,69304,34658v,19139,-15519,34659,-34658,34659c15494,69317,,53797,,34658,,15519,15494,,34646,xe" fillcolor="#e4322b" stroked="f" strokeweight="0">
                  <v:stroke miterlimit="83231f" joinstyle="miter"/>
                  <v:path arrowok="t" textboxrect="0,0,69304,69317"/>
                </v:shape>
                <v:shape id="Shape 828" o:spid="_x0000_s1273" style="position:absolute;left:41428;top:10525;width:693;height:694;visibility:visible;mso-wrap-style:square;v-text-anchor:top" coordsize="69304,69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" path="m69304,34658v,19139,-15519,34659,-34658,34659c15494,69317,,53797,,34658,,15519,15494,,34646,,53785,,69304,15519,69304,34658xe" filled="f" strokecolor="#181717" strokeweight=".25pt">
                  <v:stroke miterlimit="83231f" joinstyle="miter"/>
                  <v:path arrowok="t" textboxrect="0,0,69304,69317"/>
                </v:shape>
                <v:shape id="Shape 829" o:spid="_x0000_s1274" style="position:absolute;left:33704;top:19703;width:693;height:693;visibility:visible;mso-wrap-style:square;v-text-anchor:top" coordsize="69304,6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" path="m34646,c53797,,69304,15519,69304,34658v,19139,-15507,34646,-34658,34646c15520,69304,,53797,,34658,,15519,15520,,34646,xe" fillcolor="#e4322b" stroked="f" strokeweight="0">
                  <v:stroke miterlimit="83231f" joinstyle="miter"/>
                  <v:path arrowok="t" textboxrect="0,0,69304,69304"/>
                </v:shape>
                <v:shape id="Shape 830" o:spid="_x0000_s1275" style="position:absolute;left:33704;top:19703;width:693;height:693;visibility:visible;mso-wrap-style:square;v-text-anchor:top" coordsize="69304,6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" path="m69304,34658v,19139,-15507,34646,-34658,34646c15520,69304,,53797,,34658,,15519,15520,,34646,,53797,,69304,15519,69304,34658xe" filled="f" strokecolor="#181717" strokeweight=".25pt">
                  <v:stroke miterlimit="83231f" joinstyle="miter"/>
                  <v:path arrowok="t" textboxrect="0,0,69304,69304"/>
                </v:shape>
                <v:shape id="Shape 831" o:spid="_x0000_s1276" style="position:absolute;left:26972;top:21793;width:693;height:693;visibility:visible;mso-wrap-style:square;v-text-anchor:top" coordsize="69304,69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" path="m34658,c53797,,69304,15507,69304,34658v,19139,-15507,34659,-34646,34659c15507,69317,,53797,,34658,,15507,15507,,34658,xe" fillcolor="#e4322b" stroked="f" strokeweight="0">
                  <v:stroke miterlimit="83231f" joinstyle="miter"/>
                  <v:path arrowok="t" textboxrect="0,0,69304,69317"/>
                </v:shape>
                <v:shape id="Shape 832" o:spid="_x0000_s1277" style="position:absolute;left:26972;top:21793;width:693;height:693;visibility:visible;mso-wrap-style:square;v-text-anchor:top" coordsize="69304,69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" path="m69304,34658v,19139,-15507,34659,-34646,34659c15507,69317,,53797,,34658,,15507,15507,,34658,,53797,,69304,15507,69304,34658xe" filled="f" strokecolor="#181717" strokeweight=".25pt">
                  <v:stroke miterlimit="83231f" joinstyle="miter"/>
                  <v:path arrowok="t" textboxrect="0,0,69304,69317"/>
                </v:shape>
                <v:shape id="Shape 833" o:spid="_x0000_s1278" style="position:absolute;left:20165;top:20370;width:693;height:694;visibility:visible;mso-wrap-style:square;v-text-anchor:top" coordsize="69304,6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" path="m34646,c53785,,69304,15507,69304,34658v,19139,-15519,34646,-34658,34646c15507,69304,,53797,,34658,,15507,15507,,34646,xe" fillcolor="#e4322b" stroked="f" strokeweight="0">
                  <v:stroke miterlimit="83231f" joinstyle="miter"/>
                  <v:path arrowok="t" textboxrect="0,0,69304,69304"/>
                </v:shape>
                <v:shape id="Shape 834" o:spid="_x0000_s1279" style="position:absolute;left:20165;top:20370;width:693;height:694;visibility:visible;mso-wrap-style:square;v-text-anchor:top" coordsize="69304,6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" path="m69304,34658v,19139,-15519,34646,-34658,34646c15507,69304,,53797,,34658,,15507,15507,,34646,,53785,,69304,15507,69304,34658xe" filled="f" strokecolor="#181717" strokeweight=".25pt">
                  <v:stroke miterlimit="83231f" joinstyle="miter"/>
                  <v:path arrowok="t" textboxrect="0,0,69304,69304"/>
                </v:shape>
                <v:shape id="Shape 835" o:spid="_x0000_s1280" style="position:absolute;left:15057;top:28623;width:693;height:693;visibility:visible;mso-wrap-style:square;v-text-anchor:top" coordsize="69304,6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" path="m34646,c53797,,69304,15507,69304,34658v,19139,-15507,34646,-34658,34646c15507,69304,,53797,,34658,,15507,15507,,34646,xe" fillcolor="#e4322b" stroked="f" strokeweight="0">
                  <v:stroke miterlimit="83231f" joinstyle="miter"/>
                  <v:path arrowok="t" textboxrect="0,0,69304,69304"/>
                </v:shape>
                <v:shape id="Shape 836" o:spid="_x0000_s1281" style="position:absolute;left:15057;top:28623;width:693;height:693;visibility:visible;mso-wrap-style:square;v-text-anchor:top" coordsize="69304,6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" path="m69304,34658v,19139,-15507,34646,-34658,34646c15507,69304,,53797,,34658,,15507,15507,,34646,,53797,,69304,15507,69304,34658xe" filled="f" strokecolor="#181717" strokeweight=".25pt">
                  <v:stroke miterlimit="83231f" joinstyle="miter"/>
                  <v:path arrowok="t" textboxrect="0,0,69304,69304"/>
                </v:shape>
                <v:shape id="Shape 837" o:spid="_x0000_s1282" style="position:absolute;left:12105;top:31946;width:693;height:693;visibility:visible;mso-wrap-style:square;v-text-anchor:top" coordsize="69304,6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" path="m34658,c53797,,69304,15494,69304,34646v,19138,-15507,34658,-34646,34658c15519,69304,,53784,,34646,,15494,15519,,34658,xe" fillcolor="#e4322b" stroked="f" strokeweight="0">
                  <v:stroke miterlimit="83231f" joinstyle="miter"/>
                  <v:path arrowok="t" textboxrect="0,0,69304,69304"/>
                </v:shape>
                <v:shape id="Shape 838" o:spid="_x0000_s1283" style="position:absolute;left:12105;top:31946;width:693;height:693;visibility:visible;mso-wrap-style:square;v-text-anchor:top" coordsize="69304,6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" path="m69304,34646v,19138,-15507,34658,-34646,34658c15519,69304,,53784,,34646,,15494,15519,,34658,,53797,,69304,15494,69304,34646xe" filled="f" strokecolor="#181717" strokeweight=".25pt">
                  <v:stroke miterlimit="83231f" joinstyle="miter"/>
                  <v:path arrowok="t" textboxrect="0,0,69304,69304"/>
                </v:shape>
                <v:shape id="Shape 839" o:spid="_x0000_s1284" style="position:absolute;left:21912;top:33893;width:693;height:693;visibility:visible;mso-wrap-style:square;v-text-anchor:top" coordsize="69304,6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" path="m34658,c53797,,69304,15494,69304,34646v,19138,-15507,34658,-34646,34658c15507,69304,,53784,,34646,,15494,15507,,34658,xe" fillcolor="#e4322b" stroked="f" strokeweight="0">
                  <v:stroke miterlimit="83231f" joinstyle="miter"/>
                  <v:path arrowok="t" textboxrect="0,0,69304,69304"/>
                </v:shape>
                <v:shape id="Shape 840" o:spid="_x0000_s1285" style="position:absolute;left:21912;top:33893;width:693;height:693;visibility:visible;mso-wrap-style:square;v-text-anchor:top" coordsize="69304,6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" path="m69304,34646v,19138,-15507,34658,-34646,34658c15507,69304,,53784,,34646,,15494,15507,,34658,,53797,,69304,15494,69304,34646xe" filled="f" strokecolor="#181717" strokeweight=".25pt">
                  <v:stroke miterlimit="83231f" joinstyle="miter"/>
                  <v:path arrowok="t" textboxrect="0,0,69304,69304"/>
                </v:shape>
                <v:shape id="Shape 841" o:spid="_x0000_s1286" style="position:absolute;left:35037;top:25509;width:693;height:693;visibility:visible;mso-wrap-style:square;v-text-anchor:top" coordsize="69304,69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" path="m34658,c53810,,69304,15507,69304,34646v,19151,-15494,34671,-34646,34671c15507,69317,,53797,,34646,,15507,15507,,34658,xe" fillcolor="#e4322b" stroked="f" strokeweight="0">
                  <v:stroke miterlimit="83231f" joinstyle="miter"/>
                  <v:path arrowok="t" textboxrect="0,0,69304,69317"/>
                </v:shape>
                <v:shape id="Shape 842" o:spid="_x0000_s1287" style="position:absolute;left:35037;top:25509;width:693;height:693;visibility:visible;mso-wrap-style:square;v-text-anchor:top" coordsize="69304,69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" path="m69304,34646v,19151,-15494,34671,-34646,34671c15507,69317,,53797,,34646,,15507,15507,,34658,,53810,,69304,15507,69304,34646xe" filled="f" strokecolor="#181717" strokeweight=".25pt">
                  <v:stroke miterlimit="83231f" joinstyle="miter"/>
                  <v:path arrowok="t" textboxrect="0,0,69304,69317"/>
                </v:shape>
                <v:shape id="Shape 843" o:spid="_x0000_s1288" style="position:absolute;left:43967;top:23052;width:693;height:693;visibility:visible;mso-wrap-style:square;v-text-anchor:top" coordsize="69304,6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" path="m34658,c53810,,69304,15507,69304,34646v,19151,-15494,34658,-34646,34658c15507,69304,,53797,,34646,,15507,15507,,34658,xe" fillcolor="#e4322b" stroked="f" strokeweight="0">
                  <v:stroke miterlimit="83231f" joinstyle="miter"/>
                  <v:path arrowok="t" textboxrect="0,0,69304,69304"/>
                </v:shape>
                <v:shape id="Shape 844" o:spid="_x0000_s1289" style="position:absolute;left:43967;top:23052;width:693;height:693;visibility:visible;mso-wrap-style:square;v-text-anchor:top" coordsize="69304,6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" path="m69304,34646v,19151,-15494,34658,-34646,34658c15507,69304,,53797,,34646,,15507,15507,,34658,,53810,,69304,15507,69304,34646xe" filled="f" strokecolor="#181717" strokeweight=".25pt">
                  <v:stroke miterlimit="83231f" joinstyle="miter"/>
                  <v:path arrowok="t" textboxrect="0,0,69304,69304"/>
                </v:shape>
                <v:shape id="Shape 845" o:spid="_x0000_s1290" style="position:absolute;left:39440;top:24884;width:782;height:739;visibility:visible;mso-wrap-style:square;v-text-anchor:top" coordsize="78156,73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" path="m41038,257v13477,770,25850,9423,30679,22949c78156,41227,68758,61052,50724,67491,32728,73930,12878,64545,6439,46536,,28502,9398,8677,27432,2225,31931,619,36546,,41038,257xe" fillcolor="#e4322b" stroked="f" strokeweight="0">
                  <v:stroke miterlimit="83231f" joinstyle="miter"/>
                  <v:path arrowok="t" textboxrect="0,0,78156,73930"/>
                </v:shape>
                <v:shape id="Shape 846" o:spid="_x0000_s1291" style="position:absolute;left:39440;top:24842;width:782;height:781;visibility:visible;mso-wrap-style:square;v-text-anchor:top" coordsize="78156,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" path="m71717,27406c78156,45428,68758,65253,50724,71691,32728,78130,12878,68745,6439,50736,,32702,9398,12878,27432,6426,45428,,65278,9372,71717,27406xe" filled="f" strokecolor="#181717" strokeweight=".25pt">
                  <v:stroke miterlimit="83231f" joinstyle="miter"/>
                  <v:path arrowok="t" textboxrect="0,0,78156,78130"/>
                </v:shape>
                <v:shape id="Shape 847" o:spid="_x0000_s1292" style="position:absolute;left:32260;top:21166;width:693;height:693;visibility:visible;mso-wrap-style:square;v-text-anchor:top" coordsize="69304,6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" path="m34646,c53797,,69304,15507,69304,34646v,19151,-15507,34658,-34658,34658c15507,69304,,53797,,34646,,15507,15507,,34646,xe" fillcolor="#e4322b" stroked="f" strokeweight="0">
                  <v:stroke miterlimit="83231f" joinstyle="miter"/>
                  <v:path arrowok="t" textboxrect="0,0,69304,69304"/>
                </v:shape>
                <v:shape id="Shape 848" o:spid="_x0000_s1293" style="position:absolute;left:32260;top:21166;width:693;height:693;visibility:visible;mso-wrap-style:square;v-text-anchor:top" coordsize="69304,6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" path="m69304,34646v,19151,-15507,34658,-34658,34658c15507,69304,,53797,,34646,,15507,15507,,34646,,53797,,69304,15507,69304,34646xe" filled="f" strokecolor="#181717" strokeweight=".25pt">
                  <v:stroke miterlimit="83231f" joinstyle="miter"/>
                  <v:path arrowok="t" textboxrect="0,0,69304,69304"/>
                </v:shape>
                <w10:anchorlock/>
              </v:group>
            </w:pict>
          </mc:Fallback>
        </mc:AlternateContent>
      </w:r>
    </w:p>
    <w:p w14:paraId="5E5C3715" w14:textId="77777777" w:rsidR="005726AF" w:rsidRPr="007C5A6E" w:rsidRDefault="005726AF" w:rsidP="005726AF">
      <w:pPr>
        <w:spacing w:after="0" w:line="240" w:lineRule="auto"/>
        <w:jc w:val="both"/>
        <w:rPr>
          <w:rFonts w:ascii="Times New Roman" w:eastAsia="Arial" w:hAnsi="Times New Roman"/>
          <w:sz w:val="20"/>
          <w:szCs w:val="20"/>
        </w:rPr>
      </w:pPr>
      <w:bookmarkStart w:id="1123" w:name="_Toc182575484"/>
      <w:r w:rsidRPr="007C5A6E">
        <w:rPr>
          <w:rFonts w:ascii="Times New Roman" w:hAnsi="Times New Roman"/>
          <w:sz w:val="20"/>
          <w:szCs w:val="20"/>
        </w:rPr>
        <w:t>(</w:t>
      </w:r>
      <w:r w:rsidRPr="007C5A6E">
        <w:rPr>
          <w:rFonts w:ascii="Times New Roman" w:eastAsia="Arial" w:hAnsi="Times New Roman"/>
          <w:sz w:val="20"/>
          <w:szCs w:val="20"/>
        </w:rPr>
        <w:t xml:space="preserve">Source : MEEVCC/d’après </w:t>
      </w:r>
      <w:proofErr w:type="spellStart"/>
      <w:r w:rsidRPr="007C5A6E">
        <w:rPr>
          <w:rFonts w:ascii="Times New Roman" w:eastAsia="Arial" w:hAnsi="Times New Roman"/>
          <w:sz w:val="20"/>
          <w:szCs w:val="20"/>
        </w:rPr>
        <w:t>Tamini</w:t>
      </w:r>
      <w:proofErr w:type="spellEnd"/>
      <w:r w:rsidRPr="007C5A6E">
        <w:rPr>
          <w:rFonts w:ascii="Times New Roman" w:eastAsia="Arial" w:hAnsi="Times New Roman"/>
          <w:sz w:val="20"/>
          <w:szCs w:val="20"/>
        </w:rPr>
        <w:t xml:space="preserve">, 2020 ; revu par </w:t>
      </w:r>
      <w:proofErr w:type="spellStart"/>
      <w:r w:rsidRPr="007C5A6E">
        <w:rPr>
          <w:rFonts w:ascii="Times New Roman" w:eastAsia="Arial" w:hAnsi="Times New Roman"/>
          <w:sz w:val="20"/>
          <w:szCs w:val="20"/>
        </w:rPr>
        <w:t>Belemsobgo</w:t>
      </w:r>
      <w:proofErr w:type="spellEnd"/>
      <w:r w:rsidRPr="007C5A6E">
        <w:rPr>
          <w:rFonts w:ascii="Times New Roman" w:eastAsia="Arial" w:hAnsi="Times New Roman"/>
          <w:sz w:val="20"/>
          <w:szCs w:val="20"/>
        </w:rPr>
        <w:t>, 2020)</w:t>
      </w:r>
    </w:p>
    <w:p w14:paraId="55E8649B" w14:textId="2298341B" w:rsidR="007C3497" w:rsidRPr="007C5A6E" w:rsidRDefault="005726AF" w:rsidP="005726AF">
      <w:pPr>
        <w:pStyle w:val="Lgende"/>
        <w:spacing w:after="0"/>
        <w:rPr>
          <w:rFonts w:ascii="Times New Roman" w:hAnsi="Times New Roman"/>
          <w:color w:val="auto"/>
          <w:sz w:val="24"/>
          <w:szCs w:val="24"/>
        </w:rPr>
      </w:pPr>
      <w:bookmarkStart w:id="1124" w:name="_Toc183230916"/>
      <w:bookmarkStart w:id="1125" w:name="_Toc183240709"/>
      <w:bookmarkStart w:id="1126" w:name="_Toc183340448"/>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69</w:t>
      </w:r>
      <w:r w:rsidRPr="007C5A6E">
        <w:rPr>
          <w:rFonts w:ascii="Times New Roman" w:hAnsi="Times New Roman"/>
          <w:color w:val="auto"/>
          <w:sz w:val="24"/>
          <w:szCs w:val="24"/>
        </w:rPr>
        <w:fldChar w:fldCharType="end"/>
      </w:r>
      <w:r w:rsidR="00755568" w:rsidRPr="007C5A6E">
        <w:rPr>
          <w:rFonts w:ascii="Times New Roman" w:hAnsi="Times New Roman"/>
          <w:color w:val="auto"/>
          <w:sz w:val="24"/>
          <w:szCs w:val="24"/>
        </w:rPr>
        <w:t>.</w:t>
      </w:r>
      <w:r w:rsidR="007C3497" w:rsidRPr="007C5A6E">
        <w:rPr>
          <w:rFonts w:ascii="Times New Roman" w:hAnsi="Times New Roman"/>
          <w:color w:val="auto"/>
          <w:sz w:val="24"/>
          <w:szCs w:val="24"/>
        </w:rPr>
        <w:t xml:space="preserve"> Aires classées du Burkina Faso</w:t>
      </w:r>
      <w:bookmarkEnd w:id="1123"/>
      <w:bookmarkEnd w:id="1124"/>
      <w:bookmarkEnd w:id="1125"/>
      <w:bookmarkEnd w:id="1126"/>
      <w:r w:rsidR="007C3497" w:rsidRPr="007C5A6E">
        <w:rPr>
          <w:rFonts w:ascii="Times New Roman" w:hAnsi="Times New Roman"/>
          <w:color w:val="auto"/>
          <w:sz w:val="24"/>
          <w:szCs w:val="24"/>
        </w:rPr>
        <w:t xml:space="preserve"> </w:t>
      </w:r>
    </w:p>
    <w:p w14:paraId="7405C4C0" w14:textId="77777777" w:rsidR="007C3497" w:rsidRPr="007C5A6E" w:rsidRDefault="007C3497" w:rsidP="007C3497">
      <w:pPr>
        <w:spacing w:after="0" w:line="240" w:lineRule="auto"/>
        <w:jc w:val="both"/>
        <w:rPr>
          <w:rFonts w:ascii="Times New Roman" w:hAnsi="Times New Roman"/>
          <w:sz w:val="24"/>
          <w:szCs w:val="24"/>
        </w:rPr>
      </w:pPr>
    </w:p>
    <w:p w14:paraId="1C59E307" w14:textId="77777777" w:rsidR="007C3497" w:rsidRPr="007C5A6E" w:rsidRDefault="007C3497" w:rsidP="007C3497">
      <w:pPr>
        <w:spacing w:after="0" w:line="240" w:lineRule="auto"/>
        <w:jc w:val="both"/>
        <w:rPr>
          <w:rFonts w:ascii="Times New Roman" w:hAnsi="Times New Roman"/>
          <w:sz w:val="24"/>
          <w:szCs w:val="24"/>
        </w:rPr>
      </w:pPr>
      <w:r w:rsidRPr="007C5A6E">
        <w:rPr>
          <w:rFonts w:ascii="Times New Roman" w:hAnsi="Times New Roman"/>
          <w:sz w:val="24"/>
          <w:szCs w:val="24"/>
        </w:rPr>
        <w:t>Parmi ces aires protégées, certaines ont un statut international comme les réserves de biosphère, les sites Ramsar, les Zones d’importance pour la conservation des oiseaux (ZICO), les sites du patrimoine mondial de l’UNESCO :</w:t>
      </w:r>
    </w:p>
    <w:p w14:paraId="3F673EF6" w14:textId="77777777" w:rsidR="007C3497" w:rsidRPr="007C5A6E" w:rsidRDefault="007C3497" w:rsidP="003F3821">
      <w:pPr>
        <w:numPr>
          <w:ilvl w:val="0"/>
          <w:numId w:val="34"/>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Les réserves de biosphère : le Burkina Faso comptait 2 réserves de biosphère (Mare aux Hippopotames, le Parc national W) jusqu’en 2018 où le Parc national d’Arly a été aussi érigé comme telle pour porter ainsi le nombre à 3 ;</w:t>
      </w:r>
    </w:p>
    <w:p w14:paraId="76E73EC7" w14:textId="3681D413" w:rsidR="007C3497" w:rsidRPr="007C5A6E" w:rsidRDefault="007C3497" w:rsidP="003F3821">
      <w:pPr>
        <w:numPr>
          <w:ilvl w:val="0"/>
          <w:numId w:val="34"/>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 xml:space="preserve">Les sites Ramsar : en 2016, le Burkina Faso comptait 18 sites Ramsar. Depuis lors, 7 autres sites ont été identifiés pour porter le nombre à 24 dont 2 en 2017, 1 en 2018, 3 en 2019 et 1 en 2020. L’ensemble des 24 sites ont une superficie de 1 187 247 ha (tableau </w:t>
      </w:r>
      <w:r w:rsidR="005726AF" w:rsidRPr="007C5A6E">
        <w:rPr>
          <w:rFonts w:ascii="Times New Roman" w:hAnsi="Times New Roman"/>
          <w:sz w:val="24"/>
          <w:szCs w:val="24"/>
        </w:rPr>
        <w:t>4</w:t>
      </w:r>
      <w:r w:rsidR="0097141F" w:rsidRPr="007C5A6E">
        <w:rPr>
          <w:rFonts w:ascii="Times New Roman" w:hAnsi="Times New Roman"/>
          <w:sz w:val="24"/>
          <w:szCs w:val="24"/>
        </w:rPr>
        <w:t>8</w:t>
      </w:r>
      <w:r w:rsidRPr="007C5A6E">
        <w:rPr>
          <w:rFonts w:ascii="Times New Roman" w:hAnsi="Times New Roman"/>
          <w:sz w:val="24"/>
          <w:szCs w:val="24"/>
        </w:rPr>
        <w:t>).</w:t>
      </w:r>
    </w:p>
    <w:p w14:paraId="20604936" w14:textId="77777777" w:rsidR="007C3497" w:rsidRPr="007C5A6E" w:rsidRDefault="007C3497" w:rsidP="003F3821">
      <w:pPr>
        <w:numPr>
          <w:ilvl w:val="0"/>
          <w:numId w:val="34"/>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Les ZICO : Le Burkina Faso compte neuf (09) zones d’importance pour la conservation des oiseaux qui abritent 77 espèces migratrices du Paléarctique, 28 espèces migratrices africaines et 01 seule espèce migratrice à la fois africaine et paléarctique ;</w:t>
      </w:r>
    </w:p>
    <w:p w14:paraId="28E56C45" w14:textId="77777777" w:rsidR="007C3497" w:rsidRPr="007C5A6E" w:rsidRDefault="007C3497" w:rsidP="003F3821">
      <w:pPr>
        <w:numPr>
          <w:ilvl w:val="0"/>
          <w:numId w:val="34"/>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Les sites du patrimoine mondial de l’UNESCO : le Parc national W, le Parc national d’Arly et les zones de chasse contiguës à ces 2 parcs font partie du site reconnu comme bien du patrimoine mondial en 2017, notamment le continuum W-Arly-</w:t>
      </w:r>
      <w:proofErr w:type="spellStart"/>
      <w:r w:rsidRPr="007C5A6E">
        <w:rPr>
          <w:rFonts w:ascii="Times New Roman" w:hAnsi="Times New Roman"/>
          <w:sz w:val="24"/>
          <w:szCs w:val="24"/>
        </w:rPr>
        <w:t>Pendjari</w:t>
      </w:r>
      <w:proofErr w:type="spellEnd"/>
      <w:r w:rsidRPr="007C5A6E">
        <w:rPr>
          <w:rFonts w:ascii="Times New Roman" w:hAnsi="Times New Roman"/>
          <w:sz w:val="24"/>
          <w:szCs w:val="24"/>
        </w:rPr>
        <w:t>.</w:t>
      </w:r>
    </w:p>
    <w:p w14:paraId="047749C5" w14:textId="77777777" w:rsidR="007C3497" w:rsidRPr="007C5A6E" w:rsidRDefault="007C3497" w:rsidP="005726AF">
      <w:pPr>
        <w:spacing w:after="0" w:line="240" w:lineRule="auto"/>
        <w:jc w:val="both"/>
        <w:rPr>
          <w:rFonts w:ascii="Times New Roman" w:hAnsi="Times New Roman"/>
          <w:sz w:val="24"/>
          <w:szCs w:val="24"/>
        </w:rPr>
      </w:pPr>
    </w:p>
    <w:p w14:paraId="6F55AE9B" w14:textId="77777777" w:rsidR="007C3497" w:rsidRPr="007C5A6E" w:rsidRDefault="007C3497" w:rsidP="007C3497">
      <w:pPr>
        <w:spacing w:after="0" w:line="240" w:lineRule="auto"/>
        <w:jc w:val="both"/>
        <w:rPr>
          <w:rFonts w:ascii="Times New Roman" w:hAnsi="Times New Roman"/>
          <w:sz w:val="24"/>
          <w:szCs w:val="24"/>
        </w:rPr>
      </w:pPr>
      <w:r w:rsidRPr="007C5A6E">
        <w:rPr>
          <w:rFonts w:ascii="Times New Roman" w:hAnsi="Times New Roman"/>
          <w:sz w:val="24"/>
          <w:szCs w:val="24"/>
        </w:rPr>
        <w:t xml:space="preserve">Au plan des tendances, l’on observe une dégradation accélérée de ces aires protégées depuis 3 décennies (MEEVCC, 2020). En effet, plus de 60% des aires classées sont touchées à divers degrés par des activités agricoles, pastorales et minières. A ces actions anthropiques, il faut ajouter les effets néfastes du climat qui impactent négativement le couvert végétal des aires protégées. </w:t>
      </w:r>
    </w:p>
    <w:p w14:paraId="5200AD08" w14:textId="77777777" w:rsidR="007C3497" w:rsidRPr="007C5A6E" w:rsidRDefault="007C3497" w:rsidP="005726AF">
      <w:pPr>
        <w:spacing w:after="0" w:line="240" w:lineRule="auto"/>
        <w:jc w:val="both"/>
        <w:rPr>
          <w:rFonts w:ascii="Times New Roman" w:hAnsi="Times New Roman"/>
          <w:sz w:val="24"/>
          <w:szCs w:val="24"/>
        </w:rPr>
      </w:pPr>
    </w:p>
    <w:p w14:paraId="5655FDA3" w14:textId="77777777" w:rsidR="009F25CF" w:rsidRPr="007C5A6E" w:rsidRDefault="009F25CF" w:rsidP="005726AF">
      <w:pPr>
        <w:spacing w:after="0" w:line="240" w:lineRule="auto"/>
        <w:jc w:val="both"/>
        <w:rPr>
          <w:rFonts w:ascii="Times New Roman" w:hAnsi="Times New Roman"/>
          <w:sz w:val="24"/>
          <w:szCs w:val="24"/>
        </w:rPr>
      </w:pPr>
    </w:p>
    <w:p w14:paraId="7EFB000B" w14:textId="3227B439" w:rsidR="007C3497" w:rsidRPr="007C5A6E" w:rsidRDefault="005726AF" w:rsidP="005726AF">
      <w:pPr>
        <w:pStyle w:val="Lgende"/>
        <w:spacing w:after="0"/>
        <w:rPr>
          <w:rFonts w:ascii="Times New Roman" w:eastAsia="Calibri" w:hAnsi="Times New Roman"/>
          <w:i w:val="0"/>
          <w:iCs w:val="0"/>
          <w:color w:val="auto"/>
          <w:sz w:val="24"/>
          <w:szCs w:val="24"/>
          <w:lang w:eastAsia="en-US"/>
          <w14:ligatures w14:val="standardContextual"/>
        </w:rPr>
      </w:pPr>
      <w:bookmarkStart w:id="1127" w:name="_Toc182575505"/>
      <w:bookmarkStart w:id="1128" w:name="_Toc183241010"/>
      <w:bookmarkStart w:id="1129" w:name="_Toc183292252"/>
      <w:bookmarkStart w:id="1130" w:name="_Toc183340532"/>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97141F" w:rsidRPr="007C5A6E">
        <w:rPr>
          <w:rFonts w:ascii="Times New Roman" w:hAnsi="Times New Roman"/>
          <w:i w:val="0"/>
          <w:iCs w:val="0"/>
          <w:noProof/>
          <w:color w:val="auto"/>
          <w:sz w:val="24"/>
          <w:szCs w:val="24"/>
        </w:rPr>
        <w:t>48</w:t>
      </w:r>
      <w:r w:rsidRPr="007C5A6E">
        <w:rPr>
          <w:rFonts w:ascii="Times New Roman" w:hAnsi="Times New Roman"/>
          <w:i w:val="0"/>
          <w:iCs w:val="0"/>
          <w:color w:val="auto"/>
          <w:sz w:val="24"/>
          <w:szCs w:val="24"/>
        </w:rPr>
        <w:fldChar w:fldCharType="end"/>
      </w:r>
      <w:r w:rsidR="00BA0E03" w:rsidRPr="007C5A6E">
        <w:rPr>
          <w:rFonts w:ascii="Times New Roman" w:hAnsi="Times New Roman"/>
          <w:i w:val="0"/>
          <w:iCs w:val="0"/>
          <w:color w:val="auto"/>
          <w:sz w:val="24"/>
          <w:szCs w:val="24"/>
        </w:rPr>
        <w:t xml:space="preserve"> </w:t>
      </w:r>
      <w:r w:rsidR="007C3497" w:rsidRPr="007C5A6E">
        <w:rPr>
          <w:rFonts w:ascii="Times New Roman" w:eastAsia="Calibri" w:hAnsi="Times New Roman"/>
          <w:i w:val="0"/>
          <w:iCs w:val="0"/>
          <w:color w:val="auto"/>
          <w:sz w:val="24"/>
          <w:szCs w:val="24"/>
          <w:lang w:eastAsia="en-US"/>
          <w14:ligatures w14:val="standardContextual"/>
        </w:rPr>
        <w:t>: liste des sites Ramsar du Burkina Faso</w:t>
      </w:r>
      <w:bookmarkEnd w:id="1127"/>
      <w:bookmarkEnd w:id="1128"/>
      <w:bookmarkEnd w:id="1129"/>
      <w:bookmarkEnd w:id="1130"/>
    </w:p>
    <w:p w14:paraId="3A5C2C2B" w14:textId="77777777" w:rsidR="005726AF" w:rsidRPr="007C5A6E" w:rsidRDefault="005726AF" w:rsidP="005726AF">
      <w:pPr>
        <w:spacing w:after="0" w:line="240" w:lineRule="auto"/>
        <w:rPr>
          <w:lang w:eastAsia="en-US"/>
        </w:rPr>
      </w:pPr>
    </w:p>
    <w:tbl>
      <w:tblPr>
        <w:tblW w:w="0" w:type="auto"/>
        <w:tblInd w:w="-5" w:type="dxa"/>
        <w:tblCellMar>
          <w:left w:w="70" w:type="dxa"/>
          <w:right w:w="70" w:type="dxa"/>
        </w:tblCellMar>
        <w:tblLook w:val="04A0" w:firstRow="1" w:lastRow="0" w:firstColumn="1" w:lastColumn="0" w:noHBand="0" w:noVBand="1"/>
      </w:tblPr>
      <w:tblGrid>
        <w:gridCol w:w="6237"/>
        <w:gridCol w:w="1276"/>
        <w:gridCol w:w="1554"/>
      </w:tblGrid>
      <w:tr w:rsidR="007C3497" w:rsidRPr="007C5A6E" w14:paraId="41CA4CE9" w14:textId="77777777" w:rsidTr="005726AF">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E3D94A9" w14:textId="77777777" w:rsidR="007C3497" w:rsidRPr="007C5A6E" w:rsidRDefault="007C3497" w:rsidP="005726AF">
            <w:pPr>
              <w:spacing w:after="0" w:line="240" w:lineRule="auto"/>
              <w:jc w:val="center"/>
              <w:rPr>
                <w:rFonts w:ascii="Times New Roman" w:hAnsi="Times New Roman"/>
                <w:b/>
                <w:bCs/>
              </w:rPr>
            </w:pPr>
            <w:r w:rsidRPr="007C5A6E">
              <w:rPr>
                <w:rFonts w:ascii="Times New Roman" w:hAnsi="Times New Roman"/>
                <w:b/>
                <w:bCs/>
              </w:rPr>
              <w:t>Sites Ramsar</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1B7D228A" w14:textId="77777777" w:rsidR="007C3497" w:rsidRPr="007C5A6E" w:rsidRDefault="007C3497" w:rsidP="005726AF">
            <w:pPr>
              <w:spacing w:after="0" w:line="240" w:lineRule="auto"/>
              <w:jc w:val="center"/>
              <w:rPr>
                <w:rFonts w:ascii="Times New Roman" w:hAnsi="Times New Roman"/>
                <w:b/>
              </w:rPr>
            </w:pPr>
            <w:r w:rsidRPr="007C5A6E">
              <w:rPr>
                <w:rFonts w:ascii="Times New Roman" w:hAnsi="Times New Roman"/>
                <w:b/>
              </w:rPr>
              <w:t>Superficie (ha)</w:t>
            </w:r>
          </w:p>
        </w:tc>
        <w:tc>
          <w:tcPr>
            <w:tcW w:w="1554" w:type="dxa"/>
            <w:tcBorders>
              <w:top w:val="single" w:sz="4" w:space="0" w:color="auto"/>
              <w:left w:val="nil"/>
              <w:bottom w:val="single" w:sz="4" w:space="0" w:color="auto"/>
              <w:right w:val="single" w:sz="4" w:space="0" w:color="auto"/>
            </w:tcBorders>
            <w:shd w:val="clear" w:color="auto" w:fill="002060"/>
            <w:vAlign w:val="center"/>
            <w:hideMark/>
          </w:tcPr>
          <w:p w14:paraId="2AA2C773" w14:textId="77777777" w:rsidR="007C3497" w:rsidRPr="007C5A6E" w:rsidRDefault="007C3497" w:rsidP="005726AF">
            <w:pPr>
              <w:spacing w:after="0" w:line="240" w:lineRule="auto"/>
              <w:jc w:val="center"/>
              <w:rPr>
                <w:rFonts w:ascii="Times New Roman" w:hAnsi="Times New Roman"/>
                <w:b/>
                <w:bCs/>
              </w:rPr>
            </w:pPr>
            <w:r w:rsidRPr="007C5A6E">
              <w:rPr>
                <w:rFonts w:ascii="Times New Roman" w:hAnsi="Times New Roman"/>
                <w:b/>
                <w:bCs/>
              </w:rPr>
              <w:t>Date d’inscription</w:t>
            </w:r>
          </w:p>
        </w:tc>
      </w:tr>
      <w:tr w:rsidR="007C3497" w:rsidRPr="007C5A6E" w14:paraId="26EF7FA5" w14:textId="77777777" w:rsidTr="00F23EE9">
        <w:trPr>
          <w:trHeight w:val="300"/>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08F56116"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Mare d’Oursi</w:t>
            </w:r>
          </w:p>
        </w:tc>
        <w:tc>
          <w:tcPr>
            <w:tcW w:w="1276" w:type="dxa"/>
            <w:tcBorders>
              <w:top w:val="nil"/>
              <w:left w:val="nil"/>
              <w:bottom w:val="single" w:sz="4" w:space="0" w:color="auto"/>
              <w:right w:val="single" w:sz="4" w:space="0" w:color="auto"/>
            </w:tcBorders>
            <w:shd w:val="clear" w:color="auto" w:fill="auto"/>
            <w:vAlign w:val="center"/>
            <w:hideMark/>
          </w:tcPr>
          <w:p w14:paraId="489A45AF"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45 000</w:t>
            </w:r>
          </w:p>
        </w:tc>
        <w:tc>
          <w:tcPr>
            <w:tcW w:w="1554" w:type="dxa"/>
            <w:tcBorders>
              <w:top w:val="nil"/>
              <w:left w:val="nil"/>
              <w:bottom w:val="single" w:sz="4" w:space="0" w:color="auto"/>
              <w:right w:val="single" w:sz="4" w:space="0" w:color="auto"/>
            </w:tcBorders>
            <w:shd w:val="clear" w:color="auto" w:fill="auto"/>
            <w:vAlign w:val="center"/>
            <w:hideMark/>
          </w:tcPr>
          <w:p w14:paraId="6170295B"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27/06/1990</w:t>
            </w:r>
          </w:p>
        </w:tc>
      </w:tr>
      <w:tr w:rsidR="007C3497" w:rsidRPr="007C5A6E" w14:paraId="4154C2F6" w14:textId="77777777" w:rsidTr="00F23EE9">
        <w:trPr>
          <w:trHeight w:val="226"/>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4D00B2E2"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Forêt classée de la Mare aux hippopotames</w:t>
            </w:r>
          </w:p>
        </w:tc>
        <w:tc>
          <w:tcPr>
            <w:tcW w:w="1276" w:type="dxa"/>
            <w:tcBorders>
              <w:top w:val="nil"/>
              <w:left w:val="nil"/>
              <w:bottom w:val="single" w:sz="4" w:space="0" w:color="auto"/>
              <w:right w:val="single" w:sz="4" w:space="0" w:color="auto"/>
            </w:tcBorders>
            <w:shd w:val="clear" w:color="auto" w:fill="auto"/>
            <w:vAlign w:val="center"/>
            <w:hideMark/>
          </w:tcPr>
          <w:p w14:paraId="2EDB6F0E"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19 200</w:t>
            </w:r>
          </w:p>
        </w:tc>
        <w:tc>
          <w:tcPr>
            <w:tcW w:w="1554" w:type="dxa"/>
            <w:tcBorders>
              <w:top w:val="nil"/>
              <w:left w:val="nil"/>
              <w:bottom w:val="single" w:sz="4" w:space="0" w:color="auto"/>
              <w:right w:val="single" w:sz="4" w:space="0" w:color="auto"/>
            </w:tcBorders>
            <w:shd w:val="clear" w:color="auto" w:fill="auto"/>
            <w:vAlign w:val="center"/>
            <w:hideMark/>
          </w:tcPr>
          <w:p w14:paraId="33403597"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27/06/1990</w:t>
            </w:r>
          </w:p>
        </w:tc>
      </w:tr>
      <w:tr w:rsidR="007C3497" w:rsidRPr="007C5A6E" w14:paraId="103D83A1" w14:textId="77777777" w:rsidTr="00F23EE9">
        <w:trPr>
          <w:trHeight w:val="300"/>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6BC840CA"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Parc du W</w:t>
            </w:r>
          </w:p>
        </w:tc>
        <w:tc>
          <w:tcPr>
            <w:tcW w:w="1276" w:type="dxa"/>
            <w:tcBorders>
              <w:top w:val="nil"/>
              <w:left w:val="nil"/>
              <w:bottom w:val="single" w:sz="4" w:space="0" w:color="auto"/>
              <w:right w:val="single" w:sz="4" w:space="0" w:color="auto"/>
            </w:tcBorders>
            <w:shd w:val="clear" w:color="auto" w:fill="auto"/>
            <w:vAlign w:val="center"/>
            <w:hideMark/>
          </w:tcPr>
          <w:p w14:paraId="7C6A7506"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235 000</w:t>
            </w:r>
          </w:p>
        </w:tc>
        <w:tc>
          <w:tcPr>
            <w:tcW w:w="1554" w:type="dxa"/>
            <w:tcBorders>
              <w:top w:val="nil"/>
              <w:left w:val="nil"/>
              <w:bottom w:val="single" w:sz="4" w:space="0" w:color="auto"/>
              <w:right w:val="single" w:sz="4" w:space="0" w:color="auto"/>
            </w:tcBorders>
            <w:shd w:val="clear" w:color="auto" w:fill="auto"/>
            <w:vAlign w:val="center"/>
            <w:hideMark/>
          </w:tcPr>
          <w:p w14:paraId="1B1859E6"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27/06/1990</w:t>
            </w:r>
          </w:p>
        </w:tc>
      </w:tr>
      <w:tr w:rsidR="007C3497" w:rsidRPr="007C5A6E" w14:paraId="24356EF1" w14:textId="77777777" w:rsidTr="00F23EE9">
        <w:trPr>
          <w:trHeight w:val="300"/>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22EF7E5F"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Barrage de Bagré</w:t>
            </w:r>
          </w:p>
        </w:tc>
        <w:tc>
          <w:tcPr>
            <w:tcW w:w="1276" w:type="dxa"/>
            <w:tcBorders>
              <w:top w:val="nil"/>
              <w:left w:val="nil"/>
              <w:bottom w:val="single" w:sz="4" w:space="0" w:color="auto"/>
              <w:right w:val="single" w:sz="4" w:space="0" w:color="auto"/>
            </w:tcBorders>
            <w:shd w:val="clear" w:color="auto" w:fill="auto"/>
            <w:vAlign w:val="center"/>
            <w:hideMark/>
          </w:tcPr>
          <w:p w14:paraId="58CFD5E8"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36 793</w:t>
            </w:r>
          </w:p>
        </w:tc>
        <w:tc>
          <w:tcPr>
            <w:tcW w:w="1554" w:type="dxa"/>
            <w:tcBorders>
              <w:top w:val="nil"/>
              <w:left w:val="nil"/>
              <w:bottom w:val="single" w:sz="4" w:space="0" w:color="auto"/>
              <w:right w:val="single" w:sz="4" w:space="0" w:color="auto"/>
            </w:tcBorders>
            <w:shd w:val="clear" w:color="auto" w:fill="auto"/>
            <w:vAlign w:val="center"/>
            <w:hideMark/>
          </w:tcPr>
          <w:p w14:paraId="384E057D"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07/10/2009</w:t>
            </w:r>
          </w:p>
        </w:tc>
      </w:tr>
      <w:tr w:rsidR="007C3497" w:rsidRPr="007C5A6E" w14:paraId="14F21FC1" w14:textId="77777777" w:rsidTr="00F23EE9">
        <w:trPr>
          <w:trHeight w:val="300"/>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30EDE7EC"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Barrage de Kompienga</w:t>
            </w:r>
          </w:p>
        </w:tc>
        <w:tc>
          <w:tcPr>
            <w:tcW w:w="1276" w:type="dxa"/>
            <w:tcBorders>
              <w:top w:val="nil"/>
              <w:left w:val="nil"/>
              <w:bottom w:val="single" w:sz="4" w:space="0" w:color="auto"/>
              <w:right w:val="single" w:sz="4" w:space="0" w:color="auto"/>
            </w:tcBorders>
            <w:shd w:val="clear" w:color="auto" w:fill="auto"/>
            <w:vAlign w:val="center"/>
            <w:hideMark/>
          </w:tcPr>
          <w:p w14:paraId="31E71071"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16 916</w:t>
            </w:r>
          </w:p>
        </w:tc>
        <w:tc>
          <w:tcPr>
            <w:tcW w:w="1554" w:type="dxa"/>
            <w:tcBorders>
              <w:top w:val="nil"/>
              <w:left w:val="nil"/>
              <w:bottom w:val="single" w:sz="4" w:space="0" w:color="auto"/>
              <w:right w:val="single" w:sz="4" w:space="0" w:color="auto"/>
            </w:tcBorders>
            <w:shd w:val="clear" w:color="auto" w:fill="auto"/>
            <w:vAlign w:val="center"/>
            <w:hideMark/>
          </w:tcPr>
          <w:p w14:paraId="086E9260"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07/10/2009</w:t>
            </w:r>
          </w:p>
        </w:tc>
      </w:tr>
      <w:tr w:rsidR="007C3497" w:rsidRPr="007C5A6E" w14:paraId="183E333A" w14:textId="77777777" w:rsidTr="00F23EE9">
        <w:trPr>
          <w:trHeight w:val="300"/>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27B8EF67"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Barrage de la Tapoa</w:t>
            </w:r>
          </w:p>
        </w:tc>
        <w:tc>
          <w:tcPr>
            <w:tcW w:w="1276" w:type="dxa"/>
            <w:tcBorders>
              <w:top w:val="nil"/>
              <w:left w:val="nil"/>
              <w:bottom w:val="single" w:sz="4" w:space="0" w:color="auto"/>
              <w:right w:val="single" w:sz="4" w:space="0" w:color="auto"/>
            </w:tcBorders>
            <w:shd w:val="clear" w:color="auto" w:fill="auto"/>
            <w:vAlign w:val="center"/>
            <w:hideMark/>
          </w:tcPr>
          <w:p w14:paraId="7CC51669"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3 419</w:t>
            </w:r>
          </w:p>
        </w:tc>
        <w:tc>
          <w:tcPr>
            <w:tcW w:w="1554" w:type="dxa"/>
            <w:tcBorders>
              <w:top w:val="nil"/>
              <w:left w:val="nil"/>
              <w:bottom w:val="single" w:sz="4" w:space="0" w:color="auto"/>
              <w:right w:val="single" w:sz="4" w:space="0" w:color="auto"/>
            </w:tcBorders>
            <w:shd w:val="clear" w:color="auto" w:fill="auto"/>
            <w:vAlign w:val="center"/>
            <w:hideMark/>
          </w:tcPr>
          <w:p w14:paraId="2FF9ABBD"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10/07/2009</w:t>
            </w:r>
          </w:p>
        </w:tc>
      </w:tr>
      <w:tr w:rsidR="007C3497" w:rsidRPr="007C5A6E" w14:paraId="47FFDEA5" w14:textId="77777777" w:rsidTr="00F23EE9">
        <w:trPr>
          <w:trHeight w:val="300"/>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253FE913"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 xml:space="preserve">Cône d’épandage de </w:t>
            </w:r>
            <w:proofErr w:type="spellStart"/>
            <w:r w:rsidRPr="007C5A6E">
              <w:rPr>
                <w:rFonts w:ascii="Times New Roman" w:hAnsi="Times New Roman"/>
              </w:rPr>
              <w:t>Banh</w:t>
            </w:r>
            <w:proofErr w:type="spellEnd"/>
          </w:p>
        </w:tc>
        <w:tc>
          <w:tcPr>
            <w:tcW w:w="1276" w:type="dxa"/>
            <w:tcBorders>
              <w:top w:val="nil"/>
              <w:left w:val="nil"/>
              <w:bottom w:val="single" w:sz="4" w:space="0" w:color="auto"/>
              <w:right w:val="single" w:sz="4" w:space="0" w:color="auto"/>
            </w:tcBorders>
            <w:shd w:val="clear" w:color="auto" w:fill="auto"/>
            <w:vAlign w:val="center"/>
            <w:hideMark/>
          </w:tcPr>
          <w:p w14:paraId="1FDD4FCD"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10 003</w:t>
            </w:r>
          </w:p>
        </w:tc>
        <w:tc>
          <w:tcPr>
            <w:tcW w:w="1554" w:type="dxa"/>
            <w:tcBorders>
              <w:top w:val="nil"/>
              <w:left w:val="nil"/>
              <w:bottom w:val="single" w:sz="4" w:space="0" w:color="auto"/>
              <w:right w:val="single" w:sz="4" w:space="0" w:color="auto"/>
            </w:tcBorders>
            <w:shd w:val="clear" w:color="auto" w:fill="auto"/>
            <w:vAlign w:val="center"/>
            <w:hideMark/>
          </w:tcPr>
          <w:p w14:paraId="084B3368"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07/10/2009</w:t>
            </w:r>
          </w:p>
        </w:tc>
      </w:tr>
      <w:tr w:rsidR="007C3497" w:rsidRPr="007C5A6E" w14:paraId="26D9696E" w14:textId="77777777" w:rsidTr="00F23EE9">
        <w:trPr>
          <w:trHeight w:val="250"/>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3E0D2CD1"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Forêt classée et réserve partielle de faune Comoé - Léraba</w:t>
            </w:r>
          </w:p>
        </w:tc>
        <w:tc>
          <w:tcPr>
            <w:tcW w:w="1276" w:type="dxa"/>
            <w:tcBorders>
              <w:top w:val="nil"/>
              <w:left w:val="nil"/>
              <w:bottom w:val="single" w:sz="4" w:space="0" w:color="auto"/>
              <w:right w:val="single" w:sz="4" w:space="0" w:color="auto"/>
            </w:tcBorders>
            <w:shd w:val="clear" w:color="auto" w:fill="auto"/>
            <w:vAlign w:val="center"/>
            <w:hideMark/>
          </w:tcPr>
          <w:p w14:paraId="1A7D35B4"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124 500</w:t>
            </w:r>
          </w:p>
        </w:tc>
        <w:tc>
          <w:tcPr>
            <w:tcW w:w="1554" w:type="dxa"/>
            <w:tcBorders>
              <w:top w:val="nil"/>
              <w:left w:val="nil"/>
              <w:bottom w:val="single" w:sz="4" w:space="0" w:color="auto"/>
              <w:right w:val="single" w:sz="4" w:space="0" w:color="auto"/>
            </w:tcBorders>
            <w:shd w:val="clear" w:color="auto" w:fill="auto"/>
            <w:vAlign w:val="center"/>
            <w:hideMark/>
          </w:tcPr>
          <w:p w14:paraId="508203D2"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07/10/2009</w:t>
            </w:r>
          </w:p>
        </w:tc>
      </w:tr>
      <w:tr w:rsidR="007C3497" w:rsidRPr="007C5A6E" w14:paraId="3845A6FD" w14:textId="77777777" w:rsidTr="00F23EE9">
        <w:trPr>
          <w:trHeight w:val="300"/>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7DAE6824"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 xml:space="preserve">Forêt galerie de </w:t>
            </w:r>
            <w:proofErr w:type="spellStart"/>
            <w:r w:rsidRPr="007C5A6E">
              <w:rPr>
                <w:rFonts w:ascii="Times New Roman" w:hAnsi="Times New Roman"/>
              </w:rPr>
              <w:t>Léra</w:t>
            </w:r>
            <w:proofErr w:type="spellEnd"/>
          </w:p>
        </w:tc>
        <w:tc>
          <w:tcPr>
            <w:tcW w:w="1276" w:type="dxa"/>
            <w:tcBorders>
              <w:top w:val="nil"/>
              <w:left w:val="nil"/>
              <w:bottom w:val="single" w:sz="4" w:space="0" w:color="auto"/>
              <w:right w:val="single" w:sz="4" w:space="0" w:color="auto"/>
            </w:tcBorders>
            <w:shd w:val="clear" w:color="auto" w:fill="auto"/>
            <w:vAlign w:val="center"/>
            <w:hideMark/>
          </w:tcPr>
          <w:p w14:paraId="26DE1C59"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451</w:t>
            </w:r>
          </w:p>
        </w:tc>
        <w:tc>
          <w:tcPr>
            <w:tcW w:w="1554" w:type="dxa"/>
            <w:tcBorders>
              <w:top w:val="nil"/>
              <w:left w:val="nil"/>
              <w:bottom w:val="single" w:sz="4" w:space="0" w:color="auto"/>
              <w:right w:val="single" w:sz="4" w:space="0" w:color="auto"/>
            </w:tcBorders>
            <w:shd w:val="clear" w:color="auto" w:fill="auto"/>
            <w:vAlign w:val="center"/>
            <w:hideMark/>
          </w:tcPr>
          <w:p w14:paraId="31F25222"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07/10/2009</w:t>
            </w:r>
          </w:p>
        </w:tc>
      </w:tr>
      <w:tr w:rsidR="007C3497" w:rsidRPr="007C5A6E" w14:paraId="02CC945B" w14:textId="77777777" w:rsidTr="00F23EE9">
        <w:trPr>
          <w:trHeight w:val="300"/>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6323FA12"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Lac Bam</w:t>
            </w:r>
          </w:p>
        </w:tc>
        <w:tc>
          <w:tcPr>
            <w:tcW w:w="1276" w:type="dxa"/>
            <w:tcBorders>
              <w:top w:val="nil"/>
              <w:left w:val="nil"/>
              <w:bottom w:val="single" w:sz="4" w:space="0" w:color="auto"/>
              <w:right w:val="single" w:sz="4" w:space="0" w:color="auto"/>
            </w:tcBorders>
            <w:shd w:val="clear" w:color="auto" w:fill="auto"/>
            <w:vAlign w:val="center"/>
            <w:hideMark/>
          </w:tcPr>
          <w:p w14:paraId="763D6D49"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2 693</w:t>
            </w:r>
          </w:p>
        </w:tc>
        <w:tc>
          <w:tcPr>
            <w:tcW w:w="1554" w:type="dxa"/>
            <w:tcBorders>
              <w:top w:val="nil"/>
              <w:left w:val="nil"/>
              <w:bottom w:val="single" w:sz="4" w:space="0" w:color="auto"/>
              <w:right w:val="single" w:sz="4" w:space="0" w:color="auto"/>
            </w:tcBorders>
            <w:shd w:val="clear" w:color="auto" w:fill="auto"/>
            <w:vAlign w:val="center"/>
            <w:hideMark/>
          </w:tcPr>
          <w:p w14:paraId="2D96872D"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07/10/2009</w:t>
            </w:r>
          </w:p>
        </w:tc>
      </w:tr>
      <w:tr w:rsidR="007C3497" w:rsidRPr="007C5A6E" w14:paraId="2019BE20" w14:textId="77777777" w:rsidTr="00F23EE9">
        <w:trPr>
          <w:trHeight w:val="300"/>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7D6413B6"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 xml:space="preserve">Lac de </w:t>
            </w:r>
            <w:proofErr w:type="spellStart"/>
            <w:r w:rsidRPr="007C5A6E">
              <w:rPr>
                <w:rFonts w:ascii="Times New Roman" w:hAnsi="Times New Roman"/>
              </w:rPr>
              <w:t>Tingréla</w:t>
            </w:r>
            <w:proofErr w:type="spellEnd"/>
          </w:p>
        </w:tc>
        <w:tc>
          <w:tcPr>
            <w:tcW w:w="1276" w:type="dxa"/>
            <w:tcBorders>
              <w:top w:val="nil"/>
              <w:left w:val="nil"/>
              <w:bottom w:val="single" w:sz="4" w:space="0" w:color="auto"/>
              <w:right w:val="single" w:sz="4" w:space="0" w:color="auto"/>
            </w:tcBorders>
            <w:shd w:val="clear" w:color="auto" w:fill="auto"/>
            <w:vAlign w:val="center"/>
            <w:hideMark/>
          </w:tcPr>
          <w:p w14:paraId="03553737"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494</w:t>
            </w:r>
          </w:p>
        </w:tc>
        <w:tc>
          <w:tcPr>
            <w:tcW w:w="1554" w:type="dxa"/>
            <w:tcBorders>
              <w:top w:val="nil"/>
              <w:left w:val="nil"/>
              <w:bottom w:val="single" w:sz="4" w:space="0" w:color="auto"/>
              <w:right w:val="single" w:sz="4" w:space="0" w:color="auto"/>
            </w:tcBorders>
            <w:shd w:val="clear" w:color="auto" w:fill="auto"/>
            <w:vAlign w:val="center"/>
            <w:hideMark/>
          </w:tcPr>
          <w:p w14:paraId="7733FA64"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07/10/2009</w:t>
            </w:r>
          </w:p>
        </w:tc>
      </w:tr>
      <w:tr w:rsidR="007C3497" w:rsidRPr="007C5A6E" w14:paraId="58B6E45F" w14:textId="77777777" w:rsidTr="00F23EE9">
        <w:trPr>
          <w:trHeight w:val="300"/>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169F9C7B"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 xml:space="preserve">Lac </w:t>
            </w:r>
            <w:proofErr w:type="spellStart"/>
            <w:r w:rsidRPr="007C5A6E">
              <w:rPr>
                <w:rFonts w:ascii="Times New Roman" w:hAnsi="Times New Roman"/>
              </w:rPr>
              <w:t>Dem</w:t>
            </w:r>
            <w:proofErr w:type="spellEnd"/>
          </w:p>
        </w:tc>
        <w:tc>
          <w:tcPr>
            <w:tcW w:w="1276" w:type="dxa"/>
            <w:tcBorders>
              <w:top w:val="nil"/>
              <w:left w:val="nil"/>
              <w:bottom w:val="single" w:sz="4" w:space="0" w:color="auto"/>
              <w:right w:val="single" w:sz="4" w:space="0" w:color="auto"/>
            </w:tcBorders>
            <w:shd w:val="clear" w:color="auto" w:fill="auto"/>
            <w:vAlign w:val="center"/>
            <w:hideMark/>
          </w:tcPr>
          <w:p w14:paraId="0442DFC5"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1 354</w:t>
            </w:r>
          </w:p>
        </w:tc>
        <w:tc>
          <w:tcPr>
            <w:tcW w:w="1554" w:type="dxa"/>
            <w:tcBorders>
              <w:top w:val="nil"/>
              <w:left w:val="nil"/>
              <w:bottom w:val="single" w:sz="4" w:space="0" w:color="auto"/>
              <w:right w:val="single" w:sz="4" w:space="0" w:color="auto"/>
            </w:tcBorders>
            <w:shd w:val="clear" w:color="auto" w:fill="auto"/>
            <w:vAlign w:val="center"/>
            <w:hideMark/>
          </w:tcPr>
          <w:p w14:paraId="148F4E2E"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07/10/2009</w:t>
            </w:r>
          </w:p>
        </w:tc>
      </w:tr>
      <w:tr w:rsidR="007C3497" w:rsidRPr="007C5A6E" w14:paraId="21399E4A" w14:textId="77777777" w:rsidTr="00F23EE9">
        <w:trPr>
          <w:trHeight w:val="300"/>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7B63EA0C"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 xml:space="preserve">Lac </w:t>
            </w:r>
            <w:proofErr w:type="spellStart"/>
            <w:r w:rsidRPr="007C5A6E">
              <w:rPr>
                <w:rFonts w:ascii="Times New Roman" w:hAnsi="Times New Roman"/>
              </w:rPr>
              <w:t>Higa</w:t>
            </w:r>
            <w:proofErr w:type="spellEnd"/>
          </w:p>
        </w:tc>
        <w:tc>
          <w:tcPr>
            <w:tcW w:w="1276" w:type="dxa"/>
            <w:tcBorders>
              <w:top w:val="nil"/>
              <w:left w:val="nil"/>
              <w:bottom w:val="single" w:sz="4" w:space="0" w:color="auto"/>
              <w:right w:val="single" w:sz="4" w:space="0" w:color="auto"/>
            </w:tcBorders>
            <w:shd w:val="clear" w:color="auto" w:fill="auto"/>
            <w:vAlign w:val="center"/>
            <w:hideMark/>
          </w:tcPr>
          <w:p w14:paraId="4316D0E2"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1 514</w:t>
            </w:r>
          </w:p>
        </w:tc>
        <w:tc>
          <w:tcPr>
            <w:tcW w:w="1554" w:type="dxa"/>
            <w:tcBorders>
              <w:top w:val="nil"/>
              <w:left w:val="nil"/>
              <w:bottom w:val="single" w:sz="4" w:space="0" w:color="auto"/>
              <w:right w:val="single" w:sz="4" w:space="0" w:color="auto"/>
            </w:tcBorders>
            <w:shd w:val="clear" w:color="auto" w:fill="auto"/>
            <w:vAlign w:val="center"/>
            <w:hideMark/>
          </w:tcPr>
          <w:p w14:paraId="5D585820"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07/10/2009</w:t>
            </w:r>
          </w:p>
        </w:tc>
      </w:tr>
      <w:tr w:rsidR="007C3497" w:rsidRPr="007C5A6E" w14:paraId="4A01FEE9" w14:textId="77777777" w:rsidTr="00F23EE9">
        <w:trPr>
          <w:trHeight w:val="262"/>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3A7A4E7B"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Réserve totale de faune d’Arly/ Parc national d’Arly</w:t>
            </w:r>
          </w:p>
        </w:tc>
        <w:tc>
          <w:tcPr>
            <w:tcW w:w="1276" w:type="dxa"/>
            <w:tcBorders>
              <w:top w:val="nil"/>
              <w:left w:val="nil"/>
              <w:bottom w:val="single" w:sz="4" w:space="0" w:color="auto"/>
              <w:right w:val="single" w:sz="4" w:space="0" w:color="auto"/>
            </w:tcBorders>
            <w:shd w:val="clear" w:color="auto" w:fill="auto"/>
            <w:vAlign w:val="center"/>
            <w:hideMark/>
          </w:tcPr>
          <w:p w14:paraId="0121971C"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134 239</w:t>
            </w:r>
          </w:p>
        </w:tc>
        <w:tc>
          <w:tcPr>
            <w:tcW w:w="1554" w:type="dxa"/>
            <w:tcBorders>
              <w:top w:val="nil"/>
              <w:left w:val="nil"/>
              <w:bottom w:val="single" w:sz="4" w:space="0" w:color="auto"/>
              <w:right w:val="single" w:sz="4" w:space="0" w:color="auto"/>
            </w:tcBorders>
            <w:shd w:val="clear" w:color="auto" w:fill="auto"/>
            <w:vAlign w:val="center"/>
            <w:hideMark/>
          </w:tcPr>
          <w:p w14:paraId="00AEB929"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07/10/2009</w:t>
            </w:r>
          </w:p>
        </w:tc>
      </w:tr>
      <w:tr w:rsidR="007C3497" w:rsidRPr="007C5A6E" w14:paraId="567463AD" w14:textId="77777777" w:rsidTr="00F23EE9">
        <w:trPr>
          <w:trHeight w:val="300"/>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499D0BA4"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La vallée du Sourou</w:t>
            </w:r>
          </w:p>
        </w:tc>
        <w:tc>
          <w:tcPr>
            <w:tcW w:w="1276" w:type="dxa"/>
            <w:tcBorders>
              <w:top w:val="nil"/>
              <w:left w:val="nil"/>
              <w:bottom w:val="single" w:sz="4" w:space="0" w:color="auto"/>
              <w:right w:val="single" w:sz="4" w:space="0" w:color="auto"/>
            </w:tcBorders>
            <w:shd w:val="clear" w:color="auto" w:fill="auto"/>
            <w:vAlign w:val="center"/>
            <w:hideMark/>
          </w:tcPr>
          <w:p w14:paraId="28D47FC0"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20 926</w:t>
            </w:r>
          </w:p>
        </w:tc>
        <w:tc>
          <w:tcPr>
            <w:tcW w:w="1554" w:type="dxa"/>
            <w:tcBorders>
              <w:top w:val="nil"/>
              <w:left w:val="nil"/>
              <w:bottom w:val="single" w:sz="4" w:space="0" w:color="auto"/>
              <w:right w:val="single" w:sz="4" w:space="0" w:color="auto"/>
            </w:tcBorders>
            <w:shd w:val="clear" w:color="auto" w:fill="auto"/>
            <w:vAlign w:val="center"/>
            <w:hideMark/>
          </w:tcPr>
          <w:p w14:paraId="7B35B52C"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07/10/2009</w:t>
            </w:r>
          </w:p>
        </w:tc>
      </w:tr>
      <w:tr w:rsidR="007C3497" w:rsidRPr="007C5A6E" w14:paraId="667586BF" w14:textId="77777777" w:rsidTr="00F23EE9">
        <w:trPr>
          <w:trHeight w:val="300"/>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4A20C614"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Bassin du Nakanbé-Mane</w:t>
            </w:r>
          </w:p>
        </w:tc>
        <w:tc>
          <w:tcPr>
            <w:tcW w:w="1276" w:type="dxa"/>
            <w:tcBorders>
              <w:top w:val="nil"/>
              <w:left w:val="nil"/>
              <w:bottom w:val="single" w:sz="4" w:space="0" w:color="auto"/>
              <w:right w:val="single" w:sz="4" w:space="0" w:color="auto"/>
            </w:tcBorders>
            <w:shd w:val="clear" w:color="auto" w:fill="auto"/>
            <w:vAlign w:val="center"/>
            <w:hideMark/>
          </w:tcPr>
          <w:p w14:paraId="665BCC1F"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19 477</w:t>
            </w:r>
          </w:p>
        </w:tc>
        <w:tc>
          <w:tcPr>
            <w:tcW w:w="1554" w:type="dxa"/>
            <w:tcBorders>
              <w:top w:val="nil"/>
              <w:left w:val="nil"/>
              <w:bottom w:val="single" w:sz="4" w:space="0" w:color="auto"/>
              <w:right w:val="single" w:sz="4" w:space="0" w:color="auto"/>
            </w:tcBorders>
            <w:shd w:val="clear" w:color="auto" w:fill="auto"/>
            <w:vAlign w:val="center"/>
            <w:hideMark/>
          </w:tcPr>
          <w:p w14:paraId="6AB2BFD0"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02/02/2016</w:t>
            </w:r>
          </w:p>
        </w:tc>
      </w:tr>
      <w:tr w:rsidR="007C3497" w:rsidRPr="007C5A6E" w14:paraId="6804B43B" w14:textId="77777777" w:rsidTr="00F23EE9">
        <w:trPr>
          <w:trHeight w:val="300"/>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45BF34B6"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Barrage de Tougouri</w:t>
            </w:r>
          </w:p>
        </w:tc>
        <w:tc>
          <w:tcPr>
            <w:tcW w:w="1276" w:type="dxa"/>
            <w:tcBorders>
              <w:top w:val="nil"/>
              <w:left w:val="nil"/>
              <w:bottom w:val="single" w:sz="4" w:space="0" w:color="auto"/>
              <w:right w:val="single" w:sz="4" w:space="0" w:color="auto"/>
            </w:tcBorders>
            <w:shd w:val="clear" w:color="auto" w:fill="auto"/>
            <w:vAlign w:val="center"/>
            <w:hideMark/>
          </w:tcPr>
          <w:p w14:paraId="53561676"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1 221</w:t>
            </w:r>
          </w:p>
        </w:tc>
        <w:tc>
          <w:tcPr>
            <w:tcW w:w="1554" w:type="dxa"/>
            <w:tcBorders>
              <w:top w:val="nil"/>
              <w:left w:val="nil"/>
              <w:bottom w:val="single" w:sz="4" w:space="0" w:color="auto"/>
              <w:right w:val="single" w:sz="4" w:space="0" w:color="auto"/>
            </w:tcBorders>
            <w:shd w:val="clear" w:color="auto" w:fill="auto"/>
            <w:vAlign w:val="center"/>
            <w:hideMark/>
          </w:tcPr>
          <w:p w14:paraId="28A89FBC"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02/02/2016</w:t>
            </w:r>
          </w:p>
        </w:tc>
      </w:tr>
      <w:tr w:rsidR="007C3497" w:rsidRPr="007C5A6E" w14:paraId="3DBEE153" w14:textId="77777777" w:rsidTr="00F23EE9">
        <w:trPr>
          <w:trHeight w:val="300"/>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17831979"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Barrage de Yalgo</w:t>
            </w:r>
          </w:p>
        </w:tc>
        <w:tc>
          <w:tcPr>
            <w:tcW w:w="1276" w:type="dxa"/>
            <w:tcBorders>
              <w:top w:val="nil"/>
              <w:left w:val="nil"/>
              <w:bottom w:val="single" w:sz="4" w:space="0" w:color="auto"/>
              <w:right w:val="single" w:sz="4" w:space="0" w:color="auto"/>
            </w:tcBorders>
            <w:shd w:val="clear" w:color="auto" w:fill="auto"/>
            <w:vAlign w:val="center"/>
            <w:hideMark/>
          </w:tcPr>
          <w:p w14:paraId="1B74E8DD"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4 522</w:t>
            </w:r>
          </w:p>
        </w:tc>
        <w:tc>
          <w:tcPr>
            <w:tcW w:w="1554" w:type="dxa"/>
            <w:tcBorders>
              <w:top w:val="nil"/>
              <w:left w:val="nil"/>
              <w:bottom w:val="single" w:sz="4" w:space="0" w:color="auto"/>
              <w:right w:val="single" w:sz="4" w:space="0" w:color="auto"/>
            </w:tcBorders>
            <w:shd w:val="clear" w:color="auto" w:fill="auto"/>
            <w:vAlign w:val="center"/>
            <w:hideMark/>
          </w:tcPr>
          <w:p w14:paraId="6F1618B6"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02/02/2016</w:t>
            </w:r>
          </w:p>
        </w:tc>
      </w:tr>
      <w:tr w:rsidR="007C3497" w:rsidRPr="007C5A6E" w14:paraId="7FAF59EA" w14:textId="77777777" w:rsidTr="00F23EE9">
        <w:trPr>
          <w:trHeight w:val="340"/>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5ED6F382"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Zone de confluence- Mouhoun-Sourou</w:t>
            </w:r>
          </w:p>
        </w:tc>
        <w:tc>
          <w:tcPr>
            <w:tcW w:w="1276" w:type="dxa"/>
            <w:tcBorders>
              <w:top w:val="nil"/>
              <w:left w:val="nil"/>
              <w:bottom w:val="single" w:sz="4" w:space="0" w:color="auto"/>
              <w:right w:val="single" w:sz="4" w:space="0" w:color="auto"/>
            </w:tcBorders>
            <w:shd w:val="clear" w:color="auto" w:fill="auto"/>
            <w:vAlign w:val="center"/>
            <w:hideMark/>
          </w:tcPr>
          <w:p w14:paraId="7748B191"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23 300</w:t>
            </w:r>
          </w:p>
        </w:tc>
        <w:tc>
          <w:tcPr>
            <w:tcW w:w="1554" w:type="dxa"/>
            <w:tcBorders>
              <w:top w:val="nil"/>
              <w:left w:val="nil"/>
              <w:bottom w:val="single" w:sz="4" w:space="0" w:color="auto"/>
              <w:right w:val="single" w:sz="4" w:space="0" w:color="auto"/>
            </w:tcBorders>
            <w:shd w:val="clear" w:color="auto" w:fill="auto"/>
            <w:vAlign w:val="center"/>
            <w:hideMark/>
          </w:tcPr>
          <w:p w14:paraId="3AD104BB"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02/02/2017</w:t>
            </w:r>
          </w:p>
        </w:tc>
      </w:tr>
      <w:tr w:rsidR="007C3497" w:rsidRPr="007C5A6E" w14:paraId="7471599A" w14:textId="77777777" w:rsidTr="00F23EE9">
        <w:trPr>
          <w:trHeight w:val="260"/>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05195A00"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Corridor forestier de la Boucle du Mouhoun</w:t>
            </w:r>
          </w:p>
        </w:tc>
        <w:tc>
          <w:tcPr>
            <w:tcW w:w="1276" w:type="dxa"/>
            <w:tcBorders>
              <w:top w:val="nil"/>
              <w:left w:val="nil"/>
              <w:bottom w:val="single" w:sz="4" w:space="0" w:color="auto"/>
              <w:right w:val="single" w:sz="4" w:space="0" w:color="auto"/>
            </w:tcBorders>
            <w:shd w:val="clear" w:color="auto" w:fill="auto"/>
            <w:vAlign w:val="center"/>
            <w:hideMark/>
          </w:tcPr>
          <w:p w14:paraId="389E6C5F"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134 553</w:t>
            </w:r>
          </w:p>
        </w:tc>
        <w:tc>
          <w:tcPr>
            <w:tcW w:w="1554" w:type="dxa"/>
            <w:tcBorders>
              <w:top w:val="nil"/>
              <w:left w:val="nil"/>
              <w:bottom w:val="single" w:sz="4" w:space="0" w:color="auto"/>
              <w:right w:val="single" w:sz="4" w:space="0" w:color="auto"/>
            </w:tcBorders>
            <w:shd w:val="clear" w:color="auto" w:fill="auto"/>
            <w:vAlign w:val="center"/>
            <w:hideMark/>
          </w:tcPr>
          <w:p w14:paraId="30B03F18"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27/10/2017</w:t>
            </w:r>
          </w:p>
        </w:tc>
      </w:tr>
      <w:tr w:rsidR="007C3497" w:rsidRPr="007C5A6E" w14:paraId="11951F5F" w14:textId="77777777" w:rsidTr="00F23EE9">
        <w:trPr>
          <w:trHeight w:val="264"/>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3B8759A3"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Complexe d’Aires Protégées Pô-Nazinga-Sissili</w:t>
            </w:r>
          </w:p>
        </w:tc>
        <w:tc>
          <w:tcPr>
            <w:tcW w:w="1276" w:type="dxa"/>
            <w:tcBorders>
              <w:top w:val="nil"/>
              <w:left w:val="nil"/>
              <w:bottom w:val="single" w:sz="4" w:space="0" w:color="auto"/>
              <w:right w:val="single" w:sz="4" w:space="0" w:color="auto"/>
            </w:tcBorders>
            <w:shd w:val="clear" w:color="auto" w:fill="auto"/>
            <w:vAlign w:val="center"/>
            <w:hideMark/>
          </w:tcPr>
          <w:p w14:paraId="5286A33F"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280 000</w:t>
            </w:r>
          </w:p>
        </w:tc>
        <w:tc>
          <w:tcPr>
            <w:tcW w:w="1554" w:type="dxa"/>
            <w:tcBorders>
              <w:top w:val="nil"/>
              <w:left w:val="nil"/>
              <w:bottom w:val="single" w:sz="4" w:space="0" w:color="auto"/>
              <w:right w:val="single" w:sz="4" w:space="0" w:color="auto"/>
            </w:tcBorders>
            <w:shd w:val="clear" w:color="auto" w:fill="auto"/>
            <w:vAlign w:val="center"/>
            <w:hideMark/>
          </w:tcPr>
          <w:p w14:paraId="12318A58"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27/10/2018</w:t>
            </w:r>
          </w:p>
        </w:tc>
      </w:tr>
      <w:tr w:rsidR="007C3497" w:rsidRPr="007C5A6E" w14:paraId="7CD1B496" w14:textId="77777777" w:rsidTr="00F23EE9">
        <w:trPr>
          <w:trHeight w:val="366"/>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20E14B57"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 xml:space="preserve">Complexe du Parc Urbain </w:t>
            </w:r>
            <w:proofErr w:type="spellStart"/>
            <w:r w:rsidRPr="007C5A6E">
              <w:rPr>
                <w:rFonts w:ascii="Times New Roman" w:hAnsi="Times New Roman"/>
              </w:rPr>
              <w:t>Bangre</w:t>
            </w:r>
            <w:proofErr w:type="spellEnd"/>
            <w:r w:rsidRPr="007C5A6E">
              <w:rPr>
                <w:rFonts w:ascii="Times New Roman" w:hAnsi="Times New Roman"/>
              </w:rPr>
              <w:t xml:space="preserve"> </w:t>
            </w:r>
            <w:proofErr w:type="spellStart"/>
            <w:r w:rsidRPr="007C5A6E">
              <w:rPr>
                <w:rFonts w:ascii="Times New Roman" w:hAnsi="Times New Roman"/>
              </w:rPr>
              <w:t>Weoogo</w:t>
            </w:r>
            <w:proofErr w:type="spellEnd"/>
            <w:r w:rsidRPr="007C5A6E">
              <w:rPr>
                <w:rFonts w:ascii="Times New Roman" w:hAnsi="Times New Roman"/>
              </w:rPr>
              <w:t xml:space="preserve"> et le lac des 3 barrages</w:t>
            </w:r>
          </w:p>
        </w:tc>
        <w:tc>
          <w:tcPr>
            <w:tcW w:w="1276" w:type="dxa"/>
            <w:tcBorders>
              <w:top w:val="nil"/>
              <w:left w:val="nil"/>
              <w:bottom w:val="single" w:sz="4" w:space="0" w:color="auto"/>
              <w:right w:val="single" w:sz="4" w:space="0" w:color="auto"/>
            </w:tcBorders>
            <w:shd w:val="clear" w:color="auto" w:fill="auto"/>
            <w:vAlign w:val="center"/>
            <w:hideMark/>
          </w:tcPr>
          <w:p w14:paraId="7E141B8C"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945</w:t>
            </w:r>
          </w:p>
        </w:tc>
        <w:tc>
          <w:tcPr>
            <w:tcW w:w="1554" w:type="dxa"/>
            <w:tcBorders>
              <w:top w:val="nil"/>
              <w:left w:val="nil"/>
              <w:bottom w:val="single" w:sz="4" w:space="0" w:color="auto"/>
              <w:right w:val="single" w:sz="4" w:space="0" w:color="auto"/>
            </w:tcBorders>
            <w:shd w:val="clear" w:color="auto" w:fill="auto"/>
            <w:vAlign w:val="center"/>
            <w:hideMark/>
          </w:tcPr>
          <w:p w14:paraId="6471CCFB"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02/02/2019</w:t>
            </w:r>
          </w:p>
        </w:tc>
      </w:tr>
      <w:tr w:rsidR="007C3497" w:rsidRPr="007C5A6E" w14:paraId="435A79B0" w14:textId="77777777" w:rsidTr="00F23EE9">
        <w:trPr>
          <w:trHeight w:val="300"/>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1409E4EB"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 xml:space="preserve">Mare de </w:t>
            </w:r>
            <w:proofErr w:type="spellStart"/>
            <w:r w:rsidRPr="007C5A6E">
              <w:rPr>
                <w:rFonts w:ascii="Times New Roman" w:hAnsi="Times New Roman"/>
              </w:rPr>
              <w:t>Darkoye</w:t>
            </w:r>
            <w:proofErr w:type="spellEnd"/>
          </w:p>
        </w:tc>
        <w:tc>
          <w:tcPr>
            <w:tcW w:w="1276" w:type="dxa"/>
            <w:tcBorders>
              <w:top w:val="nil"/>
              <w:left w:val="nil"/>
              <w:bottom w:val="single" w:sz="4" w:space="0" w:color="auto"/>
              <w:right w:val="single" w:sz="4" w:space="0" w:color="auto"/>
            </w:tcBorders>
            <w:shd w:val="clear" w:color="auto" w:fill="auto"/>
            <w:vAlign w:val="center"/>
            <w:hideMark/>
          </w:tcPr>
          <w:p w14:paraId="5A9FB9C0"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1716</w:t>
            </w:r>
          </w:p>
        </w:tc>
        <w:tc>
          <w:tcPr>
            <w:tcW w:w="1554" w:type="dxa"/>
            <w:tcBorders>
              <w:top w:val="nil"/>
              <w:left w:val="nil"/>
              <w:bottom w:val="single" w:sz="4" w:space="0" w:color="auto"/>
              <w:right w:val="single" w:sz="4" w:space="0" w:color="auto"/>
            </w:tcBorders>
            <w:shd w:val="clear" w:color="auto" w:fill="auto"/>
            <w:vAlign w:val="center"/>
            <w:hideMark/>
          </w:tcPr>
          <w:p w14:paraId="3CA5E54C"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27/02/2019</w:t>
            </w:r>
          </w:p>
        </w:tc>
      </w:tr>
      <w:tr w:rsidR="007C3497" w:rsidRPr="007C5A6E" w14:paraId="31B6FC66" w14:textId="77777777" w:rsidTr="00F23EE9">
        <w:trPr>
          <w:trHeight w:val="300"/>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00FB300E"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 xml:space="preserve">Mare de </w:t>
            </w:r>
            <w:proofErr w:type="spellStart"/>
            <w:r w:rsidRPr="007C5A6E">
              <w:rPr>
                <w:rFonts w:ascii="Times New Roman" w:hAnsi="Times New Roman"/>
              </w:rPr>
              <w:t>Yomboli</w:t>
            </w:r>
            <w:proofErr w:type="spellEnd"/>
          </w:p>
        </w:tc>
        <w:tc>
          <w:tcPr>
            <w:tcW w:w="1276" w:type="dxa"/>
            <w:tcBorders>
              <w:top w:val="nil"/>
              <w:left w:val="nil"/>
              <w:bottom w:val="single" w:sz="4" w:space="0" w:color="auto"/>
              <w:right w:val="single" w:sz="4" w:space="0" w:color="auto"/>
            </w:tcBorders>
            <w:shd w:val="clear" w:color="auto" w:fill="auto"/>
            <w:vAlign w:val="center"/>
            <w:hideMark/>
          </w:tcPr>
          <w:p w14:paraId="3F6F37C4"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836</w:t>
            </w:r>
          </w:p>
        </w:tc>
        <w:tc>
          <w:tcPr>
            <w:tcW w:w="1554" w:type="dxa"/>
            <w:tcBorders>
              <w:top w:val="nil"/>
              <w:left w:val="nil"/>
              <w:bottom w:val="single" w:sz="4" w:space="0" w:color="auto"/>
              <w:right w:val="single" w:sz="4" w:space="0" w:color="auto"/>
            </w:tcBorders>
            <w:shd w:val="clear" w:color="auto" w:fill="auto"/>
            <w:vAlign w:val="center"/>
            <w:hideMark/>
          </w:tcPr>
          <w:p w14:paraId="28BB3A44"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27/02/2019</w:t>
            </w:r>
          </w:p>
        </w:tc>
      </w:tr>
      <w:tr w:rsidR="007C3497" w:rsidRPr="007C5A6E" w14:paraId="26A59FE2" w14:textId="77777777" w:rsidTr="00F23EE9">
        <w:trPr>
          <w:trHeight w:val="300"/>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53FDA9A6"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 xml:space="preserve">Barrage de </w:t>
            </w:r>
            <w:proofErr w:type="spellStart"/>
            <w:r w:rsidRPr="007C5A6E">
              <w:rPr>
                <w:rFonts w:ascii="Times New Roman" w:hAnsi="Times New Roman"/>
              </w:rPr>
              <w:t>Samandéni</w:t>
            </w:r>
            <w:proofErr w:type="spellEnd"/>
          </w:p>
        </w:tc>
        <w:tc>
          <w:tcPr>
            <w:tcW w:w="1276" w:type="dxa"/>
            <w:tcBorders>
              <w:top w:val="nil"/>
              <w:left w:val="nil"/>
              <w:bottom w:val="single" w:sz="4" w:space="0" w:color="auto"/>
              <w:right w:val="single" w:sz="4" w:space="0" w:color="auto"/>
            </w:tcBorders>
            <w:shd w:val="clear" w:color="auto" w:fill="auto"/>
            <w:vAlign w:val="center"/>
            <w:hideMark/>
          </w:tcPr>
          <w:p w14:paraId="456221EB"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68 202</w:t>
            </w:r>
          </w:p>
        </w:tc>
        <w:tc>
          <w:tcPr>
            <w:tcW w:w="1554" w:type="dxa"/>
            <w:tcBorders>
              <w:top w:val="nil"/>
              <w:left w:val="nil"/>
              <w:bottom w:val="single" w:sz="4" w:space="0" w:color="auto"/>
              <w:right w:val="single" w:sz="4" w:space="0" w:color="auto"/>
            </w:tcBorders>
            <w:shd w:val="clear" w:color="auto" w:fill="auto"/>
            <w:vAlign w:val="center"/>
            <w:hideMark/>
          </w:tcPr>
          <w:p w14:paraId="60BBFB54" w14:textId="77777777" w:rsidR="007C3497" w:rsidRPr="007C5A6E" w:rsidRDefault="007C3497" w:rsidP="007C3497">
            <w:pPr>
              <w:spacing w:after="0" w:line="240" w:lineRule="auto"/>
              <w:jc w:val="both"/>
              <w:rPr>
                <w:rFonts w:ascii="Times New Roman" w:hAnsi="Times New Roman"/>
              </w:rPr>
            </w:pPr>
            <w:r w:rsidRPr="007C5A6E">
              <w:rPr>
                <w:rFonts w:ascii="Times New Roman" w:hAnsi="Times New Roman"/>
              </w:rPr>
              <w:t>27/10/2020</w:t>
            </w:r>
          </w:p>
        </w:tc>
      </w:tr>
    </w:tbl>
    <w:p w14:paraId="42AAB6D1" w14:textId="77777777" w:rsidR="0004347D" w:rsidRPr="007C5A6E" w:rsidRDefault="007C3497" w:rsidP="00470BAE">
      <w:pPr>
        <w:spacing w:after="0" w:line="240" w:lineRule="auto"/>
        <w:jc w:val="both"/>
        <w:rPr>
          <w:rFonts w:ascii="Times New Roman" w:hAnsi="Times New Roman"/>
          <w:sz w:val="20"/>
          <w:szCs w:val="20"/>
        </w:rPr>
      </w:pPr>
      <w:r w:rsidRPr="007C5A6E">
        <w:rPr>
          <w:rFonts w:ascii="Times New Roman" w:hAnsi="Times New Roman"/>
          <w:sz w:val="20"/>
          <w:szCs w:val="20"/>
        </w:rPr>
        <w:t>Source : MEEVCC, 2020</w:t>
      </w:r>
    </w:p>
    <w:p w14:paraId="026DB072" w14:textId="77777777" w:rsidR="00993177" w:rsidRPr="007C5A6E" w:rsidRDefault="00993177" w:rsidP="00470BAE">
      <w:pPr>
        <w:spacing w:after="0" w:line="240" w:lineRule="auto"/>
        <w:jc w:val="both"/>
        <w:rPr>
          <w:rFonts w:ascii="Times New Roman" w:hAnsi="Times New Roman"/>
          <w:sz w:val="20"/>
          <w:szCs w:val="20"/>
        </w:rPr>
      </w:pPr>
    </w:p>
    <w:p w14:paraId="29E8E4BF" w14:textId="51585248" w:rsidR="00006463" w:rsidRPr="007C5A6E" w:rsidRDefault="00006463" w:rsidP="00712C43">
      <w:pPr>
        <w:pStyle w:val="Titre2"/>
      </w:pPr>
      <w:bookmarkStart w:id="1131" w:name="_Toc183340239"/>
      <w:r w:rsidRPr="007C5A6E">
        <w:t>Les impacts des pressions sur les ressources</w:t>
      </w:r>
      <w:bookmarkEnd w:id="1131"/>
      <w:r w:rsidRPr="007C5A6E">
        <w:t xml:space="preserve"> </w:t>
      </w:r>
    </w:p>
    <w:p w14:paraId="3819A793" w14:textId="77777777" w:rsidR="00006463" w:rsidRPr="007C5A6E" w:rsidRDefault="00006463" w:rsidP="00F57A5C">
      <w:pPr>
        <w:spacing w:after="0" w:line="240" w:lineRule="auto"/>
        <w:rPr>
          <w:rFonts w:ascii="Times New Roman" w:hAnsi="Times New Roman"/>
          <w:sz w:val="24"/>
          <w:szCs w:val="24"/>
        </w:rPr>
      </w:pPr>
    </w:p>
    <w:p w14:paraId="5D355BC0" w14:textId="77777777"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sz w:val="24"/>
          <w:szCs w:val="24"/>
        </w:rPr>
        <w:t>Le climat a un effet direct sur la biomasse végétales. En effet, le changement climatique engendre d’importantes modifications environnementales, à l’image des sécheresses dont la récurrence accélère le déclin des forêts, réduit le couvert végétal et les rendements agricoles, et favorise l’extension des zones dénudées (</w:t>
      </w:r>
      <w:bookmarkStart w:id="1132" w:name="_Hlk182486247"/>
      <w:r w:rsidRPr="007C5A6E">
        <w:rPr>
          <w:rFonts w:ascii="Times New Roman" w:hAnsi="Times New Roman"/>
          <w:sz w:val="24"/>
          <w:szCs w:val="24"/>
        </w:rPr>
        <w:t>Kabore et al., 2019</w:t>
      </w:r>
      <w:bookmarkEnd w:id="1132"/>
      <w:r w:rsidRPr="007C5A6E">
        <w:rPr>
          <w:rFonts w:ascii="Times New Roman" w:hAnsi="Times New Roman"/>
          <w:sz w:val="24"/>
          <w:szCs w:val="24"/>
        </w:rPr>
        <w:t>). Les changements de la structure et de l’abondance de la végétation pourraient avoir des conséquences sur l’habitat de la Faune, la diversité biotique.</w:t>
      </w:r>
    </w:p>
    <w:p w14:paraId="630DCB6F" w14:textId="77777777" w:rsidR="008811D7" w:rsidRPr="007C5A6E" w:rsidRDefault="008811D7" w:rsidP="008811D7">
      <w:pPr>
        <w:spacing w:after="0" w:line="240" w:lineRule="auto"/>
        <w:jc w:val="both"/>
        <w:rPr>
          <w:rFonts w:ascii="Times New Roman" w:hAnsi="Times New Roman"/>
          <w:sz w:val="24"/>
          <w:szCs w:val="24"/>
        </w:rPr>
      </w:pPr>
    </w:p>
    <w:p w14:paraId="234256BD" w14:textId="77777777" w:rsidR="008811D7" w:rsidRPr="007C5A6E" w:rsidRDefault="008811D7" w:rsidP="008811D7">
      <w:pPr>
        <w:pStyle w:val="Titre3"/>
      </w:pPr>
      <w:r w:rsidRPr="007C5A6E">
        <w:t xml:space="preserve"> </w:t>
      </w:r>
      <w:bookmarkStart w:id="1133" w:name="_Toc182575453"/>
      <w:bookmarkStart w:id="1134" w:name="_Toc183340240"/>
      <w:r w:rsidRPr="007C5A6E">
        <w:t>Modification des habitats/écosystèmes</w:t>
      </w:r>
      <w:bookmarkEnd w:id="1133"/>
      <w:bookmarkEnd w:id="1134"/>
      <w:r w:rsidRPr="007C5A6E">
        <w:t xml:space="preserve"> </w:t>
      </w:r>
    </w:p>
    <w:p w14:paraId="43065C56" w14:textId="77777777" w:rsidR="008811D7" w:rsidRPr="007C5A6E" w:rsidRDefault="008811D7" w:rsidP="008811D7">
      <w:pPr>
        <w:spacing w:after="0" w:line="240" w:lineRule="auto"/>
        <w:jc w:val="both"/>
        <w:rPr>
          <w:rFonts w:ascii="Times New Roman" w:hAnsi="Times New Roman"/>
          <w:sz w:val="24"/>
          <w:szCs w:val="24"/>
        </w:rPr>
      </w:pPr>
    </w:p>
    <w:p w14:paraId="66113A9D" w14:textId="77777777" w:rsidR="008811D7" w:rsidRPr="007C5A6E" w:rsidRDefault="008811D7" w:rsidP="00684FF8">
      <w:pPr>
        <w:pStyle w:val="Titre4"/>
      </w:pPr>
      <w:bookmarkStart w:id="1135" w:name="_Toc182575454"/>
      <w:bookmarkStart w:id="1136" w:name="_Toc183340241"/>
      <w:r w:rsidRPr="007C5A6E">
        <w:t>Les domaines phytogéographiques</w:t>
      </w:r>
      <w:bookmarkEnd w:id="1135"/>
      <w:bookmarkEnd w:id="1136"/>
    </w:p>
    <w:p w14:paraId="3E027E0A" w14:textId="77777777" w:rsidR="008811D7" w:rsidRPr="007C5A6E" w:rsidRDefault="008811D7" w:rsidP="008811D7">
      <w:pPr>
        <w:spacing w:after="0" w:line="240" w:lineRule="auto"/>
        <w:jc w:val="both"/>
        <w:rPr>
          <w:rFonts w:ascii="Times New Roman" w:hAnsi="Times New Roman"/>
          <w:sz w:val="24"/>
          <w:szCs w:val="24"/>
        </w:rPr>
      </w:pPr>
    </w:p>
    <w:p w14:paraId="00AA19C8" w14:textId="77777777" w:rsidR="008811D7" w:rsidRPr="007C5A6E" w:rsidRDefault="008811D7" w:rsidP="003F3821">
      <w:pPr>
        <w:numPr>
          <w:ilvl w:val="0"/>
          <w:numId w:val="40"/>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 xml:space="preserve">Le domaine soudanien : L’analyse des tendances des superficies du domaine soudanien depuis 2000 montre une perte de 2 441 368,55 ha en superficie forestière soit une perte annuelle moyenne de 110 971,29 ha au profit d’autres unités d’occupation des terres du fait des pressions anthropiques et le changement climatique (SP/REDD+, 2023).  </w:t>
      </w:r>
    </w:p>
    <w:p w14:paraId="10032831" w14:textId="3DDDFDB6" w:rsidR="008811D7" w:rsidRPr="007C5A6E" w:rsidRDefault="008811D7" w:rsidP="003F3821">
      <w:pPr>
        <w:numPr>
          <w:ilvl w:val="0"/>
          <w:numId w:val="40"/>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 xml:space="preserve">Domaine sahélien : D’après MEEVCC (2020), cette zone est la plus précaire montrant une plus grande accélération de la régression des ressources du fait de l’effet de l’aridité du milieu. En particulier, les glacis et zones humides des steppes sont de plus colonisés par des espèces envahissantes telles que </w:t>
      </w:r>
      <w:r w:rsidRPr="007C5A6E">
        <w:rPr>
          <w:rFonts w:ascii="Times New Roman" w:hAnsi="Times New Roman"/>
          <w:i/>
          <w:iCs/>
          <w:sz w:val="24"/>
          <w:szCs w:val="24"/>
        </w:rPr>
        <w:t xml:space="preserve">Senna </w:t>
      </w:r>
      <w:proofErr w:type="spellStart"/>
      <w:r w:rsidRPr="007C5A6E">
        <w:rPr>
          <w:rFonts w:ascii="Times New Roman" w:hAnsi="Times New Roman"/>
          <w:i/>
          <w:iCs/>
          <w:sz w:val="24"/>
          <w:szCs w:val="24"/>
        </w:rPr>
        <w:t>obtusifolia</w:t>
      </w:r>
      <w:proofErr w:type="spellEnd"/>
      <w:r w:rsidRPr="007C5A6E">
        <w:rPr>
          <w:rFonts w:ascii="Times New Roman" w:hAnsi="Times New Roman"/>
          <w:sz w:val="24"/>
          <w:szCs w:val="24"/>
        </w:rPr>
        <w:t xml:space="preserve">, une espèce à valeur fourragère faible caractéristique des zones dégradées. L’analyse des tendances de cette couverture forestière depuis 2000 a montré une dégradation continue de l’ordre de 8 095,29 ha de terres forestières par an au profit d’autres unités d’occupation des terres (SP/REDD+, 2023). A titre illustratif, une analyse diachronique de l’utilisation des terres dans la commune de BANI réalisée par </w:t>
      </w:r>
      <w:bookmarkStart w:id="1137" w:name="_Hlk182486522"/>
      <w:proofErr w:type="spellStart"/>
      <w:r w:rsidRPr="007C5A6E">
        <w:rPr>
          <w:rFonts w:ascii="Times New Roman" w:hAnsi="Times New Roman"/>
          <w:sz w:val="24"/>
          <w:szCs w:val="24"/>
        </w:rPr>
        <w:t>Nikiéma</w:t>
      </w:r>
      <w:proofErr w:type="spellEnd"/>
      <w:r w:rsidRPr="007C5A6E">
        <w:rPr>
          <w:rFonts w:ascii="Times New Roman" w:hAnsi="Times New Roman"/>
          <w:sz w:val="24"/>
          <w:szCs w:val="24"/>
        </w:rPr>
        <w:t xml:space="preserve"> et al. (2023)</w:t>
      </w:r>
      <w:bookmarkEnd w:id="1137"/>
      <w:r w:rsidRPr="007C5A6E">
        <w:rPr>
          <w:rFonts w:ascii="Times New Roman" w:hAnsi="Times New Roman"/>
          <w:sz w:val="24"/>
          <w:szCs w:val="24"/>
        </w:rPr>
        <w:t>, montre une dynamique de couverture végétale régressive pour la savane arborée et les zones agricoles, les espaces cultivées, (entre 4,17% et 6,66%) entre 1990 et 2020 ; et en revanche, une croissance de la superficie totale des sols nus et la savane arbustive et herbacée (entre 2,89% et 7,97%) au cours de la même période. Il y avait une plus grande fragmentation de l’habitat dans le nombre a augmenté de 58 en 1990 à 113 en 2020. Le nombre de plans d’eau a diminué de sept (35 en 1990 contre 28 en 2020) principalement du fait de l’ensablement. Quant aux zones rocheuses, elles n’ont guère été affectées.</w:t>
      </w:r>
    </w:p>
    <w:p w14:paraId="64299D0E" w14:textId="77777777" w:rsidR="008811D7" w:rsidRPr="007C5A6E" w:rsidRDefault="008811D7" w:rsidP="008811D7">
      <w:pPr>
        <w:spacing w:after="0" w:line="240" w:lineRule="auto"/>
        <w:jc w:val="both"/>
        <w:rPr>
          <w:rFonts w:ascii="Times New Roman" w:hAnsi="Times New Roman"/>
          <w:sz w:val="24"/>
          <w:szCs w:val="24"/>
        </w:rPr>
      </w:pPr>
    </w:p>
    <w:p w14:paraId="2B7AFB97" w14:textId="77777777" w:rsidR="008811D7" w:rsidRPr="007C5A6E" w:rsidRDefault="008811D7" w:rsidP="00684FF8">
      <w:pPr>
        <w:pStyle w:val="Titre4"/>
      </w:pPr>
      <w:bookmarkStart w:id="1138" w:name="_Toc182575455"/>
      <w:bookmarkStart w:id="1139" w:name="_Toc183340242"/>
      <w:r w:rsidRPr="007C5A6E">
        <w:t>Les écosystèmes spécifiques</w:t>
      </w:r>
      <w:bookmarkEnd w:id="1138"/>
      <w:bookmarkEnd w:id="1139"/>
    </w:p>
    <w:p w14:paraId="28129564" w14:textId="77777777" w:rsidR="008811D7" w:rsidRPr="007C5A6E" w:rsidRDefault="008811D7" w:rsidP="008811D7">
      <w:pPr>
        <w:spacing w:after="0" w:line="240" w:lineRule="auto"/>
        <w:jc w:val="both"/>
        <w:rPr>
          <w:rFonts w:ascii="Times New Roman" w:hAnsi="Times New Roman"/>
          <w:sz w:val="24"/>
          <w:szCs w:val="24"/>
        </w:rPr>
      </w:pPr>
    </w:p>
    <w:p w14:paraId="6BF9E661" w14:textId="77777777" w:rsidR="008811D7" w:rsidRPr="007C5A6E" w:rsidRDefault="008811D7" w:rsidP="003F3821">
      <w:pPr>
        <w:numPr>
          <w:ilvl w:val="0"/>
          <w:numId w:val="40"/>
        </w:numPr>
        <w:spacing w:after="0" w:line="240" w:lineRule="auto"/>
        <w:ind w:left="357" w:hanging="357"/>
        <w:contextualSpacing/>
        <w:jc w:val="both"/>
        <w:rPr>
          <w:rFonts w:ascii="Times New Roman" w:hAnsi="Times New Roman"/>
          <w:b/>
          <w:bCs/>
          <w:sz w:val="24"/>
          <w:szCs w:val="24"/>
        </w:rPr>
      </w:pPr>
      <w:r w:rsidRPr="007C5A6E">
        <w:rPr>
          <w:rFonts w:ascii="Times New Roman" w:hAnsi="Times New Roman"/>
          <w:b/>
          <w:bCs/>
          <w:sz w:val="24"/>
          <w:szCs w:val="24"/>
        </w:rPr>
        <w:t xml:space="preserve">Les îlots forestiers </w:t>
      </w:r>
    </w:p>
    <w:p w14:paraId="6B0AB546" w14:textId="77777777" w:rsidR="008811D7" w:rsidRPr="007C5A6E" w:rsidRDefault="008811D7" w:rsidP="008811D7">
      <w:pPr>
        <w:spacing w:after="0" w:line="240" w:lineRule="auto"/>
        <w:contextualSpacing/>
        <w:jc w:val="both"/>
        <w:rPr>
          <w:rFonts w:ascii="Times New Roman" w:hAnsi="Times New Roman"/>
          <w:sz w:val="24"/>
          <w:szCs w:val="24"/>
        </w:rPr>
      </w:pPr>
      <w:r w:rsidRPr="007C5A6E">
        <w:rPr>
          <w:rFonts w:ascii="Times New Roman" w:hAnsi="Times New Roman"/>
          <w:sz w:val="24"/>
          <w:szCs w:val="24"/>
        </w:rPr>
        <w:t>Les métriques des tendances des îlots forestiers au plan national n’ont pu être documentés. Toutefois, il ressort que ces écosystèmes, en particulier ceux hors des Aires Protégées, sont extrêmement vulnérables aux perturbations telles que les feux de brousse, les prélèvements sélectifs du bois, les déboisements à des fin agricole</w:t>
      </w:r>
      <w:r w:rsidRPr="007C5A6E">
        <w:rPr>
          <w:rFonts w:ascii="Times New Roman" w:hAnsi="Times New Roman"/>
          <w:sz w:val="24"/>
          <w:szCs w:val="24"/>
          <w:vertAlign w:val="superscript"/>
        </w:rPr>
        <w:footnoteReference w:id="24"/>
      </w:r>
      <w:r w:rsidRPr="007C5A6E">
        <w:rPr>
          <w:rFonts w:ascii="Times New Roman" w:hAnsi="Times New Roman"/>
          <w:sz w:val="24"/>
          <w:szCs w:val="24"/>
        </w:rPr>
        <w:t>.</w:t>
      </w:r>
    </w:p>
    <w:p w14:paraId="213ACEA3" w14:textId="77777777" w:rsidR="008811D7" w:rsidRPr="007C5A6E" w:rsidRDefault="008811D7" w:rsidP="008811D7">
      <w:pPr>
        <w:spacing w:after="0" w:line="240" w:lineRule="auto"/>
        <w:contextualSpacing/>
        <w:jc w:val="both"/>
        <w:rPr>
          <w:rFonts w:ascii="Times New Roman" w:hAnsi="Times New Roman"/>
          <w:sz w:val="24"/>
          <w:szCs w:val="24"/>
        </w:rPr>
      </w:pPr>
    </w:p>
    <w:p w14:paraId="14D939D7" w14:textId="77777777" w:rsidR="008811D7" w:rsidRPr="007C5A6E" w:rsidRDefault="008811D7" w:rsidP="003F3821">
      <w:pPr>
        <w:numPr>
          <w:ilvl w:val="0"/>
          <w:numId w:val="40"/>
        </w:numPr>
        <w:spacing w:after="0" w:line="240" w:lineRule="auto"/>
        <w:ind w:left="357" w:hanging="357"/>
        <w:contextualSpacing/>
        <w:jc w:val="both"/>
        <w:rPr>
          <w:rFonts w:ascii="Times New Roman" w:hAnsi="Times New Roman"/>
          <w:b/>
          <w:bCs/>
          <w:sz w:val="24"/>
          <w:szCs w:val="24"/>
        </w:rPr>
      </w:pPr>
      <w:r w:rsidRPr="007C5A6E">
        <w:rPr>
          <w:rFonts w:ascii="Times New Roman" w:hAnsi="Times New Roman"/>
          <w:b/>
          <w:bCs/>
          <w:sz w:val="24"/>
          <w:szCs w:val="24"/>
        </w:rPr>
        <w:t>Les forêts claires</w:t>
      </w:r>
    </w:p>
    <w:p w14:paraId="6C8CA6DF" w14:textId="774195D7" w:rsidR="008811D7" w:rsidRPr="007C5A6E" w:rsidRDefault="008811D7" w:rsidP="008811D7">
      <w:pPr>
        <w:spacing w:after="0" w:line="240" w:lineRule="auto"/>
        <w:contextualSpacing/>
        <w:jc w:val="both"/>
        <w:rPr>
          <w:rFonts w:ascii="Times New Roman" w:hAnsi="Times New Roman"/>
          <w:sz w:val="24"/>
          <w:szCs w:val="24"/>
        </w:rPr>
      </w:pPr>
      <w:bookmarkStart w:id="1140" w:name="_Hlk176336939"/>
      <w:r w:rsidRPr="007C5A6E">
        <w:rPr>
          <w:rFonts w:ascii="Times New Roman" w:hAnsi="Times New Roman"/>
          <w:sz w:val="24"/>
          <w:szCs w:val="24"/>
        </w:rPr>
        <w:t xml:space="preserve">Totalisant aujourd’hui seulement 115 640,14 ha </w:t>
      </w:r>
      <w:bookmarkEnd w:id="1140"/>
      <w:r w:rsidRPr="007C5A6E">
        <w:rPr>
          <w:rFonts w:ascii="Times New Roman" w:hAnsi="Times New Roman"/>
          <w:sz w:val="24"/>
          <w:szCs w:val="24"/>
        </w:rPr>
        <w:t xml:space="preserve">les forêts claires sont en constante dégradation avec un recul en superficie estimé à environ 922,92 ha par an au profit d’autres unités d’occupation des terres. La situation qui était plutôt stable entre 2000 et 2011 a connu une chute drastique à partir de 2012 (figure 70). Entre 2000 et 2022 les forêts claires ont régressé de 12 488,59 ha au profit des cultures annuelles, 6 241,02 ha au profit des parcs agroforestiers et 1 566,65 au profit de la savane herbeuse (SP/REDD+, 2023).  </w:t>
      </w:r>
    </w:p>
    <w:p w14:paraId="6AEABAEF" w14:textId="77777777" w:rsidR="008811D7" w:rsidRPr="007C5A6E" w:rsidRDefault="008811D7" w:rsidP="008811D7">
      <w:pPr>
        <w:spacing w:after="0" w:line="240" w:lineRule="auto"/>
        <w:jc w:val="both"/>
        <w:rPr>
          <w:rFonts w:ascii="Times New Roman" w:hAnsi="Times New Roman"/>
          <w:sz w:val="24"/>
          <w:szCs w:val="24"/>
        </w:rPr>
      </w:pPr>
    </w:p>
    <w:p w14:paraId="3E3FD75C" w14:textId="4D027BA1" w:rsidR="008811D7" w:rsidRPr="007C5A6E" w:rsidRDefault="008811D7" w:rsidP="00861CEA">
      <w:pPr>
        <w:spacing w:after="0" w:line="240" w:lineRule="auto"/>
        <w:contextualSpacing/>
        <w:jc w:val="both"/>
        <w:rPr>
          <w:rFonts w:ascii="Times New Roman" w:hAnsi="Times New Roman"/>
          <w:sz w:val="24"/>
          <w:szCs w:val="24"/>
        </w:rPr>
      </w:pPr>
      <w:r w:rsidRPr="007C5A6E">
        <w:rPr>
          <w:rFonts w:ascii="Times New Roman" w:hAnsi="Times New Roman"/>
          <w:noProof/>
          <w:sz w:val="24"/>
          <w:szCs w:val="24"/>
          <w14:ligatures w14:val="standardContextual"/>
        </w:rPr>
        <w:drawing>
          <wp:inline distT="0" distB="0" distL="0" distR="0" wp14:anchorId="2A1185FF" wp14:editId="23760C1F">
            <wp:extent cx="4572000" cy="2219325"/>
            <wp:effectExtent l="0" t="0" r="0" b="9525"/>
            <wp:docPr id="2073407826" name="Graphique 20734078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5885CF6F" w14:textId="77777777" w:rsidR="008811D7" w:rsidRPr="007C5A6E" w:rsidRDefault="008811D7" w:rsidP="008811D7">
      <w:pPr>
        <w:spacing w:after="0" w:line="240" w:lineRule="auto"/>
        <w:contextualSpacing/>
        <w:jc w:val="both"/>
        <w:rPr>
          <w:rFonts w:ascii="Times New Roman" w:hAnsi="Times New Roman"/>
          <w:sz w:val="20"/>
          <w:szCs w:val="20"/>
        </w:rPr>
      </w:pPr>
      <w:bookmarkStart w:id="1141" w:name="_Toc182575485"/>
      <w:r w:rsidRPr="007C5A6E">
        <w:rPr>
          <w:rFonts w:ascii="Times New Roman" w:hAnsi="Times New Roman"/>
          <w:sz w:val="20"/>
          <w:szCs w:val="20"/>
        </w:rPr>
        <w:t>(Source : SP/REDD+, 2023)</w:t>
      </w:r>
    </w:p>
    <w:p w14:paraId="3235B9FE" w14:textId="03F8BD9E" w:rsidR="008811D7" w:rsidRPr="007C5A6E" w:rsidRDefault="008811D7" w:rsidP="008811D7">
      <w:pPr>
        <w:pStyle w:val="Lgende"/>
        <w:spacing w:after="0"/>
        <w:rPr>
          <w:rFonts w:ascii="Times New Roman" w:hAnsi="Times New Roman"/>
          <w:color w:val="auto"/>
          <w:sz w:val="24"/>
          <w:szCs w:val="24"/>
        </w:rPr>
      </w:pPr>
      <w:bookmarkStart w:id="1142" w:name="_Toc183230917"/>
      <w:bookmarkStart w:id="1143" w:name="_Toc183240710"/>
      <w:bookmarkStart w:id="1144" w:name="_Toc183340449"/>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70</w:t>
      </w:r>
      <w:r w:rsidRPr="007C5A6E">
        <w:rPr>
          <w:rFonts w:ascii="Times New Roman" w:hAnsi="Times New Roman"/>
          <w:color w:val="auto"/>
          <w:sz w:val="24"/>
          <w:szCs w:val="24"/>
        </w:rPr>
        <w:fldChar w:fldCharType="end"/>
      </w:r>
      <w:r w:rsidR="00861CEA" w:rsidRPr="007C5A6E">
        <w:rPr>
          <w:rFonts w:ascii="Times New Roman" w:hAnsi="Times New Roman"/>
          <w:color w:val="auto"/>
          <w:sz w:val="24"/>
          <w:szCs w:val="24"/>
        </w:rPr>
        <w:t>.</w:t>
      </w:r>
      <w:r w:rsidRPr="007C5A6E">
        <w:rPr>
          <w:rFonts w:ascii="Times New Roman" w:hAnsi="Times New Roman"/>
          <w:color w:val="auto"/>
          <w:sz w:val="24"/>
          <w:szCs w:val="24"/>
        </w:rPr>
        <w:t xml:space="preserve"> Evolution des superficies des forêts claires de 2000 à 2022</w:t>
      </w:r>
      <w:bookmarkEnd w:id="1141"/>
      <w:bookmarkEnd w:id="1142"/>
      <w:bookmarkEnd w:id="1143"/>
      <w:bookmarkEnd w:id="1144"/>
      <w:r w:rsidRPr="007C5A6E">
        <w:rPr>
          <w:rFonts w:ascii="Times New Roman" w:hAnsi="Times New Roman"/>
          <w:color w:val="auto"/>
          <w:sz w:val="24"/>
          <w:szCs w:val="24"/>
        </w:rPr>
        <w:t xml:space="preserve"> </w:t>
      </w:r>
    </w:p>
    <w:p w14:paraId="24CDD2B7" w14:textId="77777777" w:rsidR="008811D7" w:rsidRPr="007C5A6E" w:rsidRDefault="008811D7" w:rsidP="008811D7">
      <w:pPr>
        <w:spacing w:after="0" w:line="240" w:lineRule="auto"/>
        <w:ind w:left="720"/>
        <w:contextualSpacing/>
        <w:jc w:val="both"/>
        <w:rPr>
          <w:rFonts w:ascii="Times New Roman" w:hAnsi="Times New Roman"/>
          <w:sz w:val="24"/>
          <w:szCs w:val="24"/>
        </w:rPr>
      </w:pPr>
    </w:p>
    <w:p w14:paraId="07196F5B" w14:textId="77777777"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sz w:val="24"/>
          <w:szCs w:val="24"/>
        </w:rPr>
        <w:t>Les forêts claires induisent d’importants effet sur le climat à travers l’absorption et stockage du carbone en leur sein prouvent attendre jusqu’à 52 tonnes de carbone par hectare (MEEVCC, 2020).</w:t>
      </w:r>
    </w:p>
    <w:p w14:paraId="75D1A45C" w14:textId="77777777" w:rsidR="008811D7" w:rsidRPr="007C5A6E" w:rsidRDefault="008811D7" w:rsidP="008811D7">
      <w:pPr>
        <w:spacing w:after="0" w:line="240" w:lineRule="auto"/>
        <w:jc w:val="both"/>
        <w:rPr>
          <w:rFonts w:ascii="Times New Roman" w:hAnsi="Times New Roman"/>
          <w:sz w:val="24"/>
          <w:szCs w:val="24"/>
        </w:rPr>
      </w:pPr>
    </w:p>
    <w:p w14:paraId="069B675E" w14:textId="77777777" w:rsidR="008811D7" w:rsidRPr="007C5A6E" w:rsidRDefault="008811D7" w:rsidP="003F3821">
      <w:pPr>
        <w:numPr>
          <w:ilvl w:val="0"/>
          <w:numId w:val="40"/>
        </w:numPr>
        <w:spacing w:after="0" w:line="240" w:lineRule="auto"/>
        <w:ind w:left="357" w:hanging="357"/>
        <w:contextualSpacing/>
        <w:jc w:val="both"/>
        <w:rPr>
          <w:rFonts w:ascii="Times New Roman" w:hAnsi="Times New Roman"/>
          <w:b/>
          <w:bCs/>
          <w:sz w:val="24"/>
          <w:szCs w:val="24"/>
        </w:rPr>
      </w:pPr>
      <w:r w:rsidRPr="007C5A6E">
        <w:rPr>
          <w:rFonts w:ascii="Times New Roman" w:hAnsi="Times New Roman"/>
          <w:b/>
          <w:bCs/>
          <w:sz w:val="24"/>
          <w:szCs w:val="24"/>
        </w:rPr>
        <w:t>Les Savanes :</w:t>
      </w:r>
    </w:p>
    <w:p w14:paraId="12D94410" w14:textId="77777777" w:rsidR="008811D7" w:rsidRPr="007C5A6E" w:rsidRDefault="008811D7" w:rsidP="008811D7">
      <w:pPr>
        <w:spacing w:after="0" w:line="240" w:lineRule="auto"/>
        <w:jc w:val="both"/>
        <w:rPr>
          <w:rFonts w:ascii="Times New Roman" w:hAnsi="Times New Roman"/>
          <w:sz w:val="24"/>
          <w:szCs w:val="24"/>
        </w:rPr>
      </w:pPr>
    </w:p>
    <w:p w14:paraId="3414D528" w14:textId="23583843" w:rsidR="008811D7" w:rsidRPr="007C5A6E" w:rsidRDefault="008811D7" w:rsidP="008811D7">
      <w:pPr>
        <w:spacing w:after="0" w:line="240" w:lineRule="auto"/>
        <w:contextualSpacing/>
        <w:jc w:val="both"/>
        <w:rPr>
          <w:rFonts w:ascii="Times New Roman" w:hAnsi="Times New Roman"/>
          <w:sz w:val="24"/>
          <w:szCs w:val="24"/>
        </w:rPr>
      </w:pPr>
      <w:r w:rsidRPr="007C5A6E">
        <w:rPr>
          <w:rFonts w:ascii="Times New Roman" w:hAnsi="Times New Roman"/>
          <w:i/>
          <w:iCs/>
          <w:sz w:val="24"/>
          <w:szCs w:val="24"/>
        </w:rPr>
        <w:t>Savanes arborées :</w:t>
      </w:r>
      <w:r w:rsidRPr="007C5A6E">
        <w:rPr>
          <w:rFonts w:ascii="Times New Roman" w:hAnsi="Times New Roman"/>
          <w:sz w:val="24"/>
          <w:szCs w:val="24"/>
        </w:rPr>
        <w:t xml:space="preserve"> Selon SP/REDD+ (2023), au plan national, les svanes arborées ont subi un recul annuel en superficie estimé à 75 258,09 ha entre 2000 et 2022 (Figure </w:t>
      </w:r>
      <w:r w:rsidR="007A5982" w:rsidRPr="007C5A6E">
        <w:rPr>
          <w:rFonts w:ascii="Times New Roman" w:hAnsi="Times New Roman"/>
          <w:sz w:val="24"/>
          <w:szCs w:val="24"/>
        </w:rPr>
        <w:t>71</w:t>
      </w:r>
      <w:r w:rsidRPr="007C5A6E">
        <w:rPr>
          <w:rFonts w:ascii="Times New Roman" w:hAnsi="Times New Roman"/>
          <w:sz w:val="24"/>
          <w:szCs w:val="24"/>
        </w:rPr>
        <w:t>). Durant la période évaluée, les savanes arborées ont été converties en terres de culture annuelle (1 212 933,52 ha), parcs agroforestiers (587 918,10 ha), rizières (1 555,11 ha), vergers (4 547,81 ha), steppe arbustive (13 913,20 ha), steppe herbeuse (10 821,71 ha), savane herbeuse (15 633,14 ha), zone d’habitation (6 214,19 ha), surface en eau (3 104,78 ha), zone humide (1 555,11 ha), et en sol nu (1 571,38 ha). Pour les interactions avec le climat, MEEVCC (2020) note que la moyenne de carbone séquestré par la savane arborée peut atteindre 68,65 t/ha.</w:t>
      </w:r>
    </w:p>
    <w:p w14:paraId="74D42101" w14:textId="77777777" w:rsidR="007A5982" w:rsidRPr="007C5A6E" w:rsidRDefault="007A5982" w:rsidP="008811D7">
      <w:pPr>
        <w:spacing w:after="0" w:line="240" w:lineRule="auto"/>
        <w:contextualSpacing/>
        <w:jc w:val="both"/>
        <w:rPr>
          <w:rFonts w:ascii="Times New Roman" w:hAnsi="Times New Roman"/>
          <w:sz w:val="24"/>
          <w:szCs w:val="24"/>
        </w:rPr>
      </w:pPr>
    </w:p>
    <w:p w14:paraId="6CD0CC7E" w14:textId="77777777" w:rsidR="008811D7" w:rsidRPr="007C5A6E" w:rsidRDefault="008811D7" w:rsidP="007A5982">
      <w:pPr>
        <w:spacing w:after="0" w:line="240" w:lineRule="auto"/>
        <w:contextualSpacing/>
        <w:jc w:val="both"/>
        <w:rPr>
          <w:rFonts w:ascii="Times New Roman" w:hAnsi="Times New Roman"/>
          <w:noProof/>
          <w:sz w:val="24"/>
          <w:szCs w:val="24"/>
          <w14:ligatures w14:val="standardContextual"/>
        </w:rPr>
      </w:pPr>
      <w:r w:rsidRPr="007C5A6E">
        <w:rPr>
          <w:rFonts w:ascii="Times New Roman" w:hAnsi="Times New Roman"/>
          <w:noProof/>
          <w:sz w:val="24"/>
          <w:szCs w:val="24"/>
          <w14:ligatures w14:val="standardContextual"/>
        </w:rPr>
        <w:drawing>
          <wp:inline distT="0" distB="0" distL="0" distR="0" wp14:anchorId="410FED3D" wp14:editId="5801B1F5">
            <wp:extent cx="4634230" cy="1838325"/>
            <wp:effectExtent l="0" t="0" r="13970" b="9525"/>
            <wp:docPr id="2108430926" name="Graphique 21084309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0E060A84" w14:textId="77777777" w:rsidR="007A5982" w:rsidRPr="007C5A6E" w:rsidRDefault="007A5982" w:rsidP="007A5982">
      <w:pPr>
        <w:spacing w:after="0" w:line="240" w:lineRule="auto"/>
        <w:jc w:val="both"/>
        <w:rPr>
          <w:rFonts w:ascii="Times New Roman" w:hAnsi="Times New Roman"/>
          <w:sz w:val="20"/>
          <w:szCs w:val="20"/>
        </w:rPr>
      </w:pPr>
      <w:r w:rsidRPr="007C5A6E">
        <w:rPr>
          <w:rFonts w:ascii="Times New Roman" w:hAnsi="Times New Roman"/>
          <w:sz w:val="20"/>
          <w:szCs w:val="20"/>
        </w:rPr>
        <w:t>(Source : SP/REDD+, 2023)</w:t>
      </w:r>
    </w:p>
    <w:p w14:paraId="7A2103EE" w14:textId="448328FC" w:rsidR="008811D7" w:rsidRPr="007C5A6E" w:rsidRDefault="007A5982" w:rsidP="007A5982">
      <w:pPr>
        <w:pStyle w:val="Lgende"/>
        <w:spacing w:after="0"/>
        <w:rPr>
          <w:rFonts w:ascii="Times New Roman" w:hAnsi="Times New Roman"/>
          <w:color w:val="auto"/>
          <w:sz w:val="24"/>
          <w:szCs w:val="24"/>
        </w:rPr>
      </w:pPr>
      <w:bookmarkStart w:id="1145" w:name="_Toc182575486"/>
      <w:bookmarkStart w:id="1146" w:name="_Toc183230918"/>
      <w:bookmarkStart w:id="1147" w:name="_Toc183240711"/>
      <w:bookmarkStart w:id="1148" w:name="_Toc183340450"/>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71</w:t>
      </w:r>
      <w:r w:rsidRPr="007C5A6E">
        <w:rPr>
          <w:rFonts w:ascii="Times New Roman" w:hAnsi="Times New Roman"/>
          <w:color w:val="auto"/>
          <w:sz w:val="24"/>
          <w:szCs w:val="24"/>
        </w:rPr>
        <w:fldChar w:fldCharType="end"/>
      </w:r>
      <w:r w:rsidR="00861CEA" w:rsidRPr="007C5A6E">
        <w:rPr>
          <w:rFonts w:ascii="Times New Roman" w:hAnsi="Times New Roman"/>
          <w:color w:val="auto"/>
          <w:sz w:val="24"/>
          <w:szCs w:val="24"/>
        </w:rPr>
        <w:t xml:space="preserve">. </w:t>
      </w:r>
      <w:r w:rsidR="008811D7" w:rsidRPr="007C5A6E">
        <w:rPr>
          <w:rFonts w:ascii="Times New Roman" w:hAnsi="Times New Roman"/>
          <w:color w:val="auto"/>
          <w:sz w:val="24"/>
          <w:szCs w:val="24"/>
        </w:rPr>
        <w:t>Evolution des superficies des savanes arborées de 2000 à 2022</w:t>
      </w:r>
      <w:bookmarkEnd w:id="1145"/>
      <w:bookmarkEnd w:id="1146"/>
      <w:bookmarkEnd w:id="1147"/>
      <w:bookmarkEnd w:id="1148"/>
      <w:r w:rsidR="008811D7" w:rsidRPr="007C5A6E">
        <w:rPr>
          <w:rFonts w:ascii="Times New Roman" w:hAnsi="Times New Roman"/>
          <w:color w:val="auto"/>
          <w:sz w:val="24"/>
          <w:szCs w:val="24"/>
        </w:rPr>
        <w:t xml:space="preserve"> </w:t>
      </w:r>
    </w:p>
    <w:p w14:paraId="0866DF74" w14:textId="77777777" w:rsidR="009F25CF" w:rsidRPr="007C5A6E" w:rsidRDefault="009F25CF" w:rsidP="009F25CF">
      <w:pPr>
        <w:spacing w:after="0" w:line="240" w:lineRule="auto"/>
        <w:jc w:val="both"/>
        <w:rPr>
          <w:rFonts w:ascii="Times New Roman" w:hAnsi="Times New Roman"/>
          <w:i/>
          <w:iCs/>
          <w:sz w:val="24"/>
          <w:szCs w:val="24"/>
        </w:rPr>
      </w:pPr>
    </w:p>
    <w:p w14:paraId="56B9179B" w14:textId="35CCAF1E" w:rsidR="008811D7" w:rsidRPr="007C5A6E" w:rsidRDefault="008811D7" w:rsidP="007A5982">
      <w:pPr>
        <w:spacing w:after="0" w:line="240" w:lineRule="auto"/>
        <w:jc w:val="both"/>
        <w:rPr>
          <w:rFonts w:ascii="Times New Roman" w:hAnsi="Times New Roman"/>
          <w:sz w:val="24"/>
          <w:szCs w:val="24"/>
        </w:rPr>
      </w:pPr>
      <w:r w:rsidRPr="007C5A6E">
        <w:rPr>
          <w:rFonts w:ascii="Times New Roman" w:hAnsi="Times New Roman"/>
          <w:i/>
          <w:iCs/>
          <w:sz w:val="24"/>
          <w:szCs w:val="24"/>
        </w:rPr>
        <w:t>Savanes arbustives et herbeuses</w:t>
      </w:r>
      <w:r w:rsidRPr="007C5A6E">
        <w:rPr>
          <w:rFonts w:ascii="Times New Roman" w:hAnsi="Times New Roman"/>
          <w:sz w:val="24"/>
          <w:szCs w:val="24"/>
        </w:rPr>
        <w:t> : Les tendances des savanes arbustives et herbeuses n’ont pu être documentées. L’on sait tout de même qu’elles impactent sur le climat avec un taux de carbone séquestré qui n’excède pas 40 tonnes/ha (MEEVCC, 2020).</w:t>
      </w:r>
    </w:p>
    <w:p w14:paraId="15CB681B" w14:textId="77777777" w:rsidR="008811D7" w:rsidRPr="007C5A6E" w:rsidRDefault="008811D7" w:rsidP="008811D7">
      <w:pPr>
        <w:spacing w:after="0" w:line="240" w:lineRule="auto"/>
        <w:jc w:val="both"/>
        <w:rPr>
          <w:rFonts w:ascii="Times New Roman" w:hAnsi="Times New Roman"/>
          <w:sz w:val="24"/>
          <w:szCs w:val="24"/>
        </w:rPr>
      </w:pPr>
    </w:p>
    <w:p w14:paraId="596AD8D5" w14:textId="77777777" w:rsidR="009F25CF" w:rsidRPr="007C5A6E" w:rsidRDefault="009F25CF" w:rsidP="008811D7">
      <w:pPr>
        <w:spacing w:after="0" w:line="240" w:lineRule="auto"/>
        <w:jc w:val="both"/>
        <w:rPr>
          <w:rFonts w:ascii="Times New Roman" w:hAnsi="Times New Roman"/>
          <w:sz w:val="24"/>
          <w:szCs w:val="24"/>
        </w:rPr>
      </w:pPr>
    </w:p>
    <w:p w14:paraId="3765A2A2" w14:textId="77777777" w:rsidR="008811D7" w:rsidRPr="007C5A6E" w:rsidRDefault="008811D7" w:rsidP="003F3821">
      <w:pPr>
        <w:numPr>
          <w:ilvl w:val="0"/>
          <w:numId w:val="40"/>
        </w:numPr>
        <w:spacing w:after="0" w:line="240" w:lineRule="auto"/>
        <w:ind w:left="357" w:hanging="357"/>
        <w:contextualSpacing/>
        <w:jc w:val="both"/>
        <w:rPr>
          <w:rFonts w:ascii="Times New Roman" w:hAnsi="Times New Roman"/>
          <w:b/>
          <w:bCs/>
          <w:sz w:val="24"/>
          <w:szCs w:val="24"/>
        </w:rPr>
      </w:pPr>
      <w:r w:rsidRPr="007C5A6E">
        <w:rPr>
          <w:rFonts w:ascii="Times New Roman" w:hAnsi="Times New Roman"/>
          <w:b/>
          <w:bCs/>
          <w:sz w:val="24"/>
          <w:szCs w:val="24"/>
        </w:rPr>
        <w:t>Les steppes</w:t>
      </w:r>
    </w:p>
    <w:p w14:paraId="511CFDFD" w14:textId="77777777" w:rsidR="008811D7" w:rsidRPr="007C5A6E" w:rsidRDefault="008811D7" w:rsidP="008811D7">
      <w:pPr>
        <w:spacing w:after="0" w:line="240" w:lineRule="auto"/>
        <w:ind w:left="708" w:firstLine="708"/>
        <w:jc w:val="both"/>
        <w:rPr>
          <w:rFonts w:ascii="Times New Roman" w:hAnsi="Times New Roman"/>
          <w:sz w:val="24"/>
          <w:szCs w:val="24"/>
        </w:rPr>
      </w:pPr>
    </w:p>
    <w:p w14:paraId="6048A448" w14:textId="14B9808B" w:rsidR="008811D7" w:rsidRPr="007C5A6E" w:rsidRDefault="008811D7" w:rsidP="007A5982">
      <w:pPr>
        <w:spacing w:after="0" w:line="240" w:lineRule="auto"/>
        <w:jc w:val="both"/>
        <w:rPr>
          <w:rFonts w:ascii="Times New Roman" w:hAnsi="Times New Roman"/>
          <w:sz w:val="24"/>
          <w:szCs w:val="24"/>
        </w:rPr>
      </w:pPr>
      <w:r w:rsidRPr="007C5A6E">
        <w:rPr>
          <w:rFonts w:ascii="Times New Roman" w:hAnsi="Times New Roman"/>
          <w:i/>
          <w:iCs/>
          <w:sz w:val="24"/>
          <w:szCs w:val="24"/>
        </w:rPr>
        <w:t>Steppes arborées </w:t>
      </w:r>
      <w:r w:rsidRPr="007C5A6E">
        <w:rPr>
          <w:rFonts w:ascii="Times New Roman" w:hAnsi="Times New Roman"/>
          <w:sz w:val="24"/>
          <w:szCs w:val="24"/>
        </w:rPr>
        <w:t>: Selon SP/REDD+ (2023), entre 2000 et 2022, les steppes arborées ont perdu 175 003,02 ha (soit annuellement de 7 954,68 ha) de terre (Figure</w:t>
      </w:r>
      <w:r w:rsidR="007A5982" w:rsidRPr="007C5A6E">
        <w:rPr>
          <w:rFonts w:ascii="Times New Roman" w:hAnsi="Times New Roman"/>
          <w:sz w:val="24"/>
          <w:szCs w:val="24"/>
        </w:rPr>
        <w:t xml:space="preserve"> 72</w:t>
      </w:r>
      <w:r w:rsidRPr="007C5A6E">
        <w:rPr>
          <w:rFonts w:ascii="Times New Roman" w:hAnsi="Times New Roman"/>
          <w:sz w:val="24"/>
          <w:szCs w:val="24"/>
        </w:rPr>
        <w:t>) au profit d’autres unités dont les terres de culture annuelle (116 223,75 ha), les parcs agroforestiers (30 955,36 ha), les steppe arbustive (13 913,20 ha), les steppe herbeuse (10 821,71 ha), les terres d’habitation (1 544,52 ha), et les surface en eau (1 544,52 ha). Le taux de carbone séquestré par les steppes arborées est estimé à 22 tonnes à l’hectare (MEEVCC, 2020).</w:t>
      </w:r>
    </w:p>
    <w:p w14:paraId="5DD34209" w14:textId="77777777" w:rsidR="008811D7" w:rsidRPr="007C5A6E" w:rsidRDefault="008811D7" w:rsidP="008811D7">
      <w:pPr>
        <w:spacing w:after="0" w:line="240" w:lineRule="auto"/>
        <w:ind w:left="1068"/>
        <w:contextualSpacing/>
        <w:jc w:val="both"/>
        <w:rPr>
          <w:rFonts w:ascii="Times New Roman" w:hAnsi="Times New Roman"/>
          <w:sz w:val="24"/>
          <w:szCs w:val="24"/>
        </w:rPr>
      </w:pPr>
    </w:p>
    <w:p w14:paraId="0C9931FB" w14:textId="77777777" w:rsidR="008811D7" w:rsidRPr="007C5A6E" w:rsidRDefault="008811D7" w:rsidP="007A5982">
      <w:pPr>
        <w:spacing w:after="0" w:line="240" w:lineRule="auto"/>
        <w:contextualSpacing/>
        <w:jc w:val="both"/>
        <w:rPr>
          <w:rFonts w:ascii="Times New Roman" w:hAnsi="Times New Roman"/>
          <w:noProof/>
          <w:sz w:val="24"/>
          <w:szCs w:val="24"/>
          <w14:ligatures w14:val="standardContextual"/>
        </w:rPr>
      </w:pPr>
      <w:r w:rsidRPr="007C5A6E">
        <w:rPr>
          <w:rFonts w:ascii="Times New Roman" w:hAnsi="Times New Roman"/>
          <w:noProof/>
          <w:sz w:val="24"/>
          <w:szCs w:val="24"/>
          <w14:ligatures w14:val="standardContextual"/>
        </w:rPr>
        <w:drawing>
          <wp:inline distT="0" distB="0" distL="0" distR="0" wp14:anchorId="5D2A4FD9" wp14:editId="4AE75BCA">
            <wp:extent cx="4257675" cy="2181225"/>
            <wp:effectExtent l="0" t="0" r="9525" b="9525"/>
            <wp:docPr id="615854522" name="Graphique 6158545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7EA273EF" w14:textId="77777777" w:rsidR="007A5982" w:rsidRPr="007C5A6E" w:rsidRDefault="007A5982" w:rsidP="007A5982">
      <w:pPr>
        <w:spacing w:after="0" w:line="240" w:lineRule="auto"/>
        <w:jc w:val="both"/>
        <w:rPr>
          <w:rFonts w:ascii="Times New Roman" w:hAnsi="Times New Roman"/>
          <w:sz w:val="20"/>
          <w:szCs w:val="20"/>
        </w:rPr>
      </w:pPr>
      <w:bookmarkStart w:id="1149" w:name="_Toc182575487"/>
      <w:r w:rsidRPr="007C5A6E">
        <w:rPr>
          <w:rFonts w:ascii="Times New Roman" w:hAnsi="Times New Roman"/>
          <w:sz w:val="20"/>
          <w:szCs w:val="20"/>
        </w:rPr>
        <w:t>(Source : SP/REDD+, 2023)</w:t>
      </w:r>
    </w:p>
    <w:p w14:paraId="6C1F346F" w14:textId="753590D1" w:rsidR="008811D7" w:rsidRPr="007C5A6E" w:rsidRDefault="007A5982" w:rsidP="007A5982">
      <w:pPr>
        <w:pStyle w:val="Lgende"/>
        <w:spacing w:after="0"/>
        <w:rPr>
          <w:rFonts w:ascii="Times New Roman" w:hAnsi="Times New Roman"/>
          <w:color w:val="auto"/>
          <w:sz w:val="24"/>
          <w:szCs w:val="24"/>
        </w:rPr>
      </w:pPr>
      <w:bookmarkStart w:id="1150" w:name="_Toc183230919"/>
      <w:bookmarkStart w:id="1151" w:name="_Toc183240712"/>
      <w:bookmarkStart w:id="1152" w:name="_Toc183340451"/>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72</w:t>
      </w:r>
      <w:r w:rsidRPr="007C5A6E">
        <w:rPr>
          <w:rFonts w:ascii="Times New Roman" w:hAnsi="Times New Roman"/>
          <w:color w:val="auto"/>
          <w:sz w:val="24"/>
          <w:szCs w:val="24"/>
        </w:rPr>
        <w:fldChar w:fldCharType="end"/>
      </w:r>
      <w:r w:rsidR="00861CEA" w:rsidRPr="007C5A6E">
        <w:rPr>
          <w:rFonts w:ascii="Times New Roman" w:hAnsi="Times New Roman"/>
          <w:color w:val="auto"/>
          <w:sz w:val="24"/>
          <w:szCs w:val="24"/>
        </w:rPr>
        <w:t>.</w:t>
      </w:r>
      <w:r w:rsidR="008811D7" w:rsidRPr="007C5A6E">
        <w:rPr>
          <w:rFonts w:ascii="Times New Roman" w:hAnsi="Times New Roman"/>
          <w:color w:val="auto"/>
          <w:sz w:val="24"/>
          <w:szCs w:val="24"/>
        </w:rPr>
        <w:t xml:space="preserve"> Evolution des superficies des steppes arborées de 2000 à 2022</w:t>
      </w:r>
      <w:bookmarkEnd w:id="1149"/>
      <w:bookmarkEnd w:id="1150"/>
      <w:bookmarkEnd w:id="1151"/>
      <w:bookmarkEnd w:id="1152"/>
      <w:r w:rsidR="008811D7" w:rsidRPr="007C5A6E">
        <w:rPr>
          <w:rFonts w:ascii="Times New Roman" w:hAnsi="Times New Roman"/>
          <w:color w:val="auto"/>
          <w:sz w:val="24"/>
          <w:szCs w:val="24"/>
        </w:rPr>
        <w:t xml:space="preserve"> </w:t>
      </w:r>
    </w:p>
    <w:p w14:paraId="14DD5A7B" w14:textId="77777777" w:rsidR="008811D7" w:rsidRPr="007C5A6E" w:rsidRDefault="008811D7" w:rsidP="008811D7">
      <w:pPr>
        <w:spacing w:after="0" w:line="240" w:lineRule="auto"/>
        <w:jc w:val="both"/>
        <w:rPr>
          <w:rFonts w:ascii="Times New Roman" w:hAnsi="Times New Roman"/>
          <w:sz w:val="24"/>
          <w:szCs w:val="24"/>
        </w:rPr>
      </w:pPr>
    </w:p>
    <w:p w14:paraId="0AE4D549" w14:textId="1DC4B63D" w:rsidR="008811D7" w:rsidRPr="007C5A6E" w:rsidRDefault="008811D7" w:rsidP="007A5982">
      <w:pPr>
        <w:spacing w:after="0" w:line="240" w:lineRule="auto"/>
        <w:jc w:val="both"/>
        <w:rPr>
          <w:rFonts w:ascii="Times New Roman" w:hAnsi="Times New Roman"/>
          <w:sz w:val="24"/>
          <w:szCs w:val="24"/>
        </w:rPr>
      </w:pPr>
      <w:r w:rsidRPr="007C5A6E">
        <w:rPr>
          <w:rFonts w:ascii="Times New Roman" w:hAnsi="Times New Roman"/>
          <w:i/>
          <w:iCs/>
          <w:sz w:val="24"/>
          <w:szCs w:val="24"/>
        </w:rPr>
        <w:t>Les Steppes arbustives et herbeuse </w:t>
      </w:r>
      <w:r w:rsidRPr="007C5A6E">
        <w:rPr>
          <w:rFonts w:ascii="Times New Roman" w:hAnsi="Times New Roman"/>
          <w:sz w:val="24"/>
          <w:szCs w:val="24"/>
        </w:rPr>
        <w:t xml:space="preserve">: La tendance nationale des steppes arbustives et herbeuses n’a pu être documentions. Toutefois, a l’image de l’ensemble de la zone phytogéographique qui les abrite (sahélienne), il est probable qu’elles subissent de profondes mutations sous les pressions.  En particulier, les travaux de </w:t>
      </w:r>
      <w:bookmarkStart w:id="1153" w:name="_Hlk182487564"/>
      <w:proofErr w:type="spellStart"/>
      <w:r w:rsidRPr="007C5A6E">
        <w:rPr>
          <w:rFonts w:ascii="Times New Roman" w:hAnsi="Times New Roman"/>
          <w:sz w:val="24"/>
          <w:szCs w:val="24"/>
        </w:rPr>
        <w:t>Zoma</w:t>
      </w:r>
      <w:proofErr w:type="spellEnd"/>
      <w:r w:rsidRPr="007C5A6E">
        <w:rPr>
          <w:rFonts w:ascii="Times New Roman" w:hAnsi="Times New Roman"/>
          <w:sz w:val="24"/>
          <w:szCs w:val="24"/>
        </w:rPr>
        <w:t xml:space="preserve"> et Tarama</w:t>
      </w:r>
      <w:bookmarkEnd w:id="1153"/>
      <w:r w:rsidRPr="007C5A6E">
        <w:rPr>
          <w:rFonts w:ascii="Times New Roman" w:hAnsi="Times New Roman"/>
          <w:sz w:val="24"/>
          <w:szCs w:val="24"/>
        </w:rPr>
        <w:t>, (2022) dans la commune de Seytenga, soutiennent une disparition de la steppe arbustive depuis 1992 (figure</w:t>
      </w:r>
      <w:r w:rsidR="007A5982" w:rsidRPr="007C5A6E">
        <w:rPr>
          <w:rFonts w:ascii="Times New Roman" w:hAnsi="Times New Roman"/>
          <w:sz w:val="24"/>
          <w:szCs w:val="24"/>
        </w:rPr>
        <w:t xml:space="preserve"> 73</w:t>
      </w:r>
      <w:r w:rsidRPr="007C5A6E">
        <w:rPr>
          <w:rFonts w:ascii="Times New Roman" w:hAnsi="Times New Roman"/>
          <w:sz w:val="24"/>
          <w:szCs w:val="24"/>
        </w:rPr>
        <w:t xml:space="preserve">). L’agriculture s’intensifie au centre et à l’extrême Sud de la commune, tandis que la steppe herbeuse remplace progressivement la steppe arbustive au Nord. L’analyse diachronique de l’occupation des terres de la commune de 1992 à 2014 montre une régression des formations végétales (steppe arborée et steppe arbustive). Pendant la même période, les superficies des terres cultivées et les zones nues ont sensiblement augmentée. La terre est sollicitée pour l’agriculture et cela la dégrade considérablement. Du reste, une étude diachronique de l’occupation des terres du bassin versant de </w:t>
      </w:r>
      <w:proofErr w:type="spellStart"/>
      <w:r w:rsidRPr="007C5A6E">
        <w:rPr>
          <w:rFonts w:ascii="Times New Roman" w:hAnsi="Times New Roman"/>
          <w:sz w:val="24"/>
          <w:szCs w:val="24"/>
        </w:rPr>
        <w:t>Yakouta</w:t>
      </w:r>
      <w:proofErr w:type="spellEnd"/>
      <w:r w:rsidRPr="007C5A6E">
        <w:rPr>
          <w:rFonts w:ascii="Times New Roman" w:hAnsi="Times New Roman"/>
          <w:sz w:val="24"/>
          <w:szCs w:val="24"/>
        </w:rPr>
        <w:t xml:space="preserve"> de 2002 à 2011 réalisée par </w:t>
      </w:r>
      <w:bookmarkStart w:id="1154" w:name="_Hlk182487676"/>
      <w:r w:rsidRPr="007C5A6E">
        <w:rPr>
          <w:rFonts w:ascii="Times New Roman" w:hAnsi="Times New Roman"/>
          <w:sz w:val="24"/>
          <w:szCs w:val="24"/>
        </w:rPr>
        <w:t>Ouédraogo et al (2015)</w:t>
      </w:r>
      <w:bookmarkEnd w:id="1154"/>
      <w:r w:rsidRPr="007C5A6E">
        <w:rPr>
          <w:rFonts w:ascii="Times New Roman" w:hAnsi="Times New Roman"/>
          <w:sz w:val="24"/>
          <w:szCs w:val="24"/>
        </w:rPr>
        <w:t xml:space="preserve"> a révélé que les superficies des formations ripicoles ont connu une réduction de l’ordre de -7,82%, tandis que les superficies de cultures ont connu une augmentation de 1,59%. En plus de la ressource végétale, la ressource en eau est également impactée par les variations climatiques. Les steppes arbustives et herbeuses ne séquestrent que 9 tonnes de carbone par hectare (MEEVCC, 2020)</w:t>
      </w:r>
    </w:p>
    <w:p w14:paraId="07D718A1" w14:textId="77777777" w:rsidR="008811D7" w:rsidRPr="007C5A6E" w:rsidRDefault="008811D7" w:rsidP="008811D7">
      <w:pPr>
        <w:spacing w:after="0" w:line="240" w:lineRule="auto"/>
        <w:jc w:val="both"/>
        <w:rPr>
          <w:rFonts w:ascii="Times New Roman" w:hAnsi="Times New Roman"/>
          <w:sz w:val="24"/>
          <w:szCs w:val="24"/>
        </w:rPr>
      </w:pPr>
    </w:p>
    <w:p w14:paraId="61D89A6C" w14:textId="77777777"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0B517774" wp14:editId="1278E940">
            <wp:extent cx="5760720" cy="3667125"/>
            <wp:effectExtent l="0" t="0" r="0" b="9525"/>
            <wp:docPr id="987904245"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5760720" cy="3667125"/>
                    </a:xfrm>
                    <a:prstGeom prst="rect">
                      <a:avLst/>
                    </a:prstGeom>
                    <a:noFill/>
                    <a:ln>
                      <a:noFill/>
                    </a:ln>
                  </pic:spPr>
                </pic:pic>
              </a:graphicData>
            </a:graphic>
          </wp:inline>
        </w:drawing>
      </w:r>
    </w:p>
    <w:p w14:paraId="24FE8C7F" w14:textId="77777777" w:rsidR="007A5982" w:rsidRPr="007C5A6E" w:rsidRDefault="007A5982" w:rsidP="007A5982">
      <w:pPr>
        <w:spacing w:after="0" w:line="240" w:lineRule="auto"/>
        <w:jc w:val="both"/>
        <w:rPr>
          <w:rFonts w:ascii="Times New Roman" w:hAnsi="Times New Roman"/>
          <w:sz w:val="20"/>
          <w:szCs w:val="20"/>
        </w:rPr>
      </w:pPr>
      <w:bookmarkStart w:id="1155" w:name="_Toc182575488"/>
      <w:r w:rsidRPr="007C5A6E">
        <w:rPr>
          <w:rFonts w:ascii="Times New Roman" w:hAnsi="Times New Roman"/>
          <w:sz w:val="20"/>
          <w:szCs w:val="20"/>
        </w:rPr>
        <w:t xml:space="preserve">(Source : </w:t>
      </w:r>
      <w:proofErr w:type="spellStart"/>
      <w:r w:rsidRPr="007C5A6E">
        <w:rPr>
          <w:rFonts w:ascii="Times New Roman" w:hAnsi="Times New Roman"/>
          <w:sz w:val="20"/>
          <w:szCs w:val="20"/>
        </w:rPr>
        <w:t>Zoma</w:t>
      </w:r>
      <w:proofErr w:type="spellEnd"/>
      <w:r w:rsidRPr="007C5A6E">
        <w:rPr>
          <w:rFonts w:ascii="Times New Roman" w:hAnsi="Times New Roman"/>
          <w:sz w:val="20"/>
          <w:szCs w:val="20"/>
        </w:rPr>
        <w:t xml:space="preserve"> et Tarama, 2022)</w:t>
      </w:r>
    </w:p>
    <w:p w14:paraId="4DA91B71" w14:textId="5D71A148" w:rsidR="008811D7" w:rsidRPr="007C5A6E" w:rsidRDefault="007A5982" w:rsidP="007A5982">
      <w:pPr>
        <w:pStyle w:val="Lgende"/>
        <w:spacing w:after="0"/>
        <w:rPr>
          <w:rFonts w:ascii="Times New Roman" w:hAnsi="Times New Roman"/>
          <w:color w:val="auto"/>
          <w:sz w:val="24"/>
          <w:szCs w:val="24"/>
        </w:rPr>
      </w:pPr>
      <w:bookmarkStart w:id="1156" w:name="_Toc183230920"/>
      <w:bookmarkStart w:id="1157" w:name="_Toc183240713"/>
      <w:bookmarkStart w:id="1158" w:name="_Toc183340452"/>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73</w:t>
      </w:r>
      <w:r w:rsidRPr="007C5A6E">
        <w:rPr>
          <w:rFonts w:ascii="Times New Roman" w:hAnsi="Times New Roman"/>
          <w:color w:val="auto"/>
          <w:sz w:val="24"/>
          <w:szCs w:val="24"/>
        </w:rPr>
        <w:fldChar w:fldCharType="end"/>
      </w:r>
      <w:r w:rsidR="00861CEA" w:rsidRPr="007C5A6E">
        <w:rPr>
          <w:rFonts w:ascii="Times New Roman" w:hAnsi="Times New Roman"/>
          <w:color w:val="auto"/>
          <w:sz w:val="24"/>
          <w:szCs w:val="24"/>
        </w:rPr>
        <w:t>.</w:t>
      </w:r>
      <w:r w:rsidR="008811D7" w:rsidRPr="007C5A6E">
        <w:rPr>
          <w:rFonts w:ascii="Times New Roman" w:hAnsi="Times New Roman"/>
          <w:color w:val="auto"/>
          <w:sz w:val="24"/>
          <w:szCs w:val="24"/>
        </w:rPr>
        <w:t xml:space="preserve"> Evolution de l’occupation des terres à Seytenga de 1992, 2002 et 2014</w:t>
      </w:r>
      <w:bookmarkEnd w:id="1155"/>
      <w:bookmarkEnd w:id="1156"/>
      <w:bookmarkEnd w:id="1157"/>
      <w:bookmarkEnd w:id="1158"/>
    </w:p>
    <w:p w14:paraId="59DE668F" w14:textId="77777777" w:rsidR="008811D7" w:rsidRPr="007C5A6E" w:rsidRDefault="008811D7" w:rsidP="008811D7">
      <w:pPr>
        <w:spacing w:after="0" w:line="240" w:lineRule="auto"/>
        <w:jc w:val="both"/>
        <w:rPr>
          <w:rFonts w:ascii="Times New Roman" w:hAnsi="Times New Roman"/>
          <w:sz w:val="24"/>
          <w:szCs w:val="24"/>
        </w:rPr>
      </w:pPr>
    </w:p>
    <w:p w14:paraId="441152A4" w14:textId="77777777" w:rsidR="008811D7" w:rsidRPr="007C5A6E" w:rsidRDefault="008811D7" w:rsidP="003F3821">
      <w:pPr>
        <w:numPr>
          <w:ilvl w:val="0"/>
          <w:numId w:val="40"/>
        </w:numPr>
        <w:spacing w:after="0" w:line="240" w:lineRule="auto"/>
        <w:ind w:left="357" w:hanging="357"/>
        <w:contextualSpacing/>
        <w:jc w:val="both"/>
        <w:rPr>
          <w:rFonts w:ascii="Times New Roman" w:hAnsi="Times New Roman"/>
          <w:b/>
          <w:bCs/>
          <w:sz w:val="24"/>
          <w:szCs w:val="24"/>
        </w:rPr>
      </w:pPr>
      <w:r w:rsidRPr="007C5A6E">
        <w:rPr>
          <w:rFonts w:ascii="Times New Roman" w:hAnsi="Times New Roman"/>
          <w:b/>
          <w:bCs/>
          <w:sz w:val="24"/>
          <w:szCs w:val="24"/>
        </w:rPr>
        <w:t xml:space="preserve">Les formations ripicoles </w:t>
      </w:r>
    </w:p>
    <w:p w14:paraId="353A593D" w14:textId="77777777" w:rsidR="007A5982" w:rsidRPr="007C5A6E" w:rsidRDefault="007A5982" w:rsidP="007A5982">
      <w:pPr>
        <w:spacing w:after="0" w:line="240" w:lineRule="auto"/>
        <w:jc w:val="both"/>
        <w:rPr>
          <w:rFonts w:ascii="Times New Roman" w:hAnsi="Times New Roman"/>
          <w:sz w:val="24"/>
          <w:szCs w:val="24"/>
        </w:rPr>
      </w:pPr>
    </w:p>
    <w:p w14:paraId="679C3D7C" w14:textId="12FB7230" w:rsidR="008811D7" w:rsidRPr="007C5A6E" w:rsidRDefault="008811D7" w:rsidP="007A5982">
      <w:pPr>
        <w:spacing w:after="0" w:line="240" w:lineRule="auto"/>
        <w:jc w:val="both"/>
        <w:rPr>
          <w:rFonts w:ascii="Times New Roman" w:hAnsi="Times New Roman"/>
          <w:sz w:val="24"/>
          <w:szCs w:val="24"/>
        </w:rPr>
      </w:pPr>
      <w:r w:rsidRPr="007C5A6E">
        <w:rPr>
          <w:rFonts w:ascii="Times New Roman" w:hAnsi="Times New Roman"/>
          <w:sz w:val="24"/>
          <w:szCs w:val="24"/>
        </w:rPr>
        <w:t xml:space="preserve">La situation de la tendance des cordons ripicoles n’a pu être documentée. Selon SP/REDD+ (2023), entre 2000 et 2022, la superficie des forêts galeries a régressé de 26 562,74 ha (Figure </w:t>
      </w:r>
      <w:r w:rsidR="007A5982" w:rsidRPr="007C5A6E">
        <w:rPr>
          <w:rFonts w:ascii="Times New Roman" w:hAnsi="Times New Roman"/>
          <w:sz w:val="24"/>
          <w:szCs w:val="24"/>
        </w:rPr>
        <w:t>74</w:t>
      </w:r>
      <w:r w:rsidRPr="007C5A6E">
        <w:rPr>
          <w:rFonts w:ascii="Times New Roman" w:hAnsi="Times New Roman"/>
          <w:sz w:val="24"/>
          <w:szCs w:val="24"/>
        </w:rPr>
        <w:t>) soit une perte annuelle moyenne de 1 207,39 ha. Ces superficies perdues ont été converties en culture annuelle (18 694,05 ha), parc agroforestier (9 371,24 ha), savane herbeuse (1 566,65 ha), et en surface en eau (1544,67 ha). Les forêts galeries peuvent séquestrer 50 tonnes de carbone/ha (MEEVCC, 2020).</w:t>
      </w:r>
    </w:p>
    <w:p w14:paraId="6FEFAB11" w14:textId="77777777" w:rsidR="008811D7" w:rsidRPr="007C5A6E" w:rsidRDefault="008811D7" w:rsidP="008811D7">
      <w:pPr>
        <w:spacing w:after="0" w:line="240" w:lineRule="auto"/>
        <w:ind w:left="720"/>
        <w:jc w:val="both"/>
        <w:rPr>
          <w:rFonts w:ascii="Times New Roman" w:hAnsi="Times New Roman"/>
          <w:sz w:val="24"/>
          <w:szCs w:val="24"/>
        </w:rPr>
      </w:pPr>
    </w:p>
    <w:p w14:paraId="58829007" w14:textId="77777777" w:rsidR="008811D7" w:rsidRPr="007C5A6E" w:rsidRDefault="008811D7" w:rsidP="007A5982">
      <w:pPr>
        <w:spacing w:after="0" w:line="240" w:lineRule="auto"/>
        <w:contextualSpacing/>
        <w:jc w:val="both"/>
        <w:rPr>
          <w:rFonts w:ascii="Times New Roman" w:hAnsi="Times New Roman"/>
          <w:noProof/>
          <w:sz w:val="24"/>
          <w:szCs w:val="24"/>
          <w14:ligatures w14:val="standardContextual"/>
        </w:rPr>
      </w:pPr>
      <w:r w:rsidRPr="007C5A6E">
        <w:rPr>
          <w:rFonts w:ascii="Times New Roman" w:hAnsi="Times New Roman"/>
          <w:noProof/>
          <w:sz w:val="24"/>
          <w:szCs w:val="24"/>
          <w14:ligatures w14:val="standardContextual"/>
        </w:rPr>
        <w:drawing>
          <wp:inline distT="0" distB="0" distL="0" distR="0" wp14:anchorId="3AB72974" wp14:editId="784912F6">
            <wp:extent cx="4257675" cy="2219325"/>
            <wp:effectExtent l="0" t="0" r="9525" b="9525"/>
            <wp:docPr id="1"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366E6063" w14:textId="77777777" w:rsidR="007A5982" w:rsidRPr="007C5A6E" w:rsidRDefault="007A5982" w:rsidP="007A5982">
      <w:pPr>
        <w:spacing w:after="0" w:line="240" w:lineRule="auto"/>
        <w:contextualSpacing/>
        <w:jc w:val="both"/>
        <w:rPr>
          <w:rFonts w:ascii="Times New Roman" w:hAnsi="Times New Roman"/>
          <w:sz w:val="20"/>
          <w:szCs w:val="20"/>
        </w:rPr>
      </w:pPr>
      <w:bookmarkStart w:id="1159" w:name="_Toc182575489"/>
      <w:r w:rsidRPr="007C5A6E">
        <w:rPr>
          <w:rFonts w:ascii="Times New Roman" w:hAnsi="Times New Roman"/>
          <w:sz w:val="20"/>
          <w:szCs w:val="20"/>
        </w:rPr>
        <w:t>(Source : SP/REDD+, 2023)</w:t>
      </w:r>
    </w:p>
    <w:p w14:paraId="23DC4944" w14:textId="62F8952E" w:rsidR="008811D7" w:rsidRPr="007C5A6E" w:rsidRDefault="007A5982" w:rsidP="007A5982">
      <w:pPr>
        <w:pStyle w:val="Lgende"/>
        <w:spacing w:after="0"/>
        <w:rPr>
          <w:rFonts w:ascii="Times New Roman" w:hAnsi="Times New Roman"/>
          <w:color w:val="auto"/>
          <w:sz w:val="24"/>
          <w:szCs w:val="24"/>
        </w:rPr>
      </w:pPr>
      <w:bookmarkStart w:id="1160" w:name="_Toc183230921"/>
      <w:bookmarkStart w:id="1161" w:name="_Toc183240714"/>
      <w:bookmarkStart w:id="1162" w:name="_Toc183340453"/>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74</w:t>
      </w:r>
      <w:r w:rsidRPr="007C5A6E">
        <w:rPr>
          <w:rFonts w:ascii="Times New Roman" w:hAnsi="Times New Roman"/>
          <w:color w:val="auto"/>
          <w:sz w:val="24"/>
          <w:szCs w:val="24"/>
        </w:rPr>
        <w:fldChar w:fldCharType="end"/>
      </w:r>
      <w:r w:rsidR="00861CEA" w:rsidRPr="007C5A6E">
        <w:rPr>
          <w:rFonts w:ascii="Times New Roman" w:hAnsi="Times New Roman"/>
          <w:color w:val="auto"/>
          <w:sz w:val="24"/>
          <w:szCs w:val="24"/>
        </w:rPr>
        <w:t>.</w:t>
      </w:r>
      <w:r w:rsidR="008811D7" w:rsidRPr="007C5A6E">
        <w:rPr>
          <w:rFonts w:ascii="Times New Roman" w:hAnsi="Times New Roman"/>
          <w:color w:val="auto"/>
          <w:sz w:val="24"/>
          <w:szCs w:val="24"/>
        </w:rPr>
        <w:t xml:space="preserve"> Evolution des superficies des forêts claires de 2000 à 2022</w:t>
      </w:r>
      <w:bookmarkEnd w:id="1159"/>
      <w:bookmarkEnd w:id="1160"/>
      <w:bookmarkEnd w:id="1161"/>
      <w:bookmarkEnd w:id="1162"/>
      <w:r w:rsidR="008811D7" w:rsidRPr="007C5A6E">
        <w:rPr>
          <w:rFonts w:ascii="Times New Roman" w:hAnsi="Times New Roman"/>
          <w:color w:val="auto"/>
          <w:sz w:val="24"/>
          <w:szCs w:val="24"/>
        </w:rPr>
        <w:t xml:space="preserve"> </w:t>
      </w:r>
    </w:p>
    <w:p w14:paraId="3DDBCE9D" w14:textId="77777777" w:rsidR="008811D7" w:rsidRPr="007C5A6E" w:rsidRDefault="008811D7" w:rsidP="007A5982">
      <w:pPr>
        <w:pStyle w:val="Titre3"/>
      </w:pPr>
      <w:r w:rsidRPr="007C5A6E">
        <w:t xml:space="preserve"> </w:t>
      </w:r>
      <w:bookmarkStart w:id="1163" w:name="_Toc182575456"/>
      <w:bookmarkStart w:id="1164" w:name="_Toc183340243"/>
      <w:r w:rsidRPr="007C5A6E">
        <w:t>Modification de la diversité spécifique et de la structure des populations des espèces</w:t>
      </w:r>
      <w:bookmarkEnd w:id="1163"/>
      <w:bookmarkEnd w:id="1164"/>
      <w:r w:rsidRPr="007C5A6E">
        <w:t xml:space="preserve"> </w:t>
      </w:r>
    </w:p>
    <w:p w14:paraId="349223B2" w14:textId="77777777" w:rsidR="008811D7" w:rsidRPr="007C5A6E" w:rsidRDefault="008811D7" w:rsidP="008811D7">
      <w:pPr>
        <w:spacing w:after="0" w:line="240" w:lineRule="auto"/>
        <w:jc w:val="both"/>
        <w:rPr>
          <w:rFonts w:ascii="Times New Roman" w:hAnsi="Times New Roman"/>
          <w:sz w:val="24"/>
          <w:szCs w:val="24"/>
        </w:rPr>
      </w:pPr>
    </w:p>
    <w:p w14:paraId="65702227" w14:textId="77777777"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sz w:val="24"/>
          <w:szCs w:val="24"/>
        </w:rPr>
        <w:t xml:space="preserve">Au plan des espèces, il convient de relever qu’au cours de la décennie, la situation nationale a été plutôt caractérisée par une augmentions des connaissances en nombre des espèces du fait des efforts consentis dans la recherche et la caractérisation du milieu et des espèces. Toutefois, les études ont également relevé qu’en réponse ont variations des paramètres structurels dans les zones écologiques, les statuts des ressources biologiques ont évolué sous les effets combinés du climat et des activités anthropiques. Selon </w:t>
      </w:r>
      <w:bookmarkStart w:id="1165" w:name="_Hlk182487954"/>
      <w:proofErr w:type="spellStart"/>
      <w:r w:rsidRPr="007C5A6E">
        <w:rPr>
          <w:rFonts w:ascii="Times New Roman" w:hAnsi="Times New Roman"/>
          <w:sz w:val="24"/>
          <w:szCs w:val="24"/>
        </w:rPr>
        <w:t>Taonda</w:t>
      </w:r>
      <w:proofErr w:type="spellEnd"/>
      <w:r w:rsidRPr="007C5A6E">
        <w:rPr>
          <w:rFonts w:ascii="Times New Roman" w:hAnsi="Times New Roman"/>
          <w:sz w:val="24"/>
          <w:szCs w:val="24"/>
        </w:rPr>
        <w:t xml:space="preserve"> et </w:t>
      </w:r>
      <w:r w:rsidRPr="007C5A6E">
        <w:rPr>
          <w:rFonts w:ascii="Times New Roman" w:hAnsi="Times New Roman"/>
          <w:i/>
          <w:iCs/>
          <w:sz w:val="24"/>
          <w:szCs w:val="24"/>
        </w:rPr>
        <w:t>al</w:t>
      </w:r>
      <w:r w:rsidRPr="007C5A6E">
        <w:rPr>
          <w:rFonts w:ascii="Times New Roman" w:hAnsi="Times New Roman"/>
          <w:sz w:val="24"/>
          <w:szCs w:val="24"/>
        </w:rPr>
        <w:t>. (2024)</w:t>
      </w:r>
      <w:bookmarkEnd w:id="1165"/>
      <w:r w:rsidRPr="007C5A6E">
        <w:rPr>
          <w:rFonts w:ascii="Times New Roman" w:hAnsi="Times New Roman"/>
          <w:sz w:val="24"/>
          <w:szCs w:val="24"/>
        </w:rPr>
        <w:t xml:space="preserve">, une analyse panoramique du paysage national, montre que la richesse, la densité d’arbres ainsi que la régénération augmentent avec le niveau de précipitations dans les écosystèmes, particulièrement la savane. L’on note une évolution de la dynamique des espèces dans les différentes zones écologiques. </w:t>
      </w:r>
    </w:p>
    <w:p w14:paraId="19DB1EBE" w14:textId="77777777" w:rsidR="008811D7" w:rsidRPr="007C5A6E" w:rsidRDefault="008811D7" w:rsidP="0066705C">
      <w:pPr>
        <w:spacing w:after="0" w:line="240" w:lineRule="auto"/>
        <w:jc w:val="both"/>
        <w:rPr>
          <w:rFonts w:ascii="Times New Roman" w:hAnsi="Times New Roman"/>
          <w:sz w:val="24"/>
          <w:szCs w:val="24"/>
        </w:rPr>
      </w:pPr>
    </w:p>
    <w:p w14:paraId="06371A12" w14:textId="77777777" w:rsidR="008811D7" w:rsidRPr="007C5A6E" w:rsidRDefault="008811D7" w:rsidP="00684FF8">
      <w:pPr>
        <w:pStyle w:val="Titre4"/>
      </w:pPr>
      <w:bookmarkStart w:id="1166" w:name="_Toc182575457"/>
      <w:bookmarkStart w:id="1167" w:name="_Toc183340244"/>
      <w:r w:rsidRPr="007C5A6E">
        <w:t>Au plan des ressources forestières</w:t>
      </w:r>
      <w:bookmarkEnd w:id="1166"/>
      <w:bookmarkEnd w:id="1167"/>
    </w:p>
    <w:p w14:paraId="0AEFDD1D" w14:textId="77777777" w:rsidR="008811D7" w:rsidRPr="007C5A6E" w:rsidRDefault="008811D7" w:rsidP="0066705C">
      <w:pPr>
        <w:spacing w:after="0" w:line="240" w:lineRule="auto"/>
        <w:jc w:val="both"/>
        <w:rPr>
          <w:rFonts w:ascii="Times New Roman" w:hAnsi="Times New Roman"/>
          <w:sz w:val="24"/>
          <w:szCs w:val="24"/>
        </w:rPr>
      </w:pPr>
    </w:p>
    <w:p w14:paraId="2F025A55" w14:textId="77777777" w:rsidR="008811D7" w:rsidRPr="007C5A6E" w:rsidRDefault="008811D7" w:rsidP="0066705C">
      <w:pPr>
        <w:spacing w:after="0" w:line="240" w:lineRule="auto"/>
        <w:jc w:val="both"/>
        <w:rPr>
          <w:rFonts w:ascii="Times New Roman" w:hAnsi="Times New Roman"/>
          <w:sz w:val="24"/>
          <w:szCs w:val="24"/>
        </w:rPr>
      </w:pPr>
      <w:r w:rsidRPr="007C5A6E">
        <w:rPr>
          <w:rFonts w:ascii="Times New Roman" w:hAnsi="Times New Roman"/>
          <w:sz w:val="24"/>
          <w:szCs w:val="24"/>
        </w:rPr>
        <w:t>Les paramètres structurels de la végétation (la richesse spécifique, la densité, la régénération, la couverture végétale, …) diminuent progressivement des zones soudaniennes aux zones soudano-sahéliennes et des zones protégées aux zones non protégées (</w:t>
      </w:r>
      <w:proofErr w:type="spellStart"/>
      <w:r w:rsidRPr="007C5A6E">
        <w:rPr>
          <w:rFonts w:ascii="Times New Roman" w:hAnsi="Times New Roman"/>
          <w:sz w:val="24"/>
          <w:szCs w:val="24"/>
        </w:rPr>
        <w:t>Taonda</w:t>
      </w:r>
      <w:proofErr w:type="spellEnd"/>
      <w:r w:rsidRPr="007C5A6E">
        <w:rPr>
          <w:rFonts w:ascii="Times New Roman" w:hAnsi="Times New Roman"/>
          <w:sz w:val="24"/>
          <w:szCs w:val="24"/>
        </w:rPr>
        <w:t xml:space="preserve"> et </w:t>
      </w:r>
      <w:r w:rsidRPr="007C5A6E">
        <w:rPr>
          <w:rFonts w:ascii="Times New Roman" w:hAnsi="Times New Roman"/>
          <w:i/>
          <w:iCs/>
          <w:sz w:val="24"/>
          <w:szCs w:val="24"/>
        </w:rPr>
        <w:t>al.</w:t>
      </w:r>
      <w:r w:rsidRPr="007C5A6E">
        <w:rPr>
          <w:rFonts w:ascii="Times New Roman" w:hAnsi="Times New Roman"/>
          <w:sz w:val="24"/>
          <w:szCs w:val="24"/>
        </w:rPr>
        <w:t>, 2024). Une analyse verticale (aux files des ans) montre globalement une régression de la diversité dans chaque type d’habitat/écosystème avec toutefois des situations plutôt positives notamment dans les espèces de conservation. Par exemple, au Parc National du W (catégorie II de IUCN) et ses zones de chasse adjacentes (Catégorie IV de l’IUCN), dans la zone</w:t>
      </w:r>
      <w:r w:rsidRPr="007C5A6E">
        <w:rPr>
          <w:rFonts w:ascii="Times New Roman" w:hAnsi="Times New Roman"/>
          <w:i/>
          <w:iCs/>
          <w:sz w:val="24"/>
          <w:szCs w:val="24"/>
        </w:rPr>
        <w:t xml:space="preserve"> soudano-sahélienne,</w:t>
      </w:r>
      <w:r w:rsidRPr="007C5A6E">
        <w:rPr>
          <w:rFonts w:ascii="Times New Roman" w:hAnsi="Times New Roman"/>
          <w:sz w:val="24"/>
          <w:szCs w:val="24"/>
        </w:rPr>
        <w:t xml:space="preserve"> </w:t>
      </w:r>
      <w:proofErr w:type="spellStart"/>
      <w:r w:rsidRPr="007C5A6E">
        <w:rPr>
          <w:rFonts w:ascii="Times New Roman" w:hAnsi="Times New Roman"/>
          <w:sz w:val="24"/>
          <w:szCs w:val="24"/>
        </w:rPr>
        <w:t>Nacoulma</w:t>
      </w:r>
      <w:proofErr w:type="spellEnd"/>
      <w:r w:rsidRPr="007C5A6E">
        <w:rPr>
          <w:rFonts w:ascii="Times New Roman" w:hAnsi="Times New Roman"/>
          <w:sz w:val="24"/>
          <w:szCs w:val="24"/>
        </w:rPr>
        <w:t xml:space="preserve"> et al. (2018)</w:t>
      </w:r>
      <w:r w:rsidRPr="007C5A6E">
        <w:rPr>
          <w:rFonts w:ascii="Times New Roman" w:hAnsi="Times New Roman"/>
          <w:i/>
          <w:iCs/>
          <w:sz w:val="24"/>
          <w:szCs w:val="24"/>
        </w:rPr>
        <w:t> </w:t>
      </w:r>
      <w:r w:rsidRPr="007C5A6E">
        <w:rPr>
          <w:rFonts w:ascii="Times New Roman" w:hAnsi="Times New Roman"/>
          <w:sz w:val="24"/>
          <w:szCs w:val="24"/>
        </w:rPr>
        <w:t xml:space="preserve">constatent une évolution des nombres d’espèce. </w:t>
      </w:r>
    </w:p>
    <w:p w14:paraId="08503C95" w14:textId="77777777" w:rsidR="008811D7" w:rsidRPr="007C5A6E" w:rsidRDefault="008811D7" w:rsidP="0066705C">
      <w:pPr>
        <w:spacing w:after="0" w:line="240" w:lineRule="auto"/>
        <w:jc w:val="both"/>
        <w:rPr>
          <w:rFonts w:ascii="Times New Roman" w:hAnsi="Times New Roman"/>
          <w:sz w:val="24"/>
          <w:szCs w:val="24"/>
        </w:rPr>
      </w:pPr>
    </w:p>
    <w:p w14:paraId="0930E178" w14:textId="77777777" w:rsidR="008811D7" w:rsidRPr="007C5A6E" w:rsidRDefault="008811D7" w:rsidP="0066705C">
      <w:pPr>
        <w:spacing w:after="0" w:line="240" w:lineRule="auto"/>
        <w:jc w:val="both"/>
        <w:rPr>
          <w:rFonts w:ascii="Times New Roman" w:hAnsi="Times New Roman"/>
          <w:sz w:val="24"/>
          <w:szCs w:val="24"/>
        </w:rPr>
      </w:pPr>
      <w:bookmarkStart w:id="1168" w:name="_Hlk182488090"/>
      <w:proofErr w:type="spellStart"/>
      <w:r w:rsidRPr="007C5A6E">
        <w:rPr>
          <w:rFonts w:ascii="Times New Roman" w:hAnsi="Times New Roman"/>
          <w:sz w:val="24"/>
          <w:szCs w:val="24"/>
        </w:rPr>
        <w:t>Lompo</w:t>
      </w:r>
      <w:proofErr w:type="spellEnd"/>
      <w:r w:rsidRPr="007C5A6E">
        <w:rPr>
          <w:rFonts w:ascii="Times New Roman" w:hAnsi="Times New Roman"/>
          <w:sz w:val="24"/>
          <w:szCs w:val="24"/>
        </w:rPr>
        <w:t xml:space="preserve"> et al. (2021) </w:t>
      </w:r>
      <w:bookmarkEnd w:id="1168"/>
      <w:r w:rsidRPr="007C5A6E">
        <w:rPr>
          <w:rFonts w:ascii="Times New Roman" w:hAnsi="Times New Roman"/>
          <w:sz w:val="24"/>
          <w:szCs w:val="24"/>
        </w:rPr>
        <w:t xml:space="preserve">pour leur part, soutiennent qu’environ 169,399 km2, soit 62% du territoire national, sont actuellement propices à la conservation de </w:t>
      </w:r>
      <w:r w:rsidRPr="007C5A6E">
        <w:rPr>
          <w:rFonts w:ascii="Times New Roman" w:hAnsi="Times New Roman"/>
          <w:i/>
          <w:iCs/>
          <w:sz w:val="24"/>
          <w:szCs w:val="24"/>
        </w:rPr>
        <w:t>Ximenia americana</w:t>
      </w:r>
      <w:r w:rsidRPr="007C5A6E">
        <w:rPr>
          <w:rFonts w:ascii="Times New Roman" w:hAnsi="Times New Roman"/>
          <w:sz w:val="24"/>
          <w:szCs w:val="24"/>
        </w:rPr>
        <w:t xml:space="preserve"> avec des projections d’une décroissance de 15% et 25% de ces zones propices à la conservation de l’espèce, sous l’effet de projection climatique future.</w:t>
      </w:r>
    </w:p>
    <w:p w14:paraId="33467B0E" w14:textId="77777777" w:rsidR="008811D7" w:rsidRPr="007C5A6E" w:rsidRDefault="008811D7" w:rsidP="0066705C">
      <w:pPr>
        <w:spacing w:after="0" w:line="240" w:lineRule="auto"/>
        <w:jc w:val="both"/>
        <w:rPr>
          <w:rFonts w:ascii="Times New Roman" w:hAnsi="Times New Roman"/>
          <w:sz w:val="24"/>
          <w:szCs w:val="24"/>
        </w:rPr>
      </w:pPr>
    </w:p>
    <w:p w14:paraId="31EBA659" w14:textId="79A23A0B" w:rsidR="008811D7" w:rsidRPr="007C5A6E" w:rsidRDefault="008811D7" w:rsidP="0066705C">
      <w:pPr>
        <w:spacing w:after="0" w:line="240" w:lineRule="auto"/>
        <w:jc w:val="both"/>
        <w:rPr>
          <w:rFonts w:ascii="Times New Roman" w:hAnsi="Times New Roman"/>
          <w:sz w:val="24"/>
          <w:szCs w:val="24"/>
        </w:rPr>
      </w:pPr>
      <w:r w:rsidRPr="007C5A6E">
        <w:rPr>
          <w:rFonts w:ascii="Times New Roman" w:hAnsi="Times New Roman"/>
          <w:sz w:val="24"/>
          <w:szCs w:val="24"/>
        </w:rPr>
        <w:t xml:space="preserve">S’appuyant sur le cas de </w:t>
      </w:r>
      <w:proofErr w:type="spellStart"/>
      <w:r w:rsidRPr="007C5A6E">
        <w:rPr>
          <w:rFonts w:ascii="Times New Roman" w:hAnsi="Times New Roman"/>
          <w:i/>
          <w:iCs/>
          <w:sz w:val="24"/>
          <w:szCs w:val="24"/>
        </w:rPr>
        <w:t>Detarium</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microcarpum</w:t>
      </w:r>
      <w:proofErr w:type="spellEnd"/>
      <w:r w:rsidRPr="007C5A6E">
        <w:rPr>
          <w:rFonts w:ascii="Times New Roman" w:hAnsi="Times New Roman"/>
          <w:sz w:val="24"/>
          <w:szCs w:val="24"/>
        </w:rPr>
        <w:t xml:space="preserve"> dans </w:t>
      </w:r>
      <w:proofErr w:type="gramStart"/>
      <w:r w:rsidRPr="007C5A6E">
        <w:rPr>
          <w:rFonts w:ascii="Times New Roman" w:hAnsi="Times New Roman"/>
          <w:sz w:val="24"/>
          <w:szCs w:val="24"/>
        </w:rPr>
        <w:t>les zones</w:t>
      </w:r>
      <w:r w:rsidR="0066705C" w:rsidRPr="007C5A6E">
        <w:rPr>
          <w:rFonts w:ascii="Times New Roman" w:hAnsi="Times New Roman"/>
          <w:sz w:val="24"/>
          <w:szCs w:val="24"/>
        </w:rPr>
        <w:t xml:space="preserve"> </w:t>
      </w:r>
      <w:r w:rsidRPr="007C5A6E">
        <w:rPr>
          <w:rFonts w:ascii="Times New Roman" w:hAnsi="Times New Roman"/>
          <w:sz w:val="24"/>
          <w:szCs w:val="24"/>
        </w:rPr>
        <w:t>soudanienne</w:t>
      </w:r>
      <w:proofErr w:type="gramEnd"/>
      <w:r w:rsidRPr="007C5A6E">
        <w:rPr>
          <w:rFonts w:ascii="Times New Roman" w:hAnsi="Times New Roman"/>
          <w:sz w:val="24"/>
          <w:szCs w:val="24"/>
        </w:rPr>
        <w:t xml:space="preserve"> et soudano-sahélienne, </w:t>
      </w:r>
      <w:proofErr w:type="spellStart"/>
      <w:r w:rsidRPr="007C5A6E">
        <w:rPr>
          <w:rFonts w:ascii="Times New Roman" w:hAnsi="Times New Roman"/>
          <w:sz w:val="24"/>
          <w:szCs w:val="24"/>
        </w:rPr>
        <w:t>Taonda</w:t>
      </w:r>
      <w:proofErr w:type="spellEnd"/>
      <w:r w:rsidRPr="007C5A6E">
        <w:rPr>
          <w:rFonts w:ascii="Times New Roman" w:hAnsi="Times New Roman"/>
          <w:sz w:val="24"/>
          <w:szCs w:val="24"/>
        </w:rPr>
        <w:t xml:space="preserve"> et al (2024) ont montré qu’au Burkina Faso, les effets combinés du climat et de l’utilisation des terres affectent considérablement les paramètres structurelles (densité, diamètre, surface basale, taille moyenne de </w:t>
      </w:r>
      <w:proofErr w:type="spellStart"/>
      <w:r w:rsidRPr="007C5A6E">
        <w:rPr>
          <w:rFonts w:ascii="Times New Roman" w:hAnsi="Times New Roman"/>
          <w:sz w:val="24"/>
          <w:szCs w:val="24"/>
        </w:rPr>
        <w:t>Lorey</w:t>
      </w:r>
      <w:proofErr w:type="spellEnd"/>
      <w:r w:rsidRPr="007C5A6E">
        <w:rPr>
          <w:rFonts w:ascii="Times New Roman" w:hAnsi="Times New Roman"/>
          <w:sz w:val="24"/>
          <w:szCs w:val="24"/>
        </w:rPr>
        <w:t xml:space="preserve">, etc.) des espèces végétales. </w:t>
      </w:r>
    </w:p>
    <w:p w14:paraId="38596B24" w14:textId="77777777" w:rsidR="008811D7" w:rsidRPr="007C5A6E" w:rsidRDefault="008811D7" w:rsidP="0066705C">
      <w:pPr>
        <w:spacing w:after="0" w:line="240" w:lineRule="auto"/>
        <w:jc w:val="both"/>
        <w:rPr>
          <w:rFonts w:ascii="Times New Roman" w:hAnsi="Times New Roman"/>
          <w:sz w:val="24"/>
          <w:szCs w:val="24"/>
        </w:rPr>
      </w:pPr>
    </w:p>
    <w:p w14:paraId="59701081" w14:textId="2D142391" w:rsidR="008811D7" w:rsidRPr="007C5A6E" w:rsidRDefault="008811D7" w:rsidP="0066705C">
      <w:pPr>
        <w:spacing w:after="0" w:line="240" w:lineRule="auto"/>
        <w:jc w:val="both"/>
        <w:rPr>
          <w:rFonts w:ascii="Times New Roman" w:hAnsi="Times New Roman"/>
          <w:sz w:val="24"/>
          <w:szCs w:val="24"/>
        </w:rPr>
      </w:pPr>
      <w:r w:rsidRPr="007C5A6E">
        <w:rPr>
          <w:rFonts w:ascii="Times New Roman" w:hAnsi="Times New Roman"/>
          <w:sz w:val="24"/>
          <w:szCs w:val="24"/>
        </w:rPr>
        <w:t>En rapport à la liste rouge globale de l’UIN (2020) au moyen de laquelle environ 20% (400 sur 2099) des espèces présentes au Burkina Faso peuvent être évaluées, 350 (soit 18%) espèces ligneuses et herbacées</w:t>
      </w:r>
      <w:r w:rsidRPr="007C5A6E">
        <w:rPr>
          <w:rFonts w:ascii="Times New Roman" w:hAnsi="Times New Roman"/>
          <w:sz w:val="24"/>
          <w:szCs w:val="24"/>
          <w:vertAlign w:val="superscript"/>
        </w:rPr>
        <w:footnoteReference w:id="25"/>
      </w:r>
      <w:r w:rsidRPr="007C5A6E">
        <w:rPr>
          <w:rFonts w:ascii="Times New Roman" w:hAnsi="Times New Roman"/>
          <w:sz w:val="24"/>
          <w:szCs w:val="24"/>
        </w:rPr>
        <w:t xml:space="preserve"> de la flore nationale du Burkina Faso, sont classées espèces menacées parmi lesquelles, 263 espèces potentiellement menacées (20 CR, 150 EN et 93 VU) et 87 quasi menacées (NT). Plus spécifiquement, il en ressort que 14 espèces sont concernées par les catégories en danger (EN), quasi menacée (NT) ou vulnérable (VU). Les familles de plantes les plus menacées par ordre décroissant sont : les </w:t>
      </w:r>
      <w:proofErr w:type="spellStart"/>
      <w:r w:rsidRPr="007C5A6E">
        <w:rPr>
          <w:rFonts w:ascii="Times New Roman" w:hAnsi="Times New Roman"/>
          <w:i/>
          <w:iCs/>
          <w:sz w:val="24"/>
          <w:szCs w:val="24"/>
        </w:rPr>
        <w:t>Apocynaceae</w:t>
      </w:r>
      <w:proofErr w:type="spellEnd"/>
      <w:r w:rsidRPr="007C5A6E">
        <w:rPr>
          <w:rFonts w:ascii="Times New Roman" w:hAnsi="Times New Roman"/>
          <w:sz w:val="24"/>
          <w:szCs w:val="24"/>
        </w:rPr>
        <w:t xml:space="preserve">, </w:t>
      </w:r>
      <w:proofErr w:type="spellStart"/>
      <w:r w:rsidRPr="007C5A6E">
        <w:rPr>
          <w:rFonts w:ascii="Times New Roman" w:hAnsi="Times New Roman"/>
          <w:i/>
          <w:iCs/>
          <w:sz w:val="24"/>
          <w:szCs w:val="24"/>
        </w:rPr>
        <w:t>Lamiaceae</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Euphorbiaceae</w:t>
      </w:r>
      <w:proofErr w:type="spellEnd"/>
      <w:r w:rsidRPr="007C5A6E">
        <w:rPr>
          <w:rFonts w:ascii="Times New Roman" w:hAnsi="Times New Roman"/>
          <w:sz w:val="24"/>
          <w:szCs w:val="24"/>
        </w:rPr>
        <w:t xml:space="preserve">, </w:t>
      </w:r>
      <w:proofErr w:type="spellStart"/>
      <w:r w:rsidRPr="007C5A6E">
        <w:rPr>
          <w:rFonts w:ascii="Times New Roman" w:hAnsi="Times New Roman"/>
          <w:i/>
          <w:iCs/>
          <w:sz w:val="24"/>
          <w:szCs w:val="24"/>
        </w:rPr>
        <w:t>Rubiaceae</w:t>
      </w:r>
      <w:proofErr w:type="spellEnd"/>
      <w:r w:rsidRPr="007C5A6E">
        <w:rPr>
          <w:rFonts w:ascii="Times New Roman" w:hAnsi="Times New Roman"/>
          <w:i/>
          <w:iCs/>
          <w:sz w:val="24"/>
          <w:szCs w:val="24"/>
        </w:rPr>
        <w:t xml:space="preserve"> </w:t>
      </w:r>
      <w:r w:rsidRPr="007C5A6E">
        <w:rPr>
          <w:rFonts w:ascii="Times New Roman" w:hAnsi="Times New Roman"/>
          <w:sz w:val="24"/>
          <w:szCs w:val="24"/>
        </w:rPr>
        <w:t>et</w:t>
      </w:r>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Malvaceae</w:t>
      </w:r>
      <w:proofErr w:type="spellEnd"/>
      <w:r w:rsidRPr="007C5A6E">
        <w:rPr>
          <w:rFonts w:ascii="Times New Roman" w:hAnsi="Times New Roman"/>
          <w:sz w:val="24"/>
          <w:szCs w:val="24"/>
        </w:rPr>
        <w:t>. Le degré de menace des espèces dépend du type d’habitat (MEEVCC, 2020</w:t>
      </w:r>
      <w:proofErr w:type="gramStart"/>
      <w:r w:rsidRPr="007C5A6E">
        <w:rPr>
          <w:rFonts w:ascii="Times New Roman" w:hAnsi="Times New Roman"/>
          <w:sz w:val="24"/>
          <w:szCs w:val="24"/>
        </w:rPr>
        <w:t>):</w:t>
      </w:r>
      <w:proofErr w:type="gramEnd"/>
      <w:r w:rsidRPr="007C5A6E">
        <w:rPr>
          <w:rFonts w:ascii="Times New Roman" w:hAnsi="Times New Roman"/>
          <w:sz w:val="24"/>
          <w:szCs w:val="24"/>
        </w:rPr>
        <w:t xml:space="preserve"> les forêts et les forêts de galeries auraient la plus forte proportion d’espèces potentiellement menacées ou presque menacées (Figure </w:t>
      </w:r>
      <w:r w:rsidR="00D94D28" w:rsidRPr="007C5A6E">
        <w:rPr>
          <w:rFonts w:ascii="Times New Roman" w:hAnsi="Times New Roman"/>
          <w:sz w:val="24"/>
          <w:szCs w:val="24"/>
        </w:rPr>
        <w:t>75</w:t>
      </w:r>
      <w:r w:rsidRPr="007C5A6E">
        <w:rPr>
          <w:rFonts w:ascii="Times New Roman" w:hAnsi="Times New Roman"/>
          <w:sz w:val="24"/>
          <w:szCs w:val="24"/>
        </w:rPr>
        <w:t>). S’il est vrai que les menaces varient en fonction des zones écologiques</w:t>
      </w:r>
      <w:r w:rsidRPr="007C5A6E">
        <w:rPr>
          <w:rFonts w:ascii="Times New Roman" w:hAnsi="Times New Roman"/>
          <w:sz w:val="24"/>
          <w:szCs w:val="24"/>
          <w:vertAlign w:val="superscript"/>
        </w:rPr>
        <w:footnoteReference w:id="26"/>
      </w:r>
      <w:r w:rsidRPr="007C5A6E">
        <w:rPr>
          <w:rFonts w:ascii="Times New Roman" w:hAnsi="Times New Roman"/>
          <w:sz w:val="24"/>
          <w:szCs w:val="24"/>
        </w:rPr>
        <w:t>, il convient de noter aussi que ces espèces sont fortement concentrées dans la partie Sud du pays (MEEVCC, 2020).</w:t>
      </w:r>
    </w:p>
    <w:p w14:paraId="3B360931" w14:textId="77777777" w:rsidR="008811D7" w:rsidRPr="007C5A6E" w:rsidRDefault="008811D7" w:rsidP="0066705C">
      <w:pPr>
        <w:spacing w:after="0" w:line="240" w:lineRule="auto"/>
        <w:jc w:val="both"/>
        <w:rPr>
          <w:rFonts w:ascii="Times New Roman" w:hAnsi="Times New Roman"/>
          <w:sz w:val="24"/>
          <w:szCs w:val="24"/>
        </w:rPr>
      </w:pPr>
    </w:p>
    <w:p w14:paraId="230B7EF5" w14:textId="77777777"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5B745552" wp14:editId="4BB5E7F4">
            <wp:extent cx="5288280" cy="2667000"/>
            <wp:effectExtent l="0" t="0" r="7620" b="0"/>
            <wp:docPr id="2434698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469808" name=""/>
                    <pic:cNvPicPr/>
                  </pic:nvPicPr>
                  <pic:blipFill>
                    <a:blip r:embed="rId173" cstate="email">
                      <a:extLst>
                        <a:ext uri="{28A0092B-C50C-407E-A947-70E740481C1C}">
                          <a14:useLocalDpi xmlns:a14="http://schemas.microsoft.com/office/drawing/2010/main"/>
                        </a:ext>
                      </a:extLst>
                    </a:blip>
                    <a:stretch>
                      <a:fillRect/>
                    </a:stretch>
                  </pic:blipFill>
                  <pic:spPr>
                    <a:xfrm>
                      <a:off x="0" y="0"/>
                      <a:ext cx="5297199" cy="2671498"/>
                    </a:xfrm>
                    <a:prstGeom prst="rect">
                      <a:avLst/>
                    </a:prstGeom>
                  </pic:spPr>
                </pic:pic>
              </a:graphicData>
            </a:graphic>
          </wp:inline>
        </w:drawing>
      </w:r>
    </w:p>
    <w:p w14:paraId="65C1E1F7" w14:textId="77777777" w:rsidR="00D94D28" w:rsidRPr="007C5A6E" w:rsidRDefault="00D94D28" w:rsidP="00D94D28">
      <w:pPr>
        <w:spacing w:after="0" w:line="240" w:lineRule="auto"/>
        <w:jc w:val="both"/>
        <w:rPr>
          <w:rFonts w:ascii="Times New Roman" w:hAnsi="Times New Roman"/>
          <w:sz w:val="20"/>
          <w:szCs w:val="20"/>
        </w:rPr>
      </w:pPr>
      <w:bookmarkStart w:id="1169" w:name="_Toc182575490"/>
      <w:r w:rsidRPr="007C5A6E">
        <w:rPr>
          <w:rFonts w:ascii="Times New Roman" w:hAnsi="Times New Roman"/>
          <w:sz w:val="20"/>
          <w:szCs w:val="20"/>
        </w:rPr>
        <w:t>(Source : MEEVCC, 2020)</w:t>
      </w:r>
    </w:p>
    <w:p w14:paraId="0B1254E6" w14:textId="3FD03877" w:rsidR="008811D7" w:rsidRPr="007C5A6E" w:rsidRDefault="00D94D28" w:rsidP="00D94D28">
      <w:pPr>
        <w:pStyle w:val="Lgende"/>
        <w:spacing w:after="0"/>
        <w:jc w:val="both"/>
        <w:rPr>
          <w:rFonts w:ascii="Times New Roman" w:hAnsi="Times New Roman"/>
          <w:color w:val="auto"/>
          <w:sz w:val="24"/>
          <w:szCs w:val="24"/>
        </w:rPr>
      </w:pPr>
      <w:bookmarkStart w:id="1170" w:name="_Toc183230922"/>
      <w:bookmarkStart w:id="1171" w:name="_Toc183240715"/>
      <w:bookmarkStart w:id="1172" w:name="_Toc183340454"/>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75</w:t>
      </w:r>
      <w:r w:rsidRPr="007C5A6E">
        <w:rPr>
          <w:rFonts w:ascii="Times New Roman" w:hAnsi="Times New Roman"/>
          <w:color w:val="auto"/>
          <w:sz w:val="24"/>
          <w:szCs w:val="24"/>
        </w:rPr>
        <w:fldChar w:fldCharType="end"/>
      </w:r>
      <w:r w:rsidR="000F1385" w:rsidRPr="007C5A6E">
        <w:rPr>
          <w:rFonts w:ascii="Times New Roman" w:hAnsi="Times New Roman"/>
          <w:color w:val="auto"/>
          <w:sz w:val="24"/>
          <w:szCs w:val="24"/>
        </w:rPr>
        <w:t xml:space="preserve">. </w:t>
      </w:r>
      <w:r w:rsidR="008811D7" w:rsidRPr="007C5A6E">
        <w:rPr>
          <w:rFonts w:ascii="Times New Roman" w:hAnsi="Times New Roman"/>
          <w:color w:val="auto"/>
          <w:sz w:val="24"/>
          <w:szCs w:val="24"/>
        </w:rPr>
        <w:t>Pourcentage d’espèces potentiellement menacées ou menacées au Burkina Faso en fonction de leurs habitats</w:t>
      </w:r>
      <w:bookmarkEnd w:id="1169"/>
      <w:bookmarkEnd w:id="1170"/>
      <w:bookmarkEnd w:id="1171"/>
      <w:bookmarkEnd w:id="1172"/>
    </w:p>
    <w:p w14:paraId="6159734F" w14:textId="77777777" w:rsidR="008811D7" w:rsidRPr="007C5A6E" w:rsidRDefault="008811D7" w:rsidP="008811D7">
      <w:pPr>
        <w:spacing w:after="0" w:line="240" w:lineRule="auto"/>
        <w:jc w:val="both"/>
        <w:rPr>
          <w:rFonts w:ascii="Times New Roman" w:hAnsi="Times New Roman"/>
          <w:sz w:val="24"/>
          <w:szCs w:val="24"/>
        </w:rPr>
      </w:pPr>
    </w:p>
    <w:p w14:paraId="3FA9888C" w14:textId="77777777"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sz w:val="24"/>
          <w:szCs w:val="24"/>
        </w:rPr>
        <w:t>Dans les agrosystèmes étant donné le contexte climatique changeant, les effets des pratiques agricoles se traduisent par une mutation continue du stock génétique, du fait de l’adoption de nouvelles variétés d’espèces génétiquement modifiées et plus robustes au détriment des espèces autochtones. Dans les régions centrales du pays par exemple, les producteurs ont abandonné certaines cultures de rente comme le coton et le tabac au profit des céréales comme le sorgho et le mil. De même, les variétés à cycle long de sorgho et de mil ont été remplacées par des variétés à cycle court. Les raisons de cet abandon sont les sécheresses récurrentes, la baisse des pluies et la raréfaction des terres fertiles. On constate aussi l’adoption de nouvelles cultures comme le melon et une tendance à l’accroissement de la culture de la pastèque qui sont pratiquées en irrigation autour des retenues d’eau et même pendant l’hivernage.</w:t>
      </w:r>
    </w:p>
    <w:p w14:paraId="65E83D72" w14:textId="77777777" w:rsidR="008811D7" w:rsidRPr="007C5A6E" w:rsidRDefault="008811D7" w:rsidP="008811D7">
      <w:pPr>
        <w:spacing w:after="0" w:line="240" w:lineRule="auto"/>
        <w:jc w:val="both"/>
        <w:rPr>
          <w:rFonts w:ascii="Times New Roman" w:hAnsi="Times New Roman"/>
          <w:sz w:val="24"/>
          <w:szCs w:val="24"/>
        </w:rPr>
      </w:pPr>
    </w:p>
    <w:p w14:paraId="198A2F69" w14:textId="77777777" w:rsidR="008811D7" w:rsidRPr="007C5A6E" w:rsidRDefault="008811D7" w:rsidP="00684FF8">
      <w:pPr>
        <w:pStyle w:val="Titre4"/>
      </w:pPr>
      <w:bookmarkStart w:id="1173" w:name="_Toc182575458"/>
      <w:bookmarkStart w:id="1174" w:name="_Toc183340245"/>
      <w:r w:rsidRPr="007C5A6E">
        <w:t>Au plan des ressources fauniques</w:t>
      </w:r>
      <w:bookmarkEnd w:id="1173"/>
      <w:bookmarkEnd w:id="1174"/>
      <w:r w:rsidRPr="007C5A6E">
        <w:t xml:space="preserve"> </w:t>
      </w:r>
    </w:p>
    <w:p w14:paraId="65497F52" w14:textId="77777777" w:rsidR="008811D7" w:rsidRPr="007C5A6E" w:rsidRDefault="008811D7" w:rsidP="008811D7">
      <w:pPr>
        <w:spacing w:after="0" w:line="240" w:lineRule="auto"/>
        <w:jc w:val="both"/>
        <w:rPr>
          <w:rFonts w:ascii="Times New Roman" w:hAnsi="Times New Roman"/>
          <w:sz w:val="24"/>
          <w:szCs w:val="24"/>
        </w:rPr>
      </w:pPr>
    </w:p>
    <w:p w14:paraId="4FA66520" w14:textId="09873C0C"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sz w:val="24"/>
          <w:szCs w:val="24"/>
        </w:rPr>
        <w:t xml:space="preserve">Dans la chaine alimentaire, les animaux apparaissent à partir du second ordre. Ils sont donc directement dépendants des autotrophes (végétaux). Ainsi plus que la flore, les pertes d’habitats et les modifications végétales auront des impacts sensibles sur l’abondance et la </w:t>
      </w:r>
      <w:r w:rsidR="00D94D28" w:rsidRPr="007C5A6E">
        <w:rPr>
          <w:rFonts w:ascii="Times New Roman" w:hAnsi="Times New Roman"/>
          <w:sz w:val="24"/>
          <w:szCs w:val="24"/>
        </w:rPr>
        <w:t>distribution des</w:t>
      </w:r>
      <w:r w:rsidRPr="007C5A6E">
        <w:rPr>
          <w:rFonts w:ascii="Times New Roman" w:hAnsi="Times New Roman"/>
          <w:sz w:val="24"/>
          <w:szCs w:val="24"/>
        </w:rPr>
        <w:t xml:space="preserve"> populations des espèces animales. </w:t>
      </w:r>
    </w:p>
    <w:p w14:paraId="4A9837C9" w14:textId="77777777"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sz w:val="24"/>
          <w:szCs w:val="24"/>
        </w:rPr>
        <w:t>Même si les superficies des Aires de conservations n’ont pas changé officiellement (14% de la superficie du territoire) au cours de la décennie, il n’en demeure pas moins que les installations agricoles et les gros travaux d’aménagement et l’exploitation minière, le braconnage, le climat, de par leurs effets sur l’habitat, entraine une régression des effectifs et distributions fauniques. En particulier, la fragmentation et l’isolement des populations entraines une régression des effectifs, une modification des distributions ainsi qu’une régression de la diversité génétique des espèces.</w:t>
      </w:r>
    </w:p>
    <w:p w14:paraId="53D52652" w14:textId="34693B2B"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sz w:val="24"/>
          <w:szCs w:val="24"/>
        </w:rPr>
        <w:t xml:space="preserve">L’on ne dispose pas de données sur les effectifs des populations des espèces sauvages à l’échelle nationale. L’on sait toutefois, que l’essentiel de la faune résiduelle du Burkina Faso est confiné dans les reliques forestières dont les plus sécurisées sont les Aires protégées. Au sein de ces Aires Protées, les effectifs fluctuent à l’image des situations observées dans les FCRGN et FCRPFCL (Figure </w:t>
      </w:r>
      <w:r w:rsidR="00DD1FDC" w:rsidRPr="007C5A6E">
        <w:rPr>
          <w:rFonts w:ascii="Times New Roman" w:hAnsi="Times New Roman"/>
          <w:sz w:val="24"/>
          <w:szCs w:val="24"/>
        </w:rPr>
        <w:t>76</w:t>
      </w:r>
      <w:r w:rsidRPr="007C5A6E">
        <w:rPr>
          <w:rFonts w:ascii="Times New Roman" w:hAnsi="Times New Roman"/>
          <w:sz w:val="24"/>
          <w:szCs w:val="24"/>
        </w:rPr>
        <w:t xml:space="preserve"> &amp; </w:t>
      </w:r>
      <w:r w:rsidR="00DD1FDC" w:rsidRPr="007C5A6E">
        <w:rPr>
          <w:rFonts w:ascii="Times New Roman" w:hAnsi="Times New Roman"/>
          <w:sz w:val="24"/>
          <w:szCs w:val="24"/>
        </w:rPr>
        <w:t>77</w:t>
      </w:r>
      <w:r w:rsidRPr="007C5A6E">
        <w:rPr>
          <w:rFonts w:ascii="Times New Roman" w:hAnsi="Times New Roman"/>
          <w:sz w:val="24"/>
          <w:szCs w:val="24"/>
        </w:rPr>
        <w:t>).</w:t>
      </w:r>
    </w:p>
    <w:p w14:paraId="38153CD5" w14:textId="77777777" w:rsidR="008811D7" w:rsidRPr="007C5A6E" w:rsidRDefault="008811D7" w:rsidP="008811D7">
      <w:pPr>
        <w:spacing w:after="0" w:line="240" w:lineRule="auto"/>
        <w:jc w:val="both"/>
        <w:rPr>
          <w:rFonts w:ascii="Times New Roman" w:hAnsi="Times New Roman"/>
          <w:sz w:val="24"/>
          <w:szCs w:val="24"/>
        </w:rPr>
      </w:pPr>
    </w:p>
    <w:p w14:paraId="21CB9351" w14:textId="77777777" w:rsidR="008811D7" w:rsidRPr="007C5A6E" w:rsidRDefault="008811D7" w:rsidP="00D94D28">
      <w:pPr>
        <w:spacing w:after="0" w:line="240" w:lineRule="auto"/>
        <w:jc w:val="both"/>
        <w:rPr>
          <w:rFonts w:ascii="Times New Roman" w:hAnsi="Times New Roman"/>
          <w:noProof/>
          <w:sz w:val="24"/>
          <w:szCs w:val="24"/>
        </w:rPr>
      </w:pPr>
      <w:r w:rsidRPr="007C5A6E">
        <w:rPr>
          <w:rFonts w:ascii="Times New Roman" w:hAnsi="Times New Roman"/>
          <w:noProof/>
          <w:sz w:val="24"/>
          <w:szCs w:val="24"/>
        </w:rPr>
        <w:drawing>
          <wp:inline distT="0" distB="0" distL="0" distR="0" wp14:anchorId="4CA14E5D" wp14:editId="2D2692BD">
            <wp:extent cx="5000625" cy="3400425"/>
            <wp:effectExtent l="0" t="0" r="9525" b="9525"/>
            <wp:docPr id="4" name="Graphique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31F7273D" w14:textId="62DAB2A2" w:rsidR="00DD1FDC" w:rsidRPr="007C5A6E" w:rsidRDefault="00DD1FDC" w:rsidP="00DD1FDC">
      <w:pPr>
        <w:pStyle w:val="Lgende"/>
        <w:spacing w:after="0"/>
        <w:rPr>
          <w:rFonts w:ascii="Times New Roman" w:hAnsi="Times New Roman"/>
          <w:i w:val="0"/>
          <w:iCs w:val="0"/>
          <w:color w:val="auto"/>
          <w:sz w:val="20"/>
          <w:szCs w:val="20"/>
        </w:rPr>
      </w:pPr>
      <w:bookmarkStart w:id="1175" w:name="_Toc182575491"/>
      <w:r w:rsidRPr="007C5A6E">
        <w:rPr>
          <w:rFonts w:ascii="Times New Roman" w:hAnsi="Times New Roman"/>
          <w:i w:val="0"/>
          <w:iCs w:val="0"/>
          <w:color w:val="auto"/>
          <w:sz w:val="20"/>
          <w:szCs w:val="20"/>
        </w:rPr>
        <w:t>(Source : HEMA 2018a)</w:t>
      </w:r>
    </w:p>
    <w:p w14:paraId="295B7EC8" w14:textId="02409E00" w:rsidR="008811D7" w:rsidRPr="007C5A6E" w:rsidRDefault="00DD1FDC" w:rsidP="00DD1FDC">
      <w:pPr>
        <w:pStyle w:val="Lgende"/>
        <w:spacing w:after="0"/>
        <w:jc w:val="both"/>
        <w:rPr>
          <w:rFonts w:ascii="Times New Roman" w:hAnsi="Times New Roman"/>
          <w:color w:val="auto"/>
          <w:sz w:val="24"/>
          <w:szCs w:val="24"/>
        </w:rPr>
      </w:pPr>
      <w:bookmarkStart w:id="1176" w:name="_Toc183230923"/>
      <w:bookmarkStart w:id="1177" w:name="_Toc183240716"/>
      <w:bookmarkStart w:id="1178" w:name="_Toc183340455"/>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76</w:t>
      </w:r>
      <w:r w:rsidRPr="007C5A6E">
        <w:rPr>
          <w:rFonts w:ascii="Times New Roman" w:hAnsi="Times New Roman"/>
          <w:color w:val="auto"/>
          <w:sz w:val="24"/>
          <w:szCs w:val="24"/>
        </w:rPr>
        <w:fldChar w:fldCharType="end"/>
      </w:r>
      <w:r w:rsidR="006224F4" w:rsidRPr="007C5A6E">
        <w:rPr>
          <w:rFonts w:ascii="Times New Roman" w:hAnsi="Times New Roman"/>
          <w:color w:val="auto"/>
          <w:sz w:val="24"/>
          <w:szCs w:val="24"/>
        </w:rPr>
        <w:t>.</w:t>
      </w:r>
      <w:r w:rsidR="008811D7" w:rsidRPr="007C5A6E">
        <w:rPr>
          <w:rFonts w:ascii="Times New Roman" w:hAnsi="Times New Roman"/>
          <w:color w:val="auto"/>
          <w:sz w:val="24"/>
          <w:szCs w:val="24"/>
        </w:rPr>
        <w:t xml:space="preserve"> Evolution du nombre de contacts et d’observations animales enregistrés au cours des inventaires réalisés à la FCRGN de 2010 à 2017</w:t>
      </w:r>
      <w:bookmarkEnd w:id="1175"/>
      <w:bookmarkEnd w:id="1176"/>
      <w:bookmarkEnd w:id="1177"/>
      <w:bookmarkEnd w:id="1178"/>
      <w:r w:rsidR="008811D7" w:rsidRPr="007C5A6E">
        <w:rPr>
          <w:rFonts w:ascii="Times New Roman" w:hAnsi="Times New Roman"/>
          <w:color w:val="auto"/>
          <w:sz w:val="24"/>
          <w:szCs w:val="24"/>
        </w:rPr>
        <w:t xml:space="preserve"> </w:t>
      </w:r>
    </w:p>
    <w:p w14:paraId="361B975F" w14:textId="77777777" w:rsidR="008811D7" w:rsidRPr="007C5A6E" w:rsidRDefault="008811D7" w:rsidP="008811D7">
      <w:pPr>
        <w:spacing w:after="0" w:line="240" w:lineRule="auto"/>
        <w:jc w:val="both"/>
        <w:rPr>
          <w:rFonts w:ascii="Times New Roman" w:hAnsi="Times New Roman"/>
          <w:sz w:val="24"/>
          <w:szCs w:val="24"/>
        </w:rPr>
      </w:pPr>
    </w:p>
    <w:p w14:paraId="5B8AF3BF" w14:textId="77777777"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6239C00D" wp14:editId="58278C53">
            <wp:extent cx="3829050" cy="2452953"/>
            <wp:effectExtent l="0" t="0" r="0" b="5080"/>
            <wp:docPr id="17746033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603381" name=""/>
                    <pic:cNvPicPr/>
                  </pic:nvPicPr>
                  <pic:blipFill>
                    <a:blip r:embed="rId175" cstate="email">
                      <a:extLst>
                        <a:ext uri="{28A0092B-C50C-407E-A947-70E740481C1C}">
                          <a14:useLocalDpi xmlns:a14="http://schemas.microsoft.com/office/drawing/2010/main"/>
                        </a:ext>
                      </a:extLst>
                    </a:blip>
                    <a:stretch>
                      <a:fillRect/>
                    </a:stretch>
                  </pic:blipFill>
                  <pic:spPr>
                    <a:xfrm>
                      <a:off x="0" y="0"/>
                      <a:ext cx="3898387" cy="2497372"/>
                    </a:xfrm>
                    <a:prstGeom prst="rect">
                      <a:avLst/>
                    </a:prstGeom>
                  </pic:spPr>
                </pic:pic>
              </a:graphicData>
            </a:graphic>
          </wp:inline>
        </w:drawing>
      </w:r>
    </w:p>
    <w:p w14:paraId="138DA0F8" w14:textId="07B8D0BC" w:rsidR="00DD1FDC" w:rsidRPr="007C5A6E" w:rsidRDefault="00DD1FDC" w:rsidP="00DD1FDC">
      <w:pPr>
        <w:pStyle w:val="Lgende"/>
        <w:spacing w:after="0"/>
        <w:rPr>
          <w:rFonts w:ascii="Times New Roman" w:hAnsi="Times New Roman"/>
          <w:i w:val="0"/>
          <w:iCs w:val="0"/>
          <w:color w:val="auto"/>
          <w:sz w:val="20"/>
          <w:szCs w:val="20"/>
        </w:rPr>
      </w:pPr>
      <w:bookmarkStart w:id="1179" w:name="_Toc182575492"/>
      <w:r w:rsidRPr="007C5A6E">
        <w:rPr>
          <w:rFonts w:ascii="Times New Roman" w:hAnsi="Times New Roman"/>
          <w:i w:val="0"/>
          <w:iCs w:val="0"/>
          <w:color w:val="auto"/>
          <w:sz w:val="20"/>
          <w:szCs w:val="20"/>
        </w:rPr>
        <w:t>(Source : HEMA, 2018b)</w:t>
      </w:r>
    </w:p>
    <w:p w14:paraId="670EBB09" w14:textId="29CA905D" w:rsidR="008811D7" w:rsidRPr="007C5A6E" w:rsidRDefault="00DD1FDC" w:rsidP="00DD1FDC">
      <w:pPr>
        <w:pStyle w:val="Lgende"/>
        <w:spacing w:after="0"/>
        <w:jc w:val="both"/>
        <w:rPr>
          <w:rFonts w:ascii="Times New Roman" w:hAnsi="Times New Roman"/>
          <w:color w:val="auto"/>
          <w:sz w:val="24"/>
          <w:szCs w:val="24"/>
        </w:rPr>
      </w:pPr>
      <w:bookmarkStart w:id="1180" w:name="_Toc183230924"/>
      <w:bookmarkStart w:id="1181" w:name="_Toc183240717"/>
      <w:bookmarkStart w:id="1182" w:name="_Toc183340456"/>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77</w:t>
      </w:r>
      <w:r w:rsidRPr="007C5A6E">
        <w:rPr>
          <w:rFonts w:ascii="Times New Roman" w:hAnsi="Times New Roman"/>
          <w:color w:val="auto"/>
          <w:sz w:val="24"/>
          <w:szCs w:val="24"/>
        </w:rPr>
        <w:fldChar w:fldCharType="end"/>
      </w:r>
      <w:r w:rsidR="006224F4" w:rsidRPr="007C5A6E">
        <w:rPr>
          <w:rFonts w:ascii="Times New Roman" w:hAnsi="Times New Roman"/>
          <w:color w:val="auto"/>
          <w:sz w:val="24"/>
          <w:szCs w:val="24"/>
        </w:rPr>
        <w:t>.</w:t>
      </w:r>
      <w:r w:rsidR="008811D7" w:rsidRPr="007C5A6E">
        <w:rPr>
          <w:rFonts w:ascii="Times New Roman" w:hAnsi="Times New Roman"/>
          <w:color w:val="auto"/>
          <w:sz w:val="24"/>
          <w:szCs w:val="24"/>
        </w:rPr>
        <w:t xml:space="preserve"> Evolution du nombre de contacts et d’observations animales enregistrés au cours des inventaires réalisés dans la FCRPF_CL de 2010 à 2018</w:t>
      </w:r>
      <w:bookmarkEnd w:id="1179"/>
      <w:bookmarkEnd w:id="1180"/>
      <w:bookmarkEnd w:id="1181"/>
      <w:bookmarkEnd w:id="1182"/>
      <w:r w:rsidR="008811D7" w:rsidRPr="007C5A6E">
        <w:rPr>
          <w:rFonts w:ascii="Times New Roman" w:hAnsi="Times New Roman"/>
          <w:color w:val="auto"/>
          <w:sz w:val="24"/>
          <w:szCs w:val="24"/>
        </w:rPr>
        <w:t xml:space="preserve"> </w:t>
      </w:r>
    </w:p>
    <w:p w14:paraId="3B2A48EC" w14:textId="77777777" w:rsidR="008811D7" w:rsidRPr="007C5A6E" w:rsidRDefault="008811D7" w:rsidP="008811D7">
      <w:pPr>
        <w:spacing w:after="0" w:line="240" w:lineRule="auto"/>
        <w:jc w:val="both"/>
        <w:rPr>
          <w:rFonts w:ascii="Times New Roman" w:hAnsi="Times New Roman"/>
          <w:sz w:val="24"/>
          <w:szCs w:val="24"/>
        </w:rPr>
      </w:pPr>
    </w:p>
    <w:p w14:paraId="28EB9410" w14:textId="156EC7A7" w:rsidR="00DD1FDC" w:rsidRPr="007C5A6E" w:rsidRDefault="00DD1FDC" w:rsidP="008811D7">
      <w:pPr>
        <w:spacing w:after="0" w:line="240" w:lineRule="auto"/>
        <w:jc w:val="both"/>
        <w:rPr>
          <w:rFonts w:ascii="Times New Roman" w:hAnsi="Times New Roman"/>
          <w:sz w:val="24"/>
          <w:szCs w:val="24"/>
        </w:rPr>
      </w:pPr>
      <w:r w:rsidRPr="007C5A6E">
        <w:rPr>
          <w:rFonts w:ascii="Times New Roman" w:hAnsi="Times New Roman"/>
          <w:sz w:val="24"/>
          <w:szCs w:val="24"/>
        </w:rPr>
        <w:t>Pour certaines espèces (comme le phacochère ; et certaines antilopes) montre plutôt une diminution continue de leurs effectifs (figure 78 &amp; 79). Dans les zones non protégées, la faune subit l’impact croissant du braconnage et des activités humaines</w:t>
      </w:r>
      <w:r w:rsidR="00AE756D" w:rsidRPr="007C5A6E">
        <w:rPr>
          <w:rFonts w:ascii="Times New Roman" w:hAnsi="Times New Roman"/>
          <w:sz w:val="24"/>
          <w:szCs w:val="24"/>
        </w:rPr>
        <w:t>.</w:t>
      </w:r>
    </w:p>
    <w:tbl>
      <w:tblPr>
        <w:tblStyle w:val="Grilledutableau8"/>
        <w:tblW w:w="0" w:type="auto"/>
        <w:tblCellMar>
          <w:left w:w="70" w:type="dxa"/>
          <w:right w:w="70" w:type="dxa"/>
        </w:tblCellMar>
        <w:tblLook w:val="04A0" w:firstRow="1" w:lastRow="0" w:firstColumn="1" w:lastColumn="0" w:noHBand="0" w:noVBand="1"/>
      </w:tblPr>
      <w:tblGrid>
        <w:gridCol w:w="4640"/>
        <w:gridCol w:w="4520"/>
      </w:tblGrid>
      <w:tr w:rsidR="008811D7" w:rsidRPr="007C5A6E" w14:paraId="02240F2F" w14:textId="77777777" w:rsidTr="00F23EE9">
        <w:tc>
          <w:tcPr>
            <w:tcW w:w="4590" w:type="dxa"/>
          </w:tcPr>
          <w:p w14:paraId="603C5ADA" w14:textId="77777777" w:rsidR="008811D7" w:rsidRPr="007C5A6E" w:rsidRDefault="008811D7" w:rsidP="008811D7">
            <w:pPr>
              <w:spacing w:after="0" w:line="240" w:lineRule="auto"/>
              <w:rPr>
                <w:rFonts w:ascii="Times New Roman" w:hAnsi="Times New Roman"/>
                <w:sz w:val="24"/>
                <w:szCs w:val="24"/>
              </w:rPr>
            </w:pPr>
            <w:r w:rsidRPr="007C5A6E">
              <w:rPr>
                <w:rFonts w:ascii="Times New Roman" w:hAnsi="Times New Roman"/>
                <w:noProof/>
                <w:sz w:val="24"/>
                <w:szCs w:val="24"/>
              </w:rPr>
              <w:drawing>
                <wp:inline distT="0" distB="0" distL="0" distR="0" wp14:anchorId="282690D8" wp14:editId="6A8F6863">
                  <wp:extent cx="2857500" cy="1838325"/>
                  <wp:effectExtent l="0" t="0" r="0" b="9525"/>
                  <wp:docPr id="1851529722" name="Graphique 18515297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tc>
        <w:tc>
          <w:tcPr>
            <w:tcW w:w="4472" w:type="dxa"/>
          </w:tcPr>
          <w:p w14:paraId="0676443A" w14:textId="77777777" w:rsidR="008811D7" w:rsidRPr="007C5A6E" w:rsidRDefault="008811D7" w:rsidP="008811D7">
            <w:pPr>
              <w:spacing w:after="0" w:line="240" w:lineRule="auto"/>
              <w:rPr>
                <w:rFonts w:ascii="Times New Roman" w:hAnsi="Times New Roman"/>
                <w:sz w:val="24"/>
                <w:szCs w:val="24"/>
              </w:rPr>
            </w:pPr>
            <w:r w:rsidRPr="007C5A6E">
              <w:rPr>
                <w:rFonts w:ascii="Times New Roman" w:hAnsi="Times New Roman"/>
                <w:noProof/>
                <w:sz w:val="24"/>
                <w:szCs w:val="24"/>
              </w:rPr>
              <w:drawing>
                <wp:inline distT="0" distB="0" distL="0" distR="0" wp14:anchorId="1AA48777" wp14:editId="34EDB07B">
                  <wp:extent cx="2676525" cy="1838325"/>
                  <wp:effectExtent l="0" t="0" r="9525" b="9525"/>
                  <wp:docPr id="248571276" name="Graphique 248571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tc>
      </w:tr>
      <w:tr w:rsidR="008811D7" w:rsidRPr="007C5A6E" w14:paraId="433003FE" w14:textId="77777777" w:rsidTr="00F23EE9">
        <w:tc>
          <w:tcPr>
            <w:tcW w:w="4590" w:type="dxa"/>
          </w:tcPr>
          <w:p w14:paraId="3C6734B3" w14:textId="77777777" w:rsidR="008811D7" w:rsidRPr="007C5A6E" w:rsidRDefault="008811D7" w:rsidP="008811D7">
            <w:pPr>
              <w:spacing w:after="0" w:line="240" w:lineRule="auto"/>
              <w:rPr>
                <w:rFonts w:ascii="Times New Roman" w:hAnsi="Times New Roman"/>
                <w:sz w:val="24"/>
                <w:szCs w:val="24"/>
              </w:rPr>
            </w:pPr>
            <w:r w:rsidRPr="007C5A6E">
              <w:rPr>
                <w:rFonts w:ascii="Times New Roman" w:hAnsi="Times New Roman"/>
                <w:noProof/>
                <w:sz w:val="24"/>
                <w:szCs w:val="24"/>
              </w:rPr>
              <w:drawing>
                <wp:inline distT="0" distB="0" distL="0" distR="0" wp14:anchorId="1D9826C4" wp14:editId="7113FD00">
                  <wp:extent cx="2790825" cy="2000250"/>
                  <wp:effectExtent l="0" t="0" r="9525" b="0"/>
                  <wp:docPr id="8" name="Graphique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tc>
        <w:tc>
          <w:tcPr>
            <w:tcW w:w="4472" w:type="dxa"/>
          </w:tcPr>
          <w:p w14:paraId="5E5D7A77" w14:textId="77777777" w:rsidR="008811D7" w:rsidRPr="007C5A6E" w:rsidRDefault="008811D7" w:rsidP="008811D7">
            <w:pPr>
              <w:spacing w:after="0" w:line="240" w:lineRule="auto"/>
              <w:rPr>
                <w:rFonts w:ascii="Times New Roman" w:hAnsi="Times New Roman"/>
                <w:sz w:val="24"/>
                <w:szCs w:val="24"/>
              </w:rPr>
            </w:pPr>
            <w:r w:rsidRPr="007C5A6E">
              <w:rPr>
                <w:rFonts w:ascii="Times New Roman" w:hAnsi="Times New Roman"/>
                <w:noProof/>
                <w:sz w:val="24"/>
                <w:szCs w:val="24"/>
              </w:rPr>
              <w:drawing>
                <wp:inline distT="0" distB="0" distL="0" distR="0" wp14:anchorId="26DDD400" wp14:editId="271AC62A">
                  <wp:extent cx="2676526" cy="2062163"/>
                  <wp:effectExtent l="0" t="0" r="9525" b="14605"/>
                  <wp:docPr id="616710521" name="Graphique 6167105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tc>
      </w:tr>
      <w:tr w:rsidR="008811D7" w:rsidRPr="007C5A6E" w14:paraId="616988DC" w14:textId="77777777" w:rsidTr="00F23EE9">
        <w:tc>
          <w:tcPr>
            <w:tcW w:w="4590" w:type="dxa"/>
          </w:tcPr>
          <w:p w14:paraId="2415FC2B" w14:textId="77777777" w:rsidR="008811D7" w:rsidRPr="007C5A6E" w:rsidRDefault="008811D7" w:rsidP="008811D7">
            <w:pPr>
              <w:spacing w:after="0" w:line="240" w:lineRule="auto"/>
              <w:rPr>
                <w:rFonts w:ascii="Times New Roman" w:hAnsi="Times New Roman"/>
                <w:sz w:val="24"/>
                <w:szCs w:val="24"/>
              </w:rPr>
            </w:pPr>
            <w:r w:rsidRPr="007C5A6E">
              <w:rPr>
                <w:rFonts w:ascii="Times New Roman" w:hAnsi="Times New Roman"/>
                <w:noProof/>
                <w:sz w:val="24"/>
                <w:szCs w:val="24"/>
              </w:rPr>
              <w:drawing>
                <wp:inline distT="0" distB="0" distL="0" distR="0" wp14:anchorId="4930FBA5" wp14:editId="7732C03B">
                  <wp:extent cx="2752725" cy="1762125"/>
                  <wp:effectExtent l="0" t="0" r="9525" b="9525"/>
                  <wp:docPr id="11" name="Graphique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tc>
        <w:tc>
          <w:tcPr>
            <w:tcW w:w="4472" w:type="dxa"/>
          </w:tcPr>
          <w:p w14:paraId="7A77CFBD" w14:textId="77777777" w:rsidR="008811D7" w:rsidRPr="007C5A6E" w:rsidRDefault="008811D7" w:rsidP="008811D7">
            <w:pPr>
              <w:spacing w:after="0" w:line="240" w:lineRule="auto"/>
              <w:rPr>
                <w:rFonts w:ascii="Times New Roman" w:hAnsi="Times New Roman"/>
                <w:sz w:val="24"/>
                <w:szCs w:val="24"/>
              </w:rPr>
            </w:pPr>
            <w:r w:rsidRPr="007C5A6E">
              <w:rPr>
                <w:rFonts w:ascii="Times New Roman" w:hAnsi="Times New Roman"/>
                <w:noProof/>
                <w:sz w:val="24"/>
                <w:szCs w:val="24"/>
              </w:rPr>
              <w:drawing>
                <wp:inline distT="0" distB="0" distL="0" distR="0" wp14:anchorId="710588B9" wp14:editId="7C5B139F">
                  <wp:extent cx="2676525" cy="1762125"/>
                  <wp:effectExtent l="0" t="0" r="9525" b="9525"/>
                  <wp:docPr id="958612169" name="Graphique 9586121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tc>
      </w:tr>
      <w:tr w:rsidR="008811D7" w:rsidRPr="007C5A6E" w14:paraId="512B72EB" w14:textId="77777777" w:rsidTr="00F23EE9">
        <w:tc>
          <w:tcPr>
            <w:tcW w:w="4590" w:type="dxa"/>
          </w:tcPr>
          <w:p w14:paraId="28B43BDC" w14:textId="77777777" w:rsidR="008811D7" w:rsidRPr="007C5A6E" w:rsidRDefault="008811D7" w:rsidP="008811D7">
            <w:pPr>
              <w:spacing w:after="0" w:line="240" w:lineRule="auto"/>
              <w:rPr>
                <w:rFonts w:ascii="Times New Roman" w:hAnsi="Times New Roman"/>
                <w:sz w:val="24"/>
                <w:szCs w:val="24"/>
              </w:rPr>
            </w:pPr>
            <w:r w:rsidRPr="007C5A6E">
              <w:rPr>
                <w:rFonts w:ascii="Times New Roman" w:hAnsi="Times New Roman"/>
                <w:noProof/>
                <w:sz w:val="24"/>
                <w:szCs w:val="24"/>
              </w:rPr>
              <w:drawing>
                <wp:inline distT="0" distB="0" distL="0" distR="0" wp14:anchorId="4D0CA2B0" wp14:editId="78CA1160">
                  <wp:extent cx="2828925" cy="1981200"/>
                  <wp:effectExtent l="0" t="0" r="9525" b="0"/>
                  <wp:docPr id="14" name="Graphique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tc>
        <w:tc>
          <w:tcPr>
            <w:tcW w:w="4472" w:type="dxa"/>
          </w:tcPr>
          <w:p w14:paraId="25693BE4" w14:textId="77777777" w:rsidR="008811D7" w:rsidRPr="007C5A6E" w:rsidRDefault="008811D7" w:rsidP="008811D7">
            <w:pPr>
              <w:spacing w:after="0" w:line="240" w:lineRule="auto"/>
              <w:rPr>
                <w:rFonts w:ascii="Times New Roman" w:hAnsi="Times New Roman"/>
                <w:sz w:val="24"/>
                <w:szCs w:val="24"/>
              </w:rPr>
            </w:pPr>
            <w:r w:rsidRPr="007C5A6E">
              <w:rPr>
                <w:rFonts w:ascii="Times New Roman" w:hAnsi="Times New Roman"/>
                <w:noProof/>
                <w:sz w:val="24"/>
                <w:szCs w:val="24"/>
              </w:rPr>
              <w:drawing>
                <wp:inline distT="0" distB="0" distL="0" distR="0" wp14:anchorId="7B098F1A" wp14:editId="38C3C2C5">
                  <wp:extent cx="2619375" cy="1976120"/>
                  <wp:effectExtent l="0" t="0" r="9525" b="5080"/>
                  <wp:docPr id="15" name="Graphique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tc>
      </w:tr>
      <w:tr w:rsidR="008811D7" w:rsidRPr="007C5A6E" w14:paraId="1759F3EA" w14:textId="77777777" w:rsidTr="00F23EE9">
        <w:tc>
          <w:tcPr>
            <w:tcW w:w="4590" w:type="dxa"/>
          </w:tcPr>
          <w:p w14:paraId="0AE47A17" w14:textId="77777777" w:rsidR="008811D7" w:rsidRPr="007C5A6E" w:rsidRDefault="008811D7" w:rsidP="008811D7">
            <w:pPr>
              <w:spacing w:after="0" w:line="240" w:lineRule="auto"/>
              <w:rPr>
                <w:rFonts w:ascii="Times New Roman" w:hAnsi="Times New Roman"/>
                <w:sz w:val="24"/>
                <w:szCs w:val="24"/>
              </w:rPr>
            </w:pPr>
            <w:r w:rsidRPr="007C5A6E">
              <w:rPr>
                <w:rFonts w:ascii="Times New Roman" w:hAnsi="Times New Roman"/>
                <w:noProof/>
                <w:sz w:val="24"/>
                <w:szCs w:val="24"/>
              </w:rPr>
              <w:drawing>
                <wp:inline distT="0" distB="0" distL="0" distR="0" wp14:anchorId="4913CFD0" wp14:editId="18184D02">
                  <wp:extent cx="2828925" cy="1790700"/>
                  <wp:effectExtent l="0" t="0" r="9525" b="0"/>
                  <wp:docPr id="16" name="Graphique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tc>
        <w:tc>
          <w:tcPr>
            <w:tcW w:w="4472" w:type="dxa"/>
          </w:tcPr>
          <w:p w14:paraId="7A2C7A3A" w14:textId="77777777" w:rsidR="008811D7" w:rsidRPr="007C5A6E" w:rsidRDefault="008811D7" w:rsidP="008811D7">
            <w:pPr>
              <w:spacing w:after="0" w:line="240" w:lineRule="auto"/>
              <w:rPr>
                <w:rFonts w:ascii="Times New Roman" w:hAnsi="Times New Roman"/>
                <w:sz w:val="24"/>
                <w:szCs w:val="24"/>
              </w:rPr>
            </w:pPr>
            <w:r w:rsidRPr="007C5A6E">
              <w:rPr>
                <w:rFonts w:ascii="Times New Roman" w:hAnsi="Times New Roman"/>
                <w:noProof/>
                <w:sz w:val="24"/>
                <w:szCs w:val="24"/>
              </w:rPr>
              <w:drawing>
                <wp:inline distT="0" distB="0" distL="0" distR="0" wp14:anchorId="774F1586" wp14:editId="2FF9A0AE">
                  <wp:extent cx="2619375" cy="1857375"/>
                  <wp:effectExtent l="0" t="0" r="9525" b="9525"/>
                  <wp:docPr id="17" name="Graphique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tc>
      </w:tr>
      <w:tr w:rsidR="008811D7" w:rsidRPr="007C5A6E" w14:paraId="50A09655" w14:textId="77777777" w:rsidTr="00F23EE9">
        <w:tc>
          <w:tcPr>
            <w:tcW w:w="4590" w:type="dxa"/>
          </w:tcPr>
          <w:p w14:paraId="70EF20C3" w14:textId="77777777" w:rsidR="008811D7" w:rsidRPr="007C5A6E" w:rsidRDefault="008811D7" w:rsidP="008811D7">
            <w:pPr>
              <w:spacing w:after="0" w:line="240" w:lineRule="auto"/>
              <w:rPr>
                <w:rFonts w:ascii="Times New Roman" w:hAnsi="Times New Roman"/>
                <w:sz w:val="24"/>
                <w:szCs w:val="24"/>
              </w:rPr>
            </w:pPr>
            <w:r w:rsidRPr="007C5A6E">
              <w:rPr>
                <w:rFonts w:ascii="Times New Roman" w:hAnsi="Times New Roman"/>
                <w:noProof/>
                <w:sz w:val="24"/>
                <w:szCs w:val="24"/>
              </w:rPr>
              <w:drawing>
                <wp:inline distT="0" distB="0" distL="0" distR="0" wp14:anchorId="1695F560" wp14:editId="11F32644">
                  <wp:extent cx="2838450" cy="2062162"/>
                  <wp:effectExtent l="0" t="0" r="0" b="14605"/>
                  <wp:docPr id="18" name="Graphique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tc>
        <w:tc>
          <w:tcPr>
            <w:tcW w:w="4472" w:type="dxa"/>
          </w:tcPr>
          <w:p w14:paraId="20C8C0FE" w14:textId="77777777" w:rsidR="008811D7" w:rsidRPr="007C5A6E" w:rsidRDefault="008811D7" w:rsidP="008811D7">
            <w:pPr>
              <w:spacing w:after="0" w:line="240" w:lineRule="auto"/>
              <w:rPr>
                <w:rFonts w:ascii="Times New Roman" w:hAnsi="Times New Roman"/>
                <w:sz w:val="24"/>
                <w:szCs w:val="24"/>
              </w:rPr>
            </w:pPr>
            <w:r w:rsidRPr="007C5A6E">
              <w:rPr>
                <w:rFonts w:ascii="Times New Roman" w:hAnsi="Times New Roman"/>
                <w:noProof/>
                <w:sz w:val="24"/>
                <w:szCs w:val="24"/>
              </w:rPr>
              <w:drawing>
                <wp:inline distT="0" distB="0" distL="0" distR="0" wp14:anchorId="380FAFA2" wp14:editId="4CD1A4C8">
                  <wp:extent cx="2619375" cy="2061845"/>
                  <wp:effectExtent l="0" t="0" r="9525" b="14605"/>
                  <wp:docPr id="19" name="Graphique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tc>
      </w:tr>
      <w:tr w:rsidR="008811D7" w:rsidRPr="007C5A6E" w14:paraId="196B80A4" w14:textId="77777777" w:rsidTr="00F23EE9">
        <w:tc>
          <w:tcPr>
            <w:tcW w:w="4590" w:type="dxa"/>
          </w:tcPr>
          <w:p w14:paraId="3BB40E5A" w14:textId="77777777" w:rsidR="008811D7" w:rsidRPr="007C5A6E" w:rsidRDefault="008811D7" w:rsidP="008811D7">
            <w:pPr>
              <w:spacing w:after="0" w:line="240" w:lineRule="auto"/>
              <w:rPr>
                <w:rFonts w:ascii="Times New Roman" w:hAnsi="Times New Roman"/>
                <w:noProof/>
                <w:sz w:val="24"/>
                <w:szCs w:val="24"/>
              </w:rPr>
            </w:pPr>
            <w:r w:rsidRPr="007C5A6E">
              <w:rPr>
                <w:rFonts w:ascii="Times New Roman" w:hAnsi="Times New Roman"/>
                <w:noProof/>
                <w:sz w:val="24"/>
                <w:szCs w:val="24"/>
              </w:rPr>
              <w:drawing>
                <wp:inline distT="0" distB="0" distL="0" distR="0" wp14:anchorId="21AB58B6" wp14:editId="4576FF9B">
                  <wp:extent cx="2600325" cy="2081212"/>
                  <wp:effectExtent l="0" t="0" r="9525" b="14605"/>
                  <wp:docPr id="21" name="Graphique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tc>
        <w:tc>
          <w:tcPr>
            <w:tcW w:w="4472" w:type="dxa"/>
          </w:tcPr>
          <w:p w14:paraId="05975383" w14:textId="77777777" w:rsidR="008811D7" w:rsidRPr="007C5A6E" w:rsidRDefault="008811D7" w:rsidP="008811D7">
            <w:pPr>
              <w:spacing w:after="0" w:line="240" w:lineRule="auto"/>
              <w:rPr>
                <w:rFonts w:ascii="Times New Roman" w:hAnsi="Times New Roman"/>
                <w:sz w:val="24"/>
                <w:szCs w:val="24"/>
              </w:rPr>
            </w:pPr>
            <w:r w:rsidRPr="007C5A6E">
              <w:rPr>
                <w:rFonts w:ascii="Times New Roman" w:hAnsi="Times New Roman"/>
                <w:noProof/>
                <w:sz w:val="24"/>
                <w:szCs w:val="24"/>
              </w:rPr>
              <w:drawing>
                <wp:inline distT="0" distB="0" distL="0" distR="0" wp14:anchorId="0138ADB6" wp14:editId="766CCEC5">
                  <wp:extent cx="2771775" cy="2080895"/>
                  <wp:effectExtent l="0" t="0" r="9525" b="14605"/>
                  <wp:docPr id="292215029" name="Graphique 2922150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tc>
      </w:tr>
    </w:tbl>
    <w:p w14:paraId="4B73D233" w14:textId="72E80477" w:rsidR="00DD1FDC" w:rsidRPr="007C5A6E" w:rsidRDefault="00DD1FDC" w:rsidP="008811D7">
      <w:pPr>
        <w:spacing w:after="0" w:line="240" w:lineRule="auto"/>
        <w:jc w:val="both"/>
        <w:rPr>
          <w:rFonts w:ascii="Times New Roman" w:hAnsi="Times New Roman"/>
          <w:sz w:val="20"/>
          <w:szCs w:val="20"/>
        </w:rPr>
      </w:pPr>
      <w:bookmarkStart w:id="1183" w:name="_Toc530350009"/>
      <w:bookmarkStart w:id="1184" w:name="_Toc176507978"/>
      <w:bookmarkStart w:id="1185" w:name="_Toc182575493"/>
      <w:r w:rsidRPr="007C5A6E">
        <w:rPr>
          <w:rFonts w:ascii="Times New Roman" w:hAnsi="Times New Roman"/>
          <w:sz w:val="20"/>
          <w:szCs w:val="20"/>
        </w:rPr>
        <w:t>(Source : HEMA 2018a)</w:t>
      </w:r>
    </w:p>
    <w:p w14:paraId="4C32C1F5" w14:textId="360E52FE" w:rsidR="008811D7" w:rsidRPr="007C5A6E" w:rsidRDefault="00DD1FDC" w:rsidP="00DD1FDC">
      <w:pPr>
        <w:pStyle w:val="Lgende"/>
        <w:spacing w:after="0"/>
        <w:jc w:val="both"/>
        <w:rPr>
          <w:rFonts w:ascii="Times New Roman" w:hAnsi="Times New Roman"/>
          <w:color w:val="auto"/>
          <w:sz w:val="24"/>
          <w:szCs w:val="24"/>
        </w:rPr>
      </w:pPr>
      <w:bookmarkStart w:id="1186" w:name="_Toc183230925"/>
      <w:bookmarkStart w:id="1187" w:name="_Toc183240718"/>
      <w:bookmarkStart w:id="1188" w:name="_Toc183340457"/>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AE756D" w:rsidRPr="007C5A6E">
        <w:rPr>
          <w:rFonts w:ascii="Times New Roman" w:hAnsi="Times New Roman"/>
          <w:noProof/>
          <w:color w:val="auto"/>
          <w:sz w:val="24"/>
          <w:szCs w:val="24"/>
        </w:rPr>
        <w:t>78</w:t>
      </w:r>
      <w:r w:rsidRPr="007C5A6E">
        <w:rPr>
          <w:rFonts w:ascii="Times New Roman" w:hAnsi="Times New Roman"/>
          <w:color w:val="auto"/>
          <w:sz w:val="24"/>
          <w:szCs w:val="24"/>
        </w:rPr>
        <w:fldChar w:fldCharType="end"/>
      </w:r>
      <w:r w:rsidR="006224F4" w:rsidRPr="007C5A6E">
        <w:rPr>
          <w:rFonts w:ascii="Times New Roman" w:hAnsi="Times New Roman"/>
          <w:color w:val="auto"/>
          <w:sz w:val="24"/>
          <w:szCs w:val="24"/>
        </w:rPr>
        <w:t>.</w:t>
      </w:r>
      <w:r w:rsidR="008811D7" w:rsidRPr="007C5A6E">
        <w:rPr>
          <w:rFonts w:ascii="Times New Roman" w:hAnsi="Times New Roman"/>
          <w:color w:val="auto"/>
          <w:sz w:val="24"/>
          <w:szCs w:val="24"/>
        </w:rPr>
        <w:t xml:space="preserve"> Evolution du nombre de contact, du nombre d'individu et de la taille moyenne des groupes (TMG) des espèces de 2010 à 2017</w:t>
      </w:r>
      <w:bookmarkEnd w:id="1183"/>
      <w:r w:rsidR="008811D7" w:rsidRPr="007C5A6E">
        <w:rPr>
          <w:rFonts w:ascii="Times New Roman" w:hAnsi="Times New Roman"/>
          <w:color w:val="auto"/>
          <w:sz w:val="24"/>
          <w:szCs w:val="24"/>
        </w:rPr>
        <w:t xml:space="preserve"> dans la FCRGN</w:t>
      </w:r>
      <w:bookmarkEnd w:id="1184"/>
      <w:bookmarkEnd w:id="1185"/>
      <w:bookmarkEnd w:id="1186"/>
      <w:bookmarkEnd w:id="1187"/>
      <w:bookmarkEnd w:id="1188"/>
    </w:p>
    <w:p w14:paraId="3EA9DB3A" w14:textId="77777777" w:rsidR="008811D7" w:rsidRPr="007C5A6E" w:rsidRDefault="008811D7" w:rsidP="00DD1FDC">
      <w:pPr>
        <w:spacing w:after="0" w:line="240" w:lineRule="auto"/>
        <w:jc w:val="both"/>
        <w:rPr>
          <w:rFonts w:ascii="Times New Roman" w:hAnsi="Times New Roman"/>
          <w:sz w:val="24"/>
          <w:szCs w:val="24"/>
        </w:rPr>
      </w:pPr>
    </w:p>
    <w:p w14:paraId="224C6582" w14:textId="77777777" w:rsidR="009F25CF" w:rsidRPr="007C5A6E" w:rsidRDefault="009F25CF" w:rsidP="00DD1FDC">
      <w:pPr>
        <w:spacing w:after="0" w:line="240" w:lineRule="auto"/>
        <w:jc w:val="both"/>
        <w:rPr>
          <w:rFonts w:ascii="Times New Roman" w:hAnsi="Times New Roman"/>
          <w:sz w:val="24"/>
          <w:szCs w:val="24"/>
        </w:rPr>
      </w:pPr>
    </w:p>
    <w:p w14:paraId="1EA01113" w14:textId="77777777" w:rsidR="009F25CF" w:rsidRPr="007C5A6E" w:rsidRDefault="009F25CF" w:rsidP="00DD1FDC">
      <w:pPr>
        <w:spacing w:after="0" w:line="240" w:lineRule="auto"/>
        <w:jc w:val="both"/>
        <w:rPr>
          <w:rFonts w:ascii="Times New Roman" w:hAnsi="Times New Roman"/>
          <w:sz w:val="24"/>
          <w:szCs w:val="24"/>
        </w:rPr>
        <w:sectPr w:rsidR="009F25CF" w:rsidRPr="007C5A6E" w:rsidSect="006514BA">
          <w:pgSz w:w="11907" w:h="16840" w:code="9"/>
          <w:pgMar w:top="1191" w:right="1361" w:bottom="1191" w:left="1361" w:header="709" w:footer="709" w:gutter="0"/>
          <w:cols w:space="708"/>
          <w:titlePg/>
          <w:docGrid w:linePitch="360"/>
        </w:sectPr>
      </w:pPr>
    </w:p>
    <w:p w14:paraId="73924B09" w14:textId="77777777" w:rsidR="0029161D"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4745497D" wp14:editId="44F7EA3C">
            <wp:extent cx="4267200" cy="2333625"/>
            <wp:effectExtent l="0" t="0" r="0" b="9525"/>
            <wp:docPr id="272" name="Chart 2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r w:rsidRPr="007C5A6E">
        <w:rPr>
          <w:rFonts w:ascii="Times New Roman" w:hAnsi="Times New Roman"/>
          <w:sz w:val="24"/>
          <w:szCs w:val="24"/>
        </w:rPr>
        <w:t xml:space="preserve"> </w:t>
      </w:r>
      <w:r w:rsidRPr="007C5A6E">
        <w:rPr>
          <w:rFonts w:ascii="Times New Roman" w:hAnsi="Times New Roman"/>
          <w:noProof/>
          <w:sz w:val="24"/>
          <w:szCs w:val="24"/>
        </w:rPr>
        <w:drawing>
          <wp:inline distT="0" distB="0" distL="0" distR="0" wp14:anchorId="37A5AA2F" wp14:editId="42DB183C">
            <wp:extent cx="4581525" cy="2333625"/>
            <wp:effectExtent l="0" t="0" r="9525" b="9525"/>
            <wp:docPr id="273" name="Chart 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25660C4E" w14:textId="7C8E20EE"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38E7C6ED" wp14:editId="2EC73768">
            <wp:extent cx="4267200" cy="2811780"/>
            <wp:effectExtent l="0" t="0" r="0" b="7620"/>
            <wp:docPr id="274" name="Chart 2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r w:rsidRPr="007C5A6E">
        <w:rPr>
          <w:rFonts w:ascii="Times New Roman" w:hAnsi="Times New Roman"/>
          <w:sz w:val="24"/>
          <w:szCs w:val="24"/>
        </w:rPr>
        <w:t xml:space="preserve"> </w:t>
      </w:r>
      <w:r w:rsidRPr="007C5A6E">
        <w:rPr>
          <w:rFonts w:ascii="Times New Roman" w:hAnsi="Times New Roman"/>
          <w:noProof/>
          <w:sz w:val="24"/>
          <w:szCs w:val="24"/>
        </w:rPr>
        <w:drawing>
          <wp:inline distT="0" distB="0" distL="0" distR="0" wp14:anchorId="2BA56B4C" wp14:editId="7DA07B8C">
            <wp:extent cx="4638675" cy="2814955"/>
            <wp:effectExtent l="0" t="0" r="9525" b="4445"/>
            <wp:docPr id="275" name="Chart 2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56F2C116" w14:textId="77777777"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sz w:val="24"/>
          <w:szCs w:val="24"/>
        </w:rPr>
        <w:t xml:space="preserve"> </w:t>
      </w:r>
    </w:p>
    <w:p w14:paraId="39E63E09" w14:textId="77777777" w:rsidR="008811D7" w:rsidRPr="007C5A6E" w:rsidRDefault="008811D7" w:rsidP="0029161D">
      <w:pPr>
        <w:spacing w:after="0" w:line="240" w:lineRule="auto"/>
        <w:rPr>
          <w:rFonts w:ascii="Times New Roman" w:hAnsi="Times New Roman"/>
          <w:noProof/>
          <w:sz w:val="24"/>
          <w:szCs w:val="24"/>
        </w:rPr>
      </w:pPr>
      <w:r w:rsidRPr="007C5A6E">
        <w:rPr>
          <w:rFonts w:ascii="Times New Roman" w:hAnsi="Times New Roman"/>
          <w:noProof/>
          <w:sz w:val="24"/>
          <w:szCs w:val="24"/>
        </w:rPr>
        <w:drawing>
          <wp:inline distT="0" distB="0" distL="0" distR="0" wp14:anchorId="42875FBB" wp14:editId="5E705A87">
            <wp:extent cx="4229100" cy="2446020"/>
            <wp:effectExtent l="0" t="0" r="0" b="11430"/>
            <wp:docPr id="276" name="Chart 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r w:rsidRPr="007C5A6E">
        <w:rPr>
          <w:rFonts w:ascii="Times New Roman" w:hAnsi="Times New Roman"/>
          <w:noProof/>
          <w:sz w:val="24"/>
          <w:szCs w:val="24"/>
        </w:rPr>
        <w:t xml:space="preserve"> </w:t>
      </w:r>
      <w:r w:rsidRPr="007C5A6E">
        <w:rPr>
          <w:rFonts w:ascii="Times New Roman" w:hAnsi="Times New Roman"/>
          <w:noProof/>
          <w:sz w:val="24"/>
          <w:szCs w:val="24"/>
        </w:rPr>
        <w:drawing>
          <wp:inline distT="0" distB="0" distL="0" distR="0" wp14:anchorId="174DE5D5" wp14:editId="04E816DC">
            <wp:extent cx="4686300" cy="2453640"/>
            <wp:effectExtent l="0" t="0" r="0" b="3810"/>
            <wp:docPr id="277" name="Chart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50E6BF54" w14:textId="77777777"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41F1632A" wp14:editId="647611C1">
            <wp:extent cx="4229100" cy="2446020"/>
            <wp:effectExtent l="0" t="0" r="0" b="11430"/>
            <wp:docPr id="278" name="Chart 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r w:rsidRPr="007C5A6E">
        <w:rPr>
          <w:rFonts w:ascii="Times New Roman" w:hAnsi="Times New Roman"/>
          <w:sz w:val="24"/>
          <w:szCs w:val="24"/>
        </w:rPr>
        <w:t xml:space="preserve"> </w:t>
      </w:r>
      <w:r w:rsidRPr="007C5A6E">
        <w:rPr>
          <w:rFonts w:ascii="Times New Roman" w:hAnsi="Times New Roman"/>
          <w:noProof/>
          <w:sz w:val="24"/>
          <w:szCs w:val="24"/>
        </w:rPr>
        <w:drawing>
          <wp:inline distT="0" distB="0" distL="0" distR="0" wp14:anchorId="20940E9A" wp14:editId="3C1AB375">
            <wp:extent cx="4686300" cy="2446020"/>
            <wp:effectExtent l="0" t="0" r="0" b="11430"/>
            <wp:docPr id="279" name="Chart 2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3F46CE1C" w14:textId="77777777" w:rsidR="008811D7" w:rsidRPr="007C5A6E" w:rsidRDefault="008811D7" w:rsidP="008811D7">
      <w:pPr>
        <w:spacing w:after="0" w:line="240" w:lineRule="auto"/>
        <w:jc w:val="both"/>
        <w:rPr>
          <w:rFonts w:ascii="Times New Roman" w:hAnsi="Times New Roman"/>
          <w:sz w:val="24"/>
          <w:szCs w:val="24"/>
        </w:rPr>
      </w:pPr>
    </w:p>
    <w:p w14:paraId="1A5DE4C9" w14:textId="77777777" w:rsidR="008811D7" w:rsidRPr="007C5A6E" w:rsidRDefault="008811D7" w:rsidP="008811D7">
      <w:pPr>
        <w:spacing w:after="0" w:line="240" w:lineRule="auto"/>
        <w:jc w:val="both"/>
        <w:rPr>
          <w:rFonts w:ascii="Times New Roman" w:hAnsi="Times New Roman"/>
          <w:sz w:val="24"/>
          <w:szCs w:val="24"/>
        </w:rPr>
      </w:pPr>
    </w:p>
    <w:p w14:paraId="1F1EB9FB" w14:textId="77777777" w:rsidR="008811D7" w:rsidRPr="007C5A6E" w:rsidRDefault="008811D7" w:rsidP="0029161D">
      <w:pPr>
        <w:spacing w:after="0" w:line="240" w:lineRule="auto"/>
        <w:jc w:val="right"/>
        <w:rPr>
          <w:rFonts w:ascii="Times New Roman" w:hAnsi="Times New Roman"/>
          <w:sz w:val="24"/>
          <w:szCs w:val="24"/>
        </w:rPr>
      </w:pPr>
      <w:r w:rsidRPr="007C5A6E">
        <w:rPr>
          <w:rFonts w:ascii="Times New Roman" w:hAnsi="Times New Roman"/>
          <w:noProof/>
          <w:sz w:val="24"/>
          <w:szCs w:val="24"/>
        </w:rPr>
        <w:drawing>
          <wp:inline distT="0" distB="0" distL="0" distR="0" wp14:anchorId="1FE7141C" wp14:editId="7EFB3555">
            <wp:extent cx="4343400" cy="2484120"/>
            <wp:effectExtent l="0" t="0" r="0" b="11430"/>
            <wp:docPr id="280" name="Chart 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r w:rsidRPr="007C5A6E">
        <w:rPr>
          <w:rFonts w:ascii="Times New Roman" w:hAnsi="Times New Roman"/>
          <w:sz w:val="24"/>
          <w:szCs w:val="24"/>
        </w:rPr>
        <w:t xml:space="preserve"> </w:t>
      </w:r>
      <w:r w:rsidRPr="007C5A6E">
        <w:rPr>
          <w:rFonts w:ascii="Times New Roman" w:hAnsi="Times New Roman"/>
          <w:noProof/>
          <w:sz w:val="24"/>
          <w:szCs w:val="24"/>
        </w:rPr>
        <w:drawing>
          <wp:inline distT="0" distB="0" distL="0" distR="0" wp14:anchorId="063A02CE" wp14:editId="7A8A554D">
            <wp:extent cx="4434840" cy="2491740"/>
            <wp:effectExtent l="0" t="0" r="3810" b="3810"/>
            <wp:docPr id="281" name="Chart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r w:rsidRPr="007C5A6E">
        <w:rPr>
          <w:rFonts w:ascii="Times New Roman" w:hAnsi="Times New Roman"/>
          <w:noProof/>
          <w:sz w:val="24"/>
          <w:szCs w:val="24"/>
        </w:rPr>
        <w:drawing>
          <wp:inline distT="0" distB="0" distL="0" distR="0" wp14:anchorId="27F75B38" wp14:editId="57732AB7">
            <wp:extent cx="4343400" cy="2575560"/>
            <wp:effectExtent l="0" t="0" r="0" b="15240"/>
            <wp:docPr id="282" name="Chart 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r w:rsidRPr="007C5A6E">
        <w:rPr>
          <w:rFonts w:ascii="Times New Roman" w:hAnsi="Times New Roman"/>
          <w:sz w:val="24"/>
          <w:szCs w:val="24"/>
        </w:rPr>
        <w:t xml:space="preserve"> </w:t>
      </w:r>
      <w:r w:rsidRPr="007C5A6E">
        <w:rPr>
          <w:rFonts w:ascii="Times New Roman" w:hAnsi="Times New Roman"/>
          <w:noProof/>
          <w:sz w:val="24"/>
          <w:szCs w:val="24"/>
        </w:rPr>
        <w:drawing>
          <wp:inline distT="0" distB="0" distL="0" distR="0" wp14:anchorId="783A913C" wp14:editId="74263A12">
            <wp:extent cx="4511040" cy="2583180"/>
            <wp:effectExtent l="0" t="0" r="3810" b="7620"/>
            <wp:docPr id="283" name="Chart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78D1862E" w14:textId="77777777" w:rsidR="008811D7" w:rsidRPr="007C5A6E" w:rsidRDefault="008811D7" w:rsidP="008811D7">
      <w:pPr>
        <w:spacing w:after="0" w:line="240" w:lineRule="auto"/>
        <w:jc w:val="both"/>
        <w:rPr>
          <w:rFonts w:ascii="Times New Roman" w:hAnsi="Times New Roman"/>
          <w:noProof/>
          <w:sz w:val="24"/>
          <w:szCs w:val="24"/>
        </w:rPr>
      </w:pPr>
      <w:r w:rsidRPr="007C5A6E">
        <w:rPr>
          <w:rFonts w:ascii="Times New Roman" w:hAnsi="Times New Roman"/>
          <w:sz w:val="24"/>
          <w:szCs w:val="24"/>
        </w:rPr>
        <w:t xml:space="preserve">   </w:t>
      </w:r>
    </w:p>
    <w:p w14:paraId="1915952A" w14:textId="77777777" w:rsidR="008811D7" w:rsidRPr="007C5A6E" w:rsidRDefault="008811D7" w:rsidP="0029161D">
      <w:pPr>
        <w:spacing w:after="0" w:line="240" w:lineRule="auto"/>
        <w:jc w:val="right"/>
        <w:rPr>
          <w:rFonts w:ascii="Times New Roman" w:hAnsi="Times New Roman"/>
          <w:sz w:val="24"/>
          <w:szCs w:val="24"/>
        </w:rPr>
      </w:pPr>
      <w:r w:rsidRPr="007C5A6E">
        <w:rPr>
          <w:rFonts w:ascii="Times New Roman" w:hAnsi="Times New Roman"/>
          <w:noProof/>
          <w:sz w:val="24"/>
          <w:szCs w:val="24"/>
        </w:rPr>
        <w:drawing>
          <wp:inline distT="0" distB="0" distL="0" distR="0" wp14:anchorId="04575853" wp14:editId="25E41D47">
            <wp:extent cx="4381500" cy="2522220"/>
            <wp:effectExtent l="0" t="0" r="0" b="11430"/>
            <wp:docPr id="284" name="Chart 2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r w:rsidRPr="007C5A6E">
        <w:rPr>
          <w:rFonts w:ascii="Times New Roman" w:hAnsi="Times New Roman"/>
          <w:sz w:val="24"/>
          <w:szCs w:val="24"/>
        </w:rPr>
        <w:t xml:space="preserve"> </w:t>
      </w:r>
      <w:r w:rsidRPr="007C5A6E">
        <w:rPr>
          <w:rFonts w:ascii="Times New Roman" w:hAnsi="Times New Roman"/>
          <w:noProof/>
          <w:sz w:val="24"/>
          <w:szCs w:val="24"/>
        </w:rPr>
        <w:drawing>
          <wp:inline distT="0" distB="0" distL="0" distR="0" wp14:anchorId="3B43FE51" wp14:editId="3A8034E1">
            <wp:extent cx="4442460" cy="2529840"/>
            <wp:effectExtent l="0" t="0" r="15240" b="3810"/>
            <wp:docPr id="285" name="Chart 2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r w:rsidRPr="007C5A6E">
        <w:rPr>
          <w:rFonts w:ascii="Times New Roman" w:hAnsi="Times New Roman"/>
          <w:noProof/>
          <w:sz w:val="24"/>
          <w:szCs w:val="24"/>
        </w:rPr>
        <w:drawing>
          <wp:inline distT="0" distB="0" distL="0" distR="0" wp14:anchorId="63797234" wp14:editId="451F2642">
            <wp:extent cx="4381500" cy="2697480"/>
            <wp:effectExtent l="0" t="0" r="0" b="7620"/>
            <wp:docPr id="286" name="Chart 28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r w:rsidRPr="007C5A6E">
        <w:rPr>
          <w:rFonts w:ascii="Times New Roman" w:hAnsi="Times New Roman"/>
          <w:sz w:val="24"/>
          <w:szCs w:val="24"/>
        </w:rPr>
        <w:t xml:space="preserve"> </w:t>
      </w:r>
      <w:r w:rsidRPr="007C5A6E">
        <w:rPr>
          <w:rFonts w:ascii="Times New Roman" w:hAnsi="Times New Roman"/>
          <w:noProof/>
          <w:sz w:val="24"/>
          <w:szCs w:val="24"/>
        </w:rPr>
        <w:drawing>
          <wp:inline distT="0" distB="0" distL="0" distR="0" wp14:anchorId="570B84FF" wp14:editId="6FFA0E5D">
            <wp:extent cx="4442460" cy="2712720"/>
            <wp:effectExtent l="0" t="0" r="15240" b="11430"/>
            <wp:docPr id="287" name="Chart 2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14:paraId="6C0828DF" w14:textId="77777777"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sz w:val="24"/>
          <w:szCs w:val="24"/>
        </w:rPr>
        <w:t xml:space="preserve">   </w:t>
      </w:r>
    </w:p>
    <w:p w14:paraId="1014F132" w14:textId="77777777"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6705FCEB" wp14:editId="6BC4BC61">
            <wp:extent cx="6195060" cy="4282440"/>
            <wp:effectExtent l="0" t="0" r="15240" b="22860"/>
            <wp:docPr id="288" name="Chart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27762C0C" w14:textId="74C59E77" w:rsidR="00AE756D" w:rsidRPr="007C5A6E" w:rsidRDefault="00AE756D" w:rsidP="008811D7">
      <w:pPr>
        <w:spacing w:after="0" w:line="240" w:lineRule="auto"/>
        <w:jc w:val="both"/>
        <w:rPr>
          <w:rFonts w:ascii="Times New Roman" w:hAnsi="Times New Roman"/>
          <w:sz w:val="20"/>
          <w:szCs w:val="20"/>
        </w:rPr>
      </w:pPr>
      <w:bookmarkStart w:id="1189" w:name="_Toc535228256"/>
      <w:bookmarkStart w:id="1190" w:name="_Toc182575494"/>
      <w:r w:rsidRPr="007C5A6E">
        <w:rPr>
          <w:rFonts w:ascii="Times New Roman" w:hAnsi="Times New Roman"/>
          <w:sz w:val="20"/>
          <w:szCs w:val="20"/>
        </w:rPr>
        <w:t>(Source : HEMA, 2018b)</w:t>
      </w:r>
    </w:p>
    <w:p w14:paraId="609BF8E5" w14:textId="77777777" w:rsidR="008811D7" w:rsidRPr="007C5A6E" w:rsidRDefault="00AE756D" w:rsidP="00AE756D">
      <w:pPr>
        <w:pStyle w:val="Lgende"/>
        <w:spacing w:after="0"/>
        <w:jc w:val="both"/>
        <w:rPr>
          <w:rFonts w:ascii="Times New Roman" w:hAnsi="Times New Roman"/>
          <w:color w:val="auto"/>
          <w:sz w:val="24"/>
          <w:szCs w:val="24"/>
        </w:rPr>
      </w:pPr>
      <w:bookmarkStart w:id="1191" w:name="_Toc183230926"/>
      <w:bookmarkStart w:id="1192" w:name="_Toc183240719"/>
      <w:bookmarkStart w:id="1193" w:name="_Toc183340458"/>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34026C" w:rsidRPr="007C5A6E">
        <w:rPr>
          <w:rFonts w:ascii="Times New Roman" w:hAnsi="Times New Roman"/>
          <w:noProof/>
          <w:color w:val="auto"/>
          <w:sz w:val="24"/>
          <w:szCs w:val="24"/>
        </w:rPr>
        <w:t>79</w:t>
      </w:r>
      <w:r w:rsidRPr="007C5A6E">
        <w:rPr>
          <w:rFonts w:ascii="Times New Roman" w:hAnsi="Times New Roman"/>
          <w:color w:val="auto"/>
          <w:sz w:val="24"/>
          <w:szCs w:val="24"/>
        </w:rPr>
        <w:fldChar w:fldCharType="end"/>
      </w:r>
      <w:r w:rsidR="006224F4" w:rsidRPr="007C5A6E">
        <w:rPr>
          <w:rFonts w:ascii="Times New Roman" w:hAnsi="Times New Roman"/>
          <w:color w:val="auto"/>
          <w:sz w:val="24"/>
          <w:szCs w:val="24"/>
        </w:rPr>
        <w:t>.</w:t>
      </w:r>
      <w:r w:rsidR="008811D7" w:rsidRPr="007C5A6E">
        <w:rPr>
          <w:rFonts w:ascii="Times New Roman" w:hAnsi="Times New Roman"/>
          <w:color w:val="auto"/>
          <w:sz w:val="24"/>
          <w:szCs w:val="24"/>
        </w:rPr>
        <w:t xml:space="preserve"> Evolution des nombres de contacts et des observations animales enregistrés au cours des inventaires réalisés à la FCRPF_CL de 2010 à 2018</w:t>
      </w:r>
      <w:bookmarkEnd w:id="1189"/>
      <w:bookmarkEnd w:id="1190"/>
      <w:bookmarkEnd w:id="1191"/>
      <w:bookmarkEnd w:id="1192"/>
      <w:bookmarkEnd w:id="1193"/>
    </w:p>
    <w:p w14:paraId="2C4696F2" w14:textId="77777777" w:rsidR="0029161D" w:rsidRPr="007C5A6E" w:rsidRDefault="0029161D" w:rsidP="0029161D"/>
    <w:p w14:paraId="41C1965A" w14:textId="77777777" w:rsidR="0029161D" w:rsidRPr="007C5A6E" w:rsidRDefault="0029161D" w:rsidP="008811D7">
      <w:pPr>
        <w:spacing w:after="0" w:line="240" w:lineRule="auto"/>
        <w:jc w:val="both"/>
        <w:rPr>
          <w:rFonts w:ascii="Times New Roman" w:hAnsi="Times New Roman"/>
          <w:sz w:val="24"/>
          <w:szCs w:val="24"/>
        </w:rPr>
        <w:sectPr w:rsidR="0029161D" w:rsidRPr="007C5A6E" w:rsidSect="0029161D">
          <w:pgSz w:w="16840" w:h="11907" w:orient="landscape" w:code="9"/>
          <w:pgMar w:top="1361" w:right="1191" w:bottom="1361" w:left="1191" w:header="709" w:footer="709" w:gutter="0"/>
          <w:cols w:space="708"/>
          <w:docGrid w:linePitch="360"/>
        </w:sectPr>
      </w:pPr>
    </w:p>
    <w:p w14:paraId="35E17E33" w14:textId="758445A3"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sz w:val="24"/>
          <w:szCs w:val="24"/>
        </w:rPr>
        <w:t xml:space="preserve">Aujourd’hui, les documents officiels se fondant sur la liste rouge de l’UICN, font état de 12 espèces de mammifères sauvages en péril au Burkina Faso (MEEVCC, 2020) : 01 espèce en danger (EN) ; 04 espèces quasi menacées et 07 espèces vulnérables (VU). Toutefois, l’on admet aujourd’hui, que 5 espèces de mammifères dites de préoccupation mineure, vulnérable ou en danger dans la liste de l’UICN, ont probablement disparues au Burkina Faso (MEEVCC, 2020) : </w:t>
      </w:r>
      <w:proofErr w:type="spellStart"/>
      <w:r w:rsidRPr="007C5A6E">
        <w:rPr>
          <w:rFonts w:ascii="Times New Roman" w:hAnsi="Times New Roman"/>
          <w:i/>
          <w:iCs/>
          <w:sz w:val="24"/>
          <w:szCs w:val="24"/>
        </w:rPr>
        <w:t>Hylochoerus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meinertzhageni</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Potamochorus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porcus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Manis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tetradactyla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Manis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tricuspis</w:t>
      </w:r>
      <w:proofErr w:type="spellEnd"/>
      <w:r w:rsidRPr="007C5A6E">
        <w:rPr>
          <w:rFonts w:ascii="Times New Roman" w:hAnsi="Times New Roman"/>
          <w:i/>
          <w:iCs/>
          <w:sz w:val="24"/>
          <w:szCs w:val="24"/>
        </w:rPr>
        <w:t xml:space="preserve">, Pan </w:t>
      </w:r>
      <w:proofErr w:type="spellStart"/>
      <w:r w:rsidRPr="007C5A6E">
        <w:rPr>
          <w:rFonts w:ascii="Times New Roman" w:hAnsi="Times New Roman"/>
          <w:i/>
          <w:iCs/>
          <w:sz w:val="24"/>
          <w:szCs w:val="24"/>
        </w:rPr>
        <w:t>troglodite</w:t>
      </w:r>
      <w:proofErr w:type="spellEnd"/>
      <w:r w:rsidRPr="007C5A6E">
        <w:rPr>
          <w:rFonts w:ascii="Times New Roman" w:hAnsi="Times New Roman"/>
          <w:sz w:val="24"/>
          <w:szCs w:val="24"/>
        </w:rPr>
        <w:t xml:space="preserve"> (tableau </w:t>
      </w:r>
      <w:r w:rsidR="00AE756D" w:rsidRPr="007C5A6E">
        <w:rPr>
          <w:rFonts w:ascii="Times New Roman" w:hAnsi="Times New Roman"/>
          <w:sz w:val="24"/>
          <w:szCs w:val="24"/>
        </w:rPr>
        <w:t>4</w:t>
      </w:r>
      <w:r w:rsidR="0097141F" w:rsidRPr="007C5A6E">
        <w:rPr>
          <w:rFonts w:ascii="Times New Roman" w:hAnsi="Times New Roman"/>
          <w:sz w:val="24"/>
          <w:szCs w:val="24"/>
        </w:rPr>
        <w:t>9</w:t>
      </w:r>
      <w:r w:rsidRPr="007C5A6E">
        <w:rPr>
          <w:rFonts w:ascii="Times New Roman" w:hAnsi="Times New Roman"/>
          <w:sz w:val="24"/>
          <w:szCs w:val="24"/>
        </w:rPr>
        <w:t xml:space="preserve">). </w:t>
      </w:r>
    </w:p>
    <w:p w14:paraId="26B348A4" w14:textId="77777777" w:rsidR="008811D7" w:rsidRPr="007C5A6E" w:rsidRDefault="008811D7" w:rsidP="008811D7">
      <w:pPr>
        <w:spacing w:after="0" w:line="240" w:lineRule="auto"/>
        <w:jc w:val="both"/>
        <w:rPr>
          <w:rFonts w:ascii="Times New Roman" w:hAnsi="Times New Roman"/>
          <w:sz w:val="24"/>
          <w:szCs w:val="24"/>
        </w:rPr>
      </w:pPr>
    </w:p>
    <w:p w14:paraId="46F67473" w14:textId="46F74FE5" w:rsidR="008811D7" w:rsidRPr="007C5A6E" w:rsidRDefault="00AE756D" w:rsidP="00AE756D">
      <w:pPr>
        <w:pStyle w:val="Lgende"/>
        <w:spacing w:after="0"/>
        <w:rPr>
          <w:rFonts w:ascii="Times New Roman" w:eastAsia="Calibri" w:hAnsi="Times New Roman"/>
          <w:i w:val="0"/>
          <w:iCs w:val="0"/>
          <w:color w:val="auto"/>
          <w:sz w:val="24"/>
          <w:szCs w:val="24"/>
          <w:lang w:eastAsia="en-US"/>
          <w14:ligatures w14:val="standardContextual"/>
        </w:rPr>
      </w:pPr>
      <w:bookmarkStart w:id="1194" w:name="_Toc182575506"/>
      <w:bookmarkStart w:id="1195" w:name="_Toc183241011"/>
      <w:bookmarkStart w:id="1196" w:name="_Toc183292253"/>
      <w:bookmarkStart w:id="1197" w:name="_Toc183340533"/>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91442F" w:rsidRPr="007C5A6E">
        <w:rPr>
          <w:rFonts w:ascii="Times New Roman" w:hAnsi="Times New Roman"/>
          <w:i w:val="0"/>
          <w:iCs w:val="0"/>
          <w:noProof/>
          <w:color w:val="auto"/>
          <w:sz w:val="24"/>
          <w:szCs w:val="24"/>
        </w:rPr>
        <w:t>49</w:t>
      </w:r>
      <w:r w:rsidRPr="007C5A6E">
        <w:rPr>
          <w:rFonts w:ascii="Times New Roman" w:hAnsi="Times New Roman"/>
          <w:i w:val="0"/>
          <w:iCs w:val="0"/>
          <w:color w:val="auto"/>
          <w:sz w:val="24"/>
          <w:szCs w:val="24"/>
        </w:rPr>
        <w:fldChar w:fldCharType="end"/>
      </w:r>
      <w:r w:rsidR="008811D7" w:rsidRPr="007C5A6E">
        <w:rPr>
          <w:rFonts w:ascii="Times New Roman" w:eastAsia="Calibri" w:hAnsi="Times New Roman"/>
          <w:i w:val="0"/>
          <w:iCs w:val="0"/>
          <w:color w:val="auto"/>
          <w:sz w:val="24"/>
          <w:szCs w:val="24"/>
          <w:lang w:eastAsia="en-US"/>
          <w14:ligatures w14:val="standardContextual"/>
        </w:rPr>
        <w:t xml:space="preserve"> : Liste des espèces probablement disparues au Burkina Faso</w:t>
      </w:r>
      <w:bookmarkEnd w:id="1194"/>
      <w:bookmarkEnd w:id="1195"/>
      <w:bookmarkEnd w:id="1196"/>
      <w:bookmarkEnd w:id="1197"/>
    </w:p>
    <w:p w14:paraId="1B31FA6B" w14:textId="77777777" w:rsidR="00AE756D" w:rsidRPr="007C5A6E" w:rsidRDefault="00AE756D" w:rsidP="00AE756D">
      <w:pPr>
        <w:spacing w:after="0" w:line="240" w:lineRule="auto"/>
        <w:rPr>
          <w:lang w:eastAsia="en-US"/>
        </w:rPr>
      </w:pPr>
    </w:p>
    <w:p w14:paraId="77DE3471" w14:textId="77777777"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757BBC7D" wp14:editId="55878994">
            <wp:extent cx="5760720" cy="1333500"/>
            <wp:effectExtent l="0" t="0" r="0" b="0"/>
            <wp:docPr id="14987935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430791" name=""/>
                    <pic:cNvPicPr/>
                  </pic:nvPicPr>
                  <pic:blipFill rotWithShape="1">
                    <a:blip r:embed="rId207" cstate="email">
                      <a:extLst>
                        <a:ext uri="{28A0092B-C50C-407E-A947-70E740481C1C}">
                          <a14:useLocalDpi xmlns:a14="http://schemas.microsoft.com/office/drawing/2010/main"/>
                        </a:ext>
                      </a:extLst>
                    </a:blip>
                    <a:srcRect b="16567"/>
                    <a:stretch/>
                  </pic:blipFill>
                  <pic:spPr bwMode="auto">
                    <a:xfrm>
                      <a:off x="0" y="0"/>
                      <a:ext cx="5760720" cy="1333500"/>
                    </a:xfrm>
                    <a:prstGeom prst="rect">
                      <a:avLst/>
                    </a:prstGeom>
                    <a:ln>
                      <a:noFill/>
                    </a:ln>
                    <a:extLst>
                      <a:ext uri="{53640926-AAD7-44D8-BBD7-CCE9431645EC}">
                        <a14:shadowObscured xmlns:a14="http://schemas.microsoft.com/office/drawing/2010/main"/>
                      </a:ext>
                    </a:extLst>
                  </pic:spPr>
                </pic:pic>
              </a:graphicData>
            </a:graphic>
          </wp:inline>
        </w:drawing>
      </w:r>
    </w:p>
    <w:p w14:paraId="228EDCFF" w14:textId="77777777" w:rsidR="008811D7" w:rsidRPr="007C5A6E" w:rsidRDefault="008811D7" w:rsidP="008811D7">
      <w:pPr>
        <w:spacing w:after="0" w:line="240" w:lineRule="auto"/>
        <w:jc w:val="both"/>
        <w:rPr>
          <w:rFonts w:ascii="Times New Roman" w:hAnsi="Times New Roman"/>
          <w:sz w:val="20"/>
          <w:szCs w:val="20"/>
        </w:rPr>
      </w:pPr>
      <w:r w:rsidRPr="007C5A6E">
        <w:rPr>
          <w:rFonts w:ascii="Times New Roman" w:hAnsi="Times New Roman"/>
          <w:sz w:val="20"/>
          <w:szCs w:val="20"/>
        </w:rPr>
        <w:t>Source : MEEVCC, 2020</w:t>
      </w:r>
    </w:p>
    <w:p w14:paraId="5DC0E58C" w14:textId="77777777" w:rsidR="008811D7" w:rsidRPr="007C5A6E" w:rsidRDefault="008811D7" w:rsidP="008811D7">
      <w:pPr>
        <w:spacing w:after="0" w:line="240" w:lineRule="auto"/>
        <w:jc w:val="both"/>
        <w:rPr>
          <w:rFonts w:ascii="Times New Roman" w:hAnsi="Times New Roman"/>
          <w:sz w:val="24"/>
          <w:szCs w:val="24"/>
        </w:rPr>
      </w:pPr>
    </w:p>
    <w:p w14:paraId="4C330D91" w14:textId="6E2360C5"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sz w:val="24"/>
          <w:szCs w:val="24"/>
        </w:rPr>
        <w:t xml:space="preserve">Pour les oiseaux, MEEVCC (2020) indique que 19 espèces d’oiseaux au Burkina Faso sont classées espèces menacées parmi lesquelles une (01) espèce est éteinte à l’état sauvage, six (06) en danger ou en danger critique, quatre (04) vulnérables et dix (10) quasi menacées. Les rapaces et particulièrement les vautours sont parmi les oiseaux les plus menacés au Burkina Faso (Tableau </w:t>
      </w:r>
      <w:r w:rsidR="0097141F" w:rsidRPr="007C5A6E">
        <w:rPr>
          <w:rFonts w:ascii="Times New Roman" w:hAnsi="Times New Roman"/>
          <w:sz w:val="24"/>
          <w:szCs w:val="24"/>
        </w:rPr>
        <w:t>50</w:t>
      </w:r>
      <w:r w:rsidRPr="007C5A6E">
        <w:rPr>
          <w:rFonts w:ascii="Times New Roman" w:hAnsi="Times New Roman"/>
          <w:sz w:val="24"/>
          <w:szCs w:val="24"/>
        </w:rPr>
        <w:t xml:space="preserve">). Selon </w:t>
      </w:r>
      <w:bookmarkStart w:id="1198" w:name="_Hlk182489017"/>
      <w:proofErr w:type="spellStart"/>
      <w:r w:rsidRPr="007C5A6E">
        <w:rPr>
          <w:rFonts w:ascii="Times New Roman" w:hAnsi="Times New Roman"/>
          <w:sz w:val="24"/>
          <w:szCs w:val="24"/>
        </w:rPr>
        <w:t>Boano</w:t>
      </w:r>
      <w:proofErr w:type="spellEnd"/>
      <w:r w:rsidRPr="007C5A6E">
        <w:rPr>
          <w:rFonts w:ascii="Times New Roman" w:hAnsi="Times New Roman"/>
          <w:sz w:val="24"/>
          <w:szCs w:val="24"/>
        </w:rPr>
        <w:t xml:space="preserve"> et al. (2022) </w:t>
      </w:r>
      <w:bookmarkEnd w:id="1198"/>
      <w:r w:rsidRPr="007C5A6E">
        <w:rPr>
          <w:rFonts w:ascii="Times New Roman" w:hAnsi="Times New Roman"/>
          <w:sz w:val="24"/>
          <w:szCs w:val="24"/>
        </w:rPr>
        <w:t>plutôt vingt-trois espèces de d’avifaune sont dans un état de conservation préoccupant, dont toutes les sept espèces de vautours observées au Burkina Faso.</w:t>
      </w:r>
    </w:p>
    <w:p w14:paraId="5D9C481E" w14:textId="77777777" w:rsidR="008811D7" w:rsidRPr="007C5A6E" w:rsidRDefault="008811D7" w:rsidP="008811D7">
      <w:pPr>
        <w:spacing w:after="0" w:line="240" w:lineRule="auto"/>
        <w:jc w:val="both"/>
        <w:rPr>
          <w:rFonts w:ascii="Times New Roman" w:hAnsi="Times New Roman"/>
          <w:sz w:val="24"/>
          <w:szCs w:val="24"/>
        </w:rPr>
      </w:pPr>
    </w:p>
    <w:p w14:paraId="4F879BF0" w14:textId="22ACF831" w:rsidR="008811D7" w:rsidRPr="007C5A6E" w:rsidRDefault="00AE756D" w:rsidP="00AE756D">
      <w:pPr>
        <w:pStyle w:val="Lgende"/>
        <w:spacing w:after="0"/>
        <w:rPr>
          <w:rFonts w:ascii="Times New Roman" w:hAnsi="Times New Roman"/>
          <w:i w:val="0"/>
          <w:iCs w:val="0"/>
          <w:color w:val="auto"/>
          <w:sz w:val="24"/>
          <w:szCs w:val="24"/>
        </w:rPr>
      </w:pPr>
      <w:bookmarkStart w:id="1199" w:name="_Toc176507979"/>
      <w:bookmarkStart w:id="1200" w:name="_Toc182575507"/>
      <w:bookmarkStart w:id="1201" w:name="_Toc183241012"/>
      <w:bookmarkStart w:id="1202" w:name="_Toc183292254"/>
      <w:bookmarkStart w:id="1203" w:name="_Toc183340534"/>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3162F8" w:rsidRPr="007C5A6E">
        <w:rPr>
          <w:rFonts w:ascii="Times New Roman" w:hAnsi="Times New Roman"/>
          <w:i w:val="0"/>
          <w:iCs w:val="0"/>
          <w:noProof/>
          <w:color w:val="auto"/>
          <w:sz w:val="24"/>
          <w:szCs w:val="24"/>
        </w:rPr>
        <w:t>50</w:t>
      </w:r>
      <w:r w:rsidRPr="007C5A6E">
        <w:rPr>
          <w:rFonts w:ascii="Times New Roman" w:hAnsi="Times New Roman"/>
          <w:i w:val="0"/>
          <w:iCs w:val="0"/>
          <w:color w:val="auto"/>
          <w:sz w:val="24"/>
          <w:szCs w:val="24"/>
        </w:rPr>
        <w:fldChar w:fldCharType="end"/>
      </w:r>
      <w:r w:rsidR="008811D7" w:rsidRPr="007C5A6E">
        <w:rPr>
          <w:rFonts w:ascii="Times New Roman" w:hAnsi="Times New Roman"/>
          <w:i w:val="0"/>
          <w:iCs w:val="0"/>
          <w:color w:val="auto"/>
          <w:sz w:val="24"/>
          <w:szCs w:val="24"/>
        </w:rPr>
        <w:t xml:space="preserve"> : Liste des oiseaux menaces au Burkina Faso</w:t>
      </w:r>
      <w:bookmarkEnd w:id="1199"/>
      <w:bookmarkEnd w:id="1200"/>
      <w:bookmarkEnd w:id="1201"/>
      <w:bookmarkEnd w:id="1202"/>
      <w:bookmarkEnd w:id="1203"/>
      <w:r w:rsidR="008811D7" w:rsidRPr="007C5A6E">
        <w:rPr>
          <w:rFonts w:ascii="Times New Roman" w:hAnsi="Times New Roman"/>
          <w:i w:val="0"/>
          <w:iCs w:val="0"/>
          <w:color w:val="auto"/>
          <w:sz w:val="24"/>
          <w:szCs w:val="24"/>
        </w:rPr>
        <w:t xml:space="preserve"> </w:t>
      </w:r>
    </w:p>
    <w:p w14:paraId="560F6F80" w14:textId="77777777" w:rsidR="00AE756D" w:rsidRPr="007C5A6E" w:rsidRDefault="00AE756D" w:rsidP="00AE756D">
      <w:pPr>
        <w:spacing w:after="0" w:line="240" w:lineRule="auto"/>
      </w:pPr>
    </w:p>
    <w:tbl>
      <w:tblPr>
        <w:tblStyle w:val="TableauGrille4-Accentuation31"/>
        <w:tblW w:w="9880" w:type="dxa"/>
        <w:tblLook w:val="04A0" w:firstRow="1" w:lastRow="0" w:firstColumn="1" w:lastColumn="0" w:noHBand="0" w:noVBand="1"/>
      </w:tblPr>
      <w:tblGrid>
        <w:gridCol w:w="589"/>
        <w:gridCol w:w="3092"/>
        <w:gridCol w:w="2749"/>
        <w:gridCol w:w="1787"/>
        <w:gridCol w:w="1663"/>
      </w:tblGrid>
      <w:tr w:rsidR="008811D7" w:rsidRPr="007C5A6E" w14:paraId="7B8C0CA8" w14:textId="77777777" w:rsidTr="008811D7">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589" w:type="dxa"/>
          </w:tcPr>
          <w:p w14:paraId="20761564" w14:textId="77777777" w:rsidR="008811D7" w:rsidRPr="007C5A6E" w:rsidRDefault="008811D7" w:rsidP="008811D7">
            <w:pPr>
              <w:autoSpaceDE w:val="0"/>
              <w:autoSpaceDN w:val="0"/>
              <w:adjustRightInd w:val="0"/>
              <w:spacing w:after="0" w:line="240" w:lineRule="auto"/>
              <w:jc w:val="both"/>
              <w:rPr>
                <w:rFonts w:ascii="Times New Roman" w:hAnsi="Times New Roman"/>
                <w:b w:val="0"/>
                <w:bCs w:val="0"/>
                <w:lang w:bidi="he-IL"/>
              </w:rPr>
            </w:pPr>
          </w:p>
        </w:tc>
        <w:tc>
          <w:tcPr>
            <w:tcW w:w="3092" w:type="dxa"/>
          </w:tcPr>
          <w:p w14:paraId="6D1F5094" w14:textId="77777777" w:rsidR="008811D7" w:rsidRPr="007C5A6E" w:rsidRDefault="008811D7" w:rsidP="008811D7">
            <w:pPr>
              <w:autoSpaceDE w:val="0"/>
              <w:autoSpaceDN w:val="0"/>
              <w:adjustRightInd w:val="0"/>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lang w:bidi="he-IL"/>
              </w:rPr>
            </w:pPr>
            <w:r w:rsidRPr="007C5A6E">
              <w:rPr>
                <w:rFonts w:ascii="Times New Roman" w:hAnsi="Times New Roman"/>
                <w:b w:val="0"/>
                <w:bCs w:val="0"/>
                <w:lang w:bidi="he-IL"/>
              </w:rPr>
              <w:t>Nom commun</w:t>
            </w:r>
          </w:p>
        </w:tc>
        <w:tc>
          <w:tcPr>
            <w:tcW w:w="2749" w:type="dxa"/>
          </w:tcPr>
          <w:p w14:paraId="656320E5" w14:textId="77777777" w:rsidR="008811D7" w:rsidRPr="007C5A6E" w:rsidRDefault="008811D7" w:rsidP="008811D7">
            <w:pPr>
              <w:autoSpaceDE w:val="0"/>
              <w:autoSpaceDN w:val="0"/>
              <w:adjustRightInd w:val="0"/>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lang w:bidi="he-IL"/>
              </w:rPr>
            </w:pPr>
            <w:r w:rsidRPr="007C5A6E">
              <w:rPr>
                <w:rFonts w:ascii="Times New Roman" w:hAnsi="Times New Roman"/>
                <w:b w:val="0"/>
                <w:bCs w:val="0"/>
                <w:lang w:bidi="he-IL"/>
              </w:rPr>
              <w:t>Nom scientifique</w:t>
            </w:r>
          </w:p>
        </w:tc>
        <w:tc>
          <w:tcPr>
            <w:tcW w:w="1787" w:type="dxa"/>
          </w:tcPr>
          <w:p w14:paraId="26F1D705" w14:textId="77777777" w:rsidR="008811D7" w:rsidRPr="007C5A6E" w:rsidRDefault="008811D7" w:rsidP="008811D7">
            <w:pPr>
              <w:autoSpaceDE w:val="0"/>
              <w:autoSpaceDN w:val="0"/>
              <w:adjustRightInd w:val="0"/>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lang w:bidi="he-IL"/>
              </w:rPr>
            </w:pPr>
            <w:r w:rsidRPr="007C5A6E">
              <w:rPr>
                <w:rFonts w:ascii="Times New Roman" w:hAnsi="Times New Roman"/>
                <w:b w:val="0"/>
                <w:bCs w:val="0"/>
                <w:lang w:bidi="he-IL"/>
              </w:rPr>
              <w:t>Statut (Global)</w:t>
            </w:r>
          </w:p>
        </w:tc>
        <w:tc>
          <w:tcPr>
            <w:tcW w:w="1663" w:type="dxa"/>
          </w:tcPr>
          <w:p w14:paraId="26D2AEE3" w14:textId="77777777" w:rsidR="008811D7" w:rsidRPr="007C5A6E" w:rsidRDefault="008811D7" w:rsidP="008811D7">
            <w:pPr>
              <w:autoSpaceDE w:val="0"/>
              <w:autoSpaceDN w:val="0"/>
              <w:adjustRightInd w:val="0"/>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lang w:bidi="he-IL"/>
              </w:rPr>
            </w:pPr>
            <w:r w:rsidRPr="007C5A6E">
              <w:rPr>
                <w:rFonts w:ascii="Times New Roman" w:hAnsi="Times New Roman"/>
                <w:b w:val="0"/>
                <w:bCs w:val="0"/>
                <w:lang w:bidi="he-IL"/>
              </w:rPr>
              <w:t>Tendance</w:t>
            </w:r>
          </w:p>
        </w:tc>
      </w:tr>
      <w:tr w:rsidR="008811D7" w:rsidRPr="007C5A6E" w14:paraId="13CEA7E4" w14:textId="77777777" w:rsidTr="008811D7">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589" w:type="dxa"/>
          </w:tcPr>
          <w:p w14:paraId="46CE9333" w14:textId="77777777" w:rsidR="008811D7" w:rsidRPr="007C5A6E" w:rsidRDefault="008811D7" w:rsidP="008811D7">
            <w:pPr>
              <w:autoSpaceDE w:val="0"/>
              <w:autoSpaceDN w:val="0"/>
              <w:adjustRightInd w:val="0"/>
              <w:spacing w:after="0" w:line="240" w:lineRule="auto"/>
              <w:jc w:val="both"/>
              <w:rPr>
                <w:rFonts w:ascii="Times New Roman" w:hAnsi="Times New Roman"/>
                <w:b w:val="0"/>
                <w:bCs w:val="0"/>
                <w:lang w:bidi="he-IL"/>
              </w:rPr>
            </w:pPr>
            <w:r w:rsidRPr="007C5A6E">
              <w:rPr>
                <w:rFonts w:ascii="Times New Roman" w:hAnsi="Times New Roman"/>
                <w:b w:val="0"/>
                <w:bCs w:val="0"/>
                <w:lang w:bidi="he-IL"/>
              </w:rPr>
              <w:t>1</w:t>
            </w:r>
          </w:p>
        </w:tc>
        <w:tc>
          <w:tcPr>
            <w:tcW w:w="3092" w:type="dxa"/>
          </w:tcPr>
          <w:p w14:paraId="7DF1E344"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Vautour à tête blanche</w:t>
            </w:r>
          </w:p>
        </w:tc>
        <w:tc>
          <w:tcPr>
            <w:tcW w:w="2749" w:type="dxa"/>
          </w:tcPr>
          <w:p w14:paraId="43A89C71"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lang w:bidi="he-IL"/>
              </w:rPr>
            </w:pPr>
            <w:proofErr w:type="spellStart"/>
            <w:r w:rsidRPr="007C5A6E">
              <w:rPr>
                <w:rFonts w:ascii="Times New Roman" w:hAnsi="Times New Roman"/>
                <w:i/>
                <w:lang w:bidi="he-IL"/>
              </w:rPr>
              <w:t>Trigonoceps</w:t>
            </w:r>
            <w:proofErr w:type="spellEnd"/>
            <w:r w:rsidRPr="007C5A6E">
              <w:rPr>
                <w:rFonts w:ascii="Times New Roman" w:hAnsi="Times New Roman"/>
                <w:i/>
                <w:lang w:bidi="he-IL"/>
              </w:rPr>
              <w:t xml:space="preserve"> </w:t>
            </w:r>
            <w:proofErr w:type="spellStart"/>
            <w:r w:rsidRPr="007C5A6E">
              <w:rPr>
                <w:rFonts w:ascii="Times New Roman" w:hAnsi="Times New Roman"/>
                <w:i/>
                <w:lang w:bidi="he-IL"/>
              </w:rPr>
              <w:t>occipitalis</w:t>
            </w:r>
            <w:proofErr w:type="spellEnd"/>
          </w:p>
        </w:tc>
        <w:tc>
          <w:tcPr>
            <w:tcW w:w="1787" w:type="dxa"/>
          </w:tcPr>
          <w:p w14:paraId="368674E4"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CR</w:t>
            </w:r>
          </w:p>
        </w:tc>
        <w:tc>
          <w:tcPr>
            <w:tcW w:w="1663" w:type="dxa"/>
          </w:tcPr>
          <w:p w14:paraId="5F3F2080"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Décroissant</w:t>
            </w:r>
          </w:p>
        </w:tc>
      </w:tr>
      <w:tr w:rsidR="008811D7" w:rsidRPr="007C5A6E" w14:paraId="6DD0B7C2" w14:textId="77777777" w:rsidTr="00F23EE9">
        <w:trPr>
          <w:trHeight w:val="363"/>
        </w:trPr>
        <w:tc>
          <w:tcPr>
            <w:cnfStyle w:val="001000000000" w:firstRow="0" w:lastRow="0" w:firstColumn="1" w:lastColumn="0" w:oddVBand="0" w:evenVBand="0" w:oddHBand="0" w:evenHBand="0" w:firstRowFirstColumn="0" w:firstRowLastColumn="0" w:lastRowFirstColumn="0" w:lastRowLastColumn="0"/>
            <w:tcW w:w="589" w:type="dxa"/>
          </w:tcPr>
          <w:p w14:paraId="7A0BA40D" w14:textId="77777777" w:rsidR="008811D7" w:rsidRPr="007C5A6E" w:rsidRDefault="008811D7" w:rsidP="008811D7">
            <w:pPr>
              <w:autoSpaceDE w:val="0"/>
              <w:autoSpaceDN w:val="0"/>
              <w:adjustRightInd w:val="0"/>
              <w:spacing w:after="0" w:line="240" w:lineRule="auto"/>
              <w:jc w:val="both"/>
              <w:rPr>
                <w:rFonts w:ascii="Times New Roman" w:hAnsi="Times New Roman"/>
                <w:b w:val="0"/>
                <w:bCs w:val="0"/>
                <w:lang w:bidi="he-IL"/>
              </w:rPr>
            </w:pPr>
            <w:r w:rsidRPr="007C5A6E">
              <w:rPr>
                <w:rFonts w:ascii="Times New Roman" w:hAnsi="Times New Roman"/>
                <w:b w:val="0"/>
                <w:bCs w:val="0"/>
                <w:lang w:bidi="he-IL"/>
              </w:rPr>
              <w:t>2</w:t>
            </w:r>
          </w:p>
        </w:tc>
        <w:tc>
          <w:tcPr>
            <w:tcW w:w="3092" w:type="dxa"/>
          </w:tcPr>
          <w:p w14:paraId="2BA178D7"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Vautour à capuchon</w:t>
            </w:r>
          </w:p>
        </w:tc>
        <w:tc>
          <w:tcPr>
            <w:tcW w:w="2749" w:type="dxa"/>
          </w:tcPr>
          <w:p w14:paraId="6CA59C28"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lang w:bidi="he-IL"/>
              </w:rPr>
            </w:pPr>
            <w:proofErr w:type="spellStart"/>
            <w:r w:rsidRPr="007C5A6E">
              <w:rPr>
                <w:rFonts w:ascii="Times New Roman" w:hAnsi="Times New Roman"/>
                <w:i/>
                <w:lang w:bidi="he-IL"/>
              </w:rPr>
              <w:t>Necrosyrtes</w:t>
            </w:r>
            <w:proofErr w:type="spellEnd"/>
            <w:r w:rsidRPr="007C5A6E">
              <w:rPr>
                <w:rFonts w:ascii="Times New Roman" w:hAnsi="Times New Roman"/>
                <w:i/>
                <w:lang w:bidi="he-IL"/>
              </w:rPr>
              <w:t xml:space="preserve"> </w:t>
            </w:r>
            <w:proofErr w:type="spellStart"/>
            <w:r w:rsidRPr="007C5A6E">
              <w:rPr>
                <w:rFonts w:ascii="Times New Roman" w:hAnsi="Times New Roman"/>
                <w:i/>
                <w:lang w:bidi="he-IL"/>
              </w:rPr>
              <w:t>monachus</w:t>
            </w:r>
            <w:proofErr w:type="spellEnd"/>
          </w:p>
        </w:tc>
        <w:tc>
          <w:tcPr>
            <w:tcW w:w="1787" w:type="dxa"/>
          </w:tcPr>
          <w:p w14:paraId="28649262"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CR</w:t>
            </w:r>
          </w:p>
        </w:tc>
        <w:tc>
          <w:tcPr>
            <w:tcW w:w="1663" w:type="dxa"/>
          </w:tcPr>
          <w:p w14:paraId="35508A27"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Décroissant</w:t>
            </w:r>
          </w:p>
        </w:tc>
      </w:tr>
      <w:tr w:rsidR="008811D7" w:rsidRPr="007C5A6E" w14:paraId="16E189C9" w14:textId="77777777" w:rsidTr="008811D7">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589" w:type="dxa"/>
          </w:tcPr>
          <w:p w14:paraId="7B267327" w14:textId="77777777" w:rsidR="008811D7" w:rsidRPr="007C5A6E" w:rsidRDefault="008811D7" w:rsidP="008811D7">
            <w:pPr>
              <w:autoSpaceDE w:val="0"/>
              <w:autoSpaceDN w:val="0"/>
              <w:adjustRightInd w:val="0"/>
              <w:spacing w:after="0" w:line="240" w:lineRule="auto"/>
              <w:jc w:val="both"/>
              <w:rPr>
                <w:rFonts w:ascii="Times New Roman" w:hAnsi="Times New Roman"/>
                <w:b w:val="0"/>
                <w:bCs w:val="0"/>
                <w:lang w:bidi="he-IL"/>
              </w:rPr>
            </w:pPr>
            <w:r w:rsidRPr="007C5A6E">
              <w:rPr>
                <w:rFonts w:ascii="Times New Roman" w:hAnsi="Times New Roman"/>
                <w:b w:val="0"/>
                <w:bCs w:val="0"/>
                <w:lang w:bidi="he-IL"/>
              </w:rPr>
              <w:t>3</w:t>
            </w:r>
          </w:p>
        </w:tc>
        <w:tc>
          <w:tcPr>
            <w:tcW w:w="3092" w:type="dxa"/>
          </w:tcPr>
          <w:p w14:paraId="0D1C8BBE"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Vautour à dos blanc</w:t>
            </w:r>
          </w:p>
        </w:tc>
        <w:tc>
          <w:tcPr>
            <w:tcW w:w="2749" w:type="dxa"/>
          </w:tcPr>
          <w:p w14:paraId="1B29B325"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lang w:bidi="he-IL"/>
              </w:rPr>
            </w:pPr>
            <w:proofErr w:type="spellStart"/>
            <w:r w:rsidRPr="007C5A6E">
              <w:rPr>
                <w:rFonts w:ascii="Times New Roman" w:hAnsi="Times New Roman"/>
                <w:i/>
                <w:lang w:bidi="he-IL"/>
              </w:rPr>
              <w:t>Gyps</w:t>
            </w:r>
            <w:proofErr w:type="spellEnd"/>
            <w:r w:rsidRPr="007C5A6E">
              <w:rPr>
                <w:rFonts w:ascii="Times New Roman" w:hAnsi="Times New Roman"/>
                <w:i/>
                <w:lang w:bidi="he-IL"/>
              </w:rPr>
              <w:t xml:space="preserve"> africanus</w:t>
            </w:r>
          </w:p>
        </w:tc>
        <w:tc>
          <w:tcPr>
            <w:tcW w:w="1787" w:type="dxa"/>
          </w:tcPr>
          <w:p w14:paraId="29CA51FB"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CR</w:t>
            </w:r>
          </w:p>
        </w:tc>
        <w:tc>
          <w:tcPr>
            <w:tcW w:w="1663" w:type="dxa"/>
          </w:tcPr>
          <w:p w14:paraId="51B7E539"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Décroissant</w:t>
            </w:r>
          </w:p>
        </w:tc>
      </w:tr>
      <w:tr w:rsidR="008811D7" w:rsidRPr="007C5A6E" w14:paraId="775E8AAA" w14:textId="77777777" w:rsidTr="00F23EE9">
        <w:trPr>
          <w:trHeight w:val="363"/>
        </w:trPr>
        <w:tc>
          <w:tcPr>
            <w:cnfStyle w:val="001000000000" w:firstRow="0" w:lastRow="0" w:firstColumn="1" w:lastColumn="0" w:oddVBand="0" w:evenVBand="0" w:oddHBand="0" w:evenHBand="0" w:firstRowFirstColumn="0" w:firstRowLastColumn="0" w:lastRowFirstColumn="0" w:lastRowLastColumn="0"/>
            <w:tcW w:w="589" w:type="dxa"/>
          </w:tcPr>
          <w:p w14:paraId="656FA1D5" w14:textId="77777777" w:rsidR="008811D7" w:rsidRPr="007C5A6E" w:rsidRDefault="008811D7" w:rsidP="008811D7">
            <w:pPr>
              <w:autoSpaceDE w:val="0"/>
              <w:autoSpaceDN w:val="0"/>
              <w:adjustRightInd w:val="0"/>
              <w:spacing w:after="0" w:line="240" w:lineRule="auto"/>
              <w:jc w:val="both"/>
              <w:rPr>
                <w:rFonts w:ascii="Times New Roman" w:hAnsi="Times New Roman"/>
                <w:b w:val="0"/>
                <w:bCs w:val="0"/>
                <w:lang w:bidi="he-IL"/>
              </w:rPr>
            </w:pPr>
            <w:r w:rsidRPr="007C5A6E">
              <w:rPr>
                <w:rFonts w:ascii="Times New Roman" w:hAnsi="Times New Roman"/>
                <w:b w:val="0"/>
                <w:bCs w:val="0"/>
                <w:lang w:bidi="he-IL"/>
              </w:rPr>
              <w:t>4</w:t>
            </w:r>
          </w:p>
        </w:tc>
        <w:tc>
          <w:tcPr>
            <w:tcW w:w="3092" w:type="dxa"/>
          </w:tcPr>
          <w:p w14:paraId="06A062F7"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Vautour égyptien</w:t>
            </w:r>
          </w:p>
        </w:tc>
        <w:tc>
          <w:tcPr>
            <w:tcW w:w="2749" w:type="dxa"/>
          </w:tcPr>
          <w:p w14:paraId="52015780"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lang w:bidi="he-IL"/>
              </w:rPr>
            </w:pPr>
            <w:proofErr w:type="spellStart"/>
            <w:r w:rsidRPr="007C5A6E">
              <w:rPr>
                <w:rFonts w:ascii="Times New Roman" w:hAnsi="Times New Roman"/>
                <w:i/>
                <w:lang w:bidi="he-IL"/>
              </w:rPr>
              <w:t>Neophron</w:t>
            </w:r>
            <w:proofErr w:type="spellEnd"/>
            <w:r w:rsidRPr="007C5A6E">
              <w:rPr>
                <w:rFonts w:ascii="Times New Roman" w:hAnsi="Times New Roman"/>
                <w:i/>
                <w:lang w:bidi="he-IL"/>
              </w:rPr>
              <w:t xml:space="preserve"> </w:t>
            </w:r>
            <w:proofErr w:type="spellStart"/>
            <w:r w:rsidRPr="007C5A6E">
              <w:rPr>
                <w:rFonts w:ascii="Times New Roman" w:hAnsi="Times New Roman"/>
                <w:i/>
                <w:lang w:bidi="he-IL"/>
              </w:rPr>
              <w:t>percnopterus</w:t>
            </w:r>
            <w:proofErr w:type="spellEnd"/>
          </w:p>
        </w:tc>
        <w:tc>
          <w:tcPr>
            <w:tcW w:w="1787" w:type="dxa"/>
          </w:tcPr>
          <w:p w14:paraId="1886A511"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EN</w:t>
            </w:r>
          </w:p>
        </w:tc>
        <w:tc>
          <w:tcPr>
            <w:tcW w:w="1663" w:type="dxa"/>
          </w:tcPr>
          <w:p w14:paraId="00772F4F"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Décroissant</w:t>
            </w:r>
          </w:p>
        </w:tc>
      </w:tr>
      <w:tr w:rsidR="008811D7" w:rsidRPr="007C5A6E" w14:paraId="19BB6FF1" w14:textId="77777777" w:rsidTr="008811D7">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589" w:type="dxa"/>
          </w:tcPr>
          <w:p w14:paraId="00FA98F8" w14:textId="77777777" w:rsidR="008811D7" w:rsidRPr="007C5A6E" w:rsidRDefault="008811D7" w:rsidP="008811D7">
            <w:pPr>
              <w:autoSpaceDE w:val="0"/>
              <w:autoSpaceDN w:val="0"/>
              <w:adjustRightInd w:val="0"/>
              <w:spacing w:after="0" w:line="240" w:lineRule="auto"/>
              <w:jc w:val="both"/>
              <w:rPr>
                <w:rFonts w:ascii="Times New Roman" w:hAnsi="Times New Roman"/>
                <w:b w:val="0"/>
                <w:bCs w:val="0"/>
                <w:lang w:bidi="he-IL"/>
              </w:rPr>
            </w:pPr>
            <w:r w:rsidRPr="007C5A6E">
              <w:rPr>
                <w:rFonts w:ascii="Times New Roman" w:hAnsi="Times New Roman"/>
                <w:b w:val="0"/>
                <w:bCs w:val="0"/>
                <w:lang w:bidi="he-IL"/>
              </w:rPr>
              <w:t>5</w:t>
            </w:r>
          </w:p>
        </w:tc>
        <w:tc>
          <w:tcPr>
            <w:tcW w:w="3092" w:type="dxa"/>
          </w:tcPr>
          <w:p w14:paraId="28CB0ED4"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Vautour à face lapone</w:t>
            </w:r>
          </w:p>
        </w:tc>
        <w:tc>
          <w:tcPr>
            <w:tcW w:w="2749" w:type="dxa"/>
          </w:tcPr>
          <w:p w14:paraId="11049F5B"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lang w:bidi="he-IL"/>
              </w:rPr>
            </w:pPr>
            <w:proofErr w:type="spellStart"/>
            <w:r w:rsidRPr="007C5A6E">
              <w:rPr>
                <w:rFonts w:ascii="Times New Roman" w:hAnsi="Times New Roman"/>
                <w:i/>
                <w:lang w:bidi="he-IL"/>
              </w:rPr>
              <w:t>Torgos</w:t>
            </w:r>
            <w:proofErr w:type="spellEnd"/>
            <w:r w:rsidRPr="007C5A6E">
              <w:rPr>
                <w:rFonts w:ascii="Times New Roman" w:hAnsi="Times New Roman"/>
                <w:i/>
                <w:lang w:bidi="he-IL"/>
              </w:rPr>
              <w:t xml:space="preserve"> </w:t>
            </w:r>
            <w:proofErr w:type="spellStart"/>
            <w:r w:rsidRPr="007C5A6E">
              <w:rPr>
                <w:rFonts w:ascii="Times New Roman" w:hAnsi="Times New Roman"/>
                <w:i/>
                <w:lang w:bidi="he-IL"/>
              </w:rPr>
              <w:t>tracheliotos</w:t>
            </w:r>
            <w:proofErr w:type="spellEnd"/>
          </w:p>
        </w:tc>
        <w:tc>
          <w:tcPr>
            <w:tcW w:w="1787" w:type="dxa"/>
          </w:tcPr>
          <w:p w14:paraId="796217D8"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EN</w:t>
            </w:r>
          </w:p>
        </w:tc>
        <w:tc>
          <w:tcPr>
            <w:tcW w:w="1663" w:type="dxa"/>
          </w:tcPr>
          <w:p w14:paraId="4339C15A"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Décroissant</w:t>
            </w:r>
          </w:p>
        </w:tc>
      </w:tr>
      <w:tr w:rsidR="008811D7" w:rsidRPr="007C5A6E" w14:paraId="1B499937" w14:textId="77777777" w:rsidTr="00F23EE9">
        <w:trPr>
          <w:trHeight w:val="356"/>
        </w:trPr>
        <w:tc>
          <w:tcPr>
            <w:cnfStyle w:val="001000000000" w:firstRow="0" w:lastRow="0" w:firstColumn="1" w:lastColumn="0" w:oddVBand="0" w:evenVBand="0" w:oddHBand="0" w:evenHBand="0" w:firstRowFirstColumn="0" w:firstRowLastColumn="0" w:lastRowFirstColumn="0" w:lastRowLastColumn="0"/>
            <w:tcW w:w="589" w:type="dxa"/>
          </w:tcPr>
          <w:p w14:paraId="46C226A6" w14:textId="77777777" w:rsidR="008811D7" w:rsidRPr="007C5A6E" w:rsidRDefault="008811D7" w:rsidP="008811D7">
            <w:pPr>
              <w:autoSpaceDE w:val="0"/>
              <w:autoSpaceDN w:val="0"/>
              <w:adjustRightInd w:val="0"/>
              <w:spacing w:after="0" w:line="240" w:lineRule="auto"/>
              <w:jc w:val="both"/>
              <w:rPr>
                <w:rFonts w:ascii="Times New Roman" w:hAnsi="Times New Roman"/>
                <w:b w:val="0"/>
                <w:bCs w:val="0"/>
                <w:lang w:bidi="he-IL"/>
              </w:rPr>
            </w:pPr>
            <w:r w:rsidRPr="007C5A6E">
              <w:rPr>
                <w:rFonts w:ascii="Times New Roman" w:hAnsi="Times New Roman"/>
                <w:b w:val="0"/>
                <w:bCs w:val="0"/>
                <w:lang w:bidi="he-IL"/>
              </w:rPr>
              <w:t>6</w:t>
            </w:r>
          </w:p>
        </w:tc>
        <w:tc>
          <w:tcPr>
            <w:tcW w:w="3092" w:type="dxa"/>
          </w:tcPr>
          <w:p w14:paraId="21518DB1"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Tourterelle européenne</w:t>
            </w:r>
          </w:p>
        </w:tc>
        <w:tc>
          <w:tcPr>
            <w:tcW w:w="2749" w:type="dxa"/>
          </w:tcPr>
          <w:p w14:paraId="50B57B8B"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lang w:bidi="he-IL"/>
              </w:rPr>
            </w:pPr>
            <w:proofErr w:type="spellStart"/>
            <w:r w:rsidRPr="007C5A6E">
              <w:rPr>
                <w:rFonts w:ascii="Times New Roman" w:hAnsi="Times New Roman"/>
                <w:i/>
                <w:lang w:bidi="he-IL"/>
              </w:rPr>
              <w:t>Streptopelia</w:t>
            </w:r>
            <w:proofErr w:type="spellEnd"/>
            <w:r w:rsidRPr="007C5A6E">
              <w:rPr>
                <w:rFonts w:ascii="Times New Roman" w:hAnsi="Times New Roman"/>
                <w:i/>
                <w:lang w:bidi="he-IL"/>
              </w:rPr>
              <w:t xml:space="preserve"> </w:t>
            </w:r>
            <w:proofErr w:type="spellStart"/>
            <w:r w:rsidRPr="007C5A6E">
              <w:rPr>
                <w:rFonts w:ascii="Times New Roman" w:hAnsi="Times New Roman"/>
                <w:i/>
                <w:lang w:bidi="he-IL"/>
              </w:rPr>
              <w:t>turtur</w:t>
            </w:r>
            <w:proofErr w:type="spellEnd"/>
          </w:p>
        </w:tc>
        <w:tc>
          <w:tcPr>
            <w:tcW w:w="1787" w:type="dxa"/>
          </w:tcPr>
          <w:p w14:paraId="5D515ED5"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VU</w:t>
            </w:r>
          </w:p>
        </w:tc>
        <w:tc>
          <w:tcPr>
            <w:tcW w:w="1663" w:type="dxa"/>
          </w:tcPr>
          <w:p w14:paraId="15AFFB55"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Décroissant</w:t>
            </w:r>
          </w:p>
        </w:tc>
      </w:tr>
      <w:tr w:rsidR="008811D7" w:rsidRPr="007C5A6E" w14:paraId="7AB4956D" w14:textId="77777777" w:rsidTr="008811D7">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589" w:type="dxa"/>
          </w:tcPr>
          <w:p w14:paraId="71878255" w14:textId="77777777" w:rsidR="008811D7" w:rsidRPr="007C5A6E" w:rsidRDefault="008811D7" w:rsidP="008811D7">
            <w:pPr>
              <w:autoSpaceDE w:val="0"/>
              <w:autoSpaceDN w:val="0"/>
              <w:adjustRightInd w:val="0"/>
              <w:spacing w:after="0" w:line="240" w:lineRule="auto"/>
              <w:jc w:val="both"/>
              <w:rPr>
                <w:rFonts w:ascii="Times New Roman" w:hAnsi="Times New Roman"/>
                <w:b w:val="0"/>
                <w:bCs w:val="0"/>
                <w:lang w:bidi="he-IL"/>
              </w:rPr>
            </w:pPr>
            <w:r w:rsidRPr="007C5A6E">
              <w:rPr>
                <w:rFonts w:ascii="Times New Roman" w:hAnsi="Times New Roman"/>
                <w:b w:val="0"/>
                <w:bCs w:val="0"/>
                <w:lang w:bidi="he-IL"/>
              </w:rPr>
              <w:t>7</w:t>
            </w:r>
          </w:p>
        </w:tc>
        <w:tc>
          <w:tcPr>
            <w:tcW w:w="3092" w:type="dxa"/>
          </w:tcPr>
          <w:p w14:paraId="769FEF49"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bidi="he-IL"/>
              </w:rPr>
            </w:pPr>
            <w:proofErr w:type="spellStart"/>
            <w:r w:rsidRPr="007C5A6E">
              <w:rPr>
                <w:rFonts w:ascii="Times New Roman" w:hAnsi="Times New Roman"/>
                <w:lang w:bidi="he-IL"/>
              </w:rPr>
              <w:t>Secretarybird</w:t>
            </w:r>
            <w:proofErr w:type="spellEnd"/>
          </w:p>
        </w:tc>
        <w:tc>
          <w:tcPr>
            <w:tcW w:w="2749" w:type="dxa"/>
          </w:tcPr>
          <w:p w14:paraId="70ABBFD3"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lang w:bidi="he-IL"/>
              </w:rPr>
            </w:pPr>
            <w:r w:rsidRPr="007C5A6E">
              <w:rPr>
                <w:rFonts w:ascii="Times New Roman" w:hAnsi="Times New Roman"/>
                <w:i/>
                <w:lang w:bidi="he-IL"/>
              </w:rPr>
              <w:t xml:space="preserve">Sagittaire </w:t>
            </w:r>
            <w:proofErr w:type="spellStart"/>
            <w:r w:rsidRPr="007C5A6E">
              <w:rPr>
                <w:rFonts w:ascii="Times New Roman" w:hAnsi="Times New Roman"/>
                <w:i/>
                <w:lang w:bidi="he-IL"/>
              </w:rPr>
              <w:t>serpentarius</w:t>
            </w:r>
            <w:proofErr w:type="spellEnd"/>
          </w:p>
        </w:tc>
        <w:tc>
          <w:tcPr>
            <w:tcW w:w="1787" w:type="dxa"/>
          </w:tcPr>
          <w:p w14:paraId="07EAE8AF"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VU</w:t>
            </w:r>
          </w:p>
        </w:tc>
        <w:tc>
          <w:tcPr>
            <w:tcW w:w="1663" w:type="dxa"/>
          </w:tcPr>
          <w:p w14:paraId="59ED2BC2"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Décroissant</w:t>
            </w:r>
          </w:p>
        </w:tc>
      </w:tr>
      <w:tr w:rsidR="008811D7" w:rsidRPr="007C5A6E" w14:paraId="3799EF94" w14:textId="77777777" w:rsidTr="00F23EE9">
        <w:trPr>
          <w:trHeight w:val="185"/>
        </w:trPr>
        <w:tc>
          <w:tcPr>
            <w:cnfStyle w:val="001000000000" w:firstRow="0" w:lastRow="0" w:firstColumn="1" w:lastColumn="0" w:oddVBand="0" w:evenVBand="0" w:oddHBand="0" w:evenHBand="0" w:firstRowFirstColumn="0" w:firstRowLastColumn="0" w:lastRowFirstColumn="0" w:lastRowLastColumn="0"/>
            <w:tcW w:w="589" w:type="dxa"/>
          </w:tcPr>
          <w:p w14:paraId="7CD582A3" w14:textId="77777777" w:rsidR="008811D7" w:rsidRPr="007C5A6E" w:rsidRDefault="008811D7" w:rsidP="008811D7">
            <w:pPr>
              <w:autoSpaceDE w:val="0"/>
              <w:autoSpaceDN w:val="0"/>
              <w:adjustRightInd w:val="0"/>
              <w:spacing w:after="0" w:line="240" w:lineRule="auto"/>
              <w:jc w:val="both"/>
              <w:rPr>
                <w:rFonts w:ascii="Times New Roman" w:hAnsi="Times New Roman"/>
                <w:b w:val="0"/>
                <w:bCs w:val="0"/>
                <w:lang w:bidi="he-IL"/>
              </w:rPr>
            </w:pPr>
            <w:r w:rsidRPr="007C5A6E">
              <w:rPr>
                <w:rFonts w:ascii="Times New Roman" w:hAnsi="Times New Roman"/>
                <w:b w:val="0"/>
                <w:bCs w:val="0"/>
                <w:lang w:bidi="he-IL"/>
              </w:rPr>
              <w:t>8</w:t>
            </w:r>
          </w:p>
        </w:tc>
        <w:tc>
          <w:tcPr>
            <w:tcW w:w="3092" w:type="dxa"/>
          </w:tcPr>
          <w:p w14:paraId="260193CA"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Calao terrestre du Nord</w:t>
            </w:r>
          </w:p>
        </w:tc>
        <w:tc>
          <w:tcPr>
            <w:tcW w:w="2749" w:type="dxa"/>
          </w:tcPr>
          <w:p w14:paraId="258F6781"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lang w:bidi="he-IL"/>
              </w:rPr>
            </w:pPr>
            <w:proofErr w:type="spellStart"/>
            <w:r w:rsidRPr="007C5A6E">
              <w:rPr>
                <w:rFonts w:ascii="Times New Roman" w:hAnsi="Times New Roman"/>
                <w:i/>
                <w:lang w:bidi="he-IL"/>
              </w:rPr>
              <w:t>Bucorvus</w:t>
            </w:r>
            <w:proofErr w:type="spellEnd"/>
            <w:r w:rsidRPr="007C5A6E">
              <w:rPr>
                <w:rFonts w:ascii="Times New Roman" w:hAnsi="Times New Roman"/>
                <w:i/>
                <w:lang w:bidi="he-IL"/>
              </w:rPr>
              <w:t xml:space="preserve"> </w:t>
            </w:r>
            <w:proofErr w:type="spellStart"/>
            <w:r w:rsidRPr="007C5A6E">
              <w:rPr>
                <w:rFonts w:ascii="Times New Roman" w:hAnsi="Times New Roman"/>
                <w:i/>
                <w:lang w:bidi="he-IL"/>
              </w:rPr>
              <w:t>abyssinicus</w:t>
            </w:r>
            <w:proofErr w:type="spellEnd"/>
          </w:p>
        </w:tc>
        <w:tc>
          <w:tcPr>
            <w:tcW w:w="1787" w:type="dxa"/>
          </w:tcPr>
          <w:p w14:paraId="09827F68"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VU</w:t>
            </w:r>
          </w:p>
        </w:tc>
        <w:tc>
          <w:tcPr>
            <w:tcW w:w="1663" w:type="dxa"/>
          </w:tcPr>
          <w:p w14:paraId="6E5E6D74"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Décroissant</w:t>
            </w:r>
          </w:p>
        </w:tc>
      </w:tr>
      <w:tr w:rsidR="008811D7" w:rsidRPr="007C5A6E" w14:paraId="7FDEC166" w14:textId="77777777" w:rsidTr="008811D7">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589" w:type="dxa"/>
          </w:tcPr>
          <w:p w14:paraId="2788E519" w14:textId="77777777" w:rsidR="008811D7" w:rsidRPr="007C5A6E" w:rsidRDefault="008811D7" w:rsidP="008811D7">
            <w:pPr>
              <w:autoSpaceDE w:val="0"/>
              <w:autoSpaceDN w:val="0"/>
              <w:adjustRightInd w:val="0"/>
              <w:spacing w:after="0" w:line="240" w:lineRule="auto"/>
              <w:jc w:val="both"/>
              <w:rPr>
                <w:rFonts w:ascii="Times New Roman" w:hAnsi="Times New Roman"/>
                <w:b w:val="0"/>
                <w:bCs w:val="0"/>
                <w:lang w:bidi="he-IL"/>
              </w:rPr>
            </w:pPr>
            <w:r w:rsidRPr="007C5A6E">
              <w:rPr>
                <w:rFonts w:ascii="Times New Roman" w:hAnsi="Times New Roman"/>
                <w:b w:val="0"/>
                <w:bCs w:val="0"/>
                <w:lang w:bidi="he-IL"/>
              </w:rPr>
              <w:t>9</w:t>
            </w:r>
          </w:p>
        </w:tc>
        <w:tc>
          <w:tcPr>
            <w:tcW w:w="3092" w:type="dxa"/>
          </w:tcPr>
          <w:p w14:paraId="49C9ABE0"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 xml:space="preserve">Vautour de </w:t>
            </w:r>
            <w:proofErr w:type="spellStart"/>
            <w:r w:rsidRPr="007C5A6E">
              <w:rPr>
                <w:rFonts w:ascii="Times New Roman" w:hAnsi="Times New Roman"/>
                <w:lang w:bidi="he-IL"/>
              </w:rPr>
              <w:t>Rüppell</w:t>
            </w:r>
            <w:proofErr w:type="spellEnd"/>
          </w:p>
        </w:tc>
        <w:tc>
          <w:tcPr>
            <w:tcW w:w="2749" w:type="dxa"/>
          </w:tcPr>
          <w:p w14:paraId="58D38844"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lang w:bidi="he-IL"/>
              </w:rPr>
            </w:pPr>
            <w:proofErr w:type="spellStart"/>
            <w:r w:rsidRPr="007C5A6E">
              <w:rPr>
                <w:rFonts w:ascii="Times New Roman" w:hAnsi="Times New Roman"/>
                <w:i/>
                <w:lang w:bidi="he-IL"/>
              </w:rPr>
              <w:t>Gyps</w:t>
            </w:r>
            <w:proofErr w:type="spellEnd"/>
            <w:r w:rsidRPr="007C5A6E">
              <w:rPr>
                <w:rFonts w:ascii="Times New Roman" w:hAnsi="Times New Roman"/>
                <w:i/>
                <w:lang w:bidi="he-IL"/>
              </w:rPr>
              <w:t xml:space="preserve"> </w:t>
            </w:r>
            <w:proofErr w:type="spellStart"/>
            <w:r w:rsidRPr="007C5A6E">
              <w:rPr>
                <w:rFonts w:ascii="Times New Roman" w:hAnsi="Times New Roman"/>
                <w:i/>
                <w:lang w:bidi="he-IL"/>
              </w:rPr>
              <w:t>rueppelli</w:t>
            </w:r>
            <w:proofErr w:type="spellEnd"/>
          </w:p>
        </w:tc>
        <w:tc>
          <w:tcPr>
            <w:tcW w:w="1787" w:type="dxa"/>
          </w:tcPr>
          <w:p w14:paraId="461F7504"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CR</w:t>
            </w:r>
          </w:p>
        </w:tc>
        <w:tc>
          <w:tcPr>
            <w:tcW w:w="1663" w:type="dxa"/>
          </w:tcPr>
          <w:p w14:paraId="3FD8EBE7"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Décroissant</w:t>
            </w:r>
          </w:p>
        </w:tc>
      </w:tr>
      <w:tr w:rsidR="008811D7" w:rsidRPr="007C5A6E" w14:paraId="641C58C0" w14:textId="77777777" w:rsidTr="00F23EE9">
        <w:trPr>
          <w:trHeight w:val="363"/>
        </w:trPr>
        <w:tc>
          <w:tcPr>
            <w:cnfStyle w:val="001000000000" w:firstRow="0" w:lastRow="0" w:firstColumn="1" w:lastColumn="0" w:oddVBand="0" w:evenVBand="0" w:oddHBand="0" w:evenHBand="0" w:firstRowFirstColumn="0" w:firstRowLastColumn="0" w:lastRowFirstColumn="0" w:lastRowLastColumn="0"/>
            <w:tcW w:w="589" w:type="dxa"/>
          </w:tcPr>
          <w:p w14:paraId="1FAE6702" w14:textId="77777777" w:rsidR="008811D7" w:rsidRPr="007C5A6E" w:rsidRDefault="008811D7" w:rsidP="008811D7">
            <w:pPr>
              <w:autoSpaceDE w:val="0"/>
              <w:autoSpaceDN w:val="0"/>
              <w:adjustRightInd w:val="0"/>
              <w:spacing w:after="0" w:line="240" w:lineRule="auto"/>
              <w:jc w:val="both"/>
              <w:rPr>
                <w:rFonts w:ascii="Times New Roman" w:hAnsi="Times New Roman"/>
                <w:b w:val="0"/>
                <w:bCs w:val="0"/>
                <w:lang w:bidi="he-IL"/>
              </w:rPr>
            </w:pPr>
            <w:r w:rsidRPr="007C5A6E">
              <w:rPr>
                <w:rFonts w:ascii="Times New Roman" w:hAnsi="Times New Roman"/>
                <w:b w:val="0"/>
                <w:bCs w:val="0"/>
                <w:lang w:bidi="he-IL"/>
              </w:rPr>
              <w:t>10</w:t>
            </w:r>
          </w:p>
        </w:tc>
        <w:tc>
          <w:tcPr>
            <w:tcW w:w="3092" w:type="dxa"/>
          </w:tcPr>
          <w:p w14:paraId="00B2826F"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Aigle-serpent de Beaudouin</w:t>
            </w:r>
          </w:p>
        </w:tc>
        <w:tc>
          <w:tcPr>
            <w:tcW w:w="2749" w:type="dxa"/>
          </w:tcPr>
          <w:p w14:paraId="5B429378"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lang w:bidi="he-IL"/>
              </w:rPr>
            </w:pPr>
            <w:proofErr w:type="spellStart"/>
            <w:r w:rsidRPr="007C5A6E">
              <w:rPr>
                <w:rFonts w:ascii="Times New Roman" w:hAnsi="Times New Roman"/>
                <w:i/>
                <w:lang w:bidi="he-IL"/>
              </w:rPr>
              <w:t>Circaetus</w:t>
            </w:r>
            <w:proofErr w:type="spellEnd"/>
            <w:r w:rsidRPr="007C5A6E">
              <w:rPr>
                <w:rFonts w:ascii="Times New Roman" w:hAnsi="Times New Roman"/>
                <w:i/>
                <w:lang w:bidi="he-IL"/>
              </w:rPr>
              <w:t xml:space="preserve"> </w:t>
            </w:r>
            <w:proofErr w:type="spellStart"/>
            <w:r w:rsidRPr="007C5A6E">
              <w:rPr>
                <w:rFonts w:ascii="Times New Roman" w:hAnsi="Times New Roman"/>
                <w:i/>
                <w:lang w:bidi="he-IL"/>
              </w:rPr>
              <w:t>Beaudouini</w:t>
            </w:r>
            <w:proofErr w:type="spellEnd"/>
          </w:p>
        </w:tc>
        <w:tc>
          <w:tcPr>
            <w:tcW w:w="1787" w:type="dxa"/>
          </w:tcPr>
          <w:p w14:paraId="242056D0"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VU</w:t>
            </w:r>
          </w:p>
        </w:tc>
        <w:tc>
          <w:tcPr>
            <w:tcW w:w="1663" w:type="dxa"/>
          </w:tcPr>
          <w:p w14:paraId="07AF1DF1"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Décroissant</w:t>
            </w:r>
          </w:p>
        </w:tc>
      </w:tr>
      <w:tr w:rsidR="008811D7" w:rsidRPr="007C5A6E" w14:paraId="28FFC04E" w14:textId="77777777" w:rsidTr="008811D7">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589" w:type="dxa"/>
          </w:tcPr>
          <w:p w14:paraId="2E85B26A" w14:textId="77777777" w:rsidR="008811D7" w:rsidRPr="007C5A6E" w:rsidRDefault="008811D7" w:rsidP="008811D7">
            <w:pPr>
              <w:autoSpaceDE w:val="0"/>
              <w:autoSpaceDN w:val="0"/>
              <w:adjustRightInd w:val="0"/>
              <w:spacing w:after="0" w:line="240" w:lineRule="auto"/>
              <w:jc w:val="both"/>
              <w:rPr>
                <w:rFonts w:ascii="Times New Roman" w:hAnsi="Times New Roman"/>
                <w:b w:val="0"/>
                <w:bCs w:val="0"/>
                <w:lang w:bidi="he-IL"/>
              </w:rPr>
            </w:pPr>
            <w:r w:rsidRPr="007C5A6E">
              <w:rPr>
                <w:rFonts w:ascii="Times New Roman" w:hAnsi="Times New Roman"/>
                <w:b w:val="0"/>
                <w:bCs w:val="0"/>
                <w:lang w:bidi="he-IL"/>
              </w:rPr>
              <w:t>11</w:t>
            </w:r>
          </w:p>
        </w:tc>
        <w:tc>
          <w:tcPr>
            <w:tcW w:w="3092" w:type="dxa"/>
          </w:tcPr>
          <w:p w14:paraId="5A1A5F3A"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Aigle fauve</w:t>
            </w:r>
          </w:p>
        </w:tc>
        <w:tc>
          <w:tcPr>
            <w:tcW w:w="2749" w:type="dxa"/>
          </w:tcPr>
          <w:p w14:paraId="40C4224A"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lang w:bidi="he-IL"/>
              </w:rPr>
            </w:pPr>
            <w:r w:rsidRPr="007C5A6E">
              <w:rPr>
                <w:rFonts w:ascii="Times New Roman" w:hAnsi="Times New Roman"/>
                <w:i/>
                <w:lang w:bidi="he-IL"/>
              </w:rPr>
              <w:t xml:space="preserve">Aquila </w:t>
            </w:r>
            <w:proofErr w:type="spellStart"/>
            <w:r w:rsidRPr="007C5A6E">
              <w:rPr>
                <w:rFonts w:ascii="Times New Roman" w:hAnsi="Times New Roman"/>
                <w:i/>
                <w:lang w:bidi="he-IL"/>
              </w:rPr>
              <w:t>rapax</w:t>
            </w:r>
            <w:proofErr w:type="spellEnd"/>
          </w:p>
        </w:tc>
        <w:tc>
          <w:tcPr>
            <w:tcW w:w="1787" w:type="dxa"/>
          </w:tcPr>
          <w:p w14:paraId="3F645224"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VU</w:t>
            </w:r>
          </w:p>
        </w:tc>
        <w:tc>
          <w:tcPr>
            <w:tcW w:w="1663" w:type="dxa"/>
          </w:tcPr>
          <w:p w14:paraId="06B00014" w14:textId="77777777" w:rsidR="008811D7" w:rsidRPr="007C5A6E" w:rsidRDefault="008811D7" w:rsidP="008811D7">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Décroissant</w:t>
            </w:r>
          </w:p>
        </w:tc>
      </w:tr>
      <w:tr w:rsidR="008811D7" w:rsidRPr="007C5A6E" w14:paraId="3F0618E7" w14:textId="77777777" w:rsidTr="00F23EE9">
        <w:trPr>
          <w:trHeight w:val="189"/>
        </w:trPr>
        <w:tc>
          <w:tcPr>
            <w:cnfStyle w:val="001000000000" w:firstRow="0" w:lastRow="0" w:firstColumn="1" w:lastColumn="0" w:oddVBand="0" w:evenVBand="0" w:oddHBand="0" w:evenHBand="0" w:firstRowFirstColumn="0" w:firstRowLastColumn="0" w:lastRowFirstColumn="0" w:lastRowLastColumn="0"/>
            <w:tcW w:w="589" w:type="dxa"/>
          </w:tcPr>
          <w:p w14:paraId="76813D49" w14:textId="77777777" w:rsidR="008811D7" w:rsidRPr="007C5A6E" w:rsidRDefault="008811D7" w:rsidP="008811D7">
            <w:pPr>
              <w:autoSpaceDE w:val="0"/>
              <w:autoSpaceDN w:val="0"/>
              <w:adjustRightInd w:val="0"/>
              <w:spacing w:after="0" w:line="240" w:lineRule="auto"/>
              <w:jc w:val="both"/>
              <w:rPr>
                <w:rFonts w:ascii="Times New Roman" w:hAnsi="Times New Roman"/>
                <w:b w:val="0"/>
                <w:bCs w:val="0"/>
                <w:lang w:bidi="he-IL"/>
              </w:rPr>
            </w:pPr>
            <w:r w:rsidRPr="007C5A6E">
              <w:rPr>
                <w:rFonts w:ascii="Times New Roman" w:hAnsi="Times New Roman"/>
                <w:b w:val="0"/>
                <w:bCs w:val="0"/>
                <w:lang w:bidi="he-IL"/>
              </w:rPr>
              <w:t>12</w:t>
            </w:r>
          </w:p>
        </w:tc>
        <w:tc>
          <w:tcPr>
            <w:tcW w:w="3092" w:type="dxa"/>
          </w:tcPr>
          <w:p w14:paraId="57190843"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Aigle martial</w:t>
            </w:r>
          </w:p>
        </w:tc>
        <w:tc>
          <w:tcPr>
            <w:tcW w:w="2749" w:type="dxa"/>
          </w:tcPr>
          <w:p w14:paraId="765EDE29"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lang w:bidi="he-IL"/>
              </w:rPr>
            </w:pPr>
            <w:proofErr w:type="spellStart"/>
            <w:r w:rsidRPr="007C5A6E">
              <w:rPr>
                <w:rFonts w:ascii="Times New Roman" w:hAnsi="Times New Roman"/>
                <w:i/>
                <w:lang w:bidi="he-IL"/>
              </w:rPr>
              <w:t>Polemaetus</w:t>
            </w:r>
            <w:proofErr w:type="spellEnd"/>
            <w:r w:rsidRPr="007C5A6E">
              <w:rPr>
                <w:rFonts w:ascii="Times New Roman" w:hAnsi="Times New Roman"/>
                <w:i/>
                <w:lang w:bidi="he-IL"/>
              </w:rPr>
              <w:t xml:space="preserve"> </w:t>
            </w:r>
            <w:proofErr w:type="spellStart"/>
            <w:r w:rsidRPr="007C5A6E">
              <w:rPr>
                <w:rFonts w:ascii="Times New Roman" w:hAnsi="Times New Roman"/>
                <w:i/>
                <w:lang w:bidi="he-IL"/>
              </w:rPr>
              <w:t>bellicosus</w:t>
            </w:r>
            <w:proofErr w:type="spellEnd"/>
          </w:p>
        </w:tc>
        <w:tc>
          <w:tcPr>
            <w:tcW w:w="1787" w:type="dxa"/>
          </w:tcPr>
          <w:p w14:paraId="307DB359"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VU</w:t>
            </w:r>
          </w:p>
        </w:tc>
        <w:tc>
          <w:tcPr>
            <w:tcW w:w="1663" w:type="dxa"/>
          </w:tcPr>
          <w:p w14:paraId="615618E6" w14:textId="77777777" w:rsidR="008811D7" w:rsidRPr="007C5A6E" w:rsidRDefault="008811D7" w:rsidP="008811D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bidi="he-IL"/>
              </w:rPr>
            </w:pPr>
            <w:r w:rsidRPr="007C5A6E">
              <w:rPr>
                <w:rFonts w:ascii="Times New Roman" w:hAnsi="Times New Roman"/>
                <w:lang w:bidi="he-IL"/>
              </w:rPr>
              <w:t>Décroissant</w:t>
            </w:r>
          </w:p>
        </w:tc>
      </w:tr>
    </w:tbl>
    <w:p w14:paraId="67F63E97" w14:textId="77777777" w:rsidR="008811D7" w:rsidRPr="007C5A6E" w:rsidRDefault="008811D7" w:rsidP="008811D7">
      <w:pPr>
        <w:spacing w:after="0" w:line="240" w:lineRule="auto"/>
        <w:jc w:val="both"/>
        <w:rPr>
          <w:rFonts w:ascii="Times New Roman" w:hAnsi="Times New Roman"/>
          <w:sz w:val="20"/>
          <w:szCs w:val="20"/>
        </w:rPr>
      </w:pPr>
      <w:r w:rsidRPr="007C5A6E">
        <w:rPr>
          <w:rFonts w:ascii="Times New Roman" w:hAnsi="Times New Roman"/>
          <w:sz w:val="20"/>
          <w:szCs w:val="20"/>
        </w:rPr>
        <w:t xml:space="preserve">Source : UICN, 2020, </w:t>
      </w:r>
      <w:hyperlink r:id="rId208" w:history="1">
        <w:r w:rsidRPr="007C5A6E">
          <w:rPr>
            <w:rFonts w:ascii="Times New Roman" w:hAnsi="Times New Roman"/>
            <w:color w:val="0000FF"/>
            <w:sz w:val="20"/>
            <w:szCs w:val="20"/>
            <w:u w:val="single"/>
          </w:rPr>
          <w:t>https://www.iucnredlist.org</w:t>
        </w:r>
      </w:hyperlink>
    </w:p>
    <w:p w14:paraId="39007D2B" w14:textId="77777777" w:rsidR="0091442F" w:rsidRPr="007C5A6E" w:rsidRDefault="0091442F" w:rsidP="008811D7">
      <w:pPr>
        <w:spacing w:after="0" w:line="240" w:lineRule="auto"/>
        <w:jc w:val="both"/>
        <w:rPr>
          <w:rFonts w:ascii="Times New Roman" w:hAnsi="Times New Roman"/>
          <w:sz w:val="24"/>
          <w:szCs w:val="24"/>
        </w:rPr>
      </w:pPr>
    </w:p>
    <w:p w14:paraId="6D962C8B" w14:textId="25012BF8"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sz w:val="24"/>
          <w:szCs w:val="24"/>
        </w:rPr>
        <w:t>Chez les reptiles, et sur la base de la liste de l’UICN, 59 espèces peuvent être évaluées. Elles se regroupent en 23 espaces de préoccupation mineure (LC), 03 espèces vulnérables (VU), 01 espèce en danger critique d’extinction (EN) et 03 espèces non évaluées (03). Trois (03) des 59 espèces de reptiles sont intégralement protégées et huit (08) le sont partiellement selon la législation nationale du Burkina Faso (MEEVCC, 2020).</w:t>
      </w:r>
    </w:p>
    <w:p w14:paraId="3731CD17" w14:textId="77777777"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sz w:val="24"/>
          <w:szCs w:val="24"/>
        </w:rPr>
        <w:t xml:space="preserve">Chez les poisons, au stade actuel des connaissances qui font état de 120 espèces, l’on note plutôt une régression de la richesse qui était plutôt à 121 espèces (MEEVCC, 2020). Toutefois, MEEVCC (2020) note l’existence de deux autres espèces non identifiées. L’évaluation de 120 espèces de poisson, faite suivant les critères de classification de l’UICN, permet de mettre en évidence 48 espèces à statut problématique dont 18 espèces sont quasi menacées, 14 vulnérables et 16 en danger ou en danger critique (MEEVCC, 2020). </w:t>
      </w:r>
    </w:p>
    <w:p w14:paraId="0C95ACD9" w14:textId="77777777" w:rsidR="008811D7" w:rsidRPr="007C5A6E" w:rsidRDefault="008811D7" w:rsidP="008811D7">
      <w:pPr>
        <w:spacing w:after="0" w:line="240" w:lineRule="auto"/>
        <w:jc w:val="both"/>
        <w:rPr>
          <w:rFonts w:ascii="Times New Roman" w:hAnsi="Times New Roman"/>
          <w:sz w:val="24"/>
          <w:szCs w:val="24"/>
        </w:rPr>
      </w:pPr>
    </w:p>
    <w:p w14:paraId="6514AADD" w14:textId="77777777" w:rsidR="008811D7" w:rsidRPr="007C5A6E" w:rsidRDefault="008811D7" w:rsidP="00D94D28">
      <w:pPr>
        <w:pStyle w:val="Titre3"/>
      </w:pPr>
      <w:r w:rsidRPr="007C5A6E">
        <w:t xml:space="preserve"> </w:t>
      </w:r>
      <w:bookmarkStart w:id="1204" w:name="_Toc182575459"/>
      <w:bookmarkStart w:id="1205" w:name="_Toc183340246"/>
      <w:r w:rsidRPr="007C5A6E">
        <w:t>Impact sur le climat</w:t>
      </w:r>
      <w:bookmarkEnd w:id="1204"/>
      <w:bookmarkEnd w:id="1205"/>
      <w:r w:rsidRPr="007C5A6E">
        <w:t xml:space="preserve"> </w:t>
      </w:r>
    </w:p>
    <w:p w14:paraId="64EBDCAA" w14:textId="77777777" w:rsidR="008811D7" w:rsidRPr="007C5A6E" w:rsidRDefault="008811D7" w:rsidP="008811D7">
      <w:pPr>
        <w:spacing w:after="0" w:line="240" w:lineRule="auto"/>
        <w:jc w:val="both"/>
        <w:rPr>
          <w:rFonts w:ascii="Times New Roman" w:hAnsi="Times New Roman"/>
          <w:sz w:val="24"/>
          <w:szCs w:val="24"/>
        </w:rPr>
      </w:pPr>
    </w:p>
    <w:p w14:paraId="2DFFFF99" w14:textId="2563CB9D"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sz w:val="24"/>
          <w:szCs w:val="24"/>
        </w:rPr>
        <w:t xml:space="preserve">Dans le rapport d’évaluation de la CONTRIBUTION DETERMINEE AU NIVEAU NATIONAL (BURKINA FASO 2021), il transparait que les émissions du secteur Agriculture Foresterie et Autres utilisation des Terres (AFAT) ont augmenté de 69% de 1995 à 2017 ; du fait de l’accroissement des superficies agricoles, la diminution des terres forestières et l’augmentation des effectifs du cheptel. En 1995, les principaux secteurs émetteurs des GES étaient, le secteur de l’agriculture, la foresterie et les autres utilisations des terres (94,5%). Sur la période 1995 à 2015, la contribution du secteur AFAT aux émissions nationales de GES est d’au moins 90%. Le secteur AFAT a émis 34 645,86 </w:t>
      </w:r>
      <w:proofErr w:type="spellStart"/>
      <w:r w:rsidRPr="007C5A6E">
        <w:rPr>
          <w:rFonts w:ascii="Times New Roman" w:hAnsi="Times New Roman"/>
          <w:sz w:val="24"/>
          <w:szCs w:val="24"/>
        </w:rPr>
        <w:t>Gg</w:t>
      </w:r>
      <w:proofErr w:type="spellEnd"/>
      <w:r w:rsidRPr="007C5A6E">
        <w:rPr>
          <w:rFonts w:ascii="Times New Roman" w:hAnsi="Times New Roman"/>
          <w:sz w:val="24"/>
          <w:szCs w:val="24"/>
        </w:rPr>
        <w:t xml:space="preserve"> CO2eq en 1995 et 59 832,82 </w:t>
      </w:r>
      <w:proofErr w:type="spellStart"/>
      <w:r w:rsidRPr="007C5A6E">
        <w:rPr>
          <w:rFonts w:ascii="Times New Roman" w:hAnsi="Times New Roman"/>
          <w:sz w:val="24"/>
          <w:szCs w:val="24"/>
        </w:rPr>
        <w:t>Gg</w:t>
      </w:r>
      <w:proofErr w:type="spellEnd"/>
      <w:r w:rsidRPr="007C5A6E">
        <w:rPr>
          <w:rFonts w:ascii="Times New Roman" w:hAnsi="Times New Roman"/>
          <w:sz w:val="24"/>
          <w:szCs w:val="24"/>
        </w:rPr>
        <w:t xml:space="preserve"> CO2eq en 2015, soit une augmentation de 73%. Si cette tendance se maintient, ce secteur, en 2030, émettra 88 395,68 </w:t>
      </w:r>
      <w:proofErr w:type="spellStart"/>
      <w:r w:rsidRPr="007C5A6E">
        <w:rPr>
          <w:rFonts w:ascii="Times New Roman" w:hAnsi="Times New Roman"/>
          <w:sz w:val="24"/>
          <w:szCs w:val="24"/>
        </w:rPr>
        <w:t>Gg</w:t>
      </w:r>
      <w:proofErr w:type="spellEnd"/>
      <w:r w:rsidRPr="007C5A6E">
        <w:rPr>
          <w:rFonts w:ascii="Times New Roman" w:hAnsi="Times New Roman"/>
          <w:sz w:val="24"/>
          <w:szCs w:val="24"/>
        </w:rPr>
        <w:t xml:space="preserve"> CO2eq et 168 361,32 </w:t>
      </w:r>
      <w:proofErr w:type="spellStart"/>
      <w:r w:rsidRPr="007C5A6E">
        <w:rPr>
          <w:rFonts w:ascii="Times New Roman" w:hAnsi="Times New Roman"/>
          <w:sz w:val="24"/>
          <w:szCs w:val="24"/>
        </w:rPr>
        <w:t>Gg</w:t>
      </w:r>
      <w:proofErr w:type="spellEnd"/>
      <w:r w:rsidRPr="007C5A6E">
        <w:rPr>
          <w:rFonts w:ascii="Times New Roman" w:hAnsi="Times New Roman"/>
          <w:sz w:val="24"/>
          <w:szCs w:val="24"/>
        </w:rPr>
        <w:t xml:space="preserve"> CO2eq en 2050 (Figure </w:t>
      </w:r>
      <w:r w:rsidR="00560DDE" w:rsidRPr="007C5A6E">
        <w:rPr>
          <w:rFonts w:ascii="Times New Roman" w:hAnsi="Times New Roman"/>
          <w:sz w:val="24"/>
          <w:szCs w:val="24"/>
        </w:rPr>
        <w:t>80</w:t>
      </w:r>
      <w:r w:rsidRPr="007C5A6E">
        <w:rPr>
          <w:rFonts w:ascii="Times New Roman" w:hAnsi="Times New Roman"/>
          <w:sz w:val="24"/>
          <w:szCs w:val="24"/>
        </w:rPr>
        <w:t>).</w:t>
      </w:r>
    </w:p>
    <w:p w14:paraId="7949C702" w14:textId="77777777" w:rsidR="00560DDE" w:rsidRPr="007C5A6E" w:rsidRDefault="00560DDE" w:rsidP="00560DDE">
      <w:pPr>
        <w:spacing w:after="0" w:line="240" w:lineRule="auto"/>
        <w:jc w:val="both"/>
        <w:rPr>
          <w:rFonts w:ascii="Times New Roman" w:hAnsi="Times New Roman"/>
          <w:sz w:val="24"/>
          <w:szCs w:val="24"/>
        </w:rPr>
      </w:pPr>
    </w:p>
    <w:p w14:paraId="50FD4BB3" w14:textId="77777777"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noProof/>
          <w:sz w:val="24"/>
          <w:szCs w:val="24"/>
        </w:rPr>
        <w:drawing>
          <wp:inline distT="0" distB="0" distL="0" distR="0" wp14:anchorId="036091D3" wp14:editId="38E5735D">
            <wp:extent cx="5760720" cy="2314575"/>
            <wp:effectExtent l="0" t="0" r="0" b="9525"/>
            <wp:docPr id="4440826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082697" name=""/>
                    <pic:cNvPicPr/>
                  </pic:nvPicPr>
                  <pic:blipFill>
                    <a:blip r:embed="rId209" cstate="email">
                      <a:extLst>
                        <a:ext uri="{28A0092B-C50C-407E-A947-70E740481C1C}">
                          <a14:useLocalDpi xmlns:a14="http://schemas.microsoft.com/office/drawing/2010/main"/>
                        </a:ext>
                      </a:extLst>
                    </a:blip>
                    <a:stretch>
                      <a:fillRect/>
                    </a:stretch>
                  </pic:blipFill>
                  <pic:spPr>
                    <a:xfrm>
                      <a:off x="0" y="0"/>
                      <a:ext cx="5760720" cy="2314575"/>
                    </a:xfrm>
                    <a:prstGeom prst="rect">
                      <a:avLst/>
                    </a:prstGeom>
                  </pic:spPr>
                </pic:pic>
              </a:graphicData>
            </a:graphic>
          </wp:inline>
        </w:drawing>
      </w:r>
    </w:p>
    <w:p w14:paraId="19283A89" w14:textId="77777777" w:rsidR="00AE756D" w:rsidRPr="007C5A6E" w:rsidRDefault="00AE756D" w:rsidP="00AE756D">
      <w:pPr>
        <w:spacing w:after="0" w:line="240" w:lineRule="auto"/>
        <w:jc w:val="both"/>
        <w:rPr>
          <w:rFonts w:ascii="Times New Roman" w:hAnsi="Times New Roman"/>
          <w:sz w:val="20"/>
          <w:szCs w:val="20"/>
        </w:rPr>
      </w:pPr>
      <w:bookmarkStart w:id="1206" w:name="_Toc182575495"/>
      <w:r w:rsidRPr="007C5A6E">
        <w:rPr>
          <w:rFonts w:ascii="Times New Roman" w:hAnsi="Times New Roman"/>
          <w:sz w:val="20"/>
          <w:szCs w:val="20"/>
        </w:rPr>
        <w:t>(Source : Burkina Faso, 2021)</w:t>
      </w:r>
    </w:p>
    <w:p w14:paraId="204DF7EF" w14:textId="6F205DB2" w:rsidR="008811D7" w:rsidRPr="007C5A6E" w:rsidRDefault="00AE756D" w:rsidP="00AE756D">
      <w:pPr>
        <w:pStyle w:val="Lgende"/>
        <w:spacing w:after="0"/>
        <w:jc w:val="both"/>
        <w:rPr>
          <w:rFonts w:ascii="Times New Roman" w:hAnsi="Times New Roman"/>
          <w:color w:val="auto"/>
          <w:sz w:val="24"/>
          <w:szCs w:val="24"/>
        </w:rPr>
      </w:pPr>
      <w:bookmarkStart w:id="1207" w:name="_Toc183230927"/>
      <w:bookmarkStart w:id="1208" w:name="_Toc183240720"/>
      <w:bookmarkStart w:id="1209" w:name="_Toc183340459"/>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91442F" w:rsidRPr="007C5A6E">
        <w:rPr>
          <w:rFonts w:ascii="Times New Roman" w:hAnsi="Times New Roman"/>
          <w:noProof/>
          <w:color w:val="auto"/>
          <w:sz w:val="24"/>
          <w:szCs w:val="24"/>
        </w:rPr>
        <w:t>80</w:t>
      </w:r>
      <w:r w:rsidRPr="007C5A6E">
        <w:rPr>
          <w:rFonts w:ascii="Times New Roman" w:hAnsi="Times New Roman"/>
          <w:color w:val="auto"/>
          <w:sz w:val="24"/>
          <w:szCs w:val="24"/>
        </w:rPr>
        <w:fldChar w:fldCharType="end"/>
      </w:r>
      <w:r w:rsidR="00144F45" w:rsidRPr="007C5A6E">
        <w:rPr>
          <w:rFonts w:ascii="Times New Roman" w:hAnsi="Times New Roman"/>
          <w:color w:val="auto"/>
          <w:sz w:val="24"/>
          <w:szCs w:val="24"/>
        </w:rPr>
        <w:t>.</w:t>
      </w:r>
      <w:r w:rsidR="008811D7" w:rsidRPr="007C5A6E">
        <w:rPr>
          <w:rFonts w:ascii="Times New Roman" w:hAnsi="Times New Roman"/>
          <w:color w:val="auto"/>
          <w:sz w:val="24"/>
          <w:szCs w:val="24"/>
        </w:rPr>
        <w:t xml:space="preserve"> Évolution du potentiel de séquestration du secteur AFAT pour les années 2025, 2030, 2050</w:t>
      </w:r>
      <w:bookmarkEnd w:id="1206"/>
      <w:bookmarkEnd w:id="1207"/>
      <w:bookmarkEnd w:id="1208"/>
      <w:bookmarkEnd w:id="1209"/>
    </w:p>
    <w:p w14:paraId="30AD1F12" w14:textId="77777777" w:rsidR="0091442F" w:rsidRPr="007C5A6E" w:rsidRDefault="0091442F" w:rsidP="0091442F">
      <w:pPr>
        <w:spacing w:after="0" w:line="240" w:lineRule="auto"/>
        <w:jc w:val="both"/>
        <w:rPr>
          <w:rFonts w:ascii="Times New Roman" w:hAnsi="Times New Roman"/>
          <w:sz w:val="24"/>
          <w:szCs w:val="24"/>
        </w:rPr>
      </w:pPr>
    </w:p>
    <w:p w14:paraId="3FBFA359" w14:textId="5F0DD4E4"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sz w:val="24"/>
          <w:szCs w:val="24"/>
        </w:rPr>
        <w:t xml:space="preserve">Le secteur Agriculture Foresterie et Autres utilisations des Terres (AFAT) est le plus important secteur en termes de potentiel de séquestration des GES au Burkina Faso. </w:t>
      </w:r>
    </w:p>
    <w:p w14:paraId="7D7649CA" w14:textId="77777777"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sz w:val="24"/>
          <w:szCs w:val="24"/>
        </w:rPr>
        <w:t>L'évaluation du renforcement des stocks de carbone dans les terres forestières des différents écosystèmes de 2000 à 2022 montrent deux situations distinctes (SP/REDD+, 2023) :</w:t>
      </w:r>
    </w:p>
    <w:p w14:paraId="3DF9C93D" w14:textId="77777777" w:rsidR="008811D7" w:rsidRPr="007C5A6E" w:rsidRDefault="008811D7" w:rsidP="003F3821">
      <w:pPr>
        <w:numPr>
          <w:ilvl w:val="0"/>
          <w:numId w:val="39"/>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L'accroissement de stock de carbone dans les terres forestières restant terres forestières, qui représente une superficie de 63 772,94 ha. Ce gain est dû à la conversion des steppes arborées et des savanes arborées en forêts galeries, des savanes arborées en forêts claires et des savanes arbustives en savanes arborées. Ces conversions traduisent une amélioration de la qualité des terres forestières, qui deviennent plus denses et plus diversifiées, et donc plus aptes à stocker du carbone et à abriter la biodiversité ;</w:t>
      </w:r>
    </w:p>
    <w:p w14:paraId="32A9F091" w14:textId="1D0EEC70" w:rsidR="008811D7" w:rsidRPr="007C5A6E" w:rsidRDefault="008811D7" w:rsidP="003F3821">
      <w:pPr>
        <w:numPr>
          <w:ilvl w:val="0"/>
          <w:numId w:val="39"/>
        </w:numPr>
        <w:spacing w:after="0" w:line="240" w:lineRule="auto"/>
        <w:ind w:left="357" w:hanging="357"/>
        <w:contextualSpacing/>
        <w:jc w:val="both"/>
        <w:rPr>
          <w:rFonts w:ascii="Times New Roman" w:hAnsi="Times New Roman"/>
          <w:sz w:val="24"/>
          <w:szCs w:val="24"/>
        </w:rPr>
      </w:pPr>
      <w:bookmarkStart w:id="1210" w:name="_Toc137917565"/>
      <w:r w:rsidRPr="007C5A6E">
        <w:rPr>
          <w:rFonts w:ascii="Times New Roman" w:hAnsi="Times New Roman"/>
          <w:sz w:val="24"/>
          <w:szCs w:val="24"/>
        </w:rPr>
        <w:t xml:space="preserve">L'accroissement de stock de carbone résultant de la conversion de terres non forestières en terres forestières s'élève à 177 533,14 ha. Les unités d'occupation des terres qui se sont transformées en terres forestières sont les cultures annuelles, les parcs agroforestiers, les savanes herbeuses, les vergers, les steppes arbustives. Ces conversions témoignent d'une expansion du couvert forestier aux dépens des terres agricoles ou pastorales, qui sont généralement moins efficaces pour séquestrer le carbone et préserver la biodiversité (tableau </w:t>
      </w:r>
      <w:r w:rsidR="0066705C" w:rsidRPr="007C5A6E">
        <w:rPr>
          <w:rFonts w:ascii="Times New Roman" w:hAnsi="Times New Roman"/>
          <w:sz w:val="24"/>
          <w:szCs w:val="24"/>
        </w:rPr>
        <w:t>5</w:t>
      </w:r>
      <w:r w:rsidR="0097141F" w:rsidRPr="007C5A6E">
        <w:rPr>
          <w:rFonts w:ascii="Times New Roman" w:hAnsi="Times New Roman"/>
          <w:sz w:val="24"/>
          <w:szCs w:val="24"/>
        </w:rPr>
        <w:t>1</w:t>
      </w:r>
      <w:r w:rsidRPr="007C5A6E">
        <w:rPr>
          <w:rFonts w:ascii="Times New Roman" w:hAnsi="Times New Roman"/>
          <w:sz w:val="24"/>
          <w:szCs w:val="24"/>
        </w:rPr>
        <w:t>).</w:t>
      </w:r>
      <w:bookmarkEnd w:id="1210"/>
    </w:p>
    <w:p w14:paraId="3C7EC87D" w14:textId="77777777" w:rsidR="008811D7" w:rsidRPr="007C5A6E" w:rsidRDefault="008811D7" w:rsidP="00560DDE">
      <w:pPr>
        <w:spacing w:after="0" w:line="240" w:lineRule="auto"/>
        <w:ind w:left="720"/>
        <w:contextualSpacing/>
        <w:jc w:val="both"/>
        <w:rPr>
          <w:rFonts w:ascii="Times New Roman" w:hAnsi="Times New Roman"/>
          <w:sz w:val="24"/>
          <w:szCs w:val="24"/>
        </w:rPr>
      </w:pPr>
    </w:p>
    <w:p w14:paraId="66DE26C5" w14:textId="0174402F" w:rsidR="008811D7" w:rsidRPr="007C5A6E" w:rsidRDefault="00560DDE" w:rsidP="00560DDE">
      <w:pPr>
        <w:pStyle w:val="Lgende"/>
        <w:spacing w:after="0"/>
        <w:rPr>
          <w:rFonts w:ascii="Times New Roman" w:eastAsia="Calibri" w:hAnsi="Times New Roman"/>
          <w:i w:val="0"/>
          <w:iCs w:val="0"/>
          <w:color w:val="auto"/>
          <w:sz w:val="24"/>
          <w:szCs w:val="24"/>
          <w:lang w:eastAsia="en-US"/>
          <w14:ligatures w14:val="standardContextual"/>
        </w:rPr>
      </w:pPr>
      <w:bookmarkStart w:id="1211" w:name="_Toc182575508"/>
      <w:bookmarkStart w:id="1212" w:name="_Toc183241013"/>
      <w:bookmarkStart w:id="1213" w:name="_Toc183292255"/>
      <w:bookmarkStart w:id="1214" w:name="_Toc183340535"/>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91442F" w:rsidRPr="007C5A6E">
        <w:rPr>
          <w:rFonts w:ascii="Times New Roman" w:hAnsi="Times New Roman"/>
          <w:i w:val="0"/>
          <w:iCs w:val="0"/>
          <w:noProof/>
          <w:color w:val="auto"/>
          <w:sz w:val="24"/>
          <w:szCs w:val="24"/>
        </w:rPr>
        <w:t>51</w:t>
      </w:r>
      <w:r w:rsidRPr="007C5A6E">
        <w:rPr>
          <w:rFonts w:ascii="Times New Roman" w:hAnsi="Times New Roman"/>
          <w:i w:val="0"/>
          <w:iCs w:val="0"/>
          <w:color w:val="auto"/>
          <w:sz w:val="24"/>
          <w:szCs w:val="24"/>
        </w:rPr>
        <w:fldChar w:fldCharType="end"/>
      </w:r>
      <w:r w:rsidR="008811D7" w:rsidRPr="007C5A6E">
        <w:rPr>
          <w:rFonts w:ascii="Times New Roman" w:eastAsia="Calibri" w:hAnsi="Times New Roman"/>
          <w:i w:val="0"/>
          <w:iCs w:val="0"/>
          <w:color w:val="auto"/>
          <w:sz w:val="24"/>
          <w:szCs w:val="24"/>
          <w:lang w:eastAsia="en-US"/>
          <w14:ligatures w14:val="standardContextual"/>
        </w:rPr>
        <w:t xml:space="preserve"> : Dégradation des forêts et renforcement de stock de carbone</w:t>
      </w:r>
      <w:bookmarkEnd w:id="1211"/>
      <w:bookmarkEnd w:id="1212"/>
      <w:bookmarkEnd w:id="1213"/>
      <w:bookmarkEnd w:id="1214"/>
    </w:p>
    <w:p w14:paraId="5C86D1B7" w14:textId="77777777" w:rsidR="00560DDE" w:rsidRPr="007C5A6E" w:rsidRDefault="00560DDE" w:rsidP="00560DDE">
      <w:pPr>
        <w:spacing w:after="0" w:line="240" w:lineRule="auto"/>
        <w:rPr>
          <w:lang w:eastAsia="en-US"/>
        </w:rPr>
      </w:pPr>
    </w:p>
    <w:tbl>
      <w:tblPr>
        <w:tblW w:w="5000" w:type="pct"/>
        <w:tblLook w:val="04A0" w:firstRow="1" w:lastRow="0" w:firstColumn="1" w:lastColumn="0" w:noHBand="0" w:noVBand="1"/>
      </w:tblPr>
      <w:tblGrid>
        <w:gridCol w:w="2269"/>
        <w:gridCol w:w="994"/>
        <w:gridCol w:w="1452"/>
        <w:gridCol w:w="918"/>
        <w:gridCol w:w="1130"/>
        <w:gridCol w:w="1155"/>
        <w:gridCol w:w="1257"/>
      </w:tblGrid>
      <w:tr w:rsidR="008811D7" w:rsidRPr="007C5A6E" w14:paraId="16B07119" w14:textId="77777777" w:rsidTr="00515149">
        <w:trPr>
          <w:trHeight w:val="280"/>
        </w:trPr>
        <w:tc>
          <w:tcPr>
            <w:tcW w:w="836" w:type="pct"/>
            <w:vMerge w:val="restart"/>
            <w:tcBorders>
              <w:top w:val="single" w:sz="4" w:space="0" w:color="333333"/>
              <w:left w:val="single" w:sz="4" w:space="0" w:color="333333"/>
              <w:right w:val="single" w:sz="4" w:space="0" w:color="333333"/>
            </w:tcBorders>
            <w:shd w:val="clear" w:color="000000" w:fill="C0C0C0"/>
            <w:noWrap/>
            <w:vAlign w:val="bottom"/>
          </w:tcPr>
          <w:p w14:paraId="738238B7" w14:textId="77777777" w:rsidR="008811D7" w:rsidRPr="007C5A6E" w:rsidRDefault="008811D7" w:rsidP="008811D7">
            <w:pPr>
              <w:spacing w:after="0" w:line="240" w:lineRule="auto"/>
              <w:jc w:val="both"/>
              <w:rPr>
                <w:rFonts w:ascii="Times New Roman" w:hAnsi="Times New Roman"/>
                <w:sz w:val="21"/>
                <w:szCs w:val="21"/>
              </w:rPr>
            </w:pPr>
            <w:r w:rsidRPr="007C5A6E">
              <w:rPr>
                <w:rFonts w:ascii="Times New Roman" w:hAnsi="Times New Roman"/>
                <w:sz w:val="21"/>
                <w:szCs w:val="21"/>
              </w:rPr>
              <w:t>Utilisation /Occupation des terres</w:t>
            </w:r>
          </w:p>
        </w:tc>
        <w:tc>
          <w:tcPr>
            <w:tcW w:w="4164" w:type="pct"/>
            <w:gridSpan w:val="6"/>
            <w:tcBorders>
              <w:top w:val="single" w:sz="4" w:space="0" w:color="333333"/>
              <w:left w:val="nil"/>
              <w:bottom w:val="single" w:sz="4" w:space="0" w:color="333333"/>
              <w:right w:val="single" w:sz="4" w:space="0" w:color="333333"/>
            </w:tcBorders>
            <w:shd w:val="clear" w:color="auto" w:fill="C5E0B3"/>
            <w:noWrap/>
            <w:vAlign w:val="center"/>
          </w:tcPr>
          <w:p w14:paraId="65C6CCEC" w14:textId="77777777" w:rsidR="008811D7" w:rsidRPr="007C5A6E" w:rsidRDefault="008811D7" w:rsidP="008811D7">
            <w:pPr>
              <w:spacing w:after="0" w:line="240" w:lineRule="auto"/>
              <w:jc w:val="both"/>
              <w:rPr>
                <w:rFonts w:ascii="Times New Roman" w:hAnsi="Times New Roman"/>
                <w:sz w:val="21"/>
                <w:szCs w:val="21"/>
              </w:rPr>
            </w:pPr>
            <w:r w:rsidRPr="007C5A6E">
              <w:rPr>
                <w:rFonts w:ascii="Times New Roman" w:hAnsi="Times New Roman"/>
                <w:sz w:val="21"/>
                <w:szCs w:val="21"/>
              </w:rPr>
              <w:t>TERRES FORESTIERES</w:t>
            </w:r>
          </w:p>
        </w:tc>
      </w:tr>
      <w:tr w:rsidR="008811D7" w:rsidRPr="007C5A6E" w14:paraId="53880838" w14:textId="77777777" w:rsidTr="00515149">
        <w:trPr>
          <w:trHeight w:val="280"/>
        </w:trPr>
        <w:tc>
          <w:tcPr>
            <w:tcW w:w="836" w:type="pct"/>
            <w:vMerge/>
            <w:tcBorders>
              <w:left w:val="single" w:sz="4" w:space="0" w:color="333333"/>
              <w:bottom w:val="single" w:sz="4" w:space="0" w:color="333333"/>
              <w:right w:val="single" w:sz="4" w:space="0" w:color="333333"/>
            </w:tcBorders>
            <w:shd w:val="clear" w:color="000000" w:fill="C0C0C0"/>
            <w:noWrap/>
            <w:vAlign w:val="bottom"/>
            <w:hideMark/>
          </w:tcPr>
          <w:p w14:paraId="09EF8D20" w14:textId="77777777" w:rsidR="008811D7" w:rsidRPr="007C5A6E" w:rsidRDefault="008811D7" w:rsidP="008811D7">
            <w:pPr>
              <w:spacing w:after="0" w:line="240" w:lineRule="auto"/>
              <w:jc w:val="both"/>
              <w:rPr>
                <w:rFonts w:ascii="Times New Roman" w:hAnsi="Times New Roman"/>
                <w:sz w:val="21"/>
                <w:szCs w:val="21"/>
              </w:rPr>
            </w:pPr>
          </w:p>
        </w:tc>
        <w:tc>
          <w:tcPr>
            <w:tcW w:w="593" w:type="pct"/>
            <w:tcBorders>
              <w:top w:val="single" w:sz="4" w:space="0" w:color="333333"/>
              <w:left w:val="nil"/>
              <w:bottom w:val="single" w:sz="4" w:space="0" w:color="333333"/>
              <w:right w:val="single" w:sz="4" w:space="0" w:color="333333"/>
            </w:tcBorders>
            <w:shd w:val="clear" w:color="000000" w:fill="C0C0C0"/>
            <w:noWrap/>
            <w:vAlign w:val="bottom"/>
            <w:hideMark/>
          </w:tcPr>
          <w:p w14:paraId="4605AB37" w14:textId="77777777" w:rsidR="008811D7" w:rsidRPr="007C5A6E" w:rsidRDefault="008811D7" w:rsidP="008811D7">
            <w:pPr>
              <w:spacing w:after="0" w:line="240" w:lineRule="auto"/>
              <w:jc w:val="both"/>
              <w:rPr>
                <w:rFonts w:ascii="Times New Roman" w:hAnsi="Times New Roman"/>
                <w:sz w:val="21"/>
                <w:szCs w:val="21"/>
              </w:rPr>
            </w:pPr>
            <w:r w:rsidRPr="007C5A6E">
              <w:rPr>
                <w:rFonts w:ascii="Times New Roman" w:hAnsi="Times New Roman"/>
                <w:sz w:val="21"/>
                <w:szCs w:val="21"/>
              </w:rPr>
              <w:t>Forêt galerie</w:t>
            </w:r>
          </w:p>
        </w:tc>
        <w:tc>
          <w:tcPr>
            <w:tcW w:w="643" w:type="pct"/>
            <w:tcBorders>
              <w:top w:val="single" w:sz="4" w:space="0" w:color="333333"/>
              <w:left w:val="nil"/>
              <w:bottom w:val="single" w:sz="4" w:space="0" w:color="333333"/>
              <w:right w:val="single" w:sz="4" w:space="0" w:color="333333"/>
            </w:tcBorders>
            <w:shd w:val="clear" w:color="000000" w:fill="C0C0C0"/>
            <w:noWrap/>
            <w:vAlign w:val="bottom"/>
            <w:hideMark/>
          </w:tcPr>
          <w:p w14:paraId="6286255C" w14:textId="77777777" w:rsidR="008811D7" w:rsidRPr="007C5A6E" w:rsidRDefault="008811D7" w:rsidP="008811D7">
            <w:pPr>
              <w:spacing w:after="0" w:line="240" w:lineRule="auto"/>
              <w:jc w:val="both"/>
              <w:rPr>
                <w:rFonts w:ascii="Times New Roman" w:hAnsi="Times New Roman"/>
                <w:sz w:val="21"/>
                <w:szCs w:val="21"/>
              </w:rPr>
            </w:pPr>
            <w:r w:rsidRPr="007C5A6E">
              <w:rPr>
                <w:rFonts w:ascii="Times New Roman" w:hAnsi="Times New Roman"/>
                <w:sz w:val="21"/>
                <w:szCs w:val="21"/>
              </w:rPr>
              <w:t>Plantation forestière</w:t>
            </w:r>
          </w:p>
        </w:tc>
        <w:tc>
          <w:tcPr>
            <w:tcW w:w="628" w:type="pct"/>
            <w:tcBorders>
              <w:top w:val="single" w:sz="4" w:space="0" w:color="333333"/>
              <w:left w:val="nil"/>
              <w:bottom w:val="single" w:sz="4" w:space="0" w:color="333333"/>
              <w:right w:val="single" w:sz="4" w:space="0" w:color="333333"/>
            </w:tcBorders>
            <w:shd w:val="clear" w:color="000000" w:fill="C0C0C0"/>
            <w:noWrap/>
            <w:vAlign w:val="bottom"/>
            <w:hideMark/>
          </w:tcPr>
          <w:p w14:paraId="4F542618" w14:textId="77777777" w:rsidR="008811D7" w:rsidRPr="007C5A6E" w:rsidRDefault="008811D7" w:rsidP="008811D7">
            <w:pPr>
              <w:spacing w:after="0" w:line="240" w:lineRule="auto"/>
              <w:jc w:val="both"/>
              <w:rPr>
                <w:rFonts w:ascii="Times New Roman" w:hAnsi="Times New Roman"/>
                <w:sz w:val="21"/>
                <w:szCs w:val="21"/>
              </w:rPr>
            </w:pPr>
            <w:r w:rsidRPr="007C5A6E">
              <w:rPr>
                <w:rFonts w:ascii="Times New Roman" w:hAnsi="Times New Roman"/>
                <w:sz w:val="21"/>
                <w:szCs w:val="21"/>
              </w:rPr>
              <w:t>Forêt claire</w:t>
            </w:r>
          </w:p>
        </w:tc>
        <w:tc>
          <w:tcPr>
            <w:tcW w:w="635" w:type="pct"/>
            <w:tcBorders>
              <w:top w:val="single" w:sz="4" w:space="0" w:color="333333"/>
              <w:left w:val="nil"/>
              <w:bottom w:val="single" w:sz="4" w:space="0" w:color="333333"/>
              <w:right w:val="single" w:sz="4" w:space="0" w:color="333333"/>
            </w:tcBorders>
            <w:shd w:val="clear" w:color="000000" w:fill="C0C0C0"/>
            <w:noWrap/>
            <w:vAlign w:val="bottom"/>
            <w:hideMark/>
          </w:tcPr>
          <w:p w14:paraId="6A46413B" w14:textId="77777777" w:rsidR="008811D7" w:rsidRPr="007C5A6E" w:rsidRDefault="008811D7" w:rsidP="008811D7">
            <w:pPr>
              <w:spacing w:after="0" w:line="240" w:lineRule="auto"/>
              <w:jc w:val="both"/>
              <w:rPr>
                <w:rFonts w:ascii="Times New Roman" w:hAnsi="Times New Roman"/>
                <w:sz w:val="21"/>
                <w:szCs w:val="21"/>
              </w:rPr>
            </w:pPr>
            <w:r w:rsidRPr="007C5A6E">
              <w:rPr>
                <w:rFonts w:ascii="Times New Roman" w:hAnsi="Times New Roman"/>
                <w:sz w:val="21"/>
                <w:szCs w:val="21"/>
              </w:rPr>
              <w:t>Steppe arborée</w:t>
            </w:r>
          </w:p>
        </w:tc>
        <w:tc>
          <w:tcPr>
            <w:tcW w:w="635" w:type="pct"/>
            <w:tcBorders>
              <w:top w:val="single" w:sz="4" w:space="0" w:color="333333"/>
              <w:left w:val="nil"/>
              <w:bottom w:val="single" w:sz="4" w:space="0" w:color="333333"/>
              <w:right w:val="single" w:sz="4" w:space="0" w:color="333333"/>
            </w:tcBorders>
            <w:shd w:val="clear" w:color="000000" w:fill="C0C0C0"/>
            <w:noWrap/>
            <w:vAlign w:val="bottom"/>
            <w:hideMark/>
          </w:tcPr>
          <w:p w14:paraId="24415E76" w14:textId="77777777" w:rsidR="008811D7" w:rsidRPr="007C5A6E" w:rsidRDefault="008811D7" w:rsidP="008811D7">
            <w:pPr>
              <w:spacing w:after="0" w:line="240" w:lineRule="auto"/>
              <w:jc w:val="both"/>
              <w:rPr>
                <w:rFonts w:ascii="Times New Roman" w:hAnsi="Times New Roman"/>
                <w:sz w:val="21"/>
                <w:szCs w:val="21"/>
              </w:rPr>
            </w:pPr>
            <w:r w:rsidRPr="007C5A6E">
              <w:rPr>
                <w:rFonts w:ascii="Times New Roman" w:hAnsi="Times New Roman"/>
                <w:sz w:val="21"/>
                <w:szCs w:val="21"/>
              </w:rPr>
              <w:t>Savane arborée</w:t>
            </w:r>
          </w:p>
        </w:tc>
        <w:tc>
          <w:tcPr>
            <w:tcW w:w="1030" w:type="pct"/>
            <w:tcBorders>
              <w:top w:val="single" w:sz="4" w:space="0" w:color="333333"/>
              <w:left w:val="nil"/>
              <w:bottom w:val="single" w:sz="4" w:space="0" w:color="333333"/>
              <w:right w:val="single" w:sz="4" w:space="0" w:color="333333"/>
            </w:tcBorders>
            <w:shd w:val="clear" w:color="000000" w:fill="C0C0C0"/>
            <w:noWrap/>
            <w:vAlign w:val="bottom"/>
            <w:hideMark/>
          </w:tcPr>
          <w:p w14:paraId="7AD1892A" w14:textId="77777777" w:rsidR="008811D7" w:rsidRPr="007C5A6E" w:rsidRDefault="008811D7" w:rsidP="008811D7">
            <w:pPr>
              <w:spacing w:after="0" w:line="240" w:lineRule="auto"/>
              <w:jc w:val="both"/>
              <w:rPr>
                <w:rFonts w:ascii="Times New Roman" w:hAnsi="Times New Roman"/>
                <w:sz w:val="21"/>
                <w:szCs w:val="21"/>
              </w:rPr>
            </w:pPr>
            <w:r w:rsidRPr="007C5A6E">
              <w:rPr>
                <w:rFonts w:ascii="Times New Roman" w:hAnsi="Times New Roman"/>
                <w:sz w:val="21"/>
                <w:szCs w:val="21"/>
              </w:rPr>
              <w:t>Savane arbustive</w:t>
            </w:r>
          </w:p>
        </w:tc>
      </w:tr>
      <w:tr w:rsidR="008811D7" w:rsidRPr="007C5A6E" w14:paraId="1AAB9DCD" w14:textId="77777777" w:rsidTr="0091442F">
        <w:trPr>
          <w:trHeight w:val="280"/>
        </w:trPr>
        <w:tc>
          <w:tcPr>
            <w:tcW w:w="836" w:type="pct"/>
            <w:tcBorders>
              <w:top w:val="nil"/>
              <w:left w:val="single" w:sz="4" w:space="0" w:color="333333"/>
              <w:bottom w:val="single" w:sz="4" w:space="0" w:color="333333"/>
              <w:right w:val="single" w:sz="4" w:space="0" w:color="333333"/>
            </w:tcBorders>
            <w:shd w:val="clear" w:color="auto" w:fill="auto"/>
            <w:noWrap/>
            <w:vAlign w:val="center"/>
            <w:hideMark/>
          </w:tcPr>
          <w:p w14:paraId="24B01ED7" w14:textId="77777777" w:rsidR="008811D7" w:rsidRPr="007C5A6E" w:rsidRDefault="008811D7" w:rsidP="0091442F">
            <w:pPr>
              <w:spacing w:after="0" w:line="240" w:lineRule="auto"/>
              <w:rPr>
                <w:rFonts w:ascii="Times New Roman" w:hAnsi="Times New Roman"/>
                <w:sz w:val="21"/>
                <w:szCs w:val="21"/>
              </w:rPr>
            </w:pPr>
            <w:r w:rsidRPr="007C5A6E">
              <w:rPr>
                <w:rFonts w:ascii="Times New Roman" w:hAnsi="Times New Roman"/>
                <w:sz w:val="21"/>
                <w:szCs w:val="21"/>
              </w:rPr>
              <w:t>Forêt galerie</w:t>
            </w:r>
          </w:p>
        </w:tc>
        <w:tc>
          <w:tcPr>
            <w:tcW w:w="593" w:type="pct"/>
            <w:tcBorders>
              <w:top w:val="nil"/>
              <w:left w:val="nil"/>
              <w:bottom w:val="single" w:sz="4" w:space="0" w:color="333333"/>
              <w:right w:val="single" w:sz="4" w:space="0" w:color="333333"/>
            </w:tcBorders>
            <w:shd w:val="clear" w:color="auto" w:fill="auto"/>
            <w:noWrap/>
            <w:vAlign w:val="bottom"/>
            <w:hideMark/>
          </w:tcPr>
          <w:p w14:paraId="139BF76C"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124 639,99</w:t>
            </w:r>
          </w:p>
        </w:tc>
        <w:tc>
          <w:tcPr>
            <w:tcW w:w="643" w:type="pct"/>
            <w:tcBorders>
              <w:top w:val="nil"/>
              <w:left w:val="nil"/>
              <w:bottom w:val="single" w:sz="4" w:space="0" w:color="333333"/>
              <w:right w:val="single" w:sz="4" w:space="0" w:color="333333"/>
            </w:tcBorders>
            <w:shd w:val="clear" w:color="auto" w:fill="auto"/>
            <w:noWrap/>
            <w:vAlign w:val="bottom"/>
            <w:hideMark/>
          </w:tcPr>
          <w:p w14:paraId="616FB17D"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28" w:type="pct"/>
            <w:tcBorders>
              <w:top w:val="nil"/>
              <w:left w:val="nil"/>
              <w:bottom w:val="single" w:sz="4" w:space="0" w:color="333333"/>
              <w:right w:val="single" w:sz="4" w:space="0" w:color="333333"/>
            </w:tcBorders>
            <w:shd w:val="clear" w:color="auto" w:fill="auto"/>
            <w:noWrap/>
            <w:vAlign w:val="bottom"/>
            <w:hideMark/>
          </w:tcPr>
          <w:p w14:paraId="14F8FEA6"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35" w:type="pct"/>
            <w:tcBorders>
              <w:top w:val="nil"/>
              <w:left w:val="nil"/>
              <w:bottom w:val="single" w:sz="4" w:space="0" w:color="333333"/>
              <w:right w:val="single" w:sz="4" w:space="0" w:color="333333"/>
            </w:tcBorders>
            <w:shd w:val="clear" w:color="auto" w:fill="auto"/>
            <w:noWrap/>
            <w:vAlign w:val="bottom"/>
            <w:hideMark/>
          </w:tcPr>
          <w:p w14:paraId="2F4DF1E9"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35"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5C4635AF"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1 571,38</w:t>
            </w:r>
          </w:p>
        </w:tc>
        <w:tc>
          <w:tcPr>
            <w:tcW w:w="1030" w:type="pct"/>
            <w:tcBorders>
              <w:top w:val="nil"/>
              <w:left w:val="single" w:sz="4" w:space="0" w:color="333333"/>
              <w:bottom w:val="single" w:sz="4" w:space="0" w:color="333333"/>
              <w:right w:val="single" w:sz="4" w:space="0" w:color="333333"/>
            </w:tcBorders>
            <w:shd w:val="clear" w:color="auto" w:fill="auto"/>
            <w:noWrap/>
            <w:vAlign w:val="bottom"/>
            <w:hideMark/>
          </w:tcPr>
          <w:p w14:paraId="0C8663B4"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r>
      <w:tr w:rsidR="008811D7" w:rsidRPr="007C5A6E" w14:paraId="2B096D6B" w14:textId="77777777" w:rsidTr="0091442F">
        <w:trPr>
          <w:trHeight w:val="280"/>
        </w:trPr>
        <w:tc>
          <w:tcPr>
            <w:tcW w:w="836" w:type="pct"/>
            <w:tcBorders>
              <w:top w:val="nil"/>
              <w:left w:val="single" w:sz="4" w:space="0" w:color="333333"/>
              <w:bottom w:val="single" w:sz="4" w:space="0" w:color="333333"/>
              <w:right w:val="single" w:sz="4" w:space="0" w:color="333333"/>
            </w:tcBorders>
            <w:shd w:val="clear" w:color="auto" w:fill="auto"/>
            <w:noWrap/>
            <w:vAlign w:val="center"/>
            <w:hideMark/>
          </w:tcPr>
          <w:p w14:paraId="44D177CC" w14:textId="77777777" w:rsidR="008811D7" w:rsidRPr="007C5A6E" w:rsidRDefault="008811D7" w:rsidP="0091442F">
            <w:pPr>
              <w:spacing w:after="0" w:line="240" w:lineRule="auto"/>
              <w:rPr>
                <w:rFonts w:ascii="Times New Roman" w:hAnsi="Times New Roman"/>
                <w:sz w:val="21"/>
                <w:szCs w:val="21"/>
              </w:rPr>
            </w:pPr>
            <w:r w:rsidRPr="007C5A6E">
              <w:rPr>
                <w:rFonts w:ascii="Times New Roman" w:hAnsi="Times New Roman"/>
                <w:sz w:val="21"/>
                <w:szCs w:val="21"/>
              </w:rPr>
              <w:t>Plantation forestière</w:t>
            </w:r>
          </w:p>
        </w:tc>
        <w:tc>
          <w:tcPr>
            <w:tcW w:w="593" w:type="pct"/>
            <w:tcBorders>
              <w:top w:val="nil"/>
              <w:left w:val="nil"/>
              <w:bottom w:val="single" w:sz="4" w:space="0" w:color="333333"/>
              <w:right w:val="single" w:sz="4" w:space="0" w:color="333333"/>
            </w:tcBorders>
            <w:shd w:val="clear" w:color="auto" w:fill="auto"/>
            <w:noWrap/>
            <w:vAlign w:val="bottom"/>
            <w:hideMark/>
          </w:tcPr>
          <w:p w14:paraId="32ED9B09"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43" w:type="pct"/>
            <w:tcBorders>
              <w:top w:val="nil"/>
              <w:left w:val="nil"/>
              <w:bottom w:val="single" w:sz="4" w:space="0" w:color="333333"/>
              <w:right w:val="single" w:sz="4" w:space="0" w:color="333333"/>
            </w:tcBorders>
            <w:shd w:val="clear" w:color="auto" w:fill="auto"/>
            <w:noWrap/>
            <w:vAlign w:val="bottom"/>
            <w:hideMark/>
          </w:tcPr>
          <w:p w14:paraId="60617E83"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3 115,37</w:t>
            </w:r>
          </w:p>
        </w:tc>
        <w:tc>
          <w:tcPr>
            <w:tcW w:w="628" w:type="pct"/>
            <w:tcBorders>
              <w:top w:val="nil"/>
              <w:left w:val="nil"/>
              <w:bottom w:val="single" w:sz="4" w:space="0" w:color="333333"/>
              <w:right w:val="single" w:sz="4" w:space="0" w:color="333333"/>
            </w:tcBorders>
            <w:shd w:val="clear" w:color="auto" w:fill="auto"/>
            <w:noWrap/>
            <w:vAlign w:val="bottom"/>
            <w:hideMark/>
          </w:tcPr>
          <w:p w14:paraId="173F440E"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35" w:type="pct"/>
            <w:tcBorders>
              <w:top w:val="nil"/>
              <w:left w:val="nil"/>
              <w:bottom w:val="single" w:sz="4" w:space="0" w:color="333333"/>
              <w:right w:val="single" w:sz="4" w:space="0" w:color="333333"/>
            </w:tcBorders>
            <w:shd w:val="clear" w:color="auto" w:fill="auto"/>
            <w:noWrap/>
            <w:vAlign w:val="bottom"/>
            <w:hideMark/>
          </w:tcPr>
          <w:p w14:paraId="7122861B"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35" w:type="pct"/>
            <w:tcBorders>
              <w:top w:val="single" w:sz="4" w:space="0" w:color="333333"/>
              <w:left w:val="nil"/>
              <w:bottom w:val="single" w:sz="4" w:space="0" w:color="333333"/>
              <w:right w:val="single" w:sz="4" w:space="0" w:color="333333"/>
            </w:tcBorders>
            <w:shd w:val="clear" w:color="auto" w:fill="auto"/>
            <w:noWrap/>
            <w:vAlign w:val="bottom"/>
            <w:hideMark/>
          </w:tcPr>
          <w:p w14:paraId="547F9C6A"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1030" w:type="pct"/>
            <w:tcBorders>
              <w:top w:val="nil"/>
              <w:left w:val="nil"/>
              <w:bottom w:val="single" w:sz="4" w:space="0" w:color="333333"/>
              <w:right w:val="single" w:sz="4" w:space="0" w:color="333333"/>
            </w:tcBorders>
            <w:shd w:val="clear" w:color="auto" w:fill="auto"/>
            <w:noWrap/>
            <w:vAlign w:val="bottom"/>
            <w:hideMark/>
          </w:tcPr>
          <w:p w14:paraId="3EA069D9"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r>
      <w:tr w:rsidR="008811D7" w:rsidRPr="007C5A6E" w14:paraId="5D2519A4" w14:textId="77777777" w:rsidTr="0091442F">
        <w:trPr>
          <w:trHeight w:val="280"/>
        </w:trPr>
        <w:tc>
          <w:tcPr>
            <w:tcW w:w="836" w:type="pct"/>
            <w:tcBorders>
              <w:top w:val="nil"/>
              <w:left w:val="single" w:sz="4" w:space="0" w:color="333333"/>
              <w:bottom w:val="single" w:sz="4" w:space="0" w:color="333333"/>
              <w:right w:val="single" w:sz="4" w:space="0" w:color="333333"/>
            </w:tcBorders>
            <w:shd w:val="clear" w:color="auto" w:fill="auto"/>
            <w:noWrap/>
            <w:vAlign w:val="center"/>
            <w:hideMark/>
          </w:tcPr>
          <w:p w14:paraId="23B77591" w14:textId="77777777" w:rsidR="008811D7" w:rsidRPr="007C5A6E" w:rsidRDefault="008811D7" w:rsidP="0091442F">
            <w:pPr>
              <w:spacing w:after="0" w:line="240" w:lineRule="auto"/>
              <w:rPr>
                <w:rFonts w:ascii="Times New Roman" w:hAnsi="Times New Roman"/>
                <w:sz w:val="21"/>
                <w:szCs w:val="21"/>
              </w:rPr>
            </w:pPr>
            <w:r w:rsidRPr="007C5A6E">
              <w:rPr>
                <w:rFonts w:ascii="Times New Roman" w:hAnsi="Times New Roman"/>
                <w:sz w:val="21"/>
                <w:szCs w:val="21"/>
              </w:rPr>
              <w:t>Forêt claire</w:t>
            </w:r>
          </w:p>
        </w:tc>
        <w:tc>
          <w:tcPr>
            <w:tcW w:w="593" w:type="pct"/>
            <w:tcBorders>
              <w:top w:val="nil"/>
              <w:left w:val="nil"/>
              <w:bottom w:val="single" w:sz="4" w:space="0" w:color="333333"/>
              <w:right w:val="single" w:sz="4" w:space="0" w:color="333333"/>
            </w:tcBorders>
            <w:shd w:val="clear" w:color="auto" w:fill="auto"/>
            <w:noWrap/>
            <w:vAlign w:val="bottom"/>
            <w:hideMark/>
          </w:tcPr>
          <w:p w14:paraId="50261165"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43" w:type="pct"/>
            <w:tcBorders>
              <w:top w:val="nil"/>
              <w:left w:val="nil"/>
              <w:bottom w:val="single" w:sz="4" w:space="0" w:color="333333"/>
              <w:right w:val="single" w:sz="4" w:space="0" w:color="333333"/>
            </w:tcBorders>
            <w:shd w:val="clear" w:color="auto" w:fill="auto"/>
            <w:noWrap/>
            <w:vAlign w:val="bottom"/>
            <w:hideMark/>
          </w:tcPr>
          <w:p w14:paraId="5F7621BC"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28" w:type="pct"/>
            <w:tcBorders>
              <w:top w:val="nil"/>
              <w:left w:val="nil"/>
              <w:bottom w:val="single" w:sz="4" w:space="0" w:color="333333"/>
              <w:right w:val="single" w:sz="4" w:space="0" w:color="333333"/>
            </w:tcBorders>
            <w:shd w:val="clear" w:color="auto" w:fill="auto"/>
            <w:noWrap/>
            <w:vAlign w:val="bottom"/>
            <w:hideMark/>
          </w:tcPr>
          <w:p w14:paraId="51F92587"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110 959,23</w:t>
            </w:r>
          </w:p>
        </w:tc>
        <w:tc>
          <w:tcPr>
            <w:tcW w:w="635" w:type="pct"/>
            <w:tcBorders>
              <w:top w:val="nil"/>
              <w:left w:val="nil"/>
              <w:bottom w:val="single" w:sz="4" w:space="0" w:color="333333"/>
              <w:right w:val="single" w:sz="4" w:space="0" w:color="333333"/>
            </w:tcBorders>
            <w:shd w:val="clear" w:color="auto" w:fill="auto"/>
            <w:noWrap/>
            <w:vAlign w:val="bottom"/>
            <w:hideMark/>
          </w:tcPr>
          <w:p w14:paraId="5E218C06"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35"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4805B62B"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4 688,84</w:t>
            </w:r>
          </w:p>
        </w:tc>
        <w:tc>
          <w:tcPr>
            <w:tcW w:w="1030" w:type="pct"/>
            <w:tcBorders>
              <w:top w:val="nil"/>
              <w:left w:val="single" w:sz="4" w:space="0" w:color="333333"/>
              <w:bottom w:val="single" w:sz="4" w:space="0" w:color="333333"/>
              <w:right w:val="single" w:sz="4" w:space="0" w:color="333333"/>
            </w:tcBorders>
            <w:shd w:val="clear" w:color="auto" w:fill="auto"/>
            <w:noWrap/>
            <w:vAlign w:val="bottom"/>
            <w:hideMark/>
          </w:tcPr>
          <w:p w14:paraId="1E2A705B"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r>
      <w:tr w:rsidR="008811D7" w:rsidRPr="007C5A6E" w14:paraId="61015F07" w14:textId="77777777" w:rsidTr="0091442F">
        <w:trPr>
          <w:trHeight w:val="280"/>
        </w:trPr>
        <w:tc>
          <w:tcPr>
            <w:tcW w:w="836" w:type="pct"/>
            <w:tcBorders>
              <w:top w:val="nil"/>
              <w:left w:val="single" w:sz="4" w:space="0" w:color="333333"/>
              <w:bottom w:val="single" w:sz="4" w:space="0" w:color="333333"/>
              <w:right w:val="single" w:sz="4" w:space="0" w:color="333333"/>
            </w:tcBorders>
            <w:shd w:val="clear" w:color="auto" w:fill="auto"/>
            <w:noWrap/>
            <w:vAlign w:val="center"/>
            <w:hideMark/>
          </w:tcPr>
          <w:p w14:paraId="73558676" w14:textId="77777777" w:rsidR="008811D7" w:rsidRPr="007C5A6E" w:rsidRDefault="008811D7" w:rsidP="0091442F">
            <w:pPr>
              <w:spacing w:after="0" w:line="240" w:lineRule="auto"/>
              <w:rPr>
                <w:rFonts w:ascii="Times New Roman" w:hAnsi="Times New Roman"/>
                <w:sz w:val="21"/>
                <w:szCs w:val="21"/>
              </w:rPr>
            </w:pPr>
            <w:r w:rsidRPr="007C5A6E">
              <w:rPr>
                <w:rFonts w:ascii="Times New Roman" w:hAnsi="Times New Roman"/>
                <w:sz w:val="21"/>
                <w:szCs w:val="21"/>
              </w:rPr>
              <w:t>Steppe arborée</w:t>
            </w:r>
          </w:p>
        </w:tc>
        <w:tc>
          <w:tcPr>
            <w:tcW w:w="593" w:type="pct"/>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33144D8F"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1 544,67</w:t>
            </w:r>
          </w:p>
        </w:tc>
        <w:tc>
          <w:tcPr>
            <w:tcW w:w="643" w:type="pct"/>
            <w:tcBorders>
              <w:top w:val="nil"/>
              <w:left w:val="single" w:sz="4" w:space="0" w:color="333333"/>
              <w:bottom w:val="single" w:sz="4" w:space="0" w:color="333333"/>
              <w:right w:val="single" w:sz="4" w:space="0" w:color="333333"/>
            </w:tcBorders>
            <w:shd w:val="clear" w:color="auto" w:fill="auto"/>
            <w:noWrap/>
            <w:vAlign w:val="bottom"/>
            <w:hideMark/>
          </w:tcPr>
          <w:p w14:paraId="2CF047FC"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28" w:type="pct"/>
            <w:tcBorders>
              <w:top w:val="nil"/>
              <w:left w:val="nil"/>
              <w:bottom w:val="single" w:sz="4" w:space="0" w:color="333333"/>
              <w:right w:val="single" w:sz="4" w:space="0" w:color="333333"/>
            </w:tcBorders>
            <w:shd w:val="clear" w:color="auto" w:fill="auto"/>
            <w:noWrap/>
            <w:vAlign w:val="bottom"/>
            <w:hideMark/>
          </w:tcPr>
          <w:p w14:paraId="19064AA4"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35" w:type="pct"/>
            <w:tcBorders>
              <w:top w:val="nil"/>
              <w:left w:val="nil"/>
              <w:bottom w:val="single" w:sz="4" w:space="0" w:color="333333"/>
              <w:right w:val="single" w:sz="4" w:space="0" w:color="333333"/>
            </w:tcBorders>
            <w:shd w:val="clear" w:color="auto" w:fill="auto"/>
            <w:noWrap/>
            <w:vAlign w:val="bottom"/>
            <w:hideMark/>
          </w:tcPr>
          <w:p w14:paraId="216A42FB"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863 530,00</w:t>
            </w:r>
          </w:p>
        </w:tc>
        <w:tc>
          <w:tcPr>
            <w:tcW w:w="635" w:type="pct"/>
            <w:tcBorders>
              <w:top w:val="single" w:sz="4" w:space="0" w:color="333333"/>
              <w:left w:val="nil"/>
              <w:bottom w:val="single" w:sz="4" w:space="0" w:color="333333"/>
              <w:right w:val="single" w:sz="4" w:space="0" w:color="333333"/>
            </w:tcBorders>
            <w:shd w:val="clear" w:color="auto" w:fill="auto"/>
            <w:noWrap/>
            <w:vAlign w:val="bottom"/>
            <w:hideMark/>
          </w:tcPr>
          <w:p w14:paraId="04986304"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1030" w:type="pct"/>
            <w:tcBorders>
              <w:top w:val="nil"/>
              <w:left w:val="nil"/>
              <w:bottom w:val="single" w:sz="4" w:space="0" w:color="333333"/>
              <w:right w:val="single" w:sz="4" w:space="0" w:color="333333"/>
            </w:tcBorders>
            <w:shd w:val="clear" w:color="auto" w:fill="auto"/>
            <w:noWrap/>
            <w:vAlign w:val="bottom"/>
            <w:hideMark/>
          </w:tcPr>
          <w:p w14:paraId="651B3D09"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r>
      <w:tr w:rsidR="008811D7" w:rsidRPr="007C5A6E" w14:paraId="35805426" w14:textId="77777777" w:rsidTr="0091442F">
        <w:trPr>
          <w:trHeight w:val="280"/>
        </w:trPr>
        <w:tc>
          <w:tcPr>
            <w:tcW w:w="836" w:type="pct"/>
            <w:tcBorders>
              <w:top w:val="nil"/>
              <w:left w:val="single" w:sz="4" w:space="0" w:color="333333"/>
              <w:bottom w:val="single" w:sz="4" w:space="0" w:color="333333"/>
              <w:right w:val="single" w:sz="4" w:space="0" w:color="333333"/>
            </w:tcBorders>
            <w:shd w:val="clear" w:color="auto" w:fill="auto"/>
            <w:noWrap/>
            <w:vAlign w:val="center"/>
            <w:hideMark/>
          </w:tcPr>
          <w:p w14:paraId="0CA78ACE" w14:textId="77777777" w:rsidR="008811D7" w:rsidRPr="007C5A6E" w:rsidRDefault="008811D7" w:rsidP="0091442F">
            <w:pPr>
              <w:spacing w:after="0" w:line="240" w:lineRule="auto"/>
              <w:rPr>
                <w:rFonts w:ascii="Times New Roman" w:hAnsi="Times New Roman"/>
                <w:sz w:val="21"/>
                <w:szCs w:val="21"/>
              </w:rPr>
            </w:pPr>
            <w:r w:rsidRPr="007C5A6E">
              <w:rPr>
                <w:rFonts w:ascii="Times New Roman" w:hAnsi="Times New Roman"/>
                <w:sz w:val="21"/>
                <w:szCs w:val="21"/>
              </w:rPr>
              <w:t>Savane arborée</w:t>
            </w:r>
          </w:p>
        </w:tc>
        <w:tc>
          <w:tcPr>
            <w:tcW w:w="593" w:type="pct"/>
            <w:tcBorders>
              <w:top w:val="nil"/>
              <w:left w:val="single" w:sz="4" w:space="0" w:color="auto"/>
              <w:bottom w:val="single" w:sz="4" w:space="0" w:color="auto"/>
              <w:right w:val="single" w:sz="4" w:space="0" w:color="auto"/>
            </w:tcBorders>
            <w:shd w:val="clear" w:color="auto" w:fill="92D050"/>
            <w:noWrap/>
            <w:vAlign w:val="bottom"/>
            <w:hideMark/>
          </w:tcPr>
          <w:p w14:paraId="1284AC99"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1 544,67</w:t>
            </w:r>
          </w:p>
        </w:tc>
        <w:tc>
          <w:tcPr>
            <w:tcW w:w="643" w:type="pct"/>
            <w:tcBorders>
              <w:top w:val="nil"/>
              <w:left w:val="single" w:sz="4" w:space="0" w:color="333333"/>
              <w:bottom w:val="single" w:sz="4" w:space="0" w:color="333333"/>
              <w:right w:val="single" w:sz="4" w:space="0" w:color="333333"/>
            </w:tcBorders>
            <w:shd w:val="clear" w:color="auto" w:fill="auto"/>
            <w:noWrap/>
            <w:vAlign w:val="bottom"/>
            <w:hideMark/>
          </w:tcPr>
          <w:p w14:paraId="06DE200F"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28" w:type="pct"/>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128094F3"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4 680,91</w:t>
            </w:r>
          </w:p>
        </w:tc>
        <w:tc>
          <w:tcPr>
            <w:tcW w:w="635" w:type="pct"/>
            <w:tcBorders>
              <w:top w:val="nil"/>
              <w:left w:val="single" w:sz="4" w:space="0" w:color="333333"/>
              <w:bottom w:val="single" w:sz="4" w:space="0" w:color="333333"/>
              <w:right w:val="single" w:sz="4" w:space="0" w:color="333333"/>
            </w:tcBorders>
            <w:shd w:val="clear" w:color="auto" w:fill="auto"/>
            <w:noWrap/>
            <w:vAlign w:val="bottom"/>
            <w:hideMark/>
          </w:tcPr>
          <w:p w14:paraId="69DEFC47"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35" w:type="pct"/>
            <w:tcBorders>
              <w:top w:val="nil"/>
              <w:left w:val="nil"/>
              <w:bottom w:val="single" w:sz="4" w:space="0" w:color="333333"/>
              <w:right w:val="single" w:sz="4" w:space="0" w:color="333333"/>
            </w:tcBorders>
            <w:shd w:val="clear" w:color="auto" w:fill="auto"/>
            <w:noWrap/>
            <w:vAlign w:val="bottom"/>
            <w:hideMark/>
          </w:tcPr>
          <w:p w14:paraId="2A810D01"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3 819 417,20</w:t>
            </w:r>
          </w:p>
        </w:tc>
        <w:tc>
          <w:tcPr>
            <w:tcW w:w="103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33DCB7B4"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65676,84</w:t>
            </w:r>
          </w:p>
        </w:tc>
      </w:tr>
      <w:tr w:rsidR="008811D7" w:rsidRPr="007C5A6E" w14:paraId="31EBA98F" w14:textId="77777777" w:rsidTr="0091442F">
        <w:trPr>
          <w:trHeight w:val="280"/>
        </w:trPr>
        <w:tc>
          <w:tcPr>
            <w:tcW w:w="836" w:type="pct"/>
            <w:tcBorders>
              <w:top w:val="nil"/>
              <w:left w:val="single" w:sz="4" w:space="0" w:color="333333"/>
              <w:bottom w:val="single" w:sz="4" w:space="0" w:color="333333"/>
              <w:right w:val="single" w:sz="4" w:space="0" w:color="333333"/>
            </w:tcBorders>
            <w:shd w:val="clear" w:color="auto" w:fill="auto"/>
            <w:noWrap/>
            <w:vAlign w:val="center"/>
          </w:tcPr>
          <w:p w14:paraId="172914E4" w14:textId="77777777" w:rsidR="008811D7" w:rsidRPr="007C5A6E" w:rsidRDefault="008811D7" w:rsidP="0091442F">
            <w:pPr>
              <w:spacing w:after="0" w:line="240" w:lineRule="auto"/>
              <w:rPr>
                <w:rFonts w:ascii="Times New Roman" w:hAnsi="Times New Roman"/>
                <w:sz w:val="21"/>
                <w:szCs w:val="21"/>
              </w:rPr>
            </w:pPr>
            <w:r w:rsidRPr="007C5A6E">
              <w:rPr>
                <w:rFonts w:ascii="Times New Roman" w:hAnsi="Times New Roman"/>
                <w:sz w:val="21"/>
                <w:szCs w:val="21"/>
              </w:rPr>
              <w:t>Savane arbustive</w:t>
            </w:r>
          </w:p>
        </w:tc>
        <w:tc>
          <w:tcPr>
            <w:tcW w:w="593" w:type="pct"/>
            <w:tcBorders>
              <w:top w:val="nil"/>
              <w:left w:val="nil"/>
              <w:bottom w:val="single" w:sz="4" w:space="0" w:color="333333"/>
              <w:right w:val="single" w:sz="4" w:space="0" w:color="333333"/>
            </w:tcBorders>
            <w:shd w:val="clear" w:color="auto" w:fill="auto"/>
            <w:noWrap/>
            <w:vAlign w:val="bottom"/>
          </w:tcPr>
          <w:p w14:paraId="1E133590"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43" w:type="pct"/>
            <w:tcBorders>
              <w:top w:val="nil"/>
              <w:left w:val="nil"/>
              <w:bottom w:val="single" w:sz="4" w:space="0" w:color="333333"/>
              <w:right w:val="single" w:sz="4" w:space="0" w:color="333333"/>
            </w:tcBorders>
            <w:shd w:val="clear" w:color="auto" w:fill="auto"/>
            <w:noWrap/>
            <w:vAlign w:val="bottom"/>
          </w:tcPr>
          <w:p w14:paraId="61FA9AC5"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28" w:type="pct"/>
            <w:tcBorders>
              <w:top w:val="nil"/>
              <w:left w:val="nil"/>
              <w:bottom w:val="single" w:sz="4" w:space="0" w:color="333333"/>
              <w:right w:val="single" w:sz="4" w:space="0" w:color="333333"/>
            </w:tcBorders>
            <w:shd w:val="clear" w:color="auto" w:fill="auto"/>
            <w:noWrap/>
            <w:vAlign w:val="bottom"/>
          </w:tcPr>
          <w:p w14:paraId="66106004"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35" w:type="pct"/>
            <w:tcBorders>
              <w:top w:val="nil"/>
              <w:left w:val="nil"/>
              <w:bottom w:val="single" w:sz="4" w:space="0" w:color="333333"/>
              <w:right w:val="single" w:sz="4" w:space="0" w:color="333333"/>
            </w:tcBorders>
            <w:shd w:val="clear" w:color="auto" w:fill="auto"/>
            <w:noWrap/>
            <w:vAlign w:val="bottom"/>
          </w:tcPr>
          <w:p w14:paraId="1D405B3D"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35" w:type="pct"/>
            <w:tcBorders>
              <w:top w:val="nil"/>
              <w:left w:val="single" w:sz="4" w:space="0" w:color="auto"/>
              <w:bottom w:val="single" w:sz="4" w:space="0" w:color="auto"/>
              <w:right w:val="single" w:sz="4" w:space="0" w:color="auto"/>
            </w:tcBorders>
            <w:shd w:val="clear" w:color="auto" w:fill="92D050"/>
            <w:noWrap/>
            <w:vAlign w:val="bottom"/>
          </w:tcPr>
          <w:p w14:paraId="48F8E836"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56002,70</w:t>
            </w:r>
          </w:p>
        </w:tc>
        <w:tc>
          <w:tcPr>
            <w:tcW w:w="1030" w:type="pct"/>
            <w:tcBorders>
              <w:top w:val="single" w:sz="4" w:space="0" w:color="333333"/>
              <w:left w:val="single" w:sz="4" w:space="0" w:color="333333"/>
              <w:bottom w:val="single" w:sz="4" w:space="0" w:color="333333"/>
              <w:right w:val="single" w:sz="4" w:space="0" w:color="333333"/>
            </w:tcBorders>
            <w:shd w:val="clear" w:color="auto" w:fill="auto"/>
            <w:noWrap/>
            <w:vAlign w:val="bottom"/>
          </w:tcPr>
          <w:p w14:paraId="0FF12A2D"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1 976 542,90</w:t>
            </w:r>
          </w:p>
        </w:tc>
      </w:tr>
      <w:tr w:rsidR="008811D7" w:rsidRPr="007C5A6E" w14:paraId="3AA4E9D2" w14:textId="77777777" w:rsidTr="0091442F">
        <w:trPr>
          <w:trHeight w:val="280"/>
        </w:trPr>
        <w:tc>
          <w:tcPr>
            <w:tcW w:w="836" w:type="pct"/>
            <w:tcBorders>
              <w:top w:val="nil"/>
              <w:left w:val="single" w:sz="4" w:space="0" w:color="333333"/>
              <w:bottom w:val="single" w:sz="4" w:space="0" w:color="333333"/>
              <w:right w:val="single" w:sz="4" w:space="0" w:color="333333"/>
            </w:tcBorders>
            <w:shd w:val="clear" w:color="auto" w:fill="auto"/>
            <w:noWrap/>
            <w:vAlign w:val="center"/>
            <w:hideMark/>
          </w:tcPr>
          <w:p w14:paraId="38D4A90B" w14:textId="77777777" w:rsidR="008811D7" w:rsidRPr="007C5A6E" w:rsidRDefault="008811D7" w:rsidP="0091442F">
            <w:pPr>
              <w:spacing w:after="0" w:line="240" w:lineRule="auto"/>
              <w:rPr>
                <w:rFonts w:ascii="Times New Roman" w:hAnsi="Times New Roman"/>
                <w:sz w:val="21"/>
                <w:szCs w:val="21"/>
              </w:rPr>
            </w:pPr>
            <w:r w:rsidRPr="007C5A6E">
              <w:rPr>
                <w:rFonts w:ascii="Times New Roman" w:hAnsi="Times New Roman"/>
                <w:sz w:val="21"/>
                <w:szCs w:val="21"/>
              </w:rPr>
              <w:t>Culture annuelle</w:t>
            </w:r>
          </w:p>
        </w:tc>
        <w:tc>
          <w:tcPr>
            <w:tcW w:w="593" w:type="pct"/>
            <w:tcBorders>
              <w:top w:val="single" w:sz="4" w:space="0" w:color="333333"/>
              <w:left w:val="nil"/>
              <w:bottom w:val="single" w:sz="4" w:space="0" w:color="333333"/>
              <w:right w:val="single" w:sz="4" w:space="0" w:color="333333"/>
            </w:tcBorders>
            <w:shd w:val="clear" w:color="auto" w:fill="auto"/>
            <w:noWrap/>
            <w:vAlign w:val="bottom"/>
            <w:hideMark/>
          </w:tcPr>
          <w:p w14:paraId="5165D985"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43" w:type="pct"/>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4B56AAF1"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1 557,44</w:t>
            </w:r>
          </w:p>
        </w:tc>
        <w:tc>
          <w:tcPr>
            <w:tcW w:w="628" w:type="pct"/>
            <w:tcBorders>
              <w:top w:val="single" w:sz="4" w:space="0" w:color="333333"/>
              <w:left w:val="single" w:sz="4" w:space="0" w:color="333333"/>
              <w:bottom w:val="single" w:sz="4" w:space="0" w:color="333333"/>
              <w:right w:val="single" w:sz="4" w:space="0" w:color="333333"/>
            </w:tcBorders>
            <w:shd w:val="clear" w:color="auto" w:fill="auto"/>
            <w:noWrap/>
            <w:vAlign w:val="bottom"/>
            <w:hideMark/>
          </w:tcPr>
          <w:p w14:paraId="56E8C168"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35" w:type="pct"/>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3A50952A"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13 957,40</w:t>
            </w:r>
          </w:p>
        </w:tc>
        <w:tc>
          <w:tcPr>
            <w:tcW w:w="635" w:type="pct"/>
            <w:tcBorders>
              <w:top w:val="single" w:sz="4" w:space="0" w:color="auto"/>
              <w:left w:val="nil"/>
              <w:bottom w:val="single" w:sz="4" w:space="0" w:color="auto"/>
              <w:right w:val="single" w:sz="4" w:space="0" w:color="auto"/>
            </w:tcBorders>
            <w:shd w:val="clear" w:color="000000" w:fill="00B050"/>
            <w:noWrap/>
            <w:vAlign w:val="bottom"/>
            <w:hideMark/>
          </w:tcPr>
          <w:p w14:paraId="407732B1"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54623,66</w:t>
            </w:r>
          </w:p>
        </w:tc>
        <w:tc>
          <w:tcPr>
            <w:tcW w:w="1030" w:type="pct"/>
            <w:tcBorders>
              <w:top w:val="nil"/>
              <w:left w:val="nil"/>
              <w:bottom w:val="single" w:sz="4" w:space="0" w:color="auto"/>
              <w:right w:val="single" w:sz="4" w:space="0" w:color="auto"/>
            </w:tcBorders>
            <w:shd w:val="clear" w:color="000000" w:fill="00B050"/>
            <w:noWrap/>
            <w:vAlign w:val="bottom"/>
            <w:hideMark/>
          </w:tcPr>
          <w:p w14:paraId="37E08040"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40512,26</w:t>
            </w:r>
          </w:p>
        </w:tc>
      </w:tr>
      <w:tr w:rsidR="008811D7" w:rsidRPr="007C5A6E" w14:paraId="59FDB980" w14:textId="77777777" w:rsidTr="0091442F">
        <w:trPr>
          <w:trHeight w:val="280"/>
        </w:trPr>
        <w:tc>
          <w:tcPr>
            <w:tcW w:w="836" w:type="pct"/>
            <w:tcBorders>
              <w:top w:val="nil"/>
              <w:left w:val="single" w:sz="4" w:space="0" w:color="333333"/>
              <w:bottom w:val="single" w:sz="4" w:space="0" w:color="333333"/>
              <w:right w:val="single" w:sz="4" w:space="0" w:color="333333"/>
            </w:tcBorders>
            <w:shd w:val="clear" w:color="auto" w:fill="auto"/>
            <w:noWrap/>
            <w:vAlign w:val="center"/>
            <w:hideMark/>
          </w:tcPr>
          <w:p w14:paraId="63AAFD92" w14:textId="77777777" w:rsidR="008811D7" w:rsidRPr="007C5A6E" w:rsidRDefault="008811D7" w:rsidP="0091442F">
            <w:pPr>
              <w:spacing w:after="0" w:line="240" w:lineRule="auto"/>
              <w:rPr>
                <w:rFonts w:ascii="Times New Roman" w:hAnsi="Times New Roman"/>
                <w:sz w:val="21"/>
                <w:szCs w:val="21"/>
              </w:rPr>
            </w:pPr>
            <w:r w:rsidRPr="007C5A6E">
              <w:rPr>
                <w:rFonts w:ascii="Times New Roman" w:hAnsi="Times New Roman"/>
                <w:sz w:val="21"/>
                <w:szCs w:val="21"/>
              </w:rPr>
              <w:t>Parc agroforestier</w:t>
            </w:r>
          </w:p>
        </w:tc>
        <w:tc>
          <w:tcPr>
            <w:tcW w:w="593" w:type="pct"/>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31CEB38A"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3 095,92</w:t>
            </w:r>
          </w:p>
        </w:tc>
        <w:tc>
          <w:tcPr>
            <w:tcW w:w="643" w:type="pct"/>
            <w:tcBorders>
              <w:top w:val="single" w:sz="4" w:space="0" w:color="333333"/>
              <w:left w:val="single" w:sz="4" w:space="0" w:color="333333"/>
              <w:bottom w:val="single" w:sz="4" w:space="0" w:color="333333"/>
              <w:right w:val="single" w:sz="4" w:space="0" w:color="333333"/>
            </w:tcBorders>
            <w:shd w:val="clear" w:color="auto" w:fill="auto"/>
            <w:noWrap/>
            <w:vAlign w:val="bottom"/>
            <w:hideMark/>
          </w:tcPr>
          <w:p w14:paraId="61CA8561"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28" w:type="pct"/>
            <w:tcBorders>
              <w:top w:val="nil"/>
              <w:left w:val="nil"/>
              <w:bottom w:val="single" w:sz="4" w:space="0" w:color="333333"/>
              <w:right w:val="single" w:sz="4" w:space="0" w:color="333333"/>
            </w:tcBorders>
            <w:shd w:val="clear" w:color="auto" w:fill="auto"/>
            <w:noWrap/>
            <w:vAlign w:val="bottom"/>
            <w:hideMark/>
          </w:tcPr>
          <w:p w14:paraId="316BC8AF"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35" w:type="pct"/>
            <w:tcBorders>
              <w:top w:val="nil"/>
              <w:left w:val="single" w:sz="4" w:space="0" w:color="auto"/>
              <w:bottom w:val="single" w:sz="4" w:space="0" w:color="auto"/>
              <w:right w:val="single" w:sz="4" w:space="0" w:color="auto"/>
            </w:tcBorders>
            <w:shd w:val="clear" w:color="000000" w:fill="00B050"/>
            <w:noWrap/>
            <w:vAlign w:val="bottom"/>
            <w:hideMark/>
          </w:tcPr>
          <w:p w14:paraId="0EFEB160"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6 200,61</w:t>
            </w:r>
          </w:p>
        </w:tc>
        <w:tc>
          <w:tcPr>
            <w:tcW w:w="635" w:type="pct"/>
            <w:tcBorders>
              <w:top w:val="nil"/>
              <w:left w:val="nil"/>
              <w:bottom w:val="single" w:sz="4" w:space="0" w:color="auto"/>
              <w:right w:val="single" w:sz="4" w:space="0" w:color="auto"/>
            </w:tcBorders>
            <w:shd w:val="clear" w:color="000000" w:fill="00B050"/>
            <w:noWrap/>
            <w:vAlign w:val="bottom"/>
            <w:hideMark/>
          </w:tcPr>
          <w:p w14:paraId="5BE77482"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21888,32</w:t>
            </w:r>
          </w:p>
        </w:tc>
        <w:tc>
          <w:tcPr>
            <w:tcW w:w="1030" w:type="pct"/>
            <w:tcBorders>
              <w:top w:val="nil"/>
              <w:left w:val="nil"/>
              <w:bottom w:val="single" w:sz="4" w:space="0" w:color="auto"/>
              <w:right w:val="single" w:sz="4" w:space="0" w:color="auto"/>
            </w:tcBorders>
            <w:shd w:val="clear" w:color="000000" w:fill="00B050"/>
            <w:noWrap/>
            <w:vAlign w:val="bottom"/>
            <w:hideMark/>
          </w:tcPr>
          <w:p w14:paraId="596D87C0"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7814,67</w:t>
            </w:r>
          </w:p>
        </w:tc>
      </w:tr>
      <w:tr w:rsidR="008811D7" w:rsidRPr="007C5A6E" w14:paraId="16381729" w14:textId="77777777" w:rsidTr="0091442F">
        <w:trPr>
          <w:trHeight w:val="280"/>
        </w:trPr>
        <w:tc>
          <w:tcPr>
            <w:tcW w:w="836" w:type="pct"/>
            <w:tcBorders>
              <w:top w:val="nil"/>
              <w:left w:val="single" w:sz="4" w:space="0" w:color="333333"/>
              <w:bottom w:val="single" w:sz="4" w:space="0" w:color="333333"/>
              <w:right w:val="single" w:sz="4" w:space="0" w:color="333333"/>
            </w:tcBorders>
            <w:shd w:val="clear" w:color="auto" w:fill="auto"/>
            <w:noWrap/>
            <w:vAlign w:val="center"/>
            <w:hideMark/>
          </w:tcPr>
          <w:p w14:paraId="75C23ACA" w14:textId="77777777" w:rsidR="008811D7" w:rsidRPr="007C5A6E" w:rsidRDefault="008811D7" w:rsidP="0091442F">
            <w:pPr>
              <w:spacing w:after="0" w:line="240" w:lineRule="auto"/>
              <w:rPr>
                <w:rFonts w:ascii="Times New Roman" w:hAnsi="Times New Roman"/>
                <w:sz w:val="21"/>
                <w:szCs w:val="21"/>
              </w:rPr>
            </w:pPr>
            <w:r w:rsidRPr="007C5A6E">
              <w:rPr>
                <w:rFonts w:ascii="Times New Roman" w:hAnsi="Times New Roman"/>
                <w:sz w:val="21"/>
                <w:szCs w:val="21"/>
              </w:rPr>
              <w:t>Verger</w:t>
            </w:r>
          </w:p>
        </w:tc>
        <w:tc>
          <w:tcPr>
            <w:tcW w:w="593" w:type="pct"/>
            <w:tcBorders>
              <w:top w:val="single" w:sz="4" w:space="0" w:color="333333"/>
              <w:left w:val="nil"/>
              <w:bottom w:val="single" w:sz="4" w:space="0" w:color="333333"/>
              <w:right w:val="single" w:sz="4" w:space="0" w:color="333333"/>
            </w:tcBorders>
            <w:shd w:val="clear" w:color="auto" w:fill="auto"/>
            <w:noWrap/>
            <w:vAlign w:val="bottom"/>
            <w:hideMark/>
          </w:tcPr>
          <w:p w14:paraId="375648AD"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43" w:type="pct"/>
            <w:tcBorders>
              <w:top w:val="nil"/>
              <w:left w:val="nil"/>
              <w:bottom w:val="single" w:sz="4" w:space="0" w:color="333333"/>
              <w:right w:val="single" w:sz="4" w:space="0" w:color="333333"/>
            </w:tcBorders>
            <w:shd w:val="clear" w:color="auto" w:fill="auto"/>
            <w:noWrap/>
            <w:vAlign w:val="bottom"/>
            <w:hideMark/>
          </w:tcPr>
          <w:p w14:paraId="042EE0E7"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28" w:type="pct"/>
            <w:tcBorders>
              <w:top w:val="nil"/>
              <w:left w:val="nil"/>
              <w:bottom w:val="single" w:sz="4" w:space="0" w:color="333333"/>
              <w:right w:val="single" w:sz="4" w:space="0" w:color="333333"/>
            </w:tcBorders>
            <w:shd w:val="clear" w:color="auto" w:fill="auto"/>
            <w:noWrap/>
            <w:vAlign w:val="bottom"/>
            <w:hideMark/>
          </w:tcPr>
          <w:p w14:paraId="1576BF69"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35" w:type="pct"/>
            <w:tcBorders>
              <w:top w:val="single" w:sz="4" w:space="0" w:color="333333"/>
              <w:left w:val="nil"/>
              <w:bottom w:val="single" w:sz="4" w:space="0" w:color="333333"/>
              <w:right w:val="single" w:sz="4" w:space="0" w:color="333333"/>
            </w:tcBorders>
            <w:shd w:val="clear" w:color="auto" w:fill="auto"/>
            <w:noWrap/>
            <w:vAlign w:val="bottom"/>
            <w:hideMark/>
          </w:tcPr>
          <w:p w14:paraId="0799C92F"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35" w:type="pct"/>
            <w:tcBorders>
              <w:top w:val="single" w:sz="4" w:space="0" w:color="333333"/>
              <w:left w:val="nil"/>
              <w:bottom w:val="single" w:sz="4" w:space="0" w:color="333333"/>
              <w:right w:val="single" w:sz="4" w:space="0" w:color="333333"/>
            </w:tcBorders>
            <w:shd w:val="clear" w:color="auto" w:fill="auto"/>
            <w:noWrap/>
            <w:vAlign w:val="bottom"/>
            <w:hideMark/>
          </w:tcPr>
          <w:p w14:paraId="31C7BFBB"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1030" w:type="pct"/>
            <w:tcBorders>
              <w:top w:val="nil"/>
              <w:left w:val="single" w:sz="4" w:space="0" w:color="auto"/>
              <w:bottom w:val="single" w:sz="4" w:space="0" w:color="auto"/>
              <w:right w:val="single" w:sz="4" w:space="0" w:color="auto"/>
            </w:tcBorders>
            <w:shd w:val="clear" w:color="000000" w:fill="00B050"/>
            <w:noWrap/>
            <w:vAlign w:val="bottom"/>
            <w:hideMark/>
          </w:tcPr>
          <w:p w14:paraId="5713307D"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1557,44</w:t>
            </w:r>
          </w:p>
        </w:tc>
      </w:tr>
      <w:tr w:rsidR="008811D7" w:rsidRPr="007C5A6E" w14:paraId="772162C1" w14:textId="77777777" w:rsidTr="0091442F">
        <w:trPr>
          <w:trHeight w:val="280"/>
        </w:trPr>
        <w:tc>
          <w:tcPr>
            <w:tcW w:w="836" w:type="pct"/>
            <w:tcBorders>
              <w:top w:val="nil"/>
              <w:left w:val="single" w:sz="4" w:space="0" w:color="333333"/>
              <w:bottom w:val="single" w:sz="4" w:space="0" w:color="333333"/>
              <w:right w:val="single" w:sz="4" w:space="0" w:color="333333"/>
            </w:tcBorders>
            <w:shd w:val="clear" w:color="auto" w:fill="auto"/>
            <w:noWrap/>
            <w:vAlign w:val="center"/>
            <w:hideMark/>
          </w:tcPr>
          <w:p w14:paraId="00DD3B04" w14:textId="77777777" w:rsidR="008811D7" w:rsidRPr="007C5A6E" w:rsidRDefault="008811D7" w:rsidP="0091442F">
            <w:pPr>
              <w:spacing w:after="0" w:line="240" w:lineRule="auto"/>
              <w:rPr>
                <w:rFonts w:ascii="Times New Roman" w:hAnsi="Times New Roman"/>
                <w:sz w:val="21"/>
                <w:szCs w:val="21"/>
              </w:rPr>
            </w:pPr>
            <w:r w:rsidRPr="007C5A6E">
              <w:rPr>
                <w:rFonts w:ascii="Times New Roman" w:hAnsi="Times New Roman"/>
                <w:sz w:val="21"/>
                <w:szCs w:val="21"/>
              </w:rPr>
              <w:t>Steppe arbustive</w:t>
            </w:r>
          </w:p>
        </w:tc>
        <w:tc>
          <w:tcPr>
            <w:tcW w:w="593" w:type="pct"/>
            <w:tcBorders>
              <w:top w:val="nil"/>
              <w:left w:val="nil"/>
              <w:bottom w:val="single" w:sz="4" w:space="0" w:color="333333"/>
              <w:right w:val="single" w:sz="4" w:space="0" w:color="333333"/>
            </w:tcBorders>
            <w:shd w:val="clear" w:color="auto" w:fill="auto"/>
            <w:noWrap/>
            <w:vAlign w:val="bottom"/>
            <w:hideMark/>
          </w:tcPr>
          <w:p w14:paraId="422DC7FE"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43" w:type="pct"/>
            <w:tcBorders>
              <w:top w:val="nil"/>
              <w:left w:val="nil"/>
              <w:bottom w:val="single" w:sz="4" w:space="0" w:color="333333"/>
              <w:right w:val="single" w:sz="4" w:space="0" w:color="333333"/>
            </w:tcBorders>
            <w:shd w:val="clear" w:color="auto" w:fill="auto"/>
            <w:noWrap/>
            <w:vAlign w:val="bottom"/>
            <w:hideMark/>
          </w:tcPr>
          <w:p w14:paraId="715E364F"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28" w:type="pct"/>
            <w:tcBorders>
              <w:top w:val="nil"/>
              <w:left w:val="nil"/>
              <w:bottom w:val="single" w:sz="4" w:space="0" w:color="333333"/>
              <w:right w:val="single" w:sz="4" w:space="0" w:color="333333"/>
            </w:tcBorders>
            <w:shd w:val="clear" w:color="auto" w:fill="auto"/>
            <w:noWrap/>
            <w:vAlign w:val="bottom"/>
            <w:hideMark/>
          </w:tcPr>
          <w:p w14:paraId="4656749A"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35" w:type="pct"/>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7DC4142E"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21 634,22</w:t>
            </w:r>
          </w:p>
        </w:tc>
        <w:tc>
          <w:tcPr>
            <w:tcW w:w="635" w:type="pct"/>
            <w:tcBorders>
              <w:top w:val="nil"/>
              <w:left w:val="single" w:sz="4" w:space="0" w:color="333333"/>
              <w:bottom w:val="single" w:sz="4" w:space="0" w:color="333333"/>
              <w:right w:val="single" w:sz="4" w:space="0" w:color="333333"/>
            </w:tcBorders>
            <w:shd w:val="clear" w:color="auto" w:fill="auto"/>
            <w:noWrap/>
            <w:vAlign w:val="bottom"/>
            <w:hideMark/>
          </w:tcPr>
          <w:p w14:paraId="6647198D"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1030" w:type="pct"/>
            <w:tcBorders>
              <w:top w:val="single" w:sz="4" w:space="0" w:color="333333"/>
              <w:left w:val="nil"/>
              <w:bottom w:val="single" w:sz="4" w:space="0" w:color="333333"/>
              <w:right w:val="single" w:sz="4" w:space="0" w:color="333333"/>
            </w:tcBorders>
            <w:shd w:val="clear" w:color="auto" w:fill="auto"/>
            <w:noWrap/>
            <w:vAlign w:val="bottom"/>
            <w:hideMark/>
          </w:tcPr>
          <w:p w14:paraId="50AC2557"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r>
      <w:tr w:rsidR="008811D7" w:rsidRPr="007C5A6E" w14:paraId="4B47520C" w14:textId="77777777" w:rsidTr="0091442F">
        <w:trPr>
          <w:trHeight w:val="280"/>
        </w:trPr>
        <w:tc>
          <w:tcPr>
            <w:tcW w:w="836" w:type="pct"/>
            <w:tcBorders>
              <w:top w:val="nil"/>
              <w:left w:val="single" w:sz="4" w:space="0" w:color="333333"/>
              <w:bottom w:val="single" w:sz="4" w:space="0" w:color="333333"/>
              <w:right w:val="single" w:sz="4" w:space="0" w:color="333333"/>
            </w:tcBorders>
            <w:shd w:val="clear" w:color="auto" w:fill="auto"/>
            <w:noWrap/>
            <w:vAlign w:val="center"/>
            <w:hideMark/>
          </w:tcPr>
          <w:p w14:paraId="56D67262" w14:textId="77777777" w:rsidR="008811D7" w:rsidRPr="007C5A6E" w:rsidRDefault="008811D7" w:rsidP="0091442F">
            <w:pPr>
              <w:spacing w:after="0" w:line="240" w:lineRule="auto"/>
              <w:rPr>
                <w:rFonts w:ascii="Times New Roman" w:hAnsi="Times New Roman"/>
                <w:sz w:val="21"/>
                <w:szCs w:val="21"/>
              </w:rPr>
            </w:pPr>
            <w:r w:rsidRPr="007C5A6E">
              <w:rPr>
                <w:rFonts w:ascii="Times New Roman" w:hAnsi="Times New Roman"/>
                <w:sz w:val="21"/>
                <w:szCs w:val="21"/>
              </w:rPr>
              <w:t>Savane herbeuse</w:t>
            </w:r>
          </w:p>
        </w:tc>
        <w:tc>
          <w:tcPr>
            <w:tcW w:w="593" w:type="pct"/>
            <w:tcBorders>
              <w:top w:val="nil"/>
              <w:left w:val="nil"/>
              <w:bottom w:val="single" w:sz="4" w:space="0" w:color="333333"/>
              <w:right w:val="single" w:sz="4" w:space="0" w:color="333333"/>
            </w:tcBorders>
            <w:shd w:val="clear" w:color="auto" w:fill="auto"/>
            <w:noWrap/>
            <w:vAlign w:val="bottom"/>
            <w:hideMark/>
          </w:tcPr>
          <w:p w14:paraId="7BEF0592"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43" w:type="pct"/>
            <w:tcBorders>
              <w:top w:val="nil"/>
              <w:left w:val="nil"/>
              <w:bottom w:val="single" w:sz="4" w:space="0" w:color="333333"/>
              <w:right w:val="single" w:sz="4" w:space="0" w:color="333333"/>
            </w:tcBorders>
            <w:shd w:val="clear" w:color="auto" w:fill="auto"/>
            <w:noWrap/>
            <w:vAlign w:val="bottom"/>
            <w:hideMark/>
          </w:tcPr>
          <w:p w14:paraId="1BB5A86E"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28" w:type="pct"/>
            <w:tcBorders>
              <w:top w:val="nil"/>
              <w:left w:val="nil"/>
              <w:bottom w:val="single" w:sz="4" w:space="0" w:color="333333"/>
              <w:right w:val="single" w:sz="4" w:space="0" w:color="333333"/>
            </w:tcBorders>
            <w:shd w:val="clear" w:color="auto" w:fill="auto"/>
            <w:noWrap/>
            <w:vAlign w:val="bottom"/>
            <w:hideMark/>
          </w:tcPr>
          <w:p w14:paraId="230B3724"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35" w:type="pct"/>
            <w:tcBorders>
              <w:top w:val="single" w:sz="4" w:space="0" w:color="333333"/>
              <w:left w:val="nil"/>
              <w:bottom w:val="single" w:sz="4" w:space="0" w:color="333333"/>
              <w:right w:val="single" w:sz="4" w:space="0" w:color="333333"/>
            </w:tcBorders>
            <w:shd w:val="clear" w:color="auto" w:fill="auto"/>
            <w:noWrap/>
            <w:vAlign w:val="bottom"/>
            <w:hideMark/>
          </w:tcPr>
          <w:p w14:paraId="004F15E1"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0,00</w:t>
            </w:r>
          </w:p>
        </w:tc>
        <w:tc>
          <w:tcPr>
            <w:tcW w:w="635" w:type="pct"/>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75071C3F"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3124,53</w:t>
            </w:r>
          </w:p>
        </w:tc>
        <w:tc>
          <w:tcPr>
            <w:tcW w:w="1030" w:type="pct"/>
            <w:tcBorders>
              <w:top w:val="single" w:sz="4" w:space="0" w:color="auto"/>
              <w:left w:val="nil"/>
              <w:bottom w:val="single" w:sz="4" w:space="0" w:color="auto"/>
              <w:right w:val="single" w:sz="4" w:space="0" w:color="auto"/>
            </w:tcBorders>
            <w:shd w:val="clear" w:color="000000" w:fill="00B050"/>
            <w:noWrap/>
            <w:vAlign w:val="bottom"/>
            <w:hideMark/>
          </w:tcPr>
          <w:p w14:paraId="2CD38FFB" w14:textId="77777777" w:rsidR="008811D7" w:rsidRPr="007C5A6E" w:rsidRDefault="008811D7" w:rsidP="0091442F">
            <w:pPr>
              <w:spacing w:after="0" w:line="240" w:lineRule="auto"/>
              <w:jc w:val="right"/>
              <w:rPr>
                <w:rFonts w:ascii="Times New Roman" w:hAnsi="Times New Roman"/>
                <w:sz w:val="21"/>
                <w:szCs w:val="21"/>
              </w:rPr>
            </w:pPr>
            <w:r w:rsidRPr="007C5A6E">
              <w:rPr>
                <w:rFonts w:ascii="Times New Roman" w:hAnsi="Times New Roman"/>
                <w:sz w:val="21"/>
                <w:szCs w:val="21"/>
              </w:rPr>
              <w:t>1566,65</w:t>
            </w:r>
          </w:p>
        </w:tc>
      </w:tr>
    </w:tbl>
    <w:p w14:paraId="33B3214A" w14:textId="77777777" w:rsidR="00515149" w:rsidRPr="007C5A6E" w:rsidRDefault="00515149" w:rsidP="008811D7">
      <w:pPr>
        <w:spacing w:after="0" w:line="240" w:lineRule="auto"/>
        <w:jc w:val="both"/>
        <w:rPr>
          <w:rFonts w:ascii="Times New Roman" w:hAnsi="Times New Roman"/>
          <w:sz w:val="24"/>
          <w:szCs w:val="24"/>
        </w:rPr>
      </w:pPr>
    </w:p>
    <w:tbl>
      <w:tblPr>
        <w:tblpPr w:leftFromText="180" w:rightFromText="180" w:vertAnchor="text" w:horzAnchor="margin" w:tblpX="137" w:tblpY="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2"/>
        <w:gridCol w:w="6933"/>
      </w:tblGrid>
      <w:tr w:rsidR="008811D7" w:rsidRPr="007C5A6E" w14:paraId="5BFD1184" w14:textId="77777777" w:rsidTr="00515149">
        <w:trPr>
          <w:trHeight w:val="248"/>
        </w:trPr>
        <w:tc>
          <w:tcPr>
            <w:tcW w:w="1222" w:type="pct"/>
            <w:shd w:val="clear" w:color="auto" w:fill="FF0000"/>
            <w:noWrap/>
            <w:vAlign w:val="bottom"/>
            <w:hideMark/>
          </w:tcPr>
          <w:p w14:paraId="0AA2DC93" w14:textId="77777777" w:rsidR="008811D7" w:rsidRPr="007C5A6E" w:rsidRDefault="008811D7" w:rsidP="008811D7">
            <w:pPr>
              <w:spacing w:after="0" w:line="240" w:lineRule="auto"/>
              <w:jc w:val="both"/>
              <w:rPr>
                <w:rFonts w:ascii="Times New Roman" w:hAnsi="Times New Roman"/>
              </w:rPr>
            </w:pPr>
            <w:bookmarkStart w:id="1215" w:name="_Hlk143785290"/>
            <w:r w:rsidRPr="007C5A6E">
              <w:rPr>
                <w:rFonts w:ascii="Times New Roman" w:hAnsi="Times New Roman"/>
              </w:rPr>
              <w:t> </w:t>
            </w:r>
          </w:p>
        </w:tc>
        <w:tc>
          <w:tcPr>
            <w:tcW w:w="3778" w:type="pct"/>
            <w:shd w:val="clear" w:color="auto" w:fill="auto"/>
            <w:noWrap/>
            <w:vAlign w:val="bottom"/>
            <w:hideMark/>
          </w:tcPr>
          <w:p w14:paraId="24F4BCD6" w14:textId="77777777" w:rsidR="008811D7" w:rsidRPr="007C5A6E" w:rsidRDefault="008811D7" w:rsidP="008811D7">
            <w:pPr>
              <w:spacing w:after="0" w:line="240" w:lineRule="auto"/>
              <w:jc w:val="both"/>
              <w:rPr>
                <w:rFonts w:ascii="Times New Roman" w:hAnsi="Times New Roman"/>
                <w:sz w:val="21"/>
                <w:szCs w:val="21"/>
              </w:rPr>
            </w:pPr>
            <w:r w:rsidRPr="007C5A6E">
              <w:rPr>
                <w:rFonts w:ascii="Times New Roman" w:hAnsi="Times New Roman"/>
                <w:sz w:val="21"/>
                <w:szCs w:val="21"/>
              </w:rPr>
              <w:t>Dégradation dans les terres forestières</w:t>
            </w:r>
          </w:p>
        </w:tc>
      </w:tr>
      <w:tr w:rsidR="008811D7" w:rsidRPr="007C5A6E" w14:paraId="35EB9282" w14:textId="77777777" w:rsidTr="00515149">
        <w:trPr>
          <w:trHeight w:val="257"/>
        </w:trPr>
        <w:tc>
          <w:tcPr>
            <w:tcW w:w="1222" w:type="pct"/>
            <w:shd w:val="clear" w:color="auto" w:fill="92D050"/>
            <w:noWrap/>
            <w:vAlign w:val="bottom"/>
            <w:hideMark/>
          </w:tcPr>
          <w:p w14:paraId="1695E280" w14:textId="77777777" w:rsidR="008811D7" w:rsidRPr="007C5A6E" w:rsidRDefault="008811D7" w:rsidP="008811D7">
            <w:pPr>
              <w:spacing w:after="0" w:line="240" w:lineRule="auto"/>
              <w:jc w:val="both"/>
              <w:rPr>
                <w:rFonts w:ascii="Times New Roman" w:hAnsi="Times New Roman"/>
              </w:rPr>
            </w:pPr>
          </w:p>
        </w:tc>
        <w:tc>
          <w:tcPr>
            <w:tcW w:w="3778" w:type="pct"/>
            <w:shd w:val="clear" w:color="auto" w:fill="auto"/>
            <w:noWrap/>
            <w:vAlign w:val="bottom"/>
            <w:hideMark/>
          </w:tcPr>
          <w:p w14:paraId="0F1F1169" w14:textId="77777777" w:rsidR="008811D7" w:rsidRPr="007C5A6E" w:rsidRDefault="008811D7" w:rsidP="008811D7">
            <w:pPr>
              <w:spacing w:after="0" w:line="240" w:lineRule="auto"/>
              <w:jc w:val="both"/>
              <w:rPr>
                <w:rFonts w:ascii="Times New Roman" w:hAnsi="Times New Roman"/>
                <w:sz w:val="21"/>
                <w:szCs w:val="21"/>
              </w:rPr>
            </w:pPr>
            <w:r w:rsidRPr="007C5A6E">
              <w:rPr>
                <w:rFonts w:ascii="Times New Roman" w:hAnsi="Times New Roman"/>
                <w:sz w:val="21"/>
                <w:szCs w:val="21"/>
              </w:rPr>
              <w:t>Renforcement de stock dans les terres forestières</w:t>
            </w:r>
          </w:p>
        </w:tc>
      </w:tr>
      <w:tr w:rsidR="008811D7" w:rsidRPr="007C5A6E" w14:paraId="43F23755" w14:textId="77777777" w:rsidTr="00515149">
        <w:trPr>
          <w:trHeight w:val="257"/>
        </w:trPr>
        <w:tc>
          <w:tcPr>
            <w:tcW w:w="1222" w:type="pct"/>
            <w:shd w:val="clear" w:color="auto" w:fill="00B050"/>
            <w:noWrap/>
            <w:vAlign w:val="bottom"/>
          </w:tcPr>
          <w:p w14:paraId="296042E5" w14:textId="77777777" w:rsidR="008811D7" w:rsidRPr="007C5A6E" w:rsidRDefault="008811D7" w:rsidP="008811D7">
            <w:pPr>
              <w:spacing w:after="0" w:line="240" w:lineRule="auto"/>
              <w:jc w:val="both"/>
              <w:rPr>
                <w:rFonts w:ascii="Times New Roman" w:hAnsi="Times New Roman"/>
              </w:rPr>
            </w:pPr>
          </w:p>
        </w:tc>
        <w:tc>
          <w:tcPr>
            <w:tcW w:w="3778" w:type="pct"/>
            <w:shd w:val="clear" w:color="auto" w:fill="auto"/>
            <w:noWrap/>
            <w:vAlign w:val="bottom"/>
          </w:tcPr>
          <w:p w14:paraId="6CF31179" w14:textId="77777777" w:rsidR="008811D7" w:rsidRPr="007C5A6E" w:rsidRDefault="008811D7" w:rsidP="008811D7">
            <w:pPr>
              <w:spacing w:after="0" w:line="240" w:lineRule="auto"/>
              <w:jc w:val="both"/>
              <w:rPr>
                <w:rFonts w:ascii="Times New Roman" w:hAnsi="Times New Roman"/>
                <w:sz w:val="21"/>
                <w:szCs w:val="21"/>
              </w:rPr>
            </w:pPr>
            <w:r w:rsidRPr="007C5A6E">
              <w:rPr>
                <w:rFonts w:ascii="Times New Roman" w:hAnsi="Times New Roman"/>
                <w:sz w:val="21"/>
                <w:szCs w:val="21"/>
              </w:rPr>
              <w:t>Conversion des terres non forestières en terres forestières</w:t>
            </w:r>
          </w:p>
        </w:tc>
      </w:tr>
      <w:bookmarkEnd w:id="1215"/>
    </w:tbl>
    <w:p w14:paraId="3E4192C4" w14:textId="77777777" w:rsidR="008811D7" w:rsidRPr="007C5A6E" w:rsidRDefault="008811D7" w:rsidP="008811D7">
      <w:pPr>
        <w:spacing w:after="0" w:line="240" w:lineRule="auto"/>
        <w:jc w:val="both"/>
        <w:rPr>
          <w:rFonts w:ascii="Times New Roman" w:hAnsi="Times New Roman"/>
          <w:sz w:val="24"/>
          <w:szCs w:val="24"/>
        </w:rPr>
      </w:pPr>
    </w:p>
    <w:p w14:paraId="74A84FB4" w14:textId="410733B1"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sz w:val="24"/>
          <w:szCs w:val="24"/>
        </w:rPr>
        <w:t xml:space="preserve">D’après les projections de Burkina Faso (2021), L’estimation du potentiel de réduction du secteur AFAT donne 10 096,8 </w:t>
      </w:r>
      <w:proofErr w:type="spellStart"/>
      <w:r w:rsidRPr="007C5A6E">
        <w:rPr>
          <w:rFonts w:ascii="Times New Roman" w:hAnsi="Times New Roman"/>
          <w:sz w:val="24"/>
          <w:szCs w:val="24"/>
        </w:rPr>
        <w:t>Gg</w:t>
      </w:r>
      <w:proofErr w:type="spellEnd"/>
      <w:r w:rsidRPr="007C5A6E">
        <w:rPr>
          <w:rFonts w:ascii="Times New Roman" w:hAnsi="Times New Roman"/>
          <w:sz w:val="24"/>
          <w:szCs w:val="24"/>
        </w:rPr>
        <w:t xml:space="preserve"> CO2eq dont 7 527,3 </w:t>
      </w:r>
      <w:proofErr w:type="spellStart"/>
      <w:r w:rsidRPr="007C5A6E">
        <w:rPr>
          <w:rFonts w:ascii="Times New Roman" w:hAnsi="Times New Roman"/>
          <w:sz w:val="24"/>
          <w:szCs w:val="24"/>
        </w:rPr>
        <w:t>Gg</w:t>
      </w:r>
      <w:proofErr w:type="spellEnd"/>
      <w:r w:rsidRPr="007C5A6E">
        <w:rPr>
          <w:rFonts w:ascii="Times New Roman" w:hAnsi="Times New Roman"/>
          <w:sz w:val="24"/>
          <w:szCs w:val="24"/>
        </w:rPr>
        <w:t xml:space="preserve"> CO2eq pour les actions du scénario inconditionnel et 2 569,5 </w:t>
      </w:r>
      <w:proofErr w:type="spellStart"/>
      <w:r w:rsidRPr="007C5A6E">
        <w:rPr>
          <w:rFonts w:ascii="Times New Roman" w:hAnsi="Times New Roman"/>
          <w:sz w:val="24"/>
          <w:szCs w:val="24"/>
        </w:rPr>
        <w:t>Gg</w:t>
      </w:r>
      <w:proofErr w:type="spellEnd"/>
      <w:r w:rsidRPr="007C5A6E">
        <w:rPr>
          <w:rFonts w:ascii="Times New Roman" w:hAnsi="Times New Roman"/>
          <w:sz w:val="24"/>
          <w:szCs w:val="24"/>
        </w:rPr>
        <w:t xml:space="preserve"> CO2eq en scénario conditionnel à l’horizon 2025 (Tableau </w:t>
      </w:r>
      <w:r w:rsidR="009B18A4" w:rsidRPr="007C5A6E">
        <w:rPr>
          <w:rFonts w:ascii="Times New Roman" w:hAnsi="Times New Roman"/>
          <w:sz w:val="24"/>
          <w:szCs w:val="24"/>
        </w:rPr>
        <w:t>5</w:t>
      </w:r>
      <w:r w:rsidR="0097141F" w:rsidRPr="007C5A6E">
        <w:rPr>
          <w:rFonts w:ascii="Times New Roman" w:hAnsi="Times New Roman"/>
          <w:sz w:val="24"/>
          <w:szCs w:val="24"/>
        </w:rPr>
        <w:t>2</w:t>
      </w:r>
      <w:r w:rsidRPr="007C5A6E">
        <w:rPr>
          <w:rFonts w:ascii="Times New Roman" w:hAnsi="Times New Roman"/>
          <w:sz w:val="24"/>
          <w:szCs w:val="24"/>
        </w:rPr>
        <w:t>).</w:t>
      </w:r>
    </w:p>
    <w:p w14:paraId="794AEB08" w14:textId="77777777" w:rsidR="00977EB9" w:rsidRPr="007C5A6E" w:rsidRDefault="00977EB9" w:rsidP="008811D7">
      <w:pPr>
        <w:spacing w:after="0" w:line="240" w:lineRule="auto"/>
        <w:jc w:val="both"/>
        <w:rPr>
          <w:rFonts w:ascii="Times New Roman" w:hAnsi="Times New Roman"/>
          <w:sz w:val="24"/>
          <w:szCs w:val="24"/>
        </w:rPr>
      </w:pPr>
    </w:p>
    <w:p w14:paraId="3021371C" w14:textId="70D933AF" w:rsidR="008811D7" w:rsidRPr="007C5A6E" w:rsidRDefault="009B18A4" w:rsidP="009B18A4">
      <w:pPr>
        <w:pStyle w:val="Lgende"/>
        <w:spacing w:after="0"/>
        <w:rPr>
          <w:rFonts w:ascii="Times New Roman" w:hAnsi="Times New Roman"/>
          <w:i w:val="0"/>
          <w:iCs w:val="0"/>
          <w:color w:val="auto"/>
          <w:sz w:val="24"/>
          <w:szCs w:val="24"/>
        </w:rPr>
      </w:pPr>
      <w:bookmarkStart w:id="1216" w:name="_Toc182575509"/>
      <w:bookmarkStart w:id="1217" w:name="_Toc183241014"/>
      <w:bookmarkStart w:id="1218" w:name="_Toc183292256"/>
      <w:bookmarkStart w:id="1219" w:name="_Toc183340536"/>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3162F8" w:rsidRPr="007C5A6E">
        <w:rPr>
          <w:rFonts w:ascii="Times New Roman" w:hAnsi="Times New Roman"/>
          <w:i w:val="0"/>
          <w:iCs w:val="0"/>
          <w:noProof/>
          <w:color w:val="auto"/>
          <w:sz w:val="24"/>
          <w:szCs w:val="24"/>
        </w:rPr>
        <w:t>52</w:t>
      </w:r>
      <w:r w:rsidRPr="007C5A6E">
        <w:rPr>
          <w:rFonts w:ascii="Times New Roman" w:hAnsi="Times New Roman"/>
          <w:i w:val="0"/>
          <w:iCs w:val="0"/>
          <w:color w:val="auto"/>
          <w:sz w:val="24"/>
          <w:szCs w:val="24"/>
        </w:rPr>
        <w:fldChar w:fldCharType="end"/>
      </w:r>
      <w:r w:rsidR="008811D7" w:rsidRPr="007C5A6E">
        <w:rPr>
          <w:rFonts w:ascii="Times New Roman" w:hAnsi="Times New Roman"/>
          <w:i w:val="0"/>
          <w:iCs w:val="0"/>
          <w:color w:val="auto"/>
          <w:sz w:val="24"/>
          <w:szCs w:val="24"/>
        </w:rPr>
        <w:t xml:space="preserve"> : Contribution du secteur AFAT dans la réduction des émissions de GES</w:t>
      </w:r>
      <w:bookmarkEnd w:id="1216"/>
      <w:bookmarkEnd w:id="1217"/>
      <w:bookmarkEnd w:id="1218"/>
      <w:bookmarkEnd w:id="1219"/>
    </w:p>
    <w:p w14:paraId="054BF508" w14:textId="77777777" w:rsidR="008811D7" w:rsidRPr="007C5A6E" w:rsidRDefault="008811D7" w:rsidP="008811D7">
      <w:pPr>
        <w:spacing w:after="0" w:line="240" w:lineRule="auto"/>
        <w:jc w:val="both"/>
        <w:rPr>
          <w:rFonts w:ascii="Times New Roman" w:hAnsi="Times New Roman"/>
          <w:sz w:val="21"/>
          <w:szCs w:val="21"/>
        </w:rPr>
      </w:pPr>
      <w:r w:rsidRPr="007C5A6E">
        <w:rPr>
          <w:rFonts w:ascii="Times New Roman" w:hAnsi="Times New Roman"/>
          <w:noProof/>
          <w:sz w:val="21"/>
          <w:szCs w:val="21"/>
        </w:rPr>
        <w:drawing>
          <wp:inline distT="0" distB="0" distL="0" distR="0" wp14:anchorId="3194EB60" wp14:editId="15DD10BD">
            <wp:extent cx="5760720" cy="920750"/>
            <wp:effectExtent l="0" t="0" r="0" b="0"/>
            <wp:docPr id="18242231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223132" name=""/>
                    <pic:cNvPicPr/>
                  </pic:nvPicPr>
                  <pic:blipFill>
                    <a:blip r:embed="rId210" cstate="email">
                      <a:extLst>
                        <a:ext uri="{28A0092B-C50C-407E-A947-70E740481C1C}">
                          <a14:useLocalDpi xmlns:a14="http://schemas.microsoft.com/office/drawing/2010/main"/>
                        </a:ext>
                      </a:extLst>
                    </a:blip>
                    <a:stretch>
                      <a:fillRect/>
                    </a:stretch>
                  </pic:blipFill>
                  <pic:spPr>
                    <a:xfrm>
                      <a:off x="0" y="0"/>
                      <a:ext cx="5760720" cy="920750"/>
                    </a:xfrm>
                    <a:prstGeom prst="rect">
                      <a:avLst/>
                    </a:prstGeom>
                  </pic:spPr>
                </pic:pic>
              </a:graphicData>
            </a:graphic>
          </wp:inline>
        </w:drawing>
      </w:r>
    </w:p>
    <w:p w14:paraId="4E03EECD" w14:textId="77777777" w:rsidR="008811D7" w:rsidRPr="007C5A6E" w:rsidRDefault="008811D7" w:rsidP="008811D7">
      <w:pPr>
        <w:spacing w:after="0" w:line="240" w:lineRule="auto"/>
        <w:jc w:val="both"/>
        <w:rPr>
          <w:rFonts w:ascii="Times New Roman" w:hAnsi="Times New Roman"/>
          <w:sz w:val="24"/>
          <w:szCs w:val="24"/>
        </w:rPr>
      </w:pPr>
    </w:p>
    <w:p w14:paraId="07ECFF79" w14:textId="77777777" w:rsidR="008811D7" w:rsidRPr="007C5A6E" w:rsidRDefault="008811D7" w:rsidP="008811D7">
      <w:pPr>
        <w:spacing w:after="0" w:line="240" w:lineRule="auto"/>
        <w:jc w:val="both"/>
        <w:rPr>
          <w:rFonts w:ascii="Times New Roman" w:hAnsi="Times New Roman"/>
          <w:sz w:val="24"/>
          <w:szCs w:val="24"/>
        </w:rPr>
      </w:pPr>
      <w:r w:rsidRPr="007C5A6E">
        <w:rPr>
          <w:rFonts w:ascii="Times New Roman" w:hAnsi="Times New Roman"/>
          <w:sz w:val="24"/>
          <w:szCs w:val="24"/>
        </w:rPr>
        <w:t>La mise en œuvre des actions d’atténuation du scénario inconditionnel du secteur AFAT permettra une réduction de 8,13% à l’horizon 2025 par rapport au scénario tendanciel et les actions du scénario conditionnel une réduction de 2,77% des émissions totales nationales de GES en 2025. Les deux scénarii mis ensemble contribueront à une réduction substantielle de 10,91% des émissions nationales de GES à ce même horizon (2025). Si on se projette à l’horizon 2050, la mise en œuvre des projets induira une réduction pour les deux scénarii de 16,76% des émissions globales de GES.</w:t>
      </w:r>
    </w:p>
    <w:p w14:paraId="12A2C41A" w14:textId="77777777" w:rsidR="00A340F1" w:rsidRPr="007C5A6E" w:rsidRDefault="00A340F1" w:rsidP="00F57A5C">
      <w:pPr>
        <w:spacing w:after="0" w:line="240" w:lineRule="auto"/>
        <w:rPr>
          <w:rFonts w:ascii="Times New Roman" w:hAnsi="Times New Roman"/>
          <w:sz w:val="24"/>
          <w:szCs w:val="24"/>
        </w:rPr>
      </w:pPr>
    </w:p>
    <w:p w14:paraId="375AF1EF" w14:textId="197A1823" w:rsidR="00006463" w:rsidRPr="007C5A6E" w:rsidRDefault="00006463" w:rsidP="00712C43">
      <w:pPr>
        <w:pStyle w:val="Titre2"/>
      </w:pPr>
      <w:bookmarkStart w:id="1220" w:name="_Toc183340247"/>
      <w:r w:rsidRPr="007C5A6E">
        <w:t>Les réponses aux pressions et impacts</w:t>
      </w:r>
      <w:bookmarkEnd w:id="1220"/>
      <w:r w:rsidRPr="007C5A6E">
        <w:t xml:space="preserve"> </w:t>
      </w:r>
    </w:p>
    <w:p w14:paraId="1ABE1077" w14:textId="77777777" w:rsidR="00006463" w:rsidRPr="007C5A6E" w:rsidRDefault="00006463" w:rsidP="00F57A5C">
      <w:pPr>
        <w:spacing w:after="0" w:line="240" w:lineRule="auto"/>
        <w:rPr>
          <w:rFonts w:ascii="Times New Roman" w:hAnsi="Times New Roman"/>
          <w:sz w:val="24"/>
          <w:szCs w:val="24"/>
        </w:rPr>
      </w:pPr>
    </w:p>
    <w:p w14:paraId="17C4B839" w14:textId="77777777" w:rsidR="007E6534" w:rsidRPr="007C5A6E" w:rsidRDefault="007E6534" w:rsidP="007E6534">
      <w:pPr>
        <w:spacing w:after="0" w:line="240" w:lineRule="auto"/>
        <w:jc w:val="both"/>
        <w:rPr>
          <w:rFonts w:ascii="Times New Roman" w:hAnsi="Times New Roman"/>
          <w:sz w:val="24"/>
          <w:szCs w:val="24"/>
        </w:rPr>
      </w:pPr>
      <w:r w:rsidRPr="007C5A6E">
        <w:rPr>
          <w:rFonts w:ascii="Times New Roman" w:hAnsi="Times New Roman"/>
          <w:sz w:val="24"/>
          <w:szCs w:val="24"/>
        </w:rPr>
        <w:t>Pour inverser les tendances le gouvernement Burkinabé dispose d’outils juridico-institutionnel tant au plan international que national ainsi que des outils de pilotage et de politiques publiques environnementales. En particulier, les deux dernières décennies ont vu un nombre croissant d’initiatives politiques, scientifiques, technologiques de plus en plus interdépendantes sur le plan international, régional et national, qui ont abouti à des résultats importants en termes d’orientations relatives à la gouvernance et à la mise en œuvre des mesures d’atténuation des impacts.</w:t>
      </w:r>
    </w:p>
    <w:p w14:paraId="70DC2B89" w14:textId="77777777" w:rsidR="007E6534" w:rsidRPr="007C5A6E" w:rsidRDefault="007E6534" w:rsidP="007E6534">
      <w:pPr>
        <w:spacing w:after="0" w:line="240" w:lineRule="auto"/>
        <w:jc w:val="both"/>
        <w:rPr>
          <w:rFonts w:ascii="Times New Roman" w:hAnsi="Times New Roman"/>
          <w:sz w:val="24"/>
          <w:szCs w:val="24"/>
        </w:rPr>
      </w:pPr>
    </w:p>
    <w:p w14:paraId="497F15E3" w14:textId="77777777" w:rsidR="007E6534" w:rsidRPr="007C5A6E" w:rsidRDefault="007E6534" w:rsidP="007E6534">
      <w:pPr>
        <w:pStyle w:val="Titre3"/>
      </w:pPr>
      <w:r w:rsidRPr="007C5A6E">
        <w:t xml:space="preserve"> </w:t>
      </w:r>
      <w:bookmarkStart w:id="1221" w:name="_Toc182575461"/>
      <w:bookmarkStart w:id="1222" w:name="_Toc183340248"/>
      <w:r w:rsidRPr="007C5A6E">
        <w:t>Cadre institutionnel</w:t>
      </w:r>
      <w:bookmarkEnd w:id="1221"/>
      <w:bookmarkEnd w:id="1222"/>
      <w:r w:rsidRPr="007C5A6E">
        <w:t xml:space="preserve"> </w:t>
      </w:r>
    </w:p>
    <w:p w14:paraId="2B778DB1" w14:textId="77777777" w:rsidR="007E6534" w:rsidRPr="007C5A6E" w:rsidRDefault="007E6534" w:rsidP="007E6534">
      <w:pPr>
        <w:spacing w:after="0" w:line="240" w:lineRule="auto"/>
        <w:jc w:val="both"/>
        <w:rPr>
          <w:rFonts w:ascii="Times New Roman" w:hAnsi="Times New Roman"/>
          <w:sz w:val="24"/>
          <w:szCs w:val="24"/>
        </w:rPr>
      </w:pPr>
    </w:p>
    <w:p w14:paraId="24838C2E" w14:textId="77777777" w:rsidR="007E6534" w:rsidRPr="007C5A6E" w:rsidRDefault="007E6534" w:rsidP="007E6534">
      <w:pPr>
        <w:spacing w:after="0" w:line="240" w:lineRule="auto"/>
        <w:jc w:val="both"/>
        <w:rPr>
          <w:rFonts w:ascii="Times New Roman" w:hAnsi="Times New Roman"/>
          <w:sz w:val="24"/>
          <w:szCs w:val="24"/>
        </w:rPr>
      </w:pPr>
      <w:r w:rsidRPr="007C5A6E">
        <w:rPr>
          <w:rFonts w:ascii="Times New Roman" w:hAnsi="Times New Roman"/>
          <w:sz w:val="24"/>
          <w:szCs w:val="24"/>
        </w:rPr>
        <w:t xml:space="preserve">Les institutions nationales en charge de la gestion de la diversité biologique comprennent les structures étatiques et non étatiques. </w:t>
      </w:r>
    </w:p>
    <w:p w14:paraId="65A5821F" w14:textId="77777777" w:rsidR="007E6534" w:rsidRPr="007C5A6E" w:rsidRDefault="007E6534" w:rsidP="007E6534">
      <w:pPr>
        <w:spacing w:after="0" w:line="240" w:lineRule="auto"/>
        <w:jc w:val="both"/>
        <w:rPr>
          <w:rFonts w:ascii="Times New Roman" w:hAnsi="Times New Roman"/>
          <w:sz w:val="24"/>
          <w:szCs w:val="24"/>
        </w:rPr>
      </w:pPr>
    </w:p>
    <w:p w14:paraId="197DCF0F" w14:textId="77777777" w:rsidR="007E6534" w:rsidRPr="007C5A6E" w:rsidRDefault="007E6534" w:rsidP="007E6534">
      <w:pPr>
        <w:spacing w:after="0" w:line="240" w:lineRule="auto"/>
        <w:jc w:val="both"/>
        <w:rPr>
          <w:rFonts w:ascii="Times New Roman" w:hAnsi="Times New Roman"/>
          <w:sz w:val="24"/>
          <w:szCs w:val="24"/>
        </w:rPr>
      </w:pPr>
      <w:r w:rsidRPr="007C5A6E">
        <w:rPr>
          <w:rFonts w:ascii="Times New Roman" w:hAnsi="Times New Roman"/>
          <w:sz w:val="24"/>
          <w:szCs w:val="24"/>
        </w:rPr>
        <w:t xml:space="preserve">Pour le compte de l’Etat, « le ministère en charge de l’environnement est le garant de la qualité de l’environnement. Il veille à cet effet, au niveau central et déconcentré à la promotion des meilleures pratiques de gouvernance environnementale » (art. 11, Code de l’environnement). Il travaille en synergie avec les autres ministères en particulier ceux du secteur rural et de la recherche; les structures non étatiques qui regroupent les collectivités territoriales (Commissions en charge de l’environnement), des organisations de la société civile, des entreprises privées et de certaines institutions de formations et de recherche ; ainsi que des acteurs internationaux telles que les institutions financières œuvrant dans le domaine de l’aide publique au développement ; les programmes des Nations Unies (tels que le PNUD, le PNUE, la FAO, etc.) ; les agences de coopération ; le Fonds pour l’Environnement Mondial (FEM) ; les Etats africains (à travers des organes de coopération sous régionale tels que l’UA, l’UEMOA, la CEDEAO, le CILSS, l’ABN, l’ABV, l’Autorité du Développement intégré de la région du </w:t>
      </w:r>
      <w:proofErr w:type="spellStart"/>
      <w:r w:rsidRPr="007C5A6E">
        <w:rPr>
          <w:rFonts w:ascii="Times New Roman" w:hAnsi="Times New Roman"/>
          <w:sz w:val="24"/>
          <w:szCs w:val="24"/>
        </w:rPr>
        <w:t>Liptako</w:t>
      </w:r>
      <w:proofErr w:type="spellEnd"/>
      <w:r w:rsidRPr="007C5A6E">
        <w:rPr>
          <w:rFonts w:ascii="Times New Roman" w:hAnsi="Times New Roman"/>
          <w:sz w:val="24"/>
          <w:szCs w:val="24"/>
        </w:rPr>
        <w:t>-Gourma, l’AES).</w:t>
      </w:r>
    </w:p>
    <w:p w14:paraId="0E003950" w14:textId="77777777" w:rsidR="00977EB9" w:rsidRPr="007C5A6E" w:rsidRDefault="00977EB9" w:rsidP="007E6534">
      <w:pPr>
        <w:spacing w:after="0" w:line="240" w:lineRule="auto"/>
        <w:jc w:val="both"/>
        <w:rPr>
          <w:rFonts w:ascii="Times New Roman" w:hAnsi="Times New Roman"/>
          <w:sz w:val="24"/>
          <w:szCs w:val="24"/>
        </w:rPr>
      </w:pPr>
    </w:p>
    <w:p w14:paraId="7E304640" w14:textId="77777777" w:rsidR="007E6534" w:rsidRPr="007C5A6E" w:rsidRDefault="007E6534" w:rsidP="007E6534">
      <w:pPr>
        <w:pStyle w:val="Titre3"/>
      </w:pPr>
      <w:r w:rsidRPr="007C5A6E">
        <w:t xml:space="preserve"> </w:t>
      </w:r>
      <w:bookmarkStart w:id="1223" w:name="_Toc182575462"/>
      <w:bookmarkStart w:id="1224" w:name="_Toc183340249"/>
      <w:r w:rsidRPr="007C5A6E">
        <w:t>Cadres stratégiques</w:t>
      </w:r>
      <w:bookmarkEnd w:id="1223"/>
      <w:bookmarkEnd w:id="1224"/>
      <w:r w:rsidRPr="007C5A6E">
        <w:t xml:space="preserve"> </w:t>
      </w:r>
    </w:p>
    <w:p w14:paraId="1D03F485" w14:textId="77777777" w:rsidR="007E6534" w:rsidRPr="007C5A6E" w:rsidRDefault="007E6534" w:rsidP="007E6534">
      <w:pPr>
        <w:spacing w:after="0" w:line="240" w:lineRule="auto"/>
        <w:jc w:val="both"/>
        <w:rPr>
          <w:rFonts w:ascii="Times New Roman" w:hAnsi="Times New Roman"/>
          <w:sz w:val="24"/>
          <w:szCs w:val="24"/>
        </w:rPr>
      </w:pPr>
    </w:p>
    <w:p w14:paraId="3BC8621E" w14:textId="77777777" w:rsidR="007E6534" w:rsidRPr="007C5A6E" w:rsidRDefault="007E6534" w:rsidP="007E6534">
      <w:pPr>
        <w:spacing w:after="0" w:line="240" w:lineRule="auto"/>
        <w:jc w:val="both"/>
        <w:rPr>
          <w:rFonts w:ascii="Times New Roman" w:hAnsi="Times New Roman"/>
          <w:sz w:val="24"/>
          <w:szCs w:val="24"/>
        </w:rPr>
      </w:pPr>
      <w:r w:rsidRPr="007C5A6E">
        <w:rPr>
          <w:rFonts w:ascii="Times New Roman" w:hAnsi="Times New Roman"/>
          <w:sz w:val="24"/>
          <w:szCs w:val="24"/>
        </w:rPr>
        <w:t>La stratégie d’intervention repose sur 4 options (MEEVCC, 2020) : (i) informer et sensibiliser davantage les décideurs et les acteurs sur la nécessité de sauvegarder la diversité biologique ; (ii) approfondir les connaissances y compris le savoir-faire local sur la diversité biologique ; (iii) intensifier l’agriculture ; (iv) renforcer l’éducation environnementale. Elle se caractérise spécifiquement par :</w:t>
      </w:r>
    </w:p>
    <w:p w14:paraId="1168DD89" w14:textId="77777777" w:rsidR="007E6534" w:rsidRPr="007C5A6E" w:rsidRDefault="007E6534" w:rsidP="007E6534">
      <w:pPr>
        <w:spacing w:after="0" w:line="240" w:lineRule="auto"/>
        <w:jc w:val="both"/>
        <w:rPr>
          <w:rFonts w:ascii="Times New Roman" w:hAnsi="Times New Roman"/>
          <w:sz w:val="24"/>
          <w:szCs w:val="24"/>
        </w:rPr>
      </w:pPr>
    </w:p>
    <w:p w14:paraId="7F0792ED" w14:textId="77777777" w:rsidR="007E6534" w:rsidRPr="007C5A6E" w:rsidRDefault="007E6534" w:rsidP="003F3821">
      <w:pPr>
        <w:numPr>
          <w:ilvl w:val="0"/>
          <w:numId w:val="41"/>
        </w:numPr>
        <w:spacing w:after="0" w:line="240" w:lineRule="auto"/>
        <w:ind w:left="357" w:hanging="357"/>
        <w:contextualSpacing/>
        <w:jc w:val="both"/>
        <w:rPr>
          <w:rFonts w:ascii="Times New Roman" w:hAnsi="Times New Roman"/>
          <w:sz w:val="24"/>
          <w:szCs w:val="24"/>
        </w:rPr>
      </w:pPr>
      <w:r w:rsidRPr="007C5A6E">
        <w:rPr>
          <w:rFonts w:ascii="Times New Roman" w:hAnsi="Times New Roman"/>
          <w:b/>
          <w:sz w:val="24"/>
          <w:szCs w:val="24"/>
        </w:rPr>
        <w:t>Le développement d’instruments juridiques internationaux de conservation et gestions des ressources</w:t>
      </w:r>
      <w:r w:rsidRPr="007C5A6E">
        <w:rPr>
          <w:rFonts w:ascii="Times New Roman" w:hAnsi="Times New Roman"/>
          <w:sz w:val="24"/>
          <w:szCs w:val="24"/>
        </w:rPr>
        <w:t xml:space="preserve">. </w:t>
      </w:r>
    </w:p>
    <w:p w14:paraId="55BC7089" w14:textId="77777777" w:rsidR="0066705C" w:rsidRPr="007C5A6E" w:rsidRDefault="0066705C" w:rsidP="0066705C">
      <w:pPr>
        <w:spacing w:after="0" w:line="240" w:lineRule="auto"/>
        <w:jc w:val="both"/>
        <w:rPr>
          <w:rFonts w:ascii="Times New Roman" w:hAnsi="Times New Roman"/>
          <w:sz w:val="24"/>
          <w:szCs w:val="24"/>
        </w:rPr>
      </w:pPr>
    </w:p>
    <w:p w14:paraId="609C9D36" w14:textId="70DA1522" w:rsidR="007E6534" w:rsidRPr="007C5A6E" w:rsidRDefault="007E6534" w:rsidP="0066705C">
      <w:pPr>
        <w:spacing w:after="0" w:line="240" w:lineRule="auto"/>
        <w:jc w:val="both"/>
        <w:rPr>
          <w:rFonts w:ascii="Times New Roman" w:hAnsi="Times New Roman"/>
          <w:sz w:val="24"/>
          <w:szCs w:val="24"/>
        </w:rPr>
      </w:pPr>
      <w:r w:rsidRPr="007C5A6E">
        <w:rPr>
          <w:rFonts w:ascii="Times New Roman" w:hAnsi="Times New Roman"/>
          <w:sz w:val="24"/>
          <w:szCs w:val="24"/>
        </w:rPr>
        <w:t>A ce titre, le pays est signataire de 10 conventions, traités et protocoles internationaux principalement consacrées à la diversité biologique (Tableau</w:t>
      </w:r>
      <w:r w:rsidR="0066705C" w:rsidRPr="007C5A6E">
        <w:rPr>
          <w:rFonts w:ascii="Times New Roman" w:hAnsi="Times New Roman"/>
          <w:sz w:val="24"/>
          <w:szCs w:val="24"/>
        </w:rPr>
        <w:t xml:space="preserve"> 5</w:t>
      </w:r>
      <w:r w:rsidR="00840134" w:rsidRPr="007C5A6E">
        <w:rPr>
          <w:rFonts w:ascii="Times New Roman" w:hAnsi="Times New Roman"/>
          <w:sz w:val="24"/>
          <w:szCs w:val="24"/>
        </w:rPr>
        <w:t>3</w:t>
      </w:r>
      <w:r w:rsidRPr="007C5A6E">
        <w:rPr>
          <w:rFonts w:ascii="Times New Roman" w:hAnsi="Times New Roman"/>
          <w:sz w:val="24"/>
          <w:szCs w:val="24"/>
        </w:rPr>
        <w:t>).  Le pays a récemment adhéré au traité relatif à la biodiversité à savoir la Plateforme Inter-gouvernemental Scientifique et Politique sur la Biodiversité et les Services Ecosystémiques (IPBES) qui a vu le jour en 2012. A noter qu’il existe 7 autres conventions</w:t>
      </w:r>
      <w:r w:rsidRPr="007C5A6E">
        <w:rPr>
          <w:rFonts w:ascii="Times New Roman" w:hAnsi="Times New Roman"/>
          <w:sz w:val="24"/>
          <w:szCs w:val="24"/>
          <w:vertAlign w:val="superscript"/>
        </w:rPr>
        <w:footnoteReference w:id="27"/>
      </w:r>
      <w:r w:rsidRPr="007C5A6E">
        <w:rPr>
          <w:rFonts w:ascii="Times New Roman" w:hAnsi="Times New Roman"/>
          <w:sz w:val="24"/>
          <w:szCs w:val="24"/>
        </w:rPr>
        <w:t xml:space="preserve"> non spécifiques à la Biodiversité mais qui l’influencent (MEEVCC, 2020). </w:t>
      </w:r>
    </w:p>
    <w:p w14:paraId="7347F80E" w14:textId="77777777" w:rsidR="007E6534" w:rsidRPr="007C5A6E" w:rsidRDefault="007E6534" w:rsidP="007E6534">
      <w:pPr>
        <w:spacing w:after="0" w:line="240" w:lineRule="auto"/>
        <w:jc w:val="both"/>
        <w:rPr>
          <w:rFonts w:ascii="Times New Roman" w:hAnsi="Times New Roman"/>
          <w:sz w:val="24"/>
          <w:szCs w:val="24"/>
        </w:rPr>
      </w:pPr>
    </w:p>
    <w:p w14:paraId="2B043051" w14:textId="65452FE6" w:rsidR="007E6534" w:rsidRPr="007C5A6E" w:rsidRDefault="0066705C" w:rsidP="0066705C">
      <w:pPr>
        <w:pStyle w:val="Lgende"/>
        <w:spacing w:after="0"/>
        <w:rPr>
          <w:rFonts w:ascii="Times New Roman" w:hAnsi="Times New Roman"/>
          <w:i w:val="0"/>
          <w:iCs w:val="0"/>
          <w:color w:val="auto"/>
          <w:sz w:val="24"/>
          <w:szCs w:val="24"/>
        </w:rPr>
      </w:pPr>
      <w:bookmarkStart w:id="1225" w:name="_Toc182575510"/>
      <w:bookmarkStart w:id="1226" w:name="_Toc183241015"/>
      <w:bookmarkStart w:id="1227" w:name="_Toc183292257"/>
      <w:bookmarkStart w:id="1228" w:name="_Toc183340537"/>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977EB9" w:rsidRPr="007C5A6E">
        <w:rPr>
          <w:rFonts w:ascii="Times New Roman" w:hAnsi="Times New Roman"/>
          <w:i w:val="0"/>
          <w:iCs w:val="0"/>
          <w:noProof/>
          <w:color w:val="auto"/>
          <w:sz w:val="24"/>
          <w:szCs w:val="24"/>
        </w:rPr>
        <w:t>53</w:t>
      </w:r>
      <w:r w:rsidRPr="007C5A6E">
        <w:rPr>
          <w:rFonts w:ascii="Times New Roman" w:hAnsi="Times New Roman"/>
          <w:i w:val="0"/>
          <w:iCs w:val="0"/>
          <w:color w:val="auto"/>
          <w:sz w:val="24"/>
          <w:szCs w:val="24"/>
        </w:rPr>
        <w:fldChar w:fldCharType="end"/>
      </w:r>
      <w:r w:rsidR="007E6534" w:rsidRPr="007C5A6E">
        <w:rPr>
          <w:rFonts w:ascii="Times New Roman" w:hAnsi="Times New Roman"/>
          <w:i w:val="0"/>
          <w:iCs w:val="0"/>
          <w:color w:val="auto"/>
          <w:sz w:val="24"/>
          <w:szCs w:val="24"/>
        </w:rPr>
        <w:t xml:space="preserve"> : liste des conventions, traités et protocoles relatifs à la diversité biologique</w:t>
      </w:r>
      <w:bookmarkEnd w:id="1225"/>
      <w:bookmarkEnd w:id="1226"/>
      <w:bookmarkEnd w:id="1227"/>
      <w:bookmarkEnd w:id="1228"/>
    </w:p>
    <w:p w14:paraId="3BB27E35" w14:textId="77777777" w:rsidR="0066705C" w:rsidRPr="007C5A6E" w:rsidRDefault="0066705C" w:rsidP="0066705C">
      <w:pPr>
        <w:spacing w:after="0"/>
      </w:pPr>
    </w:p>
    <w:tbl>
      <w:tblPr>
        <w:tblStyle w:val="Grilledutableau9"/>
        <w:tblW w:w="5000" w:type="pct"/>
        <w:tblLook w:val="04A0" w:firstRow="1" w:lastRow="0" w:firstColumn="1" w:lastColumn="0" w:noHBand="0" w:noVBand="1"/>
      </w:tblPr>
      <w:tblGrid>
        <w:gridCol w:w="4587"/>
        <w:gridCol w:w="4588"/>
      </w:tblGrid>
      <w:tr w:rsidR="007E6534" w:rsidRPr="007C5A6E" w14:paraId="3D6EC331" w14:textId="77777777" w:rsidTr="00977EB9">
        <w:tc>
          <w:tcPr>
            <w:tcW w:w="2500" w:type="pct"/>
            <w:shd w:val="clear" w:color="auto" w:fill="002060"/>
          </w:tcPr>
          <w:p w14:paraId="5ABE5762" w14:textId="77777777" w:rsidR="007E6534" w:rsidRPr="007C5A6E" w:rsidRDefault="007E6534" w:rsidP="00637FDC">
            <w:pPr>
              <w:spacing w:after="0" w:line="240" w:lineRule="auto"/>
              <w:jc w:val="center"/>
              <w:rPr>
                <w:rFonts w:ascii="Times New Roman" w:hAnsi="Times New Roman"/>
              </w:rPr>
            </w:pPr>
            <w:r w:rsidRPr="007C5A6E">
              <w:rPr>
                <w:rFonts w:ascii="Times New Roman" w:hAnsi="Times New Roman"/>
                <w:b/>
              </w:rPr>
              <w:t>Conventions/Traités/Protocoles</w:t>
            </w:r>
          </w:p>
        </w:tc>
        <w:tc>
          <w:tcPr>
            <w:tcW w:w="2500" w:type="pct"/>
            <w:shd w:val="clear" w:color="auto" w:fill="002060"/>
          </w:tcPr>
          <w:p w14:paraId="532B4123" w14:textId="77777777" w:rsidR="007E6534" w:rsidRPr="007C5A6E" w:rsidRDefault="007E6534" w:rsidP="00637FDC">
            <w:pPr>
              <w:spacing w:after="0" w:line="240" w:lineRule="auto"/>
              <w:jc w:val="center"/>
              <w:rPr>
                <w:rFonts w:ascii="Times New Roman" w:hAnsi="Times New Roman"/>
              </w:rPr>
            </w:pPr>
            <w:r w:rsidRPr="007C5A6E">
              <w:rPr>
                <w:rFonts w:ascii="Times New Roman" w:hAnsi="Times New Roman"/>
                <w:b/>
              </w:rPr>
              <w:t>Objectifs</w:t>
            </w:r>
          </w:p>
        </w:tc>
      </w:tr>
      <w:tr w:rsidR="007E6534" w:rsidRPr="007C5A6E" w14:paraId="77399301" w14:textId="77777777" w:rsidTr="00977EB9">
        <w:tc>
          <w:tcPr>
            <w:tcW w:w="2500" w:type="pct"/>
          </w:tcPr>
          <w:p w14:paraId="5D4302B8"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Convention sur la diversité biologique</w:t>
            </w:r>
          </w:p>
          <w:p w14:paraId="6ECC3777"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Adoptée le : 05 juin 1992</w:t>
            </w:r>
          </w:p>
          <w:p w14:paraId="2B78BC47"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Ratifiée le : 20 septembre 1993</w:t>
            </w:r>
          </w:p>
          <w:p w14:paraId="51DBC6EF"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Entrée en vigueur le : 29 décembre 1993</w:t>
            </w:r>
          </w:p>
        </w:tc>
        <w:tc>
          <w:tcPr>
            <w:tcW w:w="2500" w:type="pct"/>
          </w:tcPr>
          <w:p w14:paraId="776BA22D"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La conservation de la diversité biologique, l’utilisation de ses composantes, le partage juste et équitable des avantages découlant de l’exploitation des ressources génétiques</w:t>
            </w:r>
          </w:p>
        </w:tc>
      </w:tr>
      <w:tr w:rsidR="007E6534" w:rsidRPr="007C5A6E" w14:paraId="77FA5D0F" w14:textId="77777777" w:rsidTr="00977EB9">
        <w:tc>
          <w:tcPr>
            <w:tcW w:w="2500" w:type="pct"/>
          </w:tcPr>
          <w:p w14:paraId="76C97489"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Protocole de Cartagena sur la prévention des risques biotechnologiques</w:t>
            </w:r>
          </w:p>
          <w:p w14:paraId="2988B09E"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Adoptée le : 29 janvier 2000</w:t>
            </w:r>
          </w:p>
          <w:p w14:paraId="7BEC792F"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 xml:space="preserve">Ratifiée le : 04 </w:t>
            </w:r>
            <w:proofErr w:type="spellStart"/>
            <w:r w:rsidRPr="007C5A6E">
              <w:rPr>
                <w:rFonts w:ascii="Times New Roman" w:hAnsi="Times New Roman"/>
                <w:sz w:val="21"/>
                <w:szCs w:val="21"/>
              </w:rPr>
              <w:t>Aoùt</w:t>
            </w:r>
            <w:proofErr w:type="spellEnd"/>
            <w:r w:rsidRPr="007C5A6E">
              <w:rPr>
                <w:rFonts w:ascii="Times New Roman" w:hAnsi="Times New Roman"/>
                <w:sz w:val="21"/>
                <w:szCs w:val="21"/>
              </w:rPr>
              <w:t xml:space="preserve"> 2003</w:t>
            </w:r>
          </w:p>
          <w:p w14:paraId="39F1ED78"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Entrée en vigueur le : 11 septembre 2003</w:t>
            </w:r>
          </w:p>
        </w:tc>
        <w:tc>
          <w:tcPr>
            <w:tcW w:w="2500" w:type="pct"/>
          </w:tcPr>
          <w:p w14:paraId="112FF5EE"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Contribuer à assurer un degré adéquat de protection pour le transfert, la manipulation et l’utilisation sans danger des organismes vivants modifiés résultant de la biotechnologie moderne</w:t>
            </w:r>
          </w:p>
        </w:tc>
      </w:tr>
      <w:tr w:rsidR="007E6534" w:rsidRPr="007C5A6E" w14:paraId="64B64122" w14:textId="77777777" w:rsidTr="00977EB9">
        <w:tc>
          <w:tcPr>
            <w:tcW w:w="2500" w:type="pct"/>
          </w:tcPr>
          <w:p w14:paraId="5AD11217"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Protocole de Nagoya sur l’accès aux ressources génétiques et le partage juste et équitable des avantages découlant de leur utilisation</w:t>
            </w:r>
          </w:p>
          <w:p w14:paraId="21AFF01F"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Adoptée le : 29 octobre 2010</w:t>
            </w:r>
          </w:p>
          <w:p w14:paraId="759BA116"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Ratifiée le : 30 octobre 2013</w:t>
            </w:r>
          </w:p>
          <w:p w14:paraId="6E7FC24C"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Entrée en vigueur le : 12 octobre 2014</w:t>
            </w:r>
          </w:p>
        </w:tc>
        <w:tc>
          <w:tcPr>
            <w:tcW w:w="2500" w:type="pct"/>
          </w:tcPr>
          <w:p w14:paraId="364DE0CF"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Accès aux ressources génétiques et partage juste et équitable des avantages découlant de leur utilisation</w:t>
            </w:r>
          </w:p>
        </w:tc>
      </w:tr>
      <w:tr w:rsidR="007E6534" w:rsidRPr="007C5A6E" w14:paraId="4351346B" w14:textId="77777777" w:rsidTr="00977EB9">
        <w:tc>
          <w:tcPr>
            <w:tcW w:w="2500" w:type="pct"/>
          </w:tcPr>
          <w:p w14:paraId="3EEDB0AF"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Protocole additionnel de Nagoya Kuala Lumpur sur la responsabilité et la réparation relatif au protocole de Cartagena sur la prévention des risques biotechnologiques</w:t>
            </w:r>
          </w:p>
          <w:p w14:paraId="3FA002AA"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Adoptée le : 15 octobre 2010</w:t>
            </w:r>
          </w:p>
          <w:p w14:paraId="78930C78"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Ratifiée le : 26 juillet 2013</w:t>
            </w:r>
          </w:p>
          <w:p w14:paraId="3C525A32"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Entrée en vigueur le : 05 mars 2018</w:t>
            </w:r>
          </w:p>
        </w:tc>
        <w:tc>
          <w:tcPr>
            <w:tcW w:w="2500" w:type="pct"/>
          </w:tcPr>
          <w:p w14:paraId="3E5AFAB8"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Contribuer à la conservation et à l’utilisation durable de la diversité biologique, compte tenu également des risques pour la santé humaine, en établissant des règles et procédures internationales en matière de responsabilité et de réparation relatives aux organismes vivants modifiés</w:t>
            </w:r>
          </w:p>
        </w:tc>
      </w:tr>
      <w:tr w:rsidR="007E6534" w:rsidRPr="007C5A6E" w14:paraId="24D3B2D6" w14:textId="77777777" w:rsidTr="00977EB9">
        <w:tc>
          <w:tcPr>
            <w:tcW w:w="2500" w:type="pct"/>
          </w:tcPr>
          <w:p w14:paraId="1D54C2F7"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Traité international sur les ressources phytogénétiques pour l’alimentation et l’agriculture Adoptée le : 03 novembre 2001</w:t>
            </w:r>
          </w:p>
          <w:p w14:paraId="57C84C41"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Ratifiée le : 05 décembre 2006</w:t>
            </w:r>
          </w:p>
          <w:p w14:paraId="3A22413D"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Entrée en vigueur le : 29 juin 2004</w:t>
            </w:r>
          </w:p>
        </w:tc>
        <w:tc>
          <w:tcPr>
            <w:tcW w:w="2500" w:type="pct"/>
          </w:tcPr>
          <w:p w14:paraId="4F2DA304"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Conservation et l’utilisation durable des ressources phytogénétiques pour l’alimentation et l’agriculture, et le partage juste et équitable des avantages découlant de leur utilisation</w:t>
            </w:r>
          </w:p>
        </w:tc>
      </w:tr>
      <w:tr w:rsidR="007E6534" w:rsidRPr="007C5A6E" w14:paraId="4B102B2D" w14:textId="77777777" w:rsidTr="00977EB9">
        <w:tc>
          <w:tcPr>
            <w:tcW w:w="2500" w:type="pct"/>
          </w:tcPr>
          <w:p w14:paraId="6880822C"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La Convention sur les zones humides d’importance internationale particulièrement comme habitat d’oiseaux d’eau encore appelé convention de Ramsar.</w:t>
            </w:r>
          </w:p>
          <w:p w14:paraId="250EC84C"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Adoptée le : 02 février 1971</w:t>
            </w:r>
          </w:p>
          <w:p w14:paraId="4326DE2E"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Ratifiée le : 27 octobre 1990</w:t>
            </w:r>
          </w:p>
          <w:p w14:paraId="45266AFE"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Entrée en vigueur le : 21 décembre 1975</w:t>
            </w:r>
          </w:p>
        </w:tc>
        <w:tc>
          <w:tcPr>
            <w:tcW w:w="2500" w:type="pct"/>
          </w:tcPr>
          <w:p w14:paraId="6DE37BC5"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Assurer la conservation et l’exploitation durables des zones humides et de leurs ressources</w:t>
            </w:r>
          </w:p>
        </w:tc>
      </w:tr>
      <w:tr w:rsidR="007E6534" w:rsidRPr="007C5A6E" w14:paraId="4FA76E9F" w14:textId="77777777" w:rsidTr="00977EB9">
        <w:tc>
          <w:tcPr>
            <w:tcW w:w="2500" w:type="pct"/>
          </w:tcPr>
          <w:p w14:paraId="46554BDE"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La Convention sur la conservation des espèces migratrices appartenant à la faune sauvage</w:t>
            </w:r>
          </w:p>
          <w:p w14:paraId="514C5A6A"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Adoptée le : 23 juin 1979</w:t>
            </w:r>
          </w:p>
          <w:p w14:paraId="79357B62"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Ratifiée le 09 octobre 1989</w:t>
            </w:r>
          </w:p>
          <w:p w14:paraId="13CB4781" w14:textId="77777777" w:rsidR="007E6534" w:rsidRPr="007C5A6E" w:rsidRDefault="007E6534" w:rsidP="007E6534">
            <w:pPr>
              <w:spacing w:after="0" w:line="240" w:lineRule="auto"/>
              <w:rPr>
                <w:rFonts w:ascii="Times New Roman" w:hAnsi="Times New Roman"/>
                <w:b/>
                <w:sz w:val="21"/>
                <w:szCs w:val="21"/>
              </w:rPr>
            </w:pPr>
            <w:r w:rsidRPr="007C5A6E">
              <w:rPr>
                <w:rFonts w:ascii="Times New Roman" w:hAnsi="Times New Roman"/>
                <w:sz w:val="21"/>
                <w:szCs w:val="21"/>
              </w:rPr>
              <w:t>Entrée en vigueur le : 01 janvier 1990</w:t>
            </w:r>
          </w:p>
        </w:tc>
        <w:tc>
          <w:tcPr>
            <w:tcW w:w="2500" w:type="pct"/>
          </w:tcPr>
          <w:p w14:paraId="7882DEBA"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Assurer la protection et la gestion de toutes les espèces migratrices appartenant à la faune sauvage dont une fraction importante des populations franchit cycliquement de façon prévisible une ou plusieurs parties du territoire national</w:t>
            </w:r>
          </w:p>
        </w:tc>
      </w:tr>
      <w:tr w:rsidR="007E6534" w:rsidRPr="007C5A6E" w14:paraId="587E8EAA" w14:textId="77777777" w:rsidTr="00977EB9">
        <w:tc>
          <w:tcPr>
            <w:tcW w:w="2500" w:type="pct"/>
          </w:tcPr>
          <w:p w14:paraId="654B96B6"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La Convention sur le commerce international des espèces de faune et de flore sauvages menacées d'extinction</w:t>
            </w:r>
          </w:p>
          <w:p w14:paraId="1FE1B2DD"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Adoptée le : 03 mars 1973</w:t>
            </w:r>
          </w:p>
          <w:p w14:paraId="30978D98"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Ratifiée le 13 octobre 1989</w:t>
            </w:r>
          </w:p>
          <w:p w14:paraId="411FDABB"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Entrée en vigueur le : 11 janvier 1990</w:t>
            </w:r>
          </w:p>
        </w:tc>
        <w:tc>
          <w:tcPr>
            <w:tcW w:w="2500" w:type="pct"/>
          </w:tcPr>
          <w:p w14:paraId="7E1721F4"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Veiller à ce que le commerce international des spécimens d'animaux et de plantes sauvages ne menace pas la survie des espèces auxquelles ils appartiennent</w:t>
            </w:r>
          </w:p>
        </w:tc>
      </w:tr>
      <w:tr w:rsidR="007E6534" w:rsidRPr="007C5A6E" w14:paraId="4F5729DA" w14:textId="77777777" w:rsidTr="00977EB9">
        <w:tc>
          <w:tcPr>
            <w:tcW w:w="2500" w:type="pct"/>
          </w:tcPr>
          <w:p w14:paraId="789E16EB" w14:textId="77777777" w:rsidR="0066705C"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Convention internationale pour la protection des végétaux</w:t>
            </w:r>
            <w:r w:rsidR="0066705C" w:rsidRPr="007C5A6E">
              <w:rPr>
                <w:rFonts w:ascii="Times New Roman" w:hAnsi="Times New Roman"/>
                <w:sz w:val="21"/>
                <w:szCs w:val="21"/>
              </w:rPr>
              <w:t xml:space="preserve">, </w:t>
            </w:r>
          </w:p>
          <w:p w14:paraId="091EB003" w14:textId="6DD0A6DB"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Adoptée le : 6 décembre 1951</w:t>
            </w:r>
          </w:p>
          <w:p w14:paraId="795306D4"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Ratifiée le : 8 juin 1995</w:t>
            </w:r>
          </w:p>
          <w:p w14:paraId="0139E583"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Entrée en vigueur le : 3 avril 1952</w:t>
            </w:r>
          </w:p>
        </w:tc>
        <w:tc>
          <w:tcPr>
            <w:tcW w:w="2500" w:type="pct"/>
          </w:tcPr>
          <w:p w14:paraId="252674AF"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Assurer une action commune et efficace afin de prévenir la dissémination et l’introduction d’organismes nuisibles aux végétaux et produits végétaux, et de promouvoir l’adoption de mesures appropriées de lutte contre ces dernier</w:t>
            </w:r>
          </w:p>
        </w:tc>
      </w:tr>
    </w:tbl>
    <w:p w14:paraId="5DED7216" w14:textId="77777777" w:rsidR="007E6534" w:rsidRPr="007C5A6E" w:rsidRDefault="007E6534" w:rsidP="007E6534">
      <w:pPr>
        <w:spacing w:after="0" w:line="240" w:lineRule="auto"/>
        <w:jc w:val="both"/>
        <w:rPr>
          <w:rFonts w:ascii="Times New Roman" w:hAnsi="Times New Roman"/>
          <w:sz w:val="20"/>
          <w:szCs w:val="20"/>
        </w:rPr>
      </w:pPr>
      <w:r w:rsidRPr="007C5A6E">
        <w:rPr>
          <w:rFonts w:ascii="Times New Roman" w:hAnsi="Times New Roman"/>
          <w:sz w:val="20"/>
          <w:szCs w:val="20"/>
        </w:rPr>
        <w:t>Source : MEEVCC, 2020</w:t>
      </w:r>
    </w:p>
    <w:p w14:paraId="793EAF13" w14:textId="77777777" w:rsidR="007E6534" w:rsidRPr="007C5A6E" w:rsidRDefault="007E6534" w:rsidP="007E6534">
      <w:pPr>
        <w:spacing w:after="0" w:line="240" w:lineRule="auto"/>
        <w:ind w:left="720"/>
        <w:contextualSpacing/>
        <w:jc w:val="both"/>
        <w:rPr>
          <w:rFonts w:ascii="Times New Roman" w:hAnsi="Times New Roman"/>
          <w:sz w:val="24"/>
          <w:szCs w:val="24"/>
        </w:rPr>
      </w:pPr>
    </w:p>
    <w:p w14:paraId="74CF5A1E" w14:textId="77777777" w:rsidR="007E6534" w:rsidRPr="007C5A6E" w:rsidRDefault="007E6534" w:rsidP="003F3821">
      <w:pPr>
        <w:numPr>
          <w:ilvl w:val="0"/>
          <w:numId w:val="41"/>
        </w:numPr>
        <w:spacing w:after="0" w:line="240" w:lineRule="auto"/>
        <w:ind w:left="357" w:hanging="357"/>
        <w:contextualSpacing/>
        <w:jc w:val="both"/>
        <w:rPr>
          <w:rFonts w:ascii="Times New Roman" w:hAnsi="Times New Roman"/>
          <w:b/>
          <w:sz w:val="24"/>
          <w:szCs w:val="24"/>
        </w:rPr>
      </w:pPr>
      <w:r w:rsidRPr="007C5A6E">
        <w:rPr>
          <w:rFonts w:ascii="Times New Roman" w:hAnsi="Times New Roman"/>
          <w:b/>
          <w:sz w:val="24"/>
          <w:szCs w:val="24"/>
        </w:rPr>
        <w:t>L’intégration régionale, sous régionale ainsi que la coopération transfrontalière</w:t>
      </w:r>
    </w:p>
    <w:p w14:paraId="01C8336D" w14:textId="77777777" w:rsidR="0066705C" w:rsidRPr="007C5A6E" w:rsidRDefault="0066705C" w:rsidP="0066705C">
      <w:pPr>
        <w:spacing w:after="0" w:line="240" w:lineRule="auto"/>
        <w:jc w:val="both"/>
        <w:rPr>
          <w:rFonts w:ascii="Times New Roman" w:hAnsi="Times New Roman"/>
          <w:sz w:val="24"/>
          <w:szCs w:val="24"/>
        </w:rPr>
      </w:pPr>
    </w:p>
    <w:p w14:paraId="51C13898" w14:textId="65A5071C" w:rsidR="007E6534" w:rsidRPr="007C5A6E" w:rsidRDefault="007E6534" w:rsidP="0066705C">
      <w:pPr>
        <w:spacing w:after="0" w:line="240" w:lineRule="auto"/>
        <w:jc w:val="both"/>
        <w:rPr>
          <w:rFonts w:ascii="Times New Roman" w:hAnsi="Times New Roman"/>
          <w:sz w:val="24"/>
          <w:szCs w:val="24"/>
        </w:rPr>
      </w:pPr>
      <w:r w:rsidRPr="007C5A6E">
        <w:rPr>
          <w:rFonts w:ascii="Times New Roman" w:hAnsi="Times New Roman"/>
          <w:sz w:val="24"/>
          <w:szCs w:val="24"/>
        </w:rPr>
        <w:t xml:space="preserve">A ce titre, le pays est signataire d’au moins 07 instruments régionaux africain et 12 au niveau régional (Tableau </w:t>
      </w:r>
      <w:r w:rsidR="0066705C" w:rsidRPr="007C5A6E">
        <w:rPr>
          <w:rFonts w:ascii="Times New Roman" w:hAnsi="Times New Roman"/>
          <w:sz w:val="24"/>
          <w:szCs w:val="24"/>
        </w:rPr>
        <w:t>5</w:t>
      </w:r>
      <w:r w:rsidR="00840134" w:rsidRPr="007C5A6E">
        <w:rPr>
          <w:rFonts w:ascii="Times New Roman" w:hAnsi="Times New Roman"/>
          <w:sz w:val="24"/>
          <w:szCs w:val="24"/>
        </w:rPr>
        <w:t>4</w:t>
      </w:r>
      <w:r w:rsidRPr="007C5A6E">
        <w:rPr>
          <w:rFonts w:ascii="Times New Roman" w:hAnsi="Times New Roman"/>
          <w:sz w:val="24"/>
          <w:szCs w:val="24"/>
        </w:rPr>
        <w:t>).</w:t>
      </w:r>
    </w:p>
    <w:p w14:paraId="7CA4F742" w14:textId="77777777" w:rsidR="007E6534" w:rsidRPr="007C5A6E" w:rsidRDefault="007E6534" w:rsidP="007E6534">
      <w:pPr>
        <w:spacing w:after="0" w:line="240" w:lineRule="auto"/>
        <w:ind w:left="720"/>
        <w:contextualSpacing/>
        <w:jc w:val="both"/>
        <w:rPr>
          <w:rFonts w:ascii="Times New Roman" w:hAnsi="Times New Roman"/>
          <w:sz w:val="24"/>
          <w:szCs w:val="24"/>
        </w:rPr>
      </w:pPr>
    </w:p>
    <w:p w14:paraId="5FAE8939" w14:textId="1F0BA7C9" w:rsidR="007E6534" w:rsidRPr="007C5A6E" w:rsidRDefault="0066705C" w:rsidP="0066705C">
      <w:pPr>
        <w:pStyle w:val="Lgende"/>
        <w:spacing w:after="0"/>
        <w:rPr>
          <w:rFonts w:ascii="Times New Roman" w:hAnsi="Times New Roman"/>
          <w:i w:val="0"/>
          <w:iCs w:val="0"/>
          <w:color w:val="auto"/>
          <w:sz w:val="24"/>
          <w:szCs w:val="24"/>
        </w:rPr>
      </w:pPr>
      <w:bookmarkStart w:id="1229" w:name="_Toc182575511"/>
      <w:bookmarkStart w:id="1230" w:name="_Toc183241016"/>
      <w:bookmarkStart w:id="1231" w:name="_Toc183292258"/>
      <w:bookmarkStart w:id="1232" w:name="_Toc183340538"/>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3162F8" w:rsidRPr="007C5A6E">
        <w:rPr>
          <w:rFonts w:ascii="Times New Roman" w:hAnsi="Times New Roman"/>
          <w:i w:val="0"/>
          <w:iCs w:val="0"/>
          <w:noProof/>
          <w:color w:val="auto"/>
          <w:sz w:val="24"/>
          <w:szCs w:val="24"/>
        </w:rPr>
        <w:t>54</w:t>
      </w:r>
      <w:r w:rsidRPr="007C5A6E">
        <w:rPr>
          <w:rFonts w:ascii="Times New Roman" w:hAnsi="Times New Roman"/>
          <w:i w:val="0"/>
          <w:iCs w:val="0"/>
          <w:color w:val="auto"/>
          <w:sz w:val="24"/>
          <w:szCs w:val="24"/>
        </w:rPr>
        <w:fldChar w:fldCharType="end"/>
      </w:r>
      <w:r w:rsidR="007E6534" w:rsidRPr="007C5A6E">
        <w:rPr>
          <w:rFonts w:ascii="Times New Roman" w:hAnsi="Times New Roman"/>
          <w:i w:val="0"/>
          <w:iCs w:val="0"/>
          <w:color w:val="auto"/>
          <w:sz w:val="24"/>
          <w:szCs w:val="24"/>
        </w:rPr>
        <w:t xml:space="preserve"> : Liste synthétique des instruments régionaux, sous régionaux et transfrontaliers africains de gestion de la diversité biologique</w:t>
      </w:r>
      <w:bookmarkEnd w:id="1229"/>
      <w:bookmarkEnd w:id="1230"/>
      <w:bookmarkEnd w:id="1231"/>
      <w:bookmarkEnd w:id="1232"/>
    </w:p>
    <w:p w14:paraId="5CFFB518" w14:textId="77777777" w:rsidR="0066705C" w:rsidRPr="007C5A6E" w:rsidRDefault="0066705C" w:rsidP="0066705C">
      <w:pPr>
        <w:spacing w:after="0" w:line="240" w:lineRule="auto"/>
      </w:pPr>
    </w:p>
    <w:tbl>
      <w:tblPr>
        <w:tblStyle w:val="Grilledutableau9"/>
        <w:tblW w:w="0" w:type="auto"/>
        <w:tblLook w:val="04A0" w:firstRow="1" w:lastRow="0" w:firstColumn="1" w:lastColumn="0" w:noHBand="0" w:noVBand="1"/>
      </w:tblPr>
      <w:tblGrid>
        <w:gridCol w:w="3114"/>
        <w:gridCol w:w="5948"/>
      </w:tblGrid>
      <w:tr w:rsidR="007E6534" w:rsidRPr="007C5A6E" w14:paraId="12114FDF" w14:textId="77777777" w:rsidTr="00637FDC">
        <w:tc>
          <w:tcPr>
            <w:tcW w:w="3114" w:type="dxa"/>
            <w:shd w:val="clear" w:color="auto" w:fill="002060"/>
          </w:tcPr>
          <w:p w14:paraId="45D33F6D" w14:textId="77777777" w:rsidR="007E6534" w:rsidRPr="007C5A6E" w:rsidRDefault="007E6534" w:rsidP="00637FDC">
            <w:pPr>
              <w:spacing w:after="0" w:line="240" w:lineRule="auto"/>
              <w:jc w:val="center"/>
              <w:rPr>
                <w:rFonts w:ascii="Times New Roman" w:hAnsi="Times New Roman"/>
              </w:rPr>
            </w:pPr>
            <w:r w:rsidRPr="007C5A6E">
              <w:rPr>
                <w:rFonts w:ascii="Times New Roman" w:hAnsi="Times New Roman"/>
                <w:b/>
              </w:rPr>
              <w:t>Niveau</w:t>
            </w:r>
          </w:p>
        </w:tc>
        <w:tc>
          <w:tcPr>
            <w:tcW w:w="5948" w:type="dxa"/>
            <w:shd w:val="clear" w:color="auto" w:fill="002060"/>
          </w:tcPr>
          <w:p w14:paraId="54350BC4" w14:textId="77777777" w:rsidR="007E6534" w:rsidRPr="007C5A6E" w:rsidRDefault="007E6534" w:rsidP="00637FDC">
            <w:pPr>
              <w:spacing w:after="0" w:line="240" w:lineRule="auto"/>
              <w:jc w:val="center"/>
              <w:rPr>
                <w:rFonts w:ascii="Times New Roman" w:hAnsi="Times New Roman"/>
              </w:rPr>
            </w:pPr>
            <w:r w:rsidRPr="007C5A6E">
              <w:rPr>
                <w:rFonts w:ascii="Times New Roman" w:hAnsi="Times New Roman"/>
                <w:b/>
              </w:rPr>
              <w:t>Titre de l’instrument</w:t>
            </w:r>
          </w:p>
        </w:tc>
      </w:tr>
      <w:tr w:rsidR="007E6534" w:rsidRPr="007C5A6E" w14:paraId="72288C4B" w14:textId="77777777" w:rsidTr="00F23EE9">
        <w:tc>
          <w:tcPr>
            <w:tcW w:w="3114" w:type="dxa"/>
          </w:tcPr>
          <w:p w14:paraId="3D31E68B"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Régional Africain</w:t>
            </w:r>
          </w:p>
        </w:tc>
        <w:tc>
          <w:tcPr>
            <w:tcW w:w="5948" w:type="dxa"/>
          </w:tcPr>
          <w:p w14:paraId="3E6635BE"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Convention africaine pour la conservation de la nature et des ressources naturelles (Convention d’Alger / Convention de Maputo)</w:t>
            </w:r>
          </w:p>
        </w:tc>
      </w:tr>
      <w:tr w:rsidR="007E6534" w:rsidRPr="007C5A6E" w14:paraId="328B024F" w14:textId="77777777" w:rsidTr="00F23EE9">
        <w:tc>
          <w:tcPr>
            <w:tcW w:w="3114" w:type="dxa"/>
          </w:tcPr>
          <w:p w14:paraId="189B0406"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Régional Africain</w:t>
            </w:r>
          </w:p>
        </w:tc>
        <w:tc>
          <w:tcPr>
            <w:tcW w:w="5948" w:type="dxa"/>
          </w:tcPr>
          <w:p w14:paraId="0DF60784"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Convention sur l’interdiction d’importer en Afrique des déchets dangereux et sur le contrôle de mouvements transfrontières</w:t>
            </w:r>
          </w:p>
        </w:tc>
      </w:tr>
      <w:tr w:rsidR="007E6534" w:rsidRPr="007C5A6E" w14:paraId="2F2F1099" w14:textId="77777777" w:rsidTr="00F23EE9">
        <w:tc>
          <w:tcPr>
            <w:tcW w:w="3114" w:type="dxa"/>
          </w:tcPr>
          <w:p w14:paraId="19E462C0"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Régional Africain</w:t>
            </w:r>
          </w:p>
        </w:tc>
        <w:tc>
          <w:tcPr>
            <w:tcW w:w="5948" w:type="dxa"/>
          </w:tcPr>
          <w:p w14:paraId="69AD0F41"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Conseil Phytosanitaire Interafricain de l’Union Africaine (CPI-UA)</w:t>
            </w:r>
          </w:p>
        </w:tc>
      </w:tr>
      <w:tr w:rsidR="007E6534" w:rsidRPr="007C5A6E" w14:paraId="1E50C07F" w14:textId="77777777" w:rsidTr="00F23EE9">
        <w:tc>
          <w:tcPr>
            <w:tcW w:w="3114" w:type="dxa"/>
          </w:tcPr>
          <w:p w14:paraId="3B9C8B35"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Régional Africain</w:t>
            </w:r>
          </w:p>
        </w:tc>
        <w:tc>
          <w:tcPr>
            <w:tcW w:w="5948" w:type="dxa"/>
          </w:tcPr>
          <w:p w14:paraId="7F9550FC"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Accord de Lusaka sur le commerce illicite de la faune et de la flore sauvages</w:t>
            </w:r>
          </w:p>
        </w:tc>
      </w:tr>
      <w:tr w:rsidR="007E6534" w:rsidRPr="007C5A6E" w14:paraId="1CA3D906" w14:textId="77777777" w:rsidTr="00F23EE9">
        <w:tc>
          <w:tcPr>
            <w:tcW w:w="3114" w:type="dxa"/>
          </w:tcPr>
          <w:p w14:paraId="1AF57FD0"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Régional Africain</w:t>
            </w:r>
          </w:p>
        </w:tc>
        <w:tc>
          <w:tcPr>
            <w:tcW w:w="5948" w:type="dxa"/>
          </w:tcPr>
          <w:p w14:paraId="57350077" w14:textId="77777777" w:rsidR="007E6534" w:rsidRPr="007C5A6E" w:rsidRDefault="007E6534" w:rsidP="007E6534">
            <w:pPr>
              <w:spacing w:after="0" w:line="240" w:lineRule="auto"/>
              <w:ind w:right="51"/>
              <w:rPr>
                <w:rFonts w:ascii="Times New Roman" w:hAnsi="Times New Roman"/>
                <w:sz w:val="21"/>
                <w:szCs w:val="21"/>
              </w:rPr>
            </w:pPr>
            <w:r w:rsidRPr="007C5A6E">
              <w:rPr>
                <w:rFonts w:ascii="Times New Roman" w:hAnsi="Times New Roman"/>
                <w:sz w:val="21"/>
                <w:szCs w:val="21"/>
              </w:rPr>
              <w:t xml:space="preserve">Loi modèle africaine pour la protection des droits des communautés locales, des agriculteurs et des obtenteurs et pour les règles d’accès aux ressources biologiques Lignes directrices stratégiques coordonnées de l’Union </w:t>
            </w:r>
          </w:p>
          <w:p w14:paraId="275FAE06"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Africaine sur la mise en œuvre du protocole de Nagoya</w:t>
            </w:r>
          </w:p>
        </w:tc>
      </w:tr>
      <w:tr w:rsidR="007E6534" w:rsidRPr="007C5A6E" w14:paraId="0356B33B" w14:textId="77777777" w:rsidTr="00F23EE9">
        <w:tc>
          <w:tcPr>
            <w:tcW w:w="3114" w:type="dxa"/>
          </w:tcPr>
          <w:p w14:paraId="54C98189"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CEDEAO/Sous Régional Africain</w:t>
            </w:r>
          </w:p>
        </w:tc>
        <w:tc>
          <w:tcPr>
            <w:tcW w:w="5948" w:type="dxa"/>
          </w:tcPr>
          <w:p w14:paraId="517B541D"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Règlement de la CEDEAO sur les semences,</w:t>
            </w:r>
          </w:p>
        </w:tc>
      </w:tr>
      <w:tr w:rsidR="007E6534" w:rsidRPr="007C5A6E" w14:paraId="6BF4A2F5" w14:textId="77777777" w:rsidTr="00F23EE9">
        <w:tc>
          <w:tcPr>
            <w:tcW w:w="3114" w:type="dxa"/>
          </w:tcPr>
          <w:p w14:paraId="302697FB"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UEMOA/ Sous Régional Africain</w:t>
            </w:r>
          </w:p>
        </w:tc>
        <w:tc>
          <w:tcPr>
            <w:tcW w:w="5948" w:type="dxa"/>
          </w:tcPr>
          <w:p w14:paraId="53A13ED7"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Règlement de l’UEMOA sur les semences</w:t>
            </w:r>
          </w:p>
        </w:tc>
      </w:tr>
      <w:tr w:rsidR="007E6534" w:rsidRPr="007C5A6E" w14:paraId="01F43102" w14:textId="77777777" w:rsidTr="00F23EE9">
        <w:tc>
          <w:tcPr>
            <w:tcW w:w="3114" w:type="dxa"/>
          </w:tcPr>
          <w:p w14:paraId="231C7D94"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CILSS/ Sous Régional Africain</w:t>
            </w:r>
          </w:p>
        </w:tc>
        <w:tc>
          <w:tcPr>
            <w:tcW w:w="5948" w:type="dxa"/>
          </w:tcPr>
          <w:p w14:paraId="170A51E3"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Traité relatif au Comité Inter-Etats de Lutte contre la Sécheresse au Sahel</w:t>
            </w:r>
          </w:p>
        </w:tc>
      </w:tr>
      <w:tr w:rsidR="007E6534" w:rsidRPr="007C5A6E" w14:paraId="6E6FC3F4" w14:textId="77777777" w:rsidTr="00F23EE9">
        <w:tc>
          <w:tcPr>
            <w:tcW w:w="3114" w:type="dxa"/>
          </w:tcPr>
          <w:p w14:paraId="1008CE68"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Gestion des ressources en eau des bassins frontaliers/Sous Régional Africain</w:t>
            </w:r>
          </w:p>
        </w:tc>
        <w:tc>
          <w:tcPr>
            <w:tcW w:w="5948" w:type="dxa"/>
          </w:tcPr>
          <w:p w14:paraId="3CE3137F"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Charte de l’Autorité du Bassin du Niger (Faranah 1980) Charte de l’Autorité du Bassin de la Volta (ABV)</w:t>
            </w:r>
          </w:p>
        </w:tc>
      </w:tr>
      <w:tr w:rsidR="007E6534" w:rsidRPr="007C5A6E" w14:paraId="54775AC4" w14:textId="77777777" w:rsidTr="00F23EE9">
        <w:tc>
          <w:tcPr>
            <w:tcW w:w="3114" w:type="dxa"/>
            <w:vMerge w:val="restart"/>
            <w:vAlign w:val="center"/>
          </w:tcPr>
          <w:p w14:paraId="50BD5928"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Ressources partagées/ Sous Régional Africain</w:t>
            </w:r>
          </w:p>
        </w:tc>
        <w:tc>
          <w:tcPr>
            <w:tcW w:w="5948" w:type="dxa"/>
          </w:tcPr>
          <w:p w14:paraId="0B123491"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Accord quadripartite de gestion du complexe W-</w:t>
            </w:r>
            <w:proofErr w:type="spellStart"/>
            <w:r w:rsidRPr="007C5A6E">
              <w:rPr>
                <w:rFonts w:ascii="Times New Roman" w:hAnsi="Times New Roman"/>
                <w:sz w:val="21"/>
                <w:szCs w:val="21"/>
              </w:rPr>
              <w:t>ArlyPendjari</w:t>
            </w:r>
            <w:proofErr w:type="spellEnd"/>
            <w:r w:rsidRPr="007C5A6E">
              <w:rPr>
                <w:rFonts w:ascii="Times New Roman" w:hAnsi="Times New Roman"/>
                <w:sz w:val="21"/>
                <w:szCs w:val="21"/>
              </w:rPr>
              <w:t>-Oti-</w:t>
            </w:r>
            <w:proofErr w:type="spellStart"/>
            <w:r w:rsidRPr="007C5A6E">
              <w:rPr>
                <w:rFonts w:ascii="Times New Roman" w:hAnsi="Times New Roman"/>
                <w:sz w:val="21"/>
                <w:szCs w:val="21"/>
              </w:rPr>
              <w:t>Kéran</w:t>
            </w:r>
            <w:proofErr w:type="spellEnd"/>
            <w:r w:rsidRPr="007C5A6E">
              <w:rPr>
                <w:rFonts w:ascii="Times New Roman" w:hAnsi="Times New Roman"/>
                <w:sz w:val="21"/>
                <w:szCs w:val="21"/>
              </w:rPr>
              <w:t xml:space="preserve"> </w:t>
            </w:r>
            <w:proofErr w:type="spellStart"/>
            <w:r w:rsidRPr="007C5A6E">
              <w:rPr>
                <w:rFonts w:ascii="Times New Roman" w:hAnsi="Times New Roman"/>
                <w:sz w:val="21"/>
                <w:szCs w:val="21"/>
              </w:rPr>
              <w:t>Mandouri</w:t>
            </w:r>
            <w:proofErr w:type="spellEnd"/>
          </w:p>
        </w:tc>
      </w:tr>
      <w:tr w:rsidR="007E6534" w:rsidRPr="007C5A6E" w14:paraId="3A1D55AF" w14:textId="77777777" w:rsidTr="00F23EE9">
        <w:tc>
          <w:tcPr>
            <w:tcW w:w="3114" w:type="dxa"/>
            <w:vMerge/>
          </w:tcPr>
          <w:p w14:paraId="01E204F9" w14:textId="77777777" w:rsidR="007E6534" w:rsidRPr="007C5A6E" w:rsidRDefault="007E6534" w:rsidP="007E6534">
            <w:pPr>
              <w:spacing w:after="0" w:line="240" w:lineRule="auto"/>
              <w:rPr>
                <w:rFonts w:ascii="Times New Roman" w:hAnsi="Times New Roman"/>
                <w:sz w:val="21"/>
                <w:szCs w:val="21"/>
              </w:rPr>
            </w:pPr>
          </w:p>
        </w:tc>
        <w:tc>
          <w:tcPr>
            <w:tcW w:w="5948" w:type="dxa"/>
          </w:tcPr>
          <w:p w14:paraId="56E569EC"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Accord relatif à la gestion concertée des ressources naturelles partagées Mali /Burkina Faso</w:t>
            </w:r>
          </w:p>
        </w:tc>
      </w:tr>
      <w:tr w:rsidR="007E6534" w:rsidRPr="007C5A6E" w14:paraId="29400C41" w14:textId="77777777" w:rsidTr="00F23EE9">
        <w:tc>
          <w:tcPr>
            <w:tcW w:w="3114" w:type="dxa"/>
            <w:vMerge/>
          </w:tcPr>
          <w:p w14:paraId="126CE7FA" w14:textId="77777777" w:rsidR="007E6534" w:rsidRPr="007C5A6E" w:rsidRDefault="007E6534" w:rsidP="007E6534">
            <w:pPr>
              <w:spacing w:after="0" w:line="240" w:lineRule="auto"/>
              <w:rPr>
                <w:rFonts w:ascii="Times New Roman" w:hAnsi="Times New Roman"/>
                <w:sz w:val="21"/>
                <w:szCs w:val="21"/>
              </w:rPr>
            </w:pPr>
          </w:p>
        </w:tc>
        <w:tc>
          <w:tcPr>
            <w:tcW w:w="5948" w:type="dxa"/>
          </w:tcPr>
          <w:p w14:paraId="770C2DA5"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Accord de coopération Burkina Faso/Ghana en matière de conservation des ressources naturelles partagées</w:t>
            </w:r>
          </w:p>
        </w:tc>
      </w:tr>
      <w:tr w:rsidR="007E6534" w:rsidRPr="007C5A6E" w14:paraId="75BB1A8E" w14:textId="77777777" w:rsidTr="00F23EE9">
        <w:tc>
          <w:tcPr>
            <w:tcW w:w="3114" w:type="dxa"/>
            <w:vMerge/>
          </w:tcPr>
          <w:p w14:paraId="1922D017" w14:textId="77777777" w:rsidR="007E6534" w:rsidRPr="007C5A6E" w:rsidRDefault="007E6534" w:rsidP="007E6534">
            <w:pPr>
              <w:spacing w:after="0" w:line="240" w:lineRule="auto"/>
              <w:rPr>
                <w:rFonts w:ascii="Times New Roman" w:hAnsi="Times New Roman"/>
                <w:sz w:val="21"/>
                <w:szCs w:val="21"/>
              </w:rPr>
            </w:pPr>
          </w:p>
        </w:tc>
        <w:tc>
          <w:tcPr>
            <w:tcW w:w="5948" w:type="dxa"/>
          </w:tcPr>
          <w:p w14:paraId="6795B7DA"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Accord de lutte contre le braconnage Benin/Burkina Faso</w:t>
            </w:r>
          </w:p>
        </w:tc>
      </w:tr>
      <w:tr w:rsidR="007E6534" w:rsidRPr="007C5A6E" w14:paraId="3DCD2B8E" w14:textId="77777777" w:rsidTr="00F23EE9">
        <w:tc>
          <w:tcPr>
            <w:tcW w:w="3114" w:type="dxa"/>
            <w:vMerge/>
          </w:tcPr>
          <w:p w14:paraId="25F6BD29" w14:textId="77777777" w:rsidR="007E6534" w:rsidRPr="007C5A6E" w:rsidRDefault="007E6534" w:rsidP="007E6534">
            <w:pPr>
              <w:spacing w:after="0" w:line="240" w:lineRule="auto"/>
              <w:rPr>
                <w:rFonts w:ascii="Times New Roman" w:hAnsi="Times New Roman"/>
                <w:sz w:val="21"/>
                <w:szCs w:val="21"/>
              </w:rPr>
            </w:pPr>
          </w:p>
        </w:tc>
        <w:tc>
          <w:tcPr>
            <w:tcW w:w="5948" w:type="dxa"/>
          </w:tcPr>
          <w:p w14:paraId="05C3A63D"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Accords de coopération dans le domaine des ressources forestières et fauniques et en matière de gestion intégrée des ressources en eau et des zones humides Côte d’ivoire/ Burkina Faso</w:t>
            </w:r>
          </w:p>
        </w:tc>
      </w:tr>
    </w:tbl>
    <w:p w14:paraId="030CC5AD" w14:textId="77777777" w:rsidR="007E6534" w:rsidRPr="007C5A6E" w:rsidRDefault="007E6534" w:rsidP="007E6534">
      <w:pPr>
        <w:spacing w:after="0" w:line="240" w:lineRule="auto"/>
        <w:jc w:val="both"/>
        <w:rPr>
          <w:rFonts w:ascii="Times New Roman" w:hAnsi="Times New Roman"/>
          <w:sz w:val="20"/>
          <w:szCs w:val="20"/>
        </w:rPr>
      </w:pPr>
      <w:r w:rsidRPr="007C5A6E">
        <w:rPr>
          <w:rFonts w:ascii="Times New Roman" w:hAnsi="Times New Roman"/>
          <w:sz w:val="20"/>
          <w:szCs w:val="20"/>
        </w:rPr>
        <w:t>Source : MEEVCC, 2020</w:t>
      </w:r>
    </w:p>
    <w:p w14:paraId="1C081E38" w14:textId="77777777" w:rsidR="007E6534" w:rsidRPr="007C5A6E" w:rsidRDefault="007E6534" w:rsidP="007E6534">
      <w:pPr>
        <w:spacing w:after="0" w:line="240" w:lineRule="auto"/>
        <w:jc w:val="both"/>
        <w:rPr>
          <w:rFonts w:ascii="Times New Roman" w:hAnsi="Times New Roman"/>
          <w:sz w:val="24"/>
          <w:szCs w:val="24"/>
        </w:rPr>
      </w:pPr>
    </w:p>
    <w:p w14:paraId="7E7C0FCD" w14:textId="77777777" w:rsidR="007E6534" w:rsidRPr="007C5A6E" w:rsidRDefault="007E6534" w:rsidP="003F3821">
      <w:pPr>
        <w:numPr>
          <w:ilvl w:val="0"/>
          <w:numId w:val="41"/>
        </w:numPr>
        <w:spacing w:after="0" w:line="240" w:lineRule="auto"/>
        <w:ind w:left="357" w:hanging="357"/>
        <w:contextualSpacing/>
        <w:jc w:val="both"/>
        <w:rPr>
          <w:rFonts w:ascii="Times New Roman" w:hAnsi="Times New Roman"/>
          <w:b/>
          <w:sz w:val="24"/>
          <w:szCs w:val="24"/>
        </w:rPr>
      </w:pPr>
      <w:r w:rsidRPr="007C5A6E">
        <w:rPr>
          <w:rFonts w:ascii="Times New Roman" w:hAnsi="Times New Roman"/>
          <w:b/>
          <w:sz w:val="24"/>
          <w:szCs w:val="24"/>
        </w:rPr>
        <w:t xml:space="preserve">Le développement d’un cadre juridique et règlementaire national favorable à la diversité biologique à travers les lois globales </w:t>
      </w:r>
    </w:p>
    <w:p w14:paraId="26885268" w14:textId="77777777" w:rsidR="0066705C" w:rsidRPr="007C5A6E" w:rsidRDefault="0066705C" w:rsidP="0066705C">
      <w:pPr>
        <w:spacing w:after="0" w:line="240" w:lineRule="auto"/>
        <w:jc w:val="both"/>
        <w:rPr>
          <w:rFonts w:ascii="Times New Roman" w:hAnsi="Times New Roman"/>
          <w:sz w:val="24"/>
          <w:szCs w:val="24"/>
        </w:rPr>
      </w:pPr>
    </w:p>
    <w:p w14:paraId="78772AEC" w14:textId="3602DA95" w:rsidR="007E6534" w:rsidRPr="007C5A6E" w:rsidRDefault="007E6534" w:rsidP="0066705C">
      <w:pPr>
        <w:spacing w:after="0" w:line="240" w:lineRule="auto"/>
        <w:jc w:val="both"/>
        <w:rPr>
          <w:rFonts w:ascii="Times New Roman" w:hAnsi="Times New Roman"/>
          <w:sz w:val="24"/>
          <w:szCs w:val="24"/>
        </w:rPr>
      </w:pPr>
      <w:r w:rsidRPr="007C5A6E">
        <w:rPr>
          <w:rFonts w:ascii="Times New Roman" w:hAnsi="Times New Roman"/>
          <w:sz w:val="24"/>
          <w:szCs w:val="24"/>
        </w:rPr>
        <w:t xml:space="preserve">A ce niveau, nous avons : (i) la constitution du Burkina Faso qui fait la promotion des actions indispensables à la conservation de l’environnement et des ressources naturelles; (ii) le code de l’environnement qui a pour objet de prescrire les actions nécessaires à la gestion de l’environnement, notamment la protection des éléments physiques, chimiques, biologiques, les êtres vivants et la diversité biologique contre les atteintes nuisibles, incommodes et néfastes; (iii) le Code forestier; (iv) le Code minier; (v) la Réorganisation Agraire et Foncière (RAF); (vi) la loi d’orientation sur le développement durable qui, elle, promeut les comportements et les pratiques favorables aux équilibres environnementaux; A ces lois globales s’ajoutent dix-neuf (19) lois sectorielles ainsi qu’une vingtaine de règlements pertinents. </w:t>
      </w:r>
    </w:p>
    <w:p w14:paraId="0EB69EE4" w14:textId="77777777" w:rsidR="007E6534" w:rsidRPr="007C5A6E" w:rsidRDefault="007E6534" w:rsidP="007E6534">
      <w:pPr>
        <w:spacing w:after="0" w:line="240" w:lineRule="auto"/>
        <w:jc w:val="both"/>
        <w:rPr>
          <w:rFonts w:ascii="Times New Roman" w:hAnsi="Times New Roman"/>
          <w:sz w:val="24"/>
          <w:szCs w:val="24"/>
        </w:rPr>
      </w:pPr>
    </w:p>
    <w:p w14:paraId="0EFA4DC0" w14:textId="77777777" w:rsidR="007E6534" w:rsidRPr="007C5A6E" w:rsidRDefault="007E6534" w:rsidP="003F3821">
      <w:pPr>
        <w:numPr>
          <w:ilvl w:val="0"/>
          <w:numId w:val="41"/>
        </w:numPr>
        <w:spacing w:after="0" w:line="240" w:lineRule="auto"/>
        <w:ind w:left="357" w:hanging="357"/>
        <w:contextualSpacing/>
        <w:jc w:val="both"/>
        <w:rPr>
          <w:rFonts w:ascii="Times New Roman" w:hAnsi="Times New Roman"/>
          <w:b/>
          <w:sz w:val="24"/>
          <w:szCs w:val="24"/>
        </w:rPr>
      </w:pPr>
      <w:r w:rsidRPr="007C5A6E">
        <w:rPr>
          <w:rFonts w:ascii="Times New Roman" w:hAnsi="Times New Roman"/>
          <w:b/>
          <w:sz w:val="24"/>
          <w:szCs w:val="24"/>
        </w:rPr>
        <w:t xml:space="preserve">Des politiques, stratégies et plans nationaux d’orientation sectorielle qui orientent les activités de conservation et d’utilisation durable de la diversité biologique au Burkina Faso. </w:t>
      </w:r>
    </w:p>
    <w:p w14:paraId="338565B7" w14:textId="77777777" w:rsidR="007E6534" w:rsidRPr="007C5A6E" w:rsidRDefault="007E6534" w:rsidP="007E6534">
      <w:pPr>
        <w:spacing w:after="0" w:line="240" w:lineRule="auto"/>
        <w:ind w:left="708"/>
        <w:jc w:val="both"/>
        <w:rPr>
          <w:rFonts w:ascii="Times New Roman" w:hAnsi="Times New Roman"/>
          <w:sz w:val="24"/>
          <w:szCs w:val="24"/>
        </w:rPr>
      </w:pPr>
    </w:p>
    <w:p w14:paraId="1F9BE258" w14:textId="77777777" w:rsidR="007E6534" w:rsidRPr="007C5A6E" w:rsidRDefault="007E6534" w:rsidP="0066705C">
      <w:pPr>
        <w:spacing w:after="0" w:line="240" w:lineRule="auto"/>
        <w:jc w:val="both"/>
        <w:rPr>
          <w:rFonts w:ascii="Times New Roman" w:hAnsi="Times New Roman"/>
          <w:sz w:val="24"/>
          <w:szCs w:val="24"/>
        </w:rPr>
      </w:pPr>
      <w:r w:rsidRPr="007C5A6E">
        <w:rPr>
          <w:rFonts w:ascii="Times New Roman" w:hAnsi="Times New Roman"/>
          <w:sz w:val="24"/>
          <w:szCs w:val="24"/>
        </w:rPr>
        <w:t xml:space="preserve">Au nombre de ces outils, on peut citer : - la Politique Nationale de Développement Durable (PNDD); - la Politique Nationale Forestière (PNF) ; - la Politique Nationale Zones Humides (PNZH); - la Politique de Développement Durable de l’Elevage au Burkina Faso 2010-2020; </w:t>
      </w:r>
      <w:r w:rsidRPr="007C5A6E">
        <w:rPr>
          <w:rFonts w:ascii="Times New Roman" w:eastAsia="Calibri" w:hAnsi="Times New Roman"/>
          <w:bCs/>
          <w:sz w:val="24"/>
          <w:szCs w:val="24"/>
        </w:rPr>
        <w:t>la Politique sectorielle « Production agro-</w:t>
      </w:r>
      <w:proofErr w:type="spellStart"/>
      <w:r w:rsidRPr="007C5A6E">
        <w:rPr>
          <w:rFonts w:ascii="Times New Roman" w:eastAsia="Calibri" w:hAnsi="Times New Roman"/>
          <w:bCs/>
          <w:sz w:val="24"/>
          <w:szCs w:val="24"/>
        </w:rPr>
        <w:t>sylvo</w:t>
      </w:r>
      <w:proofErr w:type="spellEnd"/>
      <w:r w:rsidRPr="007C5A6E">
        <w:rPr>
          <w:rFonts w:ascii="Times New Roman" w:eastAsia="Calibri" w:hAnsi="Times New Roman"/>
          <w:bCs/>
          <w:sz w:val="24"/>
          <w:szCs w:val="24"/>
        </w:rPr>
        <w:t>-pastorale » (PS-PASP) 2018-2027;</w:t>
      </w:r>
      <w:r w:rsidRPr="007C5A6E">
        <w:rPr>
          <w:rFonts w:ascii="Times New Roman" w:hAnsi="Times New Roman"/>
          <w:sz w:val="24"/>
          <w:szCs w:val="24"/>
        </w:rPr>
        <w:t xml:space="preserve"> - le Programme National du Secteur Rural (PNSR) dont la seconde phase est fixée pour la période 2016-2020; - le Plan National de Développement Economique et Social (PNDES); - la Stratégie Nationale en matière d’Environnement (SNE) - la Stratégie Nationale (2001-2025) et le Plan d’action (2001-2005) en matière de diversité biologique (SPANB); - la Stratégie Nationale et le Plan d’action en matière de diversité biologique (SPANB) 2025-2029 alignés au Cadre Mondial de Kunming-Montréal en cours; - la Stratégie nationale de promotion et de valorisation des produits forestiers non ligneux (SNPVPFNL); - La Stratégie nationale de développement des filières agricoles (SDFA); </w:t>
      </w:r>
      <w:r w:rsidRPr="007C5A6E">
        <w:rPr>
          <w:rFonts w:ascii="Times New Roman" w:eastAsia="Calibri" w:hAnsi="Times New Roman"/>
          <w:bCs/>
          <w:sz w:val="24"/>
          <w:szCs w:val="24"/>
          <w:shd w:val="clear" w:color="auto" w:fill="FFFFFF"/>
        </w:rPr>
        <w:t>la Stratégie nationale de création des écovillages 2018-2027 ;</w:t>
      </w:r>
      <w:r w:rsidRPr="007C5A6E">
        <w:rPr>
          <w:rFonts w:ascii="Times New Roman" w:hAnsi="Times New Roman"/>
          <w:sz w:val="24"/>
          <w:szCs w:val="24"/>
        </w:rPr>
        <w:t xml:space="preserve"> la stratégie nationale de développement de l’agroécologie(SND-AE) 2022-2026; - Plan d’action national 2011-2025 du Burkina Faso pour la mise en œuvre de la convention sur la diversité biologique; - Le guide d’intégration de la diversité biologique dans les évaluations environnementales.</w:t>
      </w:r>
    </w:p>
    <w:p w14:paraId="3A46FAAC" w14:textId="77777777" w:rsidR="007E6534" w:rsidRPr="007C5A6E" w:rsidRDefault="007E6534" w:rsidP="007E6534">
      <w:pPr>
        <w:spacing w:after="0" w:line="240" w:lineRule="auto"/>
        <w:jc w:val="both"/>
        <w:rPr>
          <w:rFonts w:ascii="Times New Roman" w:hAnsi="Times New Roman"/>
          <w:sz w:val="24"/>
          <w:szCs w:val="24"/>
        </w:rPr>
      </w:pPr>
    </w:p>
    <w:p w14:paraId="500B74DF" w14:textId="5A41EC08" w:rsidR="007E6534" w:rsidRPr="007C5A6E" w:rsidRDefault="007E6534" w:rsidP="00637FDC">
      <w:pPr>
        <w:spacing w:after="0" w:line="240" w:lineRule="auto"/>
        <w:jc w:val="both"/>
        <w:rPr>
          <w:rFonts w:ascii="Times New Roman" w:hAnsi="Times New Roman"/>
          <w:sz w:val="24"/>
          <w:szCs w:val="24"/>
        </w:rPr>
      </w:pPr>
      <w:r w:rsidRPr="007C5A6E">
        <w:rPr>
          <w:rFonts w:ascii="Times New Roman" w:hAnsi="Times New Roman"/>
          <w:sz w:val="24"/>
          <w:szCs w:val="24"/>
        </w:rPr>
        <w:t xml:space="preserve">Certains projets et programmes, répertoriés dans les ministères du développement rural à savoir l’environnement, l’eau, l’agriculture, la pêche et l’élevage influencent la gestion durable de la diversité biologique (Tableau </w:t>
      </w:r>
      <w:r w:rsidR="00637FDC" w:rsidRPr="007C5A6E">
        <w:rPr>
          <w:rFonts w:ascii="Times New Roman" w:hAnsi="Times New Roman"/>
          <w:sz w:val="24"/>
          <w:szCs w:val="24"/>
        </w:rPr>
        <w:t>5</w:t>
      </w:r>
      <w:r w:rsidR="00840134" w:rsidRPr="007C5A6E">
        <w:rPr>
          <w:rFonts w:ascii="Times New Roman" w:hAnsi="Times New Roman"/>
          <w:sz w:val="24"/>
          <w:szCs w:val="24"/>
        </w:rPr>
        <w:t>5</w:t>
      </w:r>
      <w:r w:rsidRPr="007C5A6E">
        <w:rPr>
          <w:rFonts w:ascii="Times New Roman" w:hAnsi="Times New Roman"/>
          <w:sz w:val="24"/>
          <w:szCs w:val="24"/>
        </w:rPr>
        <w:t xml:space="preserve">). </w:t>
      </w:r>
    </w:p>
    <w:p w14:paraId="628F676D" w14:textId="77777777" w:rsidR="007E6534" w:rsidRPr="007C5A6E" w:rsidRDefault="007E6534" w:rsidP="007E6534">
      <w:pPr>
        <w:spacing w:after="0" w:line="240" w:lineRule="auto"/>
        <w:jc w:val="both"/>
        <w:rPr>
          <w:rFonts w:ascii="Times New Roman" w:hAnsi="Times New Roman"/>
          <w:sz w:val="24"/>
          <w:szCs w:val="24"/>
        </w:rPr>
      </w:pPr>
    </w:p>
    <w:p w14:paraId="327FA753" w14:textId="57EC8925" w:rsidR="007E6534" w:rsidRPr="007C5A6E" w:rsidRDefault="00637FDC" w:rsidP="00637FDC">
      <w:pPr>
        <w:pStyle w:val="Lgende"/>
        <w:spacing w:after="0"/>
        <w:rPr>
          <w:rFonts w:ascii="Times New Roman" w:hAnsi="Times New Roman"/>
          <w:i w:val="0"/>
          <w:iCs w:val="0"/>
          <w:color w:val="auto"/>
          <w:sz w:val="24"/>
          <w:szCs w:val="24"/>
        </w:rPr>
      </w:pPr>
      <w:bookmarkStart w:id="1233" w:name="_Toc182575512"/>
      <w:bookmarkStart w:id="1234" w:name="_Toc183241017"/>
      <w:bookmarkStart w:id="1235" w:name="_Toc183292259"/>
      <w:bookmarkStart w:id="1236" w:name="_Toc183340539"/>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3162F8" w:rsidRPr="007C5A6E">
        <w:rPr>
          <w:rFonts w:ascii="Times New Roman" w:hAnsi="Times New Roman"/>
          <w:i w:val="0"/>
          <w:iCs w:val="0"/>
          <w:noProof/>
          <w:color w:val="auto"/>
          <w:sz w:val="24"/>
          <w:szCs w:val="24"/>
        </w:rPr>
        <w:t>55</w:t>
      </w:r>
      <w:r w:rsidRPr="007C5A6E">
        <w:rPr>
          <w:rFonts w:ascii="Times New Roman" w:hAnsi="Times New Roman"/>
          <w:i w:val="0"/>
          <w:iCs w:val="0"/>
          <w:color w:val="auto"/>
          <w:sz w:val="24"/>
          <w:szCs w:val="24"/>
        </w:rPr>
        <w:fldChar w:fldCharType="end"/>
      </w:r>
      <w:r w:rsidR="007E6534" w:rsidRPr="007C5A6E">
        <w:rPr>
          <w:rFonts w:ascii="Times New Roman" w:hAnsi="Times New Roman"/>
          <w:i w:val="0"/>
          <w:iCs w:val="0"/>
          <w:color w:val="auto"/>
          <w:sz w:val="24"/>
          <w:szCs w:val="24"/>
        </w:rPr>
        <w:t xml:space="preserve"> : Liste de quelques projets et programmes majeurs en lien avec la diversité biologique au Burkina Faso</w:t>
      </w:r>
      <w:bookmarkEnd w:id="1233"/>
      <w:bookmarkEnd w:id="1234"/>
      <w:bookmarkEnd w:id="1235"/>
      <w:bookmarkEnd w:id="1236"/>
    </w:p>
    <w:p w14:paraId="22D20A33" w14:textId="77777777" w:rsidR="00637FDC" w:rsidRPr="007C5A6E" w:rsidRDefault="00637FDC" w:rsidP="00637FDC">
      <w:pPr>
        <w:spacing w:after="0" w:line="240" w:lineRule="auto"/>
      </w:pPr>
    </w:p>
    <w:tbl>
      <w:tblPr>
        <w:tblStyle w:val="Grilledutableau9"/>
        <w:tblW w:w="0" w:type="auto"/>
        <w:tblLook w:val="04A0" w:firstRow="1" w:lastRow="0" w:firstColumn="1" w:lastColumn="0" w:noHBand="0" w:noVBand="1"/>
      </w:tblPr>
      <w:tblGrid>
        <w:gridCol w:w="6374"/>
        <w:gridCol w:w="2688"/>
      </w:tblGrid>
      <w:tr w:rsidR="007E6534" w:rsidRPr="007C5A6E" w14:paraId="44E8A2AA" w14:textId="77777777" w:rsidTr="00637FDC">
        <w:tc>
          <w:tcPr>
            <w:tcW w:w="6374" w:type="dxa"/>
            <w:shd w:val="clear" w:color="auto" w:fill="002060"/>
          </w:tcPr>
          <w:p w14:paraId="6642F61D" w14:textId="77777777" w:rsidR="007E6534" w:rsidRPr="007C5A6E" w:rsidRDefault="007E6534" w:rsidP="007E6534">
            <w:pPr>
              <w:spacing w:after="0" w:line="240" w:lineRule="auto"/>
              <w:rPr>
                <w:rFonts w:ascii="Times New Roman" w:hAnsi="Times New Roman"/>
                <w:b/>
              </w:rPr>
            </w:pPr>
            <w:r w:rsidRPr="007C5A6E">
              <w:rPr>
                <w:rFonts w:ascii="Times New Roman" w:hAnsi="Times New Roman"/>
                <w:b/>
              </w:rPr>
              <w:t>Projet/programme</w:t>
            </w:r>
          </w:p>
        </w:tc>
        <w:tc>
          <w:tcPr>
            <w:tcW w:w="2688" w:type="dxa"/>
            <w:shd w:val="clear" w:color="auto" w:fill="002060"/>
          </w:tcPr>
          <w:p w14:paraId="31E8A402" w14:textId="77777777" w:rsidR="007E6534" w:rsidRPr="007C5A6E" w:rsidRDefault="007E6534" w:rsidP="007E6534">
            <w:pPr>
              <w:spacing w:after="0" w:line="240" w:lineRule="auto"/>
              <w:rPr>
                <w:rFonts w:ascii="Times New Roman" w:hAnsi="Times New Roman"/>
                <w:b/>
              </w:rPr>
            </w:pPr>
            <w:r w:rsidRPr="007C5A6E">
              <w:rPr>
                <w:rFonts w:ascii="Times New Roman" w:hAnsi="Times New Roman"/>
                <w:b/>
              </w:rPr>
              <w:t>Ministère de tutelle</w:t>
            </w:r>
          </w:p>
        </w:tc>
      </w:tr>
      <w:tr w:rsidR="007E6534" w:rsidRPr="007C5A6E" w14:paraId="75E537BF" w14:textId="77777777" w:rsidTr="00F23EE9">
        <w:tc>
          <w:tcPr>
            <w:tcW w:w="6374" w:type="dxa"/>
          </w:tcPr>
          <w:p w14:paraId="2BB5279B"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Initiative de la Grande Muraille Verte pour le Sahara/Programme de Renforcement des capacités (IGMVSS)</w:t>
            </w:r>
          </w:p>
        </w:tc>
        <w:tc>
          <w:tcPr>
            <w:tcW w:w="2688" w:type="dxa"/>
          </w:tcPr>
          <w:p w14:paraId="5FBD2299"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Environnement</w:t>
            </w:r>
          </w:p>
        </w:tc>
      </w:tr>
      <w:tr w:rsidR="007E6534" w:rsidRPr="007C5A6E" w14:paraId="189C9F36" w14:textId="77777777" w:rsidTr="00F23EE9">
        <w:tc>
          <w:tcPr>
            <w:tcW w:w="6374" w:type="dxa"/>
          </w:tcPr>
          <w:p w14:paraId="7598975D"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Projet de Gestion Décentralisée des Forêts et Espaces Boisés (PGDFEB)</w:t>
            </w:r>
          </w:p>
        </w:tc>
        <w:tc>
          <w:tcPr>
            <w:tcW w:w="2688" w:type="dxa"/>
          </w:tcPr>
          <w:p w14:paraId="79F3CA16"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Environnement</w:t>
            </w:r>
          </w:p>
        </w:tc>
      </w:tr>
      <w:tr w:rsidR="007E6534" w:rsidRPr="007C5A6E" w14:paraId="7F3173E9" w14:textId="77777777" w:rsidTr="00F23EE9">
        <w:tc>
          <w:tcPr>
            <w:tcW w:w="6374" w:type="dxa"/>
          </w:tcPr>
          <w:p w14:paraId="4B949FC7"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Projet de Gestion durable des Paysages Communaux pour la REDD+ (</w:t>
            </w:r>
            <w:r w:rsidRPr="007C5A6E">
              <w:rPr>
                <w:rFonts w:ascii="Times New Roman" w:hAnsi="Times New Roman"/>
                <w:i/>
                <w:iCs/>
                <w:sz w:val="21"/>
                <w:szCs w:val="21"/>
              </w:rPr>
              <w:t>PGPC</w:t>
            </w:r>
            <w:r w:rsidRPr="007C5A6E">
              <w:rPr>
                <w:rFonts w:ascii="Times New Roman" w:hAnsi="Times New Roman"/>
                <w:i/>
                <w:sz w:val="21"/>
                <w:szCs w:val="21"/>
              </w:rPr>
              <w:t>/</w:t>
            </w:r>
            <w:r w:rsidRPr="007C5A6E">
              <w:rPr>
                <w:rFonts w:ascii="Times New Roman" w:hAnsi="Times New Roman"/>
                <w:i/>
                <w:iCs/>
                <w:sz w:val="21"/>
                <w:szCs w:val="21"/>
              </w:rPr>
              <w:t>REDD</w:t>
            </w:r>
            <w:r w:rsidRPr="007C5A6E">
              <w:rPr>
                <w:rFonts w:ascii="Times New Roman" w:hAnsi="Times New Roman"/>
                <w:i/>
                <w:sz w:val="21"/>
                <w:szCs w:val="21"/>
              </w:rPr>
              <w:t>+</w:t>
            </w:r>
            <w:r w:rsidRPr="007C5A6E">
              <w:rPr>
                <w:rFonts w:ascii="Times New Roman" w:hAnsi="Times New Roman"/>
                <w:sz w:val="21"/>
                <w:szCs w:val="21"/>
              </w:rPr>
              <w:t>)</w:t>
            </w:r>
          </w:p>
        </w:tc>
        <w:tc>
          <w:tcPr>
            <w:tcW w:w="2688" w:type="dxa"/>
          </w:tcPr>
          <w:p w14:paraId="1FC261DF"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Environnement</w:t>
            </w:r>
          </w:p>
        </w:tc>
      </w:tr>
      <w:tr w:rsidR="007E6534" w:rsidRPr="007C5A6E" w14:paraId="58D2CF24" w14:textId="77777777" w:rsidTr="00F23EE9">
        <w:tc>
          <w:tcPr>
            <w:tcW w:w="6374" w:type="dxa"/>
          </w:tcPr>
          <w:p w14:paraId="2738B1EC"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Programme d’appui au sous-secteur forestier du Burkina Faso (PASF)</w:t>
            </w:r>
          </w:p>
        </w:tc>
        <w:tc>
          <w:tcPr>
            <w:tcW w:w="2688" w:type="dxa"/>
          </w:tcPr>
          <w:p w14:paraId="450E8360"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Environnement</w:t>
            </w:r>
          </w:p>
        </w:tc>
      </w:tr>
      <w:tr w:rsidR="007E6534" w:rsidRPr="007C5A6E" w14:paraId="125839CF" w14:textId="77777777" w:rsidTr="00F23EE9">
        <w:tc>
          <w:tcPr>
            <w:tcW w:w="6374" w:type="dxa"/>
          </w:tcPr>
          <w:p w14:paraId="2A618D0B"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Programme d’Investissement Forestier (PIF)</w:t>
            </w:r>
          </w:p>
        </w:tc>
        <w:tc>
          <w:tcPr>
            <w:tcW w:w="2688" w:type="dxa"/>
          </w:tcPr>
          <w:p w14:paraId="7B6CA739"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Environnement</w:t>
            </w:r>
          </w:p>
        </w:tc>
      </w:tr>
      <w:tr w:rsidR="007E6534" w:rsidRPr="007C5A6E" w14:paraId="10D60597" w14:textId="77777777" w:rsidTr="00F23EE9">
        <w:tc>
          <w:tcPr>
            <w:tcW w:w="6374" w:type="dxa"/>
          </w:tcPr>
          <w:p w14:paraId="5DAE76AA"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Projet de Gestion de zone tampon d’aires protégées au Burkina Faso</w:t>
            </w:r>
          </w:p>
        </w:tc>
        <w:tc>
          <w:tcPr>
            <w:tcW w:w="2688" w:type="dxa"/>
          </w:tcPr>
          <w:p w14:paraId="090B4801"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Environnement</w:t>
            </w:r>
          </w:p>
        </w:tc>
      </w:tr>
      <w:tr w:rsidR="007E6534" w:rsidRPr="007C5A6E" w14:paraId="18E7E704" w14:textId="77777777" w:rsidTr="00F23EE9">
        <w:tc>
          <w:tcPr>
            <w:tcW w:w="6374" w:type="dxa"/>
          </w:tcPr>
          <w:p w14:paraId="7DA1204F"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Deuxième Programme National de Gestion des Terroirs Phase III (PNGT2- 3)</w:t>
            </w:r>
          </w:p>
        </w:tc>
        <w:tc>
          <w:tcPr>
            <w:tcW w:w="2688" w:type="dxa"/>
          </w:tcPr>
          <w:p w14:paraId="29616838"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 xml:space="preserve">Agriculture </w:t>
            </w:r>
          </w:p>
        </w:tc>
      </w:tr>
      <w:tr w:rsidR="007E6534" w:rsidRPr="007C5A6E" w14:paraId="0844BE2C" w14:textId="77777777" w:rsidTr="00F23EE9">
        <w:tc>
          <w:tcPr>
            <w:tcW w:w="6374" w:type="dxa"/>
          </w:tcPr>
          <w:p w14:paraId="1396408C"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Projet d’amélioration de la productivité agricole et de la sécurité alimentaire (PAPSA)</w:t>
            </w:r>
          </w:p>
        </w:tc>
        <w:tc>
          <w:tcPr>
            <w:tcW w:w="2688" w:type="dxa"/>
          </w:tcPr>
          <w:p w14:paraId="06370844"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 xml:space="preserve">Agriculture </w:t>
            </w:r>
          </w:p>
        </w:tc>
      </w:tr>
      <w:tr w:rsidR="007E6534" w:rsidRPr="007C5A6E" w14:paraId="48349295" w14:textId="77777777" w:rsidTr="00F23EE9">
        <w:tc>
          <w:tcPr>
            <w:tcW w:w="6374" w:type="dxa"/>
          </w:tcPr>
          <w:p w14:paraId="50404A91"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 xml:space="preserve">Projet d’Amélioration de l’Elevage du Zébu </w:t>
            </w:r>
            <w:proofErr w:type="spellStart"/>
            <w:r w:rsidRPr="007C5A6E">
              <w:rPr>
                <w:rFonts w:ascii="Times New Roman" w:hAnsi="Times New Roman"/>
                <w:sz w:val="21"/>
                <w:szCs w:val="21"/>
              </w:rPr>
              <w:t>Azawak</w:t>
            </w:r>
            <w:proofErr w:type="spellEnd"/>
            <w:r w:rsidRPr="007C5A6E">
              <w:rPr>
                <w:rFonts w:ascii="Times New Roman" w:hAnsi="Times New Roman"/>
                <w:sz w:val="21"/>
                <w:szCs w:val="21"/>
              </w:rPr>
              <w:t xml:space="preserve"> et Gestion durable des Ressources pastorales</w:t>
            </w:r>
          </w:p>
        </w:tc>
        <w:tc>
          <w:tcPr>
            <w:tcW w:w="2688" w:type="dxa"/>
          </w:tcPr>
          <w:p w14:paraId="4D797970"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Ressources animales</w:t>
            </w:r>
          </w:p>
        </w:tc>
      </w:tr>
      <w:tr w:rsidR="007E6534" w:rsidRPr="007C5A6E" w14:paraId="342DFBDB" w14:textId="77777777" w:rsidTr="00F23EE9">
        <w:tc>
          <w:tcPr>
            <w:tcW w:w="6374" w:type="dxa"/>
          </w:tcPr>
          <w:p w14:paraId="23E83041"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 xml:space="preserve">Projet « campagne panafricaine d’éradication de la mouche </w:t>
            </w:r>
            <w:proofErr w:type="spellStart"/>
            <w:r w:rsidRPr="007C5A6E">
              <w:rPr>
                <w:rFonts w:ascii="Times New Roman" w:hAnsi="Times New Roman"/>
                <w:sz w:val="21"/>
                <w:szCs w:val="21"/>
              </w:rPr>
              <w:t>tsé</w:t>
            </w:r>
            <w:proofErr w:type="spellEnd"/>
            <w:r w:rsidRPr="007C5A6E">
              <w:rPr>
                <w:rFonts w:ascii="Times New Roman" w:hAnsi="Times New Roman"/>
                <w:sz w:val="21"/>
                <w:szCs w:val="21"/>
              </w:rPr>
              <w:t xml:space="preserve"> </w:t>
            </w:r>
            <w:proofErr w:type="spellStart"/>
            <w:r w:rsidRPr="007C5A6E">
              <w:rPr>
                <w:rFonts w:ascii="Times New Roman" w:hAnsi="Times New Roman"/>
                <w:sz w:val="21"/>
                <w:szCs w:val="21"/>
              </w:rPr>
              <w:t>tsé</w:t>
            </w:r>
            <w:proofErr w:type="spellEnd"/>
            <w:r w:rsidRPr="007C5A6E">
              <w:rPr>
                <w:rFonts w:ascii="Times New Roman" w:hAnsi="Times New Roman"/>
                <w:sz w:val="21"/>
                <w:szCs w:val="21"/>
              </w:rPr>
              <w:t xml:space="preserve"> et de la trypanosomiase » PATTEC</w:t>
            </w:r>
          </w:p>
        </w:tc>
        <w:tc>
          <w:tcPr>
            <w:tcW w:w="2688" w:type="dxa"/>
          </w:tcPr>
          <w:p w14:paraId="1D8FE417"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Ressources animales</w:t>
            </w:r>
          </w:p>
        </w:tc>
      </w:tr>
      <w:tr w:rsidR="007E6534" w:rsidRPr="007C5A6E" w14:paraId="05DCFA3D" w14:textId="77777777" w:rsidTr="00F23EE9">
        <w:tc>
          <w:tcPr>
            <w:tcW w:w="6374" w:type="dxa"/>
          </w:tcPr>
          <w:p w14:paraId="6323CE8F"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Projet d’aménagement de la plaine de la Maîtrise d’Ouvrage de Bagré</w:t>
            </w:r>
          </w:p>
        </w:tc>
        <w:tc>
          <w:tcPr>
            <w:tcW w:w="2688" w:type="dxa"/>
          </w:tcPr>
          <w:p w14:paraId="6FB82128"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 xml:space="preserve">Eau </w:t>
            </w:r>
          </w:p>
        </w:tc>
      </w:tr>
    </w:tbl>
    <w:p w14:paraId="0978AFA2" w14:textId="77777777" w:rsidR="007E6534" w:rsidRPr="007C5A6E" w:rsidRDefault="007E6534" w:rsidP="007E6534">
      <w:pPr>
        <w:spacing w:after="0" w:line="240" w:lineRule="auto"/>
        <w:jc w:val="both"/>
        <w:rPr>
          <w:rFonts w:ascii="Times New Roman" w:hAnsi="Times New Roman"/>
          <w:sz w:val="20"/>
          <w:szCs w:val="20"/>
        </w:rPr>
      </w:pPr>
      <w:r w:rsidRPr="007C5A6E">
        <w:rPr>
          <w:rFonts w:ascii="Times New Roman" w:hAnsi="Times New Roman"/>
          <w:sz w:val="20"/>
          <w:szCs w:val="20"/>
        </w:rPr>
        <w:t>Source : MEEVCC, 2020</w:t>
      </w:r>
    </w:p>
    <w:p w14:paraId="15873811" w14:textId="77777777" w:rsidR="00637FDC" w:rsidRPr="007C5A6E" w:rsidRDefault="00637FDC" w:rsidP="007E6534">
      <w:pPr>
        <w:spacing w:after="0" w:line="240" w:lineRule="auto"/>
        <w:jc w:val="both"/>
        <w:rPr>
          <w:rFonts w:ascii="Times New Roman" w:hAnsi="Times New Roman"/>
          <w:sz w:val="24"/>
          <w:szCs w:val="24"/>
        </w:rPr>
      </w:pPr>
    </w:p>
    <w:p w14:paraId="106D2C1C" w14:textId="77777777" w:rsidR="007E6534" w:rsidRPr="007C5A6E" w:rsidRDefault="007E6534" w:rsidP="003F3821">
      <w:pPr>
        <w:numPr>
          <w:ilvl w:val="0"/>
          <w:numId w:val="41"/>
        </w:numPr>
        <w:spacing w:after="0" w:line="240" w:lineRule="auto"/>
        <w:ind w:left="357" w:hanging="357"/>
        <w:contextualSpacing/>
        <w:jc w:val="both"/>
        <w:rPr>
          <w:rFonts w:ascii="Times New Roman" w:hAnsi="Times New Roman"/>
          <w:b/>
          <w:sz w:val="24"/>
          <w:szCs w:val="24"/>
        </w:rPr>
      </w:pPr>
      <w:r w:rsidRPr="007C5A6E">
        <w:rPr>
          <w:rFonts w:ascii="Times New Roman" w:hAnsi="Times New Roman"/>
          <w:b/>
          <w:sz w:val="24"/>
          <w:szCs w:val="24"/>
        </w:rPr>
        <w:t>Des cadres de concertation pour une synergie d’actions</w:t>
      </w:r>
    </w:p>
    <w:p w14:paraId="4741F414" w14:textId="77777777" w:rsidR="007E6534" w:rsidRPr="007C5A6E" w:rsidRDefault="007E6534" w:rsidP="007E6534">
      <w:pPr>
        <w:spacing w:after="0" w:line="240" w:lineRule="auto"/>
        <w:jc w:val="both"/>
        <w:rPr>
          <w:rFonts w:ascii="Times New Roman" w:hAnsi="Times New Roman"/>
          <w:sz w:val="24"/>
          <w:szCs w:val="24"/>
        </w:rPr>
      </w:pPr>
    </w:p>
    <w:p w14:paraId="483D8F2A" w14:textId="6A669F38" w:rsidR="007E6534" w:rsidRPr="007C5A6E" w:rsidRDefault="007E6534" w:rsidP="00637FDC">
      <w:pPr>
        <w:spacing w:after="0" w:line="240" w:lineRule="auto"/>
        <w:jc w:val="both"/>
        <w:rPr>
          <w:rFonts w:ascii="Times New Roman" w:hAnsi="Times New Roman"/>
          <w:sz w:val="24"/>
          <w:szCs w:val="24"/>
        </w:rPr>
      </w:pPr>
      <w:r w:rsidRPr="007C5A6E">
        <w:rPr>
          <w:rFonts w:ascii="Times New Roman" w:hAnsi="Times New Roman"/>
          <w:sz w:val="24"/>
          <w:szCs w:val="24"/>
        </w:rPr>
        <w:t>A ce titre l’on peut citer le Cadre de Concertation Unique des Conventions et accords en matière d’environnement (CCUC)</w:t>
      </w:r>
      <w:r w:rsidRPr="007C5A6E">
        <w:rPr>
          <w:rFonts w:ascii="Times New Roman" w:hAnsi="Times New Roman"/>
          <w:sz w:val="24"/>
          <w:szCs w:val="24"/>
          <w:vertAlign w:val="superscript"/>
        </w:rPr>
        <w:footnoteReference w:id="28"/>
      </w:r>
      <w:r w:rsidRPr="007C5A6E">
        <w:rPr>
          <w:rFonts w:ascii="Times New Roman" w:hAnsi="Times New Roman"/>
          <w:sz w:val="24"/>
          <w:szCs w:val="24"/>
        </w:rPr>
        <w:t> créé par le Ministère en charge de l’Environnement en 2007; la Cellules Environnementales au sein des Ministères, des régions administratives et des entreprises publiques ou privées</w:t>
      </w:r>
      <w:r w:rsidRPr="007C5A6E">
        <w:rPr>
          <w:rFonts w:ascii="Times New Roman" w:hAnsi="Times New Roman"/>
          <w:sz w:val="24"/>
          <w:szCs w:val="24"/>
          <w:vertAlign w:val="superscript"/>
        </w:rPr>
        <w:footnoteReference w:id="29"/>
      </w:r>
      <w:r w:rsidRPr="007C5A6E">
        <w:rPr>
          <w:rFonts w:ascii="Times New Roman" w:hAnsi="Times New Roman"/>
          <w:sz w:val="24"/>
          <w:szCs w:val="24"/>
        </w:rPr>
        <w:t> ; un Groupe Technique de Suivi de la mise en œuvre des accords sur la Diversité Biologique</w:t>
      </w:r>
      <w:r w:rsidRPr="007C5A6E">
        <w:rPr>
          <w:rFonts w:ascii="Times New Roman" w:hAnsi="Times New Roman"/>
          <w:sz w:val="24"/>
          <w:szCs w:val="24"/>
          <w:vertAlign w:val="superscript"/>
        </w:rPr>
        <w:footnoteReference w:id="30"/>
      </w:r>
      <w:r w:rsidRPr="007C5A6E">
        <w:rPr>
          <w:rFonts w:ascii="Times New Roman" w:hAnsi="Times New Roman"/>
          <w:sz w:val="24"/>
          <w:szCs w:val="24"/>
        </w:rPr>
        <w:t> ; un Groupe de Travail Multisectoriel pour l’intégration de la biodiversité dans des secteurs de développement au Burkina Faso</w:t>
      </w:r>
      <w:r w:rsidRPr="007C5A6E">
        <w:rPr>
          <w:rFonts w:ascii="Times New Roman" w:hAnsi="Times New Roman"/>
          <w:sz w:val="24"/>
          <w:szCs w:val="24"/>
          <w:vertAlign w:val="superscript"/>
        </w:rPr>
        <w:footnoteReference w:id="31"/>
      </w:r>
      <w:r w:rsidRPr="007C5A6E">
        <w:rPr>
          <w:rFonts w:ascii="Times New Roman" w:hAnsi="Times New Roman"/>
          <w:sz w:val="24"/>
          <w:szCs w:val="24"/>
        </w:rPr>
        <w:t xml:space="preserve"> mise en place en partenariat avec l’UICN ; </w:t>
      </w:r>
    </w:p>
    <w:p w14:paraId="7CAA074F" w14:textId="77777777" w:rsidR="007E6534" w:rsidRPr="007C5A6E" w:rsidRDefault="007E6534" w:rsidP="007E6534">
      <w:pPr>
        <w:spacing w:after="0" w:line="240" w:lineRule="auto"/>
        <w:jc w:val="both"/>
        <w:rPr>
          <w:rFonts w:ascii="Times New Roman" w:hAnsi="Times New Roman"/>
          <w:sz w:val="24"/>
          <w:szCs w:val="24"/>
        </w:rPr>
      </w:pPr>
    </w:p>
    <w:p w14:paraId="21E765BA" w14:textId="77777777" w:rsidR="007E6534" w:rsidRPr="007C5A6E" w:rsidRDefault="007E6534" w:rsidP="007E6534">
      <w:pPr>
        <w:pStyle w:val="Titre3"/>
      </w:pPr>
      <w:r w:rsidRPr="007C5A6E">
        <w:t xml:space="preserve"> </w:t>
      </w:r>
      <w:bookmarkStart w:id="1237" w:name="_Toc182575463"/>
      <w:bookmarkStart w:id="1238" w:name="_Toc183340250"/>
      <w:r w:rsidRPr="007C5A6E">
        <w:t>Quelques résultats</w:t>
      </w:r>
      <w:bookmarkEnd w:id="1237"/>
      <w:bookmarkEnd w:id="1238"/>
      <w:r w:rsidRPr="007C5A6E">
        <w:t xml:space="preserve"> </w:t>
      </w:r>
    </w:p>
    <w:p w14:paraId="45364625" w14:textId="77777777" w:rsidR="007E6534" w:rsidRPr="007C5A6E" w:rsidRDefault="007E6534" w:rsidP="007E6534">
      <w:pPr>
        <w:spacing w:after="0" w:line="240" w:lineRule="auto"/>
        <w:jc w:val="both"/>
        <w:rPr>
          <w:rFonts w:ascii="Times New Roman" w:hAnsi="Times New Roman"/>
          <w:b/>
          <w:sz w:val="24"/>
          <w:szCs w:val="24"/>
        </w:rPr>
      </w:pPr>
    </w:p>
    <w:p w14:paraId="4E2DCE69" w14:textId="77777777" w:rsidR="007E6534" w:rsidRPr="007C5A6E" w:rsidRDefault="007E6534" w:rsidP="00684FF8">
      <w:pPr>
        <w:pStyle w:val="Titre4"/>
      </w:pPr>
      <w:bookmarkStart w:id="1239" w:name="_Toc183340251"/>
      <w:r w:rsidRPr="007C5A6E">
        <w:t>En matière de conservation des ressources biologiques in situ</w:t>
      </w:r>
      <w:bookmarkEnd w:id="1239"/>
      <w:r w:rsidRPr="007C5A6E">
        <w:t xml:space="preserve"> </w:t>
      </w:r>
    </w:p>
    <w:p w14:paraId="52A8D8CA" w14:textId="77777777" w:rsidR="00637FDC" w:rsidRPr="007C5A6E" w:rsidRDefault="00637FDC" w:rsidP="00637FDC">
      <w:pPr>
        <w:spacing w:after="0" w:line="240" w:lineRule="auto"/>
        <w:jc w:val="both"/>
        <w:rPr>
          <w:rFonts w:ascii="Times New Roman" w:hAnsi="Times New Roman"/>
          <w:sz w:val="24"/>
          <w:szCs w:val="24"/>
        </w:rPr>
      </w:pPr>
    </w:p>
    <w:p w14:paraId="4E546B3C" w14:textId="403B8B79" w:rsidR="007E6534" w:rsidRPr="007C5A6E" w:rsidRDefault="007E6534" w:rsidP="00637FDC">
      <w:pPr>
        <w:spacing w:after="0" w:line="240" w:lineRule="auto"/>
        <w:jc w:val="both"/>
        <w:rPr>
          <w:rFonts w:ascii="Times New Roman" w:hAnsi="Times New Roman"/>
          <w:sz w:val="24"/>
          <w:szCs w:val="24"/>
        </w:rPr>
      </w:pPr>
      <w:r w:rsidRPr="007C5A6E">
        <w:rPr>
          <w:rFonts w:ascii="Times New Roman" w:hAnsi="Times New Roman"/>
          <w:sz w:val="24"/>
          <w:szCs w:val="24"/>
        </w:rPr>
        <w:t>Pour la conservation des ressources forestières et fauniques, des acquis ont été obtenus dans le domaine de la protection des forêts et de la faune. Ils sont entre autres : la prise de textes réglementaires pour la protection particulière de 23 espèces forestières (Arrêté N°2004/019/MECV du 07 juillet 2004</w:t>
      </w:r>
      <w:proofErr w:type="gramStart"/>
      <w:r w:rsidRPr="007C5A6E">
        <w:rPr>
          <w:rFonts w:ascii="Times New Roman" w:hAnsi="Times New Roman"/>
          <w:sz w:val="24"/>
          <w:szCs w:val="24"/>
        </w:rPr>
        <w:t>);</w:t>
      </w:r>
      <w:proofErr w:type="gramEnd"/>
      <w:r w:rsidRPr="007C5A6E">
        <w:rPr>
          <w:rFonts w:ascii="Times New Roman" w:hAnsi="Times New Roman"/>
          <w:sz w:val="24"/>
          <w:szCs w:val="24"/>
        </w:rPr>
        <w:t xml:space="preserve"> 59 espèces de mammifères sauvages, 243 espèces d’oiseaux et 33 espèces de reptiles (Décret N°2017-0238/PRES/PM/MEEVCC du 24 avril 2017). Sur la période 2016-2023, 18 aires classées ont été immatriculées et 31 apurées (débarrassées de toute forme d’occupation illégale) portant ainsi la proportion des aires classées immatriculées de 1,3% en 2016 à 23,68% en 2023 et celle des aires classées apurées de 0% à 40,79% en 2023. En plus, 302 collectivités territoriales ont été accompagnées dans la création/gestion des espaces de </w:t>
      </w:r>
      <w:r w:rsidR="00637FDC" w:rsidRPr="007C5A6E">
        <w:rPr>
          <w:rFonts w:ascii="Times New Roman" w:hAnsi="Times New Roman"/>
          <w:sz w:val="24"/>
          <w:szCs w:val="24"/>
        </w:rPr>
        <w:t>conservation ;</w:t>
      </w:r>
      <w:r w:rsidRPr="007C5A6E">
        <w:rPr>
          <w:rFonts w:ascii="Times New Roman" w:hAnsi="Times New Roman"/>
          <w:sz w:val="24"/>
          <w:szCs w:val="24"/>
        </w:rPr>
        <w:t xml:space="preserve"> ce qui a permis d’enregistrer 285 nouveaux espaces de conservation créés sur la période de 2016 à 2022 (SP-CNDD, 2024).</w:t>
      </w:r>
    </w:p>
    <w:p w14:paraId="17A2B584" w14:textId="77777777" w:rsidR="007E6534" w:rsidRPr="007C5A6E" w:rsidRDefault="007E6534" w:rsidP="00637FDC">
      <w:pPr>
        <w:spacing w:after="0" w:line="240" w:lineRule="auto"/>
        <w:jc w:val="both"/>
        <w:rPr>
          <w:rFonts w:ascii="Times New Roman" w:hAnsi="Times New Roman"/>
          <w:sz w:val="24"/>
          <w:szCs w:val="24"/>
        </w:rPr>
      </w:pPr>
    </w:p>
    <w:p w14:paraId="581A3ED3" w14:textId="77777777" w:rsidR="007E6534" w:rsidRPr="007C5A6E" w:rsidRDefault="007E6534" w:rsidP="00637FDC">
      <w:pPr>
        <w:spacing w:after="0" w:line="240" w:lineRule="auto"/>
        <w:jc w:val="both"/>
        <w:rPr>
          <w:rFonts w:ascii="Times New Roman" w:hAnsi="Times New Roman"/>
          <w:sz w:val="24"/>
          <w:szCs w:val="24"/>
        </w:rPr>
      </w:pPr>
      <w:r w:rsidRPr="007C5A6E">
        <w:rPr>
          <w:rFonts w:ascii="Times New Roman" w:hAnsi="Times New Roman"/>
          <w:sz w:val="24"/>
          <w:szCs w:val="24"/>
        </w:rPr>
        <w:t>Le développement des espaces de protection et de conservation des ressources a continué avec la reconnaissance du parc national d’Arly comme réserve de biosphère et partie nationale de la réserve de biosphère transfrontalière W-Arly-</w:t>
      </w:r>
      <w:proofErr w:type="spellStart"/>
      <w:r w:rsidRPr="007C5A6E">
        <w:rPr>
          <w:rFonts w:ascii="Times New Roman" w:hAnsi="Times New Roman"/>
          <w:sz w:val="24"/>
          <w:szCs w:val="24"/>
        </w:rPr>
        <w:t>Pendjari</w:t>
      </w:r>
      <w:proofErr w:type="spellEnd"/>
      <w:r w:rsidRPr="007C5A6E">
        <w:rPr>
          <w:rFonts w:ascii="Times New Roman" w:hAnsi="Times New Roman"/>
          <w:sz w:val="24"/>
          <w:szCs w:val="24"/>
        </w:rPr>
        <w:t>, portant ainsi le nombre d’aires protégées reconnu comme réserve de biosphère à 3. Aussi, nous notons en 2017, l’inscription du parc national d’Arly et du parc national W ainsi que les autres aires protégées contiguës comme bien du Patrimoine Mondial au titre du Complexe W-Arly-</w:t>
      </w:r>
      <w:proofErr w:type="spellStart"/>
      <w:r w:rsidRPr="007C5A6E">
        <w:rPr>
          <w:rFonts w:ascii="Times New Roman" w:hAnsi="Times New Roman"/>
          <w:sz w:val="24"/>
          <w:szCs w:val="24"/>
        </w:rPr>
        <w:t>Pendjari</w:t>
      </w:r>
      <w:proofErr w:type="spellEnd"/>
      <w:r w:rsidRPr="007C5A6E">
        <w:rPr>
          <w:rFonts w:ascii="Times New Roman" w:hAnsi="Times New Roman"/>
          <w:sz w:val="24"/>
          <w:szCs w:val="24"/>
        </w:rPr>
        <w:t>. Par ailleurs, entre 2016 et 2020, le nombre de sites Ramsar</w:t>
      </w:r>
      <w:r w:rsidRPr="007C5A6E">
        <w:rPr>
          <w:rFonts w:ascii="Times New Roman" w:hAnsi="Times New Roman"/>
          <w:sz w:val="24"/>
          <w:szCs w:val="24"/>
          <w:vertAlign w:val="superscript"/>
        </w:rPr>
        <w:footnoteReference w:id="32"/>
      </w:r>
      <w:r w:rsidRPr="007C5A6E">
        <w:rPr>
          <w:rFonts w:ascii="Times New Roman" w:hAnsi="Times New Roman"/>
          <w:sz w:val="24"/>
          <w:szCs w:val="24"/>
        </w:rPr>
        <w:t xml:space="preserve"> a augmenté de 10 donnant ainsi un total de 25 sites sur l’ensemble du territoire national. Enfin, avec la surveillance continue des forêts, environ 126 896 sorties de police forestière ont été effectuées et ont permis d’assurer la protection des ressources (</w:t>
      </w:r>
      <w:bookmarkStart w:id="1240" w:name="_Hlk176617959"/>
      <w:r w:rsidRPr="007C5A6E">
        <w:rPr>
          <w:rFonts w:ascii="Times New Roman" w:hAnsi="Times New Roman"/>
          <w:sz w:val="24"/>
          <w:szCs w:val="24"/>
        </w:rPr>
        <w:t>SP-CNDD</w:t>
      </w:r>
      <w:bookmarkEnd w:id="1240"/>
      <w:r w:rsidRPr="007C5A6E">
        <w:rPr>
          <w:rFonts w:ascii="Times New Roman" w:hAnsi="Times New Roman"/>
          <w:sz w:val="24"/>
          <w:szCs w:val="24"/>
        </w:rPr>
        <w:t>, 2024).</w:t>
      </w:r>
    </w:p>
    <w:p w14:paraId="65EA71BE" w14:textId="0C16EE15" w:rsidR="007E6534" w:rsidRPr="007C5A6E" w:rsidRDefault="007E6534" w:rsidP="00637FDC">
      <w:pPr>
        <w:spacing w:after="0" w:line="240" w:lineRule="auto"/>
        <w:jc w:val="both"/>
        <w:rPr>
          <w:rFonts w:ascii="Times New Roman" w:hAnsi="Times New Roman"/>
          <w:sz w:val="24"/>
          <w:szCs w:val="24"/>
        </w:rPr>
      </w:pPr>
      <w:r w:rsidRPr="007C5A6E">
        <w:rPr>
          <w:rFonts w:ascii="Times New Roman" w:hAnsi="Times New Roman"/>
          <w:sz w:val="24"/>
          <w:szCs w:val="24"/>
        </w:rPr>
        <w:t>Tous ces acquis viennent renforcer un patrimoine forestier et faunique composé de : 09 Zones d’importance pour la conservation des oiseaux (ZICO)</w:t>
      </w:r>
      <w:r w:rsidRPr="007C5A6E">
        <w:rPr>
          <w:rFonts w:ascii="Times New Roman" w:hAnsi="Times New Roman"/>
          <w:sz w:val="24"/>
          <w:szCs w:val="24"/>
          <w:vertAlign w:val="superscript"/>
        </w:rPr>
        <w:footnoteReference w:id="33"/>
      </w:r>
      <w:r w:rsidRPr="007C5A6E">
        <w:rPr>
          <w:rFonts w:ascii="Times New Roman" w:hAnsi="Times New Roman"/>
          <w:sz w:val="24"/>
          <w:szCs w:val="24"/>
        </w:rPr>
        <w:t> ; 03 parcs nationaux (W, Arly, Pô) ; 10 réserves de faune dont 08 réserves partielles, 01 réserve totale (</w:t>
      </w:r>
      <w:proofErr w:type="spellStart"/>
      <w:r w:rsidRPr="007C5A6E">
        <w:rPr>
          <w:rFonts w:ascii="Times New Roman" w:hAnsi="Times New Roman"/>
          <w:sz w:val="24"/>
          <w:szCs w:val="24"/>
        </w:rPr>
        <w:t>Bontioli</w:t>
      </w:r>
      <w:proofErr w:type="spellEnd"/>
      <w:r w:rsidRPr="007C5A6E">
        <w:rPr>
          <w:rFonts w:ascii="Times New Roman" w:hAnsi="Times New Roman"/>
          <w:sz w:val="24"/>
          <w:szCs w:val="24"/>
        </w:rPr>
        <w:t xml:space="preserve">) et 01 réserve </w:t>
      </w:r>
      <w:proofErr w:type="spellStart"/>
      <w:r w:rsidRPr="007C5A6E">
        <w:rPr>
          <w:rFonts w:ascii="Times New Roman" w:hAnsi="Times New Roman"/>
          <w:sz w:val="24"/>
          <w:szCs w:val="24"/>
        </w:rPr>
        <w:t>sylvo-pastorale</w:t>
      </w:r>
      <w:proofErr w:type="spellEnd"/>
      <w:r w:rsidRPr="007C5A6E">
        <w:rPr>
          <w:rFonts w:ascii="Times New Roman" w:hAnsi="Times New Roman"/>
          <w:sz w:val="24"/>
          <w:szCs w:val="24"/>
        </w:rPr>
        <w:t xml:space="preserve"> et partielle (1 600 000 ha) ; 01 Ranch de faune (Nazinga) ; 01 refuge local (</w:t>
      </w:r>
      <w:proofErr w:type="spellStart"/>
      <w:r w:rsidRPr="007C5A6E">
        <w:rPr>
          <w:rFonts w:ascii="Times New Roman" w:hAnsi="Times New Roman"/>
          <w:sz w:val="24"/>
          <w:szCs w:val="24"/>
        </w:rPr>
        <w:t>Woozi</w:t>
      </w:r>
      <w:proofErr w:type="spellEnd"/>
      <w:r w:rsidRPr="007C5A6E">
        <w:rPr>
          <w:rFonts w:ascii="Times New Roman" w:hAnsi="Times New Roman"/>
          <w:sz w:val="24"/>
          <w:szCs w:val="24"/>
        </w:rPr>
        <w:t xml:space="preserve">, région du Centre-est) ; 65 forêts classées à vocation forestière et faunique ; 63 ZOVIC recensées dans les régions de l’Est, Centre-Ouest et Centre-sud ; 26 Chantiers d’aménagement forestier (CAF) composés de forêts classées et de forêts protégées ; au moins 1 206 bois sacrés ; 43 forêts villageois couvrant une superficie de 2 710 ha ; diverses initiatives locales de conservation in situ, dans des zones à forte potentialité de diversité biologique non dotées d’actes officiels de classement (forêts régionales, forêts communales, forêts villageoises, forêts privées, forêts de groupement, bosquets, mise en défens, plantations, etc.) et une dizaine de plantations de plantes médicinales par les associations de tradipraticiens de santé, les tradipraticiens de santé eux-mêmes, les régions et les districts sanitaires ainsi que des entreprises de producteurs de phytomédicaments (PHYTOFLA, PHYTOSALUS, KUNNAWOLO).    </w:t>
      </w:r>
    </w:p>
    <w:p w14:paraId="6E1A603D" w14:textId="77777777" w:rsidR="007E6534" w:rsidRPr="007C5A6E" w:rsidRDefault="007E6534" w:rsidP="007E6534">
      <w:pPr>
        <w:spacing w:after="0" w:line="240" w:lineRule="auto"/>
        <w:jc w:val="both"/>
        <w:rPr>
          <w:rFonts w:ascii="Times New Roman" w:hAnsi="Times New Roman"/>
          <w:sz w:val="24"/>
          <w:szCs w:val="24"/>
        </w:rPr>
      </w:pPr>
    </w:p>
    <w:p w14:paraId="04EAE951" w14:textId="77777777" w:rsidR="007E6534" w:rsidRPr="007C5A6E" w:rsidRDefault="007E6534" w:rsidP="00637FDC">
      <w:pPr>
        <w:spacing w:after="0" w:line="240" w:lineRule="auto"/>
        <w:jc w:val="both"/>
        <w:rPr>
          <w:rFonts w:ascii="Times New Roman" w:hAnsi="Times New Roman"/>
          <w:sz w:val="24"/>
          <w:szCs w:val="24"/>
        </w:rPr>
      </w:pPr>
      <w:r w:rsidRPr="007C5A6E">
        <w:rPr>
          <w:rFonts w:ascii="Times New Roman" w:hAnsi="Times New Roman"/>
          <w:sz w:val="24"/>
          <w:szCs w:val="24"/>
        </w:rPr>
        <w:t xml:space="preserve">Pour la conservation des ressources animales, sur la période de 2016 à 2020, 963 280 ha d’espaces pastoraux ont fait l’objet d’aménagement à travers le balisage et la récupération des terres dégradées dans les espaces pastoraux. Aussi, 3 303 km de piste à bétail ont fait l’objet d’aménagement. Cela a permis de renforcer les 77 espaces pastoraux communautaires (159 741 ha) et les 213 zones pastorales nationales (environ 2 000 000 ha) existants. De plus, des aménagements comprenant des infrastructures d’hydraulique pastorale, vétérinaires (parcs de vaccination) et zootechniques (magasins de stockage) y ont été réalisés. Dix (10) zones pastorales actives d’une superficie totale de 540 000 ha ont été créées pour abriter environ 4000 familles d’éleveurs possédant un cheptel d’environ 133.000 bovins et 140.000 petits ruminants. L’objectif actuel est de privilégier auprès des éleveurs un système de polyculture-élevage en organisant l’espace de manière à favoriser le développement concomitant de ces deux activités (MEEVCC, 2020). </w:t>
      </w:r>
    </w:p>
    <w:p w14:paraId="4305844B" w14:textId="77777777" w:rsidR="007E6534" w:rsidRPr="007C5A6E" w:rsidRDefault="007E6534" w:rsidP="007E6534">
      <w:pPr>
        <w:spacing w:after="0" w:line="240" w:lineRule="auto"/>
        <w:ind w:left="708"/>
        <w:jc w:val="both"/>
        <w:rPr>
          <w:rFonts w:ascii="Times New Roman" w:hAnsi="Times New Roman"/>
          <w:sz w:val="24"/>
          <w:szCs w:val="24"/>
        </w:rPr>
      </w:pPr>
    </w:p>
    <w:p w14:paraId="45B1101B" w14:textId="77777777" w:rsidR="007E6534" w:rsidRPr="007C5A6E" w:rsidRDefault="007E6534" w:rsidP="00637FDC">
      <w:pPr>
        <w:spacing w:after="0" w:line="240" w:lineRule="auto"/>
        <w:jc w:val="both"/>
        <w:rPr>
          <w:rFonts w:ascii="Times New Roman" w:hAnsi="Times New Roman"/>
          <w:sz w:val="24"/>
          <w:szCs w:val="24"/>
        </w:rPr>
      </w:pPr>
      <w:r w:rsidRPr="007C5A6E">
        <w:rPr>
          <w:rFonts w:ascii="Times New Roman" w:hAnsi="Times New Roman"/>
          <w:sz w:val="24"/>
          <w:szCs w:val="24"/>
        </w:rPr>
        <w:t>Pour la conservation des ressources en eau et aquatiques, sur la période 2016-2023, 34 barrages dégradés ont été réhabilités et 47 barrages ont fait l’objet d’entretien. En outre, afin de contribuer à la préservation et à la gestion durable des ressources en eau, 03 schémas directeurs d’aménagement de gestion de l’eau ont été adoptés et 13 services de police de l’eau ont été mis en place. Aussi, les bandes de servitude de 33 barrages et 02 lacs pour un linéaire de plus 650 km ont fait l’objet de délimitation. Ces différentes réalisations ont permis de faire passer la capacité de stockage en eau de surface de 5 030 millions de m</w:t>
      </w:r>
      <w:r w:rsidRPr="007C5A6E">
        <w:rPr>
          <w:rFonts w:ascii="Times New Roman" w:hAnsi="Times New Roman"/>
          <w:sz w:val="24"/>
          <w:szCs w:val="24"/>
          <w:vertAlign w:val="superscript"/>
        </w:rPr>
        <w:t>3</w:t>
      </w:r>
      <w:r w:rsidRPr="007C5A6E">
        <w:rPr>
          <w:rFonts w:ascii="Times New Roman" w:hAnsi="Times New Roman"/>
          <w:sz w:val="24"/>
          <w:szCs w:val="24"/>
        </w:rPr>
        <w:t xml:space="preserve"> en 2015 à 6 153, 96 millions de m</w:t>
      </w:r>
      <w:r w:rsidRPr="007C5A6E">
        <w:rPr>
          <w:rFonts w:ascii="Times New Roman" w:hAnsi="Times New Roman"/>
          <w:sz w:val="24"/>
          <w:szCs w:val="24"/>
          <w:vertAlign w:val="superscript"/>
        </w:rPr>
        <w:t>3</w:t>
      </w:r>
      <w:r w:rsidRPr="007C5A6E">
        <w:rPr>
          <w:rFonts w:ascii="Times New Roman" w:hAnsi="Times New Roman"/>
          <w:sz w:val="24"/>
          <w:szCs w:val="24"/>
        </w:rPr>
        <w:t xml:space="preserve"> en 2023, soit un accroissement de 22,35%. Aussi, le taux de fonctionnalité des infrastructures hydrauliques est passé de 53,6% en 2015 à 57,2% en 2023 et la proportion de retenues d’eau de plus de 500 000 m</w:t>
      </w:r>
      <w:r w:rsidRPr="007C5A6E">
        <w:rPr>
          <w:rFonts w:ascii="Times New Roman" w:hAnsi="Times New Roman"/>
          <w:sz w:val="24"/>
          <w:szCs w:val="24"/>
          <w:vertAlign w:val="superscript"/>
        </w:rPr>
        <w:t>3</w:t>
      </w:r>
      <w:r w:rsidRPr="007C5A6E">
        <w:rPr>
          <w:rFonts w:ascii="Times New Roman" w:hAnsi="Times New Roman"/>
          <w:sz w:val="24"/>
          <w:szCs w:val="24"/>
        </w:rPr>
        <w:t xml:space="preserve"> avec protection des berges de 13% en 2015 à 23% en 2022. Au niveau de la pêche et de l’aquaculture, en plus des 08 stations d’aquaculture de l’Etat il faut relever l’existence de plusieurs fermes piscicoles privées à travers le pays ; environ 700 étangs mis en place sur la période 2016-2020 (MEEVCC, 2020 ; SP-CNDD, 2024). </w:t>
      </w:r>
    </w:p>
    <w:p w14:paraId="34C3B400" w14:textId="77777777" w:rsidR="007E6534" w:rsidRPr="007C5A6E" w:rsidRDefault="007E6534" w:rsidP="007E6534">
      <w:pPr>
        <w:spacing w:after="0" w:line="240" w:lineRule="auto"/>
        <w:jc w:val="both"/>
        <w:rPr>
          <w:rFonts w:ascii="Times New Roman" w:hAnsi="Times New Roman"/>
          <w:sz w:val="24"/>
          <w:szCs w:val="24"/>
        </w:rPr>
      </w:pPr>
    </w:p>
    <w:p w14:paraId="52DD35D2" w14:textId="77777777" w:rsidR="007E6534" w:rsidRPr="007C5A6E" w:rsidRDefault="007E6534" w:rsidP="00684FF8">
      <w:pPr>
        <w:pStyle w:val="Titre4"/>
      </w:pPr>
      <w:bookmarkStart w:id="1241" w:name="_Toc183340252"/>
      <w:r w:rsidRPr="007C5A6E">
        <w:t>En matière de conservation des ressources biologiques ex situ</w:t>
      </w:r>
      <w:bookmarkEnd w:id="1241"/>
    </w:p>
    <w:p w14:paraId="3C2D6EE7" w14:textId="77777777" w:rsidR="00637FDC" w:rsidRPr="007C5A6E" w:rsidRDefault="00637FDC" w:rsidP="00637FDC">
      <w:pPr>
        <w:spacing w:after="0" w:line="240" w:lineRule="auto"/>
        <w:jc w:val="both"/>
        <w:rPr>
          <w:rFonts w:ascii="Times New Roman" w:hAnsi="Times New Roman"/>
          <w:sz w:val="24"/>
          <w:szCs w:val="24"/>
        </w:rPr>
      </w:pPr>
    </w:p>
    <w:p w14:paraId="0B66A09E" w14:textId="56D81F16" w:rsidR="007E6534" w:rsidRPr="007C5A6E" w:rsidRDefault="007E6534" w:rsidP="00637FDC">
      <w:pPr>
        <w:spacing w:after="0" w:line="240" w:lineRule="auto"/>
        <w:jc w:val="both"/>
        <w:rPr>
          <w:rFonts w:ascii="Times New Roman" w:hAnsi="Times New Roman"/>
          <w:sz w:val="24"/>
          <w:szCs w:val="24"/>
        </w:rPr>
      </w:pPr>
      <w:r w:rsidRPr="007C5A6E">
        <w:rPr>
          <w:rFonts w:ascii="Times New Roman" w:hAnsi="Times New Roman"/>
          <w:sz w:val="24"/>
          <w:szCs w:val="24"/>
        </w:rPr>
        <w:t xml:space="preserve">Nous notons que 2 banques communautaires de semences et de gènes locales au profit des populations de </w:t>
      </w:r>
      <w:proofErr w:type="spellStart"/>
      <w:r w:rsidRPr="007C5A6E">
        <w:rPr>
          <w:rFonts w:ascii="Times New Roman" w:hAnsi="Times New Roman"/>
          <w:sz w:val="24"/>
          <w:szCs w:val="24"/>
        </w:rPr>
        <w:t>Siniéna</w:t>
      </w:r>
      <w:proofErr w:type="spellEnd"/>
      <w:r w:rsidRPr="007C5A6E">
        <w:rPr>
          <w:rFonts w:ascii="Times New Roman" w:hAnsi="Times New Roman"/>
          <w:sz w:val="24"/>
          <w:szCs w:val="24"/>
        </w:rPr>
        <w:t xml:space="preserve"> (région des Cascades) et de la (région du Centre-Nord) ont été construites. Aussi, 2 banques de gènes communautaires ont été mises sur pied dans le cadre de la mise en œuvre du Traité international sur les ressources phytogénétiques pour l’alimentation et l’agriculture (TIRPAA). Il s’agit de celles de Tougouri (région du Centre-Nord) et celle de Pobé-Mengao (région du Sahel). A ces acquis, il faut ajouter les 03 herbiers fonctionnels avec entre 15 000 et 20 000 spécimens enregistrés dans chacun d’eux. Aussi, nous avons des jardins botaniques dont l’Arboretum de CNRST (14 ha ; 118 espèces ligneuses dont 60 espèces locales et 58 espèces exotiques) ; 03 sites de recherches (expérimentaux) d’amélioration génétique des espèces forestières</w:t>
      </w:r>
      <w:r w:rsidRPr="007C5A6E">
        <w:rPr>
          <w:rFonts w:ascii="Times New Roman" w:hAnsi="Times New Roman"/>
          <w:sz w:val="24"/>
          <w:szCs w:val="24"/>
          <w:vertAlign w:val="superscript"/>
        </w:rPr>
        <w:footnoteReference w:id="34"/>
      </w:r>
      <w:r w:rsidRPr="007C5A6E">
        <w:rPr>
          <w:rFonts w:ascii="Times New Roman" w:hAnsi="Times New Roman"/>
          <w:sz w:val="24"/>
          <w:szCs w:val="24"/>
        </w:rPr>
        <w:t xml:space="preserve"> (Dindéresso, Gonsé et Djibo). Avec la création d’un Secrétariat permanent de la coordination de la gestion des ressources génétiques animales (SP/CGRGA) et la mise en place d’un Centre national de coordination pour la gestion des </w:t>
      </w:r>
      <w:proofErr w:type="spellStart"/>
      <w:r w:rsidRPr="007C5A6E">
        <w:rPr>
          <w:rFonts w:ascii="Times New Roman" w:hAnsi="Times New Roman"/>
          <w:sz w:val="24"/>
          <w:szCs w:val="24"/>
        </w:rPr>
        <w:t>RGAn</w:t>
      </w:r>
      <w:proofErr w:type="spellEnd"/>
      <w:r w:rsidRPr="007C5A6E">
        <w:rPr>
          <w:rFonts w:ascii="Times New Roman" w:hAnsi="Times New Roman"/>
          <w:sz w:val="24"/>
          <w:szCs w:val="24"/>
        </w:rPr>
        <w:t>, la conservation des ressources génétiques animales s’est encore améliorée. De plus, sur le terrain, l’on enregistre certaines initiatives de conservation de certaines races en milieu paysan telle que le projet d’appui au développement du Zébu Peulh Sahélien (ZEPESA), en station au Centre de Multiplication des Animaux Performants (CMAP) et au CIRDES ; et d’autres programmes de collecte et conservation de semence congelée (cryoconservation pratiquée par le CIRDES) pour les races qui ne sont pas à risque au Burkina Faso (MEEVCC, 2020). Pour ce qui concerne la faune sauvage, l’on note l’existence de 03 Parcs animaliers et jardins zoologiques (</w:t>
      </w:r>
      <w:proofErr w:type="spellStart"/>
      <w:r w:rsidRPr="007C5A6E">
        <w:rPr>
          <w:rFonts w:ascii="Times New Roman" w:hAnsi="Times New Roman"/>
          <w:sz w:val="24"/>
          <w:szCs w:val="24"/>
        </w:rPr>
        <w:t>Bangr</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Weogho</w:t>
      </w:r>
      <w:proofErr w:type="spellEnd"/>
      <w:r w:rsidRPr="007C5A6E">
        <w:rPr>
          <w:rFonts w:ascii="Times New Roman" w:hAnsi="Times New Roman"/>
          <w:sz w:val="24"/>
          <w:szCs w:val="24"/>
        </w:rPr>
        <w:t xml:space="preserve">, Ziniaré, </w:t>
      </w:r>
      <w:proofErr w:type="spellStart"/>
      <w:r w:rsidRPr="007C5A6E">
        <w:rPr>
          <w:rFonts w:ascii="Times New Roman" w:hAnsi="Times New Roman"/>
          <w:sz w:val="24"/>
          <w:szCs w:val="24"/>
        </w:rPr>
        <w:t>Wedbila</w:t>
      </w:r>
      <w:proofErr w:type="spellEnd"/>
      <w:r w:rsidRPr="007C5A6E">
        <w:rPr>
          <w:rFonts w:ascii="Times New Roman" w:hAnsi="Times New Roman"/>
          <w:sz w:val="24"/>
          <w:szCs w:val="24"/>
        </w:rPr>
        <w:t>)</w:t>
      </w:r>
      <w:r w:rsidRPr="007C5A6E">
        <w:rPr>
          <w:rFonts w:ascii="Times New Roman" w:hAnsi="Times New Roman"/>
          <w:sz w:val="24"/>
          <w:szCs w:val="24"/>
          <w:vertAlign w:val="superscript"/>
        </w:rPr>
        <w:footnoteReference w:id="35"/>
      </w:r>
      <w:r w:rsidRPr="007C5A6E">
        <w:rPr>
          <w:rFonts w:ascii="Times New Roman" w:hAnsi="Times New Roman"/>
          <w:sz w:val="24"/>
          <w:szCs w:val="24"/>
        </w:rPr>
        <w:t xml:space="preserve"> ainsi que plusieurs unités d’élevage de petits gibiers d’espèces telles que l’aulacode (</w:t>
      </w:r>
      <w:proofErr w:type="spellStart"/>
      <w:r w:rsidRPr="007C5A6E">
        <w:rPr>
          <w:rFonts w:ascii="Times New Roman" w:hAnsi="Times New Roman"/>
          <w:i/>
          <w:sz w:val="24"/>
          <w:szCs w:val="24"/>
        </w:rPr>
        <w:t>Thryomys</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swinderianus</w:t>
      </w:r>
      <w:proofErr w:type="spellEnd"/>
      <w:r w:rsidRPr="007C5A6E">
        <w:rPr>
          <w:rFonts w:ascii="Times New Roman" w:hAnsi="Times New Roman"/>
          <w:sz w:val="24"/>
          <w:szCs w:val="24"/>
        </w:rPr>
        <w:t>), le rat de Gambie (</w:t>
      </w:r>
      <w:proofErr w:type="spellStart"/>
      <w:r w:rsidRPr="007C5A6E">
        <w:rPr>
          <w:rFonts w:ascii="Times New Roman" w:hAnsi="Times New Roman"/>
          <w:i/>
          <w:sz w:val="24"/>
          <w:szCs w:val="24"/>
        </w:rPr>
        <w:t>Cricetomys</w:t>
      </w:r>
      <w:proofErr w:type="spellEnd"/>
      <w:r w:rsidRPr="007C5A6E">
        <w:rPr>
          <w:rFonts w:ascii="Times New Roman" w:hAnsi="Times New Roman"/>
          <w:i/>
          <w:sz w:val="24"/>
          <w:szCs w:val="24"/>
        </w:rPr>
        <w:t xml:space="preserve"> </w:t>
      </w:r>
      <w:proofErr w:type="spellStart"/>
      <w:r w:rsidRPr="007C5A6E">
        <w:rPr>
          <w:rFonts w:ascii="Times New Roman" w:hAnsi="Times New Roman"/>
          <w:i/>
          <w:sz w:val="24"/>
          <w:szCs w:val="24"/>
        </w:rPr>
        <w:t>gambianus</w:t>
      </w:r>
      <w:proofErr w:type="spellEnd"/>
      <w:r w:rsidRPr="007C5A6E">
        <w:rPr>
          <w:rFonts w:ascii="Times New Roman" w:hAnsi="Times New Roman"/>
          <w:sz w:val="24"/>
          <w:szCs w:val="24"/>
        </w:rPr>
        <w:t xml:space="preserve">); plusieurs initiatives de collection (entomologiques, de serpent, de poissons, et autres animaux sauvages) par les institutions et laboratoires de recherche (INERA/CNRST ; DPVC/MARH ; LEA/UJKZ ; CNSF ; IRD ;  Centre </w:t>
      </w:r>
      <w:proofErr w:type="spellStart"/>
      <w:r w:rsidRPr="007C5A6E">
        <w:rPr>
          <w:rFonts w:ascii="Times New Roman" w:hAnsi="Times New Roman"/>
          <w:sz w:val="24"/>
          <w:szCs w:val="24"/>
        </w:rPr>
        <w:t>Muraz</w:t>
      </w:r>
      <w:proofErr w:type="spellEnd"/>
      <w:r w:rsidRPr="007C5A6E">
        <w:rPr>
          <w:rFonts w:ascii="Times New Roman" w:hAnsi="Times New Roman"/>
          <w:sz w:val="24"/>
          <w:szCs w:val="24"/>
        </w:rPr>
        <w:t xml:space="preserve"> ; CIRDES ; LBEA/UJKZ ; Parc Urbain </w:t>
      </w:r>
      <w:proofErr w:type="spellStart"/>
      <w:r w:rsidRPr="007C5A6E">
        <w:rPr>
          <w:rFonts w:ascii="Times New Roman" w:hAnsi="Times New Roman"/>
          <w:sz w:val="24"/>
          <w:szCs w:val="24"/>
        </w:rPr>
        <w:t>Bangr</w:t>
      </w:r>
      <w:proofErr w:type="spellEnd"/>
      <w:r w:rsidRPr="007C5A6E">
        <w:rPr>
          <w:rFonts w:ascii="Times New Roman" w:hAnsi="Times New Roman"/>
          <w:sz w:val="24"/>
          <w:szCs w:val="24"/>
        </w:rPr>
        <w:t xml:space="preserve"> </w:t>
      </w:r>
      <w:proofErr w:type="spellStart"/>
      <w:r w:rsidRPr="007C5A6E">
        <w:rPr>
          <w:rFonts w:ascii="Times New Roman" w:hAnsi="Times New Roman"/>
          <w:sz w:val="24"/>
          <w:szCs w:val="24"/>
        </w:rPr>
        <w:t>Weogho</w:t>
      </w:r>
      <w:proofErr w:type="spellEnd"/>
      <w:r w:rsidRPr="007C5A6E">
        <w:rPr>
          <w:rFonts w:ascii="Times New Roman" w:hAnsi="Times New Roman"/>
          <w:sz w:val="24"/>
          <w:szCs w:val="24"/>
        </w:rPr>
        <w:t> ; DFRC ; OFINAP).</w:t>
      </w:r>
    </w:p>
    <w:p w14:paraId="7B2C9361" w14:textId="77777777" w:rsidR="007E6534" w:rsidRPr="007C5A6E" w:rsidRDefault="007E6534" w:rsidP="007E6534">
      <w:pPr>
        <w:spacing w:after="0" w:line="240" w:lineRule="auto"/>
        <w:jc w:val="both"/>
        <w:rPr>
          <w:rFonts w:ascii="Times New Roman" w:hAnsi="Times New Roman"/>
          <w:sz w:val="24"/>
          <w:szCs w:val="24"/>
        </w:rPr>
      </w:pPr>
      <w:r w:rsidRPr="007C5A6E">
        <w:rPr>
          <w:rFonts w:ascii="Times New Roman" w:hAnsi="Times New Roman"/>
          <w:sz w:val="24"/>
          <w:szCs w:val="24"/>
        </w:rPr>
        <w:t xml:space="preserve">       </w:t>
      </w:r>
    </w:p>
    <w:p w14:paraId="781EE31A" w14:textId="77777777" w:rsidR="007E6534" w:rsidRPr="007C5A6E" w:rsidRDefault="007E6534" w:rsidP="00684FF8">
      <w:pPr>
        <w:pStyle w:val="Titre4"/>
      </w:pPr>
      <w:bookmarkStart w:id="1242" w:name="_Toc183340253"/>
      <w:r w:rsidRPr="007C5A6E">
        <w:t>En matière de connaissance et d’utilisation rationnelle de la biodiversité</w:t>
      </w:r>
      <w:bookmarkEnd w:id="1242"/>
      <w:r w:rsidRPr="007C5A6E">
        <w:t xml:space="preserve"> </w:t>
      </w:r>
    </w:p>
    <w:p w14:paraId="60139E41" w14:textId="77777777" w:rsidR="00637FDC" w:rsidRPr="007C5A6E" w:rsidRDefault="00637FDC" w:rsidP="00637FDC">
      <w:pPr>
        <w:spacing w:after="0" w:line="240" w:lineRule="auto"/>
        <w:jc w:val="both"/>
        <w:rPr>
          <w:rFonts w:ascii="Times New Roman" w:hAnsi="Times New Roman"/>
          <w:sz w:val="24"/>
          <w:szCs w:val="24"/>
        </w:rPr>
      </w:pPr>
    </w:p>
    <w:p w14:paraId="53FB47D1" w14:textId="36045A94" w:rsidR="007E6534" w:rsidRPr="007C5A6E" w:rsidRDefault="007E6534" w:rsidP="00637FDC">
      <w:pPr>
        <w:spacing w:after="0" w:line="240" w:lineRule="auto"/>
        <w:jc w:val="both"/>
        <w:rPr>
          <w:rFonts w:ascii="Times New Roman" w:hAnsi="Times New Roman"/>
          <w:sz w:val="24"/>
          <w:szCs w:val="24"/>
        </w:rPr>
      </w:pPr>
      <w:r w:rsidRPr="007C5A6E">
        <w:rPr>
          <w:rFonts w:ascii="Times New Roman" w:hAnsi="Times New Roman"/>
          <w:sz w:val="24"/>
          <w:szCs w:val="24"/>
        </w:rPr>
        <w:t>Sur ce point, les acquis importants sont : au niveau de l’amélioration de la connaissance sur les potentialités forestières et fauniques, 110 inventaires forestiers et 29 inventaires fauniques ont été réalisées entre 2016 et 2023. Par ailleurs, dans le domaine du développement des techniques et technologies, entre 2016 et 2020, 42 méthodes, technologies, procédés et innovations générées dans le domaine agro-</w:t>
      </w:r>
      <w:proofErr w:type="spellStart"/>
      <w:r w:rsidRPr="007C5A6E">
        <w:rPr>
          <w:rFonts w:ascii="Times New Roman" w:hAnsi="Times New Roman"/>
          <w:sz w:val="24"/>
          <w:szCs w:val="24"/>
        </w:rPr>
        <w:t>sylvo</w:t>
      </w:r>
      <w:proofErr w:type="spellEnd"/>
      <w:r w:rsidRPr="007C5A6E">
        <w:rPr>
          <w:rFonts w:ascii="Times New Roman" w:hAnsi="Times New Roman"/>
          <w:sz w:val="24"/>
          <w:szCs w:val="24"/>
        </w:rPr>
        <w:t xml:space="preserve">-pastoral et environnemental ont été développés et 236 métis bovins nés en station. Dans le cas spécifique du développement des connaissances dans le domaine forestier, 175 documents résultant de la recherche forestière ont été publiés, (ii) 04 sites expérimentaux de greffage en champs de karité ont été réalisés, (iii) 1 270 spécimens d’espèces pour enrichir l’herbier du CNSF ont été collectés et 20 nouvelles espèces locales ont été domestiqués. </w:t>
      </w:r>
      <w:r w:rsidRPr="007C5A6E">
        <w:rPr>
          <w:rFonts w:ascii="Times New Roman" w:hAnsi="Times New Roman"/>
          <w:bCs/>
          <w:sz w:val="24"/>
          <w:szCs w:val="24"/>
        </w:rPr>
        <w:t>Au niveau agricole,</w:t>
      </w:r>
      <w:r w:rsidRPr="007C5A6E">
        <w:rPr>
          <w:rFonts w:ascii="Times New Roman" w:hAnsi="Times New Roman"/>
          <w:sz w:val="24"/>
          <w:szCs w:val="24"/>
        </w:rPr>
        <w:t xml:space="preserve"> 150 571 tonnes de semences de variétés améliorées ont été produites et mises à la disposition aux producteurs. </w:t>
      </w:r>
      <w:r w:rsidRPr="007C5A6E">
        <w:rPr>
          <w:rFonts w:ascii="Times New Roman" w:hAnsi="Times New Roman"/>
          <w:bCs/>
          <w:sz w:val="24"/>
          <w:szCs w:val="24"/>
        </w:rPr>
        <w:t>Au niveau des ressources animales</w:t>
      </w:r>
      <w:r w:rsidRPr="007C5A6E">
        <w:rPr>
          <w:rFonts w:ascii="Times New Roman" w:hAnsi="Times New Roman"/>
          <w:sz w:val="24"/>
          <w:szCs w:val="24"/>
        </w:rPr>
        <w:t xml:space="preserve">, l’insémination des vaches a permis d’en avoir 5 743 gestantes et de valoriser les ressources génétiques animales locales. En outre, pour l’amélioration de la santé animale, 118 392 745 volailles ont été vaccinées contre la Maladie de Newcastle, 19 344 362 têtes de bovin ont été vaccinés contre la Pneumonie contagieuse bovine et 13 535 633 têtes de petit ruminant ont été vaccinées contre la Peste des petits ruminants entre 2016 et 2020. </w:t>
      </w:r>
      <w:r w:rsidRPr="007C5A6E">
        <w:rPr>
          <w:rFonts w:ascii="Times New Roman" w:hAnsi="Times New Roman"/>
          <w:bCs/>
          <w:sz w:val="24"/>
          <w:szCs w:val="24"/>
        </w:rPr>
        <w:t>Au niveau des ressources halieutiques</w:t>
      </w:r>
      <w:r w:rsidRPr="007C5A6E">
        <w:rPr>
          <w:rFonts w:ascii="Times New Roman" w:hAnsi="Times New Roman"/>
          <w:sz w:val="24"/>
          <w:szCs w:val="24"/>
        </w:rPr>
        <w:t>, 47, 95 millions d’alevins ont été produits, 669,5 tonnes d'aliments poissons subventionnés ont été mises à la disposition des producteurs. Ces appuis en faveur des acteurs du secteur ont permis de faire passer la production de la pêche de capture de 21 770 tonnes en 2016 à 29 731 tonnes en 2021 et la production nationale en ressources halieutiques est passée de 22 070 tonnes en 2016 à 30 555 tonnes en 2021. Pour la valorisation des ressources forestières et fauniques, une quantité de 65 398,25 kg de semences forestières améliorées et 390 espèces forestières ont été diffusées auprès des acteurs. Ces acquis ont permis la production de 72 243 629 plants dont 38 503 924 mis en terre. Pour l’amélioration de la production ligneuse et de la diversité biologique, 139 786 ha de chantiers d’aménagements forestiers ont fait l’objet d’aménagement et</w:t>
      </w:r>
      <w:r w:rsidRPr="007C5A6E">
        <w:rPr>
          <w:rFonts w:ascii="Times New Roman" w:hAnsi="Times New Roman"/>
          <w:bCs/>
          <w:iCs/>
          <w:sz w:val="24"/>
          <w:szCs w:val="24"/>
        </w:rPr>
        <w:t xml:space="preserve"> 22 promoteurs des plantations individuelles et communautaires ont été accompagnés dans la création de forêts privées à fort potentiel ligneux (SP-CNDD, 2024)</w:t>
      </w:r>
      <w:r w:rsidRPr="007C5A6E">
        <w:rPr>
          <w:rFonts w:ascii="Times New Roman" w:hAnsi="Times New Roman"/>
          <w:sz w:val="24"/>
          <w:szCs w:val="24"/>
        </w:rPr>
        <w:t xml:space="preserve">. </w:t>
      </w:r>
    </w:p>
    <w:p w14:paraId="69FF0200" w14:textId="77777777" w:rsidR="007E6534" w:rsidRPr="007C5A6E" w:rsidRDefault="007E6534" w:rsidP="007E6534">
      <w:pPr>
        <w:spacing w:after="0" w:line="240" w:lineRule="auto"/>
        <w:jc w:val="both"/>
        <w:rPr>
          <w:rFonts w:ascii="Times New Roman" w:eastAsia="Calibri" w:hAnsi="Times New Roman"/>
          <w:sz w:val="24"/>
          <w:szCs w:val="24"/>
        </w:rPr>
      </w:pPr>
    </w:p>
    <w:p w14:paraId="76FCBB79" w14:textId="77777777" w:rsidR="007E6534" w:rsidRPr="007C5A6E" w:rsidRDefault="007E6534" w:rsidP="00637FDC">
      <w:pPr>
        <w:spacing w:after="0" w:line="240" w:lineRule="auto"/>
        <w:jc w:val="both"/>
        <w:rPr>
          <w:rFonts w:ascii="Times New Roman" w:hAnsi="Times New Roman"/>
          <w:sz w:val="24"/>
          <w:szCs w:val="24"/>
        </w:rPr>
      </w:pPr>
      <w:r w:rsidRPr="007C5A6E">
        <w:rPr>
          <w:rFonts w:ascii="Times New Roman" w:eastAsia="Calibri" w:hAnsi="Times New Roman"/>
          <w:sz w:val="24"/>
          <w:szCs w:val="24"/>
        </w:rPr>
        <w:t xml:space="preserve">Pour la </w:t>
      </w:r>
      <w:r w:rsidRPr="007C5A6E">
        <w:rPr>
          <w:rFonts w:ascii="Times New Roman" w:hAnsi="Times New Roman"/>
          <w:sz w:val="24"/>
          <w:szCs w:val="24"/>
        </w:rPr>
        <w:t>promotion et la valorisation des PFNL</w:t>
      </w:r>
      <w:r w:rsidRPr="007C5A6E">
        <w:rPr>
          <w:rFonts w:ascii="Times New Roman" w:eastAsia="Calibri" w:hAnsi="Times New Roman"/>
          <w:bCs/>
          <w:sz w:val="24"/>
          <w:szCs w:val="24"/>
        </w:rPr>
        <w:t xml:space="preserve">, les capacités techniques des acteurs se sont renforcées par </w:t>
      </w:r>
      <w:r w:rsidRPr="007C5A6E">
        <w:rPr>
          <w:rFonts w:ascii="Times New Roman" w:hAnsi="Times New Roman"/>
          <w:sz w:val="24"/>
          <w:szCs w:val="24"/>
        </w:rPr>
        <w:t>l’élaboration de 626 plans de développement d’entreprises (PDE), la formation de 9 071 acteurs et la sensibilisation de 77 113 autres, sur des thématiques diverses en lien avec les PFNL.</w:t>
      </w:r>
      <w:r w:rsidRPr="007C5A6E">
        <w:rPr>
          <w:rFonts w:ascii="Times New Roman" w:eastAsia="Calibri" w:hAnsi="Times New Roman"/>
          <w:sz w:val="24"/>
          <w:szCs w:val="24"/>
        </w:rPr>
        <w:t xml:space="preserve"> En vue de porter plus de valeur aux produits forestiers non-ligneux, </w:t>
      </w:r>
      <w:r w:rsidRPr="007C5A6E">
        <w:rPr>
          <w:rFonts w:ascii="Times New Roman" w:hAnsi="Times New Roman"/>
          <w:sz w:val="24"/>
          <w:szCs w:val="24"/>
        </w:rPr>
        <w:t xml:space="preserve">71 infrastructures de transformation ont été mises en place </w:t>
      </w:r>
      <w:r w:rsidRPr="007C5A6E">
        <w:rPr>
          <w:rFonts w:ascii="Times New Roman" w:eastAsia="Calibri" w:hAnsi="Times New Roman"/>
          <w:sz w:val="24"/>
          <w:szCs w:val="24"/>
        </w:rPr>
        <w:t>entre 2020 et 2022</w:t>
      </w:r>
      <w:r w:rsidRPr="007C5A6E">
        <w:rPr>
          <w:rFonts w:ascii="Times New Roman" w:hAnsi="Times New Roman"/>
          <w:bCs/>
          <w:sz w:val="24"/>
          <w:szCs w:val="24"/>
        </w:rPr>
        <w:t xml:space="preserve"> </w:t>
      </w:r>
      <w:r w:rsidRPr="007C5A6E">
        <w:rPr>
          <w:rFonts w:ascii="Times New Roman" w:hAnsi="Times New Roman"/>
          <w:sz w:val="24"/>
          <w:szCs w:val="24"/>
        </w:rPr>
        <w:t xml:space="preserve">de même que 40 petites unités de transformation. Ces résultats ont contribué à améliorer la quantité de PFNL collectée, soit 6,53 millions sur la période 2016-2022 et le taux de transformation des PFNL qui s’est établi à 63,69% en 2018. Au niveau des ressources </w:t>
      </w:r>
      <w:r w:rsidRPr="007C5A6E">
        <w:rPr>
          <w:rFonts w:ascii="Times New Roman" w:eastAsia="Calibri" w:hAnsi="Times New Roman"/>
          <w:bCs/>
          <w:sz w:val="24"/>
          <w:szCs w:val="24"/>
        </w:rPr>
        <w:t>fauniques</w:t>
      </w:r>
      <w:r w:rsidRPr="007C5A6E">
        <w:rPr>
          <w:rFonts w:ascii="Times New Roman" w:eastAsia="Calibri" w:hAnsi="Times New Roman"/>
          <w:sz w:val="24"/>
          <w:szCs w:val="24"/>
        </w:rPr>
        <w:t xml:space="preserve">, la valorisation a consisté à l’aménagement de 304 salines, </w:t>
      </w:r>
      <w:r w:rsidRPr="007C5A6E">
        <w:rPr>
          <w:rFonts w:ascii="Times New Roman" w:hAnsi="Times New Roman"/>
          <w:sz w:val="24"/>
          <w:szCs w:val="24"/>
        </w:rPr>
        <w:t xml:space="preserve">la réalisation de 860,9 km de pare-feu et de 1 978 227 ha de feu d’aménagement (SP-CNDD, 2024). </w:t>
      </w:r>
      <w:r w:rsidRPr="007C5A6E">
        <w:rPr>
          <w:rFonts w:ascii="Times New Roman" w:eastAsia="Calibri" w:hAnsi="Times New Roman"/>
          <w:sz w:val="24"/>
          <w:szCs w:val="24"/>
        </w:rPr>
        <w:t xml:space="preserve"> </w:t>
      </w:r>
    </w:p>
    <w:p w14:paraId="58B10C5D" w14:textId="77777777" w:rsidR="007E6534" w:rsidRPr="007C5A6E" w:rsidRDefault="007E6534" w:rsidP="007E6534">
      <w:pPr>
        <w:spacing w:after="0" w:line="240" w:lineRule="auto"/>
        <w:jc w:val="both"/>
        <w:rPr>
          <w:rFonts w:ascii="Times New Roman" w:hAnsi="Times New Roman"/>
          <w:sz w:val="24"/>
          <w:szCs w:val="24"/>
        </w:rPr>
      </w:pPr>
    </w:p>
    <w:p w14:paraId="1B342BEC" w14:textId="32E6F661" w:rsidR="007E6534" w:rsidRPr="007C5A6E" w:rsidRDefault="007E6534" w:rsidP="00684FF8">
      <w:pPr>
        <w:pStyle w:val="Titre4"/>
      </w:pPr>
      <w:bookmarkStart w:id="1243" w:name="_Toc183340254"/>
      <w:r w:rsidRPr="007C5A6E">
        <w:t xml:space="preserve">En matière d’atténuation des </w:t>
      </w:r>
      <w:r w:rsidR="00637FDC" w:rsidRPr="007C5A6E">
        <w:t xml:space="preserve">émissions de </w:t>
      </w:r>
      <w:r w:rsidRPr="007C5A6E">
        <w:t>GES</w:t>
      </w:r>
      <w:bookmarkEnd w:id="1243"/>
    </w:p>
    <w:p w14:paraId="5F939A2A" w14:textId="77777777" w:rsidR="00637FDC" w:rsidRPr="007C5A6E" w:rsidRDefault="00637FDC" w:rsidP="00637FDC">
      <w:pPr>
        <w:spacing w:after="0" w:line="240" w:lineRule="auto"/>
        <w:jc w:val="both"/>
        <w:rPr>
          <w:rFonts w:ascii="Times New Roman" w:hAnsi="Times New Roman"/>
          <w:sz w:val="24"/>
          <w:szCs w:val="24"/>
        </w:rPr>
      </w:pPr>
    </w:p>
    <w:p w14:paraId="3B85B1EF" w14:textId="2226D7C4" w:rsidR="007E6534" w:rsidRPr="007C5A6E" w:rsidRDefault="007E6534" w:rsidP="00637FDC">
      <w:pPr>
        <w:spacing w:after="0" w:line="240" w:lineRule="auto"/>
        <w:jc w:val="both"/>
        <w:rPr>
          <w:rFonts w:ascii="Times New Roman" w:hAnsi="Times New Roman"/>
          <w:sz w:val="24"/>
          <w:szCs w:val="24"/>
        </w:rPr>
      </w:pPr>
      <w:r w:rsidRPr="007C5A6E">
        <w:rPr>
          <w:rFonts w:ascii="Times New Roman" w:hAnsi="Times New Roman"/>
          <w:sz w:val="24"/>
          <w:szCs w:val="24"/>
        </w:rPr>
        <w:t xml:space="preserve">La réalisation de plantations, reboisements, bosquets et végétation urbaine ainsi que le développement d’actions d’atténuation des Gaz à effet de serres dans les secteurs AFAT (Tableau </w:t>
      </w:r>
      <w:r w:rsidR="00637FDC" w:rsidRPr="007C5A6E">
        <w:rPr>
          <w:rFonts w:ascii="Times New Roman" w:hAnsi="Times New Roman"/>
          <w:sz w:val="24"/>
          <w:szCs w:val="24"/>
        </w:rPr>
        <w:t>5</w:t>
      </w:r>
      <w:r w:rsidR="00840134" w:rsidRPr="007C5A6E">
        <w:rPr>
          <w:rFonts w:ascii="Times New Roman" w:hAnsi="Times New Roman"/>
          <w:sz w:val="24"/>
          <w:szCs w:val="24"/>
        </w:rPr>
        <w:t>6</w:t>
      </w:r>
      <w:r w:rsidRPr="007C5A6E">
        <w:rPr>
          <w:rFonts w:ascii="Times New Roman" w:hAnsi="Times New Roman"/>
          <w:sz w:val="24"/>
          <w:szCs w:val="24"/>
        </w:rPr>
        <w:t xml:space="preserve">). En effet, en 2017, 2403 espaces verts ont été recensés parmi lesquels 95 sont aménagés, 728 illégalement occupés et 1580 constituent des terrains nus. Au Burkina Faso, il a été dénombré en 2017 au titre de la diversité floristique de la végétation urbaine, 502 espèces végétales. </w:t>
      </w:r>
    </w:p>
    <w:p w14:paraId="1307F651" w14:textId="77777777" w:rsidR="007E6534" w:rsidRPr="007C5A6E" w:rsidRDefault="007E6534" w:rsidP="007E6534">
      <w:pPr>
        <w:spacing w:after="0" w:line="240" w:lineRule="auto"/>
        <w:ind w:left="720"/>
        <w:contextualSpacing/>
        <w:jc w:val="both"/>
        <w:rPr>
          <w:rFonts w:ascii="Times New Roman" w:hAnsi="Times New Roman"/>
          <w:sz w:val="24"/>
          <w:szCs w:val="24"/>
        </w:rPr>
      </w:pPr>
    </w:p>
    <w:p w14:paraId="338148C2" w14:textId="7CB7FAFB" w:rsidR="007E6534" w:rsidRPr="007C5A6E" w:rsidRDefault="00637FDC" w:rsidP="00637FDC">
      <w:pPr>
        <w:pStyle w:val="Lgende"/>
        <w:spacing w:after="0"/>
        <w:rPr>
          <w:rFonts w:ascii="Times New Roman" w:hAnsi="Times New Roman"/>
          <w:i w:val="0"/>
          <w:iCs w:val="0"/>
          <w:color w:val="auto"/>
          <w:sz w:val="24"/>
          <w:szCs w:val="24"/>
        </w:rPr>
      </w:pPr>
      <w:bookmarkStart w:id="1244" w:name="_Toc182575513"/>
      <w:bookmarkStart w:id="1245" w:name="_Toc183241018"/>
      <w:bookmarkStart w:id="1246" w:name="_Toc183292260"/>
      <w:bookmarkStart w:id="1247" w:name="_Toc183340540"/>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733409" w:rsidRPr="007C5A6E">
        <w:rPr>
          <w:rFonts w:ascii="Times New Roman" w:hAnsi="Times New Roman"/>
          <w:i w:val="0"/>
          <w:iCs w:val="0"/>
          <w:noProof/>
          <w:color w:val="auto"/>
          <w:sz w:val="24"/>
          <w:szCs w:val="24"/>
        </w:rPr>
        <w:t>56</w:t>
      </w:r>
      <w:r w:rsidRPr="007C5A6E">
        <w:rPr>
          <w:rFonts w:ascii="Times New Roman" w:hAnsi="Times New Roman"/>
          <w:i w:val="0"/>
          <w:iCs w:val="0"/>
          <w:color w:val="auto"/>
          <w:sz w:val="24"/>
          <w:szCs w:val="24"/>
        </w:rPr>
        <w:fldChar w:fldCharType="end"/>
      </w:r>
      <w:r w:rsidR="007E6534" w:rsidRPr="007C5A6E">
        <w:rPr>
          <w:rFonts w:ascii="Times New Roman" w:hAnsi="Times New Roman"/>
          <w:i w:val="0"/>
          <w:iCs w:val="0"/>
          <w:color w:val="auto"/>
          <w:sz w:val="24"/>
          <w:szCs w:val="24"/>
        </w:rPr>
        <w:t xml:space="preserve"> : Liste des actions d’atténuation</w:t>
      </w:r>
      <w:bookmarkEnd w:id="1244"/>
      <w:bookmarkEnd w:id="1245"/>
      <w:bookmarkEnd w:id="1246"/>
      <w:bookmarkEnd w:id="1247"/>
      <w:r w:rsidR="007E6534" w:rsidRPr="007C5A6E">
        <w:rPr>
          <w:rFonts w:ascii="Times New Roman" w:hAnsi="Times New Roman"/>
          <w:i w:val="0"/>
          <w:iCs w:val="0"/>
          <w:color w:val="auto"/>
          <w:sz w:val="24"/>
          <w:szCs w:val="24"/>
        </w:rPr>
        <w:t xml:space="preserve"> </w:t>
      </w:r>
    </w:p>
    <w:p w14:paraId="5ADA6C4B" w14:textId="77777777" w:rsidR="00637FDC" w:rsidRPr="007C5A6E" w:rsidRDefault="00637FDC" w:rsidP="00637FDC">
      <w:pPr>
        <w:spacing w:after="0" w:line="240" w:lineRule="auto"/>
        <w:rPr>
          <w:rFonts w:ascii="Times New Roman" w:hAnsi="Times New Roman"/>
          <w:sz w:val="24"/>
          <w:szCs w:val="24"/>
        </w:rPr>
      </w:pPr>
    </w:p>
    <w:tbl>
      <w:tblPr>
        <w:tblStyle w:val="Grilledutableau9"/>
        <w:tblW w:w="9067" w:type="dxa"/>
        <w:tblLayout w:type="fixed"/>
        <w:tblLook w:val="04A0" w:firstRow="1" w:lastRow="0" w:firstColumn="1" w:lastColumn="0" w:noHBand="0" w:noVBand="1"/>
      </w:tblPr>
      <w:tblGrid>
        <w:gridCol w:w="988"/>
        <w:gridCol w:w="1559"/>
        <w:gridCol w:w="2268"/>
        <w:gridCol w:w="1276"/>
        <w:gridCol w:w="992"/>
        <w:gridCol w:w="992"/>
        <w:gridCol w:w="992"/>
      </w:tblGrid>
      <w:tr w:rsidR="007E6534" w:rsidRPr="007C5A6E" w14:paraId="0D1AFC3B" w14:textId="77777777" w:rsidTr="00637FDC">
        <w:tc>
          <w:tcPr>
            <w:tcW w:w="988" w:type="dxa"/>
            <w:vMerge w:val="restart"/>
            <w:shd w:val="clear" w:color="auto" w:fill="002060"/>
          </w:tcPr>
          <w:p w14:paraId="01D11153"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 xml:space="preserve">Secteur </w:t>
            </w:r>
          </w:p>
        </w:tc>
        <w:tc>
          <w:tcPr>
            <w:tcW w:w="1559" w:type="dxa"/>
            <w:vMerge w:val="restart"/>
            <w:shd w:val="clear" w:color="auto" w:fill="002060"/>
          </w:tcPr>
          <w:p w14:paraId="4C923E45"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 xml:space="preserve">Scénario </w:t>
            </w:r>
          </w:p>
        </w:tc>
        <w:tc>
          <w:tcPr>
            <w:tcW w:w="2268" w:type="dxa"/>
            <w:vMerge w:val="restart"/>
            <w:shd w:val="clear" w:color="auto" w:fill="002060"/>
          </w:tcPr>
          <w:p w14:paraId="216BC1D9"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Action/Projet</w:t>
            </w:r>
          </w:p>
        </w:tc>
        <w:tc>
          <w:tcPr>
            <w:tcW w:w="1276" w:type="dxa"/>
            <w:vMerge w:val="restart"/>
            <w:shd w:val="clear" w:color="auto" w:fill="002060"/>
          </w:tcPr>
          <w:p w14:paraId="3DF87813"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Coût</w:t>
            </w:r>
          </w:p>
          <w:p w14:paraId="00234D5E"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(USD)</w:t>
            </w:r>
          </w:p>
        </w:tc>
        <w:tc>
          <w:tcPr>
            <w:tcW w:w="2976" w:type="dxa"/>
            <w:gridSpan w:val="3"/>
            <w:shd w:val="clear" w:color="auto" w:fill="002060"/>
          </w:tcPr>
          <w:p w14:paraId="655BC82B"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Potentiel (GgCO2eq)</w:t>
            </w:r>
          </w:p>
        </w:tc>
      </w:tr>
      <w:tr w:rsidR="007E6534" w:rsidRPr="007C5A6E" w14:paraId="45A62938" w14:textId="77777777" w:rsidTr="00637FDC">
        <w:tc>
          <w:tcPr>
            <w:tcW w:w="988" w:type="dxa"/>
            <w:vMerge/>
          </w:tcPr>
          <w:p w14:paraId="5F4B26CB" w14:textId="77777777" w:rsidR="007E6534" w:rsidRPr="007C5A6E" w:rsidRDefault="007E6534" w:rsidP="007E6534">
            <w:pPr>
              <w:spacing w:after="0" w:line="240" w:lineRule="auto"/>
              <w:rPr>
                <w:rFonts w:ascii="Times New Roman" w:hAnsi="Times New Roman"/>
              </w:rPr>
            </w:pPr>
          </w:p>
        </w:tc>
        <w:tc>
          <w:tcPr>
            <w:tcW w:w="1559" w:type="dxa"/>
            <w:vMerge/>
          </w:tcPr>
          <w:p w14:paraId="611C1EE6" w14:textId="77777777" w:rsidR="007E6534" w:rsidRPr="007C5A6E" w:rsidRDefault="007E6534" w:rsidP="007E6534">
            <w:pPr>
              <w:spacing w:after="0" w:line="240" w:lineRule="auto"/>
              <w:rPr>
                <w:rFonts w:ascii="Times New Roman" w:hAnsi="Times New Roman"/>
              </w:rPr>
            </w:pPr>
          </w:p>
        </w:tc>
        <w:tc>
          <w:tcPr>
            <w:tcW w:w="2268" w:type="dxa"/>
            <w:vMerge/>
          </w:tcPr>
          <w:p w14:paraId="0EDA3FA4" w14:textId="77777777" w:rsidR="007E6534" w:rsidRPr="007C5A6E" w:rsidRDefault="007E6534" w:rsidP="007E6534">
            <w:pPr>
              <w:spacing w:after="0" w:line="240" w:lineRule="auto"/>
              <w:rPr>
                <w:rFonts w:ascii="Times New Roman" w:hAnsi="Times New Roman"/>
              </w:rPr>
            </w:pPr>
          </w:p>
        </w:tc>
        <w:tc>
          <w:tcPr>
            <w:tcW w:w="1276" w:type="dxa"/>
            <w:vMerge/>
          </w:tcPr>
          <w:p w14:paraId="65C82123" w14:textId="77777777" w:rsidR="007E6534" w:rsidRPr="007C5A6E" w:rsidRDefault="007E6534" w:rsidP="007E6534">
            <w:pPr>
              <w:spacing w:after="0" w:line="240" w:lineRule="auto"/>
              <w:rPr>
                <w:rFonts w:ascii="Times New Roman" w:hAnsi="Times New Roman"/>
              </w:rPr>
            </w:pPr>
          </w:p>
        </w:tc>
        <w:tc>
          <w:tcPr>
            <w:tcW w:w="992" w:type="dxa"/>
            <w:shd w:val="clear" w:color="auto" w:fill="F7CAAC" w:themeFill="accent2" w:themeFillTint="66"/>
          </w:tcPr>
          <w:p w14:paraId="49AC1C26" w14:textId="77777777" w:rsidR="007E6534" w:rsidRPr="007C5A6E" w:rsidRDefault="007E6534" w:rsidP="007E6534">
            <w:pPr>
              <w:spacing w:after="0" w:line="240" w:lineRule="auto"/>
              <w:rPr>
                <w:rFonts w:ascii="Times New Roman" w:hAnsi="Times New Roman"/>
              </w:rPr>
            </w:pPr>
            <w:r w:rsidRPr="007C5A6E">
              <w:rPr>
                <w:rFonts w:ascii="Times New Roman" w:hAnsi="Times New Roman"/>
              </w:rPr>
              <w:t>2025</w:t>
            </w:r>
          </w:p>
        </w:tc>
        <w:tc>
          <w:tcPr>
            <w:tcW w:w="992" w:type="dxa"/>
            <w:shd w:val="clear" w:color="auto" w:fill="F7CAAC" w:themeFill="accent2" w:themeFillTint="66"/>
          </w:tcPr>
          <w:p w14:paraId="6AC0AEE0" w14:textId="77777777" w:rsidR="007E6534" w:rsidRPr="007C5A6E" w:rsidRDefault="007E6534" w:rsidP="007E6534">
            <w:pPr>
              <w:spacing w:after="0" w:line="240" w:lineRule="auto"/>
              <w:rPr>
                <w:rFonts w:ascii="Times New Roman" w:hAnsi="Times New Roman"/>
              </w:rPr>
            </w:pPr>
            <w:r w:rsidRPr="007C5A6E">
              <w:rPr>
                <w:rFonts w:ascii="Times New Roman" w:hAnsi="Times New Roman"/>
              </w:rPr>
              <w:t>2023</w:t>
            </w:r>
          </w:p>
        </w:tc>
        <w:tc>
          <w:tcPr>
            <w:tcW w:w="992" w:type="dxa"/>
            <w:shd w:val="clear" w:color="auto" w:fill="F7CAAC" w:themeFill="accent2" w:themeFillTint="66"/>
          </w:tcPr>
          <w:p w14:paraId="7D01B5BE" w14:textId="77777777" w:rsidR="007E6534" w:rsidRPr="007C5A6E" w:rsidRDefault="007E6534" w:rsidP="007E6534">
            <w:pPr>
              <w:spacing w:after="0" w:line="240" w:lineRule="auto"/>
              <w:rPr>
                <w:rFonts w:ascii="Times New Roman" w:hAnsi="Times New Roman"/>
              </w:rPr>
            </w:pPr>
            <w:r w:rsidRPr="007C5A6E">
              <w:rPr>
                <w:rFonts w:ascii="Times New Roman" w:hAnsi="Times New Roman"/>
              </w:rPr>
              <w:t>2050</w:t>
            </w:r>
          </w:p>
        </w:tc>
      </w:tr>
      <w:tr w:rsidR="007E6534" w:rsidRPr="007C5A6E" w14:paraId="26808ECC" w14:textId="77777777" w:rsidTr="00F23EE9">
        <w:tc>
          <w:tcPr>
            <w:tcW w:w="988" w:type="dxa"/>
            <w:vMerge w:val="restart"/>
          </w:tcPr>
          <w:p w14:paraId="1288121A"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AFAT</w:t>
            </w:r>
          </w:p>
        </w:tc>
        <w:tc>
          <w:tcPr>
            <w:tcW w:w="1559" w:type="dxa"/>
            <w:vMerge w:val="restart"/>
          </w:tcPr>
          <w:p w14:paraId="092B313C"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 xml:space="preserve">Inconditionnel </w:t>
            </w:r>
          </w:p>
        </w:tc>
        <w:tc>
          <w:tcPr>
            <w:tcW w:w="2268" w:type="dxa"/>
          </w:tcPr>
          <w:p w14:paraId="590C90B4"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Projet d’appui aux populations dépendantes de la forêt PAPF/DGM</w:t>
            </w:r>
          </w:p>
        </w:tc>
        <w:tc>
          <w:tcPr>
            <w:tcW w:w="1276" w:type="dxa"/>
          </w:tcPr>
          <w:p w14:paraId="52183549"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4 500 000</w:t>
            </w:r>
          </w:p>
        </w:tc>
        <w:tc>
          <w:tcPr>
            <w:tcW w:w="992" w:type="dxa"/>
          </w:tcPr>
          <w:p w14:paraId="05C120F1"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3200,50</w:t>
            </w:r>
          </w:p>
        </w:tc>
        <w:tc>
          <w:tcPr>
            <w:tcW w:w="992" w:type="dxa"/>
          </w:tcPr>
          <w:p w14:paraId="5D1974D9"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6401,00</w:t>
            </w:r>
          </w:p>
        </w:tc>
        <w:tc>
          <w:tcPr>
            <w:tcW w:w="992" w:type="dxa"/>
          </w:tcPr>
          <w:p w14:paraId="34A4849F"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12802,00</w:t>
            </w:r>
          </w:p>
        </w:tc>
      </w:tr>
      <w:tr w:rsidR="007E6534" w:rsidRPr="007C5A6E" w14:paraId="2562BE43" w14:textId="77777777" w:rsidTr="00F23EE9">
        <w:tc>
          <w:tcPr>
            <w:tcW w:w="988" w:type="dxa"/>
            <w:vMerge/>
          </w:tcPr>
          <w:p w14:paraId="2CF2E314" w14:textId="77777777" w:rsidR="007E6534" w:rsidRPr="007C5A6E" w:rsidRDefault="007E6534" w:rsidP="007E6534">
            <w:pPr>
              <w:spacing w:after="0" w:line="240" w:lineRule="auto"/>
              <w:rPr>
                <w:rFonts w:ascii="Times New Roman" w:hAnsi="Times New Roman"/>
                <w:sz w:val="21"/>
                <w:szCs w:val="21"/>
              </w:rPr>
            </w:pPr>
          </w:p>
        </w:tc>
        <w:tc>
          <w:tcPr>
            <w:tcW w:w="1559" w:type="dxa"/>
            <w:vMerge/>
          </w:tcPr>
          <w:p w14:paraId="7CFE4E3A" w14:textId="77777777" w:rsidR="007E6534" w:rsidRPr="007C5A6E" w:rsidRDefault="007E6534" w:rsidP="007E6534">
            <w:pPr>
              <w:spacing w:after="0" w:line="240" w:lineRule="auto"/>
              <w:rPr>
                <w:rFonts w:ascii="Times New Roman" w:hAnsi="Times New Roman"/>
                <w:sz w:val="21"/>
                <w:szCs w:val="21"/>
              </w:rPr>
            </w:pPr>
          </w:p>
        </w:tc>
        <w:tc>
          <w:tcPr>
            <w:tcW w:w="2268" w:type="dxa"/>
          </w:tcPr>
          <w:p w14:paraId="430C10B7"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Projet d’appui au développement de l’anacarde dans le bassin de la Comoé pour la REDD+ (PADA/REDD+)</w:t>
            </w:r>
          </w:p>
        </w:tc>
        <w:tc>
          <w:tcPr>
            <w:tcW w:w="1276" w:type="dxa"/>
          </w:tcPr>
          <w:p w14:paraId="40EA09E2"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10 968 000</w:t>
            </w:r>
          </w:p>
        </w:tc>
        <w:tc>
          <w:tcPr>
            <w:tcW w:w="992" w:type="dxa"/>
          </w:tcPr>
          <w:p w14:paraId="6D89EEED"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4326,80</w:t>
            </w:r>
          </w:p>
        </w:tc>
        <w:tc>
          <w:tcPr>
            <w:tcW w:w="992" w:type="dxa"/>
          </w:tcPr>
          <w:p w14:paraId="5F9FF368"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8653,60</w:t>
            </w:r>
          </w:p>
        </w:tc>
        <w:tc>
          <w:tcPr>
            <w:tcW w:w="992" w:type="dxa"/>
          </w:tcPr>
          <w:p w14:paraId="1649B99F"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364,80</w:t>
            </w:r>
          </w:p>
        </w:tc>
      </w:tr>
      <w:tr w:rsidR="007E6534" w:rsidRPr="007C5A6E" w14:paraId="143E4539" w14:textId="77777777" w:rsidTr="00F23EE9">
        <w:tc>
          <w:tcPr>
            <w:tcW w:w="988" w:type="dxa"/>
            <w:vMerge/>
          </w:tcPr>
          <w:p w14:paraId="5829DE57" w14:textId="77777777" w:rsidR="007E6534" w:rsidRPr="007C5A6E" w:rsidRDefault="007E6534" w:rsidP="007E6534">
            <w:pPr>
              <w:spacing w:after="0" w:line="240" w:lineRule="auto"/>
              <w:rPr>
                <w:rFonts w:ascii="Times New Roman" w:hAnsi="Times New Roman"/>
                <w:sz w:val="21"/>
                <w:szCs w:val="21"/>
              </w:rPr>
            </w:pPr>
          </w:p>
        </w:tc>
        <w:tc>
          <w:tcPr>
            <w:tcW w:w="1559" w:type="dxa"/>
            <w:vMerge w:val="restart"/>
          </w:tcPr>
          <w:p w14:paraId="59438CD1"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Conditionnel</w:t>
            </w:r>
          </w:p>
        </w:tc>
        <w:tc>
          <w:tcPr>
            <w:tcW w:w="2268" w:type="dxa"/>
          </w:tcPr>
          <w:p w14:paraId="0F7E0645"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Forêts, agroforesterie et mise en place de jardins nutritifs pour une diversification climato-intelligente</w:t>
            </w:r>
          </w:p>
        </w:tc>
        <w:tc>
          <w:tcPr>
            <w:tcW w:w="1276" w:type="dxa"/>
          </w:tcPr>
          <w:p w14:paraId="70C33E75"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5 700 000</w:t>
            </w:r>
          </w:p>
        </w:tc>
        <w:tc>
          <w:tcPr>
            <w:tcW w:w="992" w:type="dxa"/>
          </w:tcPr>
          <w:p w14:paraId="0D4013F4"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1757,30</w:t>
            </w:r>
          </w:p>
        </w:tc>
        <w:tc>
          <w:tcPr>
            <w:tcW w:w="992" w:type="dxa"/>
          </w:tcPr>
          <w:p w14:paraId="6E4A3E72"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3514,50</w:t>
            </w:r>
          </w:p>
        </w:tc>
        <w:tc>
          <w:tcPr>
            <w:tcW w:w="992" w:type="dxa"/>
          </w:tcPr>
          <w:p w14:paraId="314A8E35"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12300,80</w:t>
            </w:r>
          </w:p>
        </w:tc>
      </w:tr>
      <w:tr w:rsidR="007E6534" w:rsidRPr="007C5A6E" w14:paraId="0D8C27BB" w14:textId="77777777" w:rsidTr="00F23EE9">
        <w:tc>
          <w:tcPr>
            <w:tcW w:w="988" w:type="dxa"/>
            <w:vMerge/>
          </w:tcPr>
          <w:p w14:paraId="33F25780" w14:textId="77777777" w:rsidR="007E6534" w:rsidRPr="007C5A6E" w:rsidRDefault="007E6534" w:rsidP="007E6534">
            <w:pPr>
              <w:spacing w:after="0" w:line="240" w:lineRule="auto"/>
              <w:rPr>
                <w:rFonts w:ascii="Times New Roman" w:hAnsi="Times New Roman"/>
                <w:sz w:val="21"/>
                <w:szCs w:val="21"/>
              </w:rPr>
            </w:pPr>
          </w:p>
        </w:tc>
        <w:tc>
          <w:tcPr>
            <w:tcW w:w="1559" w:type="dxa"/>
            <w:vMerge/>
          </w:tcPr>
          <w:p w14:paraId="7313A163" w14:textId="77777777" w:rsidR="007E6534" w:rsidRPr="007C5A6E" w:rsidRDefault="007E6534" w:rsidP="007E6534">
            <w:pPr>
              <w:spacing w:after="0" w:line="240" w:lineRule="auto"/>
              <w:rPr>
                <w:rFonts w:ascii="Times New Roman" w:hAnsi="Times New Roman"/>
                <w:sz w:val="21"/>
                <w:szCs w:val="21"/>
              </w:rPr>
            </w:pPr>
          </w:p>
        </w:tc>
        <w:tc>
          <w:tcPr>
            <w:tcW w:w="2268" w:type="dxa"/>
          </w:tcPr>
          <w:p w14:paraId="532355A4"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Réalisation de 100000 hectares de Régénération Naturelle Assistée dans 25 communes du Burkina Faso</w:t>
            </w:r>
          </w:p>
        </w:tc>
        <w:tc>
          <w:tcPr>
            <w:tcW w:w="1276" w:type="dxa"/>
          </w:tcPr>
          <w:p w14:paraId="0D994607"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15 800 000</w:t>
            </w:r>
          </w:p>
        </w:tc>
        <w:tc>
          <w:tcPr>
            <w:tcW w:w="992" w:type="dxa"/>
          </w:tcPr>
          <w:p w14:paraId="4C203F07"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812,20</w:t>
            </w:r>
          </w:p>
        </w:tc>
        <w:tc>
          <w:tcPr>
            <w:tcW w:w="992" w:type="dxa"/>
          </w:tcPr>
          <w:p w14:paraId="0C1ECA23"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1624,50</w:t>
            </w:r>
          </w:p>
        </w:tc>
        <w:tc>
          <w:tcPr>
            <w:tcW w:w="992" w:type="dxa"/>
          </w:tcPr>
          <w:p w14:paraId="143D44FC" w14:textId="77777777" w:rsidR="007E6534" w:rsidRPr="007C5A6E" w:rsidRDefault="007E6534" w:rsidP="007E6534">
            <w:pPr>
              <w:spacing w:after="0" w:line="240" w:lineRule="auto"/>
              <w:rPr>
                <w:rFonts w:ascii="Times New Roman" w:hAnsi="Times New Roman"/>
                <w:sz w:val="21"/>
                <w:szCs w:val="21"/>
              </w:rPr>
            </w:pPr>
            <w:r w:rsidRPr="007C5A6E">
              <w:rPr>
                <w:rFonts w:ascii="Times New Roman" w:hAnsi="Times New Roman"/>
                <w:sz w:val="21"/>
                <w:szCs w:val="21"/>
              </w:rPr>
              <w:t>5685,60</w:t>
            </w:r>
          </w:p>
        </w:tc>
      </w:tr>
    </w:tbl>
    <w:p w14:paraId="54DCDC8A" w14:textId="77777777" w:rsidR="007E6534" w:rsidRPr="007C5A6E" w:rsidRDefault="007E6534" w:rsidP="007E6534">
      <w:pPr>
        <w:spacing w:after="0" w:line="240" w:lineRule="auto"/>
        <w:jc w:val="both"/>
        <w:rPr>
          <w:rFonts w:ascii="Times New Roman" w:hAnsi="Times New Roman"/>
          <w:sz w:val="20"/>
          <w:szCs w:val="20"/>
        </w:rPr>
      </w:pPr>
      <w:r w:rsidRPr="007C5A6E">
        <w:rPr>
          <w:rFonts w:ascii="Times New Roman" w:hAnsi="Times New Roman"/>
          <w:sz w:val="20"/>
          <w:szCs w:val="20"/>
        </w:rPr>
        <w:t>Source : Burkina Faso, 2021</w:t>
      </w:r>
    </w:p>
    <w:p w14:paraId="38058F65" w14:textId="77777777" w:rsidR="007E6534" w:rsidRPr="007C5A6E" w:rsidRDefault="007E6534" w:rsidP="007E6534">
      <w:pPr>
        <w:spacing w:after="0" w:line="240" w:lineRule="auto"/>
        <w:jc w:val="both"/>
        <w:rPr>
          <w:rFonts w:ascii="Times New Roman" w:hAnsi="Times New Roman"/>
          <w:sz w:val="24"/>
          <w:szCs w:val="24"/>
        </w:rPr>
      </w:pPr>
    </w:p>
    <w:p w14:paraId="485AF9CC" w14:textId="77777777" w:rsidR="007E6534" w:rsidRPr="007C5A6E" w:rsidRDefault="007E6534" w:rsidP="00684FF8">
      <w:pPr>
        <w:pStyle w:val="Titre4"/>
      </w:pPr>
      <w:bookmarkStart w:id="1248" w:name="_Toc183340255"/>
      <w:r w:rsidRPr="007C5A6E">
        <w:t>En matière de contrôle des espèces</w:t>
      </w:r>
      <w:bookmarkEnd w:id="1248"/>
      <w:r w:rsidRPr="007C5A6E">
        <w:t xml:space="preserve"> </w:t>
      </w:r>
    </w:p>
    <w:p w14:paraId="3931C8DE" w14:textId="77777777" w:rsidR="002D61D5" w:rsidRPr="007C5A6E" w:rsidRDefault="002D61D5" w:rsidP="002D61D5">
      <w:pPr>
        <w:spacing w:after="0" w:line="240" w:lineRule="auto"/>
        <w:jc w:val="both"/>
        <w:rPr>
          <w:rFonts w:ascii="Times New Roman" w:hAnsi="Times New Roman"/>
          <w:sz w:val="24"/>
          <w:szCs w:val="24"/>
        </w:rPr>
      </w:pPr>
    </w:p>
    <w:p w14:paraId="652DD45C" w14:textId="7153DC27" w:rsidR="007E6534" w:rsidRPr="007C5A6E" w:rsidRDefault="007E6534" w:rsidP="002D61D5">
      <w:pPr>
        <w:spacing w:after="0" w:line="240" w:lineRule="auto"/>
        <w:jc w:val="both"/>
        <w:rPr>
          <w:rFonts w:ascii="Times New Roman" w:hAnsi="Times New Roman"/>
          <w:sz w:val="24"/>
          <w:szCs w:val="24"/>
        </w:rPr>
      </w:pPr>
      <w:r w:rsidRPr="007C5A6E">
        <w:rPr>
          <w:rFonts w:ascii="Times New Roman" w:hAnsi="Times New Roman"/>
          <w:sz w:val="24"/>
          <w:szCs w:val="24"/>
        </w:rPr>
        <w:t xml:space="preserve">Sur les 42 espèces envahissantes présentes au Burkina Faso, 15 ont fait l’objet d’un travail de recherche de technologies pour leur contrôle et éradication. 12 espèces parmi ces 15 qui ont fait l’objet de recherche disposent de technologies de contrôle (Herbicide, </w:t>
      </w:r>
      <w:proofErr w:type="spellStart"/>
      <w:r w:rsidRPr="007C5A6E">
        <w:rPr>
          <w:rFonts w:ascii="Times New Roman" w:hAnsi="Times New Roman"/>
          <w:sz w:val="24"/>
          <w:szCs w:val="24"/>
        </w:rPr>
        <w:t>Bio-contrôle</w:t>
      </w:r>
      <w:proofErr w:type="spellEnd"/>
      <w:r w:rsidRPr="007C5A6E">
        <w:rPr>
          <w:rFonts w:ascii="Times New Roman" w:hAnsi="Times New Roman"/>
          <w:sz w:val="24"/>
          <w:szCs w:val="24"/>
        </w:rPr>
        <w:t xml:space="preserve"> ou contrôle-mécanique) avérées. Par truchement de la coopération régionale et internationale, des échantillons doubles d’espèces sont gardés dans des banques de gènes des institutions partenaires comme IITA, ADRAO et ICRISAT en Afrique, le jardin botanique de Kew (Angleterre), CIRAD Forêt (France) en Europe, mais également en Asie et aux USA (MEEVCC, 2020</w:t>
      </w:r>
      <w:proofErr w:type="gramStart"/>
      <w:r w:rsidRPr="007C5A6E">
        <w:rPr>
          <w:rFonts w:ascii="Times New Roman" w:hAnsi="Times New Roman"/>
          <w:sz w:val="24"/>
          <w:szCs w:val="24"/>
        </w:rPr>
        <w:t>);</w:t>
      </w:r>
      <w:proofErr w:type="gramEnd"/>
    </w:p>
    <w:p w14:paraId="2A38B1AD" w14:textId="77777777" w:rsidR="007E6534" w:rsidRPr="007C5A6E" w:rsidRDefault="007E6534" w:rsidP="007E6534">
      <w:pPr>
        <w:spacing w:after="0" w:line="240" w:lineRule="auto"/>
        <w:ind w:left="720"/>
        <w:contextualSpacing/>
        <w:jc w:val="both"/>
        <w:rPr>
          <w:rFonts w:ascii="Times New Roman" w:hAnsi="Times New Roman"/>
          <w:sz w:val="24"/>
          <w:szCs w:val="24"/>
        </w:rPr>
      </w:pPr>
    </w:p>
    <w:p w14:paraId="5C051509" w14:textId="77777777" w:rsidR="007E6534" w:rsidRPr="007C5A6E" w:rsidRDefault="007E6534" w:rsidP="00684FF8">
      <w:pPr>
        <w:pStyle w:val="Titre4"/>
      </w:pPr>
      <w:bookmarkStart w:id="1249" w:name="_Toc183340256"/>
      <w:r w:rsidRPr="007C5A6E">
        <w:t>En matière de prise en compte de la dimension transfrontière dans la gestion des ressources</w:t>
      </w:r>
      <w:bookmarkEnd w:id="1249"/>
    </w:p>
    <w:p w14:paraId="32468FC6" w14:textId="77777777" w:rsidR="002D61D5" w:rsidRPr="007C5A6E" w:rsidRDefault="002D61D5" w:rsidP="002D61D5">
      <w:pPr>
        <w:spacing w:after="0" w:line="240" w:lineRule="auto"/>
        <w:jc w:val="both"/>
        <w:rPr>
          <w:rFonts w:ascii="Times New Roman" w:hAnsi="Times New Roman"/>
          <w:sz w:val="24"/>
          <w:szCs w:val="24"/>
        </w:rPr>
      </w:pPr>
    </w:p>
    <w:p w14:paraId="4A04D648" w14:textId="45F3BA80" w:rsidR="007E6534" w:rsidRPr="007C5A6E" w:rsidRDefault="007E6534" w:rsidP="002D61D5">
      <w:pPr>
        <w:spacing w:after="0" w:line="240" w:lineRule="auto"/>
        <w:jc w:val="both"/>
        <w:rPr>
          <w:rFonts w:ascii="Times New Roman" w:hAnsi="Times New Roman"/>
          <w:sz w:val="24"/>
          <w:szCs w:val="24"/>
        </w:rPr>
      </w:pPr>
      <w:r w:rsidRPr="007C5A6E">
        <w:rPr>
          <w:rFonts w:ascii="Times New Roman" w:hAnsi="Times New Roman"/>
          <w:sz w:val="24"/>
          <w:szCs w:val="24"/>
        </w:rPr>
        <w:t>Des activités partagées avec les pays voisins, tant dans les espaces transfrontaliers qu’au niveau des organes nationaux de coordination ont été réalisées (IGMVSS ; AP transfrontalières ; etc.). A ce titre, il faut noter l’existence de textes réglementaires pour le contrôle transfrontalier des espèces (DECRET N° 2013- 046 IPRES</w:t>
      </w:r>
      <w:r w:rsidRPr="007C5A6E">
        <w:t xml:space="preserve"> </w:t>
      </w:r>
      <w:r w:rsidRPr="007C5A6E">
        <w:rPr>
          <w:rFonts w:ascii="Times New Roman" w:hAnsi="Times New Roman"/>
          <w:sz w:val="24"/>
          <w:szCs w:val="24"/>
        </w:rPr>
        <w:t xml:space="preserve">promulguant de la loi n° 064-2012/AN du 20 Décembre 2012 portant régime de sécurité en matière de biotechnologie ; Règlement C/REG, 04/09/2020. Relatif à la prévention des risques biotechnologiques dans l’espace CEDEAO).  </w:t>
      </w:r>
    </w:p>
    <w:p w14:paraId="369D6418" w14:textId="77777777" w:rsidR="007E6534" w:rsidRPr="007C5A6E" w:rsidRDefault="007E6534" w:rsidP="007E6534">
      <w:pPr>
        <w:spacing w:after="0" w:line="240" w:lineRule="auto"/>
        <w:jc w:val="both"/>
        <w:rPr>
          <w:rFonts w:ascii="Times New Roman" w:hAnsi="Times New Roman"/>
          <w:sz w:val="24"/>
          <w:szCs w:val="24"/>
        </w:rPr>
      </w:pPr>
    </w:p>
    <w:p w14:paraId="4F15C1B0" w14:textId="38D0065F" w:rsidR="007E6534" w:rsidRPr="007C5A6E" w:rsidRDefault="007E6534" w:rsidP="00684FF8">
      <w:pPr>
        <w:pStyle w:val="Titre4"/>
      </w:pPr>
      <w:bookmarkStart w:id="1250" w:name="_Toc183340257"/>
      <w:r w:rsidRPr="007C5A6E">
        <w:t>En matière de développement d’approches innovantes de développement fondées sur la nature y compris l’approche N</w:t>
      </w:r>
      <w:r w:rsidR="002D61D5" w:rsidRPr="007C5A6E">
        <w:t>DT</w:t>
      </w:r>
      <w:r w:rsidRPr="007C5A6E">
        <w:t xml:space="preserve"> et atténuation des conflits communautaires.</w:t>
      </w:r>
      <w:bookmarkEnd w:id="1250"/>
      <w:r w:rsidRPr="007C5A6E">
        <w:t xml:space="preserve"> </w:t>
      </w:r>
    </w:p>
    <w:p w14:paraId="0C56A39A" w14:textId="77777777" w:rsidR="002D61D5" w:rsidRPr="007C5A6E" w:rsidRDefault="002D61D5" w:rsidP="002D61D5">
      <w:pPr>
        <w:spacing w:after="0" w:line="240" w:lineRule="auto"/>
        <w:jc w:val="both"/>
        <w:rPr>
          <w:rFonts w:ascii="Times New Roman" w:hAnsi="Times New Roman"/>
          <w:sz w:val="24"/>
          <w:szCs w:val="24"/>
        </w:rPr>
      </w:pPr>
    </w:p>
    <w:p w14:paraId="10B45608" w14:textId="58067F83" w:rsidR="007E6534" w:rsidRPr="007C5A6E" w:rsidRDefault="007E6534" w:rsidP="002D61D5">
      <w:pPr>
        <w:spacing w:after="0" w:line="240" w:lineRule="auto"/>
        <w:jc w:val="both"/>
        <w:rPr>
          <w:rFonts w:ascii="Times New Roman" w:hAnsi="Times New Roman"/>
          <w:sz w:val="24"/>
          <w:szCs w:val="24"/>
        </w:rPr>
      </w:pPr>
      <w:r w:rsidRPr="007C5A6E">
        <w:rPr>
          <w:rFonts w:ascii="Times New Roman" w:hAnsi="Times New Roman"/>
          <w:sz w:val="24"/>
          <w:szCs w:val="24"/>
        </w:rPr>
        <w:t xml:space="preserve">A ce niveau, nous notons que les </w:t>
      </w:r>
      <w:proofErr w:type="spellStart"/>
      <w:r w:rsidRPr="007C5A6E">
        <w:rPr>
          <w:rFonts w:ascii="Times New Roman" w:hAnsi="Times New Roman"/>
          <w:sz w:val="24"/>
          <w:szCs w:val="24"/>
        </w:rPr>
        <w:t>SfN</w:t>
      </w:r>
      <w:proofErr w:type="spellEnd"/>
      <w:r w:rsidRPr="007C5A6E">
        <w:rPr>
          <w:rFonts w:ascii="Times New Roman" w:hAnsi="Times New Roman"/>
          <w:sz w:val="24"/>
          <w:szCs w:val="24"/>
        </w:rPr>
        <w:t xml:space="preserve"> sont également susceptibles de fournir des moyens de défense puissants contre les impacts et les dangers à long terme du changement climatique qui constitue la principale menace pour la biodiversité (IUCN, 2020). Les principes fondamentaux des </w:t>
      </w:r>
      <w:proofErr w:type="spellStart"/>
      <w:r w:rsidRPr="007C5A6E">
        <w:rPr>
          <w:rFonts w:ascii="Times New Roman" w:hAnsi="Times New Roman"/>
          <w:sz w:val="24"/>
          <w:szCs w:val="24"/>
        </w:rPr>
        <w:t>SfN</w:t>
      </w:r>
      <w:proofErr w:type="spellEnd"/>
      <w:r w:rsidRPr="007C5A6E">
        <w:rPr>
          <w:rFonts w:ascii="Times New Roman" w:hAnsi="Times New Roman"/>
          <w:sz w:val="24"/>
          <w:szCs w:val="24"/>
        </w:rPr>
        <w:t xml:space="preserve"> s’inspirent de pratiques éprouvées telles que la restauration des paysages forestiers, la gestion intégrée des ressources hydriques, l’adaptation et l’atténuation du changement climatique fondée sur les écosystèmes, et la prévention des risques de catastrophes naturelles fondée sur les écosystèmes ; désormais les actions concertées entre les différents secteurs d’activité tiennent compte de la nature. Les </w:t>
      </w:r>
      <w:proofErr w:type="spellStart"/>
      <w:r w:rsidRPr="007C5A6E">
        <w:rPr>
          <w:rFonts w:ascii="Times New Roman" w:hAnsi="Times New Roman"/>
          <w:sz w:val="24"/>
          <w:szCs w:val="24"/>
        </w:rPr>
        <w:t>SfN</w:t>
      </w:r>
      <w:proofErr w:type="spellEnd"/>
      <w:r w:rsidRPr="007C5A6E">
        <w:rPr>
          <w:rFonts w:ascii="Times New Roman" w:hAnsi="Times New Roman"/>
          <w:sz w:val="24"/>
          <w:szCs w:val="24"/>
        </w:rPr>
        <w:t xml:space="preserve"> représenteraient près de 30 % des mesures d’atténuation rentables nécessaires à la stabilisation du réchauffement en deçà des 2 °C d’ici à 2030. Au rang de telle innovations, l’on peut citer : - la ratification des conventions internationales relatives à l’économie verte ; - l’adhésion du pays à plusieurs initiatives internationales en matière de promotion de l’économie verte (Switch </w:t>
      </w:r>
      <w:proofErr w:type="spellStart"/>
      <w:r w:rsidRPr="007C5A6E">
        <w:rPr>
          <w:rFonts w:ascii="Times New Roman" w:hAnsi="Times New Roman"/>
          <w:sz w:val="24"/>
          <w:szCs w:val="24"/>
        </w:rPr>
        <w:t>Africa</w:t>
      </w:r>
      <w:proofErr w:type="spellEnd"/>
      <w:r w:rsidRPr="007C5A6E">
        <w:rPr>
          <w:rFonts w:ascii="Times New Roman" w:hAnsi="Times New Roman"/>
          <w:sz w:val="24"/>
          <w:szCs w:val="24"/>
        </w:rPr>
        <w:t xml:space="preserve"> Green, Partnership for Action on Green Economy, Programme « Economie Verte pour l’Afrique », Plan Décennal des modes de Consommation et de Production Durables, etc.) ; - la création du Ministère de l’Environnement, de l’Economie Verte et du Changement Climatique et l’érection de la Direction Générale de l’Economie Verte et du changement Climatique ; - la promotion et la mise en œuvre des évaluations environnementales dont le suivi évaluation périodique de l’état de l’environnement tel que le Rapport sur l’Etat de l’Environnement au Burkina Faso (REEB) et la création d’un Observatoire National de l’Environnement et du Développement Durable (ONEDD); - un début d’intégration de l’environnement et des liens Pauvreté-Environnement dans les politiques sectorielles; - l’opérationnalisation d’un dispositif de gestion des conflits Hommes-Faune et le dédommagement des victimes à travers le FIE; Les engagements nationaux à travers - le programme, «8000 villages, 8000 forêts» qui a évolué en « un département, une forêt»; - le projet, «une école un bosquet » qui a évolué en un programme « une école, un verger»; - l’opérationnalisation de la stratégie et plan d’action sur l’éducation environnementale et le guide sur l’écocitoyenneté.</w:t>
      </w:r>
    </w:p>
    <w:p w14:paraId="71552341" w14:textId="77777777" w:rsidR="007E6534" w:rsidRPr="007C5A6E" w:rsidRDefault="007E6534" w:rsidP="002D61D5">
      <w:pPr>
        <w:spacing w:after="0" w:line="240" w:lineRule="auto"/>
        <w:ind w:left="708"/>
        <w:jc w:val="both"/>
        <w:rPr>
          <w:rFonts w:ascii="Times New Roman" w:hAnsi="Times New Roman"/>
          <w:sz w:val="24"/>
          <w:szCs w:val="24"/>
        </w:rPr>
      </w:pPr>
    </w:p>
    <w:p w14:paraId="6A367736" w14:textId="2FAFB2E8" w:rsidR="007E6534" w:rsidRPr="007C5A6E" w:rsidRDefault="007E6534" w:rsidP="002D61D5">
      <w:pPr>
        <w:spacing w:after="0" w:line="240" w:lineRule="auto"/>
        <w:jc w:val="both"/>
        <w:rPr>
          <w:rFonts w:ascii="Times New Roman" w:hAnsi="Times New Roman"/>
          <w:sz w:val="24"/>
          <w:szCs w:val="24"/>
        </w:rPr>
      </w:pPr>
      <w:r w:rsidRPr="007C5A6E">
        <w:rPr>
          <w:rFonts w:ascii="Times New Roman" w:hAnsi="Times New Roman"/>
          <w:sz w:val="24"/>
          <w:szCs w:val="24"/>
        </w:rPr>
        <w:t xml:space="preserve">Dans le sous-secteur de l’énergie l’on note - La Promotion et la Valorisation des Energies Renouvelables (chauffe-eau solaire ; séchage et la cuisson solaire des </w:t>
      </w:r>
      <w:r w:rsidR="002D61D5" w:rsidRPr="007C5A6E">
        <w:rPr>
          <w:rFonts w:ascii="Times New Roman" w:hAnsi="Times New Roman"/>
          <w:sz w:val="24"/>
          <w:szCs w:val="24"/>
        </w:rPr>
        <w:t>aliments ;</w:t>
      </w:r>
      <w:r w:rsidRPr="007C5A6E">
        <w:rPr>
          <w:rFonts w:ascii="Times New Roman" w:hAnsi="Times New Roman"/>
          <w:sz w:val="24"/>
          <w:szCs w:val="24"/>
        </w:rPr>
        <w:t xml:space="preserve"> etc.</w:t>
      </w:r>
      <w:proofErr w:type="gramStart"/>
      <w:r w:rsidRPr="007C5A6E">
        <w:rPr>
          <w:rFonts w:ascii="Times New Roman" w:hAnsi="Times New Roman"/>
          <w:sz w:val="24"/>
          <w:szCs w:val="24"/>
        </w:rPr>
        <w:t>);</w:t>
      </w:r>
      <w:proofErr w:type="gramEnd"/>
      <w:r w:rsidRPr="007C5A6E">
        <w:rPr>
          <w:rFonts w:ascii="Times New Roman" w:hAnsi="Times New Roman"/>
          <w:sz w:val="24"/>
          <w:szCs w:val="24"/>
        </w:rPr>
        <w:t xml:space="preserve"> - La production et la commercialisation des foyers améliorés : plus de 207 894 foyers améliorés ont été fabriqués et vendus, depuis 2007 du projet «Foyers Améliorés au Burkina Faso (FAFASO)» et du Projet d’Appui au Secteur de l’Energie/PASE (MEEVCC, 2020).</w:t>
      </w:r>
    </w:p>
    <w:p w14:paraId="46884389" w14:textId="77777777" w:rsidR="007E6534" w:rsidRPr="007C5A6E" w:rsidRDefault="007E6534" w:rsidP="002D61D5">
      <w:pPr>
        <w:spacing w:after="0" w:line="240" w:lineRule="auto"/>
        <w:jc w:val="both"/>
        <w:rPr>
          <w:rFonts w:ascii="Times New Roman" w:hAnsi="Times New Roman"/>
          <w:sz w:val="24"/>
          <w:szCs w:val="24"/>
        </w:rPr>
      </w:pPr>
    </w:p>
    <w:p w14:paraId="7493AE57" w14:textId="77777777" w:rsidR="007E6534" w:rsidRPr="007C5A6E" w:rsidRDefault="007E6534" w:rsidP="002D61D5">
      <w:pPr>
        <w:spacing w:after="0" w:line="240" w:lineRule="auto"/>
        <w:jc w:val="both"/>
        <w:rPr>
          <w:rFonts w:ascii="Times New Roman" w:hAnsi="Times New Roman"/>
          <w:sz w:val="24"/>
          <w:szCs w:val="24"/>
        </w:rPr>
      </w:pPr>
      <w:r w:rsidRPr="007C5A6E">
        <w:rPr>
          <w:rFonts w:ascii="Times New Roman" w:hAnsi="Times New Roman"/>
          <w:sz w:val="24"/>
          <w:szCs w:val="24"/>
        </w:rPr>
        <w:t xml:space="preserve">Dans le secteur agricole, il importe de relever le développement des techniques de Conservation des eaux et des sols/défense et restauration des sols (CES/DRS) particulièrement dans le Centre-nord (26,5 % contre 17,5 % pour la moyenne nationale) et une la pratique de l’agroforesterie (62,3 % au niveau national) ainsi que l’utilisation des fertilisant organique (compost), l’adaptation variétale et la modification des dates de semis (KABORE et al., 2019). </w:t>
      </w:r>
    </w:p>
    <w:p w14:paraId="60943C0F" w14:textId="77777777" w:rsidR="007E6534" w:rsidRPr="007C5A6E" w:rsidRDefault="007E6534" w:rsidP="002D61D5">
      <w:pPr>
        <w:spacing w:after="0" w:line="240" w:lineRule="auto"/>
        <w:jc w:val="both"/>
        <w:rPr>
          <w:rFonts w:ascii="Times New Roman" w:hAnsi="Times New Roman"/>
          <w:sz w:val="24"/>
          <w:szCs w:val="24"/>
        </w:rPr>
      </w:pPr>
    </w:p>
    <w:p w14:paraId="31D1006A" w14:textId="77777777" w:rsidR="007E6534" w:rsidRPr="007C5A6E" w:rsidRDefault="007E6534" w:rsidP="002D61D5">
      <w:pPr>
        <w:spacing w:after="0" w:line="240" w:lineRule="auto"/>
        <w:jc w:val="both"/>
        <w:rPr>
          <w:rFonts w:ascii="Times New Roman" w:hAnsi="Times New Roman"/>
          <w:sz w:val="24"/>
          <w:szCs w:val="24"/>
        </w:rPr>
      </w:pPr>
      <w:r w:rsidRPr="007C5A6E">
        <w:rPr>
          <w:rFonts w:ascii="Times New Roman" w:hAnsi="Times New Roman"/>
          <w:sz w:val="24"/>
          <w:szCs w:val="24"/>
        </w:rPr>
        <w:t>D’autres mécanismes comme l’Agence nationale de valorisation des résultats de la recherche (l’ANVAR) (créée en 1995) et le SP/Forum national de la recherche scientifique et des innovations technologiques (FRSIT) (créé en 1996) ont été mis en place pour soutenir le processus à travers la vulgarisation des acquis de la recherche dans le domaine de l’environnement parmi lesquels on peut citer: - les techniques de greffage de plusieurs fruitiers sauvages (karité, néré, jujubier, etc.); - l’introduction d’espèces ou de variétés d’espèces forestières et agricoles à grande valeur économique et à forte productivité.</w:t>
      </w:r>
    </w:p>
    <w:p w14:paraId="070FA97B" w14:textId="77777777" w:rsidR="002D61D5" w:rsidRPr="007C5A6E" w:rsidRDefault="002D61D5" w:rsidP="002D61D5">
      <w:pPr>
        <w:spacing w:after="0" w:line="240" w:lineRule="auto"/>
        <w:jc w:val="both"/>
        <w:rPr>
          <w:rFonts w:ascii="Times New Roman" w:hAnsi="Times New Roman"/>
          <w:sz w:val="24"/>
          <w:szCs w:val="24"/>
        </w:rPr>
      </w:pPr>
    </w:p>
    <w:p w14:paraId="1FE7F266" w14:textId="7CF611A4" w:rsidR="007E6534" w:rsidRPr="007C5A6E" w:rsidRDefault="007E6534" w:rsidP="002D61D5">
      <w:pPr>
        <w:spacing w:after="0" w:line="240" w:lineRule="auto"/>
        <w:jc w:val="both"/>
        <w:rPr>
          <w:rFonts w:ascii="Times New Roman" w:hAnsi="Times New Roman"/>
          <w:sz w:val="24"/>
          <w:szCs w:val="24"/>
        </w:rPr>
      </w:pPr>
      <w:r w:rsidRPr="007C5A6E">
        <w:rPr>
          <w:rFonts w:ascii="Times New Roman" w:hAnsi="Times New Roman"/>
          <w:sz w:val="24"/>
          <w:szCs w:val="24"/>
        </w:rPr>
        <w:t>L’engagement accru des collectivités territoriales et de la société civile dans la gestion des déchets et des forêts (2 800 femmes de la</w:t>
      </w:r>
      <w:r w:rsidR="002D61D5" w:rsidRPr="007C5A6E">
        <w:rPr>
          <w:rFonts w:ascii="Times New Roman" w:hAnsi="Times New Roman"/>
          <w:sz w:val="24"/>
          <w:szCs w:val="24"/>
        </w:rPr>
        <w:t xml:space="preserve"> « Brigade</w:t>
      </w:r>
      <w:r w:rsidRPr="007C5A6E">
        <w:rPr>
          <w:rFonts w:ascii="Times New Roman" w:hAnsi="Times New Roman"/>
          <w:sz w:val="24"/>
          <w:szCs w:val="24"/>
        </w:rPr>
        <w:t xml:space="preserve"> </w:t>
      </w:r>
      <w:r w:rsidR="002D61D5" w:rsidRPr="007C5A6E">
        <w:rPr>
          <w:rFonts w:ascii="Times New Roman" w:hAnsi="Times New Roman"/>
          <w:sz w:val="24"/>
          <w:szCs w:val="24"/>
        </w:rPr>
        <w:t>Verte »</w:t>
      </w:r>
      <w:r w:rsidRPr="007C5A6E">
        <w:rPr>
          <w:rFonts w:ascii="Times New Roman" w:hAnsi="Times New Roman"/>
          <w:sz w:val="24"/>
          <w:szCs w:val="24"/>
        </w:rPr>
        <w:t xml:space="preserve"> de la commune de Ouagadougou, Union </w:t>
      </w:r>
      <w:proofErr w:type="spellStart"/>
      <w:r w:rsidRPr="007C5A6E">
        <w:rPr>
          <w:rFonts w:ascii="Times New Roman" w:hAnsi="Times New Roman"/>
          <w:sz w:val="24"/>
          <w:szCs w:val="24"/>
        </w:rPr>
        <w:t>Yanta</w:t>
      </w:r>
      <w:proofErr w:type="spellEnd"/>
      <w:r w:rsidRPr="007C5A6E">
        <w:rPr>
          <w:rFonts w:ascii="Times New Roman" w:hAnsi="Times New Roman"/>
          <w:sz w:val="24"/>
          <w:szCs w:val="24"/>
        </w:rPr>
        <w:t xml:space="preserve"> de la commune de Bobo). </w:t>
      </w:r>
    </w:p>
    <w:p w14:paraId="204AEF73" w14:textId="77777777" w:rsidR="007E6534" w:rsidRPr="007C5A6E" w:rsidRDefault="007E6534" w:rsidP="002D61D5">
      <w:pPr>
        <w:spacing w:after="0" w:line="240" w:lineRule="auto"/>
        <w:jc w:val="both"/>
        <w:rPr>
          <w:rFonts w:ascii="Times New Roman" w:hAnsi="Times New Roman"/>
          <w:sz w:val="24"/>
          <w:szCs w:val="24"/>
        </w:rPr>
      </w:pPr>
    </w:p>
    <w:p w14:paraId="75D0D1AF" w14:textId="77777777" w:rsidR="007E6534" w:rsidRPr="007C5A6E" w:rsidRDefault="007E6534" w:rsidP="00684FF8">
      <w:pPr>
        <w:pStyle w:val="Titre4"/>
      </w:pPr>
      <w:bookmarkStart w:id="1251" w:name="_Toc183340258"/>
      <w:r w:rsidRPr="007C5A6E">
        <w:t>En matière d’amélioration du financement de la biodiversité</w:t>
      </w:r>
      <w:bookmarkEnd w:id="1251"/>
    </w:p>
    <w:p w14:paraId="7EEA2490" w14:textId="77777777" w:rsidR="002D61D5" w:rsidRPr="007C5A6E" w:rsidRDefault="002D61D5" w:rsidP="002D61D5">
      <w:pPr>
        <w:spacing w:after="0" w:line="240" w:lineRule="auto"/>
        <w:jc w:val="both"/>
        <w:rPr>
          <w:rFonts w:ascii="Times New Roman" w:hAnsi="Times New Roman"/>
          <w:sz w:val="24"/>
          <w:szCs w:val="24"/>
        </w:rPr>
      </w:pPr>
    </w:p>
    <w:p w14:paraId="67092EA4" w14:textId="026F3252" w:rsidR="007E6534" w:rsidRPr="007C5A6E" w:rsidRDefault="007E6534" w:rsidP="002D61D5">
      <w:pPr>
        <w:spacing w:after="0" w:line="240" w:lineRule="auto"/>
        <w:jc w:val="both"/>
        <w:rPr>
          <w:rFonts w:ascii="Times New Roman" w:hAnsi="Times New Roman"/>
          <w:sz w:val="24"/>
          <w:szCs w:val="24"/>
        </w:rPr>
      </w:pPr>
      <w:r w:rsidRPr="007C5A6E">
        <w:rPr>
          <w:rFonts w:ascii="Times New Roman" w:hAnsi="Times New Roman"/>
          <w:sz w:val="24"/>
          <w:szCs w:val="24"/>
        </w:rPr>
        <w:t>A ce niveau, l’on note la création et l’opérationnalisation du Fonds d’Intervention pour l’Environnement (FIE), conçu comme un levier pour mobiliser (i) de nouveaux financements nationaux, difficiles à mobiliser aujourd’hui via le budget national classique, et (ii) de nouveaux financements internationaux liés à l’environnement, à la gestion durable des ressources naturelles, à la lutte contre les changements climatiques et à la promotion de l’économie verte. Dans l’ensemble, les données nationales montrent que les dépenses publiques de protection de l’environnement ont progressé six (6) fois plus vite que le Produit Intérieur Brut (PIB) au cours de la même période. Ces données révèlent que le Burkina Faso a pris la mesure de la problématique environnementale dans la gestion de son développement. 32% des dépenses publiques en matière de protection de l’environnement (hors administration générale) sont consacrées la protection des sites, des paysages et de la biodiversité. A priori pour les autorités politiques, ces chiffres tendent à montrer que la question de la protection de l’environnement est désormais inscrite dans les préoccupations des pouvoirs publics du pays.</w:t>
      </w:r>
    </w:p>
    <w:p w14:paraId="664F4462" w14:textId="77777777" w:rsidR="007E6534" w:rsidRPr="007C5A6E" w:rsidRDefault="007E6534" w:rsidP="002D61D5">
      <w:pPr>
        <w:spacing w:after="0" w:line="240" w:lineRule="auto"/>
        <w:ind w:left="708"/>
        <w:jc w:val="both"/>
        <w:rPr>
          <w:rFonts w:ascii="Times New Roman" w:hAnsi="Times New Roman"/>
          <w:sz w:val="24"/>
          <w:szCs w:val="24"/>
        </w:rPr>
      </w:pPr>
    </w:p>
    <w:p w14:paraId="09FF58A5" w14:textId="77777777" w:rsidR="007E6534" w:rsidRPr="007C5A6E" w:rsidRDefault="007E6534" w:rsidP="002D61D5">
      <w:pPr>
        <w:pStyle w:val="Titre3"/>
      </w:pPr>
      <w:r w:rsidRPr="007C5A6E">
        <w:t xml:space="preserve"> </w:t>
      </w:r>
      <w:bookmarkStart w:id="1252" w:name="_Toc182575464"/>
      <w:bookmarkStart w:id="1253" w:name="_Toc183340259"/>
      <w:r w:rsidRPr="007C5A6E">
        <w:t>Analyse des principales contraintes</w:t>
      </w:r>
      <w:bookmarkEnd w:id="1252"/>
      <w:bookmarkEnd w:id="1253"/>
      <w:r w:rsidRPr="007C5A6E">
        <w:t xml:space="preserve"> </w:t>
      </w:r>
    </w:p>
    <w:p w14:paraId="23F85AC8" w14:textId="77777777" w:rsidR="007E6534" w:rsidRPr="007C5A6E" w:rsidRDefault="007E6534" w:rsidP="002D61D5">
      <w:pPr>
        <w:spacing w:after="0" w:line="240" w:lineRule="auto"/>
        <w:jc w:val="both"/>
        <w:rPr>
          <w:rFonts w:ascii="Times New Roman" w:hAnsi="Times New Roman"/>
          <w:sz w:val="24"/>
          <w:szCs w:val="24"/>
        </w:rPr>
      </w:pPr>
    </w:p>
    <w:p w14:paraId="09BF5DE9" w14:textId="77777777" w:rsidR="007E6534" w:rsidRPr="007C5A6E" w:rsidRDefault="007E6534" w:rsidP="002D61D5">
      <w:pPr>
        <w:spacing w:after="0" w:line="240" w:lineRule="auto"/>
        <w:jc w:val="both"/>
        <w:rPr>
          <w:rFonts w:ascii="Times New Roman" w:hAnsi="Times New Roman"/>
          <w:sz w:val="24"/>
          <w:szCs w:val="24"/>
        </w:rPr>
      </w:pPr>
      <w:r w:rsidRPr="007C5A6E">
        <w:rPr>
          <w:rFonts w:ascii="Times New Roman" w:hAnsi="Times New Roman"/>
          <w:sz w:val="24"/>
          <w:szCs w:val="24"/>
        </w:rPr>
        <w:t>Malgré cet arsenal de réponses, il apparait clairement que les résultats sont largement en deçà des attentes. En particulier, le dispositif de riposte cache mal plusieurs insuffisances parmi lesquelles l’on peut citer (MEEVCC, 2020</w:t>
      </w:r>
      <w:proofErr w:type="gramStart"/>
      <w:r w:rsidRPr="007C5A6E">
        <w:rPr>
          <w:rFonts w:ascii="Times New Roman" w:hAnsi="Times New Roman"/>
          <w:sz w:val="24"/>
          <w:szCs w:val="24"/>
        </w:rPr>
        <w:t>):</w:t>
      </w:r>
      <w:proofErr w:type="gramEnd"/>
    </w:p>
    <w:p w14:paraId="601F51E5" w14:textId="2E285208" w:rsidR="007E6534" w:rsidRPr="007C5A6E" w:rsidRDefault="002D61D5" w:rsidP="003F3821">
      <w:pPr>
        <w:numPr>
          <w:ilvl w:val="0"/>
          <w:numId w:val="42"/>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La</w:t>
      </w:r>
      <w:r w:rsidR="007E6534" w:rsidRPr="007C5A6E">
        <w:rPr>
          <w:rFonts w:ascii="Times New Roman" w:hAnsi="Times New Roman"/>
          <w:sz w:val="24"/>
          <w:szCs w:val="24"/>
        </w:rPr>
        <w:t xml:space="preserve"> faible cohérence dans l’action gouvernementale (planification non concertée des actions et des investissements)</w:t>
      </w:r>
      <w:r w:rsidRPr="007C5A6E">
        <w:rPr>
          <w:rFonts w:ascii="Times New Roman" w:hAnsi="Times New Roman"/>
          <w:sz w:val="24"/>
          <w:szCs w:val="24"/>
        </w:rPr>
        <w:t>.</w:t>
      </w:r>
      <w:r w:rsidR="007E6534" w:rsidRPr="007C5A6E">
        <w:rPr>
          <w:rFonts w:ascii="Times New Roman" w:hAnsi="Times New Roman"/>
          <w:sz w:val="24"/>
          <w:szCs w:val="24"/>
        </w:rPr>
        <w:t xml:space="preserve"> </w:t>
      </w:r>
    </w:p>
    <w:p w14:paraId="2C95B1A8" w14:textId="4D458FEE" w:rsidR="007E6534" w:rsidRPr="007C5A6E" w:rsidRDefault="002D61D5" w:rsidP="003F3821">
      <w:pPr>
        <w:numPr>
          <w:ilvl w:val="0"/>
          <w:numId w:val="42"/>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La</w:t>
      </w:r>
      <w:r w:rsidR="007E6534" w:rsidRPr="007C5A6E">
        <w:rPr>
          <w:rFonts w:ascii="Times New Roman" w:hAnsi="Times New Roman"/>
          <w:sz w:val="24"/>
          <w:szCs w:val="24"/>
        </w:rPr>
        <w:t xml:space="preserve"> faiblesse des capacités institutionnelles des intervenants et leur mode de fonctionnement </w:t>
      </w:r>
      <w:r w:rsidRPr="007C5A6E">
        <w:rPr>
          <w:rFonts w:ascii="Times New Roman" w:hAnsi="Times New Roman"/>
          <w:sz w:val="24"/>
          <w:szCs w:val="24"/>
        </w:rPr>
        <w:t>cloisonné.</w:t>
      </w:r>
      <w:r w:rsidR="007E6534" w:rsidRPr="007C5A6E">
        <w:rPr>
          <w:rFonts w:ascii="Times New Roman" w:hAnsi="Times New Roman"/>
          <w:sz w:val="24"/>
          <w:szCs w:val="24"/>
        </w:rPr>
        <w:t xml:space="preserve"> </w:t>
      </w:r>
    </w:p>
    <w:p w14:paraId="05CD505A" w14:textId="665B3853" w:rsidR="007E6534" w:rsidRPr="007C5A6E" w:rsidRDefault="002D61D5" w:rsidP="003F3821">
      <w:pPr>
        <w:numPr>
          <w:ilvl w:val="0"/>
          <w:numId w:val="42"/>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Des</w:t>
      </w:r>
      <w:r w:rsidR="007E6534" w:rsidRPr="007C5A6E">
        <w:rPr>
          <w:rFonts w:ascii="Times New Roman" w:hAnsi="Times New Roman"/>
          <w:sz w:val="24"/>
          <w:szCs w:val="24"/>
        </w:rPr>
        <w:t xml:space="preserve"> approches d’intervention inappropriées</w:t>
      </w:r>
      <w:r w:rsidRPr="007C5A6E">
        <w:rPr>
          <w:rFonts w:ascii="Times New Roman" w:hAnsi="Times New Roman"/>
          <w:sz w:val="24"/>
          <w:szCs w:val="24"/>
        </w:rPr>
        <w:t>.</w:t>
      </w:r>
      <w:r w:rsidR="007E6534" w:rsidRPr="007C5A6E">
        <w:rPr>
          <w:rFonts w:ascii="Times New Roman" w:hAnsi="Times New Roman"/>
          <w:sz w:val="24"/>
          <w:szCs w:val="24"/>
        </w:rPr>
        <w:t xml:space="preserve"> </w:t>
      </w:r>
    </w:p>
    <w:p w14:paraId="309049C3" w14:textId="54E9DDCA" w:rsidR="007E6534" w:rsidRPr="007C5A6E" w:rsidRDefault="002D61D5" w:rsidP="003F3821">
      <w:pPr>
        <w:numPr>
          <w:ilvl w:val="0"/>
          <w:numId w:val="42"/>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La</w:t>
      </w:r>
      <w:r w:rsidR="007E6534" w:rsidRPr="007C5A6E">
        <w:rPr>
          <w:rFonts w:ascii="Times New Roman" w:hAnsi="Times New Roman"/>
          <w:sz w:val="24"/>
          <w:szCs w:val="24"/>
        </w:rPr>
        <w:t xml:space="preserve"> forte dépendance des ménages sur les ressources naturelle</w:t>
      </w:r>
      <w:r w:rsidRPr="007C5A6E">
        <w:rPr>
          <w:rFonts w:ascii="Times New Roman" w:hAnsi="Times New Roman"/>
          <w:sz w:val="24"/>
          <w:szCs w:val="24"/>
        </w:rPr>
        <w:t>s</w:t>
      </w:r>
      <w:r w:rsidR="007E6534" w:rsidRPr="007C5A6E">
        <w:rPr>
          <w:rFonts w:ascii="Times New Roman" w:hAnsi="Times New Roman"/>
          <w:sz w:val="24"/>
          <w:szCs w:val="24"/>
        </w:rPr>
        <w:t xml:space="preserve"> dans le contexte climatique changeant et de croissance démographique accéléré, contre balance les efforts consacrés à la préservation de la biodiversité</w:t>
      </w:r>
      <w:r w:rsidRPr="007C5A6E">
        <w:rPr>
          <w:rFonts w:ascii="Times New Roman" w:hAnsi="Times New Roman"/>
          <w:sz w:val="24"/>
          <w:szCs w:val="24"/>
        </w:rPr>
        <w:t xml:space="preserve">. </w:t>
      </w:r>
    </w:p>
    <w:p w14:paraId="2A6A991B" w14:textId="07D56D1F" w:rsidR="007E6534" w:rsidRPr="007C5A6E" w:rsidRDefault="002D61D5" w:rsidP="003F3821">
      <w:pPr>
        <w:numPr>
          <w:ilvl w:val="0"/>
          <w:numId w:val="42"/>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La</w:t>
      </w:r>
      <w:r w:rsidR="007E6534" w:rsidRPr="007C5A6E">
        <w:rPr>
          <w:rFonts w:ascii="Times New Roman" w:hAnsi="Times New Roman"/>
          <w:sz w:val="24"/>
          <w:szCs w:val="24"/>
        </w:rPr>
        <w:t xml:space="preserve"> faible maîtrise des techniques et technologies de GDT/LCD</w:t>
      </w:r>
      <w:r w:rsidRPr="007C5A6E">
        <w:rPr>
          <w:rFonts w:ascii="Times New Roman" w:hAnsi="Times New Roman"/>
          <w:sz w:val="24"/>
          <w:szCs w:val="24"/>
        </w:rPr>
        <w:t>.</w:t>
      </w:r>
      <w:r w:rsidR="007E6534" w:rsidRPr="007C5A6E">
        <w:rPr>
          <w:rFonts w:ascii="Times New Roman" w:hAnsi="Times New Roman"/>
          <w:sz w:val="24"/>
          <w:szCs w:val="24"/>
        </w:rPr>
        <w:t xml:space="preserve"> </w:t>
      </w:r>
    </w:p>
    <w:p w14:paraId="56805D6D" w14:textId="1126D397" w:rsidR="007E6534" w:rsidRPr="007C5A6E" w:rsidRDefault="002D61D5" w:rsidP="003F3821">
      <w:pPr>
        <w:numPr>
          <w:ilvl w:val="0"/>
          <w:numId w:val="42"/>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Un</w:t>
      </w:r>
      <w:r w:rsidR="007E6534" w:rsidRPr="007C5A6E">
        <w:rPr>
          <w:rFonts w:ascii="Times New Roman" w:hAnsi="Times New Roman"/>
          <w:sz w:val="24"/>
          <w:szCs w:val="24"/>
        </w:rPr>
        <w:t xml:space="preserve"> niveau d’investissement plutôt modeste au regard des enjeux</w:t>
      </w:r>
      <w:r w:rsidRPr="007C5A6E">
        <w:rPr>
          <w:rFonts w:ascii="Times New Roman" w:hAnsi="Times New Roman"/>
          <w:sz w:val="24"/>
          <w:szCs w:val="24"/>
        </w:rPr>
        <w:t>.</w:t>
      </w:r>
    </w:p>
    <w:p w14:paraId="158CF66B" w14:textId="6685B139" w:rsidR="007E6534" w:rsidRPr="007C5A6E" w:rsidRDefault="002D61D5" w:rsidP="003F3821">
      <w:pPr>
        <w:numPr>
          <w:ilvl w:val="0"/>
          <w:numId w:val="42"/>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La</w:t>
      </w:r>
      <w:r w:rsidR="007E6534" w:rsidRPr="007C5A6E">
        <w:rPr>
          <w:rFonts w:ascii="Times New Roman" w:hAnsi="Times New Roman"/>
          <w:sz w:val="24"/>
          <w:szCs w:val="24"/>
        </w:rPr>
        <w:t xml:space="preserve"> faible dotation du Ministère en charge de la protection de l’environnement en ressources financières et humaines. Les dépenses publiques consacrées à la protection de l’environnement dépendent principalement de fonds extérieurs et ne représentent que 7 à 8% des montants nécessaires à l’évitement des dommages environnementaux (MEEVCC, 2020)</w:t>
      </w:r>
      <w:r w:rsidRPr="007C5A6E">
        <w:rPr>
          <w:rFonts w:ascii="Times New Roman" w:hAnsi="Times New Roman"/>
          <w:sz w:val="24"/>
          <w:szCs w:val="24"/>
        </w:rPr>
        <w:t>.</w:t>
      </w:r>
      <w:r w:rsidR="007E6534" w:rsidRPr="007C5A6E">
        <w:rPr>
          <w:rFonts w:ascii="Times New Roman" w:hAnsi="Times New Roman"/>
          <w:sz w:val="24"/>
          <w:szCs w:val="24"/>
        </w:rPr>
        <w:t xml:space="preserve"> </w:t>
      </w:r>
    </w:p>
    <w:p w14:paraId="5BD615DA" w14:textId="61A04B4E" w:rsidR="007E6534" w:rsidRPr="007C5A6E" w:rsidRDefault="002D61D5" w:rsidP="003F3821">
      <w:pPr>
        <w:numPr>
          <w:ilvl w:val="0"/>
          <w:numId w:val="42"/>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L’inadéquation</w:t>
      </w:r>
      <w:r w:rsidR="007E6534" w:rsidRPr="007C5A6E">
        <w:rPr>
          <w:rFonts w:ascii="Times New Roman" w:hAnsi="Times New Roman"/>
          <w:sz w:val="24"/>
          <w:szCs w:val="24"/>
        </w:rPr>
        <w:t xml:space="preserve"> ou imprécision de certains indicateurs de suivi qui ne rendent pas compte de la situation réelle sur le terrain ; Il est curieux de remarquer que les bases de données utilisées pour rendre compte de l’utilisation des terres ne sont pas constamment actualisées. En particulier, le découpage phytogéographique national, </w:t>
      </w:r>
      <w:proofErr w:type="spellStart"/>
      <w:r w:rsidR="007E6534" w:rsidRPr="007C5A6E">
        <w:rPr>
          <w:rFonts w:ascii="Times New Roman" w:hAnsi="Times New Roman"/>
          <w:sz w:val="24"/>
          <w:szCs w:val="24"/>
        </w:rPr>
        <w:t>Guinko</w:t>
      </w:r>
      <w:proofErr w:type="spellEnd"/>
      <w:r w:rsidR="007E6534" w:rsidRPr="007C5A6E">
        <w:rPr>
          <w:rFonts w:ascii="Times New Roman" w:hAnsi="Times New Roman"/>
          <w:sz w:val="24"/>
          <w:szCs w:val="24"/>
        </w:rPr>
        <w:t xml:space="preserve"> (1984), qui date de plus de 40 ans reste toujours celui utilisé dans les documents de référence y compris celui de la dernière monographie nationale sur la biodiversité en 2020</w:t>
      </w:r>
      <w:r w:rsidRPr="007C5A6E">
        <w:rPr>
          <w:rFonts w:ascii="Times New Roman" w:hAnsi="Times New Roman"/>
          <w:sz w:val="24"/>
          <w:szCs w:val="24"/>
        </w:rPr>
        <w:t>.</w:t>
      </w:r>
    </w:p>
    <w:p w14:paraId="3F1121C4" w14:textId="6FE13F6E" w:rsidR="007E6534" w:rsidRPr="007C5A6E" w:rsidRDefault="002D61D5" w:rsidP="003F3821">
      <w:pPr>
        <w:numPr>
          <w:ilvl w:val="0"/>
          <w:numId w:val="42"/>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L’insuffisance</w:t>
      </w:r>
      <w:r w:rsidR="007E6534" w:rsidRPr="007C5A6E">
        <w:rPr>
          <w:rFonts w:ascii="Times New Roman" w:hAnsi="Times New Roman"/>
          <w:sz w:val="24"/>
          <w:szCs w:val="24"/>
        </w:rPr>
        <w:t xml:space="preserve"> de valorisation des acquis de la recherche</w:t>
      </w:r>
      <w:r w:rsidRPr="007C5A6E">
        <w:rPr>
          <w:rFonts w:ascii="Times New Roman" w:hAnsi="Times New Roman"/>
          <w:sz w:val="24"/>
          <w:szCs w:val="24"/>
        </w:rPr>
        <w:t>.</w:t>
      </w:r>
    </w:p>
    <w:p w14:paraId="0F492051" w14:textId="76920267" w:rsidR="007E6534" w:rsidRPr="007C5A6E" w:rsidRDefault="002D61D5" w:rsidP="003F3821">
      <w:pPr>
        <w:numPr>
          <w:ilvl w:val="0"/>
          <w:numId w:val="42"/>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La</w:t>
      </w:r>
      <w:r w:rsidR="007E6534" w:rsidRPr="007C5A6E">
        <w:rPr>
          <w:rFonts w:ascii="Times New Roman" w:hAnsi="Times New Roman"/>
          <w:sz w:val="24"/>
          <w:szCs w:val="24"/>
        </w:rPr>
        <w:t xml:space="preserve"> crise sécuritaire</w:t>
      </w:r>
      <w:r w:rsidRPr="007C5A6E">
        <w:rPr>
          <w:rFonts w:ascii="Times New Roman" w:hAnsi="Times New Roman"/>
          <w:sz w:val="24"/>
          <w:szCs w:val="24"/>
        </w:rPr>
        <w:t>.</w:t>
      </w:r>
    </w:p>
    <w:p w14:paraId="03697B2D" w14:textId="2CB52B86" w:rsidR="007E6534" w:rsidRPr="007C5A6E" w:rsidRDefault="002D61D5" w:rsidP="003F3821">
      <w:pPr>
        <w:numPr>
          <w:ilvl w:val="0"/>
          <w:numId w:val="42"/>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Le</w:t>
      </w:r>
      <w:r w:rsidR="007E6534" w:rsidRPr="007C5A6E">
        <w:rPr>
          <w:rFonts w:ascii="Times New Roman" w:hAnsi="Times New Roman"/>
          <w:sz w:val="24"/>
          <w:szCs w:val="24"/>
        </w:rPr>
        <w:t xml:space="preserve"> faible aménagement et la faible modernisation des aires de protection </w:t>
      </w:r>
      <w:r w:rsidRPr="007C5A6E">
        <w:rPr>
          <w:rFonts w:ascii="Times New Roman" w:hAnsi="Times New Roman"/>
          <w:sz w:val="24"/>
          <w:szCs w:val="24"/>
        </w:rPr>
        <w:t>fauniques.</w:t>
      </w:r>
    </w:p>
    <w:p w14:paraId="00A72639" w14:textId="331F795F" w:rsidR="007E6534" w:rsidRPr="007C5A6E" w:rsidRDefault="002D61D5" w:rsidP="003F3821">
      <w:pPr>
        <w:numPr>
          <w:ilvl w:val="0"/>
          <w:numId w:val="42"/>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Le</w:t>
      </w:r>
      <w:r w:rsidR="007E6534" w:rsidRPr="007C5A6E">
        <w:rPr>
          <w:rFonts w:ascii="Times New Roman" w:hAnsi="Times New Roman"/>
          <w:sz w:val="24"/>
          <w:szCs w:val="24"/>
        </w:rPr>
        <w:t xml:space="preserve"> faible aménagement des </w:t>
      </w:r>
      <w:r w:rsidRPr="007C5A6E">
        <w:rPr>
          <w:rFonts w:ascii="Times New Roman" w:hAnsi="Times New Roman"/>
          <w:sz w:val="24"/>
          <w:szCs w:val="24"/>
        </w:rPr>
        <w:t>massifs forestiers.</w:t>
      </w:r>
      <w:r w:rsidR="007E6534" w:rsidRPr="007C5A6E">
        <w:rPr>
          <w:rFonts w:ascii="Times New Roman" w:hAnsi="Times New Roman"/>
          <w:sz w:val="24"/>
          <w:szCs w:val="24"/>
        </w:rPr>
        <w:t xml:space="preserve">  </w:t>
      </w:r>
    </w:p>
    <w:p w14:paraId="27720704" w14:textId="77777777" w:rsidR="007E6534" w:rsidRPr="007C5A6E" w:rsidRDefault="007E6534" w:rsidP="002D61D5">
      <w:pPr>
        <w:spacing w:after="0" w:line="240" w:lineRule="auto"/>
        <w:jc w:val="both"/>
        <w:rPr>
          <w:rFonts w:ascii="Times New Roman" w:hAnsi="Times New Roman"/>
          <w:sz w:val="24"/>
          <w:szCs w:val="24"/>
        </w:rPr>
      </w:pPr>
    </w:p>
    <w:p w14:paraId="5C83E1AB" w14:textId="77777777" w:rsidR="007E6534" w:rsidRPr="007C5A6E" w:rsidRDefault="007E6534" w:rsidP="002D61D5">
      <w:pPr>
        <w:spacing w:after="0" w:line="240" w:lineRule="auto"/>
        <w:jc w:val="both"/>
        <w:rPr>
          <w:rFonts w:ascii="Times New Roman" w:hAnsi="Times New Roman"/>
          <w:sz w:val="24"/>
          <w:szCs w:val="24"/>
        </w:rPr>
      </w:pPr>
      <w:r w:rsidRPr="007C5A6E">
        <w:rPr>
          <w:rFonts w:ascii="Times New Roman" w:hAnsi="Times New Roman"/>
          <w:sz w:val="24"/>
          <w:szCs w:val="24"/>
        </w:rPr>
        <w:t>De façon naturelle, nous avons :</w:t>
      </w:r>
    </w:p>
    <w:p w14:paraId="4A7551D2" w14:textId="601EBE9A" w:rsidR="007E6534" w:rsidRPr="007C5A6E" w:rsidRDefault="002D61D5" w:rsidP="003F3821">
      <w:pPr>
        <w:numPr>
          <w:ilvl w:val="0"/>
          <w:numId w:val="42"/>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La</w:t>
      </w:r>
      <w:r w:rsidR="007E6534" w:rsidRPr="007C5A6E">
        <w:rPr>
          <w:rFonts w:ascii="Times New Roman" w:hAnsi="Times New Roman"/>
          <w:sz w:val="24"/>
          <w:szCs w:val="24"/>
        </w:rPr>
        <w:t xml:space="preserve"> faible fertilité des sols ;</w:t>
      </w:r>
    </w:p>
    <w:p w14:paraId="11D0CEA4" w14:textId="3A8CC3A6" w:rsidR="007E6534" w:rsidRPr="007C5A6E" w:rsidRDefault="002D61D5" w:rsidP="003F3821">
      <w:pPr>
        <w:numPr>
          <w:ilvl w:val="0"/>
          <w:numId w:val="42"/>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Les</w:t>
      </w:r>
      <w:r w:rsidR="007E6534" w:rsidRPr="007C5A6E">
        <w:rPr>
          <w:rFonts w:ascii="Times New Roman" w:hAnsi="Times New Roman"/>
          <w:sz w:val="24"/>
          <w:szCs w:val="24"/>
        </w:rPr>
        <w:t xml:space="preserve"> changements climatiques ;</w:t>
      </w:r>
    </w:p>
    <w:p w14:paraId="12942BE5" w14:textId="6F1095F4" w:rsidR="007E6534" w:rsidRPr="007C5A6E" w:rsidRDefault="002D61D5" w:rsidP="003F3821">
      <w:pPr>
        <w:numPr>
          <w:ilvl w:val="0"/>
          <w:numId w:val="42"/>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Les</w:t>
      </w:r>
      <w:r w:rsidR="007E6534" w:rsidRPr="007C5A6E">
        <w:rPr>
          <w:rFonts w:ascii="Times New Roman" w:hAnsi="Times New Roman"/>
          <w:sz w:val="24"/>
          <w:szCs w:val="24"/>
        </w:rPr>
        <w:t xml:space="preserve"> attaques parasitaires ;</w:t>
      </w:r>
    </w:p>
    <w:p w14:paraId="59649A26" w14:textId="7127C4BB" w:rsidR="007E6534" w:rsidRPr="007C5A6E" w:rsidRDefault="002D61D5" w:rsidP="003F3821">
      <w:pPr>
        <w:numPr>
          <w:ilvl w:val="0"/>
          <w:numId w:val="42"/>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Le</w:t>
      </w:r>
      <w:r w:rsidR="007E6534" w:rsidRPr="007C5A6E">
        <w:rPr>
          <w:rFonts w:ascii="Times New Roman" w:hAnsi="Times New Roman"/>
          <w:sz w:val="24"/>
          <w:szCs w:val="24"/>
        </w:rPr>
        <w:t xml:space="preserve"> vieillissement du peuplement des espèces pourvoyeuses de PFNL</w:t>
      </w:r>
    </w:p>
    <w:p w14:paraId="1154C506" w14:textId="77777777" w:rsidR="007E6534" w:rsidRPr="007C5A6E" w:rsidRDefault="007E6534" w:rsidP="002D61D5">
      <w:pPr>
        <w:spacing w:after="0" w:line="240" w:lineRule="auto"/>
        <w:jc w:val="both"/>
        <w:rPr>
          <w:rFonts w:ascii="Times New Roman" w:hAnsi="Times New Roman"/>
          <w:sz w:val="24"/>
          <w:szCs w:val="24"/>
        </w:rPr>
      </w:pPr>
      <w:r w:rsidRPr="007C5A6E">
        <w:rPr>
          <w:rFonts w:ascii="Times New Roman" w:hAnsi="Times New Roman"/>
          <w:sz w:val="24"/>
          <w:szCs w:val="24"/>
        </w:rPr>
        <w:t>Par ailleurs au vu du contexte sécuritaire, l’efficacité de certains dispositifs de réponses pourraient entre affectés et nécessite d’être réévaluer.</w:t>
      </w:r>
    </w:p>
    <w:p w14:paraId="25BB7BEB" w14:textId="77777777" w:rsidR="00A340F1" w:rsidRPr="007C5A6E" w:rsidRDefault="00A340F1" w:rsidP="00F57A5C">
      <w:pPr>
        <w:spacing w:after="0" w:line="240" w:lineRule="auto"/>
        <w:rPr>
          <w:rFonts w:ascii="Times New Roman" w:hAnsi="Times New Roman"/>
          <w:sz w:val="24"/>
          <w:szCs w:val="24"/>
        </w:rPr>
      </w:pPr>
    </w:p>
    <w:p w14:paraId="594C3946" w14:textId="77777777" w:rsidR="00733409" w:rsidRPr="007C5A6E" w:rsidRDefault="00733409" w:rsidP="00F57A5C">
      <w:pPr>
        <w:spacing w:after="0" w:line="240" w:lineRule="auto"/>
        <w:rPr>
          <w:rFonts w:ascii="Times New Roman" w:hAnsi="Times New Roman"/>
          <w:sz w:val="24"/>
          <w:szCs w:val="24"/>
        </w:rPr>
      </w:pPr>
    </w:p>
    <w:p w14:paraId="1DF3C096" w14:textId="48A26CE7" w:rsidR="00D63F90" w:rsidRPr="007C5A6E" w:rsidRDefault="004C345A" w:rsidP="00712C43">
      <w:pPr>
        <w:pStyle w:val="Titre2"/>
      </w:pPr>
      <w:bookmarkStart w:id="1254" w:name="_Toc183340260"/>
      <w:r w:rsidRPr="007C5A6E">
        <w:t>C</w:t>
      </w:r>
      <w:r w:rsidR="009B18A4" w:rsidRPr="007C5A6E">
        <w:t xml:space="preserve">hangements climatiques </w:t>
      </w:r>
      <w:r w:rsidRPr="007C5A6E">
        <w:t xml:space="preserve">et diversité biologique </w:t>
      </w:r>
      <w:r w:rsidR="00D63F90" w:rsidRPr="007C5A6E">
        <w:t>: enjeux et risques du futur</w:t>
      </w:r>
      <w:bookmarkEnd w:id="1254"/>
    </w:p>
    <w:p w14:paraId="12BA5B17" w14:textId="77777777" w:rsidR="00431FF2" w:rsidRPr="007C5A6E" w:rsidRDefault="00431FF2" w:rsidP="00F57A5C">
      <w:pPr>
        <w:spacing w:after="0" w:line="240" w:lineRule="auto"/>
        <w:rPr>
          <w:rFonts w:ascii="Times New Roman" w:hAnsi="Times New Roman"/>
          <w:sz w:val="24"/>
          <w:szCs w:val="24"/>
        </w:rPr>
      </w:pPr>
    </w:p>
    <w:p w14:paraId="4E9463E7" w14:textId="3E4FC4AB" w:rsidR="002D61D5" w:rsidRPr="007C5A6E" w:rsidRDefault="002D61D5" w:rsidP="002D61D5">
      <w:pPr>
        <w:spacing w:after="0" w:line="240" w:lineRule="auto"/>
        <w:contextualSpacing/>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Les projections climatiques traitées au chapitre 2 ci-dessus suggèrent qu’à l’horizon 2050 à 2100 que :</w:t>
      </w:r>
    </w:p>
    <w:p w14:paraId="2DC96791" w14:textId="77777777" w:rsidR="002D61D5" w:rsidRPr="007C5A6E" w:rsidRDefault="002D61D5" w:rsidP="003F3821">
      <w:pPr>
        <w:pStyle w:val="Paragraphedeliste"/>
        <w:numPr>
          <w:ilvl w:val="0"/>
          <w:numId w:val="32"/>
        </w:numPr>
        <w:spacing w:after="0" w:line="240" w:lineRule="auto"/>
        <w:ind w:left="357" w:hanging="357"/>
        <w:jc w:val="both"/>
        <w:rPr>
          <w:rFonts w:ascii="Times New Roman" w:hAnsi="Times New Roman"/>
          <w:sz w:val="24"/>
        </w:rPr>
      </w:pPr>
      <w:r w:rsidRPr="007C5A6E">
        <w:rPr>
          <w:rFonts w:ascii="Times New Roman" w:eastAsia="Calibri" w:hAnsi="Times New Roman"/>
          <w:kern w:val="2"/>
          <w:sz w:val="24"/>
          <w:szCs w:val="24"/>
          <w:lang w:eastAsia="en-US"/>
          <w14:ligatures w14:val="standardContextual"/>
        </w:rPr>
        <w:t>En ce qui concerne la pluviométrie, il ne pleuvra pas moins au Burkina Faso qu’au cours de la période historique 1990-2023, bien au contraire : l</w:t>
      </w:r>
      <w:r w:rsidRPr="007C5A6E">
        <w:rPr>
          <w:rFonts w:ascii="Times New Roman" w:hAnsi="Times New Roman"/>
          <w:sz w:val="24"/>
        </w:rPr>
        <w:t>e risque de sécheresse devrait diminuer tandis que celui des inondations augmenterait.</w:t>
      </w:r>
    </w:p>
    <w:p w14:paraId="2296E691" w14:textId="77777777" w:rsidR="002D61D5" w:rsidRPr="007C5A6E" w:rsidRDefault="002D61D5" w:rsidP="003F3821">
      <w:pPr>
        <w:pStyle w:val="Paragraphedeliste"/>
        <w:numPr>
          <w:ilvl w:val="0"/>
          <w:numId w:val="32"/>
        </w:numPr>
        <w:spacing w:after="0" w:line="240" w:lineRule="auto"/>
        <w:ind w:left="357" w:hanging="357"/>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Concernant les températures, </w:t>
      </w:r>
      <w:r w:rsidRPr="007C5A6E">
        <w:rPr>
          <w:rFonts w:ascii="Times New Roman" w:hAnsi="Times New Roman"/>
          <w:sz w:val="24"/>
        </w:rPr>
        <w:t>les températures maximales augmenteraient partir des données historiques, entraînant une augmentation du nombre de jours de l’année où la T° est supérieure à 40°C</w:t>
      </w:r>
    </w:p>
    <w:p w14:paraId="6A2B2AC8" w14:textId="77777777" w:rsidR="00A340F1" w:rsidRPr="007C5A6E" w:rsidRDefault="00A340F1" w:rsidP="00F57A5C">
      <w:pPr>
        <w:spacing w:after="0" w:line="240" w:lineRule="auto"/>
        <w:rPr>
          <w:rFonts w:ascii="Times New Roman" w:hAnsi="Times New Roman"/>
          <w:sz w:val="24"/>
          <w:szCs w:val="24"/>
        </w:rPr>
      </w:pPr>
    </w:p>
    <w:p w14:paraId="5DAF8B9C" w14:textId="4935CF1F" w:rsidR="004C345A" w:rsidRPr="007C5A6E" w:rsidRDefault="004C345A" w:rsidP="004C345A">
      <w:pPr>
        <w:spacing w:after="0" w:line="240" w:lineRule="auto"/>
        <w:jc w:val="both"/>
        <w:rPr>
          <w:rFonts w:ascii="Times New Roman" w:hAnsi="Times New Roman"/>
          <w:sz w:val="24"/>
          <w:szCs w:val="24"/>
        </w:rPr>
      </w:pPr>
      <w:r w:rsidRPr="007C5A6E">
        <w:rPr>
          <w:rFonts w:ascii="Times New Roman" w:hAnsi="Times New Roman"/>
          <w:sz w:val="24"/>
          <w:szCs w:val="24"/>
        </w:rPr>
        <w:t xml:space="preserve">Ce profil offre un aperçu des projections climatiques et des impacts associés sur les ressources biologiques d’ici à 2100, en vertu de différents scénarios du changement climatique. Sous l’effet de ce changement, les zones agroécologiques pourraient se transformer, ce qui aurait des impacts sur les écosystèmes, la biodiversité et la production agricole. Une augmentation de pluviométries se traduira par une situation de plus en plus favorable à l’apparition de certaines espèces de zones humides au détriment des espèces des zones sèches.  Les agriculteurs devront s’adapter à l’évolution des conditions, par l’abandon des espèces agricole vulnérables et l’adoption de nouvelles espèces plus robustes. </w:t>
      </w:r>
    </w:p>
    <w:p w14:paraId="37529180" w14:textId="77777777" w:rsidR="004C345A" w:rsidRPr="007C5A6E" w:rsidRDefault="004C345A" w:rsidP="004C345A">
      <w:pPr>
        <w:spacing w:after="0" w:line="240" w:lineRule="auto"/>
        <w:jc w:val="both"/>
        <w:rPr>
          <w:rFonts w:ascii="Times New Roman" w:hAnsi="Times New Roman"/>
          <w:sz w:val="24"/>
          <w:szCs w:val="24"/>
        </w:rPr>
      </w:pPr>
      <w:r w:rsidRPr="007C5A6E">
        <w:rPr>
          <w:rFonts w:ascii="Times New Roman" w:hAnsi="Times New Roman"/>
          <w:sz w:val="24"/>
          <w:szCs w:val="24"/>
        </w:rPr>
        <w:t xml:space="preserve">Ainsi donc, en réponse aux tendances climatiques (augmentation de la pluviométrie) il se projette une modification de la diversité des espèces et une augmentation du couvert forestier dans la plupart des régions du Burkina Faso notamment la bande sahélienne et soudano-sahélienne : les changements majeurs de la densité des plantes ligneuses et la composition des espèces ligneuses aboutiront plus probablement à un décalage de la composition des espèces fauniques. Pour les amphibiens par exemple, </w:t>
      </w:r>
      <w:bookmarkStart w:id="1255" w:name="_Hlk182489639"/>
      <w:proofErr w:type="spellStart"/>
      <w:r w:rsidRPr="007C5A6E">
        <w:rPr>
          <w:rFonts w:ascii="Times New Roman" w:hAnsi="Times New Roman"/>
          <w:sz w:val="24"/>
          <w:szCs w:val="24"/>
        </w:rPr>
        <w:t>Ayoro</w:t>
      </w:r>
      <w:proofErr w:type="spellEnd"/>
      <w:r w:rsidRPr="007C5A6E">
        <w:rPr>
          <w:rFonts w:ascii="Times New Roman" w:hAnsi="Times New Roman"/>
          <w:sz w:val="24"/>
          <w:szCs w:val="24"/>
        </w:rPr>
        <w:t xml:space="preserve"> et al. (2023) </w:t>
      </w:r>
      <w:bookmarkEnd w:id="1255"/>
      <w:r w:rsidRPr="007C5A6E">
        <w:rPr>
          <w:rFonts w:ascii="Times New Roman" w:hAnsi="Times New Roman"/>
          <w:sz w:val="24"/>
          <w:szCs w:val="24"/>
        </w:rPr>
        <w:t xml:space="preserve">ont montré que </w:t>
      </w:r>
      <w:proofErr w:type="spellStart"/>
      <w:r w:rsidRPr="007C5A6E">
        <w:rPr>
          <w:rFonts w:ascii="Times New Roman" w:hAnsi="Times New Roman"/>
          <w:i/>
          <w:iCs/>
          <w:sz w:val="24"/>
          <w:szCs w:val="24"/>
        </w:rPr>
        <w:t>Hyperolius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nitidulus</w:t>
      </w:r>
      <w:proofErr w:type="spellEnd"/>
      <w:r w:rsidRPr="007C5A6E">
        <w:rPr>
          <w:rFonts w:ascii="Times New Roman" w:hAnsi="Times New Roman"/>
          <w:sz w:val="24"/>
          <w:szCs w:val="24"/>
        </w:rPr>
        <w:t xml:space="preserve"> perdra ses habitats à l’horizon 2050, en particulier, ces auteurs soutiennes que </w:t>
      </w:r>
      <w:proofErr w:type="spellStart"/>
      <w:r w:rsidRPr="007C5A6E">
        <w:rPr>
          <w:rFonts w:ascii="Times New Roman" w:hAnsi="Times New Roman"/>
          <w:i/>
          <w:iCs/>
          <w:sz w:val="24"/>
          <w:szCs w:val="24"/>
        </w:rPr>
        <w:t>Hyperolius</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nitidulus</w:t>
      </w:r>
      <w:proofErr w:type="spellEnd"/>
      <w:r w:rsidRPr="007C5A6E">
        <w:rPr>
          <w:rFonts w:ascii="Times New Roman" w:hAnsi="Times New Roman"/>
          <w:sz w:val="24"/>
          <w:szCs w:val="24"/>
        </w:rPr>
        <w:t xml:space="preserve"> perdra plus de 5,04 % de ses habitats favorables actuels, tandis que les habitats favorables à </w:t>
      </w:r>
      <w:proofErr w:type="spellStart"/>
      <w:r w:rsidRPr="007C5A6E">
        <w:rPr>
          <w:rFonts w:ascii="Times New Roman" w:hAnsi="Times New Roman"/>
          <w:i/>
          <w:iCs/>
          <w:sz w:val="24"/>
          <w:szCs w:val="24"/>
        </w:rPr>
        <w:t>Ptychadena</w:t>
      </w:r>
      <w:proofErr w:type="spellEnd"/>
      <w:r w:rsidRPr="007C5A6E">
        <w:rPr>
          <w:rFonts w:ascii="Times New Roman" w:hAnsi="Times New Roman"/>
          <w:i/>
          <w:iCs/>
          <w:sz w:val="24"/>
          <w:szCs w:val="24"/>
        </w:rPr>
        <w:t xml:space="preserve"> </w:t>
      </w:r>
      <w:proofErr w:type="spellStart"/>
      <w:r w:rsidRPr="007C5A6E">
        <w:rPr>
          <w:rFonts w:ascii="Times New Roman" w:hAnsi="Times New Roman"/>
          <w:i/>
          <w:iCs/>
          <w:sz w:val="24"/>
          <w:szCs w:val="24"/>
        </w:rPr>
        <w:t>bibroni</w:t>
      </w:r>
      <w:proofErr w:type="spellEnd"/>
      <w:r w:rsidRPr="007C5A6E">
        <w:rPr>
          <w:rFonts w:ascii="Times New Roman" w:hAnsi="Times New Roman"/>
          <w:sz w:val="24"/>
          <w:szCs w:val="24"/>
        </w:rPr>
        <w:t xml:space="preserve"> augmenteront. S’appuyant sur la faune piscicole, </w:t>
      </w:r>
      <w:proofErr w:type="spellStart"/>
      <w:r w:rsidRPr="007C5A6E">
        <w:rPr>
          <w:rFonts w:ascii="Times New Roman" w:hAnsi="Times New Roman"/>
          <w:sz w:val="24"/>
          <w:szCs w:val="24"/>
        </w:rPr>
        <w:t>Silga</w:t>
      </w:r>
      <w:proofErr w:type="spellEnd"/>
      <w:r w:rsidRPr="007C5A6E">
        <w:rPr>
          <w:rFonts w:ascii="Times New Roman" w:hAnsi="Times New Roman"/>
          <w:sz w:val="24"/>
          <w:szCs w:val="24"/>
        </w:rPr>
        <w:t xml:space="preserve"> (2021) soutien une diminution importante de la richesse piscicole dans le Mouhoun supérieur et dans toute la zone du Sourou à l’horizon 2070 et plutôt un gain d’habitats dans les environs du réservoir de </w:t>
      </w:r>
      <w:proofErr w:type="spellStart"/>
      <w:r w:rsidRPr="007C5A6E">
        <w:rPr>
          <w:rFonts w:ascii="Times New Roman" w:hAnsi="Times New Roman"/>
          <w:sz w:val="24"/>
          <w:szCs w:val="24"/>
        </w:rPr>
        <w:t>Higa</w:t>
      </w:r>
      <w:proofErr w:type="spellEnd"/>
      <w:r w:rsidRPr="007C5A6E">
        <w:rPr>
          <w:rFonts w:ascii="Times New Roman" w:hAnsi="Times New Roman"/>
          <w:sz w:val="24"/>
          <w:szCs w:val="24"/>
        </w:rPr>
        <w:t>.</w:t>
      </w:r>
    </w:p>
    <w:p w14:paraId="75A4B87C" w14:textId="77777777" w:rsidR="004C345A" w:rsidRPr="007C5A6E" w:rsidRDefault="004C345A" w:rsidP="004C345A">
      <w:pPr>
        <w:spacing w:after="0" w:line="240" w:lineRule="auto"/>
        <w:jc w:val="both"/>
        <w:rPr>
          <w:rFonts w:ascii="Times New Roman" w:hAnsi="Times New Roman"/>
          <w:sz w:val="24"/>
          <w:szCs w:val="24"/>
        </w:rPr>
      </w:pPr>
    </w:p>
    <w:p w14:paraId="4B4656D8" w14:textId="77777777" w:rsidR="004C345A" w:rsidRPr="007C5A6E" w:rsidRDefault="004C345A" w:rsidP="004C345A">
      <w:pPr>
        <w:spacing w:after="0" w:line="240" w:lineRule="auto"/>
        <w:jc w:val="both"/>
        <w:rPr>
          <w:rFonts w:ascii="Times New Roman" w:hAnsi="Times New Roman"/>
          <w:sz w:val="24"/>
          <w:szCs w:val="24"/>
        </w:rPr>
      </w:pPr>
      <w:r w:rsidRPr="007C5A6E">
        <w:rPr>
          <w:rFonts w:ascii="Times New Roman" w:hAnsi="Times New Roman"/>
          <w:sz w:val="24"/>
          <w:szCs w:val="24"/>
        </w:rPr>
        <w:t xml:space="preserve">Avec les hausses de la température, il se projette une éventuelle tendance de la perte voire extinction des espèces au profit des espèces plus adaptées à la chaleur particulièrement dans la zone sahélienne ou les effets du réchauffement sont plus marquant avec des nombres de jours de plus en plus réduits, malgré une quantité plus importante de pluies tombées. Dans ces zones fortement perturbées, il se produit un développement d’espèces spécifiques qui résistent mieux aux intempéries. </w:t>
      </w:r>
    </w:p>
    <w:p w14:paraId="654AE6D0" w14:textId="77777777" w:rsidR="004C345A" w:rsidRPr="007C5A6E" w:rsidRDefault="004C345A" w:rsidP="004C345A">
      <w:pPr>
        <w:spacing w:after="0" w:line="240" w:lineRule="auto"/>
        <w:jc w:val="both"/>
        <w:rPr>
          <w:rFonts w:ascii="Times New Roman" w:hAnsi="Times New Roman"/>
          <w:sz w:val="24"/>
          <w:szCs w:val="24"/>
        </w:rPr>
      </w:pPr>
      <w:r w:rsidRPr="007C5A6E">
        <w:rPr>
          <w:rFonts w:ascii="Times New Roman" w:hAnsi="Times New Roman"/>
          <w:sz w:val="24"/>
          <w:szCs w:val="24"/>
        </w:rPr>
        <w:t>Même si ces résultats décrivent une vision globalement positive des impacts du changement climatique sur le couvert forestier, il est important de garder à l’esprit que les projections des modèles excluent les impacts sur la biodiversité des activités humaines telles que l’utilisation des terres, qui ont déjà causé des pertes significatives de biodiversité au niveau national et qui devraient rester leur principal contributeur à l’avenir. Ces pressions risquent de s’intensifier en raison de la faiblesse de la production agricole et de la croissance démographique, entraînant des niveaux encore plus élevés de déforestation, de dégradation des terres et de feux de forêt, avec autant d’impacts sur la biodiversité animale et végétale.</w:t>
      </w:r>
    </w:p>
    <w:p w14:paraId="7C016C95" w14:textId="77777777" w:rsidR="004C345A" w:rsidRPr="007C5A6E" w:rsidRDefault="004C345A" w:rsidP="00F57A5C">
      <w:pPr>
        <w:spacing w:after="0" w:line="240" w:lineRule="auto"/>
        <w:rPr>
          <w:rFonts w:ascii="Times New Roman" w:hAnsi="Times New Roman"/>
          <w:sz w:val="24"/>
          <w:szCs w:val="24"/>
        </w:rPr>
      </w:pPr>
    </w:p>
    <w:p w14:paraId="69690823" w14:textId="77777777" w:rsidR="00A340F1" w:rsidRPr="007C5A6E" w:rsidRDefault="00A340F1" w:rsidP="00F57A5C">
      <w:pPr>
        <w:spacing w:after="0" w:line="240" w:lineRule="auto"/>
        <w:rPr>
          <w:rFonts w:ascii="Times New Roman" w:hAnsi="Times New Roman"/>
          <w:sz w:val="24"/>
          <w:szCs w:val="24"/>
        </w:rPr>
      </w:pPr>
    </w:p>
    <w:p w14:paraId="1200CB26" w14:textId="77777777" w:rsidR="00995549" w:rsidRPr="007C5A6E" w:rsidRDefault="00995549" w:rsidP="003F3821">
      <w:pPr>
        <w:pStyle w:val="Titre1"/>
        <w:keepNext w:val="0"/>
        <w:keepLines w:val="0"/>
        <w:numPr>
          <w:ilvl w:val="0"/>
          <w:numId w:val="4"/>
        </w:numPr>
        <w:spacing w:before="0"/>
        <w:rPr>
          <w:bCs/>
          <w:sz w:val="26"/>
          <w:szCs w:val="26"/>
        </w:rPr>
        <w:sectPr w:rsidR="00995549" w:rsidRPr="007C5A6E" w:rsidSect="006514BA">
          <w:pgSz w:w="11907" w:h="16840" w:code="9"/>
          <w:pgMar w:top="1191" w:right="1361" w:bottom="1191" w:left="1361" w:header="709" w:footer="709" w:gutter="0"/>
          <w:cols w:space="708"/>
          <w:docGrid w:linePitch="360"/>
        </w:sectPr>
      </w:pPr>
    </w:p>
    <w:p w14:paraId="173EDF32" w14:textId="40D742EB" w:rsidR="005E7B17" w:rsidRPr="007C5A6E" w:rsidRDefault="00E17E61" w:rsidP="00F57A5C">
      <w:pPr>
        <w:pStyle w:val="Titre1"/>
        <w:spacing w:before="0"/>
        <w:ind w:left="510" w:hanging="510"/>
        <w:rPr>
          <w:bCs/>
          <w:szCs w:val="30"/>
        </w:rPr>
      </w:pPr>
      <w:bookmarkStart w:id="1256" w:name="_Toc183340261"/>
      <w:r w:rsidRPr="007C5A6E">
        <w:rPr>
          <w:bCs/>
          <w:szCs w:val="30"/>
        </w:rPr>
        <w:t>CHANGEMENTS CLIMATIQUES ET CATASTROPHES NATURELLES</w:t>
      </w:r>
      <w:bookmarkEnd w:id="1256"/>
      <w:r w:rsidRPr="007C5A6E">
        <w:rPr>
          <w:bCs/>
          <w:szCs w:val="30"/>
        </w:rPr>
        <w:t xml:space="preserve"> </w:t>
      </w:r>
    </w:p>
    <w:p w14:paraId="51847D1B" w14:textId="77777777" w:rsidR="00943BA4" w:rsidRPr="007C5A6E" w:rsidRDefault="00943BA4" w:rsidP="00943BA4">
      <w:pPr>
        <w:pStyle w:val="Sansinterligne"/>
      </w:pPr>
    </w:p>
    <w:p w14:paraId="4DDE29DF" w14:textId="77777777" w:rsidR="00530291" w:rsidRPr="007C5A6E" w:rsidRDefault="00530291" w:rsidP="003F3821">
      <w:pPr>
        <w:pStyle w:val="Paragraphedeliste"/>
        <w:numPr>
          <w:ilvl w:val="0"/>
          <w:numId w:val="4"/>
        </w:numPr>
        <w:spacing w:after="0" w:line="240" w:lineRule="auto"/>
        <w:outlineLvl w:val="1"/>
        <w:rPr>
          <w:rFonts w:ascii="Times New Roman" w:hAnsi="Times New Roman"/>
          <w:b/>
          <w:bCs/>
          <w:vanish/>
          <w:sz w:val="24"/>
          <w:szCs w:val="24"/>
        </w:rPr>
      </w:pPr>
      <w:bookmarkStart w:id="1257" w:name="_Toc183288020"/>
      <w:bookmarkStart w:id="1258" w:name="_Toc183291261"/>
      <w:bookmarkStart w:id="1259" w:name="_Toc183291665"/>
      <w:bookmarkStart w:id="1260" w:name="_Toc183292069"/>
      <w:bookmarkStart w:id="1261" w:name="_Toc183340262"/>
      <w:bookmarkEnd w:id="1257"/>
      <w:bookmarkEnd w:id="1258"/>
      <w:bookmarkEnd w:id="1259"/>
      <w:bookmarkEnd w:id="1260"/>
      <w:bookmarkEnd w:id="1261"/>
    </w:p>
    <w:p w14:paraId="34244ADF" w14:textId="7DF72751" w:rsidR="00DE49A8" w:rsidRPr="007C5A6E" w:rsidRDefault="00DE49A8" w:rsidP="00943BA4">
      <w:pPr>
        <w:spacing w:after="0" w:line="240" w:lineRule="auto"/>
        <w:jc w:val="both"/>
        <w:rPr>
          <w:rFonts w:ascii="Times New Roman" w:hAnsi="Times New Roman"/>
          <w:sz w:val="24"/>
          <w:szCs w:val="24"/>
        </w:rPr>
      </w:pPr>
      <w:r w:rsidRPr="007C5A6E">
        <w:rPr>
          <w:rFonts w:ascii="Times New Roman" w:hAnsi="Times New Roman"/>
          <w:sz w:val="24"/>
          <w:szCs w:val="24"/>
        </w:rPr>
        <w:t xml:space="preserve">Le contenu de cette troisième partie a des limites objectives du fait qu’il se fonde sur des données parcellaires tirées de documents qui datent tous d’avant 2022. Les </w:t>
      </w:r>
      <w:r w:rsidR="007C6735" w:rsidRPr="007C5A6E">
        <w:rPr>
          <w:rFonts w:ascii="Times New Roman" w:hAnsi="Times New Roman"/>
          <w:sz w:val="24"/>
          <w:szCs w:val="24"/>
        </w:rPr>
        <w:t xml:space="preserve">données et </w:t>
      </w:r>
      <w:r w:rsidRPr="007C5A6E">
        <w:rPr>
          <w:rFonts w:ascii="Times New Roman" w:hAnsi="Times New Roman"/>
          <w:sz w:val="24"/>
          <w:szCs w:val="24"/>
        </w:rPr>
        <w:t xml:space="preserve">informations récentes sur les catastrophes naturelles </w:t>
      </w:r>
      <w:r w:rsidR="007C6735" w:rsidRPr="007C5A6E">
        <w:rPr>
          <w:rFonts w:ascii="Times New Roman" w:hAnsi="Times New Roman"/>
          <w:sz w:val="24"/>
          <w:szCs w:val="24"/>
        </w:rPr>
        <w:t xml:space="preserve">au Burkina Faso et leur gestion </w:t>
      </w:r>
      <w:r w:rsidRPr="007C5A6E">
        <w:rPr>
          <w:rFonts w:ascii="Times New Roman" w:hAnsi="Times New Roman"/>
          <w:sz w:val="24"/>
          <w:szCs w:val="24"/>
        </w:rPr>
        <w:t>n’ont pas été accessibles</w:t>
      </w:r>
      <w:r w:rsidR="007C6735" w:rsidRPr="007C5A6E">
        <w:rPr>
          <w:rFonts w:ascii="Times New Roman" w:hAnsi="Times New Roman"/>
          <w:sz w:val="24"/>
          <w:szCs w:val="24"/>
        </w:rPr>
        <w:t xml:space="preserve"> aux consultants malgré toutes les démarches entreprises</w:t>
      </w:r>
      <w:r w:rsidRPr="007C5A6E">
        <w:rPr>
          <w:rFonts w:ascii="Times New Roman" w:hAnsi="Times New Roman"/>
          <w:sz w:val="24"/>
          <w:szCs w:val="24"/>
        </w:rPr>
        <w:t>.</w:t>
      </w:r>
    </w:p>
    <w:p w14:paraId="1D6EF86C" w14:textId="77777777" w:rsidR="00943BA4" w:rsidRPr="007C5A6E" w:rsidRDefault="00943BA4" w:rsidP="00943BA4">
      <w:pPr>
        <w:spacing w:after="0" w:line="240" w:lineRule="auto"/>
        <w:jc w:val="both"/>
        <w:rPr>
          <w:rFonts w:ascii="Times New Roman" w:hAnsi="Times New Roman"/>
          <w:sz w:val="24"/>
          <w:szCs w:val="24"/>
        </w:rPr>
      </w:pPr>
    </w:p>
    <w:p w14:paraId="6F59176A" w14:textId="77777777" w:rsidR="00DE49A8" w:rsidRPr="007C5A6E" w:rsidRDefault="00DE49A8" w:rsidP="00DE49A8">
      <w:pPr>
        <w:pStyle w:val="Paragraphedeliste"/>
        <w:numPr>
          <w:ilvl w:val="0"/>
          <w:numId w:val="2"/>
        </w:numPr>
        <w:spacing w:after="0" w:line="240" w:lineRule="auto"/>
        <w:outlineLvl w:val="1"/>
        <w:rPr>
          <w:rFonts w:ascii="Times New Roman" w:hAnsi="Times New Roman"/>
          <w:b/>
          <w:bCs/>
          <w:vanish/>
          <w:sz w:val="28"/>
          <w:szCs w:val="28"/>
        </w:rPr>
      </w:pPr>
      <w:bookmarkStart w:id="1262" w:name="_Toc183288021"/>
      <w:bookmarkStart w:id="1263" w:name="_Toc183291262"/>
      <w:bookmarkStart w:id="1264" w:name="_Toc183291666"/>
      <w:bookmarkStart w:id="1265" w:name="_Toc183292070"/>
      <w:bookmarkStart w:id="1266" w:name="_Toc183340263"/>
      <w:bookmarkEnd w:id="1262"/>
      <w:bookmarkEnd w:id="1263"/>
      <w:bookmarkEnd w:id="1264"/>
      <w:bookmarkEnd w:id="1265"/>
      <w:bookmarkEnd w:id="1266"/>
    </w:p>
    <w:p w14:paraId="47E42582" w14:textId="77777777" w:rsidR="00DE49A8" w:rsidRPr="007C5A6E" w:rsidRDefault="00DE49A8" w:rsidP="00712C43">
      <w:pPr>
        <w:pStyle w:val="Titre2"/>
      </w:pPr>
      <w:bookmarkStart w:id="1267" w:name="_Toc183340264"/>
      <w:r w:rsidRPr="007C5A6E">
        <w:t>Évènements climatiques extrêmes et catastrophes naturelles</w:t>
      </w:r>
      <w:bookmarkEnd w:id="1267"/>
    </w:p>
    <w:p w14:paraId="167FCA90" w14:textId="77777777" w:rsidR="00DE49A8" w:rsidRPr="007C5A6E" w:rsidRDefault="00DE49A8" w:rsidP="00DE49A8">
      <w:pPr>
        <w:spacing w:after="0" w:line="240" w:lineRule="auto"/>
      </w:pPr>
    </w:p>
    <w:p w14:paraId="3F8AC417" w14:textId="77777777" w:rsidR="00DE49A8" w:rsidRPr="007C5A6E" w:rsidRDefault="00DE49A8" w:rsidP="006F3D69">
      <w:pPr>
        <w:pStyle w:val="Titre3"/>
      </w:pPr>
      <w:bookmarkStart w:id="1268" w:name="_Toc182582660"/>
      <w:bookmarkStart w:id="1269" w:name="_Toc183340265"/>
      <w:bookmarkStart w:id="1270" w:name="_Hlk183178861"/>
      <w:r w:rsidRPr="007C5A6E">
        <w:t>Les catastrophes naturelles déclarées et documentées</w:t>
      </w:r>
      <w:bookmarkEnd w:id="1268"/>
      <w:bookmarkEnd w:id="1269"/>
      <w:r w:rsidRPr="007C5A6E">
        <w:t xml:space="preserve"> </w:t>
      </w:r>
    </w:p>
    <w:p w14:paraId="49916EA9" w14:textId="77777777" w:rsidR="00DE49A8" w:rsidRPr="007C5A6E" w:rsidRDefault="00DE49A8" w:rsidP="00DE49A8">
      <w:pPr>
        <w:spacing w:after="0" w:line="240" w:lineRule="auto"/>
      </w:pPr>
    </w:p>
    <w:p w14:paraId="6B4F2E19" w14:textId="77777777" w:rsidR="00DE49A8" w:rsidRPr="007C5A6E" w:rsidRDefault="00DE49A8" w:rsidP="00684FF8">
      <w:pPr>
        <w:pStyle w:val="Titre4"/>
      </w:pPr>
      <w:bookmarkStart w:id="1271" w:name="_Toc183340266"/>
      <w:r w:rsidRPr="007C5A6E">
        <w:t>Les inondations</w:t>
      </w:r>
      <w:bookmarkEnd w:id="1271"/>
      <w:r w:rsidRPr="007C5A6E">
        <w:t xml:space="preserve"> </w:t>
      </w:r>
    </w:p>
    <w:p w14:paraId="57A853B7" w14:textId="77777777" w:rsidR="00DE49A8" w:rsidRPr="007C5A6E" w:rsidRDefault="00DE49A8" w:rsidP="00DE49A8">
      <w:pPr>
        <w:pStyle w:val="Sansinterligne"/>
      </w:pPr>
    </w:p>
    <w:p w14:paraId="6FA07D34" w14:textId="0DAC57EC" w:rsidR="00DE49A8" w:rsidRPr="007C5A6E" w:rsidRDefault="00DE49A8" w:rsidP="00943BA4">
      <w:pPr>
        <w:spacing w:after="0" w:line="240" w:lineRule="auto"/>
        <w:jc w:val="both"/>
        <w:rPr>
          <w:rFonts w:ascii="Times New Roman" w:hAnsi="Times New Roman"/>
          <w:sz w:val="24"/>
          <w:szCs w:val="24"/>
        </w:rPr>
      </w:pPr>
      <w:r w:rsidRPr="007C5A6E">
        <w:rPr>
          <w:rFonts w:ascii="Times New Roman" w:hAnsi="Times New Roman"/>
          <w:sz w:val="24"/>
          <w:szCs w:val="24"/>
        </w:rPr>
        <w:t xml:space="preserve">Les inondations touchent toutes les régions du Burkina. Elles sont de plus en plus fréquentes et de plus en plus sévères. Elles sont la conséquence d’événements pluviométriques extrêmes conjuguées avec des facteurs qui résultent d’activités anthropiques. La </w:t>
      </w:r>
      <w:r w:rsidR="0081172C" w:rsidRPr="007C5A6E">
        <w:rPr>
          <w:rFonts w:ascii="Times New Roman" w:hAnsi="Times New Roman"/>
          <w:sz w:val="24"/>
          <w:szCs w:val="24"/>
        </w:rPr>
        <w:t>figure 81</w:t>
      </w:r>
      <w:r w:rsidRPr="007C5A6E">
        <w:rPr>
          <w:rFonts w:ascii="Times New Roman" w:hAnsi="Times New Roman"/>
          <w:sz w:val="24"/>
          <w:szCs w:val="24"/>
        </w:rPr>
        <w:t xml:space="preserve"> présente les zones à risque d’inondation.</w:t>
      </w:r>
    </w:p>
    <w:p w14:paraId="7AF0190A" w14:textId="79BFBCF4" w:rsidR="00DE49A8" w:rsidRPr="007C5A6E" w:rsidRDefault="00DE49A8" w:rsidP="00DE49A8">
      <w:pPr>
        <w:autoSpaceDE w:val="0"/>
        <w:autoSpaceDN w:val="0"/>
        <w:adjustRightInd w:val="0"/>
        <w:spacing w:after="0" w:line="240" w:lineRule="auto"/>
        <w:rPr>
          <w:rFonts w:ascii="Times New Roman" w:hAnsi="Times New Roman"/>
          <w:color w:val="000000"/>
          <w:sz w:val="23"/>
          <w:szCs w:val="23"/>
        </w:rPr>
      </w:pPr>
      <w:r w:rsidRPr="007C5A6E">
        <w:rPr>
          <w:rFonts w:ascii="Times New Roman" w:hAnsi="Times New Roman"/>
          <w:noProof/>
          <w:color w:val="000000"/>
          <w:sz w:val="24"/>
          <w:szCs w:val="24"/>
        </w:rPr>
        <w:drawing>
          <wp:inline distT="0" distB="0" distL="0" distR="0" wp14:anchorId="0CC30323" wp14:editId="4FDA37EC">
            <wp:extent cx="5200000" cy="3514286"/>
            <wp:effectExtent l="0" t="0" r="1270" b="0"/>
            <wp:docPr id="36323495" name="Image 1" descr="Une image contenant carte,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23495" name="Image 1" descr="Une image contenant carte, texte&#10;&#10;Description générée automatiquement"/>
                    <pic:cNvPicPr/>
                  </pic:nvPicPr>
                  <pic:blipFill>
                    <a:blip r:embed="rId211"/>
                    <a:stretch>
                      <a:fillRect/>
                    </a:stretch>
                  </pic:blipFill>
                  <pic:spPr>
                    <a:xfrm>
                      <a:off x="0" y="0"/>
                      <a:ext cx="5200000" cy="3514286"/>
                    </a:xfrm>
                    <a:prstGeom prst="rect">
                      <a:avLst/>
                    </a:prstGeom>
                  </pic:spPr>
                </pic:pic>
              </a:graphicData>
            </a:graphic>
          </wp:inline>
        </w:drawing>
      </w:r>
    </w:p>
    <w:p w14:paraId="67FD9D3A" w14:textId="203D291C" w:rsidR="00DE49A8" w:rsidRPr="007C5A6E" w:rsidRDefault="0081172C" w:rsidP="00DE49A8">
      <w:pPr>
        <w:autoSpaceDE w:val="0"/>
        <w:autoSpaceDN w:val="0"/>
        <w:adjustRightInd w:val="0"/>
        <w:spacing w:after="0" w:line="240" w:lineRule="auto"/>
        <w:rPr>
          <w:rFonts w:ascii="Times New Roman" w:hAnsi="Times New Roman"/>
          <w:i/>
          <w:iCs/>
          <w:color w:val="000000"/>
          <w:sz w:val="20"/>
          <w:szCs w:val="20"/>
        </w:rPr>
      </w:pPr>
      <w:r w:rsidRPr="007C5A6E">
        <w:rPr>
          <w:rFonts w:ascii="Times New Roman" w:hAnsi="Times New Roman"/>
          <w:sz w:val="20"/>
          <w:szCs w:val="20"/>
        </w:rPr>
        <w:t>(</w:t>
      </w:r>
      <w:r w:rsidR="00DE49A8" w:rsidRPr="007C5A6E">
        <w:rPr>
          <w:rFonts w:ascii="Times New Roman" w:hAnsi="Times New Roman"/>
          <w:sz w:val="20"/>
          <w:szCs w:val="20"/>
        </w:rPr>
        <w:t>Source : Gouvernement du Burkina Faso, 2013-2014</w:t>
      </w:r>
      <w:r w:rsidRPr="007C5A6E">
        <w:rPr>
          <w:rFonts w:ascii="Times New Roman" w:hAnsi="Times New Roman"/>
          <w:sz w:val="20"/>
          <w:szCs w:val="20"/>
        </w:rPr>
        <w:t>)</w:t>
      </w:r>
    </w:p>
    <w:p w14:paraId="3A47BBE7" w14:textId="55F8D213" w:rsidR="0093137D" w:rsidRPr="007C5A6E" w:rsidRDefault="0093137D" w:rsidP="0093137D">
      <w:pPr>
        <w:pStyle w:val="Lgende"/>
        <w:spacing w:after="0"/>
        <w:jc w:val="both"/>
        <w:rPr>
          <w:rFonts w:ascii="Times New Roman" w:hAnsi="Times New Roman"/>
          <w:color w:val="auto"/>
          <w:sz w:val="24"/>
          <w:szCs w:val="24"/>
        </w:rPr>
      </w:pPr>
      <w:bookmarkStart w:id="1272" w:name="_Toc183230928"/>
      <w:bookmarkStart w:id="1273" w:name="_Toc183240721"/>
      <w:bookmarkStart w:id="1274" w:name="_Toc183340460"/>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7C6735" w:rsidRPr="007C5A6E">
        <w:rPr>
          <w:rFonts w:ascii="Times New Roman" w:hAnsi="Times New Roman"/>
          <w:noProof/>
          <w:color w:val="auto"/>
          <w:sz w:val="24"/>
          <w:szCs w:val="24"/>
        </w:rPr>
        <w:t>81</w:t>
      </w:r>
      <w:r w:rsidRPr="007C5A6E">
        <w:rPr>
          <w:rFonts w:ascii="Times New Roman" w:hAnsi="Times New Roman"/>
          <w:color w:val="auto"/>
          <w:sz w:val="24"/>
          <w:szCs w:val="24"/>
        </w:rPr>
        <w:fldChar w:fldCharType="end"/>
      </w:r>
      <w:r w:rsidR="00DD3101" w:rsidRPr="007C5A6E">
        <w:rPr>
          <w:rFonts w:ascii="Times New Roman" w:hAnsi="Times New Roman"/>
          <w:color w:val="auto"/>
          <w:sz w:val="24"/>
          <w:szCs w:val="24"/>
        </w:rPr>
        <w:t>.</w:t>
      </w:r>
      <w:r w:rsidRPr="007C5A6E">
        <w:rPr>
          <w:rFonts w:ascii="Times New Roman" w:hAnsi="Times New Roman"/>
          <w:color w:val="auto"/>
          <w:sz w:val="24"/>
          <w:szCs w:val="24"/>
        </w:rPr>
        <w:t xml:space="preserve"> </w:t>
      </w:r>
      <w:r w:rsidR="0081172C" w:rsidRPr="007C5A6E">
        <w:rPr>
          <w:rFonts w:ascii="Times New Roman" w:hAnsi="Times New Roman"/>
          <w:color w:val="auto"/>
          <w:sz w:val="24"/>
          <w:szCs w:val="24"/>
        </w:rPr>
        <w:t>Les zones à risque d’inondation au Burkina Faso</w:t>
      </w:r>
      <w:bookmarkEnd w:id="1272"/>
      <w:bookmarkEnd w:id="1273"/>
      <w:bookmarkEnd w:id="1274"/>
    </w:p>
    <w:p w14:paraId="2B4B9A86" w14:textId="77777777" w:rsidR="00DE49A8" w:rsidRPr="007C5A6E" w:rsidRDefault="00DE49A8" w:rsidP="00DE49A8">
      <w:pPr>
        <w:autoSpaceDE w:val="0"/>
        <w:autoSpaceDN w:val="0"/>
        <w:adjustRightInd w:val="0"/>
        <w:spacing w:after="0" w:line="240" w:lineRule="auto"/>
        <w:rPr>
          <w:rFonts w:ascii="Times New Roman" w:hAnsi="Times New Roman"/>
          <w:color w:val="000000"/>
          <w:sz w:val="23"/>
          <w:szCs w:val="23"/>
        </w:rPr>
      </w:pPr>
    </w:p>
    <w:p w14:paraId="0E73D462" w14:textId="77777777" w:rsidR="00DE49A8" w:rsidRPr="007C5A6E" w:rsidRDefault="00DE49A8" w:rsidP="00DE49A8">
      <w:pPr>
        <w:autoSpaceDE w:val="0"/>
        <w:autoSpaceDN w:val="0"/>
        <w:adjustRightInd w:val="0"/>
        <w:spacing w:after="0" w:line="240" w:lineRule="auto"/>
        <w:jc w:val="both"/>
        <w:rPr>
          <w:rFonts w:ascii="Times New Roman" w:hAnsi="Times New Roman"/>
          <w:sz w:val="24"/>
          <w:szCs w:val="24"/>
        </w:rPr>
      </w:pPr>
      <w:r w:rsidRPr="007C5A6E">
        <w:rPr>
          <w:rFonts w:ascii="Times New Roman" w:hAnsi="Times New Roman"/>
          <w:sz w:val="24"/>
          <w:szCs w:val="24"/>
        </w:rPr>
        <w:t>Selon les rapports annuels SP/CONASUR de 2006 à 2021, ont été sinistrés par des inondations :</w:t>
      </w:r>
    </w:p>
    <w:p w14:paraId="0CA774F1" w14:textId="19E8CFC8" w:rsidR="00DE49A8" w:rsidRPr="007C5A6E" w:rsidRDefault="007C6735" w:rsidP="003F0255">
      <w:pPr>
        <w:numPr>
          <w:ilvl w:val="0"/>
          <w:numId w:val="46"/>
        </w:numPr>
        <w:autoSpaceDE w:val="0"/>
        <w:autoSpaceDN w:val="0"/>
        <w:adjustRightInd w:val="0"/>
        <w:spacing w:after="0" w:line="240" w:lineRule="auto"/>
        <w:jc w:val="both"/>
        <w:rPr>
          <w:rFonts w:ascii="Times New Roman" w:hAnsi="Times New Roman"/>
          <w:color w:val="000000"/>
          <w:sz w:val="24"/>
          <w:szCs w:val="24"/>
        </w:rPr>
      </w:pPr>
      <w:r w:rsidRPr="007C5A6E">
        <w:rPr>
          <w:rFonts w:ascii="Times New Roman" w:hAnsi="Times New Roman"/>
          <w:color w:val="000000"/>
          <w:sz w:val="24"/>
          <w:szCs w:val="24"/>
        </w:rPr>
        <w:t>En</w:t>
      </w:r>
      <w:r w:rsidR="00DE49A8" w:rsidRPr="007C5A6E">
        <w:rPr>
          <w:rFonts w:ascii="Times New Roman" w:hAnsi="Times New Roman"/>
          <w:color w:val="000000"/>
          <w:sz w:val="24"/>
          <w:szCs w:val="24"/>
        </w:rPr>
        <w:t xml:space="preserve"> 2006 dans la zone sahélienne</w:t>
      </w:r>
      <w:r w:rsidRPr="007C5A6E">
        <w:rPr>
          <w:rFonts w:ascii="Times New Roman" w:hAnsi="Times New Roman"/>
          <w:color w:val="000000"/>
          <w:sz w:val="24"/>
          <w:szCs w:val="24"/>
        </w:rPr>
        <w:t>,</w:t>
      </w:r>
      <w:r w:rsidR="00DE49A8" w:rsidRPr="007C5A6E">
        <w:rPr>
          <w:rFonts w:ascii="Times New Roman" w:hAnsi="Times New Roman"/>
          <w:color w:val="000000"/>
          <w:sz w:val="24"/>
          <w:szCs w:val="24"/>
        </w:rPr>
        <w:t xml:space="preserve"> les régions du Sahel et du Nord</w:t>
      </w:r>
      <w:r w:rsidRPr="007C5A6E">
        <w:rPr>
          <w:rFonts w:ascii="Times New Roman" w:hAnsi="Times New Roman"/>
          <w:color w:val="000000"/>
          <w:sz w:val="24"/>
          <w:szCs w:val="24"/>
        </w:rPr>
        <w:t xml:space="preserve"> ; </w:t>
      </w:r>
      <w:r w:rsidR="00DE49A8" w:rsidRPr="007C5A6E">
        <w:rPr>
          <w:rFonts w:ascii="Times New Roman" w:hAnsi="Times New Roman"/>
          <w:color w:val="000000"/>
          <w:sz w:val="24"/>
          <w:szCs w:val="24"/>
        </w:rPr>
        <w:t>dans la zone soudano-sahélienne les régions du Centre-Nord, de la Boucle du Mouhoun et du Centre-Sud</w:t>
      </w:r>
      <w:r w:rsidRPr="007C5A6E">
        <w:rPr>
          <w:rFonts w:ascii="Times New Roman" w:hAnsi="Times New Roman"/>
          <w:color w:val="000000"/>
          <w:sz w:val="24"/>
          <w:szCs w:val="24"/>
        </w:rPr>
        <w:t xml:space="preserve"> ; </w:t>
      </w:r>
      <w:r w:rsidR="00DE49A8" w:rsidRPr="007C5A6E">
        <w:rPr>
          <w:rFonts w:ascii="Times New Roman" w:hAnsi="Times New Roman"/>
          <w:color w:val="000000"/>
          <w:sz w:val="24"/>
          <w:szCs w:val="24"/>
        </w:rPr>
        <w:t>dans la zone soudanienne les régions du Centre-Ouest et des Hauts-Bassins ;</w:t>
      </w:r>
    </w:p>
    <w:p w14:paraId="0F3E0404" w14:textId="1377E91A" w:rsidR="00DE49A8" w:rsidRPr="007C5A6E" w:rsidRDefault="007C6735" w:rsidP="00943BA4">
      <w:pPr>
        <w:numPr>
          <w:ilvl w:val="0"/>
          <w:numId w:val="46"/>
        </w:numPr>
        <w:autoSpaceDE w:val="0"/>
        <w:autoSpaceDN w:val="0"/>
        <w:adjustRightInd w:val="0"/>
        <w:spacing w:after="0" w:line="240" w:lineRule="auto"/>
        <w:jc w:val="both"/>
        <w:rPr>
          <w:rFonts w:ascii="Times New Roman" w:hAnsi="Times New Roman"/>
          <w:color w:val="000000"/>
          <w:sz w:val="24"/>
          <w:szCs w:val="24"/>
        </w:rPr>
      </w:pPr>
      <w:r w:rsidRPr="007C5A6E">
        <w:rPr>
          <w:rFonts w:ascii="Times New Roman" w:hAnsi="Times New Roman"/>
          <w:color w:val="000000"/>
          <w:sz w:val="24"/>
          <w:szCs w:val="24"/>
        </w:rPr>
        <w:t>Toutes</w:t>
      </w:r>
      <w:r w:rsidR="00DE49A8" w:rsidRPr="007C5A6E">
        <w:rPr>
          <w:rFonts w:ascii="Times New Roman" w:hAnsi="Times New Roman"/>
          <w:color w:val="000000"/>
          <w:sz w:val="24"/>
          <w:szCs w:val="24"/>
        </w:rPr>
        <w:t xml:space="preserve"> les 13 régions en 2007, 2016, 2018 et 2020 ;</w:t>
      </w:r>
    </w:p>
    <w:p w14:paraId="592CC559" w14:textId="77777777" w:rsidR="00DE49A8" w:rsidRPr="007C5A6E" w:rsidRDefault="00DE49A8" w:rsidP="00943BA4">
      <w:pPr>
        <w:numPr>
          <w:ilvl w:val="0"/>
          <w:numId w:val="46"/>
        </w:numPr>
        <w:autoSpaceDE w:val="0"/>
        <w:autoSpaceDN w:val="0"/>
        <w:adjustRightInd w:val="0"/>
        <w:spacing w:after="0" w:line="240" w:lineRule="auto"/>
        <w:jc w:val="both"/>
        <w:rPr>
          <w:rFonts w:ascii="Times New Roman" w:hAnsi="Times New Roman"/>
          <w:color w:val="000000"/>
          <w:sz w:val="24"/>
          <w:szCs w:val="24"/>
        </w:rPr>
      </w:pPr>
      <w:r w:rsidRPr="007C5A6E">
        <w:rPr>
          <w:rFonts w:ascii="Times New Roman" w:hAnsi="Times New Roman"/>
          <w:color w:val="000000"/>
          <w:sz w:val="24"/>
          <w:szCs w:val="24"/>
        </w:rPr>
        <w:t>12 régions en 2010 et 2017 ;</w:t>
      </w:r>
    </w:p>
    <w:p w14:paraId="259BD481" w14:textId="77777777" w:rsidR="00DE49A8" w:rsidRPr="007C5A6E" w:rsidRDefault="00DE49A8" w:rsidP="00943BA4">
      <w:pPr>
        <w:numPr>
          <w:ilvl w:val="0"/>
          <w:numId w:val="46"/>
        </w:numPr>
        <w:autoSpaceDE w:val="0"/>
        <w:autoSpaceDN w:val="0"/>
        <w:adjustRightInd w:val="0"/>
        <w:spacing w:after="0" w:line="240" w:lineRule="auto"/>
        <w:jc w:val="both"/>
        <w:rPr>
          <w:rFonts w:ascii="Times New Roman" w:hAnsi="Times New Roman"/>
          <w:color w:val="000000"/>
          <w:sz w:val="24"/>
          <w:szCs w:val="24"/>
        </w:rPr>
      </w:pPr>
      <w:r w:rsidRPr="007C5A6E">
        <w:rPr>
          <w:rFonts w:ascii="Times New Roman" w:hAnsi="Times New Roman"/>
          <w:color w:val="000000"/>
          <w:sz w:val="24"/>
          <w:szCs w:val="24"/>
        </w:rPr>
        <w:t>11 régions en 2009 ;</w:t>
      </w:r>
    </w:p>
    <w:p w14:paraId="6634254A" w14:textId="77777777" w:rsidR="00DE49A8" w:rsidRPr="007C5A6E" w:rsidRDefault="00DE49A8" w:rsidP="00943BA4">
      <w:pPr>
        <w:numPr>
          <w:ilvl w:val="0"/>
          <w:numId w:val="46"/>
        </w:numPr>
        <w:autoSpaceDE w:val="0"/>
        <w:autoSpaceDN w:val="0"/>
        <w:adjustRightInd w:val="0"/>
        <w:spacing w:after="0" w:line="240" w:lineRule="auto"/>
        <w:jc w:val="both"/>
        <w:rPr>
          <w:rFonts w:ascii="Times New Roman" w:hAnsi="Times New Roman"/>
          <w:color w:val="000000"/>
          <w:sz w:val="24"/>
          <w:szCs w:val="24"/>
        </w:rPr>
      </w:pPr>
      <w:r w:rsidRPr="007C5A6E">
        <w:rPr>
          <w:rFonts w:ascii="Times New Roman" w:hAnsi="Times New Roman"/>
          <w:color w:val="000000"/>
          <w:sz w:val="24"/>
          <w:szCs w:val="24"/>
        </w:rPr>
        <w:t>10 régions en 2013 et 2021 ;</w:t>
      </w:r>
    </w:p>
    <w:p w14:paraId="79876C35" w14:textId="77777777" w:rsidR="00DE49A8" w:rsidRPr="007C5A6E" w:rsidRDefault="00DE49A8" w:rsidP="00943BA4">
      <w:pPr>
        <w:numPr>
          <w:ilvl w:val="0"/>
          <w:numId w:val="46"/>
        </w:numPr>
        <w:autoSpaceDE w:val="0"/>
        <w:autoSpaceDN w:val="0"/>
        <w:adjustRightInd w:val="0"/>
        <w:spacing w:after="0" w:line="240" w:lineRule="auto"/>
        <w:jc w:val="both"/>
        <w:rPr>
          <w:rFonts w:ascii="Times New Roman" w:hAnsi="Times New Roman"/>
          <w:color w:val="000000"/>
          <w:sz w:val="24"/>
          <w:szCs w:val="24"/>
        </w:rPr>
      </w:pPr>
      <w:r w:rsidRPr="007C5A6E">
        <w:rPr>
          <w:rFonts w:ascii="Times New Roman" w:hAnsi="Times New Roman"/>
          <w:color w:val="000000"/>
          <w:sz w:val="24"/>
          <w:szCs w:val="24"/>
        </w:rPr>
        <w:t>9 régions en 2015 ;</w:t>
      </w:r>
    </w:p>
    <w:p w14:paraId="5B4F35C6" w14:textId="77777777" w:rsidR="00DE49A8" w:rsidRPr="007C5A6E" w:rsidRDefault="00DE49A8" w:rsidP="00943BA4">
      <w:pPr>
        <w:numPr>
          <w:ilvl w:val="0"/>
          <w:numId w:val="46"/>
        </w:numPr>
        <w:autoSpaceDE w:val="0"/>
        <w:autoSpaceDN w:val="0"/>
        <w:adjustRightInd w:val="0"/>
        <w:spacing w:after="0" w:line="240" w:lineRule="auto"/>
        <w:jc w:val="both"/>
        <w:rPr>
          <w:rFonts w:ascii="Times New Roman" w:hAnsi="Times New Roman"/>
          <w:color w:val="000000"/>
          <w:sz w:val="24"/>
          <w:szCs w:val="24"/>
        </w:rPr>
      </w:pPr>
      <w:r w:rsidRPr="007C5A6E">
        <w:rPr>
          <w:rFonts w:ascii="Times New Roman" w:hAnsi="Times New Roman"/>
          <w:color w:val="000000"/>
          <w:sz w:val="24"/>
          <w:szCs w:val="24"/>
        </w:rPr>
        <w:t>8 régions en 2011 ;</w:t>
      </w:r>
    </w:p>
    <w:p w14:paraId="08CEC4F9" w14:textId="77777777" w:rsidR="00DE49A8" w:rsidRPr="007C5A6E" w:rsidRDefault="00DE49A8" w:rsidP="00943BA4">
      <w:pPr>
        <w:numPr>
          <w:ilvl w:val="0"/>
          <w:numId w:val="46"/>
        </w:numPr>
        <w:autoSpaceDE w:val="0"/>
        <w:autoSpaceDN w:val="0"/>
        <w:adjustRightInd w:val="0"/>
        <w:spacing w:after="0" w:line="240" w:lineRule="auto"/>
        <w:jc w:val="both"/>
        <w:rPr>
          <w:rFonts w:ascii="Times New Roman" w:hAnsi="Times New Roman"/>
          <w:color w:val="000000"/>
          <w:sz w:val="24"/>
          <w:szCs w:val="24"/>
        </w:rPr>
      </w:pPr>
      <w:r w:rsidRPr="007C5A6E">
        <w:rPr>
          <w:rFonts w:ascii="Times New Roman" w:hAnsi="Times New Roman"/>
          <w:color w:val="000000"/>
          <w:sz w:val="24"/>
          <w:szCs w:val="24"/>
        </w:rPr>
        <w:t>7 régions en 2008 et 2014 ;</w:t>
      </w:r>
    </w:p>
    <w:p w14:paraId="7F674857" w14:textId="0F5B182E" w:rsidR="00DE49A8" w:rsidRPr="007C5A6E" w:rsidRDefault="007C6735" w:rsidP="00943BA4">
      <w:pPr>
        <w:numPr>
          <w:ilvl w:val="0"/>
          <w:numId w:val="46"/>
        </w:numPr>
        <w:autoSpaceDE w:val="0"/>
        <w:autoSpaceDN w:val="0"/>
        <w:adjustRightInd w:val="0"/>
        <w:spacing w:after="0" w:line="240" w:lineRule="auto"/>
        <w:rPr>
          <w:rFonts w:ascii="Times New Roman" w:hAnsi="Times New Roman"/>
          <w:color w:val="000000"/>
          <w:sz w:val="24"/>
          <w:szCs w:val="24"/>
        </w:rPr>
      </w:pPr>
      <w:r w:rsidRPr="007C5A6E">
        <w:rPr>
          <w:rFonts w:ascii="Times New Roman" w:hAnsi="Times New Roman"/>
          <w:color w:val="000000"/>
          <w:sz w:val="24"/>
          <w:szCs w:val="24"/>
        </w:rPr>
        <w:t>En</w:t>
      </w:r>
      <w:r w:rsidR="00DE49A8" w:rsidRPr="007C5A6E">
        <w:rPr>
          <w:rFonts w:ascii="Times New Roman" w:hAnsi="Times New Roman"/>
          <w:color w:val="000000"/>
          <w:sz w:val="24"/>
          <w:szCs w:val="24"/>
        </w:rPr>
        <w:t xml:space="preserve"> 2012 le nombre de régions concernées n’a pas été r</w:t>
      </w:r>
      <w:r w:rsidRPr="007C5A6E">
        <w:rPr>
          <w:rFonts w:ascii="Times New Roman" w:hAnsi="Times New Roman"/>
          <w:color w:val="000000"/>
          <w:sz w:val="24"/>
          <w:szCs w:val="24"/>
        </w:rPr>
        <w:t>ap</w:t>
      </w:r>
      <w:r w:rsidR="00DE49A8" w:rsidRPr="007C5A6E">
        <w:rPr>
          <w:rFonts w:ascii="Times New Roman" w:hAnsi="Times New Roman"/>
          <w:color w:val="000000"/>
          <w:sz w:val="24"/>
          <w:szCs w:val="24"/>
        </w:rPr>
        <w:t>porté, mais les impacts ont été parmi les plus forts.</w:t>
      </w:r>
    </w:p>
    <w:p w14:paraId="384F212D" w14:textId="77777777" w:rsidR="00DE49A8" w:rsidRPr="007C5A6E" w:rsidRDefault="00DE49A8" w:rsidP="00DE49A8">
      <w:pPr>
        <w:pStyle w:val="Sansinterligne"/>
      </w:pPr>
    </w:p>
    <w:p w14:paraId="4EB880A8" w14:textId="77777777" w:rsidR="00DE49A8" w:rsidRPr="007C5A6E" w:rsidRDefault="00DE49A8" w:rsidP="00684FF8">
      <w:pPr>
        <w:pStyle w:val="Titre4"/>
      </w:pPr>
      <w:bookmarkStart w:id="1275" w:name="_Toc183340267"/>
      <w:r w:rsidRPr="007C5A6E">
        <w:t>Les sécheresses</w:t>
      </w:r>
      <w:bookmarkEnd w:id="1275"/>
    </w:p>
    <w:p w14:paraId="172C878C" w14:textId="77777777" w:rsidR="00DE49A8" w:rsidRPr="007C5A6E" w:rsidRDefault="00DE49A8" w:rsidP="007C6735">
      <w:pPr>
        <w:pStyle w:val="Sansinterligne"/>
      </w:pPr>
    </w:p>
    <w:p w14:paraId="79C03269" w14:textId="77777777" w:rsidR="00A360D0" w:rsidRPr="007C5A6E" w:rsidRDefault="00DE49A8" w:rsidP="007C6735">
      <w:pPr>
        <w:spacing w:after="0" w:line="240" w:lineRule="auto"/>
        <w:jc w:val="both"/>
        <w:rPr>
          <w:rFonts w:ascii="Times New Roman" w:hAnsi="Times New Roman"/>
          <w:sz w:val="24"/>
          <w:szCs w:val="24"/>
        </w:rPr>
      </w:pPr>
      <w:r w:rsidRPr="007C5A6E">
        <w:rPr>
          <w:rFonts w:ascii="Times New Roman" w:hAnsi="Times New Roman"/>
          <w:sz w:val="24"/>
          <w:szCs w:val="24"/>
        </w:rPr>
        <w:t xml:space="preserve">La sécheresse est la catastrophe naturelle la plus dévastatrice au Burkina Faso. Elle est due à un déficit de pluviométrie et des températures élevées conjugués avec une dégradation du sol, elle-même conséquence d’actions anthropiques sur le couvert végétal. La </w:t>
      </w:r>
      <w:r w:rsidR="00C115D5" w:rsidRPr="007C5A6E">
        <w:rPr>
          <w:rFonts w:ascii="Times New Roman" w:hAnsi="Times New Roman"/>
          <w:sz w:val="24"/>
          <w:szCs w:val="24"/>
        </w:rPr>
        <w:t>figure</w:t>
      </w:r>
      <w:r w:rsidR="00DC2209" w:rsidRPr="007C5A6E">
        <w:rPr>
          <w:rFonts w:ascii="Times New Roman" w:hAnsi="Times New Roman"/>
          <w:sz w:val="24"/>
          <w:szCs w:val="24"/>
        </w:rPr>
        <w:t xml:space="preserve"> 82</w:t>
      </w:r>
      <w:r w:rsidRPr="007C5A6E">
        <w:rPr>
          <w:rFonts w:ascii="Times New Roman" w:hAnsi="Times New Roman"/>
          <w:sz w:val="24"/>
          <w:szCs w:val="24"/>
        </w:rPr>
        <w:t xml:space="preserve"> présente le profil des risques de sécheresse au Burkina Faso.</w:t>
      </w:r>
    </w:p>
    <w:p w14:paraId="71276811" w14:textId="77777777" w:rsidR="00EE09B5" w:rsidRPr="007C5A6E" w:rsidRDefault="00EE09B5" w:rsidP="007C6735">
      <w:pPr>
        <w:spacing w:after="0" w:line="240" w:lineRule="auto"/>
        <w:jc w:val="both"/>
        <w:rPr>
          <w:rFonts w:ascii="Times New Roman" w:hAnsi="Times New Roman"/>
          <w:sz w:val="24"/>
          <w:szCs w:val="24"/>
        </w:rPr>
      </w:pPr>
    </w:p>
    <w:p w14:paraId="4337CDFB" w14:textId="716CE5FE" w:rsidR="00DE49A8" w:rsidRPr="007C5A6E" w:rsidRDefault="00DE49A8" w:rsidP="00C7112C">
      <w:pPr>
        <w:spacing w:after="0"/>
        <w:jc w:val="both"/>
        <w:rPr>
          <w:rFonts w:ascii="Times New Roman" w:hAnsi="Times New Roman"/>
        </w:rPr>
      </w:pPr>
      <w:r w:rsidRPr="007C5A6E">
        <w:rPr>
          <w:rFonts w:ascii="Times New Roman" w:hAnsi="Times New Roman"/>
          <w:noProof/>
        </w:rPr>
        <w:drawing>
          <wp:inline distT="0" distB="0" distL="0" distR="0" wp14:anchorId="593207EF" wp14:editId="6F6734C3">
            <wp:extent cx="4936835" cy="3838575"/>
            <wp:effectExtent l="0" t="0" r="0" b="0"/>
            <wp:docPr id="51419170" name="Image 1" descr="Une image contenant texte, carte, atlas,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19170" name="Image 1" descr="Une image contenant texte, carte, atlas, diagramme&#10;&#10;Description générée automatiquement"/>
                    <pic:cNvPicPr/>
                  </pic:nvPicPr>
                  <pic:blipFill>
                    <a:blip r:embed="rId212"/>
                    <a:stretch>
                      <a:fillRect/>
                    </a:stretch>
                  </pic:blipFill>
                  <pic:spPr>
                    <a:xfrm>
                      <a:off x="0" y="0"/>
                      <a:ext cx="4942428" cy="3842924"/>
                    </a:xfrm>
                    <a:prstGeom prst="rect">
                      <a:avLst/>
                    </a:prstGeom>
                  </pic:spPr>
                </pic:pic>
              </a:graphicData>
            </a:graphic>
          </wp:inline>
        </w:drawing>
      </w:r>
    </w:p>
    <w:p w14:paraId="2916F6E5" w14:textId="710A6968" w:rsidR="005540F4" w:rsidRPr="007C5A6E" w:rsidRDefault="005540F4" w:rsidP="00A360D0">
      <w:pPr>
        <w:spacing w:after="0"/>
        <w:rPr>
          <w:rFonts w:ascii="Times New Roman" w:hAnsi="Times New Roman"/>
          <w:sz w:val="20"/>
          <w:szCs w:val="20"/>
        </w:rPr>
      </w:pPr>
      <w:r w:rsidRPr="007C5A6E">
        <w:rPr>
          <w:rFonts w:ascii="Times New Roman" w:hAnsi="Times New Roman"/>
          <w:sz w:val="20"/>
          <w:szCs w:val="20"/>
        </w:rPr>
        <w:t>(Source : FAO, 2015)</w:t>
      </w:r>
    </w:p>
    <w:p w14:paraId="7A4583C6" w14:textId="794637E5" w:rsidR="005540F4" w:rsidRPr="007C5A6E" w:rsidRDefault="005540F4" w:rsidP="005540F4">
      <w:pPr>
        <w:pStyle w:val="Lgende"/>
        <w:spacing w:after="0"/>
        <w:jc w:val="both"/>
        <w:rPr>
          <w:rFonts w:ascii="Times New Roman" w:hAnsi="Times New Roman"/>
          <w:color w:val="auto"/>
          <w:sz w:val="24"/>
          <w:szCs w:val="24"/>
        </w:rPr>
      </w:pPr>
      <w:bookmarkStart w:id="1276" w:name="_Toc183230929"/>
      <w:bookmarkStart w:id="1277" w:name="_Toc183240722"/>
      <w:bookmarkStart w:id="1278" w:name="_Toc183340461"/>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7C6735" w:rsidRPr="007C5A6E">
        <w:rPr>
          <w:rFonts w:ascii="Times New Roman" w:hAnsi="Times New Roman"/>
          <w:noProof/>
          <w:color w:val="auto"/>
          <w:sz w:val="24"/>
          <w:szCs w:val="24"/>
        </w:rPr>
        <w:t>82</w:t>
      </w:r>
      <w:r w:rsidRPr="007C5A6E">
        <w:rPr>
          <w:rFonts w:ascii="Times New Roman" w:hAnsi="Times New Roman"/>
          <w:color w:val="auto"/>
          <w:sz w:val="24"/>
          <w:szCs w:val="24"/>
        </w:rPr>
        <w:fldChar w:fldCharType="end"/>
      </w:r>
      <w:r w:rsidR="00DD3101" w:rsidRPr="007C5A6E">
        <w:rPr>
          <w:rFonts w:ascii="Times New Roman" w:hAnsi="Times New Roman"/>
          <w:color w:val="auto"/>
          <w:sz w:val="24"/>
          <w:szCs w:val="24"/>
        </w:rPr>
        <w:t>.</w:t>
      </w:r>
      <w:r w:rsidRPr="007C5A6E">
        <w:rPr>
          <w:rFonts w:ascii="Times New Roman" w:hAnsi="Times New Roman"/>
          <w:color w:val="auto"/>
          <w:sz w:val="24"/>
          <w:szCs w:val="24"/>
        </w:rPr>
        <w:t xml:space="preserve"> </w:t>
      </w:r>
      <w:r w:rsidR="000B4700" w:rsidRPr="007C5A6E">
        <w:rPr>
          <w:rFonts w:ascii="Times New Roman" w:hAnsi="Times New Roman"/>
          <w:color w:val="auto"/>
          <w:sz w:val="24"/>
          <w:szCs w:val="24"/>
        </w:rPr>
        <w:t>P</w:t>
      </w:r>
      <w:r w:rsidRPr="007C5A6E">
        <w:rPr>
          <w:rFonts w:ascii="Times New Roman" w:hAnsi="Times New Roman"/>
          <w:color w:val="auto"/>
          <w:sz w:val="24"/>
          <w:szCs w:val="24"/>
        </w:rPr>
        <w:t>rofil des risques de sécheresse au Burkina Faso</w:t>
      </w:r>
      <w:bookmarkEnd w:id="1276"/>
      <w:bookmarkEnd w:id="1277"/>
      <w:bookmarkEnd w:id="1278"/>
    </w:p>
    <w:p w14:paraId="64F9B613" w14:textId="77777777" w:rsidR="00DE49A8" w:rsidRPr="007C5A6E" w:rsidRDefault="00DE49A8" w:rsidP="005D66C0">
      <w:pPr>
        <w:pStyle w:val="Sansinterligne"/>
      </w:pPr>
    </w:p>
    <w:p w14:paraId="5ACAEF9C" w14:textId="110B9298" w:rsidR="00DE49A8" w:rsidRPr="007C5A6E" w:rsidRDefault="00DE49A8" w:rsidP="00427C1E">
      <w:pPr>
        <w:spacing w:after="0"/>
        <w:rPr>
          <w:rFonts w:ascii="Times New Roman" w:hAnsi="Times New Roman"/>
          <w:sz w:val="24"/>
          <w:szCs w:val="24"/>
        </w:rPr>
      </w:pPr>
      <w:r w:rsidRPr="007C5A6E">
        <w:rPr>
          <w:rFonts w:ascii="Times New Roman" w:hAnsi="Times New Roman"/>
          <w:sz w:val="24"/>
          <w:szCs w:val="24"/>
        </w:rPr>
        <w:t xml:space="preserve">Les </w:t>
      </w:r>
      <w:r w:rsidR="007C6735" w:rsidRPr="007C5A6E">
        <w:rPr>
          <w:rFonts w:ascii="Times New Roman" w:hAnsi="Times New Roman"/>
          <w:sz w:val="24"/>
          <w:szCs w:val="24"/>
        </w:rPr>
        <w:t xml:space="preserve">épisodes </w:t>
      </w:r>
      <w:r w:rsidRPr="007C5A6E">
        <w:rPr>
          <w:rFonts w:ascii="Times New Roman" w:hAnsi="Times New Roman"/>
          <w:sz w:val="24"/>
          <w:szCs w:val="24"/>
        </w:rPr>
        <w:t>de grandes sécheresses connus sur toute l’étendue du territoire sont :</w:t>
      </w:r>
    </w:p>
    <w:p w14:paraId="3657256A" w14:textId="242BCFF9" w:rsidR="00DE49A8" w:rsidRPr="007C5A6E" w:rsidRDefault="00DE49A8" w:rsidP="00DE49A8">
      <w:pPr>
        <w:numPr>
          <w:ilvl w:val="0"/>
          <w:numId w:val="3"/>
        </w:numPr>
        <w:spacing w:after="0" w:line="240" w:lineRule="auto"/>
        <w:contextualSpacing/>
        <w:rPr>
          <w:rFonts w:ascii="Times New Roman" w:hAnsi="Times New Roman"/>
          <w:sz w:val="24"/>
          <w:szCs w:val="24"/>
        </w:rPr>
      </w:pPr>
      <w:r w:rsidRPr="007C5A6E">
        <w:rPr>
          <w:rFonts w:ascii="Times New Roman" w:hAnsi="Times New Roman"/>
          <w:sz w:val="24"/>
          <w:szCs w:val="24"/>
        </w:rPr>
        <w:t>1972/1973 avec une baisse de la plu</w:t>
      </w:r>
      <w:r w:rsidR="00EE09B5" w:rsidRPr="007C5A6E">
        <w:rPr>
          <w:rFonts w:ascii="Times New Roman" w:hAnsi="Times New Roman"/>
          <w:sz w:val="24"/>
          <w:szCs w:val="24"/>
        </w:rPr>
        <w:t>viométrie</w:t>
      </w:r>
      <w:r w:rsidRPr="007C5A6E">
        <w:rPr>
          <w:rFonts w:ascii="Times New Roman" w:hAnsi="Times New Roman"/>
          <w:sz w:val="24"/>
          <w:szCs w:val="24"/>
        </w:rPr>
        <w:t xml:space="preserve"> annuelle de 25% à 60% par rapport à la normale</w:t>
      </w:r>
    </w:p>
    <w:p w14:paraId="48432302" w14:textId="04039A21" w:rsidR="00DE49A8" w:rsidRPr="007C5A6E" w:rsidRDefault="00DE49A8" w:rsidP="00DE49A8">
      <w:pPr>
        <w:numPr>
          <w:ilvl w:val="0"/>
          <w:numId w:val="3"/>
        </w:numPr>
        <w:spacing w:after="0" w:line="240" w:lineRule="auto"/>
        <w:contextualSpacing/>
        <w:rPr>
          <w:rFonts w:ascii="Times New Roman" w:hAnsi="Times New Roman"/>
          <w:sz w:val="24"/>
          <w:szCs w:val="24"/>
        </w:rPr>
      </w:pPr>
      <w:r w:rsidRPr="007C5A6E">
        <w:rPr>
          <w:rFonts w:ascii="Times New Roman" w:hAnsi="Times New Roman"/>
          <w:sz w:val="24"/>
          <w:szCs w:val="24"/>
        </w:rPr>
        <w:t xml:space="preserve">1982/1984 avec une baisse de la </w:t>
      </w:r>
      <w:r w:rsidR="00EE09B5" w:rsidRPr="007C5A6E">
        <w:rPr>
          <w:rFonts w:ascii="Times New Roman" w:hAnsi="Times New Roman"/>
          <w:sz w:val="24"/>
          <w:szCs w:val="24"/>
        </w:rPr>
        <w:t>pluviométrie</w:t>
      </w:r>
      <w:r w:rsidR="00EE09B5" w:rsidRPr="007C5A6E" w:rsidDel="00EE09B5">
        <w:rPr>
          <w:rFonts w:ascii="Times New Roman" w:hAnsi="Times New Roman"/>
          <w:sz w:val="24"/>
          <w:szCs w:val="24"/>
        </w:rPr>
        <w:t xml:space="preserve"> </w:t>
      </w:r>
      <w:r w:rsidRPr="007C5A6E">
        <w:rPr>
          <w:rFonts w:ascii="Times New Roman" w:hAnsi="Times New Roman"/>
          <w:sz w:val="24"/>
          <w:szCs w:val="24"/>
        </w:rPr>
        <w:t>annuelle non évaluée</w:t>
      </w:r>
    </w:p>
    <w:p w14:paraId="52A2D2DA" w14:textId="193C8D5A" w:rsidR="00DE49A8" w:rsidRPr="007C5A6E" w:rsidRDefault="00DE49A8" w:rsidP="00DE49A8">
      <w:pPr>
        <w:numPr>
          <w:ilvl w:val="0"/>
          <w:numId w:val="3"/>
        </w:numPr>
        <w:spacing w:after="0" w:line="240" w:lineRule="auto"/>
        <w:contextualSpacing/>
        <w:rPr>
          <w:rFonts w:ascii="Times New Roman" w:hAnsi="Times New Roman"/>
          <w:sz w:val="24"/>
          <w:szCs w:val="24"/>
        </w:rPr>
      </w:pPr>
      <w:r w:rsidRPr="007C5A6E">
        <w:rPr>
          <w:rFonts w:ascii="Times New Roman" w:hAnsi="Times New Roman"/>
          <w:sz w:val="24"/>
          <w:szCs w:val="24"/>
        </w:rPr>
        <w:t xml:space="preserve">2011/2012 avec une baisse de la </w:t>
      </w:r>
      <w:r w:rsidR="00EE09B5" w:rsidRPr="007C5A6E">
        <w:rPr>
          <w:rFonts w:ascii="Times New Roman" w:hAnsi="Times New Roman"/>
          <w:sz w:val="24"/>
          <w:szCs w:val="24"/>
        </w:rPr>
        <w:t>pluviométrie</w:t>
      </w:r>
      <w:r w:rsidRPr="007C5A6E">
        <w:rPr>
          <w:rFonts w:ascii="Times New Roman" w:hAnsi="Times New Roman"/>
          <w:sz w:val="24"/>
          <w:szCs w:val="24"/>
        </w:rPr>
        <w:t xml:space="preserve"> annuelle non évaluée</w:t>
      </w:r>
      <w:r w:rsidR="007C6735" w:rsidRPr="007C5A6E">
        <w:rPr>
          <w:rFonts w:ascii="Times New Roman" w:hAnsi="Times New Roman"/>
          <w:sz w:val="24"/>
          <w:szCs w:val="24"/>
        </w:rPr>
        <w:t>,</w:t>
      </w:r>
      <w:r w:rsidRPr="007C5A6E">
        <w:rPr>
          <w:rFonts w:ascii="Times New Roman" w:hAnsi="Times New Roman"/>
          <w:sz w:val="24"/>
          <w:szCs w:val="24"/>
        </w:rPr>
        <w:t xml:space="preserve"> ayant touché 162 communes de 29 provinces dans 10 régions sur 13.</w:t>
      </w:r>
    </w:p>
    <w:p w14:paraId="4B7FC7D7" w14:textId="77777777" w:rsidR="00DE49A8" w:rsidRPr="007C5A6E" w:rsidRDefault="00DE49A8" w:rsidP="00DE49A8">
      <w:pPr>
        <w:spacing w:after="0" w:line="240" w:lineRule="auto"/>
        <w:contextualSpacing/>
        <w:rPr>
          <w:rFonts w:ascii="Times New Roman" w:hAnsi="Times New Roman"/>
          <w:sz w:val="24"/>
          <w:szCs w:val="24"/>
        </w:rPr>
      </w:pPr>
    </w:p>
    <w:p w14:paraId="7351E67E" w14:textId="77777777" w:rsidR="00EE09B5" w:rsidRPr="007C5A6E" w:rsidRDefault="00EE09B5" w:rsidP="00DE49A8">
      <w:pPr>
        <w:spacing w:after="0" w:line="240" w:lineRule="auto"/>
        <w:contextualSpacing/>
        <w:rPr>
          <w:rFonts w:ascii="Times New Roman" w:hAnsi="Times New Roman"/>
          <w:sz w:val="24"/>
          <w:szCs w:val="24"/>
        </w:rPr>
      </w:pPr>
    </w:p>
    <w:p w14:paraId="4FA07329" w14:textId="77777777" w:rsidR="00EE09B5" w:rsidRPr="007C5A6E" w:rsidRDefault="00EE09B5" w:rsidP="00DE49A8">
      <w:pPr>
        <w:spacing w:after="0" w:line="240" w:lineRule="auto"/>
        <w:contextualSpacing/>
        <w:rPr>
          <w:rFonts w:ascii="Times New Roman" w:hAnsi="Times New Roman"/>
          <w:sz w:val="24"/>
          <w:szCs w:val="24"/>
        </w:rPr>
      </w:pPr>
    </w:p>
    <w:p w14:paraId="00226A5C" w14:textId="77777777" w:rsidR="00DE49A8" w:rsidRPr="007C5A6E" w:rsidRDefault="00DE49A8" w:rsidP="00684FF8">
      <w:pPr>
        <w:pStyle w:val="Titre4"/>
      </w:pPr>
      <w:bookmarkStart w:id="1279" w:name="_Toc183340268"/>
      <w:r w:rsidRPr="007C5A6E">
        <w:t>Autres catastrophes naturelles liés au climat</w:t>
      </w:r>
      <w:bookmarkEnd w:id="1279"/>
    </w:p>
    <w:p w14:paraId="43570A70" w14:textId="77777777" w:rsidR="00DE49A8" w:rsidRPr="007C5A6E" w:rsidRDefault="00DE49A8" w:rsidP="00EE09B5">
      <w:pPr>
        <w:pStyle w:val="Sansinterligne"/>
        <w:jc w:val="both"/>
      </w:pPr>
    </w:p>
    <w:p w14:paraId="7D383B4F" w14:textId="77777777" w:rsidR="00DE49A8" w:rsidRPr="007C5A6E" w:rsidRDefault="00DE49A8" w:rsidP="00EE09B5">
      <w:pPr>
        <w:spacing w:after="0" w:line="240" w:lineRule="auto"/>
        <w:jc w:val="both"/>
        <w:rPr>
          <w:rFonts w:ascii="Times New Roman" w:hAnsi="Times New Roman"/>
          <w:sz w:val="24"/>
          <w:szCs w:val="24"/>
        </w:rPr>
      </w:pPr>
      <w:r w:rsidRPr="007C5A6E">
        <w:rPr>
          <w:rFonts w:ascii="Times New Roman" w:hAnsi="Times New Roman"/>
          <w:sz w:val="24"/>
          <w:szCs w:val="24"/>
        </w:rPr>
        <w:t>Les canicules sont de longues périodes successives de forte chaleur. Les invasions acridiennes dont l’éclosion et la migration sont favorisées par certaines conditions climatiques.</w:t>
      </w:r>
    </w:p>
    <w:p w14:paraId="71483F01" w14:textId="78D217AC" w:rsidR="00DE49A8" w:rsidRPr="007C5A6E" w:rsidRDefault="00DE49A8" w:rsidP="00EE09B5">
      <w:pPr>
        <w:spacing w:after="0" w:line="240" w:lineRule="auto"/>
        <w:jc w:val="both"/>
        <w:rPr>
          <w:rFonts w:ascii="Times New Roman" w:hAnsi="Times New Roman"/>
          <w:sz w:val="24"/>
          <w:szCs w:val="24"/>
        </w:rPr>
      </w:pPr>
      <w:bookmarkStart w:id="1280" w:name="_Toc183230930"/>
      <w:r w:rsidRPr="007C5A6E">
        <w:rPr>
          <w:rFonts w:ascii="Times New Roman" w:hAnsi="Times New Roman"/>
          <w:sz w:val="24"/>
          <w:szCs w:val="24"/>
        </w:rPr>
        <w:t xml:space="preserve">Sur la base d’une étude faite par le SP/CONEDD, la Banque mondiale a </w:t>
      </w:r>
      <w:proofErr w:type="gramStart"/>
      <w:r w:rsidRPr="007C5A6E">
        <w:rPr>
          <w:rFonts w:ascii="Times New Roman" w:hAnsi="Times New Roman"/>
          <w:sz w:val="24"/>
          <w:szCs w:val="24"/>
        </w:rPr>
        <w:t>établie</w:t>
      </w:r>
      <w:proofErr w:type="gramEnd"/>
      <w:r w:rsidRPr="007C5A6E">
        <w:rPr>
          <w:rFonts w:ascii="Times New Roman" w:hAnsi="Times New Roman"/>
          <w:sz w:val="24"/>
          <w:szCs w:val="24"/>
        </w:rPr>
        <w:t xml:space="preserve"> en 2011 une carte identifiant 10 zones présentant les plus forts risques de catastrophes naturelles (</w:t>
      </w:r>
      <w:r w:rsidR="00DC2209" w:rsidRPr="007C5A6E">
        <w:rPr>
          <w:rFonts w:ascii="Times New Roman" w:hAnsi="Times New Roman"/>
          <w:sz w:val="24"/>
          <w:szCs w:val="24"/>
        </w:rPr>
        <w:t>Figure</w:t>
      </w:r>
      <w:r w:rsidR="007B7953" w:rsidRPr="007C5A6E">
        <w:rPr>
          <w:rFonts w:ascii="Times New Roman" w:hAnsi="Times New Roman"/>
          <w:sz w:val="24"/>
          <w:szCs w:val="24"/>
        </w:rPr>
        <w:t xml:space="preserve"> 83</w:t>
      </w:r>
      <w:r w:rsidRPr="007C5A6E">
        <w:rPr>
          <w:rFonts w:ascii="Times New Roman" w:hAnsi="Times New Roman"/>
          <w:sz w:val="24"/>
          <w:szCs w:val="24"/>
        </w:rPr>
        <w:t>).</w:t>
      </w:r>
      <w:bookmarkEnd w:id="1280"/>
    </w:p>
    <w:p w14:paraId="1DCBDB1D" w14:textId="77777777" w:rsidR="00C7112C" w:rsidRPr="007C5A6E" w:rsidRDefault="00C7112C" w:rsidP="00EE09B5">
      <w:pPr>
        <w:pStyle w:val="Sansinterligne"/>
        <w:jc w:val="both"/>
      </w:pPr>
    </w:p>
    <w:p w14:paraId="2C3CCC40" w14:textId="77777777" w:rsidR="00DE49A8" w:rsidRPr="007C5A6E" w:rsidRDefault="00DE49A8" w:rsidP="005D66C0">
      <w:pPr>
        <w:spacing w:after="0"/>
      </w:pPr>
      <w:r w:rsidRPr="007C5A6E">
        <w:t xml:space="preserve"> </w:t>
      </w:r>
      <w:r w:rsidRPr="007C5A6E">
        <w:rPr>
          <w:noProof/>
        </w:rPr>
        <w:drawing>
          <wp:inline distT="0" distB="0" distL="0" distR="0" wp14:anchorId="65600DFB" wp14:editId="717CB4F7">
            <wp:extent cx="5257800" cy="3225165"/>
            <wp:effectExtent l="0" t="0" r="0" b="0"/>
            <wp:docPr id="13319710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71028" name=""/>
                    <pic:cNvPicPr/>
                  </pic:nvPicPr>
                  <pic:blipFill>
                    <a:blip r:embed="rId213"/>
                    <a:stretch>
                      <a:fillRect/>
                    </a:stretch>
                  </pic:blipFill>
                  <pic:spPr>
                    <a:xfrm>
                      <a:off x="0" y="0"/>
                      <a:ext cx="5267324" cy="3231007"/>
                    </a:xfrm>
                    <a:prstGeom prst="rect">
                      <a:avLst/>
                    </a:prstGeom>
                  </pic:spPr>
                </pic:pic>
              </a:graphicData>
            </a:graphic>
          </wp:inline>
        </w:drawing>
      </w:r>
    </w:p>
    <w:p w14:paraId="0F95057C" w14:textId="3D88E282" w:rsidR="00B63458" w:rsidRPr="007C5A6E" w:rsidRDefault="00744449" w:rsidP="00B63458">
      <w:pPr>
        <w:autoSpaceDE w:val="0"/>
        <w:autoSpaceDN w:val="0"/>
        <w:adjustRightInd w:val="0"/>
        <w:spacing w:after="0" w:line="240" w:lineRule="auto"/>
        <w:rPr>
          <w:rFonts w:ascii="Times New Roman" w:hAnsi="Times New Roman"/>
          <w:sz w:val="20"/>
          <w:szCs w:val="20"/>
        </w:rPr>
      </w:pPr>
      <w:r w:rsidRPr="007C5A6E">
        <w:rPr>
          <w:rFonts w:ascii="Times New Roman" w:hAnsi="Times New Roman"/>
          <w:sz w:val="20"/>
          <w:szCs w:val="20"/>
        </w:rPr>
        <w:t>(</w:t>
      </w:r>
      <w:r w:rsidR="00B63458" w:rsidRPr="007C5A6E">
        <w:rPr>
          <w:rFonts w:ascii="Times New Roman" w:hAnsi="Times New Roman"/>
          <w:sz w:val="20"/>
          <w:szCs w:val="20"/>
        </w:rPr>
        <w:t>Source : Banque mondiale, 2011 ; tiré de PANA</w:t>
      </w:r>
      <w:r w:rsidRPr="007C5A6E">
        <w:rPr>
          <w:rFonts w:ascii="Times New Roman" w:hAnsi="Times New Roman"/>
          <w:sz w:val="20"/>
          <w:szCs w:val="20"/>
        </w:rPr>
        <w:t>)</w:t>
      </w:r>
    </w:p>
    <w:p w14:paraId="48651DAB" w14:textId="556AC4A7" w:rsidR="00C115D5" w:rsidRPr="007C5A6E" w:rsidRDefault="00C115D5" w:rsidP="00C115D5">
      <w:pPr>
        <w:pStyle w:val="Lgende"/>
        <w:spacing w:after="0"/>
        <w:jc w:val="both"/>
        <w:rPr>
          <w:rFonts w:ascii="Times New Roman" w:hAnsi="Times New Roman"/>
          <w:color w:val="auto"/>
          <w:sz w:val="24"/>
          <w:szCs w:val="24"/>
        </w:rPr>
      </w:pPr>
      <w:bookmarkStart w:id="1281" w:name="_Toc183230931"/>
      <w:bookmarkStart w:id="1282" w:name="_Toc183240723"/>
      <w:bookmarkStart w:id="1283" w:name="_Toc183340462"/>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540B43" w:rsidRPr="007C5A6E">
        <w:rPr>
          <w:rFonts w:ascii="Times New Roman" w:hAnsi="Times New Roman"/>
          <w:noProof/>
          <w:color w:val="auto"/>
          <w:sz w:val="24"/>
          <w:szCs w:val="24"/>
        </w:rPr>
        <w:t>83</w:t>
      </w:r>
      <w:r w:rsidRPr="007C5A6E">
        <w:rPr>
          <w:rFonts w:ascii="Times New Roman" w:hAnsi="Times New Roman"/>
          <w:color w:val="auto"/>
          <w:sz w:val="24"/>
          <w:szCs w:val="24"/>
        </w:rPr>
        <w:fldChar w:fldCharType="end"/>
      </w:r>
      <w:r w:rsidR="00DD3101" w:rsidRPr="007C5A6E">
        <w:rPr>
          <w:rFonts w:ascii="Times New Roman" w:hAnsi="Times New Roman"/>
          <w:color w:val="auto"/>
          <w:sz w:val="24"/>
          <w:szCs w:val="24"/>
        </w:rPr>
        <w:t>.</w:t>
      </w:r>
      <w:r w:rsidRPr="007C5A6E">
        <w:rPr>
          <w:rFonts w:ascii="Times New Roman" w:hAnsi="Times New Roman"/>
          <w:color w:val="auto"/>
          <w:sz w:val="24"/>
          <w:szCs w:val="24"/>
        </w:rPr>
        <w:t xml:space="preserve"> </w:t>
      </w:r>
      <w:r w:rsidR="00B63458" w:rsidRPr="007C5A6E">
        <w:rPr>
          <w:rFonts w:ascii="Times New Roman" w:hAnsi="Times New Roman"/>
          <w:color w:val="auto"/>
          <w:sz w:val="24"/>
          <w:szCs w:val="24"/>
        </w:rPr>
        <w:t>Les dix zones les plus vulnérables</w:t>
      </w:r>
      <w:bookmarkEnd w:id="1281"/>
      <w:bookmarkEnd w:id="1282"/>
      <w:bookmarkEnd w:id="1283"/>
    </w:p>
    <w:p w14:paraId="075CE1A0" w14:textId="77777777" w:rsidR="003F74AF" w:rsidRPr="007C5A6E" w:rsidRDefault="003F74AF" w:rsidP="003F74AF">
      <w:pPr>
        <w:pStyle w:val="Sansinterligne"/>
      </w:pPr>
    </w:p>
    <w:p w14:paraId="189D854F" w14:textId="77777777" w:rsidR="00DE49A8" w:rsidRPr="007C5A6E" w:rsidRDefault="00DE49A8" w:rsidP="008969A7">
      <w:pPr>
        <w:pStyle w:val="Titre3"/>
      </w:pPr>
      <w:bookmarkStart w:id="1284" w:name="_Toc182582661"/>
      <w:bookmarkStart w:id="1285" w:name="_Toc183340269"/>
      <w:r w:rsidRPr="007C5A6E">
        <w:t>Liens entre catastrophes naturelles déclarées et évènements climatiques extrêmes</w:t>
      </w:r>
      <w:bookmarkEnd w:id="1284"/>
      <w:bookmarkEnd w:id="1285"/>
    </w:p>
    <w:p w14:paraId="6E0FD5ED" w14:textId="77777777" w:rsidR="00DE49A8" w:rsidRPr="007C5A6E" w:rsidRDefault="00DE49A8" w:rsidP="00DE49A8">
      <w:pPr>
        <w:pStyle w:val="Sansinterligne"/>
      </w:pPr>
    </w:p>
    <w:p w14:paraId="708EE812" w14:textId="77777777" w:rsidR="00DE49A8" w:rsidRPr="007C5A6E" w:rsidRDefault="00DE49A8" w:rsidP="00684FF8">
      <w:pPr>
        <w:pStyle w:val="Titre4"/>
      </w:pPr>
      <w:bookmarkStart w:id="1286" w:name="_Toc183340270"/>
      <w:r w:rsidRPr="007C5A6E">
        <w:t>Les inondations</w:t>
      </w:r>
      <w:bookmarkEnd w:id="1286"/>
    </w:p>
    <w:p w14:paraId="3569E7DC" w14:textId="77777777" w:rsidR="00DE49A8" w:rsidRPr="007C5A6E" w:rsidRDefault="00DE49A8" w:rsidP="00EE09B5">
      <w:pPr>
        <w:pStyle w:val="Sansinterligne"/>
      </w:pPr>
    </w:p>
    <w:p w14:paraId="0B6C68B3" w14:textId="6F4B4508" w:rsidR="005A686D" w:rsidRPr="007C5A6E" w:rsidRDefault="00DE49A8" w:rsidP="00EE09B5">
      <w:pPr>
        <w:spacing w:after="0" w:line="240" w:lineRule="auto"/>
        <w:jc w:val="both"/>
        <w:rPr>
          <w:rFonts w:ascii="Times New Roman" w:hAnsi="Times New Roman"/>
          <w:sz w:val="24"/>
          <w:szCs w:val="24"/>
        </w:rPr>
      </w:pPr>
      <w:r w:rsidRPr="007C5A6E">
        <w:rPr>
          <w:rFonts w:ascii="Times New Roman" w:hAnsi="Times New Roman"/>
          <w:sz w:val="24"/>
          <w:szCs w:val="24"/>
        </w:rPr>
        <w:t xml:space="preserve">Les inondations sont dues aux pluies maximales journalières extrêmes et/ou aux cumuls sur 5 jours extrêmes. Par exemple pour l’inondation la plus importante jamais enregistrée à Ouagadougou : le 1er Septembre 2009, il est tombé en 1 jour 261,3 mm de pluie, soit 28,5% de la pluie annuelle de </w:t>
      </w:r>
      <w:r w:rsidR="00EE09B5" w:rsidRPr="007C5A6E">
        <w:rPr>
          <w:rFonts w:ascii="Times New Roman" w:hAnsi="Times New Roman"/>
          <w:sz w:val="24"/>
          <w:szCs w:val="24"/>
        </w:rPr>
        <w:t>l’année</w:t>
      </w:r>
      <w:r w:rsidRPr="007C5A6E">
        <w:rPr>
          <w:rFonts w:ascii="Times New Roman" w:hAnsi="Times New Roman"/>
          <w:sz w:val="24"/>
          <w:szCs w:val="24"/>
        </w:rPr>
        <w:t xml:space="preserve"> (916,7 mm), 45,2% de la pluie annuelle de l’année sèche 1997. </w:t>
      </w:r>
      <w:r w:rsidR="00EE09B5" w:rsidRPr="007C5A6E">
        <w:rPr>
          <w:rFonts w:ascii="Times New Roman" w:hAnsi="Times New Roman"/>
          <w:sz w:val="24"/>
          <w:szCs w:val="24"/>
        </w:rPr>
        <w:t>Cet évènement extrême</w:t>
      </w:r>
      <w:r w:rsidRPr="007C5A6E">
        <w:rPr>
          <w:rFonts w:ascii="Times New Roman" w:hAnsi="Times New Roman"/>
          <w:sz w:val="24"/>
          <w:szCs w:val="24"/>
        </w:rPr>
        <w:t xml:space="preserve"> </w:t>
      </w:r>
      <w:r w:rsidR="00EE09B5" w:rsidRPr="007C5A6E">
        <w:rPr>
          <w:rFonts w:ascii="Times New Roman" w:hAnsi="Times New Roman"/>
          <w:sz w:val="24"/>
          <w:szCs w:val="24"/>
        </w:rPr>
        <w:t xml:space="preserve">a battu </w:t>
      </w:r>
      <w:r w:rsidRPr="007C5A6E">
        <w:rPr>
          <w:rFonts w:ascii="Times New Roman" w:hAnsi="Times New Roman"/>
          <w:sz w:val="24"/>
          <w:szCs w:val="24"/>
        </w:rPr>
        <w:t xml:space="preserve">par la même occasion </w:t>
      </w:r>
      <w:r w:rsidR="00EE09B5" w:rsidRPr="007C5A6E">
        <w:rPr>
          <w:rFonts w:ascii="Times New Roman" w:hAnsi="Times New Roman"/>
          <w:sz w:val="24"/>
          <w:szCs w:val="24"/>
        </w:rPr>
        <w:t xml:space="preserve">le record de </w:t>
      </w:r>
      <w:r w:rsidRPr="007C5A6E">
        <w:rPr>
          <w:rFonts w:ascii="Times New Roman" w:hAnsi="Times New Roman"/>
          <w:sz w:val="24"/>
          <w:szCs w:val="24"/>
        </w:rPr>
        <w:t xml:space="preserve">la pluie maximale sur 5 jours </w:t>
      </w:r>
      <w:r w:rsidR="00EE09B5" w:rsidRPr="007C5A6E">
        <w:rPr>
          <w:rFonts w:ascii="Times New Roman" w:hAnsi="Times New Roman"/>
          <w:sz w:val="24"/>
          <w:szCs w:val="24"/>
        </w:rPr>
        <w:t>(</w:t>
      </w:r>
      <w:r w:rsidRPr="007C5A6E">
        <w:rPr>
          <w:rFonts w:ascii="Times New Roman" w:hAnsi="Times New Roman"/>
          <w:sz w:val="24"/>
          <w:szCs w:val="24"/>
        </w:rPr>
        <w:t>279,3 mm</w:t>
      </w:r>
      <w:r w:rsidR="00EE09B5" w:rsidRPr="007C5A6E">
        <w:rPr>
          <w:rFonts w:ascii="Times New Roman" w:hAnsi="Times New Roman"/>
          <w:sz w:val="24"/>
          <w:szCs w:val="24"/>
        </w:rPr>
        <w:t>),</w:t>
      </w:r>
      <w:r w:rsidRPr="007C5A6E">
        <w:rPr>
          <w:rFonts w:ascii="Times New Roman" w:hAnsi="Times New Roman"/>
          <w:sz w:val="24"/>
          <w:szCs w:val="24"/>
        </w:rPr>
        <w:t xml:space="preserve"> soit 30,4% de la pluie annuelle.</w:t>
      </w:r>
    </w:p>
    <w:p w14:paraId="5CC9B034" w14:textId="77777777" w:rsidR="002328C4" w:rsidRPr="007C5A6E" w:rsidRDefault="002328C4" w:rsidP="00EE09B5">
      <w:pPr>
        <w:spacing w:after="0" w:line="240" w:lineRule="auto"/>
        <w:jc w:val="both"/>
        <w:rPr>
          <w:rFonts w:ascii="Times New Roman" w:hAnsi="Times New Roman"/>
          <w:sz w:val="24"/>
          <w:szCs w:val="24"/>
        </w:rPr>
      </w:pPr>
    </w:p>
    <w:p w14:paraId="1EBD0737" w14:textId="77777777" w:rsidR="00C0617E" w:rsidRPr="007C5A6E" w:rsidRDefault="00C0617E" w:rsidP="00EE09B5">
      <w:pPr>
        <w:pStyle w:val="Lgende"/>
        <w:spacing w:after="0"/>
        <w:rPr>
          <w:rFonts w:ascii="Times New Roman" w:hAnsi="Times New Roman"/>
          <w:i w:val="0"/>
          <w:iCs w:val="0"/>
          <w:color w:val="auto"/>
          <w:sz w:val="24"/>
          <w:szCs w:val="24"/>
        </w:rPr>
      </w:pPr>
      <w:r w:rsidRPr="007C5A6E">
        <w:rPr>
          <w:rFonts w:ascii="Times New Roman" w:hAnsi="Times New Roman"/>
          <w:i w:val="0"/>
          <w:iCs w:val="0"/>
          <w:color w:val="auto"/>
          <w:sz w:val="24"/>
          <w:szCs w:val="24"/>
        </w:rPr>
        <w:br w:type="page"/>
      </w:r>
    </w:p>
    <w:p w14:paraId="3C0EEE4E" w14:textId="5AF3616E" w:rsidR="005A686D" w:rsidRPr="007C5A6E" w:rsidRDefault="005A686D" w:rsidP="005A686D">
      <w:pPr>
        <w:pStyle w:val="Lgende"/>
        <w:spacing w:after="0"/>
        <w:rPr>
          <w:rFonts w:ascii="Times New Roman" w:hAnsi="Times New Roman"/>
          <w:i w:val="0"/>
          <w:iCs w:val="0"/>
          <w:color w:val="auto"/>
          <w:sz w:val="24"/>
          <w:szCs w:val="24"/>
        </w:rPr>
      </w:pPr>
      <w:bookmarkStart w:id="1287" w:name="_Toc183241019"/>
      <w:bookmarkStart w:id="1288" w:name="_Toc183292261"/>
      <w:bookmarkStart w:id="1289" w:name="_Toc183340541"/>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EE09B5" w:rsidRPr="007C5A6E">
        <w:rPr>
          <w:rFonts w:ascii="Times New Roman" w:hAnsi="Times New Roman"/>
          <w:i w:val="0"/>
          <w:iCs w:val="0"/>
          <w:noProof/>
          <w:color w:val="auto"/>
          <w:sz w:val="24"/>
          <w:szCs w:val="24"/>
        </w:rPr>
        <w:t>57</w:t>
      </w:r>
      <w:r w:rsidRPr="007C5A6E">
        <w:rPr>
          <w:rFonts w:ascii="Times New Roman" w:hAnsi="Times New Roman"/>
          <w:i w:val="0"/>
          <w:iCs w:val="0"/>
          <w:color w:val="auto"/>
          <w:sz w:val="24"/>
          <w:szCs w:val="24"/>
        </w:rPr>
        <w:fldChar w:fldCharType="end"/>
      </w:r>
      <w:r w:rsidRPr="007C5A6E">
        <w:rPr>
          <w:rFonts w:ascii="Times New Roman" w:hAnsi="Times New Roman"/>
          <w:i w:val="0"/>
          <w:iCs w:val="0"/>
          <w:color w:val="auto"/>
          <w:sz w:val="24"/>
          <w:szCs w:val="24"/>
        </w:rPr>
        <w:t xml:space="preserve"> : Concordances entre inondations et pluies maximales journalières et sur 5 jours</w:t>
      </w:r>
      <w:bookmarkEnd w:id="1287"/>
      <w:bookmarkEnd w:id="1288"/>
      <w:bookmarkEnd w:id="1289"/>
    </w:p>
    <w:p w14:paraId="6EE5081A" w14:textId="00814A9A" w:rsidR="00DE49A8" w:rsidRPr="007C5A6E" w:rsidRDefault="00DE49A8" w:rsidP="005A686D">
      <w:pPr>
        <w:pStyle w:val="Sansinterligne"/>
      </w:pPr>
    </w:p>
    <w:tbl>
      <w:tblPr>
        <w:tblStyle w:val="Grilledutableau1"/>
        <w:tblW w:w="5000" w:type="pct"/>
        <w:tblLook w:val="04A0" w:firstRow="1" w:lastRow="0" w:firstColumn="1" w:lastColumn="0" w:noHBand="0" w:noVBand="1"/>
      </w:tblPr>
      <w:tblGrid>
        <w:gridCol w:w="783"/>
        <w:gridCol w:w="665"/>
        <w:gridCol w:w="717"/>
        <w:gridCol w:w="666"/>
        <w:gridCol w:w="719"/>
        <w:gridCol w:w="728"/>
        <w:gridCol w:w="749"/>
        <w:gridCol w:w="613"/>
        <w:gridCol w:w="717"/>
        <w:gridCol w:w="646"/>
        <w:gridCol w:w="717"/>
        <w:gridCol w:w="673"/>
        <w:gridCol w:w="782"/>
      </w:tblGrid>
      <w:tr w:rsidR="00DE49A8" w:rsidRPr="007C5A6E" w14:paraId="3EF377BD" w14:textId="77777777" w:rsidTr="009D1E01">
        <w:trPr>
          <w:trHeight w:val="456"/>
        </w:trPr>
        <w:tc>
          <w:tcPr>
            <w:tcW w:w="426" w:type="pct"/>
            <w:shd w:val="clear" w:color="auto" w:fill="002060"/>
            <w:tcMar>
              <w:left w:w="0" w:type="dxa"/>
              <w:right w:w="0" w:type="dxa"/>
            </w:tcMar>
          </w:tcPr>
          <w:p w14:paraId="6374C507" w14:textId="77777777" w:rsidR="00DE49A8" w:rsidRPr="007C5A6E" w:rsidRDefault="00DE49A8" w:rsidP="00AA69F1">
            <w:pPr>
              <w:spacing w:after="0" w:line="240" w:lineRule="auto"/>
              <w:rPr>
                <w:rFonts w:ascii="Times New Roman" w:hAnsi="Times New Roman"/>
                <w:sz w:val="20"/>
                <w:szCs w:val="20"/>
              </w:rPr>
            </w:pPr>
            <w:r w:rsidRPr="007C5A6E">
              <w:rPr>
                <w:rFonts w:ascii="Times New Roman" w:hAnsi="Times New Roman"/>
                <w:sz w:val="20"/>
                <w:szCs w:val="20"/>
              </w:rPr>
              <w:t xml:space="preserve">Pluie max. </w:t>
            </w:r>
          </w:p>
        </w:tc>
        <w:tc>
          <w:tcPr>
            <w:tcW w:w="753" w:type="pct"/>
            <w:gridSpan w:val="2"/>
            <w:shd w:val="clear" w:color="auto" w:fill="002060"/>
            <w:tcMar>
              <w:left w:w="0" w:type="dxa"/>
              <w:right w:w="0" w:type="dxa"/>
            </w:tcMar>
            <w:vAlign w:val="center"/>
          </w:tcPr>
          <w:p w14:paraId="11B799DA" w14:textId="77777777" w:rsidR="00DE49A8" w:rsidRPr="007C5A6E" w:rsidRDefault="00DE49A8" w:rsidP="00AA69F1">
            <w:pPr>
              <w:spacing w:after="0" w:line="240" w:lineRule="auto"/>
              <w:jc w:val="center"/>
              <w:rPr>
                <w:rFonts w:ascii="Times New Roman" w:hAnsi="Times New Roman"/>
                <w:sz w:val="20"/>
                <w:szCs w:val="20"/>
              </w:rPr>
            </w:pPr>
            <w:r w:rsidRPr="007C5A6E">
              <w:rPr>
                <w:rFonts w:ascii="Times New Roman" w:hAnsi="Times New Roman"/>
                <w:sz w:val="20"/>
                <w:szCs w:val="20"/>
              </w:rPr>
              <w:t>Dori</w:t>
            </w:r>
          </w:p>
        </w:tc>
        <w:tc>
          <w:tcPr>
            <w:tcW w:w="755" w:type="pct"/>
            <w:gridSpan w:val="2"/>
            <w:shd w:val="clear" w:color="auto" w:fill="002060"/>
            <w:tcMar>
              <w:left w:w="0" w:type="dxa"/>
              <w:right w:w="0" w:type="dxa"/>
            </w:tcMar>
            <w:vAlign w:val="center"/>
          </w:tcPr>
          <w:p w14:paraId="4B9600C8" w14:textId="77777777" w:rsidR="00DE49A8" w:rsidRPr="007C5A6E" w:rsidRDefault="00DE49A8" w:rsidP="00AA69F1">
            <w:pPr>
              <w:spacing w:after="0" w:line="240" w:lineRule="auto"/>
              <w:jc w:val="center"/>
              <w:rPr>
                <w:rFonts w:ascii="Times New Roman" w:hAnsi="Times New Roman"/>
                <w:sz w:val="20"/>
                <w:szCs w:val="20"/>
              </w:rPr>
            </w:pPr>
            <w:r w:rsidRPr="007C5A6E">
              <w:rPr>
                <w:rFonts w:ascii="Times New Roman" w:hAnsi="Times New Roman"/>
                <w:sz w:val="20"/>
                <w:szCs w:val="20"/>
              </w:rPr>
              <w:t>Bogandé</w:t>
            </w:r>
          </w:p>
        </w:tc>
        <w:tc>
          <w:tcPr>
            <w:tcW w:w="805" w:type="pct"/>
            <w:gridSpan w:val="2"/>
            <w:shd w:val="clear" w:color="auto" w:fill="002060"/>
            <w:tcMar>
              <w:left w:w="0" w:type="dxa"/>
              <w:right w:w="0" w:type="dxa"/>
            </w:tcMar>
            <w:vAlign w:val="center"/>
          </w:tcPr>
          <w:p w14:paraId="54A8E886" w14:textId="77777777" w:rsidR="00DE49A8" w:rsidRPr="007C5A6E" w:rsidRDefault="00DE49A8" w:rsidP="00AA69F1">
            <w:pPr>
              <w:spacing w:after="0" w:line="240" w:lineRule="auto"/>
              <w:jc w:val="center"/>
              <w:rPr>
                <w:rFonts w:ascii="Times New Roman" w:hAnsi="Times New Roman"/>
                <w:sz w:val="20"/>
                <w:szCs w:val="20"/>
              </w:rPr>
            </w:pPr>
            <w:r w:rsidRPr="007C5A6E">
              <w:rPr>
                <w:rFonts w:ascii="Times New Roman" w:hAnsi="Times New Roman"/>
                <w:sz w:val="20"/>
                <w:szCs w:val="20"/>
              </w:rPr>
              <w:t>Ouagadougou</w:t>
            </w:r>
          </w:p>
        </w:tc>
        <w:tc>
          <w:tcPr>
            <w:tcW w:w="725" w:type="pct"/>
            <w:gridSpan w:val="2"/>
            <w:shd w:val="clear" w:color="auto" w:fill="002060"/>
            <w:tcMar>
              <w:left w:w="0" w:type="dxa"/>
              <w:right w:w="0" w:type="dxa"/>
            </w:tcMar>
            <w:vAlign w:val="center"/>
          </w:tcPr>
          <w:p w14:paraId="6EED3DC9" w14:textId="77777777" w:rsidR="00DE49A8" w:rsidRPr="007C5A6E" w:rsidRDefault="00DE49A8" w:rsidP="00AA69F1">
            <w:pPr>
              <w:spacing w:after="0" w:line="240" w:lineRule="auto"/>
              <w:jc w:val="center"/>
              <w:rPr>
                <w:rFonts w:ascii="Times New Roman" w:hAnsi="Times New Roman"/>
                <w:sz w:val="20"/>
                <w:szCs w:val="20"/>
              </w:rPr>
            </w:pPr>
            <w:r w:rsidRPr="007C5A6E">
              <w:rPr>
                <w:rFonts w:ascii="Times New Roman" w:hAnsi="Times New Roman"/>
                <w:sz w:val="20"/>
                <w:szCs w:val="20"/>
              </w:rPr>
              <w:t>Boromo</w:t>
            </w:r>
          </w:p>
        </w:tc>
        <w:tc>
          <w:tcPr>
            <w:tcW w:w="743" w:type="pct"/>
            <w:gridSpan w:val="2"/>
            <w:shd w:val="clear" w:color="auto" w:fill="002060"/>
            <w:tcMar>
              <w:left w:w="0" w:type="dxa"/>
              <w:right w:w="0" w:type="dxa"/>
            </w:tcMar>
            <w:vAlign w:val="center"/>
          </w:tcPr>
          <w:p w14:paraId="1E683172" w14:textId="77777777" w:rsidR="00DE49A8" w:rsidRPr="007C5A6E" w:rsidRDefault="00DE49A8" w:rsidP="00AA69F1">
            <w:pPr>
              <w:spacing w:after="0" w:line="240" w:lineRule="auto"/>
              <w:jc w:val="center"/>
              <w:rPr>
                <w:rFonts w:ascii="Times New Roman" w:hAnsi="Times New Roman"/>
                <w:sz w:val="20"/>
                <w:szCs w:val="20"/>
              </w:rPr>
            </w:pPr>
            <w:r w:rsidRPr="007C5A6E">
              <w:rPr>
                <w:rFonts w:ascii="Times New Roman" w:hAnsi="Times New Roman"/>
                <w:sz w:val="20"/>
                <w:szCs w:val="20"/>
              </w:rPr>
              <w:t>Bobo-Dioulasso</w:t>
            </w:r>
          </w:p>
        </w:tc>
        <w:tc>
          <w:tcPr>
            <w:tcW w:w="792" w:type="pct"/>
            <w:gridSpan w:val="2"/>
            <w:shd w:val="clear" w:color="auto" w:fill="002060"/>
            <w:tcMar>
              <w:left w:w="0" w:type="dxa"/>
              <w:right w:w="0" w:type="dxa"/>
            </w:tcMar>
            <w:vAlign w:val="center"/>
          </w:tcPr>
          <w:p w14:paraId="1E3DABC5" w14:textId="77777777" w:rsidR="00DE49A8" w:rsidRPr="007C5A6E" w:rsidRDefault="00DE49A8" w:rsidP="00AA69F1">
            <w:pPr>
              <w:spacing w:after="0" w:line="240" w:lineRule="auto"/>
              <w:jc w:val="center"/>
              <w:rPr>
                <w:rFonts w:ascii="Times New Roman" w:hAnsi="Times New Roman"/>
                <w:sz w:val="20"/>
                <w:szCs w:val="20"/>
              </w:rPr>
            </w:pPr>
            <w:r w:rsidRPr="007C5A6E">
              <w:rPr>
                <w:rFonts w:ascii="Times New Roman" w:hAnsi="Times New Roman"/>
                <w:sz w:val="20"/>
                <w:szCs w:val="20"/>
              </w:rPr>
              <w:t>Gaoua</w:t>
            </w:r>
          </w:p>
        </w:tc>
      </w:tr>
      <w:tr w:rsidR="009D1E01" w:rsidRPr="007C5A6E" w14:paraId="0BA9385C" w14:textId="77777777" w:rsidTr="009D1E01">
        <w:trPr>
          <w:trHeight w:val="20"/>
        </w:trPr>
        <w:tc>
          <w:tcPr>
            <w:tcW w:w="426" w:type="pct"/>
            <w:shd w:val="clear" w:color="auto" w:fill="F7CAAC" w:themeFill="accent2" w:themeFillTint="66"/>
            <w:tcMar>
              <w:left w:w="0" w:type="dxa"/>
              <w:right w:w="0" w:type="dxa"/>
            </w:tcMar>
            <w:vAlign w:val="center"/>
          </w:tcPr>
          <w:p w14:paraId="1D4558F7" w14:textId="77777777" w:rsidR="00DE49A8" w:rsidRPr="007C5A6E" w:rsidRDefault="00DE49A8" w:rsidP="00AA69F1">
            <w:pPr>
              <w:spacing w:after="0" w:line="240" w:lineRule="auto"/>
              <w:jc w:val="center"/>
              <w:rPr>
                <w:rFonts w:ascii="Times New Roman" w:hAnsi="Times New Roman"/>
                <w:color w:val="000000"/>
                <w:sz w:val="21"/>
                <w:szCs w:val="21"/>
              </w:rPr>
            </w:pPr>
            <w:r w:rsidRPr="007C5A6E">
              <w:rPr>
                <w:rFonts w:ascii="Times New Roman" w:hAnsi="Times New Roman"/>
                <w:sz w:val="21"/>
                <w:szCs w:val="21"/>
              </w:rPr>
              <w:t>Année</w:t>
            </w:r>
          </w:p>
        </w:tc>
        <w:tc>
          <w:tcPr>
            <w:tcW w:w="362" w:type="pct"/>
            <w:shd w:val="clear" w:color="auto" w:fill="F7CAAC" w:themeFill="accent2" w:themeFillTint="66"/>
            <w:tcMar>
              <w:left w:w="0" w:type="dxa"/>
              <w:right w:w="0" w:type="dxa"/>
            </w:tcMar>
            <w:vAlign w:val="center"/>
          </w:tcPr>
          <w:p w14:paraId="0872C444" w14:textId="77777777" w:rsidR="00DE49A8" w:rsidRPr="007C5A6E" w:rsidRDefault="00DE49A8" w:rsidP="00AA69F1">
            <w:pPr>
              <w:spacing w:after="0" w:line="240" w:lineRule="auto"/>
              <w:jc w:val="center"/>
              <w:rPr>
                <w:rFonts w:ascii="Times New Roman" w:hAnsi="Times New Roman"/>
                <w:sz w:val="21"/>
                <w:szCs w:val="21"/>
              </w:rPr>
            </w:pPr>
            <w:proofErr w:type="gramStart"/>
            <w:r w:rsidRPr="007C5A6E">
              <w:rPr>
                <w:rFonts w:ascii="Times New Roman" w:hAnsi="Times New Roman"/>
                <w:sz w:val="21"/>
                <w:szCs w:val="21"/>
              </w:rPr>
              <w:t>jour</w:t>
            </w:r>
            <w:proofErr w:type="gramEnd"/>
          </w:p>
        </w:tc>
        <w:tc>
          <w:tcPr>
            <w:tcW w:w="391" w:type="pct"/>
            <w:shd w:val="clear" w:color="auto" w:fill="F7CAAC" w:themeFill="accent2" w:themeFillTint="66"/>
            <w:tcMar>
              <w:left w:w="0" w:type="dxa"/>
              <w:right w:w="0" w:type="dxa"/>
            </w:tcMar>
            <w:vAlign w:val="center"/>
          </w:tcPr>
          <w:p w14:paraId="35E01196"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5jours</w:t>
            </w:r>
          </w:p>
        </w:tc>
        <w:tc>
          <w:tcPr>
            <w:tcW w:w="363" w:type="pct"/>
            <w:shd w:val="clear" w:color="auto" w:fill="F7CAAC" w:themeFill="accent2" w:themeFillTint="66"/>
            <w:tcMar>
              <w:left w:w="0" w:type="dxa"/>
              <w:right w:w="0" w:type="dxa"/>
            </w:tcMar>
            <w:vAlign w:val="center"/>
          </w:tcPr>
          <w:p w14:paraId="700F79C3" w14:textId="77777777" w:rsidR="00DE49A8" w:rsidRPr="007C5A6E" w:rsidRDefault="00DE49A8" w:rsidP="00AA69F1">
            <w:pPr>
              <w:spacing w:after="0" w:line="240" w:lineRule="auto"/>
              <w:jc w:val="center"/>
              <w:rPr>
                <w:rFonts w:ascii="Times New Roman" w:hAnsi="Times New Roman"/>
                <w:sz w:val="21"/>
                <w:szCs w:val="21"/>
              </w:rPr>
            </w:pPr>
            <w:proofErr w:type="gramStart"/>
            <w:r w:rsidRPr="007C5A6E">
              <w:rPr>
                <w:rFonts w:ascii="Times New Roman" w:hAnsi="Times New Roman"/>
                <w:sz w:val="21"/>
                <w:szCs w:val="21"/>
              </w:rPr>
              <w:t>jour</w:t>
            </w:r>
            <w:proofErr w:type="gramEnd"/>
          </w:p>
        </w:tc>
        <w:tc>
          <w:tcPr>
            <w:tcW w:w="392" w:type="pct"/>
            <w:shd w:val="clear" w:color="auto" w:fill="F7CAAC" w:themeFill="accent2" w:themeFillTint="66"/>
            <w:tcMar>
              <w:left w:w="0" w:type="dxa"/>
              <w:right w:w="0" w:type="dxa"/>
            </w:tcMar>
            <w:vAlign w:val="center"/>
          </w:tcPr>
          <w:p w14:paraId="1CBF189D"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5jours</w:t>
            </w:r>
          </w:p>
        </w:tc>
        <w:tc>
          <w:tcPr>
            <w:tcW w:w="397" w:type="pct"/>
            <w:shd w:val="clear" w:color="auto" w:fill="F7CAAC" w:themeFill="accent2" w:themeFillTint="66"/>
            <w:tcMar>
              <w:left w:w="0" w:type="dxa"/>
              <w:right w:w="0" w:type="dxa"/>
            </w:tcMar>
            <w:vAlign w:val="center"/>
          </w:tcPr>
          <w:p w14:paraId="6A2012BA" w14:textId="77777777" w:rsidR="00DE49A8" w:rsidRPr="007C5A6E" w:rsidRDefault="00DE49A8" w:rsidP="00AA69F1">
            <w:pPr>
              <w:spacing w:after="0" w:line="240" w:lineRule="auto"/>
              <w:jc w:val="center"/>
              <w:rPr>
                <w:rFonts w:ascii="Times New Roman" w:hAnsi="Times New Roman"/>
                <w:sz w:val="21"/>
                <w:szCs w:val="21"/>
              </w:rPr>
            </w:pPr>
            <w:proofErr w:type="gramStart"/>
            <w:r w:rsidRPr="007C5A6E">
              <w:rPr>
                <w:rFonts w:ascii="Times New Roman" w:hAnsi="Times New Roman"/>
                <w:sz w:val="21"/>
                <w:szCs w:val="21"/>
              </w:rPr>
              <w:t>jour</w:t>
            </w:r>
            <w:proofErr w:type="gramEnd"/>
          </w:p>
        </w:tc>
        <w:tc>
          <w:tcPr>
            <w:tcW w:w="408" w:type="pct"/>
            <w:shd w:val="clear" w:color="auto" w:fill="F7CAAC" w:themeFill="accent2" w:themeFillTint="66"/>
            <w:tcMar>
              <w:left w:w="0" w:type="dxa"/>
              <w:right w:w="0" w:type="dxa"/>
            </w:tcMar>
            <w:vAlign w:val="center"/>
          </w:tcPr>
          <w:p w14:paraId="6B7B65A6"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5jours</w:t>
            </w:r>
          </w:p>
        </w:tc>
        <w:tc>
          <w:tcPr>
            <w:tcW w:w="334" w:type="pct"/>
            <w:shd w:val="clear" w:color="auto" w:fill="F7CAAC" w:themeFill="accent2" w:themeFillTint="66"/>
            <w:tcMar>
              <w:left w:w="0" w:type="dxa"/>
              <w:right w:w="0" w:type="dxa"/>
            </w:tcMar>
            <w:vAlign w:val="center"/>
          </w:tcPr>
          <w:p w14:paraId="77F789B6" w14:textId="77777777" w:rsidR="00DE49A8" w:rsidRPr="007C5A6E" w:rsidRDefault="00DE49A8" w:rsidP="00AA69F1">
            <w:pPr>
              <w:spacing w:after="0" w:line="240" w:lineRule="auto"/>
              <w:jc w:val="center"/>
              <w:rPr>
                <w:rFonts w:ascii="Times New Roman" w:hAnsi="Times New Roman"/>
                <w:sz w:val="21"/>
                <w:szCs w:val="21"/>
              </w:rPr>
            </w:pPr>
            <w:proofErr w:type="gramStart"/>
            <w:r w:rsidRPr="007C5A6E">
              <w:rPr>
                <w:rFonts w:ascii="Times New Roman" w:hAnsi="Times New Roman"/>
                <w:sz w:val="21"/>
                <w:szCs w:val="21"/>
              </w:rPr>
              <w:t>jour</w:t>
            </w:r>
            <w:proofErr w:type="gramEnd"/>
          </w:p>
        </w:tc>
        <w:tc>
          <w:tcPr>
            <w:tcW w:w="391" w:type="pct"/>
            <w:shd w:val="clear" w:color="auto" w:fill="F7CAAC" w:themeFill="accent2" w:themeFillTint="66"/>
            <w:tcMar>
              <w:left w:w="0" w:type="dxa"/>
              <w:right w:w="0" w:type="dxa"/>
            </w:tcMar>
            <w:vAlign w:val="center"/>
          </w:tcPr>
          <w:p w14:paraId="6E6B076C"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5jours</w:t>
            </w:r>
          </w:p>
        </w:tc>
        <w:tc>
          <w:tcPr>
            <w:tcW w:w="352" w:type="pct"/>
            <w:shd w:val="clear" w:color="auto" w:fill="F7CAAC" w:themeFill="accent2" w:themeFillTint="66"/>
            <w:tcMar>
              <w:left w:w="0" w:type="dxa"/>
              <w:right w:w="0" w:type="dxa"/>
            </w:tcMar>
            <w:vAlign w:val="center"/>
          </w:tcPr>
          <w:p w14:paraId="1B08A143" w14:textId="77777777" w:rsidR="00DE49A8" w:rsidRPr="007C5A6E" w:rsidRDefault="00DE49A8" w:rsidP="00AA69F1">
            <w:pPr>
              <w:spacing w:after="0" w:line="240" w:lineRule="auto"/>
              <w:jc w:val="center"/>
              <w:rPr>
                <w:rFonts w:ascii="Times New Roman" w:hAnsi="Times New Roman"/>
                <w:sz w:val="21"/>
                <w:szCs w:val="21"/>
              </w:rPr>
            </w:pPr>
            <w:proofErr w:type="gramStart"/>
            <w:r w:rsidRPr="007C5A6E">
              <w:rPr>
                <w:rFonts w:ascii="Times New Roman" w:hAnsi="Times New Roman"/>
                <w:sz w:val="21"/>
                <w:szCs w:val="21"/>
              </w:rPr>
              <w:t>jour</w:t>
            </w:r>
            <w:proofErr w:type="gramEnd"/>
          </w:p>
        </w:tc>
        <w:tc>
          <w:tcPr>
            <w:tcW w:w="391" w:type="pct"/>
            <w:shd w:val="clear" w:color="auto" w:fill="F7CAAC" w:themeFill="accent2" w:themeFillTint="66"/>
            <w:tcMar>
              <w:left w:w="0" w:type="dxa"/>
              <w:right w:w="0" w:type="dxa"/>
            </w:tcMar>
            <w:vAlign w:val="center"/>
          </w:tcPr>
          <w:p w14:paraId="351F57E4"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5jours</w:t>
            </w:r>
          </w:p>
        </w:tc>
        <w:tc>
          <w:tcPr>
            <w:tcW w:w="367" w:type="pct"/>
            <w:shd w:val="clear" w:color="auto" w:fill="F7CAAC" w:themeFill="accent2" w:themeFillTint="66"/>
            <w:tcMar>
              <w:left w:w="0" w:type="dxa"/>
              <w:right w:w="0" w:type="dxa"/>
            </w:tcMar>
            <w:vAlign w:val="center"/>
          </w:tcPr>
          <w:p w14:paraId="0E7B836C" w14:textId="77777777" w:rsidR="00DE49A8" w:rsidRPr="007C5A6E" w:rsidRDefault="00DE49A8" w:rsidP="00AA69F1">
            <w:pPr>
              <w:spacing w:after="0" w:line="240" w:lineRule="auto"/>
              <w:jc w:val="center"/>
              <w:rPr>
                <w:rFonts w:ascii="Times New Roman" w:hAnsi="Times New Roman"/>
                <w:sz w:val="21"/>
                <w:szCs w:val="21"/>
              </w:rPr>
            </w:pPr>
            <w:proofErr w:type="gramStart"/>
            <w:r w:rsidRPr="007C5A6E">
              <w:rPr>
                <w:rFonts w:ascii="Times New Roman" w:hAnsi="Times New Roman"/>
                <w:sz w:val="21"/>
                <w:szCs w:val="21"/>
              </w:rPr>
              <w:t>jour</w:t>
            </w:r>
            <w:proofErr w:type="gramEnd"/>
          </w:p>
        </w:tc>
        <w:tc>
          <w:tcPr>
            <w:tcW w:w="425" w:type="pct"/>
            <w:shd w:val="clear" w:color="auto" w:fill="F7CAAC" w:themeFill="accent2" w:themeFillTint="66"/>
            <w:vAlign w:val="center"/>
          </w:tcPr>
          <w:p w14:paraId="336D858D"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5jours</w:t>
            </w:r>
          </w:p>
        </w:tc>
      </w:tr>
      <w:tr w:rsidR="00DE49A8" w:rsidRPr="007C5A6E" w14:paraId="581A8609" w14:textId="77777777" w:rsidTr="005D3FF4">
        <w:trPr>
          <w:trHeight w:val="20"/>
        </w:trPr>
        <w:tc>
          <w:tcPr>
            <w:tcW w:w="426" w:type="pct"/>
            <w:tcMar>
              <w:left w:w="0" w:type="dxa"/>
              <w:right w:w="0" w:type="dxa"/>
            </w:tcMar>
            <w:vAlign w:val="bottom"/>
          </w:tcPr>
          <w:p w14:paraId="75E3D57E"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2006</w:t>
            </w:r>
          </w:p>
        </w:tc>
        <w:tc>
          <w:tcPr>
            <w:tcW w:w="362" w:type="pct"/>
            <w:tcMar>
              <w:left w:w="0" w:type="dxa"/>
              <w:right w:w="0" w:type="dxa"/>
            </w:tcMar>
          </w:tcPr>
          <w:p w14:paraId="40824C31"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61B1D2BC" w14:textId="77777777" w:rsidR="00DE49A8" w:rsidRPr="007C5A6E" w:rsidRDefault="00DE49A8" w:rsidP="00AA69F1">
            <w:pPr>
              <w:spacing w:after="0" w:line="240" w:lineRule="auto"/>
              <w:jc w:val="center"/>
              <w:rPr>
                <w:rFonts w:ascii="Times New Roman" w:hAnsi="Times New Roman"/>
                <w:sz w:val="21"/>
                <w:szCs w:val="21"/>
              </w:rPr>
            </w:pPr>
          </w:p>
        </w:tc>
        <w:tc>
          <w:tcPr>
            <w:tcW w:w="363" w:type="pct"/>
            <w:tcMar>
              <w:left w:w="0" w:type="dxa"/>
              <w:right w:w="0" w:type="dxa"/>
            </w:tcMar>
          </w:tcPr>
          <w:p w14:paraId="7DEE5574" w14:textId="77777777" w:rsidR="00DE49A8" w:rsidRPr="007C5A6E" w:rsidRDefault="00DE49A8" w:rsidP="00AA69F1">
            <w:pPr>
              <w:spacing w:after="0" w:line="240" w:lineRule="auto"/>
              <w:jc w:val="center"/>
              <w:rPr>
                <w:rFonts w:ascii="Times New Roman" w:hAnsi="Times New Roman"/>
                <w:sz w:val="21"/>
                <w:szCs w:val="21"/>
              </w:rPr>
            </w:pPr>
          </w:p>
        </w:tc>
        <w:tc>
          <w:tcPr>
            <w:tcW w:w="392" w:type="pct"/>
            <w:tcMar>
              <w:left w:w="0" w:type="dxa"/>
              <w:right w:w="0" w:type="dxa"/>
            </w:tcMar>
          </w:tcPr>
          <w:p w14:paraId="3B513735" w14:textId="77777777" w:rsidR="00DE49A8" w:rsidRPr="007C5A6E" w:rsidRDefault="00DE49A8" w:rsidP="00AA69F1">
            <w:pPr>
              <w:spacing w:after="0" w:line="240" w:lineRule="auto"/>
              <w:jc w:val="center"/>
              <w:rPr>
                <w:rFonts w:ascii="Times New Roman" w:hAnsi="Times New Roman"/>
                <w:sz w:val="21"/>
                <w:szCs w:val="21"/>
              </w:rPr>
            </w:pPr>
          </w:p>
        </w:tc>
        <w:tc>
          <w:tcPr>
            <w:tcW w:w="397" w:type="pct"/>
            <w:tcMar>
              <w:left w:w="0" w:type="dxa"/>
              <w:right w:w="0" w:type="dxa"/>
            </w:tcMar>
          </w:tcPr>
          <w:p w14:paraId="35BFADAB" w14:textId="77777777" w:rsidR="00DE49A8" w:rsidRPr="007C5A6E" w:rsidRDefault="00DE49A8" w:rsidP="00AA69F1">
            <w:pPr>
              <w:spacing w:after="0" w:line="240" w:lineRule="auto"/>
              <w:jc w:val="center"/>
              <w:rPr>
                <w:rFonts w:ascii="Times New Roman" w:hAnsi="Times New Roman"/>
                <w:sz w:val="21"/>
                <w:szCs w:val="21"/>
              </w:rPr>
            </w:pPr>
          </w:p>
        </w:tc>
        <w:tc>
          <w:tcPr>
            <w:tcW w:w="408" w:type="pct"/>
            <w:tcMar>
              <w:left w:w="0" w:type="dxa"/>
              <w:right w:w="0" w:type="dxa"/>
            </w:tcMar>
          </w:tcPr>
          <w:p w14:paraId="1576428E" w14:textId="77777777" w:rsidR="00DE49A8" w:rsidRPr="007C5A6E" w:rsidRDefault="00DE49A8" w:rsidP="00AA69F1">
            <w:pPr>
              <w:spacing w:after="0" w:line="240" w:lineRule="auto"/>
              <w:jc w:val="center"/>
              <w:rPr>
                <w:rFonts w:ascii="Times New Roman" w:hAnsi="Times New Roman"/>
                <w:sz w:val="21"/>
                <w:szCs w:val="21"/>
              </w:rPr>
            </w:pPr>
          </w:p>
        </w:tc>
        <w:tc>
          <w:tcPr>
            <w:tcW w:w="334" w:type="pct"/>
            <w:tcMar>
              <w:left w:w="0" w:type="dxa"/>
              <w:right w:w="0" w:type="dxa"/>
            </w:tcMar>
          </w:tcPr>
          <w:p w14:paraId="74E3F55C"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50,6</w:t>
            </w:r>
          </w:p>
        </w:tc>
        <w:tc>
          <w:tcPr>
            <w:tcW w:w="391" w:type="pct"/>
            <w:tcMar>
              <w:left w:w="0" w:type="dxa"/>
              <w:right w:w="0" w:type="dxa"/>
            </w:tcMar>
          </w:tcPr>
          <w:p w14:paraId="6848B7F7"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136,1</w:t>
            </w:r>
          </w:p>
        </w:tc>
        <w:tc>
          <w:tcPr>
            <w:tcW w:w="352" w:type="pct"/>
            <w:tcMar>
              <w:left w:w="0" w:type="dxa"/>
              <w:right w:w="0" w:type="dxa"/>
            </w:tcMar>
          </w:tcPr>
          <w:p w14:paraId="48C66E26"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54,3</w:t>
            </w:r>
          </w:p>
        </w:tc>
        <w:tc>
          <w:tcPr>
            <w:tcW w:w="391" w:type="pct"/>
            <w:tcMar>
              <w:left w:w="0" w:type="dxa"/>
              <w:right w:w="0" w:type="dxa"/>
            </w:tcMar>
          </w:tcPr>
          <w:p w14:paraId="7F7C8576"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122,7</w:t>
            </w:r>
          </w:p>
        </w:tc>
        <w:tc>
          <w:tcPr>
            <w:tcW w:w="367" w:type="pct"/>
            <w:tcMar>
              <w:left w:w="0" w:type="dxa"/>
              <w:right w:w="0" w:type="dxa"/>
            </w:tcMar>
          </w:tcPr>
          <w:p w14:paraId="67190204" w14:textId="77777777" w:rsidR="00DE49A8" w:rsidRPr="007C5A6E" w:rsidRDefault="00DE49A8" w:rsidP="00AA69F1">
            <w:pPr>
              <w:spacing w:after="0" w:line="240" w:lineRule="auto"/>
              <w:jc w:val="center"/>
              <w:rPr>
                <w:rFonts w:ascii="Times New Roman" w:hAnsi="Times New Roman"/>
                <w:sz w:val="21"/>
                <w:szCs w:val="21"/>
              </w:rPr>
            </w:pPr>
          </w:p>
        </w:tc>
        <w:tc>
          <w:tcPr>
            <w:tcW w:w="425" w:type="pct"/>
          </w:tcPr>
          <w:p w14:paraId="456F40EC" w14:textId="77777777" w:rsidR="00DE49A8" w:rsidRPr="007C5A6E" w:rsidRDefault="00DE49A8" w:rsidP="00AA69F1">
            <w:pPr>
              <w:spacing w:after="0" w:line="240" w:lineRule="auto"/>
              <w:jc w:val="center"/>
              <w:rPr>
                <w:rFonts w:ascii="Times New Roman" w:hAnsi="Times New Roman"/>
                <w:sz w:val="21"/>
                <w:szCs w:val="21"/>
              </w:rPr>
            </w:pPr>
          </w:p>
        </w:tc>
      </w:tr>
      <w:tr w:rsidR="00DE49A8" w:rsidRPr="007C5A6E" w14:paraId="2879AD91" w14:textId="77777777" w:rsidTr="005D3FF4">
        <w:trPr>
          <w:trHeight w:val="20"/>
        </w:trPr>
        <w:tc>
          <w:tcPr>
            <w:tcW w:w="426" w:type="pct"/>
            <w:tcMar>
              <w:left w:w="0" w:type="dxa"/>
              <w:right w:w="0" w:type="dxa"/>
            </w:tcMar>
            <w:vAlign w:val="bottom"/>
          </w:tcPr>
          <w:p w14:paraId="0C94DB1E" w14:textId="77777777" w:rsidR="00DE49A8" w:rsidRPr="007C5A6E" w:rsidRDefault="00DE49A8" w:rsidP="00AA69F1">
            <w:pPr>
              <w:spacing w:after="0" w:line="240" w:lineRule="auto"/>
              <w:jc w:val="center"/>
              <w:rPr>
                <w:rFonts w:ascii="Times New Roman" w:hAnsi="Times New Roman"/>
                <w:sz w:val="21"/>
                <w:szCs w:val="21"/>
              </w:rPr>
            </w:pPr>
            <w:bookmarkStart w:id="1290" w:name="_Hlk178853362"/>
            <w:r w:rsidRPr="007C5A6E">
              <w:rPr>
                <w:rFonts w:ascii="Times New Roman" w:hAnsi="Times New Roman"/>
                <w:color w:val="000000"/>
                <w:sz w:val="21"/>
                <w:szCs w:val="21"/>
              </w:rPr>
              <w:t>2007</w:t>
            </w:r>
          </w:p>
        </w:tc>
        <w:tc>
          <w:tcPr>
            <w:tcW w:w="362" w:type="pct"/>
            <w:tcMar>
              <w:left w:w="0" w:type="dxa"/>
              <w:right w:w="0" w:type="dxa"/>
            </w:tcMar>
          </w:tcPr>
          <w:p w14:paraId="45A6CB31"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2ACDE09B" w14:textId="77777777" w:rsidR="00DE49A8" w:rsidRPr="007C5A6E" w:rsidRDefault="00DE49A8" w:rsidP="00AA69F1">
            <w:pPr>
              <w:spacing w:after="0" w:line="240" w:lineRule="auto"/>
              <w:jc w:val="center"/>
              <w:rPr>
                <w:rFonts w:ascii="Times New Roman" w:hAnsi="Times New Roman"/>
                <w:sz w:val="21"/>
                <w:szCs w:val="21"/>
              </w:rPr>
            </w:pPr>
          </w:p>
        </w:tc>
        <w:tc>
          <w:tcPr>
            <w:tcW w:w="363" w:type="pct"/>
            <w:tcMar>
              <w:left w:w="0" w:type="dxa"/>
              <w:right w:w="0" w:type="dxa"/>
            </w:tcMar>
          </w:tcPr>
          <w:p w14:paraId="372E70ED" w14:textId="77777777" w:rsidR="00DE49A8" w:rsidRPr="007C5A6E" w:rsidRDefault="00DE49A8" w:rsidP="00AA69F1">
            <w:pPr>
              <w:spacing w:after="0" w:line="240" w:lineRule="auto"/>
              <w:jc w:val="center"/>
              <w:rPr>
                <w:rFonts w:ascii="Times New Roman" w:hAnsi="Times New Roman"/>
                <w:sz w:val="21"/>
                <w:szCs w:val="21"/>
              </w:rPr>
            </w:pPr>
          </w:p>
        </w:tc>
        <w:tc>
          <w:tcPr>
            <w:tcW w:w="392" w:type="pct"/>
            <w:tcMar>
              <w:left w:w="0" w:type="dxa"/>
              <w:right w:w="0" w:type="dxa"/>
            </w:tcMar>
          </w:tcPr>
          <w:p w14:paraId="0BAF0D0B" w14:textId="77777777" w:rsidR="00DE49A8" w:rsidRPr="007C5A6E" w:rsidRDefault="00DE49A8" w:rsidP="00AA69F1">
            <w:pPr>
              <w:spacing w:after="0" w:line="240" w:lineRule="auto"/>
              <w:jc w:val="center"/>
              <w:rPr>
                <w:rFonts w:ascii="Times New Roman" w:hAnsi="Times New Roman"/>
                <w:sz w:val="21"/>
                <w:szCs w:val="21"/>
              </w:rPr>
            </w:pPr>
          </w:p>
        </w:tc>
        <w:tc>
          <w:tcPr>
            <w:tcW w:w="397" w:type="pct"/>
            <w:tcMar>
              <w:left w:w="0" w:type="dxa"/>
              <w:right w:w="0" w:type="dxa"/>
            </w:tcMar>
          </w:tcPr>
          <w:p w14:paraId="55940369"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116,7</w:t>
            </w:r>
          </w:p>
        </w:tc>
        <w:tc>
          <w:tcPr>
            <w:tcW w:w="408" w:type="pct"/>
            <w:tcMar>
              <w:left w:w="0" w:type="dxa"/>
              <w:right w:w="0" w:type="dxa"/>
            </w:tcMar>
          </w:tcPr>
          <w:p w14:paraId="2A53B7A0"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133,5</w:t>
            </w:r>
          </w:p>
        </w:tc>
        <w:tc>
          <w:tcPr>
            <w:tcW w:w="334" w:type="pct"/>
            <w:tcMar>
              <w:left w:w="0" w:type="dxa"/>
              <w:right w:w="0" w:type="dxa"/>
            </w:tcMar>
          </w:tcPr>
          <w:p w14:paraId="68B83EDA"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66,4</w:t>
            </w:r>
          </w:p>
        </w:tc>
        <w:tc>
          <w:tcPr>
            <w:tcW w:w="391" w:type="pct"/>
            <w:tcMar>
              <w:left w:w="0" w:type="dxa"/>
              <w:right w:w="0" w:type="dxa"/>
            </w:tcMar>
          </w:tcPr>
          <w:p w14:paraId="7F502734"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117,1</w:t>
            </w:r>
          </w:p>
        </w:tc>
        <w:tc>
          <w:tcPr>
            <w:tcW w:w="352" w:type="pct"/>
            <w:tcMar>
              <w:left w:w="0" w:type="dxa"/>
              <w:right w:w="0" w:type="dxa"/>
            </w:tcMar>
          </w:tcPr>
          <w:p w14:paraId="40FCF951"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84,3</w:t>
            </w:r>
          </w:p>
        </w:tc>
        <w:tc>
          <w:tcPr>
            <w:tcW w:w="391" w:type="pct"/>
            <w:tcMar>
              <w:left w:w="0" w:type="dxa"/>
              <w:right w:w="0" w:type="dxa"/>
            </w:tcMar>
          </w:tcPr>
          <w:p w14:paraId="43F562FB"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130,9</w:t>
            </w:r>
          </w:p>
        </w:tc>
        <w:tc>
          <w:tcPr>
            <w:tcW w:w="367" w:type="pct"/>
            <w:tcMar>
              <w:left w:w="0" w:type="dxa"/>
              <w:right w:w="0" w:type="dxa"/>
            </w:tcMar>
          </w:tcPr>
          <w:p w14:paraId="37E306C2"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73,9</w:t>
            </w:r>
          </w:p>
        </w:tc>
        <w:tc>
          <w:tcPr>
            <w:tcW w:w="425" w:type="pct"/>
          </w:tcPr>
          <w:p w14:paraId="1B871692"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133</w:t>
            </w:r>
          </w:p>
        </w:tc>
      </w:tr>
      <w:tr w:rsidR="00DE49A8" w:rsidRPr="007C5A6E" w14:paraId="0CDDFC58" w14:textId="77777777" w:rsidTr="005D3FF4">
        <w:trPr>
          <w:trHeight w:val="20"/>
        </w:trPr>
        <w:tc>
          <w:tcPr>
            <w:tcW w:w="426" w:type="pct"/>
            <w:tcMar>
              <w:left w:w="0" w:type="dxa"/>
              <w:right w:w="0" w:type="dxa"/>
            </w:tcMar>
            <w:vAlign w:val="bottom"/>
          </w:tcPr>
          <w:p w14:paraId="5F0454F0"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2008</w:t>
            </w:r>
          </w:p>
        </w:tc>
        <w:tc>
          <w:tcPr>
            <w:tcW w:w="362" w:type="pct"/>
            <w:tcMar>
              <w:left w:w="0" w:type="dxa"/>
              <w:right w:w="0" w:type="dxa"/>
            </w:tcMar>
          </w:tcPr>
          <w:p w14:paraId="443B5D0B"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117,7</w:t>
            </w:r>
          </w:p>
        </w:tc>
        <w:tc>
          <w:tcPr>
            <w:tcW w:w="391" w:type="pct"/>
            <w:tcMar>
              <w:left w:w="0" w:type="dxa"/>
              <w:right w:w="0" w:type="dxa"/>
            </w:tcMar>
          </w:tcPr>
          <w:p w14:paraId="346D5161" w14:textId="77777777" w:rsidR="00DE49A8" w:rsidRPr="007C5A6E" w:rsidRDefault="00DE49A8" w:rsidP="00AA69F1">
            <w:pPr>
              <w:spacing w:after="0" w:line="240" w:lineRule="auto"/>
              <w:jc w:val="center"/>
              <w:rPr>
                <w:rFonts w:ascii="Times New Roman" w:hAnsi="Times New Roman"/>
                <w:sz w:val="21"/>
                <w:szCs w:val="21"/>
              </w:rPr>
            </w:pPr>
          </w:p>
        </w:tc>
        <w:tc>
          <w:tcPr>
            <w:tcW w:w="363" w:type="pct"/>
            <w:tcMar>
              <w:left w:w="0" w:type="dxa"/>
              <w:right w:w="0" w:type="dxa"/>
            </w:tcMar>
          </w:tcPr>
          <w:p w14:paraId="60D7BCAB"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102</w:t>
            </w:r>
          </w:p>
        </w:tc>
        <w:tc>
          <w:tcPr>
            <w:tcW w:w="392" w:type="pct"/>
            <w:tcMar>
              <w:left w:w="0" w:type="dxa"/>
              <w:right w:w="0" w:type="dxa"/>
            </w:tcMar>
          </w:tcPr>
          <w:p w14:paraId="4F6DE26F"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124,1</w:t>
            </w:r>
          </w:p>
        </w:tc>
        <w:tc>
          <w:tcPr>
            <w:tcW w:w="397" w:type="pct"/>
            <w:tcMar>
              <w:left w:w="0" w:type="dxa"/>
              <w:right w:w="0" w:type="dxa"/>
            </w:tcMar>
          </w:tcPr>
          <w:p w14:paraId="45948EE5"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58,4</w:t>
            </w:r>
          </w:p>
        </w:tc>
        <w:tc>
          <w:tcPr>
            <w:tcW w:w="408" w:type="pct"/>
            <w:tcMar>
              <w:left w:w="0" w:type="dxa"/>
              <w:right w:w="0" w:type="dxa"/>
            </w:tcMar>
          </w:tcPr>
          <w:p w14:paraId="6F3AC779"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111,3</w:t>
            </w:r>
          </w:p>
        </w:tc>
        <w:tc>
          <w:tcPr>
            <w:tcW w:w="334" w:type="pct"/>
            <w:tcMar>
              <w:left w:w="0" w:type="dxa"/>
              <w:right w:w="0" w:type="dxa"/>
            </w:tcMar>
          </w:tcPr>
          <w:p w14:paraId="3D035675"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134</w:t>
            </w:r>
          </w:p>
        </w:tc>
        <w:tc>
          <w:tcPr>
            <w:tcW w:w="391" w:type="pct"/>
            <w:tcMar>
              <w:left w:w="0" w:type="dxa"/>
              <w:right w:w="0" w:type="dxa"/>
            </w:tcMar>
          </w:tcPr>
          <w:p w14:paraId="441896C1"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216</w:t>
            </w:r>
          </w:p>
        </w:tc>
        <w:tc>
          <w:tcPr>
            <w:tcW w:w="352" w:type="pct"/>
            <w:tcMar>
              <w:left w:w="0" w:type="dxa"/>
              <w:right w:w="0" w:type="dxa"/>
            </w:tcMar>
          </w:tcPr>
          <w:p w14:paraId="7E5C3231"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73,7</w:t>
            </w:r>
          </w:p>
        </w:tc>
        <w:tc>
          <w:tcPr>
            <w:tcW w:w="391" w:type="pct"/>
            <w:tcMar>
              <w:left w:w="0" w:type="dxa"/>
              <w:right w:w="0" w:type="dxa"/>
            </w:tcMar>
          </w:tcPr>
          <w:p w14:paraId="31FE77F7"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141,2</w:t>
            </w:r>
          </w:p>
        </w:tc>
        <w:tc>
          <w:tcPr>
            <w:tcW w:w="367" w:type="pct"/>
            <w:tcMar>
              <w:left w:w="0" w:type="dxa"/>
              <w:right w:w="0" w:type="dxa"/>
            </w:tcMar>
          </w:tcPr>
          <w:p w14:paraId="0A4D0371" w14:textId="77777777" w:rsidR="00DE49A8" w:rsidRPr="007C5A6E" w:rsidRDefault="00DE49A8" w:rsidP="00AA69F1">
            <w:pPr>
              <w:spacing w:after="0" w:line="240" w:lineRule="auto"/>
              <w:jc w:val="center"/>
              <w:rPr>
                <w:rFonts w:ascii="Times New Roman" w:hAnsi="Times New Roman"/>
                <w:sz w:val="21"/>
                <w:szCs w:val="21"/>
              </w:rPr>
            </w:pPr>
          </w:p>
        </w:tc>
        <w:tc>
          <w:tcPr>
            <w:tcW w:w="425" w:type="pct"/>
          </w:tcPr>
          <w:p w14:paraId="4789CF2E" w14:textId="77777777" w:rsidR="00DE49A8" w:rsidRPr="007C5A6E" w:rsidRDefault="00DE49A8" w:rsidP="00AA69F1">
            <w:pPr>
              <w:spacing w:after="0" w:line="240" w:lineRule="auto"/>
              <w:jc w:val="center"/>
              <w:rPr>
                <w:rFonts w:ascii="Times New Roman" w:hAnsi="Times New Roman"/>
                <w:sz w:val="21"/>
                <w:szCs w:val="21"/>
              </w:rPr>
            </w:pPr>
          </w:p>
        </w:tc>
      </w:tr>
      <w:tr w:rsidR="00DE49A8" w:rsidRPr="007C5A6E" w14:paraId="6419EE9F" w14:textId="77777777" w:rsidTr="005D3FF4">
        <w:trPr>
          <w:trHeight w:val="20"/>
        </w:trPr>
        <w:tc>
          <w:tcPr>
            <w:tcW w:w="426" w:type="pct"/>
            <w:tcMar>
              <w:left w:w="0" w:type="dxa"/>
              <w:right w:w="0" w:type="dxa"/>
            </w:tcMar>
            <w:vAlign w:val="bottom"/>
          </w:tcPr>
          <w:p w14:paraId="3B266D46"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2009</w:t>
            </w:r>
          </w:p>
        </w:tc>
        <w:tc>
          <w:tcPr>
            <w:tcW w:w="362" w:type="pct"/>
            <w:tcMar>
              <w:left w:w="0" w:type="dxa"/>
              <w:right w:w="0" w:type="dxa"/>
            </w:tcMar>
          </w:tcPr>
          <w:p w14:paraId="4C3ADDD6"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095D388E" w14:textId="77777777" w:rsidR="00DE49A8" w:rsidRPr="007C5A6E" w:rsidRDefault="00DE49A8" w:rsidP="00AA69F1">
            <w:pPr>
              <w:spacing w:after="0" w:line="240" w:lineRule="auto"/>
              <w:jc w:val="center"/>
              <w:rPr>
                <w:rFonts w:ascii="Times New Roman" w:hAnsi="Times New Roman"/>
                <w:sz w:val="21"/>
                <w:szCs w:val="21"/>
              </w:rPr>
            </w:pPr>
          </w:p>
        </w:tc>
        <w:tc>
          <w:tcPr>
            <w:tcW w:w="363" w:type="pct"/>
            <w:tcMar>
              <w:left w:w="0" w:type="dxa"/>
              <w:right w:w="0" w:type="dxa"/>
            </w:tcMar>
          </w:tcPr>
          <w:p w14:paraId="584F62F2"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86,8</w:t>
            </w:r>
          </w:p>
        </w:tc>
        <w:tc>
          <w:tcPr>
            <w:tcW w:w="392" w:type="pct"/>
            <w:tcMar>
              <w:left w:w="0" w:type="dxa"/>
              <w:right w:w="0" w:type="dxa"/>
            </w:tcMar>
          </w:tcPr>
          <w:p w14:paraId="7893C310"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154,5</w:t>
            </w:r>
          </w:p>
        </w:tc>
        <w:tc>
          <w:tcPr>
            <w:tcW w:w="397" w:type="pct"/>
            <w:tcMar>
              <w:left w:w="0" w:type="dxa"/>
              <w:right w:w="0" w:type="dxa"/>
            </w:tcMar>
          </w:tcPr>
          <w:p w14:paraId="57AF4541"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261,3</w:t>
            </w:r>
          </w:p>
        </w:tc>
        <w:tc>
          <w:tcPr>
            <w:tcW w:w="408" w:type="pct"/>
            <w:tcMar>
              <w:left w:w="0" w:type="dxa"/>
              <w:right w:w="0" w:type="dxa"/>
            </w:tcMar>
          </w:tcPr>
          <w:p w14:paraId="7A00C5F9"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279,3</w:t>
            </w:r>
          </w:p>
        </w:tc>
        <w:tc>
          <w:tcPr>
            <w:tcW w:w="334" w:type="pct"/>
            <w:tcMar>
              <w:left w:w="0" w:type="dxa"/>
              <w:right w:w="0" w:type="dxa"/>
            </w:tcMar>
          </w:tcPr>
          <w:p w14:paraId="0AB7C8DD"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47A16CE0" w14:textId="77777777" w:rsidR="00DE49A8" w:rsidRPr="007C5A6E" w:rsidRDefault="00DE49A8" w:rsidP="00AA69F1">
            <w:pPr>
              <w:spacing w:after="0" w:line="240" w:lineRule="auto"/>
              <w:jc w:val="center"/>
              <w:rPr>
                <w:rFonts w:ascii="Times New Roman" w:hAnsi="Times New Roman"/>
                <w:sz w:val="21"/>
                <w:szCs w:val="21"/>
              </w:rPr>
            </w:pPr>
          </w:p>
        </w:tc>
        <w:tc>
          <w:tcPr>
            <w:tcW w:w="352" w:type="pct"/>
            <w:tcMar>
              <w:left w:w="0" w:type="dxa"/>
              <w:right w:w="0" w:type="dxa"/>
            </w:tcMar>
          </w:tcPr>
          <w:p w14:paraId="16DA95C2"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5AAFF8C9" w14:textId="77777777" w:rsidR="00DE49A8" w:rsidRPr="007C5A6E" w:rsidRDefault="00DE49A8" w:rsidP="00AA69F1">
            <w:pPr>
              <w:spacing w:after="0" w:line="240" w:lineRule="auto"/>
              <w:jc w:val="center"/>
              <w:rPr>
                <w:rFonts w:ascii="Times New Roman" w:hAnsi="Times New Roman"/>
                <w:sz w:val="21"/>
                <w:szCs w:val="21"/>
              </w:rPr>
            </w:pPr>
          </w:p>
        </w:tc>
        <w:tc>
          <w:tcPr>
            <w:tcW w:w="367" w:type="pct"/>
            <w:tcMar>
              <w:left w:w="0" w:type="dxa"/>
              <w:right w:w="0" w:type="dxa"/>
            </w:tcMar>
          </w:tcPr>
          <w:p w14:paraId="2BE81189" w14:textId="77777777" w:rsidR="00DE49A8" w:rsidRPr="007C5A6E" w:rsidRDefault="00DE49A8" w:rsidP="00AA69F1">
            <w:pPr>
              <w:spacing w:after="0" w:line="240" w:lineRule="auto"/>
              <w:jc w:val="center"/>
              <w:rPr>
                <w:rFonts w:ascii="Times New Roman" w:hAnsi="Times New Roman"/>
                <w:sz w:val="21"/>
                <w:szCs w:val="21"/>
              </w:rPr>
            </w:pPr>
          </w:p>
        </w:tc>
        <w:tc>
          <w:tcPr>
            <w:tcW w:w="425" w:type="pct"/>
          </w:tcPr>
          <w:p w14:paraId="00F5786F" w14:textId="77777777" w:rsidR="00DE49A8" w:rsidRPr="007C5A6E" w:rsidRDefault="00DE49A8" w:rsidP="00AA69F1">
            <w:pPr>
              <w:spacing w:after="0" w:line="240" w:lineRule="auto"/>
              <w:jc w:val="center"/>
              <w:rPr>
                <w:rFonts w:ascii="Times New Roman" w:hAnsi="Times New Roman"/>
                <w:sz w:val="21"/>
                <w:szCs w:val="21"/>
              </w:rPr>
            </w:pPr>
          </w:p>
        </w:tc>
      </w:tr>
      <w:tr w:rsidR="00DE49A8" w:rsidRPr="007C5A6E" w14:paraId="2F918258" w14:textId="77777777" w:rsidTr="005D3FF4">
        <w:trPr>
          <w:trHeight w:val="20"/>
        </w:trPr>
        <w:tc>
          <w:tcPr>
            <w:tcW w:w="426" w:type="pct"/>
            <w:tcMar>
              <w:left w:w="0" w:type="dxa"/>
              <w:right w:w="0" w:type="dxa"/>
            </w:tcMar>
            <w:vAlign w:val="bottom"/>
          </w:tcPr>
          <w:p w14:paraId="51E441B9"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2010</w:t>
            </w:r>
          </w:p>
        </w:tc>
        <w:tc>
          <w:tcPr>
            <w:tcW w:w="362" w:type="pct"/>
            <w:tcMar>
              <w:left w:w="0" w:type="dxa"/>
              <w:right w:w="0" w:type="dxa"/>
            </w:tcMar>
          </w:tcPr>
          <w:p w14:paraId="3CBA3418"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4E6D470C" w14:textId="77777777" w:rsidR="00DE49A8" w:rsidRPr="007C5A6E" w:rsidRDefault="00DE49A8" w:rsidP="00AA69F1">
            <w:pPr>
              <w:spacing w:after="0" w:line="240" w:lineRule="auto"/>
              <w:jc w:val="center"/>
              <w:rPr>
                <w:rFonts w:ascii="Times New Roman" w:hAnsi="Times New Roman"/>
                <w:sz w:val="21"/>
                <w:szCs w:val="21"/>
              </w:rPr>
            </w:pPr>
          </w:p>
        </w:tc>
        <w:tc>
          <w:tcPr>
            <w:tcW w:w="363" w:type="pct"/>
            <w:tcMar>
              <w:left w:w="0" w:type="dxa"/>
              <w:right w:w="0" w:type="dxa"/>
            </w:tcMar>
          </w:tcPr>
          <w:p w14:paraId="514B7864" w14:textId="77777777" w:rsidR="00DE49A8" w:rsidRPr="007C5A6E" w:rsidRDefault="00DE49A8" w:rsidP="00AA69F1">
            <w:pPr>
              <w:spacing w:after="0" w:line="240" w:lineRule="auto"/>
              <w:jc w:val="center"/>
              <w:rPr>
                <w:rFonts w:ascii="Times New Roman" w:hAnsi="Times New Roman"/>
                <w:sz w:val="21"/>
                <w:szCs w:val="21"/>
              </w:rPr>
            </w:pPr>
          </w:p>
        </w:tc>
        <w:tc>
          <w:tcPr>
            <w:tcW w:w="392" w:type="pct"/>
            <w:tcMar>
              <w:left w:w="0" w:type="dxa"/>
              <w:right w:w="0" w:type="dxa"/>
            </w:tcMar>
          </w:tcPr>
          <w:p w14:paraId="575676C8" w14:textId="77777777" w:rsidR="00DE49A8" w:rsidRPr="007C5A6E" w:rsidRDefault="00DE49A8" w:rsidP="00AA69F1">
            <w:pPr>
              <w:spacing w:after="0" w:line="240" w:lineRule="auto"/>
              <w:jc w:val="center"/>
              <w:rPr>
                <w:rFonts w:ascii="Times New Roman" w:hAnsi="Times New Roman"/>
                <w:sz w:val="21"/>
                <w:szCs w:val="21"/>
              </w:rPr>
            </w:pPr>
          </w:p>
        </w:tc>
        <w:tc>
          <w:tcPr>
            <w:tcW w:w="397" w:type="pct"/>
            <w:tcMar>
              <w:left w:w="0" w:type="dxa"/>
              <w:right w:w="0" w:type="dxa"/>
            </w:tcMar>
          </w:tcPr>
          <w:p w14:paraId="2B17CA6C" w14:textId="77777777" w:rsidR="00DE49A8" w:rsidRPr="007C5A6E" w:rsidRDefault="00DE49A8" w:rsidP="00AA69F1">
            <w:pPr>
              <w:spacing w:after="0" w:line="240" w:lineRule="auto"/>
              <w:jc w:val="center"/>
              <w:rPr>
                <w:rFonts w:ascii="Times New Roman" w:hAnsi="Times New Roman"/>
                <w:sz w:val="21"/>
                <w:szCs w:val="21"/>
              </w:rPr>
            </w:pPr>
          </w:p>
        </w:tc>
        <w:tc>
          <w:tcPr>
            <w:tcW w:w="408" w:type="pct"/>
            <w:tcMar>
              <w:left w:w="0" w:type="dxa"/>
              <w:right w:w="0" w:type="dxa"/>
            </w:tcMar>
          </w:tcPr>
          <w:p w14:paraId="4ABD5D10" w14:textId="77777777" w:rsidR="00DE49A8" w:rsidRPr="007C5A6E" w:rsidRDefault="00DE49A8" w:rsidP="00AA69F1">
            <w:pPr>
              <w:spacing w:after="0" w:line="240" w:lineRule="auto"/>
              <w:jc w:val="center"/>
              <w:rPr>
                <w:rFonts w:ascii="Times New Roman" w:hAnsi="Times New Roman"/>
                <w:sz w:val="21"/>
                <w:szCs w:val="21"/>
              </w:rPr>
            </w:pPr>
          </w:p>
        </w:tc>
        <w:tc>
          <w:tcPr>
            <w:tcW w:w="334" w:type="pct"/>
            <w:tcMar>
              <w:left w:w="0" w:type="dxa"/>
              <w:right w:w="0" w:type="dxa"/>
            </w:tcMar>
          </w:tcPr>
          <w:p w14:paraId="5DA801C2"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11584C3E" w14:textId="77777777" w:rsidR="00DE49A8" w:rsidRPr="007C5A6E" w:rsidRDefault="00DE49A8" w:rsidP="00AA69F1">
            <w:pPr>
              <w:spacing w:after="0" w:line="240" w:lineRule="auto"/>
              <w:jc w:val="center"/>
              <w:rPr>
                <w:rFonts w:ascii="Times New Roman" w:hAnsi="Times New Roman"/>
                <w:sz w:val="21"/>
                <w:szCs w:val="21"/>
              </w:rPr>
            </w:pPr>
          </w:p>
        </w:tc>
        <w:tc>
          <w:tcPr>
            <w:tcW w:w="352" w:type="pct"/>
            <w:tcMar>
              <w:left w:w="0" w:type="dxa"/>
              <w:right w:w="0" w:type="dxa"/>
            </w:tcMar>
          </w:tcPr>
          <w:p w14:paraId="0371950F"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104</w:t>
            </w:r>
          </w:p>
        </w:tc>
        <w:tc>
          <w:tcPr>
            <w:tcW w:w="391" w:type="pct"/>
            <w:tcMar>
              <w:left w:w="0" w:type="dxa"/>
              <w:right w:w="0" w:type="dxa"/>
            </w:tcMar>
          </w:tcPr>
          <w:p w14:paraId="37700C35"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186,9</w:t>
            </w:r>
          </w:p>
        </w:tc>
        <w:tc>
          <w:tcPr>
            <w:tcW w:w="367" w:type="pct"/>
            <w:tcMar>
              <w:left w:w="0" w:type="dxa"/>
              <w:right w:w="0" w:type="dxa"/>
            </w:tcMar>
          </w:tcPr>
          <w:p w14:paraId="60912A17"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86,4</w:t>
            </w:r>
          </w:p>
        </w:tc>
        <w:tc>
          <w:tcPr>
            <w:tcW w:w="425" w:type="pct"/>
          </w:tcPr>
          <w:p w14:paraId="3C089038"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116 ?1</w:t>
            </w:r>
          </w:p>
        </w:tc>
      </w:tr>
      <w:tr w:rsidR="00DE49A8" w:rsidRPr="007C5A6E" w14:paraId="7549889A" w14:textId="77777777" w:rsidTr="005D3FF4">
        <w:trPr>
          <w:trHeight w:val="20"/>
        </w:trPr>
        <w:tc>
          <w:tcPr>
            <w:tcW w:w="426" w:type="pct"/>
            <w:tcMar>
              <w:left w:w="0" w:type="dxa"/>
              <w:right w:w="0" w:type="dxa"/>
            </w:tcMar>
            <w:vAlign w:val="bottom"/>
          </w:tcPr>
          <w:p w14:paraId="7C42472D"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2011</w:t>
            </w:r>
          </w:p>
        </w:tc>
        <w:tc>
          <w:tcPr>
            <w:tcW w:w="362" w:type="pct"/>
            <w:tcMar>
              <w:left w:w="0" w:type="dxa"/>
              <w:right w:w="0" w:type="dxa"/>
            </w:tcMar>
          </w:tcPr>
          <w:p w14:paraId="15B1880E"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56BD3A8E" w14:textId="77777777" w:rsidR="00DE49A8" w:rsidRPr="007C5A6E" w:rsidRDefault="00DE49A8" w:rsidP="00AA69F1">
            <w:pPr>
              <w:spacing w:after="0" w:line="240" w:lineRule="auto"/>
              <w:jc w:val="center"/>
              <w:rPr>
                <w:rFonts w:ascii="Times New Roman" w:hAnsi="Times New Roman"/>
                <w:sz w:val="21"/>
                <w:szCs w:val="21"/>
              </w:rPr>
            </w:pPr>
          </w:p>
        </w:tc>
        <w:tc>
          <w:tcPr>
            <w:tcW w:w="363" w:type="pct"/>
            <w:tcMar>
              <w:left w:w="0" w:type="dxa"/>
              <w:right w:w="0" w:type="dxa"/>
            </w:tcMar>
          </w:tcPr>
          <w:p w14:paraId="347C3FA4" w14:textId="77777777" w:rsidR="00DE49A8" w:rsidRPr="007C5A6E" w:rsidRDefault="00DE49A8" w:rsidP="00AA69F1">
            <w:pPr>
              <w:spacing w:after="0" w:line="240" w:lineRule="auto"/>
              <w:jc w:val="center"/>
              <w:rPr>
                <w:rFonts w:ascii="Times New Roman" w:hAnsi="Times New Roman"/>
                <w:sz w:val="21"/>
                <w:szCs w:val="21"/>
              </w:rPr>
            </w:pPr>
          </w:p>
        </w:tc>
        <w:tc>
          <w:tcPr>
            <w:tcW w:w="392" w:type="pct"/>
            <w:tcMar>
              <w:left w:w="0" w:type="dxa"/>
              <w:right w:w="0" w:type="dxa"/>
            </w:tcMar>
          </w:tcPr>
          <w:p w14:paraId="1DA23931" w14:textId="77777777" w:rsidR="00DE49A8" w:rsidRPr="007C5A6E" w:rsidRDefault="00DE49A8" w:rsidP="00AA69F1">
            <w:pPr>
              <w:spacing w:after="0" w:line="240" w:lineRule="auto"/>
              <w:jc w:val="center"/>
              <w:rPr>
                <w:rFonts w:ascii="Times New Roman" w:hAnsi="Times New Roman"/>
                <w:sz w:val="21"/>
                <w:szCs w:val="21"/>
              </w:rPr>
            </w:pPr>
          </w:p>
        </w:tc>
        <w:tc>
          <w:tcPr>
            <w:tcW w:w="397" w:type="pct"/>
            <w:tcMar>
              <w:left w:w="0" w:type="dxa"/>
              <w:right w:w="0" w:type="dxa"/>
            </w:tcMar>
          </w:tcPr>
          <w:p w14:paraId="7378D2A2" w14:textId="77777777" w:rsidR="00DE49A8" w:rsidRPr="007C5A6E" w:rsidRDefault="00DE49A8" w:rsidP="00AA69F1">
            <w:pPr>
              <w:spacing w:after="0" w:line="240" w:lineRule="auto"/>
              <w:jc w:val="center"/>
              <w:rPr>
                <w:rFonts w:ascii="Times New Roman" w:hAnsi="Times New Roman"/>
                <w:sz w:val="21"/>
                <w:szCs w:val="21"/>
              </w:rPr>
            </w:pPr>
          </w:p>
        </w:tc>
        <w:tc>
          <w:tcPr>
            <w:tcW w:w="408" w:type="pct"/>
            <w:tcMar>
              <w:left w:w="0" w:type="dxa"/>
              <w:right w:w="0" w:type="dxa"/>
            </w:tcMar>
          </w:tcPr>
          <w:p w14:paraId="7D3575C7" w14:textId="77777777" w:rsidR="00DE49A8" w:rsidRPr="007C5A6E" w:rsidRDefault="00DE49A8" w:rsidP="00AA69F1">
            <w:pPr>
              <w:spacing w:after="0" w:line="240" w:lineRule="auto"/>
              <w:jc w:val="center"/>
              <w:rPr>
                <w:rFonts w:ascii="Times New Roman" w:hAnsi="Times New Roman"/>
                <w:sz w:val="21"/>
                <w:szCs w:val="21"/>
              </w:rPr>
            </w:pPr>
          </w:p>
        </w:tc>
        <w:tc>
          <w:tcPr>
            <w:tcW w:w="334" w:type="pct"/>
            <w:tcMar>
              <w:left w:w="0" w:type="dxa"/>
              <w:right w:w="0" w:type="dxa"/>
            </w:tcMar>
          </w:tcPr>
          <w:p w14:paraId="06F446E9"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105,1</w:t>
            </w:r>
          </w:p>
        </w:tc>
        <w:tc>
          <w:tcPr>
            <w:tcW w:w="391" w:type="pct"/>
            <w:tcMar>
              <w:left w:w="0" w:type="dxa"/>
              <w:right w:w="0" w:type="dxa"/>
            </w:tcMar>
          </w:tcPr>
          <w:p w14:paraId="6451169C"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131,8</w:t>
            </w:r>
          </w:p>
        </w:tc>
        <w:tc>
          <w:tcPr>
            <w:tcW w:w="352" w:type="pct"/>
            <w:tcMar>
              <w:left w:w="0" w:type="dxa"/>
              <w:right w:w="0" w:type="dxa"/>
            </w:tcMar>
          </w:tcPr>
          <w:p w14:paraId="15DD40D5"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640CDCE8" w14:textId="77777777" w:rsidR="00DE49A8" w:rsidRPr="007C5A6E" w:rsidRDefault="00DE49A8" w:rsidP="00AA69F1">
            <w:pPr>
              <w:spacing w:after="0" w:line="240" w:lineRule="auto"/>
              <w:jc w:val="center"/>
              <w:rPr>
                <w:rFonts w:ascii="Times New Roman" w:hAnsi="Times New Roman"/>
                <w:sz w:val="21"/>
                <w:szCs w:val="21"/>
              </w:rPr>
            </w:pPr>
          </w:p>
        </w:tc>
        <w:tc>
          <w:tcPr>
            <w:tcW w:w="367" w:type="pct"/>
            <w:tcMar>
              <w:left w:w="0" w:type="dxa"/>
              <w:right w:w="0" w:type="dxa"/>
            </w:tcMar>
          </w:tcPr>
          <w:p w14:paraId="5C838C97" w14:textId="77777777" w:rsidR="00DE49A8" w:rsidRPr="007C5A6E" w:rsidRDefault="00DE49A8" w:rsidP="00AA69F1">
            <w:pPr>
              <w:spacing w:after="0" w:line="240" w:lineRule="auto"/>
              <w:jc w:val="center"/>
              <w:rPr>
                <w:rFonts w:ascii="Times New Roman" w:hAnsi="Times New Roman"/>
                <w:sz w:val="21"/>
                <w:szCs w:val="21"/>
              </w:rPr>
            </w:pPr>
          </w:p>
        </w:tc>
        <w:tc>
          <w:tcPr>
            <w:tcW w:w="425" w:type="pct"/>
          </w:tcPr>
          <w:p w14:paraId="3DB574AB" w14:textId="77777777" w:rsidR="00DE49A8" w:rsidRPr="007C5A6E" w:rsidRDefault="00DE49A8" w:rsidP="00AA69F1">
            <w:pPr>
              <w:spacing w:after="0" w:line="240" w:lineRule="auto"/>
              <w:jc w:val="center"/>
              <w:rPr>
                <w:rFonts w:ascii="Times New Roman" w:hAnsi="Times New Roman"/>
                <w:sz w:val="21"/>
                <w:szCs w:val="21"/>
              </w:rPr>
            </w:pPr>
          </w:p>
        </w:tc>
      </w:tr>
      <w:tr w:rsidR="00DE49A8" w:rsidRPr="007C5A6E" w14:paraId="063CF41C" w14:textId="77777777" w:rsidTr="005D3FF4">
        <w:trPr>
          <w:trHeight w:val="20"/>
        </w:trPr>
        <w:tc>
          <w:tcPr>
            <w:tcW w:w="426" w:type="pct"/>
            <w:tcMar>
              <w:left w:w="0" w:type="dxa"/>
              <w:right w:w="0" w:type="dxa"/>
            </w:tcMar>
            <w:vAlign w:val="bottom"/>
          </w:tcPr>
          <w:p w14:paraId="210A7CE6"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2012</w:t>
            </w:r>
          </w:p>
        </w:tc>
        <w:tc>
          <w:tcPr>
            <w:tcW w:w="362" w:type="pct"/>
            <w:tcMar>
              <w:left w:w="0" w:type="dxa"/>
              <w:right w:w="0" w:type="dxa"/>
            </w:tcMar>
          </w:tcPr>
          <w:p w14:paraId="2A664E43"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31D5177D" w14:textId="77777777" w:rsidR="00DE49A8" w:rsidRPr="007C5A6E" w:rsidRDefault="00DE49A8" w:rsidP="00AA69F1">
            <w:pPr>
              <w:spacing w:after="0" w:line="240" w:lineRule="auto"/>
              <w:jc w:val="center"/>
              <w:rPr>
                <w:rFonts w:ascii="Times New Roman" w:hAnsi="Times New Roman"/>
                <w:sz w:val="21"/>
                <w:szCs w:val="21"/>
              </w:rPr>
            </w:pPr>
          </w:p>
        </w:tc>
        <w:tc>
          <w:tcPr>
            <w:tcW w:w="363" w:type="pct"/>
            <w:tcMar>
              <w:left w:w="0" w:type="dxa"/>
              <w:right w:w="0" w:type="dxa"/>
            </w:tcMar>
          </w:tcPr>
          <w:p w14:paraId="56F2E442" w14:textId="77777777" w:rsidR="00DE49A8" w:rsidRPr="007C5A6E" w:rsidRDefault="00DE49A8" w:rsidP="00AA69F1">
            <w:pPr>
              <w:spacing w:after="0" w:line="240" w:lineRule="auto"/>
              <w:jc w:val="center"/>
              <w:rPr>
                <w:rFonts w:ascii="Times New Roman" w:hAnsi="Times New Roman"/>
                <w:sz w:val="21"/>
                <w:szCs w:val="21"/>
              </w:rPr>
            </w:pPr>
          </w:p>
        </w:tc>
        <w:tc>
          <w:tcPr>
            <w:tcW w:w="392" w:type="pct"/>
            <w:tcMar>
              <w:left w:w="0" w:type="dxa"/>
              <w:right w:w="0" w:type="dxa"/>
            </w:tcMar>
          </w:tcPr>
          <w:p w14:paraId="3F2BAD9D" w14:textId="77777777" w:rsidR="00DE49A8" w:rsidRPr="007C5A6E" w:rsidRDefault="00DE49A8" w:rsidP="00AA69F1">
            <w:pPr>
              <w:spacing w:after="0" w:line="240" w:lineRule="auto"/>
              <w:jc w:val="center"/>
              <w:rPr>
                <w:rFonts w:ascii="Times New Roman" w:hAnsi="Times New Roman"/>
                <w:sz w:val="21"/>
                <w:szCs w:val="21"/>
              </w:rPr>
            </w:pPr>
          </w:p>
        </w:tc>
        <w:tc>
          <w:tcPr>
            <w:tcW w:w="397" w:type="pct"/>
            <w:tcMar>
              <w:left w:w="0" w:type="dxa"/>
              <w:right w:w="0" w:type="dxa"/>
            </w:tcMar>
          </w:tcPr>
          <w:p w14:paraId="09B0409F" w14:textId="77777777" w:rsidR="00DE49A8" w:rsidRPr="007C5A6E" w:rsidRDefault="00DE49A8" w:rsidP="00AA69F1">
            <w:pPr>
              <w:spacing w:after="0" w:line="240" w:lineRule="auto"/>
              <w:jc w:val="center"/>
              <w:rPr>
                <w:rFonts w:ascii="Times New Roman" w:hAnsi="Times New Roman"/>
                <w:sz w:val="21"/>
                <w:szCs w:val="21"/>
              </w:rPr>
            </w:pPr>
          </w:p>
        </w:tc>
        <w:tc>
          <w:tcPr>
            <w:tcW w:w="408" w:type="pct"/>
            <w:tcMar>
              <w:left w:w="0" w:type="dxa"/>
              <w:right w:w="0" w:type="dxa"/>
            </w:tcMar>
          </w:tcPr>
          <w:p w14:paraId="49ABCC68" w14:textId="77777777" w:rsidR="00DE49A8" w:rsidRPr="007C5A6E" w:rsidRDefault="00DE49A8" w:rsidP="00AA69F1">
            <w:pPr>
              <w:spacing w:after="0" w:line="240" w:lineRule="auto"/>
              <w:jc w:val="center"/>
              <w:rPr>
                <w:rFonts w:ascii="Times New Roman" w:hAnsi="Times New Roman"/>
                <w:sz w:val="21"/>
                <w:szCs w:val="21"/>
              </w:rPr>
            </w:pPr>
          </w:p>
        </w:tc>
        <w:tc>
          <w:tcPr>
            <w:tcW w:w="334" w:type="pct"/>
            <w:tcMar>
              <w:left w:w="0" w:type="dxa"/>
              <w:right w:w="0" w:type="dxa"/>
            </w:tcMar>
          </w:tcPr>
          <w:p w14:paraId="5ECD97E8"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100,5</w:t>
            </w:r>
          </w:p>
        </w:tc>
        <w:tc>
          <w:tcPr>
            <w:tcW w:w="391" w:type="pct"/>
            <w:tcMar>
              <w:left w:w="0" w:type="dxa"/>
              <w:right w:w="0" w:type="dxa"/>
            </w:tcMar>
          </w:tcPr>
          <w:p w14:paraId="10498F3A"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130,4</w:t>
            </w:r>
          </w:p>
        </w:tc>
        <w:tc>
          <w:tcPr>
            <w:tcW w:w="352" w:type="pct"/>
            <w:tcMar>
              <w:left w:w="0" w:type="dxa"/>
              <w:right w:w="0" w:type="dxa"/>
            </w:tcMar>
          </w:tcPr>
          <w:p w14:paraId="710865C8"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63,2</w:t>
            </w:r>
          </w:p>
        </w:tc>
        <w:tc>
          <w:tcPr>
            <w:tcW w:w="391" w:type="pct"/>
            <w:tcMar>
              <w:left w:w="0" w:type="dxa"/>
              <w:right w:w="0" w:type="dxa"/>
            </w:tcMar>
          </w:tcPr>
          <w:p w14:paraId="6A358EF5"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151,8</w:t>
            </w:r>
          </w:p>
        </w:tc>
        <w:tc>
          <w:tcPr>
            <w:tcW w:w="367" w:type="pct"/>
            <w:tcMar>
              <w:left w:w="0" w:type="dxa"/>
              <w:right w:w="0" w:type="dxa"/>
            </w:tcMar>
          </w:tcPr>
          <w:p w14:paraId="23BA3D06" w14:textId="77777777" w:rsidR="00DE49A8" w:rsidRPr="007C5A6E" w:rsidRDefault="00DE49A8" w:rsidP="00AA69F1">
            <w:pPr>
              <w:spacing w:after="0" w:line="240" w:lineRule="auto"/>
              <w:jc w:val="center"/>
              <w:rPr>
                <w:rFonts w:ascii="Times New Roman" w:hAnsi="Times New Roman"/>
                <w:sz w:val="21"/>
                <w:szCs w:val="21"/>
              </w:rPr>
            </w:pPr>
          </w:p>
        </w:tc>
        <w:tc>
          <w:tcPr>
            <w:tcW w:w="425" w:type="pct"/>
          </w:tcPr>
          <w:p w14:paraId="3AC3D7DC" w14:textId="77777777" w:rsidR="00DE49A8" w:rsidRPr="007C5A6E" w:rsidRDefault="00DE49A8" w:rsidP="00AA69F1">
            <w:pPr>
              <w:spacing w:after="0" w:line="240" w:lineRule="auto"/>
              <w:jc w:val="center"/>
              <w:rPr>
                <w:rFonts w:ascii="Times New Roman" w:hAnsi="Times New Roman"/>
                <w:sz w:val="21"/>
                <w:szCs w:val="21"/>
              </w:rPr>
            </w:pPr>
          </w:p>
        </w:tc>
      </w:tr>
      <w:bookmarkEnd w:id="1290"/>
      <w:tr w:rsidR="00DE49A8" w:rsidRPr="007C5A6E" w14:paraId="2FC6E49A" w14:textId="77777777" w:rsidTr="005D3FF4">
        <w:trPr>
          <w:trHeight w:val="20"/>
        </w:trPr>
        <w:tc>
          <w:tcPr>
            <w:tcW w:w="426" w:type="pct"/>
            <w:tcMar>
              <w:left w:w="0" w:type="dxa"/>
              <w:right w:w="0" w:type="dxa"/>
            </w:tcMar>
            <w:vAlign w:val="bottom"/>
          </w:tcPr>
          <w:p w14:paraId="6B6D79D6"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2013</w:t>
            </w:r>
          </w:p>
        </w:tc>
        <w:tc>
          <w:tcPr>
            <w:tcW w:w="362" w:type="pct"/>
            <w:tcMar>
              <w:left w:w="0" w:type="dxa"/>
              <w:right w:w="0" w:type="dxa"/>
            </w:tcMar>
          </w:tcPr>
          <w:p w14:paraId="61E7F243"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1A45E75B" w14:textId="77777777" w:rsidR="00DE49A8" w:rsidRPr="007C5A6E" w:rsidRDefault="00DE49A8" w:rsidP="00AA69F1">
            <w:pPr>
              <w:spacing w:after="0" w:line="240" w:lineRule="auto"/>
              <w:jc w:val="center"/>
              <w:rPr>
                <w:rFonts w:ascii="Times New Roman" w:hAnsi="Times New Roman"/>
                <w:sz w:val="21"/>
                <w:szCs w:val="21"/>
              </w:rPr>
            </w:pPr>
          </w:p>
        </w:tc>
        <w:tc>
          <w:tcPr>
            <w:tcW w:w="363" w:type="pct"/>
            <w:tcMar>
              <w:left w:w="0" w:type="dxa"/>
              <w:right w:w="0" w:type="dxa"/>
            </w:tcMar>
          </w:tcPr>
          <w:p w14:paraId="06C960EF" w14:textId="77777777" w:rsidR="00DE49A8" w:rsidRPr="007C5A6E" w:rsidRDefault="00DE49A8" w:rsidP="00AA69F1">
            <w:pPr>
              <w:spacing w:after="0" w:line="240" w:lineRule="auto"/>
              <w:jc w:val="center"/>
              <w:rPr>
                <w:rFonts w:ascii="Times New Roman" w:hAnsi="Times New Roman"/>
                <w:sz w:val="21"/>
                <w:szCs w:val="21"/>
              </w:rPr>
            </w:pPr>
          </w:p>
        </w:tc>
        <w:tc>
          <w:tcPr>
            <w:tcW w:w="392" w:type="pct"/>
            <w:tcMar>
              <w:left w:w="0" w:type="dxa"/>
              <w:right w:w="0" w:type="dxa"/>
            </w:tcMar>
          </w:tcPr>
          <w:p w14:paraId="76986040" w14:textId="77777777" w:rsidR="00DE49A8" w:rsidRPr="007C5A6E" w:rsidRDefault="00DE49A8" w:rsidP="00AA69F1">
            <w:pPr>
              <w:spacing w:after="0" w:line="240" w:lineRule="auto"/>
              <w:jc w:val="center"/>
              <w:rPr>
                <w:rFonts w:ascii="Times New Roman" w:hAnsi="Times New Roman"/>
                <w:sz w:val="21"/>
                <w:szCs w:val="21"/>
              </w:rPr>
            </w:pPr>
          </w:p>
        </w:tc>
        <w:tc>
          <w:tcPr>
            <w:tcW w:w="397" w:type="pct"/>
            <w:tcMar>
              <w:left w:w="0" w:type="dxa"/>
              <w:right w:w="0" w:type="dxa"/>
            </w:tcMar>
          </w:tcPr>
          <w:p w14:paraId="4EB176A1" w14:textId="77777777" w:rsidR="00DE49A8" w:rsidRPr="007C5A6E" w:rsidRDefault="00DE49A8" w:rsidP="00AA69F1">
            <w:pPr>
              <w:spacing w:after="0" w:line="240" w:lineRule="auto"/>
              <w:jc w:val="center"/>
              <w:rPr>
                <w:rFonts w:ascii="Times New Roman" w:hAnsi="Times New Roman"/>
                <w:sz w:val="21"/>
                <w:szCs w:val="21"/>
              </w:rPr>
            </w:pPr>
          </w:p>
        </w:tc>
        <w:tc>
          <w:tcPr>
            <w:tcW w:w="408" w:type="pct"/>
            <w:tcMar>
              <w:left w:w="0" w:type="dxa"/>
              <w:right w:w="0" w:type="dxa"/>
            </w:tcMar>
          </w:tcPr>
          <w:p w14:paraId="0920D03D" w14:textId="77777777" w:rsidR="00DE49A8" w:rsidRPr="007C5A6E" w:rsidRDefault="00DE49A8" w:rsidP="00AA69F1">
            <w:pPr>
              <w:spacing w:after="0" w:line="240" w:lineRule="auto"/>
              <w:jc w:val="center"/>
              <w:rPr>
                <w:rFonts w:ascii="Times New Roman" w:hAnsi="Times New Roman"/>
                <w:sz w:val="21"/>
                <w:szCs w:val="21"/>
              </w:rPr>
            </w:pPr>
          </w:p>
        </w:tc>
        <w:tc>
          <w:tcPr>
            <w:tcW w:w="334" w:type="pct"/>
            <w:tcMar>
              <w:left w:w="0" w:type="dxa"/>
              <w:right w:w="0" w:type="dxa"/>
            </w:tcMar>
          </w:tcPr>
          <w:p w14:paraId="4AE16E28"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454BBEA3" w14:textId="77777777" w:rsidR="00DE49A8" w:rsidRPr="007C5A6E" w:rsidRDefault="00DE49A8" w:rsidP="00AA69F1">
            <w:pPr>
              <w:spacing w:after="0" w:line="240" w:lineRule="auto"/>
              <w:jc w:val="center"/>
              <w:rPr>
                <w:rFonts w:ascii="Times New Roman" w:hAnsi="Times New Roman"/>
                <w:sz w:val="21"/>
                <w:szCs w:val="21"/>
              </w:rPr>
            </w:pPr>
          </w:p>
        </w:tc>
        <w:tc>
          <w:tcPr>
            <w:tcW w:w="352" w:type="pct"/>
            <w:tcMar>
              <w:left w:w="0" w:type="dxa"/>
              <w:right w:w="0" w:type="dxa"/>
            </w:tcMar>
          </w:tcPr>
          <w:p w14:paraId="05DD3F59"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13D3DB6D" w14:textId="77777777" w:rsidR="00DE49A8" w:rsidRPr="007C5A6E" w:rsidRDefault="00DE49A8" w:rsidP="00AA69F1">
            <w:pPr>
              <w:spacing w:after="0" w:line="240" w:lineRule="auto"/>
              <w:jc w:val="center"/>
              <w:rPr>
                <w:rFonts w:ascii="Times New Roman" w:hAnsi="Times New Roman"/>
                <w:sz w:val="21"/>
                <w:szCs w:val="21"/>
              </w:rPr>
            </w:pPr>
          </w:p>
        </w:tc>
        <w:tc>
          <w:tcPr>
            <w:tcW w:w="367" w:type="pct"/>
            <w:tcMar>
              <w:left w:w="0" w:type="dxa"/>
              <w:right w:w="0" w:type="dxa"/>
            </w:tcMar>
          </w:tcPr>
          <w:p w14:paraId="4195B0E0" w14:textId="77777777" w:rsidR="00DE49A8" w:rsidRPr="007C5A6E" w:rsidRDefault="00DE49A8" w:rsidP="00AA69F1">
            <w:pPr>
              <w:spacing w:after="0" w:line="240" w:lineRule="auto"/>
              <w:jc w:val="center"/>
              <w:rPr>
                <w:rFonts w:ascii="Times New Roman" w:hAnsi="Times New Roman"/>
                <w:sz w:val="21"/>
                <w:szCs w:val="21"/>
              </w:rPr>
            </w:pPr>
          </w:p>
        </w:tc>
        <w:tc>
          <w:tcPr>
            <w:tcW w:w="425" w:type="pct"/>
          </w:tcPr>
          <w:p w14:paraId="26AF57C5" w14:textId="77777777" w:rsidR="00DE49A8" w:rsidRPr="007C5A6E" w:rsidRDefault="00DE49A8" w:rsidP="00AA69F1">
            <w:pPr>
              <w:spacing w:after="0" w:line="240" w:lineRule="auto"/>
              <w:jc w:val="center"/>
              <w:rPr>
                <w:rFonts w:ascii="Times New Roman" w:hAnsi="Times New Roman"/>
                <w:sz w:val="21"/>
                <w:szCs w:val="21"/>
              </w:rPr>
            </w:pPr>
          </w:p>
        </w:tc>
      </w:tr>
      <w:tr w:rsidR="00DE49A8" w:rsidRPr="007C5A6E" w14:paraId="1F0AE0DE" w14:textId="77777777" w:rsidTr="005D3FF4">
        <w:trPr>
          <w:trHeight w:val="20"/>
        </w:trPr>
        <w:tc>
          <w:tcPr>
            <w:tcW w:w="426" w:type="pct"/>
            <w:tcMar>
              <w:left w:w="0" w:type="dxa"/>
              <w:right w:w="0" w:type="dxa"/>
            </w:tcMar>
            <w:vAlign w:val="bottom"/>
          </w:tcPr>
          <w:p w14:paraId="7C3CBF15"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2014</w:t>
            </w:r>
          </w:p>
        </w:tc>
        <w:tc>
          <w:tcPr>
            <w:tcW w:w="362" w:type="pct"/>
            <w:tcMar>
              <w:left w:w="0" w:type="dxa"/>
              <w:right w:w="0" w:type="dxa"/>
            </w:tcMar>
          </w:tcPr>
          <w:p w14:paraId="417B9259"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3CAA34C7" w14:textId="77777777" w:rsidR="00DE49A8" w:rsidRPr="007C5A6E" w:rsidRDefault="00DE49A8" w:rsidP="00AA69F1">
            <w:pPr>
              <w:spacing w:after="0" w:line="240" w:lineRule="auto"/>
              <w:jc w:val="center"/>
              <w:rPr>
                <w:rFonts w:ascii="Times New Roman" w:hAnsi="Times New Roman"/>
                <w:sz w:val="21"/>
                <w:szCs w:val="21"/>
              </w:rPr>
            </w:pPr>
          </w:p>
        </w:tc>
        <w:tc>
          <w:tcPr>
            <w:tcW w:w="363" w:type="pct"/>
            <w:tcMar>
              <w:left w:w="0" w:type="dxa"/>
              <w:right w:w="0" w:type="dxa"/>
            </w:tcMar>
          </w:tcPr>
          <w:p w14:paraId="68B784F7" w14:textId="77777777" w:rsidR="00DE49A8" w:rsidRPr="007C5A6E" w:rsidRDefault="00DE49A8" w:rsidP="00AA69F1">
            <w:pPr>
              <w:spacing w:after="0" w:line="240" w:lineRule="auto"/>
              <w:jc w:val="center"/>
              <w:rPr>
                <w:rFonts w:ascii="Times New Roman" w:hAnsi="Times New Roman"/>
                <w:sz w:val="21"/>
                <w:szCs w:val="21"/>
              </w:rPr>
            </w:pPr>
          </w:p>
        </w:tc>
        <w:tc>
          <w:tcPr>
            <w:tcW w:w="392" w:type="pct"/>
            <w:tcMar>
              <w:left w:w="0" w:type="dxa"/>
              <w:right w:w="0" w:type="dxa"/>
            </w:tcMar>
          </w:tcPr>
          <w:p w14:paraId="6374ED4B" w14:textId="77777777" w:rsidR="00DE49A8" w:rsidRPr="007C5A6E" w:rsidRDefault="00DE49A8" w:rsidP="00AA69F1">
            <w:pPr>
              <w:spacing w:after="0" w:line="240" w:lineRule="auto"/>
              <w:jc w:val="center"/>
              <w:rPr>
                <w:rFonts w:ascii="Times New Roman" w:hAnsi="Times New Roman"/>
                <w:sz w:val="21"/>
                <w:szCs w:val="21"/>
              </w:rPr>
            </w:pPr>
          </w:p>
        </w:tc>
        <w:tc>
          <w:tcPr>
            <w:tcW w:w="397" w:type="pct"/>
            <w:tcMar>
              <w:left w:w="0" w:type="dxa"/>
              <w:right w:w="0" w:type="dxa"/>
            </w:tcMar>
          </w:tcPr>
          <w:p w14:paraId="17C02FDD" w14:textId="77777777" w:rsidR="00DE49A8" w:rsidRPr="007C5A6E" w:rsidRDefault="00DE49A8" w:rsidP="00AA69F1">
            <w:pPr>
              <w:spacing w:after="0" w:line="240" w:lineRule="auto"/>
              <w:jc w:val="center"/>
              <w:rPr>
                <w:rFonts w:ascii="Times New Roman" w:hAnsi="Times New Roman"/>
                <w:sz w:val="21"/>
                <w:szCs w:val="21"/>
              </w:rPr>
            </w:pPr>
          </w:p>
        </w:tc>
        <w:tc>
          <w:tcPr>
            <w:tcW w:w="408" w:type="pct"/>
            <w:tcMar>
              <w:left w:w="0" w:type="dxa"/>
              <w:right w:w="0" w:type="dxa"/>
            </w:tcMar>
          </w:tcPr>
          <w:p w14:paraId="42F8EE0D" w14:textId="77777777" w:rsidR="00DE49A8" w:rsidRPr="007C5A6E" w:rsidRDefault="00DE49A8" w:rsidP="00AA69F1">
            <w:pPr>
              <w:spacing w:after="0" w:line="240" w:lineRule="auto"/>
              <w:jc w:val="center"/>
              <w:rPr>
                <w:rFonts w:ascii="Times New Roman" w:hAnsi="Times New Roman"/>
                <w:sz w:val="21"/>
                <w:szCs w:val="21"/>
              </w:rPr>
            </w:pPr>
          </w:p>
        </w:tc>
        <w:tc>
          <w:tcPr>
            <w:tcW w:w="334" w:type="pct"/>
            <w:tcMar>
              <w:left w:w="0" w:type="dxa"/>
              <w:right w:w="0" w:type="dxa"/>
            </w:tcMar>
          </w:tcPr>
          <w:p w14:paraId="62D14E79"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88,2</w:t>
            </w:r>
          </w:p>
        </w:tc>
        <w:tc>
          <w:tcPr>
            <w:tcW w:w="391" w:type="pct"/>
            <w:tcMar>
              <w:left w:w="0" w:type="dxa"/>
              <w:right w:w="0" w:type="dxa"/>
            </w:tcMar>
          </w:tcPr>
          <w:p w14:paraId="12BC6B6D"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118,8</w:t>
            </w:r>
          </w:p>
        </w:tc>
        <w:tc>
          <w:tcPr>
            <w:tcW w:w="352" w:type="pct"/>
            <w:tcMar>
              <w:left w:w="0" w:type="dxa"/>
              <w:right w:w="0" w:type="dxa"/>
            </w:tcMar>
          </w:tcPr>
          <w:p w14:paraId="6171E48D"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74,4</w:t>
            </w:r>
          </w:p>
        </w:tc>
        <w:tc>
          <w:tcPr>
            <w:tcW w:w="391" w:type="pct"/>
            <w:tcMar>
              <w:left w:w="0" w:type="dxa"/>
              <w:right w:w="0" w:type="dxa"/>
            </w:tcMar>
          </w:tcPr>
          <w:p w14:paraId="6959D8A6"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125</w:t>
            </w:r>
          </w:p>
        </w:tc>
        <w:tc>
          <w:tcPr>
            <w:tcW w:w="367" w:type="pct"/>
            <w:tcMar>
              <w:left w:w="0" w:type="dxa"/>
              <w:right w:w="0" w:type="dxa"/>
            </w:tcMar>
          </w:tcPr>
          <w:p w14:paraId="36D959EE"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95,4</w:t>
            </w:r>
          </w:p>
        </w:tc>
        <w:tc>
          <w:tcPr>
            <w:tcW w:w="425" w:type="pct"/>
          </w:tcPr>
          <w:p w14:paraId="4B5BE271"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115,1</w:t>
            </w:r>
          </w:p>
        </w:tc>
      </w:tr>
      <w:tr w:rsidR="00DE49A8" w:rsidRPr="007C5A6E" w14:paraId="65ACA265" w14:textId="77777777" w:rsidTr="005D3FF4">
        <w:trPr>
          <w:trHeight w:val="20"/>
        </w:trPr>
        <w:tc>
          <w:tcPr>
            <w:tcW w:w="426" w:type="pct"/>
            <w:tcMar>
              <w:left w:w="0" w:type="dxa"/>
              <w:right w:w="0" w:type="dxa"/>
            </w:tcMar>
            <w:vAlign w:val="bottom"/>
          </w:tcPr>
          <w:p w14:paraId="7F6179FD"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2015</w:t>
            </w:r>
          </w:p>
        </w:tc>
        <w:tc>
          <w:tcPr>
            <w:tcW w:w="362" w:type="pct"/>
            <w:tcMar>
              <w:left w:w="0" w:type="dxa"/>
              <w:right w:w="0" w:type="dxa"/>
            </w:tcMar>
          </w:tcPr>
          <w:p w14:paraId="5991DAD7"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4B8554BA" w14:textId="77777777" w:rsidR="00DE49A8" w:rsidRPr="007C5A6E" w:rsidRDefault="00DE49A8" w:rsidP="00AA69F1">
            <w:pPr>
              <w:spacing w:after="0" w:line="240" w:lineRule="auto"/>
              <w:jc w:val="center"/>
              <w:rPr>
                <w:rFonts w:ascii="Times New Roman" w:hAnsi="Times New Roman"/>
                <w:sz w:val="21"/>
                <w:szCs w:val="21"/>
              </w:rPr>
            </w:pPr>
          </w:p>
        </w:tc>
        <w:tc>
          <w:tcPr>
            <w:tcW w:w="363" w:type="pct"/>
            <w:tcMar>
              <w:left w:w="0" w:type="dxa"/>
              <w:right w:w="0" w:type="dxa"/>
            </w:tcMar>
          </w:tcPr>
          <w:p w14:paraId="55104F9E" w14:textId="77777777" w:rsidR="00DE49A8" w:rsidRPr="007C5A6E" w:rsidRDefault="00DE49A8" w:rsidP="00AA69F1">
            <w:pPr>
              <w:spacing w:after="0" w:line="240" w:lineRule="auto"/>
              <w:jc w:val="center"/>
              <w:rPr>
                <w:rFonts w:ascii="Times New Roman" w:hAnsi="Times New Roman"/>
                <w:sz w:val="21"/>
                <w:szCs w:val="21"/>
              </w:rPr>
            </w:pPr>
          </w:p>
        </w:tc>
        <w:tc>
          <w:tcPr>
            <w:tcW w:w="392" w:type="pct"/>
            <w:tcMar>
              <w:left w:w="0" w:type="dxa"/>
              <w:right w:w="0" w:type="dxa"/>
            </w:tcMar>
          </w:tcPr>
          <w:p w14:paraId="6DCB3763" w14:textId="77777777" w:rsidR="00DE49A8" w:rsidRPr="007C5A6E" w:rsidRDefault="00DE49A8" w:rsidP="00AA69F1">
            <w:pPr>
              <w:spacing w:after="0" w:line="240" w:lineRule="auto"/>
              <w:jc w:val="center"/>
              <w:rPr>
                <w:rFonts w:ascii="Times New Roman" w:hAnsi="Times New Roman"/>
                <w:sz w:val="21"/>
                <w:szCs w:val="21"/>
              </w:rPr>
            </w:pPr>
          </w:p>
        </w:tc>
        <w:tc>
          <w:tcPr>
            <w:tcW w:w="397" w:type="pct"/>
            <w:tcMar>
              <w:left w:w="0" w:type="dxa"/>
              <w:right w:w="0" w:type="dxa"/>
            </w:tcMar>
          </w:tcPr>
          <w:p w14:paraId="2818CCC0" w14:textId="77777777" w:rsidR="00DE49A8" w:rsidRPr="007C5A6E" w:rsidRDefault="00DE49A8" w:rsidP="00AA69F1">
            <w:pPr>
              <w:spacing w:after="0" w:line="240" w:lineRule="auto"/>
              <w:jc w:val="center"/>
              <w:rPr>
                <w:rFonts w:ascii="Times New Roman" w:hAnsi="Times New Roman"/>
                <w:sz w:val="21"/>
                <w:szCs w:val="21"/>
              </w:rPr>
            </w:pPr>
          </w:p>
        </w:tc>
        <w:tc>
          <w:tcPr>
            <w:tcW w:w="408" w:type="pct"/>
            <w:tcMar>
              <w:left w:w="0" w:type="dxa"/>
              <w:right w:w="0" w:type="dxa"/>
            </w:tcMar>
          </w:tcPr>
          <w:p w14:paraId="5A7397EC" w14:textId="77777777" w:rsidR="00DE49A8" w:rsidRPr="007C5A6E" w:rsidRDefault="00DE49A8" w:rsidP="00AA69F1">
            <w:pPr>
              <w:spacing w:after="0" w:line="240" w:lineRule="auto"/>
              <w:jc w:val="center"/>
              <w:rPr>
                <w:rFonts w:ascii="Times New Roman" w:hAnsi="Times New Roman"/>
                <w:sz w:val="21"/>
                <w:szCs w:val="21"/>
              </w:rPr>
            </w:pPr>
          </w:p>
        </w:tc>
        <w:tc>
          <w:tcPr>
            <w:tcW w:w="334" w:type="pct"/>
            <w:tcMar>
              <w:left w:w="0" w:type="dxa"/>
              <w:right w:w="0" w:type="dxa"/>
            </w:tcMar>
          </w:tcPr>
          <w:p w14:paraId="1F981F17"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29ED6D7A" w14:textId="77777777" w:rsidR="00DE49A8" w:rsidRPr="007C5A6E" w:rsidRDefault="00DE49A8" w:rsidP="00AA69F1">
            <w:pPr>
              <w:spacing w:after="0" w:line="240" w:lineRule="auto"/>
              <w:jc w:val="center"/>
              <w:rPr>
                <w:rFonts w:ascii="Times New Roman" w:hAnsi="Times New Roman"/>
                <w:sz w:val="21"/>
                <w:szCs w:val="21"/>
              </w:rPr>
            </w:pPr>
          </w:p>
        </w:tc>
        <w:tc>
          <w:tcPr>
            <w:tcW w:w="352" w:type="pct"/>
            <w:tcMar>
              <w:left w:w="0" w:type="dxa"/>
              <w:right w:w="0" w:type="dxa"/>
            </w:tcMar>
          </w:tcPr>
          <w:p w14:paraId="148DBD09"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114</w:t>
            </w:r>
          </w:p>
        </w:tc>
        <w:tc>
          <w:tcPr>
            <w:tcW w:w="391" w:type="pct"/>
            <w:tcMar>
              <w:left w:w="0" w:type="dxa"/>
              <w:right w:w="0" w:type="dxa"/>
            </w:tcMar>
          </w:tcPr>
          <w:p w14:paraId="1C99C256"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160,2</w:t>
            </w:r>
          </w:p>
        </w:tc>
        <w:tc>
          <w:tcPr>
            <w:tcW w:w="367" w:type="pct"/>
            <w:tcMar>
              <w:left w:w="0" w:type="dxa"/>
              <w:right w:w="0" w:type="dxa"/>
            </w:tcMar>
          </w:tcPr>
          <w:p w14:paraId="51C11C55" w14:textId="77777777" w:rsidR="00DE49A8" w:rsidRPr="007C5A6E" w:rsidRDefault="00DE49A8" w:rsidP="00AA69F1">
            <w:pPr>
              <w:spacing w:after="0" w:line="240" w:lineRule="auto"/>
              <w:jc w:val="center"/>
              <w:rPr>
                <w:rFonts w:ascii="Times New Roman" w:hAnsi="Times New Roman"/>
                <w:sz w:val="21"/>
                <w:szCs w:val="21"/>
              </w:rPr>
            </w:pPr>
          </w:p>
        </w:tc>
        <w:tc>
          <w:tcPr>
            <w:tcW w:w="425" w:type="pct"/>
          </w:tcPr>
          <w:p w14:paraId="7868C078" w14:textId="77777777" w:rsidR="00DE49A8" w:rsidRPr="007C5A6E" w:rsidRDefault="00DE49A8" w:rsidP="00AA69F1">
            <w:pPr>
              <w:spacing w:after="0" w:line="240" w:lineRule="auto"/>
              <w:jc w:val="center"/>
              <w:rPr>
                <w:rFonts w:ascii="Times New Roman" w:hAnsi="Times New Roman"/>
                <w:sz w:val="21"/>
                <w:szCs w:val="21"/>
              </w:rPr>
            </w:pPr>
          </w:p>
        </w:tc>
      </w:tr>
      <w:tr w:rsidR="00DE49A8" w:rsidRPr="007C5A6E" w14:paraId="66411A7E" w14:textId="77777777" w:rsidTr="005D3FF4">
        <w:trPr>
          <w:trHeight w:val="20"/>
        </w:trPr>
        <w:tc>
          <w:tcPr>
            <w:tcW w:w="426" w:type="pct"/>
            <w:tcMar>
              <w:left w:w="0" w:type="dxa"/>
              <w:right w:w="0" w:type="dxa"/>
            </w:tcMar>
            <w:vAlign w:val="bottom"/>
          </w:tcPr>
          <w:p w14:paraId="2ADEDEA0"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2016</w:t>
            </w:r>
          </w:p>
        </w:tc>
        <w:tc>
          <w:tcPr>
            <w:tcW w:w="362" w:type="pct"/>
            <w:tcMar>
              <w:left w:w="0" w:type="dxa"/>
              <w:right w:w="0" w:type="dxa"/>
            </w:tcMar>
          </w:tcPr>
          <w:p w14:paraId="430F631C"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405A11D9" w14:textId="77777777" w:rsidR="00DE49A8" w:rsidRPr="007C5A6E" w:rsidRDefault="00DE49A8" w:rsidP="00AA69F1">
            <w:pPr>
              <w:spacing w:after="0" w:line="240" w:lineRule="auto"/>
              <w:jc w:val="center"/>
              <w:rPr>
                <w:rFonts w:ascii="Times New Roman" w:hAnsi="Times New Roman"/>
                <w:sz w:val="21"/>
                <w:szCs w:val="21"/>
              </w:rPr>
            </w:pPr>
          </w:p>
        </w:tc>
        <w:tc>
          <w:tcPr>
            <w:tcW w:w="363" w:type="pct"/>
            <w:tcMar>
              <w:left w:w="0" w:type="dxa"/>
              <w:right w:w="0" w:type="dxa"/>
            </w:tcMar>
          </w:tcPr>
          <w:p w14:paraId="5A6B8227"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86,9</w:t>
            </w:r>
          </w:p>
        </w:tc>
        <w:tc>
          <w:tcPr>
            <w:tcW w:w="392" w:type="pct"/>
            <w:tcMar>
              <w:left w:w="0" w:type="dxa"/>
              <w:right w:w="0" w:type="dxa"/>
            </w:tcMar>
          </w:tcPr>
          <w:p w14:paraId="696D0794"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122,9</w:t>
            </w:r>
          </w:p>
        </w:tc>
        <w:tc>
          <w:tcPr>
            <w:tcW w:w="397" w:type="pct"/>
            <w:tcMar>
              <w:left w:w="0" w:type="dxa"/>
              <w:right w:w="0" w:type="dxa"/>
            </w:tcMar>
          </w:tcPr>
          <w:p w14:paraId="16C8AACF"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94,5</w:t>
            </w:r>
          </w:p>
        </w:tc>
        <w:tc>
          <w:tcPr>
            <w:tcW w:w="408" w:type="pct"/>
            <w:tcMar>
              <w:left w:w="0" w:type="dxa"/>
              <w:right w:w="0" w:type="dxa"/>
            </w:tcMar>
          </w:tcPr>
          <w:p w14:paraId="2B4D8C36"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153,8</w:t>
            </w:r>
          </w:p>
        </w:tc>
        <w:tc>
          <w:tcPr>
            <w:tcW w:w="334" w:type="pct"/>
            <w:tcMar>
              <w:left w:w="0" w:type="dxa"/>
              <w:right w:w="0" w:type="dxa"/>
            </w:tcMar>
          </w:tcPr>
          <w:p w14:paraId="5908B242"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3DAB621F" w14:textId="77777777" w:rsidR="00DE49A8" w:rsidRPr="007C5A6E" w:rsidRDefault="00DE49A8" w:rsidP="00AA69F1">
            <w:pPr>
              <w:spacing w:after="0" w:line="240" w:lineRule="auto"/>
              <w:jc w:val="center"/>
              <w:rPr>
                <w:rFonts w:ascii="Times New Roman" w:hAnsi="Times New Roman"/>
                <w:sz w:val="21"/>
                <w:szCs w:val="21"/>
              </w:rPr>
            </w:pPr>
          </w:p>
        </w:tc>
        <w:tc>
          <w:tcPr>
            <w:tcW w:w="352" w:type="pct"/>
            <w:tcMar>
              <w:left w:w="0" w:type="dxa"/>
              <w:right w:w="0" w:type="dxa"/>
            </w:tcMar>
          </w:tcPr>
          <w:p w14:paraId="72E0186C"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88,1</w:t>
            </w:r>
          </w:p>
        </w:tc>
        <w:tc>
          <w:tcPr>
            <w:tcW w:w="391" w:type="pct"/>
            <w:tcMar>
              <w:left w:w="0" w:type="dxa"/>
              <w:right w:w="0" w:type="dxa"/>
            </w:tcMar>
          </w:tcPr>
          <w:p w14:paraId="1A15ED49"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134,6</w:t>
            </w:r>
          </w:p>
        </w:tc>
        <w:tc>
          <w:tcPr>
            <w:tcW w:w="367" w:type="pct"/>
            <w:tcMar>
              <w:left w:w="0" w:type="dxa"/>
              <w:right w:w="0" w:type="dxa"/>
            </w:tcMar>
          </w:tcPr>
          <w:p w14:paraId="563CBB59" w14:textId="77777777" w:rsidR="00DE49A8" w:rsidRPr="007C5A6E" w:rsidRDefault="00DE49A8" w:rsidP="00AA69F1">
            <w:pPr>
              <w:spacing w:after="0" w:line="240" w:lineRule="auto"/>
              <w:jc w:val="center"/>
              <w:rPr>
                <w:rFonts w:ascii="Times New Roman" w:hAnsi="Times New Roman"/>
                <w:sz w:val="21"/>
                <w:szCs w:val="21"/>
              </w:rPr>
            </w:pPr>
          </w:p>
        </w:tc>
        <w:tc>
          <w:tcPr>
            <w:tcW w:w="425" w:type="pct"/>
          </w:tcPr>
          <w:p w14:paraId="72EC1727" w14:textId="77777777" w:rsidR="00DE49A8" w:rsidRPr="007C5A6E" w:rsidRDefault="00DE49A8" w:rsidP="00AA69F1">
            <w:pPr>
              <w:spacing w:after="0" w:line="240" w:lineRule="auto"/>
              <w:jc w:val="center"/>
              <w:rPr>
                <w:rFonts w:ascii="Times New Roman" w:hAnsi="Times New Roman"/>
                <w:sz w:val="21"/>
                <w:szCs w:val="21"/>
              </w:rPr>
            </w:pPr>
          </w:p>
        </w:tc>
      </w:tr>
      <w:tr w:rsidR="00DE49A8" w:rsidRPr="007C5A6E" w14:paraId="75460469" w14:textId="77777777" w:rsidTr="005D3FF4">
        <w:trPr>
          <w:trHeight w:val="20"/>
        </w:trPr>
        <w:tc>
          <w:tcPr>
            <w:tcW w:w="426" w:type="pct"/>
            <w:tcMar>
              <w:left w:w="0" w:type="dxa"/>
              <w:right w:w="0" w:type="dxa"/>
            </w:tcMar>
            <w:vAlign w:val="bottom"/>
          </w:tcPr>
          <w:p w14:paraId="6AA24031"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2017</w:t>
            </w:r>
          </w:p>
        </w:tc>
        <w:tc>
          <w:tcPr>
            <w:tcW w:w="362" w:type="pct"/>
            <w:tcMar>
              <w:left w:w="0" w:type="dxa"/>
              <w:right w:w="0" w:type="dxa"/>
            </w:tcMar>
          </w:tcPr>
          <w:p w14:paraId="6D8591A2"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3830DB07" w14:textId="77777777" w:rsidR="00DE49A8" w:rsidRPr="007C5A6E" w:rsidRDefault="00DE49A8" w:rsidP="00AA69F1">
            <w:pPr>
              <w:spacing w:after="0" w:line="240" w:lineRule="auto"/>
              <w:jc w:val="center"/>
              <w:rPr>
                <w:rFonts w:ascii="Times New Roman" w:hAnsi="Times New Roman"/>
                <w:sz w:val="21"/>
                <w:szCs w:val="21"/>
              </w:rPr>
            </w:pPr>
          </w:p>
        </w:tc>
        <w:tc>
          <w:tcPr>
            <w:tcW w:w="363" w:type="pct"/>
            <w:tcMar>
              <w:left w:w="0" w:type="dxa"/>
              <w:right w:w="0" w:type="dxa"/>
            </w:tcMar>
          </w:tcPr>
          <w:p w14:paraId="454F7A07"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69,9</w:t>
            </w:r>
          </w:p>
        </w:tc>
        <w:tc>
          <w:tcPr>
            <w:tcW w:w="392" w:type="pct"/>
            <w:tcMar>
              <w:left w:w="0" w:type="dxa"/>
              <w:right w:w="0" w:type="dxa"/>
            </w:tcMar>
          </w:tcPr>
          <w:p w14:paraId="15093A42"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127,3</w:t>
            </w:r>
          </w:p>
        </w:tc>
        <w:tc>
          <w:tcPr>
            <w:tcW w:w="397" w:type="pct"/>
            <w:tcMar>
              <w:left w:w="0" w:type="dxa"/>
              <w:right w:w="0" w:type="dxa"/>
            </w:tcMar>
          </w:tcPr>
          <w:p w14:paraId="1E0CB60B"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96,6</w:t>
            </w:r>
          </w:p>
        </w:tc>
        <w:tc>
          <w:tcPr>
            <w:tcW w:w="408" w:type="pct"/>
            <w:tcMar>
              <w:left w:w="0" w:type="dxa"/>
              <w:right w:w="0" w:type="dxa"/>
            </w:tcMar>
          </w:tcPr>
          <w:p w14:paraId="68B08315"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127,8</w:t>
            </w:r>
          </w:p>
        </w:tc>
        <w:tc>
          <w:tcPr>
            <w:tcW w:w="334" w:type="pct"/>
            <w:tcMar>
              <w:left w:w="0" w:type="dxa"/>
              <w:right w:w="0" w:type="dxa"/>
            </w:tcMar>
          </w:tcPr>
          <w:p w14:paraId="56A1BA95"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157FCCEF" w14:textId="77777777" w:rsidR="00DE49A8" w:rsidRPr="007C5A6E" w:rsidRDefault="00DE49A8" w:rsidP="00AA69F1">
            <w:pPr>
              <w:spacing w:after="0" w:line="240" w:lineRule="auto"/>
              <w:jc w:val="center"/>
              <w:rPr>
                <w:rFonts w:ascii="Times New Roman" w:hAnsi="Times New Roman"/>
                <w:sz w:val="21"/>
                <w:szCs w:val="21"/>
              </w:rPr>
            </w:pPr>
          </w:p>
        </w:tc>
        <w:tc>
          <w:tcPr>
            <w:tcW w:w="352" w:type="pct"/>
            <w:tcMar>
              <w:left w:w="0" w:type="dxa"/>
              <w:right w:w="0" w:type="dxa"/>
            </w:tcMar>
          </w:tcPr>
          <w:p w14:paraId="62E5A864"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1F79EDAE" w14:textId="77777777" w:rsidR="00DE49A8" w:rsidRPr="007C5A6E" w:rsidRDefault="00DE49A8" w:rsidP="00AA69F1">
            <w:pPr>
              <w:spacing w:after="0" w:line="240" w:lineRule="auto"/>
              <w:jc w:val="center"/>
              <w:rPr>
                <w:rFonts w:ascii="Times New Roman" w:hAnsi="Times New Roman"/>
                <w:sz w:val="21"/>
                <w:szCs w:val="21"/>
              </w:rPr>
            </w:pPr>
          </w:p>
        </w:tc>
        <w:tc>
          <w:tcPr>
            <w:tcW w:w="367" w:type="pct"/>
            <w:tcMar>
              <w:left w:w="0" w:type="dxa"/>
              <w:right w:w="0" w:type="dxa"/>
            </w:tcMar>
          </w:tcPr>
          <w:p w14:paraId="239FEE86" w14:textId="77777777" w:rsidR="00DE49A8" w:rsidRPr="007C5A6E" w:rsidRDefault="00DE49A8" w:rsidP="00AA69F1">
            <w:pPr>
              <w:spacing w:after="0" w:line="240" w:lineRule="auto"/>
              <w:jc w:val="center"/>
              <w:rPr>
                <w:rFonts w:ascii="Times New Roman" w:hAnsi="Times New Roman"/>
                <w:sz w:val="21"/>
                <w:szCs w:val="21"/>
              </w:rPr>
            </w:pPr>
          </w:p>
        </w:tc>
        <w:tc>
          <w:tcPr>
            <w:tcW w:w="425" w:type="pct"/>
          </w:tcPr>
          <w:p w14:paraId="498E5B01" w14:textId="77777777" w:rsidR="00DE49A8" w:rsidRPr="007C5A6E" w:rsidRDefault="00DE49A8" w:rsidP="00AA69F1">
            <w:pPr>
              <w:spacing w:after="0" w:line="240" w:lineRule="auto"/>
              <w:jc w:val="center"/>
              <w:rPr>
                <w:rFonts w:ascii="Times New Roman" w:hAnsi="Times New Roman"/>
                <w:sz w:val="21"/>
                <w:szCs w:val="21"/>
              </w:rPr>
            </w:pPr>
          </w:p>
        </w:tc>
      </w:tr>
      <w:tr w:rsidR="00DE49A8" w:rsidRPr="007C5A6E" w14:paraId="3B293F4B" w14:textId="77777777" w:rsidTr="005D3FF4">
        <w:trPr>
          <w:trHeight w:val="20"/>
        </w:trPr>
        <w:tc>
          <w:tcPr>
            <w:tcW w:w="426" w:type="pct"/>
            <w:tcMar>
              <w:left w:w="0" w:type="dxa"/>
              <w:right w:w="0" w:type="dxa"/>
            </w:tcMar>
            <w:vAlign w:val="bottom"/>
          </w:tcPr>
          <w:p w14:paraId="1A242230"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2018</w:t>
            </w:r>
          </w:p>
        </w:tc>
        <w:tc>
          <w:tcPr>
            <w:tcW w:w="362" w:type="pct"/>
            <w:tcMar>
              <w:left w:w="0" w:type="dxa"/>
              <w:right w:w="0" w:type="dxa"/>
            </w:tcMar>
          </w:tcPr>
          <w:p w14:paraId="77405098"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7960CA28" w14:textId="77777777" w:rsidR="00DE49A8" w:rsidRPr="007C5A6E" w:rsidRDefault="00DE49A8" w:rsidP="00AA69F1">
            <w:pPr>
              <w:spacing w:after="0" w:line="240" w:lineRule="auto"/>
              <w:jc w:val="center"/>
              <w:rPr>
                <w:rFonts w:ascii="Times New Roman" w:hAnsi="Times New Roman"/>
                <w:sz w:val="21"/>
                <w:szCs w:val="21"/>
              </w:rPr>
            </w:pPr>
          </w:p>
        </w:tc>
        <w:tc>
          <w:tcPr>
            <w:tcW w:w="363" w:type="pct"/>
            <w:tcMar>
              <w:left w:w="0" w:type="dxa"/>
              <w:right w:w="0" w:type="dxa"/>
            </w:tcMar>
          </w:tcPr>
          <w:p w14:paraId="113852F3" w14:textId="77777777" w:rsidR="00DE49A8" w:rsidRPr="007C5A6E" w:rsidRDefault="00DE49A8" w:rsidP="00AA69F1">
            <w:pPr>
              <w:spacing w:after="0" w:line="240" w:lineRule="auto"/>
              <w:jc w:val="center"/>
              <w:rPr>
                <w:rFonts w:ascii="Times New Roman" w:hAnsi="Times New Roman"/>
                <w:sz w:val="21"/>
                <w:szCs w:val="21"/>
              </w:rPr>
            </w:pPr>
          </w:p>
        </w:tc>
        <w:tc>
          <w:tcPr>
            <w:tcW w:w="392" w:type="pct"/>
            <w:tcMar>
              <w:left w:w="0" w:type="dxa"/>
              <w:right w:w="0" w:type="dxa"/>
            </w:tcMar>
          </w:tcPr>
          <w:p w14:paraId="38D2F5D7" w14:textId="77777777" w:rsidR="00DE49A8" w:rsidRPr="007C5A6E" w:rsidRDefault="00DE49A8" w:rsidP="00AA69F1">
            <w:pPr>
              <w:spacing w:after="0" w:line="240" w:lineRule="auto"/>
              <w:jc w:val="center"/>
              <w:rPr>
                <w:rFonts w:ascii="Times New Roman" w:hAnsi="Times New Roman"/>
                <w:sz w:val="21"/>
                <w:szCs w:val="21"/>
              </w:rPr>
            </w:pPr>
          </w:p>
        </w:tc>
        <w:tc>
          <w:tcPr>
            <w:tcW w:w="397" w:type="pct"/>
            <w:tcMar>
              <w:left w:w="0" w:type="dxa"/>
              <w:right w:w="0" w:type="dxa"/>
            </w:tcMar>
          </w:tcPr>
          <w:p w14:paraId="102E107A" w14:textId="77777777" w:rsidR="00DE49A8" w:rsidRPr="007C5A6E" w:rsidRDefault="00DE49A8" w:rsidP="00AA69F1">
            <w:pPr>
              <w:spacing w:after="0" w:line="240" w:lineRule="auto"/>
              <w:jc w:val="center"/>
              <w:rPr>
                <w:rFonts w:ascii="Times New Roman" w:hAnsi="Times New Roman"/>
                <w:sz w:val="21"/>
                <w:szCs w:val="21"/>
              </w:rPr>
            </w:pPr>
          </w:p>
        </w:tc>
        <w:tc>
          <w:tcPr>
            <w:tcW w:w="408" w:type="pct"/>
            <w:tcMar>
              <w:left w:w="0" w:type="dxa"/>
              <w:right w:w="0" w:type="dxa"/>
            </w:tcMar>
          </w:tcPr>
          <w:p w14:paraId="523AC3DA" w14:textId="77777777" w:rsidR="00DE49A8" w:rsidRPr="007C5A6E" w:rsidRDefault="00DE49A8" w:rsidP="00AA69F1">
            <w:pPr>
              <w:spacing w:after="0" w:line="240" w:lineRule="auto"/>
              <w:jc w:val="center"/>
              <w:rPr>
                <w:rFonts w:ascii="Times New Roman" w:hAnsi="Times New Roman"/>
                <w:sz w:val="21"/>
                <w:szCs w:val="21"/>
              </w:rPr>
            </w:pPr>
          </w:p>
        </w:tc>
        <w:tc>
          <w:tcPr>
            <w:tcW w:w="334" w:type="pct"/>
            <w:tcMar>
              <w:left w:w="0" w:type="dxa"/>
              <w:right w:w="0" w:type="dxa"/>
            </w:tcMar>
          </w:tcPr>
          <w:p w14:paraId="3378707E"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66,6</w:t>
            </w:r>
          </w:p>
        </w:tc>
        <w:tc>
          <w:tcPr>
            <w:tcW w:w="391" w:type="pct"/>
            <w:tcMar>
              <w:left w:w="0" w:type="dxa"/>
              <w:right w:w="0" w:type="dxa"/>
            </w:tcMar>
          </w:tcPr>
          <w:p w14:paraId="2E8053A3"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146,7</w:t>
            </w:r>
          </w:p>
        </w:tc>
        <w:tc>
          <w:tcPr>
            <w:tcW w:w="352" w:type="pct"/>
            <w:tcMar>
              <w:left w:w="0" w:type="dxa"/>
              <w:right w:w="0" w:type="dxa"/>
            </w:tcMar>
          </w:tcPr>
          <w:p w14:paraId="0C156118"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69,1</w:t>
            </w:r>
          </w:p>
        </w:tc>
        <w:tc>
          <w:tcPr>
            <w:tcW w:w="391" w:type="pct"/>
            <w:tcMar>
              <w:left w:w="0" w:type="dxa"/>
              <w:right w:w="0" w:type="dxa"/>
            </w:tcMar>
          </w:tcPr>
          <w:p w14:paraId="2B3A9722"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151,1</w:t>
            </w:r>
          </w:p>
        </w:tc>
        <w:tc>
          <w:tcPr>
            <w:tcW w:w="367" w:type="pct"/>
            <w:tcMar>
              <w:left w:w="0" w:type="dxa"/>
              <w:right w:w="0" w:type="dxa"/>
            </w:tcMar>
          </w:tcPr>
          <w:p w14:paraId="01C4BCC9"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88,2</w:t>
            </w:r>
          </w:p>
        </w:tc>
        <w:tc>
          <w:tcPr>
            <w:tcW w:w="425" w:type="pct"/>
          </w:tcPr>
          <w:p w14:paraId="738B1ECB"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163</w:t>
            </w:r>
          </w:p>
        </w:tc>
      </w:tr>
      <w:tr w:rsidR="00DE49A8" w:rsidRPr="007C5A6E" w14:paraId="45DA6D2A" w14:textId="77777777" w:rsidTr="005D3FF4">
        <w:trPr>
          <w:trHeight w:val="20"/>
        </w:trPr>
        <w:tc>
          <w:tcPr>
            <w:tcW w:w="426" w:type="pct"/>
            <w:tcMar>
              <w:left w:w="0" w:type="dxa"/>
              <w:right w:w="0" w:type="dxa"/>
            </w:tcMar>
            <w:vAlign w:val="bottom"/>
          </w:tcPr>
          <w:p w14:paraId="386E003B"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2019</w:t>
            </w:r>
          </w:p>
        </w:tc>
        <w:tc>
          <w:tcPr>
            <w:tcW w:w="362" w:type="pct"/>
            <w:tcMar>
              <w:left w:w="0" w:type="dxa"/>
              <w:right w:w="0" w:type="dxa"/>
            </w:tcMar>
          </w:tcPr>
          <w:p w14:paraId="6F0BA50F"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85,5</w:t>
            </w:r>
          </w:p>
        </w:tc>
        <w:tc>
          <w:tcPr>
            <w:tcW w:w="391" w:type="pct"/>
            <w:tcMar>
              <w:left w:w="0" w:type="dxa"/>
              <w:right w:w="0" w:type="dxa"/>
            </w:tcMar>
          </w:tcPr>
          <w:p w14:paraId="2CC8112F"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157,3</w:t>
            </w:r>
          </w:p>
        </w:tc>
        <w:tc>
          <w:tcPr>
            <w:tcW w:w="363" w:type="pct"/>
            <w:tcMar>
              <w:left w:w="0" w:type="dxa"/>
              <w:right w:w="0" w:type="dxa"/>
            </w:tcMar>
          </w:tcPr>
          <w:p w14:paraId="1247FEBC" w14:textId="77777777" w:rsidR="00DE49A8" w:rsidRPr="007C5A6E" w:rsidRDefault="00DE49A8" w:rsidP="00AA69F1">
            <w:pPr>
              <w:spacing w:after="0" w:line="240" w:lineRule="auto"/>
              <w:jc w:val="center"/>
              <w:rPr>
                <w:rFonts w:ascii="Times New Roman" w:hAnsi="Times New Roman"/>
                <w:sz w:val="21"/>
                <w:szCs w:val="21"/>
              </w:rPr>
            </w:pPr>
          </w:p>
        </w:tc>
        <w:tc>
          <w:tcPr>
            <w:tcW w:w="392" w:type="pct"/>
            <w:tcMar>
              <w:left w:w="0" w:type="dxa"/>
              <w:right w:w="0" w:type="dxa"/>
            </w:tcMar>
          </w:tcPr>
          <w:p w14:paraId="6F0430C9" w14:textId="77777777" w:rsidR="00DE49A8" w:rsidRPr="007C5A6E" w:rsidRDefault="00DE49A8" w:rsidP="00AA69F1">
            <w:pPr>
              <w:spacing w:after="0" w:line="240" w:lineRule="auto"/>
              <w:jc w:val="center"/>
              <w:rPr>
                <w:rFonts w:ascii="Times New Roman" w:hAnsi="Times New Roman"/>
                <w:sz w:val="21"/>
                <w:szCs w:val="21"/>
              </w:rPr>
            </w:pPr>
          </w:p>
        </w:tc>
        <w:tc>
          <w:tcPr>
            <w:tcW w:w="397" w:type="pct"/>
            <w:tcMar>
              <w:left w:w="0" w:type="dxa"/>
              <w:right w:w="0" w:type="dxa"/>
            </w:tcMar>
          </w:tcPr>
          <w:p w14:paraId="0ED07B98"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91,3</w:t>
            </w:r>
          </w:p>
        </w:tc>
        <w:tc>
          <w:tcPr>
            <w:tcW w:w="408" w:type="pct"/>
            <w:tcMar>
              <w:left w:w="0" w:type="dxa"/>
              <w:right w:w="0" w:type="dxa"/>
            </w:tcMar>
          </w:tcPr>
          <w:p w14:paraId="6F223156"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155,4</w:t>
            </w:r>
          </w:p>
        </w:tc>
        <w:tc>
          <w:tcPr>
            <w:tcW w:w="334" w:type="pct"/>
            <w:tcMar>
              <w:left w:w="0" w:type="dxa"/>
              <w:right w:w="0" w:type="dxa"/>
            </w:tcMar>
          </w:tcPr>
          <w:p w14:paraId="0DCB9626"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72</w:t>
            </w:r>
          </w:p>
        </w:tc>
        <w:tc>
          <w:tcPr>
            <w:tcW w:w="391" w:type="pct"/>
            <w:tcMar>
              <w:left w:w="0" w:type="dxa"/>
              <w:right w:w="0" w:type="dxa"/>
            </w:tcMar>
          </w:tcPr>
          <w:p w14:paraId="564BE47A"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144,4</w:t>
            </w:r>
          </w:p>
        </w:tc>
        <w:tc>
          <w:tcPr>
            <w:tcW w:w="352" w:type="pct"/>
            <w:tcMar>
              <w:left w:w="0" w:type="dxa"/>
              <w:right w:w="0" w:type="dxa"/>
            </w:tcMar>
          </w:tcPr>
          <w:p w14:paraId="388910C2" w14:textId="77777777" w:rsidR="00DE49A8" w:rsidRPr="007C5A6E" w:rsidRDefault="00DE49A8" w:rsidP="00AA69F1">
            <w:pPr>
              <w:spacing w:after="0" w:line="240" w:lineRule="auto"/>
              <w:rPr>
                <w:rFonts w:ascii="Times New Roman" w:hAnsi="Times New Roman"/>
                <w:sz w:val="21"/>
                <w:szCs w:val="21"/>
              </w:rPr>
            </w:pPr>
            <w:r w:rsidRPr="007C5A6E">
              <w:rPr>
                <w:rFonts w:ascii="Times New Roman" w:hAnsi="Times New Roman"/>
                <w:sz w:val="21"/>
                <w:szCs w:val="21"/>
              </w:rPr>
              <w:t>112,7</w:t>
            </w:r>
          </w:p>
        </w:tc>
        <w:tc>
          <w:tcPr>
            <w:tcW w:w="391" w:type="pct"/>
            <w:tcMar>
              <w:left w:w="0" w:type="dxa"/>
              <w:right w:w="0" w:type="dxa"/>
            </w:tcMar>
          </w:tcPr>
          <w:p w14:paraId="7D54C6A7"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133,9</w:t>
            </w:r>
          </w:p>
        </w:tc>
        <w:tc>
          <w:tcPr>
            <w:tcW w:w="367" w:type="pct"/>
            <w:tcMar>
              <w:left w:w="0" w:type="dxa"/>
              <w:right w:w="0" w:type="dxa"/>
            </w:tcMar>
          </w:tcPr>
          <w:p w14:paraId="3855EF40"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65,5</w:t>
            </w:r>
          </w:p>
        </w:tc>
        <w:tc>
          <w:tcPr>
            <w:tcW w:w="425" w:type="pct"/>
          </w:tcPr>
          <w:p w14:paraId="53C84A62"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184,5</w:t>
            </w:r>
          </w:p>
        </w:tc>
      </w:tr>
      <w:tr w:rsidR="00DE49A8" w:rsidRPr="007C5A6E" w14:paraId="7CA13ED8" w14:textId="77777777" w:rsidTr="005D3FF4">
        <w:trPr>
          <w:trHeight w:val="20"/>
        </w:trPr>
        <w:tc>
          <w:tcPr>
            <w:tcW w:w="426" w:type="pct"/>
            <w:tcMar>
              <w:left w:w="0" w:type="dxa"/>
              <w:right w:w="0" w:type="dxa"/>
            </w:tcMar>
            <w:vAlign w:val="bottom"/>
          </w:tcPr>
          <w:p w14:paraId="679ABCBF"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2020</w:t>
            </w:r>
          </w:p>
        </w:tc>
        <w:tc>
          <w:tcPr>
            <w:tcW w:w="362" w:type="pct"/>
            <w:tcMar>
              <w:left w:w="0" w:type="dxa"/>
              <w:right w:w="0" w:type="dxa"/>
            </w:tcMar>
          </w:tcPr>
          <w:p w14:paraId="3647D915"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55,9</w:t>
            </w:r>
          </w:p>
        </w:tc>
        <w:tc>
          <w:tcPr>
            <w:tcW w:w="391" w:type="pct"/>
            <w:tcMar>
              <w:left w:w="0" w:type="dxa"/>
              <w:right w:w="0" w:type="dxa"/>
            </w:tcMar>
          </w:tcPr>
          <w:p w14:paraId="7D5FD178"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130,9</w:t>
            </w:r>
          </w:p>
        </w:tc>
        <w:tc>
          <w:tcPr>
            <w:tcW w:w="363" w:type="pct"/>
            <w:tcMar>
              <w:left w:w="0" w:type="dxa"/>
              <w:right w:w="0" w:type="dxa"/>
            </w:tcMar>
          </w:tcPr>
          <w:p w14:paraId="5FF3D670"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125,8</w:t>
            </w:r>
          </w:p>
        </w:tc>
        <w:tc>
          <w:tcPr>
            <w:tcW w:w="392" w:type="pct"/>
            <w:tcMar>
              <w:left w:w="0" w:type="dxa"/>
              <w:right w:w="0" w:type="dxa"/>
            </w:tcMar>
          </w:tcPr>
          <w:p w14:paraId="28766B9E"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174,4</w:t>
            </w:r>
          </w:p>
        </w:tc>
        <w:tc>
          <w:tcPr>
            <w:tcW w:w="397" w:type="pct"/>
            <w:tcMar>
              <w:left w:w="0" w:type="dxa"/>
              <w:right w:w="0" w:type="dxa"/>
            </w:tcMar>
          </w:tcPr>
          <w:p w14:paraId="620B5993" w14:textId="77777777" w:rsidR="00DE49A8" w:rsidRPr="007C5A6E" w:rsidRDefault="00DE49A8" w:rsidP="00AA69F1">
            <w:pPr>
              <w:spacing w:after="0" w:line="240" w:lineRule="auto"/>
              <w:jc w:val="center"/>
              <w:rPr>
                <w:rFonts w:ascii="Times New Roman" w:hAnsi="Times New Roman"/>
                <w:sz w:val="21"/>
                <w:szCs w:val="21"/>
              </w:rPr>
            </w:pPr>
          </w:p>
        </w:tc>
        <w:tc>
          <w:tcPr>
            <w:tcW w:w="408" w:type="pct"/>
            <w:tcMar>
              <w:left w:w="0" w:type="dxa"/>
              <w:right w:w="0" w:type="dxa"/>
            </w:tcMar>
          </w:tcPr>
          <w:p w14:paraId="687839B0" w14:textId="77777777" w:rsidR="00DE49A8" w:rsidRPr="007C5A6E" w:rsidRDefault="00DE49A8" w:rsidP="00AA69F1">
            <w:pPr>
              <w:spacing w:after="0" w:line="240" w:lineRule="auto"/>
              <w:jc w:val="center"/>
              <w:rPr>
                <w:rFonts w:ascii="Times New Roman" w:hAnsi="Times New Roman"/>
                <w:sz w:val="21"/>
                <w:szCs w:val="21"/>
              </w:rPr>
            </w:pPr>
          </w:p>
        </w:tc>
        <w:tc>
          <w:tcPr>
            <w:tcW w:w="334" w:type="pct"/>
            <w:tcMar>
              <w:left w:w="0" w:type="dxa"/>
              <w:right w:w="0" w:type="dxa"/>
            </w:tcMar>
          </w:tcPr>
          <w:p w14:paraId="6749F43F"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83,8</w:t>
            </w:r>
          </w:p>
        </w:tc>
        <w:tc>
          <w:tcPr>
            <w:tcW w:w="391" w:type="pct"/>
            <w:tcMar>
              <w:left w:w="0" w:type="dxa"/>
              <w:right w:w="0" w:type="dxa"/>
            </w:tcMar>
          </w:tcPr>
          <w:p w14:paraId="1B2BF087"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107,2</w:t>
            </w:r>
          </w:p>
        </w:tc>
        <w:tc>
          <w:tcPr>
            <w:tcW w:w="352" w:type="pct"/>
            <w:tcMar>
              <w:left w:w="0" w:type="dxa"/>
              <w:right w:w="0" w:type="dxa"/>
            </w:tcMar>
          </w:tcPr>
          <w:p w14:paraId="7FB72423"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75,8</w:t>
            </w:r>
          </w:p>
        </w:tc>
        <w:tc>
          <w:tcPr>
            <w:tcW w:w="391" w:type="pct"/>
            <w:tcMar>
              <w:left w:w="0" w:type="dxa"/>
              <w:right w:w="0" w:type="dxa"/>
            </w:tcMar>
          </w:tcPr>
          <w:p w14:paraId="2FF23C4A"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115,4</w:t>
            </w:r>
          </w:p>
        </w:tc>
        <w:tc>
          <w:tcPr>
            <w:tcW w:w="367" w:type="pct"/>
            <w:tcMar>
              <w:left w:w="0" w:type="dxa"/>
              <w:right w:w="0" w:type="dxa"/>
            </w:tcMar>
          </w:tcPr>
          <w:p w14:paraId="7AFFBA2C"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63,5</w:t>
            </w:r>
          </w:p>
        </w:tc>
        <w:tc>
          <w:tcPr>
            <w:tcW w:w="425" w:type="pct"/>
          </w:tcPr>
          <w:p w14:paraId="3F961B47"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125,2</w:t>
            </w:r>
          </w:p>
        </w:tc>
      </w:tr>
      <w:tr w:rsidR="00DE49A8" w:rsidRPr="007C5A6E" w14:paraId="334B2E6C" w14:textId="77777777" w:rsidTr="005D3FF4">
        <w:trPr>
          <w:trHeight w:val="20"/>
        </w:trPr>
        <w:tc>
          <w:tcPr>
            <w:tcW w:w="426" w:type="pct"/>
            <w:tcMar>
              <w:left w:w="0" w:type="dxa"/>
              <w:right w:w="0" w:type="dxa"/>
            </w:tcMar>
            <w:vAlign w:val="bottom"/>
          </w:tcPr>
          <w:p w14:paraId="50F4CC52"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2021</w:t>
            </w:r>
          </w:p>
        </w:tc>
        <w:tc>
          <w:tcPr>
            <w:tcW w:w="362" w:type="pct"/>
            <w:tcMar>
              <w:left w:w="0" w:type="dxa"/>
              <w:right w:w="0" w:type="dxa"/>
            </w:tcMar>
          </w:tcPr>
          <w:p w14:paraId="5A4F3656"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2BE46533" w14:textId="77777777" w:rsidR="00DE49A8" w:rsidRPr="007C5A6E" w:rsidRDefault="00DE49A8" w:rsidP="00AA69F1">
            <w:pPr>
              <w:spacing w:after="0" w:line="240" w:lineRule="auto"/>
              <w:jc w:val="center"/>
              <w:rPr>
                <w:rFonts w:ascii="Times New Roman" w:hAnsi="Times New Roman"/>
                <w:sz w:val="21"/>
                <w:szCs w:val="21"/>
              </w:rPr>
            </w:pPr>
          </w:p>
        </w:tc>
        <w:tc>
          <w:tcPr>
            <w:tcW w:w="363" w:type="pct"/>
            <w:tcMar>
              <w:left w:w="0" w:type="dxa"/>
              <w:right w:w="0" w:type="dxa"/>
            </w:tcMar>
          </w:tcPr>
          <w:p w14:paraId="740B14D7" w14:textId="77777777" w:rsidR="00DE49A8" w:rsidRPr="007C5A6E" w:rsidRDefault="00DE49A8" w:rsidP="00AA69F1">
            <w:pPr>
              <w:spacing w:after="0" w:line="240" w:lineRule="auto"/>
              <w:jc w:val="center"/>
              <w:rPr>
                <w:rFonts w:ascii="Times New Roman" w:hAnsi="Times New Roman"/>
                <w:sz w:val="21"/>
                <w:szCs w:val="21"/>
              </w:rPr>
            </w:pPr>
          </w:p>
        </w:tc>
        <w:tc>
          <w:tcPr>
            <w:tcW w:w="392" w:type="pct"/>
            <w:tcMar>
              <w:left w:w="0" w:type="dxa"/>
              <w:right w:w="0" w:type="dxa"/>
            </w:tcMar>
          </w:tcPr>
          <w:p w14:paraId="682B6899" w14:textId="77777777" w:rsidR="00DE49A8" w:rsidRPr="007C5A6E" w:rsidRDefault="00DE49A8" w:rsidP="00AA69F1">
            <w:pPr>
              <w:spacing w:after="0" w:line="240" w:lineRule="auto"/>
              <w:jc w:val="center"/>
              <w:rPr>
                <w:rFonts w:ascii="Times New Roman" w:hAnsi="Times New Roman"/>
                <w:sz w:val="21"/>
                <w:szCs w:val="21"/>
              </w:rPr>
            </w:pPr>
          </w:p>
        </w:tc>
        <w:tc>
          <w:tcPr>
            <w:tcW w:w="397" w:type="pct"/>
            <w:tcMar>
              <w:left w:w="0" w:type="dxa"/>
              <w:right w:w="0" w:type="dxa"/>
            </w:tcMar>
          </w:tcPr>
          <w:p w14:paraId="6458B662" w14:textId="77777777" w:rsidR="00DE49A8" w:rsidRPr="007C5A6E" w:rsidRDefault="00DE49A8" w:rsidP="00AA69F1">
            <w:pPr>
              <w:spacing w:after="0" w:line="240" w:lineRule="auto"/>
              <w:jc w:val="center"/>
              <w:rPr>
                <w:rFonts w:ascii="Times New Roman" w:hAnsi="Times New Roman"/>
                <w:sz w:val="21"/>
                <w:szCs w:val="21"/>
              </w:rPr>
            </w:pPr>
          </w:p>
        </w:tc>
        <w:tc>
          <w:tcPr>
            <w:tcW w:w="408" w:type="pct"/>
            <w:tcMar>
              <w:left w:w="0" w:type="dxa"/>
              <w:right w:w="0" w:type="dxa"/>
            </w:tcMar>
          </w:tcPr>
          <w:p w14:paraId="3A59B0A8" w14:textId="77777777" w:rsidR="00DE49A8" w:rsidRPr="007C5A6E" w:rsidRDefault="00DE49A8" w:rsidP="00AA69F1">
            <w:pPr>
              <w:spacing w:after="0" w:line="240" w:lineRule="auto"/>
              <w:jc w:val="center"/>
              <w:rPr>
                <w:rFonts w:ascii="Times New Roman" w:hAnsi="Times New Roman"/>
                <w:sz w:val="21"/>
                <w:szCs w:val="21"/>
              </w:rPr>
            </w:pPr>
          </w:p>
        </w:tc>
        <w:tc>
          <w:tcPr>
            <w:tcW w:w="334" w:type="pct"/>
            <w:tcMar>
              <w:left w:w="0" w:type="dxa"/>
              <w:right w:w="0" w:type="dxa"/>
            </w:tcMar>
          </w:tcPr>
          <w:p w14:paraId="1DDAFBD1" w14:textId="77777777" w:rsidR="00DE49A8" w:rsidRPr="007C5A6E" w:rsidRDefault="00DE49A8" w:rsidP="00AA69F1">
            <w:pPr>
              <w:spacing w:after="0" w:line="240" w:lineRule="auto"/>
              <w:jc w:val="center"/>
              <w:rPr>
                <w:rFonts w:ascii="Times New Roman" w:hAnsi="Times New Roman"/>
                <w:sz w:val="21"/>
                <w:szCs w:val="21"/>
              </w:rPr>
            </w:pPr>
          </w:p>
        </w:tc>
        <w:tc>
          <w:tcPr>
            <w:tcW w:w="391" w:type="pct"/>
            <w:tcMar>
              <w:left w:w="0" w:type="dxa"/>
              <w:right w:w="0" w:type="dxa"/>
            </w:tcMar>
          </w:tcPr>
          <w:p w14:paraId="74FB5225" w14:textId="77777777" w:rsidR="00DE49A8" w:rsidRPr="007C5A6E" w:rsidRDefault="00DE49A8" w:rsidP="00AA69F1">
            <w:pPr>
              <w:spacing w:after="0" w:line="240" w:lineRule="auto"/>
              <w:jc w:val="center"/>
              <w:rPr>
                <w:rFonts w:ascii="Times New Roman" w:hAnsi="Times New Roman"/>
                <w:sz w:val="21"/>
                <w:szCs w:val="21"/>
              </w:rPr>
            </w:pPr>
          </w:p>
        </w:tc>
        <w:tc>
          <w:tcPr>
            <w:tcW w:w="352" w:type="pct"/>
            <w:tcMar>
              <w:left w:w="0" w:type="dxa"/>
              <w:right w:w="0" w:type="dxa"/>
            </w:tcMar>
          </w:tcPr>
          <w:p w14:paraId="688B51BF"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69,6</w:t>
            </w:r>
          </w:p>
        </w:tc>
        <w:tc>
          <w:tcPr>
            <w:tcW w:w="391" w:type="pct"/>
            <w:tcMar>
              <w:left w:w="0" w:type="dxa"/>
              <w:right w:w="0" w:type="dxa"/>
            </w:tcMar>
          </w:tcPr>
          <w:p w14:paraId="43CBF36A"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115,9</w:t>
            </w:r>
          </w:p>
        </w:tc>
        <w:tc>
          <w:tcPr>
            <w:tcW w:w="367" w:type="pct"/>
            <w:tcMar>
              <w:left w:w="0" w:type="dxa"/>
              <w:right w:w="0" w:type="dxa"/>
            </w:tcMar>
          </w:tcPr>
          <w:p w14:paraId="0245F9FC"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81,8</w:t>
            </w:r>
          </w:p>
        </w:tc>
        <w:tc>
          <w:tcPr>
            <w:tcW w:w="425" w:type="pct"/>
          </w:tcPr>
          <w:p w14:paraId="5193EF2B" w14:textId="77777777" w:rsidR="00DE49A8" w:rsidRPr="007C5A6E" w:rsidRDefault="00DE49A8" w:rsidP="00AA69F1">
            <w:pPr>
              <w:spacing w:after="0" w:line="240" w:lineRule="auto"/>
              <w:jc w:val="center"/>
              <w:rPr>
                <w:rFonts w:ascii="Times New Roman" w:hAnsi="Times New Roman"/>
                <w:sz w:val="21"/>
                <w:szCs w:val="21"/>
              </w:rPr>
            </w:pPr>
            <w:r w:rsidRPr="007C5A6E">
              <w:rPr>
                <w:rFonts w:ascii="Times New Roman" w:hAnsi="Times New Roman"/>
                <w:sz w:val="21"/>
                <w:szCs w:val="21"/>
              </w:rPr>
              <w:t>118,8</w:t>
            </w:r>
          </w:p>
        </w:tc>
      </w:tr>
    </w:tbl>
    <w:p w14:paraId="7CB2B3FE" w14:textId="139AA99A" w:rsidR="00C0617E" w:rsidRPr="007C5A6E" w:rsidRDefault="00DE49A8" w:rsidP="00C0617E">
      <w:pPr>
        <w:spacing w:after="0" w:line="240" w:lineRule="auto"/>
        <w:jc w:val="both"/>
        <w:rPr>
          <w:rFonts w:ascii="Times New Roman" w:hAnsi="Times New Roman"/>
          <w:i/>
          <w:iCs/>
          <w:sz w:val="20"/>
          <w:szCs w:val="20"/>
        </w:rPr>
      </w:pPr>
      <w:r w:rsidRPr="007C5A6E">
        <w:rPr>
          <w:rFonts w:ascii="Times New Roman" w:hAnsi="Times New Roman"/>
          <w:i/>
          <w:iCs/>
          <w:sz w:val="20"/>
          <w:szCs w:val="20"/>
          <w:u w:val="single"/>
        </w:rPr>
        <w:t>Remarque</w:t>
      </w:r>
      <w:r w:rsidRPr="007C5A6E">
        <w:rPr>
          <w:rFonts w:ascii="Times New Roman" w:hAnsi="Times New Roman"/>
          <w:i/>
          <w:iCs/>
          <w:sz w:val="20"/>
          <w:szCs w:val="20"/>
        </w:rPr>
        <w:t xml:space="preserve"> : </w:t>
      </w:r>
      <w:r w:rsidR="00EE09B5" w:rsidRPr="007C5A6E">
        <w:rPr>
          <w:rFonts w:ascii="Times New Roman" w:hAnsi="Times New Roman"/>
          <w:i/>
          <w:iCs/>
          <w:sz w:val="20"/>
          <w:szCs w:val="20"/>
        </w:rPr>
        <w:t xml:space="preserve">Ce </w:t>
      </w:r>
      <w:r w:rsidRPr="007C5A6E">
        <w:rPr>
          <w:rFonts w:ascii="Times New Roman" w:hAnsi="Times New Roman"/>
          <w:i/>
          <w:iCs/>
          <w:sz w:val="20"/>
          <w:szCs w:val="20"/>
        </w:rPr>
        <w:t>tableau ne mentionne aucune possibilité d’inondation en 2013 alors que l</w:t>
      </w:r>
      <w:r w:rsidR="00EE09B5" w:rsidRPr="007C5A6E">
        <w:rPr>
          <w:rFonts w:ascii="Times New Roman" w:hAnsi="Times New Roman"/>
          <w:i/>
          <w:iCs/>
          <w:sz w:val="20"/>
          <w:szCs w:val="20"/>
        </w:rPr>
        <w:t xml:space="preserve">es rapports du CONASUR sur la période (cf. </w:t>
      </w:r>
      <w:r w:rsidRPr="007C5A6E">
        <w:rPr>
          <w:rFonts w:ascii="Times New Roman" w:hAnsi="Times New Roman"/>
          <w:i/>
          <w:iCs/>
          <w:sz w:val="20"/>
          <w:szCs w:val="20"/>
        </w:rPr>
        <w:t>section 6.1.1.2 ci-dessus</w:t>
      </w:r>
      <w:r w:rsidR="00EE09B5" w:rsidRPr="007C5A6E">
        <w:rPr>
          <w:rFonts w:ascii="Times New Roman" w:hAnsi="Times New Roman"/>
          <w:i/>
          <w:iCs/>
          <w:sz w:val="20"/>
          <w:szCs w:val="20"/>
        </w:rPr>
        <w:t>)</w:t>
      </w:r>
      <w:r w:rsidRPr="007C5A6E">
        <w:rPr>
          <w:rFonts w:ascii="Times New Roman" w:hAnsi="Times New Roman"/>
          <w:i/>
          <w:iCs/>
          <w:sz w:val="20"/>
          <w:szCs w:val="20"/>
        </w:rPr>
        <w:t xml:space="preserve"> indique</w:t>
      </w:r>
      <w:r w:rsidR="00EE09B5" w:rsidRPr="007C5A6E">
        <w:rPr>
          <w:rFonts w:ascii="Times New Roman" w:hAnsi="Times New Roman"/>
          <w:i/>
          <w:iCs/>
          <w:sz w:val="20"/>
          <w:szCs w:val="20"/>
        </w:rPr>
        <w:t>nt</w:t>
      </w:r>
      <w:r w:rsidRPr="007C5A6E">
        <w:rPr>
          <w:rFonts w:ascii="Times New Roman" w:hAnsi="Times New Roman"/>
          <w:i/>
          <w:iCs/>
          <w:sz w:val="20"/>
          <w:szCs w:val="20"/>
        </w:rPr>
        <w:t xml:space="preserve"> que 10 régions sur 13 ont été touchées. C’est parce que le tableau ne présente que les pluies maximales de 2 stations par zone climatique et qu’une inondation est un phénomène limité dans l’espace.</w:t>
      </w:r>
    </w:p>
    <w:p w14:paraId="6640C1FE" w14:textId="7DB75131" w:rsidR="00DE49A8" w:rsidRPr="007C5A6E" w:rsidRDefault="00DE49A8" w:rsidP="00C0617E">
      <w:pPr>
        <w:spacing w:after="0" w:line="240" w:lineRule="auto"/>
        <w:jc w:val="both"/>
        <w:rPr>
          <w:rFonts w:ascii="Times New Roman" w:hAnsi="Times New Roman"/>
          <w:i/>
          <w:iCs/>
          <w:sz w:val="20"/>
          <w:szCs w:val="20"/>
        </w:rPr>
      </w:pPr>
      <w:r w:rsidRPr="007C5A6E">
        <w:rPr>
          <w:rFonts w:ascii="Times New Roman" w:hAnsi="Times New Roman"/>
          <w:i/>
          <w:iCs/>
          <w:sz w:val="20"/>
          <w:szCs w:val="20"/>
        </w:rPr>
        <w:t xml:space="preserve"> </w:t>
      </w:r>
    </w:p>
    <w:p w14:paraId="5D5F2887" w14:textId="77777777" w:rsidR="00DE49A8" w:rsidRPr="007C5A6E" w:rsidRDefault="00DE49A8" w:rsidP="00684FF8">
      <w:pPr>
        <w:pStyle w:val="Titre4"/>
      </w:pPr>
      <w:bookmarkStart w:id="1291" w:name="_Toc183340271"/>
      <w:r w:rsidRPr="007C5A6E">
        <w:t>Les sécheresses</w:t>
      </w:r>
      <w:bookmarkEnd w:id="1291"/>
    </w:p>
    <w:p w14:paraId="26A2BB88" w14:textId="77777777" w:rsidR="00DE49A8" w:rsidRPr="007C5A6E" w:rsidRDefault="00DE49A8" w:rsidP="00DA01B2">
      <w:pPr>
        <w:pStyle w:val="Sansinterligne"/>
      </w:pPr>
    </w:p>
    <w:p w14:paraId="4C0106E1" w14:textId="24BEF3A9" w:rsidR="00DE49A8" w:rsidRPr="007C5A6E" w:rsidRDefault="00DE49A8" w:rsidP="00C0617E">
      <w:pPr>
        <w:spacing w:after="0" w:line="240" w:lineRule="auto"/>
        <w:jc w:val="both"/>
        <w:rPr>
          <w:rFonts w:ascii="Times New Roman" w:hAnsi="Times New Roman"/>
          <w:sz w:val="24"/>
          <w:szCs w:val="24"/>
        </w:rPr>
      </w:pPr>
      <w:r w:rsidRPr="007C5A6E">
        <w:rPr>
          <w:rFonts w:ascii="Times New Roman" w:hAnsi="Times New Roman"/>
          <w:sz w:val="24"/>
          <w:szCs w:val="24"/>
        </w:rPr>
        <w:t xml:space="preserve">Le tableau </w:t>
      </w:r>
      <w:r w:rsidR="006C73AB" w:rsidRPr="007C5A6E">
        <w:rPr>
          <w:rFonts w:ascii="Times New Roman" w:hAnsi="Times New Roman"/>
          <w:sz w:val="24"/>
          <w:szCs w:val="24"/>
        </w:rPr>
        <w:t>58</w:t>
      </w:r>
      <w:r w:rsidRPr="007C5A6E">
        <w:rPr>
          <w:rFonts w:ascii="Times New Roman" w:hAnsi="Times New Roman"/>
          <w:sz w:val="24"/>
          <w:szCs w:val="24"/>
        </w:rPr>
        <w:t xml:space="preserve"> présente les baisses de pluviométrie d’au moins 20% enregistrées entre 1990 et 2023 sur 3 couples de stations situés chacun sur l’une des 3 zones climatiques du Burkina. </w:t>
      </w:r>
    </w:p>
    <w:p w14:paraId="5E9CCA79" w14:textId="77777777" w:rsidR="00C0617E" w:rsidRPr="007C5A6E" w:rsidRDefault="00C0617E" w:rsidP="00C0617E">
      <w:pPr>
        <w:spacing w:after="0" w:line="240" w:lineRule="auto"/>
        <w:jc w:val="both"/>
        <w:rPr>
          <w:rFonts w:ascii="Times New Roman" w:hAnsi="Times New Roman"/>
          <w:sz w:val="24"/>
          <w:szCs w:val="24"/>
        </w:rPr>
      </w:pPr>
    </w:p>
    <w:p w14:paraId="70FA7DEB" w14:textId="31A18483" w:rsidR="00C14ADD" w:rsidRPr="007C5A6E" w:rsidRDefault="00C14ADD" w:rsidP="00C14ADD">
      <w:pPr>
        <w:pStyle w:val="Lgende"/>
        <w:spacing w:after="0"/>
        <w:rPr>
          <w:rFonts w:ascii="Times New Roman" w:hAnsi="Times New Roman"/>
          <w:i w:val="0"/>
          <w:iCs w:val="0"/>
          <w:color w:val="auto"/>
          <w:sz w:val="24"/>
          <w:szCs w:val="24"/>
        </w:rPr>
      </w:pPr>
      <w:bookmarkStart w:id="1292" w:name="_Toc183241020"/>
      <w:bookmarkStart w:id="1293" w:name="_Toc183292262"/>
      <w:bookmarkStart w:id="1294" w:name="_Toc183340542"/>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6C73AB" w:rsidRPr="007C5A6E">
        <w:rPr>
          <w:rFonts w:ascii="Times New Roman" w:hAnsi="Times New Roman"/>
          <w:i w:val="0"/>
          <w:iCs w:val="0"/>
          <w:noProof/>
          <w:color w:val="auto"/>
          <w:sz w:val="24"/>
          <w:szCs w:val="24"/>
        </w:rPr>
        <w:t>58</w:t>
      </w:r>
      <w:r w:rsidRPr="007C5A6E">
        <w:rPr>
          <w:rFonts w:ascii="Times New Roman" w:hAnsi="Times New Roman"/>
          <w:i w:val="0"/>
          <w:iCs w:val="0"/>
          <w:color w:val="auto"/>
          <w:sz w:val="24"/>
          <w:szCs w:val="24"/>
        </w:rPr>
        <w:fldChar w:fldCharType="end"/>
      </w:r>
      <w:r w:rsidRPr="007C5A6E">
        <w:rPr>
          <w:rFonts w:ascii="Times New Roman" w:hAnsi="Times New Roman"/>
          <w:i w:val="0"/>
          <w:iCs w:val="0"/>
          <w:color w:val="auto"/>
          <w:sz w:val="24"/>
          <w:szCs w:val="24"/>
        </w:rPr>
        <w:t xml:space="preserve"> : </w:t>
      </w:r>
      <w:r w:rsidR="006C73AB" w:rsidRPr="007C5A6E">
        <w:rPr>
          <w:rFonts w:ascii="Times New Roman" w:hAnsi="Times New Roman"/>
          <w:i w:val="0"/>
          <w:iCs w:val="0"/>
          <w:color w:val="auto"/>
          <w:sz w:val="24"/>
          <w:szCs w:val="24"/>
        </w:rPr>
        <w:t>Déficits pluviométriques des années de sécheresse</w:t>
      </w:r>
      <w:bookmarkEnd w:id="1292"/>
      <w:bookmarkEnd w:id="1293"/>
      <w:bookmarkEnd w:id="1294"/>
    </w:p>
    <w:p w14:paraId="5E71C199" w14:textId="3B2ECF64" w:rsidR="00DE49A8" w:rsidRPr="007C5A6E" w:rsidRDefault="00DE49A8" w:rsidP="006C73AB">
      <w:pPr>
        <w:pStyle w:val="Sansinterligne"/>
      </w:pPr>
    </w:p>
    <w:tbl>
      <w:tblPr>
        <w:tblStyle w:val="Grilledutableau1"/>
        <w:tblW w:w="5000" w:type="pct"/>
        <w:tblLook w:val="04A0" w:firstRow="1" w:lastRow="0" w:firstColumn="1" w:lastColumn="0" w:noHBand="0" w:noVBand="1"/>
      </w:tblPr>
      <w:tblGrid>
        <w:gridCol w:w="771"/>
        <w:gridCol w:w="1402"/>
        <w:gridCol w:w="1402"/>
        <w:gridCol w:w="1400"/>
        <w:gridCol w:w="1400"/>
        <w:gridCol w:w="1400"/>
        <w:gridCol w:w="1400"/>
      </w:tblGrid>
      <w:tr w:rsidR="00DE49A8" w:rsidRPr="007C5A6E" w14:paraId="6C1A3469" w14:textId="77777777" w:rsidTr="009A2EA6">
        <w:trPr>
          <w:trHeight w:val="170"/>
        </w:trPr>
        <w:tc>
          <w:tcPr>
            <w:tcW w:w="420" w:type="pct"/>
            <w:shd w:val="clear" w:color="auto" w:fill="002060"/>
            <w:tcMar>
              <w:left w:w="0" w:type="dxa"/>
              <w:right w:w="0" w:type="dxa"/>
            </w:tcMar>
          </w:tcPr>
          <w:p w14:paraId="4D1CFEF2" w14:textId="2E3E655D" w:rsidR="00DE49A8" w:rsidRPr="007C5A6E" w:rsidRDefault="00BD267E" w:rsidP="005D3FF4">
            <w:pPr>
              <w:spacing w:after="0" w:line="240" w:lineRule="auto"/>
              <w:jc w:val="center"/>
              <w:rPr>
                <w:rFonts w:ascii="Times New Roman" w:hAnsi="Times New Roman"/>
                <w:sz w:val="21"/>
                <w:szCs w:val="21"/>
              </w:rPr>
            </w:pPr>
            <w:r w:rsidRPr="007C5A6E">
              <w:rPr>
                <w:rFonts w:ascii="Times New Roman" w:hAnsi="Times New Roman"/>
                <w:sz w:val="21"/>
                <w:szCs w:val="21"/>
              </w:rPr>
              <w:t>Année</w:t>
            </w:r>
          </w:p>
        </w:tc>
        <w:tc>
          <w:tcPr>
            <w:tcW w:w="764" w:type="pct"/>
            <w:shd w:val="clear" w:color="auto" w:fill="002060"/>
            <w:tcMar>
              <w:left w:w="0" w:type="dxa"/>
              <w:right w:w="0" w:type="dxa"/>
            </w:tcMar>
            <w:vAlign w:val="center"/>
          </w:tcPr>
          <w:p w14:paraId="6C6D671F"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Dori</w:t>
            </w:r>
          </w:p>
        </w:tc>
        <w:tc>
          <w:tcPr>
            <w:tcW w:w="764" w:type="pct"/>
            <w:shd w:val="clear" w:color="auto" w:fill="002060"/>
            <w:tcMar>
              <w:left w:w="0" w:type="dxa"/>
              <w:right w:w="0" w:type="dxa"/>
            </w:tcMar>
            <w:vAlign w:val="center"/>
          </w:tcPr>
          <w:p w14:paraId="3C1A0EF7"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Bogandé</w:t>
            </w:r>
          </w:p>
        </w:tc>
        <w:tc>
          <w:tcPr>
            <w:tcW w:w="763" w:type="pct"/>
            <w:shd w:val="clear" w:color="auto" w:fill="002060"/>
            <w:tcMar>
              <w:left w:w="0" w:type="dxa"/>
              <w:right w:w="0" w:type="dxa"/>
            </w:tcMar>
            <w:vAlign w:val="center"/>
          </w:tcPr>
          <w:p w14:paraId="4EBCF990"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Ouagadougou</w:t>
            </w:r>
          </w:p>
        </w:tc>
        <w:tc>
          <w:tcPr>
            <w:tcW w:w="763" w:type="pct"/>
            <w:shd w:val="clear" w:color="auto" w:fill="002060"/>
            <w:tcMar>
              <w:left w:w="0" w:type="dxa"/>
              <w:right w:w="0" w:type="dxa"/>
            </w:tcMar>
            <w:vAlign w:val="center"/>
          </w:tcPr>
          <w:p w14:paraId="42BEEF5D"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Boromo</w:t>
            </w:r>
          </w:p>
        </w:tc>
        <w:tc>
          <w:tcPr>
            <w:tcW w:w="763" w:type="pct"/>
            <w:shd w:val="clear" w:color="auto" w:fill="002060"/>
            <w:tcMar>
              <w:left w:w="0" w:type="dxa"/>
              <w:right w:w="0" w:type="dxa"/>
            </w:tcMar>
            <w:vAlign w:val="center"/>
          </w:tcPr>
          <w:p w14:paraId="31F1ABC3"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Bobo-Dioulasso</w:t>
            </w:r>
          </w:p>
        </w:tc>
        <w:tc>
          <w:tcPr>
            <w:tcW w:w="763" w:type="pct"/>
            <w:shd w:val="clear" w:color="auto" w:fill="002060"/>
            <w:tcMar>
              <w:left w:w="0" w:type="dxa"/>
              <w:right w:w="0" w:type="dxa"/>
            </w:tcMar>
            <w:vAlign w:val="center"/>
          </w:tcPr>
          <w:p w14:paraId="1F571DAD"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Gaoua</w:t>
            </w:r>
          </w:p>
        </w:tc>
      </w:tr>
      <w:tr w:rsidR="00DE49A8" w:rsidRPr="007C5A6E" w14:paraId="74162402" w14:textId="77777777" w:rsidTr="009A2EA6">
        <w:trPr>
          <w:trHeight w:val="170"/>
        </w:trPr>
        <w:tc>
          <w:tcPr>
            <w:tcW w:w="420" w:type="pct"/>
            <w:tcMar>
              <w:left w:w="0" w:type="dxa"/>
              <w:right w:w="0" w:type="dxa"/>
            </w:tcMar>
            <w:vAlign w:val="bottom"/>
          </w:tcPr>
          <w:p w14:paraId="445993AF"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1990</w:t>
            </w:r>
          </w:p>
        </w:tc>
        <w:tc>
          <w:tcPr>
            <w:tcW w:w="764" w:type="pct"/>
            <w:shd w:val="clear" w:color="auto" w:fill="FBE4D5" w:themeFill="accent2" w:themeFillTint="33"/>
            <w:tcMar>
              <w:left w:w="0" w:type="dxa"/>
              <w:right w:w="0" w:type="dxa"/>
            </w:tcMar>
          </w:tcPr>
          <w:p w14:paraId="3B837E03" w14:textId="77777777" w:rsidR="00DE49A8" w:rsidRPr="007C5A6E" w:rsidRDefault="00DE49A8" w:rsidP="005D3FF4">
            <w:pPr>
              <w:spacing w:after="0" w:line="240" w:lineRule="auto"/>
              <w:jc w:val="center"/>
              <w:rPr>
                <w:rFonts w:ascii="Times New Roman" w:hAnsi="Times New Roman"/>
                <w:sz w:val="21"/>
                <w:szCs w:val="21"/>
              </w:rPr>
            </w:pPr>
          </w:p>
        </w:tc>
        <w:tc>
          <w:tcPr>
            <w:tcW w:w="764" w:type="pct"/>
            <w:shd w:val="clear" w:color="auto" w:fill="FBE4D5" w:themeFill="accent2" w:themeFillTint="33"/>
            <w:tcMar>
              <w:left w:w="0" w:type="dxa"/>
              <w:right w:w="0" w:type="dxa"/>
            </w:tcMar>
          </w:tcPr>
          <w:p w14:paraId="3E85FFF9"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35B9C6DA"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330E7968"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-36,7%</w:t>
            </w:r>
          </w:p>
        </w:tc>
        <w:tc>
          <w:tcPr>
            <w:tcW w:w="763" w:type="pct"/>
            <w:shd w:val="clear" w:color="auto" w:fill="BDD6EE" w:themeFill="accent5" w:themeFillTint="66"/>
            <w:tcMar>
              <w:left w:w="0" w:type="dxa"/>
              <w:right w:w="0" w:type="dxa"/>
            </w:tcMar>
          </w:tcPr>
          <w:p w14:paraId="4D5446F3"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BDD6EE" w:themeFill="accent5" w:themeFillTint="66"/>
            <w:tcMar>
              <w:left w:w="0" w:type="dxa"/>
              <w:right w:w="0" w:type="dxa"/>
            </w:tcMar>
          </w:tcPr>
          <w:p w14:paraId="3532ACA6" w14:textId="77777777" w:rsidR="00DE49A8" w:rsidRPr="007C5A6E" w:rsidRDefault="00DE49A8" w:rsidP="005D3FF4">
            <w:pPr>
              <w:spacing w:after="0" w:line="240" w:lineRule="auto"/>
              <w:jc w:val="center"/>
              <w:rPr>
                <w:rFonts w:ascii="Times New Roman" w:hAnsi="Times New Roman"/>
                <w:sz w:val="21"/>
                <w:szCs w:val="21"/>
              </w:rPr>
            </w:pPr>
          </w:p>
        </w:tc>
      </w:tr>
      <w:tr w:rsidR="00DE49A8" w:rsidRPr="007C5A6E" w14:paraId="73BDCE9E" w14:textId="77777777" w:rsidTr="009A2EA6">
        <w:trPr>
          <w:trHeight w:val="170"/>
        </w:trPr>
        <w:tc>
          <w:tcPr>
            <w:tcW w:w="420" w:type="pct"/>
            <w:tcMar>
              <w:left w:w="0" w:type="dxa"/>
              <w:right w:w="0" w:type="dxa"/>
            </w:tcMar>
            <w:vAlign w:val="bottom"/>
          </w:tcPr>
          <w:p w14:paraId="10705A6A"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1992</w:t>
            </w:r>
          </w:p>
        </w:tc>
        <w:tc>
          <w:tcPr>
            <w:tcW w:w="764" w:type="pct"/>
            <w:shd w:val="clear" w:color="auto" w:fill="FBE4D5" w:themeFill="accent2" w:themeFillTint="33"/>
            <w:tcMar>
              <w:left w:w="0" w:type="dxa"/>
              <w:right w:w="0" w:type="dxa"/>
            </w:tcMar>
          </w:tcPr>
          <w:p w14:paraId="41494762" w14:textId="77777777" w:rsidR="00DE49A8" w:rsidRPr="007C5A6E" w:rsidRDefault="00DE49A8" w:rsidP="005D3FF4">
            <w:pPr>
              <w:spacing w:after="0" w:line="240" w:lineRule="auto"/>
              <w:jc w:val="center"/>
              <w:rPr>
                <w:rFonts w:ascii="Times New Roman" w:hAnsi="Times New Roman"/>
                <w:sz w:val="21"/>
                <w:szCs w:val="21"/>
              </w:rPr>
            </w:pPr>
          </w:p>
        </w:tc>
        <w:tc>
          <w:tcPr>
            <w:tcW w:w="764" w:type="pct"/>
            <w:shd w:val="clear" w:color="auto" w:fill="FBE4D5" w:themeFill="accent2" w:themeFillTint="33"/>
            <w:tcMar>
              <w:left w:w="0" w:type="dxa"/>
              <w:right w:w="0" w:type="dxa"/>
            </w:tcMar>
          </w:tcPr>
          <w:p w14:paraId="33446141"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6153CE9B"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672A01E6"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-25,9%</w:t>
            </w:r>
          </w:p>
        </w:tc>
        <w:tc>
          <w:tcPr>
            <w:tcW w:w="763" w:type="pct"/>
            <w:shd w:val="clear" w:color="auto" w:fill="BDD6EE" w:themeFill="accent5" w:themeFillTint="66"/>
            <w:tcMar>
              <w:left w:w="0" w:type="dxa"/>
              <w:right w:w="0" w:type="dxa"/>
            </w:tcMar>
          </w:tcPr>
          <w:p w14:paraId="5197BC7B"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BDD6EE" w:themeFill="accent5" w:themeFillTint="66"/>
            <w:tcMar>
              <w:left w:w="0" w:type="dxa"/>
              <w:right w:w="0" w:type="dxa"/>
            </w:tcMar>
          </w:tcPr>
          <w:p w14:paraId="4526920D" w14:textId="77777777" w:rsidR="00DE49A8" w:rsidRPr="007C5A6E" w:rsidRDefault="00DE49A8" w:rsidP="005D3FF4">
            <w:pPr>
              <w:spacing w:after="0" w:line="240" w:lineRule="auto"/>
              <w:jc w:val="center"/>
              <w:rPr>
                <w:rFonts w:ascii="Times New Roman" w:hAnsi="Times New Roman"/>
                <w:sz w:val="21"/>
                <w:szCs w:val="21"/>
              </w:rPr>
            </w:pPr>
          </w:p>
        </w:tc>
      </w:tr>
      <w:tr w:rsidR="00DE49A8" w:rsidRPr="007C5A6E" w14:paraId="57110E91" w14:textId="77777777" w:rsidTr="009A2EA6">
        <w:trPr>
          <w:trHeight w:val="170"/>
        </w:trPr>
        <w:tc>
          <w:tcPr>
            <w:tcW w:w="420" w:type="pct"/>
            <w:tcMar>
              <w:left w:w="0" w:type="dxa"/>
              <w:right w:w="0" w:type="dxa"/>
            </w:tcMar>
            <w:vAlign w:val="bottom"/>
          </w:tcPr>
          <w:p w14:paraId="53AC71B1"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1993</w:t>
            </w:r>
          </w:p>
        </w:tc>
        <w:tc>
          <w:tcPr>
            <w:tcW w:w="764" w:type="pct"/>
            <w:shd w:val="clear" w:color="auto" w:fill="FBE4D5" w:themeFill="accent2" w:themeFillTint="33"/>
            <w:tcMar>
              <w:left w:w="0" w:type="dxa"/>
              <w:right w:w="0" w:type="dxa"/>
            </w:tcMar>
          </w:tcPr>
          <w:p w14:paraId="19927B87"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-36,9%</w:t>
            </w:r>
          </w:p>
        </w:tc>
        <w:tc>
          <w:tcPr>
            <w:tcW w:w="764" w:type="pct"/>
            <w:shd w:val="clear" w:color="auto" w:fill="FBE4D5" w:themeFill="accent2" w:themeFillTint="33"/>
            <w:tcMar>
              <w:left w:w="0" w:type="dxa"/>
              <w:right w:w="0" w:type="dxa"/>
            </w:tcMar>
          </w:tcPr>
          <w:p w14:paraId="2399B6EC"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-21,5%</w:t>
            </w:r>
          </w:p>
        </w:tc>
        <w:tc>
          <w:tcPr>
            <w:tcW w:w="763" w:type="pct"/>
            <w:shd w:val="clear" w:color="auto" w:fill="E2EFD9" w:themeFill="accent6" w:themeFillTint="33"/>
            <w:tcMar>
              <w:left w:w="0" w:type="dxa"/>
              <w:right w:w="0" w:type="dxa"/>
            </w:tcMar>
          </w:tcPr>
          <w:p w14:paraId="5B0B3D25"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5935A43C"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BDD6EE" w:themeFill="accent5" w:themeFillTint="66"/>
            <w:tcMar>
              <w:left w:w="0" w:type="dxa"/>
              <w:right w:w="0" w:type="dxa"/>
            </w:tcMar>
          </w:tcPr>
          <w:p w14:paraId="79EA6BEF"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BDD6EE" w:themeFill="accent5" w:themeFillTint="66"/>
            <w:tcMar>
              <w:left w:w="0" w:type="dxa"/>
              <w:right w:w="0" w:type="dxa"/>
            </w:tcMar>
          </w:tcPr>
          <w:p w14:paraId="313B9D5F" w14:textId="77777777" w:rsidR="00DE49A8" w:rsidRPr="007C5A6E" w:rsidRDefault="00DE49A8" w:rsidP="005D3FF4">
            <w:pPr>
              <w:spacing w:after="0" w:line="240" w:lineRule="auto"/>
              <w:jc w:val="center"/>
              <w:rPr>
                <w:rFonts w:ascii="Times New Roman" w:hAnsi="Times New Roman"/>
                <w:sz w:val="21"/>
                <w:szCs w:val="21"/>
              </w:rPr>
            </w:pPr>
          </w:p>
        </w:tc>
      </w:tr>
      <w:tr w:rsidR="00DE49A8" w:rsidRPr="007C5A6E" w14:paraId="1D445951" w14:textId="77777777" w:rsidTr="009A2EA6">
        <w:trPr>
          <w:trHeight w:val="170"/>
        </w:trPr>
        <w:tc>
          <w:tcPr>
            <w:tcW w:w="420" w:type="pct"/>
            <w:tcMar>
              <w:left w:w="0" w:type="dxa"/>
              <w:right w:w="0" w:type="dxa"/>
            </w:tcMar>
            <w:vAlign w:val="bottom"/>
          </w:tcPr>
          <w:p w14:paraId="4468AE56"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1995</w:t>
            </w:r>
          </w:p>
        </w:tc>
        <w:tc>
          <w:tcPr>
            <w:tcW w:w="764" w:type="pct"/>
            <w:shd w:val="clear" w:color="auto" w:fill="FBE4D5" w:themeFill="accent2" w:themeFillTint="33"/>
            <w:tcMar>
              <w:left w:w="0" w:type="dxa"/>
              <w:right w:w="0" w:type="dxa"/>
            </w:tcMar>
          </w:tcPr>
          <w:p w14:paraId="7EF4F507" w14:textId="77777777" w:rsidR="00DE49A8" w:rsidRPr="007C5A6E" w:rsidRDefault="00DE49A8" w:rsidP="005D3FF4">
            <w:pPr>
              <w:spacing w:after="0" w:line="240" w:lineRule="auto"/>
              <w:jc w:val="center"/>
              <w:rPr>
                <w:rFonts w:ascii="Times New Roman" w:hAnsi="Times New Roman"/>
                <w:sz w:val="21"/>
                <w:szCs w:val="21"/>
              </w:rPr>
            </w:pPr>
          </w:p>
        </w:tc>
        <w:tc>
          <w:tcPr>
            <w:tcW w:w="764" w:type="pct"/>
            <w:shd w:val="clear" w:color="auto" w:fill="FBE4D5" w:themeFill="accent2" w:themeFillTint="33"/>
            <w:tcMar>
              <w:left w:w="0" w:type="dxa"/>
              <w:right w:w="0" w:type="dxa"/>
            </w:tcMar>
          </w:tcPr>
          <w:p w14:paraId="1668FAF1"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546FAA85"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5AED8848"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-20,9%</w:t>
            </w:r>
          </w:p>
        </w:tc>
        <w:tc>
          <w:tcPr>
            <w:tcW w:w="763" w:type="pct"/>
            <w:shd w:val="clear" w:color="auto" w:fill="BDD6EE" w:themeFill="accent5" w:themeFillTint="66"/>
            <w:tcMar>
              <w:left w:w="0" w:type="dxa"/>
              <w:right w:w="0" w:type="dxa"/>
            </w:tcMar>
          </w:tcPr>
          <w:p w14:paraId="6592156F"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BDD6EE" w:themeFill="accent5" w:themeFillTint="66"/>
            <w:tcMar>
              <w:left w:w="0" w:type="dxa"/>
              <w:right w:w="0" w:type="dxa"/>
            </w:tcMar>
          </w:tcPr>
          <w:p w14:paraId="304D3704" w14:textId="77777777" w:rsidR="00DE49A8" w:rsidRPr="007C5A6E" w:rsidRDefault="00DE49A8" w:rsidP="005D3FF4">
            <w:pPr>
              <w:spacing w:after="0" w:line="240" w:lineRule="auto"/>
              <w:jc w:val="center"/>
              <w:rPr>
                <w:rFonts w:ascii="Times New Roman" w:hAnsi="Times New Roman"/>
                <w:sz w:val="21"/>
                <w:szCs w:val="21"/>
              </w:rPr>
            </w:pPr>
          </w:p>
        </w:tc>
      </w:tr>
      <w:tr w:rsidR="00DE49A8" w:rsidRPr="007C5A6E" w14:paraId="5A9B1233" w14:textId="77777777" w:rsidTr="009A2EA6">
        <w:trPr>
          <w:trHeight w:val="170"/>
        </w:trPr>
        <w:tc>
          <w:tcPr>
            <w:tcW w:w="420" w:type="pct"/>
            <w:tcMar>
              <w:left w:w="0" w:type="dxa"/>
              <w:right w:w="0" w:type="dxa"/>
            </w:tcMar>
            <w:vAlign w:val="bottom"/>
          </w:tcPr>
          <w:p w14:paraId="62232921"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1996</w:t>
            </w:r>
          </w:p>
        </w:tc>
        <w:tc>
          <w:tcPr>
            <w:tcW w:w="764" w:type="pct"/>
            <w:shd w:val="clear" w:color="auto" w:fill="FBE4D5" w:themeFill="accent2" w:themeFillTint="33"/>
            <w:tcMar>
              <w:left w:w="0" w:type="dxa"/>
              <w:right w:w="0" w:type="dxa"/>
            </w:tcMar>
          </w:tcPr>
          <w:p w14:paraId="79EDB35F"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-30,3%</w:t>
            </w:r>
          </w:p>
        </w:tc>
        <w:tc>
          <w:tcPr>
            <w:tcW w:w="764" w:type="pct"/>
            <w:shd w:val="clear" w:color="auto" w:fill="FBE4D5" w:themeFill="accent2" w:themeFillTint="33"/>
            <w:tcMar>
              <w:left w:w="0" w:type="dxa"/>
              <w:right w:w="0" w:type="dxa"/>
            </w:tcMar>
          </w:tcPr>
          <w:p w14:paraId="2F07424B"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4486F79C"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08D5F6A3"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BDD6EE" w:themeFill="accent5" w:themeFillTint="66"/>
            <w:tcMar>
              <w:left w:w="0" w:type="dxa"/>
              <w:right w:w="0" w:type="dxa"/>
            </w:tcMar>
          </w:tcPr>
          <w:p w14:paraId="13639253"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BDD6EE" w:themeFill="accent5" w:themeFillTint="66"/>
            <w:tcMar>
              <w:left w:w="0" w:type="dxa"/>
              <w:right w:w="0" w:type="dxa"/>
            </w:tcMar>
          </w:tcPr>
          <w:p w14:paraId="6DF13C16" w14:textId="77777777" w:rsidR="00DE49A8" w:rsidRPr="007C5A6E" w:rsidRDefault="00DE49A8" w:rsidP="005D3FF4">
            <w:pPr>
              <w:spacing w:after="0" w:line="240" w:lineRule="auto"/>
              <w:jc w:val="center"/>
              <w:rPr>
                <w:rFonts w:ascii="Times New Roman" w:hAnsi="Times New Roman"/>
                <w:sz w:val="21"/>
                <w:szCs w:val="21"/>
              </w:rPr>
            </w:pPr>
          </w:p>
        </w:tc>
      </w:tr>
      <w:tr w:rsidR="00DE49A8" w:rsidRPr="007C5A6E" w14:paraId="6B6908F7" w14:textId="77777777" w:rsidTr="009A2EA6">
        <w:trPr>
          <w:trHeight w:val="170"/>
        </w:trPr>
        <w:tc>
          <w:tcPr>
            <w:tcW w:w="420" w:type="pct"/>
            <w:tcMar>
              <w:left w:w="0" w:type="dxa"/>
              <w:right w:w="0" w:type="dxa"/>
            </w:tcMar>
            <w:vAlign w:val="bottom"/>
          </w:tcPr>
          <w:p w14:paraId="0A161243"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1997</w:t>
            </w:r>
          </w:p>
        </w:tc>
        <w:tc>
          <w:tcPr>
            <w:tcW w:w="764" w:type="pct"/>
            <w:shd w:val="clear" w:color="auto" w:fill="FBE4D5" w:themeFill="accent2" w:themeFillTint="33"/>
            <w:tcMar>
              <w:left w:w="0" w:type="dxa"/>
              <w:right w:w="0" w:type="dxa"/>
            </w:tcMar>
          </w:tcPr>
          <w:p w14:paraId="0BC73EC1" w14:textId="77777777" w:rsidR="00DE49A8" w:rsidRPr="007C5A6E" w:rsidRDefault="00DE49A8" w:rsidP="005D3FF4">
            <w:pPr>
              <w:spacing w:after="0" w:line="240" w:lineRule="auto"/>
              <w:jc w:val="center"/>
              <w:rPr>
                <w:rFonts w:ascii="Times New Roman" w:hAnsi="Times New Roman"/>
                <w:sz w:val="21"/>
                <w:szCs w:val="21"/>
              </w:rPr>
            </w:pPr>
          </w:p>
        </w:tc>
        <w:tc>
          <w:tcPr>
            <w:tcW w:w="764" w:type="pct"/>
            <w:shd w:val="clear" w:color="auto" w:fill="FBE4D5" w:themeFill="accent2" w:themeFillTint="33"/>
            <w:tcMar>
              <w:left w:w="0" w:type="dxa"/>
              <w:right w:w="0" w:type="dxa"/>
            </w:tcMar>
          </w:tcPr>
          <w:p w14:paraId="75BF1E3E"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3FF83034"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-24,9%</w:t>
            </w:r>
          </w:p>
        </w:tc>
        <w:tc>
          <w:tcPr>
            <w:tcW w:w="763" w:type="pct"/>
            <w:shd w:val="clear" w:color="auto" w:fill="E2EFD9" w:themeFill="accent6" w:themeFillTint="33"/>
            <w:tcMar>
              <w:left w:w="0" w:type="dxa"/>
              <w:right w:w="0" w:type="dxa"/>
            </w:tcMar>
          </w:tcPr>
          <w:p w14:paraId="2F5E0226"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BDD6EE" w:themeFill="accent5" w:themeFillTint="66"/>
            <w:tcMar>
              <w:left w:w="0" w:type="dxa"/>
              <w:right w:w="0" w:type="dxa"/>
            </w:tcMar>
          </w:tcPr>
          <w:p w14:paraId="44853BAE"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BDD6EE" w:themeFill="accent5" w:themeFillTint="66"/>
            <w:tcMar>
              <w:left w:w="0" w:type="dxa"/>
              <w:right w:w="0" w:type="dxa"/>
            </w:tcMar>
          </w:tcPr>
          <w:p w14:paraId="464F4DD0" w14:textId="77777777" w:rsidR="00DE49A8" w:rsidRPr="007C5A6E" w:rsidRDefault="00DE49A8" w:rsidP="005D3FF4">
            <w:pPr>
              <w:spacing w:after="0" w:line="240" w:lineRule="auto"/>
              <w:jc w:val="center"/>
              <w:rPr>
                <w:rFonts w:ascii="Times New Roman" w:hAnsi="Times New Roman"/>
                <w:sz w:val="21"/>
                <w:szCs w:val="21"/>
              </w:rPr>
            </w:pPr>
          </w:p>
        </w:tc>
      </w:tr>
      <w:tr w:rsidR="00DE49A8" w:rsidRPr="007C5A6E" w14:paraId="62C7FCD9" w14:textId="77777777" w:rsidTr="009A2EA6">
        <w:trPr>
          <w:trHeight w:val="170"/>
        </w:trPr>
        <w:tc>
          <w:tcPr>
            <w:tcW w:w="420" w:type="pct"/>
            <w:tcMar>
              <w:left w:w="0" w:type="dxa"/>
              <w:right w:w="0" w:type="dxa"/>
            </w:tcMar>
            <w:vAlign w:val="bottom"/>
          </w:tcPr>
          <w:p w14:paraId="3789D4DB" w14:textId="77777777" w:rsidR="00DE49A8" w:rsidRPr="007C5A6E" w:rsidRDefault="00DE49A8" w:rsidP="005D3FF4">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2000</w:t>
            </w:r>
          </w:p>
        </w:tc>
        <w:tc>
          <w:tcPr>
            <w:tcW w:w="764" w:type="pct"/>
            <w:shd w:val="clear" w:color="auto" w:fill="FBE4D5" w:themeFill="accent2" w:themeFillTint="33"/>
            <w:tcMar>
              <w:left w:w="0" w:type="dxa"/>
              <w:right w:w="0" w:type="dxa"/>
            </w:tcMar>
          </w:tcPr>
          <w:p w14:paraId="3DB7A967"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-31%</w:t>
            </w:r>
          </w:p>
        </w:tc>
        <w:tc>
          <w:tcPr>
            <w:tcW w:w="764" w:type="pct"/>
            <w:shd w:val="clear" w:color="auto" w:fill="FBE4D5" w:themeFill="accent2" w:themeFillTint="33"/>
            <w:tcMar>
              <w:left w:w="0" w:type="dxa"/>
              <w:right w:w="0" w:type="dxa"/>
            </w:tcMar>
          </w:tcPr>
          <w:p w14:paraId="49EAB813"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-32,8%</w:t>
            </w:r>
          </w:p>
        </w:tc>
        <w:tc>
          <w:tcPr>
            <w:tcW w:w="763" w:type="pct"/>
            <w:shd w:val="clear" w:color="auto" w:fill="E2EFD9" w:themeFill="accent6" w:themeFillTint="33"/>
            <w:tcMar>
              <w:left w:w="0" w:type="dxa"/>
              <w:right w:w="0" w:type="dxa"/>
            </w:tcMar>
          </w:tcPr>
          <w:p w14:paraId="4CA47AB5"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-24,1%</w:t>
            </w:r>
          </w:p>
        </w:tc>
        <w:tc>
          <w:tcPr>
            <w:tcW w:w="763" w:type="pct"/>
            <w:shd w:val="clear" w:color="auto" w:fill="E2EFD9" w:themeFill="accent6" w:themeFillTint="33"/>
            <w:tcMar>
              <w:left w:w="0" w:type="dxa"/>
              <w:right w:w="0" w:type="dxa"/>
            </w:tcMar>
          </w:tcPr>
          <w:p w14:paraId="5D04485F"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-24,5%</w:t>
            </w:r>
          </w:p>
        </w:tc>
        <w:tc>
          <w:tcPr>
            <w:tcW w:w="763" w:type="pct"/>
            <w:shd w:val="clear" w:color="auto" w:fill="BDD6EE" w:themeFill="accent5" w:themeFillTint="66"/>
            <w:tcMar>
              <w:left w:w="0" w:type="dxa"/>
              <w:right w:w="0" w:type="dxa"/>
            </w:tcMar>
          </w:tcPr>
          <w:p w14:paraId="08593D75"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BDD6EE" w:themeFill="accent5" w:themeFillTint="66"/>
            <w:tcMar>
              <w:left w:w="0" w:type="dxa"/>
              <w:right w:w="0" w:type="dxa"/>
            </w:tcMar>
          </w:tcPr>
          <w:p w14:paraId="629755EB" w14:textId="77777777" w:rsidR="00DE49A8" w:rsidRPr="007C5A6E" w:rsidRDefault="00DE49A8" w:rsidP="005D3FF4">
            <w:pPr>
              <w:spacing w:after="0" w:line="240" w:lineRule="auto"/>
              <w:jc w:val="center"/>
              <w:rPr>
                <w:rFonts w:ascii="Times New Roman" w:hAnsi="Times New Roman"/>
                <w:sz w:val="21"/>
                <w:szCs w:val="21"/>
              </w:rPr>
            </w:pPr>
          </w:p>
        </w:tc>
      </w:tr>
      <w:tr w:rsidR="00DE49A8" w:rsidRPr="007C5A6E" w14:paraId="15031E9F" w14:textId="77777777" w:rsidTr="009A2EA6">
        <w:trPr>
          <w:trHeight w:val="170"/>
        </w:trPr>
        <w:tc>
          <w:tcPr>
            <w:tcW w:w="420" w:type="pct"/>
            <w:tcMar>
              <w:left w:w="0" w:type="dxa"/>
              <w:right w:w="0" w:type="dxa"/>
            </w:tcMar>
            <w:vAlign w:val="bottom"/>
          </w:tcPr>
          <w:p w14:paraId="2D3C00ED" w14:textId="77777777" w:rsidR="00DE49A8" w:rsidRPr="007C5A6E" w:rsidRDefault="00DE49A8" w:rsidP="005D3FF4">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2001</w:t>
            </w:r>
          </w:p>
        </w:tc>
        <w:tc>
          <w:tcPr>
            <w:tcW w:w="764" w:type="pct"/>
            <w:shd w:val="clear" w:color="auto" w:fill="FBE4D5" w:themeFill="accent2" w:themeFillTint="33"/>
            <w:tcMar>
              <w:left w:w="0" w:type="dxa"/>
              <w:right w:w="0" w:type="dxa"/>
            </w:tcMar>
          </w:tcPr>
          <w:p w14:paraId="71FC53BE"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-20,9%</w:t>
            </w:r>
          </w:p>
        </w:tc>
        <w:tc>
          <w:tcPr>
            <w:tcW w:w="764" w:type="pct"/>
            <w:shd w:val="clear" w:color="auto" w:fill="FBE4D5" w:themeFill="accent2" w:themeFillTint="33"/>
            <w:tcMar>
              <w:left w:w="0" w:type="dxa"/>
              <w:right w:w="0" w:type="dxa"/>
            </w:tcMar>
          </w:tcPr>
          <w:p w14:paraId="7825A372"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56FC3D54"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-21%</w:t>
            </w:r>
          </w:p>
        </w:tc>
        <w:tc>
          <w:tcPr>
            <w:tcW w:w="763" w:type="pct"/>
            <w:shd w:val="clear" w:color="auto" w:fill="E2EFD9" w:themeFill="accent6" w:themeFillTint="33"/>
            <w:tcMar>
              <w:left w:w="0" w:type="dxa"/>
              <w:right w:w="0" w:type="dxa"/>
            </w:tcMar>
          </w:tcPr>
          <w:p w14:paraId="25C9B588"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BDD6EE" w:themeFill="accent5" w:themeFillTint="66"/>
            <w:tcMar>
              <w:left w:w="0" w:type="dxa"/>
              <w:right w:w="0" w:type="dxa"/>
            </w:tcMar>
          </w:tcPr>
          <w:p w14:paraId="4645D91B"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BDD6EE" w:themeFill="accent5" w:themeFillTint="66"/>
            <w:tcMar>
              <w:left w:w="0" w:type="dxa"/>
              <w:right w:w="0" w:type="dxa"/>
            </w:tcMar>
          </w:tcPr>
          <w:p w14:paraId="00A6AB37" w14:textId="77777777" w:rsidR="00DE49A8" w:rsidRPr="007C5A6E" w:rsidRDefault="00DE49A8" w:rsidP="005D3FF4">
            <w:pPr>
              <w:spacing w:after="0" w:line="240" w:lineRule="auto"/>
              <w:jc w:val="center"/>
              <w:rPr>
                <w:rFonts w:ascii="Times New Roman" w:hAnsi="Times New Roman"/>
                <w:sz w:val="21"/>
                <w:szCs w:val="21"/>
              </w:rPr>
            </w:pPr>
          </w:p>
        </w:tc>
      </w:tr>
      <w:tr w:rsidR="00DE49A8" w:rsidRPr="007C5A6E" w14:paraId="1F31EA74" w14:textId="77777777" w:rsidTr="009A2EA6">
        <w:trPr>
          <w:trHeight w:val="170"/>
        </w:trPr>
        <w:tc>
          <w:tcPr>
            <w:tcW w:w="420" w:type="pct"/>
            <w:tcMar>
              <w:left w:w="0" w:type="dxa"/>
              <w:right w:w="0" w:type="dxa"/>
            </w:tcMar>
            <w:vAlign w:val="bottom"/>
          </w:tcPr>
          <w:p w14:paraId="33BA71BC" w14:textId="77777777" w:rsidR="00DE49A8" w:rsidRPr="007C5A6E" w:rsidRDefault="00DE49A8" w:rsidP="005D3FF4">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2002</w:t>
            </w:r>
          </w:p>
        </w:tc>
        <w:tc>
          <w:tcPr>
            <w:tcW w:w="764" w:type="pct"/>
            <w:shd w:val="clear" w:color="auto" w:fill="FBE4D5" w:themeFill="accent2" w:themeFillTint="33"/>
            <w:tcMar>
              <w:left w:w="0" w:type="dxa"/>
              <w:right w:w="0" w:type="dxa"/>
            </w:tcMar>
          </w:tcPr>
          <w:p w14:paraId="12AA1294" w14:textId="77777777" w:rsidR="00DE49A8" w:rsidRPr="007C5A6E" w:rsidRDefault="00DE49A8" w:rsidP="005D3FF4">
            <w:pPr>
              <w:spacing w:after="0" w:line="240" w:lineRule="auto"/>
              <w:jc w:val="center"/>
              <w:rPr>
                <w:rFonts w:ascii="Times New Roman" w:hAnsi="Times New Roman"/>
                <w:sz w:val="21"/>
                <w:szCs w:val="21"/>
              </w:rPr>
            </w:pPr>
          </w:p>
        </w:tc>
        <w:tc>
          <w:tcPr>
            <w:tcW w:w="764" w:type="pct"/>
            <w:shd w:val="clear" w:color="auto" w:fill="FBE4D5" w:themeFill="accent2" w:themeFillTint="33"/>
            <w:tcMar>
              <w:left w:w="0" w:type="dxa"/>
              <w:right w:w="0" w:type="dxa"/>
            </w:tcMar>
          </w:tcPr>
          <w:p w14:paraId="2197685C"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488B502D"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238F99C4"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-29,8%</w:t>
            </w:r>
          </w:p>
        </w:tc>
        <w:tc>
          <w:tcPr>
            <w:tcW w:w="763" w:type="pct"/>
            <w:shd w:val="clear" w:color="auto" w:fill="BDD6EE" w:themeFill="accent5" w:themeFillTint="66"/>
            <w:tcMar>
              <w:left w:w="0" w:type="dxa"/>
              <w:right w:w="0" w:type="dxa"/>
            </w:tcMar>
          </w:tcPr>
          <w:p w14:paraId="570AB40A"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-23,4%</w:t>
            </w:r>
          </w:p>
        </w:tc>
        <w:tc>
          <w:tcPr>
            <w:tcW w:w="763" w:type="pct"/>
            <w:shd w:val="clear" w:color="auto" w:fill="BDD6EE" w:themeFill="accent5" w:themeFillTint="66"/>
            <w:tcMar>
              <w:left w:w="0" w:type="dxa"/>
              <w:right w:w="0" w:type="dxa"/>
            </w:tcMar>
          </w:tcPr>
          <w:p w14:paraId="50A9DA8B" w14:textId="77777777" w:rsidR="00DE49A8" w:rsidRPr="007C5A6E" w:rsidRDefault="00DE49A8" w:rsidP="005D3FF4">
            <w:pPr>
              <w:spacing w:after="0" w:line="240" w:lineRule="auto"/>
              <w:jc w:val="center"/>
              <w:rPr>
                <w:rFonts w:ascii="Times New Roman" w:hAnsi="Times New Roman"/>
                <w:sz w:val="21"/>
                <w:szCs w:val="21"/>
              </w:rPr>
            </w:pPr>
          </w:p>
        </w:tc>
      </w:tr>
      <w:tr w:rsidR="00DE49A8" w:rsidRPr="007C5A6E" w14:paraId="50DB031B" w14:textId="77777777" w:rsidTr="009A2EA6">
        <w:trPr>
          <w:trHeight w:val="170"/>
        </w:trPr>
        <w:tc>
          <w:tcPr>
            <w:tcW w:w="420" w:type="pct"/>
            <w:tcMar>
              <w:left w:w="0" w:type="dxa"/>
              <w:right w:w="0" w:type="dxa"/>
            </w:tcMar>
            <w:vAlign w:val="bottom"/>
          </w:tcPr>
          <w:p w14:paraId="58FC2374" w14:textId="77777777" w:rsidR="00DE49A8" w:rsidRPr="007C5A6E" w:rsidRDefault="00DE49A8" w:rsidP="005D3FF4">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2004</w:t>
            </w:r>
          </w:p>
        </w:tc>
        <w:tc>
          <w:tcPr>
            <w:tcW w:w="764" w:type="pct"/>
            <w:shd w:val="clear" w:color="auto" w:fill="FBE4D5" w:themeFill="accent2" w:themeFillTint="33"/>
            <w:tcMar>
              <w:left w:w="0" w:type="dxa"/>
              <w:right w:w="0" w:type="dxa"/>
            </w:tcMar>
          </w:tcPr>
          <w:p w14:paraId="5BE905A3"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-38,7%</w:t>
            </w:r>
          </w:p>
        </w:tc>
        <w:tc>
          <w:tcPr>
            <w:tcW w:w="764" w:type="pct"/>
            <w:shd w:val="clear" w:color="auto" w:fill="FBE4D5" w:themeFill="accent2" w:themeFillTint="33"/>
            <w:tcMar>
              <w:left w:w="0" w:type="dxa"/>
              <w:right w:w="0" w:type="dxa"/>
            </w:tcMar>
          </w:tcPr>
          <w:p w14:paraId="158A18A8"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6DE0A1B8"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5DA914FD"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BDD6EE" w:themeFill="accent5" w:themeFillTint="66"/>
            <w:tcMar>
              <w:left w:w="0" w:type="dxa"/>
              <w:right w:w="0" w:type="dxa"/>
            </w:tcMar>
          </w:tcPr>
          <w:p w14:paraId="3A972592"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-21,4%</w:t>
            </w:r>
          </w:p>
        </w:tc>
        <w:tc>
          <w:tcPr>
            <w:tcW w:w="763" w:type="pct"/>
            <w:shd w:val="clear" w:color="auto" w:fill="BDD6EE" w:themeFill="accent5" w:themeFillTint="66"/>
            <w:tcMar>
              <w:left w:w="0" w:type="dxa"/>
              <w:right w:w="0" w:type="dxa"/>
            </w:tcMar>
          </w:tcPr>
          <w:p w14:paraId="53892EF3" w14:textId="77777777" w:rsidR="00DE49A8" w:rsidRPr="007C5A6E" w:rsidRDefault="00DE49A8" w:rsidP="005D3FF4">
            <w:pPr>
              <w:spacing w:after="0" w:line="240" w:lineRule="auto"/>
              <w:jc w:val="center"/>
              <w:rPr>
                <w:rFonts w:ascii="Times New Roman" w:hAnsi="Times New Roman"/>
                <w:sz w:val="21"/>
                <w:szCs w:val="21"/>
              </w:rPr>
            </w:pPr>
          </w:p>
        </w:tc>
      </w:tr>
      <w:tr w:rsidR="00DE49A8" w:rsidRPr="007C5A6E" w14:paraId="4371C5D4" w14:textId="77777777" w:rsidTr="009A2EA6">
        <w:trPr>
          <w:trHeight w:val="170"/>
        </w:trPr>
        <w:tc>
          <w:tcPr>
            <w:tcW w:w="420" w:type="pct"/>
            <w:tcMar>
              <w:left w:w="0" w:type="dxa"/>
              <w:right w:w="0" w:type="dxa"/>
            </w:tcMar>
            <w:vAlign w:val="bottom"/>
          </w:tcPr>
          <w:p w14:paraId="7D13130C" w14:textId="77777777" w:rsidR="00DE49A8" w:rsidRPr="007C5A6E" w:rsidRDefault="00DE49A8" w:rsidP="005D3FF4">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2005</w:t>
            </w:r>
          </w:p>
        </w:tc>
        <w:tc>
          <w:tcPr>
            <w:tcW w:w="764" w:type="pct"/>
            <w:shd w:val="clear" w:color="auto" w:fill="FBE4D5" w:themeFill="accent2" w:themeFillTint="33"/>
            <w:tcMar>
              <w:left w:w="0" w:type="dxa"/>
              <w:right w:w="0" w:type="dxa"/>
            </w:tcMar>
          </w:tcPr>
          <w:p w14:paraId="5FCEB74E" w14:textId="77777777" w:rsidR="00DE49A8" w:rsidRPr="007C5A6E" w:rsidRDefault="00DE49A8" w:rsidP="005D3FF4">
            <w:pPr>
              <w:spacing w:after="0" w:line="240" w:lineRule="auto"/>
              <w:jc w:val="center"/>
              <w:rPr>
                <w:rFonts w:ascii="Times New Roman" w:hAnsi="Times New Roman"/>
                <w:sz w:val="21"/>
                <w:szCs w:val="21"/>
              </w:rPr>
            </w:pPr>
          </w:p>
        </w:tc>
        <w:tc>
          <w:tcPr>
            <w:tcW w:w="764" w:type="pct"/>
            <w:shd w:val="clear" w:color="auto" w:fill="FBE4D5" w:themeFill="accent2" w:themeFillTint="33"/>
            <w:tcMar>
              <w:left w:w="0" w:type="dxa"/>
              <w:right w:w="0" w:type="dxa"/>
            </w:tcMar>
          </w:tcPr>
          <w:p w14:paraId="185B2699"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7BE46756"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045D5172"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BDD6EE" w:themeFill="accent5" w:themeFillTint="66"/>
            <w:tcMar>
              <w:left w:w="0" w:type="dxa"/>
              <w:right w:w="0" w:type="dxa"/>
            </w:tcMar>
          </w:tcPr>
          <w:p w14:paraId="0B0A37FE"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-22,4%</w:t>
            </w:r>
          </w:p>
        </w:tc>
        <w:tc>
          <w:tcPr>
            <w:tcW w:w="763" w:type="pct"/>
            <w:shd w:val="clear" w:color="auto" w:fill="BDD6EE" w:themeFill="accent5" w:themeFillTint="66"/>
            <w:tcMar>
              <w:left w:w="0" w:type="dxa"/>
              <w:right w:w="0" w:type="dxa"/>
            </w:tcMar>
          </w:tcPr>
          <w:p w14:paraId="2212B9E2" w14:textId="77777777" w:rsidR="00DE49A8" w:rsidRPr="007C5A6E" w:rsidRDefault="00DE49A8" w:rsidP="005D3FF4">
            <w:pPr>
              <w:spacing w:after="0" w:line="240" w:lineRule="auto"/>
              <w:jc w:val="center"/>
              <w:rPr>
                <w:rFonts w:ascii="Times New Roman" w:hAnsi="Times New Roman"/>
                <w:sz w:val="21"/>
                <w:szCs w:val="21"/>
              </w:rPr>
            </w:pPr>
          </w:p>
        </w:tc>
      </w:tr>
      <w:tr w:rsidR="00DE49A8" w:rsidRPr="007C5A6E" w14:paraId="225EE76E" w14:textId="77777777" w:rsidTr="009A2EA6">
        <w:trPr>
          <w:trHeight w:val="170"/>
        </w:trPr>
        <w:tc>
          <w:tcPr>
            <w:tcW w:w="420" w:type="pct"/>
            <w:tcMar>
              <w:left w:w="0" w:type="dxa"/>
              <w:right w:w="0" w:type="dxa"/>
            </w:tcMar>
            <w:vAlign w:val="bottom"/>
          </w:tcPr>
          <w:p w14:paraId="7EBF2EBA" w14:textId="77777777" w:rsidR="00DE49A8" w:rsidRPr="007C5A6E" w:rsidRDefault="00DE49A8" w:rsidP="005D3FF4">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2006</w:t>
            </w:r>
          </w:p>
        </w:tc>
        <w:tc>
          <w:tcPr>
            <w:tcW w:w="764" w:type="pct"/>
            <w:shd w:val="clear" w:color="auto" w:fill="FBE4D5" w:themeFill="accent2" w:themeFillTint="33"/>
            <w:tcMar>
              <w:left w:w="0" w:type="dxa"/>
              <w:right w:w="0" w:type="dxa"/>
            </w:tcMar>
          </w:tcPr>
          <w:p w14:paraId="0770982D"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-21,8%</w:t>
            </w:r>
          </w:p>
        </w:tc>
        <w:tc>
          <w:tcPr>
            <w:tcW w:w="764" w:type="pct"/>
            <w:shd w:val="clear" w:color="auto" w:fill="FBE4D5" w:themeFill="accent2" w:themeFillTint="33"/>
            <w:tcMar>
              <w:left w:w="0" w:type="dxa"/>
              <w:right w:w="0" w:type="dxa"/>
            </w:tcMar>
          </w:tcPr>
          <w:p w14:paraId="058A9A8B"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-31,7%</w:t>
            </w:r>
          </w:p>
        </w:tc>
        <w:tc>
          <w:tcPr>
            <w:tcW w:w="763" w:type="pct"/>
            <w:shd w:val="clear" w:color="auto" w:fill="E2EFD9" w:themeFill="accent6" w:themeFillTint="33"/>
            <w:tcMar>
              <w:left w:w="0" w:type="dxa"/>
              <w:right w:w="0" w:type="dxa"/>
            </w:tcMar>
          </w:tcPr>
          <w:p w14:paraId="31576FB5"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-23,8%</w:t>
            </w:r>
          </w:p>
        </w:tc>
        <w:tc>
          <w:tcPr>
            <w:tcW w:w="763" w:type="pct"/>
            <w:shd w:val="clear" w:color="auto" w:fill="E2EFD9" w:themeFill="accent6" w:themeFillTint="33"/>
            <w:tcMar>
              <w:left w:w="0" w:type="dxa"/>
              <w:right w:w="0" w:type="dxa"/>
            </w:tcMar>
          </w:tcPr>
          <w:p w14:paraId="026548DA"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BDD6EE" w:themeFill="accent5" w:themeFillTint="66"/>
            <w:tcMar>
              <w:left w:w="0" w:type="dxa"/>
              <w:right w:w="0" w:type="dxa"/>
            </w:tcMar>
          </w:tcPr>
          <w:p w14:paraId="02A87B5C"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BDD6EE" w:themeFill="accent5" w:themeFillTint="66"/>
            <w:tcMar>
              <w:left w:w="0" w:type="dxa"/>
              <w:right w:w="0" w:type="dxa"/>
            </w:tcMar>
          </w:tcPr>
          <w:p w14:paraId="149139B1" w14:textId="77777777" w:rsidR="00DE49A8" w:rsidRPr="007C5A6E" w:rsidRDefault="00DE49A8" w:rsidP="005D3FF4">
            <w:pPr>
              <w:spacing w:after="0" w:line="240" w:lineRule="auto"/>
              <w:jc w:val="center"/>
              <w:rPr>
                <w:rFonts w:ascii="Times New Roman" w:hAnsi="Times New Roman"/>
                <w:sz w:val="21"/>
                <w:szCs w:val="21"/>
              </w:rPr>
            </w:pPr>
          </w:p>
        </w:tc>
      </w:tr>
      <w:tr w:rsidR="00DE49A8" w:rsidRPr="007C5A6E" w14:paraId="3A3BDBCC" w14:textId="77777777" w:rsidTr="009A2EA6">
        <w:trPr>
          <w:trHeight w:val="170"/>
        </w:trPr>
        <w:tc>
          <w:tcPr>
            <w:tcW w:w="420" w:type="pct"/>
            <w:tcMar>
              <w:left w:w="0" w:type="dxa"/>
              <w:right w:w="0" w:type="dxa"/>
            </w:tcMar>
            <w:vAlign w:val="bottom"/>
          </w:tcPr>
          <w:p w14:paraId="2DE138A7" w14:textId="77777777" w:rsidR="00DE49A8" w:rsidRPr="007C5A6E" w:rsidRDefault="00DE49A8" w:rsidP="005D3FF4">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2011</w:t>
            </w:r>
          </w:p>
        </w:tc>
        <w:tc>
          <w:tcPr>
            <w:tcW w:w="764" w:type="pct"/>
            <w:shd w:val="clear" w:color="auto" w:fill="FBE4D5" w:themeFill="accent2" w:themeFillTint="33"/>
            <w:tcMar>
              <w:left w:w="0" w:type="dxa"/>
              <w:right w:w="0" w:type="dxa"/>
            </w:tcMar>
          </w:tcPr>
          <w:p w14:paraId="34473031" w14:textId="77777777" w:rsidR="00DE49A8" w:rsidRPr="007C5A6E" w:rsidRDefault="00DE49A8" w:rsidP="005D3FF4">
            <w:pPr>
              <w:spacing w:after="0" w:line="240" w:lineRule="auto"/>
              <w:jc w:val="center"/>
              <w:rPr>
                <w:rFonts w:ascii="Times New Roman" w:hAnsi="Times New Roman"/>
                <w:sz w:val="21"/>
                <w:szCs w:val="21"/>
              </w:rPr>
            </w:pPr>
          </w:p>
        </w:tc>
        <w:tc>
          <w:tcPr>
            <w:tcW w:w="764" w:type="pct"/>
            <w:shd w:val="clear" w:color="auto" w:fill="FBE4D5" w:themeFill="accent2" w:themeFillTint="33"/>
            <w:tcMar>
              <w:left w:w="0" w:type="dxa"/>
              <w:right w:w="0" w:type="dxa"/>
            </w:tcMar>
          </w:tcPr>
          <w:p w14:paraId="2A109341"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58EDFB14"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3CC61FA2"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BDD6EE" w:themeFill="accent5" w:themeFillTint="66"/>
            <w:tcMar>
              <w:left w:w="0" w:type="dxa"/>
              <w:right w:w="0" w:type="dxa"/>
            </w:tcMar>
          </w:tcPr>
          <w:p w14:paraId="17B85CE0"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-26,4%</w:t>
            </w:r>
          </w:p>
        </w:tc>
        <w:tc>
          <w:tcPr>
            <w:tcW w:w="763" w:type="pct"/>
            <w:shd w:val="clear" w:color="auto" w:fill="BDD6EE" w:themeFill="accent5" w:themeFillTint="66"/>
            <w:tcMar>
              <w:left w:w="0" w:type="dxa"/>
              <w:right w:w="0" w:type="dxa"/>
            </w:tcMar>
          </w:tcPr>
          <w:p w14:paraId="16CFBABE" w14:textId="77777777" w:rsidR="00DE49A8" w:rsidRPr="007C5A6E" w:rsidRDefault="00DE49A8" w:rsidP="005D3FF4">
            <w:pPr>
              <w:spacing w:after="0" w:line="240" w:lineRule="auto"/>
              <w:jc w:val="center"/>
              <w:rPr>
                <w:rFonts w:ascii="Times New Roman" w:hAnsi="Times New Roman"/>
                <w:sz w:val="21"/>
                <w:szCs w:val="21"/>
              </w:rPr>
            </w:pPr>
          </w:p>
        </w:tc>
      </w:tr>
      <w:tr w:rsidR="00DE49A8" w:rsidRPr="007C5A6E" w14:paraId="66BC8DE0" w14:textId="77777777" w:rsidTr="009A2EA6">
        <w:trPr>
          <w:trHeight w:val="170"/>
        </w:trPr>
        <w:tc>
          <w:tcPr>
            <w:tcW w:w="420" w:type="pct"/>
            <w:tcMar>
              <w:left w:w="0" w:type="dxa"/>
              <w:right w:w="0" w:type="dxa"/>
            </w:tcMar>
            <w:vAlign w:val="bottom"/>
          </w:tcPr>
          <w:p w14:paraId="256BF39B" w14:textId="77777777" w:rsidR="00DE49A8" w:rsidRPr="007C5A6E" w:rsidRDefault="00DE49A8" w:rsidP="005D3FF4">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2014</w:t>
            </w:r>
          </w:p>
        </w:tc>
        <w:tc>
          <w:tcPr>
            <w:tcW w:w="764" w:type="pct"/>
            <w:shd w:val="clear" w:color="auto" w:fill="FBE4D5" w:themeFill="accent2" w:themeFillTint="33"/>
            <w:tcMar>
              <w:left w:w="0" w:type="dxa"/>
              <w:right w:w="0" w:type="dxa"/>
            </w:tcMar>
          </w:tcPr>
          <w:p w14:paraId="396D5AA0" w14:textId="77777777" w:rsidR="00DE49A8" w:rsidRPr="007C5A6E" w:rsidRDefault="00DE49A8" w:rsidP="005D3FF4">
            <w:pPr>
              <w:spacing w:after="0" w:line="240" w:lineRule="auto"/>
              <w:jc w:val="center"/>
              <w:rPr>
                <w:rFonts w:ascii="Times New Roman" w:hAnsi="Times New Roman"/>
                <w:sz w:val="21"/>
                <w:szCs w:val="21"/>
              </w:rPr>
            </w:pPr>
          </w:p>
        </w:tc>
        <w:tc>
          <w:tcPr>
            <w:tcW w:w="764" w:type="pct"/>
            <w:shd w:val="clear" w:color="auto" w:fill="FBE4D5" w:themeFill="accent2" w:themeFillTint="33"/>
            <w:tcMar>
              <w:left w:w="0" w:type="dxa"/>
              <w:right w:w="0" w:type="dxa"/>
            </w:tcMar>
          </w:tcPr>
          <w:p w14:paraId="333A7362"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-21,1%</w:t>
            </w:r>
          </w:p>
        </w:tc>
        <w:tc>
          <w:tcPr>
            <w:tcW w:w="763" w:type="pct"/>
            <w:shd w:val="clear" w:color="auto" w:fill="E2EFD9" w:themeFill="accent6" w:themeFillTint="33"/>
            <w:tcMar>
              <w:left w:w="0" w:type="dxa"/>
              <w:right w:w="0" w:type="dxa"/>
            </w:tcMar>
          </w:tcPr>
          <w:p w14:paraId="64694679"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35C181ED"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BDD6EE" w:themeFill="accent5" w:themeFillTint="66"/>
            <w:tcMar>
              <w:left w:w="0" w:type="dxa"/>
              <w:right w:w="0" w:type="dxa"/>
            </w:tcMar>
          </w:tcPr>
          <w:p w14:paraId="5BA21F23"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BDD6EE" w:themeFill="accent5" w:themeFillTint="66"/>
            <w:tcMar>
              <w:left w:w="0" w:type="dxa"/>
              <w:right w:w="0" w:type="dxa"/>
            </w:tcMar>
          </w:tcPr>
          <w:p w14:paraId="75916AD6" w14:textId="77777777" w:rsidR="00DE49A8" w:rsidRPr="007C5A6E" w:rsidRDefault="00DE49A8" w:rsidP="005D3FF4">
            <w:pPr>
              <w:spacing w:after="0" w:line="240" w:lineRule="auto"/>
              <w:jc w:val="center"/>
              <w:rPr>
                <w:rFonts w:ascii="Times New Roman" w:hAnsi="Times New Roman"/>
                <w:sz w:val="21"/>
                <w:szCs w:val="21"/>
              </w:rPr>
            </w:pPr>
          </w:p>
        </w:tc>
      </w:tr>
      <w:tr w:rsidR="00DE49A8" w:rsidRPr="007C5A6E" w14:paraId="4BF57B36" w14:textId="77777777" w:rsidTr="009A2EA6">
        <w:trPr>
          <w:trHeight w:val="170"/>
        </w:trPr>
        <w:tc>
          <w:tcPr>
            <w:tcW w:w="420" w:type="pct"/>
            <w:tcMar>
              <w:left w:w="0" w:type="dxa"/>
              <w:right w:w="0" w:type="dxa"/>
            </w:tcMar>
            <w:vAlign w:val="bottom"/>
          </w:tcPr>
          <w:p w14:paraId="6A9BA735" w14:textId="77777777" w:rsidR="00DE49A8" w:rsidRPr="007C5A6E" w:rsidRDefault="00DE49A8" w:rsidP="005D3FF4">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2017</w:t>
            </w:r>
          </w:p>
        </w:tc>
        <w:tc>
          <w:tcPr>
            <w:tcW w:w="764" w:type="pct"/>
            <w:shd w:val="clear" w:color="auto" w:fill="FBE4D5" w:themeFill="accent2" w:themeFillTint="33"/>
            <w:tcMar>
              <w:left w:w="0" w:type="dxa"/>
              <w:right w:w="0" w:type="dxa"/>
            </w:tcMar>
          </w:tcPr>
          <w:p w14:paraId="706A9E7A" w14:textId="77777777" w:rsidR="00DE49A8" w:rsidRPr="007C5A6E" w:rsidRDefault="00DE49A8" w:rsidP="005D3FF4">
            <w:pPr>
              <w:spacing w:after="0" w:line="240" w:lineRule="auto"/>
              <w:jc w:val="center"/>
              <w:rPr>
                <w:rFonts w:ascii="Times New Roman" w:hAnsi="Times New Roman"/>
                <w:sz w:val="21"/>
                <w:szCs w:val="21"/>
              </w:rPr>
            </w:pPr>
          </w:p>
        </w:tc>
        <w:tc>
          <w:tcPr>
            <w:tcW w:w="764" w:type="pct"/>
            <w:shd w:val="clear" w:color="auto" w:fill="FBE4D5" w:themeFill="accent2" w:themeFillTint="33"/>
            <w:tcMar>
              <w:left w:w="0" w:type="dxa"/>
              <w:right w:w="0" w:type="dxa"/>
            </w:tcMar>
          </w:tcPr>
          <w:p w14:paraId="454EA2AF"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74C3F0DB"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1BFC073C"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BDD6EE" w:themeFill="accent5" w:themeFillTint="66"/>
            <w:tcMar>
              <w:left w:w="0" w:type="dxa"/>
              <w:right w:w="0" w:type="dxa"/>
            </w:tcMar>
          </w:tcPr>
          <w:p w14:paraId="2EAE3E13"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-35,3%</w:t>
            </w:r>
          </w:p>
        </w:tc>
        <w:tc>
          <w:tcPr>
            <w:tcW w:w="763" w:type="pct"/>
            <w:shd w:val="clear" w:color="auto" w:fill="BDD6EE" w:themeFill="accent5" w:themeFillTint="66"/>
            <w:tcMar>
              <w:left w:w="0" w:type="dxa"/>
              <w:right w:w="0" w:type="dxa"/>
            </w:tcMar>
          </w:tcPr>
          <w:p w14:paraId="6D9017FF" w14:textId="77777777" w:rsidR="00DE49A8" w:rsidRPr="007C5A6E" w:rsidRDefault="00DE49A8" w:rsidP="005D3FF4">
            <w:pPr>
              <w:spacing w:after="0" w:line="240" w:lineRule="auto"/>
              <w:jc w:val="center"/>
              <w:rPr>
                <w:rFonts w:ascii="Times New Roman" w:hAnsi="Times New Roman"/>
                <w:sz w:val="21"/>
                <w:szCs w:val="21"/>
              </w:rPr>
            </w:pPr>
          </w:p>
        </w:tc>
      </w:tr>
      <w:tr w:rsidR="00DE49A8" w:rsidRPr="007C5A6E" w14:paraId="259F84EB" w14:textId="77777777" w:rsidTr="009A2EA6">
        <w:trPr>
          <w:trHeight w:val="170"/>
        </w:trPr>
        <w:tc>
          <w:tcPr>
            <w:tcW w:w="420" w:type="pct"/>
            <w:tcMar>
              <w:left w:w="0" w:type="dxa"/>
              <w:right w:w="0" w:type="dxa"/>
            </w:tcMar>
            <w:vAlign w:val="bottom"/>
          </w:tcPr>
          <w:p w14:paraId="23849DE9" w14:textId="77777777" w:rsidR="00DE49A8" w:rsidRPr="007C5A6E" w:rsidRDefault="00DE49A8" w:rsidP="005D3FF4">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2023</w:t>
            </w:r>
          </w:p>
        </w:tc>
        <w:tc>
          <w:tcPr>
            <w:tcW w:w="764" w:type="pct"/>
            <w:shd w:val="clear" w:color="auto" w:fill="FBE4D5" w:themeFill="accent2" w:themeFillTint="33"/>
            <w:tcMar>
              <w:left w:w="0" w:type="dxa"/>
              <w:right w:w="0" w:type="dxa"/>
            </w:tcMar>
          </w:tcPr>
          <w:p w14:paraId="31AABE93" w14:textId="77777777" w:rsidR="00DE49A8" w:rsidRPr="007C5A6E" w:rsidRDefault="00DE49A8" w:rsidP="005D3FF4">
            <w:pPr>
              <w:spacing w:after="0" w:line="240" w:lineRule="auto"/>
              <w:jc w:val="center"/>
              <w:rPr>
                <w:rFonts w:ascii="Times New Roman" w:hAnsi="Times New Roman"/>
                <w:sz w:val="21"/>
                <w:szCs w:val="21"/>
              </w:rPr>
            </w:pPr>
          </w:p>
        </w:tc>
        <w:tc>
          <w:tcPr>
            <w:tcW w:w="764" w:type="pct"/>
            <w:shd w:val="clear" w:color="auto" w:fill="FBE4D5" w:themeFill="accent2" w:themeFillTint="33"/>
            <w:tcMar>
              <w:left w:w="0" w:type="dxa"/>
              <w:right w:w="0" w:type="dxa"/>
            </w:tcMar>
          </w:tcPr>
          <w:p w14:paraId="7E5DD973"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716C1EFD"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E2EFD9" w:themeFill="accent6" w:themeFillTint="33"/>
            <w:tcMar>
              <w:left w:w="0" w:type="dxa"/>
              <w:right w:w="0" w:type="dxa"/>
            </w:tcMar>
          </w:tcPr>
          <w:p w14:paraId="5BEDC6D2" w14:textId="77777777" w:rsidR="00DE49A8" w:rsidRPr="007C5A6E" w:rsidRDefault="00DE49A8" w:rsidP="005D3FF4">
            <w:pPr>
              <w:spacing w:after="0" w:line="240" w:lineRule="auto"/>
              <w:jc w:val="center"/>
              <w:rPr>
                <w:rFonts w:ascii="Times New Roman" w:hAnsi="Times New Roman"/>
                <w:sz w:val="21"/>
                <w:szCs w:val="21"/>
              </w:rPr>
            </w:pPr>
            <w:r w:rsidRPr="007C5A6E">
              <w:rPr>
                <w:rFonts w:ascii="Times New Roman" w:hAnsi="Times New Roman"/>
                <w:sz w:val="21"/>
                <w:szCs w:val="21"/>
              </w:rPr>
              <w:t>-20,6%</w:t>
            </w:r>
          </w:p>
        </w:tc>
        <w:tc>
          <w:tcPr>
            <w:tcW w:w="763" w:type="pct"/>
            <w:shd w:val="clear" w:color="auto" w:fill="BDD6EE" w:themeFill="accent5" w:themeFillTint="66"/>
            <w:tcMar>
              <w:left w:w="0" w:type="dxa"/>
              <w:right w:w="0" w:type="dxa"/>
            </w:tcMar>
          </w:tcPr>
          <w:p w14:paraId="4BF14A51" w14:textId="77777777" w:rsidR="00DE49A8" w:rsidRPr="007C5A6E" w:rsidRDefault="00DE49A8" w:rsidP="005D3FF4">
            <w:pPr>
              <w:spacing w:after="0" w:line="240" w:lineRule="auto"/>
              <w:jc w:val="center"/>
              <w:rPr>
                <w:rFonts w:ascii="Times New Roman" w:hAnsi="Times New Roman"/>
                <w:sz w:val="21"/>
                <w:szCs w:val="21"/>
              </w:rPr>
            </w:pPr>
          </w:p>
        </w:tc>
        <w:tc>
          <w:tcPr>
            <w:tcW w:w="763" w:type="pct"/>
            <w:shd w:val="clear" w:color="auto" w:fill="BDD6EE" w:themeFill="accent5" w:themeFillTint="66"/>
            <w:tcMar>
              <w:left w:w="0" w:type="dxa"/>
              <w:right w:w="0" w:type="dxa"/>
            </w:tcMar>
          </w:tcPr>
          <w:p w14:paraId="02BCF213" w14:textId="77777777" w:rsidR="00DE49A8" w:rsidRPr="007C5A6E" w:rsidRDefault="00DE49A8" w:rsidP="005D3FF4">
            <w:pPr>
              <w:spacing w:after="0" w:line="240" w:lineRule="auto"/>
              <w:jc w:val="center"/>
              <w:rPr>
                <w:rFonts w:ascii="Times New Roman" w:hAnsi="Times New Roman"/>
                <w:sz w:val="21"/>
                <w:szCs w:val="21"/>
              </w:rPr>
            </w:pPr>
          </w:p>
        </w:tc>
      </w:tr>
    </w:tbl>
    <w:p w14:paraId="632971D3" w14:textId="77777777" w:rsidR="00DE49A8" w:rsidRPr="007C5A6E" w:rsidRDefault="00DE49A8" w:rsidP="00DE49A8">
      <w:pPr>
        <w:spacing w:after="0" w:line="240" w:lineRule="auto"/>
        <w:rPr>
          <w:rFonts w:ascii="Times New Roman" w:hAnsi="Times New Roman"/>
          <w:sz w:val="24"/>
          <w:szCs w:val="24"/>
        </w:rPr>
      </w:pPr>
    </w:p>
    <w:p w14:paraId="07F334A8" w14:textId="77777777" w:rsidR="009A2EA6" w:rsidRPr="007C5A6E" w:rsidRDefault="009A2EA6" w:rsidP="00DE49A8">
      <w:pPr>
        <w:spacing w:after="0" w:line="240" w:lineRule="auto"/>
        <w:rPr>
          <w:rFonts w:ascii="Times New Roman" w:hAnsi="Times New Roman"/>
          <w:sz w:val="24"/>
          <w:szCs w:val="24"/>
        </w:rPr>
      </w:pPr>
    </w:p>
    <w:p w14:paraId="547355E8" w14:textId="77777777" w:rsidR="009A2EA6" w:rsidRPr="007C5A6E" w:rsidRDefault="009A2EA6" w:rsidP="00DE49A8">
      <w:pPr>
        <w:spacing w:after="0" w:line="240" w:lineRule="auto"/>
        <w:rPr>
          <w:rFonts w:ascii="Times New Roman" w:hAnsi="Times New Roman"/>
          <w:sz w:val="24"/>
          <w:szCs w:val="24"/>
        </w:rPr>
      </w:pPr>
    </w:p>
    <w:p w14:paraId="48009347" w14:textId="77777777" w:rsidR="00DE49A8" w:rsidRPr="007C5A6E" w:rsidRDefault="00DE49A8" w:rsidP="00712C43">
      <w:pPr>
        <w:pStyle w:val="Titre2"/>
      </w:pPr>
      <w:bookmarkStart w:id="1295" w:name="_Toc183340272"/>
      <w:r w:rsidRPr="007C5A6E">
        <w:t>Impacts des catastrophes naturelles</w:t>
      </w:r>
      <w:bookmarkEnd w:id="1295"/>
    </w:p>
    <w:p w14:paraId="591EECA6" w14:textId="77777777" w:rsidR="00DE49A8" w:rsidRPr="007C5A6E" w:rsidRDefault="00DE49A8" w:rsidP="009A2EA6">
      <w:pPr>
        <w:pStyle w:val="Sansinterligne"/>
      </w:pPr>
    </w:p>
    <w:p w14:paraId="12697EB0" w14:textId="4F71F60F" w:rsidR="00DE49A8" w:rsidRPr="007C5A6E" w:rsidRDefault="00DE49A8" w:rsidP="009A2EA6">
      <w:pPr>
        <w:autoSpaceDE w:val="0"/>
        <w:autoSpaceDN w:val="0"/>
        <w:adjustRightInd w:val="0"/>
        <w:spacing w:after="0" w:line="240" w:lineRule="auto"/>
        <w:jc w:val="both"/>
        <w:rPr>
          <w:rFonts w:ascii="Times New Roman" w:hAnsi="Times New Roman"/>
          <w:color w:val="000000"/>
          <w:sz w:val="24"/>
          <w:szCs w:val="24"/>
        </w:rPr>
      </w:pPr>
      <w:r w:rsidRPr="007C5A6E">
        <w:rPr>
          <w:rFonts w:ascii="Times New Roman" w:hAnsi="Times New Roman"/>
          <w:color w:val="000000"/>
          <w:sz w:val="24"/>
          <w:szCs w:val="24"/>
        </w:rPr>
        <w:t xml:space="preserve">Selon des rapports annuels du SP/CONASUR disponibles, </w:t>
      </w:r>
      <w:r w:rsidR="009A2EA6" w:rsidRPr="007C5A6E">
        <w:rPr>
          <w:rFonts w:ascii="Times New Roman" w:hAnsi="Times New Roman"/>
          <w:color w:val="000000"/>
          <w:sz w:val="24"/>
          <w:szCs w:val="24"/>
        </w:rPr>
        <w:t xml:space="preserve">les impacts chiffrés des inondations et des sécheresses sont illustrés dans </w:t>
      </w:r>
      <w:r w:rsidRPr="007C5A6E">
        <w:rPr>
          <w:rFonts w:ascii="Times New Roman" w:hAnsi="Times New Roman"/>
          <w:color w:val="000000"/>
          <w:sz w:val="24"/>
          <w:szCs w:val="24"/>
        </w:rPr>
        <w:t xml:space="preserve">les tableaux </w:t>
      </w:r>
      <w:r w:rsidR="003E3C3C" w:rsidRPr="007C5A6E">
        <w:rPr>
          <w:rFonts w:ascii="Times New Roman" w:hAnsi="Times New Roman"/>
          <w:color w:val="000000"/>
          <w:sz w:val="24"/>
          <w:szCs w:val="24"/>
        </w:rPr>
        <w:t>5</w:t>
      </w:r>
      <w:r w:rsidR="004B5E36" w:rsidRPr="007C5A6E">
        <w:rPr>
          <w:rFonts w:ascii="Times New Roman" w:hAnsi="Times New Roman"/>
          <w:color w:val="000000"/>
          <w:sz w:val="24"/>
          <w:szCs w:val="24"/>
        </w:rPr>
        <w:t>9</w:t>
      </w:r>
      <w:r w:rsidRPr="007C5A6E">
        <w:rPr>
          <w:rFonts w:ascii="Times New Roman" w:hAnsi="Times New Roman"/>
          <w:color w:val="000000"/>
          <w:sz w:val="24"/>
          <w:szCs w:val="24"/>
        </w:rPr>
        <w:t xml:space="preserve"> et </w:t>
      </w:r>
      <w:r w:rsidR="004B5E36" w:rsidRPr="007C5A6E">
        <w:rPr>
          <w:rFonts w:ascii="Times New Roman" w:hAnsi="Times New Roman"/>
          <w:color w:val="000000"/>
          <w:sz w:val="24"/>
          <w:szCs w:val="24"/>
        </w:rPr>
        <w:t>60</w:t>
      </w:r>
      <w:r w:rsidRPr="007C5A6E">
        <w:rPr>
          <w:rFonts w:ascii="Times New Roman" w:hAnsi="Times New Roman"/>
          <w:color w:val="000000"/>
          <w:sz w:val="24"/>
          <w:szCs w:val="24"/>
        </w:rPr>
        <w:t>.</w:t>
      </w:r>
    </w:p>
    <w:p w14:paraId="742DEC5E" w14:textId="77777777" w:rsidR="00DE49A8" w:rsidRPr="007C5A6E" w:rsidRDefault="00DE49A8" w:rsidP="009A2EA6">
      <w:pPr>
        <w:pStyle w:val="Sansinterligne"/>
      </w:pPr>
    </w:p>
    <w:p w14:paraId="20D1C876" w14:textId="20BDF9BB" w:rsidR="00DE49A8" w:rsidRPr="007C5A6E" w:rsidRDefault="00DE49A8" w:rsidP="009A2EA6">
      <w:pPr>
        <w:pStyle w:val="Titre3"/>
      </w:pPr>
      <w:bookmarkStart w:id="1296" w:name="_Toc182582663"/>
      <w:bookmarkStart w:id="1297" w:name="_Toc183340273"/>
      <w:r w:rsidRPr="007C5A6E">
        <w:t xml:space="preserve">Les impacts </w:t>
      </w:r>
      <w:r w:rsidR="009A2EA6" w:rsidRPr="007C5A6E">
        <w:t>à caractère</w:t>
      </w:r>
      <w:r w:rsidRPr="007C5A6E">
        <w:t xml:space="preserve"> social</w:t>
      </w:r>
      <w:bookmarkEnd w:id="1296"/>
      <w:bookmarkEnd w:id="1297"/>
    </w:p>
    <w:p w14:paraId="2B042984" w14:textId="77777777" w:rsidR="00DE49A8" w:rsidRPr="007C5A6E" w:rsidRDefault="00DE49A8" w:rsidP="009A2EA6">
      <w:pPr>
        <w:pStyle w:val="Sansinterligne"/>
      </w:pPr>
    </w:p>
    <w:p w14:paraId="145D9385" w14:textId="5BE07821" w:rsidR="006C73AB" w:rsidRPr="007C5A6E" w:rsidRDefault="006C73AB" w:rsidP="009A2EA6">
      <w:pPr>
        <w:pStyle w:val="Lgende"/>
        <w:spacing w:after="0"/>
        <w:rPr>
          <w:rFonts w:ascii="Times New Roman" w:hAnsi="Times New Roman"/>
          <w:i w:val="0"/>
          <w:iCs w:val="0"/>
          <w:color w:val="auto"/>
          <w:sz w:val="24"/>
          <w:szCs w:val="24"/>
        </w:rPr>
      </w:pPr>
      <w:bookmarkStart w:id="1298" w:name="_Toc183241021"/>
      <w:bookmarkStart w:id="1299" w:name="_Toc183292263"/>
      <w:bookmarkStart w:id="1300" w:name="_Toc183340543"/>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9A2EA6" w:rsidRPr="007C5A6E">
        <w:rPr>
          <w:rFonts w:ascii="Times New Roman" w:hAnsi="Times New Roman"/>
          <w:i w:val="0"/>
          <w:iCs w:val="0"/>
          <w:noProof/>
          <w:color w:val="auto"/>
          <w:sz w:val="24"/>
          <w:szCs w:val="24"/>
        </w:rPr>
        <w:t>59</w:t>
      </w:r>
      <w:r w:rsidRPr="007C5A6E">
        <w:rPr>
          <w:rFonts w:ascii="Times New Roman" w:hAnsi="Times New Roman"/>
          <w:i w:val="0"/>
          <w:iCs w:val="0"/>
          <w:color w:val="auto"/>
          <w:sz w:val="24"/>
          <w:szCs w:val="24"/>
        </w:rPr>
        <w:fldChar w:fldCharType="end"/>
      </w:r>
      <w:r w:rsidRPr="007C5A6E">
        <w:rPr>
          <w:rFonts w:ascii="Times New Roman" w:hAnsi="Times New Roman"/>
          <w:i w:val="0"/>
          <w:iCs w:val="0"/>
          <w:color w:val="auto"/>
          <w:sz w:val="24"/>
          <w:szCs w:val="24"/>
        </w:rPr>
        <w:t xml:space="preserve"> : </w:t>
      </w:r>
      <w:r w:rsidR="008A410C" w:rsidRPr="007C5A6E">
        <w:rPr>
          <w:rFonts w:ascii="Times New Roman" w:hAnsi="Times New Roman"/>
          <w:i w:val="0"/>
          <w:iCs w:val="0"/>
          <w:color w:val="auto"/>
          <w:sz w:val="24"/>
          <w:szCs w:val="24"/>
        </w:rPr>
        <w:t>Impacts sociaux des inondations et des sécheresses</w:t>
      </w:r>
      <w:bookmarkEnd w:id="1298"/>
      <w:r w:rsidR="009A2EA6" w:rsidRPr="007C5A6E">
        <w:rPr>
          <w:rFonts w:ascii="Times New Roman" w:hAnsi="Times New Roman"/>
          <w:i w:val="0"/>
          <w:iCs w:val="0"/>
          <w:color w:val="auto"/>
          <w:sz w:val="24"/>
          <w:szCs w:val="24"/>
        </w:rPr>
        <w:t xml:space="preserve"> documentés entre 1988 et 2021</w:t>
      </w:r>
      <w:bookmarkEnd w:id="1299"/>
      <w:bookmarkEnd w:id="1300"/>
    </w:p>
    <w:p w14:paraId="59B96DD7" w14:textId="095699DC" w:rsidR="00DE49A8" w:rsidRPr="007C5A6E" w:rsidRDefault="00DE49A8" w:rsidP="009A2EA6">
      <w:pPr>
        <w:pStyle w:val="Sansinterligne"/>
      </w:pPr>
    </w:p>
    <w:tbl>
      <w:tblPr>
        <w:tblStyle w:val="Grilledutableau1"/>
        <w:tblW w:w="5000" w:type="pct"/>
        <w:tblCellMar>
          <w:left w:w="0" w:type="dxa"/>
          <w:right w:w="0" w:type="dxa"/>
        </w:tblCellMar>
        <w:tblLook w:val="04A0" w:firstRow="1" w:lastRow="0" w:firstColumn="1" w:lastColumn="0" w:noHBand="0" w:noVBand="1"/>
      </w:tblPr>
      <w:tblGrid>
        <w:gridCol w:w="794"/>
        <w:gridCol w:w="1398"/>
        <w:gridCol w:w="1995"/>
        <w:gridCol w:w="1596"/>
        <w:gridCol w:w="1796"/>
        <w:gridCol w:w="1596"/>
      </w:tblGrid>
      <w:tr w:rsidR="00DE49A8" w:rsidRPr="007C5A6E" w14:paraId="3BDCF1AA" w14:textId="77777777" w:rsidTr="005D3FF4">
        <w:tc>
          <w:tcPr>
            <w:tcW w:w="432" w:type="pct"/>
            <w:vMerge w:val="restart"/>
            <w:textDirection w:val="btLr"/>
            <w:vAlign w:val="center"/>
          </w:tcPr>
          <w:p w14:paraId="39B7B67C" w14:textId="77777777" w:rsidR="00DE49A8" w:rsidRPr="007C5A6E" w:rsidRDefault="00DE49A8" w:rsidP="009A2EA6">
            <w:pPr>
              <w:spacing w:after="0" w:line="240" w:lineRule="auto"/>
              <w:ind w:left="113" w:right="113"/>
              <w:jc w:val="center"/>
              <w:rPr>
                <w:rFonts w:ascii="Times New Roman" w:hAnsi="Times New Roman"/>
                <w:sz w:val="21"/>
                <w:szCs w:val="21"/>
              </w:rPr>
            </w:pPr>
            <w:r w:rsidRPr="007C5A6E">
              <w:rPr>
                <w:rFonts w:ascii="Times New Roman" w:hAnsi="Times New Roman"/>
                <w:sz w:val="21"/>
                <w:szCs w:val="21"/>
              </w:rPr>
              <w:t>Inondations</w:t>
            </w:r>
          </w:p>
        </w:tc>
        <w:tc>
          <w:tcPr>
            <w:tcW w:w="762" w:type="pct"/>
            <w:vAlign w:val="center"/>
          </w:tcPr>
          <w:p w14:paraId="57E083AB"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Année</w:t>
            </w:r>
          </w:p>
        </w:tc>
        <w:tc>
          <w:tcPr>
            <w:tcW w:w="1087" w:type="pct"/>
            <w:vAlign w:val="center"/>
          </w:tcPr>
          <w:p w14:paraId="5B28220B"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Personnes sinistrées</w:t>
            </w:r>
          </w:p>
        </w:tc>
        <w:tc>
          <w:tcPr>
            <w:tcW w:w="870" w:type="pct"/>
            <w:vAlign w:val="center"/>
          </w:tcPr>
          <w:p w14:paraId="2DAEE18E"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Blessés</w:t>
            </w:r>
          </w:p>
        </w:tc>
        <w:tc>
          <w:tcPr>
            <w:tcW w:w="979" w:type="pct"/>
            <w:vAlign w:val="center"/>
          </w:tcPr>
          <w:p w14:paraId="290FCB18"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Pertes en vies humaines</w:t>
            </w:r>
          </w:p>
        </w:tc>
        <w:tc>
          <w:tcPr>
            <w:tcW w:w="870" w:type="pct"/>
            <w:vAlign w:val="center"/>
          </w:tcPr>
          <w:p w14:paraId="5DEF2EA2"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Forte migration</w:t>
            </w:r>
          </w:p>
        </w:tc>
      </w:tr>
      <w:tr w:rsidR="00DE49A8" w:rsidRPr="007C5A6E" w14:paraId="1722DF02" w14:textId="77777777" w:rsidTr="005D3FF4">
        <w:tc>
          <w:tcPr>
            <w:tcW w:w="432" w:type="pct"/>
            <w:vMerge/>
            <w:textDirection w:val="btLr"/>
            <w:vAlign w:val="center"/>
          </w:tcPr>
          <w:p w14:paraId="262FE76B" w14:textId="77777777" w:rsidR="00DE49A8" w:rsidRPr="007C5A6E" w:rsidRDefault="00DE49A8" w:rsidP="009A2EA6">
            <w:pPr>
              <w:spacing w:after="0" w:line="240" w:lineRule="auto"/>
              <w:ind w:left="113" w:right="113"/>
              <w:jc w:val="center"/>
              <w:rPr>
                <w:rFonts w:ascii="Times New Roman" w:hAnsi="Times New Roman"/>
                <w:sz w:val="21"/>
                <w:szCs w:val="21"/>
              </w:rPr>
            </w:pPr>
          </w:p>
        </w:tc>
        <w:tc>
          <w:tcPr>
            <w:tcW w:w="762" w:type="pct"/>
            <w:vAlign w:val="center"/>
          </w:tcPr>
          <w:p w14:paraId="16CDB37D" w14:textId="77777777" w:rsidR="00DE49A8" w:rsidRPr="007C5A6E" w:rsidRDefault="00DE49A8" w:rsidP="009A2EA6">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1988</w:t>
            </w:r>
          </w:p>
        </w:tc>
        <w:tc>
          <w:tcPr>
            <w:tcW w:w="1087" w:type="pct"/>
            <w:vAlign w:val="center"/>
          </w:tcPr>
          <w:p w14:paraId="6C6B7E0D"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14900</w:t>
            </w:r>
          </w:p>
        </w:tc>
        <w:tc>
          <w:tcPr>
            <w:tcW w:w="870" w:type="pct"/>
            <w:vAlign w:val="center"/>
          </w:tcPr>
          <w:p w14:paraId="72CFA90A" w14:textId="77777777" w:rsidR="00DE49A8" w:rsidRPr="007C5A6E" w:rsidRDefault="00DE49A8" w:rsidP="009A2EA6">
            <w:pPr>
              <w:spacing w:after="0" w:line="240" w:lineRule="auto"/>
              <w:jc w:val="center"/>
              <w:rPr>
                <w:rFonts w:ascii="Times New Roman" w:hAnsi="Times New Roman"/>
                <w:sz w:val="21"/>
                <w:szCs w:val="21"/>
              </w:rPr>
            </w:pPr>
          </w:p>
        </w:tc>
        <w:tc>
          <w:tcPr>
            <w:tcW w:w="979" w:type="pct"/>
            <w:vAlign w:val="center"/>
          </w:tcPr>
          <w:p w14:paraId="2394C943" w14:textId="77777777" w:rsidR="00DE49A8" w:rsidRPr="007C5A6E" w:rsidRDefault="00DE49A8" w:rsidP="009A2EA6">
            <w:pPr>
              <w:spacing w:after="0" w:line="240" w:lineRule="auto"/>
              <w:jc w:val="center"/>
              <w:rPr>
                <w:rFonts w:ascii="Times New Roman" w:hAnsi="Times New Roman"/>
                <w:sz w:val="21"/>
                <w:szCs w:val="21"/>
              </w:rPr>
            </w:pPr>
          </w:p>
        </w:tc>
        <w:tc>
          <w:tcPr>
            <w:tcW w:w="870" w:type="pct"/>
            <w:vAlign w:val="center"/>
          </w:tcPr>
          <w:p w14:paraId="1DF9E715"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7A56EBF1" w14:textId="77777777" w:rsidTr="005D3FF4">
        <w:tc>
          <w:tcPr>
            <w:tcW w:w="432" w:type="pct"/>
            <w:vMerge/>
            <w:textDirection w:val="btLr"/>
            <w:vAlign w:val="center"/>
          </w:tcPr>
          <w:p w14:paraId="2FD2030E" w14:textId="77777777" w:rsidR="00DE49A8" w:rsidRPr="007C5A6E" w:rsidRDefault="00DE49A8" w:rsidP="009A2EA6">
            <w:pPr>
              <w:spacing w:after="0" w:line="240" w:lineRule="auto"/>
              <w:ind w:left="113" w:right="113"/>
              <w:jc w:val="center"/>
              <w:rPr>
                <w:rFonts w:ascii="Times New Roman" w:hAnsi="Times New Roman"/>
                <w:sz w:val="21"/>
                <w:szCs w:val="21"/>
              </w:rPr>
            </w:pPr>
          </w:p>
        </w:tc>
        <w:tc>
          <w:tcPr>
            <w:tcW w:w="762" w:type="pct"/>
            <w:vAlign w:val="center"/>
          </w:tcPr>
          <w:p w14:paraId="26CBF3D3" w14:textId="77777777" w:rsidR="00DE49A8" w:rsidRPr="007C5A6E" w:rsidRDefault="00DE49A8" w:rsidP="009A2EA6">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1992</w:t>
            </w:r>
          </w:p>
        </w:tc>
        <w:tc>
          <w:tcPr>
            <w:tcW w:w="1087" w:type="pct"/>
            <w:vAlign w:val="center"/>
          </w:tcPr>
          <w:p w14:paraId="7955A0EB"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21400</w:t>
            </w:r>
          </w:p>
        </w:tc>
        <w:tc>
          <w:tcPr>
            <w:tcW w:w="870" w:type="pct"/>
            <w:vAlign w:val="center"/>
          </w:tcPr>
          <w:p w14:paraId="650B4B35" w14:textId="77777777" w:rsidR="00DE49A8" w:rsidRPr="007C5A6E" w:rsidRDefault="00DE49A8" w:rsidP="009A2EA6">
            <w:pPr>
              <w:spacing w:after="0" w:line="240" w:lineRule="auto"/>
              <w:jc w:val="center"/>
              <w:rPr>
                <w:rFonts w:ascii="Times New Roman" w:hAnsi="Times New Roman"/>
                <w:sz w:val="21"/>
                <w:szCs w:val="21"/>
              </w:rPr>
            </w:pPr>
          </w:p>
        </w:tc>
        <w:tc>
          <w:tcPr>
            <w:tcW w:w="979" w:type="pct"/>
            <w:vAlign w:val="center"/>
          </w:tcPr>
          <w:p w14:paraId="7D51298F" w14:textId="77777777" w:rsidR="00DE49A8" w:rsidRPr="007C5A6E" w:rsidRDefault="00DE49A8" w:rsidP="009A2EA6">
            <w:pPr>
              <w:spacing w:after="0" w:line="240" w:lineRule="auto"/>
              <w:jc w:val="center"/>
              <w:rPr>
                <w:rFonts w:ascii="Times New Roman" w:hAnsi="Times New Roman"/>
                <w:sz w:val="21"/>
                <w:szCs w:val="21"/>
              </w:rPr>
            </w:pPr>
          </w:p>
        </w:tc>
        <w:tc>
          <w:tcPr>
            <w:tcW w:w="870" w:type="pct"/>
            <w:vAlign w:val="center"/>
          </w:tcPr>
          <w:p w14:paraId="2DB45613"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57E190F7" w14:textId="77777777" w:rsidTr="005D3FF4">
        <w:tc>
          <w:tcPr>
            <w:tcW w:w="432" w:type="pct"/>
            <w:vMerge/>
            <w:textDirection w:val="btLr"/>
            <w:vAlign w:val="center"/>
          </w:tcPr>
          <w:p w14:paraId="73A682F8" w14:textId="77777777" w:rsidR="00DE49A8" w:rsidRPr="007C5A6E" w:rsidRDefault="00DE49A8" w:rsidP="009A2EA6">
            <w:pPr>
              <w:spacing w:after="0" w:line="240" w:lineRule="auto"/>
              <w:ind w:left="113" w:right="113"/>
              <w:jc w:val="center"/>
              <w:rPr>
                <w:rFonts w:ascii="Times New Roman" w:hAnsi="Times New Roman"/>
                <w:sz w:val="21"/>
                <w:szCs w:val="21"/>
              </w:rPr>
            </w:pPr>
          </w:p>
        </w:tc>
        <w:tc>
          <w:tcPr>
            <w:tcW w:w="762" w:type="pct"/>
            <w:vAlign w:val="center"/>
          </w:tcPr>
          <w:p w14:paraId="55FB5F33" w14:textId="77777777" w:rsidR="00DE49A8" w:rsidRPr="007C5A6E" w:rsidRDefault="00DE49A8" w:rsidP="009A2EA6">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1994</w:t>
            </w:r>
          </w:p>
        </w:tc>
        <w:tc>
          <w:tcPr>
            <w:tcW w:w="1087" w:type="pct"/>
            <w:vAlign w:val="center"/>
          </w:tcPr>
          <w:p w14:paraId="27801227"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68000</w:t>
            </w:r>
          </w:p>
        </w:tc>
        <w:tc>
          <w:tcPr>
            <w:tcW w:w="870" w:type="pct"/>
            <w:vAlign w:val="center"/>
          </w:tcPr>
          <w:p w14:paraId="774527D9" w14:textId="77777777" w:rsidR="00DE49A8" w:rsidRPr="007C5A6E" w:rsidRDefault="00DE49A8" w:rsidP="009A2EA6">
            <w:pPr>
              <w:spacing w:after="0" w:line="240" w:lineRule="auto"/>
              <w:jc w:val="center"/>
              <w:rPr>
                <w:rFonts w:ascii="Times New Roman" w:hAnsi="Times New Roman"/>
                <w:sz w:val="21"/>
                <w:szCs w:val="21"/>
              </w:rPr>
            </w:pPr>
          </w:p>
        </w:tc>
        <w:tc>
          <w:tcPr>
            <w:tcW w:w="979" w:type="pct"/>
            <w:vAlign w:val="center"/>
          </w:tcPr>
          <w:p w14:paraId="3316AD30" w14:textId="77777777" w:rsidR="00DE49A8" w:rsidRPr="007C5A6E" w:rsidRDefault="00DE49A8" w:rsidP="009A2EA6">
            <w:pPr>
              <w:spacing w:after="0" w:line="240" w:lineRule="auto"/>
              <w:jc w:val="center"/>
              <w:rPr>
                <w:rFonts w:ascii="Times New Roman" w:hAnsi="Times New Roman"/>
                <w:sz w:val="21"/>
                <w:szCs w:val="21"/>
              </w:rPr>
            </w:pPr>
          </w:p>
        </w:tc>
        <w:tc>
          <w:tcPr>
            <w:tcW w:w="870" w:type="pct"/>
            <w:vAlign w:val="center"/>
          </w:tcPr>
          <w:p w14:paraId="07FEDFEF"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76972CCD" w14:textId="77777777" w:rsidTr="005D3FF4">
        <w:tc>
          <w:tcPr>
            <w:tcW w:w="432" w:type="pct"/>
            <w:vMerge/>
            <w:textDirection w:val="btLr"/>
            <w:vAlign w:val="center"/>
          </w:tcPr>
          <w:p w14:paraId="038335F7" w14:textId="77777777" w:rsidR="00DE49A8" w:rsidRPr="007C5A6E" w:rsidRDefault="00DE49A8" w:rsidP="009A2EA6">
            <w:pPr>
              <w:spacing w:after="0" w:line="240" w:lineRule="auto"/>
              <w:ind w:left="113" w:right="113"/>
              <w:jc w:val="center"/>
              <w:rPr>
                <w:rFonts w:ascii="Times New Roman" w:hAnsi="Times New Roman"/>
                <w:sz w:val="21"/>
                <w:szCs w:val="21"/>
              </w:rPr>
            </w:pPr>
          </w:p>
        </w:tc>
        <w:tc>
          <w:tcPr>
            <w:tcW w:w="762" w:type="pct"/>
            <w:vAlign w:val="center"/>
          </w:tcPr>
          <w:p w14:paraId="5BB9FD3A"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2006</w:t>
            </w:r>
          </w:p>
        </w:tc>
        <w:tc>
          <w:tcPr>
            <w:tcW w:w="1087" w:type="pct"/>
            <w:vAlign w:val="center"/>
          </w:tcPr>
          <w:p w14:paraId="09347244"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11.464</w:t>
            </w:r>
          </w:p>
        </w:tc>
        <w:tc>
          <w:tcPr>
            <w:tcW w:w="870" w:type="pct"/>
            <w:vAlign w:val="center"/>
          </w:tcPr>
          <w:p w14:paraId="3C104629" w14:textId="77777777" w:rsidR="00DE49A8" w:rsidRPr="007C5A6E" w:rsidRDefault="00DE49A8" w:rsidP="009A2EA6">
            <w:pPr>
              <w:spacing w:after="0" w:line="240" w:lineRule="auto"/>
              <w:jc w:val="center"/>
              <w:rPr>
                <w:rFonts w:ascii="Times New Roman" w:hAnsi="Times New Roman"/>
                <w:sz w:val="21"/>
                <w:szCs w:val="21"/>
              </w:rPr>
            </w:pPr>
          </w:p>
        </w:tc>
        <w:tc>
          <w:tcPr>
            <w:tcW w:w="979" w:type="pct"/>
            <w:vAlign w:val="center"/>
          </w:tcPr>
          <w:p w14:paraId="57607A38" w14:textId="77777777" w:rsidR="00DE49A8" w:rsidRPr="007C5A6E" w:rsidRDefault="00DE49A8" w:rsidP="009A2EA6">
            <w:pPr>
              <w:spacing w:after="0" w:line="240" w:lineRule="auto"/>
              <w:jc w:val="center"/>
              <w:rPr>
                <w:rFonts w:ascii="Times New Roman" w:hAnsi="Times New Roman"/>
                <w:sz w:val="21"/>
                <w:szCs w:val="21"/>
              </w:rPr>
            </w:pPr>
          </w:p>
        </w:tc>
        <w:tc>
          <w:tcPr>
            <w:tcW w:w="870" w:type="pct"/>
            <w:vAlign w:val="center"/>
          </w:tcPr>
          <w:p w14:paraId="2B3DA2B1"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19323D0E" w14:textId="77777777" w:rsidTr="005D3FF4">
        <w:tc>
          <w:tcPr>
            <w:tcW w:w="432" w:type="pct"/>
            <w:vMerge/>
          </w:tcPr>
          <w:p w14:paraId="209E9FC6" w14:textId="77777777" w:rsidR="00DE49A8" w:rsidRPr="007C5A6E" w:rsidRDefault="00DE49A8" w:rsidP="009A2EA6">
            <w:pPr>
              <w:spacing w:after="0" w:line="240" w:lineRule="auto"/>
              <w:rPr>
                <w:rFonts w:ascii="Times New Roman" w:hAnsi="Times New Roman"/>
                <w:sz w:val="21"/>
                <w:szCs w:val="21"/>
              </w:rPr>
            </w:pPr>
          </w:p>
        </w:tc>
        <w:tc>
          <w:tcPr>
            <w:tcW w:w="762" w:type="pct"/>
            <w:vAlign w:val="center"/>
          </w:tcPr>
          <w:p w14:paraId="0064269B"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2007</w:t>
            </w:r>
          </w:p>
        </w:tc>
        <w:tc>
          <w:tcPr>
            <w:tcW w:w="1087" w:type="pct"/>
            <w:vAlign w:val="center"/>
          </w:tcPr>
          <w:p w14:paraId="1D29BA37"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146.202</w:t>
            </w:r>
          </w:p>
        </w:tc>
        <w:tc>
          <w:tcPr>
            <w:tcW w:w="870" w:type="pct"/>
            <w:vAlign w:val="center"/>
          </w:tcPr>
          <w:p w14:paraId="64D98268"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74</w:t>
            </w:r>
          </w:p>
        </w:tc>
        <w:tc>
          <w:tcPr>
            <w:tcW w:w="979" w:type="pct"/>
            <w:vAlign w:val="center"/>
          </w:tcPr>
          <w:p w14:paraId="076CC160"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83</w:t>
            </w:r>
          </w:p>
        </w:tc>
        <w:tc>
          <w:tcPr>
            <w:tcW w:w="870" w:type="pct"/>
            <w:vAlign w:val="center"/>
          </w:tcPr>
          <w:p w14:paraId="7243416F"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18512233" w14:textId="77777777" w:rsidTr="005D3FF4">
        <w:tc>
          <w:tcPr>
            <w:tcW w:w="432" w:type="pct"/>
            <w:vMerge/>
          </w:tcPr>
          <w:p w14:paraId="375D1422" w14:textId="77777777" w:rsidR="00DE49A8" w:rsidRPr="007C5A6E" w:rsidRDefault="00DE49A8" w:rsidP="009A2EA6">
            <w:pPr>
              <w:spacing w:after="0" w:line="240" w:lineRule="auto"/>
              <w:rPr>
                <w:rFonts w:ascii="Times New Roman" w:hAnsi="Times New Roman"/>
                <w:sz w:val="21"/>
                <w:szCs w:val="21"/>
              </w:rPr>
            </w:pPr>
          </w:p>
        </w:tc>
        <w:tc>
          <w:tcPr>
            <w:tcW w:w="762" w:type="pct"/>
            <w:vAlign w:val="center"/>
          </w:tcPr>
          <w:p w14:paraId="08DA3239"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2008</w:t>
            </w:r>
          </w:p>
        </w:tc>
        <w:tc>
          <w:tcPr>
            <w:tcW w:w="1087" w:type="pct"/>
            <w:vAlign w:val="center"/>
          </w:tcPr>
          <w:p w14:paraId="35C56E54"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24.676</w:t>
            </w:r>
          </w:p>
        </w:tc>
        <w:tc>
          <w:tcPr>
            <w:tcW w:w="870" w:type="pct"/>
            <w:vAlign w:val="center"/>
          </w:tcPr>
          <w:p w14:paraId="72265A23"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54</w:t>
            </w:r>
          </w:p>
        </w:tc>
        <w:tc>
          <w:tcPr>
            <w:tcW w:w="979" w:type="pct"/>
            <w:vAlign w:val="center"/>
          </w:tcPr>
          <w:p w14:paraId="445CF7D0"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6</w:t>
            </w:r>
          </w:p>
        </w:tc>
        <w:tc>
          <w:tcPr>
            <w:tcW w:w="870" w:type="pct"/>
            <w:vAlign w:val="center"/>
          </w:tcPr>
          <w:p w14:paraId="3D9BAD38"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173EE0F6" w14:textId="77777777" w:rsidTr="005D3FF4">
        <w:tc>
          <w:tcPr>
            <w:tcW w:w="432" w:type="pct"/>
            <w:vMerge/>
          </w:tcPr>
          <w:p w14:paraId="7B99C4BB" w14:textId="77777777" w:rsidR="00DE49A8" w:rsidRPr="007C5A6E" w:rsidRDefault="00DE49A8" w:rsidP="009A2EA6">
            <w:pPr>
              <w:spacing w:after="0" w:line="240" w:lineRule="auto"/>
              <w:rPr>
                <w:rFonts w:ascii="Times New Roman" w:hAnsi="Times New Roman"/>
                <w:sz w:val="21"/>
                <w:szCs w:val="21"/>
              </w:rPr>
            </w:pPr>
          </w:p>
        </w:tc>
        <w:tc>
          <w:tcPr>
            <w:tcW w:w="762" w:type="pct"/>
            <w:vAlign w:val="center"/>
          </w:tcPr>
          <w:p w14:paraId="551D41B4"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2009</w:t>
            </w:r>
          </w:p>
        </w:tc>
        <w:tc>
          <w:tcPr>
            <w:tcW w:w="1087" w:type="pct"/>
            <w:vAlign w:val="center"/>
          </w:tcPr>
          <w:p w14:paraId="5E6E7553"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180.386</w:t>
            </w:r>
          </w:p>
        </w:tc>
        <w:tc>
          <w:tcPr>
            <w:tcW w:w="870" w:type="pct"/>
            <w:vAlign w:val="center"/>
          </w:tcPr>
          <w:p w14:paraId="4E97D050"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63</w:t>
            </w:r>
          </w:p>
        </w:tc>
        <w:tc>
          <w:tcPr>
            <w:tcW w:w="979" w:type="pct"/>
            <w:vAlign w:val="center"/>
          </w:tcPr>
          <w:p w14:paraId="311F5AC4"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46</w:t>
            </w:r>
          </w:p>
        </w:tc>
        <w:tc>
          <w:tcPr>
            <w:tcW w:w="870" w:type="pct"/>
            <w:vAlign w:val="center"/>
          </w:tcPr>
          <w:p w14:paraId="1AE9D28B" w14:textId="77777777" w:rsidR="00DE49A8" w:rsidRPr="007C5A6E" w:rsidRDefault="00DE49A8" w:rsidP="009A2EA6">
            <w:pPr>
              <w:spacing w:after="0" w:line="240" w:lineRule="auto"/>
              <w:jc w:val="center"/>
              <w:rPr>
                <w:rFonts w:ascii="Times New Roman" w:hAnsi="Times New Roman"/>
                <w:sz w:val="21"/>
                <w:szCs w:val="21"/>
              </w:rPr>
            </w:pPr>
            <w:proofErr w:type="gramStart"/>
            <w:r w:rsidRPr="007C5A6E">
              <w:rPr>
                <w:rFonts w:ascii="Times New Roman" w:hAnsi="Times New Roman"/>
                <w:sz w:val="21"/>
                <w:szCs w:val="21"/>
              </w:rPr>
              <w:t>oui</w:t>
            </w:r>
            <w:proofErr w:type="gramEnd"/>
          </w:p>
        </w:tc>
      </w:tr>
      <w:tr w:rsidR="00DE49A8" w:rsidRPr="007C5A6E" w14:paraId="26A25674" w14:textId="77777777" w:rsidTr="005D3FF4">
        <w:tc>
          <w:tcPr>
            <w:tcW w:w="432" w:type="pct"/>
            <w:vMerge/>
          </w:tcPr>
          <w:p w14:paraId="6248F543" w14:textId="77777777" w:rsidR="00DE49A8" w:rsidRPr="007C5A6E" w:rsidRDefault="00DE49A8" w:rsidP="009A2EA6">
            <w:pPr>
              <w:spacing w:after="0" w:line="240" w:lineRule="auto"/>
              <w:rPr>
                <w:rFonts w:ascii="Times New Roman" w:hAnsi="Times New Roman"/>
                <w:sz w:val="21"/>
                <w:szCs w:val="21"/>
              </w:rPr>
            </w:pPr>
          </w:p>
        </w:tc>
        <w:tc>
          <w:tcPr>
            <w:tcW w:w="762" w:type="pct"/>
            <w:vAlign w:val="center"/>
          </w:tcPr>
          <w:p w14:paraId="23F5F883"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2010</w:t>
            </w:r>
          </w:p>
        </w:tc>
        <w:tc>
          <w:tcPr>
            <w:tcW w:w="1087" w:type="pct"/>
            <w:vAlign w:val="center"/>
          </w:tcPr>
          <w:p w14:paraId="2E4B8605"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173.226</w:t>
            </w:r>
          </w:p>
        </w:tc>
        <w:tc>
          <w:tcPr>
            <w:tcW w:w="870" w:type="pct"/>
            <w:vAlign w:val="center"/>
          </w:tcPr>
          <w:p w14:paraId="22612BC9"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46</w:t>
            </w:r>
          </w:p>
        </w:tc>
        <w:tc>
          <w:tcPr>
            <w:tcW w:w="979" w:type="pct"/>
            <w:vAlign w:val="center"/>
          </w:tcPr>
          <w:p w14:paraId="04D979D1"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30</w:t>
            </w:r>
          </w:p>
        </w:tc>
        <w:tc>
          <w:tcPr>
            <w:tcW w:w="870" w:type="pct"/>
            <w:vAlign w:val="center"/>
          </w:tcPr>
          <w:p w14:paraId="2622F875"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7AB0D09B" w14:textId="77777777" w:rsidTr="005D3FF4">
        <w:tc>
          <w:tcPr>
            <w:tcW w:w="432" w:type="pct"/>
            <w:vMerge/>
          </w:tcPr>
          <w:p w14:paraId="3CDB7197" w14:textId="77777777" w:rsidR="00DE49A8" w:rsidRPr="007C5A6E" w:rsidRDefault="00DE49A8" w:rsidP="009A2EA6">
            <w:pPr>
              <w:spacing w:after="0" w:line="240" w:lineRule="auto"/>
              <w:rPr>
                <w:rFonts w:ascii="Times New Roman" w:hAnsi="Times New Roman"/>
                <w:sz w:val="21"/>
                <w:szCs w:val="21"/>
              </w:rPr>
            </w:pPr>
          </w:p>
        </w:tc>
        <w:tc>
          <w:tcPr>
            <w:tcW w:w="762" w:type="pct"/>
            <w:vAlign w:val="center"/>
          </w:tcPr>
          <w:p w14:paraId="49A17257"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2011</w:t>
            </w:r>
          </w:p>
        </w:tc>
        <w:tc>
          <w:tcPr>
            <w:tcW w:w="1087" w:type="pct"/>
            <w:vAlign w:val="center"/>
          </w:tcPr>
          <w:p w14:paraId="51AC4E31"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8.851</w:t>
            </w:r>
          </w:p>
        </w:tc>
        <w:tc>
          <w:tcPr>
            <w:tcW w:w="870" w:type="pct"/>
            <w:vAlign w:val="center"/>
          </w:tcPr>
          <w:p w14:paraId="5A409ECB"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21</w:t>
            </w:r>
          </w:p>
        </w:tc>
        <w:tc>
          <w:tcPr>
            <w:tcW w:w="979" w:type="pct"/>
            <w:vAlign w:val="center"/>
          </w:tcPr>
          <w:p w14:paraId="7C18A849"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5</w:t>
            </w:r>
          </w:p>
        </w:tc>
        <w:tc>
          <w:tcPr>
            <w:tcW w:w="870" w:type="pct"/>
            <w:vAlign w:val="center"/>
          </w:tcPr>
          <w:p w14:paraId="58FCF0DA"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65C2BF07" w14:textId="77777777" w:rsidTr="005D3FF4">
        <w:tc>
          <w:tcPr>
            <w:tcW w:w="432" w:type="pct"/>
            <w:vMerge/>
          </w:tcPr>
          <w:p w14:paraId="6C3FBC59" w14:textId="77777777" w:rsidR="00DE49A8" w:rsidRPr="007C5A6E" w:rsidRDefault="00DE49A8" w:rsidP="009A2EA6">
            <w:pPr>
              <w:spacing w:after="0" w:line="240" w:lineRule="auto"/>
              <w:rPr>
                <w:rFonts w:ascii="Times New Roman" w:hAnsi="Times New Roman"/>
                <w:sz w:val="21"/>
                <w:szCs w:val="21"/>
              </w:rPr>
            </w:pPr>
          </w:p>
        </w:tc>
        <w:tc>
          <w:tcPr>
            <w:tcW w:w="762" w:type="pct"/>
            <w:vAlign w:val="center"/>
          </w:tcPr>
          <w:p w14:paraId="64298DDA"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2012</w:t>
            </w:r>
          </w:p>
        </w:tc>
        <w:tc>
          <w:tcPr>
            <w:tcW w:w="1087" w:type="pct"/>
            <w:vAlign w:val="center"/>
          </w:tcPr>
          <w:p w14:paraId="2933D736"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73.722</w:t>
            </w:r>
          </w:p>
        </w:tc>
        <w:tc>
          <w:tcPr>
            <w:tcW w:w="870" w:type="pct"/>
            <w:vAlign w:val="center"/>
          </w:tcPr>
          <w:p w14:paraId="44D4057D"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46</w:t>
            </w:r>
          </w:p>
        </w:tc>
        <w:tc>
          <w:tcPr>
            <w:tcW w:w="979" w:type="pct"/>
            <w:vAlign w:val="center"/>
          </w:tcPr>
          <w:p w14:paraId="14E36235"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20</w:t>
            </w:r>
          </w:p>
        </w:tc>
        <w:tc>
          <w:tcPr>
            <w:tcW w:w="870" w:type="pct"/>
            <w:vAlign w:val="center"/>
          </w:tcPr>
          <w:p w14:paraId="723B3DE7"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32968F26" w14:textId="77777777" w:rsidTr="005D3FF4">
        <w:tc>
          <w:tcPr>
            <w:tcW w:w="432" w:type="pct"/>
            <w:vMerge/>
          </w:tcPr>
          <w:p w14:paraId="7B274FF9" w14:textId="77777777" w:rsidR="00DE49A8" w:rsidRPr="007C5A6E" w:rsidRDefault="00DE49A8" w:rsidP="009A2EA6">
            <w:pPr>
              <w:spacing w:after="0" w:line="240" w:lineRule="auto"/>
              <w:rPr>
                <w:rFonts w:ascii="Times New Roman" w:hAnsi="Times New Roman"/>
                <w:sz w:val="21"/>
                <w:szCs w:val="21"/>
              </w:rPr>
            </w:pPr>
          </w:p>
        </w:tc>
        <w:tc>
          <w:tcPr>
            <w:tcW w:w="762" w:type="pct"/>
            <w:vAlign w:val="center"/>
          </w:tcPr>
          <w:p w14:paraId="2E33FAE5"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2013</w:t>
            </w:r>
          </w:p>
        </w:tc>
        <w:tc>
          <w:tcPr>
            <w:tcW w:w="1087" w:type="pct"/>
            <w:vAlign w:val="center"/>
          </w:tcPr>
          <w:p w14:paraId="1B2CEB5A"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14.971</w:t>
            </w:r>
          </w:p>
        </w:tc>
        <w:tc>
          <w:tcPr>
            <w:tcW w:w="870" w:type="pct"/>
            <w:vAlign w:val="center"/>
          </w:tcPr>
          <w:p w14:paraId="254D8C1A" w14:textId="77777777" w:rsidR="00DE49A8" w:rsidRPr="007C5A6E" w:rsidRDefault="00DE49A8" w:rsidP="009A2EA6">
            <w:pPr>
              <w:spacing w:after="0" w:line="240" w:lineRule="auto"/>
              <w:jc w:val="center"/>
              <w:rPr>
                <w:rFonts w:ascii="Times New Roman" w:hAnsi="Times New Roman"/>
                <w:sz w:val="21"/>
                <w:szCs w:val="21"/>
              </w:rPr>
            </w:pPr>
          </w:p>
        </w:tc>
        <w:tc>
          <w:tcPr>
            <w:tcW w:w="979" w:type="pct"/>
            <w:vAlign w:val="center"/>
          </w:tcPr>
          <w:p w14:paraId="2B0481F6" w14:textId="77777777" w:rsidR="00DE49A8" w:rsidRPr="007C5A6E" w:rsidRDefault="00DE49A8" w:rsidP="009A2EA6">
            <w:pPr>
              <w:spacing w:after="0" w:line="240" w:lineRule="auto"/>
              <w:jc w:val="center"/>
              <w:rPr>
                <w:rFonts w:ascii="Times New Roman" w:hAnsi="Times New Roman"/>
                <w:sz w:val="21"/>
                <w:szCs w:val="21"/>
              </w:rPr>
            </w:pPr>
          </w:p>
        </w:tc>
        <w:tc>
          <w:tcPr>
            <w:tcW w:w="870" w:type="pct"/>
            <w:vAlign w:val="center"/>
          </w:tcPr>
          <w:p w14:paraId="66FA7CE7"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7746465F" w14:textId="77777777" w:rsidTr="005D3FF4">
        <w:tc>
          <w:tcPr>
            <w:tcW w:w="432" w:type="pct"/>
            <w:vMerge/>
          </w:tcPr>
          <w:p w14:paraId="54FE677D" w14:textId="77777777" w:rsidR="00DE49A8" w:rsidRPr="007C5A6E" w:rsidRDefault="00DE49A8" w:rsidP="009A2EA6">
            <w:pPr>
              <w:spacing w:after="0" w:line="240" w:lineRule="auto"/>
              <w:rPr>
                <w:rFonts w:ascii="Times New Roman" w:hAnsi="Times New Roman"/>
                <w:sz w:val="21"/>
                <w:szCs w:val="21"/>
              </w:rPr>
            </w:pPr>
          </w:p>
        </w:tc>
        <w:tc>
          <w:tcPr>
            <w:tcW w:w="762" w:type="pct"/>
            <w:vAlign w:val="center"/>
          </w:tcPr>
          <w:p w14:paraId="3ED51993"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2014</w:t>
            </w:r>
          </w:p>
        </w:tc>
        <w:tc>
          <w:tcPr>
            <w:tcW w:w="1087" w:type="pct"/>
            <w:vAlign w:val="center"/>
          </w:tcPr>
          <w:p w14:paraId="1042FD37"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5.582</w:t>
            </w:r>
          </w:p>
        </w:tc>
        <w:tc>
          <w:tcPr>
            <w:tcW w:w="870" w:type="pct"/>
            <w:vAlign w:val="center"/>
          </w:tcPr>
          <w:p w14:paraId="74F8CE2A" w14:textId="77777777" w:rsidR="00DE49A8" w:rsidRPr="007C5A6E" w:rsidRDefault="00DE49A8" w:rsidP="009A2EA6">
            <w:pPr>
              <w:spacing w:after="0" w:line="240" w:lineRule="auto"/>
              <w:jc w:val="center"/>
              <w:rPr>
                <w:rFonts w:ascii="Times New Roman" w:hAnsi="Times New Roman"/>
                <w:sz w:val="21"/>
                <w:szCs w:val="21"/>
              </w:rPr>
            </w:pPr>
          </w:p>
        </w:tc>
        <w:tc>
          <w:tcPr>
            <w:tcW w:w="979" w:type="pct"/>
            <w:vAlign w:val="center"/>
          </w:tcPr>
          <w:p w14:paraId="080A2164"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2</w:t>
            </w:r>
          </w:p>
        </w:tc>
        <w:tc>
          <w:tcPr>
            <w:tcW w:w="870" w:type="pct"/>
            <w:vAlign w:val="center"/>
          </w:tcPr>
          <w:p w14:paraId="07AF9DD2"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42C4FD65" w14:textId="77777777" w:rsidTr="005D3FF4">
        <w:tc>
          <w:tcPr>
            <w:tcW w:w="432" w:type="pct"/>
            <w:vMerge/>
          </w:tcPr>
          <w:p w14:paraId="5E06967B" w14:textId="77777777" w:rsidR="00DE49A8" w:rsidRPr="007C5A6E" w:rsidRDefault="00DE49A8" w:rsidP="009A2EA6">
            <w:pPr>
              <w:spacing w:after="0" w:line="240" w:lineRule="auto"/>
              <w:rPr>
                <w:rFonts w:ascii="Times New Roman" w:hAnsi="Times New Roman"/>
                <w:sz w:val="21"/>
                <w:szCs w:val="21"/>
              </w:rPr>
            </w:pPr>
          </w:p>
        </w:tc>
        <w:tc>
          <w:tcPr>
            <w:tcW w:w="762" w:type="pct"/>
            <w:vAlign w:val="center"/>
          </w:tcPr>
          <w:p w14:paraId="3DC7E325"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2015</w:t>
            </w:r>
          </w:p>
        </w:tc>
        <w:tc>
          <w:tcPr>
            <w:tcW w:w="1087" w:type="pct"/>
            <w:vAlign w:val="center"/>
          </w:tcPr>
          <w:p w14:paraId="3861E2F3"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32.348</w:t>
            </w:r>
          </w:p>
        </w:tc>
        <w:tc>
          <w:tcPr>
            <w:tcW w:w="870" w:type="pct"/>
            <w:vAlign w:val="center"/>
          </w:tcPr>
          <w:p w14:paraId="1E4C5C52" w14:textId="77777777" w:rsidR="00DE49A8" w:rsidRPr="007C5A6E" w:rsidRDefault="00DE49A8" w:rsidP="009A2EA6">
            <w:pPr>
              <w:spacing w:after="0" w:line="240" w:lineRule="auto"/>
              <w:jc w:val="center"/>
              <w:rPr>
                <w:rFonts w:ascii="Times New Roman" w:hAnsi="Times New Roman"/>
                <w:sz w:val="21"/>
                <w:szCs w:val="21"/>
              </w:rPr>
            </w:pPr>
          </w:p>
        </w:tc>
        <w:tc>
          <w:tcPr>
            <w:tcW w:w="979" w:type="pct"/>
            <w:vAlign w:val="center"/>
          </w:tcPr>
          <w:p w14:paraId="727E79AC"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7</w:t>
            </w:r>
          </w:p>
        </w:tc>
        <w:tc>
          <w:tcPr>
            <w:tcW w:w="870" w:type="pct"/>
            <w:vAlign w:val="center"/>
          </w:tcPr>
          <w:p w14:paraId="790EAB0D"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34707413" w14:textId="77777777" w:rsidTr="005D3FF4">
        <w:tc>
          <w:tcPr>
            <w:tcW w:w="432" w:type="pct"/>
            <w:vMerge/>
          </w:tcPr>
          <w:p w14:paraId="1A39E648" w14:textId="77777777" w:rsidR="00DE49A8" w:rsidRPr="007C5A6E" w:rsidRDefault="00DE49A8" w:rsidP="009A2EA6">
            <w:pPr>
              <w:spacing w:after="0" w:line="240" w:lineRule="auto"/>
              <w:rPr>
                <w:rFonts w:ascii="Times New Roman" w:hAnsi="Times New Roman"/>
                <w:sz w:val="21"/>
                <w:szCs w:val="21"/>
              </w:rPr>
            </w:pPr>
          </w:p>
        </w:tc>
        <w:tc>
          <w:tcPr>
            <w:tcW w:w="762" w:type="pct"/>
            <w:vAlign w:val="center"/>
          </w:tcPr>
          <w:p w14:paraId="3A4422C9"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2016</w:t>
            </w:r>
          </w:p>
        </w:tc>
        <w:tc>
          <w:tcPr>
            <w:tcW w:w="1087" w:type="pct"/>
            <w:vAlign w:val="center"/>
          </w:tcPr>
          <w:p w14:paraId="62F74F8F"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60.690</w:t>
            </w:r>
          </w:p>
        </w:tc>
        <w:tc>
          <w:tcPr>
            <w:tcW w:w="870" w:type="pct"/>
            <w:vAlign w:val="center"/>
          </w:tcPr>
          <w:p w14:paraId="44B41949"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111</w:t>
            </w:r>
          </w:p>
        </w:tc>
        <w:tc>
          <w:tcPr>
            <w:tcW w:w="979" w:type="pct"/>
            <w:vAlign w:val="center"/>
          </w:tcPr>
          <w:p w14:paraId="4C3AD46B"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57</w:t>
            </w:r>
          </w:p>
        </w:tc>
        <w:tc>
          <w:tcPr>
            <w:tcW w:w="870" w:type="pct"/>
            <w:vAlign w:val="center"/>
          </w:tcPr>
          <w:p w14:paraId="07F3F0FB"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02156731" w14:textId="77777777" w:rsidTr="005D3FF4">
        <w:tc>
          <w:tcPr>
            <w:tcW w:w="432" w:type="pct"/>
            <w:vMerge/>
          </w:tcPr>
          <w:p w14:paraId="5921BACB" w14:textId="77777777" w:rsidR="00DE49A8" w:rsidRPr="007C5A6E" w:rsidRDefault="00DE49A8" w:rsidP="009A2EA6">
            <w:pPr>
              <w:spacing w:after="0" w:line="240" w:lineRule="auto"/>
              <w:rPr>
                <w:rFonts w:ascii="Times New Roman" w:hAnsi="Times New Roman"/>
                <w:sz w:val="21"/>
                <w:szCs w:val="21"/>
              </w:rPr>
            </w:pPr>
          </w:p>
        </w:tc>
        <w:tc>
          <w:tcPr>
            <w:tcW w:w="762" w:type="pct"/>
            <w:vAlign w:val="center"/>
          </w:tcPr>
          <w:p w14:paraId="7E07D8EE"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2017</w:t>
            </w:r>
          </w:p>
        </w:tc>
        <w:tc>
          <w:tcPr>
            <w:tcW w:w="1087" w:type="pct"/>
            <w:vAlign w:val="center"/>
          </w:tcPr>
          <w:p w14:paraId="0E1A24D7"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34.574</w:t>
            </w:r>
          </w:p>
        </w:tc>
        <w:tc>
          <w:tcPr>
            <w:tcW w:w="870" w:type="pct"/>
            <w:vAlign w:val="center"/>
          </w:tcPr>
          <w:p w14:paraId="1C0401AF"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105</w:t>
            </w:r>
          </w:p>
        </w:tc>
        <w:tc>
          <w:tcPr>
            <w:tcW w:w="979" w:type="pct"/>
            <w:vAlign w:val="center"/>
          </w:tcPr>
          <w:p w14:paraId="60C1452E"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19</w:t>
            </w:r>
          </w:p>
        </w:tc>
        <w:tc>
          <w:tcPr>
            <w:tcW w:w="870" w:type="pct"/>
            <w:vAlign w:val="center"/>
          </w:tcPr>
          <w:p w14:paraId="7187CECC"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15706F72" w14:textId="77777777" w:rsidTr="005D3FF4">
        <w:tc>
          <w:tcPr>
            <w:tcW w:w="432" w:type="pct"/>
            <w:vMerge/>
          </w:tcPr>
          <w:p w14:paraId="0A2478AE" w14:textId="77777777" w:rsidR="00DE49A8" w:rsidRPr="007C5A6E" w:rsidRDefault="00DE49A8" w:rsidP="009A2EA6">
            <w:pPr>
              <w:spacing w:after="0" w:line="240" w:lineRule="auto"/>
              <w:rPr>
                <w:rFonts w:ascii="Times New Roman" w:hAnsi="Times New Roman"/>
                <w:sz w:val="21"/>
                <w:szCs w:val="21"/>
              </w:rPr>
            </w:pPr>
          </w:p>
        </w:tc>
        <w:tc>
          <w:tcPr>
            <w:tcW w:w="762" w:type="pct"/>
            <w:vAlign w:val="center"/>
          </w:tcPr>
          <w:p w14:paraId="34364F54"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2018</w:t>
            </w:r>
          </w:p>
        </w:tc>
        <w:tc>
          <w:tcPr>
            <w:tcW w:w="1087" w:type="pct"/>
            <w:vAlign w:val="center"/>
          </w:tcPr>
          <w:p w14:paraId="228E291E"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46.726</w:t>
            </w:r>
          </w:p>
        </w:tc>
        <w:tc>
          <w:tcPr>
            <w:tcW w:w="870" w:type="pct"/>
            <w:vAlign w:val="center"/>
          </w:tcPr>
          <w:p w14:paraId="42CC25CC"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65</w:t>
            </w:r>
          </w:p>
        </w:tc>
        <w:tc>
          <w:tcPr>
            <w:tcW w:w="979" w:type="pct"/>
            <w:vAlign w:val="center"/>
          </w:tcPr>
          <w:p w14:paraId="2CD2E6A7"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15</w:t>
            </w:r>
          </w:p>
        </w:tc>
        <w:tc>
          <w:tcPr>
            <w:tcW w:w="870" w:type="pct"/>
            <w:vAlign w:val="center"/>
          </w:tcPr>
          <w:p w14:paraId="31E7673D"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03D3E1DF" w14:textId="77777777" w:rsidTr="005D3FF4">
        <w:tc>
          <w:tcPr>
            <w:tcW w:w="432" w:type="pct"/>
            <w:vMerge/>
          </w:tcPr>
          <w:p w14:paraId="15702B8E" w14:textId="77777777" w:rsidR="00DE49A8" w:rsidRPr="007C5A6E" w:rsidRDefault="00DE49A8" w:rsidP="009A2EA6">
            <w:pPr>
              <w:spacing w:after="0" w:line="240" w:lineRule="auto"/>
              <w:rPr>
                <w:rFonts w:ascii="Times New Roman" w:hAnsi="Times New Roman"/>
                <w:sz w:val="21"/>
                <w:szCs w:val="21"/>
              </w:rPr>
            </w:pPr>
          </w:p>
        </w:tc>
        <w:tc>
          <w:tcPr>
            <w:tcW w:w="762" w:type="pct"/>
            <w:vAlign w:val="center"/>
          </w:tcPr>
          <w:p w14:paraId="0B439079"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2019</w:t>
            </w:r>
          </w:p>
        </w:tc>
        <w:tc>
          <w:tcPr>
            <w:tcW w:w="1087" w:type="pct"/>
            <w:vAlign w:val="center"/>
          </w:tcPr>
          <w:p w14:paraId="3A0A3A0A"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2.251</w:t>
            </w:r>
          </w:p>
        </w:tc>
        <w:tc>
          <w:tcPr>
            <w:tcW w:w="870" w:type="pct"/>
            <w:vAlign w:val="center"/>
          </w:tcPr>
          <w:p w14:paraId="3561616F"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4</w:t>
            </w:r>
          </w:p>
        </w:tc>
        <w:tc>
          <w:tcPr>
            <w:tcW w:w="979" w:type="pct"/>
            <w:vAlign w:val="center"/>
          </w:tcPr>
          <w:p w14:paraId="73E3A3F5"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4</w:t>
            </w:r>
          </w:p>
        </w:tc>
        <w:tc>
          <w:tcPr>
            <w:tcW w:w="870" w:type="pct"/>
            <w:vAlign w:val="center"/>
          </w:tcPr>
          <w:p w14:paraId="7F15D686"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57F9BF75" w14:textId="77777777" w:rsidTr="005D3FF4">
        <w:tc>
          <w:tcPr>
            <w:tcW w:w="432" w:type="pct"/>
            <w:vMerge/>
          </w:tcPr>
          <w:p w14:paraId="728CDFFB" w14:textId="77777777" w:rsidR="00DE49A8" w:rsidRPr="007C5A6E" w:rsidRDefault="00DE49A8" w:rsidP="009A2EA6">
            <w:pPr>
              <w:spacing w:after="0" w:line="240" w:lineRule="auto"/>
              <w:rPr>
                <w:rFonts w:ascii="Times New Roman" w:hAnsi="Times New Roman"/>
                <w:sz w:val="21"/>
                <w:szCs w:val="21"/>
              </w:rPr>
            </w:pPr>
          </w:p>
        </w:tc>
        <w:tc>
          <w:tcPr>
            <w:tcW w:w="762" w:type="pct"/>
            <w:vAlign w:val="center"/>
          </w:tcPr>
          <w:p w14:paraId="21799453"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2020</w:t>
            </w:r>
          </w:p>
        </w:tc>
        <w:tc>
          <w:tcPr>
            <w:tcW w:w="1087" w:type="pct"/>
            <w:vAlign w:val="center"/>
          </w:tcPr>
          <w:p w14:paraId="503BFC9B"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71.341</w:t>
            </w:r>
          </w:p>
        </w:tc>
        <w:tc>
          <w:tcPr>
            <w:tcW w:w="870" w:type="pct"/>
            <w:vAlign w:val="center"/>
          </w:tcPr>
          <w:p w14:paraId="2856B8F3"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50</w:t>
            </w:r>
          </w:p>
        </w:tc>
        <w:tc>
          <w:tcPr>
            <w:tcW w:w="979" w:type="pct"/>
            <w:vAlign w:val="center"/>
          </w:tcPr>
          <w:p w14:paraId="220218AC"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13</w:t>
            </w:r>
          </w:p>
        </w:tc>
        <w:tc>
          <w:tcPr>
            <w:tcW w:w="870" w:type="pct"/>
            <w:vAlign w:val="center"/>
          </w:tcPr>
          <w:p w14:paraId="45794285"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12232175" w14:textId="77777777" w:rsidTr="005D3FF4">
        <w:trPr>
          <w:trHeight w:val="70"/>
        </w:trPr>
        <w:tc>
          <w:tcPr>
            <w:tcW w:w="432" w:type="pct"/>
            <w:vMerge/>
          </w:tcPr>
          <w:p w14:paraId="2332CEDC" w14:textId="77777777" w:rsidR="00DE49A8" w:rsidRPr="007C5A6E" w:rsidRDefault="00DE49A8" w:rsidP="009A2EA6">
            <w:pPr>
              <w:spacing w:after="0" w:line="240" w:lineRule="auto"/>
              <w:rPr>
                <w:rFonts w:ascii="Times New Roman" w:hAnsi="Times New Roman"/>
                <w:sz w:val="21"/>
                <w:szCs w:val="21"/>
              </w:rPr>
            </w:pPr>
          </w:p>
        </w:tc>
        <w:tc>
          <w:tcPr>
            <w:tcW w:w="762" w:type="pct"/>
            <w:vAlign w:val="center"/>
          </w:tcPr>
          <w:p w14:paraId="6F36A237"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2021</w:t>
            </w:r>
          </w:p>
        </w:tc>
        <w:tc>
          <w:tcPr>
            <w:tcW w:w="1087" w:type="pct"/>
            <w:vAlign w:val="center"/>
          </w:tcPr>
          <w:p w14:paraId="1DF9FF16"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45.665</w:t>
            </w:r>
          </w:p>
        </w:tc>
        <w:tc>
          <w:tcPr>
            <w:tcW w:w="870" w:type="pct"/>
            <w:vAlign w:val="center"/>
          </w:tcPr>
          <w:p w14:paraId="1ABBA013"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132</w:t>
            </w:r>
          </w:p>
        </w:tc>
        <w:tc>
          <w:tcPr>
            <w:tcW w:w="979" w:type="pct"/>
            <w:vAlign w:val="center"/>
          </w:tcPr>
          <w:p w14:paraId="2AF8AB68"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68</w:t>
            </w:r>
          </w:p>
        </w:tc>
        <w:tc>
          <w:tcPr>
            <w:tcW w:w="870" w:type="pct"/>
            <w:vAlign w:val="center"/>
          </w:tcPr>
          <w:p w14:paraId="20D47898"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47A5B5DC" w14:textId="77777777" w:rsidTr="005D3FF4">
        <w:tc>
          <w:tcPr>
            <w:tcW w:w="432" w:type="pct"/>
            <w:vMerge w:val="restart"/>
            <w:textDirection w:val="btLr"/>
            <w:vAlign w:val="center"/>
          </w:tcPr>
          <w:p w14:paraId="68C74EDB" w14:textId="77777777" w:rsidR="00DE49A8" w:rsidRPr="007C5A6E" w:rsidRDefault="00DE49A8" w:rsidP="009A2EA6">
            <w:pPr>
              <w:spacing w:after="0" w:line="240" w:lineRule="auto"/>
              <w:ind w:left="113" w:right="113"/>
              <w:jc w:val="center"/>
              <w:rPr>
                <w:rFonts w:ascii="Times New Roman" w:hAnsi="Times New Roman"/>
                <w:b/>
                <w:bCs/>
                <w:sz w:val="21"/>
                <w:szCs w:val="21"/>
              </w:rPr>
            </w:pPr>
            <w:r w:rsidRPr="007C5A6E">
              <w:rPr>
                <w:rFonts w:ascii="Times New Roman" w:hAnsi="Times New Roman"/>
                <w:b/>
                <w:bCs/>
                <w:sz w:val="21"/>
                <w:szCs w:val="21"/>
              </w:rPr>
              <w:t>Sécheresses</w:t>
            </w:r>
          </w:p>
        </w:tc>
        <w:tc>
          <w:tcPr>
            <w:tcW w:w="762" w:type="pct"/>
          </w:tcPr>
          <w:p w14:paraId="41292118" w14:textId="77777777" w:rsidR="00DE49A8" w:rsidRPr="007C5A6E" w:rsidRDefault="00DE49A8" w:rsidP="009A2EA6">
            <w:pPr>
              <w:spacing w:after="0" w:line="240" w:lineRule="auto"/>
              <w:rPr>
                <w:rFonts w:ascii="Times New Roman" w:hAnsi="Times New Roman"/>
                <w:sz w:val="21"/>
                <w:szCs w:val="21"/>
              </w:rPr>
            </w:pPr>
            <w:r w:rsidRPr="007C5A6E">
              <w:rPr>
                <w:rFonts w:ascii="Times New Roman" w:hAnsi="Times New Roman"/>
                <w:sz w:val="21"/>
                <w:szCs w:val="21"/>
              </w:rPr>
              <w:t>Période</w:t>
            </w:r>
          </w:p>
        </w:tc>
        <w:tc>
          <w:tcPr>
            <w:tcW w:w="1087" w:type="pct"/>
            <w:shd w:val="clear" w:color="auto" w:fill="BFBFBF" w:themeFill="background1" w:themeFillShade="BF"/>
            <w:vAlign w:val="center"/>
          </w:tcPr>
          <w:p w14:paraId="61E76105" w14:textId="77777777" w:rsidR="00DE49A8" w:rsidRPr="007C5A6E" w:rsidRDefault="00DE49A8" w:rsidP="009A2EA6">
            <w:pPr>
              <w:spacing w:after="0" w:line="240" w:lineRule="auto"/>
              <w:jc w:val="center"/>
              <w:rPr>
                <w:rFonts w:ascii="Times New Roman" w:hAnsi="Times New Roman"/>
                <w:sz w:val="21"/>
                <w:szCs w:val="21"/>
              </w:rPr>
            </w:pPr>
          </w:p>
        </w:tc>
        <w:tc>
          <w:tcPr>
            <w:tcW w:w="870" w:type="pct"/>
            <w:shd w:val="clear" w:color="auto" w:fill="BFBFBF" w:themeFill="background1" w:themeFillShade="BF"/>
            <w:vAlign w:val="center"/>
          </w:tcPr>
          <w:p w14:paraId="0481EBB7" w14:textId="77777777" w:rsidR="00DE49A8" w:rsidRPr="007C5A6E" w:rsidRDefault="00DE49A8" w:rsidP="009A2EA6">
            <w:pPr>
              <w:spacing w:after="0" w:line="240" w:lineRule="auto"/>
              <w:jc w:val="center"/>
              <w:rPr>
                <w:rFonts w:ascii="Times New Roman" w:hAnsi="Times New Roman"/>
                <w:sz w:val="21"/>
                <w:szCs w:val="21"/>
              </w:rPr>
            </w:pPr>
          </w:p>
        </w:tc>
        <w:tc>
          <w:tcPr>
            <w:tcW w:w="979" w:type="pct"/>
            <w:shd w:val="clear" w:color="auto" w:fill="BFBFBF" w:themeFill="background1" w:themeFillShade="BF"/>
            <w:vAlign w:val="center"/>
          </w:tcPr>
          <w:p w14:paraId="073C785E" w14:textId="77777777" w:rsidR="00DE49A8" w:rsidRPr="007C5A6E" w:rsidRDefault="00DE49A8" w:rsidP="009A2EA6">
            <w:pPr>
              <w:spacing w:after="0" w:line="240" w:lineRule="auto"/>
              <w:jc w:val="center"/>
              <w:rPr>
                <w:rFonts w:ascii="Times New Roman" w:hAnsi="Times New Roman"/>
                <w:sz w:val="21"/>
                <w:szCs w:val="21"/>
              </w:rPr>
            </w:pPr>
          </w:p>
        </w:tc>
        <w:tc>
          <w:tcPr>
            <w:tcW w:w="870" w:type="pct"/>
            <w:shd w:val="clear" w:color="auto" w:fill="BFBFBF" w:themeFill="background1" w:themeFillShade="BF"/>
            <w:vAlign w:val="center"/>
          </w:tcPr>
          <w:p w14:paraId="35E25A0F"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07C28079" w14:textId="77777777" w:rsidTr="005D3FF4">
        <w:tc>
          <w:tcPr>
            <w:tcW w:w="432" w:type="pct"/>
            <w:vMerge/>
          </w:tcPr>
          <w:p w14:paraId="3B3E8C8B" w14:textId="77777777" w:rsidR="00DE49A8" w:rsidRPr="007C5A6E" w:rsidRDefault="00DE49A8" w:rsidP="009A2EA6">
            <w:pPr>
              <w:spacing w:after="0" w:line="240" w:lineRule="auto"/>
              <w:rPr>
                <w:rFonts w:ascii="Times New Roman" w:hAnsi="Times New Roman"/>
                <w:sz w:val="21"/>
                <w:szCs w:val="21"/>
              </w:rPr>
            </w:pPr>
          </w:p>
        </w:tc>
        <w:tc>
          <w:tcPr>
            <w:tcW w:w="762" w:type="pct"/>
          </w:tcPr>
          <w:p w14:paraId="69A27F3E" w14:textId="77777777" w:rsidR="00DE49A8" w:rsidRPr="007C5A6E" w:rsidRDefault="00DE49A8" w:rsidP="009A2EA6">
            <w:pPr>
              <w:spacing w:after="0" w:line="240" w:lineRule="auto"/>
              <w:rPr>
                <w:rFonts w:ascii="Times New Roman" w:hAnsi="Times New Roman"/>
                <w:sz w:val="21"/>
                <w:szCs w:val="21"/>
              </w:rPr>
            </w:pPr>
            <w:r w:rsidRPr="007C5A6E">
              <w:rPr>
                <w:rFonts w:ascii="Times New Roman" w:hAnsi="Times New Roman"/>
                <w:sz w:val="21"/>
                <w:szCs w:val="21"/>
              </w:rPr>
              <w:t>1972/1973</w:t>
            </w:r>
          </w:p>
        </w:tc>
        <w:tc>
          <w:tcPr>
            <w:tcW w:w="1087" w:type="pct"/>
            <w:vAlign w:val="center"/>
          </w:tcPr>
          <w:p w14:paraId="19F86A0F" w14:textId="77777777" w:rsidR="00DE49A8" w:rsidRPr="007C5A6E" w:rsidRDefault="00DE49A8" w:rsidP="009A2EA6">
            <w:pPr>
              <w:spacing w:after="0" w:line="240" w:lineRule="auto"/>
              <w:jc w:val="center"/>
              <w:rPr>
                <w:rFonts w:ascii="Times New Roman" w:hAnsi="Times New Roman"/>
                <w:sz w:val="21"/>
                <w:szCs w:val="21"/>
              </w:rPr>
            </w:pPr>
          </w:p>
        </w:tc>
        <w:tc>
          <w:tcPr>
            <w:tcW w:w="870" w:type="pct"/>
            <w:vAlign w:val="center"/>
          </w:tcPr>
          <w:p w14:paraId="6A097094" w14:textId="77777777" w:rsidR="00DE49A8" w:rsidRPr="007C5A6E" w:rsidRDefault="00DE49A8" w:rsidP="009A2EA6">
            <w:pPr>
              <w:spacing w:after="0" w:line="240" w:lineRule="auto"/>
              <w:jc w:val="center"/>
              <w:rPr>
                <w:rFonts w:ascii="Times New Roman" w:hAnsi="Times New Roman"/>
                <w:sz w:val="21"/>
                <w:szCs w:val="21"/>
              </w:rPr>
            </w:pPr>
          </w:p>
        </w:tc>
        <w:tc>
          <w:tcPr>
            <w:tcW w:w="979" w:type="pct"/>
            <w:vAlign w:val="center"/>
          </w:tcPr>
          <w:p w14:paraId="0730C146" w14:textId="77777777" w:rsidR="00DE49A8" w:rsidRPr="007C5A6E" w:rsidRDefault="00DE49A8" w:rsidP="009A2EA6">
            <w:pPr>
              <w:spacing w:after="0" w:line="240" w:lineRule="auto"/>
              <w:jc w:val="center"/>
              <w:rPr>
                <w:rFonts w:ascii="Times New Roman" w:hAnsi="Times New Roman"/>
                <w:sz w:val="21"/>
                <w:szCs w:val="21"/>
              </w:rPr>
            </w:pPr>
            <w:proofErr w:type="gramStart"/>
            <w:r w:rsidRPr="007C5A6E">
              <w:rPr>
                <w:rFonts w:ascii="Times New Roman" w:hAnsi="Times New Roman"/>
                <w:sz w:val="21"/>
                <w:szCs w:val="21"/>
              </w:rPr>
              <w:t>oui</w:t>
            </w:r>
            <w:proofErr w:type="gramEnd"/>
          </w:p>
        </w:tc>
        <w:tc>
          <w:tcPr>
            <w:tcW w:w="870" w:type="pct"/>
            <w:vAlign w:val="center"/>
          </w:tcPr>
          <w:p w14:paraId="7473564B" w14:textId="77777777" w:rsidR="00DE49A8" w:rsidRPr="007C5A6E" w:rsidRDefault="00DE49A8" w:rsidP="009A2EA6">
            <w:pPr>
              <w:spacing w:after="0" w:line="240" w:lineRule="auto"/>
              <w:jc w:val="center"/>
              <w:rPr>
                <w:rFonts w:ascii="Times New Roman" w:hAnsi="Times New Roman"/>
                <w:sz w:val="21"/>
                <w:szCs w:val="21"/>
              </w:rPr>
            </w:pPr>
            <w:proofErr w:type="gramStart"/>
            <w:r w:rsidRPr="007C5A6E">
              <w:rPr>
                <w:rFonts w:ascii="Times New Roman" w:hAnsi="Times New Roman"/>
                <w:sz w:val="21"/>
                <w:szCs w:val="21"/>
              </w:rPr>
              <w:t>oui</w:t>
            </w:r>
            <w:proofErr w:type="gramEnd"/>
          </w:p>
        </w:tc>
      </w:tr>
      <w:tr w:rsidR="00DE49A8" w:rsidRPr="007C5A6E" w14:paraId="40C08D25" w14:textId="77777777" w:rsidTr="005D3FF4">
        <w:tc>
          <w:tcPr>
            <w:tcW w:w="432" w:type="pct"/>
            <w:vMerge/>
          </w:tcPr>
          <w:p w14:paraId="4BC753EF" w14:textId="77777777" w:rsidR="00DE49A8" w:rsidRPr="007C5A6E" w:rsidRDefault="00DE49A8" w:rsidP="009A2EA6">
            <w:pPr>
              <w:spacing w:after="0" w:line="240" w:lineRule="auto"/>
              <w:rPr>
                <w:rFonts w:ascii="Times New Roman" w:hAnsi="Times New Roman"/>
                <w:sz w:val="21"/>
                <w:szCs w:val="21"/>
              </w:rPr>
            </w:pPr>
          </w:p>
        </w:tc>
        <w:tc>
          <w:tcPr>
            <w:tcW w:w="762" w:type="pct"/>
          </w:tcPr>
          <w:p w14:paraId="38EBD795" w14:textId="77777777" w:rsidR="00DE49A8" w:rsidRPr="007C5A6E" w:rsidRDefault="00DE49A8" w:rsidP="009A2EA6">
            <w:pPr>
              <w:spacing w:after="0" w:line="240" w:lineRule="auto"/>
              <w:rPr>
                <w:rFonts w:ascii="Times New Roman" w:hAnsi="Times New Roman"/>
                <w:sz w:val="21"/>
                <w:szCs w:val="21"/>
              </w:rPr>
            </w:pPr>
            <w:r w:rsidRPr="007C5A6E">
              <w:rPr>
                <w:rFonts w:ascii="Times New Roman" w:hAnsi="Times New Roman"/>
                <w:sz w:val="21"/>
                <w:szCs w:val="21"/>
              </w:rPr>
              <w:t>1982/1984</w:t>
            </w:r>
          </w:p>
        </w:tc>
        <w:tc>
          <w:tcPr>
            <w:tcW w:w="1087" w:type="pct"/>
            <w:vAlign w:val="center"/>
          </w:tcPr>
          <w:p w14:paraId="4ABA4E36" w14:textId="77777777" w:rsidR="00DE49A8" w:rsidRPr="007C5A6E" w:rsidRDefault="00DE49A8" w:rsidP="009A2EA6">
            <w:pPr>
              <w:spacing w:after="0" w:line="240" w:lineRule="auto"/>
              <w:jc w:val="center"/>
              <w:rPr>
                <w:rFonts w:ascii="Times New Roman" w:hAnsi="Times New Roman"/>
                <w:sz w:val="21"/>
                <w:szCs w:val="21"/>
              </w:rPr>
            </w:pPr>
          </w:p>
        </w:tc>
        <w:tc>
          <w:tcPr>
            <w:tcW w:w="870" w:type="pct"/>
            <w:vAlign w:val="center"/>
          </w:tcPr>
          <w:p w14:paraId="68575AB6" w14:textId="77777777" w:rsidR="00DE49A8" w:rsidRPr="007C5A6E" w:rsidRDefault="00DE49A8" w:rsidP="009A2EA6">
            <w:pPr>
              <w:spacing w:after="0" w:line="240" w:lineRule="auto"/>
              <w:jc w:val="center"/>
              <w:rPr>
                <w:rFonts w:ascii="Times New Roman" w:hAnsi="Times New Roman"/>
                <w:sz w:val="21"/>
                <w:szCs w:val="21"/>
              </w:rPr>
            </w:pPr>
          </w:p>
        </w:tc>
        <w:tc>
          <w:tcPr>
            <w:tcW w:w="979" w:type="pct"/>
            <w:vAlign w:val="center"/>
          </w:tcPr>
          <w:p w14:paraId="7A3FE3F0" w14:textId="77777777" w:rsidR="00DE49A8" w:rsidRPr="007C5A6E" w:rsidRDefault="00DE49A8" w:rsidP="009A2EA6">
            <w:pPr>
              <w:spacing w:after="0" w:line="240" w:lineRule="auto"/>
              <w:jc w:val="center"/>
              <w:rPr>
                <w:rFonts w:ascii="Times New Roman" w:hAnsi="Times New Roman"/>
                <w:sz w:val="21"/>
                <w:szCs w:val="21"/>
              </w:rPr>
            </w:pPr>
            <w:proofErr w:type="gramStart"/>
            <w:r w:rsidRPr="007C5A6E">
              <w:rPr>
                <w:rFonts w:ascii="Times New Roman" w:hAnsi="Times New Roman"/>
                <w:sz w:val="21"/>
                <w:szCs w:val="21"/>
              </w:rPr>
              <w:t>oui</w:t>
            </w:r>
            <w:proofErr w:type="gramEnd"/>
          </w:p>
        </w:tc>
        <w:tc>
          <w:tcPr>
            <w:tcW w:w="870" w:type="pct"/>
            <w:vAlign w:val="center"/>
          </w:tcPr>
          <w:p w14:paraId="001856A4" w14:textId="77777777" w:rsidR="00DE49A8" w:rsidRPr="007C5A6E" w:rsidRDefault="00DE49A8" w:rsidP="009A2EA6">
            <w:pPr>
              <w:spacing w:after="0" w:line="240" w:lineRule="auto"/>
              <w:jc w:val="center"/>
              <w:rPr>
                <w:rFonts w:ascii="Times New Roman" w:hAnsi="Times New Roman"/>
                <w:sz w:val="21"/>
                <w:szCs w:val="21"/>
              </w:rPr>
            </w:pPr>
            <w:proofErr w:type="gramStart"/>
            <w:r w:rsidRPr="007C5A6E">
              <w:rPr>
                <w:rFonts w:ascii="Times New Roman" w:hAnsi="Times New Roman"/>
                <w:sz w:val="21"/>
                <w:szCs w:val="21"/>
              </w:rPr>
              <w:t>oui</w:t>
            </w:r>
            <w:proofErr w:type="gramEnd"/>
          </w:p>
        </w:tc>
      </w:tr>
      <w:tr w:rsidR="00DE49A8" w:rsidRPr="007C5A6E" w14:paraId="7B1AEE38" w14:textId="77777777" w:rsidTr="005D3FF4">
        <w:tc>
          <w:tcPr>
            <w:tcW w:w="432" w:type="pct"/>
            <w:vMerge/>
          </w:tcPr>
          <w:p w14:paraId="35F3ADCB" w14:textId="77777777" w:rsidR="00DE49A8" w:rsidRPr="007C5A6E" w:rsidRDefault="00DE49A8" w:rsidP="009A2EA6">
            <w:pPr>
              <w:spacing w:after="0" w:line="240" w:lineRule="auto"/>
              <w:rPr>
                <w:rFonts w:ascii="Times New Roman" w:hAnsi="Times New Roman"/>
                <w:sz w:val="21"/>
                <w:szCs w:val="21"/>
              </w:rPr>
            </w:pPr>
          </w:p>
        </w:tc>
        <w:tc>
          <w:tcPr>
            <w:tcW w:w="762" w:type="pct"/>
          </w:tcPr>
          <w:p w14:paraId="605F14B1" w14:textId="77777777" w:rsidR="00DE49A8" w:rsidRPr="007C5A6E" w:rsidRDefault="00DE49A8" w:rsidP="009A2EA6">
            <w:pPr>
              <w:spacing w:after="0" w:line="240" w:lineRule="auto"/>
              <w:rPr>
                <w:rFonts w:ascii="Times New Roman" w:hAnsi="Times New Roman"/>
                <w:sz w:val="21"/>
                <w:szCs w:val="21"/>
              </w:rPr>
            </w:pPr>
            <w:r w:rsidRPr="007C5A6E">
              <w:rPr>
                <w:rFonts w:ascii="Times New Roman" w:hAnsi="Times New Roman"/>
                <w:sz w:val="21"/>
                <w:szCs w:val="21"/>
              </w:rPr>
              <w:t>2011/2012</w:t>
            </w:r>
          </w:p>
        </w:tc>
        <w:tc>
          <w:tcPr>
            <w:tcW w:w="1087" w:type="pct"/>
            <w:vAlign w:val="center"/>
          </w:tcPr>
          <w:p w14:paraId="3AA9C33C"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3.500.000</w:t>
            </w:r>
          </w:p>
        </w:tc>
        <w:tc>
          <w:tcPr>
            <w:tcW w:w="870" w:type="pct"/>
            <w:vAlign w:val="center"/>
          </w:tcPr>
          <w:p w14:paraId="1DB3B515" w14:textId="77777777" w:rsidR="00DE49A8" w:rsidRPr="007C5A6E" w:rsidRDefault="00DE49A8" w:rsidP="009A2EA6">
            <w:pPr>
              <w:spacing w:after="0" w:line="240" w:lineRule="auto"/>
              <w:jc w:val="center"/>
              <w:rPr>
                <w:rFonts w:ascii="Times New Roman" w:hAnsi="Times New Roman"/>
                <w:sz w:val="21"/>
                <w:szCs w:val="21"/>
              </w:rPr>
            </w:pPr>
          </w:p>
        </w:tc>
        <w:tc>
          <w:tcPr>
            <w:tcW w:w="979" w:type="pct"/>
            <w:vAlign w:val="center"/>
          </w:tcPr>
          <w:p w14:paraId="1236A9C5" w14:textId="77777777" w:rsidR="00DE49A8" w:rsidRPr="007C5A6E" w:rsidRDefault="00DE49A8" w:rsidP="009A2EA6">
            <w:pPr>
              <w:spacing w:after="0" w:line="240" w:lineRule="auto"/>
              <w:jc w:val="center"/>
              <w:rPr>
                <w:rFonts w:ascii="Times New Roman" w:hAnsi="Times New Roman"/>
                <w:sz w:val="21"/>
                <w:szCs w:val="21"/>
              </w:rPr>
            </w:pPr>
            <w:proofErr w:type="gramStart"/>
            <w:r w:rsidRPr="007C5A6E">
              <w:rPr>
                <w:rFonts w:ascii="Times New Roman" w:hAnsi="Times New Roman"/>
                <w:sz w:val="21"/>
                <w:szCs w:val="21"/>
              </w:rPr>
              <w:t>oui</w:t>
            </w:r>
            <w:proofErr w:type="gramEnd"/>
          </w:p>
        </w:tc>
        <w:tc>
          <w:tcPr>
            <w:tcW w:w="870" w:type="pct"/>
            <w:vAlign w:val="center"/>
          </w:tcPr>
          <w:p w14:paraId="561B9473" w14:textId="77777777" w:rsidR="00DE49A8" w:rsidRPr="007C5A6E" w:rsidRDefault="00DE49A8" w:rsidP="009A2EA6">
            <w:pPr>
              <w:spacing w:after="0" w:line="240" w:lineRule="auto"/>
              <w:jc w:val="center"/>
              <w:rPr>
                <w:rFonts w:ascii="Times New Roman" w:hAnsi="Times New Roman"/>
                <w:sz w:val="21"/>
                <w:szCs w:val="21"/>
              </w:rPr>
            </w:pPr>
            <w:proofErr w:type="gramStart"/>
            <w:r w:rsidRPr="007C5A6E">
              <w:rPr>
                <w:rFonts w:ascii="Times New Roman" w:hAnsi="Times New Roman"/>
                <w:sz w:val="21"/>
                <w:szCs w:val="21"/>
              </w:rPr>
              <w:t>oui</w:t>
            </w:r>
            <w:proofErr w:type="gramEnd"/>
          </w:p>
        </w:tc>
      </w:tr>
    </w:tbl>
    <w:p w14:paraId="5331D081" w14:textId="48DFD48F" w:rsidR="00DE49A8" w:rsidRPr="007C5A6E" w:rsidRDefault="009A2EA6" w:rsidP="009A2EA6">
      <w:pPr>
        <w:pStyle w:val="Sansinterligne"/>
        <w:rPr>
          <w:rFonts w:ascii="Times New Roman" w:hAnsi="Times New Roman"/>
          <w:color w:val="FF0000"/>
          <w:sz w:val="20"/>
          <w:szCs w:val="20"/>
        </w:rPr>
      </w:pPr>
      <w:r w:rsidRPr="007C5A6E">
        <w:rPr>
          <w:rFonts w:ascii="Times New Roman" w:hAnsi="Times New Roman"/>
          <w:color w:val="FF0000"/>
          <w:sz w:val="20"/>
          <w:szCs w:val="20"/>
        </w:rPr>
        <w:t xml:space="preserve">Source : SP CONASUR </w:t>
      </w:r>
    </w:p>
    <w:p w14:paraId="36B3C167" w14:textId="77777777" w:rsidR="009A2EA6" w:rsidRPr="007C5A6E" w:rsidRDefault="009A2EA6" w:rsidP="009A2EA6">
      <w:pPr>
        <w:pStyle w:val="Sansinterligne"/>
        <w:rPr>
          <w:rFonts w:ascii="Times New Roman" w:hAnsi="Times New Roman"/>
        </w:rPr>
      </w:pPr>
    </w:p>
    <w:p w14:paraId="3918CFF0" w14:textId="5105E8A4" w:rsidR="00DE49A8" w:rsidRPr="007C5A6E" w:rsidRDefault="00DE49A8" w:rsidP="009A2EA6">
      <w:pPr>
        <w:pStyle w:val="Titre3"/>
      </w:pPr>
      <w:bookmarkStart w:id="1301" w:name="_Toc182582664"/>
      <w:bookmarkStart w:id="1302" w:name="_Toc183340274"/>
      <w:r w:rsidRPr="007C5A6E">
        <w:t xml:space="preserve">Les impacts </w:t>
      </w:r>
      <w:r w:rsidR="009A2EA6" w:rsidRPr="007C5A6E">
        <w:t>à caractère</w:t>
      </w:r>
      <w:r w:rsidRPr="007C5A6E">
        <w:t xml:space="preserve"> économique</w:t>
      </w:r>
      <w:bookmarkEnd w:id="1301"/>
      <w:bookmarkEnd w:id="1302"/>
    </w:p>
    <w:p w14:paraId="07EDF352" w14:textId="77777777" w:rsidR="00DE49A8" w:rsidRPr="007C5A6E" w:rsidRDefault="00DE49A8" w:rsidP="009A2EA6">
      <w:pPr>
        <w:pStyle w:val="Sansinterligne"/>
      </w:pPr>
    </w:p>
    <w:p w14:paraId="4E9C4F0E" w14:textId="77237635" w:rsidR="00DE49A8" w:rsidRPr="007C5A6E" w:rsidRDefault="00A142BA" w:rsidP="009A2EA6">
      <w:pPr>
        <w:pStyle w:val="Lgende"/>
        <w:spacing w:after="0"/>
        <w:rPr>
          <w:rFonts w:ascii="Times New Roman" w:hAnsi="Times New Roman"/>
          <w:i w:val="0"/>
          <w:iCs w:val="0"/>
          <w:color w:val="auto"/>
          <w:sz w:val="24"/>
          <w:szCs w:val="24"/>
        </w:rPr>
      </w:pPr>
      <w:bookmarkStart w:id="1303" w:name="_Toc183241022"/>
      <w:bookmarkStart w:id="1304" w:name="_Toc183292264"/>
      <w:bookmarkStart w:id="1305" w:name="_Toc183340544"/>
      <w:r w:rsidRPr="007C5A6E">
        <w:rPr>
          <w:rFonts w:ascii="Times New Roman" w:hAnsi="Times New Roman"/>
          <w:i w:val="0"/>
          <w:iCs w:val="0"/>
          <w:color w:val="auto"/>
          <w:sz w:val="24"/>
          <w:szCs w:val="24"/>
        </w:rPr>
        <w:t xml:space="preserve">Tableau </w:t>
      </w:r>
      <w:r w:rsidRPr="007C5A6E">
        <w:rPr>
          <w:rFonts w:ascii="Times New Roman" w:hAnsi="Times New Roman"/>
          <w:i w:val="0"/>
          <w:iCs w:val="0"/>
          <w:color w:val="auto"/>
          <w:sz w:val="24"/>
          <w:szCs w:val="24"/>
        </w:rPr>
        <w:fldChar w:fldCharType="begin"/>
      </w:r>
      <w:r w:rsidRPr="007C5A6E">
        <w:rPr>
          <w:rFonts w:ascii="Times New Roman" w:hAnsi="Times New Roman"/>
          <w:i w:val="0"/>
          <w:iCs w:val="0"/>
          <w:color w:val="auto"/>
          <w:sz w:val="24"/>
          <w:szCs w:val="24"/>
        </w:rPr>
        <w:instrText xml:space="preserve"> SEQ Tableau \* ARABIC </w:instrText>
      </w:r>
      <w:r w:rsidRPr="007C5A6E">
        <w:rPr>
          <w:rFonts w:ascii="Times New Roman" w:hAnsi="Times New Roman"/>
          <w:i w:val="0"/>
          <w:iCs w:val="0"/>
          <w:color w:val="auto"/>
          <w:sz w:val="24"/>
          <w:szCs w:val="24"/>
        </w:rPr>
        <w:fldChar w:fldCharType="separate"/>
      </w:r>
      <w:r w:rsidR="009A2EA6" w:rsidRPr="007C5A6E">
        <w:rPr>
          <w:rFonts w:ascii="Times New Roman" w:hAnsi="Times New Roman"/>
          <w:i w:val="0"/>
          <w:iCs w:val="0"/>
          <w:noProof/>
          <w:color w:val="auto"/>
          <w:sz w:val="24"/>
          <w:szCs w:val="24"/>
        </w:rPr>
        <w:t>60</w:t>
      </w:r>
      <w:r w:rsidRPr="007C5A6E">
        <w:rPr>
          <w:rFonts w:ascii="Times New Roman" w:hAnsi="Times New Roman"/>
          <w:i w:val="0"/>
          <w:iCs w:val="0"/>
          <w:color w:val="auto"/>
          <w:sz w:val="24"/>
          <w:szCs w:val="24"/>
        </w:rPr>
        <w:fldChar w:fldCharType="end"/>
      </w:r>
      <w:r w:rsidRPr="007C5A6E">
        <w:rPr>
          <w:rFonts w:ascii="Times New Roman" w:hAnsi="Times New Roman"/>
          <w:i w:val="0"/>
          <w:iCs w:val="0"/>
          <w:color w:val="auto"/>
          <w:sz w:val="24"/>
          <w:szCs w:val="24"/>
        </w:rPr>
        <w:t xml:space="preserve"> : Impacts économiques des inondations et des sécheresses</w:t>
      </w:r>
      <w:bookmarkEnd w:id="1303"/>
      <w:r w:rsidR="009A2EA6" w:rsidRPr="007C5A6E">
        <w:rPr>
          <w:rFonts w:ascii="Times New Roman" w:hAnsi="Times New Roman"/>
          <w:i w:val="0"/>
          <w:iCs w:val="0"/>
          <w:sz w:val="24"/>
          <w:szCs w:val="24"/>
        </w:rPr>
        <w:t xml:space="preserve"> </w:t>
      </w:r>
      <w:r w:rsidR="009A2EA6" w:rsidRPr="007C5A6E">
        <w:rPr>
          <w:rFonts w:ascii="Times New Roman" w:hAnsi="Times New Roman"/>
          <w:i w:val="0"/>
          <w:iCs w:val="0"/>
          <w:color w:val="auto"/>
          <w:sz w:val="24"/>
          <w:szCs w:val="24"/>
        </w:rPr>
        <w:t>documentés entre 1988 et 2021</w:t>
      </w:r>
      <w:bookmarkEnd w:id="1304"/>
      <w:bookmarkEnd w:id="1305"/>
    </w:p>
    <w:p w14:paraId="34C68859" w14:textId="77777777" w:rsidR="00A142BA" w:rsidRPr="007C5A6E" w:rsidRDefault="00A142BA" w:rsidP="009A2EA6">
      <w:pPr>
        <w:pStyle w:val="Sansinterligne"/>
      </w:pPr>
    </w:p>
    <w:tbl>
      <w:tblPr>
        <w:tblStyle w:val="Grilledutableau1"/>
        <w:tblW w:w="5000" w:type="pct"/>
        <w:tblCellMar>
          <w:left w:w="0" w:type="dxa"/>
          <w:right w:w="0" w:type="dxa"/>
        </w:tblCellMar>
        <w:tblLook w:val="04A0" w:firstRow="1" w:lastRow="0" w:firstColumn="1" w:lastColumn="0" w:noHBand="0" w:noVBand="1"/>
      </w:tblPr>
      <w:tblGrid>
        <w:gridCol w:w="1095"/>
        <w:gridCol w:w="1470"/>
        <w:gridCol w:w="2387"/>
        <w:gridCol w:w="2386"/>
        <w:gridCol w:w="1837"/>
      </w:tblGrid>
      <w:tr w:rsidR="00DE49A8" w:rsidRPr="007C5A6E" w14:paraId="338D0947" w14:textId="77777777" w:rsidTr="005D3FF4">
        <w:tc>
          <w:tcPr>
            <w:tcW w:w="597" w:type="pct"/>
            <w:vMerge w:val="restart"/>
            <w:textDirection w:val="btLr"/>
            <w:vAlign w:val="center"/>
          </w:tcPr>
          <w:p w14:paraId="5D91A3C0" w14:textId="77777777" w:rsidR="00DE49A8" w:rsidRPr="007C5A6E" w:rsidRDefault="00DE49A8" w:rsidP="009A2EA6">
            <w:pPr>
              <w:spacing w:after="0" w:line="240" w:lineRule="auto"/>
              <w:ind w:left="113" w:right="113"/>
              <w:jc w:val="center"/>
              <w:rPr>
                <w:rFonts w:ascii="Times New Roman" w:hAnsi="Times New Roman"/>
                <w:b/>
                <w:bCs/>
              </w:rPr>
            </w:pPr>
            <w:r w:rsidRPr="007C5A6E">
              <w:rPr>
                <w:rFonts w:ascii="Times New Roman" w:hAnsi="Times New Roman"/>
                <w:b/>
                <w:bCs/>
              </w:rPr>
              <w:t>Inondations</w:t>
            </w:r>
          </w:p>
        </w:tc>
        <w:tc>
          <w:tcPr>
            <w:tcW w:w="801" w:type="pct"/>
            <w:vAlign w:val="center"/>
          </w:tcPr>
          <w:p w14:paraId="3743EA85"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Année</w:t>
            </w:r>
          </w:p>
        </w:tc>
        <w:tc>
          <w:tcPr>
            <w:tcW w:w="1301" w:type="pct"/>
            <w:vAlign w:val="center"/>
          </w:tcPr>
          <w:p w14:paraId="4388CE20"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Pertes de cheptels et de volailles</w:t>
            </w:r>
          </w:p>
        </w:tc>
        <w:tc>
          <w:tcPr>
            <w:tcW w:w="1300" w:type="pct"/>
            <w:vAlign w:val="center"/>
          </w:tcPr>
          <w:p w14:paraId="72588B59"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Pertes de récoltes/vivres</w:t>
            </w:r>
          </w:p>
        </w:tc>
        <w:tc>
          <w:tcPr>
            <w:tcW w:w="1001" w:type="pct"/>
            <w:vAlign w:val="center"/>
          </w:tcPr>
          <w:p w14:paraId="49E6BA7C"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Destruction de constructions</w:t>
            </w:r>
          </w:p>
        </w:tc>
      </w:tr>
      <w:tr w:rsidR="00DE49A8" w:rsidRPr="007C5A6E" w14:paraId="78539FB6" w14:textId="77777777" w:rsidTr="005D3FF4">
        <w:tc>
          <w:tcPr>
            <w:tcW w:w="597" w:type="pct"/>
            <w:vMerge/>
            <w:textDirection w:val="btLr"/>
            <w:vAlign w:val="center"/>
          </w:tcPr>
          <w:p w14:paraId="44A9C7A7" w14:textId="77777777" w:rsidR="00DE49A8" w:rsidRPr="007C5A6E" w:rsidRDefault="00DE49A8" w:rsidP="009A2EA6">
            <w:pPr>
              <w:spacing w:after="0" w:line="240" w:lineRule="auto"/>
              <w:ind w:left="113" w:right="113"/>
              <w:jc w:val="center"/>
              <w:rPr>
                <w:rFonts w:ascii="Times New Roman" w:hAnsi="Times New Roman"/>
              </w:rPr>
            </w:pPr>
          </w:p>
        </w:tc>
        <w:tc>
          <w:tcPr>
            <w:tcW w:w="801" w:type="pct"/>
            <w:vAlign w:val="center"/>
          </w:tcPr>
          <w:p w14:paraId="405D29DC" w14:textId="77777777" w:rsidR="00DE49A8" w:rsidRPr="007C5A6E" w:rsidRDefault="00DE49A8" w:rsidP="009A2EA6">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1988</w:t>
            </w:r>
          </w:p>
        </w:tc>
        <w:tc>
          <w:tcPr>
            <w:tcW w:w="1301" w:type="pct"/>
          </w:tcPr>
          <w:p w14:paraId="511BAEBE" w14:textId="77777777" w:rsidR="00DE49A8" w:rsidRPr="007C5A6E" w:rsidRDefault="00DE49A8" w:rsidP="009A2EA6">
            <w:pPr>
              <w:spacing w:after="0" w:line="240" w:lineRule="auto"/>
              <w:jc w:val="center"/>
              <w:rPr>
                <w:rFonts w:ascii="Times New Roman" w:hAnsi="Times New Roman"/>
                <w:sz w:val="21"/>
                <w:szCs w:val="21"/>
              </w:rPr>
            </w:pPr>
            <w:proofErr w:type="gramStart"/>
            <w:r w:rsidRPr="007C5A6E">
              <w:rPr>
                <w:rFonts w:ascii="Times New Roman" w:hAnsi="Times New Roman"/>
                <w:sz w:val="21"/>
                <w:szCs w:val="21"/>
              </w:rPr>
              <w:t>oui</w:t>
            </w:r>
            <w:proofErr w:type="gramEnd"/>
          </w:p>
        </w:tc>
        <w:tc>
          <w:tcPr>
            <w:tcW w:w="1300" w:type="pct"/>
          </w:tcPr>
          <w:p w14:paraId="2E0B965A" w14:textId="77777777" w:rsidR="00DE49A8" w:rsidRPr="007C5A6E" w:rsidRDefault="00DE49A8" w:rsidP="009A2EA6">
            <w:pPr>
              <w:spacing w:after="0" w:line="240" w:lineRule="auto"/>
              <w:jc w:val="center"/>
              <w:rPr>
                <w:rFonts w:ascii="Times New Roman" w:hAnsi="Times New Roman"/>
                <w:sz w:val="21"/>
                <w:szCs w:val="21"/>
              </w:rPr>
            </w:pPr>
            <w:proofErr w:type="gramStart"/>
            <w:r w:rsidRPr="007C5A6E">
              <w:rPr>
                <w:rFonts w:ascii="Times New Roman" w:hAnsi="Times New Roman"/>
                <w:sz w:val="21"/>
                <w:szCs w:val="21"/>
              </w:rPr>
              <w:t>oui</w:t>
            </w:r>
            <w:proofErr w:type="gramEnd"/>
          </w:p>
        </w:tc>
        <w:tc>
          <w:tcPr>
            <w:tcW w:w="1001" w:type="pct"/>
          </w:tcPr>
          <w:p w14:paraId="0D93C0AF"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975</w:t>
            </w:r>
          </w:p>
        </w:tc>
      </w:tr>
      <w:tr w:rsidR="00DE49A8" w:rsidRPr="007C5A6E" w14:paraId="17ECEE7D" w14:textId="77777777" w:rsidTr="005D3FF4">
        <w:tc>
          <w:tcPr>
            <w:tcW w:w="597" w:type="pct"/>
            <w:vMerge/>
            <w:textDirection w:val="btLr"/>
            <w:vAlign w:val="center"/>
          </w:tcPr>
          <w:p w14:paraId="3B22F46A" w14:textId="77777777" w:rsidR="00DE49A8" w:rsidRPr="007C5A6E" w:rsidRDefault="00DE49A8" w:rsidP="009A2EA6">
            <w:pPr>
              <w:spacing w:after="0" w:line="240" w:lineRule="auto"/>
              <w:ind w:left="113" w:right="113"/>
              <w:jc w:val="center"/>
              <w:rPr>
                <w:rFonts w:ascii="Times New Roman" w:hAnsi="Times New Roman"/>
              </w:rPr>
            </w:pPr>
          </w:p>
        </w:tc>
        <w:tc>
          <w:tcPr>
            <w:tcW w:w="801" w:type="pct"/>
            <w:vAlign w:val="center"/>
          </w:tcPr>
          <w:p w14:paraId="4707648B" w14:textId="77777777" w:rsidR="00DE49A8" w:rsidRPr="007C5A6E" w:rsidRDefault="00DE49A8" w:rsidP="009A2EA6">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1992</w:t>
            </w:r>
          </w:p>
        </w:tc>
        <w:tc>
          <w:tcPr>
            <w:tcW w:w="1301" w:type="pct"/>
          </w:tcPr>
          <w:p w14:paraId="01A900C4" w14:textId="77777777" w:rsidR="00DE49A8" w:rsidRPr="007C5A6E" w:rsidRDefault="00DE49A8" w:rsidP="009A2EA6">
            <w:pPr>
              <w:spacing w:after="0" w:line="240" w:lineRule="auto"/>
              <w:jc w:val="center"/>
              <w:rPr>
                <w:rFonts w:ascii="Times New Roman" w:hAnsi="Times New Roman"/>
                <w:sz w:val="21"/>
                <w:szCs w:val="21"/>
              </w:rPr>
            </w:pPr>
            <w:proofErr w:type="gramStart"/>
            <w:r w:rsidRPr="007C5A6E">
              <w:rPr>
                <w:rFonts w:ascii="Times New Roman" w:hAnsi="Times New Roman"/>
                <w:sz w:val="21"/>
                <w:szCs w:val="21"/>
              </w:rPr>
              <w:t>oui</w:t>
            </w:r>
            <w:proofErr w:type="gramEnd"/>
          </w:p>
        </w:tc>
        <w:tc>
          <w:tcPr>
            <w:tcW w:w="1300" w:type="pct"/>
          </w:tcPr>
          <w:p w14:paraId="4B8F11A1"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3 000 ha</w:t>
            </w:r>
          </w:p>
        </w:tc>
        <w:tc>
          <w:tcPr>
            <w:tcW w:w="1001" w:type="pct"/>
          </w:tcPr>
          <w:p w14:paraId="4AA430B2"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3400</w:t>
            </w:r>
          </w:p>
        </w:tc>
      </w:tr>
      <w:tr w:rsidR="00DE49A8" w:rsidRPr="007C5A6E" w14:paraId="7C313AB8" w14:textId="77777777" w:rsidTr="005D3FF4">
        <w:tc>
          <w:tcPr>
            <w:tcW w:w="597" w:type="pct"/>
            <w:vMerge/>
            <w:textDirection w:val="btLr"/>
            <w:vAlign w:val="center"/>
          </w:tcPr>
          <w:p w14:paraId="7785F25F" w14:textId="77777777" w:rsidR="00DE49A8" w:rsidRPr="007C5A6E" w:rsidRDefault="00DE49A8" w:rsidP="009A2EA6">
            <w:pPr>
              <w:spacing w:after="0" w:line="240" w:lineRule="auto"/>
              <w:ind w:left="113" w:right="113"/>
              <w:jc w:val="center"/>
              <w:rPr>
                <w:rFonts w:ascii="Times New Roman" w:hAnsi="Times New Roman"/>
              </w:rPr>
            </w:pPr>
          </w:p>
        </w:tc>
        <w:tc>
          <w:tcPr>
            <w:tcW w:w="801" w:type="pct"/>
            <w:vAlign w:val="center"/>
          </w:tcPr>
          <w:p w14:paraId="68B012DB" w14:textId="77777777" w:rsidR="00DE49A8" w:rsidRPr="007C5A6E" w:rsidRDefault="00DE49A8" w:rsidP="009A2EA6">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1994</w:t>
            </w:r>
          </w:p>
        </w:tc>
        <w:tc>
          <w:tcPr>
            <w:tcW w:w="1301" w:type="pct"/>
          </w:tcPr>
          <w:p w14:paraId="45D04E93" w14:textId="77777777" w:rsidR="00DE49A8" w:rsidRPr="007C5A6E" w:rsidRDefault="00DE49A8" w:rsidP="009A2EA6">
            <w:pPr>
              <w:spacing w:after="0" w:line="240" w:lineRule="auto"/>
              <w:jc w:val="center"/>
              <w:rPr>
                <w:rFonts w:ascii="Times New Roman" w:hAnsi="Times New Roman"/>
                <w:sz w:val="21"/>
                <w:szCs w:val="21"/>
              </w:rPr>
            </w:pPr>
          </w:p>
        </w:tc>
        <w:tc>
          <w:tcPr>
            <w:tcW w:w="1300" w:type="pct"/>
          </w:tcPr>
          <w:p w14:paraId="63633045"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106 560 ha</w:t>
            </w:r>
          </w:p>
        </w:tc>
        <w:tc>
          <w:tcPr>
            <w:tcW w:w="1001" w:type="pct"/>
          </w:tcPr>
          <w:p w14:paraId="6F3FC338"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22 barrages</w:t>
            </w:r>
          </w:p>
        </w:tc>
      </w:tr>
      <w:tr w:rsidR="00DE49A8" w:rsidRPr="007C5A6E" w14:paraId="097C2E97" w14:textId="77777777" w:rsidTr="005D3FF4">
        <w:tc>
          <w:tcPr>
            <w:tcW w:w="597" w:type="pct"/>
            <w:vMerge/>
            <w:textDirection w:val="btLr"/>
            <w:vAlign w:val="center"/>
          </w:tcPr>
          <w:p w14:paraId="07A69CF5" w14:textId="77777777" w:rsidR="00DE49A8" w:rsidRPr="007C5A6E" w:rsidRDefault="00DE49A8" w:rsidP="009A2EA6">
            <w:pPr>
              <w:spacing w:after="0" w:line="240" w:lineRule="auto"/>
              <w:ind w:left="113" w:right="113"/>
              <w:jc w:val="center"/>
              <w:rPr>
                <w:rFonts w:ascii="Times New Roman" w:hAnsi="Times New Roman"/>
              </w:rPr>
            </w:pPr>
          </w:p>
        </w:tc>
        <w:tc>
          <w:tcPr>
            <w:tcW w:w="801" w:type="pct"/>
            <w:vAlign w:val="center"/>
          </w:tcPr>
          <w:p w14:paraId="1DE01D13"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2006</w:t>
            </w:r>
          </w:p>
        </w:tc>
        <w:tc>
          <w:tcPr>
            <w:tcW w:w="1301" w:type="pct"/>
          </w:tcPr>
          <w:p w14:paraId="39C832FA" w14:textId="77777777" w:rsidR="00DE49A8" w:rsidRPr="007C5A6E" w:rsidRDefault="00DE49A8" w:rsidP="009A2EA6">
            <w:pPr>
              <w:spacing w:after="0" w:line="240" w:lineRule="auto"/>
              <w:jc w:val="center"/>
              <w:rPr>
                <w:rFonts w:ascii="Times New Roman" w:hAnsi="Times New Roman"/>
                <w:sz w:val="21"/>
                <w:szCs w:val="21"/>
              </w:rPr>
            </w:pPr>
          </w:p>
        </w:tc>
        <w:tc>
          <w:tcPr>
            <w:tcW w:w="1300" w:type="pct"/>
          </w:tcPr>
          <w:p w14:paraId="505868D3" w14:textId="77777777" w:rsidR="00DE49A8" w:rsidRPr="007C5A6E" w:rsidRDefault="00DE49A8" w:rsidP="009A2EA6">
            <w:pPr>
              <w:spacing w:after="0" w:line="240" w:lineRule="auto"/>
              <w:jc w:val="center"/>
              <w:rPr>
                <w:rFonts w:ascii="Times New Roman" w:hAnsi="Times New Roman"/>
                <w:sz w:val="21"/>
                <w:szCs w:val="21"/>
              </w:rPr>
            </w:pPr>
          </w:p>
        </w:tc>
        <w:tc>
          <w:tcPr>
            <w:tcW w:w="1001" w:type="pct"/>
          </w:tcPr>
          <w:p w14:paraId="6ABA55D8"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15DE2D08" w14:textId="77777777" w:rsidTr="005D3FF4">
        <w:tc>
          <w:tcPr>
            <w:tcW w:w="597" w:type="pct"/>
            <w:vMerge/>
          </w:tcPr>
          <w:p w14:paraId="7C1418A4" w14:textId="77777777" w:rsidR="00DE49A8" w:rsidRPr="007C5A6E" w:rsidRDefault="00DE49A8" w:rsidP="009A2EA6">
            <w:pPr>
              <w:spacing w:after="0" w:line="240" w:lineRule="auto"/>
              <w:rPr>
                <w:rFonts w:ascii="Times New Roman" w:hAnsi="Times New Roman"/>
              </w:rPr>
            </w:pPr>
          </w:p>
        </w:tc>
        <w:tc>
          <w:tcPr>
            <w:tcW w:w="801" w:type="pct"/>
            <w:vAlign w:val="center"/>
          </w:tcPr>
          <w:p w14:paraId="2A0237DA"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2007</w:t>
            </w:r>
          </w:p>
        </w:tc>
        <w:tc>
          <w:tcPr>
            <w:tcW w:w="1301" w:type="pct"/>
          </w:tcPr>
          <w:p w14:paraId="32256BCE" w14:textId="77777777" w:rsidR="00DE49A8" w:rsidRPr="007C5A6E" w:rsidRDefault="00DE49A8" w:rsidP="009A2EA6">
            <w:pPr>
              <w:spacing w:after="0" w:line="240" w:lineRule="auto"/>
              <w:jc w:val="center"/>
              <w:rPr>
                <w:rFonts w:ascii="Times New Roman" w:hAnsi="Times New Roman"/>
                <w:sz w:val="21"/>
                <w:szCs w:val="21"/>
              </w:rPr>
            </w:pPr>
            <w:proofErr w:type="gramStart"/>
            <w:r w:rsidRPr="007C5A6E">
              <w:rPr>
                <w:rFonts w:ascii="Times New Roman" w:hAnsi="Times New Roman"/>
                <w:sz w:val="21"/>
                <w:szCs w:val="21"/>
              </w:rPr>
              <w:t>oui</w:t>
            </w:r>
            <w:proofErr w:type="gramEnd"/>
          </w:p>
        </w:tc>
        <w:tc>
          <w:tcPr>
            <w:tcW w:w="1300" w:type="pct"/>
          </w:tcPr>
          <w:p w14:paraId="60A58DDC" w14:textId="77777777" w:rsidR="00DE49A8" w:rsidRPr="007C5A6E" w:rsidRDefault="00DE49A8" w:rsidP="009A2EA6">
            <w:pPr>
              <w:spacing w:after="0" w:line="240" w:lineRule="auto"/>
              <w:jc w:val="center"/>
              <w:rPr>
                <w:rFonts w:ascii="Times New Roman" w:hAnsi="Times New Roman"/>
                <w:sz w:val="21"/>
                <w:szCs w:val="21"/>
              </w:rPr>
            </w:pPr>
          </w:p>
        </w:tc>
        <w:tc>
          <w:tcPr>
            <w:tcW w:w="1001" w:type="pct"/>
          </w:tcPr>
          <w:p w14:paraId="4A400A76"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26833</w:t>
            </w:r>
          </w:p>
        </w:tc>
      </w:tr>
      <w:tr w:rsidR="00DE49A8" w:rsidRPr="007C5A6E" w14:paraId="24C488B6" w14:textId="77777777" w:rsidTr="005D3FF4">
        <w:tc>
          <w:tcPr>
            <w:tcW w:w="597" w:type="pct"/>
            <w:vMerge/>
          </w:tcPr>
          <w:p w14:paraId="07724F6C" w14:textId="77777777" w:rsidR="00DE49A8" w:rsidRPr="007C5A6E" w:rsidRDefault="00DE49A8" w:rsidP="009A2EA6">
            <w:pPr>
              <w:spacing w:after="0" w:line="240" w:lineRule="auto"/>
              <w:rPr>
                <w:rFonts w:ascii="Times New Roman" w:hAnsi="Times New Roman"/>
              </w:rPr>
            </w:pPr>
          </w:p>
        </w:tc>
        <w:tc>
          <w:tcPr>
            <w:tcW w:w="801" w:type="pct"/>
            <w:vAlign w:val="center"/>
          </w:tcPr>
          <w:p w14:paraId="475D8899"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2008</w:t>
            </w:r>
          </w:p>
        </w:tc>
        <w:tc>
          <w:tcPr>
            <w:tcW w:w="1301" w:type="pct"/>
          </w:tcPr>
          <w:p w14:paraId="6A4E2F6B" w14:textId="77777777" w:rsidR="00DE49A8" w:rsidRPr="007C5A6E" w:rsidRDefault="00DE49A8" w:rsidP="009A2EA6">
            <w:pPr>
              <w:spacing w:after="0" w:line="240" w:lineRule="auto"/>
              <w:jc w:val="center"/>
              <w:rPr>
                <w:rFonts w:ascii="Times New Roman" w:hAnsi="Times New Roman"/>
                <w:sz w:val="21"/>
                <w:szCs w:val="21"/>
              </w:rPr>
            </w:pPr>
          </w:p>
        </w:tc>
        <w:tc>
          <w:tcPr>
            <w:tcW w:w="1300" w:type="pct"/>
          </w:tcPr>
          <w:p w14:paraId="547E13E8" w14:textId="77777777" w:rsidR="00DE49A8" w:rsidRPr="007C5A6E" w:rsidRDefault="00DE49A8" w:rsidP="009A2EA6">
            <w:pPr>
              <w:spacing w:after="0" w:line="240" w:lineRule="auto"/>
              <w:jc w:val="center"/>
              <w:rPr>
                <w:rFonts w:ascii="Times New Roman" w:hAnsi="Times New Roman"/>
                <w:sz w:val="21"/>
                <w:szCs w:val="21"/>
              </w:rPr>
            </w:pPr>
          </w:p>
        </w:tc>
        <w:tc>
          <w:tcPr>
            <w:tcW w:w="1001" w:type="pct"/>
          </w:tcPr>
          <w:p w14:paraId="03CE84AD"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29179C69" w14:textId="77777777" w:rsidTr="005D3FF4">
        <w:tc>
          <w:tcPr>
            <w:tcW w:w="597" w:type="pct"/>
            <w:vMerge/>
          </w:tcPr>
          <w:p w14:paraId="22BD79DF" w14:textId="77777777" w:rsidR="00DE49A8" w:rsidRPr="007C5A6E" w:rsidRDefault="00DE49A8" w:rsidP="009A2EA6">
            <w:pPr>
              <w:spacing w:after="0" w:line="240" w:lineRule="auto"/>
              <w:rPr>
                <w:rFonts w:ascii="Times New Roman" w:hAnsi="Times New Roman"/>
              </w:rPr>
            </w:pPr>
          </w:p>
        </w:tc>
        <w:tc>
          <w:tcPr>
            <w:tcW w:w="801" w:type="pct"/>
            <w:vAlign w:val="center"/>
          </w:tcPr>
          <w:p w14:paraId="59F92BFD"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2009</w:t>
            </w:r>
          </w:p>
        </w:tc>
        <w:tc>
          <w:tcPr>
            <w:tcW w:w="1301" w:type="pct"/>
          </w:tcPr>
          <w:p w14:paraId="471969CB" w14:textId="77777777" w:rsidR="00DE49A8" w:rsidRPr="007C5A6E" w:rsidRDefault="00DE49A8" w:rsidP="009A2EA6">
            <w:pPr>
              <w:spacing w:after="0" w:line="240" w:lineRule="auto"/>
              <w:jc w:val="center"/>
              <w:rPr>
                <w:rFonts w:ascii="Times New Roman" w:hAnsi="Times New Roman"/>
                <w:sz w:val="21"/>
                <w:szCs w:val="21"/>
              </w:rPr>
            </w:pPr>
          </w:p>
        </w:tc>
        <w:tc>
          <w:tcPr>
            <w:tcW w:w="1300" w:type="pct"/>
          </w:tcPr>
          <w:p w14:paraId="34FC6544"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22.200 ha</w:t>
            </w:r>
          </w:p>
        </w:tc>
        <w:tc>
          <w:tcPr>
            <w:tcW w:w="1001" w:type="pct"/>
          </w:tcPr>
          <w:p w14:paraId="51C5B758"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42373</w:t>
            </w:r>
          </w:p>
        </w:tc>
      </w:tr>
      <w:tr w:rsidR="00DE49A8" w:rsidRPr="007C5A6E" w14:paraId="311AA11E" w14:textId="77777777" w:rsidTr="005D3FF4">
        <w:tc>
          <w:tcPr>
            <w:tcW w:w="597" w:type="pct"/>
            <w:vMerge/>
          </w:tcPr>
          <w:p w14:paraId="09D84223" w14:textId="77777777" w:rsidR="00DE49A8" w:rsidRPr="007C5A6E" w:rsidRDefault="00DE49A8" w:rsidP="009A2EA6">
            <w:pPr>
              <w:spacing w:after="0" w:line="240" w:lineRule="auto"/>
              <w:rPr>
                <w:rFonts w:ascii="Times New Roman" w:hAnsi="Times New Roman"/>
              </w:rPr>
            </w:pPr>
          </w:p>
        </w:tc>
        <w:tc>
          <w:tcPr>
            <w:tcW w:w="801" w:type="pct"/>
            <w:vAlign w:val="center"/>
          </w:tcPr>
          <w:p w14:paraId="486DF1F6"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2010</w:t>
            </w:r>
          </w:p>
        </w:tc>
        <w:tc>
          <w:tcPr>
            <w:tcW w:w="1301" w:type="pct"/>
          </w:tcPr>
          <w:p w14:paraId="3CE83B84" w14:textId="77777777" w:rsidR="00DE49A8" w:rsidRPr="007C5A6E" w:rsidRDefault="00DE49A8" w:rsidP="009A2EA6">
            <w:pPr>
              <w:spacing w:after="0" w:line="240" w:lineRule="auto"/>
              <w:jc w:val="center"/>
              <w:rPr>
                <w:rFonts w:ascii="Times New Roman" w:hAnsi="Times New Roman"/>
                <w:sz w:val="21"/>
                <w:szCs w:val="21"/>
              </w:rPr>
            </w:pPr>
          </w:p>
        </w:tc>
        <w:tc>
          <w:tcPr>
            <w:tcW w:w="1300" w:type="pct"/>
          </w:tcPr>
          <w:p w14:paraId="344005EE" w14:textId="77777777" w:rsidR="00DE49A8" w:rsidRPr="007C5A6E" w:rsidRDefault="00DE49A8" w:rsidP="009A2EA6">
            <w:pPr>
              <w:spacing w:after="0" w:line="240" w:lineRule="auto"/>
              <w:jc w:val="center"/>
              <w:rPr>
                <w:rFonts w:ascii="Times New Roman" w:hAnsi="Times New Roman"/>
                <w:sz w:val="21"/>
                <w:szCs w:val="21"/>
              </w:rPr>
            </w:pPr>
          </w:p>
        </w:tc>
        <w:tc>
          <w:tcPr>
            <w:tcW w:w="1001" w:type="pct"/>
          </w:tcPr>
          <w:p w14:paraId="1730402C"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77757367" w14:textId="77777777" w:rsidTr="005D3FF4">
        <w:tc>
          <w:tcPr>
            <w:tcW w:w="597" w:type="pct"/>
            <w:vMerge/>
          </w:tcPr>
          <w:p w14:paraId="65A3BA29" w14:textId="77777777" w:rsidR="00DE49A8" w:rsidRPr="007C5A6E" w:rsidRDefault="00DE49A8" w:rsidP="009A2EA6">
            <w:pPr>
              <w:spacing w:after="0" w:line="240" w:lineRule="auto"/>
              <w:rPr>
                <w:rFonts w:ascii="Times New Roman" w:hAnsi="Times New Roman"/>
              </w:rPr>
            </w:pPr>
          </w:p>
        </w:tc>
        <w:tc>
          <w:tcPr>
            <w:tcW w:w="801" w:type="pct"/>
            <w:vAlign w:val="center"/>
          </w:tcPr>
          <w:p w14:paraId="5529B4EC"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2011</w:t>
            </w:r>
          </w:p>
        </w:tc>
        <w:tc>
          <w:tcPr>
            <w:tcW w:w="1301" w:type="pct"/>
          </w:tcPr>
          <w:p w14:paraId="3C0EAF81" w14:textId="77777777" w:rsidR="00DE49A8" w:rsidRPr="007C5A6E" w:rsidRDefault="00DE49A8" w:rsidP="009A2EA6">
            <w:pPr>
              <w:spacing w:after="0" w:line="240" w:lineRule="auto"/>
              <w:jc w:val="center"/>
              <w:rPr>
                <w:rFonts w:ascii="Times New Roman" w:hAnsi="Times New Roman"/>
                <w:sz w:val="21"/>
                <w:szCs w:val="21"/>
              </w:rPr>
            </w:pPr>
          </w:p>
        </w:tc>
        <w:tc>
          <w:tcPr>
            <w:tcW w:w="1300" w:type="pct"/>
          </w:tcPr>
          <w:p w14:paraId="1A6FC5AD" w14:textId="77777777" w:rsidR="00DE49A8" w:rsidRPr="007C5A6E" w:rsidRDefault="00DE49A8" w:rsidP="009A2EA6">
            <w:pPr>
              <w:spacing w:after="0" w:line="240" w:lineRule="auto"/>
              <w:jc w:val="center"/>
              <w:rPr>
                <w:rFonts w:ascii="Times New Roman" w:hAnsi="Times New Roman"/>
                <w:sz w:val="21"/>
                <w:szCs w:val="21"/>
              </w:rPr>
            </w:pPr>
          </w:p>
        </w:tc>
        <w:tc>
          <w:tcPr>
            <w:tcW w:w="1001" w:type="pct"/>
          </w:tcPr>
          <w:p w14:paraId="4CFF4135"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00C69B61" w14:textId="77777777" w:rsidTr="005D3FF4">
        <w:tc>
          <w:tcPr>
            <w:tcW w:w="597" w:type="pct"/>
            <w:vMerge/>
          </w:tcPr>
          <w:p w14:paraId="6FD93EDC" w14:textId="77777777" w:rsidR="00DE49A8" w:rsidRPr="007C5A6E" w:rsidRDefault="00DE49A8" w:rsidP="009A2EA6">
            <w:pPr>
              <w:spacing w:after="0" w:line="240" w:lineRule="auto"/>
              <w:rPr>
                <w:rFonts w:ascii="Times New Roman" w:hAnsi="Times New Roman"/>
              </w:rPr>
            </w:pPr>
          </w:p>
        </w:tc>
        <w:tc>
          <w:tcPr>
            <w:tcW w:w="801" w:type="pct"/>
            <w:vAlign w:val="center"/>
          </w:tcPr>
          <w:p w14:paraId="7C4D7547"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2012</w:t>
            </w:r>
          </w:p>
        </w:tc>
        <w:tc>
          <w:tcPr>
            <w:tcW w:w="1301" w:type="pct"/>
          </w:tcPr>
          <w:p w14:paraId="429932A2" w14:textId="77777777" w:rsidR="00DE49A8" w:rsidRPr="007C5A6E" w:rsidRDefault="00DE49A8" w:rsidP="009A2EA6">
            <w:pPr>
              <w:spacing w:after="0" w:line="240" w:lineRule="auto"/>
              <w:jc w:val="center"/>
              <w:rPr>
                <w:rFonts w:ascii="Times New Roman" w:hAnsi="Times New Roman"/>
                <w:sz w:val="21"/>
                <w:szCs w:val="21"/>
              </w:rPr>
            </w:pPr>
          </w:p>
        </w:tc>
        <w:tc>
          <w:tcPr>
            <w:tcW w:w="1300" w:type="pct"/>
          </w:tcPr>
          <w:p w14:paraId="0A3844DA"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803 greniers</w:t>
            </w:r>
          </w:p>
        </w:tc>
        <w:tc>
          <w:tcPr>
            <w:tcW w:w="1001" w:type="pct"/>
          </w:tcPr>
          <w:p w14:paraId="2BB60410"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7796</w:t>
            </w:r>
          </w:p>
        </w:tc>
      </w:tr>
      <w:tr w:rsidR="00DE49A8" w:rsidRPr="007C5A6E" w14:paraId="4D4E0088" w14:textId="77777777" w:rsidTr="005D3FF4">
        <w:tc>
          <w:tcPr>
            <w:tcW w:w="597" w:type="pct"/>
            <w:vMerge/>
          </w:tcPr>
          <w:p w14:paraId="5E43893D" w14:textId="77777777" w:rsidR="00DE49A8" w:rsidRPr="007C5A6E" w:rsidRDefault="00DE49A8" w:rsidP="009A2EA6">
            <w:pPr>
              <w:spacing w:after="0" w:line="240" w:lineRule="auto"/>
              <w:rPr>
                <w:rFonts w:ascii="Times New Roman" w:hAnsi="Times New Roman"/>
              </w:rPr>
            </w:pPr>
          </w:p>
        </w:tc>
        <w:tc>
          <w:tcPr>
            <w:tcW w:w="801" w:type="pct"/>
            <w:vAlign w:val="center"/>
          </w:tcPr>
          <w:p w14:paraId="5FF4E16B"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2013</w:t>
            </w:r>
          </w:p>
        </w:tc>
        <w:tc>
          <w:tcPr>
            <w:tcW w:w="1301" w:type="pct"/>
          </w:tcPr>
          <w:p w14:paraId="5078BFA1" w14:textId="77777777" w:rsidR="00DE49A8" w:rsidRPr="007C5A6E" w:rsidRDefault="00DE49A8" w:rsidP="009A2EA6">
            <w:pPr>
              <w:spacing w:after="0" w:line="240" w:lineRule="auto"/>
              <w:jc w:val="center"/>
              <w:rPr>
                <w:rFonts w:ascii="Times New Roman" w:hAnsi="Times New Roman"/>
                <w:sz w:val="21"/>
                <w:szCs w:val="21"/>
              </w:rPr>
            </w:pPr>
          </w:p>
        </w:tc>
        <w:tc>
          <w:tcPr>
            <w:tcW w:w="1300" w:type="pct"/>
          </w:tcPr>
          <w:p w14:paraId="435C63B2" w14:textId="77777777" w:rsidR="00DE49A8" w:rsidRPr="007C5A6E" w:rsidRDefault="00DE49A8" w:rsidP="009A2EA6">
            <w:pPr>
              <w:spacing w:after="0" w:line="240" w:lineRule="auto"/>
              <w:jc w:val="center"/>
              <w:rPr>
                <w:rFonts w:ascii="Times New Roman" w:hAnsi="Times New Roman"/>
                <w:sz w:val="21"/>
                <w:szCs w:val="21"/>
              </w:rPr>
            </w:pPr>
          </w:p>
        </w:tc>
        <w:tc>
          <w:tcPr>
            <w:tcW w:w="1001" w:type="pct"/>
          </w:tcPr>
          <w:p w14:paraId="4A698632"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6EECA311" w14:textId="77777777" w:rsidTr="005D3FF4">
        <w:tc>
          <w:tcPr>
            <w:tcW w:w="597" w:type="pct"/>
            <w:vMerge/>
          </w:tcPr>
          <w:p w14:paraId="44774F7A" w14:textId="77777777" w:rsidR="00DE49A8" w:rsidRPr="007C5A6E" w:rsidRDefault="00DE49A8" w:rsidP="009A2EA6">
            <w:pPr>
              <w:spacing w:after="0" w:line="240" w:lineRule="auto"/>
              <w:rPr>
                <w:rFonts w:ascii="Times New Roman" w:hAnsi="Times New Roman"/>
              </w:rPr>
            </w:pPr>
          </w:p>
        </w:tc>
        <w:tc>
          <w:tcPr>
            <w:tcW w:w="801" w:type="pct"/>
            <w:vAlign w:val="center"/>
          </w:tcPr>
          <w:p w14:paraId="3030CEA4"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2014</w:t>
            </w:r>
          </w:p>
        </w:tc>
        <w:tc>
          <w:tcPr>
            <w:tcW w:w="1301" w:type="pct"/>
          </w:tcPr>
          <w:p w14:paraId="5B7442D1" w14:textId="77777777" w:rsidR="00DE49A8" w:rsidRPr="007C5A6E" w:rsidRDefault="00DE49A8" w:rsidP="009A2EA6">
            <w:pPr>
              <w:spacing w:after="0" w:line="240" w:lineRule="auto"/>
              <w:jc w:val="center"/>
              <w:rPr>
                <w:rFonts w:ascii="Times New Roman" w:hAnsi="Times New Roman"/>
                <w:sz w:val="21"/>
                <w:szCs w:val="21"/>
              </w:rPr>
            </w:pPr>
          </w:p>
        </w:tc>
        <w:tc>
          <w:tcPr>
            <w:tcW w:w="1300" w:type="pct"/>
          </w:tcPr>
          <w:p w14:paraId="16343295" w14:textId="77777777" w:rsidR="00DE49A8" w:rsidRPr="007C5A6E" w:rsidRDefault="00DE49A8" w:rsidP="009A2EA6">
            <w:pPr>
              <w:spacing w:after="0" w:line="240" w:lineRule="auto"/>
              <w:jc w:val="center"/>
              <w:rPr>
                <w:rFonts w:ascii="Times New Roman" w:hAnsi="Times New Roman"/>
                <w:sz w:val="21"/>
                <w:szCs w:val="21"/>
              </w:rPr>
            </w:pPr>
          </w:p>
        </w:tc>
        <w:tc>
          <w:tcPr>
            <w:tcW w:w="1001" w:type="pct"/>
          </w:tcPr>
          <w:p w14:paraId="6B852BC2"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0E86527E" w14:textId="77777777" w:rsidTr="005D3FF4">
        <w:tc>
          <w:tcPr>
            <w:tcW w:w="597" w:type="pct"/>
            <w:vMerge/>
          </w:tcPr>
          <w:p w14:paraId="0738AB1B" w14:textId="77777777" w:rsidR="00DE49A8" w:rsidRPr="007C5A6E" w:rsidRDefault="00DE49A8" w:rsidP="009A2EA6">
            <w:pPr>
              <w:spacing w:after="0" w:line="240" w:lineRule="auto"/>
              <w:rPr>
                <w:rFonts w:ascii="Times New Roman" w:hAnsi="Times New Roman"/>
              </w:rPr>
            </w:pPr>
          </w:p>
        </w:tc>
        <w:tc>
          <w:tcPr>
            <w:tcW w:w="801" w:type="pct"/>
            <w:vAlign w:val="center"/>
          </w:tcPr>
          <w:p w14:paraId="2408DBE3"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2015</w:t>
            </w:r>
          </w:p>
        </w:tc>
        <w:tc>
          <w:tcPr>
            <w:tcW w:w="1301" w:type="pct"/>
          </w:tcPr>
          <w:p w14:paraId="02E86C55" w14:textId="77777777" w:rsidR="00DE49A8" w:rsidRPr="007C5A6E" w:rsidRDefault="00DE49A8" w:rsidP="009A2EA6">
            <w:pPr>
              <w:spacing w:after="0" w:line="240" w:lineRule="auto"/>
              <w:jc w:val="center"/>
              <w:rPr>
                <w:rFonts w:ascii="Times New Roman" w:hAnsi="Times New Roman"/>
                <w:sz w:val="21"/>
                <w:szCs w:val="21"/>
              </w:rPr>
            </w:pPr>
          </w:p>
        </w:tc>
        <w:tc>
          <w:tcPr>
            <w:tcW w:w="1300" w:type="pct"/>
          </w:tcPr>
          <w:p w14:paraId="2990BCB1" w14:textId="77777777" w:rsidR="00DE49A8" w:rsidRPr="007C5A6E" w:rsidRDefault="00DE49A8" w:rsidP="009A2EA6">
            <w:pPr>
              <w:spacing w:after="0" w:line="240" w:lineRule="auto"/>
              <w:jc w:val="center"/>
              <w:rPr>
                <w:rFonts w:ascii="Times New Roman" w:hAnsi="Times New Roman"/>
                <w:sz w:val="21"/>
                <w:szCs w:val="21"/>
              </w:rPr>
            </w:pPr>
          </w:p>
        </w:tc>
        <w:tc>
          <w:tcPr>
            <w:tcW w:w="1001" w:type="pct"/>
          </w:tcPr>
          <w:p w14:paraId="30A3948A"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1747</w:t>
            </w:r>
          </w:p>
        </w:tc>
      </w:tr>
      <w:tr w:rsidR="00DE49A8" w:rsidRPr="007C5A6E" w14:paraId="6D1AD0BD" w14:textId="77777777" w:rsidTr="005D3FF4">
        <w:tc>
          <w:tcPr>
            <w:tcW w:w="597" w:type="pct"/>
            <w:vMerge/>
          </w:tcPr>
          <w:p w14:paraId="521775E0" w14:textId="77777777" w:rsidR="00DE49A8" w:rsidRPr="007C5A6E" w:rsidRDefault="00DE49A8" w:rsidP="009A2EA6">
            <w:pPr>
              <w:spacing w:after="0" w:line="240" w:lineRule="auto"/>
              <w:rPr>
                <w:rFonts w:ascii="Times New Roman" w:hAnsi="Times New Roman"/>
              </w:rPr>
            </w:pPr>
          </w:p>
        </w:tc>
        <w:tc>
          <w:tcPr>
            <w:tcW w:w="801" w:type="pct"/>
            <w:vAlign w:val="center"/>
          </w:tcPr>
          <w:p w14:paraId="691204DD"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2016</w:t>
            </w:r>
          </w:p>
        </w:tc>
        <w:tc>
          <w:tcPr>
            <w:tcW w:w="1301" w:type="pct"/>
          </w:tcPr>
          <w:p w14:paraId="7351811A" w14:textId="77777777" w:rsidR="00DE49A8" w:rsidRPr="007C5A6E" w:rsidRDefault="00DE49A8" w:rsidP="009A2EA6">
            <w:pPr>
              <w:spacing w:after="0" w:line="240" w:lineRule="auto"/>
              <w:jc w:val="center"/>
              <w:rPr>
                <w:rFonts w:ascii="Times New Roman" w:hAnsi="Times New Roman"/>
                <w:sz w:val="21"/>
                <w:szCs w:val="21"/>
              </w:rPr>
            </w:pPr>
          </w:p>
        </w:tc>
        <w:tc>
          <w:tcPr>
            <w:tcW w:w="1300" w:type="pct"/>
          </w:tcPr>
          <w:p w14:paraId="18D2B517" w14:textId="77777777" w:rsidR="00DE49A8" w:rsidRPr="007C5A6E" w:rsidRDefault="00DE49A8" w:rsidP="009A2EA6">
            <w:pPr>
              <w:spacing w:after="0" w:line="240" w:lineRule="auto"/>
              <w:jc w:val="center"/>
              <w:rPr>
                <w:rFonts w:ascii="Times New Roman" w:hAnsi="Times New Roman"/>
                <w:sz w:val="21"/>
                <w:szCs w:val="21"/>
              </w:rPr>
            </w:pPr>
          </w:p>
        </w:tc>
        <w:tc>
          <w:tcPr>
            <w:tcW w:w="1001" w:type="pct"/>
          </w:tcPr>
          <w:p w14:paraId="6679E388"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6290</w:t>
            </w:r>
          </w:p>
        </w:tc>
      </w:tr>
      <w:tr w:rsidR="00DE49A8" w:rsidRPr="007C5A6E" w14:paraId="079DD681" w14:textId="77777777" w:rsidTr="005D3FF4">
        <w:tc>
          <w:tcPr>
            <w:tcW w:w="597" w:type="pct"/>
            <w:vMerge/>
          </w:tcPr>
          <w:p w14:paraId="38C6D7EC" w14:textId="77777777" w:rsidR="00DE49A8" w:rsidRPr="007C5A6E" w:rsidRDefault="00DE49A8" w:rsidP="009A2EA6">
            <w:pPr>
              <w:spacing w:after="0" w:line="240" w:lineRule="auto"/>
              <w:rPr>
                <w:rFonts w:ascii="Times New Roman" w:hAnsi="Times New Roman"/>
              </w:rPr>
            </w:pPr>
          </w:p>
        </w:tc>
        <w:tc>
          <w:tcPr>
            <w:tcW w:w="801" w:type="pct"/>
            <w:vAlign w:val="center"/>
          </w:tcPr>
          <w:p w14:paraId="3F565CEA"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2017</w:t>
            </w:r>
          </w:p>
        </w:tc>
        <w:tc>
          <w:tcPr>
            <w:tcW w:w="1301" w:type="pct"/>
          </w:tcPr>
          <w:p w14:paraId="6F37513A" w14:textId="77777777" w:rsidR="00DE49A8" w:rsidRPr="007C5A6E" w:rsidRDefault="00DE49A8" w:rsidP="009A2EA6">
            <w:pPr>
              <w:spacing w:after="0" w:line="240" w:lineRule="auto"/>
              <w:jc w:val="center"/>
              <w:rPr>
                <w:rFonts w:ascii="Times New Roman" w:hAnsi="Times New Roman"/>
                <w:sz w:val="21"/>
                <w:szCs w:val="21"/>
              </w:rPr>
            </w:pPr>
          </w:p>
        </w:tc>
        <w:tc>
          <w:tcPr>
            <w:tcW w:w="1300" w:type="pct"/>
          </w:tcPr>
          <w:p w14:paraId="3833FE34" w14:textId="77777777" w:rsidR="00DE49A8" w:rsidRPr="007C5A6E" w:rsidRDefault="00DE49A8" w:rsidP="009A2EA6">
            <w:pPr>
              <w:spacing w:after="0" w:line="240" w:lineRule="auto"/>
              <w:jc w:val="center"/>
              <w:rPr>
                <w:rFonts w:ascii="Times New Roman" w:hAnsi="Times New Roman"/>
                <w:sz w:val="21"/>
                <w:szCs w:val="21"/>
              </w:rPr>
            </w:pPr>
          </w:p>
        </w:tc>
        <w:tc>
          <w:tcPr>
            <w:tcW w:w="1001" w:type="pct"/>
          </w:tcPr>
          <w:p w14:paraId="3DABEC87"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5454</w:t>
            </w:r>
          </w:p>
        </w:tc>
      </w:tr>
      <w:tr w:rsidR="00DE49A8" w:rsidRPr="007C5A6E" w14:paraId="50726565" w14:textId="77777777" w:rsidTr="005D3FF4">
        <w:tc>
          <w:tcPr>
            <w:tcW w:w="597" w:type="pct"/>
            <w:vMerge/>
          </w:tcPr>
          <w:p w14:paraId="4D3AD613" w14:textId="77777777" w:rsidR="00DE49A8" w:rsidRPr="007C5A6E" w:rsidRDefault="00DE49A8" w:rsidP="009A2EA6">
            <w:pPr>
              <w:spacing w:after="0" w:line="240" w:lineRule="auto"/>
              <w:rPr>
                <w:rFonts w:ascii="Times New Roman" w:hAnsi="Times New Roman"/>
              </w:rPr>
            </w:pPr>
          </w:p>
        </w:tc>
        <w:tc>
          <w:tcPr>
            <w:tcW w:w="801" w:type="pct"/>
            <w:vAlign w:val="center"/>
          </w:tcPr>
          <w:p w14:paraId="65336E1E"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2018</w:t>
            </w:r>
          </w:p>
        </w:tc>
        <w:tc>
          <w:tcPr>
            <w:tcW w:w="1301" w:type="pct"/>
          </w:tcPr>
          <w:p w14:paraId="01145F3A" w14:textId="77777777" w:rsidR="00DE49A8" w:rsidRPr="007C5A6E" w:rsidRDefault="00DE49A8" w:rsidP="009A2EA6">
            <w:pPr>
              <w:spacing w:after="0" w:line="240" w:lineRule="auto"/>
              <w:jc w:val="center"/>
              <w:rPr>
                <w:rFonts w:ascii="Times New Roman" w:hAnsi="Times New Roman"/>
                <w:sz w:val="21"/>
                <w:szCs w:val="21"/>
              </w:rPr>
            </w:pPr>
          </w:p>
        </w:tc>
        <w:tc>
          <w:tcPr>
            <w:tcW w:w="1300" w:type="pct"/>
          </w:tcPr>
          <w:p w14:paraId="0595DDE2" w14:textId="77777777" w:rsidR="00DE49A8" w:rsidRPr="007C5A6E" w:rsidRDefault="00DE49A8" w:rsidP="009A2EA6">
            <w:pPr>
              <w:spacing w:after="0" w:line="240" w:lineRule="auto"/>
              <w:jc w:val="center"/>
              <w:rPr>
                <w:rFonts w:ascii="Times New Roman" w:hAnsi="Times New Roman"/>
                <w:sz w:val="21"/>
                <w:szCs w:val="21"/>
              </w:rPr>
            </w:pPr>
          </w:p>
        </w:tc>
        <w:tc>
          <w:tcPr>
            <w:tcW w:w="1001" w:type="pct"/>
          </w:tcPr>
          <w:p w14:paraId="616DE837"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4066</w:t>
            </w:r>
          </w:p>
        </w:tc>
      </w:tr>
      <w:tr w:rsidR="00DE49A8" w:rsidRPr="007C5A6E" w14:paraId="656B9828" w14:textId="77777777" w:rsidTr="005D3FF4">
        <w:tc>
          <w:tcPr>
            <w:tcW w:w="597" w:type="pct"/>
            <w:vMerge/>
          </w:tcPr>
          <w:p w14:paraId="4FA8C55B" w14:textId="77777777" w:rsidR="00DE49A8" w:rsidRPr="007C5A6E" w:rsidRDefault="00DE49A8" w:rsidP="009A2EA6">
            <w:pPr>
              <w:spacing w:after="0" w:line="240" w:lineRule="auto"/>
              <w:rPr>
                <w:rFonts w:ascii="Times New Roman" w:hAnsi="Times New Roman"/>
              </w:rPr>
            </w:pPr>
          </w:p>
        </w:tc>
        <w:tc>
          <w:tcPr>
            <w:tcW w:w="801" w:type="pct"/>
            <w:vAlign w:val="center"/>
          </w:tcPr>
          <w:p w14:paraId="18A822F5"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2019</w:t>
            </w:r>
          </w:p>
        </w:tc>
        <w:tc>
          <w:tcPr>
            <w:tcW w:w="1301" w:type="pct"/>
          </w:tcPr>
          <w:p w14:paraId="0551BDE4" w14:textId="77777777" w:rsidR="00DE49A8" w:rsidRPr="007C5A6E" w:rsidRDefault="00DE49A8" w:rsidP="009A2EA6">
            <w:pPr>
              <w:spacing w:after="0" w:line="240" w:lineRule="auto"/>
              <w:jc w:val="center"/>
              <w:rPr>
                <w:rFonts w:ascii="Times New Roman" w:hAnsi="Times New Roman"/>
                <w:sz w:val="21"/>
                <w:szCs w:val="21"/>
              </w:rPr>
            </w:pPr>
          </w:p>
        </w:tc>
        <w:tc>
          <w:tcPr>
            <w:tcW w:w="1300" w:type="pct"/>
          </w:tcPr>
          <w:p w14:paraId="2BEE7FBD" w14:textId="77777777" w:rsidR="00DE49A8" w:rsidRPr="007C5A6E" w:rsidRDefault="00DE49A8" w:rsidP="009A2EA6">
            <w:pPr>
              <w:spacing w:after="0" w:line="240" w:lineRule="auto"/>
              <w:jc w:val="center"/>
              <w:rPr>
                <w:rFonts w:ascii="Times New Roman" w:hAnsi="Times New Roman"/>
                <w:sz w:val="21"/>
                <w:szCs w:val="21"/>
              </w:rPr>
            </w:pPr>
          </w:p>
        </w:tc>
        <w:tc>
          <w:tcPr>
            <w:tcW w:w="1001" w:type="pct"/>
          </w:tcPr>
          <w:p w14:paraId="77A73A11"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862</w:t>
            </w:r>
          </w:p>
        </w:tc>
      </w:tr>
      <w:tr w:rsidR="00DE49A8" w:rsidRPr="007C5A6E" w14:paraId="3747A34E" w14:textId="77777777" w:rsidTr="005D3FF4">
        <w:tc>
          <w:tcPr>
            <w:tcW w:w="597" w:type="pct"/>
            <w:vMerge/>
          </w:tcPr>
          <w:p w14:paraId="6BB92BA4" w14:textId="77777777" w:rsidR="00DE49A8" w:rsidRPr="007C5A6E" w:rsidRDefault="00DE49A8" w:rsidP="009A2EA6">
            <w:pPr>
              <w:spacing w:after="0" w:line="240" w:lineRule="auto"/>
              <w:rPr>
                <w:rFonts w:ascii="Times New Roman" w:hAnsi="Times New Roman"/>
              </w:rPr>
            </w:pPr>
          </w:p>
        </w:tc>
        <w:tc>
          <w:tcPr>
            <w:tcW w:w="801" w:type="pct"/>
            <w:vAlign w:val="center"/>
          </w:tcPr>
          <w:p w14:paraId="39CC2F1C"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2020</w:t>
            </w:r>
          </w:p>
        </w:tc>
        <w:tc>
          <w:tcPr>
            <w:tcW w:w="1301" w:type="pct"/>
          </w:tcPr>
          <w:p w14:paraId="69381AD0" w14:textId="77777777" w:rsidR="00DE49A8" w:rsidRPr="007C5A6E" w:rsidRDefault="00DE49A8" w:rsidP="009A2EA6">
            <w:pPr>
              <w:spacing w:after="0" w:line="240" w:lineRule="auto"/>
              <w:jc w:val="center"/>
              <w:rPr>
                <w:rFonts w:ascii="Times New Roman" w:hAnsi="Times New Roman"/>
                <w:sz w:val="21"/>
                <w:szCs w:val="21"/>
              </w:rPr>
            </w:pPr>
            <w:proofErr w:type="gramStart"/>
            <w:r w:rsidRPr="007C5A6E">
              <w:rPr>
                <w:rFonts w:ascii="Times New Roman" w:hAnsi="Times New Roman"/>
                <w:sz w:val="21"/>
                <w:szCs w:val="21"/>
              </w:rPr>
              <w:t>oui</w:t>
            </w:r>
            <w:proofErr w:type="gramEnd"/>
          </w:p>
        </w:tc>
        <w:tc>
          <w:tcPr>
            <w:tcW w:w="1300" w:type="pct"/>
          </w:tcPr>
          <w:p w14:paraId="28698F01"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250 tonnes</w:t>
            </w:r>
          </w:p>
        </w:tc>
        <w:tc>
          <w:tcPr>
            <w:tcW w:w="1001" w:type="pct"/>
          </w:tcPr>
          <w:p w14:paraId="749FF359"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6793</w:t>
            </w:r>
          </w:p>
        </w:tc>
      </w:tr>
      <w:tr w:rsidR="00DE49A8" w:rsidRPr="007C5A6E" w14:paraId="3981F069" w14:textId="77777777" w:rsidTr="005D3FF4">
        <w:tc>
          <w:tcPr>
            <w:tcW w:w="597" w:type="pct"/>
            <w:vMerge/>
          </w:tcPr>
          <w:p w14:paraId="5250B87C" w14:textId="77777777" w:rsidR="00DE49A8" w:rsidRPr="007C5A6E" w:rsidRDefault="00DE49A8" w:rsidP="009A2EA6">
            <w:pPr>
              <w:spacing w:after="0" w:line="240" w:lineRule="auto"/>
              <w:rPr>
                <w:rFonts w:ascii="Times New Roman" w:hAnsi="Times New Roman"/>
              </w:rPr>
            </w:pPr>
          </w:p>
        </w:tc>
        <w:tc>
          <w:tcPr>
            <w:tcW w:w="801" w:type="pct"/>
            <w:vAlign w:val="center"/>
          </w:tcPr>
          <w:p w14:paraId="7DC23C05"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color w:val="000000"/>
                <w:sz w:val="21"/>
                <w:szCs w:val="21"/>
              </w:rPr>
              <w:t>2021</w:t>
            </w:r>
          </w:p>
        </w:tc>
        <w:tc>
          <w:tcPr>
            <w:tcW w:w="1301" w:type="pct"/>
          </w:tcPr>
          <w:p w14:paraId="1F8576E4" w14:textId="77777777" w:rsidR="00DE49A8" w:rsidRPr="007C5A6E" w:rsidRDefault="00DE49A8" w:rsidP="009A2EA6">
            <w:pPr>
              <w:spacing w:after="0" w:line="240" w:lineRule="auto"/>
              <w:jc w:val="center"/>
              <w:rPr>
                <w:rFonts w:ascii="Times New Roman" w:hAnsi="Times New Roman"/>
                <w:sz w:val="21"/>
                <w:szCs w:val="21"/>
              </w:rPr>
            </w:pPr>
          </w:p>
        </w:tc>
        <w:tc>
          <w:tcPr>
            <w:tcW w:w="1300" w:type="pct"/>
          </w:tcPr>
          <w:p w14:paraId="5E2ED208" w14:textId="77777777" w:rsidR="00DE49A8" w:rsidRPr="007C5A6E" w:rsidRDefault="00DE49A8" w:rsidP="009A2EA6">
            <w:pPr>
              <w:spacing w:after="0" w:line="240" w:lineRule="auto"/>
              <w:jc w:val="center"/>
              <w:rPr>
                <w:rFonts w:ascii="Times New Roman" w:hAnsi="Times New Roman"/>
                <w:sz w:val="21"/>
                <w:szCs w:val="21"/>
              </w:rPr>
            </w:pPr>
          </w:p>
        </w:tc>
        <w:tc>
          <w:tcPr>
            <w:tcW w:w="1001" w:type="pct"/>
          </w:tcPr>
          <w:p w14:paraId="453C6881"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5289</w:t>
            </w:r>
          </w:p>
        </w:tc>
      </w:tr>
      <w:tr w:rsidR="00DE49A8" w:rsidRPr="007C5A6E" w14:paraId="1AAB52DA" w14:textId="77777777" w:rsidTr="005D3FF4">
        <w:tc>
          <w:tcPr>
            <w:tcW w:w="597" w:type="pct"/>
            <w:vMerge w:val="restart"/>
            <w:textDirection w:val="btLr"/>
            <w:vAlign w:val="center"/>
          </w:tcPr>
          <w:p w14:paraId="48F0B3ED" w14:textId="77777777" w:rsidR="00DE49A8" w:rsidRPr="007C5A6E" w:rsidRDefault="00DE49A8" w:rsidP="009A2EA6">
            <w:pPr>
              <w:spacing w:after="0" w:line="240" w:lineRule="auto"/>
              <w:ind w:left="113" w:right="113"/>
              <w:jc w:val="center"/>
              <w:rPr>
                <w:rFonts w:ascii="Times New Roman" w:hAnsi="Times New Roman"/>
                <w:b/>
                <w:bCs/>
              </w:rPr>
            </w:pPr>
            <w:r w:rsidRPr="007C5A6E">
              <w:rPr>
                <w:rFonts w:ascii="Times New Roman" w:hAnsi="Times New Roman"/>
                <w:b/>
                <w:bCs/>
              </w:rPr>
              <w:t>Sécheresses</w:t>
            </w:r>
          </w:p>
        </w:tc>
        <w:tc>
          <w:tcPr>
            <w:tcW w:w="801" w:type="pct"/>
          </w:tcPr>
          <w:p w14:paraId="55336563"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Période</w:t>
            </w:r>
          </w:p>
        </w:tc>
        <w:tc>
          <w:tcPr>
            <w:tcW w:w="1301" w:type="pct"/>
            <w:shd w:val="clear" w:color="auto" w:fill="BFBFBF" w:themeFill="background1" w:themeFillShade="BF"/>
          </w:tcPr>
          <w:p w14:paraId="2FC55C16" w14:textId="77777777" w:rsidR="00DE49A8" w:rsidRPr="007C5A6E" w:rsidRDefault="00DE49A8" w:rsidP="009A2EA6">
            <w:pPr>
              <w:spacing w:after="0" w:line="240" w:lineRule="auto"/>
              <w:jc w:val="center"/>
              <w:rPr>
                <w:rFonts w:ascii="Times New Roman" w:hAnsi="Times New Roman"/>
                <w:sz w:val="21"/>
                <w:szCs w:val="21"/>
              </w:rPr>
            </w:pPr>
          </w:p>
        </w:tc>
        <w:tc>
          <w:tcPr>
            <w:tcW w:w="1300" w:type="pct"/>
            <w:shd w:val="clear" w:color="auto" w:fill="BFBFBF" w:themeFill="background1" w:themeFillShade="BF"/>
          </w:tcPr>
          <w:p w14:paraId="416A78A8" w14:textId="77777777" w:rsidR="00DE49A8" w:rsidRPr="007C5A6E" w:rsidRDefault="00DE49A8" w:rsidP="009A2EA6">
            <w:pPr>
              <w:spacing w:after="0" w:line="240" w:lineRule="auto"/>
              <w:jc w:val="center"/>
              <w:rPr>
                <w:rFonts w:ascii="Times New Roman" w:hAnsi="Times New Roman"/>
                <w:sz w:val="21"/>
                <w:szCs w:val="21"/>
              </w:rPr>
            </w:pPr>
          </w:p>
        </w:tc>
        <w:tc>
          <w:tcPr>
            <w:tcW w:w="1001" w:type="pct"/>
            <w:shd w:val="clear" w:color="auto" w:fill="BFBFBF" w:themeFill="background1" w:themeFillShade="BF"/>
          </w:tcPr>
          <w:p w14:paraId="2CA39581"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013B9751" w14:textId="77777777" w:rsidTr="005D3FF4">
        <w:tc>
          <w:tcPr>
            <w:tcW w:w="597" w:type="pct"/>
            <w:vMerge/>
          </w:tcPr>
          <w:p w14:paraId="399638A2" w14:textId="77777777" w:rsidR="00DE49A8" w:rsidRPr="007C5A6E" w:rsidRDefault="00DE49A8" w:rsidP="009A2EA6">
            <w:pPr>
              <w:spacing w:after="0" w:line="240" w:lineRule="auto"/>
              <w:rPr>
                <w:rFonts w:ascii="Times New Roman" w:hAnsi="Times New Roman"/>
              </w:rPr>
            </w:pPr>
          </w:p>
        </w:tc>
        <w:tc>
          <w:tcPr>
            <w:tcW w:w="801" w:type="pct"/>
          </w:tcPr>
          <w:p w14:paraId="5307649C"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1972/1973</w:t>
            </w:r>
          </w:p>
        </w:tc>
        <w:tc>
          <w:tcPr>
            <w:tcW w:w="1301" w:type="pct"/>
          </w:tcPr>
          <w:p w14:paraId="5DAB92A1"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11% à 62%</w:t>
            </w:r>
          </w:p>
        </w:tc>
        <w:tc>
          <w:tcPr>
            <w:tcW w:w="1300" w:type="pct"/>
          </w:tcPr>
          <w:p w14:paraId="1A252227"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Oui - important</w:t>
            </w:r>
          </w:p>
        </w:tc>
        <w:tc>
          <w:tcPr>
            <w:tcW w:w="1001" w:type="pct"/>
          </w:tcPr>
          <w:p w14:paraId="1D9BE8B8"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21368FD0" w14:textId="77777777" w:rsidTr="005D3FF4">
        <w:tc>
          <w:tcPr>
            <w:tcW w:w="597" w:type="pct"/>
            <w:vMerge/>
          </w:tcPr>
          <w:p w14:paraId="6628A1F1" w14:textId="77777777" w:rsidR="00DE49A8" w:rsidRPr="007C5A6E" w:rsidRDefault="00DE49A8" w:rsidP="009A2EA6">
            <w:pPr>
              <w:spacing w:after="0" w:line="240" w:lineRule="auto"/>
              <w:rPr>
                <w:rFonts w:ascii="Times New Roman" w:hAnsi="Times New Roman"/>
              </w:rPr>
            </w:pPr>
          </w:p>
        </w:tc>
        <w:tc>
          <w:tcPr>
            <w:tcW w:w="801" w:type="pct"/>
          </w:tcPr>
          <w:p w14:paraId="3FD97823"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1982/1984</w:t>
            </w:r>
          </w:p>
        </w:tc>
        <w:tc>
          <w:tcPr>
            <w:tcW w:w="1301" w:type="pct"/>
          </w:tcPr>
          <w:p w14:paraId="14E2B700"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5% à 22%</w:t>
            </w:r>
          </w:p>
        </w:tc>
        <w:tc>
          <w:tcPr>
            <w:tcW w:w="1300" w:type="pct"/>
          </w:tcPr>
          <w:p w14:paraId="58933E22"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Oui - important</w:t>
            </w:r>
          </w:p>
        </w:tc>
        <w:tc>
          <w:tcPr>
            <w:tcW w:w="1001" w:type="pct"/>
          </w:tcPr>
          <w:p w14:paraId="23C394F7" w14:textId="77777777" w:rsidR="00DE49A8" w:rsidRPr="007C5A6E" w:rsidRDefault="00DE49A8" w:rsidP="009A2EA6">
            <w:pPr>
              <w:spacing w:after="0" w:line="240" w:lineRule="auto"/>
              <w:jc w:val="center"/>
              <w:rPr>
                <w:rFonts w:ascii="Times New Roman" w:hAnsi="Times New Roman"/>
                <w:sz w:val="21"/>
                <w:szCs w:val="21"/>
              </w:rPr>
            </w:pPr>
          </w:p>
        </w:tc>
      </w:tr>
      <w:tr w:rsidR="00DE49A8" w:rsidRPr="007C5A6E" w14:paraId="24138AE6" w14:textId="77777777" w:rsidTr="005D3FF4">
        <w:tc>
          <w:tcPr>
            <w:tcW w:w="597" w:type="pct"/>
            <w:vMerge/>
          </w:tcPr>
          <w:p w14:paraId="4537EE5C" w14:textId="77777777" w:rsidR="00DE49A8" w:rsidRPr="007C5A6E" w:rsidRDefault="00DE49A8" w:rsidP="009A2EA6">
            <w:pPr>
              <w:spacing w:after="0" w:line="240" w:lineRule="auto"/>
              <w:rPr>
                <w:rFonts w:ascii="Times New Roman" w:hAnsi="Times New Roman"/>
              </w:rPr>
            </w:pPr>
          </w:p>
        </w:tc>
        <w:tc>
          <w:tcPr>
            <w:tcW w:w="801" w:type="pct"/>
            <w:vAlign w:val="center"/>
          </w:tcPr>
          <w:p w14:paraId="0DC02A6C"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2011/2012</w:t>
            </w:r>
          </w:p>
        </w:tc>
        <w:tc>
          <w:tcPr>
            <w:tcW w:w="1301" w:type="pct"/>
            <w:vAlign w:val="center"/>
          </w:tcPr>
          <w:p w14:paraId="20283366"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3.265.000 ruminants</w:t>
            </w:r>
          </w:p>
        </w:tc>
        <w:tc>
          <w:tcPr>
            <w:tcW w:w="1300" w:type="pct"/>
            <w:vAlign w:val="center"/>
          </w:tcPr>
          <w:p w14:paraId="41489271" w14:textId="77777777" w:rsidR="00DE49A8" w:rsidRPr="007C5A6E" w:rsidRDefault="00DE49A8" w:rsidP="009A2EA6">
            <w:pPr>
              <w:spacing w:after="0" w:line="240" w:lineRule="auto"/>
              <w:jc w:val="center"/>
              <w:rPr>
                <w:rFonts w:ascii="Times New Roman" w:hAnsi="Times New Roman"/>
                <w:sz w:val="21"/>
                <w:szCs w:val="21"/>
              </w:rPr>
            </w:pPr>
            <w:r w:rsidRPr="007C5A6E">
              <w:rPr>
                <w:rFonts w:ascii="Times New Roman" w:hAnsi="Times New Roman"/>
                <w:sz w:val="21"/>
                <w:szCs w:val="21"/>
              </w:rPr>
              <w:t>154.462 tonnes</w:t>
            </w:r>
          </w:p>
        </w:tc>
        <w:tc>
          <w:tcPr>
            <w:tcW w:w="1001" w:type="pct"/>
            <w:vAlign w:val="center"/>
          </w:tcPr>
          <w:p w14:paraId="1826D058" w14:textId="77777777" w:rsidR="00DE49A8" w:rsidRPr="007C5A6E" w:rsidRDefault="00DE49A8" w:rsidP="009A2EA6">
            <w:pPr>
              <w:spacing w:after="0" w:line="240" w:lineRule="auto"/>
              <w:jc w:val="center"/>
              <w:rPr>
                <w:rFonts w:ascii="Times New Roman" w:hAnsi="Times New Roman"/>
                <w:sz w:val="21"/>
                <w:szCs w:val="21"/>
              </w:rPr>
            </w:pPr>
          </w:p>
        </w:tc>
      </w:tr>
    </w:tbl>
    <w:p w14:paraId="70CE6AD7" w14:textId="77777777" w:rsidR="009A2EA6" w:rsidRPr="007C5A6E" w:rsidRDefault="009A2EA6" w:rsidP="009A2EA6">
      <w:pPr>
        <w:pStyle w:val="Sansinterligne"/>
        <w:rPr>
          <w:rFonts w:ascii="Times New Roman" w:hAnsi="Times New Roman"/>
          <w:color w:val="FF0000"/>
          <w:sz w:val="20"/>
          <w:szCs w:val="20"/>
        </w:rPr>
      </w:pPr>
      <w:r w:rsidRPr="007C5A6E">
        <w:rPr>
          <w:rFonts w:ascii="Times New Roman" w:hAnsi="Times New Roman"/>
          <w:color w:val="FF0000"/>
          <w:sz w:val="20"/>
          <w:szCs w:val="20"/>
        </w:rPr>
        <w:t xml:space="preserve">Source : SP CONASUR </w:t>
      </w:r>
    </w:p>
    <w:p w14:paraId="1CC4659C" w14:textId="77777777" w:rsidR="00DE49A8" w:rsidRPr="007C5A6E" w:rsidRDefault="00DE49A8" w:rsidP="009A2EA6">
      <w:pPr>
        <w:pStyle w:val="Sansinterligne"/>
      </w:pPr>
    </w:p>
    <w:p w14:paraId="357AD329" w14:textId="77777777" w:rsidR="00DE49A8" w:rsidRPr="007C5A6E" w:rsidRDefault="00DE49A8" w:rsidP="00712C43">
      <w:pPr>
        <w:pStyle w:val="Titre2"/>
      </w:pPr>
      <w:bookmarkStart w:id="1306" w:name="_Toc183340275"/>
      <w:r w:rsidRPr="007C5A6E">
        <w:t>Les réponses aux catastrophes naturelles</w:t>
      </w:r>
      <w:bookmarkEnd w:id="1306"/>
    </w:p>
    <w:p w14:paraId="44039C4B" w14:textId="77777777" w:rsidR="00DE49A8" w:rsidRPr="007C5A6E" w:rsidRDefault="00DE49A8" w:rsidP="009A2EA6">
      <w:pPr>
        <w:pStyle w:val="Sansinterligne"/>
      </w:pPr>
    </w:p>
    <w:p w14:paraId="598FBF43" w14:textId="77777777" w:rsidR="00DE49A8" w:rsidRPr="007C5A6E" w:rsidRDefault="00DE49A8" w:rsidP="009A2EA6">
      <w:pPr>
        <w:pStyle w:val="Titre3"/>
      </w:pPr>
      <w:bookmarkStart w:id="1307" w:name="_Toc182582666"/>
      <w:bookmarkStart w:id="1308" w:name="_Toc183340276"/>
      <w:r w:rsidRPr="007C5A6E">
        <w:t>Les réponses liées à la gouvernance institutionnelle</w:t>
      </w:r>
      <w:bookmarkEnd w:id="1307"/>
      <w:bookmarkEnd w:id="1308"/>
    </w:p>
    <w:p w14:paraId="7AA95B42" w14:textId="77777777" w:rsidR="00DE49A8" w:rsidRPr="007C5A6E" w:rsidRDefault="00DE49A8" w:rsidP="009A2EA6">
      <w:pPr>
        <w:pStyle w:val="Sansinterligne"/>
      </w:pPr>
    </w:p>
    <w:p w14:paraId="4E1EDEB9" w14:textId="77777777" w:rsidR="00DE49A8" w:rsidRPr="007C5A6E" w:rsidRDefault="00DE49A8" w:rsidP="00684FF8">
      <w:pPr>
        <w:pStyle w:val="Titre4"/>
      </w:pPr>
      <w:bookmarkStart w:id="1309" w:name="_Toc183340277"/>
      <w:r w:rsidRPr="007C5A6E">
        <w:t>Le CONASUR</w:t>
      </w:r>
      <w:bookmarkEnd w:id="1309"/>
    </w:p>
    <w:p w14:paraId="115340D7" w14:textId="77777777" w:rsidR="00DE49A8" w:rsidRPr="007C5A6E" w:rsidRDefault="00DE49A8" w:rsidP="009A2EA6">
      <w:pPr>
        <w:pStyle w:val="Sansinterligne"/>
      </w:pPr>
    </w:p>
    <w:p w14:paraId="41EB4595" w14:textId="7C31C27E" w:rsidR="00DE49A8" w:rsidRPr="007C5A6E" w:rsidRDefault="00DE49A8" w:rsidP="009A2EA6">
      <w:pPr>
        <w:spacing w:after="0" w:line="240" w:lineRule="auto"/>
        <w:jc w:val="both"/>
        <w:rPr>
          <w:rFonts w:ascii="Times New Roman" w:hAnsi="Times New Roman"/>
          <w:sz w:val="24"/>
          <w:szCs w:val="24"/>
        </w:rPr>
      </w:pPr>
      <w:r w:rsidRPr="007C5A6E">
        <w:rPr>
          <w:rFonts w:ascii="Times New Roman" w:hAnsi="Times New Roman"/>
          <w:sz w:val="24"/>
          <w:szCs w:val="24"/>
        </w:rPr>
        <w:t>Le Conseil National de Secours d'Urgence et de Réhabilitation (CONASUR) est l’organe de coordination chargé de la prévention des catastrophes, de la gestion de secours d’urgence et de réhabilitation.</w:t>
      </w:r>
      <w:r w:rsidR="009A2EA6" w:rsidRPr="007C5A6E">
        <w:rPr>
          <w:rFonts w:ascii="Times New Roman" w:hAnsi="Times New Roman"/>
          <w:sz w:val="24"/>
          <w:szCs w:val="24"/>
        </w:rPr>
        <w:t xml:space="preserve"> </w:t>
      </w:r>
      <w:r w:rsidRPr="007C5A6E">
        <w:rPr>
          <w:rFonts w:ascii="Times New Roman" w:hAnsi="Times New Roman"/>
          <w:sz w:val="24"/>
          <w:szCs w:val="24"/>
        </w:rPr>
        <w:t xml:space="preserve">Il comporte des démembrements dans 4 subdivisions territoriales de niveaux inférieurs : </w:t>
      </w:r>
    </w:p>
    <w:p w14:paraId="79D937EC" w14:textId="77777777" w:rsidR="00DE49A8" w:rsidRPr="007C5A6E" w:rsidRDefault="00DE49A8" w:rsidP="009A2EA6">
      <w:pPr>
        <w:numPr>
          <w:ilvl w:val="0"/>
          <w:numId w:val="3"/>
        </w:numPr>
        <w:spacing w:after="0" w:line="240" w:lineRule="auto"/>
        <w:ind w:left="567"/>
        <w:contextualSpacing/>
        <w:jc w:val="both"/>
        <w:rPr>
          <w:rFonts w:ascii="Times New Roman" w:hAnsi="Times New Roman"/>
          <w:sz w:val="24"/>
          <w:szCs w:val="24"/>
        </w:rPr>
      </w:pPr>
      <w:r w:rsidRPr="007C5A6E">
        <w:rPr>
          <w:rFonts w:ascii="Times New Roman" w:hAnsi="Times New Roman"/>
          <w:sz w:val="24"/>
          <w:szCs w:val="24"/>
        </w:rPr>
        <w:t>Conseil Régional de Secours d'Urgence et de Réhabilitation (CORESUR)</w:t>
      </w:r>
    </w:p>
    <w:p w14:paraId="1D434DED" w14:textId="77777777" w:rsidR="00DE49A8" w:rsidRPr="007C5A6E" w:rsidRDefault="00DE49A8" w:rsidP="009A2EA6">
      <w:pPr>
        <w:numPr>
          <w:ilvl w:val="0"/>
          <w:numId w:val="3"/>
        </w:numPr>
        <w:spacing w:after="0" w:line="240" w:lineRule="auto"/>
        <w:ind w:left="567"/>
        <w:contextualSpacing/>
        <w:jc w:val="both"/>
        <w:rPr>
          <w:rFonts w:ascii="Times New Roman" w:hAnsi="Times New Roman"/>
          <w:sz w:val="24"/>
          <w:szCs w:val="24"/>
        </w:rPr>
      </w:pPr>
      <w:r w:rsidRPr="007C5A6E">
        <w:rPr>
          <w:rFonts w:ascii="Times New Roman" w:hAnsi="Times New Roman"/>
          <w:sz w:val="24"/>
          <w:szCs w:val="24"/>
        </w:rPr>
        <w:t>Conseil Provincial de Secours d'Urgence et de Réhabilitation (COPROSUR)</w:t>
      </w:r>
    </w:p>
    <w:p w14:paraId="3A1133DF" w14:textId="77777777" w:rsidR="00DE49A8" w:rsidRPr="007C5A6E" w:rsidRDefault="00DE49A8" w:rsidP="009A2EA6">
      <w:pPr>
        <w:numPr>
          <w:ilvl w:val="0"/>
          <w:numId w:val="3"/>
        </w:numPr>
        <w:spacing w:after="0" w:line="240" w:lineRule="auto"/>
        <w:ind w:left="567"/>
        <w:contextualSpacing/>
        <w:jc w:val="both"/>
        <w:rPr>
          <w:rFonts w:ascii="Times New Roman" w:hAnsi="Times New Roman"/>
          <w:sz w:val="24"/>
          <w:szCs w:val="24"/>
        </w:rPr>
      </w:pPr>
      <w:r w:rsidRPr="007C5A6E">
        <w:rPr>
          <w:rFonts w:ascii="Times New Roman" w:hAnsi="Times New Roman"/>
          <w:sz w:val="24"/>
          <w:szCs w:val="24"/>
        </w:rPr>
        <w:t>Conseil Départemental de Secours d'Urgence et de Réhabilitation (CODESUR)</w:t>
      </w:r>
    </w:p>
    <w:p w14:paraId="40FFC362" w14:textId="77777777" w:rsidR="00DE49A8" w:rsidRPr="007C5A6E" w:rsidRDefault="00DE49A8" w:rsidP="009A2EA6">
      <w:pPr>
        <w:numPr>
          <w:ilvl w:val="0"/>
          <w:numId w:val="3"/>
        </w:numPr>
        <w:spacing w:after="0" w:line="240" w:lineRule="auto"/>
        <w:ind w:left="567"/>
        <w:contextualSpacing/>
        <w:jc w:val="both"/>
        <w:rPr>
          <w:rFonts w:ascii="Times New Roman" w:hAnsi="Times New Roman"/>
          <w:sz w:val="24"/>
          <w:szCs w:val="24"/>
        </w:rPr>
      </w:pPr>
      <w:r w:rsidRPr="007C5A6E">
        <w:rPr>
          <w:rFonts w:ascii="Times New Roman" w:hAnsi="Times New Roman"/>
          <w:sz w:val="24"/>
          <w:szCs w:val="24"/>
        </w:rPr>
        <w:t>Le Conseil Villageois de Développement (CVD)</w:t>
      </w:r>
    </w:p>
    <w:p w14:paraId="11AE9DBE" w14:textId="77777777" w:rsidR="006A677A" w:rsidRPr="007C5A6E" w:rsidRDefault="006A677A" w:rsidP="009A2EA6">
      <w:pPr>
        <w:pStyle w:val="Sansinterligne"/>
        <w:rPr>
          <w:sz w:val="24"/>
          <w:szCs w:val="24"/>
        </w:rPr>
      </w:pPr>
    </w:p>
    <w:p w14:paraId="2EF76A7B" w14:textId="208461F4" w:rsidR="00DE49A8" w:rsidRPr="007C5A6E" w:rsidRDefault="00DE49A8" w:rsidP="009A2EA6">
      <w:pPr>
        <w:spacing w:after="0" w:line="240" w:lineRule="auto"/>
        <w:jc w:val="both"/>
        <w:rPr>
          <w:rFonts w:ascii="Times New Roman" w:hAnsi="Times New Roman"/>
          <w:sz w:val="24"/>
          <w:szCs w:val="24"/>
        </w:rPr>
      </w:pPr>
      <w:r w:rsidRPr="007C5A6E">
        <w:rPr>
          <w:rFonts w:ascii="Times New Roman" w:hAnsi="Times New Roman"/>
          <w:sz w:val="24"/>
          <w:szCs w:val="24"/>
        </w:rPr>
        <w:t>La composition du CONASUR fait appel à des représentants de divers départements ministériels stratégiques impliqués dans la gestion des catastrophes naturelles. L’administration et l’exécution des actions du CONASUR sont assurées par un secrétariat permanent, le SP/CONASUR.</w:t>
      </w:r>
    </w:p>
    <w:p w14:paraId="48823452" w14:textId="77777777" w:rsidR="001F5311" w:rsidRPr="007C5A6E" w:rsidRDefault="001F5311" w:rsidP="009A2EA6">
      <w:pPr>
        <w:spacing w:after="0" w:line="240" w:lineRule="auto"/>
        <w:jc w:val="both"/>
        <w:rPr>
          <w:rFonts w:ascii="Times New Roman" w:hAnsi="Times New Roman"/>
          <w:sz w:val="24"/>
          <w:szCs w:val="24"/>
        </w:rPr>
      </w:pPr>
    </w:p>
    <w:p w14:paraId="3A6D1FF2" w14:textId="77777777" w:rsidR="00DE49A8" w:rsidRPr="007C5A6E" w:rsidRDefault="00DE49A8" w:rsidP="00684FF8">
      <w:pPr>
        <w:pStyle w:val="Titre4"/>
      </w:pPr>
      <w:bookmarkStart w:id="1310" w:name="_Toc183340278"/>
      <w:r w:rsidRPr="007C5A6E">
        <w:t>Les partenaires Techniques et Financiers nationaux du CONASUR</w:t>
      </w:r>
      <w:bookmarkEnd w:id="1310"/>
    </w:p>
    <w:p w14:paraId="076F60FB" w14:textId="77777777" w:rsidR="00DE49A8" w:rsidRPr="007C5A6E" w:rsidRDefault="00DE49A8" w:rsidP="00427C1E">
      <w:pPr>
        <w:pStyle w:val="Sansinterligne"/>
      </w:pPr>
    </w:p>
    <w:p w14:paraId="1A7BD3DE" w14:textId="1488A426" w:rsidR="00684FF8" w:rsidRPr="007C5A6E" w:rsidRDefault="00684FF8" w:rsidP="00684FF8">
      <w:pPr>
        <w:pStyle w:val="Sansinterligne"/>
        <w:rPr>
          <w:rFonts w:ascii="Times New Roman" w:hAnsi="Times New Roman"/>
          <w:sz w:val="24"/>
          <w:szCs w:val="24"/>
        </w:rPr>
      </w:pPr>
      <w:r w:rsidRPr="007C5A6E">
        <w:rPr>
          <w:rFonts w:ascii="Times New Roman" w:hAnsi="Times New Roman"/>
          <w:sz w:val="24"/>
          <w:szCs w:val="24"/>
        </w:rPr>
        <w:t xml:space="preserve">Les principaux partenaires techniques et financiers nationaux du CONASUR sont : </w:t>
      </w:r>
    </w:p>
    <w:p w14:paraId="56E83D65" w14:textId="77777777" w:rsidR="00DE49A8" w:rsidRPr="007C5A6E" w:rsidRDefault="00DE49A8" w:rsidP="00684FF8">
      <w:pPr>
        <w:numPr>
          <w:ilvl w:val="0"/>
          <w:numId w:val="3"/>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La Société Nationale de Gestion des Stocks de Sécurité alimentaire (SONAGESS). Comme instrument de la politique céréalière elle gère un stock national de sécurité (SNS) de 35000 tonnes et un stock national d’intervention (SNI) de 10000 tonnes.</w:t>
      </w:r>
    </w:p>
    <w:p w14:paraId="26883F15" w14:textId="77777777" w:rsidR="00DE49A8" w:rsidRPr="007C5A6E" w:rsidRDefault="00DE49A8" w:rsidP="00684FF8">
      <w:pPr>
        <w:numPr>
          <w:ilvl w:val="0"/>
          <w:numId w:val="3"/>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La Direction Générale de la Protection Civile (DGPC). Elle définit et conduit les actions pour la sauvegarde des personnes et des biens en cas de catastrophes majeures.</w:t>
      </w:r>
    </w:p>
    <w:p w14:paraId="53E8D7FA" w14:textId="77777777" w:rsidR="00DE49A8" w:rsidRPr="007C5A6E" w:rsidRDefault="00DE49A8" w:rsidP="00684FF8">
      <w:pPr>
        <w:numPr>
          <w:ilvl w:val="0"/>
          <w:numId w:val="3"/>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Le Fonds National de Solidarité. Il collecte des dons de diverses sources en mettant en œuvre la solidarité entre les Burkinabè pour participer au financement des actions de secours d’urgence et de réhabilitation en cas de catastrophe.</w:t>
      </w:r>
    </w:p>
    <w:p w14:paraId="26B27960" w14:textId="77777777" w:rsidR="00DE49A8" w:rsidRPr="007C5A6E" w:rsidRDefault="00DE49A8" w:rsidP="00684FF8">
      <w:pPr>
        <w:numPr>
          <w:ilvl w:val="0"/>
          <w:numId w:val="3"/>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La Croix-Rouge du Burkina Faso. Elle intervient comme auxiliaire des pouvoirs publics dans la réponse aux catastrophes.</w:t>
      </w:r>
    </w:p>
    <w:p w14:paraId="65D38B8E" w14:textId="5F08CF8B" w:rsidR="00DE49A8" w:rsidRPr="007C5A6E" w:rsidRDefault="00DE49A8" w:rsidP="00684FF8">
      <w:pPr>
        <w:pStyle w:val="Titre4"/>
      </w:pPr>
      <w:bookmarkStart w:id="1311" w:name="_Toc183340279"/>
      <w:r w:rsidRPr="007C5A6E">
        <w:t>La législation</w:t>
      </w:r>
      <w:r w:rsidR="00684FF8" w:rsidRPr="007C5A6E">
        <w:t xml:space="preserve"> relative à la gestion des catastrophes naturelles</w:t>
      </w:r>
      <w:bookmarkEnd w:id="1311"/>
      <w:r w:rsidR="00684FF8" w:rsidRPr="007C5A6E">
        <w:t xml:space="preserve"> </w:t>
      </w:r>
    </w:p>
    <w:p w14:paraId="7F9DB301" w14:textId="77777777" w:rsidR="00DE49A8" w:rsidRPr="007C5A6E" w:rsidRDefault="00DE49A8" w:rsidP="00427C1E">
      <w:pPr>
        <w:pStyle w:val="Sansinterligne"/>
      </w:pPr>
    </w:p>
    <w:p w14:paraId="0E91907E" w14:textId="486D192E" w:rsidR="00DE49A8" w:rsidRPr="007C5A6E" w:rsidRDefault="00DE49A8" w:rsidP="00684FF8">
      <w:pPr>
        <w:spacing w:after="0" w:line="240" w:lineRule="auto"/>
        <w:jc w:val="both"/>
        <w:rPr>
          <w:rFonts w:ascii="Times New Roman" w:hAnsi="Times New Roman"/>
          <w:sz w:val="24"/>
          <w:szCs w:val="24"/>
        </w:rPr>
      </w:pPr>
      <w:r w:rsidRPr="007C5A6E">
        <w:rPr>
          <w:rFonts w:ascii="Times New Roman" w:hAnsi="Times New Roman"/>
          <w:sz w:val="24"/>
          <w:szCs w:val="24"/>
        </w:rPr>
        <w:t>Au Burkina Faso plusieurs instruments juridiques ont été élaborés et qui règlementent la gouvernance de l’environnement, de l’eau, des changements climatiques et la gestion des catastrophes naturelles. Au nombre de ces instruments on peut citer entre autres :</w:t>
      </w:r>
    </w:p>
    <w:p w14:paraId="0160F7C3" w14:textId="77777777" w:rsidR="00DE49A8" w:rsidRPr="007C5A6E" w:rsidRDefault="00DE49A8" w:rsidP="00684FF8">
      <w:pPr>
        <w:numPr>
          <w:ilvl w:val="0"/>
          <w:numId w:val="3"/>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La constitution du Burkina Faso admet le principe de développement durable et affirme la nécessité absolue de protéger l’environnement.</w:t>
      </w:r>
    </w:p>
    <w:p w14:paraId="000D99FC" w14:textId="58292659" w:rsidR="00DE49A8" w:rsidRPr="007C5A6E" w:rsidRDefault="00DE49A8" w:rsidP="00684FF8">
      <w:pPr>
        <w:numPr>
          <w:ilvl w:val="0"/>
          <w:numId w:val="3"/>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La loi n°012-2014/an portant loi d’orientation relative à la prévention et à la gestion des risques, des crises humanitaires et des catastrophes</w:t>
      </w:r>
      <w:r w:rsidR="00684FF8" w:rsidRPr="007C5A6E">
        <w:rPr>
          <w:rFonts w:ascii="Times New Roman" w:hAnsi="Times New Roman"/>
          <w:sz w:val="24"/>
          <w:szCs w:val="24"/>
        </w:rPr>
        <w:t xml:space="preserve">. </w:t>
      </w:r>
    </w:p>
    <w:p w14:paraId="24D8F71F" w14:textId="77777777" w:rsidR="00DE49A8" w:rsidRPr="007C5A6E" w:rsidRDefault="00DE49A8" w:rsidP="00684FF8">
      <w:pPr>
        <w:pStyle w:val="Sansinterligne"/>
        <w:jc w:val="both"/>
      </w:pPr>
    </w:p>
    <w:p w14:paraId="328D236F" w14:textId="77777777" w:rsidR="00DE49A8" w:rsidRPr="007C5A6E" w:rsidRDefault="00DE49A8" w:rsidP="00684FF8">
      <w:pPr>
        <w:pStyle w:val="Titre3"/>
        <w:jc w:val="both"/>
      </w:pPr>
      <w:bookmarkStart w:id="1312" w:name="_Toc182582667"/>
      <w:bookmarkStart w:id="1313" w:name="_Toc183340280"/>
      <w:r w:rsidRPr="007C5A6E">
        <w:t>Les réponses aux effets immédiats</w:t>
      </w:r>
      <w:bookmarkEnd w:id="1312"/>
      <w:bookmarkEnd w:id="1313"/>
    </w:p>
    <w:p w14:paraId="6B952B68" w14:textId="77777777" w:rsidR="00DE49A8" w:rsidRPr="007C5A6E" w:rsidRDefault="00DE49A8" w:rsidP="00684FF8">
      <w:pPr>
        <w:pStyle w:val="Sansinterligne"/>
        <w:jc w:val="both"/>
      </w:pPr>
    </w:p>
    <w:p w14:paraId="54AF2150" w14:textId="1EEB13BD" w:rsidR="00DE49A8" w:rsidRPr="007C5A6E" w:rsidRDefault="00DE49A8" w:rsidP="00684FF8">
      <w:pPr>
        <w:pStyle w:val="Titre4"/>
      </w:pPr>
      <w:bookmarkStart w:id="1314" w:name="_Toc183340281"/>
      <w:r w:rsidRPr="007C5A6E">
        <w:t xml:space="preserve">Le </w:t>
      </w:r>
      <w:r w:rsidR="00684FF8" w:rsidRPr="007C5A6E">
        <w:t>pré-positionnement</w:t>
      </w:r>
      <w:r w:rsidRPr="007C5A6E">
        <w:t xml:space="preserve"> des besoins de premières nécessité et la décentralisation</w:t>
      </w:r>
      <w:bookmarkEnd w:id="1314"/>
    </w:p>
    <w:p w14:paraId="5D9DEB47" w14:textId="77777777" w:rsidR="00DE49A8" w:rsidRPr="007C5A6E" w:rsidRDefault="00DE49A8" w:rsidP="00684FF8">
      <w:pPr>
        <w:pStyle w:val="Sansinterligne"/>
        <w:jc w:val="both"/>
      </w:pPr>
    </w:p>
    <w:p w14:paraId="0E57EE3E" w14:textId="2FD52555" w:rsidR="00DE49A8" w:rsidRPr="007C5A6E" w:rsidRDefault="00DE49A8" w:rsidP="00684FF8">
      <w:pPr>
        <w:spacing w:after="0" w:line="240" w:lineRule="auto"/>
        <w:jc w:val="both"/>
        <w:rPr>
          <w:rFonts w:ascii="Times New Roman" w:hAnsi="Times New Roman"/>
          <w:sz w:val="24"/>
          <w:szCs w:val="24"/>
        </w:rPr>
      </w:pPr>
      <w:r w:rsidRPr="007C5A6E">
        <w:rPr>
          <w:rFonts w:ascii="Times New Roman" w:hAnsi="Times New Roman"/>
          <w:sz w:val="24"/>
          <w:szCs w:val="24"/>
        </w:rPr>
        <w:t>Pour faire face rapidement aux besoins de première nécessité en cas de catastrophe, des stocks sont prépositionnés à la disposition des CORESUR dans les localités suivantes :</w:t>
      </w:r>
    </w:p>
    <w:p w14:paraId="5E5B8621" w14:textId="1C34A507" w:rsidR="00DE49A8" w:rsidRPr="007C5A6E" w:rsidRDefault="00DE49A8" w:rsidP="00684FF8">
      <w:pPr>
        <w:numPr>
          <w:ilvl w:val="0"/>
          <w:numId w:val="48"/>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 xml:space="preserve">Bobo-Dioulasso pour les Régions des Cascades, du </w:t>
      </w:r>
      <w:r w:rsidR="006A677A" w:rsidRPr="007C5A6E">
        <w:rPr>
          <w:rFonts w:ascii="Times New Roman" w:hAnsi="Times New Roman"/>
          <w:sz w:val="24"/>
          <w:szCs w:val="24"/>
        </w:rPr>
        <w:t>Sud-Ouest</w:t>
      </w:r>
      <w:r w:rsidRPr="007C5A6E">
        <w:rPr>
          <w:rFonts w:ascii="Times New Roman" w:hAnsi="Times New Roman"/>
          <w:sz w:val="24"/>
          <w:szCs w:val="24"/>
        </w:rPr>
        <w:t xml:space="preserve"> et des Hauts Bassins ; </w:t>
      </w:r>
    </w:p>
    <w:p w14:paraId="7835965F" w14:textId="77777777" w:rsidR="00DE49A8" w:rsidRPr="007C5A6E" w:rsidRDefault="00DE49A8" w:rsidP="00684FF8">
      <w:pPr>
        <w:numPr>
          <w:ilvl w:val="0"/>
          <w:numId w:val="48"/>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 xml:space="preserve">Ouagadougou pour les Régions du centre, du Centre Nord, du Plateau Central, du Centre Sud et du Centre Ouest ; </w:t>
      </w:r>
    </w:p>
    <w:p w14:paraId="3AD6BA6A" w14:textId="77777777" w:rsidR="00DE49A8" w:rsidRPr="007C5A6E" w:rsidRDefault="00DE49A8" w:rsidP="00684FF8">
      <w:pPr>
        <w:numPr>
          <w:ilvl w:val="0"/>
          <w:numId w:val="48"/>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 xml:space="preserve">Dédougou pour la Région de la Boucle du Mouhoun ; </w:t>
      </w:r>
    </w:p>
    <w:p w14:paraId="5ABA50BE" w14:textId="77777777" w:rsidR="00DE49A8" w:rsidRPr="007C5A6E" w:rsidRDefault="00DE49A8" w:rsidP="00684FF8">
      <w:pPr>
        <w:numPr>
          <w:ilvl w:val="0"/>
          <w:numId w:val="48"/>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Tenkodogo pour la Région du Centre Est, de l’Est ;</w:t>
      </w:r>
    </w:p>
    <w:p w14:paraId="38B879DE" w14:textId="77777777" w:rsidR="00DE49A8" w:rsidRPr="007C5A6E" w:rsidRDefault="00DE49A8" w:rsidP="00684FF8">
      <w:pPr>
        <w:numPr>
          <w:ilvl w:val="0"/>
          <w:numId w:val="48"/>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Ouahigouya pour la Région du Nord ;</w:t>
      </w:r>
    </w:p>
    <w:p w14:paraId="18280242" w14:textId="77777777" w:rsidR="00DE49A8" w:rsidRPr="007C5A6E" w:rsidRDefault="00DE49A8" w:rsidP="00684FF8">
      <w:pPr>
        <w:numPr>
          <w:ilvl w:val="0"/>
          <w:numId w:val="48"/>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 xml:space="preserve">Dori pour la Région du Sahel. </w:t>
      </w:r>
    </w:p>
    <w:p w14:paraId="55FA185A" w14:textId="77777777" w:rsidR="00684FF8" w:rsidRPr="007C5A6E" w:rsidRDefault="00DE49A8" w:rsidP="00684FF8">
      <w:pPr>
        <w:spacing w:after="0" w:line="240" w:lineRule="auto"/>
        <w:jc w:val="both"/>
        <w:rPr>
          <w:rFonts w:ascii="Times New Roman" w:hAnsi="Times New Roman"/>
          <w:sz w:val="24"/>
          <w:szCs w:val="24"/>
        </w:rPr>
      </w:pPr>
      <w:r w:rsidRPr="007C5A6E">
        <w:rPr>
          <w:rFonts w:ascii="Times New Roman" w:hAnsi="Times New Roman"/>
          <w:sz w:val="24"/>
          <w:szCs w:val="24"/>
        </w:rPr>
        <w:t xml:space="preserve">Ces stocks doivent au minimum permettre de répondre aux besoins de 500 victimes, quel que soit la catastrophe qui pourrait survenir. </w:t>
      </w:r>
      <w:r w:rsidR="00427C1E" w:rsidRPr="007C5A6E">
        <w:rPr>
          <w:rFonts w:ascii="Times New Roman" w:hAnsi="Times New Roman"/>
          <w:sz w:val="24"/>
          <w:szCs w:val="24"/>
        </w:rPr>
        <w:t>Au-delà</w:t>
      </w:r>
      <w:r w:rsidRPr="007C5A6E">
        <w:rPr>
          <w:rFonts w:ascii="Times New Roman" w:hAnsi="Times New Roman"/>
          <w:sz w:val="24"/>
          <w:szCs w:val="24"/>
        </w:rPr>
        <w:t xml:space="preserve"> de ce nombre le CONASUR intervient.</w:t>
      </w:r>
      <w:r w:rsidR="007A09E5" w:rsidRPr="007C5A6E">
        <w:rPr>
          <w:rFonts w:ascii="Times New Roman" w:hAnsi="Times New Roman"/>
          <w:sz w:val="24"/>
          <w:szCs w:val="24"/>
        </w:rPr>
        <w:t xml:space="preserve"> </w:t>
      </w:r>
    </w:p>
    <w:p w14:paraId="31D52724" w14:textId="77777777" w:rsidR="00684FF8" w:rsidRPr="007C5A6E" w:rsidRDefault="00684FF8" w:rsidP="00684FF8">
      <w:pPr>
        <w:spacing w:after="0" w:line="240" w:lineRule="auto"/>
        <w:jc w:val="both"/>
        <w:rPr>
          <w:rFonts w:ascii="Times New Roman" w:hAnsi="Times New Roman"/>
          <w:sz w:val="24"/>
          <w:szCs w:val="24"/>
        </w:rPr>
      </w:pPr>
    </w:p>
    <w:p w14:paraId="4BAF002A" w14:textId="0B21FC35" w:rsidR="00DE49A8" w:rsidRPr="007C5A6E" w:rsidRDefault="00DE49A8" w:rsidP="00684FF8">
      <w:pPr>
        <w:spacing w:after="0" w:line="240" w:lineRule="auto"/>
        <w:jc w:val="both"/>
        <w:rPr>
          <w:rFonts w:ascii="Times New Roman" w:hAnsi="Times New Roman"/>
          <w:color w:val="050505"/>
          <w:sz w:val="24"/>
          <w:szCs w:val="24"/>
        </w:rPr>
      </w:pPr>
      <w:r w:rsidRPr="007C5A6E">
        <w:rPr>
          <w:rFonts w:ascii="Times New Roman" w:hAnsi="Times New Roman"/>
          <w:sz w:val="24"/>
          <w:szCs w:val="24"/>
        </w:rPr>
        <w:t>Récemment la capacité logistique des</w:t>
      </w:r>
      <w:r w:rsidRPr="007C5A6E">
        <w:rPr>
          <w:rFonts w:ascii="Times New Roman" w:hAnsi="Times New Roman"/>
          <w:b/>
          <w:bCs/>
          <w:color w:val="050505"/>
          <w:sz w:val="24"/>
          <w:szCs w:val="24"/>
        </w:rPr>
        <w:t xml:space="preserve"> </w:t>
      </w:r>
      <w:r w:rsidRPr="007C5A6E">
        <w:rPr>
          <w:rFonts w:ascii="Times New Roman" w:hAnsi="Times New Roman"/>
          <w:sz w:val="24"/>
          <w:szCs w:val="24"/>
        </w:rPr>
        <w:t xml:space="preserve">CORESUR a été renforcée par </w:t>
      </w:r>
      <w:r w:rsidRPr="007C5A6E">
        <w:rPr>
          <w:rFonts w:ascii="Times New Roman" w:hAnsi="Times New Roman"/>
          <w:color w:val="050505"/>
          <w:sz w:val="24"/>
          <w:szCs w:val="24"/>
        </w:rPr>
        <w:t>la remise de 04 magasins mobiles de 350 tonnes chacun.</w:t>
      </w:r>
    </w:p>
    <w:p w14:paraId="6243AF55" w14:textId="77777777" w:rsidR="007A09E5" w:rsidRPr="007C5A6E" w:rsidRDefault="007A09E5" w:rsidP="00684FF8">
      <w:pPr>
        <w:shd w:val="clear" w:color="auto" w:fill="FFFFFF"/>
        <w:spacing w:after="0" w:line="240" w:lineRule="auto"/>
        <w:jc w:val="both"/>
        <w:rPr>
          <w:rFonts w:ascii="Times New Roman" w:hAnsi="Times New Roman"/>
          <w:color w:val="050505"/>
          <w:sz w:val="24"/>
          <w:szCs w:val="24"/>
        </w:rPr>
      </w:pPr>
    </w:p>
    <w:p w14:paraId="6A8203E1" w14:textId="77777777" w:rsidR="00DE49A8" w:rsidRPr="007C5A6E" w:rsidRDefault="00DE49A8" w:rsidP="00684FF8">
      <w:pPr>
        <w:pStyle w:val="Titre4"/>
      </w:pPr>
      <w:bookmarkStart w:id="1315" w:name="_Toc183340282"/>
      <w:r w:rsidRPr="007C5A6E">
        <w:t>Les mécanismes d’intervention rapides</w:t>
      </w:r>
      <w:bookmarkEnd w:id="1315"/>
    </w:p>
    <w:p w14:paraId="18DBAF40" w14:textId="77777777" w:rsidR="00DE49A8" w:rsidRPr="007C5A6E" w:rsidRDefault="00DE49A8" w:rsidP="00684FF8">
      <w:pPr>
        <w:pStyle w:val="Sansinterligne"/>
        <w:jc w:val="both"/>
      </w:pPr>
    </w:p>
    <w:p w14:paraId="3EDEDBEE" w14:textId="632CAF27" w:rsidR="00DE49A8" w:rsidRPr="007C5A6E" w:rsidRDefault="00DE49A8" w:rsidP="00684FF8">
      <w:pPr>
        <w:spacing w:after="0" w:line="240" w:lineRule="auto"/>
        <w:jc w:val="both"/>
        <w:rPr>
          <w:rFonts w:ascii="Times New Roman" w:hAnsi="Times New Roman"/>
          <w:sz w:val="24"/>
          <w:szCs w:val="24"/>
        </w:rPr>
      </w:pPr>
      <w:r w:rsidRPr="007C5A6E">
        <w:rPr>
          <w:rFonts w:ascii="Times New Roman" w:hAnsi="Times New Roman"/>
          <w:sz w:val="24"/>
          <w:szCs w:val="24"/>
        </w:rPr>
        <w:t xml:space="preserve">Les mécanismes d’interventions rapides sont schématisés sur la figure </w:t>
      </w:r>
      <w:r w:rsidR="00AF436D" w:rsidRPr="007C5A6E">
        <w:rPr>
          <w:rFonts w:ascii="Times New Roman" w:hAnsi="Times New Roman"/>
          <w:sz w:val="24"/>
          <w:szCs w:val="24"/>
        </w:rPr>
        <w:t>8</w:t>
      </w:r>
      <w:r w:rsidR="00540B43" w:rsidRPr="007C5A6E">
        <w:rPr>
          <w:rFonts w:ascii="Times New Roman" w:hAnsi="Times New Roman"/>
          <w:sz w:val="24"/>
          <w:szCs w:val="24"/>
        </w:rPr>
        <w:t>4</w:t>
      </w:r>
      <w:r w:rsidRPr="007C5A6E">
        <w:rPr>
          <w:rFonts w:ascii="Times New Roman" w:hAnsi="Times New Roman"/>
          <w:sz w:val="24"/>
          <w:szCs w:val="24"/>
        </w:rPr>
        <w:t>.</w:t>
      </w:r>
    </w:p>
    <w:p w14:paraId="4B11C58A" w14:textId="77777777" w:rsidR="007A09E5" w:rsidRPr="007C5A6E" w:rsidRDefault="007A09E5" w:rsidP="00684FF8">
      <w:pPr>
        <w:spacing w:after="0" w:line="240" w:lineRule="auto"/>
        <w:jc w:val="both"/>
        <w:rPr>
          <w:rFonts w:ascii="Times New Roman" w:hAnsi="Times New Roman"/>
          <w:sz w:val="24"/>
          <w:szCs w:val="24"/>
        </w:rPr>
      </w:pPr>
    </w:p>
    <w:p w14:paraId="06A7FD5A" w14:textId="77777777" w:rsidR="00DE49A8" w:rsidRPr="007C5A6E" w:rsidRDefault="00DE49A8" w:rsidP="00684FF8">
      <w:pPr>
        <w:numPr>
          <w:ilvl w:val="0"/>
          <w:numId w:val="45"/>
        </w:numPr>
        <w:spacing w:after="0" w:line="240" w:lineRule="auto"/>
        <w:contextualSpacing/>
        <w:jc w:val="both"/>
        <w:rPr>
          <w:rFonts w:ascii="Times New Roman" w:hAnsi="Times New Roman"/>
          <w:sz w:val="24"/>
          <w:szCs w:val="24"/>
        </w:rPr>
      </w:pPr>
      <w:r w:rsidRPr="007C5A6E">
        <w:rPr>
          <w:rFonts w:ascii="Times New Roman" w:hAnsi="Times New Roman"/>
          <w:sz w:val="24"/>
          <w:szCs w:val="24"/>
        </w:rPr>
        <w:t>Avant la survenue de la catastrophe :</w:t>
      </w:r>
    </w:p>
    <w:p w14:paraId="75AF0889" w14:textId="71051AF7" w:rsidR="00DE49A8" w:rsidRPr="007C5A6E" w:rsidRDefault="00DE49A8" w:rsidP="00684FF8">
      <w:pPr>
        <w:pStyle w:val="Paragraphedeliste"/>
        <w:numPr>
          <w:ilvl w:val="0"/>
          <w:numId w:val="47"/>
        </w:numPr>
        <w:spacing w:after="0" w:line="240" w:lineRule="auto"/>
        <w:jc w:val="both"/>
        <w:rPr>
          <w:rFonts w:ascii="Times New Roman" w:hAnsi="Times New Roman"/>
          <w:sz w:val="24"/>
          <w:szCs w:val="24"/>
        </w:rPr>
      </w:pPr>
      <w:proofErr w:type="gramStart"/>
      <w:r w:rsidRPr="007C5A6E">
        <w:rPr>
          <w:rFonts w:ascii="Times New Roman" w:hAnsi="Times New Roman"/>
          <w:sz w:val="24"/>
          <w:szCs w:val="24"/>
        </w:rPr>
        <w:t>le</w:t>
      </w:r>
      <w:proofErr w:type="gramEnd"/>
      <w:r w:rsidRPr="007C5A6E">
        <w:rPr>
          <w:rFonts w:ascii="Times New Roman" w:hAnsi="Times New Roman"/>
          <w:sz w:val="24"/>
          <w:szCs w:val="24"/>
        </w:rPr>
        <w:t xml:space="preserve"> matériel suffisant pour secourir 500 personnes est prépositionné ;</w:t>
      </w:r>
    </w:p>
    <w:p w14:paraId="56E75B5E" w14:textId="0211CD17" w:rsidR="00DE49A8" w:rsidRPr="007C5A6E" w:rsidRDefault="00DE49A8" w:rsidP="00684FF8">
      <w:pPr>
        <w:pStyle w:val="Paragraphedeliste"/>
        <w:numPr>
          <w:ilvl w:val="0"/>
          <w:numId w:val="47"/>
        </w:numPr>
        <w:spacing w:after="0" w:line="240" w:lineRule="auto"/>
        <w:jc w:val="both"/>
        <w:rPr>
          <w:rFonts w:ascii="Times New Roman" w:hAnsi="Times New Roman"/>
          <w:sz w:val="24"/>
          <w:szCs w:val="24"/>
        </w:rPr>
      </w:pPr>
      <w:proofErr w:type="gramStart"/>
      <w:r w:rsidRPr="007C5A6E">
        <w:rPr>
          <w:rFonts w:ascii="Times New Roman" w:hAnsi="Times New Roman"/>
          <w:sz w:val="24"/>
          <w:szCs w:val="24"/>
        </w:rPr>
        <w:t>les</w:t>
      </w:r>
      <w:proofErr w:type="gramEnd"/>
      <w:r w:rsidRPr="007C5A6E">
        <w:rPr>
          <w:rFonts w:ascii="Times New Roman" w:hAnsi="Times New Roman"/>
          <w:sz w:val="24"/>
          <w:szCs w:val="24"/>
        </w:rPr>
        <w:t xml:space="preserve"> systèmes d’alerte précoce ont permis aux équipes locales de s’apprêter à intervenir ;</w:t>
      </w:r>
    </w:p>
    <w:p w14:paraId="5D195802" w14:textId="5DE9B73B" w:rsidR="00427C1E" w:rsidRPr="007C5A6E" w:rsidRDefault="00DE49A8" w:rsidP="00684FF8">
      <w:pPr>
        <w:pStyle w:val="Paragraphedeliste"/>
        <w:numPr>
          <w:ilvl w:val="0"/>
          <w:numId w:val="47"/>
        </w:numPr>
        <w:spacing w:after="0" w:line="240" w:lineRule="auto"/>
        <w:jc w:val="both"/>
        <w:rPr>
          <w:rFonts w:ascii="Times New Roman" w:hAnsi="Times New Roman"/>
          <w:sz w:val="24"/>
          <w:szCs w:val="24"/>
        </w:rPr>
      </w:pPr>
      <w:proofErr w:type="gramStart"/>
      <w:r w:rsidRPr="007C5A6E">
        <w:rPr>
          <w:rFonts w:ascii="Times New Roman" w:hAnsi="Times New Roman"/>
          <w:sz w:val="24"/>
          <w:szCs w:val="24"/>
        </w:rPr>
        <w:t>les</w:t>
      </w:r>
      <w:proofErr w:type="gramEnd"/>
      <w:r w:rsidRPr="007C5A6E">
        <w:rPr>
          <w:rFonts w:ascii="Times New Roman" w:hAnsi="Times New Roman"/>
          <w:sz w:val="24"/>
          <w:szCs w:val="24"/>
        </w:rPr>
        <w:t xml:space="preserve"> populations concernées sont sensibilisées à l’arrivée de la catastrophe.</w:t>
      </w:r>
    </w:p>
    <w:p w14:paraId="79FD0391" w14:textId="77777777" w:rsidR="007A09E5" w:rsidRPr="007C5A6E" w:rsidRDefault="007A09E5" w:rsidP="00684FF8">
      <w:pPr>
        <w:pStyle w:val="Sansinterligne"/>
        <w:jc w:val="both"/>
      </w:pPr>
    </w:p>
    <w:p w14:paraId="61598C72" w14:textId="77777777" w:rsidR="00DE49A8" w:rsidRPr="007C5A6E" w:rsidRDefault="00DE49A8" w:rsidP="00684FF8">
      <w:pPr>
        <w:numPr>
          <w:ilvl w:val="0"/>
          <w:numId w:val="45"/>
        </w:numPr>
        <w:spacing w:after="0" w:line="240" w:lineRule="auto"/>
        <w:contextualSpacing/>
        <w:jc w:val="both"/>
        <w:rPr>
          <w:rFonts w:ascii="Times New Roman" w:hAnsi="Times New Roman"/>
          <w:sz w:val="24"/>
          <w:szCs w:val="24"/>
        </w:rPr>
      </w:pPr>
      <w:r w:rsidRPr="007C5A6E">
        <w:rPr>
          <w:rFonts w:ascii="Times New Roman" w:hAnsi="Times New Roman"/>
          <w:sz w:val="24"/>
          <w:szCs w:val="24"/>
        </w:rPr>
        <w:t>Pendant la catastrophe :</w:t>
      </w:r>
    </w:p>
    <w:p w14:paraId="436DCBB4" w14:textId="6BE85E07" w:rsidR="00DE49A8" w:rsidRPr="007C5A6E" w:rsidRDefault="00DE49A8" w:rsidP="00684FF8">
      <w:pPr>
        <w:pStyle w:val="Paragraphedeliste"/>
        <w:numPr>
          <w:ilvl w:val="0"/>
          <w:numId w:val="47"/>
        </w:numPr>
        <w:spacing w:after="0" w:line="240" w:lineRule="auto"/>
        <w:jc w:val="both"/>
        <w:rPr>
          <w:rFonts w:ascii="Times New Roman" w:hAnsi="Times New Roman"/>
          <w:sz w:val="24"/>
          <w:szCs w:val="24"/>
        </w:rPr>
      </w:pPr>
      <w:proofErr w:type="gramStart"/>
      <w:r w:rsidRPr="007C5A6E">
        <w:rPr>
          <w:rFonts w:ascii="Times New Roman" w:hAnsi="Times New Roman"/>
          <w:sz w:val="24"/>
          <w:szCs w:val="24"/>
        </w:rPr>
        <w:t>mobiliser</w:t>
      </w:r>
      <w:proofErr w:type="gramEnd"/>
      <w:r w:rsidRPr="007C5A6E">
        <w:rPr>
          <w:rFonts w:ascii="Times New Roman" w:hAnsi="Times New Roman"/>
          <w:sz w:val="24"/>
          <w:szCs w:val="24"/>
        </w:rPr>
        <w:t>, 24/48 heures après l’apparition de la catastrophe l’équipe d’évaluation locale coordonnée par le CONASUR ou son démembrement.</w:t>
      </w:r>
    </w:p>
    <w:p w14:paraId="662C8D82" w14:textId="40B61283" w:rsidR="00DE49A8" w:rsidRPr="007C5A6E" w:rsidRDefault="00DE49A8" w:rsidP="00684FF8">
      <w:pPr>
        <w:pStyle w:val="Paragraphedeliste"/>
        <w:numPr>
          <w:ilvl w:val="0"/>
          <w:numId w:val="47"/>
        </w:numPr>
        <w:spacing w:after="0" w:line="240" w:lineRule="auto"/>
        <w:jc w:val="both"/>
        <w:rPr>
          <w:rFonts w:ascii="Times New Roman" w:hAnsi="Times New Roman"/>
          <w:sz w:val="24"/>
          <w:szCs w:val="24"/>
        </w:rPr>
      </w:pPr>
      <w:proofErr w:type="gramStart"/>
      <w:r w:rsidRPr="007C5A6E">
        <w:rPr>
          <w:rFonts w:ascii="Times New Roman" w:hAnsi="Times New Roman"/>
          <w:sz w:val="24"/>
          <w:szCs w:val="24"/>
        </w:rPr>
        <w:t>recenser</w:t>
      </w:r>
      <w:proofErr w:type="gramEnd"/>
      <w:r w:rsidRPr="007C5A6E">
        <w:rPr>
          <w:rFonts w:ascii="Times New Roman" w:hAnsi="Times New Roman"/>
          <w:sz w:val="24"/>
          <w:szCs w:val="24"/>
        </w:rPr>
        <w:t xml:space="preserve"> pour chaque secteur les besoins, les types d’intervention à réaliser et les ressources requises (humaines, logistiques, financières) ; </w:t>
      </w:r>
    </w:p>
    <w:p w14:paraId="563D9B40" w14:textId="731C25CC" w:rsidR="00DE49A8" w:rsidRPr="007C5A6E" w:rsidRDefault="00DE49A8" w:rsidP="00684FF8">
      <w:pPr>
        <w:pStyle w:val="Paragraphedeliste"/>
        <w:numPr>
          <w:ilvl w:val="0"/>
          <w:numId w:val="47"/>
        </w:numPr>
        <w:spacing w:after="0" w:line="240" w:lineRule="auto"/>
        <w:jc w:val="both"/>
        <w:rPr>
          <w:rFonts w:ascii="Times New Roman" w:hAnsi="Times New Roman"/>
          <w:sz w:val="24"/>
          <w:szCs w:val="24"/>
        </w:rPr>
      </w:pPr>
      <w:proofErr w:type="gramStart"/>
      <w:r w:rsidRPr="007C5A6E">
        <w:rPr>
          <w:rFonts w:ascii="Times New Roman" w:hAnsi="Times New Roman"/>
          <w:sz w:val="24"/>
          <w:szCs w:val="24"/>
        </w:rPr>
        <w:t>intervenir</w:t>
      </w:r>
      <w:proofErr w:type="gramEnd"/>
      <w:r w:rsidRPr="007C5A6E">
        <w:rPr>
          <w:rFonts w:ascii="Times New Roman" w:hAnsi="Times New Roman"/>
          <w:sz w:val="24"/>
          <w:szCs w:val="24"/>
        </w:rPr>
        <w:t xml:space="preserve"> sur la base des objectifs du plan d’action et soutenir au maximum 500 personnes et informer le niveau national lorsque les besoins sont supérieurs, pour qu’il puisse prendre le relais. </w:t>
      </w:r>
    </w:p>
    <w:p w14:paraId="6ED8D767" w14:textId="77777777" w:rsidR="007A09E5" w:rsidRPr="007C5A6E" w:rsidRDefault="007A09E5" w:rsidP="00684FF8">
      <w:pPr>
        <w:pStyle w:val="Sansinterligne"/>
        <w:jc w:val="both"/>
      </w:pPr>
    </w:p>
    <w:p w14:paraId="1479DD17" w14:textId="77777777" w:rsidR="00DE49A8" w:rsidRPr="007C5A6E" w:rsidRDefault="00DE49A8" w:rsidP="00684FF8">
      <w:pPr>
        <w:numPr>
          <w:ilvl w:val="0"/>
          <w:numId w:val="45"/>
        </w:numPr>
        <w:spacing w:after="0" w:line="240" w:lineRule="auto"/>
        <w:contextualSpacing/>
        <w:jc w:val="both"/>
        <w:rPr>
          <w:rFonts w:ascii="Times New Roman" w:hAnsi="Times New Roman"/>
          <w:sz w:val="24"/>
          <w:szCs w:val="24"/>
        </w:rPr>
      </w:pPr>
      <w:r w:rsidRPr="007C5A6E">
        <w:rPr>
          <w:rFonts w:ascii="Times New Roman" w:hAnsi="Times New Roman"/>
          <w:sz w:val="24"/>
          <w:szCs w:val="24"/>
        </w:rPr>
        <w:t xml:space="preserve">Après la catastrophe, la réhabilitation :  </w:t>
      </w:r>
    </w:p>
    <w:p w14:paraId="222371FB" w14:textId="4C6C2CC0" w:rsidR="00DE49A8" w:rsidRPr="007C5A6E" w:rsidRDefault="00DE49A8" w:rsidP="00684FF8">
      <w:pPr>
        <w:pStyle w:val="Paragraphedeliste"/>
        <w:numPr>
          <w:ilvl w:val="0"/>
          <w:numId w:val="47"/>
        </w:numPr>
        <w:spacing w:after="0" w:line="240" w:lineRule="auto"/>
        <w:jc w:val="both"/>
        <w:rPr>
          <w:rFonts w:ascii="Times New Roman" w:hAnsi="Times New Roman"/>
          <w:sz w:val="24"/>
          <w:szCs w:val="24"/>
        </w:rPr>
      </w:pPr>
      <w:proofErr w:type="gramStart"/>
      <w:r w:rsidRPr="007C5A6E">
        <w:rPr>
          <w:rFonts w:ascii="Times New Roman" w:hAnsi="Times New Roman"/>
          <w:sz w:val="24"/>
          <w:szCs w:val="24"/>
        </w:rPr>
        <w:t>donner</w:t>
      </w:r>
      <w:proofErr w:type="gramEnd"/>
      <w:r w:rsidRPr="007C5A6E">
        <w:rPr>
          <w:rFonts w:ascii="Times New Roman" w:hAnsi="Times New Roman"/>
          <w:sz w:val="24"/>
          <w:szCs w:val="24"/>
        </w:rPr>
        <w:t xml:space="preserve"> la possibilité aux personnes affectées de retrouver un cadre de vie conforme à ce qu’ils avaient avant la catastrophe ; </w:t>
      </w:r>
    </w:p>
    <w:p w14:paraId="44D86D9E" w14:textId="6E39904B" w:rsidR="00DE49A8" w:rsidRPr="007C5A6E" w:rsidRDefault="00DE49A8" w:rsidP="00684FF8">
      <w:pPr>
        <w:pStyle w:val="Paragraphedeliste"/>
        <w:numPr>
          <w:ilvl w:val="0"/>
          <w:numId w:val="47"/>
        </w:numPr>
        <w:spacing w:after="0" w:line="240" w:lineRule="auto"/>
        <w:jc w:val="both"/>
        <w:rPr>
          <w:rFonts w:ascii="Times New Roman" w:hAnsi="Times New Roman"/>
          <w:sz w:val="24"/>
          <w:szCs w:val="24"/>
        </w:rPr>
      </w:pPr>
      <w:proofErr w:type="gramStart"/>
      <w:r w:rsidRPr="007C5A6E">
        <w:rPr>
          <w:rFonts w:ascii="Times New Roman" w:hAnsi="Times New Roman"/>
          <w:sz w:val="24"/>
          <w:szCs w:val="24"/>
        </w:rPr>
        <w:t>mettre</w:t>
      </w:r>
      <w:proofErr w:type="gramEnd"/>
      <w:r w:rsidRPr="007C5A6E">
        <w:rPr>
          <w:rFonts w:ascii="Times New Roman" w:hAnsi="Times New Roman"/>
          <w:sz w:val="24"/>
          <w:szCs w:val="24"/>
        </w:rPr>
        <w:t xml:space="preserve"> en place des comités communautaires pour favoriser la participation locale à l’élaboration et à la mise en œuvre des activités de relèvement.  </w:t>
      </w:r>
    </w:p>
    <w:p w14:paraId="7851BB7D" w14:textId="77777777" w:rsidR="007A09E5" w:rsidRPr="007C5A6E" w:rsidRDefault="007A09E5" w:rsidP="00684FF8">
      <w:pPr>
        <w:pStyle w:val="Sansinterligne"/>
        <w:jc w:val="both"/>
      </w:pPr>
    </w:p>
    <w:p w14:paraId="0F88F648" w14:textId="77777777" w:rsidR="00DE49A8" w:rsidRPr="007C5A6E" w:rsidRDefault="00DE49A8" w:rsidP="00DE49A8">
      <w:pPr>
        <w:spacing w:after="0"/>
        <w:rPr>
          <w:rFonts w:ascii="Times New Roman" w:hAnsi="Times New Roman"/>
        </w:rPr>
      </w:pPr>
      <w:r w:rsidRPr="007C5A6E">
        <w:rPr>
          <w:rFonts w:ascii="Times New Roman" w:hAnsi="Times New Roman"/>
          <w:noProof/>
        </w:rPr>
        <w:drawing>
          <wp:inline distT="0" distB="0" distL="0" distR="0" wp14:anchorId="30AE153B" wp14:editId="1D9A0603">
            <wp:extent cx="5759450" cy="3809365"/>
            <wp:effectExtent l="0" t="0" r="0" b="635"/>
            <wp:docPr id="824296095" name="Image 1" descr="Une image contenant texte, capture d’écran, diagramm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296095" name="Image 1" descr="Une image contenant texte, capture d’écran, diagramme, Police&#10;&#10;Description générée automatiquement"/>
                    <pic:cNvPicPr/>
                  </pic:nvPicPr>
                  <pic:blipFill>
                    <a:blip r:embed="rId214" cstate="email">
                      <a:extLst>
                        <a:ext uri="{28A0092B-C50C-407E-A947-70E740481C1C}">
                          <a14:useLocalDpi xmlns:a14="http://schemas.microsoft.com/office/drawing/2010/main"/>
                        </a:ext>
                      </a:extLst>
                    </a:blip>
                    <a:stretch>
                      <a:fillRect/>
                    </a:stretch>
                  </pic:blipFill>
                  <pic:spPr>
                    <a:xfrm>
                      <a:off x="0" y="0"/>
                      <a:ext cx="5759450" cy="3809365"/>
                    </a:xfrm>
                    <a:prstGeom prst="rect">
                      <a:avLst/>
                    </a:prstGeom>
                  </pic:spPr>
                </pic:pic>
              </a:graphicData>
            </a:graphic>
          </wp:inline>
        </w:drawing>
      </w:r>
    </w:p>
    <w:p w14:paraId="4182D537" w14:textId="54F3CF56" w:rsidR="008B409F" w:rsidRPr="007C5A6E" w:rsidRDefault="008B409F" w:rsidP="008B409F">
      <w:pPr>
        <w:autoSpaceDE w:val="0"/>
        <w:autoSpaceDN w:val="0"/>
        <w:adjustRightInd w:val="0"/>
        <w:spacing w:after="0" w:line="240" w:lineRule="auto"/>
        <w:rPr>
          <w:rFonts w:ascii="Times New Roman" w:hAnsi="Times New Roman"/>
          <w:color w:val="FF0000"/>
          <w:sz w:val="20"/>
          <w:szCs w:val="20"/>
        </w:rPr>
      </w:pPr>
      <w:r w:rsidRPr="007C5A6E">
        <w:rPr>
          <w:rFonts w:ascii="Times New Roman" w:hAnsi="Times New Roman"/>
          <w:color w:val="FF0000"/>
          <w:sz w:val="20"/>
          <w:szCs w:val="20"/>
        </w:rPr>
        <w:t xml:space="preserve">(Source : </w:t>
      </w:r>
      <w:r w:rsidR="00D84E5B" w:rsidRPr="007C5A6E">
        <w:rPr>
          <w:rFonts w:ascii="Times New Roman" w:hAnsi="Times New Roman"/>
          <w:color w:val="FF0000"/>
          <w:sz w:val="20"/>
          <w:szCs w:val="20"/>
        </w:rPr>
        <w:t>XXX</w:t>
      </w:r>
      <w:r w:rsidRPr="007C5A6E">
        <w:rPr>
          <w:rFonts w:ascii="Times New Roman" w:hAnsi="Times New Roman"/>
          <w:color w:val="FF0000"/>
          <w:sz w:val="20"/>
          <w:szCs w:val="20"/>
        </w:rPr>
        <w:t>)</w:t>
      </w:r>
    </w:p>
    <w:p w14:paraId="533A6C3B" w14:textId="01122776" w:rsidR="008B409F" w:rsidRPr="007C5A6E" w:rsidRDefault="008B409F" w:rsidP="008B409F">
      <w:pPr>
        <w:pStyle w:val="Lgende"/>
        <w:spacing w:after="0"/>
        <w:jc w:val="both"/>
        <w:rPr>
          <w:rFonts w:ascii="Times New Roman" w:hAnsi="Times New Roman"/>
          <w:color w:val="auto"/>
          <w:sz w:val="24"/>
          <w:szCs w:val="24"/>
        </w:rPr>
      </w:pPr>
      <w:bookmarkStart w:id="1316" w:name="_Toc183230932"/>
      <w:bookmarkStart w:id="1317" w:name="_Toc183240724"/>
      <w:bookmarkStart w:id="1318" w:name="_Toc183340463"/>
      <w:r w:rsidRPr="007C5A6E">
        <w:rPr>
          <w:rFonts w:ascii="Times New Roman" w:hAnsi="Times New Roman"/>
          <w:color w:val="auto"/>
          <w:sz w:val="24"/>
          <w:szCs w:val="24"/>
        </w:rPr>
        <w:t xml:space="preserve">Figure </w:t>
      </w:r>
      <w:r w:rsidRPr="007C5A6E">
        <w:rPr>
          <w:rFonts w:ascii="Times New Roman" w:hAnsi="Times New Roman"/>
          <w:color w:val="auto"/>
          <w:sz w:val="24"/>
          <w:szCs w:val="24"/>
        </w:rPr>
        <w:fldChar w:fldCharType="begin"/>
      </w:r>
      <w:r w:rsidRPr="007C5A6E">
        <w:rPr>
          <w:rFonts w:ascii="Times New Roman" w:hAnsi="Times New Roman"/>
          <w:color w:val="auto"/>
          <w:sz w:val="24"/>
          <w:szCs w:val="24"/>
        </w:rPr>
        <w:instrText xml:space="preserve"> SEQ Figure \* ARABIC </w:instrText>
      </w:r>
      <w:r w:rsidRPr="007C5A6E">
        <w:rPr>
          <w:rFonts w:ascii="Times New Roman" w:hAnsi="Times New Roman"/>
          <w:color w:val="auto"/>
          <w:sz w:val="24"/>
          <w:szCs w:val="24"/>
        </w:rPr>
        <w:fldChar w:fldCharType="separate"/>
      </w:r>
      <w:r w:rsidR="00540B43" w:rsidRPr="007C5A6E">
        <w:rPr>
          <w:rFonts w:ascii="Times New Roman" w:hAnsi="Times New Roman"/>
          <w:noProof/>
          <w:color w:val="auto"/>
          <w:sz w:val="24"/>
          <w:szCs w:val="24"/>
        </w:rPr>
        <w:t>84</w:t>
      </w:r>
      <w:r w:rsidRPr="007C5A6E">
        <w:rPr>
          <w:rFonts w:ascii="Times New Roman" w:hAnsi="Times New Roman"/>
          <w:color w:val="auto"/>
          <w:sz w:val="24"/>
          <w:szCs w:val="24"/>
        </w:rPr>
        <w:fldChar w:fldCharType="end"/>
      </w:r>
      <w:r w:rsidR="00DD3101" w:rsidRPr="007C5A6E">
        <w:rPr>
          <w:rFonts w:ascii="Times New Roman" w:hAnsi="Times New Roman"/>
          <w:color w:val="auto"/>
          <w:sz w:val="24"/>
          <w:szCs w:val="24"/>
        </w:rPr>
        <w:t>.</w:t>
      </w:r>
      <w:r w:rsidR="00F564FE" w:rsidRPr="007C5A6E">
        <w:rPr>
          <w:rFonts w:ascii="Times New Roman" w:hAnsi="Times New Roman"/>
          <w:color w:val="auto"/>
          <w:sz w:val="24"/>
          <w:szCs w:val="24"/>
        </w:rPr>
        <w:t xml:space="preserve"> </w:t>
      </w:r>
      <w:r w:rsidR="00D22E50" w:rsidRPr="007C5A6E">
        <w:rPr>
          <w:rFonts w:ascii="Times New Roman" w:hAnsi="Times New Roman"/>
          <w:color w:val="auto"/>
          <w:sz w:val="24"/>
          <w:szCs w:val="24"/>
        </w:rPr>
        <w:t>Processus d’intervention en cas de catastrophe</w:t>
      </w:r>
      <w:bookmarkEnd w:id="1316"/>
      <w:bookmarkEnd w:id="1317"/>
      <w:bookmarkEnd w:id="1318"/>
    </w:p>
    <w:p w14:paraId="1DA0EBCD" w14:textId="77777777" w:rsidR="008B409F" w:rsidRPr="007C5A6E" w:rsidRDefault="008B409F" w:rsidP="004A1313">
      <w:pPr>
        <w:spacing w:after="0"/>
        <w:rPr>
          <w:rFonts w:ascii="Times New Roman" w:hAnsi="Times New Roman"/>
        </w:rPr>
      </w:pPr>
    </w:p>
    <w:p w14:paraId="4D667188" w14:textId="77777777" w:rsidR="00DE49A8" w:rsidRPr="007C5A6E" w:rsidRDefault="00DE49A8" w:rsidP="00684FF8">
      <w:pPr>
        <w:pStyle w:val="Titre3"/>
      </w:pPr>
      <w:bookmarkStart w:id="1319" w:name="_Toc182582668"/>
      <w:bookmarkStart w:id="1320" w:name="_Toc183340283"/>
      <w:r w:rsidRPr="007C5A6E">
        <w:t>Les réponses à visée préventive</w:t>
      </w:r>
      <w:bookmarkEnd w:id="1319"/>
      <w:bookmarkEnd w:id="1320"/>
    </w:p>
    <w:p w14:paraId="6E1E5EA5" w14:textId="77777777" w:rsidR="00DE49A8" w:rsidRPr="007C5A6E" w:rsidRDefault="00DE49A8" w:rsidP="00684FF8">
      <w:pPr>
        <w:pStyle w:val="Sansinterligne"/>
      </w:pPr>
    </w:p>
    <w:p w14:paraId="1E21E3E4" w14:textId="77777777" w:rsidR="00DE49A8" w:rsidRPr="007C5A6E" w:rsidRDefault="00DE49A8" w:rsidP="00684FF8">
      <w:pPr>
        <w:pStyle w:val="Titre4"/>
      </w:pPr>
      <w:bookmarkStart w:id="1321" w:name="_Toc183340284"/>
      <w:r w:rsidRPr="007C5A6E">
        <w:t>Les plans d’action</w:t>
      </w:r>
      <w:bookmarkEnd w:id="1321"/>
    </w:p>
    <w:p w14:paraId="153076BA" w14:textId="77777777" w:rsidR="00DE49A8" w:rsidRPr="007C5A6E" w:rsidRDefault="00DE49A8" w:rsidP="00684FF8">
      <w:pPr>
        <w:pStyle w:val="Sansinterligne"/>
        <w:rPr>
          <w:rFonts w:ascii="Times New Roman" w:hAnsi="Times New Roman"/>
          <w:sz w:val="24"/>
          <w:szCs w:val="24"/>
        </w:rPr>
      </w:pPr>
    </w:p>
    <w:p w14:paraId="0378BD6D" w14:textId="24C58478" w:rsidR="00684FF8" w:rsidRPr="007C5A6E" w:rsidRDefault="00684FF8" w:rsidP="00684FF8">
      <w:pPr>
        <w:pStyle w:val="Sansinterligne"/>
        <w:rPr>
          <w:rFonts w:ascii="Times New Roman" w:hAnsi="Times New Roman"/>
          <w:sz w:val="24"/>
          <w:szCs w:val="24"/>
        </w:rPr>
      </w:pPr>
      <w:r w:rsidRPr="007C5A6E">
        <w:rPr>
          <w:rFonts w:ascii="Times New Roman" w:hAnsi="Times New Roman"/>
          <w:sz w:val="24"/>
          <w:szCs w:val="24"/>
        </w:rPr>
        <w:t>Il s’agit notamment de :</w:t>
      </w:r>
    </w:p>
    <w:p w14:paraId="7F476953" w14:textId="77777777" w:rsidR="00DE49A8" w:rsidRPr="007C5A6E" w:rsidRDefault="00DE49A8" w:rsidP="00684FF8">
      <w:pPr>
        <w:numPr>
          <w:ilvl w:val="0"/>
          <w:numId w:val="3"/>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 xml:space="preserve">Le Plan national multi risques de préparation et de réponse aux catastrophes </w:t>
      </w:r>
    </w:p>
    <w:p w14:paraId="71A09859" w14:textId="77777777" w:rsidR="00DE49A8" w:rsidRPr="007C5A6E" w:rsidRDefault="00DE49A8" w:rsidP="00684FF8">
      <w:pPr>
        <w:numPr>
          <w:ilvl w:val="0"/>
          <w:numId w:val="3"/>
        </w:numPr>
        <w:spacing w:after="0" w:line="240" w:lineRule="auto"/>
        <w:ind w:left="360"/>
        <w:contextualSpacing/>
        <w:jc w:val="both"/>
        <w:rPr>
          <w:rFonts w:ascii="Times New Roman" w:hAnsi="Times New Roman"/>
          <w:sz w:val="24"/>
          <w:szCs w:val="24"/>
        </w:rPr>
      </w:pPr>
      <w:r w:rsidRPr="007C5A6E">
        <w:rPr>
          <w:rFonts w:ascii="Times New Roman" w:hAnsi="Times New Roman"/>
          <w:sz w:val="24"/>
          <w:szCs w:val="24"/>
        </w:rPr>
        <w:t>Le Plan d’action national pour le renforcement des capacités pour la réduction des risques et la préparation à la réponse aux urgences au Burkina Faso 2016‐2020</w:t>
      </w:r>
    </w:p>
    <w:p w14:paraId="390190A2" w14:textId="77777777" w:rsidR="00DE49A8" w:rsidRPr="007C5A6E" w:rsidRDefault="00DE49A8" w:rsidP="00684FF8">
      <w:pPr>
        <w:numPr>
          <w:ilvl w:val="0"/>
          <w:numId w:val="3"/>
        </w:numPr>
        <w:spacing w:after="0" w:line="240" w:lineRule="auto"/>
        <w:ind w:left="360"/>
        <w:contextualSpacing/>
        <w:jc w:val="both"/>
        <w:rPr>
          <w:rFonts w:ascii="Times New Roman" w:hAnsi="Times New Roman"/>
          <w:sz w:val="24"/>
          <w:szCs w:val="28"/>
        </w:rPr>
      </w:pPr>
      <w:r w:rsidRPr="007C5A6E">
        <w:rPr>
          <w:rFonts w:ascii="Times New Roman" w:hAnsi="Times New Roman"/>
          <w:color w:val="050505"/>
          <w:sz w:val="24"/>
          <w:szCs w:val="28"/>
        </w:rPr>
        <w:t>La Stratégie nationale de réduction des risques de catastrophes (SN-RRC) en cours d’élaboration. Elle vise à doter le Burkina Faso d’un référentiel national en matière de RRC déclinant la vision et les axes prioritaires du pays en matière de gestion des catastrophes.</w:t>
      </w:r>
    </w:p>
    <w:p w14:paraId="0C166BE6" w14:textId="77777777" w:rsidR="00DE49A8" w:rsidRPr="007C5A6E" w:rsidRDefault="00DE49A8" w:rsidP="00684FF8">
      <w:pPr>
        <w:pStyle w:val="Sansinterligne"/>
      </w:pPr>
    </w:p>
    <w:p w14:paraId="53361040" w14:textId="77777777" w:rsidR="00DE49A8" w:rsidRPr="007C5A6E" w:rsidRDefault="00DE49A8" w:rsidP="00684FF8">
      <w:pPr>
        <w:pStyle w:val="Titre4"/>
      </w:pPr>
      <w:bookmarkStart w:id="1322" w:name="_Toc183340285"/>
      <w:r w:rsidRPr="007C5A6E">
        <w:t>Les systèmes d’alerte précoce</w:t>
      </w:r>
      <w:bookmarkEnd w:id="1322"/>
    </w:p>
    <w:p w14:paraId="5C1A3BD8" w14:textId="77777777" w:rsidR="00DE49A8" w:rsidRPr="007C5A6E" w:rsidRDefault="00DE49A8" w:rsidP="00684FF8">
      <w:pPr>
        <w:pStyle w:val="Sansinterligne"/>
      </w:pPr>
    </w:p>
    <w:p w14:paraId="6467AE96" w14:textId="46969000" w:rsidR="00DE49A8" w:rsidRPr="007C5A6E" w:rsidRDefault="00DE49A8" w:rsidP="00684FF8">
      <w:pPr>
        <w:spacing w:after="0" w:line="240" w:lineRule="auto"/>
        <w:jc w:val="both"/>
        <w:rPr>
          <w:rFonts w:ascii="Times New Roman" w:hAnsi="Times New Roman"/>
          <w:sz w:val="24"/>
          <w:szCs w:val="24"/>
        </w:rPr>
      </w:pPr>
      <w:r w:rsidRPr="007C5A6E">
        <w:rPr>
          <w:rFonts w:ascii="Times New Roman" w:hAnsi="Times New Roman"/>
          <w:sz w:val="24"/>
          <w:szCs w:val="24"/>
        </w:rPr>
        <w:t>Le Centre National pour la Coordination du Mécanisme d’Alerte Précoce et de Réponse</w:t>
      </w:r>
      <w:r w:rsidR="00684FF8" w:rsidRPr="007C5A6E">
        <w:rPr>
          <w:rFonts w:ascii="Times New Roman" w:hAnsi="Times New Roman"/>
          <w:sz w:val="24"/>
          <w:szCs w:val="24"/>
        </w:rPr>
        <w:t xml:space="preserve"> </w:t>
      </w:r>
      <w:r w:rsidRPr="007C5A6E">
        <w:rPr>
          <w:rFonts w:ascii="Times New Roman" w:hAnsi="Times New Roman"/>
          <w:sz w:val="24"/>
          <w:szCs w:val="24"/>
        </w:rPr>
        <w:t xml:space="preserve">(CNCMR) est chargé de </w:t>
      </w:r>
      <w:r w:rsidR="00684FF8" w:rsidRPr="007C5A6E">
        <w:rPr>
          <w:rFonts w:ascii="Times New Roman" w:hAnsi="Times New Roman"/>
          <w:sz w:val="24"/>
          <w:szCs w:val="24"/>
        </w:rPr>
        <w:t>« coordonner</w:t>
      </w:r>
      <w:r w:rsidRPr="007C5A6E">
        <w:rPr>
          <w:rFonts w:ascii="Times New Roman" w:hAnsi="Times New Roman"/>
          <w:sz w:val="24"/>
          <w:szCs w:val="24"/>
        </w:rPr>
        <w:t xml:space="preserve"> et d’assurer le suivi des activités d’intervention dans le cadre de la mise en œuvre du mécanisme national d’alerte précoce et de réponse, optimiser l’accès aux sources d’information et la qualité de la collecte et de l’analyse desdites informations, impliquer et autonomiser les populations locales dans la formulation des réponses aux menaces auxquelles celles-ci sont exposées… »</w:t>
      </w:r>
    </w:p>
    <w:p w14:paraId="78A18AED" w14:textId="059EC7F5" w:rsidR="00DE49A8" w:rsidRPr="007C5A6E" w:rsidRDefault="00DE49A8" w:rsidP="00684FF8">
      <w:pPr>
        <w:spacing w:after="0" w:line="240" w:lineRule="auto"/>
        <w:jc w:val="both"/>
        <w:rPr>
          <w:rFonts w:ascii="Times New Roman" w:hAnsi="Times New Roman"/>
          <w:sz w:val="24"/>
          <w:szCs w:val="24"/>
        </w:rPr>
      </w:pPr>
      <w:r w:rsidRPr="007C5A6E">
        <w:rPr>
          <w:rFonts w:ascii="Times New Roman" w:hAnsi="Times New Roman"/>
          <w:sz w:val="24"/>
          <w:szCs w:val="24"/>
        </w:rPr>
        <w:t xml:space="preserve">Un atelier récent dénommé </w:t>
      </w:r>
      <w:r w:rsidRPr="007C5A6E">
        <w:rPr>
          <w:rFonts w:ascii="Times New Roman" w:hAnsi="Times New Roman"/>
          <w:b/>
          <w:bCs/>
          <w:sz w:val="24"/>
          <w:szCs w:val="24"/>
        </w:rPr>
        <w:t xml:space="preserve">“Cadrage du système local d'alerte précoce inondations au Burkina Faso” </w:t>
      </w:r>
      <w:r w:rsidRPr="007C5A6E">
        <w:rPr>
          <w:rFonts w:ascii="Times New Roman" w:hAnsi="Times New Roman"/>
          <w:sz w:val="24"/>
          <w:szCs w:val="24"/>
        </w:rPr>
        <w:t>vis</w:t>
      </w:r>
      <w:r w:rsidR="00684FF8" w:rsidRPr="007C5A6E">
        <w:rPr>
          <w:rFonts w:ascii="Times New Roman" w:hAnsi="Times New Roman"/>
          <w:sz w:val="24"/>
          <w:szCs w:val="24"/>
        </w:rPr>
        <w:t>ait</w:t>
      </w:r>
      <w:r w:rsidRPr="007C5A6E">
        <w:rPr>
          <w:rFonts w:ascii="Times New Roman" w:hAnsi="Times New Roman"/>
          <w:sz w:val="24"/>
          <w:szCs w:val="24"/>
        </w:rPr>
        <w:t xml:space="preserve"> à rassembler des experts, des décideurs, et des représentants des communautés pour discuter et établir les bases d'un système d'alerte précoce efficace et adapté aux réalités locales. L'objectif est de renforcer la capacité de réponse du pays face aux inondations, en améliorant la prévision, la surveillance et la communication des alertes pour sauvegarder des vies et réduire les pertes matérielles.</w:t>
      </w:r>
    </w:p>
    <w:p w14:paraId="328408CD" w14:textId="77777777" w:rsidR="007A09E5" w:rsidRPr="007C5A6E" w:rsidRDefault="007A09E5" w:rsidP="00684FF8">
      <w:pPr>
        <w:spacing w:after="0" w:line="240" w:lineRule="auto"/>
        <w:jc w:val="both"/>
        <w:rPr>
          <w:rFonts w:ascii="Times New Roman" w:hAnsi="Times New Roman"/>
          <w:sz w:val="24"/>
          <w:szCs w:val="24"/>
        </w:rPr>
      </w:pPr>
    </w:p>
    <w:p w14:paraId="685BAF84" w14:textId="77777777" w:rsidR="00DE49A8" w:rsidRPr="007C5A6E" w:rsidRDefault="00DE49A8" w:rsidP="00712C43">
      <w:pPr>
        <w:pStyle w:val="Titre2"/>
      </w:pPr>
      <w:bookmarkStart w:id="1323" w:name="_Toc183340286"/>
      <w:r w:rsidRPr="007C5A6E">
        <w:t>Projections climatiques et catastrophes naturelles : enjeux et risques</w:t>
      </w:r>
      <w:bookmarkEnd w:id="1323"/>
      <w:r w:rsidRPr="007C5A6E">
        <w:t xml:space="preserve">  </w:t>
      </w:r>
    </w:p>
    <w:p w14:paraId="206939E4" w14:textId="77777777" w:rsidR="00DE49A8" w:rsidRPr="007C5A6E" w:rsidRDefault="00DE49A8" w:rsidP="00684FF8">
      <w:pPr>
        <w:tabs>
          <w:tab w:val="left" w:pos="1200"/>
        </w:tabs>
        <w:spacing w:after="0" w:line="240" w:lineRule="auto"/>
        <w:rPr>
          <w:rFonts w:ascii="Times New Roman" w:hAnsi="Times New Roman"/>
          <w:sz w:val="24"/>
          <w:szCs w:val="24"/>
        </w:rPr>
      </w:pPr>
    </w:p>
    <w:p w14:paraId="7FDE989F" w14:textId="77777777" w:rsidR="00DE49A8" w:rsidRPr="007C5A6E" w:rsidRDefault="00DE49A8" w:rsidP="00684FF8">
      <w:pPr>
        <w:spacing w:after="0" w:line="240" w:lineRule="auto"/>
        <w:jc w:val="both"/>
        <w:rPr>
          <w:rFonts w:ascii="Times New Roman" w:hAnsi="Times New Roman"/>
          <w:sz w:val="24"/>
          <w:szCs w:val="28"/>
        </w:rPr>
      </w:pPr>
      <w:r w:rsidRPr="007C5A6E">
        <w:rPr>
          <w:rFonts w:ascii="Times New Roman" w:hAnsi="Times New Roman"/>
          <w:sz w:val="24"/>
          <w:szCs w:val="28"/>
        </w:rPr>
        <w:t>Les projections climatiques font apparaître que les événements climatiques extrêmes seront plus fréquents et de plus grande ampleur. Ce qui implique des risques accrus de catastrophes naturelles de plus en plus dévastatrices.</w:t>
      </w:r>
    </w:p>
    <w:p w14:paraId="2AFF6749" w14:textId="77777777" w:rsidR="00684FF8" w:rsidRPr="007C5A6E" w:rsidRDefault="00684FF8" w:rsidP="00684FF8">
      <w:pPr>
        <w:spacing w:after="0" w:line="240" w:lineRule="auto"/>
        <w:jc w:val="both"/>
        <w:rPr>
          <w:rFonts w:ascii="Times New Roman" w:hAnsi="Times New Roman"/>
          <w:sz w:val="24"/>
          <w:szCs w:val="28"/>
        </w:rPr>
      </w:pPr>
    </w:p>
    <w:p w14:paraId="1110296E" w14:textId="3311D29C" w:rsidR="00DE49A8" w:rsidRPr="007C5A6E" w:rsidRDefault="00DE49A8" w:rsidP="00684FF8">
      <w:pPr>
        <w:spacing w:after="0" w:line="240" w:lineRule="auto"/>
        <w:jc w:val="both"/>
        <w:rPr>
          <w:rFonts w:ascii="Times New Roman" w:hAnsi="Times New Roman"/>
          <w:sz w:val="24"/>
          <w:szCs w:val="28"/>
        </w:rPr>
      </w:pPr>
      <w:r w:rsidRPr="007C5A6E">
        <w:rPr>
          <w:rFonts w:ascii="Times New Roman" w:hAnsi="Times New Roman"/>
          <w:sz w:val="24"/>
          <w:szCs w:val="28"/>
        </w:rPr>
        <w:t>Dans le cadre du Plan National d’Adaptation au Changement Climatique (PNA de 2015-2050)</w:t>
      </w:r>
      <w:r w:rsidR="00684FF8" w:rsidRPr="007C5A6E">
        <w:rPr>
          <w:rFonts w:ascii="Times New Roman" w:hAnsi="Times New Roman"/>
          <w:sz w:val="24"/>
          <w:szCs w:val="28"/>
        </w:rPr>
        <w:t xml:space="preserve">, </w:t>
      </w:r>
      <w:r w:rsidRPr="007C5A6E">
        <w:rPr>
          <w:rFonts w:ascii="Times New Roman" w:hAnsi="Times New Roman"/>
          <w:sz w:val="24"/>
          <w:szCs w:val="28"/>
        </w:rPr>
        <w:t>de nombreuses stratégies et plans d’adaptation ont été élaborées dans tous les secteurs, mais leur évaluation fait apparaître des faiblesses dans leur mise en œuvre, notamment :</w:t>
      </w:r>
    </w:p>
    <w:p w14:paraId="34122A64" w14:textId="422B6872" w:rsidR="00DE49A8" w:rsidRPr="007C5A6E" w:rsidRDefault="00684FF8" w:rsidP="00D11594">
      <w:pPr>
        <w:numPr>
          <w:ilvl w:val="0"/>
          <w:numId w:val="3"/>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 xml:space="preserve">Une </w:t>
      </w:r>
      <w:r w:rsidR="00DE49A8" w:rsidRPr="007C5A6E">
        <w:rPr>
          <w:rFonts w:ascii="Times New Roman" w:hAnsi="Times New Roman"/>
          <w:sz w:val="24"/>
          <w:szCs w:val="24"/>
        </w:rPr>
        <w:t>insuffisance des allocations budgétaires ;</w:t>
      </w:r>
    </w:p>
    <w:p w14:paraId="37F11878" w14:textId="365622E5" w:rsidR="00DE49A8" w:rsidRPr="007C5A6E" w:rsidRDefault="00684FF8" w:rsidP="00D11594">
      <w:pPr>
        <w:numPr>
          <w:ilvl w:val="0"/>
          <w:numId w:val="3"/>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 xml:space="preserve">Une </w:t>
      </w:r>
      <w:r w:rsidR="00DE49A8" w:rsidRPr="007C5A6E">
        <w:rPr>
          <w:rFonts w:ascii="Times New Roman" w:hAnsi="Times New Roman"/>
          <w:sz w:val="24"/>
          <w:szCs w:val="24"/>
        </w:rPr>
        <w:t>faible appropriation des changements climatiques par les collectivités et l’impact limité des actions d’adaptation au changement climatiques ;</w:t>
      </w:r>
    </w:p>
    <w:p w14:paraId="37447AC7" w14:textId="78887600" w:rsidR="00DE49A8" w:rsidRPr="007C5A6E" w:rsidRDefault="00684FF8" w:rsidP="00D11594">
      <w:pPr>
        <w:numPr>
          <w:ilvl w:val="0"/>
          <w:numId w:val="3"/>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L’</w:t>
      </w:r>
      <w:r w:rsidR="00DE49A8" w:rsidRPr="007C5A6E">
        <w:rPr>
          <w:rFonts w:ascii="Times New Roman" w:hAnsi="Times New Roman"/>
          <w:sz w:val="24"/>
          <w:szCs w:val="24"/>
        </w:rPr>
        <w:t>insuffisance de synergie entre les différents acteurs ;</w:t>
      </w:r>
    </w:p>
    <w:p w14:paraId="45668D40" w14:textId="790DEB2D" w:rsidR="00DE49A8" w:rsidRPr="007C5A6E" w:rsidRDefault="00684FF8" w:rsidP="00D11594">
      <w:pPr>
        <w:numPr>
          <w:ilvl w:val="0"/>
          <w:numId w:val="3"/>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 xml:space="preserve">La </w:t>
      </w:r>
      <w:r w:rsidR="00DE49A8" w:rsidRPr="007C5A6E">
        <w:rPr>
          <w:rFonts w:ascii="Times New Roman" w:hAnsi="Times New Roman"/>
          <w:sz w:val="24"/>
          <w:szCs w:val="24"/>
        </w:rPr>
        <w:t>faible implication du secteur privé</w:t>
      </w:r>
      <w:r w:rsidR="00312AD0" w:rsidRPr="007C5A6E">
        <w:rPr>
          <w:rFonts w:ascii="Times New Roman" w:hAnsi="Times New Roman"/>
          <w:sz w:val="24"/>
          <w:szCs w:val="24"/>
        </w:rPr>
        <w:t>, etc.</w:t>
      </w:r>
    </w:p>
    <w:p w14:paraId="0A45B448" w14:textId="407EFDBF" w:rsidR="00DE49A8" w:rsidRPr="007C5A6E" w:rsidRDefault="00DE49A8" w:rsidP="00684FF8">
      <w:pPr>
        <w:spacing w:after="0" w:line="240" w:lineRule="auto"/>
        <w:jc w:val="both"/>
        <w:rPr>
          <w:rFonts w:ascii="Times New Roman" w:hAnsi="Times New Roman"/>
          <w:sz w:val="24"/>
          <w:szCs w:val="24"/>
        </w:rPr>
      </w:pPr>
      <w:r w:rsidRPr="007C5A6E">
        <w:rPr>
          <w:rFonts w:ascii="Times New Roman" w:hAnsi="Times New Roman"/>
          <w:sz w:val="24"/>
          <w:szCs w:val="24"/>
        </w:rPr>
        <w:t>Il convient</w:t>
      </w:r>
      <w:r w:rsidR="00684FF8" w:rsidRPr="007C5A6E">
        <w:rPr>
          <w:rFonts w:ascii="Times New Roman" w:hAnsi="Times New Roman"/>
          <w:sz w:val="24"/>
          <w:szCs w:val="24"/>
        </w:rPr>
        <w:t xml:space="preserve"> donc</w:t>
      </w:r>
      <w:r w:rsidRPr="007C5A6E">
        <w:rPr>
          <w:rFonts w:ascii="Times New Roman" w:hAnsi="Times New Roman"/>
          <w:sz w:val="24"/>
          <w:szCs w:val="24"/>
        </w:rPr>
        <w:t xml:space="preserve"> de réviser régulièrement les stratégies et plans pour les mettre en phase avec l’évolution du climat.</w:t>
      </w:r>
    </w:p>
    <w:p w14:paraId="1C0632D6" w14:textId="77777777" w:rsidR="00684FF8" w:rsidRPr="007C5A6E" w:rsidRDefault="00684FF8" w:rsidP="00684FF8">
      <w:pPr>
        <w:spacing w:after="0" w:line="240" w:lineRule="auto"/>
        <w:jc w:val="both"/>
        <w:rPr>
          <w:rFonts w:ascii="Times New Roman" w:hAnsi="Times New Roman"/>
          <w:sz w:val="24"/>
          <w:szCs w:val="24"/>
        </w:rPr>
      </w:pPr>
    </w:p>
    <w:p w14:paraId="2F21F471" w14:textId="77777777" w:rsidR="00DE49A8" w:rsidRPr="007C5A6E" w:rsidRDefault="00DE49A8" w:rsidP="00684FF8">
      <w:pPr>
        <w:pStyle w:val="Titre3"/>
      </w:pPr>
      <w:bookmarkStart w:id="1324" w:name="_Toc182582670"/>
      <w:bookmarkStart w:id="1325" w:name="_Toc183340287"/>
      <w:r w:rsidRPr="007C5A6E">
        <w:t>Pour les inondations</w:t>
      </w:r>
      <w:bookmarkEnd w:id="1324"/>
      <w:bookmarkEnd w:id="1325"/>
    </w:p>
    <w:p w14:paraId="44AB5510" w14:textId="77777777" w:rsidR="00DE49A8" w:rsidRPr="007C5A6E" w:rsidRDefault="00DE49A8" w:rsidP="00684FF8">
      <w:pPr>
        <w:pStyle w:val="Sansinterligne"/>
      </w:pPr>
      <w:r w:rsidRPr="007C5A6E">
        <w:t xml:space="preserve"> </w:t>
      </w:r>
    </w:p>
    <w:p w14:paraId="7BEB219F" w14:textId="472256B8" w:rsidR="00DE49A8" w:rsidRPr="007C5A6E" w:rsidRDefault="00684FF8" w:rsidP="00684FF8">
      <w:pPr>
        <w:spacing w:after="0" w:line="240" w:lineRule="auto"/>
        <w:jc w:val="both"/>
        <w:rPr>
          <w:rFonts w:ascii="Times New Roman" w:hAnsi="Times New Roman"/>
          <w:sz w:val="24"/>
          <w:szCs w:val="24"/>
        </w:rPr>
      </w:pPr>
      <w:r w:rsidRPr="007C5A6E">
        <w:rPr>
          <w:rFonts w:ascii="Times New Roman" w:hAnsi="Times New Roman"/>
          <w:sz w:val="24"/>
          <w:szCs w:val="24"/>
        </w:rPr>
        <w:t>Il faudra v</w:t>
      </w:r>
      <w:r w:rsidR="00DE49A8" w:rsidRPr="007C5A6E">
        <w:rPr>
          <w:rFonts w:ascii="Times New Roman" w:hAnsi="Times New Roman"/>
          <w:sz w:val="24"/>
          <w:szCs w:val="24"/>
        </w:rPr>
        <w:t>eiller à :</w:t>
      </w:r>
    </w:p>
    <w:p w14:paraId="0675D6AA" w14:textId="281F1C97" w:rsidR="00DE49A8" w:rsidRPr="007C5A6E" w:rsidRDefault="00D11594" w:rsidP="00D11594">
      <w:pPr>
        <w:numPr>
          <w:ilvl w:val="0"/>
          <w:numId w:val="3"/>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Concevoir</w:t>
      </w:r>
      <w:r w:rsidR="00DE49A8" w:rsidRPr="007C5A6E">
        <w:rPr>
          <w:rFonts w:ascii="Times New Roman" w:hAnsi="Times New Roman"/>
          <w:sz w:val="24"/>
          <w:szCs w:val="24"/>
        </w:rPr>
        <w:t xml:space="preserve"> des ouvrages qui s’adaptent aux pluies et crues de durée de retour cent ans au moins.</w:t>
      </w:r>
    </w:p>
    <w:p w14:paraId="71B8DBA5" w14:textId="06667B23" w:rsidR="00DE49A8" w:rsidRPr="007C5A6E" w:rsidRDefault="00D11594" w:rsidP="00D11594">
      <w:pPr>
        <w:numPr>
          <w:ilvl w:val="0"/>
          <w:numId w:val="3"/>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Réaliser</w:t>
      </w:r>
      <w:r w:rsidR="00DE49A8" w:rsidRPr="007C5A6E">
        <w:rPr>
          <w:rFonts w:ascii="Times New Roman" w:hAnsi="Times New Roman"/>
          <w:sz w:val="24"/>
          <w:szCs w:val="24"/>
        </w:rPr>
        <w:t xml:space="preserve"> des systèmes de récupération et de stockage des eaux de ruissellement.</w:t>
      </w:r>
    </w:p>
    <w:p w14:paraId="5BCF495E" w14:textId="77777777" w:rsidR="00DE49A8" w:rsidRPr="007C5A6E" w:rsidRDefault="00DE49A8" w:rsidP="00684FF8">
      <w:pPr>
        <w:pStyle w:val="Sansinterligne"/>
      </w:pPr>
    </w:p>
    <w:p w14:paraId="3A3E81E0" w14:textId="77777777" w:rsidR="00DE49A8" w:rsidRPr="007C5A6E" w:rsidRDefault="00DE49A8" w:rsidP="00684FF8">
      <w:pPr>
        <w:pStyle w:val="Titre3"/>
      </w:pPr>
      <w:bookmarkStart w:id="1326" w:name="_Toc182582671"/>
      <w:bookmarkStart w:id="1327" w:name="_Toc183340288"/>
      <w:r w:rsidRPr="007C5A6E">
        <w:t>Pour les sécheresses</w:t>
      </w:r>
      <w:bookmarkEnd w:id="1326"/>
      <w:bookmarkEnd w:id="1327"/>
    </w:p>
    <w:p w14:paraId="0B094957" w14:textId="77777777" w:rsidR="00DE49A8" w:rsidRPr="007C5A6E" w:rsidRDefault="00DE49A8" w:rsidP="00684FF8">
      <w:pPr>
        <w:pStyle w:val="Sansinterligne"/>
      </w:pPr>
    </w:p>
    <w:p w14:paraId="7E4F55B5" w14:textId="77777777" w:rsidR="00DE49A8" w:rsidRPr="007C5A6E" w:rsidRDefault="00DE49A8" w:rsidP="00684FF8">
      <w:pPr>
        <w:spacing w:after="0" w:line="240" w:lineRule="auto"/>
        <w:jc w:val="both"/>
        <w:rPr>
          <w:rFonts w:ascii="Times New Roman" w:hAnsi="Times New Roman"/>
          <w:sz w:val="24"/>
          <w:szCs w:val="24"/>
        </w:rPr>
      </w:pPr>
      <w:r w:rsidRPr="007C5A6E">
        <w:rPr>
          <w:rFonts w:ascii="Times New Roman" w:hAnsi="Times New Roman"/>
          <w:sz w:val="24"/>
          <w:szCs w:val="24"/>
        </w:rPr>
        <w:t>Il faudrait :</w:t>
      </w:r>
    </w:p>
    <w:p w14:paraId="44980F6B" w14:textId="2C11259B" w:rsidR="00DE49A8" w:rsidRPr="007C5A6E" w:rsidRDefault="00D11594" w:rsidP="00D11594">
      <w:pPr>
        <w:numPr>
          <w:ilvl w:val="0"/>
          <w:numId w:val="3"/>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Développer</w:t>
      </w:r>
      <w:r w:rsidR="00DE49A8" w:rsidRPr="007C5A6E">
        <w:rPr>
          <w:rFonts w:ascii="Times New Roman" w:hAnsi="Times New Roman"/>
          <w:sz w:val="24"/>
          <w:szCs w:val="24"/>
        </w:rPr>
        <w:t xml:space="preserve"> l’agriculture de contre saison</w:t>
      </w:r>
      <w:r w:rsidRPr="007C5A6E">
        <w:rPr>
          <w:rFonts w:ascii="Times New Roman" w:hAnsi="Times New Roman"/>
          <w:sz w:val="24"/>
          <w:szCs w:val="24"/>
        </w:rPr>
        <w:t>.</w:t>
      </w:r>
    </w:p>
    <w:p w14:paraId="11E7B0D0" w14:textId="788CEDAC" w:rsidR="006C0155" w:rsidRPr="007C5A6E" w:rsidRDefault="00D11594" w:rsidP="00D11594">
      <w:pPr>
        <w:numPr>
          <w:ilvl w:val="0"/>
          <w:numId w:val="3"/>
        </w:numPr>
        <w:spacing w:after="0" w:line="240" w:lineRule="auto"/>
        <w:ind w:left="357" w:hanging="357"/>
        <w:contextualSpacing/>
        <w:jc w:val="both"/>
        <w:rPr>
          <w:rFonts w:ascii="Times New Roman" w:hAnsi="Times New Roman"/>
          <w:sz w:val="24"/>
          <w:szCs w:val="24"/>
        </w:rPr>
      </w:pPr>
      <w:r w:rsidRPr="007C5A6E">
        <w:rPr>
          <w:rFonts w:ascii="Times New Roman" w:hAnsi="Times New Roman"/>
          <w:sz w:val="24"/>
          <w:szCs w:val="24"/>
        </w:rPr>
        <w:t>Créer</w:t>
      </w:r>
      <w:r w:rsidR="00DE49A8" w:rsidRPr="007C5A6E">
        <w:rPr>
          <w:rFonts w:ascii="Times New Roman" w:hAnsi="Times New Roman"/>
          <w:sz w:val="24"/>
          <w:szCs w:val="24"/>
        </w:rPr>
        <w:t xml:space="preserve"> les conditions d’utilisation des eaux de surface de manière à minimiser leur évaporation.</w:t>
      </w:r>
      <w:bookmarkEnd w:id="1270"/>
    </w:p>
    <w:p w14:paraId="732F1082" w14:textId="77777777" w:rsidR="00006463" w:rsidRPr="007C5A6E" w:rsidRDefault="00006463" w:rsidP="00D11594">
      <w:pPr>
        <w:spacing w:after="0" w:line="240" w:lineRule="auto"/>
        <w:rPr>
          <w:rFonts w:ascii="Times New Roman" w:hAnsi="Times New Roman"/>
          <w:sz w:val="24"/>
          <w:szCs w:val="24"/>
        </w:rPr>
      </w:pPr>
    </w:p>
    <w:p w14:paraId="33FAC9B7" w14:textId="54076C24" w:rsidR="00995549" w:rsidRPr="007C5A6E" w:rsidRDefault="00995549" w:rsidP="00D11594">
      <w:pPr>
        <w:spacing w:after="0" w:line="240" w:lineRule="auto"/>
        <w:rPr>
          <w:rFonts w:ascii="Times New Roman" w:hAnsi="Times New Roman"/>
          <w:sz w:val="24"/>
          <w:szCs w:val="24"/>
        </w:rPr>
      </w:pPr>
    </w:p>
    <w:p w14:paraId="5943C4D7" w14:textId="77777777" w:rsidR="00995549" w:rsidRPr="007C5A6E" w:rsidRDefault="00995549" w:rsidP="00D11594">
      <w:pPr>
        <w:spacing w:after="0" w:line="240" w:lineRule="auto"/>
        <w:rPr>
          <w:rFonts w:ascii="Times New Roman" w:hAnsi="Times New Roman"/>
          <w:sz w:val="24"/>
          <w:szCs w:val="24"/>
        </w:rPr>
      </w:pPr>
    </w:p>
    <w:p w14:paraId="759F2A30" w14:textId="77777777" w:rsidR="00D11594" w:rsidRPr="007C5A6E" w:rsidRDefault="00D11594" w:rsidP="00F57A5C">
      <w:pPr>
        <w:pStyle w:val="Titre1"/>
        <w:spacing w:before="0"/>
        <w:ind w:left="510" w:hanging="510"/>
        <w:rPr>
          <w:bCs/>
          <w:szCs w:val="30"/>
        </w:rPr>
        <w:sectPr w:rsidR="00D11594" w:rsidRPr="007C5A6E" w:rsidSect="006514BA">
          <w:pgSz w:w="11907" w:h="16840" w:code="9"/>
          <w:pgMar w:top="1191" w:right="1361" w:bottom="1191" w:left="1361" w:header="709" w:footer="709" w:gutter="0"/>
          <w:cols w:space="708"/>
          <w:docGrid w:linePitch="360"/>
        </w:sectPr>
      </w:pPr>
    </w:p>
    <w:p w14:paraId="0F34A68B" w14:textId="36517460" w:rsidR="005E7B17" w:rsidRPr="007C5A6E" w:rsidRDefault="00E17E61" w:rsidP="00540B43">
      <w:pPr>
        <w:pStyle w:val="Titre1"/>
        <w:spacing w:before="0"/>
        <w:ind w:left="510" w:hanging="510"/>
        <w:rPr>
          <w:bCs/>
          <w:szCs w:val="30"/>
        </w:rPr>
      </w:pPr>
      <w:bookmarkStart w:id="1328" w:name="_Toc183340289"/>
      <w:r w:rsidRPr="007C5A6E">
        <w:rPr>
          <w:bCs/>
          <w:szCs w:val="30"/>
        </w:rPr>
        <w:t>URBANISATION, PAUVRETÉ ET ENVIRONNEMENT</w:t>
      </w:r>
      <w:bookmarkEnd w:id="1328"/>
    </w:p>
    <w:p w14:paraId="74585A41" w14:textId="77777777" w:rsidR="00E17E61" w:rsidRPr="007C5A6E" w:rsidRDefault="00E17E61" w:rsidP="00540B43">
      <w:pPr>
        <w:spacing w:after="0" w:line="240" w:lineRule="auto"/>
        <w:rPr>
          <w:rFonts w:ascii="Times New Roman" w:hAnsi="Times New Roman"/>
          <w:sz w:val="24"/>
          <w:szCs w:val="24"/>
        </w:rPr>
      </w:pPr>
    </w:p>
    <w:p w14:paraId="2EA8AE72" w14:textId="77777777" w:rsidR="00530291" w:rsidRPr="007C5A6E" w:rsidRDefault="00530291" w:rsidP="00540B43">
      <w:pPr>
        <w:pStyle w:val="Paragraphedeliste"/>
        <w:numPr>
          <w:ilvl w:val="0"/>
          <w:numId w:val="4"/>
        </w:numPr>
        <w:spacing w:after="0" w:line="240" w:lineRule="auto"/>
        <w:outlineLvl w:val="1"/>
        <w:rPr>
          <w:rFonts w:ascii="Times New Roman" w:hAnsi="Times New Roman"/>
          <w:b/>
          <w:bCs/>
          <w:vanish/>
          <w:sz w:val="24"/>
          <w:szCs w:val="24"/>
        </w:rPr>
      </w:pPr>
      <w:bookmarkStart w:id="1329" w:name="_Toc183288048"/>
      <w:bookmarkStart w:id="1330" w:name="_Toc183291289"/>
      <w:bookmarkStart w:id="1331" w:name="_Toc183291693"/>
      <w:bookmarkStart w:id="1332" w:name="_Toc183292097"/>
      <w:bookmarkStart w:id="1333" w:name="_Toc183340290"/>
      <w:bookmarkStart w:id="1334" w:name="_Toc177649397"/>
      <w:bookmarkEnd w:id="1329"/>
      <w:bookmarkEnd w:id="1330"/>
      <w:bookmarkEnd w:id="1331"/>
      <w:bookmarkEnd w:id="1332"/>
      <w:bookmarkEnd w:id="1333"/>
    </w:p>
    <w:p w14:paraId="6240C189" w14:textId="77777777" w:rsidR="00606C71" w:rsidRPr="007C5A6E" w:rsidRDefault="00606C71" w:rsidP="00712C43">
      <w:pPr>
        <w:pStyle w:val="Titre2"/>
      </w:pPr>
      <w:bookmarkStart w:id="1335" w:name="_Toc183340291"/>
      <w:bookmarkEnd w:id="1334"/>
      <w:r w:rsidRPr="007C5A6E">
        <w:t>Urbanisation, pauvreté et environnement au Burkina Faso</w:t>
      </w:r>
      <w:bookmarkEnd w:id="1335"/>
    </w:p>
    <w:p w14:paraId="694DA139" w14:textId="77777777" w:rsidR="00606C71" w:rsidRPr="007C5A6E" w:rsidRDefault="00606C71" w:rsidP="00540B43">
      <w:pPr>
        <w:spacing w:after="0" w:line="240" w:lineRule="auto"/>
        <w:jc w:val="both"/>
        <w:rPr>
          <w:rFonts w:ascii="Times New Roman" w:eastAsiaTheme="minorHAnsi" w:hAnsi="Times New Roman"/>
          <w:kern w:val="2"/>
          <w:lang w:eastAsia="en-US"/>
          <w14:ligatures w14:val="standardContextual"/>
        </w:rPr>
      </w:pPr>
    </w:p>
    <w:p w14:paraId="622EFC98" w14:textId="77777777" w:rsidR="00606C71" w:rsidRPr="007C5A6E" w:rsidRDefault="00606C71" w:rsidP="00540B43">
      <w:pPr>
        <w:pStyle w:val="Titre3"/>
      </w:pPr>
      <w:bookmarkStart w:id="1336" w:name="_Toc183340292"/>
      <w:r w:rsidRPr="007C5A6E">
        <w:t>Contexte</w:t>
      </w:r>
      <w:bookmarkEnd w:id="1336"/>
      <w:r w:rsidRPr="007C5A6E">
        <w:t xml:space="preserve"> </w:t>
      </w:r>
    </w:p>
    <w:p w14:paraId="3F9D3AD8" w14:textId="77777777" w:rsidR="00606C71" w:rsidRPr="007C5A6E" w:rsidRDefault="00606C71" w:rsidP="00540B43">
      <w:pPr>
        <w:spacing w:after="0" w:line="240" w:lineRule="auto"/>
        <w:jc w:val="both"/>
        <w:rPr>
          <w:rFonts w:ascii="Times New Roman" w:eastAsiaTheme="minorHAnsi" w:hAnsi="Times New Roman"/>
          <w:kern w:val="2"/>
          <w:sz w:val="24"/>
          <w:szCs w:val="24"/>
          <w:lang w:eastAsia="en-US"/>
          <w14:ligatures w14:val="standardContextual"/>
        </w:rPr>
      </w:pPr>
    </w:p>
    <w:p w14:paraId="0DE75254" w14:textId="77777777" w:rsidR="00606C71" w:rsidRPr="007C5A6E" w:rsidRDefault="00606C71" w:rsidP="00540B43">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Au cours des vingt-cinq dernières années, la population urbaine s’est accrue rapidement dans les pays à revenu faible et intermédiaire </w:t>
      </w:r>
      <w:sdt>
        <w:sdtPr>
          <w:rPr>
            <w:rFonts w:ascii="Times New Roman" w:eastAsiaTheme="minorHAnsi" w:hAnsi="Times New Roman"/>
            <w:kern w:val="2"/>
            <w:sz w:val="24"/>
            <w:szCs w:val="24"/>
            <w:lang w:eastAsia="en-US"/>
            <w14:ligatures w14:val="standardContextual"/>
          </w:rPr>
          <w:id w:val="2033999964"/>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CITATION Pat07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(Salyer &amp; Bloom, 2007)</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Certains analystes perçoivent cette tendance comme un signe précurseur des problèmes nouveaux qu’entraîne la pauvreté, à l’instar de la prolifération des bidonvilles dans des villes surpeuplées. D'autres y voient un levier potentiel pour la réduction de la pauvreté, grâce à la transition des économies agricoles vers des secteurs plus rémunérateurs, tels que les emplois industriels et les services qui pourraient offrir de meilleures opportunités économiques </w:t>
      </w:r>
      <w:sdt>
        <w:sdtPr>
          <w:rPr>
            <w:rFonts w:ascii="Times New Roman" w:eastAsiaTheme="minorHAnsi" w:hAnsi="Times New Roman"/>
            <w:kern w:val="2"/>
            <w:sz w:val="24"/>
            <w:szCs w:val="24"/>
            <w:lang w:eastAsia="en-US"/>
            <w14:ligatures w14:val="standardContextual"/>
          </w:rPr>
          <w:id w:val="-508362652"/>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Mar07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(Ravallion, 2007)</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Pendant que la controverse sur ce phénomène complexe qu'est l'urbanisation, définie comme un processus de croissance de la population urbaine et d'extension des villes, se poursuit en modifiant profondément les paysages sociaux, économiques et environnementaux actuels </w:t>
      </w:r>
      <w:sdt>
        <w:sdtPr>
          <w:rPr>
            <w:rFonts w:ascii="Times New Roman" w:eastAsiaTheme="minorHAnsi" w:hAnsi="Times New Roman"/>
            <w:kern w:val="2"/>
            <w:sz w:val="24"/>
            <w:szCs w:val="24"/>
            <w:lang w:eastAsia="en-US"/>
            <w14:ligatures w14:val="standardContextual"/>
          </w:rPr>
          <w:id w:val="45806693"/>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Géo10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(Géoinfluences, 2010</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w:t>
          </w:r>
        </w:sdtContent>
      </w:sdt>
      <w:r w:rsidRPr="007C5A6E">
        <w:rPr>
          <w:rFonts w:ascii="Times New Roman" w:eastAsiaTheme="minorHAnsi" w:hAnsi="Times New Roman"/>
          <w:kern w:val="2"/>
          <w:sz w:val="24"/>
          <w:szCs w:val="24"/>
          <w:lang w:eastAsia="en-US"/>
          <w14:ligatures w14:val="standardContextual"/>
        </w:rPr>
        <w:t> </w:t>
      </w:r>
      <w:sdt>
        <w:sdtPr>
          <w:rPr>
            <w:rFonts w:ascii="Times New Roman" w:eastAsiaTheme="minorHAnsi" w:hAnsi="Times New Roman"/>
            <w:kern w:val="2"/>
            <w:sz w:val="24"/>
            <w:szCs w:val="24"/>
            <w:lang w:eastAsia="en-US"/>
            <w14:ligatures w14:val="standardContextual"/>
          </w:rPr>
          <w:id w:val="651186020"/>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Lar24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Larousse, 2024)</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w:t>
      </w:r>
    </w:p>
    <w:p w14:paraId="39B1C517"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7E4E1C88" w14:textId="28575703" w:rsidR="00606C71" w:rsidRPr="007C5A6E" w:rsidRDefault="00606C71" w:rsidP="00540B43">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En 1800, seuls 2% de la population mondiale vivait en zone urbaine. Il n’a fallu que 200 ans pour que la proportion de population urbaine passe de 2% à 50% de la population mondiale, soit une croissance de 48 points de pourcentage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PRB04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(PRB, 2004)</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A partir de 1950, cette croissance de la population urbaine mondiale s’est accélérée, passant de 751 millions à 4,2 milliards en 2018, soit une multiplication par 56 en seulement 68 ans. Aujourd’hui, plus de la moitié de la population mondiale vit en milieu urbain. D'ici 2050, il est prévu que 68% de la population mondiale soit urbaine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NU18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(NU, 2018)</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w:t>
      </w:r>
    </w:p>
    <w:p w14:paraId="15A97A34" w14:textId="33D44E85" w:rsidR="00606C71" w:rsidRPr="007C5A6E" w:rsidRDefault="00606C71" w:rsidP="00540B43">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Depuis 1990, la population urbaine de l’Afrique a triplé. Le nombre de villes y a doublé, passant de 3 300 à 7 600, soit une multiplication par plus de 2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CITATION OCD02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(OCDE/NU, 2022)</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Même si c’est le continent le moins urbanisé, le taux d'urbanisation est parmi les plus rapides au monde. En Afrique subsaharienne, la population urbaine a presque triplé depuis 1990. Entre 2013 et 2023, le taux d’urbanisation dans cette région est passé de 37,6% à 42,9%, soit un accroissement de 5,3 points de pourcentage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Sta24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(Statista, 2024)</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Entre 2000 et 2050, la population urbaine de la région pourrait se multiplier par 6 passant de 203 millions à 1,2 milliard d’habitants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NU18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(NU, 2018)</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w:t>
      </w:r>
    </w:p>
    <w:p w14:paraId="21C1ECD7" w14:textId="01557DE6" w:rsidR="00606C71" w:rsidRPr="007C5A6E" w:rsidRDefault="00606C71" w:rsidP="00540B43">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Motivée par la recherche de meilleures opportunités économiques et un accès amélioré aux services de base, cette urbanisation ne s'accompagne pas toujours d'une croissance économique proportionnelle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UNE17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(UNECA, 2017</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CITATION Ban231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Banque Mondiale, 2023)</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En effet, contrairement à d'autres régions, les villes africaines, y compris celles du Burkina Faso, sont souvent confrontées à d’importants défis de développement urbain tels que la pauvreté urbaine caractérisée par les faibles revenus, les inégalités socio-économiques, l'insuffisance des infrastructures, la gestion inadéquate des déchets solides, </w:t>
      </w:r>
      <w:proofErr w:type="gramStart"/>
      <w:r w:rsidRPr="007C5A6E">
        <w:rPr>
          <w:rFonts w:ascii="Times New Roman" w:eastAsiaTheme="minorHAnsi" w:hAnsi="Times New Roman"/>
          <w:kern w:val="2"/>
          <w:sz w:val="24"/>
          <w:szCs w:val="24"/>
          <w:lang w:eastAsia="en-US"/>
          <w14:ligatures w14:val="standardContextual"/>
        </w:rPr>
        <w:t>etc..</w:t>
      </w:r>
      <w:proofErr w:type="gramEnd"/>
      <w:r w:rsidRPr="007C5A6E">
        <w:rPr>
          <w:rFonts w:ascii="Times New Roman" w:eastAsiaTheme="minorHAnsi" w:hAnsi="Times New Roman"/>
          <w:kern w:val="2"/>
          <w:sz w:val="24"/>
          <w:szCs w:val="24"/>
          <w:lang w:eastAsia="en-US"/>
          <w14:ligatures w14:val="standardContextual"/>
        </w:rPr>
        <w:t xml:space="preserve"> En Afrique, environ 62% de la population urbaine vit dans des zones non conformes aux normes minimales relatives aux services essentiels, notamment en matière d’énergie, d’eau et d’assainissement, et sont touchés par une vulnérabilité accrue face aux risques environnementaux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CITATION ABa22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ONU03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ONU-Habitat, 2003</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 Bajpai, Stratton-Short, &amp; Adelekan, 2022 ;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CITATION Ban231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Banque Mondiale, 2023</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En Afrique subsaharienne, la proportion des habitants des bidonvilles est de 72%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ONU10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(ONU-Habitat, 2010)</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w:t>
      </w:r>
    </w:p>
    <w:p w14:paraId="27A7C6AE" w14:textId="473D5352" w:rsidR="00606C71" w:rsidRPr="007C5A6E" w:rsidRDefault="00606C71" w:rsidP="00540B43">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 Burkina Faso qui n’échappe pas à cette dynamique connaît une croissance rapide de sa population urbaine, un phénomène enraciné dans le passé et qui, selon les données actuelles, continuera probablement à s'intensifier au cours des 30 prochaines années. Selon l'Institut National de la Statistique et de la Démographie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CITATION INS222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(INSD-RGPH, 2022)</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le taux d'urbanisation atteint en 2019, 26,1% soit une population urbaine de 5 360 112, contre 22,7% en 2006. Cette croissance soutenue s'inscrit dans une tendance observée depuis le premier recensement général de la population et de l'habitation (RGPH) de 1975, où seulement 6,4% de la population était urbaine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ONU23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(ONU-Habitat, 2023)</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Ce chiffre est passé à 12,7% en 1985, puis à 15,5% en 1996. En l'espace de 50 ans, le taux d'urbanisation au Burkina Faso a ainsi été multiplié par quatre. Cette urbanisation est donc un phénomène ancien, présent et qui va perdurer pendant encore les 30 prochaines années. </w:t>
      </w:r>
    </w:p>
    <w:p w14:paraId="6A7DBB21" w14:textId="23117EBB" w:rsidR="00606C71" w:rsidRPr="007C5A6E" w:rsidRDefault="00606C71" w:rsidP="00540B43">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Dans le contexte actuel, cette croissance urbaine rapide pose des défis majeurs caractérisés par une dégradation de l'environnement urbain, incluant la pollution de l'air et de l'eau, la mauvaise gestion des déchets solides et la perte d'espaces verts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Swi18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(SAG, 2019)</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Dans les villes comme Ouagadougou et Bobo Dioulasso, ces problèmes sont exacerbés par la pauvreté urbaine qui limite la capacité des ménages à accéder à des services essentiels et à adopter des pratiques respectueuses de l'environnement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SPC161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(SPCNDD, 2016)</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En outre, les inégalités économiques et sociales sont accentuées par l'urbanisation, avec une concentration de la richesse et des services dans les centres urbains, tandis que les populations pauvres sont reléguées dans des zones informelles et mal desservies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Swi18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(SAG, 2019</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OCD02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OCDE/NU, 2022</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Ban231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Banque Mondiale, 2023)</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L'analyse de l'urbanisation, de la pauvreté et de l'environnement au Burkina Faso révèle donc des dynamiques complexes et interdépendantes. Aujourd’hui, alors que l'urbanisation se poursuit, il est crucial de développer des stratégies qui favorisent un développement urbain inclusif et durable. </w:t>
      </w:r>
    </w:p>
    <w:p w14:paraId="7480CA7C" w14:textId="38A0B889" w:rsidR="00606C71" w:rsidRPr="007C5A6E" w:rsidRDefault="00606C71" w:rsidP="00540B43">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Dans le cadre d’un REEB, c’est donc une problématique essentielle à aborder pour plusieurs raisons. Tout d'abord, comprendre le processus de croissance urbaine et ses implications en termes de pression sur les ressources naturelles et les infrastructures urbaines, telles que l'eau, l'assainissement, l'énergie et les espaces verts, est fondamental pour planifier un développement urbain durable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UNE17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(UNECA, 2017</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ABa22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Bajpai, Stratton-Short, &amp; Adelekan, 2022)</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Cette analyse permet de mettre en lumière les impacts environnementaux de l'urbanisation, sensibilisant ainsi les décideurs à la nécessité de pratiques de gestion urbaine respectueuses de l'environnement. Ensuite, l'étude de ces dynamiques contribue à orienter les efforts des autorités vers l'élaboration de cadres légaux plus robustes et de politiques plus inclusives. Ces mesures sont essentielles pour protéger les populations les plus vulnérables, tout en promouvant la résilience urbaine face aux défis croissants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Ban231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 xml:space="preserve"> (Banque Mondiale, 2023)</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w:t>
      </w:r>
    </w:p>
    <w:p w14:paraId="0BE4EDA9" w14:textId="0D0255DB" w:rsidR="00606C71" w:rsidRPr="007C5A6E" w:rsidRDefault="00606C71" w:rsidP="00540B43">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Le Burkina Faso, particulièrement vulnérable aux effets des changements climatiques tels que la sécheresse, les vagues de chaleur et les inondations, nécessite une attention particulière pour développer des stratégies d'adaptation et d'atténuation adaptées à son contexte</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SPC23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 xml:space="preserve"> (SPCNDD, 2023)</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CITATION Rai21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(Sorgho, Maxilliam, Souares, Danquah, &amp; Rainer, 2021)</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Enfin, suivre donc l'évolution de l'urbanisation, de la pauvreté et de l'environnement est crucial pour identifier les tendances émergentes et ajuster les interventions en conséquence. Cette étude peut ainsi servir d'outil de référence pour mesurer les progrès réalisés et anticiper les défis futurs, assurant une réponse efficace aux besoins changeants des zones urbaines.</w:t>
      </w:r>
    </w:p>
    <w:p w14:paraId="687E348C" w14:textId="64421A52" w:rsidR="00606C71"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Ce chapitre</w:t>
      </w:r>
      <w:r w:rsidR="00606C71" w:rsidRPr="007C5A6E">
        <w:rPr>
          <w:rFonts w:ascii="Times New Roman" w:eastAsiaTheme="minorHAnsi" w:hAnsi="Times New Roman"/>
          <w:kern w:val="2"/>
          <w:sz w:val="24"/>
          <w:szCs w:val="24"/>
          <w:lang w:eastAsia="en-US"/>
          <w14:ligatures w14:val="standardContextual"/>
        </w:rPr>
        <w:t>, qui explore les relations complexes entre urbanisation et pauvreté dans une perspective d'inclusion et de durabilité, se divise en sept sections. Cette première section (7.1) établit le contexte et présente l'approche conceptuelle adoptée. La deuxième section (7.2) analyse les forces motrices de l'urbanisation et de la pauvreté. La troisième section (7.3) dresse un état des lieux des tendances actuelles, tandis que la quatrième (7.4) examine leurs impacts. La cinquième section (7.5) évalue les politiques publiques et les stratégies mises en œuvre. La sixième (7.6) identifie les défis majeurs.</w:t>
      </w:r>
    </w:p>
    <w:p w14:paraId="4CB2DBFD" w14:textId="77777777" w:rsidR="00606C71" w:rsidRPr="007C5A6E" w:rsidRDefault="00606C71" w:rsidP="00540B43">
      <w:pPr>
        <w:spacing w:after="0" w:line="240" w:lineRule="auto"/>
        <w:jc w:val="both"/>
        <w:rPr>
          <w:rFonts w:ascii="Times New Roman" w:eastAsiaTheme="minorHAnsi" w:hAnsi="Times New Roman"/>
          <w:kern w:val="2"/>
          <w:sz w:val="24"/>
          <w:szCs w:val="24"/>
          <w:lang w:eastAsia="en-US"/>
          <w14:ligatures w14:val="standardContextual"/>
        </w:rPr>
      </w:pPr>
    </w:p>
    <w:p w14:paraId="04AE5FCA" w14:textId="77777777" w:rsidR="00606C71" w:rsidRPr="007C5A6E" w:rsidRDefault="00606C71" w:rsidP="00540B43">
      <w:pPr>
        <w:pStyle w:val="Titre3"/>
      </w:pPr>
      <w:bookmarkStart w:id="1337" w:name="_Toc176973774"/>
      <w:bookmarkStart w:id="1338" w:name="_Toc177649398"/>
      <w:bookmarkStart w:id="1339" w:name="_Toc176443976"/>
      <w:bookmarkStart w:id="1340" w:name="_Toc179043954"/>
      <w:bookmarkStart w:id="1341" w:name="_Toc183340293"/>
      <w:r w:rsidRPr="007C5A6E">
        <w:t xml:space="preserve">Approche </w:t>
      </w:r>
      <w:bookmarkEnd w:id="1337"/>
      <w:bookmarkEnd w:id="1338"/>
      <w:bookmarkEnd w:id="1339"/>
      <w:bookmarkEnd w:id="1340"/>
      <w:r w:rsidRPr="007C5A6E">
        <w:t>conceptuelle </w:t>
      </w:r>
      <w:bookmarkStart w:id="1342" w:name="_Toc176443977"/>
      <w:bookmarkStart w:id="1343" w:name="_Toc176973775"/>
      <w:bookmarkStart w:id="1344" w:name="_Toc177649399"/>
      <w:bookmarkStart w:id="1345" w:name="_Toc179043955"/>
      <w:r w:rsidRPr="007C5A6E">
        <w:t>PEIR : définition et pertinence</w:t>
      </w:r>
      <w:bookmarkEnd w:id="1341"/>
      <w:bookmarkEnd w:id="1342"/>
      <w:bookmarkEnd w:id="1343"/>
      <w:bookmarkEnd w:id="1344"/>
      <w:bookmarkEnd w:id="1345"/>
      <w:r w:rsidRPr="007C5A6E">
        <w:t xml:space="preserve"> </w:t>
      </w:r>
    </w:p>
    <w:p w14:paraId="309D8AEC" w14:textId="77777777" w:rsidR="00606C71" w:rsidRPr="007C5A6E" w:rsidRDefault="00606C71" w:rsidP="00540B43">
      <w:pPr>
        <w:spacing w:after="0" w:line="240" w:lineRule="auto"/>
        <w:jc w:val="both"/>
        <w:rPr>
          <w:rFonts w:ascii="Times New Roman" w:eastAsiaTheme="minorHAnsi" w:hAnsi="Times New Roman"/>
          <w:kern w:val="2"/>
          <w:lang w:eastAsia="en-US"/>
          <w14:ligatures w14:val="standardContextual"/>
        </w:rPr>
      </w:pPr>
    </w:p>
    <w:p w14:paraId="26E73E9A" w14:textId="1FFA45E7" w:rsidR="00606C71" w:rsidRPr="007C5A6E" w:rsidRDefault="00606C71" w:rsidP="00540B43">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L’étude a fondé </w:t>
      </w:r>
      <w:proofErr w:type="gramStart"/>
      <w:r w:rsidRPr="007C5A6E">
        <w:rPr>
          <w:rFonts w:ascii="Times New Roman" w:eastAsiaTheme="minorHAnsi" w:hAnsi="Times New Roman"/>
          <w:kern w:val="2"/>
          <w:sz w:val="24"/>
          <w:szCs w:val="24"/>
          <w:lang w:eastAsia="en-US"/>
          <w14:ligatures w14:val="standardContextual"/>
        </w:rPr>
        <w:t>ses analyse</w:t>
      </w:r>
      <w:proofErr w:type="gramEnd"/>
      <w:r w:rsidRPr="007C5A6E">
        <w:rPr>
          <w:rFonts w:ascii="Times New Roman" w:eastAsiaTheme="minorHAnsi" w:hAnsi="Times New Roman"/>
          <w:kern w:val="2"/>
          <w:sz w:val="24"/>
          <w:szCs w:val="24"/>
          <w:lang w:eastAsia="en-US"/>
          <w14:ligatures w14:val="standardContextual"/>
        </w:rPr>
        <w:t xml:space="preserve"> sur l'approche PEIR (Pression-État-Impact-Réponse). En tant que concept, le "PEIR</w:t>
      </w:r>
      <w:proofErr w:type="gramStart"/>
      <w:r w:rsidRPr="007C5A6E">
        <w:rPr>
          <w:rFonts w:ascii="Times New Roman" w:eastAsiaTheme="minorHAnsi" w:hAnsi="Times New Roman"/>
          <w:kern w:val="2"/>
          <w:sz w:val="24"/>
          <w:szCs w:val="24"/>
          <w:lang w:eastAsia="en-US"/>
          <w14:ligatures w14:val="standardContextual"/>
        </w:rPr>
        <w:t>"  est</w:t>
      </w:r>
      <w:proofErr w:type="gramEnd"/>
      <w:r w:rsidRPr="007C5A6E">
        <w:rPr>
          <w:rFonts w:ascii="Times New Roman" w:eastAsiaTheme="minorHAnsi" w:hAnsi="Times New Roman"/>
          <w:kern w:val="2"/>
          <w:sz w:val="24"/>
          <w:szCs w:val="24"/>
          <w:lang w:eastAsia="en-US"/>
          <w14:ligatures w14:val="standardContextual"/>
        </w:rPr>
        <w:t xml:space="preserve"> un cadre analytique conceptuel développé par Anthony </w:t>
      </w:r>
      <w:proofErr w:type="spellStart"/>
      <w:r w:rsidRPr="007C5A6E">
        <w:rPr>
          <w:rFonts w:ascii="Times New Roman" w:eastAsiaTheme="minorHAnsi" w:hAnsi="Times New Roman"/>
          <w:kern w:val="2"/>
          <w:sz w:val="24"/>
          <w:szCs w:val="24"/>
          <w:lang w:eastAsia="en-US"/>
          <w14:ligatures w14:val="standardContextual"/>
        </w:rPr>
        <w:t>Friend</w:t>
      </w:r>
      <w:proofErr w:type="spellEnd"/>
      <w:r w:rsidRPr="007C5A6E">
        <w:rPr>
          <w:rFonts w:ascii="Times New Roman" w:eastAsiaTheme="minorHAnsi" w:hAnsi="Times New Roman"/>
          <w:kern w:val="2"/>
          <w:sz w:val="24"/>
          <w:szCs w:val="24"/>
          <w:lang w:eastAsia="en-US"/>
          <w14:ligatures w14:val="standardContextual"/>
        </w:rPr>
        <w:t xml:space="preserve"> dans les années 1970, adopté par l'OCDE (1998) pour la gestion de l'environnement et par </w:t>
      </w:r>
      <w:proofErr w:type="spellStart"/>
      <w:r w:rsidRPr="007C5A6E">
        <w:rPr>
          <w:rFonts w:ascii="Times New Roman" w:eastAsiaTheme="minorHAnsi" w:hAnsi="Times New Roman"/>
          <w:kern w:val="2"/>
          <w:sz w:val="24"/>
          <w:szCs w:val="24"/>
          <w:lang w:eastAsia="en-US"/>
          <w14:ligatures w14:val="standardContextual"/>
        </w:rPr>
        <w:t>Hukkinen</w:t>
      </w:r>
      <w:proofErr w:type="spellEnd"/>
      <w:r w:rsidRPr="007C5A6E">
        <w:rPr>
          <w:rFonts w:ascii="Times New Roman" w:eastAsiaTheme="minorHAnsi" w:hAnsi="Times New Roman"/>
          <w:kern w:val="2"/>
          <w:sz w:val="24"/>
          <w:szCs w:val="24"/>
          <w:lang w:eastAsia="en-US"/>
          <w14:ligatures w14:val="standardContextual"/>
        </w:rPr>
        <w:t xml:space="preserve"> pour évaluer les interactions entre les activités humaines et l'environnement entre 2007 et 2008</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Sus10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 xml:space="preserve"> (Susi-Wolff, 2010)</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Dans la pratique, ce modèle conceptuel permet d’étudier comment les actions de l’homme créent des pressions sur l'environnement, comment ces pressions modifient l'état de l'environnement, quels impacts en résultent sur les écosystèmes et les populations, et quelles réponses peuvent être adoptées pour atténuer ces impacts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OEC93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(OECD, 1993</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Lea22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Learning for Sustainability, 2022</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Ale22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Alen, 2022)</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w:t>
      </w:r>
    </w:p>
    <w:p w14:paraId="10595CA2" w14:textId="529321D7" w:rsidR="00606C71" w:rsidRPr="007C5A6E" w:rsidRDefault="00606C71" w:rsidP="00540B43">
      <w:pPr>
        <w:numPr>
          <w:ilvl w:val="0"/>
          <w:numId w:val="49"/>
        </w:numPr>
        <w:spacing w:after="0" w:line="240" w:lineRule="auto"/>
        <w:ind w:left="357" w:hanging="357"/>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b/>
          <w:bCs/>
          <w:kern w:val="2"/>
          <w:sz w:val="24"/>
          <w:szCs w:val="24"/>
          <w:lang w:eastAsia="en-US"/>
          <w14:ligatures w14:val="standardContextual"/>
        </w:rPr>
        <w:t>Pression</w:t>
      </w:r>
      <w:r w:rsidRPr="007C5A6E">
        <w:rPr>
          <w:rFonts w:ascii="Times New Roman" w:eastAsiaTheme="minorHAnsi" w:hAnsi="Times New Roman"/>
          <w:kern w:val="2"/>
          <w:sz w:val="24"/>
          <w:szCs w:val="24"/>
          <w:lang w:eastAsia="en-US"/>
          <w14:ligatures w14:val="standardContextual"/>
        </w:rPr>
        <w:t xml:space="preserve"> : Les pressions représentent les forces exercées par les activités humaines, portées dans cette étude par la croissance de la population et de l’expansion urbaine, sur l'environnement. Dans le contexte de l'urbanisation, les pressions incluent par exemple l'augmentation de la consommation de ressources naturelles et la construction d'infrastructures qui fragmentent les habitats naturels. Ces pressions sont exacerbées par une gestion inadéquate des déchets et des eaux usées dans les zones urbaines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ONU03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(ONU-Habitat, 2003</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SPC161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SPCNDD, 2016)</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w:t>
      </w:r>
    </w:p>
    <w:p w14:paraId="4F437FA7" w14:textId="776D994B" w:rsidR="00606C71" w:rsidRPr="007C5A6E" w:rsidRDefault="00606C71" w:rsidP="00540B43">
      <w:pPr>
        <w:numPr>
          <w:ilvl w:val="0"/>
          <w:numId w:val="49"/>
        </w:numPr>
        <w:spacing w:after="0" w:line="240" w:lineRule="auto"/>
        <w:ind w:left="357" w:hanging="357"/>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b/>
          <w:bCs/>
          <w:kern w:val="2"/>
          <w:sz w:val="24"/>
          <w:szCs w:val="24"/>
          <w:lang w:eastAsia="en-US"/>
          <w14:ligatures w14:val="standardContextual"/>
        </w:rPr>
        <w:t>État</w:t>
      </w:r>
      <w:r w:rsidRPr="007C5A6E">
        <w:rPr>
          <w:rFonts w:ascii="Times New Roman" w:eastAsiaTheme="minorHAnsi" w:hAnsi="Times New Roman"/>
          <w:kern w:val="2"/>
          <w:sz w:val="24"/>
          <w:szCs w:val="24"/>
          <w:lang w:eastAsia="en-US"/>
          <w14:ligatures w14:val="standardContextual"/>
        </w:rPr>
        <w:t xml:space="preserve"> : L'état se réfère aux caractéristiques actuelles de l'environnement suite aux pressions exercées. Cela comprend la dégradation de la qualité de l'air et de l'eau, la diminution de la biodiversité, la contamination des sols, et l'épuisement des ressources naturelles. Par exemple, au Burkina Faso, la rapide expansion urbaine a conduit à un "état de mauvaise qualité de l'air" en raison de la hausse des émissions de véhicules de mauvaise qualité et des industries de technologies obsolètes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ONU15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 xml:space="preserve"> (ONUDI, 2015)</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w:t>
      </w:r>
    </w:p>
    <w:p w14:paraId="6B850A79" w14:textId="388EA961" w:rsidR="00606C71" w:rsidRPr="007C5A6E" w:rsidRDefault="00606C71" w:rsidP="00540B43">
      <w:pPr>
        <w:numPr>
          <w:ilvl w:val="0"/>
          <w:numId w:val="49"/>
        </w:numPr>
        <w:spacing w:after="0" w:line="240" w:lineRule="auto"/>
        <w:ind w:left="357" w:hanging="357"/>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b/>
          <w:bCs/>
          <w:kern w:val="2"/>
          <w:sz w:val="24"/>
          <w:szCs w:val="24"/>
          <w:lang w:eastAsia="en-US"/>
          <w14:ligatures w14:val="standardContextual"/>
        </w:rPr>
        <w:t>Impact</w:t>
      </w:r>
      <w:r w:rsidRPr="007C5A6E">
        <w:rPr>
          <w:rFonts w:ascii="Times New Roman" w:eastAsiaTheme="minorHAnsi" w:hAnsi="Times New Roman"/>
          <w:kern w:val="2"/>
          <w:sz w:val="24"/>
          <w:szCs w:val="24"/>
          <w:lang w:eastAsia="en-US"/>
          <w14:ligatures w14:val="standardContextual"/>
        </w:rPr>
        <w:t> : Les impacts sont les effets des changements induits par les dynamiques forces motrices. Les impacts environnementaux négatifs peuvent inclure une augmentation des maladies respiratoires dues à la pollution de l'air, une baisse de l’accès ou de la disponibilité en eau potable, une vulnérabilité accrue aux catastrophes naturelles comme les inondations et les sécheresses, etc. Les populations urbaines pauvres sont souvent les plus touchées par ces impacts, aggravant ainsi les inégalités sociales et économiques.</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Ban231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 xml:space="preserve"> (Banque Mondiale, 2023)</w:t>
      </w:r>
      <w:r w:rsidRPr="007C5A6E">
        <w:rPr>
          <w:rFonts w:ascii="Times New Roman" w:eastAsiaTheme="minorHAnsi" w:hAnsi="Times New Roman"/>
          <w:kern w:val="2"/>
          <w:sz w:val="24"/>
          <w:szCs w:val="24"/>
          <w:lang w:eastAsia="en-US"/>
          <w14:ligatures w14:val="standardContextual"/>
        </w:rPr>
        <w:fldChar w:fldCharType="end"/>
      </w:r>
    </w:p>
    <w:p w14:paraId="69EFB7DE" w14:textId="501FB461" w:rsidR="00606C71" w:rsidRPr="007C5A6E" w:rsidRDefault="00606C71" w:rsidP="00540B43">
      <w:pPr>
        <w:numPr>
          <w:ilvl w:val="0"/>
          <w:numId w:val="49"/>
        </w:numPr>
        <w:spacing w:after="0" w:line="240" w:lineRule="auto"/>
        <w:ind w:left="357" w:hanging="357"/>
        <w:jc w:val="both"/>
        <w:rPr>
          <w:rFonts w:ascii="Times New Roman" w:eastAsiaTheme="minorHAnsi" w:hAnsi="Times New Roman"/>
          <w:b/>
          <w:bCs/>
          <w:kern w:val="2"/>
          <w:sz w:val="24"/>
          <w:szCs w:val="24"/>
          <w:lang w:eastAsia="en-US"/>
          <w14:ligatures w14:val="standardContextual"/>
        </w:rPr>
      </w:pPr>
      <w:r w:rsidRPr="007C5A6E">
        <w:rPr>
          <w:rFonts w:ascii="Times New Roman" w:eastAsiaTheme="minorHAnsi" w:hAnsi="Times New Roman"/>
          <w:b/>
          <w:bCs/>
          <w:kern w:val="2"/>
          <w:sz w:val="24"/>
          <w:szCs w:val="24"/>
          <w:lang w:eastAsia="en-US"/>
          <w14:ligatures w14:val="standardContextual"/>
        </w:rPr>
        <w:t xml:space="preserve">Réponse : </w:t>
      </w:r>
      <w:r w:rsidRPr="007C5A6E">
        <w:rPr>
          <w:rFonts w:ascii="Times New Roman" w:eastAsiaTheme="minorHAnsi" w:hAnsi="Times New Roman"/>
          <w:kern w:val="2"/>
          <w:sz w:val="24"/>
          <w:szCs w:val="24"/>
          <w:lang w:eastAsia="en-US"/>
          <w14:ligatures w14:val="standardContextual"/>
        </w:rPr>
        <w:t xml:space="preserve">Les réponses englobent les actions et politiques mises en œuvre par les gouvernements, les organisations non gouvernementales, et les communautés pour gérer ou atténuer les impacts environnementaux. Cela peut inclure la création de zones protégées, le développement de politiques de gestion des ressources naturelles, et la promotion de pratiques de construction durable et d'efficacité énergétique, etc. Au Burkina Faso, des initiatives telles que le Plan National d'Adaptation aux Changements Climatiques (PNA) </w:t>
      </w:r>
      <w:proofErr w:type="gramStart"/>
      <w:r w:rsidRPr="007C5A6E">
        <w:rPr>
          <w:rFonts w:ascii="Times New Roman" w:eastAsiaTheme="minorHAnsi" w:hAnsi="Times New Roman"/>
          <w:kern w:val="2"/>
          <w:sz w:val="24"/>
          <w:szCs w:val="24"/>
          <w:lang w:eastAsia="en-US"/>
          <w14:ligatures w14:val="standardContextual"/>
        </w:rPr>
        <w:t>visent</w:t>
      </w:r>
      <w:proofErr w:type="gramEnd"/>
      <w:r w:rsidRPr="007C5A6E">
        <w:rPr>
          <w:rFonts w:ascii="Times New Roman" w:eastAsiaTheme="minorHAnsi" w:hAnsi="Times New Roman"/>
          <w:kern w:val="2"/>
          <w:sz w:val="24"/>
          <w:szCs w:val="24"/>
          <w:lang w:eastAsia="en-US"/>
          <w14:ligatures w14:val="standardContextual"/>
        </w:rPr>
        <w:t xml:space="preserve"> à renforcer la résilience urbaine face aux impacts du changement climatique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MER15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(MERH, 2015)</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w:t>
      </w:r>
    </w:p>
    <w:p w14:paraId="2C6DBFDA" w14:textId="6E8541E9" w:rsidR="00606C71" w:rsidRPr="007C5A6E" w:rsidRDefault="00606C71" w:rsidP="00540B43">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Dans cette thématique, l’approche PEIR permet de mieux structurer l’analyse des liens entre l'urbanisation, la pauvreté et l'environnement, et d'identifier des solutions intégrées pour promouvoir un développement urbain durable et inclusif. Avec cette approche, il devient possible de développer de manière cohérente des stratégies plus ciblées et efficaces pour réduire la pauvreté urbaine tout en minimisant les impacts environnementaux négatifs, favorisant ainsi une meilleure qualité de vie pour tous les citoyens. Schématiquement, le cadre conceptuel PEIR se présente comme suit</w:t>
      </w:r>
      <w:r w:rsidR="005F025D" w:rsidRPr="007C5A6E">
        <w:rPr>
          <w:rFonts w:ascii="Times New Roman" w:eastAsiaTheme="minorHAnsi" w:hAnsi="Times New Roman"/>
          <w:kern w:val="2"/>
          <w:sz w:val="24"/>
          <w:szCs w:val="24"/>
          <w:lang w:eastAsia="en-US"/>
          <w14:ligatures w14:val="standardContextual"/>
        </w:rPr>
        <w:t xml:space="preserve"> (cf. figure </w:t>
      </w:r>
      <w:r w:rsidR="00205661" w:rsidRPr="007C5A6E">
        <w:rPr>
          <w:rFonts w:ascii="Times New Roman" w:eastAsiaTheme="minorHAnsi" w:hAnsi="Times New Roman"/>
          <w:kern w:val="2"/>
          <w:sz w:val="24"/>
          <w:szCs w:val="24"/>
          <w:lang w:eastAsia="en-US"/>
          <w14:ligatures w14:val="standardContextual"/>
        </w:rPr>
        <w:t>8</w:t>
      </w:r>
      <w:r w:rsidR="00540B43" w:rsidRPr="007C5A6E">
        <w:rPr>
          <w:rFonts w:ascii="Times New Roman" w:eastAsiaTheme="minorHAnsi" w:hAnsi="Times New Roman"/>
          <w:kern w:val="2"/>
          <w:sz w:val="24"/>
          <w:szCs w:val="24"/>
          <w:lang w:eastAsia="en-US"/>
          <w14:ligatures w14:val="standardContextual"/>
        </w:rPr>
        <w:t>5</w:t>
      </w:r>
      <w:r w:rsidR="005F025D" w:rsidRPr="007C5A6E">
        <w:rPr>
          <w:rFonts w:ascii="Times New Roman" w:eastAsiaTheme="minorHAnsi" w:hAnsi="Times New Roman"/>
          <w:kern w:val="2"/>
          <w:sz w:val="24"/>
          <w:szCs w:val="24"/>
          <w:lang w:eastAsia="en-US"/>
          <w14:ligatures w14:val="standardContextual"/>
        </w:rPr>
        <w:t>)</w:t>
      </w:r>
      <w:r w:rsidRPr="007C5A6E">
        <w:rPr>
          <w:rFonts w:ascii="Times New Roman" w:eastAsiaTheme="minorHAnsi" w:hAnsi="Times New Roman"/>
          <w:kern w:val="2"/>
          <w:sz w:val="24"/>
          <w:szCs w:val="24"/>
          <w:lang w:eastAsia="en-US"/>
          <w14:ligatures w14:val="standardContextual"/>
        </w:rPr>
        <w:t>.</w:t>
      </w:r>
    </w:p>
    <w:p w14:paraId="0965DFDF" w14:textId="77777777" w:rsidR="00606C71" w:rsidRPr="007C5A6E" w:rsidRDefault="00606C71" w:rsidP="00540B43">
      <w:pPr>
        <w:spacing w:after="0" w:line="240" w:lineRule="auto"/>
        <w:jc w:val="both"/>
        <w:rPr>
          <w:rFonts w:ascii="Times New Roman" w:eastAsiaTheme="minorHAnsi" w:hAnsi="Times New Roman"/>
          <w:kern w:val="2"/>
          <w:lang w:eastAsia="en-US"/>
          <w14:ligatures w14:val="standardContextual"/>
        </w:rPr>
      </w:pPr>
      <w:r w:rsidRPr="007C5A6E">
        <w:rPr>
          <w:rFonts w:ascii="Times New Roman" w:eastAsiaTheme="minorHAnsi" w:hAnsi="Times New Roman"/>
          <w:noProof/>
          <w:kern w:val="2"/>
          <w14:ligatures w14:val="standardContextual"/>
        </w:rPr>
        <mc:AlternateContent>
          <mc:Choice Requires="wpc">
            <w:drawing>
              <wp:inline distT="0" distB="0" distL="0" distR="0" wp14:anchorId="722CA696" wp14:editId="35FFC6F9">
                <wp:extent cx="5767705" cy="3498850"/>
                <wp:effectExtent l="0" t="0" r="23495" b="25400"/>
                <wp:docPr id="1430758202" name="Zone de dessin 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a:solidFill>
                            <a:schemeClr val="bg1">
                              <a:lumMod val="65000"/>
                            </a:schemeClr>
                          </a:solidFill>
                        </a:ln>
                      </wpc:whole>
                      <wps:wsp>
                        <wps:cNvPr id="1064872950" name="Zone de texte 1064872950"/>
                        <wps:cNvSpPr txBox="1"/>
                        <wps:spPr>
                          <a:xfrm>
                            <a:off x="82340" y="73607"/>
                            <a:ext cx="1565485" cy="859678"/>
                          </a:xfrm>
                          <a:prstGeom prst="rect">
                            <a:avLst/>
                          </a:prstGeom>
                          <a:solidFill>
                            <a:sysClr val="window" lastClr="FFFFFF"/>
                          </a:solidFill>
                          <a:ln w="6350">
                            <a:solidFill>
                              <a:prstClr val="black"/>
                            </a:solidFill>
                          </a:ln>
                        </wps:spPr>
                        <wps:txbx>
                          <w:txbxContent>
                            <w:p w14:paraId="17928CE5" w14:textId="77777777" w:rsidR="00606C71" w:rsidRPr="005A1FAD" w:rsidRDefault="00606C71" w:rsidP="00606C71">
                              <w:pPr>
                                <w:spacing w:after="0"/>
                                <w:rPr>
                                  <w:rFonts w:ascii="Arial Narrow" w:hAnsi="Arial Narrow"/>
                                  <w:b/>
                                  <w:bCs/>
                                  <w:sz w:val="20"/>
                                  <w:szCs w:val="20"/>
                                </w:rPr>
                              </w:pPr>
                              <w:r w:rsidRPr="005A1FAD">
                                <w:rPr>
                                  <w:rFonts w:ascii="Arial Narrow" w:hAnsi="Arial Narrow"/>
                                  <w:b/>
                                  <w:bCs/>
                                  <w:sz w:val="20"/>
                                  <w:szCs w:val="20"/>
                                </w:rPr>
                                <w:t>Forces motrices</w:t>
                              </w:r>
                            </w:p>
                            <w:p w14:paraId="6C33F87E" w14:textId="77777777" w:rsidR="00606C71" w:rsidRPr="005A1FAD" w:rsidRDefault="00606C71" w:rsidP="00606C71">
                              <w:pPr>
                                <w:pStyle w:val="Paragraphedeliste"/>
                                <w:numPr>
                                  <w:ilvl w:val="0"/>
                                  <w:numId w:val="50"/>
                                </w:numPr>
                                <w:spacing w:after="0" w:line="240" w:lineRule="auto"/>
                                <w:ind w:left="284" w:hanging="142"/>
                                <w:rPr>
                                  <w:rFonts w:ascii="Arial Narrow" w:hAnsi="Arial Narrow"/>
                                  <w:b/>
                                  <w:bCs/>
                                  <w:sz w:val="20"/>
                                  <w:szCs w:val="20"/>
                                </w:rPr>
                              </w:pPr>
                              <w:r w:rsidRPr="005A1FAD">
                                <w:rPr>
                                  <w:rFonts w:ascii="Arial Narrow" w:eastAsia="Aptos" w:hAnsi="Arial Narrow"/>
                                  <w:sz w:val="20"/>
                                  <w:szCs w:val="20"/>
                                </w:rPr>
                                <w:t>Croissance démographique</w:t>
                              </w:r>
                            </w:p>
                            <w:p w14:paraId="20D0E8AB" w14:textId="77777777" w:rsidR="00606C71" w:rsidRPr="005A1FAD" w:rsidRDefault="00606C71" w:rsidP="00606C71">
                              <w:pPr>
                                <w:pStyle w:val="Paragraphedeliste"/>
                                <w:numPr>
                                  <w:ilvl w:val="0"/>
                                  <w:numId w:val="50"/>
                                </w:numPr>
                                <w:spacing w:after="0" w:line="240" w:lineRule="auto"/>
                                <w:ind w:left="284" w:hanging="142"/>
                                <w:rPr>
                                  <w:rFonts w:ascii="Arial Narrow" w:hAnsi="Arial Narrow"/>
                                  <w:b/>
                                  <w:bCs/>
                                  <w:sz w:val="20"/>
                                  <w:szCs w:val="20"/>
                                </w:rPr>
                              </w:pPr>
                              <w:r w:rsidRPr="005A1FAD">
                                <w:rPr>
                                  <w:rFonts w:ascii="Arial Narrow" w:eastAsia="Aptos" w:hAnsi="Arial Narrow"/>
                                  <w:sz w:val="20"/>
                                  <w:szCs w:val="20"/>
                                </w:rPr>
                                <w:t>Expansion de villes</w:t>
                              </w:r>
                            </w:p>
                            <w:p w14:paraId="097ABB5F" w14:textId="77777777" w:rsidR="00606C71" w:rsidRPr="005A1FAD" w:rsidRDefault="00606C71" w:rsidP="00606C71">
                              <w:pPr>
                                <w:pStyle w:val="Paragraphedeliste"/>
                                <w:numPr>
                                  <w:ilvl w:val="0"/>
                                  <w:numId w:val="50"/>
                                </w:numPr>
                                <w:spacing w:after="0" w:line="240" w:lineRule="auto"/>
                                <w:ind w:left="284" w:hanging="142"/>
                                <w:rPr>
                                  <w:rFonts w:ascii="Arial Narrow" w:hAnsi="Arial Narrow"/>
                                  <w:b/>
                                  <w:bCs/>
                                  <w:sz w:val="20"/>
                                  <w:szCs w:val="20"/>
                                </w:rPr>
                              </w:pPr>
                              <w:r w:rsidRPr="005A1FAD">
                                <w:rPr>
                                  <w:rFonts w:ascii="Arial Narrow" w:eastAsia="Aptos" w:hAnsi="Arial Narrow"/>
                                  <w:sz w:val="20"/>
                                  <w:szCs w:val="20"/>
                                </w:rPr>
                                <w:t>Pauvreté</w:t>
                              </w:r>
                            </w:p>
                            <w:p w14:paraId="4472D76B" w14:textId="77777777" w:rsidR="00606C71" w:rsidRPr="005A1FAD" w:rsidRDefault="00606C71" w:rsidP="00606C71">
                              <w:pPr>
                                <w:rPr>
                                  <w:rFonts w:ascii="Arial Narrow" w:hAnsi="Arial Narrow"/>
                                  <w:sz w:val="20"/>
                                  <w:szCs w:val="20"/>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3893258" name="Zone de texte 1"/>
                        <wps:cNvSpPr txBox="1"/>
                        <wps:spPr>
                          <a:xfrm>
                            <a:off x="2652711" y="73598"/>
                            <a:ext cx="1557339" cy="827759"/>
                          </a:xfrm>
                          <a:prstGeom prst="rect">
                            <a:avLst/>
                          </a:prstGeom>
                          <a:solidFill>
                            <a:sysClr val="window" lastClr="FFFFFF"/>
                          </a:solidFill>
                          <a:ln w="6350">
                            <a:solidFill>
                              <a:prstClr val="black"/>
                            </a:solidFill>
                          </a:ln>
                        </wps:spPr>
                        <wps:txbx>
                          <w:txbxContent>
                            <w:p w14:paraId="04BF0EA6" w14:textId="77777777" w:rsidR="00606C71" w:rsidRPr="005A1FAD" w:rsidRDefault="00606C71" w:rsidP="00606C71">
                              <w:pPr>
                                <w:spacing w:after="0" w:line="256" w:lineRule="auto"/>
                                <w:rPr>
                                  <w:rFonts w:ascii="Arial Narrow" w:eastAsia="Aptos" w:hAnsi="Arial Narrow"/>
                                  <w:b/>
                                  <w:bCs/>
                                  <w:sz w:val="20"/>
                                  <w:szCs w:val="20"/>
                                </w:rPr>
                              </w:pPr>
                              <w:r w:rsidRPr="005A1FAD">
                                <w:rPr>
                                  <w:rFonts w:ascii="Arial Narrow" w:eastAsia="Aptos" w:hAnsi="Arial Narrow"/>
                                  <w:b/>
                                  <w:bCs/>
                                  <w:sz w:val="20"/>
                                  <w:szCs w:val="20"/>
                                </w:rPr>
                                <w:t>Pressions</w:t>
                              </w:r>
                            </w:p>
                            <w:p w14:paraId="30A1A390" w14:textId="77777777" w:rsidR="00606C71" w:rsidRPr="005A1FAD" w:rsidRDefault="00606C71" w:rsidP="00606C71">
                              <w:pPr>
                                <w:pStyle w:val="Paragraphedeliste"/>
                                <w:numPr>
                                  <w:ilvl w:val="0"/>
                                  <w:numId w:val="50"/>
                                </w:numPr>
                                <w:spacing w:after="0" w:line="240" w:lineRule="auto"/>
                                <w:ind w:left="284" w:hanging="142"/>
                                <w:rPr>
                                  <w:rFonts w:ascii="Arial Narrow" w:eastAsia="Aptos" w:hAnsi="Arial Narrow"/>
                                  <w:sz w:val="20"/>
                                  <w:szCs w:val="20"/>
                                </w:rPr>
                              </w:pPr>
                              <w:r w:rsidRPr="005A1FAD">
                                <w:rPr>
                                  <w:rFonts w:ascii="Arial Narrow" w:eastAsia="Aptos" w:hAnsi="Arial Narrow"/>
                                  <w:sz w:val="20"/>
                                  <w:szCs w:val="20"/>
                                </w:rPr>
                                <w:t>Environnement et écosystèmes urbains</w:t>
                              </w:r>
                            </w:p>
                            <w:p w14:paraId="440C9A10" w14:textId="77777777" w:rsidR="00606C71" w:rsidRPr="005A1FAD" w:rsidRDefault="00606C71" w:rsidP="00606C71">
                              <w:pPr>
                                <w:pStyle w:val="Paragraphedeliste"/>
                                <w:numPr>
                                  <w:ilvl w:val="0"/>
                                  <w:numId w:val="50"/>
                                </w:numPr>
                                <w:spacing w:after="0" w:line="240" w:lineRule="auto"/>
                                <w:ind w:left="284" w:hanging="142"/>
                                <w:rPr>
                                  <w:rFonts w:ascii="Arial Narrow" w:eastAsia="Aptos" w:hAnsi="Arial Narrow"/>
                                  <w:sz w:val="20"/>
                                  <w:szCs w:val="20"/>
                                </w:rPr>
                              </w:pPr>
                              <w:r w:rsidRPr="005A1FAD">
                                <w:rPr>
                                  <w:rFonts w:ascii="Arial Narrow" w:eastAsia="Aptos" w:hAnsi="Arial Narrow"/>
                                  <w:sz w:val="20"/>
                                  <w:szCs w:val="20"/>
                                </w:rPr>
                                <w:t>Santé humaine et qualité de vie</w:t>
                              </w:r>
                            </w:p>
                            <w:p w14:paraId="327F2DFB" w14:textId="77777777" w:rsidR="00606C71" w:rsidRPr="005A1FAD" w:rsidRDefault="00606C71" w:rsidP="00606C71">
                              <w:pPr>
                                <w:spacing w:line="256" w:lineRule="auto"/>
                                <w:rPr>
                                  <w:rFonts w:ascii="Arial Narrow" w:eastAsia="Aptos" w:hAnsi="Arial Narrow"/>
                                  <w:sz w:val="20"/>
                                  <w:szCs w:val="20"/>
                                </w:rPr>
                              </w:pPr>
                            </w:p>
                            <w:p w14:paraId="5413CBAD" w14:textId="77777777" w:rsidR="00606C71" w:rsidRPr="005A1FAD" w:rsidRDefault="00606C71" w:rsidP="00606C71">
                              <w:pPr>
                                <w:spacing w:line="256" w:lineRule="auto"/>
                                <w:rPr>
                                  <w:rFonts w:ascii="Arial Narrow" w:eastAsia="Aptos" w:hAnsi="Arial Narrow"/>
                                  <w:sz w:val="20"/>
                                  <w:szCs w:val="20"/>
                                </w:rPr>
                              </w:pPr>
                            </w:p>
                          </w:txbxContent>
                        </wps:txbx>
                        <wps:bodyPr rot="0" spcFirstLastPara="0" vert="horz" wrap="square" lIns="91440" tIns="45720" rIns="91440" bIns="45720" numCol="1" spcCol="0" rtlCol="0" fromWordArt="0" anchor="t" anchorCtr="0" forceAA="0" compatLnSpc="1">
                          <a:noAutofit/>
                        </wps:bodyPr>
                      </wps:wsp>
                      <wps:wsp>
                        <wps:cNvPr id="1303540846" name="Zone de texte 1"/>
                        <wps:cNvSpPr txBox="1"/>
                        <wps:spPr>
                          <a:xfrm>
                            <a:off x="3986958" y="1369360"/>
                            <a:ext cx="1709573" cy="983813"/>
                          </a:xfrm>
                          <a:prstGeom prst="rect">
                            <a:avLst/>
                          </a:prstGeom>
                          <a:solidFill>
                            <a:sysClr val="window" lastClr="FFFFFF"/>
                          </a:solidFill>
                          <a:ln w="6350">
                            <a:solidFill>
                              <a:prstClr val="black"/>
                            </a:solidFill>
                          </a:ln>
                        </wps:spPr>
                        <wps:txbx>
                          <w:txbxContent>
                            <w:p w14:paraId="16798F5B" w14:textId="77777777" w:rsidR="00606C71" w:rsidRPr="005A1FAD" w:rsidRDefault="00606C71" w:rsidP="00606C71">
                              <w:pPr>
                                <w:spacing w:after="0" w:line="240" w:lineRule="auto"/>
                                <w:rPr>
                                  <w:rFonts w:ascii="Arial Narrow" w:eastAsia="Aptos" w:hAnsi="Arial Narrow"/>
                                  <w:b/>
                                  <w:bCs/>
                                  <w:sz w:val="20"/>
                                  <w:szCs w:val="20"/>
                                </w:rPr>
                              </w:pPr>
                              <w:r w:rsidRPr="005A1FAD">
                                <w:rPr>
                                  <w:rFonts w:ascii="Arial Narrow" w:eastAsia="Aptos" w:hAnsi="Arial Narrow"/>
                                  <w:b/>
                                  <w:bCs/>
                                  <w:sz w:val="20"/>
                                  <w:szCs w:val="20"/>
                                </w:rPr>
                                <w:t>Etat et changements</w:t>
                              </w:r>
                            </w:p>
                            <w:p w14:paraId="507D51ED" w14:textId="77777777" w:rsidR="00606C71" w:rsidRPr="005A1FAD" w:rsidRDefault="00606C71" w:rsidP="00606C71">
                              <w:pPr>
                                <w:pStyle w:val="Paragraphedeliste"/>
                                <w:numPr>
                                  <w:ilvl w:val="0"/>
                                  <w:numId w:val="50"/>
                                </w:numPr>
                                <w:spacing w:after="0" w:line="240" w:lineRule="auto"/>
                                <w:ind w:left="284" w:hanging="142"/>
                                <w:rPr>
                                  <w:rFonts w:ascii="Arial Narrow" w:eastAsia="Aptos" w:hAnsi="Arial Narrow"/>
                                  <w:sz w:val="20"/>
                                  <w:szCs w:val="20"/>
                                </w:rPr>
                              </w:pPr>
                              <w:r w:rsidRPr="005A1FAD">
                                <w:rPr>
                                  <w:rFonts w:ascii="Arial Narrow" w:eastAsia="Aptos" w:hAnsi="Arial Narrow"/>
                                  <w:sz w:val="20"/>
                                  <w:szCs w:val="20"/>
                                </w:rPr>
                                <w:t>Etat de l’environnement urbain</w:t>
                              </w:r>
                            </w:p>
                            <w:p w14:paraId="72BCCFF4" w14:textId="77777777" w:rsidR="00606C71" w:rsidRPr="005A1FAD" w:rsidRDefault="00606C71" w:rsidP="00606C71">
                              <w:pPr>
                                <w:pStyle w:val="Paragraphedeliste"/>
                                <w:numPr>
                                  <w:ilvl w:val="0"/>
                                  <w:numId w:val="50"/>
                                </w:numPr>
                                <w:spacing w:after="0" w:line="240" w:lineRule="auto"/>
                                <w:ind w:left="284" w:hanging="142"/>
                                <w:rPr>
                                  <w:rFonts w:ascii="Arial Narrow" w:eastAsia="Aptos" w:hAnsi="Arial Narrow"/>
                                  <w:sz w:val="20"/>
                                  <w:szCs w:val="20"/>
                                </w:rPr>
                              </w:pPr>
                              <w:r w:rsidRPr="005A1FAD">
                                <w:rPr>
                                  <w:rFonts w:ascii="Arial Narrow" w:eastAsia="Aptos" w:hAnsi="Arial Narrow"/>
                                  <w:sz w:val="20"/>
                                  <w:szCs w:val="20"/>
                                </w:rPr>
                                <w:t>Etat de la société et conditions de vie en milieu urbain</w:t>
                              </w:r>
                            </w:p>
                          </w:txbxContent>
                        </wps:txbx>
                        <wps:bodyPr rot="0" spcFirstLastPara="0" vert="horz" wrap="square" lIns="91440" tIns="45720" rIns="91440" bIns="45720" numCol="1" spcCol="0" rtlCol="0" fromWordArt="0" anchor="t" anchorCtr="0" forceAA="0" compatLnSpc="1">
                          <a:noAutofit/>
                        </wps:bodyPr>
                      </wps:wsp>
                      <wps:wsp>
                        <wps:cNvPr id="1336916629" name="Zone de texte 1"/>
                        <wps:cNvSpPr txBox="1"/>
                        <wps:spPr>
                          <a:xfrm>
                            <a:off x="1841801" y="2624925"/>
                            <a:ext cx="1967477" cy="721686"/>
                          </a:xfrm>
                          <a:prstGeom prst="rect">
                            <a:avLst/>
                          </a:prstGeom>
                          <a:solidFill>
                            <a:sysClr val="window" lastClr="FFFFFF"/>
                          </a:solidFill>
                          <a:ln w="6350">
                            <a:solidFill>
                              <a:prstClr val="black"/>
                            </a:solidFill>
                          </a:ln>
                        </wps:spPr>
                        <wps:txbx>
                          <w:txbxContent>
                            <w:p w14:paraId="5082C232" w14:textId="77777777" w:rsidR="00606C71" w:rsidRPr="005A1FAD" w:rsidRDefault="00606C71" w:rsidP="00606C71">
                              <w:pPr>
                                <w:spacing w:after="0" w:line="240" w:lineRule="auto"/>
                                <w:rPr>
                                  <w:rFonts w:ascii="Arial Narrow" w:eastAsia="Aptos" w:hAnsi="Arial Narrow"/>
                                  <w:b/>
                                  <w:bCs/>
                                  <w:sz w:val="20"/>
                                  <w:szCs w:val="20"/>
                                </w:rPr>
                              </w:pPr>
                              <w:r w:rsidRPr="005A1FAD">
                                <w:rPr>
                                  <w:rFonts w:ascii="Arial Narrow" w:eastAsia="Aptos" w:hAnsi="Arial Narrow"/>
                                  <w:b/>
                                  <w:bCs/>
                                  <w:sz w:val="20"/>
                                  <w:szCs w:val="20"/>
                                </w:rPr>
                                <w:t>Impacts des changements [+ ou –]</w:t>
                              </w:r>
                            </w:p>
                            <w:p w14:paraId="4360CA10" w14:textId="77777777" w:rsidR="00606C71" w:rsidRPr="005A1FAD" w:rsidRDefault="00606C71" w:rsidP="00606C71">
                              <w:pPr>
                                <w:pStyle w:val="Paragraphedeliste"/>
                                <w:numPr>
                                  <w:ilvl w:val="0"/>
                                  <w:numId w:val="50"/>
                                </w:numPr>
                                <w:spacing w:after="0" w:line="240" w:lineRule="auto"/>
                                <w:ind w:left="284" w:hanging="142"/>
                                <w:rPr>
                                  <w:rFonts w:ascii="Arial Narrow" w:eastAsia="Aptos" w:hAnsi="Arial Narrow"/>
                                  <w:sz w:val="20"/>
                                  <w:szCs w:val="20"/>
                                </w:rPr>
                              </w:pPr>
                              <w:r w:rsidRPr="005A1FAD">
                                <w:rPr>
                                  <w:rFonts w:ascii="Arial Narrow" w:eastAsia="Aptos" w:hAnsi="Arial Narrow"/>
                                  <w:sz w:val="20"/>
                                  <w:szCs w:val="20"/>
                                </w:rPr>
                                <w:t>Environnement</w:t>
                              </w:r>
                            </w:p>
                            <w:p w14:paraId="73348FBE" w14:textId="77777777" w:rsidR="00606C71" w:rsidRPr="005A1FAD" w:rsidRDefault="00606C71" w:rsidP="00606C71">
                              <w:pPr>
                                <w:pStyle w:val="Paragraphedeliste"/>
                                <w:numPr>
                                  <w:ilvl w:val="0"/>
                                  <w:numId w:val="50"/>
                                </w:numPr>
                                <w:spacing w:after="0" w:line="240" w:lineRule="auto"/>
                                <w:ind w:left="284" w:hanging="142"/>
                                <w:rPr>
                                  <w:rFonts w:ascii="Arial Narrow" w:eastAsia="Aptos" w:hAnsi="Arial Narrow"/>
                                  <w:sz w:val="20"/>
                                  <w:szCs w:val="20"/>
                                </w:rPr>
                              </w:pPr>
                              <w:r w:rsidRPr="005A1FAD">
                                <w:rPr>
                                  <w:rFonts w:ascii="Arial Narrow" w:eastAsia="Aptos" w:hAnsi="Arial Narrow"/>
                                  <w:sz w:val="20"/>
                                  <w:szCs w:val="20"/>
                                </w:rPr>
                                <w:t>Economie</w:t>
                              </w:r>
                            </w:p>
                            <w:p w14:paraId="427B5440" w14:textId="77777777" w:rsidR="00606C71" w:rsidRPr="005A1FAD" w:rsidRDefault="00606C71" w:rsidP="00606C71">
                              <w:pPr>
                                <w:pStyle w:val="Paragraphedeliste"/>
                                <w:numPr>
                                  <w:ilvl w:val="0"/>
                                  <w:numId w:val="50"/>
                                </w:numPr>
                                <w:spacing w:after="0" w:line="240" w:lineRule="auto"/>
                                <w:ind w:left="284" w:hanging="142"/>
                                <w:rPr>
                                  <w:rFonts w:ascii="Arial Narrow" w:eastAsia="Aptos" w:hAnsi="Arial Narrow"/>
                                  <w:sz w:val="20"/>
                                  <w:szCs w:val="20"/>
                                </w:rPr>
                              </w:pPr>
                              <w:r w:rsidRPr="005A1FAD">
                                <w:rPr>
                                  <w:rFonts w:ascii="Arial Narrow" w:eastAsia="Aptos" w:hAnsi="Arial Narrow"/>
                                  <w:sz w:val="20"/>
                                  <w:szCs w:val="20"/>
                                </w:rPr>
                                <w:t>Société</w:t>
                              </w:r>
                            </w:p>
                          </w:txbxContent>
                        </wps:txbx>
                        <wps:bodyPr rot="0" spcFirstLastPara="0" vert="horz" wrap="square" lIns="91440" tIns="45720" rIns="91440" bIns="45720" numCol="1" spcCol="0" rtlCol="0" fromWordArt="0" anchor="t" anchorCtr="0" forceAA="0" compatLnSpc="1">
                          <a:noAutofit/>
                        </wps:bodyPr>
                      </wps:wsp>
                      <wps:wsp>
                        <wps:cNvPr id="132545974" name="Zone de texte 1"/>
                        <wps:cNvSpPr txBox="1"/>
                        <wps:spPr>
                          <a:xfrm>
                            <a:off x="82340" y="1824323"/>
                            <a:ext cx="1534110" cy="589664"/>
                          </a:xfrm>
                          <a:prstGeom prst="rect">
                            <a:avLst/>
                          </a:prstGeom>
                          <a:solidFill>
                            <a:sysClr val="window" lastClr="FFFFFF"/>
                          </a:solidFill>
                          <a:ln w="6350">
                            <a:solidFill>
                              <a:prstClr val="black"/>
                            </a:solidFill>
                          </a:ln>
                        </wps:spPr>
                        <wps:txbx>
                          <w:txbxContent>
                            <w:p w14:paraId="105BE834" w14:textId="77777777" w:rsidR="00606C71" w:rsidRPr="005A1FAD" w:rsidRDefault="00606C71" w:rsidP="00606C71">
                              <w:pPr>
                                <w:spacing w:after="0" w:line="256" w:lineRule="auto"/>
                                <w:rPr>
                                  <w:rFonts w:ascii="Arial Narrow" w:eastAsia="Aptos" w:hAnsi="Arial Narrow"/>
                                  <w:b/>
                                  <w:bCs/>
                                  <w:sz w:val="20"/>
                                  <w:szCs w:val="20"/>
                                </w:rPr>
                              </w:pPr>
                              <w:r w:rsidRPr="005A1FAD">
                                <w:rPr>
                                  <w:rFonts w:ascii="Arial Narrow" w:eastAsia="Aptos" w:hAnsi="Arial Narrow"/>
                                  <w:b/>
                                  <w:bCs/>
                                  <w:sz w:val="20"/>
                                  <w:szCs w:val="20"/>
                                </w:rPr>
                                <w:t>Réponses</w:t>
                              </w:r>
                            </w:p>
                            <w:p w14:paraId="30E7DB46" w14:textId="77777777" w:rsidR="00606C71" w:rsidRPr="005A1FAD" w:rsidRDefault="00606C71" w:rsidP="00606C71">
                              <w:pPr>
                                <w:pStyle w:val="Paragraphedeliste"/>
                                <w:numPr>
                                  <w:ilvl w:val="0"/>
                                  <w:numId w:val="50"/>
                                </w:numPr>
                                <w:spacing w:after="0" w:line="240" w:lineRule="auto"/>
                                <w:ind w:left="284" w:hanging="142"/>
                                <w:rPr>
                                  <w:rFonts w:ascii="Arial Narrow" w:eastAsia="Aptos" w:hAnsi="Arial Narrow"/>
                                  <w:sz w:val="20"/>
                                  <w:szCs w:val="20"/>
                                </w:rPr>
                              </w:pPr>
                              <w:r w:rsidRPr="005A1FAD">
                                <w:rPr>
                                  <w:rFonts w:ascii="Arial Narrow" w:eastAsia="Aptos" w:hAnsi="Arial Narrow"/>
                                  <w:sz w:val="20"/>
                                  <w:szCs w:val="20"/>
                                </w:rPr>
                                <w:t>Politiques</w:t>
                              </w:r>
                            </w:p>
                            <w:p w14:paraId="49D3D1BD" w14:textId="77777777" w:rsidR="00606C71" w:rsidRPr="005A1FAD" w:rsidRDefault="00606C71" w:rsidP="00606C71">
                              <w:pPr>
                                <w:pStyle w:val="Paragraphedeliste"/>
                                <w:numPr>
                                  <w:ilvl w:val="0"/>
                                  <w:numId w:val="50"/>
                                </w:numPr>
                                <w:spacing w:after="0" w:line="240" w:lineRule="auto"/>
                                <w:ind w:left="284" w:hanging="142"/>
                                <w:rPr>
                                  <w:rFonts w:ascii="Arial Narrow" w:eastAsia="Aptos" w:hAnsi="Arial Narrow"/>
                                  <w:sz w:val="20"/>
                                  <w:szCs w:val="20"/>
                                </w:rPr>
                              </w:pPr>
                              <w:r w:rsidRPr="005A1FAD">
                                <w:rPr>
                                  <w:rFonts w:ascii="Arial Narrow" w:eastAsia="Aptos" w:hAnsi="Arial Narrow"/>
                                  <w:sz w:val="20"/>
                                  <w:szCs w:val="20"/>
                                </w:rPr>
                                <w:t>Pratiques</w:t>
                              </w:r>
                            </w:p>
                            <w:p w14:paraId="5E221A2C" w14:textId="77777777" w:rsidR="00606C71" w:rsidRPr="005A1FAD" w:rsidRDefault="00606C71" w:rsidP="00606C71">
                              <w:pPr>
                                <w:spacing w:after="0" w:line="256" w:lineRule="auto"/>
                                <w:rPr>
                                  <w:rFonts w:ascii="Arial Narrow" w:eastAsia="Aptos" w:hAnsi="Arial Narrow"/>
                                  <w:b/>
                                  <w:bCs/>
                                  <w:sz w:val="20"/>
                                  <w:szCs w:val="20"/>
                                </w:rPr>
                              </w:pPr>
                            </w:p>
                            <w:p w14:paraId="5D52F402" w14:textId="77777777" w:rsidR="00606C71" w:rsidRPr="005A1FAD" w:rsidRDefault="00606C71" w:rsidP="00606C71">
                              <w:pPr>
                                <w:spacing w:line="256" w:lineRule="auto"/>
                                <w:rPr>
                                  <w:rFonts w:ascii="Arial Narrow" w:eastAsia="Aptos" w:hAnsi="Arial Narrow"/>
                                  <w:sz w:val="20"/>
                                  <w:szCs w:val="20"/>
                                </w:rPr>
                              </w:pPr>
                            </w:p>
                          </w:txbxContent>
                        </wps:txbx>
                        <wps:bodyPr rot="0" spcFirstLastPara="0" vert="horz" wrap="square" lIns="91440" tIns="45720" rIns="91440" bIns="45720" numCol="1" spcCol="0" rtlCol="0" fromWordArt="0" anchor="t" anchorCtr="0" forceAA="0" compatLnSpc="1">
                          <a:noAutofit/>
                        </wps:bodyPr>
                      </wps:wsp>
                      <wps:wsp>
                        <wps:cNvPr id="708676457" name="Zone de texte 1"/>
                        <wps:cNvSpPr txBox="1"/>
                        <wps:spPr>
                          <a:xfrm>
                            <a:off x="4210050" y="73624"/>
                            <a:ext cx="1486327" cy="827709"/>
                          </a:xfrm>
                          <a:prstGeom prst="rect">
                            <a:avLst/>
                          </a:prstGeom>
                          <a:solidFill>
                            <a:sysClr val="window" lastClr="FFFFFF"/>
                          </a:solidFill>
                          <a:ln w="6350">
                            <a:solidFill>
                              <a:prstClr val="black"/>
                            </a:solidFill>
                          </a:ln>
                        </wps:spPr>
                        <wps:txbx>
                          <w:txbxContent>
                            <w:p w14:paraId="5267CB64" w14:textId="77777777" w:rsidR="00606C71" w:rsidRPr="005A1FAD" w:rsidRDefault="00606C71" w:rsidP="00606C71">
                              <w:pPr>
                                <w:spacing w:after="0" w:line="256" w:lineRule="auto"/>
                                <w:rPr>
                                  <w:rFonts w:ascii="Arial Narrow" w:eastAsia="Aptos" w:hAnsi="Arial Narrow"/>
                                  <w:b/>
                                  <w:bCs/>
                                  <w:sz w:val="20"/>
                                  <w:szCs w:val="20"/>
                                </w:rPr>
                              </w:pPr>
                              <w:r w:rsidRPr="005A1FAD">
                                <w:rPr>
                                  <w:rFonts w:ascii="Arial Narrow" w:eastAsia="Aptos" w:hAnsi="Arial Narrow"/>
                                  <w:b/>
                                  <w:bCs/>
                                  <w:sz w:val="20"/>
                                  <w:szCs w:val="20"/>
                                </w:rPr>
                                <w:t>Mitigation | atténuation</w:t>
                              </w:r>
                            </w:p>
                            <w:p w14:paraId="72F28CEC" w14:textId="77777777" w:rsidR="00606C71" w:rsidRPr="005A1FAD" w:rsidRDefault="00606C71" w:rsidP="00606C71">
                              <w:pPr>
                                <w:pStyle w:val="Paragraphedeliste"/>
                                <w:numPr>
                                  <w:ilvl w:val="0"/>
                                  <w:numId w:val="50"/>
                                </w:numPr>
                                <w:spacing w:after="0" w:line="240" w:lineRule="auto"/>
                                <w:ind w:left="284" w:hanging="142"/>
                                <w:rPr>
                                  <w:rFonts w:ascii="Arial Narrow" w:eastAsia="Aptos" w:hAnsi="Arial Narrow"/>
                                  <w:sz w:val="20"/>
                                  <w:szCs w:val="20"/>
                                </w:rPr>
                              </w:pPr>
                              <w:r w:rsidRPr="005A1FAD">
                                <w:rPr>
                                  <w:rFonts w:ascii="Arial Narrow" w:eastAsia="Aptos" w:hAnsi="Arial Narrow"/>
                                  <w:sz w:val="20"/>
                                  <w:szCs w:val="20"/>
                                </w:rPr>
                                <w:t>Environnement et écosystèmes urbains</w:t>
                              </w:r>
                            </w:p>
                            <w:p w14:paraId="5E153284" w14:textId="77777777" w:rsidR="00606C71" w:rsidRPr="005A1FAD" w:rsidRDefault="00606C71" w:rsidP="00606C71">
                              <w:pPr>
                                <w:pStyle w:val="Paragraphedeliste"/>
                                <w:numPr>
                                  <w:ilvl w:val="0"/>
                                  <w:numId w:val="50"/>
                                </w:numPr>
                                <w:spacing w:after="0" w:line="240" w:lineRule="auto"/>
                                <w:ind w:left="284" w:hanging="142"/>
                                <w:rPr>
                                  <w:rFonts w:ascii="Arial Narrow" w:eastAsia="Aptos" w:hAnsi="Arial Narrow"/>
                                  <w:sz w:val="20"/>
                                  <w:szCs w:val="20"/>
                                </w:rPr>
                              </w:pPr>
                              <w:r w:rsidRPr="005A1FAD">
                                <w:rPr>
                                  <w:rFonts w:ascii="Arial Narrow" w:eastAsia="Aptos" w:hAnsi="Arial Narrow"/>
                                  <w:sz w:val="20"/>
                                  <w:szCs w:val="20"/>
                                </w:rPr>
                                <w:t>Santé humaine et qualité de vie</w:t>
                              </w:r>
                            </w:p>
                            <w:p w14:paraId="6E3FEAA9" w14:textId="77777777" w:rsidR="00606C71" w:rsidRPr="005A1FAD" w:rsidRDefault="00606C71" w:rsidP="00606C71">
                              <w:pPr>
                                <w:pStyle w:val="Paragraphedeliste"/>
                                <w:numPr>
                                  <w:ilvl w:val="0"/>
                                  <w:numId w:val="50"/>
                                </w:numPr>
                                <w:spacing w:after="0" w:line="240" w:lineRule="auto"/>
                                <w:ind w:left="426" w:hanging="142"/>
                                <w:rPr>
                                  <w:rFonts w:ascii="Arial Narrow" w:eastAsia="Aptos" w:hAnsi="Arial Narrow"/>
                                  <w:sz w:val="20"/>
                                  <w:szCs w:val="20"/>
                                </w:rPr>
                              </w:pPr>
                            </w:p>
                          </w:txbxContent>
                        </wps:txbx>
                        <wps:bodyPr rot="0" spcFirstLastPara="0" vert="horz" wrap="square" lIns="91440" tIns="45720" rIns="91440" bIns="45720" numCol="1" spcCol="0" rtlCol="0" fromWordArt="0" anchor="t" anchorCtr="0" forceAA="0" compatLnSpc="1">
                          <a:noAutofit/>
                        </wps:bodyPr>
                      </wps:wsp>
                      <wps:wsp>
                        <wps:cNvPr id="1284392904" name="Flèche : droite 1284392904"/>
                        <wps:cNvSpPr/>
                        <wps:spPr>
                          <a:xfrm>
                            <a:off x="1714499" y="371389"/>
                            <a:ext cx="890587" cy="195349"/>
                          </a:xfrm>
                          <a:prstGeom prst="rightArrow">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435635942" name="Flèche : droite 1435635942"/>
                        <wps:cNvSpPr/>
                        <wps:spPr>
                          <a:xfrm rot="5400000">
                            <a:off x="4670491" y="1053325"/>
                            <a:ext cx="435775" cy="195915"/>
                          </a:xfrm>
                          <a:prstGeom prst="rightArrow">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horz" wrap="square" lIns="91440" tIns="45720" rIns="91440" bIns="45720" numCol="1" spcCol="0" rtlCol="0" fromWordArt="0" anchor="ctr" anchorCtr="0" forceAA="0" compatLnSpc="1">
                          <a:noAutofit/>
                        </wps:bodyPr>
                      </wps:wsp>
                      <wps:wsp>
                        <wps:cNvPr id="776207370" name="Flèche : virage 776207370"/>
                        <wps:cNvSpPr/>
                        <wps:spPr>
                          <a:xfrm rot="10800000">
                            <a:off x="3809276" y="2413986"/>
                            <a:ext cx="1148483" cy="920042"/>
                          </a:xfrm>
                          <a:prstGeom prst="bentArrow">
                            <a:avLst>
                              <a:gd name="adj1" fmla="val 11108"/>
                              <a:gd name="adj2" fmla="val 9478"/>
                              <a:gd name="adj3" fmla="val 17438"/>
                              <a:gd name="adj4" fmla="val 24560"/>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19234697" name="Connecteur droit avec flèche 219234697"/>
                        <wps:cNvCnPr>
                          <a:stCxn id="132545974" idx="3"/>
                        </wps:cNvCnPr>
                        <wps:spPr>
                          <a:xfrm flipV="1">
                            <a:off x="1616450" y="1728599"/>
                            <a:ext cx="2370508" cy="390556"/>
                          </a:xfrm>
                          <a:prstGeom prst="straightConnector1">
                            <a:avLst/>
                          </a:prstGeom>
                          <a:noFill/>
                          <a:ln w="19050" cap="flat" cmpd="sng" algn="ctr">
                            <a:solidFill>
                              <a:srgbClr val="ED7D31"/>
                            </a:solidFill>
                            <a:prstDash val="solid"/>
                            <a:miter lim="800000"/>
                            <a:tailEnd type="triangle"/>
                          </a:ln>
                          <a:effectLst/>
                        </wps:spPr>
                        <wps:bodyPr/>
                      </wps:wsp>
                      <wps:wsp>
                        <wps:cNvPr id="1225521226" name="Connecteur droit avec flèche 1225521226"/>
                        <wps:cNvCnPr>
                          <a:stCxn id="132545974" idx="3"/>
                          <a:endCxn id="1336916629" idx="0"/>
                        </wps:cNvCnPr>
                        <wps:spPr>
                          <a:xfrm>
                            <a:off x="1616450" y="2119155"/>
                            <a:ext cx="1209090" cy="505770"/>
                          </a:xfrm>
                          <a:prstGeom prst="straightConnector1">
                            <a:avLst/>
                          </a:prstGeom>
                          <a:noFill/>
                          <a:ln w="19050" cap="flat" cmpd="sng" algn="ctr">
                            <a:solidFill>
                              <a:srgbClr val="ED7D31"/>
                            </a:solidFill>
                            <a:prstDash val="solid"/>
                            <a:miter lim="800000"/>
                            <a:tailEnd type="triangle"/>
                          </a:ln>
                          <a:effectLst/>
                        </wps:spPr>
                        <wps:bodyPr/>
                      </wps:wsp>
                      <wps:wsp>
                        <wps:cNvPr id="955588269" name="Connecteur droit avec flèche 955588269"/>
                        <wps:cNvCnPr>
                          <a:stCxn id="132545974" idx="3"/>
                          <a:endCxn id="123893258" idx="2"/>
                        </wps:cNvCnPr>
                        <wps:spPr>
                          <a:xfrm flipV="1">
                            <a:off x="1616450" y="901357"/>
                            <a:ext cx="1814931" cy="1217798"/>
                          </a:xfrm>
                          <a:prstGeom prst="straightConnector1">
                            <a:avLst/>
                          </a:prstGeom>
                          <a:noFill/>
                          <a:ln w="19050" cap="flat" cmpd="sng" algn="ctr">
                            <a:solidFill>
                              <a:srgbClr val="ED7D31"/>
                            </a:solidFill>
                            <a:prstDash val="solid"/>
                            <a:miter lim="800000"/>
                            <a:tailEnd type="triangle"/>
                          </a:ln>
                          <a:effectLst/>
                        </wps:spPr>
                        <wps:bodyPr/>
                      </wps:wsp>
                      <wps:wsp>
                        <wps:cNvPr id="2103411568" name="Connecteur droit avec flèche 2103411568"/>
                        <wps:cNvCnPr>
                          <a:stCxn id="132545974" idx="0"/>
                          <a:endCxn id="1064872950" idx="2"/>
                        </wps:cNvCnPr>
                        <wps:spPr>
                          <a:xfrm flipV="1">
                            <a:off x="849395" y="933285"/>
                            <a:ext cx="15688" cy="891038"/>
                          </a:xfrm>
                          <a:prstGeom prst="straightConnector1">
                            <a:avLst/>
                          </a:prstGeom>
                          <a:noFill/>
                          <a:ln w="19050" cap="flat" cmpd="sng" algn="ctr">
                            <a:solidFill>
                              <a:srgbClr val="ED7D31"/>
                            </a:solidFill>
                            <a:prstDash val="solid"/>
                            <a:miter lim="800000"/>
                            <a:tailEnd type="triangle"/>
                          </a:ln>
                          <a:effectLst/>
                        </wps:spPr>
                        <wps:bodyPr/>
                      </wps:wsp>
                      <wps:wsp>
                        <wps:cNvPr id="1984286141" name="Zone de texte 1984286141"/>
                        <wps:cNvSpPr txBox="1"/>
                        <wps:spPr>
                          <a:xfrm>
                            <a:off x="558882" y="966735"/>
                            <a:ext cx="342900" cy="814387"/>
                          </a:xfrm>
                          <a:prstGeom prst="rect">
                            <a:avLst/>
                          </a:prstGeom>
                          <a:noFill/>
                          <a:ln w="6350">
                            <a:noFill/>
                          </a:ln>
                        </wps:spPr>
                        <wps:txbx>
                          <w:txbxContent>
                            <w:p w14:paraId="251A4723" w14:textId="77777777" w:rsidR="00606C71" w:rsidRPr="005A1FAD" w:rsidRDefault="00606C71" w:rsidP="00606C71">
                              <w:pPr>
                                <w:jc w:val="center"/>
                                <w:rPr>
                                  <w:b/>
                                  <w:bCs/>
                                  <w:color w:val="002060"/>
                                  <w:sz w:val="20"/>
                                  <w:szCs w:val="20"/>
                                </w:rPr>
                              </w:pPr>
                              <w:r w:rsidRPr="005A1FAD">
                                <w:rPr>
                                  <w:b/>
                                  <w:bCs/>
                                  <w:color w:val="002060"/>
                                  <w:sz w:val="20"/>
                                  <w:szCs w:val="20"/>
                                </w:rPr>
                                <w:t>Prévention</w:t>
                              </w:r>
                            </w:p>
                          </w:txbxContent>
                        </wps:txbx>
                        <wps:bodyPr rot="0" spcFirstLastPara="0" vertOverflow="overflow" horzOverflow="overflow" vert="vert270" wrap="square" lIns="91440" tIns="45720" rIns="91440" bIns="45720" numCol="1" spcCol="0" rtlCol="0" fromWordArt="0" anchor="t" anchorCtr="0" forceAA="0" compatLnSpc="1">
                          <a:noAutofit/>
                        </wps:bodyPr>
                      </wps:wsp>
                      <wps:wsp>
                        <wps:cNvPr id="633923200" name="Zone de texte 1"/>
                        <wps:cNvSpPr txBox="1"/>
                        <wps:spPr>
                          <a:xfrm rot="3394409">
                            <a:off x="2098664" y="1131509"/>
                            <a:ext cx="342900" cy="814070"/>
                          </a:xfrm>
                          <a:prstGeom prst="rect">
                            <a:avLst/>
                          </a:prstGeom>
                          <a:noFill/>
                          <a:ln w="6350">
                            <a:noFill/>
                          </a:ln>
                        </wps:spPr>
                        <wps:txbx>
                          <w:txbxContent>
                            <w:p w14:paraId="7C27D95C" w14:textId="77777777" w:rsidR="00606C71" w:rsidRPr="005A1FAD" w:rsidRDefault="00606C71" w:rsidP="00606C71">
                              <w:pPr>
                                <w:spacing w:line="256" w:lineRule="auto"/>
                                <w:jc w:val="center"/>
                                <w:rPr>
                                  <w:rFonts w:ascii="Aptos" w:eastAsia="Aptos" w:hAnsi="Aptos"/>
                                  <w:b/>
                                  <w:bCs/>
                                  <w:color w:val="002060"/>
                                  <w:sz w:val="20"/>
                                  <w:szCs w:val="20"/>
                                </w:rPr>
                              </w:pPr>
                              <w:r w:rsidRPr="005A1FAD">
                                <w:rPr>
                                  <w:rFonts w:ascii="Aptos" w:eastAsia="Aptos" w:hAnsi="Aptos"/>
                                  <w:b/>
                                  <w:bCs/>
                                  <w:color w:val="002060"/>
                                  <w:sz w:val="20"/>
                                  <w:szCs w:val="20"/>
                                </w:rPr>
                                <w:t>Mitigation</w:t>
                              </w:r>
                            </w:p>
                          </w:txbxContent>
                        </wps:txbx>
                        <wps:bodyPr rot="0" spcFirstLastPara="0" vert="vert270" wrap="square" lIns="91440" tIns="45720" rIns="91440" bIns="45720" numCol="1" spcCol="0" rtlCol="0" fromWordArt="0" anchor="t" anchorCtr="0" forceAA="0" compatLnSpc="1">
                          <a:noAutofit/>
                        </wps:bodyPr>
                      </wps:wsp>
                      <wps:wsp>
                        <wps:cNvPr id="1903590114" name="Zone de texte 1"/>
                        <wps:cNvSpPr txBox="1"/>
                        <wps:spPr>
                          <a:xfrm rot="4833183">
                            <a:off x="2791786" y="1250450"/>
                            <a:ext cx="342900" cy="1051472"/>
                          </a:xfrm>
                          <a:prstGeom prst="rect">
                            <a:avLst/>
                          </a:prstGeom>
                          <a:noFill/>
                          <a:ln w="6350">
                            <a:noFill/>
                          </a:ln>
                        </wps:spPr>
                        <wps:txbx>
                          <w:txbxContent>
                            <w:p w14:paraId="1FCAA1D9" w14:textId="77777777" w:rsidR="00606C71" w:rsidRPr="005A1FAD" w:rsidRDefault="00606C71" w:rsidP="00606C71">
                              <w:pPr>
                                <w:spacing w:line="254" w:lineRule="auto"/>
                                <w:jc w:val="center"/>
                                <w:rPr>
                                  <w:rFonts w:ascii="Aptos" w:eastAsia="Aptos" w:hAnsi="Aptos"/>
                                  <w:b/>
                                  <w:bCs/>
                                  <w:color w:val="002060"/>
                                  <w:sz w:val="20"/>
                                  <w:szCs w:val="20"/>
                                </w:rPr>
                              </w:pPr>
                              <w:r w:rsidRPr="005A1FAD">
                                <w:rPr>
                                  <w:rFonts w:ascii="Aptos" w:eastAsia="Aptos" w:hAnsi="Aptos"/>
                                  <w:b/>
                                  <w:bCs/>
                                  <w:color w:val="002060"/>
                                  <w:sz w:val="20"/>
                                  <w:szCs w:val="20"/>
                                </w:rPr>
                                <w:t>Restauration</w:t>
                              </w:r>
                            </w:p>
                          </w:txbxContent>
                        </wps:txbx>
                        <wps:bodyPr rot="0" spcFirstLastPara="0" vert="vert270" wrap="square" lIns="91440" tIns="45720" rIns="91440" bIns="45720" numCol="1" spcCol="0" rtlCol="0" fromWordArt="0" anchor="t" anchorCtr="0" forceAA="0" compatLnSpc="1">
                          <a:noAutofit/>
                        </wps:bodyPr>
                      </wps:wsp>
                      <wps:wsp>
                        <wps:cNvPr id="379657247" name="Zone de texte 1"/>
                        <wps:cNvSpPr txBox="1"/>
                        <wps:spPr>
                          <a:xfrm rot="6740439">
                            <a:off x="2215408" y="1893232"/>
                            <a:ext cx="342900" cy="812800"/>
                          </a:xfrm>
                          <a:prstGeom prst="rect">
                            <a:avLst/>
                          </a:prstGeom>
                          <a:noFill/>
                          <a:ln w="6350">
                            <a:noFill/>
                          </a:ln>
                        </wps:spPr>
                        <wps:txbx>
                          <w:txbxContent>
                            <w:p w14:paraId="3BAFCC63" w14:textId="77777777" w:rsidR="00606C71" w:rsidRPr="005A1FAD" w:rsidRDefault="00606C71" w:rsidP="00606C71">
                              <w:pPr>
                                <w:spacing w:line="252" w:lineRule="auto"/>
                                <w:jc w:val="center"/>
                                <w:rPr>
                                  <w:rFonts w:ascii="Aptos" w:eastAsia="Aptos" w:hAnsi="Aptos"/>
                                  <w:b/>
                                  <w:bCs/>
                                  <w:color w:val="002060"/>
                                  <w:sz w:val="20"/>
                                  <w:szCs w:val="20"/>
                                </w:rPr>
                              </w:pPr>
                              <w:r w:rsidRPr="005A1FAD">
                                <w:rPr>
                                  <w:rFonts w:ascii="Aptos" w:eastAsia="Aptos" w:hAnsi="Aptos"/>
                                  <w:b/>
                                  <w:bCs/>
                                  <w:color w:val="002060"/>
                                  <w:sz w:val="20"/>
                                  <w:szCs w:val="20"/>
                                </w:rPr>
                                <w:t>Adaptation</w:t>
                              </w:r>
                            </w:p>
                          </w:txbxContent>
                        </wps:txbx>
                        <wps:bodyPr rot="0" spcFirstLastPara="0" vert="vert270" wrap="square" lIns="91440" tIns="45720" rIns="91440" bIns="45720" numCol="1" spcCol="0" rtlCol="0" fromWordArt="0" anchor="t" anchorCtr="0" forceAA="0" compatLnSpc="1">
                          <a:noAutofit/>
                        </wps:bodyPr>
                      </wps:wsp>
                      <wps:wsp>
                        <wps:cNvPr id="779961969" name="Flèche : virage 779961969"/>
                        <wps:cNvSpPr/>
                        <wps:spPr>
                          <a:xfrm rot="16200000">
                            <a:off x="675761" y="2209815"/>
                            <a:ext cx="881788" cy="1367147"/>
                          </a:xfrm>
                          <a:prstGeom prst="bentArrow">
                            <a:avLst>
                              <a:gd name="adj1" fmla="val 12418"/>
                              <a:gd name="adj2" fmla="val 13114"/>
                              <a:gd name="adj3" fmla="val 27275"/>
                              <a:gd name="adj4" fmla="val 26928"/>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horz" wrap="square" lIns="91440" tIns="45720" rIns="91440" bIns="45720" numCol="1" spcCol="0" rtlCol="0" fromWordArt="0" anchor="ctr" anchorCtr="0" forceAA="0" compatLnSpc="1">
                          <a:noAutofit/>
                        </wps:bodyPr>
                      </wps:wsp>
                    </wpc:wpc>
                  </a:graphicData>
                </a:graphic>
              </wp:inline>
            </w:drawing>
          </mc:Choice>
          <mc:Fallback>
            <w:pict>
              <v:group w14:anchorId="722CA696" id="Zone de dessin 5" o:spid="_x0000_s1294" editas="canvas" style="width:454.15pt;height:275.5pt;mso-position-horizontal-relative:char;mso-position-vertical-relative:line" coordsize="57677,34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">
                <v:shape id="_x0000_s1295" type="#_x0000_t75" style="position:absolute;width:57677;height:34988;visibility:visible;mso-wrap-style:square" filled="t" stroked="t" strokecolor="#a5a5a5 [2092]">
                  <v:fill o:detectmouseclick="t"/>
                  <v:path o:connecttype="none"/>
                </v:shape>
                <v:shape id="Zone de texte 1064872950" o:spid="_x0000_s1296" type="#_x0000_t202" style="position:absolute;left:823;top:736;width:15655;height:8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" fillcolor="window" strokeweight=".5pt">
                  <v:textbox>
                    <w:txbxContent>
                      <w:p w14:paraId="17928CE5" w14:textId="77777777" w:rsidR="00606C71" w:rsidRPr="005A1FAD" w:rsidRDefault="00606C71" w:rsidP="00606C71">
                        <w:pPr>
                          <w:spacing w:after="0"/>
                          <w:rPr>
                            <w:rFonts w:ascii="Arial Narrow" w:hAnsi="Arial Narrow"/>
                            <w:b/>
                            <w:bCs/>
                            <w:sz w:val="20"/>
                            <w:szCs w:val="20"/>
                          </w:rPr>
                        </w:pPr>
                        <w:r w:rsidRPr="005A1FAD">
                          <w:rPr>
                            <w:rFonts w:ascii="Arial Narrow" w:hAnsi="Arial Narrow"/>
                            <w:b/>
                            <w:bCs/>
                            <w:sz w:val="20"/>
                            <w:szCs w:val="20"/>
                          </w:rPr>
                          <w:t>Forces motrices</w:t>
                        </w:r>
                      </w:p>
                      <w:p w14:paraId="6C33F87E" w14:textId="77777777" w:rsidR="00606C71" w:rsidRPr="005A1FAD" w:rsidRDefault="00606C71" w:rsidP="00606C71">
                        <w:pPr>
                          <w:pStyle w:val="Paragraphedeliste"/>
                          <w:numPr>
                            <w:ilvl w:val="0"/>
                            <w:numId w:val="50"/>
                          </w:numPr>
                          <w:spacing w:after="0" w:line="240" w:lineRule="auto"/>
                          <w:ind w:left="284" w:hanging="142"/>
                          <w:rPr>
                            <w:rFonts w:ascii="Arial Narrow" w:hAnsi="Arial Narrow"/>
                            <w:b/>
                            <w:bCs/>
                            <w:sz w:val="20"/>
                            <w:szCs w:val="20"/>
                          </w:rPr>
                        </w:pPr>
                        <w:r w:rsidRPr="005A1FAD">
                          <w:rPr>
                            <w:rFonts w:ascii="Arial Narrow" w:eastAsia="Aptos" w:hAnsi="Arial Narrow"/>
                            <w:sz w:val="20"/>
                            <w:szCs w:val="20"/>
                          </w:rPr>
                          <w:t>Croissance démographique</w:t>
                        </w:r>
                      </w:p>
                      <w:p w14:paraId="20D0E8AB" w14:textId="77777777" w:rsidR="00606C71" w:rsidRPr="005A1FAD" w:rsidRDefault="00606C71" w:rsidP="00606C71">
                        <w:pPr>
                          <w:pStyle w:val="Paragraphedeliste"/>
                          <w:numPr>
                            <w:ilvl w:val="0"/>
                            <w:numId w:val="50"/>
                          </w:numPr>
                          <w:spacing w:after="0" w:line="240" w:lineRule="auto"/>
                          <w:ind w:left="284" w:hanging="142"/>
                          <w:rPr>
                            <w:rFonts w:ascii="Arial Narrow" w:hAnsi="Arial Narrow"/>
                            <w:b/>
                            <w:bCs/>
                            <w:sz w:val="20"/>
                            <w:szCs w:val="20"/>
                          </w:rPr>
                        </w:pPr>
                        <w:r w:rsidRPr="005A1FAD">
                          <w:rPr>
                            <w:rFonts w:ascii="Arial Narrow" w:eastAsia="Aptos" w:hAnsi="Arial Narrow"/>
                            <w:sz w:val="20"/>
                            <w:szCs w:val="20"/>
                          </w:rPr>
                          <w:t>Expansion de villes</w:t>
                        </w:r>
                      </w:p>
                      <w:p w14:paraId="097ABB5F" w14:textId="77777777" w:rsidR="00606C71" w:rsidRPr="005A1FAD" w:rsidRDefault="00606C71" w:rsidP="00606C71">
                        <w:pPr>
                          <w:pStyle w:val="Paragraphedeliste"/>
                          <w:numPr>
                            <w:ilvl w:val="0"/>
                            <w:numId w:val="50"/>
                          </w:numPr>
                          <w:spacing w:after="0" w:line="240" w:lineRule="auto"/>
                          <w:ind w:left="284" w:hanging="142"/>
                          <w:rPr>
                            <w:rFonts w:ascii="Arial Narrow" w:hAnsi="Arial Narrow"/>
                            <w:b/>
                            <w:bCs/>
                            <w:sz w:val="20"/>
                            <w:szCs w:val="20"/>
                          </w:rPr>
                        </w:pPr>
                        <w:r w:rsidRPr="005A1FAD">
                          <w:rPr>
                            <w:rFonts w:ascii="Arial Narrow" w:eastAsia="Aptos" w:hAnsi="Arial Narrow"/>
                            <w:sz w:val="20"/>
                            <w:szCs w:val="20"/>
                          </w:rPr>
                          <w:t>Pauvreté</w:t>
                        </w:r>
                      </w:p>
                      <w:p w14:paraId="4472D76B" w14:textId="77777777" w:rsidR="00606C71" w:rsidRPr="005A1FAD" w:rsidRDefault="00606C71" w:rsidP="00606C71">
                        <w:pPr>
                          <w:rPr>
                            <w:rFonts w:ascii="Arial Narrow" w:hAnsi="Arial Narrow"/>
                            <w:sz w:val="20"/>
                            <w:szCs w:val="20"/>
                          </w:rPr>
                        </w:pPr>
                      </w:p>
                    </w:txbxContent>
                  </v:textbox>
                </v:shape>
                <v:shape id="_x0000_s1297" type="#_x0000_t202" style="position:absolute;left:26527;top:735;width:15573;height:8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" fillcolor="window" strokeweight=".5pt">
                  <v:textbox>
                    <w:txbxContent>
                      <w:p w14:paraId="04BF0EA6" w14:textId="77777777" w:rsidR="00606C71" w:rsidRPr="005A1FAD" w:rsidRDefault="00606C71" w:rsidP="00606C71">
                        <w:pPr>
                          <w:spacing w:after="0" w:line="256" w:lineRule="auto"/>
                          <w:rPr>
                            <w:rFonts w:ascii="Arial Narrow" w:eastAsia="Aptos" w:hAnsi="Arial Narrow"/>
                            <w:b/>
                            <w:bCs/>
                            <w:sz w:val="20"/>
                            <w:szCs w:val="20"/>
                          </w:rPr>
                        </w:pPr>
                        <w:r w:rsidRPr="005A1FAD">
                          <w:rPr>
                            <w:rFonts w:ascii="Arial Narrow" w:eastAsia="Aptos" w:hAnsi="Arial Narrow"/>
                            <w:b/>
                            <w:bCs/>
                            <w:sz w:val="20"/>
                            <w:szCs w:val="20"/>
                          </w:rPr>
                          <w:t>Pressions</w:t>
                        </w:r>
                      </w:p>
                      <w:p w14:paraId="30A1A390" w14:textId="77777777" w:rsidR="00606C71" w:rsidRPr="005A1FAD" w:rsidRDefault="00606C71" w:rsidP="00606C71">
                        <w:pPr>
                          <w:pStyle w:val="Paragraphedeliste"/>
                          <w:numPr>
                            <w:ilvl w:val="0"/>
                            <w:numId w:val="50"/>
                          </w:numPr>
                          <w:spacing w:after="0" w:line="240" w:lineRule="auto"/>
                          <w:ind w:left="284" w:hanging="142"/>
                          <w:rPr>
                            <w:rFonts w:ascii="Arial Narrow" w:eastAsia="Aptos" w:hAnsi="Arial Narrow"/>
                            <w:sz w:val="20"/>
                            <w:szCs w:val="20"/>
                          </w:rPr>
                        </w:pPr>
                        <w:r w:rsidRPr="005A1FAD">
                          <w:rPr>
                            <w:rFonts w:ascii="Arial Narrow" w:eastAsia="Aptos" w:hAnsi="Arial Narrow"/>
                            <w:sz w:val="20"/>
                            <w:szCs w:val="20"/>
                          </w:rPr>
                          <w:t>Environnement et écosystèmes urbains</w:t>
                        </w:r>
                      </w:p>
                      <w:p w14:paraId="440C9A10" w14:textId="77777777" w:rsidR="00606C71" w:rsidRPr="005A1FAD" w:rsidRDefault="00606C71" w:rsidP="00606C71">
                        <w:pPr>
                          <w:pStyle w:val="Paragraphedeliste"/>
                          <w:numPr>
                            <w:ilvl w:val="0"/>
                            <w:numId w:val="50"/>
                          </w:numPr>
                          <w:spacing w:after="0" w:line="240" w:lineRule="auto"/>
                          <w:ind w:left="284" w:hanging="142"/>
                          <w:rPr>
                            <w:rFonts w:ascii="Arial Narrow" w:eastAsia="Aptos" w:hAnsi="Arial Narrow"/>
                            <w:sz w:val="20"/>
                            <w:szCs w:val="20"/>
                          </w:rPr>
                        </w:pPr>
                        <w:r w:rsidRPr="005A1FAD">
                          <w:rPr>
                            <w:rFonts w:ascii="Arial Narrow" w:eastAsia="Aptos" w:hAnsi="Arial Narrow"/>
                            <w:sz w:val="20"/>
                            <w:szCs w:val="20"/>
                          </w:rPr>
                          <w:t>Santé humaine et qualité de vie</w:t>
                        </w:r>
                      </w:p>
                      <w:p w14:paraId="327F2DFB" w14:textId="77777777" w:rsidR="00606C71" w:rsidRPr="005A1FAD" w:rsidRDefault="00606C71" w:rsidP="00606C71">
                        <w:pPr>
                          <w:spacing w:line="256" w:lineRule="auto"/>
                          <w:rPr>
                            <w:rFonts w:ascii="Arial Narrow" w:eastAsia="Aptos" w:hAnsi="Arial Narrow"/>
                            <w:sz w:val="20"/>
                            <w:szCs w:val="20"/>
                          </w:rPr>
                        </w:pPr>
                      </w:p>
                      <w:p w14:paraId="5413CBAD" w14:textId="77777777" w:rsidR="00606C71" w:rsidRPr="005A1FAD" w:rsidRDefault="00606C71" w:rsidP="00606C71">
                        <w:pPr>
                          <w:spacing w:line="256" w:lineRule="auto"/>
                          <w:rPr>
                            <w:rFonts w:ascii="Arial Narrow" w:eastAsia="Aptos" w:hAnsi="Arial Narrow"/>
                            <w:sz w:val="20"/>
                            <w:szCs w:val="20"/>
                          </w:rPr>
                        </w:pPr>
                      </w:p>
                    </w:txbxContent>
                  </v:textbox>
                </v:shape>
                <v:shape id="_x0000_s1298" type="#_x0000_t202" style="position:absolute;left:39869;top:13693;width:17096;height:9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" fillcolor="window" strokeweight=".5pt">
                  <v:textbox>
                    <w:txbxContent>
                      <w:p w14:paraId="16798F5B" w14:textId="77777777" w:rsidR="00606C71" w:rsidRPr="005A1FAD" w:rsidRDefault="00606C71" w:rsidP="00606C71">
                        <w:pPr>
                          <w:spacing w:after="0" w:line="240" w:lineRule="auto"/>
                          <w:rPr>
                            <w:rFonts w:ascii="Arial Narrow" w:eastAsia="Aptos" w:hAnsi="Arial Narrow"/>
                            <w:b/>
                            <w:bCs/>
                            <w:sz w:val="20"/>
                            <w:szCs w:val="20"/>
                          </w:rPr>
                        </w:pPr>
                        <w:r w:rsidRPr="005A1FAD">
                          <w:rPr>
                            <w:rFonts w:ascii="Arial Narrow" w:eastAsia="Aptos" w:hAnsi="Arial Narrow"/>
                            <w:b/>
                            <w:bCs/>
                            <w:sz w:val="20"/>
                            <w:szCs w:val="20"/>
                          </w:rPr>
                          <w:t>Etat et changements</w:t>
                        </w:r>
                      </w:p>
                      <w:p w14:paraId="507D51ED" w14:textId="77777777" w:rsidR="00606C71" w:rsidRPr="005A1FAD" w:rsidRDefault="00606C71" w:rsidP="00606C71">
                        <w:pPr>
                          <w:pStyle w:val="Paragraphedeliste"/>
                          <w:numPr>
                            <w:ilvl w:val="0"/>
                            <w:numId w:val="50"/>
                          </w:numPr>
                          <w:spacing w:after="0" w:line="240" w:lineRule="auto"/>
                          <w:ind w:left="284" w:hanging="142"/>
                          <w:rPr>
                            <w:rFonts w:ascii="Arial Narrow" w:eastAsia="Aptos" w:hAnsi="Arial Narrow"/>
                            <w:sz w:val="20"/>
                            <w:szCs w:val="20"/>
                          </w:rPr>
                        </w:pPr>
                        <w:r w:rsidRPr="005A1FAD">
                          <w:rPr>
                            <w:rFonts w:ascii="Arial Narrow" w:eastAsia="Aptos" w:hAnsi="Arial Narrow"/>
                            <w:sz w:val="20"/>
                            <w:szCs w:val="20"/>
                          </w:rPr>
                          <w:t>Etat de l’environnement urbain</w:t>
                        </w:r>
                      </w:p>
                      <w:p w14:paraId="72BCCFF4" w14:textId="77777777" w:rsidR="00606C71" w:rsidRPr="005A1FAD" w:rsidRDefault="00606C71" w:rsidP="00606C71">
                        <w:pPr>
                          <w:pStyle w:val="Paragraphedeliste"/>
                          <w:numPr>
                            <w:ilvl w:val="0"/>
                            <w:numId w:val="50"/>
                          </w:numPr>
                          <w:spacing w:after="0" w:line="240" w:lineRule="auto"/>
                          <w:ind w:left="284" w:hanging="142"/>
                          <w:rPr>
                            <w:rFonts w:ascii="Arial Narrow" w:eastAsia="Aptos" w:hAnsi="Arial Narrow"/>
                            <w:sz w:val="20"/>
                            <w:szCs w:val="20"/>
                          </w:rPr>
                        </w:pPr>
                        <w:r w:rsidRPr="005A1FAD">
                          <w:rPr>
                            <w:rFonts w:ascii="Arial Narrow" w:eastAsia="Aptos" w:hAnsi="Arial Narrow"/>
                            <w:sz w:val="20"/>
                            <w:szCs w:val="20"/>
                          </w:rPr>
                          <w:t>Etat de la société et conditions de vie en milieu urbain</w:t>
                        </w:r>
                      </w:p>
                    </w:txbxContent>
                  </v:textbox>
                </v:shape>
                <v:shape id="_x0000_s1299" type="#_x0000_t202" style="position:absolute;left:18418;top:26249;width:19674;height:7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" fillcolor="window" strokeweight=".5pt">
                  <v:textbox>
                    <w:txbxContent>
                      <w:p w14:paraId="5082C232" w14:textId="77777777" w:rsidR="00606C71" w:rsidRPr="005A1FAD" w:rsidRDefault="00606C71" w:rsidP="00606C71">
                        <w:pPr>
                          <w:spacing w:after="0" w:line="240" w:lineRule="auto"/>
                          <w:rPr>
                            <w:rFonts w:ascii="Arial Narrow" w:eastAsia="Aptos" w:hAnsi="Arial Narrow"/>
                            <w:b/>
                            <w:bCs/>
                            <w:sz w:val="20"/>
                            <w:szCs w:val="20"/>
                          </w:rPr>
                        </w:pPr>
                        <w:r w:rsidRPr="005A1FAD">
                          <w:rPr>
                            <w:rFonts w:ascii="Arial Narrow" w:eastAsia="Aptos" w:hAnsi="Arial Narrow"/>
                            <w:b/>
                            <w:bCs/>
                            <w:sz w:val="20"/>
                            <w:szCs w:val="20"/>
                          </w:rPr>
                          <w:t>Impacts des changements [+ ou –]</w:t>
                        </w:r>
                      </w:p>
                      <w:p w14:paraId="4360CA10" w14:textId="77777777" w:rsidR="00606C71" w:rsidRPr="005A1FAD" w:rsidRDefault="00606C71" w:rsidP="00606C71">
                        <w:pPr>
                          <w:pStyle w:val="Paragraphedeliste"/>
                          <w:numPr>
                            <w:ilvl w:val="0"/>
                            <w:numId w:val="50"/>
                          </w:numPr>
                          <w:spacing w:after="0" w:line="240" w:lineRule="auto"/>
                          <w:ind w:left="284" w:hanging="142"/>
                          <w:rPr>
                            <w:rFonts w:ascii="Arial Narrow" w:eastAsia="Aptos" w:hAnsi="Arial Narrow"/>
                            <w:sz w:val="20"/>
                            <w:szCs w:val="20"/>
                          </w:rPr>
                        </w:pPr>
                        <w:r w:rsidRPr="005A1FAD">
                          <w:rPr>
                            <w:rFonts w:ascii="Arial Narrow" w:eastAsia="Aptos" w:hAnsi="Arial Narrow"/>
                            <w:sz w:val="20"/>
                            <w:szCs w:val="20"/>
                          </w:rPr>
                          <w:t>Environnement</w:t>
                        </w:r>
                      </w:p>
                      <w:p w14:paraId="73348FBE" w14:textId="77777777" w:rsidR="00606C71" w:rsidRPr="005A1FAD" w:rsidRDefault="00606C71" w:rsidP="00606C71">
                        <w:pPr>
                          <w:pStyle w:val="Paragraphedeliste"/>
                          <w:numPr>
                            <w:ilvl w:val="0"/>
                            <w:numId w:val="50"/>
                          </w:numPr>
                          <w:spacing w:after="0" w:line="240" w:lineRule="auto"/>
                          <w:ind w:left="284" w:hanging="142"/>
                          <w:rPr>
                            <w:rFonts w:ascii="Arial Narrow" w:eastAsia="Aptos" w:hAnsi="Arial Narrow"/>
                            <w:sz w:val="20"/>
                            <w:szCs w:val="20"/>
                          </w:rPr>
                        </w:pPr>
                        <w:r w:rsidRPr="005A1FAD">
                          <w:rPr>
                            <w:rFonts w:ascii="Arial Narrow" w:eastAsia="Aptos" w:hAnsi="Arial Narrow"/>
                            <w:sz w:val="20"/>
                            <w:szCs w:val="20"/>
                          </w:rPr>
                          <w:t>Economie</w:t>
                        </w:r>
                      </w:p>
                      <w:p w14:paraId="427B5440" w14:textId="77777777" w:rsidR="00606C71" w:rsidRPr="005A1FAD" w:rsidRDefault="00606C71" w:rsidP="00606C71">
                        <w:pPr>
                          <w:pStyle w:val="Paragraphedeliste"/>
                          <w:numPr>
                            <w:ilvl w:val="0"/>
                            <w:numId w:val="50"/>
                          </w:numPr>
                          <w:spacing w:after="0" w:line="240" w:lineRule="auto"/>
                          <w:ind w:left="284" w:hanging="142"/>
                          <w:rPr>
                            <w:rFonts w:ascii="Arial Narrow" w:eastAsia="Aptos" w:hAnsi="Arial Narrow"/>
                            <w:sz w:val="20"/>
                            <w:szCs w:val="20"/>
                          </w:rPr>
                        </w:pPr>
                        <w:r w:rsidRPr="005A1FAD">
                          <w:rPr>
                            <w:rFonts w:ascii="Arial Narrow" w:eastAsia="Aptos" w:hAnsi="Arial Narrow"/>
                            <w:sz w:val="20"/>
                            <w:szCs w:val="20"/>
                          </w:rPr>
                          <w:t>Société</w:t>
                        </w:r>
                      </w:p>
                    </w:txbxContent>
                  </v:textbox>
                </v:shape>
                <v:shape id="_x0000_s1300" type="#_x0000_t202" style="position:absolute;left:823;top:18243;width:15341;height:5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" fillcolor="window" strokeweight=".5pt">
                  <v:textbox>
                    <w:txbxContent>
                      <w:p w14:paraId="105BE834" w14:textId="77777777" w:rsidR="00606C71" w:rsidRPr="005A1FAD" w:rsidRDefault="00606C71" w:rsidP="00606C71">
                        <w:pPr>
                          <w:spacing w:after="0" w:line="256" w:lineRule="auto"/>
                          <w:rPr>
                            <w:rFonts w:ascii="Arial Narrow" w:eastAsia="Aptos" w:hAnsi="Arial Narrow"/>
                            <w:b/>
                            <w:bCs/>
                            <w:sz w:val="20"/>
                            <w:szCs w:val="20"/>
                          </w:rPr>
                        </w:pPr>
                        <w:r w:rsidRPr="005A1FAD">
                          <w:rPr>
                            <w:rFonts w:ascii="Arial Narrow" w:eastAsia="Aptos" w:hAnsi="Arial Narrow"/>
                            <w:b/>
                            <w:bCs/>
                            <w:sz w:val="20"/>
                            <w:szCs w:val="20"/>
                          </w:rPr>
                          <w:t>Réponses</w:t>
                        </w:r>
                      </w:p>
                      <w:p w14:paraId="30E7DB46" w14:textId="77777777" w:rsidR="00606C71" w:rsidRPr="005A1FAD" w:rsidRDefault="00606C71" w:rsidP="00606C71">
                        <w:pPr>
                          <w:pStyle w:val="Paragraphedeliste"/>
                          <w:numPr>
                            <w:ilvl w:val="0"/>
                            <w:numId w:val="50"/>
                          </w:numPr>
                          <w:spacing w:after="0" w:line="240" w:lineRule="auto"/>
                          <w:ind w:left="284" w:hanging="142"/>
                          <w:rPr>
                            <w:rFonts w:ascii="Arial Narrow" w:eastAsia="Aptos" w:hAnsi="Arial Narrow"/>
                            <w:sz w:val="20"/>
                            <w:szCs w:val="20"/>
                          </w:rPr>
                        </w:pPr>
                        <w:r w:rsidRPr="005A1FAD">
                          <w:rPr>
                            <w:rFonts w:ascii="Arial Narrow" w:eastAsia="Aptos" w:hAnsi="Arial Narrow"/>
                            <w:sz w:val="20"/>
                            <w:szCs w:val="20"/>
                          </w:rPr>
                          <w:t>Politiques</w:t>
                        </w:r>
                      </w:p>
                      <w:p w14:paraId="49D3D1BD" w14:textId="77777777" w:rsidR="00606C71" w:rsidRPr="005A1FAD" w:rsidRDefault="00606C71" w:rsidP="00606C71">
                        <w:pPr>
                          <w:pStyle w:val="Paragraphedeliste"/>
                          <w:numPr>
                            <w:ilvl w:val="0"/>
                            <w:numId w:val="50"/>
                          </w:numPr>
                          <w:spacing w:after="0" w:line="240" w:lineRule="auto"/>
                          <w:ind w:left="284" w:hanging="142"/>
                          <w:rPr>
                            <w:rFonts w:ascii="Arial Narrow" w:eastAsia="Aptos" w:hAnsi="Arial Narrow"/>
                            <w:sz w:val="20"/>
                            <w:szCs w:val="20"/>
                          </w:rPr>
                        </w:pPr>
                        <w:r w:rsidRPr="005A1FAD">
                          <w:rPr>
                            <w:rFonts w:ascii="Arial Narrow" w:eastAsia="Aptos" w:hAnsi="Arial Narrow"/>
                            <w:sz w:val="20"/>
                            <w:szCs w:val="20"/>
                          </w:rPr>
                          <w:t>Pratiques</w:t>
                        </w:r>
                      </w:p>
                      <w:p w14:paraId="5E221A2C" w14:textId="77777777" w:rsidR="00606C71" w:rsidRPr="005A1FAD" w:rsidRDefault="00606C71" w:rsidP="00606C71">
                        <w:pPr>
                          <w:spacing w:after="0" w:line="256" w:lineRule="auto"/>
                          <w:rPr>
                            <w:rFonts w:ascii="Arial Narrow" w:eastAsia="Aptos" w:hAnsi="Arial Narrow"/>
                            <w:b/>
                            <w:bCs/>
                            <w:sz w:val="20"/>
                            <w:szCs w:val="20"/>
                          </w:rPr>
                        </w:pPr>
                      </w:p>
                      <w:p w14:paraId="5D52F402" w14:textId="77777777" w:rsidR="00606C71" w:rsidRPr="005A1FAD" w:rsidRDefault="00606C71" w:rsidP="00606C71">
                        <w:pPr>
                          <w:spacing w:line="256" w:lineRule="auto"/>
                          <w:rPr>
                            <w:rFonts w:ascii="Arial Narrow" w:eastAsia="Aptos" w:hAnsi="Arial Narrow"/>
                            <w:sz w:val="20"/>
                            <w:szCs w:val="20"/>
                          </w:rPr>
                        </w:pPr>
                      </w:p>
                    </w:txbxContent>
                  </v:textbox>
                </v:shape>
                <v:shape id="_x0000_s1301" type="#_x0000_t202" style="position:absolute;left:42100;top:736;width:14863;height:8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" fillcolor="window" strokeweight=".5pt">
                  <v:textbox>
                    <w:txbxContent>
                      <w:p w14:paraId="5267CB64" w14:textId="77777777" w:rsidR="00606C71" w:rsidRPr="005A1FAD" w:rsidRDefault="00606C71" w:rsidP="00606C71">
                        <w:pPr>
                          <w:spacing w:after="0" w:line="256" w:lineRule="auto"/>
                          <w:rPr>
                            <w:rFonts w:ascii="Arial Narrow" w:eastAsia="Aptos" w:hAnsi="Arial Narrow"/>
                            <w:b/>
                            <w:bCs/>
                            <w:sz w:val="20"/>
                            <w:szCs w:val="20"/>
                          </w:rPr>
                        </w:pPr>
                        <w:r w:rsidRPr="005A1FAD">
                          <w:rPr>
                            <w:rFonts w:ascii="Arial Narrow" w:eastAsia="Aptos" w:hAnsi="Arial Narrow"/>
                            <w:b/>
                            <w:bCs/>
                            <w:sz w:val="20"/>
                            <w:szCs w:val="20"/>
                          </w:rPr>
                          <w:t>Mitigation | atténuation</w:t>
                        </w:r>
                      </w:p>
                      <w:p w14:paraId="72F28CEC" w14:textId="77777777" w:rsidR="00606C71" w:rsidRPr="005A1FAD" w:rsidRDefault="00606C71" w:rsidP="00606C71">
                        <w:pPr>
                          <w:pStyle w:val="Paragraphedeliste"/>
                          <w:numPr>
                            <w:ilvl w:val="0"/>
                            <w:numId w:val="50"/>
                          </w:numPr>
                          <w:spacing w:after="0" w:line="240" w:lineRule="auto"/>
                          <w:ind w:left="284" w:hanging="142"/>
                          <w:rPr>
                            <w:rFonts w:ascii="Arial Narrow" w:eastAsia="Aptos" w:hAnsi="Arial Narrow"/>
                            <w:sz w:val="20"/>
                            <w:szCs w:val="20"/>
                          </w:rPr>
                        </w:pPr>
                        <w:r w:rsidRPr="005A1FAD">
                          <w:rPr>
                            <w:rFonts w:ascii="Arial Narrow" w:eastAsia="Aptos" w:hAnsi="Arial Narrow"/>
                            <w:sz w:val="20"/>
                            <w:szCs w:val="20"/>
                          </w:rPr>
                          <w:t>Environnement et écosystèmes urbains</w:t>
                        </w:r>
                      </w:p>
                      <w:p w14:paraId="5E153284" w14:textId="77777777" w:rsidR="00606C71" w:rsidRPr="005A1FAD" w:rsidRDefault="00606C71" w:rsidP="00606C71">
                        <w:pPr>
                          <w:pStyle w:val="Paragraphedeliste"/>
                          <w:numPr>
                            <w:ilvl w:val="0"/>
                            <w:numId w:val="50"/>
                          </w:numPr>
                          <w:spacing w:after="0" w:line="240" w:lineRule="auto"/>
                          <w:ind w:left="284" w:hanging="142"/>
                          <w:rPr>
                            <w:rFonts w:ascii="Arial Narrow" w:eastAsia="Aptos" w:hAnsi="Arial Narrow"/>
                            <w:sz w:val="20"/>
                            <w:szCs w:val="20"/>
                          </w:rPr>
                        </w:pPr>
                        <w:r w:rsidRPr="005A1FAD">
                          <w:rPr>
                            <w:rFonts w:ascii="Arial Narrow" w:eastAsia="Aptos" w:hAnsi="Arial Narrow"/>
                            <w:sz w:val="20"/>
                            <w:szCs w:val="20"/>
                          </w:rPr>
                          <w:t>Santé humaine et qualité de vie</w:t>
                        </w:r>
                      </w:p>
                      <w:p w14:paraId="6E3FEAA9" w14:textId="77777777" w:rsidR="00606C71" w:rsidRPr="005A1FAD" w:rsidRDefault="00606C71" w:rsidP="00606C71">
                        <w:pPr>
                          <w:pStyle w:val="Paragraphedeliste"/>
                          <w:numPr>
                            <w:ilvl w:val="0"/>
                            <w:numId w:val="50"/>
                          </w:numPr>
                          <w:spacing w:after="0" w:line="240" w:lineRule="auto"/>
                          <w:ind w:left="426" w:hanging="142"/>
                          <w:rPr>
                            <w:rFonts w:ascii="Arial Narrow" w:eastAsia="Aptos" w:hAnsi="Arial Narrow"/>
                            <w:sz w:val="20"/>
                            <w:szCs w:val="20"/>
                          </w:rPr>
                        </w:pPr>
                      </w:p>
                    </w:txbxContent>
                  </v:textbox>
                </v:shape>
                <v:shape id="Flèche : droite 1284392904" o:spid="_x0000_s1302" type="#_x0000_t13" style="position:absolute;left:17144;top:3713;width:8906;height:1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" adj="19231" fillcolor="windowText" strokeweight="1pt"/>
                <v:shape id="Flèche : droite 1435635942" o:spid="_x0000_s1303" type="#_x0000_t13" style="position:absolute;left:46705;top:10532;width:4358;height:195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" adj="16745" fillcolor="windowText" strokeweight="1pt"/>
                <v:shape id="Flèche : virage 776207370" o:spid="_x0000_s1304" style="position:absolute;left:38092;top:24139;width:11485;height:9201;rotation:180;visibility:visible;mso-wrap-style:square;v-text-anchor:middle" coordsize="1148483,920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" path="m,920042l,262065c,137270,101167,36103,225962,36103r762084,-1l988046,r160437,87202l988046,174403r,-36102l225962,138301v-68353,,-123764,55411,-123764,123764l102198,920042,,920042xe" fillcolor="windowText" strokeweight="1pt">
                  <v:stroke joinstyle="miter"/>
                  <v:path arrowok="t" o:connecttype="custom" o:connectlocs="0,920042;0,262065;225962,36103;988046,36102;988046,0;1148483,87202;988046,174403;988046,138301;225962,138301;102198,262065;102198,920042;0,920042" o:connectangles="0,0,0,0,0,0,0,0,0,0,0,0"/>
                </v:shape>
                <v:shapetype id="_x0000_t32" coordsize="21600,21600" o:spt="32" o:oned="t" path="m,l21600,21600e" filled="f">
                  <v:path arrowok="t" fillok="f" o:connecttype="none"/>
                  <o:lock v:ext="edit" shapetype="t"/>
                </v:shapetype>
                <v:shape id="Connecteur droit avec flèche 219234697" o:spid="_x0000_s1305" type="#_x0000_t32" style="position:absolute;left:16164;top:17285;width:23705;height:390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" strokecolor="#ed7d31" strokeweight="1.5pt">
                  <v:stroke endarrow="block" joinstyle="miter"/>
                </v:shape>
                <v:shape id="Connecteur droit avec flèche 1225521226" o:spid="_x0000_s1306" type="#_x0000_t32" style="position:absolute;left:16164;top:21191;width:12091;height:50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" strokecolor="#ed7d31" strokeweight="1.5pt">
                  <v:stroke endarrow="block" joinstyle="miter"/>
                </v:shape>
                <v:shape id="Connecteur droit avec flèche 955588269" o:spid="_x0000_s1307" type="#_x0000_t32" style="position:absolute;left:16164;top:9013;width:18149;height:1217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" strokecolor="#ed7d31" strokeweight="1.5pt">
                  <v:stroke endarrow="block" joinstyle="miter"/>
                </v:shape>
                <v:shape id="Connecteur droit avec flèche 2103411568" o:spid="_x0000_s1308" type="#_x0000_t32" style="position:absolute;left:8493;top:9332;width:157;height:89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" strokecolor="#ed7d31" strokeweight="1.5pt">
                  <v:stroke endarrow="block" joinstyle="miter"/>
                </v:shape>
                <v:shape id="Zone de texte 1984286141" o:spid="_x0000_s1309" type="#_x0000_t202" style="position:absolute;left:5588;top:9667;width:3429;height:8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" filled="f" stroked="f" strokeweight=".5pt">
                  <v:textbox style="layout-flow:vertical;mso-layout-flow-alt:bottom-to-top">
                    <w:txbxContent>
                      <w:p w14:paraId="251A4723" w14:textId="77777777" w:rsidR="00606C71" w:rsidRPr="005A1FAD" w:rsidRDefault="00606C71" w:rsidP="00606C71">
                        <w:pPr>
                          <w:jc w:val="center"/>
                          <w:rPr>
                            <w:b/>
                            <w:bCs/>
                            <w:color w:val="002060"/>
                            <w:sz w:val="20"/>
                            <w:szCs w:val="20"/>
                          </w:rPr>
                        </w:pPr>
                        <w:r w:rsidRPr="005A1FAD">
                          <w:rPr>
                            <w:b/>
                            <w:bCs/>
                            <w:color w:val="002060"/>
                            <w:sz w:val="20"/>
                            <w:szCs w:val="20"/>
                          </w:rPr>
                          <w:t>Prévention</w:t>
                        </w:r>
                      </w:p>
                    </w:txbxContent>
                  </v:textbox>
                </v:shape>
                <v:shape id="_x0000_s1310" type="#_x0000_t202" style="position:absolute;left:20986;top:11314;width:3429;height:8141;rotation:370760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" filled="f" stroked="f" strokeweight=".5pt">
                  <v:textbox style="layout-flow:vertical;mso-layout-flow-alt:bottom-to-top">
                    <w:txbxContent>
                      <w:p w14:paraId="7C27D95C" w14:textId="77777777" w:rsidR="00606C71" w:rsidRPr="005A1FAD" w:rsidRDefault="00606C71" w:rsidP="00606C71">
                        <w:pPr>
                          <w:spacing w:line="256" w:lineRule="auto"/>
                          <w:jc w:val="center"/>
                          <w:rPr>
                            <w:rFonts w:ascii="Aptos" w:eastAsia="Aptos" w:hAnsi="Aptos"/>
                            <w:b/>
                            <w:bCs/>
                            <w:color w:val="002060"/>
                            <w:sz w:val="20"/>
                            <w:szCs w:val="20"/>
                          </w:rPr>
                        </w:pPr>
                        <w:r w:rsidRPr="005A1FAD">
                          <w:rPr>
                            <w:rFonts w:ascii="Aptos" w:eastAsia="Aptos" w:hAnsi="Aptos"/>
                            <w:b/>
                            <w:bCs/>
                            <w:color w:val="002060"/>
                            <w:sz w:val="20"/>
                            <w:szCs w:val="20"/>
                          </w:rPr>
                          <w:t>Mitigation</w:t>
                        </w:r>
                      </w:p>
                    </w:txbxContent>
                  </v:textbox>
                </v:shape>
                <v:shape id="_x0000_s1311" type="#_x0000_t202" style="position:absolute;left:27917;top:12505;width:3429;height:10514;rotation:527912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" filled="f" stroked="f" strokeweight=".5pt">
                  <v:textbox style="layout-flow:vertical;mso-layout-flow-alt:bottom-to-top">
                    <w:txbxContent>
                      <w:p w14:paraId="1FCAA1D9" w14:textId="77777777" w:rsidR="00606C71" w:rsidRPr="005A1FAD" w:rsidRDefault="00606C71" w:rsidP="00606C71">
                        <w:pPr>
                          <w:spacing w:line="254" w:lineRule="auto"/>
                          <w:jc w:val="center"/>
                          <w:rPr>
                            <w:rFonts w:ascii="Aptos" w:eastAsia="Aptos" w:hAnsi="Aptos"/>
                            <w:b/>
                            <w:bCs/>
                            <w:color w:val="002060"/>
                            <w:sz w:val="20"/>
                            <w:szCs w:val="20"/>
                          </w:rPr>
                        </w:pPr>
                        <w:r w:rsidRPr="005A1FAD">
                          <w:rPr>
                            <w:rFonts w:ascii="Aptos" w:eastAsia="Aptos" w:hAnsi="Aptos"/>
                            <w:b/>
                            <w:bCs/>
                            <w:color w:val="002060"/>
                            <w:sz w:val="20"/>
                            <w:szCs w:val="20"/>
                          </w:rPr>
                          <w:t>Restauration</w:t>
                        </w:r>
                      </w:p>
                    </w:txbxContent>
                  </v:textbox>
                </v:shape>
                <v:shape id="_x0000_s1312" type="#_x0000_t202" style="position:absolute;left:22153;top:18932;width:3429;height:8128;rotation:736235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" filled="f" stroked="f" strokeweight=".5pt">
                  <v:textbox style="layout-flow:vertical;mso-layout-flow-alt:bottom-to-top">
                    <w:txbxContent>
                      <w:p w14:paraId="3BAFCC63" w14:textId="77777777" w:rsidR="00606C71" w:rsidRPr="005A1FAD" w:rsidRDefault="00606C71" w:rsidP="00606C71">
                        <w:pPr>
                          <w:spacing w:line="252" w:lineRule="auto"/>
                          <w:jc w:val="center"/>
                          <w:rPr>
                            <w:rFonts w:ascii="Aptos" w:eastAsia="Aptos" w:hAnsi="Aptos"/>
                            <w:b/>
                            <w:bCs/>
                            <w:color w:val="002060"/>
                            <w:sz w:val="20"/>
                            <w:szCs w:val="20"/>
                          </w:rPr>
                        </w:pPr>
                        <w:r w:rsidRPr="005A1FAD">
                          <w:rPr>
                            <w:rFonts w:ascii="Aptos" w:eastAsia="Aptos" w:hAnsi="Aptos"/>
                            <w:b/>
                            <w:bCs/>
                            <w:color w:val="002060"/>
                            <w:sz w:val="20"/>
                            <w:szCs w:val="20"/>
                          </w:rPr>
                          <w:t>Adaptation</w:t>
                        </w:r>
                      </w:p>
                    </w:txbxContent>
                  </v:textbox>
                </v:shape>
                <v:shape id="Flèche : virage 779961969" o:spid="_x0000_s1313" style="position:absolute;left:6757;top:22097;width:8818;height:13672;rotation:-90;visibility:visible;mso-wrap-style:square;v-text-anchor:middle" coordsize="881788,136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" path="m,1367147l,298335c,167196,106309,60887,237448,60887r403832,l641280,,881788,115638,641280,231275r,-60887l237448,170388v-70663,,-127947,57284,-127947,127947c109501,654606,109500,1010876,109500,1367147l,1367147xe" fillcolor="windowText" strokeweight="1pt">
                  <v:stroke joinstyle="miter"/>
                  <v:path arrowok="t" o:connecttype="custom" o:connectlocs="0,1367147;0,298335;237448,60887;641280,60887;641280,0;881788,115638;641280,231275;641280,170388;237448,170388;109501,298335;109500,1367147;0,1367147" o:connectangles="0,0,0,0,0,0,0,0,0,0,0,0"/>
                </v:shape>
                <w10:anchorlock/>
              </v:group>
            </w:pict>
          </mc:Fallback>
        </mc:AlternateContent>
      </w:r>
    </w:p>
    <w:p w14:paraId="244A210A" w14:textId="1D7BC768" w:rsidR="00606C71" w:rsidRPr="007C5A6E" w:rsidRDefault="005F025D" w:rsidP="00540B43">
      <w:pPr>
        <w:autoSpaceDE w:val="0"/>
        <w:autoSpaceDN w:val="0"/>
        <w:adjustRightInd w:val="0"/>
        <w:spacing w:after="0" w:line="240" w:lineRule="auto"/>
        <w:rPr>
          <w:rFonts w:ascii="Times New Roman" w:hAnsi="Times New Roman"/>
          <w:sz w:val="20"/>
          <w:szCs w:val="20"/>
        </w:rPr>
      </w:pPr>
      <w:r w:rsidRPr="007C5A6E">
        <w:rPr>
          <w:rFonts w:ascii="Times New Roman" w:hAnsi="Times New Roman"/>
          <w:sz w:val="20"/>
          <w:szCs w:val="20"/>
        </w:rPr>
        <w:t>(</w:t>
      </w:r>
      <w:r w:rsidR="00606C71" w:rsidRPr="007C5A6E">
        <w:rPr>
          <w:rFonts w:ascii="Times New Roman" w:hAnsi="Times New Roman"/>
          <w:sz w:val="20"/>
          <w:szCs w:val="20"/>
        </w:rPr>
        <w:t xml:space="preserve">Source : Auteur, adapté de Learning for </w:t>
      </w:r>
      <w:proofErr w:type="spellStart"/>
      <w:r w:rsidR="00606C71" w:rsidRPr="007C5A6E">
        <w:rPr>
          <w:rFonts w:ascii="Times New Roman" w:hAnsi="Times New Roman"/>
          <w:sz w:val="20"/>
          <w:szCs w:val="20"/>
        </w:rPr>
        <w:t>Sustainability</w:t>
      </w:r>
      <w:proofErr w:type="spellEnd"/>
      <w:r w:rsidR="00606C71" w:rsidRPr="007C5A6E">
        <w:rPr>
          <w:rFonts w:ascii="Times New Roman" w:hAnsi="Times New Roman"/>
          <w:sz w:val="20"/>
          <w:szCs w:val="20"/>
        </w:rPr>
        <w:t>, 2024</w:t>
      </w:r>
      <w:r w:rsidRPr="007C5A6E">
        <w:rPr>
          <w:rFonts w:ascii="Times New Roman" w:hAnsi="Times New Roman"/>
          <w:sz w:val="20"/>
          <w:szCs w:val="20"/>
        </w:rPr>
        <w:t>)</w:t>
      </w:r>
    </w:p>
    <w:p w14:paraId="00DB1D0E" w14:textId="538B382F" w:rsidR="00540B43" w:rsidRPr="007C5A6E" w:rsidRDefault="00606C71" w:rsidP="00540B43">
      <w:pPr>
        <w:spacing w:after="0" w:line="240" w:lineRule="auto"/>
        <w:jc w:val="both"/>
        <w:rPr>
          <w:rFonts w:ascii="Times New Roman" w:eastAsiaTheme="minorHAnsi" w:hAnsi="Times New Roman"/>
          <w:i/>
          <w:iCs/>
          <w:kern w:val="2"/>
          <w:sz w:val="24"/>
          <w:szCs w:val="24"/>
          <w:lang w:eastAsia="en-US"/>
          <w14:ligatures w14:val="standardContextual"/>
        </w:rPr>
      </w:pPr>
      <w:bookmarkStart w:id="1346" w:name="_Toc183230933"/>
      <w:bookmarkStart w:id="1347" w:name="_Toc183240725"/>
      <w:bookmarkStart w:id="1348" w:name="_Toc183340464"/>
      <w:r w:rsidRPr="007C5A6E">
        <w:rPr>
          <w:rFonts w:ascii="Times New Roman" w:eastAsiaTheme="minorHAnsi" w:hAnsi="Times New Roman"/>
          <w:i/>
          <w:iCs/>
          <w:kern w:val="2"/>
          <w:sz w:val="24"/>
          <w:szCs w:val="24"/>
          <w:lang w:eastAsia="en-US"/>
          <w14:ligatures w14:val="standardContextual"/>
        </w:rPr>
        <w:t xml:space="preserve">Figure </w:t>
      </w:r>
      <w:r w:rsidRPr="007C5A6E">
        <w:rPr>
          <w:rFonts w:ascii="Times New Roman" w:eastAsiaTheme="minorHAnsi" w:hAnsi="Times New Roman"/>
          <w:i/>
          <w:iCs/>
          <w:kern w:val="2"/>
          <w:sz w:val="24"/>
          <w:szCs w:val="24"/>
          <w:lang w:eastAsia="en-US"/>
          <w14:ligatures w14:val="standardContextual"/>
        </w:rPr>
        <w:fldChar w:fldCharType="begin"/>
      </w:r>
      <w:r w:rsidRPr="007C5A6E">
        <w:rPr>
          <w:rFonts w:ascii="Times New Roman" w:eastAsiaTheme="minorHAnsi" w:hAnsi="Times New Roman"/>
          <w:i/>
          <w:iCs/>
          <w:kern w:val="2"/>
          <w:sz w:val="24"/>
          <w:szCs w:val="24"/>
          <w:lang w:eastAsia="en-US"/>
          <w14:ligatures w14:val="standardContextual"/>
        </w:rPr>
        <w:instrText xml:space="preserve"> SEQ Figure \* ARABIC </w:instrText>
      </w:r>
      <w:r w:rsidRPr="007C5A6E">
        <w:rPr>
          <w:rFonts w:ascii="Times New Roman" w:eastAsiaTheme="minorHAnsi" w:hAnsi="Times New Roman"/>
          <w:i/>
          <w:iCs/>
          <w:kern w:val="2"/>
          <w:sz w:val="24"/>
          <w:szCs w:val="24"/>
          <w:lang w:eastAsia="en-US"/>
          <w14:ligatures w14:val="standardContextual"/>
        </w:rPr>
        <w:fldChar w:fldCharType="separate"/>
      </w:r>
      <w:r w:rsidR="00B63F25" w:rsidRPr="007C5A6E">
        <w:rPr>
          <w:rFonts w:ascii="Times New Roman" w:eastAsiaTheme="minorHAnsi" w:hAnsi="Times New Roman"/>
          <w:i/>
          <w:iCs/>
          <w:noProof/>
          <w:kern w:val="2"/>
          <w:sz w:val="24"/>
          <w:szCs w:val="24"/>
          <w:lang w:eastAsia="en-US"/>
          <w14:ligatures w14:val="standardContextual"/>
        </w:rPr>
        <w:t>85</w:t>
      </w:r>
      <w:r w:rsidRPr="007C5A6E">
        <w:rPr>
          <w:rFonts w:ascii="Times New Roman" w:eastAsiaTheme="minorHAnsi" w:hAnsi="Times New Roman"/>
          <w:i/>
          <w:iCs/>
          <w:kern w:val="2"/>
          <w:sz w:val="24"/>
          <w:szCs w:val="24"/>
          <w:lang w:eastAsia="en-US"/>
          <w14:ligatures w14:val="standardContextual"/>
        </w:rPr>
        <w:fldChar w:fldCharType="end"/>
      </w:r>
      <w:r w:rsidRPr="007C5A6E">
        <w:rPr>
          <w:rFonts w:ascii="Times New Roman" w:eastAsiaTheme="minorHAnsi" w:hAnsi="Times New Roman"/>
          <w:i/>
          <w:iCs/>
          <w:kern w:val="2"/>
          <w:sz w:val="24"/>
          <w:szCs w:val="24"/>
          <w:lang w:eastAsia="en-US"/>
          <w14:ligatures w14:val="standardContextual"/>
        </w:rPr>
        <w:t>. Cadre conceptuel PEIR</w:t>
      </w:r>
      <w:bookmarkEnd w:id="1346"/>
      <w:bookmarkEnd w:id="1347"/>
      <w:bookmarkEnd w:id="1348"/>
    </w:p>
    <w:p w14:paraId="4AE24ADC" w14:textId="0A913CEE" w:rsidR="00606C71" w:rsidRPr="007C5A6E" w:rsidRDefault="00606C71" w:rsidP="00540B43">
      <w:pPr>
        <w:spacing w:after="0" w:line="240" w:lineRule="auto"/>
        <w:jc w:val="both"/>
        <w:rPr>
          <w:rFonts w:ascii="Times New Roman" w:eastAsiaTheme="minorHAnsi" w:hAnsi="Times New Roman"/>
          <w:i/>
          <w:iCs/>
          <w:kern w:val="2"/>
          <w:sz w:val="24"/>
          <w:szCs w:val="24"/>
          <w:lang w:eastAsia="en-US"/>
          <w14:ligatures w14:val="standardContextual"/>
        </w:rPr>
      </w:pPr>
      <w:r w:rsidRPr="007C5A6E">
        <w:rPr>
          <w:rFonts w:ascii="Times New Roman" w:eastAsiaTheme="minorHAnsi" w:hAnsi="Times New Roman"/>
          <w:i/>
          <w:iCs/>
          <w:kern w:val="2"/>
          <w:sz w:val="24"/>
          <w:szCs w:val="24"/>
          <w:lang w:eastAsia="en-US"/>
          <w14:ligatures w14:val="standardContextual"/>
        </w:rPr>
        <w:t xml:space="preserve"> </w:t>
      </w:r>
    </w:p>
    <w:p w14:paraId="665EA5AC" w14:textId="77777777" w:rsidR="00606C71" w:rsidRPr="007C5A6E" w:rsidRDefault="00606C71" w:rsidP="00712C43">
      <w:pPr>
        <w:pStyle w:val="Titre2"/>
      </w:pPr>
      <w:bookmarkStart w:id="1349" w:name="_Toc176443981"/>
      <w:bookmarkStart w:id="1350" w:name="_Toc176973779"/>
      <w:bookmarkStart w:id="1351" w:name="_Toc177649403"/>
      <w:bookmarkStart w:id="1352" w:name="_Toc183340294"/>
      <w:r w:rsidRPr="007C5A6E">
        <w:t>Les forces motrices de l’urbanisation et de la pauvreté</w:t>
      </w:r>
      <w:bookmarkEnd w:id="1349"/>
      <w:bookmarkEnd w:id="1350"/>
      <w:bookmarkEnd w:id="1351"/>
      <w:bookmarkEnd w:id="1352"/>
    </w:p>
    <w:p w14:paraId="5806A9D3" w14:textId="77777777" w:rsidR="00606C71" w:rsidRPr="007C5A6E" w:rsidRDefault="00606C71" w:rsidP="00540B43">
      <w:pPr>
        <w:spacing w:after="0" w:line="240" w:lineRule="auto"/>
        <w:jc w:val="both"/>
        <w:rPr>
          <w:rFonts w:ascii="Times New Roman" w:eastAsiaTheme="minorHAnsi" w:hAnsi="Times New Roman"/>
          <w:kern w:val="2"/>
          <w:sz w:val="24"/>
          <w:szCs w:val="24"/>
          <w:lang w:eastAsia="en-US"/>
          <w14:ligatures w14:val="standardContextual"/>
        </w:rPr>
      </w:pPr>
    </w:p>
    <w:p w14:paraId="12ADE48A" w14:textId="77777777" w:rsidR="00606C71" w:rsidRPr="007C5A6E" w:rsidRDefault="00606C71" w:rsidP="00540B43">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L'urbanisation et la pauvreté sont deux phénomènes interdépendants qui façonnent profondément le développement économique et social du Burkina Faso. Comprendre les forces motrices de l’urbanisation permet de mieux saisir les dynamiques à l’œuvre derrière la transformation des espaces urbains et leurs conséquences socio-économiques. Cette section explore les principaux facteurs qui alimentent l'urbanisation et leurs liens avec la pauvreté, tout en mettant en lumière les défis et les opportunités en matière de développement durable.</w:t>
      </w:r>
    </w:p>
    <w:p w14:paraId="17B100E1"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3425304A" w14:textId="77777777" w:rsidR="00606C71" w:rsidRPr="007C5A6E" w:rsidRDefault="00606C71" w:rsidP="00540B43">
      <w:pPr>
        <w:pStyle w:val="Titre3"/>
      </w:pPr>
      <w:bookmarkStart w:id="1353" w:name="_Toc176973780"/>
      <w:bookmarkStart w:id="1354" w:name="_Toc177649404"/>
      <w:bookmarkStart w:id="1355" w:name="_Toc176443982"/>
      <w:bookmarkStart w:id="1356" w:name="_Toc179043960"/>
      <w:bookmarkStart w:id="1357" w:name="_Toc183340295"/>
      <w:r w:rsidRPr="007C5A6E">
        <w:t>Moteurs de l’urbanisation</w:t>
      </w:r>
      <w:bookmarkEnd w:id="1353"/>
      <w:bookmarkEnd w:id="1354"/>
      <w:bookmarkEnd w:id="1355"/>
      <w:bookmarkEnd w:id="1356"/>
      <w:bookmarkEnd w:id="1357"/>
      <w:r w:rsidRPr="007C5A6E">
        <w:t xml:space="preserve"> </w:t>
      </w:r>
    </w:p>
    <w:p w14:paraId="11BA5C87" w14:textId="77777777" w:rsidR="00606C71" w:rsidRPr="007C5A6E" w:rsidRDefault="00606C71" w:rsidP="00540B43">
      <w:pPr>
        <w:spacing w:after="0" w:line="240" w:lineRule="auto"/>
        <w:jc w:val="both"/>
        <w:rPr>
          <w:rFonts w:ascii="Times New Roman" w:eastAsiaTheme="minorHAnsi" w:hAnsi="Times New Roman"/>
          <w:kern w:val="2"/>
          <w14:ligatures w14:val="standardContextual"/>
        </w:rPr>
      </w:pPr>
    </w:p>
    <w:p w14:paraId="357C721F" w14:textId="77777777" w:rsidR="00606C71" w:rsidRPr="007C5A6E" w:rsidRDefault="00606C71" w:rsidP="00540B43">
      <w:pPr>
        <w:pStyle w:val="Titre4"/>
      </w:pPr>
      <w:bookmarkStart w:id="1358" w:name="_Toc177649405"/>
      <w:bookmarkStart w:id="1359" w:name="_Toc179043961"/>
      <w:bookmarkStart w:id="1360" w:name="_Toc183340296"/>
      <w:r w:rsidRPr="007C5A6E">
        <w:t>Déconnexion entre politiques, actions et pratiques</w:t>
      </w:r>
      <w:bookmarkEnd w:id="1358"/>
      <w:bookmarkEnd w:id="1359"/>
      <w:bookmarkEnd w:id="1360"/>
    </w:p>
    <w:p w14:paraId="0232E941"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p>
    <w:p w14:paraId="762B1BDB" w14:textId="77777777"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La gestion de la croissance démographique et de l’expansion urbaine nécessite un cadre de politiques et de réglementations adapté aux défis socio-économiques, environnementaux et infrastructurels </w:t>
      </w:r>
      <w:sdt>
        <w:sdtPr>
          <w:rPr>
            <w:rFonts w:ascii="Times New Roman" w:eastAsiaTheme="minorHAnsi" w:hAnsi="Times New Roman"/>
            <w:kern w:val="2"/>
            <w:sz w:val="24"/>
            <w:szCs w:val="24"/>
            <w:lang w:eastAsia="en-US"/>
            <w14:ligatures w14:val="standardContextual"/>
          </w:rPr>
          <w:id w:val="669536228"/>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ABa22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(Bajpai, Stratton-Short, &amp; Adelekan, 2022)</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 </w:t>
      </w:r>
      <w:sdt>
        <w:sdtPr>
          <w:rPr>
            <w:rFonts w:ascii="Times New Roman" w:eastAsiaTheme="minorHAnsi" w:hAnsi="Times New Roman"/>
            <w:kern w:val="2"/>
            <w:sz w:val="24"/>
            <w:szCs w:val="24"/>
            <w:lang w:eastAsia="en-US"/>
            <w14:ligatures w14:val="standardContextual"/>
          </w:rPr>
          <w:id w:val="-1788265651"/>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Ban231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(Banque Mondiale, 2023)</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w:t>
          </w:r>
        </w:sdtContent>
      </w:sdt>
      <w:r w:rsidRPr="007C5A6E">
        <w:rPr>
          <w:rFonts w:ascii="Times New Roman" w:eastAsiaTheme="minorHAnsi" w:hAnsi="Times New Roman"/>
          <w:kern w:val="2"/>
          <w:sz w:val="24"/>
          <w:szCs w:val="24"/>
          <w:lang w:eastAsia="en-US"/>
          <w14:ligatures w14:val="standardContextual"/>
        </w:rPr>
        <w:t xml:space="preserve"> Conscient de cela, l'État burkinabè a mis en place un cadre stratégique et réglementaire appréciable pour faire face aux défis urbains croissants. </w:t>
      </w:r>
    </w:p>
    <w:p w14:paraId="5C412380"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6ED89812" w14:textId="6CED0762"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En 2008, la Politique nationale de l'habitat et du développement urbain (PNHDU) a posé les bases d'un développement urbain durable. Cette politique est soutenue ultérieurement par des référentiels nationaux de développement solide comme le Plan national de développement économique et social (PNDES, 2016-2020 ; 2021-2025) et le Plan d'action de stabilisation et de développement (PASD, 2023-2025) qui incluent de fortes composantes sur l’urbanisation. Le Schéma national d’aménagement et de développement durable du territoire (SNADDT, 2021-2040) renforce le cadre établi avec une vision de long terme. Instrument de la Loi sur la Réorganisation agraire et foncière (RAF) adoptée en 1984 et relue en 1991, 1996 et 2012, ce schéma national s’appuie sur des sous-instruments comme le Schéma régional d’aménagement et de développement durable du territoire (SRADDT), le Schéma provincial d’aménagement et de développement durable du territoire (SPADDT), le Schéma directeur d'aménagement et de développement durable du territoire (SDADDT), le Schéma d’organisation fonctionnelle et d’aménagement (SOFA), la Directive territoriale d’aménagement (DTA).</w:t>
      </w:r>
    </w:p>
    <w:p w14:paraId="43788DDD"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064ED085" w14:textId="4394EDEE"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Des actions spécifiques concrètes, traduites dans la stratégie du Schéma directeur d’aménagement et d’urbanisme (SDAU), et du Schéma d’organisation fonctionnel et d’aménagement, renforcent le cadre de la gestion de l'urbanisation à travers l’aménagement spatial et l'amélioration des infrastructures. Le Projet de mobilité et de développement urbain des villes secondaires (PMDUVS) d’un coût total estimé à 124 milliards de FCFA, lancé en 2024, cible également ces objectifs. Parallèlement, le Programme national de construction de logements (PNCL) d’un coût estimé à 480 milliards de FCFA, adopté en 2016 et qui a pris forme en 2019, vise à répondre à la demande accrue en logements pour les ménages à faibles revenus.</w:t>
      </w:r>
    </w:p>
    <w:p w14:paraId="18A23A09" w14:textId="77777777"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Sur le plan environnemental, les différents Codes de l’environnement (1997, 2013) et les Codes de l’urbanisme assurent une gestion durable des ressources naturelles et produites, mais également la gouvernance des affaires domaniales et de construction. Au titre de ces différents cadres, la législation impose par exemple des Études d’impact environnemental et social (EIES) pour limiter les effets négatifs des projets urbains et introduit des initiatives pour la gestion des déchets et la préservation des espaces verts. Ces politiques s'alignent relativement bien avec les directives et recommandations actuelles pour une croissance urbaine maîtrisée, inclusive et respectueuse de l'environnement. Cependant, à ce jour, leur mise en œuvre reste un grand défi. </w:t>
      </w:r>
    </w:p>
    <w:p w14:paraId="1B9D209C"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22993C32" w14:textId="5C4D46AC"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Malgré les efforts fournis, par exemple, l’Indicateur de performance environnementale (IPE) du Burkina Faso est passé de 43,71 en 2016 à 38,3 en 2020, soit une baisse de plus de 5 points de pourcentage en l’espace de 5 ans. L’analyse faite dans le PNDES II attribue cette contreperformance, notamment à la faible application des textes législatifs et réglementaires en matière d’environnement et de développement durable. De même, l’interdiction des sachets plastiques non biodégradables, mise en place en 2014 par la Loi n°017-2014/AN portant interdiction de la production, de l’importation, de la commercialisation et de la distribution des emballages et sachets plastiques non biodégradables, semble avoir eu peu d'impact sur les pratiques des producteurs et consommateurs </w:t>
      </w:r>
      <w:sdt>
        <w:sdtPr>
          <w:rPr>
            <w:rFonts w:ascii="Times New Roman" w:eastAsiaTheme="minorHAnsi" w:hAnsi="Times New Roman"/>
            <w:kern w:val="2"/>
            <w:sz w:val="24"/>
            <w:szCs w:val="24"/>
            <w:lang w:eastAsia="en-US"/>
            <w14:ligatures w14:val="standardContextual"/>
          </w:rPr>
          <w:id w:val="732667606"/>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Swi18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(SAG, 2019)</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En 2019, une étude de Switch </w:t>
      </w:r>
      <w:proofErr w:type="spellStart"/>
      <w:r w:rsidRPr="007C5A6E">
        <w:rPr>
          <w:rFonts w:ascii="Times New Roman" w:eastAsiaTheme="minorHAnsi" w:hAnsi="Times New Roman"/>
          <w:kern w:val="2"/>
          <w:sz w:val="24"/>
          <w:szCs w:val="24"/>
          <w:lang w:eastAsia="en-US"/>
          <w14:ligatures w14:val="standardContextual"/>
        </w:rPr>
        <w:t>Africa</w:t>
      </w:r>
      <w:proofErr w:type="spellEnd"/>
      <w:r w:rsidRPr="007C5A6E">
        <w:rPr>
          <w:rFonts w:ascii="Times New Roman" w:eastAsiaTheme="minorHAnsi" w:hAnsi="Times New Roman"/>
          <w:kern w:val="2"/>
          <w:sz w:val="24"/>
          <w:szCs w:val="24"/>
          <w:lang w:eastAsia="en-US"/>
          <w14:ligatures w14:val="standardContextual"/>
        </w:rPr>
        <w:t xml:space="preserve"> green (SAG) avait révélé que 33% des ménages jettent leurs déchets dans la rue et/ou les caniveaux, 26% dans les parcelles vides et/ou les espaces verts et 6% dans les cours d’eau (SAG, 2019). Pour l’année 2018, une étude de l’INSD, montrait que les rues ou les dépotoirs spontanés sont, à 60,9%, les modes d’évacuation des ordures les plus utilisés par les ménages urbains </w:t>
      </w:r>
      <w:sdt>
        <w:sdtPr>
          <w:rPr>
            <w:rFonts w:ascii="Times New Roman" w:eastAsiaTheme="minorHAnsi" w:hAnsi="Times New Roman"/>
            <w:kern w:val="2"/>
            <w:sz w:val="24"/>
            <w:szCs w:val="24"/>
            <w:lang w:eastAsia="en-US"/>
            <w14:ligatures w14:val="standardContextual"/>
          </w:rPr>
          <w:id w:val="1641235369"/>
          <w:citation/>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INS20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(INSD, 2020)</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w:t>
      </w:r>
    </w:p>
    <w:p w14:paraId="6BA7043B" w14:textId="77777777"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Par ailleurs, malgré des cadres bien établis en faveur de l’équité en matière d’urbanisation, le milieu urbain continue de concentrer la majeure partie des investissements publics. En matière d’infrastructures routières par exemple, 62% des crédits d’investissements visaient la voirie urbaine, contre seulement 12,7% pour les pistes rurales et 7,6% pour les voies bitumées alors que la population urbaine ne représente que 26,1% des citoyens burkinabè </w:t>
      </w:r>
      <w:sdt>
        <w:sdtPr>
          <w:rPr>
            <w:rFonts w:ascii="Times New Roman" w:eastAsiaTheme="minorHAnsi" w:hAnsi="Times New Roman"/>
            <w:kern w:val="2"/>
            <w:sz w:val="24"/>
            <w:szCs w:val="24"/>
            <w:lang w:eastAsia="en-US"/>
            <w14:ligatures w14:val="standardContextual"/>
          </w:rPr>
          <w:id w:val="931314358"/>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MID23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(MID, 2023)</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En considérant le secteur de l’électricité, en moyenne, entre 2005 et 2018, 17,7% des ménages ont accès à l’électricité au niveau national. Dans les régions comme le Centre et les Hauts Bassins, ces taux sont respectivement de 56,4% et 30,3%. Ce type de déséquilibre, exacerbé par le manque de moyens pour appliquer les politiques adoptées, renforce l'attraction des migrants vers les centres-villes.</w:t>
      </w:r>
    </w:p>
    <w:p w14:paraId="015A42E0" w14:textId="77777777" w:rsidR="00606C71" w:rsidRPr="007C5A6E" w:rsidRDefault="00606C71" w:rsidP="00540B43">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Globalement, ces faits illustrent bien un écart non négligeable entre les réglementations et leur application sur le terrain ; un véritable "talon d'Achille" pour le Burkina Faso. Bien que les cadres politiques soient bien en place, leur exécution est souvent entravée par la faiblesse des capacités financières et techniques, compromettant ainsi leur efficacité </w:t>
      </w:r>
      <w:sdt>
        <w:sdtPr>
          <w:rPr>
            <w:rFonts w:ascii="Times New Roman" w:eastAsiaTheme="minorHAnsi" w:hAnsi="Times New Roman"/>
            <w:kern w:val="2"/>
            <w:sz w:val="24"/>
            <w:szCs w:val="24"/>
            <w:lang w:eastAsia="en-US"/>
            <w14:ligatures w14:val="standardContextual"/>
          </w:rPr>
          <w:id w:val="1359079254"/>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ONU15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(ONUDI, 2015)</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w:t>
          </w:r>
        </w:sdtContent>
      </w:sdt>
      <w:r w:rsidRPr="007C5A6E">
        <w:rPr>
          <w:rFonts w:ascii="Times New Roman" w:eastAsiaTheme="minorHAnsi" w:hAnsi="Times New Roman"/>
          <w:kern w:val="2"/>
          <w:sz w:val="24"/>
          <w:szCs w:val="24"/>
          <w:lang w:eastAsia="en-US"/>
          <w14:ligatures w14:val="standardContextual"/>
        </w:rPr>
        <w:t xml:space="preserve"> </w:t>
      </w:r>
      <w:sdt>
        <w:sdtPr>
          <w:rPr>
            <w:rFonts w:ascii="Times New Roman" w:eastAsiaTheme="minorHAnsi" w:hAnsi="Times New Roman"/>
            <w:kern w:val="2"/>
            <w:sz w:val="24"/>
            <w:szCs w:val="24"/>
            <w:lang w:eastAsia="en-US"/>
            <w14:ligatures w14:val="standardContextual"/>
          </w:rPr>
          <w:id w:val="1484575528"/>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Swi18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(SAG, 2019)</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w:t>
          </w:r>
        </w:sdtContent>
      </w:sdt>
      <w:r w:rsidRPr="007C5A6E">
        <w:rPr>
          <w:rFonts w:ascii="Times New Roman" w:eastAsiaTheme="minorHAnsi" w:hAnsi="Times New Roman"/>
          <w:kern w:val="2"/>
          <w:sz w:val="24"/>
          <w:szCs w:val="24"/>
          <w:lang w:eastAsia="en-US"/>
          <w14:ligatures w14:val="standardContextual"/>
        </w:rPr>
        <w:t xml:space="preserve"> </w:t>
      </w:r>
      <w:sdt>
        <w:sdtPr>
          <w:rPr>
            <w:rFonts w:ascii="Times New Roman" w:eastAsiaTheme="minorHAnsi" w:hAnsi="Times New Roman"/>
            <w:kern w:val="2"/>
            <w:sz w:val="24"/>
            <w:szCs w:val="24"/>
            <w:lang w:eastAsia="en-US"/>
            <w14:ligatures w14:val="standardContextual"/>
          </w:rPr>
          <w:id w:val="-1804917598"/>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CITATION INS20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(INSD, 2020)</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Mais, le problème ne réside pas seulement dans les textes eux-mêmes, mais dans la fragmentation des responsabilités intégrées et coordonnées entre les municipalités et l'État central, limitant ainsi l'efficacité des mesures mises en place </w:t>
      </w:r>
      <w:sdt>
        <w:sdtPr>
          <w:rPr>
            <w:rFonts w:ascii="Times New Roman" w:eastAsiaTheme="minorHAnsi" w:hAnsi="Times New Roman"/>
            <w:kern w:val="2"/>
            <w:sz w:val="24"/>
            <w:szCs w:val="24"/>
            <w:lang w:eastAsia="en-US"/>
            <w14:ligatures w14:val="standardContextual"/>
          </w:rPr>
          <w:id w:val="1592431438"/>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CGL08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(CGLU, 2008)</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w:t>
      </w:r>
    </w:p>
    <w:p w14:paraId="56800F83"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7EC42D2A" w14:textId="77777777" w:rsidR="00606C71" w:rsidRPr="007C5A6E" w:rsidRDefault="00606C71" w:rsidP="00540B43">
      <w:pPr>
        <w:pStyle w:val="Titre4"/>
      </w:pPr>
      <w:bookmarkStart w:id="1361" w:name="_Toc176973782"/>
      <w:bookmarkStart w:id="1362" w:name="_Toc177649406"/>
      <w:bookmarkStart w:id="1363" w:name="_Toc179043962"/>
      <w:bookmarkStart w:id="1364" w:name="_Toc183340297"/>
      <w:bookmarkStart w:id="1365" w:name="_Toc176443984"/>
      <w:r w:rsidRPr="007C5A6E">
        <w:t>Croissance démographique</w:t>
      </w:r>
      <w:bookmarkEnd w:id="1361"/>
      <w:bookmarkEnd w:id="1362"/>
      <w:bookmarkEnd w:id="1363"/>
      <w:bookmarkEnd w:id="1364"/>
      <w:r w:rsidRPr="007C5A6E">
        <w:t xml:space="preserve"> </w:t>
      </w:r>
      <w:bookmarkEnd w:id="1365"/>
    </w:p>
    <w:p w14:paraId="4705A164"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p>
    <w:p w14:paraId="3E0D4561" w14:textId="77777777"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La croissance démographique est l'un des principaux moteurs de l'expansion urbaine dans de nombreux pays en développement. Elle se manifeste par une augmentation naturelle de la population et des flux migratoires, notamment internes </w:t>
      </w:r>
      <w:sdt>
        <w:sdtPr>
          <w:rPr>
            <w:rFonts w:ascii="Times New Roman" w:eastAsiaTheme="minorHAnsi" w:hAnsi="Times New Roman"/>
            <w:kern w:val="2"/>
            <w:sz w:val="24"/>
            <w:szCs w:val="24"/>
            <w:lang w:eastAsia="en-US"/>
            <w14:ligatures w14:val="standardContextual"/>
          </w:rPr>
          <w:id w:val="567307489"/>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NU18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(NU, 2018)</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w:t>
      </w:r>
    </w:p>
    <w:p w14:paraId="5A472061"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1E2B8217" w14:textId="1477FD8F"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Au Burkina Faso, l'analyse des données démographiques met en évidence des jeux de cette dynamique, c’est-à-dire des dynamiques de croissance rapide tant pour la population totale que pour la population urbaine entre 1975 et 2019. Durant cette période, la population totale du pays est passée de 5,6 millions à 20,5 millions d'habitants, soit une multiplication par près de quatre comme précédemment mentionné. Cette dynamique est le résultat d’un taux de croissance démographique relativement élevé, lié à une natalité encore élevée, même si elle est en baisse relative, et à une baisse progressive de la mortalité </w:t>
      </w:r>
      <w:sdt>
        <w:sdtPr>
          <w:rPr>
            <w:rFonts w:ascii="Times New Roman" w:eastAsiaTheme="minorHAnsi" w:hAnsi="Times New Roman"/>
            <w:kern w:val="2"/>
            <w:sz w:val="24"/>
            <w:szCs w:val="24"/>
            <w:lang w:eastAsia="en-US"/>
            <w14:ligatures w14:val="standardContextual"/>
          </w:rPr>
          <w:id w:val="-1179644939"/>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INS09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(INSD, 2009)</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w:t>
      </w:r>
    </w:p>
    <w:p w14:paraId="4CEF6C14"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062A7CC2" w14:textId="5CD405CD"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Pour les centres urbains, ces dynamiques se traduisent par une pression croissante sur les infrastructures, les ressources naturelles et par une extension spatiale des villes dans les zones périurbaines et rurales, favorisant la création de zones résidentielles informelles, communément appelées "non loties" au Burkina Faso. Avec le temps, ce processus est accompagné d’une augmentation significative de la demande en logements, en eau, en énergie et en services de base (santé, éducation, transport, logement, etc.). Ce qui constitue de grands défis pour les décideurs et les urbanistes </w:t>
      </w:r>
      <w:sdt>
        <w:sdtPr>
          <w:rPr>
            <w:rFonts w:ascii="Times New Roman" w:eastAsiaTheme="minorHAnsi" w:hAnsi="Times New Roman"/>
            <w:kern w:val="2"/>
            <w:sz w:val="24"/>
            <w:szCs w:val="24"/>
            <w:lang w:eastAsia="en-US"/>
            <w14:ligatures w14:val="standardContextual"/>
          </w:rPr>
          <w:id w:val="1332101148"/>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ONU10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(ONU-Habitat, 2010)</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 </w:t>
      </w:r>
      <w:sdt>
        <w:sdtPr>
          <w:rPr>
            <w:rFonts w:ascii="Times New Roman" w:eastAsiaTheme="minorHAnsi" w:hAnsi="Times New Roman"/>
            <w:kern w:val="2"/>
            <w:sz w:val="24"/>
            <w:szCs w:val="24"/>
            <w:lang w:eastAsia="en-US"/>
            <w14:ligatures w14:val="standardContextual"/>
          </w:rPr>
          <w:id w:val="1450429704"/>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Ban231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(Banque Mondiale, 2023)</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w:t>
      </w:r>
    </w:p>
    <w:p w14:paraId="2700CE22" w14:textId="77777777" w:rsidR="00606C71" w:rsidRPr="007C5A6E" w:rsidRDefault="00606C71" w:rsidP="00540B43">
      <w:pPr>
        <w:spacing w:after="0" w:line="240" w:lineRule="auto"/>
        <w:jc w:val="both"/>
        <w:rPr>
          <w:rFonts w:ascii="Times New Roman" w:eastAsiaTheme="minorHAnsi" w:hAnsi="Times New Roman"/>
          <w:kern w:val="2"/>
          <w:lang w:eastAsia="en-US"/>
          <w14:ligatures w14:val="standardContextual"/>
        </w:rPr>
      </w:pPr>
    </w:p>
    <w:p w14:paraId="64F0B5E8" w14:textId="77777777" w:rsidR="00606C71" w:rsidRPr="007C5A6E" w:rsidRDefault="00606C71" w:rsidP="00540B43">
      <w:pPr>
        <w:pStyle w:val="Titre4"/>
      </w:pPr>
      <w:bookmarkStart w:id="1366" w:name="_Toc176973783"/>
      <w:bookmarkStart w:id="1367" w:name="_Toc177649407"/>
      <w:bookmarkStart w:id="1368" w:name="_Toc179043963"/>
      <w:bookmarkStart w:id="1369" w:name="_Toc183340298"/>
      <w:bookmarkStart w:id="1370" w:name="_Toc176443985"/>
      <w:r w:rsidRPr="007C5A6E">
        <w:t>Migration rurale - urbaine</w:t>
      </w:r>
      <w:bookmarkEnd w:id="1366"/>
      <w:bookmarkEnd w:id="1367"/>
      <w:bookmarkEnd w:id="1368"/>
      <w:bookmarkEnd w:id="1369"/>
    </w:p>
    <w:bookmarkEnd w:id="1370"/>
    <w:p w14:paraId="017F7108"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p>
    <w:p w14:paraId="111FFB07" w14:textId="77777777"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En 2019, le 5</w:t>
      </w:r>
      <w:r w:rsidRPr="007C5A6E">
        <w:rPr>
          <w:rFonts w:ascii="Times New Roman" w:eastAsiaTheme="minorHAnsi" w:hAnsi="Times New Roman"/>
          <w:kern w:val="2"/>
          <w:sz w:val="24"/>
          <w:szCs w:val="24"/>
          <w:vertAlign w:val="superscript"/>
          <w:lang w:eastAsia="en-US"/>
          <w14:ligatures w14:val="standardContextual"/>
        </w:rPr>
        <w:t>ème</w:t>
      </w:r>
      <w:r w:rsidRPr="007C5A6E">
        <w:rPr>
          <w:rFonts w:ascii="Times New Roman" w:eastAsiaTheme="minorHAnsi" w:hAnsi="Times New Roman"/>
          <w:kern w:val="2"/>
          <w:sz w:val="24"/>
          <w:szCs w:val="24"/>
          <w:lang w:eastAsia="en-US"/>
          <w14:ligatures w14:val="standardContextual"/>
        </w:rPr>
        <w:t xml:space="preserve"> Recensement général de la population et de l'habitation (RGPH) a recensé 3 494 722 migrants au Burkina Faso </w:t>
      </w:r>
      <w:sdt>
        <w:sdtPr>
          <w:rPr>
            <w:rFonts w:ascii="Times New Roman" w:eastAsiaTheme="minorHAnsi" w:hAnsi="Times New Roman"/>
            <w:kern w:val="2"/>
            <w:sz w:val="24"/>
            <w:szCs w:val="24"/>
            <w:lang w:eastAsia="en-US"/>
            <w14:ligatures w14:val="standardContextual"/>
          </w:rPr>
          <w:id w:val="-1794131661"/>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CITATION INS23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(INSD, 2023b)</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Ces migrants représentaient 19,2% de la population totale résidente, dont 5,8% de migrants internationaux et 13,4% de migrants internes. Ces données soulignent l'importance des migrations internes, bien plus élevées que les flux internationaux, dans la dynamique démographique du pays. Elle est alimentée par l’attractivité des villes (logements, sécurité, etc.). Par exemple, pendant que 55,6% des habitants des zones urbaines vivent dans des maisons de bonne structure, seuls 11,5% de ceux en milieu rural bénéficient de ce type de logement </w:t>
      </w:r>
      <w:sdt>
        <w:sdtPr>
          <w:rPr>
            <w:rFonts w:ascii="Times New Roman" w:eastAsiaTheme="minorHAnsi" w:hAnsi="Times New Roman"/>
            <w:kern w:val="2"/>
            <w:sz w:val="24"/>
            <w:szCs w:val="24"/>
            <w:lang w:eastAsia="en-US"/>
            <w14:ligatures w14:val="standardContextual"/>
          </w:rPr>
          <w:id w:val="-1734768439"/>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CITATION INS231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(INSD, 2023a)</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w:t>
      </w:r>
    </w:p>
    <w:p w14:paraId="12EDFB16" w14:textId="5897409B" w:rsidR="00606C71" w:rsidRPr="007C5A6E" w:rsidRDefault="00606C71" w:rsidP="00540B43">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En examinant la répartition des migrations par milieu de résidence, il apparaît que les zones urbaines concentrent une proportion significativement plus élevée de migrants par rapport aux zones rurales. En 2006, avec respectivement 72,9% et 24,7%, les régions du Centre et des Hauts Bassins concentrent ainsi à elles seules 97,6% des migrants de destination urbaine au Burkina Faso. Selon les données actuelles, les migrants représentent 32,7% de la population urbaine (cf. tableau </w:t>
      </w:r>
      <w:r w:rsidR="007B73C3" w:rsidRPr="007C5A6E">
        <w:rPr>
          <w:rFonts w:ascii="Times New Roman" w:eastAsiaTheme="minorHAnsi" w:hAnsi="Times New Roman"/>
          <w:kern w:val="2"/>
          <w:sz w:val="24"/>
          <w:szCs w:val="24"/>
          <w:lang w:eastAsia="en-US"/>
          <w14:ligatures w14:val="standardContextual"/>
        </w:rPr>
        <w:t>6</w:t>
      </w:r>
      <w:r w:rsidRPr="007C5A6E">
        <w:rPr>
          <w:rFonts w:ascii="Times New Roman" w:eastAsiaTheme="minorHAnsi" w:hAnsi="Times New Roman"/>
          <w:kern w:val="2"/>
          <w:sz w:val="24"/>
          <w:szCs w:val="24"/>
          <w:lang w:eastAsia="en-US"/>
          <w14:ligatures w14:val="standardContextual"/>
        </w:rPr>
        <w:t xml:space="preserve">1). Cependant, en termes absolus, le milieu rural abrite une majorité des migrants avec 55,2% du total, tandis que les villes en regroupent 44,8%. Ces données mettent en évidence </w:t>
      </w:r>
      <w:proofErr w:type="gramStart"/>
      <w:r w:rsidRPr="007C5A6E">
        <w:rPr>
          <w:rFonts w:ascii="Times New Roman" w:eastAsiaTheme="minorHAnsi" w:hAnsi="Times New Roman"/>
          <w:kern w:val="2"/>
          <w:sz w:val="24"/>
          <w:szCs w:val="24"/>
          <w:lang w:eastAsia="en-US"/>
          <w14:ligatures w14:val="standardContextual"/>
        </w:rPr>
        <w:t>une double</w:t>
      </w:r>
      <w:proofErr w:type="gramEnd"/>
      <w:r w:rsidRPr="007C5A6E">
        <w:rPr>
          <w:rFonts w:ascii="Times New Roman" w:eastAsiaTheme="minorHAnsi" w:hAnsi="Times New Roman"/>
          <w:kern w:val="2"/>
          <w:sz w:val="24"/>
          <w:szCs w:val="24"/>
          <w:lang w:eastAsia="en-US"/>
          <w14:ligatures w14:val="standardContextual"/>
        </w:rPr>
        <w:t xml:space="preserve"> dynamique. Même si les villes burkinabè attirent fortement en raison des opportunités économiques, des services publics améliorés et d'une meilleure sécurité, etc. </w:t>
      </w:r>
      <w:sdt>
        <w:sdtPr>
          <w:rPr>
            <w:rFonts w:ascii="Times New Roman" w:eastAsiaTheme="minorHAnsi" w:hAnsi="Times New Roman"/>
            <w:kern w:val="2"/>
            <w:sz w:val="24"/>
            <w:szCs w:val="24"/>
            <w:lang w:eastAsia="en-US"/>
            <w14:ligatures w14:val="standardContextual"/>
          </w:rPr>
          <w:id w:val="1277915300"/>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CITATION INS222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(INSD-RGPH, 2022)</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les zones rurales continuent d'accueillir des flux migratoires importants. </w:t>
      </w:r>
    </w:p>
    <w:p w14:paraId="7D7D4755"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4EC63B2B" w14:textId="52D4803D" w:rsidR="00606C71" w:rsidRPr="007C5A6E" w:rsidRDefault="00606C71" w:rsidP="00540B43">
      <w:pPr>
        <w:spacing w:after="0" w:line="240" w:lineRule="auto"/>
        <w:jc w:val="both"/>
        <w:rPr>
          <w:rFonts w:ascii="Times New Roman" w:eastAsiaTheme="minorHAnsi" w:hAnsi="Times New Roman"/>
          <w:i/>
          <w:iCs/>
          <w:kern w:val="2"/>
          <w:sz w:val="24"/>
          <w:szCs w:val="24"/>
          <w:lang w:eastAsia="en-US"/>
          <w14:ligatures w14:val="standardContextual"/>
        </w:rPr>
      </w:pPr>
      <w:bookmarkStart w:id="1371" w:name="_Toc177649641"/>
      <w:bookmarkStart w:id="1372" w:name="_Toc179043335"/>
      <w:bookmarkStart w:id="1373" w:name="_Toc183241023"/>
      <w:bookmarkStart w:id="1374" w:name="_Toc183292265"/>
      <w:bookmarkStart w:id="1375" w:name="_Toc183340545"/>
      <w:r w:rsidRPr="007C5A6E">
        <w:rPr>
          <w:rFonts w:ascii="Times New Roman" w:eastAsiaTheme="minorHAnsi" w:hAnsi="Times New Roman"/>
          <w:kern w:val="2"/>
          <w:sz w:val="24"/>
          <w:szCs w:val="24"/>
          <w:lang w:eastAsia="en-US"/>
          <w14:ligatures w14:val="standardContextual"/>
        </w:rPr>
        <w:t>Tableau </w:t>
      </w:r>
      <w:r w:rsidRPr="007C5A6E">
        <w:rPr>
          <w:rFonts w:ascii="Times New Roman" w:eastAsiaTheme="minorHAnsi" w:hAnsi="Times New Roman"/>
          <w:i/>
          <w:iCs/>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SEQ Tableau \* ARABIC </w:instrText>
      </w:r>
      <w:r w:rsidRPr="007C5A6E">
        <w:rPr>
          <w:rFonts w:ascii="Times New Roman" w:eastAsiaTheme="minorHAnsi" w:hAnsi="Times New Roman"/>
          <w:i/>
          <w:iCs/>
          <w:kern w:val="2"/>
          <w:sz w:val="24"/>
          <w:szCs w:val="24"/>
          <w:lang w:eastAsia="en-US"/>
          <w14:ligatures w14:val="standardContextual"/>
        </w:rPr>
        <w:fldChar w:fldCharType="separate"/>
      </w:r>
      <w:r w:rsidR="00B63F25" w:rsidRPr="007C5A6E">
        <w:rPr>
          <w:rFonts w:ascii="Times New Roman" w:eastAsiaTheme="minorHAnsi" w:hAnsi="Times New Roman"/>
          <w:noProof/>
          <w:kern w:val="2"/>
          <w:sz w:val="24"/>
          <w:szCs w:val="24"/>
          <w:lang w:eastAsia="en-US"/>
          <w14:ligatures w14:val="standardContextual"/>
        </w:rPr>
        <w:t>61</w:t>
      </w:r>
      <w:r w:rsidRPr="007C5A6E">
        <w:rPr>
          <w:rFonts w:ascii="Times New Roman" w:eastAsiaTheme="minorHAnsi" w:hAnsi="Times New Roman"/>
          <w:i/>
          <w:iCs/>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 Statut migratoire selon le milieu de résidence</w:t>
      </w:r>
      <w:bookmarkEnd w:id="1371"/>
      <w:bookmarkEnd w:id="1372"/>
      <w:bookmarkEnd w:id="1373"/>
      <w:bookmarkEnd w:id="1374"/>
      <w:bookmarkEnd w:id="1375"/>
    </w:p>
    <w:tbl>
      <w:tblPr>
        <w:tblStyle w:val="TableauGrille41"/>
        <w:tblW w:w="5000" w:type="pct"/>
        <w:tblLook w:val="04A0" w:firstRow="1" w:lastRow="0" w:firstColumn="1" w:lastColumn="0" w:noHBand="0" w:noVBand="1"/>
      </w:tblPr>
      <w:tblGrid>
        <w:gridCol w:w="2078"/>
        <w:gridCol w:w="1638"/>
        <w:gridCol w:w="729"/>
        <w:gridCol w:w="1569"/>
        <w:gridCol w:w="796"/>
        <w:gridCol w:w="1637"/>
        <w:gridCol w:w="728"/>
      </w:tblGrid>
      <w:tr w:rsidR="00606C71" w:rsidRPr="007C5A6E" w14:paraId="10943EA4" w14:textId="77777777" w:rsidTr="0070034C">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132" w:type="pct"/>
            <w:noWrap/>
          </w:tcPr>
          <w:p w14:paraId="25D8BD59" w14:textId="77777777" w:rsidR="00606C71" w:rsidRPr="007C5A6E" w:rsidRDefault="00606C71" w:rsidP="00540B43">
            <w:pPr>
              <w:spacing w:after="0" w:line="240" w:lineRule="auto"/>
              <w:jc w:val="both"/>
              <w:rPr>
                <w:rFonts w:ascii="Times New Roman" w:eastAsia="SimSun" w:hAnsi="Times New Roman"/>
                <w:sz w:val="21"/>
                <w:szCs w:val="21"/>
              </w:rPr>
            </w:pPr>
            <w:r w:rsidRPr="007C5A6E">
              <w:rPr>
                <w:rFonts w:ascii="Times New Roman" w:eastAsia="SimSun" w:hAnsi="Times New Roman"/>
                <w:sz w:val="21"/>
                <w:szCs w:val="21"/>
              </w:rPr>
              <w:t> </w:t>
            </w:r>
          </w:p>
        </w:tc>
        <w:tc>
          <w:tcPr>
            <w:tcW w:w="1289" w:type="pct"/>
            <w:gridSpan w:val="2"/>
            <w:noWrap/>
          </w:tcPr>
          <w:p w14:paraId="06E4BD87" w14:textId="77777777" w:rsidR="00606C71" w:rsidRPr="007C5A6E" w:rsidRDefault="00606C71" w:rsidP="00540B43">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sz w:val="21"/>
                <w:szCs w:val="21"/>
              </w:rPr>
            </w:pPr>
            <w:r w:rsidRPr="007C5A6E">
              <w:rPr>
                <w:rFonts w:ascii="Times New Roman" w:eastAsia="SimSun" w:hAnsi="Times New Roman"/>
                <w:sz w:val="21"/>
                <w:szCs w:val="21"/>
              </w:rPr>
              <w:t>Ensemble</w:t>
            </w:r>
          </w:p>
        </w:tc>
        <w:tc>
          <w:tcPr>
            <w:tcW w:w="1289" w:type="pct"/>
            <w:gridSpan w:val="2"/>
            <w:noWrap/>
          </w:tcPr>
          <w:p w14:paraId="10478E61" w14:textId="77777777" w:rsidR="00606C71" w:rsidRPr="007C5A6E" w:rsidRDefault="00606C71" w:rsidP="00540B43">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sz w:val="21"/>
                <w:szCs w:val="21"/>
              </w:rPr>
            </w:pPr>
            <w:r w:rsidRPr="007C5A6E">
              <w:rPr>
                <w:rFonts w:ascii="Times New Roman" w:eastAsia="SimSun" w:hAnsi="Times New Roman"/>
                <w:sz w:val="21"/>
                <w:szCs w:val="21"/>
              </w:rPr>
              <w:t>Urbain</w:t>
            </w:r>
          </w:p>
        </w:tc>
        <w:tc>
          <w:tcPr>
            <w:tcW w:w="1289" w:type="pct"/>
            <w:gridSpan w:val="2"/>
            <w:noWrap/>
          </w:tcPr>
          <w:p w14:paraId="242DEAC5" w14:textId="77777777" w:rsidR="00606C71" w:rsidRPr="007C5A6E" w:rsidRDefault="00606C71" w:rsidP="00540B43">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sz w:val="21"/>
                <w:szCs w:val="21"/>
              </w:rPr>
            </w:pPr>
            <w:r w:rsidRPr="007C5A6E">
              <w:rPr>
                <w:rFonts w:ascii="Times New Roman" w:eastAsia="SimSun" w:hAnsi="Times New Roman"/>
                <w:sz w:val="21"/>
                <w:szCs w:val="21"/>
              </w:rPr>
              <w:t>Rural</w:t>
            </w:r>
          </w:p>
        </w:tc>
      </w:tr>
      <w:tr w:rsidR="00606C71" w:rsidRPr="007C5A6E" w14:paraId="36E0186C" w14:textId="77777777" w:rsidTr="0070034C">
        <w:trPr>
          <w:trHeight w:val="113"/>
        </w:trPr>
        <w:tc>
          <w:tcPr>
            <w:cnfStyle w:val="001000000000" w:firstRow="0" w:lastRow="0" w:firstColumn="1" w:lastColumn="0" w:oddVBand="0" w:evenVBand="0" w:oddHBand="0" w:evenHBand="0" w:firstRowFirstColumn="0" w:firstRowLastColumn="0" w:lastRowFirstColumn="0" w:lastRowLastColumn="0"/>
            <w:tcW w:w="1132" w:type="pct"/>
            <w:shd w:val="clear" w:color="auto" w:fill="CCCCCC" w:themeFill="text1" w:themeFillTint="33"/>
            <w:noWrap/>
          </w:tcPr>
          <w:p w14:paraId="2233E076" w14:textId="77777777" w:rsidR="00606C71" w:rsidRPr="007C5A6E" w:rsidRDefault="00606C71" w:rsidP="00540B43">
            <w:pPr>
              <w:spacing w:after="0" w:line="240" w:lineRule="auto"/>
              <w:jc w:val="both"/>
              <w:rPr>
                <w:rFonts w:ascii="Times New Roman" w:eastAsia="SimSun" w:hAnsi="Times New Roman"/>
                <w:color w:val="000000"/>
                <w:sz w:val="21"/>
                <w:szCs w:val="21"/>
              </w:rPr>
            </w:pPr>
            <w:r w:rsidRPr="007C5A6E">
              <w:rPr>
                <w:rFonts w:ascii="Times New Roman" w:eastAsia="SimSun" w:hAnsi="Times New Roman"/>
                <w:color w:val="000000"/>
                <w:sz w:val="21"/>
                <w:szCs w:val="21"/>
              </w:rPr>
              <w:t> </w:t>
            </w:r>
          </w:p>
        </w:tc>
        <w:tc>
          <w:tcPr>
            <w:tcW w:w="892" w:type="pct"/>
            <w:shd w:val="clear" w:color="auto" w:fill="CCCCCC" w:themeFill="text1" w:themeFillTint="33"/>
            <w:noWrap/>
          </w:tcPr>
          <w:p w14:paraId="3B36E243"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b/>
                <w:bCs/>
                <w:color w:val="000000"/>
                <w:sz w:val="21"/>
                <w:szCs w:val="21"/>
              </w:rPr>
            </w:pPr>
            <w:r w:rsidRPr="007C5A6E">
              <w:rPr>
                <w:rFonts w:ascii="Times New Roman" w:eastAsia="SimSun" w:hAnsi="Times New Roman"/>
                <w:b/>
                <w:bCs/>
                <w:color w:val="000000"/>
                <w:sz w:val="21"/>
                <w:szCs w:val="21"/>
              </w:rPr>
              <w:t>Effectif</w:t>
            </w:r>
          </w:p>
        </w:tc>
        <w:tc>
          <w:tcPr>
            <w:tcW w:w="397" w:type="pct"/>
            <w:shd w:val="clear" w:color="auto" w:fill="CCCCCC" w:themeFill="text1" w:themeFillTint="33"/>
            <w:noWrap/>
          </w:tcPr>
          <w:p w14:paraId="4393048C"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b/>
                <w:bCs/>
                <w:color w:val="000000"/>
                <w:sz w:val="21"/>
                <w:szCs w:val="21"/>
              </w:rPr>
            </w:pPr>
            <w:r w:rsidRPr="007C5A6E">
              <w:rPr>
                <w:rFonts w:ascii="Times New Roman" w:eastAsia="SimSun" w:hAnsi="Times New Roman"/>
                <w:b/>
                <w:bCs/>
                <w:color w:val="000000"/>
                <w:sz w:val="21"/>
                <w:szCs w:val="21"/>
              </w:rPr>
              <w:t>%</w:t>
            </w:r>
          </w:p>
        </w:tc>
        <w:tc>
          <w:tcPr>
            <w:tcW w:w="855" w:type="pct"/>
            <w:shd w:val="clear" w:color="auto" w:fill="CCCCCC" w:themeFill="text1" w:themeFillTint="33"/>
            <w:noWrap/>
          </w:tcPr>
          <w:p w14:paraId="7A225163"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b/>
                <w:bCs/>
                <w:color w:val="000000"/>
                <w:sz w:val="21"/>
                <w:szCs w:val="21"/>
              </w:rPr>
            </w:pPr>
            <w:r w:rsidRPr="007C5A6E">
              <w:rPr>
                <w:rFonts w:ascii="Times New Roman" w:eastAsia="SimSun" w:hAnsi="Times New Roman"/>
                <w:b/>
                <w:bCs/>
                <w:color w:val="000000"/>
                <w:sz w:val="21"/>
                <w:szCs w:val="21"/>
              </w:rPr>
              <w:t>Effectif</w:t>
            </w:r>
          </w:p>
        </w:tc>
        <w:tc>
          <w:tcPr>
            <w:tcW w:w="434" w:type="pct"/>
            <w:shd w:val="clear" w:color="auto" w:fill="CCCCCC" w:themeFill="text1" w:themeFillTint="33"/>
            <w:noWrap/>
          </w:tcPr>
          <w:p w14:paraId="11993DB3"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b/>
                <w:bCs/>
                <w:color w:val="000000"/>
                <w:sz w:val="21"/>
                <w:szCs w:val="21"/>
              </w:rPr>
            </w:pPr>
            <w:r w:rsidRPr="007C5A6E">
              <w:rPr>
                <w:rFonts w:ascii="Times New Roman" w:eastAsia="SimSun" w:hAnsi="Times New Roman"/>
                <w:b/>
                <w:bCs/>
                <w:color w:val="000000"/>
                <w:sz w:val="21"/>
                <w:szCs w:val="21"/>
              </w:rPr>
              <w:t>%</w:t>
            </w:r>
          </w:p>
        </w:tc>
        <w:tc>
          <w:tcPr>
            <w:tcW w:w="892" w:type="pct"/>
            <w:shd w:val="clear" w:color="auto" w:fill="CCCCCC" w:themeFill="text1" w:themeFillTint="33"/>
            <w:noWrap/>
          </w:tcPr>
          <w:p w14:paraId="3EE0C3E2"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b/>
                <w:bCs/>
                <w:color w:val="000000"/>
                <w:sz w:val="21"/>
                <w:szCs w:val="21"/>
              </w:rPr>
            </w:pPr>
            <w:r w:rsidRPr="007C5A6E">
              <w:rPr>
                <w:rFonts w:ascii="Times New Roman" w:eastAsia="SimSun" w:hAnsi="Times New Roman"/>
                <w:b/>
                <w:bCs/>
                <w:color w:val="000000"/>
                <w:sz w:val="21"/>
                <w:szCs w:val="21"/>
              </w:rPr>
              <w:t>Effectif</w:t>
            </w:r>
          </w:p>
        </w:tc>
        <w:tc>
          <w:tcPr>
            <w:tcW w:w="397" w:type="pct"/>
            <w:shd w:val="clear" w:color="auto" w:fill="CCCCCC" w:themeFill="text1" w:themeFillTint="33"/>
            <w:noWrap/>
          </w:tcPr>
          <w:p w14:paraId="4FC7965C"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b/>
                <w:bCs/>
                <w:color w:val="000000"/>
                <w:sz w:val="21"/>
                <w:szCs w:val="21"/>
              </w:rPr>
            </w:pPr>
            <w:r w:rsidRPr="007C5A6E">
              <w:rPr>
                <w:rFonts w:ascii="Times New Roman" w:eastAsia="SimSun" w:hAnsi="Times New Roman"/>
                <w:b/>
                <w:bCs/>
                <w:color w:val="000000"/>
                <w:sz w:val="21"/>
                <w:szCs w:val="21"/>
              </w:rPr>
              <w:t>%</w:t>
            </w:r>
          </w:p>
        </w:tc>
      </w:tr>
      <w:tr w:rsidR="00606C71" w:rsidRPr="007C5A6E" w14:paraId="7F89626B" w14:textId="77777777" w:rsidTr="0070034C">
        <w:trPr>
          <w:trHeight w:val="113"/>
        </w:trPr>
        <w:tc>
          <w:tcPr>
            <w:cnfStyle w:val="001000000000" w:firstRow="0" w:lastRow="0" w:firstColumn="1" w:lastColumn="0" w:oddVBand="0" w:evenVBand="0" w:oddHBand="0" w:evenHBand="0" w:firstRowFirstColumn="0" w:firstRowLastColumn="0" w:lastRowFirstColumn="0" w:lastRowLastColumn="0"/>
            <w:tcW w:w="1132" w:type="pct"/>
            <w:noWrap/>
          </w:tcPr>
          <w:p w14:paraId="4E15A846" w14:textId="77777777" w:rsidR="00606C71" w:rsidRPr="007C5A6E" w:rsidRDefault="00606C71" w:rsidP="00540B43">
            <w:pPr>
              <w:spacing w:after="0" w:line="240" w:lineRule="auto"/>
              <w:jc w:val="both"/>
              <w:rPr>
                <w:rFonts w:ascii="Times New Roman" w:eastAsia="SimSun" w:hAnsi="Times New Roman"/>
                <w:color w:val="000000"/>
                <w:sz w:val="21"/>
                <w:szCs w:val="21"/>
              </w:rPr>
            </w:pPr>
            <w:r w:rsidRPr="007C5A6E">
              <w:rPr>
                <w:rFonts w:ascii="Times New Roman" w:eastAsia="SimSun" w:hAnsi="Times New Roman"/>
                <w:color w:val="000000"/>
                <w:sz w:val="21"/>
                <w:szCs w:val="21"/>
              </w:rPr>
              <w:t>Non migrants</w:t>
            </w:r>
          </w:p>
        </w:tc>
        <w:tc>
          <w:tcPr>
            <w:tcW w:w="892" w:type="pct"/>
            <w:noWrap/>
          </w:tcPr>
          <w:p w14:paraId="2FE55262"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21"/>
                <w:szCs w:val="21"/>
              </w:rPr>
            </w:pPr>
            <w:r w:rsidRPr="007C5A6E">
              <w:rPr>
                <w:rFonts w:ascii="Times New Roman" w:eastAsia="SimSun" w:hAnsi="Times New Roman"/>
                <w:color w:val="000000"/>
                <w:sz w:val="21"/>
                <w:szCs w:val="21"/>
              </w:rPr>
              <w:t>14 677 029</w:t>
            </w:r>
          </w:p>
        </w:tc>
        <w:tc>
          <w:tcPr>
            <w:tcW w:w="397" w:type="pct"/>
            <w:noWrap/>
          </w:tcPr>
          <w:p w14:paraId="0B9641FC"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21"/>
                <w:szCs w:val="21"/>
              </w:rPr>
            </w:pPr>
            <w:r w:rsidRPr="007C5A6E">
              <w:rPr>
                <w:rFonts w:ascii="Times New Roman" w:eastAsia="SimSun" w:hAnsi="Times New Roman"/>
                <w:color w:val="000000"/>
                <w:sz w:val="21"/>
                <w:szCs w:val="21"/>
              </w:rPr>
              <w:t>80,8</w:t>
            </w:r>
          </w:p>
        </w:tc>
        <w:tc>
          <w:tcPr>
            <w:tcW w:w="855" w:type="pct"/>
            <w:noWrap/>
          </w:tcPr>
          <w:p w14:paraId="1E6E25DC"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21"/>
                <w:szCs w:val="21"/>
              </w:rPr>
            </w:pPr>
            <w:r w:rsidRPr="007C5A6E">
              <w:rPr>
                <w:rFonts w:ascii="Times New Roman" w:eastAsia="SimSun" w:hAnsi="Times New Roman"/>
                <w:color w:val="000000"/>
                <w:sz w:val="21"/>
                <w:szCs w:val="21"/>
              </w:rPr>
              <w:t>3 215 958</w:t>
            </w:r>
          </w:p>
        </w:tc>
        <w:tc>
          <w:tcPr>
            <w:tcW w:w="434" w:type="pct"/>
            <w:noWrap/>
          </w:tcPr>
          <w:p w14:paraId="02AF1D13"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21"/>
                <w:szCs w:val="21"/>
              </w:rPr>
            </w:pPr>
            <w:r w:rsidRPr="007C5A6E">
              <w:rPr>
                <w:rFonts w:ascii="Times New Roman" w:eastAsia="SimSun" w:hAnsi="Times New Roman"/>
                <w:color w:val="000000"/>
                <w:sz w:val="21"/>
                <w:szCs w:val="21"/>
              </w:rPr>
              <w:t>67,3</w:t>
            </w:r>
          </w:p>
        </w:tc>
        <w:tc>
          <w:tcPr>
            <w:tcW w:w="892" w:type="pct"/>
            <w:noWrap/>
          </w:tcPr>
          <w:p w14:paraId="12FB2591"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21"/>
                <w:szCs w:val="21"/>
              </w:rPr>
            </w:pPr>
            <w:r w:rsidRPr="007C5A6E">
              <w:rPr>
                <w:rFonts w:ascii="Times New Roman" w:eastAsia="SimSun" w:hAnsi="Times New Roman"/>
                <w:color w:val="000000"/>
                <w:sz w:val="21"/>
                <w:szCs w:val="21"/>
              </w:rPr>
              <w:t>11 461 071</w:t>
            </w:r>
          </w:p>
        </w:tc>
        <w:tc>
          <w:tcPr>
            <w:tcW w:w="397" w:type="pct"/>
            <w:noWrap/>
          </w:tcPr>
          <w:p w14:paraId="47DCDFFA"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21"/>
                <w:szCs w:val="21"/>
              </w:rPr>
            </w:pPr>
            <w:r w:rsidRPr="007C5A6E">
              <w:rPr>
                <w:rFonts w:ascii="Times New Roman" w:eastAsia="SimSun" w:hAnsi="Times New Roman"/>
                <w:color w:val="000000"/>
                <w:sz w:val="21"/>
                <w:szCs w:val="21"/>
              </w:rPr>
              <w:t>85,6</w:t>
            </w:r>
          </w:p>
        </w:tc>
      </w:tr>
      <w:tr w:rsidR="00606C71" w:rsidRPr="007C5A6E" w14:paraId="56933EC6" w14:textId="77777777" w:rsidTr="0070034C">
        <w:trPr>
          <w:trHeight w:val="113"/>
        </w:trPr>
        <w:tc>
          <w:tcPr>
            <w:cnfStyle w:val="001000000000" w:firstRow="0" w:lastRow="0" w:firstColumn="1" w:lastColumn="0" w:oddVBand="0" w:evenVBand="0" w:oddHBand="0" w:evenHBand="0" w:firstRowFirstColumn="0" w:firstRowLastColumn="0" w:lastRowFirstColumn="0" w:lastRowLastColumn="0"/>
            <w:tcW w:w="1132" w:type="pct"/>
            <w:shd w:val="clear" w:color="auto" w:fill="CCCCCC" w:themeFill="text1" w:themeFillTint="33"/>
            <w:noWrap/>
          </w:tcPr>
          <w:p w14:paraId="54919297" w14:textId="77777777" w:rsidR="00606C71" w:rsidRPr="007C5A6E" w:rsidRDefault="00606C71" w:rsidP="00540B43">
            <w:pPr>
              <w:spacing w:after="0" w:line="240" w:lineRule="auto"/>
              <w:jc w:val="both"/>
              <w:rPr>
                <w:rFonts w:ascii="Times New Roman" w:eastAsia="SimSun" w:hAnsi="Times New Roman"/>
                <w:color w:val="000000"/>
                <w:sz w:val="21"/>
                <w:szCs w:val="21"/>
              </w:rPr>
            </w:pPr>
            <w:r w:rsidRPr="007C5A6E">
              <w:rPr>
                <w:rFonts w:ascii="Times New Roman" w:eastAsia="SimSun" w:hAnsi="Times New Roman"/>
                <w:color w:val="000000"/>
                <w:sz w:val="21"/>
                <w:szCs w:val="21"/>
              </w:rPr>
              <w:t>Migrants</w:t>
            </w:r>
          </w:p>
        </w:tc>
        <w:tc>
          <w:tcPr>
            <w:tcW w:w="892" w:type="pct"/>
            <w:shd w:val="clear" w:color="auto" w:fill="CCCCCC" w:themeFill="text1" w:themeFillTint="33"/>
            <w:noWrap/>
          </w:tcPr>
          <w:p w14:paraId="6FB17E19"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21"/>
                <w:szCs w:val="21"/>
              </w:rPr>
            </w:pPr>
            <w:r w:rsidRPr="007C5A6E">
              <w:rPr>
                <w:rFonts w:ascii="Times New Roman" w:eastAsia="SimSun" w:hAnsi="Times New Roman"/>
                <w:color w:val="000000"/>
                <w:sz w:val="21"/>
                <w:szCs w:val="21"/>
              </w:rPr>
              <w:t>3 494 722</w:t>
            </w:r>
          </w:p>
        </w:tc>
        <w:tc>
          <w:tcPr>
            <w:tcW w:w="397" w:type="pct"/>
            <w:shd w:val="clear" w:color="auto" w:fill="CCCCCC" w:themeFill="text1" w:themeFillTint="33"/>
            <w:noWrap/>
          </w:tcPr>
          <w:p w14:paraId="073F7DB8"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21"/>
                <w:szCs w:val="21"/>
              </w:rPr>
            </w:pPr>
            <w:r w:rsidRPr="007C5A6E">
              <w:rPr>
                <w:rFonts w:ascii="Times New Roman" w:eastAsia="SimSun" w:hAnsi="Times New Roman"/>
                <w:color w:val="000000"/>
                <w:sz w:val="21"/>
                <w:szCs w:val="21"/>
              </w:rPr>
              <w:t>19,2</w:t>
            </w:r>
          </w:p>
        </w:tc>
        <w:tc>
          <w:tcPr>
            <w:tcW w:w="855" w:type="pct"/>
            <w:shd w:val="clear" w:color="auto" w:fill="CCCCCC" w:themeFill="text1" w:themeFillTint="33"/>
            <w:noWrap/>
          </w:tcPr>
          <w:p w14:paraId="29C6C068"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21"/>
                <w:szCs w:val="21"/>
              </w:rPr>
            </w:pPr>
            <w:r w:rsidRPr="007C5A6E">
              <w:rPr>
                <w:rFonts w:ascii="Times New Roman" w:eastAsia="SimSun" w:hAnsi="Times New Roman"/>
                <w:color w:val="000000"/>
                <w:sz w:val="21"/>
                <w:szCs w:val="21"/>
              </w:rPr>
              <w:t>1 566 091</w:t>
            </w:r>
          </w:p>
        </w:tc>
        <w:tc>
          <w:tcPr>
            <w:tcW w:w="434" w:type="pct"/>
            <w:shd w:val="clear" w:color="auto" w:fill="CCCCCC" w:themeFill="text1" w:themeFillTint="33"/>
            <w:noWrap/>
          </w:tcPr>
          <w:p w14:paraId="48D010F9"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21"/>
                <w:szCs w:val="21"/>
              </w:rPr>
            </w:pPr>
            <w:r w:rsidRPr="007C5A6E">
              <w:rPr>
                <w:rFonts w:ascii="Times New Roman" w:eastAsia="SimSun" w:hAnsi="Times New Roman"/>
                <w:color w:val="000000"/>
                <w:sz w:val="21"/>
                <w:szCs w:val="21"/>
              </w:rPr>
              <w:t>32,7</w:t>
            </w:r>
          </w:p>
        </w:tc>
        <w:tc>
          <w:tcPr>
            <w:tcW w:w="892" w:type="pct"/>
            <w:shd w:val="clear" w:color="auto" w:fill="CCCCCC" w:themeFill="text1" w:themeFillTint="33"/>
            <w:noWrap/>
          </w:tcPr>
          <w:p w14:paraId="71280D53"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21"/>
                <w:szCs w:val="21"/>
              </w:rPr>
            </w:pPr>
            <w:r w:rsidRPr="007C5A6E">
              <w:rPr>
                <w:rFonts w:ascii="Times New Roman" w:eastAsia="SimSun" w:hAnsi="Times New Roman"/>
                <w:color w:val="000000"/>
                <w:sz w:val="21"/>
                <w:szCs w:val="21"/>
              </w:rPr>
              <w:t>1 92 8631</w:t>
            </w:r>
          </w:p>
        </w:tc>
        <w:tc>
          <w:tcPr>
            <w:tcW w:w="397" w:type="pct"/>
            <w:shd w:val="clear" w:color="auto" w:fill="CCCCCC" w:themeFill="text1" w:themeFillTint="33"/>
            <w:noWrap/>
          </w:tcPr>
          <w:p w14:paraId="2894266F"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21"/>
                <w:szCs w:val="21"/>
              </w:rPr>
            </w:pPr>
            <w:r w:rsidRPr="007C5A6E">
              <w:rPr>
                <w:rFonts w:ascii="Times New Roman" w:eastAsia="SimSun" w:hAnsi="Times New Roman"/>
                <w:color w:val="000000"/>
                <w:sz w:val="21"/>
                <w:szCs w:val="21"/>
              </w:rPr>
              <w:t>14,4</w:t>
            </w:r>
          </w:p>
        </w:tc>
      </w:tr>
      <w:tr w:rsidR="00606C71" w:rsidRPr="007C5A6E" w14:paraId="6B3E3B59" w14:textId="77777777" w:rsidTr="0070034C">
        <w:trPr>
          <w:trHeight w:val="113"/>
        </w:trPr>
        <w:tc>
          <w:tcPr>
            <w:cnfStyle w:val="001000000000" w:firstRow="0" w:lastRow="0" w:firstColumn="1" w:lastColumn="0" w:oddVBand="0" w:evenVBand="0" w:oddHBand="0" w:evenHBand="0" w:firstRowFirstColumn="0" w:firstRowLastColumn="0" w:lastRowFirstColumn="0" w:lastRowLastColumn="0"/>
            <w:tcW w:w="1132" w:type="pct"/>
            <w:noWrap/>
          </w:tcPr>
          <w:p w14:paraId="69DC1296" w14:textId="77777777" w:rsidR="00606C71" w:rsidRPr="007C5A6E" w:rsidRDefault="00606C71" w:rsidP="00540B43">
            <w:pPr>
              <w:spacing w:after="0" w:line="240" w:lineRule="auto"/>
              <w:jc w:val="both"/>
              <w:rPr>
                <w:rFonts w:ascii="Times New Roman" w:eastAsia="SimSun" w:hAnsi="Times New Roman"/>
                <w:color w:val="000000"/>
                <w:sz w:val="21"/>
                <w:szCs w:val="21"/>
              </w:rPr>
            </w:pPr>
            <w:r w:rsidRPr="007C5A6E">
              <w:rPr>
                <w:rFonts w:ascii="Times New Roman" w:eastAsia="SimSun" w:hAnsi="Times New Roman"/>
                <w:color w:val="000000"/>
                <w:sz w:val="21"/>
                <w:szCs w:val="21"/>
              </w:rPr>
              <w:t>Ensemble</w:t>
            </w:r>
          </w:p>
        </w:tc>
        <w:tc>
          <w:tcPr>
            <w:tcW w:w="892" w:type="pct"/>
            <w:noWrap/>
          </w:tcPr>
          <w:p w14:paraId="3AC1EA78"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21"/>
                <w:szCs w:val="21"/>
              </w:rPr>
            </w:pPr>
            <w:r w:rsidRPr="007C5A6E">
              <w:rPr>
                <w:rFonts w:ascii="Times New Roman" w:eastAsia="SimSun" w:hAnsi="Times New Roman"/>
                <w:color w:val="000000"/>
                <w:sz w:val="21"/>
                <w:szCs w:val="21"/>
              </w:rPr>
              <w:t>18 171 751</w:t>
            </w:r>
          </w:p>
        </w:tc>
        <w:tc>
          <w:tcPr>
            <w:tcW w:w="397" w:type="pct"/>
            <w:noWrap/>
          </w:tcPr>
          <w:p w14:paraId="3C4CDF9A"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21"/>
                <w:szCs w:val="21"/>
              </w:rPr>
            </w:pPr>
            <w:r w:rsidRPr="007C5A6E">
              <w:rPr>
                <w:rFonts w:ascii="Times New Roman" w:eastAsia="SimSun" w:hAnsi="Times New Roman"/>
                <w:color w:val="000000"/>
                <w:sz w:val="21"/>
                <w:szCs w:val="21"/>
              </w:rPr>
              <w:t>100</w:t>
            </w:r>
          </w:p>
        </w:tc>
        <w:tc>
          <w:tcPr>
            <w:tcW w:w="855" w:type="pct"/>
            <w:noWrap/>
          </w:tcPr>
          <w:p w14:paraId="6C2AE0E6"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21"/>
                <w:szCs w:val="21"/>
              </w:rPr>
            </w:pPr>
            <w:r w:rsidRPr="007C5A6E">
              <w:rPr>
                <w:rFonts w:ascii="Times New Roman" w:eastAsia="SimSun" w:hAnsi="Times New Roman"/>
                <w:color w:val="000000"/>
                <w:sz w:val="21"/>
                <w:szCs w:val="21"/>
              </w:rPr>
              <w:t>4 782 049</w:t>
            </w:r>
          </w:p>
        </w:tc>
        <w:tc>
          <w:tcPr>
            <w:tcW w:w="434" w:type="pct"/>
            <w:noWrap/>
          </w:tcPr>
          <w:p w14:paraId="4402BC1C"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21"/>
                <w:szCs w:val="21"/>
              </w:rPr>
            </w:pPr>
            <w:r w:rsidRPr="007C5A6E">
              <w:rPr>
                <w:rFonts w:ascii="Times New Roman" w:eastAsia="SimSun" w:hAnsi="Times New Roman"/>
                <w:color w:val="000000"/>
                <w:sz w:val="21"/>
                <w:szCs w:val="21"/>
              </w:rPr>
              <w:t>100</w:t>
            </w:r>
          </w:p>
        </w:tc>
        <w:tc>
          <w:tcPr>
            <w:tcW w:w="892" w:type="pct"/>
            <w:noWrap/>
          </w:tcPr>
          <w:p w14:paraId="37F74F05"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21"/>
                <w:szCs w:val="21"/>
              </w:rPr>
            </w:pPr>
            <w:r w:rsidRPr="007C5A6E">
              <w:rPr>
                <w:rFonts w:ascii="Times New Roman" w:eastAsia="SimSun" w:hAnsi="Times New Roman"/>
                <w:color w:val="000000"/>
                <w:sz w:val="21"/>
                <w:szCs w:val="21"/>
              </w:rPr>
              <w:t>13 389 702</w:t>
            </w:r>
          </w:p>
        </w:tc>
        <w:tc>
          <w:tcPr>
            <w:tcW w:w="397" w:type="pct"/>
            <w:noWrap/>
          </w:tcPr>
          <w:p w14:paraId="259F4C48" w14:textId="77777777" w:rsidR="00606C71" w:rsidRPr="007C5A6E" w:rsidRDefault="00606C71" w:rsidP="00540B4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21"/>
                <w:szCs w:val="21"/>
              </w:rPr>
            </w:pPr>
            <w:r w:rsidRPr="007C5A6E">
              <w:rPr>
                <w:rFonts w:ascii="Times New Roman" w:eastAsia="SimSun" w:hAnsi="Times New Roman"/>
                <w:color w:val="000000"/>
                <w:sz w:val="21"/>
                <w:szCs w:val="21"/>
              </w:rPr>
              <w:t>100</w:t>
            </w:r>
          </w:p>
        </w:tc>
      </w:tr>
    </w:tbl>
    <w:p w14:paraId="4D77B354" w14:textId="77777777" w:rsidR="00606C71" w:rsidRPr="007C5A6E" w:rsidRDefault="00606C71" w:rsidP="009D1E01">
      <w:pPr>
        <w:spacing w:after="0" w:line="240"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b/>
          <w:bCs/>
          <w:kern w:val="2"/>
          <w:sz w:val="20"/>
          <w:szCs w:val="20"/>
          <w:u w:val="single"/>
          <w:lang w:eastAsia="en-US"/>
          <w14:ligatures w14:val="standardContextual"/>
        </w:rPr>
        <w:t>Source</w:t>
      </w:r>
      <w:r w:rsidRPr="007C5A6E">
        <w:rPr>
          <w:rFonts w:ascii="Times New Roman" w:eastAsiaTheme="minorHAnsi" w:hAnsi="Times New Roman"/>
          <w:kern w:val="2"/>
          <w:sz w:val="20"/>
          <w:szCs w:val="20"/>
          <w:lang w:eastAsia="en-US"/>
          <w14:ligatures w14:val="standardContextual"/>
        </w:rPr>
        <w:t> : INSD, RGPH-2019</w:t>
      </w:r>
    </w:p>
    <w:p w14:paraId="00AE43C2"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bookmarkStart w:id="1376" w:name="_Hlk177130039"/>
    </w:p>
    <w:p w14:paraId="042769DF" w14:textId="704E2354"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D'un autre côté, les données du tableau </w:t>
      </w:r>
      <w:r w:rsidR="007556E9" w:rsidRPr="007C5A6E">
        <w:rPr>
          <w:rFonts w:ascii="Times New Roman" w:eastAsiaTheme="minorHAnsi" w:hAnsi="Times New Roman"/>
          <w:kern w:val="2"/>
          <w:sz w:val="24"/>
          <w:szCs w:val="24"/>
          <w:lang w:eastAsia="en-US"/>
          <w14:ligatures w14:val="standardContextual"/>
        </w:rPr>
        <w:t>6</w:t>
      </w:r>
      <w:r w:rsidRPr="007C5A6E">
        <w:rPr>
          <w:rFonts w:ascii="Times New Roman" w:eastAsiaTheme="minorHAnsi" w:hAnsi="Times New Roman"/>
          <w:kern w:val="2"/>
          <w:sz w:val="24"/>
          <w:szCs w:val="24"/>
          <w:lang w:eastAsia="en-US"/>
          <w14:ligatures w14:val="standardContextual"/>
        </w:rPr>
        <w:t xml:space="preserve">1 révèlent qu'une proportion significative de la population urbaine, soit 67,3%, est non migrante. Cela montre que l'urbanisation n'est pas uniquement tirée par la migration, mais aussi par d'autres facteurs, comme la croissance démographique naturelle du milieu urbain lui-même. Cette dynamique met en évidence l'importance des processus démographiques internes au milieu urbain dans la formation et l'évolution des centres urbains, au-delà des seuls flux migratoires. </w:t>
      </w:r>
    </w:p>
    <w:p w14:paraId="7B390CC9"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77154702" w14:textId="597511CF"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En examinant les migrations internes selon le sexe, il ressort que les femmes représentent une majorité, avec 56,7% des migrants internes, contre 43,3% pour les hommes </w:t>
      </w:r>
      <w:sdt>
        <w:sdtPr>
          <w:rPr>
            <w:rFonts w:ascii="Times New Roman" w:eastAsiaTheme="minorHAnsi" w:hAnsi="Times New Roman"/>
            <w:kern w:val="2"/>
            <w:sz w:val="24"/>
            <w:szCs w:val="24"/>
            <w:lang w:eastAsia="en-US"/>
            <w14:ligatures w14:val="standardContextual"/>
          </w:rPr>
          <w:id w:val="-1746103307"/>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CITATION INS23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(INSD, 2023b)</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w:t>
      </w:r>
      <w:sdt>
        <w:sdtPr>
          <w:rPr>
            <w:rFonts w:ascii="Times New Roman" w:eastAsiaTheme="minorHAnsi" w:hAnsi="Times New Roman"/>
            <w:kern w:val="2"/>
            <w:sz w:val="24"/>
            <w:szCs w:val="24"/>
            <w:lang w:eastAsia="en-US"/>
            <w14:ligatures w14:val="standardContextual"/>
          </w:rPr>
          <w:id w:val="136616885"/>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OPE24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(OPENDATA, 2024)</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Cette prépondérance féminine dans les migrations internes, qui est un aspect clé de la dynamique migratoire, a des implications importantes en termes d’urbanisation. La présence majoritaire des femmes parmi les migrants internes influence la demande et l'offre de services dans les zones urbaines. Elle modifie également les besoins en infrastructures et en services publics. Par exemple, une majorité féminine peut conduire à une augmentation de la demande pour des services liés à la santé reproductive, aux crèches et aux écoles. Aussi, les besoins spécifiques liés aux femmes peuvent nécessiter de développer davantage des politiques inclusives qui répondent à ces besoins. </w:t>
      </w:r>
    </w:p>
    <w:p w14:paraId="3BBAE43D"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0651FE02" w14:textId="6C7410F1" w:rsidR="00606C71" w:rsidRPr="007C5A6E" w:rsidRDefault="00606C71" w:rsidP="00540B43">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Au regard de toutes ces données, il est évident que la migration impacte à la fois les besoins quantitatifs et qualitatifs de l'urbanisation au Burkina Faso. Elles soulignent la nécessité de politiques d'urbanisation intégrant pleinement ces dynamiques migratoires. De telles politiques devraient permettre de mieux gérer la pression sur les infrastructures et services urbains, tout en favorisant un développement équilibré des zones urbaines, périurbaines et rurales </w:t>
      </w:r>
      <w:sdt>
        <w:sdtPr>
          <w:rPr>
            <w:rFonts w:ascii="Times New Roman" w:eastAsiaTheme="minorHAnsi" w:hAnsi="Times New Roman"/>
            <w:kern w:val="2"/>
            <w:sz w:val="24"/>
            <w:szCs w:val="24"/>
            <w:lang w:eastAsia="en-US"/>
            <w14:ligatures w14:val="standardContextual"/>
          </w:rPr>
          <w:id w:val="-1226842974"/>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Géo10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(Géoinfluences, 2010)</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w:t>
          </w:r>
        </w:sdtContent>
      </w:sdt>
      <w:sdt>
        <w:sdtPr>
          <w:rPr>
            <w:rFonts w:ascii="Times New Roman" w:eastAsiaTheme="minorHAnsi" w:hAnsi="Times New Roman"/>
            <w:kern w:val="2"/>
            <w:sz w:val="24"/>
            <w:szCs w:val="24"/>
            <w:lang w:eastAsia="en-US"/>
            <w14:ligatures w14:val="standardContextual"/>
          </w:rPr>
          <w:id w:val="2028133782"/>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ABa22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 xml:space="preserve"> (Bajpai, Stratton-Short, &amp; Adelekan, 2022)</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 </w:t>
      </w:r>
      <w:sdt>
        <w:sdtPr>
          <w:rPr>
            <w:rFonts w:ascii="Times New Roman" w:eastAsiaTheme="minorHAnsi" w:hAnsi="Times New Roman"/>
            <w:kern w:val="2"/>
            <w:sz w:val="24"/>
            <w:szCs w:val="24"/>
            <w:lang w:eastAsia="en-US"/>
            <w14:ligatures w14:val="standardContextual"/>
          </w:rPr>
          <w:id w:val="-863206570"/>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ONU23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(ONU-Habitat, 2023)</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w:t>
      </w:r>
    </w:p>
    <w:p w14:paraId="127E3DBA"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128A43F5" w14:textId="77777777" w:rsidR="00606C71" w:rsidRPr="007C5A6E" w:rsidRDefault="00606C71" w:rsidP="00540B43">
      <w:pPr>
        <w:pStyle w:val="Titre4"/>
      </w:pPr>
      <w:bookmarkStart w:id="1377" w:name="_Toc176443987"/>
      <w:bookmarkStart w:id="1378" w:name="_Toc177649408"/>
      <w:bookmarkStart w:id="1379" w:name="_Toc176973784"/>
      <w:bookmarkStart w:id="1380" w:name="_Toc179043964"/>
      <w:bookmarkStart w:id="1381" w:name="_Toc183340299"/>
      <w:bookmarkEnd w:id="1376"/>
      <w:r w:rsidRPr="007C5A6E">
        <w:t xml:space="preserve">Insécurité </w:t>
      </w:r>
      <w:bookmarkEnd w:id="1377"/>
      <w:r w:rsidRPr="007C5A6E">
        <w:t>et déplacements internes</w:t>
      </w:r>
      <w:bookmarkEnd w:id="1378"/>
      <w:bookmarkEnd w:id="1379"/>
      <w:bookmarkEnd w:id="1380"/>
      <w:bookmarkEnd w:id="1381"/>
    </w:p>
    <w:p w14:paraId="5D5DCE71"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p>
    <w:p w14:paraId="72C5A6FB" w14:textId="77777777"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L’année 2014 a marqué le début d’une série d’attaques terroristes au Burkina Faso, plongeant le pays dans une crise sécuritaire majeure. Ces attaques ont provoqué des déplacements massifs de populations, notamment des zones rurales vers les centres urbains perçus comme plus sécurisés. En raison de politiques de développement souvent centrées sur les villes, ces dernières offrent généralement de meilleures conditions de sécurité et d’infrastructures comparativement aux zones rurales, accentuant ainsi l’attractivité des zones urbaines pour les populations fuyant les violences.  </w:t>
      </w:r>
    </w:p>
    <w:p w14:paraId="23A3D489" w14:textId="77777777" w:rsidR="00606C71" w:rsidRPr="007C5A6E" w:rsidRDefault="00606C71" w:rsidP="00540B43">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L'afflux massif de populations déplacées internes (PDI) entraîne une dégradation significative de nombreux indicateurs de développement humain urbain, déjà insuffisants, tels que l'accès à l'eau potable, l'assainissement, la santé et l'éducation, etc. </w:t>
      </w:r>
      <w:sdt>
        <w:sdtPr>
          <w:rPr>
            <w:rFonts w:ascii="Times New Roman" w:eastAsiaTheme="minorHAnsi" w:hAnsi="Times New Roman"/>
            <w:kern w:val="2"/>
            <w:sz w:val="24"/>
            <w:szCs w:val="24"/>
            <w:lang w:eastAsia="en-US"/>
            <w14:ligatures w14:val="standardContextual"/>
          </w:rPr>
          <w:id w:val="401878952"/>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CITATION KON23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(KONRAD ADENAUER STIFTUNG, 2023)</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Cette dégradation a une pression accrue sur les infrastructures urbaines qui génère des tensions sociales au sein des communautés. À Ouahigouya, par exemple, les résidents ont exprimé à un moment donné leur frustration, estimant que les PDI bénéficiaient d'une aide plus importante. Cette situation exacerbe les inégalités perçues et crée un climat de méfiance entre les deux groupes </w:t>
      </w:r>
      <w:sdt>
        <w:sdtPr>
          <w:rPr>
            <w:rFonts w:ascii="Times New Roman" w:eastAsiaTheme="minorHAnsi" w:hAnsi="Times New Roman"/>
            <w:kern w:val="2"/>
            <w:sz w:val="24"/>
            <w:szCs w:val="24"/>
            <w:lang w:eastAsia="en-US"/>
            <w14:ligatures w14:val="standardContextual"/>
          </w:rPr>
          <w:id w:val="-1398506895"/>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GRA22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(GRAAD, 2022)</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 </w:t>
      </w:r>
      <w:sdt>
        <w:sdtPr>
          <w:rPr>
            <w:rFonts w:ascii="Times New Roman" w:eastAsiaTheme="minorHAnsi" w:hAnsi="Times New Roman"/>
            <w:kern w:val="2"/>
            <w:sz w:val="24"/>
            <w:szCs w:val="24"/>
            <w:lang w:eastAsia="en-US"/>
            <w14:ligatures w14:val="standardContextual"/>
          </w:rPr>
          <w:id w:val="229052540"/>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CITATION KON23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(KONRAD ADENAUER STIFTUNG, 2023)</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w:t>
      </w:r>
    </w:p>
    <w:p w14:paraId="709C80A9"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5F1D4E3B" w14:textId="77777777" w:rsidR="00606C71" w:rsidRPr="007C5A6E" w:rsidRDefault="00606C71" w:rsidP="00540B43">
      <w:pPr>
        <w:pStyle w:val="Titre4"/>
      </w:pPr>
      <w:bookmarkStart w:id="1382" w:name="_Toc176973785"/>
      <w:bookmarkStart w:id="1383" w:name="_Toc177649409"/>
      <w:bookmarkStart w:id="1384" w:name="_Toc179043965"/>
      <w:bookmarkStart w:id="1385" w:name="_Toc183340300"/>
      <w:r w:rsidRPr="007C5A6E">
        <w:t>Spéculation foncière</w:t>
      </w:r>
      <w:bookmarkEnd w:id="1382"/>
      <w:bookmarkEnd w:id="1383"/>
      <w:bookmarkEnd w:id="1384"/>
      <w:bookmarkEnd w:id="1385"/>
    </w:p>
    <w:p w14:paraId="024F0BB3"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p>
    <w:p w14:paraId="2D807279" w14:textId="77777777"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Au-delà des moteurs classiques connus, l'expansion des villes au Burkina Faso est influencée par des dynamiques spéculatives dans le secteur foncier, un aspect encore peu exploré dans la littérature existante. </w:t>
      </w:r>
    </w:p>
    <w:p w14:paraId="33B45863" w14:textId="77777777"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Au regard des pratiques actuelles, les spéculateurs jouent un rôle de premier plan en acquérant des terrains situés en périphérie des villes, souvent à des prix relativement bas, dans l'attente d'une valorisation future. Ces terrains sont ensuite revendus à des prix considérablement plus élevés lorsque la demande pour des espaces urbains augmente, alimentant ainsi une dynamique d'expansion urbaine déjà sous influence de la croissance démographique naturelle et des migrations internes </w:t>
      </w:r>
      <w:sdt>
        <w:sdtPr>
          <w:rPr>
            <w:rFonts w:ascii="Times New Roman" w:eastAsiaTheme="minorHAnsi" w:hAnsi="Times New Roman"/>
            <w:kern w:val="2"/>
            <w:sz w:val="24"/>
            <w:szCs w:val="24"/>
            <w:lang w:eastAsia="en-US"/>
            <w14:ligatures w14:val="standardContextual"/>
          </w:rPr>
          <w:id w:val="-445161579"/>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Fou08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(Fournet, Meunier-Nikiema, &amp; Salem, 2008)</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 </w:t>
      </w:r>
      <w:sdt>
        <w:sdtPr>
          <w:rPr>
            <w:rFonts w:ascii="Times New Roman" w:eastAsiaTheme="minorHAnsi" w:hAnsi="Times New Roman"/>
            <w:kern w:val="2"/>
            <w:sz w:val="24"/>
            <w:szCs w:val="24"/>
            <w:lang w:eastAsia="en-US"/>
            <w14:ligatures w14:val="standardContextual"/>
          </w:rPr>
          <w:id w:val="1498073548"/>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IRD09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(IRD, 2009)</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w:t>
          </w:r>
        </w:sdtContent>
      </w:sdt>
      <w:r w:rsidRPr="007C5A6E">
        <w:rPr>
          <w:rFonts w:ascii="Times New Roman" w:eastAsiaTheme="minorHAnsi" w:hAnsi="Times New Roman"/>
          <w:kern w:val="2"/>
          <w:sz w:val="24"/>
          <w:szCs w:val="24"/>
          <w:lang w:eastAsia="en-US"/>
          <w14:ligatures w14:val="standardContextual"/>
        </w:rPr>
        <w:t xml:space="preserve"> Les populations locales, confrontées à une pénurie de logements abordables dans les zones urbanisées, acquièrent ces terrains non lotis en vue d’y résider ou en espérant profiter, eux aussi, de la revente ultérieure. Ce phénomène est particulièrement visible dans les grandes agglomérations comme Ouagadougou et Bobo Dioulasso. </w:t>
      </w:r>
    </w:p>
    <w:p w14:paraId="28AFA2EF" w14:textId="77777777" w:rsidR="00606C71" w:rsidRPr="007C5A6E" w:rsidRDefault="00606C71" w:rsidP="00540B43">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Cette spéculation foncière génère un cycle dans lequel de nouveaux non lotis émergent continuellement, entraînant une extension progressive des frontières urbaines. Elle contribue non seulement à l'expansion physique des villes, mais elle influe également sur la structure du marché immobilier, rendant les prix des terrains et des logements de plus en plus inaccessibles pour une partie importante de la population, en particulier ceux vivant en situation de pauvreté. La régulation de cette spéculation est donc essentielle pour assurer une croissance urbaine durable. Des politiques ciblées visant à mieux encadrer les transactions foncières, promouvoir des lotissements planifiés et garantir un accès équitable aux terrains sont nécessaires pour contenir les effets négatifs de cette dynamique spéculative. </w:t>
      </w:r>
    </w:p>
    <w:p w14:paraId="6ADF77DE"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750A83E9" w14:textId="77777777" w:rsidR="00606C71" w:rsidRPr="007C5A6E" w:rsidRDefault="00606C71" w:rsidP="00540B43">
      <w:pPr>
        <w:pStyle w:val="Titre4"/>
      </w:pPr>
      <w:bookmarkStart w:id="1386" w:name="_Toc177649410"/>
      <w:bookmarkStart w:id="1387" w:name="_Toc179043966"/>
      <w:bookmarkStart w:id="1388" w:name="_Toc183340301"/>
      <w:r w:rsidRPr="007C5A6E">
        <w:t>L’individualisation historique de la possession foncière</w:t>
      </w:r>
      <w:bookmarkEnd w:id="1386"/>
      <w:bookmarkEnd w:id="1387"/>
      <w:bookmarkEnd w:id="1388"/>
    </w:p>
    <w:p w14:paraId="2F7380B9"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p>
    <w:p w14:paraId="7D1E1571" w14:textId="77777777"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Dans la culture burkinabè, la possession d'un terrain personnel et individuel est souvent perçue comme un signe de réussite sociale, un élément de sécurité pour les générations futures et un investissement durable. </w:t>
      </w:r>
    </w:p>
    <w:p w14:paraId="062980E6" w14:textId="77777777"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Cette aspiration collective à posséder un bien immobilier pousse de nombreuses personnes, même issues de zones rurales, à acquérir des parcelles dans les zones urbaines, accentuant ainsi l'expansion des villes. </w:t>
      </w:r>
      <w:sdt>
        <w:sdtPr>
          <w:rPr>
            <w:rFonts w:ascii="Times New Roman" w:eastAsiaTheme="minorHAnsi" w:hAnsi="Times New Roman"/>
            <w:kern w:val="2"/>
            <w:sz w:val="24"/>
            <w:szCs w:val="24"/>
            <w:lang w:eastAsia="en-US"/>
            <w14:ligatures w14:val="standardContextual"/>
          </w:rPr>
          <w:id w:val="-783574924"/>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Fou08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(Fournet, Meunier-Nikiema, &amp; Salem, 2008)</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 </w:t>
      </w:r>
      <w:sdt>
        <w:sdtPr>
          <w:rPr>
            <w:rFonts w:ascii="Times New Roman" w:eastAsiaTheme="minorHAnsi" w:hAnsi="Times New Roman"/>
            <w:kern w:val="2"/>
            <w:sz w:val="24"/>
            <w:szCs w:val="24"/>
            <w:lang w:eastAsia="en-US"/>
            <w14:ligatures w14:val="standardContextual"/>
          </w:rPr>
          <w:id w:val="-2105330895"/>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IRD09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(IRD, 2009)</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w:t>
      </w:r>
    </w:p>
    <w:p w14:paraId="014299F3" w14:textId="77777777"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L'urbanisation rapide est également facilitée par le fait que les populations privilégient souvent l'achat de terrains non lotis, souvent moins chers, mais qui sont par la suite intégrés dans des plans de lotissement urbains. Ce phénomène contribue non seulement à l'étalement urbain, mais aussi à l'essor de nouveaux quartiers périphériques, qui, bien que souvent non planifiés, finissent par faire partie du tissu urbain. </w:t>
      </w:r>
    </w:p>
    <w:p w14:paraId="7318C110" w14:textId="77777777"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Ainsi, la culture du terrain personnel alimente indirectement la spéculation foncière et la fragmentation des espaces urbains. Ce processus est amplifié par une réglementation foncière parfois insuffisamment appliquée, laissant place à une croissance urbaine informelle. </w:t>
      </w:r>
    </w:p>
    <w:p w14:paraId="17B36F16" w14:textId="77777777" w:rsidR="00606C71" w:rsidRPr="007C5A6E" w:rsidRDefault="00606C71" w:rsidP="009D1E01">
      <w:pPr>
        <w:spacing w:after="0" w:line="240" w:lineRule="auto"/>
        <w:jc w:val="both"/>
        <w:rPr>
          <w:rFonts w:ascii="Times New Roman" w:eastAsiaTheme="minorHAnsi" w:hAnsi="Times New Roman"/>
          <w:kern w:val="2"/>
          <w:lang w:eastAsia="en-US"/>
          <w14:ligatures w14:val="standardContextual"/>
        </w:rPr>
      </w:pPr>
      <w:r w:rsidRPr="007C5A6E">
        <w:rPr>
          <w:rFonts w:ascii="Times New Roman" w:eastAsiaTheme="minorHAnsi" w:hAnsi="Times New Roman"/>
          <w:kern w:val="2"/>
          <w:sz w:val="24"/>
          <w:szCs w:val="24"/>
          <w:lang w:eastAsia="en-US"/>
          <w14:ligatures w14:val="standardContextual"/>
        </w:rPr>
        <w:t>En 2011, selon des estimations de l’Observatoire de population de Ouagadougou (OPO), près de 81% des habitants des périphéries urbaines des grandes villes comme Ouagadougou et Bobo Dioulasso possèdent leur propre parcelle</w:t>
      </w:r>
      <w:r w:rsidRPr="007C5A6E">
        <w:rPr>
          <w:rFonts w:ascii="Times New Roman" w:eastAsiaTheme="minorEastAsia" w:hAnsi="Times New Roman"/>
          <w:kern w:val="2"/>
          <w:lang w:eastAsia="en-US"/>
          <w14:ligatures w14:val="standardContextual"/>
        </w:rPr>
        <w:t xml:space="preserve">. </w:t>
      </w:r>
    </w:p>
    <w:p w14:paraId="59B97023" w14:textId="77777777" w:rsidR="00606C71" w:rsidRPr="007C5A6E" w:rsidRDefault="00606C71" w:rsidP="00540B43">
      <w:pPr>
        <w:pStyle w:val="Titre3"/>
      </w:pPr>
      <w:bookmarkStart w:id="1389" w:name="_Toc176973787"/>
      <w:bookmarkStart w:id="1390" w:name="_Toc177649411"/>
      <w:bookmarkStart w:id="1391" w:name="_Toc176443988"/>
      <w:bookmarkStart w:id="1392" w:name="_Toc179043967"/>
      <w:bookmarkStart w:id="1393" w:name="_Toc183340302"/>
      <w:r w:rsidRPr="007C5A6E">
        <w:t>Principaux facteurs de la pauvreté urbaine</w:t>
      </w:r>
      <w:bookmarkEnd w:id="1389"/>
      <w:bookmarkEnd w:id="1390"/>
      <w:bookmarkEnd w:id="1391"/>
      <w:bookmarkEnd w:id="1392"/>
      <w:bookmarkEnd w:id="1393"/>
    </w:p>
    <w:p w14:paraId="3A0FE40E" w14:textId="77777777" w:rsidR="00606C71" w:rsidRPr="007C5A6E" w:rsidRDefault="00606C71" w:rsidP="00540B43">
      <w:pPr>
        <w:spacing w:after="0" w:line="240" w:lineRule="auto"/>
        <w:jc w:val="both"/>
        <w:rPr>
          <w:rFonts w:ascii="Times New Roman" w:eastAsiaTheme="minorHAnsi" w:hAnsi="Times New Roman"/>
          <w:kern w:val="2"/>
          <w:lang w:eastAsia="en-US"/>
          <w14:ligatures w14:val="standardContextual"/>
        </w:rPr>
      </w:pPr>
    </w:p>
    <w:p w14:paraId="0EACB1CC" w14:textId="77777777" w:rsidR="00606C71" w:rsidRPr="007C5A6E" w:rsidRDefault="00606C71" w:rsidP="00540B43">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L’urbanisation a souvent pour conséquence d’exacerber les inégalités et la pauvreté urbaine, avec des impacts marqués sur les conditions de vie des ménages. Dans le contexte du Burkina Faso, cette section explore les principaux facteurs qui contribuent à cette situation : revenus, statut d’occupation, biens, logement, accès aux infrastructures et services de base, etc.</w:t>
      </w:r>
    </w:p>
    <w:p w14:paraId="44FDB46B"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122DA83E" w14:textId="77777777" w:rsidR="00606C71" w:rsidRPr="007C5A6E" w:rsidRDefault="00606C71" w:rsidP="00540B43">
      <w:pPr>
        <w:pStyle w:val="Titre4"/>
      </w:pPr>
      <w:bookmarkStart w:id="1394" w:name="_Toc176973788"/>
      <w:bookmarkStart w:id="1395" w:name="_Toc177649412"/>
      <w:bookmarkStart w:id="1396" w:name="_Toc179043968"/>
      <w:bookmarkStart w:id="1397" w:name="_Toc183340303"/>
      <w:r w:rsidRPr="007C5A6E">
        <w:t>Précarité de l’emploi</w:t>
      </w:r>
      <w:bookmarkEnd w:id="1394"/>
      <w:r w:rsidRPr="007C5A6E">
        <w:t xml:space="preserve"> et des revenus</w:t>
      </w:r>
      <w:bookmarkEnd w:id="1395"/>
      <w:bookmarkEnd w:id="1396"/>
      <w:bookmarkEnd w:id="1397"/>
      <w:r w:rsidRPr="007C5A6E">
        <w:t xml:space="preserve"> </w:t>
      </w:r>
    </w:p>
    <w:p w14:paraId="7C9C10C9"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p>
    <w:p w14:paraId="0A3CED0D" w14:textId="77777777"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La précarité de l’emploi est un des facteurs clés de la pauvreté urbaine au Burkina Faso </w:t>
      </w:r>
      <w:sdt>
        <w:sdtPr>
          <w:rPr>
            <w:rFonts w:ascii="Times New Roman" w:eastAsiaTheme="minorHAnsi" w:hAnsi="Times New Roman"/>
            <w:kern w:val="2"/>
            <w:sz w:val="24"/>
            <w:szCs w:val="24"/>
            <w:lang w:eastAsia="en-US"/>
            <w14:ligatures w14:val="standardContextual"/>
          </w:rPr>
          <w:id w:val="601221416"/>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ONU10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(ONU-Habitat, 2010)</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Dans ce pays, l’économie urbaine est caractérisée par un secteur informel dominant, qui représente la principale source d'emploi, notamment dans les villes </w:t>
      </w:r>
      <w:sdt>
        <w:sdtPr>
          <w:rPr>
            <w:rFonts w:ascii="Times New Roman" w:eastAsiaTheme="minorHAnsi" w:hAnsi="Times New Roman"/>
            <w:kern w:val="2"/>
            <w:sz w:val="24"/>
            <w:szCs w:val="24"/>
            <w:lang w:eastAsia="en-US"/>
            <w14:ligatures w14:val="standardContextual"/>
          </w:rPr>
          <w:id w:val="-979679937"/>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INS031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(INSD, 2003)</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w:t>
          </w:r>
        </w:sdtContent>
      </w:sdt>
      <w:r w:rsidRPr="007C5A6E">
        <w:rPr>
          <w:rFonts w:ascii="Times New Roman" w:eastAsiaTheme="minorHAnsi" w:hAnsi="Times New Roman"/>
          <w:kern w:val="2"/>
          <w:sz w:val="24"/>
          <w:szCs w:val="24"/>
          <w:lang w:eastAsia="en-US"/>
          <w14:ligatures w14:val="standardContextual"/>
        </w:rPr>
        <w:t xml:space="preserve"> </w:t>
      </w:r>
      <w:sdt>
        <w:sdtPr>
          <w:rPr>
            <w:rFonts w:ascii="Times New Roman" w:eastAsiaTheme="minorHAnsi" w:hAnsi="Times New Roman"/>
            <w:kern w:val="2"/>
            <w:sz w:val="24"/>
            <w:szCs w:val="24"/>
            <w:lang w:eastAsia="en-US"/>
            <w14:ligatures w14:val="standardContextual"/>
          </w:rPr>
          <w:id w:val="1199044618"/>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INS19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(INSD, 2019)</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En 2018, la proportion de l'emploi informel dans les secteurs non agricoles est estimée à 89,3% au niveau national. Dans la même année, le taux d’emploi précaire est estimé à 41,1% à Ouagadougou. Ce taux est de 31,4% pour les autres centres urbains. Le secteur informel fournit près de 95% des travailleurs de l’agglomération de Ouagadougou </w:t>
      </w:r>
      <w:sdt>
        <w:sdtPr>
          <w:rPr>
            <w:rFonts w:ascii="Times New Roman" w:eastAsiaTheme="minorHAnsi" w:hAnsi="Times New Roman"/>
            <w:kern w:val="2"/>
            <w:sz w:val="24"/>
            <w:szCs w:val="24"/>
            <w:lang w:eastAsia="en-US"/>
            <w14:ligatures w14:val="standardContextual"/>
          </w:rPr>
          <w:id w:val="-1361354506"/>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IOE23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(IOE, 2023)</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w:t>
      </w:r>
    </w:p>
    <w:p w14:paraId="752D06C9"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5E5ED347" w14:textId="35F78EC6"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Ce type d'emploi, souvent instable et faiblement rémunéré, offre peu ou pas de protection sociale, ce qui rend les travailleurs vulnérables aux chocs économiques, tels que la maladie ou la perte d'emploi. En l'absence de contrats formels ou de régimes de retraite, les travailleurs du secteur informel ne bénéficient pas de sécurité sociale, de soins de santé ou de protections contre les accidents du travail </w:t>
      </w:r>
      <w:sdt>
        <w:sdtPr>
          <w:rPr>
            <w:rFonts w:ascii="Times New Roman" w:eastAsiaTheme="minorHAnsi" w:hAnsi="Times New Roman"/>
            <w:kern w:val="2"/>
            <w:sz w:val="24"/>
            <w:szCs w:val="24"/>
            <w:lang w:eastAsia="en-US"/>
            <w14:ligatures w14:val="standardContextual"/>
          </w:rPr>
          <w:id w:val="738602033"/>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INS031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(INSD, 2003)</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w:t>
          </w:r>
        </w:sdtContent>
      </w:sdt>
      <w:r w:rsidRPr="007C5A6E">
        <w:rPr>
          <w:rFonts w:ascii="Times New Roman" w:eastAsiaTheme="minorHAnsi" w:hAnsi="Times New Roman"/>
          <w:kern w:val="2"/>
          <w:sz w:val="24"/>
          <w:szCs w:val="24"/>
          <w:lang w:eastAsia="en-US"/>
          <w14:ligatures w14:val="standardContextual"/>
        </w:rPr>
        <w:t xml:space="preserve"> </w:t>
      </w:r>
      <w:sdt>
        <w:sdtPr>
          <w:rPr>
            <w:rFonts w:ascii="Times New Roman" w:eastAsiaTheme="minorHAnsi" w:hAnsi="Times New Roman"/>
            <w:kern w:val="2"/>
            <w:sz w:val="24"/>
            <w:szCs w:val="24"/>
            <w:lang w:eastAsia="en-US"/>
            <w14:ligatures w14:val="standardContextual"/>
          </w:rPr>
          <w:id w:val="-1976820003"/>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INS19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(INSD, 2019)</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w:t>
      </w:r>
    </w:p>
    <w:p w14:paraId="31028022"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76DC3689" w14:textId="09984101"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En 2013, seulement 10% de la population burkinabè bénéficiait d'une couverture sociale formelle. Les prestations de sécurité sociale offertes se limitaient essentiellement aux prestations familiales et de maternité, à la gestion des risques professionnels, ainsi qu'à l’assurance vieillesse, invalidité et décès. Cependant, les risques liés à la maladie, au chômage, ou à la perte de l’outil de travail pour les travailleurs indépendants et ceux du secteur informel, bien qu’identifiés comme prioritaires, restent encore sans couverture dans le système actuel. </w:t>
      </w:r>
      <w:sdt>
        <w:sdtPr>
          <w:rPr>
            <w:rFonts w:ascii="Times New Roman" w:eastAsiaTheme="minorHAnsi" w:hAnsi="Times New Roman"/>
            <w:kern w:val="2"/>
            <w:sz w:val="24"/>
            <w:szCs w:val="24"/>
            <w:lang w:eastAsia="en-US"/>
            <w14:ligatures w14:val="standardContextual"/>
          </w:rPr>
          <w:id w:val="267513273"/>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PNP12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(PNPS, 2012)</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 </w:t>
      </w:r>
      <w:sdt>
        <w:sdtPr>
          <w:rPr>
            <w:rFonts w:ascii="Times New Roman" w:eastAsiaTheme="minorHAnsi" w:hAnsi="Times New Roman"/>
            <w:kern w:val="2"/>
            <w:sz w:val="24"/>
            <w:szCs w:val="24"/>
            <w:lang w:eastAsia="en-US"/>
            <w14:ligatures w14:val="standardContextual"/>
          </w:rPr>
          <w:id w:val="1034701696"/>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CNS23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(CNSS, 2023)</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Cette faible intégration des travailleurs dans un système de protection sociale constitue un frein majeur à la réduction de la pauvreté urbaine.</w:t>
      </w:r>
    </w:p>
    <w:p w14:paraId="79252D9D" w14:textId="77777777"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Par ailleurs, la relative rareté d'opportunités d'emploi formel, combinée à la faible régulation du marché du travail, contribue à des taux de chômage des jeunes qui sont systématiquement plus élevés. Le taux de chômage des jeunes et de 11,5% contre 5,8 pour les adultes. Selon le sexe, la différence du taux chômage en défaveur des femmes est de 1,6 point. </w:t>
      </w:r>
      <w:sdt>
        <w:sdtPr>
          <w:rPr>
            <w:rFonts w:ascii="Times New Roman" w:eastAsiaTheme="minorHAnsi" w:hAnsi="Times New Roman"/>
            <w:kern w:val="2"/>
            <w:sz w:val="24"/>
            <w:szCs w:val="24"/>
            <w:lang w:eastAsia="en-US"/>
            <w14:ligatures w14:val="standardContextual"/>
          </w:rPr>
          <w:id w:val="-1572034108"/>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CITATION INS22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(INSD, 2022b)</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w:t>
      </w:r>
    </w:p>
    <w:p w14:paraId="7F3892D6"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2253C604" w14:textId="4D8194DC"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Aussi, les faibles revenus gagnés, notamment dans l’informel ne permettent pas vraiment aux ménages de couvrir à suffisance leurs besoins essentiels, comme le logement, la nourriture et l'éducation </w:t>
      </w:r>
      <w:sdt>
        <w:sdtPr>
          <w:rPr>
            <w:rFonts w:ascii="Times New Roman" w:eastAsiaTheme="minorHAnsi" w:hAnsi="Times New Roman"/>
            <w:kern w:val="2"/>
            <w:sz w:val="24"/>
            <w:szCs w:val="24"/>
            <w:lang w:eastAsia="en-US"/>
            <w14:ligatures w14:val="standardContextual"/>
          </w:rPr>
          <w:id w:val="-857579594"/>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CITATION INS222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(INSD-RGPH, 2022)</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 </w:t>
      </w:r>
      <w:sdt>
        <w:sdtPr>
          <w:rPr>
            <w:rFonts w:ascii="Times New Roman" w:eastAsiaTheme="minorHAnsi" w:hAnsi="Times New Roman"/>
            <w:kern w:val="2"/>
            <w:sz w:val="24"/>
            <w:szCs w:val="24"/>
            <w:lang w:eastAsia="en-US"/>
            <w14:ligatures w14:val="standardContextual"/>
          </w:rPr>
          <w:id w:val="653732957"/>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CITATION INS231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(INSD, 2023a)</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Cette situation se traduit souvent par un taux d'endettement croissant parmi les ménages urbains, qui ont recours à des emprunts informels à des taux d’intérêt élevés pour subvenir aux besoins immédiats. </w:t>
      </w:r>
    </w:p>
    <w:p w14:paraId="02E0432D" w14:textId="77777777" w:rsidR="00606C71" w:rsidRPr="007C5A6E" w:rsidRDefault="00606C71" w:rsidP="00540B43">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Enfin, la faiblesse de revenus réduit également la capacité des ménages à épargner ou à investir dans des activités génératrices de revenus. Ce qui constitue un cercle vicieux de pauvreté qui empêche les ménages, en particulier ceux urbains de s’extraire durablement de la précarité.</w:t>
      </w:r>
    </w:p>
    <w:p w14:paraId="4859622F"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707DBFE8" w14:textId="77777777" w:rsidR="00606C71" w:rsidRPr="007C5A6E" w:rsidRDefault="00606C71" w:rsidP="00540B43">
      <w:pPr>
        <w:pStyle w:val="Titre4"/>
      </w:pPr>
      <w:bookmarkStart w:id="1398" w:name="_Toc176973789"/>
      <w:bookmarkStart w:id="1399" w:name="_Toc177649413"/>
      <w:bookmarkStart w:id="1400" w:name="_Toc179043969"/>
      <w:bookmarkStart w:id="1401" w:name="_Toc183340304"/>
      <w:r w:rsidRPr="007C5A6E">
        <w:t>Faible accès aux services de base</w:t>
      </w:r>
      <w:bookmarkEnd w:id="1398"/>
      <w:bookmarkEnd w:id="1399"/>
      <w:bookmarkEnd w:id="1400"/>
      <w:bookmarkEnd w:id="1401"/>
    </w:p>
    <w:p w14:paraId="233807B8"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p>
    <w:p w14:paraId="378CDF8F" w14:textId="77777777"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Dans les centres urbains du Burkina Faso, malgré des améliorations significatives et continues, l'accès aux services de base, tels que l'eau potable, l'assainissement, les soins de santé et l'éducation, demeure insuffisant pour certaines couches sociales. </w:t>
      </w:r>
    </w:p>
    <w:p w14:paraId="4C5C4E0D"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32692FE4" w14:textId="6524B5B8"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Il est vrai qu’en milieu urbain, l'accès à l'eau potable est généralement meilleur qu'en milieu rural, mais il existe encore des disparités non négligeables. Comparativement aux zones loties et aux centres-villes, dans les zones périphériques et les quartiers informels des grandes villes comme Ouagadougou et Bobo Dioulasso, l’accès à l’eau reste problématique. En 2014, 93,5% des résidents en milieu urbain bénéficiaient d'un accès à l’eau potable. Toutefois, ce taux est de 93,6% pour les ménages en zone lotie contre 69,6% pour les zones non loties, soit une différence de 24 points. Aujourd’hui, les mêmes tendances sont observées. </w:t>
      </w:r>
    </w:p>
    <w:p w14:paraId="2077BC61"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085F077D" w14:textId="7B2A4A77"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 secteur de l'assainissement fait face à de nombreux défis. Bien que les grandes villes aient des infrastructures d'assainissement plus développées, les quartiers informels souffrent d'un manque de services adéquats. Les systèmes de drainage sont souvent obsolètes ou insuffisants, ce qui entraîne des problèmes de gestion des eaux usées et une pollution environnementale accrue. En 2020, environ 40% des ménages urbains vivaient dans des conditions d'assainissement précaires </w:t>
      </w:r>
      <w:sdt>
        <w:sdtPr>
          <w:rPr>
            <w:rFonts w:ascii="Times New Roman" w:eastAsiaTheme="minorHAnsi" w:hAnsi="Times New Roman"/>
            <w:kern w:val="2"/>
            <w:sz w:val="24"/>
            <w:szCs w:val="24"/>
            <w:lang w:eastAsia="en-US"/>
            <w14:ligatures w14:val="standardContextual"/>
          </w:rPr>
          <w:id w:val="1974098717"/>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CITATION INS22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(INSD, 2022b)</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 </w:t>
      </w:r>
      <w:sdt>
        <w:sdtPr>
          <w:rPr>
            <w:rFonts w:ascii="Times New Roman" w:eastAsiaTheme="minorHAnsi" w:hAnsi="Times New Roman"/>
            <w:kern w:val="2"/>
            <w:sz w:val="24"/>
            <w:szCs w:val="24"/>
            <w:lang w:eastAsia="en-US"/>
            <w14:ligatures w14:val="standardContextual"/>
          </w:rPr>
          <w:id w:val="214253370"/>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CITATION INS231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(INSD, 2023a)</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w:t>
      </w:r>
    </w:p>
    <w:p w14:paraId="5F15789E"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40AEE8BA" w14:textId="09B425A9"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L'accès aux soins de santé en milieu urbain est également inégal. Les grandes villes disposent d'hôpitaux et de cliniques, mais la qualité des soins peut varier considérablement entre les établissements publics et privés. Les quartiers périphériques, souvent éloignés des centres de santé principaux, souffrent davantage de l’insuffisance de structures médicales. En 2004, les indices de concentration estimés par Cadot &amp; </w:t>
      </w:r>
      <w:proofErr w:type="spellStart"/>
      <w:r w:rsidRPr="007C5A6E">
        <w:rPr>
          <w:rFonts w:ascii="Times New Roman" w:eastAsiaTheme="minorHAnsi" w:hAnsi="Times New Roman"/>
          <w:kern w:val="2"/>
          <w:sz w:val="24"/>
          <w:szCs w:val="24"/>
          <w:lang w:eastAsia="en-US"/>
          <w14:ligatures w14:val="standardContextual"/>
        </w:rPr>
        <w:t>Harang</w:t>
      </w:r>
      <w:proofErr w:type="spellEnd"/>
      <w:r w:rsidRPr="007C5A6E">
        <w:rPr>
          <w:rFonts w:ascii="Times New Roman" w:eastAsiaTheme="minorHAnsi" w:hAnsi="Times New Roman"/>
          <w:kern w:val="2"/>
          <w:sz w:val="24"/>
          <w:szCs w:val="24"/>
          <w:lang w:eastAsia="en-US"/>
          <w14:ligatures w14:val="standardContextual"/>
        </w:rPr>
        <w:t xml:space="preserve"> (2004) révélaient un phénomène de densification de l’offre de soins dans l’espace urbain loti, plus particulièrement au centre-ville et le long des axes de communication </w:t>
      </w:r>
      <w:sdt>
        <w:sdtPr>
          <w:rPr>
            <w:rFonts w:ascii="Times New Roman" w:eastAsiaTheme="minorHAnsi" w:hAnsi="Times New Roman"/>
            <w:kern w:val="2"/>
            <w:sz w:val="24"/>
            <w:szCs w:val="24"/>
            <w:lang w:eastAsia="en-US"/>
            <w14:ligatures w14:val="standardContextual"/>
          </w:rPr>
          <w:id w:val="-267007364"/>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Emm09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(Cadot &amp; Harang, 2009)</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Cette concentration accentue les effets de la pauvreté, notamment en raison de l'impact plus important sur les revenus, en particulier à cause des coûts de transport en cas de maladie. </w:t>
      </w:r>
    </w:p>
    <w:p w14:paraId="59F498C1"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112308C1" w14:textId="0A758825"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Les mêmes constats s'appliquent au système éducatif, qui pose également des défis en termes d'accessibilité et de qualité. Bien que les grandes villes disposent d'une concentration plus élevée d'écoles et d'établissements d'enseignement, les quartiers informels et périphériques manquent souvent d'infrastructures scolaires adéquates par rapport aux zones du centre-ville. Par exemple, la pression sur les salles de classe augmente considérablement à mesure que l'on s'éloigne du centre-ville vers les périphéries </w:t>
      </w:r>
      <w:sdt>
        <w:sdtPr>
          <w:rPr>
            <w:rFonts w:ascii="Times New Roman" w:eastAsiaTheme="minorHAnsi" w:hAnsi="Times New Roman"/>
            <w:kern w:val="2"/>
            <w:sz w:val="24"/>
            <w:szCs w:val="24"/>
            <w:lang w:eastAsia="en-US"/>
            <w14:ligatures w14:val="standardContextual"/>
          </w:rPr>
          <w:id w:val="-294918562"/>
          <w:citation/>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Bol17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(Boly, 2017)</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w:t>
      </w:r>
    </w:p>
    <w:p w14:paraId="2D27D9DE"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08139E25" w14:textId="7EEB8A5C"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 ratio élèves par salle de classe est de 47 dans le centre de la ville, tandis qu'il atteint 52 dans les zones périphériques non loties. Ce ratio est encore plus élevé dans les périphéries loties, où il atteint 55, en raison de la demande accrue provenant des enfants des périphéries non loties voisines. Cette forte pression est particulièrement marquée dans les écoles publiques des périphéries non loties, où le ratio moyen est de 74 élèves par classe </w:t>
      </w:r>
      <w:sdt>
        <w:sdtPr>
          <w:rPr>
            <w:rFonts w:ascii="Times New Roman" w:eastAsiaTheme="minorHAnsi" w:hAnsi="Times New Roman"/>
            <w:kern w:val="2"/>
            <w:sz w:val="24"/>
            <w:szCs w:val="24"/>
            <w:lang w:eastAsia="en-US"/>
            <w14:ligatures w14:val="standardContextual"/>
          </w:rPr>
          <w:id w:val="572781512"/>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Bol17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(Boly, 2017)</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Dans la pratique, ces conditions d'apprentissage moins favorables peuvent restreindre l'accès des enfants des zones périphériques ou non loties aux opportunités futures, renforçant ainsi les cycles de pauvreté en milieu urbain.</w:t>
      </w:r>
    </w:p>
    <w:p w14:paraId="73A6B699" w14:textId="77777777" w:rsidR="00606C71" w:rsidRPr="007C5A6E" w:rsidRDefault="00606C71" w:rsidP="00540B43">
      <w:pPr>
        <w:spacing w:after="0" w:line="240" w:lineRule="auto"/>
        <w:jc w:val="both"/>
        <w:rPr>
          <w:rFonts w:ascii="Times New Roman" w:eastAsiaTheme="minorHAnsi" w:hAnsi="Times New Roman"/>
          <w:kern w:val="2"/>
          <w:lang w:eastAsia="en-US"/>
          <w14:ligatures w14:val="standardContextual"/>
        </w:rPr>
      </w:pPr>
    </w:p>
    <w:p w14:paraId="5DB7FE85" w14:textId="77777777" w:rsidR="00606C71" w:rsidRPr="007C5A6E" w:rsidRDefault="00606C71" w:rsidP="00540B43">
      <w:pPr>
        <w:pStyle w:val="Titre4"/>
      </w:pPr>
      <w:bookmarkStart w:id="1402" w:name="_Toc177649414"/>
      <w:bookmarkStart w:id="1403" w:name="_Toc176973790"/>
      <w:bookmarkStart w:id="1404" w:name="_Toc179043970"/>
      <w:bookmarkStart w:id="1405" w:name="_Toc183340305"/>
      <w:r w:rsidRPr="007C5A6E">
        <w:t>Inégalités</w:t>
      </w:r>
      <w:bookmarkEnd w:id="1402"/>
      <w:bookmarkEnd w:id="1403"/>
      <w:bookmarkEnd w:id="1404"/>
      <w:bookmarkEnd w:id="1405"/>
      <w:r w:rsidRPr="007C5A6E">
        <w:t xml:space="preserve"> </w:t>
      </w:r>
    </w:p>
    <w:p w14:paraId="76AC26BB"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p>
    <w:p w14:paraId="4556BBC9" w14:textId="77777777"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Les inégalités dans les milieux urbains se caractérisent par divers facteurs, notamment des logements surpeuplés et déconnectés des infrastructures de base, conséquence d'une urbanisation accélérée et d'un accroissement démographique rapide, qui favorisent le développement et l'extension des quartiers informels ou zones non lotis. Ces inégalités représentent une importante composante de la pauvreté urbaine.</w:t>
      </w:r>
    </w:p>
    <w:p w14:paraId="2B6EDE92" w14:textId="77777777"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Dans les villes du burkinabè, la demande croissante en logements dépasse l'offre disponible, conduisant souvent à une surpopulation dans les habitations existantes </w:t>
      </w:r>
      <w:sdt>
        <w:sdtPr>
          <w:rPr>
            <w:rFonts w:ascii="Times New Roman" w:eastAsiaTheme="minorHAnsi" w:hAnsi="Times New Roman"/>
            <w:kern w:val="2"/>
            <w:sz w:val="24"/>
            <w:szCs w:val="24"/>
            <w:lang w:eastAsia="en-US"/>
            <w14:ligatures w14:val="standardContextual"/>
          </w:rPr>
          <w:id w:val="346915717"/>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CITATION INS231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(INSD, 2023a)</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Les quartiers populaires, en particulier dans les grandes agglomérations, sont fréquemment confrontés à des logements où plusieurs familles cohabitent dans des espaces réduits, exacerbant ainsi les problèmes de surpeuplement </w:t>
      </w:r>
      <w:sdt>
        <w:sdtPr>
          <w:rPr>
            <w:rFonts w:ascii="Times New Roman" w:eastAsiaTheme="minorHAnsi" w:hAnsi="Times New Roman"/>
            <w:kern w:val="2"/>
            <w:sz w:val="24"/>
            <w:szCs w:val="24"/>
            <w:lang w:eastAsia="en-US"/>
            <w14:ligatures w14:val="standardContextual"/>
          </w:rPr>
          <w:id w:val="937261883"/>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CITATION INS231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(INSD, 2023a)</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Cette situation engendre non seulement une diminution de la qualité de vie, mais aussi des problèmes de santé liés à l'insalubrité.</w:t>
      </w:r>
    </w:p>
    <w:p w14:paraId="329E05B5" w14:textId="77777777" w:rsidR="00540B43" w:rsidRPr="007C5A6E" w:rsidRDefault="00540B43" w:rsidP="00540B43">
      <w:pPr>
        <w:spacing w:after="0" w:line="240" w:lineRule="auto"/>
        <w:jc w:val="both"/>
        <w:rPr>
          <w:rFonts w:ascii="Times New Roman" w:eastAsiaTheme="minorHAnsi" w:hAnsi="Times New Roman"/>
          <w:kern w:val="2"/>
          <w:sz w:val="24"/>
          <w:szCs w:val="24"/>
          <w:lang w:eastAsia="en-US"/>
          <w14:ligatures w14:val="standardContextual"/>
        </w:rPr>
      </w:pPr>
    </w:p>
    <w:p w14:paraId="575D44A1" w14:textId="29D384E5"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Les logements insalubres sont une réalité dans les zones urbaines où l'expansion rapide n'a pas été accompagnée d'une amélioration des infrastructures et des services d’assainissement notamment. Ces habitations manquent souvent d’un accès adéquat à l'eau potable, à l'assainissement, et sont sujettes à des problèmes de ventilation et d'humidité. Ces conditions d’insalubrité augmentent le risque de maladies respiratoires et gastro-intestinales, affectant particulièrement les populations vulnérables tels que les femmes et les enfants </w:t>
      </w:r>
      <w:sdt>
        <w:sdtPr>
          <w:rPr>
            <w:rFonts w:ascii="Times New Roman" w:eastAsiaTheme="minorHAnsi" w:hAnsi="Times New Roman"/>
            <w:kern w:val="2"/>
            <w:sz w:val="24"/>
            <w:szCs w:val="24"/>
            <w:lang w:eastAsia="en-US"/>
            <w14:ligatures w14:val="standardContextual"/>
          </w:rPr>
          <w:id w:val="-1461494345"/>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ABa22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(Bajpai, Stratton-Short, &amp; Adelekan, 2022)</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w:t>
          </w:r>
        </w:sdtContent>
      </w:sdt>
      <w:r w:rsidRPr="007C5A6E">
        <w:rPr>
          <w:rFonts w:ascii="Times New Roman" w:eastAsiaTheme="minorHAnsi" w:hAnsi="Times New Roman"/>
          <w:kern w:val="2"/>
          <w:sz w:val="24"/>
          <w:szCs w:val="24"/>
          <w:lang w:eastAsia="en-US"/>
          <w14:ligatures w14:val="standardContextual"/>
        </w:rPr>
        <w:t> </w:t>
      </w:r>
      <w:sdt>
        <w:sdtPr>
          <w:rPr>
            <w:rFonts w:ascii="Times New Roman" w:eastAsiaTheme="minorHAnsi" w:hAnsi="Times New Roman"/>
            <w:kern w:val="2"/>
            <w:sz w:val="24"/>
            <w:szCs w:val="24"/>
            <w:lang w:eastAsia="en-US"/>
            <w14:ligatures w14:val="standardContextual"/>
          </w:rPr>
          <w:id w:val="1905724816"/>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CITATION INS231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(INSD, 2023a)</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w:t>
      </w:r>
    </w:p>
    <w:p w14:paraId="301EBA2B" w14:textId="77777777" w:rsidR="00606C71" w:rsidRPr="007C5A6E" w:rsidRDefault="00606C71" w:rsidP="009D1E01">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Une autre dimension des inégalités urbaines est la déconnexion des logements des réseaux d'électricité ou de gestion des déchets. Cette situation aggrave les conditions de vie des résidents et complique l'accès aux services disponibles. Les efforts pour intégrer ces quartiers dans les réseaux urbains existants sont souvent insuffisants et confrontés à des défis de financement et de planification </w:t>
      </w:r>
      <w:sdt>
        <w:sdtPr>
          <w:rPr>
            <w:rFonts w:ascii="Times New Roman" w:eastAsiaTheme="minorHAnsi" w:hAnsi="Times New Roman"/>
            <w:kern w:val="2"/>
            <w:sz w:val="24"/>
            <w:szCs w:val="24"/>
            <w:lang w:eastAsia="en-US"/>
            <w14:ligatures w14:val="standardContextual"/>
          </w:rPr>
          <w:id w:val="340512090"/>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ONU10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(ONU-Habitat, 2010)</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w:t>
          </w:r>
        </w:sdtContent>
      </w:sdt>
      <w:r w:rsidRPr="007C5A6E">
        <w:rPr>
          <w:rFonts w:ascii="Times New Roman" w:eastAsiaTheme="minorHAnsi" w:hAnsi="Times New Roman"/>
          <w:kern w:val="2"/>
          <w:sz w:val="24"/>
          <w:szCs w:val="24"/>
          <w:lang w:eastAsia="en-US"/>
          <w14:ligatures w14:val="standardContextual"/>
        </w:rPr>
        <w:t xml:space="preserve"> </w:t>
      </w:r>
      <w:sdt>
        <w:sdtPr>
          <w:rPr>
            <w:rFonts w:ascii="Times New Roman" w:eastAsiaTheme="minorHAnsi" w:hAnsi="Times New Roman"/>
            <w:kern w:val="2"/>
            <w:sz w:val="24"/>
            <w:szCs w:val="24"/>
            <w:lang w:eastAsia="en-US"/>
            <w14:ligatures w14:val="standardContextual"/>
          </w:rPr>
          <w:id w:val="-1536429374"/>
        </w:sdtPr>
        <w:sdtContent>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CITATION ABa22 \l 1036 </w:instrText>
          </w:r>
          <w:r w:rsidRPr="007C5A6E">
            <w:rPr>
              <w:rFonts w:ascii="Times New Roman" w:eastAsiaTheme="minorHAnsi" w:hAnsi="Times New Roman"/>
              <w:kern w:val="2"/>
              <w:sz w:val="24"/>
              <w:szCs w:val="24"/>
              <w:lang w:eastAsia="en-US"/>
              <w14:ligatures w14:val="standardContextual"/>
            </w:rPr>
            <w:fldChar w:fldCharType="separate"/>
          </w:r>
          <w:r w:rsidRPr="007C5A6E">
            <w:rPr>
              <w:rFonts w:ascii="Times New Roman" w:eastAsiaTheme="minorHAnsi" w:hAnsi="Times New Roman"/>
              <w:kern w:val="2"/>
              <w:sz w:val="24"/>
              <w:szCs w:val="24"/>
              <w:lang w:eastAsia="en-US"/>
              <w14:ligatures w14:val="standardContextual"/>
            </w:rPr>
            <w:t>(Bajpai, Stratton-Short, &amp; Adelekan, 2022)</w:t>
          </w:r>
          <w:r w:rsidRPr="007C5A6E">
            <w:rPr>
              <w:rFonts w:ascii="Times New Roman" w:eastAsiaTheme="minorHAnsi" w:hAnsi="Times New Roman"/>
              <w:kern w:val="2"/>
              <w:sz w:val="24"/>
              <w:szCs w:val="24"/>
              <w:lang w:eastAsia="en-US"/>
              <w14:ligatures w14:val="standardContextual"/>
            </w:rPr>
            <w:fldChar w:fldCharType="end"/>
          </w:r>
        </w:sdtContent>
      </w:sdt>
      <w:r w:rsidRPr="007C5A6E">
        <w:rPr>
          <w:rFonts w:ascii="Times New Roman" w:eastAsiaTheme="minorHAnsi" w:hAnsi="Times New Roman"/>
          <w:kern w:val="2"/>
          <w:sz w:val="24"/>
          <w:szCs w:val="24"/>
          <w:lang w:eastAsia="en-US"/>
          <w14:ligatures w14:val="standardContextual"/>
        </w:rPr>
        <w:t xml:space="preserve">. </w:t>
      </w:r>
    </w:p>
    <w:p w14:paraId="25D8C9C2" w14:textId="77777777" w:rsidR="00606C71" w:rsidRPr="007C5A6E" w:rsidRDefault="00606C71" w:rsidP="00540B43">
      <w:pPr>
        <w:spacing w:after="0" w:line="240" w:lineRule="auto"/>
        <w:jc w:val="both"/>
        <w:rPr>
          <w:rFonts w:ascii="Times New Roman" w:eastAsiaTheme="minorHAnsi" w:hAnsi="Times New Roman"/>
          <w:color w:val="002060"/>
          <w:sz w:val="24"/>
          <w:szCs w:val="24"/>
        </w:rPr>
      </w:pPr>
    </w:p>
    <w:p w14:paraId="08C0CB8E" w14:textId="77777777" w:rsidR="00606C71" w:rsidRPr="007C5A6E" w:rsidRDefault="00606C71" w:rsidP="00540B43">
      <w:pPr>
        <w:pStyle w:val="Titre4"/>
      </w:pPr>
      <w:bookmarkStart w:id="1406" w:name="_Toc177649415"/>
      <w:bookmarkStart w:id="1407" w:name="_Toc179043971"/>
      <w:bookmarkStart w:id="1408" w:name="_Toc183340306"/>
      <w:bookmarkStart w:id="1409" w:name="_Toc176973791"/>
      <w:r w:rsidRPr="007C5A6E">
        <w:t>Coût élevé de la vie</w:t>
      </w:r>
      <w:bookmarkEnd w:id="1406"/>
      <w:bookmarkEnd w:id="1407"/>
      <w:bookmarkEnd w:id="1408"/>
      <w:r w:rsidRPr="007C5A6E">
        <w:t xml:space="preserve"> </w:t>
      </w:r>
      <w:bookmarkEnd w:id="1409"/>
    </w:p>
    <w:p w14:paraId="674DC347"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p>
    <w:p w14:paraId="2D495994" w14:textId="77777777"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Le coût de la vie dans les milieux urbains du Burkina Faso est un défi majeur pour les ménages vivant en situation de pauvreté, affectant particulièrement les dépenses liées à l'alimentation, au logement et au transport. Ces coûts élevés ont des répercussions directes sur la qualité de vie des résidents urbains, surtout dans un contexte de croissance démographique rapide et de pression économique croissante.</w:t>
      </w:r>
    </w:p>
    <w:p w14:paraId="71FE53FC" w14:textId="77777777"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Depuis quelques années, le prix des denrées alimentaires dans les villes burkinabè a connu une hausse significative. Cette augmentation est due à plusieurs facteurs, notamment les fluctuations des prix des matières premières, les coûts de transport et les problèmes d'approvisionnement liés notamment aux défis sécuritaires et aux conséquences résiduelles de la pandémie de la COVID-19 </w:t>
      </w:r>
      <w:sdt>
        <w:sdtPr>
          <w:rPr>
            <w:rFonts w:ascii="Times New Roman" w:eastAsiaTheme="minorHAnsi" w:hAnsi="Times New Roman"/>
            <w:sz w:val="24"/>
            <w:szCs w:val="24"/>
          </w:rPr>
          <w:id w:val="-410010641"/>
        </w:sdtPr>
        <w:sdtEndPr>
          <w:rPr>
            <w:b/>
            <w:bCs/>
          </w:rPr>
        </w:sdtEndPr>
        <w:sdtContent>
          <w:r w:rsidRPr="007C5A6E">
            <w:rPr>
              <w:rFonts w:ascii="Times New Roman" w:eastAsiaTheme="minorHAnsi" w:hAnsi="Times New Roman"/>
              <w:b/>
              <w:bCs/>
              <w:sz w:val="24"/>
              <w:szCs w:val="24"/>
            </w:rPr>
            <w:fldChar w:fldCharType="begin"/>
          </w:r>
          <w:r w:rsidRPr="007C5A6E">
            <w:rPr>
              <w:rFonts w:ascii="Times New Roman" w:eastAsiaTheme="minorHAnsi" w:hAnsi="Times New Roman"/>
              <w:b/>
              <w:bCs/>
              <w:sz w:val="24"/>
              <w:szCs w:val="24"/>
            </w:rPr>
            <w:instrText xml:space="preserve">CITATION Jac21 \l 1036 </w:instrText>
          </w:r>
          <w:r w:rsidRPr="007C5A6E">
            <w:rPr>
              <w:rFonts w:ascii="Times New Roman" w:eastAsiaTheme="minorHAnsi" w:hAnsi="Times New Roman"/>
              <w:b/>
              <w:bCs/>
              <w:sz w:val="24"/>
              <w:szCs w:val="24"/>
            </w:rPr>
            <w:fldChar w:fldCharType="separate"/>
          </w:r>
          <w:r w:rsidRPr="007C5A6E">
            <w:rPr>
              <w:rFonts w:ascii="Times New Roman" w:eastAsiaTheme="minorHAnsi" w:hAnsi="Times New Roman"/>
              <w:kern w:val="2"/>
              <w:sz w:val="24"/>
              <w:szCs w:val="24"/>
              <w:lang w:eastAsia="en-US"/>
              <w14:ligatures w14:val="standardContextual"/>
            </w:rPr>
            <w:t>(Mathonnat, Audibert, &amp; Nossek, 2021)</w:t>
          </w:r>
          <w:r w:rsidRPr="007C5A6E">
            <w:rPr>
              <w:rFonts w:ascii="Times New Roman" w:eastAsiaTheme="minorHAnsi" w:hAnsi="Times New Roman"/>
              <w:b/>
              <w:bCs/>
              <w:sz w:val="24"/>
              <w:szCs w:val="24"/>
            </w:rPr>
            <w:fldChar w:fldCharType="end"/>
          </w:r>
        </w:sdtContent>
      </w:sdt>
      <w:r w:rsidRPr="007C5A6E">
        <w:rPr>
          <w:rFonts w:ascii="Times New Roman" w:eastAsiaTheme="minorHAnsi" w:hAnsi="Times New Roman"/>
          <w:b/>
          <w:bCs/>
          <w:sz w:val="24"/>
          <w:szCs w:val="24"/>
        </w:rPr>
        <w:t xml:space="preserve"> ; </w:t>
      </w:r>
      <w:sdt>
        <w:sdtPr>
          <w:rPr>
            <w:rFonts w:ascii="Times New Roman" w:eastAsiaTheme="minorHAnsi" w:hAnsi="Times New Roman"/>
            <w:b/>
            <w:bCs/>
            <w:sz w:val="24"/>
            <w:szCs w:val="24"/>
          </w:rPr>
          <w:id w:val="175009674"/>
        </w:sdtPr>
        <w:sdtContent>
          <w:r w:rsidRPr="007C5A6E">
            <w:rPr>
              <w:rFonts w:ascii="Times New Roman" w:eastAsiaTheme="minorHAnsi" w:hAnsi="Times New Roman"/>
              <w:b/>
              <w:bCs/>
              <w:sz w:val="24"/>
              <w:szCs w:val="24"/>
            </w:rPr>
            <w:fldChar w:fldCharType="begin"/>
          </w:r>
          <w:r w:rsidRPr="007C5A6E">
            <w:rPr>
              <w:rFonts w:ascii="Times New Roman" w:eastAsiaTheme="minorHAnsi" w:hAnsi="Times New Roman"/>
              <w:b/>
              <w:bCs/>
              <w:sz w:val="24"/>
              <w:szCs w:val="24"/>
            </w:rPr>
            <w:instrText xml:space="preserve">CITATION Ash22 \l 1036 </w:instrText>
          </w:r>
          <w:r w:rsidRPr="007C5A6E">
            <w:rPr>
              <w:rFonts w:ascii="Times New Roman" w:eastAsiaTheme="minorHAnsi" w:hAnsi="Times New Roman"/>
              <w:b/>
              <w:bCs/>
              <w:sz w:val="24"/>
              <w:szCs w:val="24"/>
            </w:rPr>
            <w:fldChar w:fldCharType="separate"/>
          </w:r>
          <w:r w:rsidRPr="007C5A6E">
            <w:rPr>
              <w:rFonts w:ascii="Times New Roman" w:eastAsiaTheme="minorHAnsi" w:hAnsi="Times New Roman"/>
              <w:kern w:val="2"/>
              <w:sz w:val="24"/>
              <w:szCs w:val="24"/>
              <w:lang w:eastAsia="en-US"/>
              <w14:ligatures w14:val="standardContextual"/>
            </w:rPr>
            <w:t>(Deshpande, 2022)</w:t>
          </w:r>
          <w:r w:rsidRPr="007C5A6E">
            <w:rPr>
              <w:rFonts w:ascii="Times New Roman" w:eastAsiaTheme="minorHAnsi" w:hAnsi="Times New Roman"/>
              <w:b/>
              <w:bCs/>
              <w:sz w:val="24"/>
              <w:szCs w:val="24"/>
            </w:rPr>
            <w:fldChar w:fldCharType="end"/>
          </w:r>
          <w:r w:rsidRPr="007C5A6E">
            <w:rPr>
              <w:rFonts w:ascii="Times New Roman" w:eastAsiaTheme="minorHAnsi" w:hAnsi="Times New Roman"/>
              <w:b/>
              <w:bCs/>
              <w:sz w:val="24"/>
              <w:szCs w:val="24"/>
            </w:rPr>
            <w:t> ;</w:t>
          </w:r>
        </w:sdtContent>
      </w:sdt>
      <w:r w:rsidRPr="007C5A6E">
        <w:rPr>
          <w:rFonts w:ascii="Times New Roman" w:eastAsiaTheme="minorHAnsi" w:hAnsi="Times New Roman"/>
          <w:b/>
          <w:bCs/>
          <w:sz w:val="24"/>
          <w:szCs w:val="24"/>
        </w:rPr>
        <w:t xml:space="preserve"> </w:t>
      </w:r>
      <w:sdt>
        <w:sdtPr>
          <w:rPr>
            <w:rFonts w:ascii="Times New Roman" w:eastAsiaTheme="minorHAnsi" w:hAnsi="Times New Roman"/>
            <w:b/>
            <w:bCs/>
            <w:sz w:val="24"/>
            <w:szCs w:val="24"/>
          </w:rPr>
          <w:id w:val="1037468021"/>
        </w:sdtPr>
        <w:sdtContent>
          <w:r w:rsidRPr="007C5A6E">
            <w:rPr>
              <w:rFonts w:ascii="Times New Roman" w:eastAsiaTheme="minorHAnsi" w:hAnsi="Times New Roman"/>
              <w:b/>
              <w:bCs/>
              <w:sz w:val="24"/>
              <w:szCs w:val="24"/>
            </w:rPr>
            <w:fldChar w:fldCharType="begin"/>
          </w:r>
          <w:r w:rsidRPr="007C5A6E">
            <w:rPr>
              <w:rFonts w:ascii="Times New Roman" w:eastAsiaTheme="minorHAnsi" w:hAnsi="Times New Roman"/>
              <w:b/>
              <w:bCs/>
              <w:sz w:val="24"/>
              <w:szCs w:val="24"/>
            </w:rPr>
            <w:instrText xml:space="preserve">CITATION INS223 \l 1036 </w:instrText>
          </w:r>
          <w:r w:rsidRPr="007C5A6E">
            <w:rPr>
              <w:rFonts w:ascii="Times New Roman" w:eastAsiaTheme="minorHAnsi" w:hAnsi="Times New Roman"/>
              <w:b/>
              <w:bCs/>
              <w:sz w:val="24"/>
              <w:szCs w:val="24"/>
            </w:rPr>
            <w:fldChar w:fldCharType="separate"/>
          </w:r>
          <w:r w:rsidRPr="007C5A6E">
            <w:rPr>
              <w:rFonts w:ascii="Times New Roman" w:eastAsiaTheme="minorHAnsi" w:hAnsi="Times New Roman"/>
              <w:kern w:val="2"/>
              <w:sz w:val="24"/>
              <w:szCs w:val="24"/>
              <w:lang w:eastAsia="en-US"/>
              <w14:ligatures w14:val="standardContextual"/>
            </w:rPr>
            <w:t>(INSD, 2022c)</w:t>
          </w:r>
          <w:r w:rsidRPr="007C5A6E">
            <w:rPr>
              <w:rFonts w:ascii="Times New Roman" w:eastAsiaTheme="minorHAnsi" w:hAnsi="Times New Roman"/>
              <w:b/>
              <w:bCs/>
              <w:sz w:val="24"/>
              <w:szCs w:val="24"/>
            </w:rPr>
            <w:fldChar w:fldCharType="end"/>
          </w:r>
        </w:sdtContent>
      </w:sdt>
      <w:r w:rsidRPr="007C5A6E">
        <w:rPr>
          <w:rFonts w:ascii="Times New Roman" w:eastAsiaTheme="minorHAnsi" w:hAnsi="Times New Roman"/>
          <w:sz w:val="24"/>
          <w:szCs w:val="24"/>
        </w:rPr>
        <w:t xml:space="preserve">. Les ménages à faibles revenus sont particulièrement touchés par cette hausse, ce qui limite leur accès à une alimentation suffisante et équilibrée </w:t>
      </w:r>
      <w:sdt>
        <w:sdtPr>
          <w:rPr>
            <w:rFonts w:ascii="Times New Roman" w:eastAsiaTheme="minorHAnsi" w:hAnsi="Times New Roman"/>
            <w:b/>
            <w:bCs/>
            <w:sz w:val="24"/>
            <w:szCs w:val="24"/>
          </w:rPr>
          <w:id w:val="-673874098"/>
        </w:sdtPr>
        <w:sdtContent>
          <w:r w:rsidRPr="007C5A6E">
            <w:rPr>
              <w:rFonts w:ascii="Times New Roman" w:eastAsiaTheme="minorHAnsi" w:hAnsi="Times New Roman"/>
              <w:b/>
              <w:bCs/>
              <w:sz w:val="24"/>
              <w:szCs w:val="24"/>
            </w:rPr>
            <w:fldChar w:fldCharType="begin"/>
          </w:r>
          <w:r w:rsidRPr="007C5A6E">
            <w:rPr>
              <w:rFonts w:ascii="Times New Roman" w:eastAsiaTheme="minorHAnsi" w:hAnsi="Times New Roman"/>
              <w:b/>
              <w:bCs/>
              <w:sz w:val="24"/>
              <w:szCs w:val="24"/>
            </w:rPr>
            <w:instrText xml:space="preserve"> CITATION Nat22 \l 1036 </w:instrText>
          </w:r>
          <w:r w:rsidRPr="007C5A6E">
            <w:rPr>
              <w:rFonts w:ascii="Times New Roman" w:eastAsiaTheme="minorHAnsi" w:hAnsi="Times New Roman"/>
              <w:b/>
              <w:bCs/>
              <w:sz w:val="24"/>
              <w:szCs w:val="24"/>
            </w:rPr>
            <w:fldChar w:fldCharType="separate"/>
          </w:r>
          <w:r w:rsidRPr="007C5A6E">
            <w:rPr>
              <w:rFonts w:ascii="Times New Roman" w:eastAsiaTheme="minorHAnsi" w:hAnsi="Times New Roman"/>
              <w:kern w:val="2"/>
              <w:sz w:val="24"/>
              <w:szCs w:val="24"/>
              <w:lang w:eastAsia="en-US"/>
              <w14:ligatures w14:val="standardContextual"/>
            </w:rPr>
            <w:t>(Nations Unies, 2022)</w:t>
          </w:r>
          <w:r w:rsidRPr="007C5A6E">
            <w:rPr>
              <w:rFonts w:ascii="Times New Roman" w:eastAsiaTheme="minorHAnsi" w:hAnsi="Times New Roman"/>
              <w:b/>
              <w:bCs/>
              <w:sz w:val="24"/>
              <w:szCs w:val="24"/>
            </w:rPr>
            <w:fldChar w:fldCharType="end"/>
          </w:r>
        </w:sdtContent>
      </w:sdt>
      <w:r w:rsidRPr="007C5A6E">
        <w:rPr>
          <w:rFonts w:ascii="Times New Roman" w:eastAsiaTheme="minorHAnsi" w:hAnsi="Times New Roman"/>
          <w:b/>
          <w:bCs/>
          <w:sz w:val="24"/>
          <w:szCs w:val="24"/>
        </w:rPr>
        <w:t>.</w:t>
      </w:r>
      <w:r w:rsidRPr="007C5A6E">
        <w:rPr>
          <w:rFonts w:ascii="Times New Roman" w:eastAsiaTheme="minorHAnsi" w:hAnsi="Times New Roman"/>
          <w:sz w:val="24"/>
          <w:szCs w:val="24"/>
        </w:rPr>
        <w:t xml:space="preserve"> </w:t>
      </w:r>
    </w:p>
    <w:p w14:paraId="44E8E6DA" w14:textId="77777777"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En milieu urbain, le coût du logement constitue une part importante des dépenses des ménages. Ces dernières années, l'augmentation rapide de la demande de logements dans les grandes villes et la spéculation y relative ont entraîné une montée des prix de l'immobilier, rendant difficile l'accès à des logements abordables pour de nombreux résidents. Les loyers élevés et les prix des terrains ont un impact direct sur les familles, souvent contraintes de vivre dans des conditions précaires ou de surpeuplement comme mentionné plus haut.</w:t>
      </w:r>
    </w:p>
    <w:p w14:paraId="35ED2039" w14:textId="77777777" w:rsidR="00606C71" w:rsidRPr="007C5A6E" w:rsidRDefault="00606C71" w:rsidP="00540B43">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Les frais de transport représentent également une charge considérable pour les habitants des villes burkinabè. La faible utilisation des transports en commun, souvent peu fiables et insuffisants, impliquant des coûts liés à l'achat et à l'entretien des véhicules personnels, augmente les dépenses des ménages. En outre, les tarifs des transports publics ont tendance à augmenter en raison de la hausse des coûts de carburant et des frais d'entretien, impactant particulièrement les personnes à faible revenu.</w:t>
      </w:r>
    </w:p>
    <w:p w14:paraId="6525F0B2" w14:textId="77777777" w:rsidR="00606C71" w:rsidRPr="007C5A6E" w:rsidRDefault="00606C71" w:rsidP="00540B43">
      <w:pPr>
        <w:pStyle w:val="Titre4"/>
      </w:pPr>
      <w:bookmarkStart w:id="1410" w:name="_Toc177649416"/>
      <w:bookmarkStart w:id="1411" w:name="_Toc176973792"/>
      <w:bookmarkStart w:id="1412" w:name="_Toc179043972"/>
      <w:bookmarkStart w:id="1413" w:name="_Toc183340307"/>
      <w:r w:rsidRPr="007C5A6E">
        <w:t>Vulnérabilité environnementale</w:t>
      </w:r>
      <w:bookmarkEnd w:id="1410"/>
      <w:bookmarkEnd w:id="1411"/>
      <w:bookmarkEnd w:id="1412"/>
      <w:bookmarkEnd w:id="1413"/>
      <w:r w:rsidRPr="007C5A6E">
        <w:t xml:space="preserve"> </w:t>
      </w:r>
    </w:p>
    <w:p w14:paraId="7B8FC676"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p>
    <w:p w14:paraId="55BD88FD" w14:textId="77777777"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La vulnérabilité environnementale constitue un facteur déterminant de la pauvreté urbaine au Burkina Faso, particulièrement dans les zones informelles où les infrastructures sont souvent inexistantes. </w:t>
      </w:r>
    </w:p>
    <w:p w14:paraId="633D2FF1" w14:textId="77777777"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Considérant ce fait, la vulnérabilité des populations est étroitement liée à celle des logements, influencée par la pauvreté des ménages. Les ménages les plus pauvres, souvent ceux dont le chef de ménage travaille dans l'agriculture, le secteur informel, ou est sans emploi fixe, ont un revenu mensuel faible </w:t>
      </w:r>
      <w:sdt>
        <w:sdtPr>
          <w:rPr>
            <w:rFonts w:ascii="Times New Roman" w:eastAsiaTheme="minorHAnsi" w:hAnsi="Times New Roman"/>
            <w:sz w:val="24"/>
            <w:szCs w:val="24"/>
          </w:rPr>
          <w:id w:val="-632018008"/>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CITATION INS223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kern w:val="2"/>
              <w:sz w:val="24"/>
              <w:szCs w:val="24"/>
              <w:lang w:eastAsia="en-US"/>
              <w14:ligatures w14:val="standardContextual"/>
            </w:rPr>
            <w:t>(INSD, 2022c)</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 </w:t>
      </w:r>
      <w:sdt>
        <w:sdtPr>
          <w:rPr>
            <w:rFonts w:ascii="Times New Roman" w:eastAsiaTheme="minorHAnsi" w:hAnsi="Times New Roman"/>
            <w:sz w:val="24"/>
            <w:szCs w:val="24"/>
          </w:rPr>
          <w:id w:val="-858117425"/>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CITATION INS22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kern w:val="2"/>
              <w:sz w:val="24"/>
              <w:szCs w:val="24"/>
              <w:lang w:eastAsia="en-US"/>
              <w14:ligatures w14:val="standardContextual"/>
            </w:rPr>
            <w:t>(INSD, 2022b)</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w:t>
      </w:r>
    </w:p>
    <w:p w14:paraId="3D652F2E" w14:textId="77777777"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Cette faible capacité financière limite leur accès à des espaces sécurisés ou à logements décents et résistants face aux inondations notamment. En raison des coûts élevés des matériaux de construction solides, ces ménages se tournent vers des matériaux moins coûteux comme le banco. Par ailleurs, la faible capacité financière de ces ménages rend difficile la réhabilitation de leurs logements après les inondations, aggravant ainsi leur vulnérabilité et celle des villes. </w:t>
      </w:r>
    </w:p>
    <w:p w14:paraId="79C4C8BC" w14:textId="77777777" w:rsidR="00540B43" w:rsidRPr="007C5A6E" w:rsidRDefault="00540B43" w:rsidP="00540B43">
      <w:pPr>
        <w:spacing w:after="0" w:line="240" w:lineRule="auto"/>
        <w:jc w:val="both"/>
        <w:rPr>
          <w:rFonts w:ascii="Times New Roman" w:eastAsiaTheme="minorHAnsi" w:hAnsi="Times New Roman"/>
          <w:sz w:val="24"/>
          <w:szCs w:val="24"/>
        </w:rPr>
      </w:pPr>
    </w:p>
    <w:p w14:paraId="6DCFD080" w14:textId="12E86DB1"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À titre de rappel, en 2009, Ouagadougou a enregistré environ 32 260 maisons effondrées, 150 000 personnes sinistrées et d'importants dégâts matériels. Sur le plan financier, le coût des inondations a été estimé à plus de 60 milliards de FCFA. Les dommages, les pertes et les besoins pour la reconstruction ont été évalués à 120 milliards de FCFA (MUH, 2010). </w:t>
      </w:r>
    </w:p>
    <w:p w14:paraId="060BB907" w14:textId="77777777" w:rsidR="00540B43" w:rsidRPr="007C5A6E" w:rsidRDefault="00540B43" w:rsidP="00540B43">
      <w:pPr>
        <w:spacing w:after="0" w:line="240" w:lineRule="auto"/>
        <w:jc w:val="both"/>
        <w:rPr>
          <w:rFonts w:ascii="Times New Roman" w:eastAsiaTheme="minorHAnsi" w:hAnsi="Times New Roman"/>
          <w:sz w:val="24"/>
          <w:szCs w:val="24"/>
        </w:rPr>
      </w:pPr>
    </w:p>
    <w:p w14:paraId="587EA1B4" w14:textId="697D46A3" w:rsidR="00606C71" w:rsidRPr="007C5A6E" w:rsidRDefault="00606C71" w:rsidP="00540B43">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Ce bilan illustre la vulnérabilité des espaces urbains burkinabè face aux inondations. Face à ce type de situation, en l’absence de filets de sécurité sociale et de systèmes d’alerte précoce solides, les ménages les plus démunis n'ont pas les moyens de se relever de ces chocs, renforçant ainsi la spirale de la pauvreté. Les solutions pour réduire cette vulnérabilité passent par des politiques d’aménagement urbain plus résilientes, l’amélioration des infrastructures de drainage, et l’implantation de dispositifs d’adaptation au changement climatique. Dans ce sens, l’État burkinabè a adopté diverses politiques et stratégies, mais leur mise en œuvre reste limitée faute de moyens. </w:t>
      </w:r>
    </w:p>
    <w:p w14:paraId="76C2A0D8" w14:textId="77777777" w:rsidR="00540B43" w:rsidRPr="007C5A6E" w:rsidRDefault="00540B43" w:rsidP="00540B43">
      <w:pPr>
        <w:spacing w:after="0" w:line="240" w:lineRule="auto"/>
        <w:jc w:val="both"/>
        <w:rPr>
          <w:rFonts w:ascii="Times New Roman" w:eastAsiaTheme="minorHAnsi" w:hAnsi="Times New Roman"/>
          <w:sz w:val="24"/>
          <w:szCs w:val="24"/>
        </w:rPr>
      </w:pPr>
    </w:p>
    <w:p w14:paraId="0D0E631D" w14:textId="77777777" w:rsidR="00606C71" w:rsidRPr="007C5A6E" w:rsidRDefault="00606C71" w:rsidP="00712C43">
      <w:pPr>
        <w:pStyle w:val="Titre2"/>
      </w:pPr>
      <w:bookmarkStart w:id="1414" w:name="_Toc176443994"/>
      <w:bookmarkStart w:id="1415" w:name="_Toc176973793"/>
      <w:bookmarkStart w:id="1416" w:name="_Toc177649417"/>
      <w:bookmarkStart w:id="1417" w:name="_Toc183340308"/>
      <w:r w:rsidRPr="007C5A6E">
        <w:t>État et dynamique de l’urbanisation et de la pauvreté</w:t>
      </w:r>
      <w:bookmarkEnd w:id="1414"/>
      <w:bookmarkEnd w:id="1415"/>
      <w:bookmarkEnd w:id="1416"/>
      <w:bookmarkEnd w:id="1417"/>
    </w:p>
    <w:p w14:paraId="7BFD1883"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p>
    <w:p w14:paraId="37A256A5" w14:textId="77777777" w:rsidR="00606C71" w:rsidRPr="007C5A6E" w:rsidRDefault="00606C71" w:rsidP="00540B43">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La présente section analyse les dynamiques clés de l'urbanisation en lien avec la pauvreté au Burkina Faso. Elle commence par la croissance de la population urbaine et l'expansion des villes. Elle aborde ensuite la mobilité urbaine, en mettant l'accent sur les infrastructures et les moyens de transport. La section se penche également sur la cartographie de la pauvreté urbaine, en décrivant les conditions de vie dans les quartiers défavorisés et les défis liés au logement.</w:t>
      </w:r>
    </w:p>
    <w:p w14:paraId="49EA37F9" w14:textId="77777777" w:rsidR="00540B43" w:rsidRPr="007C5A6E" w:rsidRDefault="00540B43" w:rsidP="00540B43">
      <w:pPr>
        <w:spacing w:after="0" w:line="240" w:lineRule="auto"/>
        <w:jc w:val="both"/>
        <w:rPr>
          <w:rFonts w:ascii="Times New Roman" w:eastAsiaTheme="minorHAnsi" w:hAnsi="Times New Roman"/>
          <w:sz w:val="24"/>
          <w:szCs w:val="24"/>
        </w:rPr>
      </w:pPr>
    </w:p>
    <w:p w14:paraId="69E2D7EC" w14:textId="77777777" w:rsidR="00606C71" w:rsidRPr="007C5A6E" w:rsidRDefault="00606C71" w:rsidP="00540B43">
      <w:pPr>
        <w:pStyle w:val="Titre3"/>
      </w:pPr>
      <w:bookmarkStart w:id="1418" w:name="_Toc176973794"/>
      <w:bookmarkStart w:id="1419" w:name="_Toc176443995"/>
      <w:bookmarkStart w:id="1420" w:name="_Toc177649418"/>
      <w:bookmarkStart w:id="1421" w:name="_Toc179043974"/>
      <w:bookmarkStart w:id="1422" w:name="_Toc183340309"/>
      <w:r w:rsidRPr="007C5A6E">
        <w:t>Urbanisation</w:t>
      </w:r>
      <w:bookmarkEnd w:id="1418"/>
      <w:bookmarkEnd w:id="1419"/>
      <w:bookmarkEnd w:id="1420"/>
      <w:bookmarkEnd w:id="1421"/>
      <w:bookmarkEnd w:id="1422"/>
    </w:p>
    <w:p w14:paraId="3E826CB9" w14:textId="77777777" w:rsidR="00606C71" w:rsidRPr="007C5A6E" w:rsidRDefault="00606C71" w:rsidP="00540B43">
      <w:pPr>
        <w:spacing w:after="0" w:line="240" w:lineRule="auto"/>
        <w:rPr>
          <w:rFonts w:asciiTheme="minorHAnsi" w:eastAsiaTheme="minorHAnsi" w:hAnsiTheme="minorHAnsi" w:cstheme="minorBidi"/>
          <w:kern w:val="2"/>
          <w14:ligatures w14:val="standardContextual"/>
        </w:rPr>
      </w:pPr>
    </w:p>
    <w:p w14:paraId="2C91D5F1" w14:textId="77777777" w:rsidR="00606C71" w:rsidRPr="007C5A6E" w:rsidRDefault="00606C71" w:rsidP="00540B43">
      <w:pPr>
        <w:pStyle w:val="Titre4"/>
      </w:pPr>
      <w:bookmarkStart w:id="1423" w:name="_Toc176973795"/>
      <w:bookmarkStart w:id="1424" w:name="_Toc177649419"/>
      <w:bookmarkStart w:id="1425" w:name="_Toc179043975"/>
      <w:bookmarkStart w:id="1426" w:name="_Toc183340310"/>
      <w:r w:rsidRPr="007C5A6E">
        <w:t>Croissance de la population urbaine et urbanisation</w:t>
      </w:r>
      <w:bookmarkEnd w:id="1423"/>
      <w:bookmarkEnd w:id="1424"/>
      <w:bookmarkEnd w:id="1425"/>
      <w:bookmarkEnd w:id="1426"/>
    </w:p>
    <w:p w14:paraId="71C94521"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bookmarkStart w:id="1427" w:name="_Toc176443996"/>
    </w:p>
    <w:p w14:paraId="516E073C" w14:textId="77777777"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Globalement, l'urbanisation au Burkina Faso suit une tendance croissante, alimentée par des facteurs multiples discutés précédemment tels que la croissance de la population urbaine, l'exode rural lié à la recherche de meilleures opportunités économiques et la concentration des services publics et privés dans les centres urbains. </w:t>
      </w:r>
    </w:p>
    <w:p w14:paraId="05187991" w14:textId="77777777"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En 1975, en termes d’effectifs, la population urbaine burkinabè s'élevait à seulement 362 610 personnes, contre 5,36 millions en 2019. Cela représente une multiplication par presque 15 en seulement 44 ans. En 2020, cette population urbaine a dépassé les 7 millions, sur une population totale de 21 millions </w:t>
      </w:r>
      <w:sdt>
        <w:sdtPr>
          <w:rPr>
            <w:rFonts w:ascii="Times New Roman" w:eastAsiaTheme="minorHAnsi" w:hAnsi="Times New Roman"/>
            <w:sz w:val="24"/>
            <w:szCs w:val="24"/>
          </w:rPr>
          <w:id w:val="2143847191"/>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CITATION INS222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(INSD-RGPH, 2022)</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w:t>
      </w:r>
    </w:p>
    <w:p w14:paraId="1A3F8757" w14:textId="77777777" w:rsidR="00540B43" w:rsidRPr="007C5A6E" w:rsidRDefault="00540B43" w:rsidP="00540B43">
      <w:pPr>
        <w:spacing w:after="0" w:line="240" w:lineRule="auto"/>
        <w:jc w:val="both"/>
        <w:rPr>
          <w:rFonts w:ascii="Times New Roman" w:eastAsiaTheme="minorHAnsi" w:hAnsi="Times New Roman"/>
          <w:sz w:val="24"/>
          <w:szCs w:val="24"/>
        </w:rPr>
      </w:pPr>
    </w:p>
    <w:p w14:paraId="16FC7151" w14:textId="48F5D6D5" w:rsidR="00606C71" w:rsidRPr="007C5A6E" w:rsidRDefault="00606C71" w:rsidP="00540B43">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Cette évolution conforte la tendance constante constatée depuis le premier RGPH de 1975 où la proportion de la population urbaine était seulement de 6,4%. Entre 1985 et 1996, ce taux est passé de 12,7% à 15,5% </w:t>
      </w:r>
      <w:sdt>
        <w:sdtPr>
          <w:rPr>
            <w:rFonts w:ascii="Times New Roman" w:eastAsiaTheme="minorHAnsi" w:hAnsi="Times New Roman"/>
            <w:sz w:val="24"/>
            <w:szCs w:val="24"/>
          </w:rPr>
          <w:id w:val="1003560415"/>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ONU23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(ONU-Habitat, 2023)</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Ce taux passera de 22,7% en 2006 à 26,1% en 2019, soit une croissance de de 15% comme le montre le graphique 1 suivant. </w:t>
      </w:r>
    </w:p>
    <w:p w14:paraId="5487D529" w14:textId="77777777" w:rsidR="00540B43" w:rsidRPr="007C5A6E" w:rsidRDefault="00540B43" w:rsidP="00540B43">
      <w:pPr>
        <w:spacing w:after="0" w:line="240" w:lineRule="auto"/>
        <w:jc w:val="both"/>
        <w:rPr>
          <w:rFonts w:ascii="Times New Roman" w:eastAsiaTheme="minorHAnsi" w:hAnsi="Times New Roman"/>
          <w:sz w:val="24"/>
          <w:szCs w:val="24"/>
        </w:rPr>
      </w:pPr>
    </w:p>
    <w:p w14:paraId="5E475ED4" w14:textId="77777777" w:rsidR="00606C71" w:rsidRPr="007C5A6E" w:rsidRDefault="00606C71" w:rsidP="00540B43">
      <w:pPr>
        <w:spacing w:after="0" w:line="240" w:lineRule="auto"/>
        <w:rPr>
          <w:rFonts w:asciiTheme="minorHAnsi" w:eastAsiaTheme="minorHAnsi" w:hAnsiTheme="minorHAnsi" w:cstheme="minorBidi"/>
          <w:color w:val="FF0000"/>
          <w:kern w:val="2"/>
          <w:lang w:eastAsia="en-US"/>
          <w14:ligatures w14:val="standardContextual"/>
        </w:rPr>
      </w:pPr>
      <w:r w:rsidRPr="007C5A6E">
        <w:rPr>
          <w:rFonts w:asciiTheme="minorHAnsi" w:eastAsiaTheme="minorHAnsi" w:hAnsiTheme="minorHAnsi" w:cstheme="minorBidi"/>
          <w:noProof/>
          <w:color w:val="FF0000"/>
          <w:kern w:val="2"/>
          <w14:ligatures w14:val="standardContextual"/>
        </w:rPr>
        <w:drawing>
          <wp:inline distT="0" distB="0" distL="0" distR="0" wp14:anchorId="30810950" wp14:editId="614F0725">
            <wp:extent cx="5727700" cy="3166044"/>
            <wp:effectExtent l="0" t="0" r="6350" b="15875"/>
            <wp:docPr id="1557764889"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14:paraId="5D22EDCA" w14:textId="7A386C21" w:rsidR="00E6541B" w:rsidRPr="007C5A6E" w:rsidRDefault="00E6541B" w:rsidP="00540B43">
      <w:pPr>
        <w:autoSpaceDE w:val="0"/>
        <w:autoSpaceDN w:val="0"/>
        <w:adjustRightInd w:val="0"/>
        <w:spacing w:after="0" w:line="240" w:lineRule="auto"/>
        <w:rPr>
          <w:rFonts w:ascii="Times New Roman" w:hAnsi="Times New Roman"/>
          <w:sz w:val="20"/>
          <w:szCs w:val="20"/>
          <w:lang w:val="en-US"/>
        </w:rPr>
      </w:pPr>
      <w:r w:rsidRPr="007C5A6E">
        <w:rPr>
          <w:rFonts w:ascii="Times New Roman" w:hAnsi="Times New Roman"/>
          <w:sz w:val="20"/>
          <w:szCs w:val="20"/>
          <w:lang w:val="en-US"/>
        </w:rPr>
        <w:t>(</w:t>
      </w:r>
      <w:proofErr w:type="gramStart"/>
      <w:r w:rsidRPr="007C5A6E">
        <w:rPr>
          <w:rFonts w:ascii="Times New Roman" w:hAnsi="Times New Roman"/>
          <w:sz w:val="20"/>
          <w:szCs w:val="20"/>
          <w:lang w:val="en-US"/>
        </w:rPr>
        <w:t>Source :</w:t>
      </w:r>
      <w:proofErr w:type="gramEnd"/>
      <w:r w:rsidRPr="007C5A6E">
        <w:rPr>
          <w:rFonts w:ascii="Times New Roman" w:hAnsi="Times New Roman"/>
          <w:sz w:val="20"/>
          <w:szCs w:val="20"/>
          <w:lang w:val="en-US"/>
        </w:rPr>
        <w:t xml:space="preserve"> INSD, RGPH-2019, </w:t>
      </w:r>
      <w:proofErr w:type="spellStart"/>
      <w:r w:rsidRPr="007C5A6E">
        <w:rPr>
          <w:rFonts w:ascii="Times New Roman" w:hAnsi="Times New Roman"/>
          <w:sz w:val="20"/>
          <w:szCs w:val="20"/>
          <w:lang w:val="en-US"/>
        </w:rPr>
        <w:t>OpenData</w:t>
      </w:r>
      <w:proofErr w:type="spellEnd"/>
      <w:r w:rsidRPr="007C5A6E">
        <w:rPr>
          <w:rFonts w:ascii="Times New Roman" w:hAnsi="Times New Roman"/>
          <w:sz w:val="20"/>
          <w:szCs w:val="20"/>
          <w:lang w:val="en-US"/>
        </w:rPr>
        <w:t xml:space="preserve"> for Africa)</w:t>
      </w:r>
    </w:p>
    <w:p w14:paraId="20094E2E" w14:textId="45AAD930" w:rsidR="00E6541B" w:rsidRPr="007C5A6E" w:rsidRDefault="00E6541B" w:rsidP="00540B43">
      <w:pPr>
        <w:spacing w:after="0" w:line="240" w:lineRule="auto"/>
        <w:jc w:val="both"/>
        <w:rPr>
          <w:rFonts w:ascii="Times New Roman" w:eastAsiaTheme="minorHAnsi" w:hAnsi="Times New Roman"/>
          <w:i/>
          <w:iCs/>
          <w:kern w:val="2"/>
          <w:sz w:val="24"/>
          <w:szCs w:val="24"/>
          <w:lang w:eastAsia="en-US"/>
          <w14:ligatures w14:val="standardContextual"/>
        </w:rPr>
      </w:pPr>
      <w:bookmarkStart w:id="1428" w:name="_Toc183230934"/>
      <w:bookmarkStart w:id="1429" w:name="_Toc183240726"/>
      <w:bookmarkStart w:id="1430" w:name="_Toc183340465"/>
      <w:r w:rsidRPr="007C5A6E">
        <w:rPr>
          <w:rFonts w:ascii="Times New Roman" w:eastAsiaTheme="minorHAnsi" w:hAnsi="Times New Roman"/>
          <w:i/>
          <w:iCs/>
          <w:kern w:val="2"/>
          <w:sz w:val="24"/>
          <w:szCs w:val="24"/>
          <w:lang w:eastAsia="en-US"/>
          <w14:ligatures w14:val="standardContextual"/>
        </w:rPr>
        <w:t xml:space="preserve">Figure </w:t>
      </w:r>
      <w:r w:rsidRPr="007C5A6E">
        <w:rPr>
          <w:rFonts w:ascii="Times New Roman" w:eastAsiaTheme="minorHAnsi" w:hAnsi="Times New Roman"/>
          <w:i/>
          <w:iCs/>
          <w:kern w:val="2"/>
          <w:sz w:val="24"/>
          <w:szCs w:val="24"/>
          <w:lang w:eastAsia="en-US"/>
          <w14:ligatures w14:val="standardContextual"/>
        </w:rPr>
        <w:fldChar w:fldCharType="begin"/>
      </w:r>
      <w:r w:rsidRPr="007C5A6E">
        <w:rPr>
          <w:rFonts w:ascii="Times New Roman" w:eastAsiaTheme="minorHAnsi" w:hAnsi="Times New Roman"/>
          <w:i/>
          <w:iCs/>
          <w:kern w:val="2"/>
          <w:sz w:val="24"/>
          <w:szCs w:val="24"/>
          <w:lang w:eastAsia="en-US"/>
          <w14:ligatures w14:val="standardContextual"/>
        </w:rPr>
        <w:instrText xml:space="preserve"> SEQ Figure \* ARABIC </w:instrText>
      </w:r>
      <w:r w:rsidRPr="007C5A6E">
        <w:rPr>
          <w:rFonts w:ascii="Times New Roman" w:eastAsiaTheme="minorHAnsi" w:hAnsi="Times New Roman"/>
          <w:i/>
          <w:iCs/>
          <w:kern w:val="2"/>
          <w:sz w:val="24"/>
          <w:szCs w:val="24"/>
          <w:lang w:eastAsia="en-US"/>
          <w14:ligatures w14:val="standardContextual"/>
        </w:rPr>
        <w:fldChar w:fldCharType="separate"/>
      </w:r>
      <w:r w:rsidR="00540B43" w:rsidRPr="007C5A6E">
        <w:rPr>
          <w:rFonts w:ascii="Times New Roman" w:eastAsiaTheme="minorHAnsi" w:hAnsi="Times New Roman"/>
          <w:i/>
          <w:iCs/>
          <w:noProof/>
          <w:kern w:val="2"/>
          <w:sz w:val="24"/>
          <w:szCs w:val="24"/>
          <w:lang w:eastAsia="en-US"/>
          <w14:ligatures w14:val="standardContextual"/>
        </w:rPr>
        <w:t>86</w:t>
      </w:r>
      <w:r w:rsidRPr="007C5A6E">
        <w:rPr>
          <w:rFonts w:ascii="Times New Roman" w:eastAsiaTheme="minorHAnsi" w:hAnsi="Times New Roman"/>
          <w:i/>
          <w:iCs/>
          <w:kern w:val="2"/>
          <w:sz w:val="24"/>
          <w:szCs w:val="24"/>
          <w:lang w:eastAsia="en-US"/>
          <w14:ligatures w14:val="standardContextual"/>
        </w:rPr>
        <w:fldChar w:fldCharType="end"/>
      </w:r>
      <w:r w:rsidRPr="007C5A6E">
        <w:rPr>
          <w:rFonts w:ascii="Times New Roman" w:eastAsiaTheme="minorHAnsi" w:hAnsi="Times New Roman"/>
          <w:i/>
          <w:iCs/>
          <w:kern w:val="2"/>
          <w:sz w:val="24"/>
          <w:szCs w:val="24"/>
          <w:lang w:eastAsia="en-US"/>
          <w14:ligatures w14:val="standardContextual"/>
        </w:rPr>
        <w:t>. Évolution de la population totale et urbaine de 1975 à 2019</w:t>
      </w:r>
      <w:bookmarkEnd w:id="1428"/>
      <w:bookmarkEnd w:id="1429"/>
      <w:bookmarkEnd w:id="1430"/>
    </w:p>
    <w:p w14:paraId="57C935D4" w14:textId="77777777" w:rsidR="00E6541B" w:rsidRPr="007C5A6E" w:rsidRDefault="00E6541B" w:rsidP="00540B43">
      <w:pPr>
        <w:spacing w:after="0" w:line="240" w:lineRule="auto"/>
        <w:rPr>
          <w:rFonts w:asciiTheme="minorHAnsi" w:eastAsiaTheme="minorHAnsi" w:hAnsiTheme="minorHAnsi" w:cstheme="minorBidi"/>
          <w:kern w:val="2"/>
          <w:sz w:val="20"/>
          <w:szCs w:val="20"/>
          <w:lang w:eastAsia="en-US"/>
          <w14:ligatures w14:val="standardContextual"/>
        </w:rPr>
      </w:pPr>
    </w:p>
    <w:p w14:paraId="756AB304" w14:textId="22271A51" w:rsidR="00606C71" w:rsidRPr="007C5A6E" w:rsidRDefault="00606C71" w:rsidP="00540B43">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Ainsi que le montrent les données du tableau </w:t>
      </w:r>
      <w:r w:rsidR="00624C7C" w:rsidRPr="007C5A6E">
        <w:rPr>
          <w:rFonts w:ascii="Times New Roman" w:eastAsiaTheme="minorHAnsi" w:hAnsi="Times New Roman"/>
          <w:sz w:val="24"/>
          <w:szCs w:val="24"/>
        </w:rPr>
        <w:t>6</w:t>
      </w:r>
      <w:r w:rsidRPr="007C5A6E">
        <w:rPr>
          <w:rFonts w:ascii="Times New Roman" w:eastAsiaTheme="minorHAnsi" w:hAnsi="Times New Roman"/>
          <w:sz w:val="24"/>
          <w:szCs w:val="24"/>
        </w:rPr>
        <w:t xml:space="preserve">2 ci-après, cette croissance de la population urbaine est particulièrement forte dans les grandes villes comme Ouagadougou et Bobo Dioulasso, qui concentrent la majorité des infrastructures et des services </w:t>
      </w:r>
      <w:sdt>
        <w:sdtPr>
          <w:rPr>
            <w:rFonts w:ascii="Times New Roman" w:eastAsiaTheme="minorHAnsi" w:hAnsi="Times New Roman"/>
            <w:sz w:val="24"/>
            <w:szCs w:val="24"/>
          </w:rPr>
          <w:id w:val="-1023855143"/>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IRD09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(IRD, 2009)</w:t>
          </w:r>
          <w:r w:rsidRPr="007C5A6E">
            <w:rPr>
              <w:rFonts w:ascii="Times New Roman" w:eastAsiaTheme="minorHAnsi" w:hAnsi="Times New Roman"/>
              <w:sz w:val="24"/>
              <w:szCs w:val="24"/>
            </w:rPr>
            <w:fldChar w:fldCharType="end"/>
          </w:r>
          <w:r w:rsidRPr="007C5A6E">
            <w:rPr>
              <w:rFonts w:ascii="Times New Roman" w:eastAsiaTheme="minorHAnsi" w:hAnsi="Times New Roman"/>
              <w:sz w:val="24"/>
              <w:szCs w:val="24"/>
            </w:rPr>
            <w:t> ;</w:t>
          </w:r>
        </w:sdtContent>
      </w:sdt>
      <w:sdt>
        <w:sdtPr>
          <w:rPr>
            <w:rFonts w:ascii="Times New Roman" w:eastAsiaTheme="minorHAnsi" w:hAnsi="Times New Roman"/>
            <w:sz w:val="24"/>
            <w:szCs w:val="24"/>
          </w:rPr>
          <w:id w:val="220257836"/>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Emm09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 xml:space="preserve"> (Cadot &amp; Harang, 2009)</w:t>
          </w:r>
          <w:r w:rsidRPr="007C5A6E">
            <w:rPr>
              <w:rFonts w:ascii="Times New Roman" w:eastAsiaTheme="minorHAnsi" w:hAnsi="Times New Roman"/>
              <w:sz w:val="24"/>
              <w:szCs w:val="24"/>
            </w:rPr>
            <w:fldChar w:fldCharType="end"/>
          </w:r>
          <w:r w:rsidRPr="007C5A6E">
            <w:rPr>
              <w:rFonts w:ascii="Times New Roman" w:eastAsiaTheme="minorHAnsi" w:hAnsi="Times New Roman"/>
              <w:sz w:val="24"/>
              <w:szCs w:val="24"/>
            </w:rPr>
            <w:t> ;</w:t>
          </w:r>
        </w:sdtContent>
      </w:sdt>
      <w:r w:rsidRPr="007C5A6E">
        <w:rPr>
          <w:rFonts w:ascii="Times New Roman" w:eastAsiaTheme="minorHAnsi" w:hAnsi="Times New Roman"/>
          <w:sz w:val="24"/>
          <w:szCs w:val="24"/>
        </w:rPr>
        <w:t xml:space="preserve"> </w:t>
      </w:r>
      <w:sdt>
        <w:sdtPr>
          <w:rPr>
            <w:rFonts w:ascii="Times New Roman" w:eastAsiaTheme="minorHAnsi" w:hAnsi="Times New Roman"/>
            <w:sz w:val="24"/>
            <w:szCs w:val="24"/>
          </w:rPr>
          <w:id w:val="-1526477388"/>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Bol17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(Boly, 2017)</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 </w:t>
      </w:r>
      <w:sdt>
        <w:sdtPr>
          <w:rPr>
            <w:rFonts w:ascii="Times New Roman" w:eastAsiaTheme="minorHAnsi" w:hAnsi="Times New Roman"/>
            <w:sz w:val="24"/>
            <w:szCs w:val="24"/>
          </w:rPr>
          <w:id w:val="-780876344"/>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CITATION INS223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(INSD, 2022c)</w:t>
          </w:r>
          <w:r w:rsidRPr="007C5A6E">
            <w:rPr>
              <w:rFonts w:ascii="Times New Roman" w:eastAsiaTheme="minorHAnsi" w:hAnsi="Times New Roman"/>
              <w:sz w:val="24"/>
              <w:szCs w:val="24"/>
            </w:rPr>
            <w:fldChar w:fldCharType="end"/>
          </w:r>
          <w:r w:rsidRPr="007C5A6E">
            <w:rPr>
              <w:rFonts w:ascii="Times New Roman" w:eastAsiaTheme="minorHAnsi" w:hAnsi="Times New Roman"/>
              <w:sz w:val="24"/>
              <w:szCs w:val="24"/>
            </w:rPr>
            <w:t> ;</w:t>
          </w:r>
        </w:sdtContent>
      </w:sdt>
      <w:r w:rsidRPr="007C5A6E">
        <w:rPr>
          <w:rFonts w:ascii="Times New Roman" w:eastAsiaTheme="minorHAnsi" w:hAnsi="Times New Roman"/>
          <w:sz w:val="24"/>
          <w:szCs w:val="24"/>
        </w:rPr>
        <w:t xml:space="preserve"> </w:t>
      </w:r>
      <w:sdt>
        <w:sdtPr>
          <w:rPr>
            <w:rFonts w:ascii="Times New Roman" w:eastAsiaTheme="minorHAnsi" w:hAnsi="Times New Roman"/>
            <w:sz w:val="24"/>
            <w:szCs w:val="24"/>
          </w:rPr>
          <w:id w:val="-572579139"/>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MID23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(MID, 2023)</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w:t>
      </w:r>
    </w:p>
    <w:p w14:paraId="19629D5C" w14:textId="77777777" w:rsidR="00606C71" w:rsidRPr="007C5A6E" w:rsidRDefault="00606C71" w:rsidP="00540B43">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Ouagadougou, capitale du pays est la plus grande ville avec une population de 2,5 millions d’habitants, ce qui représente 45,1% de la population urbaine. Elle est suivie de la ville de Bobo Dioulasso avec 16,9% de la population urbaine.</w:t>
      </w:r>
    </w:p>
    <w:p w14:paraId="773BA477" w14:textId="77777777" w:rsidR="00606C71" w:rsidRPr="007C5A6E" w:rsidRDefault="00606C71" w:rsidP="00540B43">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Les villes de Koudougou, Ouahigouya, Kaya et Banfora viennent après Bobo Dioulasso avec des effectifs de population supérieurs à 100 000 habitants. Les villes de Pouytenga, Houndé, Fada N’Gourma et Dori viennent après Banfora avec des effectifs de population inférieurs à 100 000 habitants. </w:t>
      </w:r>
    </w:p>
    <w:p w14:paraId="04FC39B5" w14:textId="77777777" w:rsidR="00B63F25" w:rsidRPr="007C5A6E" w:rsidRDefault="00B63F25" w:rsidP="00540B43">
      <w:pPr>
        <w:spacing w:after="0" w:line="240" w:lineRule="auto"/>
        <w:jc w:val="both"/>
        <w:rPr>
          <w:rFonts w:ascii="Times New Roman" w:eastAsiaTheme="minorHAnsi" w:hAnsi="Times New Roman"/>
          <w:sz w:val="24"/>
          <w:szCs w:val="24"/>
        </w:rPr>
      </w:pPr>
    </w:p>
    <w:p w14:paraId="46216576" w14:textId="2A7B1F66" w:rsidR="00606C71" w:rsidRPr="007C5A6E" w:rsidRDefault="00606C71" w:rsidP="00540B43">
      <w:pPr>
        <w:spacing w:after="0" w:line="240" w:lineRule="auto"/>
        <w:rPr>
          <w:rFonts w:ascii="Times New Roman" w:eastAsiaTheme="minorHAnsi" w:hAnsi="Times New Roman"/>
          <w:sz w:val="24"/>
          <w:szCs w:val="24"/>
        </w:rPr>
      </w:pPr>
      <w:bookmarkStart w:id="1431" w:name="_Toc179043336"/>
      <w:bookmarkStart w:id="1432" w:name="_Toc183241024"/>
      <w:bookmarkStart w:id="1433" w:name="_Toc183292266"/>
      <w:bookmarkStart w:id="1434" w:name="_Toc183340546"/>
      <w:r w:rsidRPr="007C5A6E">
        <w:rPr>
          <w:rFonts w:ascii="Times New Roman" w:eastAsiaTheme="minorHAnsi" w:hAnsi="Times New Roman"/>
          <w:kern w:val="2"/>
          <w:sz w:val="24"/>
          <w:szCs w:val="24"/>
          <w:lang w:eastAsia="en-US"/>
          <w14:ligatures w14:val="standardContextual"/>
        </w:rPr>
        <w:t>Tableau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SEQ Tableau \* ARABIC </w:instrText>
      </w:r>
      <w:r w:rsidRPr="007C5A6E">
        <w:rPr>
          <w:rFonts w:ascii="Times New Roman" w:eastAsiaTheme="minorHAnsi" w:hAnsi="Times New Roman"/>
          <w:kern w:val="2"/>
          <w:sz w:val="24"/>
          <w:szCs w:val="24"/>
          <w:lang w:eastAsia="en-US"/>
          <w14:ligatures w14:val="standardContextual"/>
        </w:rPr>
        <w:fldChar w:fldCharType="separate"/>
      </w:r>
      <w:r w:rsidR="00B63F25" w:rsidRPr="007C5A6E">
        <w:rPr>
          <w:rFonts w:ascii="Times New Roman" w:eastAsiaTheme="minorHAnsi" w:hAnsi="Times New Roman"/>
          <w:noProof/>
          <w:kern w:val="2"/>
          <w:sz w:val="24"/>
          <w:szCs w:val="24"/>
          <w:lang w:eastAsia="en-US"/>
          <w14:ligatures w14:val="standardContextual"/>
        </w:rPr>
        <w:t>62</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sz w:val="24"/>
          <w:szCs w:val="24"/>
        </w:rPr>
        <w:t> : Évolution de la population par ville</w:t>
      </w:r>
      <w:bookmarkEnd w:id="1431"/>
      <w:bookmarkEnd w:id="1432"/>
      <w:bookmarkEnd w:id="1433"/>
      <w:bookmarkEnd w:id="1434"/>
      <w:r w:rsidRPr="007C5A6E">
        <w:rPr>
          <w:rFonts w:ascii="Times New Roman" w:eastAsiaTheme="minorHAnsi" w:hAnsi="Times New Roman"/>
          <w:sz w:val="24"/>
          <w:szCs w:val="24"/>
        </w:rPr>
        <w:t xml:space="preserve"> </w:t>
      </w:r>
    </w:p>
    <w:p w14:paraId="00A462D6" w14:textId="77777777" w:rsidR="00BA0E03" w:rsidRPr="007C5A6E" w:rsidRDefault="00BA0E03" w:rsidP="00540B43">
      <w:pPr>
        <w:spacing w:after="0" w:line="240" w:lineRule="auto"/>
        <w:rPr>
          <w:rFonts w:ascii="Times New Roman" w:eastAsiaTheme="minorHAnsi" w:hAnsi="Times New Roman"/>
          <w:b/>
          <w:bCs/>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1624"/>
        <w:gridCol w:w="1606"/>
        <w:gridCol w:w="1369"/>
        <w:gridCol w:w="1369"/>
        <w:gridCol w:w="1384"/>
        <w:gridCol w:w="1367"/>
      </w:tblGrid>
      <w:tr w:rsidR="00606C71" w:rsidRPr="007C5A6E" w14:paraId="3DFC3B17" w14:textId="77777777" w:rsidTr="0070034C">
        <w:trPr>
          <w:tblHeader/>
        </w:trPr>
        <w:tc>
          <w:tcPr>
            <w:tcW w:w="249" w:type="pct"/>
            <w:vAlign w:val="center"/>
          </w:tcPr>
          <w:p w14:paraId="0A3E4001" w14:textId="77777777" w:rsidR="00606C71" w:rsidRPr="007C5A6E" w:rsidRDefault="00606C71" w:rsidP="009D1E01">
            <w:pPr>
              <w:spacing w:after="0" w:line="240" w:lineRule="auto"/>
              <w:jc w:val="center"/>
              <w:rPr>
                <w:rFonts w:ascii="Times New Roman" w:eastAsiaTheme="minorHAnsi" w:hAnsi="Times New Roman"/>
                <w:b/>
                <w:bCs/>
                <w:kern w:val="2"/>
                <w:sz w:val="21"/>
                <w:szCs w:val="21"/>
                <w:lang w:eastAsia="en-US"/>
                <w14:ligatures w14:val="standardContextual"/>
              </w:rPr>
            </w:pPr>
            <w:r w:rsidRPr="007C5A6E">
              <w:rPr>
                <w:rFonts w:ascii="Times New Roman" w:eastAsiaTheme="minorHAnsi" w:hAnsi="Times New Roman"/>
                <w:b/>
                <w:bCs/>
                <w:kern w:val="2"/>
                <w:sz w:val="21"/>
                <w:szCs w:val="21"/>
                <w:lang w:eastAsia="zh-CN"/>
                <w14:ligatures w14:val="standardContextual"/>
              </w:rPr>
              <w:t>N°</w:t>
            </w:r>
          </w:p>
        </w:tc>
        <w:tc>
          <w:tcPr>
            <w:tcW w:w="885" w:type="pct"/>
            <w:vAlign w:val="center"/>
          </w:tcPr>
          <w:p w14:paraId="112A1B91" w14:textId="77777777" w:rsidR="00606C71" w:rsidRPr="007C5A6E" w:rsidRDefault="00606C71" w:rsidP="009D1E01">
            <w:pPr>
              <w:spacing w:after="0" w:line="240" w:lineRule="auto"/>
              <w:jc w:val="center"/>
              <w:rPr>
                <w:rFonts w:ascii="Times New Roman" w:eastAsiaTheme="minorHAnsi" w:hAnsi="Times New Roman"/>
                <w:b/>
                <w:bCs/>
                <w:kern w:val="2"/>
                <w:sz w:val="21"/>
                <w:szCs w:val="21"/>
                <w:lang w:eastAsia="en-US"/>
                <w14:ligatures w14:val="standardContextual"/>
              </w:rPr>
            </w:pPr>
            <w:r w:rsidRPr="007C5A6E">
              <w:rPr>
                <w:rFonts w:ascii="Times New Roman" w:eastAsiaTheme="minorHAnsi" w:hAnsi="Times New Roman"/>
                <w:b/>
                <w:bCs/>
                <w:kern w:val="2"/>
                <w:sz w:val="21"/>
                <w:szCs w:val="21"/>
                <w:lang w:eastAsia="zh-CN"/>
                <w14:ligatures w14:val="standardContextual"/>
              </w:rPr>
              <w:t>Ville</w:t>
            </w:r>
          </w:p>
        </w:tc>
        <w:tc>
          <w:tcPr>
            <w:tcW w:w="875" w:type="pct"/>
            <w:vAlign w:val="center"/>
          </w:tcPr>
          <w:p w14:paraId="17703BCE" w14:textId="77777777" w:rsidR="00606C71" w:rsidRPr="007C5A6E" w:rsidRDefault="00606C71" w:rsidP="009D1E01">
            <w:pPr>
              <w:spacing w:after="0" w:line="240" w:lineRule="auto"/>
              <w:jc w:val="center"/>
              <w:rPr>
                <w:rFonts w:ascii="Times New Roman" w:eastAsiaTheme="minorHAnsi" w:hAnsi="Times New Roman"/>
                <w:b/>
                <w:bCs/>
                <w:kern w:val="2"/>
                <w:sz w:val="21"/>
                <w:szCs w:val="21"/>
                <w:lang w:eastAsia="en-US"/>
                <w14:ligatures w14:val="standardContextual"/>
              </w:rPr>
            </w:pPr>
            <w:r w:rsidRPr="007C5A6E">
              <w:rPr>
                <w:rFonts w:ascii="Times New Roman" w:eastAsiaTheme="minorHAnsi" w:hAnsi="Times New Roman"/>
                <w:b/>
                <w:bCs/>
                <w:kern w:val="2"/>
                <w:sz w:val="21"/>
                <w:szCs w:val="21"/>
                <w:lang w:eastAsia="en-US"/>
                <w14:ligatures w14:val="standardContextual"/>
              </w:rPr>
              <w:t>Population</w:t>
            </w:r>
          </w:p>
          <w:p w14:paraId="47B3152B" w14:textId="77777777" w:rsidR="00606C71" w:rsidRPr="007C5A6E" w:rsidRDefault="00606C71" w:rsidP="009D1E01">
            <w:pPr>
              <w:spacing w:after="0" w:line="240" w:lineRule="auto"/>
              <w:jc w:val="center"/>
              <w:rPr>
                <w:rFonts w:ascii="Times New Roman" w:eastAsiaTheme="minorHAnsi" w:hAnsi="Times New Roman"/>
                <w:b/>
                <w:bCs/>
                <w:kern w:val="2"/>
                <w:sz w:val="21"/>
                <w:szCs w:val="21"/>
                <w:lang w:eastAsia="en-US"/>
                <w14:ligatures w14:val="standardContextual"/>
              </w:rPr>
            </w:pPr>
            <w:proofErr w:type="gramStart"/>
            <w:r w:rsidRPr="007C5A6E">
              <w:rPr>
                <w:rFonts w:ascii="Times New Roman" w:eastAsiaTheme="minorHAnsi" w:hAnsi="Times New Roman"/>
                <w:b/>
                <w:bCs/>
                <w:kern w:val="2"/>
                <w:sz w:val="21"/>
                <w:szCs w:val="21"/>
                <w:lang w:eastAsia="en-US"/>
                <w14:ligatures w14:val="standardContextual"/>
              </w:rPr>
              <w:t>selon</w:t>
            </w:r>
            <w:proofErr w:type="gramEnd"/>
          </w:p>
          <w:p w14:paraId="3C3FE977" w14:textId="77777777" w:rsidR="00606C71" w:rsidRPr="007C5A6E" w:rsidRDefault="00606C71" w:rsidP="009D1E01">
            <w:pPr>
              <w:spacing w:after="0" w:line="240" w:lineRule="auto"/>
              <w:jc w:val="center"/>
              <w:rPr>
                <w:rFonts w:ascii="Times New Roman" w:eastAsiaTheme="minorHAnsi" w:hAnsi="Times New Roman"/>
                <w:b/>
                <w:bCs/>
                <w:kern w:val="2"/>
                <w:sz w:val="21"/>
                <w:szCs w:val="21"/>
                <w:lang w:eastAsia="en-US"/>
                <w14:ligatures w14:val="standardContextual"/>
              </w:rPr>
            </w:pPr>
            <w:r w:rsidRPr="007C5A6E">
              <w:rPr>
                <w:rFonts w:ascii="Times New Roman" w:eastAsiaTheme="minorHAnsi" w:hAnsi="Times New Roman"/>
                <w:b/>
                <w:bCs/>
                <w:kern w:val="2"/>
                <w:sz w:val="21"/>
                <w:szCs w:val="21"/>
                <w:lang w:eastAsia="en-US"/>
                <w14:ligatures w14:val="standardContextual"/>
              </w:rPr>
              <w:t>RGPH 1975</w:t>
            </w:r>
          </w:p>
        </w:tc>
        <w:tc>
          <w:tcPr>
            <w:tcW w:w="746" w:type="pct"/>
            <w:shd w:val="clear" w:color="auto" w:fill="auto"/>
            <w:vAlign w:val="center"/>
          </w:tcPr>
          <w:p w14:paraId="7AEC41B5" w14:textId="77777777" w:rsidR="00606C71" w:rsidRPr="007C5A6E" w:rsidRDefault="00606C71" w:rsidP="009D1E01">
            <w:pPr>
              <w:spacing w:after="0" w:line="240" w:lineRule="auto"/>
              <w:jc w:val="center"/>
              <w:rPr>
                <w:rFonts w:ascii="Times New Roman" w:eastAsiaTheme="minorHAnsi" w:hAnsi="Times New Roman"/>
                <w:b/>
                <w:bCs/>
                <w:kern w:val="2"/>
                <w:sz w:val="21"/>
                <w:szCs w:val="21"/>
                <w:lang w:eastAsia="en-US"/>
                <w14:ligatures w14:val="standardContextual"/>
              </w:rPr>
            </w:pPr>
            <w:r w:rsidRPr="007C5A6E">
              <w:rPr>
                <w:rFonts w:ascii="Times New Roman" w:eastAsiaTheme="minorHAnsi" w:hAnsi="Times New Roman"/>
                <w:b/>
                <w:bCs/>
                <w:kern w:val="2"/>
                <w:sz w:val="21"/>
                <w:szCs w:val="21"/>
                <w:lang w:eastAsia="en-US"/>
                <w14:ligatures w14:val="standardContextual"/>
              </w:rPr>
              <w:t>Population</w:t>
            </w:r>
          </w:p>
          <w:p w14:paraId="54A1C7E5" w14:textId="77777777" w:rsidR="00606C71" w:rsidRPr="007C5A6E" w:rsidRDefault="00606C71" w:rsidP="009D1E01">
            <w:pPr>
              <w:spacing w:after="0" w:line="240" w:lineRule="auto"/>
              <w:jc w:val="center"/>
              <w:rPr>
                <w:rFonts w:ascii="Times New Roman" w:eastAsiaTheme="minorHAnsi" w:hAnsi="Times New Roman"/>
                <w:b/>
                <w:bCs/>
                <w:kern w:val="2"/>
                <w:sz w:val="21"/>
                <w:szCs w:val="21"/>
                <w:lang w:eastAsia="en-US"/>
                <w14:ligatures w14:val="standardContextual"/>
              </w:rPr>
            </w:pPr>
            <w:proofErr w:type="gramStart"/>
            <w:r w:rsidRPr="007C5A6E">
              <w:rPr>
                <w:rFonts w:ascii="Times New Roman" w:eastAsiaTheme="minorHAnsi" w:hAnsi="Times New Roman"/>
                <w:b/>
                <w:bCs/>
                <w:kern w:val="2"/>
                <w:sz w:val="21"/>
                <w:szCs w:val="21"/>
                <w:lang w:eastAsia="en-US"/>
                <w14:ligatures w14:val="standardContextual"/>
              </w:rPr>
              <w:t>selon</w:t>
            </w:r>
            <w:proofErr w:type="gramEnd"/>
          </w:p>
          <w:p w14:paraId="5D7E81DE" w14:textId="77777777" w:rsidR="00606C71" w:rsidRPr="007C5A6E" w:rsidRDefault="00606C71" w:rsidP="009D1E01">
            <w:pPr>
              <w:spacing w:after="0" w:line="240" w:lineRule="auto"/>
              <w:jc w:val="center"/>
              <w:rPr>
                <w:rFonts w:ascii="Times New Roman" w:eastAsiaTheme="minorEastAsia" w:hAnsi="Times New Roman"/>
                <w:b/>
                <w:bCs/>
                <w:kern w:val="2"/>
                <w:sz w:val="21"/>
                <w:szCs w:val="21"/>
                <w:lang w:eastAsia="zh-CN"/>
                <w14:ligatures w14:val="standardContextual"/>
              </w:rPr>
            </w:pPr>
            <w:r w:rsidRPr="007C5A6E">
              <w:rPr>
                <w:rFonts w:ascii="Times New Roman" w:eastAsiaTheme="minorHAnsi" w:hAnsi="Times New Roman"/>
                <w:b/>
                <w:bCs/>
                <w:kern w:val="2"/>
                <w:sz w:val="21"/>
                <w:szCs w:val="21"/>
                <w:lang w:eastAsia="en-US"/>
                <w14:ligatures w14:val="standardContextual"/>
              </w:rPr>
              <w:t>RGPH 1985</w:t>
            </w:r>
          </w:p>
        </w:tc>
        <w:tc>
          <w:tcPr>
            <w:tcW w:w="746" w:type="pct"/>
            <w:vAlign w:val="center"/>
          </w:tcPr>
          <w:p w14:paraId="59490E25" w14:textId="77777777" w:rsidR="00606C71" w:rsidRPr="007C5A6E" w:rsidRDefault="00606C71" w:rsidP="009D1E01">
            <w:pPr>
              <w:spacing w:after="0" w:line="240" w:lineRule="auto"/>
              <w:jc w:val="center"/>
              <w:rPr>
                <w:rFonts w:ascii="Times New Roman" w:eastAsiaTheme="minorHAnsi" w:hAnsi="Times New Roman"/>
                <w:b/>
                <w:bCs/>
                <w:kern w:val="2"/>
                <w:sz w:val="21"/>
                <w:szCs w:val="21"/>
                <w:lang w:eastAsia="en-US"/>
                <w14:ligatures w14:val="standardContextual"/>
              </w:rPr>
            </w:pPr>
            <w:r w:rsidRPr="007C5A6E">
              <w:rPr>
                <w:rFonts w:ascii="Times New Roman" w:eastAsiaTheme="minorHAnsi" w:hAnsi="Times New Roman"/>
                <w:b/>
                <w:bCs/>
                <w:kern w:val="2"/>
                <w:sz w:val="21"/>
                <w:szCs w:val="21"/>
                <w:lang w:eastAsia="en-US"/>
                <w14:ligatures w14:val="standardContextual"/>
              </w:rPr>
              <w:t>Population</w:t>
            </w:r>
          </w:p>
          <w:p w14:paraId="62B07BE1" w14:textId="77777777" w:rsidR="00606C71" w:rsidRPr="007C5A6E" w:rsidRDefault="00606C71" w:rsidP="009D1E01">
            <w:pPr>
              <w:spacing w:after="0" w:line="240" w:lineRule="auto"/>
              <w:jc w:val="center"/>
              <w:rPr>
                <w:rFonts w:ascii="Times New Roman" w:eastAsiaTheme="minorHAnsi" w:hAnsi="Times New Roman"/>
                <w:b/>
                <w:bCs/>
                <w:kern w:val="2"/>
                <w:sz w:val="21"/>
                <w:szCs w:val="21"/>
                <w:lang w:eastAsia="en-US"/>
                <w14:ligatures w14:val="standardContextual"/>
              </w:rPr>
            </w:pPr>
            <w:proofErr w:type="gramStart"/>
            <w:r w:rsidRPr="007C5A6E">
              <w:rPr>
                <w:rFonts w:ascii="Times New Roman" w:eastAsiaTheme="minorHAnsi" w:hAnsi="Times New Roman"/>
                <w:b/>
                <w:bCs/>
                <w:kern w:val="2"/>
                <w:sz w:val="21"/>
                <w:szCs w:val="21"/>
                <w:lang w:eastAsia="en-US"/>
                <w14:ligatures w14:val="standardContextual"/>
              </w:rPr>
              <w:t>selon</w:t>
            </w:r>
            <w:proofErr w:type="gramEnd"/>
          </w:p>
          <w:p w14:paraId="278D49CC" w14:textId="77777777" w:rsidR="00606C71" w:rsidRPr="007C5A6E" w:rsidRDefault="00606C71" w:rsidP="009D1E01">
            <w:pPr>
              <w:spacing w:after="0" w:line="240" w:lineRule="auto"/>
              <w:jc w:val="center"/>
              <w:rPr>
                <w:rFonts w:ascii="Times New Roman" w:eastAsiaTheme="minorHAnsi" w:hAnsi="Times New Roman"/>
                <w:b/>
                <w:bCs/>
                <w:kern w:val="2"/>
                <w:sz w:val="21"/>
                <w:szCs w:val="21"/>
                <w:lang w:eastAsia="en-US"/>
                <w14:ligatures w14:val="standardContextual"/>
              </w:rPr>
            </w:pPr>
            <w:r w:rsidRPr="007C5A6E">
              <w:rPr>
                <w:rFonts w:ascii="Times New Roman" w:eastAsiaTheme="minorHAnsi" w:hAnsi="Times New Roman"/>
                <w:b/>
                <w:bCs/>
                <w:kern w:val="2"/>
                <w:sz w:val="21"/>
                <w:szCs w:val="21"/>
                <w:lang w:eastAsia="en-US"/>
                <w14:ligatures w14:val="standardContextual"/>
              </w:rPr>
              <w:t>RGPH 1996</w:t>
            </w:r>
          </w:p>
        </w:tc>
        <w:tc>
          <w:tcPr>
            <w:tcW w:w="754" w:type="pct"/>
            <w:vAlign w:val="center"/>
          </w:tcPr>
          <w:p w14:paraId="7254CF87" w14:textId="77777777" w:rsidR="00606C71" w:rsidRPr="007C5A6E" w:rsidRDefault="00606C71" w:rsidP="009D1E01">
            <w:pPr>
              <w:spacing w:after="0" w:line="240" w:lineRule="auto"/>
              <w:jc w:val="center"/>
              <w:rPr>
                <w:rFonts w:ascii="Times New Roman" w:eastAsiaTheme="minorHAnsi" w:hAnsi="Times New Roman"/>
                <w:b/>
                <w:bCs/>
                <w:kern w:val="2"/>
                <w:sz w:val="21"/>
                <w:szCs w:val="21"/>
                <w:lang w:eastAsia="en-US"/>
                <w14:ligatures w14:val="standardContextual"/>
              </w:rPr>
            </w:pPr>
            <w:r w:rsidRPr="007C5A6E">
              <w:rPr>
                <w:rFonts w:ascii="Times New Roman" w:eastAsiaTheme="minorHAnsi" w:hAnsi="Times New Roman"/>
                <w:b/>
                <w:bCs/>
                <w:kern w:val="2"/>
                <w:sz w:val="21"/>
                <w:szCs w:val="21"/>
                <w:lang w:eastAsia="en-US"/>
                <w14:ligatures w14:val="standardContextual"/>
              </w:rPr>
              <w:t>Population</w:t>
            </w:r>
          </w:p>
          <w:p w14:paraId="3AAA65A1" w14:textId="77777777" w:rsidR="00606C71" w:rsidRPr="007C5A6E" w:rsidRDefault="00606C71" w:rsidP="009D1E01">
            <w:pPr>
              <w:spacing w:after="0" w:line="240" w:lineRule="auto"/>
              <w:jc w:val="center"/>
              <w:rPr>
                <w:rFonts w:ascii="Times New Roman" w:eastAsiaTheme="minorHAnsi" w:hAnsi="Times New Roman"/>
                <w:b/>
                <w:bCs/>
                <w:kern w:val="2"/>
                <w:sz w:val="21"/>
                <w:szCs w:val="21"/>
                <w:lang w:eastAsia="en-US"/>
                <w14:ligatures w14:val="standardContextual"/>
              </w:rPr>
            </w:pPr>
            <w:proofErr w:type="gramStart"/>
            <w:r w:rsidRPr="007C5A6E">
              <w:rPr>
                <w:rFonts w:ascii="Times New Roman" w:eastAsiaTheme="minorHAnsi" w:hAnsi="Times New Roman"/>
                <w:b/>
                <w:bCs/>
                <w:kern w:val="2"/>
                <w:sz w:val="21"/>
                <w:szCs w:val="21"/>
                <w:lang w:eastAsia="en-US"/>
                <w14:ligatures w14:val="standardContextual"/>
              </w:rPr>
              <w:t>selon</w:t>
            </w:r>
            <w:proofErr w:type="gramEnd"/>
          </w:p>
          <w:p w14:paraId="3609A76F" w14:textId="77777777" w:rsidR="00606C71" w:rsidRPr="007C5A6E" w:rsidRDefault="00606C71" w:rsidP="009D1E01">
            <w:pPr>
              <w:spacing w:after="0" w:line="240" w:lineRule="auto"/>
              <w:jc w:val="center"/>
              <w:rPr>
                <w:rFonts w:ascii="Times New Roman" w:eastAsiaTheme="minorHAnsi" w:hAnsi="Times New Roman"/>
                <w:b/>
                <w:bCs/>
                <w:kern w:val="2"/>
                <w:sz w:val="21"/>
                <w:szCs w:val="21"/>
                <w:lang w:eastAsia="en-US"/>
                <w14:ligatures w14:val="standardContextual"/>
              </w:rPr>
            </w:pPr>
            <w:r w:rsidRPr="007C5A6E">
              <w:rPr>
                <w:rFonts w:ascii="Times New Roman" w:eastAsiaTheme="minorHAnsi" w:hAnsi="Times New Roman"/>
                <w:b/>
                <w:bCs/>
                <w:kern w:val="2"/>
                <w:sz w:val="21"/>
                <w:szCs w:val="21"/>
                <w:lang w:eastAsia="en-US"/>
                <w14:ligatures w14:val="standardContextual"/>
              </w:rPr>
              <w:t>RGPH 2006</w:t>
            </w:r>
          </w:p>
        </w:tc>
        <w:tc>
          <w:tcPr>
            <w:tcW w:w="745" w:type="pct"/>
            <w:vAlign w:val="center"/>
          </w:tcPr>
          <w:p w14:paraId="2B690DEA" w14:textId="77777777" w:rsidR="00606C71" w:rsidRPr="007C5A6E" w:rsidRDefault="00606C71" w:rsidP="009D1E01">
            <w:pPr>
              <w:spacing w:after="0" w:line="240" w:lineRule="auto"/>
              <w:jc w:val="center"/>
              <w:rPr>
                <w:rFonts w:ascii="Times New Roman" w:eastAsiaTheme="minorHAnsi" w:hAnsi="Times New Roman"/>
                <w:b/>
                <w:bCs/>
                <w:kern w:val="2"/>
                <w:sz w:val="21"/>
                <w:szCs w:val="21"/>
                <w:lang w:eastAsia="en-US"/>
                <w14:ligatures w14:val="standardContextual"/>
              </w:rPr>
            </w:pPr>
            <w:r w:rsidRPr="007C5A6E">
              <w:rPr>
                <w:rFonts w:ascii="Times New Roman" w:eastAsiaTheme="minorHAnsi" w:hAnsi="Times New Roman"/>
                <w:b/>
                <w:bCs/>
                <w:kern w:val="2"/>
                <w:sz w:val="21"/>
                <w:szCs w:val="21"/>
                <w:lang w:eastAsia="en-US"/>
                <w14:ligatures w14:val="standardContextual"/>
              </w:rPr>
              <w:t>Population</w:t>
            </w:r>
          </w:p>
          <w:p w14:paraId="78479382" w14:textId="77777777" w:rsidR="00606C71" w:rsidRPr="007C5A6E" w:rsidRDefault="00606C71" w:rsidP="009D1E01">
            <w:pPr>
              <w:spacing w:after="0" w:line="240" w:lineRule="auto"/>
              <w:jc w:val="center"/>
              <w:rPr>
                <w:rFonts w:ascii="Times New Roman" w:eastAsiaTheme="minorHAnsi" w:hAnsi="Times New Roman"/>
                <w:b/>
                <w:bCs/>
                <w:kern w:val="2"/>
                <w:sz w:val="21"/>
                <w:szCs w:val="21"/>
                <w:lang w:eastAsia="en-US"/>
                <w14:ligatures w14:val="standardContextual"/>
              </w:rPr>
            </w:pPr>
            <w:proofErr w:type="gramStart"/>
            <w:r w:rsidRPr="007C5A6E">
              <w:rPr>
                <w:rFonts w:ascii="Times New Roman" w:eastAsiaTheme="minorHAnsi" w:hAnsi="Times New Roman"/>
                <w:b/>
                <w:bCs/>
                <w:kern w:val="2"/>
                <w:sz w:val="21"/>
                <w:szCs w:val="21"/>
                <w:lang w:eastAsia="en-US"/>
                <w14:ligatures w14:val="standardContextual"/>
              </w:rPr>
              <w:t>selon</w:t>
            </w:r>
            <w:proofErr w:type="gramEnd"/>
          </w:p>
          <w:p w14:paraId="6CF2E9B2" w14:textId="77777777" w:rsidR="00606C71" w:rsidRPr="007C5A6E" w:rsidRDefault="00606C71" w:rsidP="009D1E01">
            <w:pPr>
              <w:spacing w:after="0" w:line="240" w:lineRule="auto"/>
              <w:jc w:val="center"/>
              <w:rPr>
                <w:rFonts w:ascii="Times New Roman" w:eastAsiaTheme="minorHAnsi" w:hAnsi="Times New Roman"/>
                <w:b/>
                <w:bCs/>
                <w:kern w:val="2"/>
                <w:sz w:val="21"/>
                <w:szCs w:val="21"/>
                <w:lang w:eastAsia="en-US"/>
                <w14:ligatures w14:val="standardContextual"/>
              </w:rPr>
            </w:pPr>
            <w:r w:rsidRPr="007C5A6E">
              <w:rPr>
                <w:rFonts w:ascii="Times New Roman" w:eastAsiaTheme="minorHAnsi" w:hAnsi="Times New Roman"/>
                <w:b/>
                <w:bCs/>
                <w:kern w:val="2"/>
                <w:sz w:val="21"/>
                <w:szCs w:val="21"/>
                <w:lang w:eastAsia="en-US"/>
                <w14:ligatures w14:val="standardContextual"/>
              </w:rPr>
              <w:t>RGPH 2019</w:t>
            </w:r>
          </w:p>
        </w:tc>
      </w:tr>
      <w:tr w:rsidR="00606C71" w:rsidRPr="007C5A6E" w14:paraId="03BA5B6E" w14:textId="77777777" w:rsidTr="0070034C">
        <w:tc>
          <w:tcPr>
            <w:tcW w:w="249" w:type="pct"/>
          </w:tcPr>
          <w:p w14:paraId="1073AAB7" w14:textId="77777777" w:rsidR="00606C71" w:rsidRPr="007C5A6E" w:rsidRDefault="00606C71" w:rsidP="009D1E01">
            <w:pPr>
              <w:numPr>
                <w:ilvl w:val="0"/>
                <w:numId w:val="52"/>
              </w:numPr>
              <w:spacing w:after="0" w:line="240" w:lineRule="auto"/>
              <w:rPr>
                <w:rFonts w:ascii="Times New Roman" w:eastAsiaTheme="minorHAnsi" w:hAnsi="Times New Roman"/>
                <w:kern w:val="2"/>
                <w:sz w:val="21"/>
                <w:szCs w:val="21"/>
                <w:lang w:eastAsia="en-US"/>
                <w14:ligatures w14:val="standardContextual"/>
              </w:rPr>
            </w:pPr>
          </w:p>
        </w:tc>
        <w:tc>
          <w:tcPr>
            <w:tcW w:w="885" w:type="pct"/>
            <w:vAlign w:val="center"/>
          </w:tcPr>
          <w:p w14:paraId="4068DB4A" w14:textId="77777777" w:rsidR="00606C71" w:rsidRPr="007C5A6E" w:rsidRDefault="00606C71" w:rsidP="009D1E01">
            <w:pPr>
              <w:spacing w:after="0" w:line="240" w:lineRule="auto"/>
              <w:rPr>
                <w:rFonts w:ascii="Times New Roman" w:eastAsiaTheme="minorHAnsi" w:hAnsi="Times New Roman"/>
                <w:kern w:val="2"/>
                <w:sz w:val="21"/>
                <w:szCs w:val="21"/>
                <w:lang w:eastAsia="en-US"/>
                <w14:ligatures w14:val="standardContextual"/>
              </w:rPr>
            </w:pPr>
            <w:r w:rsidRPr="007C5A6E">
              <w:rPr>
                <w:rFonts w:ascii="Times New Roman" w:eastAsia="Roboto" w:hAnsi="Times New Roman"/>
                <w:color w:val="000000"/>
                <w:sz w:val="21"/>
                <w:szCs w:val="21"/>
                <w:lang w:eastAsia="zh-CN" w:bidi="ar"/>
                <w14:ligatures w14:val="standardContextual"/>
              </w:rPr>
              <w:t>Ouagadougou</w:t>
            </w:r>
          </w:p>
        </w:tc>
        <w:tc>
          <w:tcPr>
            <w:tcW w:w="875" w:type="pct"/>
            <w:vAlign w:val="center"/>
          </w:tcPr>
          <w:p w14:paraId="11B17130"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172 661</w:t>
            </w:r>
          </w:p>
        </w:tc>
        <w:tc>
          <w:tcPr>
            <w:tcW w:w="746" w:type="pct"/>
            <w:shd w:val="clear" w:color="auto" w:fill="auto"/>
            <w:vAlign w:val="center"/>
          </w:tcPr>
          <w:p w14:paraId="5F5006F7" w14:textId="77777777" w:rsidR="00606C71" w:rsidRPr="007C5A6E" w:rsidRDefault="00606C71" w:rsidP="009D1E01">
            <w:pPr>
              <w:spacing w:after="0" w:line="240" w:lineRule="auto"/>
              <w:jc w:val="center"/>
              <w:rPr>
                <w:rFonts w:ascii="Times New Roman" w:eastAsiaTheme="minorEastAsia" w:hAnsi="Times New Roman"/>
                <w:kern w:val="2"/>
                <w:sz w:val="21"/>
                <w:szCs w:val="21"/>
                <w:lang w:eastAsia="zh-CN"/>
                <w14:ligatures w14:val="standardContextual"/>
              </w:rPr>
            </w:pPr>
            <w:r w:rsidRPr="007C5A6E">
              <w:rPr>
                <w:rFonts w:ascii="Times New Roman" w:eastAsiaTheme="minorEastAsia" w:hAnsi="Times New Roman"/>
                <w:kern w:val="2"/>
                <w:sz w:val="21"/>
                <w:szCs w:val="21"/>
                <w:lang w:eastAsia="zh-CN"/>
                <w14:ligatures w14:val="standardContextual"/>
              </w:rPr>
              <w:t>441 514</w:t>
            </w:r>
          </w:p>
        </w:tc>
        <w:tc>
          <w:tcPr>
            <w:tcW w:w="746" w:type="pct"/>
            <w:vAlign w:val="center"/>
          </w:tcPr>
          <w:p w14:paraId="1C282B57"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709736</w:t>
            </w:r>
          </w:p>
        </w:tc>
        <w:tc>
          <w:tcPr>
            <w:tcW w:w="754" w:type="pct"/>
            <w:vAlign w:val="center"/>
          </w:tcPr>
          <w:p w14:paraId="4C137AE0"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1 475 223</w:t>
            </w:r>
          </w:p>
        </w:tc>
        <w:tc>
          <w:tcPr>
            <w:tcW w:w="745" w:type="pct"/>
            <w:vAlign w:val="center"/>
          </w:tcPr>
          <w:p w14:paraId="225DCE26"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Roboto-Medium" w:hAnsi="Times New Roman"/>
                <w:color w:val="000000"/>
                <w:sz w:val="21"/>
                <w:szCs w:val="21"/>
                <w:lang w:eastAsia="zh-CN" w:bidi="ar"/>
                <w14:ligatures w14:val="standardContextual"/>
              </w:rPr>
              <w:t>2 415 266</w:t>
            </w:r>
          </w:p>
        </w:tc>
      </w:tr>
      <w:tr w:rsidR="00606C71" w:rsidRPr="007C5A6E" w14:paraId="13593C25" w14:textId="77777777" w:rsidTr="0070034C">
        <w:tc>
          <w:tcPr>
            <w:tcW w:w="249" w:type="pct"/>
          </w:tcPr>
          <w:p w14:paraId="1F52335A" w14:textId="77777777" w:rsidR="00606C71" w:rsidRPr="007C5A6E" w:rsidRDefault="00606C71" w:rsidP="009D1E01">
            <w:pPr>
              <w:numPr>
                <w:ilvl w:val="0"/>
                <w:numId w:val="52"/>
              </w:numPr>
              <w:spacing w:after="0" w:line="240" w:lineRule="auto"/>
              <w:rPr>
                <w:rFonts w:ascii="Times New Roman" w:eastAsiaTheme="minorHAnsi" w:hAnsi="Times New Roman"/>
                <w:kern w:val="2"/>
                <w:sz w:val="21"/>
                <w:szCs w:val="21"/>
                <w:lang w:eastAsia="en-US"/>
                <w14:ligatures w14:val="standardContextual"/>
              </w:rPr>
            </w:pPr>
          </w:p>
        </w:tc>
        <w:tc>
          <w:tcPr>
            <w:tcW w:w="885" w:type="pct"/>
            <w:vAlign w:val="center"/>
          </w:tcPr>
          <w:p w14:paraId="2F88B380" w14:textId="77777777" w:rsidR="00606C71" w:rsidRPr="007C5A6E" w:rsidRDefault="00606C71" w:rsidP="009D1E01">
            <w:pPr>
              <w:spacing w:after="0" w:line="240" w:lineRule="auto"/>
              <w:rPr>
                <w:rFonts w:ascii="Times New Roman" w:eastAsiaTheme="minorHAnsi" w:hAnsi="Times New Roman"/>
                <w:kern w:val="2"/>
                <w:sz w:val="21"/>
                <w:szCs w:val="21"/>
                <w:lang w:eastAsia="en-US"/>
                <w14:ligatures w14:val="standardContextual"/>
              </w:rPr>
            </w:pPr>
            <w:r w:rsidRPr="007C5A6E">
              <w:rPr>
                <w:rFonts w:ascii="Times New Roman" w:eastAsia="Roboto" w:hAnsi="Times New Roman"/>
                <w:color w:val="000000"/>
                <w:sz w:val="21"/>
                <w:szCs w:val="21"/>
                <w:lang w:eastAsia="zh-CN" w:bidi="ar"/>
                <w14:ligatures w14:val="standardContextual"/>
              </w:rPr>
              <w:t>Bobo-Dioulasso</w:t>
            </w:r>
          </w:p>
        </w:tc>
        <w:tc>
          <w:tcPr>
            <w:tcW w:w="875" w:type="pct"/>
            <w:vAlign w:val="center"/>
          </w:tcPr>
          <w:p w14:paraId="2A5B0AFF"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115 063</w:t>
            </w:r>
          </w:p>
        </w:tc>
        <w:tc>
          <w:tcPr>
            <w:tcW w:w="746" w:type="pct"/>
            <w:shd w:val="clear" w:color="auto" w:fill="auto"/>
            <w:vAlign w:val="center"/>
          </w:tcPr>
          <w:p w14:paraId="01C195C8" w14:textId="77777777" w:rsidR="00606C71" w:rsidRPr="007C5A6E" w:rsidRDefault="00606C71" w:rsidP="009D1E01">
            <w:pPr>
              <w:spacing w:after="0" w:line="240" w:lineRule="auto"/>
              <w:jc w:val="center"/>
              <w:rPr>
                <w:rFonts w:ascii="Times New Roman" w:eastAsiaTheme="minorEastAsia" w:hAnsi="Times New Roman"/>
                <w:kern w:val="2"/>
                <w:sz w:val="21"/>
                <w:szCs w:val="21"/>
                <w:lang w:eastAsia="zh-CN"/>
                <w14:ligatures w14:val="standardContextual"/>
              </w:rPr>
            </w:pPr>
            <w:r w:rsidRPr="007C5A6E">
              <w:rPr>
                <w:rFonts w:ascii="Times New Roman" w:eastAsiaTheme="minorEastAsia" w:hAnsi="Times New Roman"/>
                <w:kern w:val="2"/>
                <w:sz w:val="21"/>
                <w:szCs w:val="21"/>
                <w:lang w:eastAsia="zh-CN"/>
                <w14:ligatures w14:val="standardContextual"/>
              </w:rPr>
              <w:t>228 668</w:t>
            </w:r>
          </w:p>
        </w:tc>
        <w:tc>
          <w:tcPr>
            <w:tcW w:w="746" w:type="pct"/>
            <w:vAlign w:val="center"/>
          </w:tcPr>
          <w:p w14:paraId="7A9BD585"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309771</w:t>
            </w:r>
          </w:p>
        </w:tc>
        <w:tc>
          <w:tcPr>
            <w:tcW w:w="754" w:type="pct"/>
            <w:vAlign w:val="center"/>
          </w:tcPr>
          <w:p w14:paraId="475B548B"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489 967</w:t>
            </w:r>
          </w:p>
        </w:tc>
        <w:tc>
          <w:tcPr>
            <w:tcW w:w="745" w:type="pct"/>
            <w:vAlign w:val="center"/>
          </w:tcPr>
          <w:p w14:paraId="15C72167"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Roboto-Medium" w:hAnsi="Times New Roman"/>
                <w:color w:val="000000"/>
                <w:sz w:val="21"/>
                <w:szCs w:val="21"/>
                <w:lang w:eastAsia="zh-CN" w:bidi="ar"/>
                <w14:ligatures w14:val="standardContextual"/>
              </w:rPr>
              <w:t>904 920</w:t>
            </w:r>
          </w:p>
        </w:tc>
      </w:tr>
      <w:tr w:rsidR="00606C71" w:rsidRPr="007C5A6E" w14:paraId="050D4C99" w14:textId="77777777" w:rsidTr="0070034C">
        <w:tc>
          <w:tcPr>
            <w:tcW w:w="249" w:type="pct"/>
          </w:tcPr>
          <w:p w14:paraId="6165151B" w14:textId="77777777" w:rsidR="00606C71" w:rsidRPr="007C5A6E" w:rsidRDefault="00606C71" w:rsidP="009D1E01">
            <w:pPr>
              <w:numPr>
                <w:ilvl w:val="0"/>
                <w:numId w:val="52"/>
              </w:numPr>
              <w:spacing w:after="0" w:line="240" w:lineRule="auto"/>
              <w:rPr>
                <w:rFonts w:ascii="Times New Roman" w:eastAsiaTheme="minorHAnsi" w:hAnsi="Times New Roman"/>
                <w:kern w:val="2"/>
                <w:sz w:val="21"/>
                <w:szCs w:val="21"/>
                <w:lang w:eastAsia="en-US"/>
                <w14:ligatures w14:val="standardContextual"/>
              </w:rPr>
            </w:pPr>
          </w:p>
        </w:tc>
        <w:tc>
          <w:tcPr>
            <w:tcW w:w="885" w:type="pct"/>
            <w:vAlign w:val="center"/>
          </w:tcPr>
          <w:p w14:paraId="7DE79973" w14:textId="77777777" w:rsidR="00606C71" w:rsidRPr="007C5A6E" w:rsidRDefault="00606C71" w:rsidP="009D1E01">
            <w:pPr>
              <w:spacing w:after="0" w:line="240" w:lineRule="auto"/>
              <w:rPr>
                <w:rFonts w:ascii="Times New Roman" w:eastAsiaTheme="minorHAnsi" w:hAnsi="Times New Roman"/>
                <w:kern w:val="2"/>
                <w:sz w:val="21"/>
                <w:szCs w:val="21"/>
                <w:lang w:eastAsia="en-US"/>
                <w14:ligatures w14:val="standardContextual"/>
              </w:rPr>
            </w:pPr>
            <w:r w:rsidRPr="007C5A6E">
              <w:rPr>
                <w:rFonts w:ascii="Times New Roman" w:eastAsia="Roboto" w:hAnsi="Times New Roman"/>
                <w:color w:val="000000"/>
                <w:sz w:val="21"/>
                <w:szCs w:val="21"/>
                <w:lang w:eastAsia="zh-CN" w:bidi="ar"/>
                <w14:ligatures w14:val="standardContextual"/>
              </w:rPr>
              <w:t>Koudougou</w:t>
            </w:r>
          </w:p>
        </w:tc>
        <w:tc>
          <w:tcPr>
            <w:tcW w:w="875" w:type="pct"/>
            <w:vAlign w:val="center"/>
          </w:tcPr>
          <w:p w14:paraId="38F6DF84"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36 838</w:t>
            </w:r>
          </w:p>
        </w:tc>
        <w:tc>
          <w:tcPr>
            <w:tcW w:w="746" w:type="pct"/>
            <w:vAlign w:val="center"/>
          </w:tcPr>
          <w:p w14:paraId="71E9A5D7"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51 926</w:t>
            </w:r>
          </w:p>
        </w:tc>
        <w:tc>
          <w:tcPr>
            <w:tcW w:w="746" w:type="pct"/>
            <w:vAlign w:val="center"/>
          </w:tcPr>
          <w:p w14:paraId="2B8C0F9C"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72490</w:t>
            </w:r>
          </w:p>
        </w:tc>
        <w:tc>
          <w:tcPr>
            <w:tcW w:w="754" w:type="pct"/>
            <w:vAlign w:val="center"/>
          </w:tcPr>
          <w:p w14:paraId="373F99BB"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88 184</w:t>
            </w:r>
          </w:p>
        </w:tc>
        <w:tc>
          <w:tcPr>
            <w:tcW w:w="745" w:type="pct"/>
            <w:vAlign w:val="center"/>
          </w:tcPr>
          <w:p w14:paraId="1DF96E68"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Roboto-Medium" w:hAnsi="Times New Roman"/>
                <w:color w:val="000000"/>
                <w:sz w:val="21"/>
                <w:szCs w:val="21"/>
                <w:lang w:eastAsia="zh-CN" w:bidi="ar"/>
                <w14:ligatures w14:val="standardContextual"/>
              </w:rPr>
              <w:t>160 239</w:t>
            </w:r>
          </w:p>
        </w:tc>
      </w:tr>
      <w:tr w:rsidR="00606C71" w:rsidRPr="007C5A6E" w14:paraId="35490519" w14:textId="77777777" w:rsidTr="0070034C">
        <w:tc>
          <w:tcPr>
            <w:tcW w:w="249" w:type="pct"/>
          </w:tcPr>
          <w:p w14:paraId="6A4041A0" w14:textId="77777777" w:rsidR="00606C71" w:rsidRPr="007C5A6E" w:rsidRDefault="00606C71" w:rsidP="009D1E01">
            <w:pPr>
              <w:numPr>
                <w:ilvl w:val="0"/>
                <w:numId w:val="52"/>
              </w:numPr>
              <w:spacing w:after="0" w:line="240" w:lineRule="auto"/>
              <w:rPr>
                <w:rFonts w:ascii="Times New Roman" w:eastAsiaTheme="minorHAnsi" w:hAnsi="Times New Roman"/>
                <w:kern w:val="2"/>
                <w:sz w:val="21"/>
                <w:szCs w:val="21"/>
                <w:lang w:eastAsia="en-US"/>
                <w14:ligatures w14:val="standardContextual"/>
              </w:rPr>
            </w:pPr>
          </w:p>
        </w:tc>
        <w:tc>
          <w:tcPr>
            <w:tcW w:w="885" w:type="pct"/>
            <w:vAlign w:val="center"/>
          </w:tcPr>
          <w:p w14:paraId="3E22923C" w14:textId="77777777" w:rsidR="00606C71" w:rsidRPr="007C5A6E" w:rsidRDefault="00606C71" w:rsidP="009D1E01">
            <w:pPr>
              <w:spacing w:after="0" w:line="240" w:lineRule="auto"/>
              <w:rPr>
                <w:rFonts w:ascii="Times New Roman" w:eastAsiaTheme="minorHAnsi" w:hAnsi="Times New Roman"/>
                <w:kern w:val="2"/>
                <w:sz w:val="21"/>
                <w:szCs w:val="21"/>
                <w:lang w:eastAsia="en-US"/>
                <w14:ligatures w14:val="standardContextual"/>
              </w:rPr>
            </w:pPr>
            <w:r w:rsidRPr="007C5A6E">
              <w:rPr>
                <w:rFonts w:ascii="Times New Roman" w:eastAsia="Roboto" w:hAnsi="Times New Roman"/>
                <w:color w:val="000000"/>
                <w:sz w:val="21"/>
                <w:szCs w:val="21"/>
                <w:lang w:eastAsia="zh-CN" w:bidi="ar"/>
                <w14:ligatures w14:val="standardContextual"/>
              </w:rPr>
              <w:t>Ouahigouya</w:t>
            </w:r>
          </w:p>
        </w:tc>
        <w:tc>
          <w:tcPr>
            <w:tcW w:w="875" w:type="pct"/>
            <w:vAlign w:val="center"/>
          </w:tcPr>
          <w:p w14:paraId="4F50CBFB"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25 690</w:t>
            </w:r>
          </w:p>
        </w:tc>
        <w:tc>
          <w:tcPr>
            <w:tcW w:w="746" w:type="pct"/>
            <w:vAlign w:val="center"/>
          </w:tcPr>
          <w:p w14:paraId="69AE4142"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38 902</w:t>
            </w:r>
          </w:p>
        </w:tc>
        <w:tc>
          <w:tcPr>
            <w:tcW w:w="746" w:type="pct"/>
            <w:vAlign w:val="center"/>
          </w:tcPr>
          <w:p w14:paraId="5D0A8274"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52 193</w:t>
            </w:r>
          </w:p>
        </w:tc>
        <w:tc>
          <w:tcPr>
            <w:tcW w:w="754" w:type="pct"/>
            <w:vAlign w:val="center"/>
          </w:tcPr>
          <w:p w14:paraId="773B712E"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73 153</w:t>
            </w:r>
          </w:p>
        </w:tc>
        <w:tc>
          <w:tcPr>
            <w:tcW w:w="745" w:type="pct"/>
            <w:vAlign w:val="center"/>
          </w:tcPr>
          <w:p w14:paraId="3E71F822"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Roboto-Medium" w:hAnsi="Times New Roman"/>
                <w:color w:val="000000"/>
                <w:sz w:val="21"/>
                <w:szCs w:val="21"/>
                <w:lang w:eastAsia="zh-CN" w:bidi="ar"/>
                <w14:ligatures w14:val="standardContextual"/>
              </w:rPr>
              <w:t>124 587</w:t>
            </w:r>
          </w:p>
        </w:tc>
      </w:tr>
      <w:tr w:rsidR="00606C71" w:rsidRPr="007C5A6E" w14:paraId="12F25ADD" w14:textId="77777777" w:rsidTr="0070034C">
        <w:tc>
          <w:tcPr>
            <w:tcW w:w="249" w:type="pct"/>
          </w:tcPr>
          <w:p w14:paraId="4D555444" w14:textId="77777777" w:rsidR="00606C71" w:rsidRPr="007C5A6E" w:rsidRDefault="00606C71" w:rsidP="009D1E01">
            <w:pPr>
              <w:numPr>
                <w:ilvl w:val="0"/>
                <w:numId w:val="52"/>
              </w:numPr>
              <w:spacing w:after="0" w:line="240" w:lineRule="auto"/>
              <w:rPr>
                <w:rFonts w:ascii="Times New Roman" w:eastAsiaTheme="minorHAnsi" w:hAnsi="Times New Roman"/>
                <w:kern w:val="2"/>
                <w:sz w:val="21"/>
                <w:szCs w:val="21"/>
                <w:lang w:eastAsia="en-US"/>
                <w14:ligatures w14:val="standardContextual"/>
              </w:rPr>
            </w:pPr>
          </w:p>
        </w:tc>
        <w:tc>
          <w:tcPr>
            <w:tcW w:w="885" w:type="pct"/>
            <w:vAlign w:val="center"/>
          </w:tcPr>
          <w:p w14:paraId="5D8E99C8" w14:textId="77777777" w:rsidR="00606C71" w:rsidRPr="007C5A6E" w:rsidRDefault="00606C71" w:rsidP="009D1E01">
            <w:pPr>
              <w:spacing w:after="0" w:line="240" w:lineRule="auto"/>
              <w:rPr>
                <w:rFonts w:ascii="Times New Roman" w:eastAsiaTheme="minorHAnsi" w:hAnsi="Times New Roman"/>
                <w:kern w:val="2"/>
                <w:sz w:val="21"/>
                <w:szCs w:val="21"/>
                <w:lang w:eastAsia="en-US"/>
                <w14:ligatures w14:val="standardContextual"/>
              </w:rPr>
            </w:pPr>
            <w:r w:rsidRPr="007C5A6E">
              <w:rPr>
                <w:rFonts w:ascii="Times New Roman" w:eastAsia="Roboto" w:hAnsi="Times New Roman"/>
                <w:color w:val="000000"/>
                <w:sz w:val="21"/>
                <w:szCs w:val="21"/>
                <w:lang w:eastAsia="zh-CN" w:bidi="ar"/>
                <w14:ligatures w14:val="standardContextual"/>
              </w:rPr>
              <w:t>Kaya</w:t>
            </w:r>
          </w:p>
        </w:tc>
        <w:tc>
          <w:tcPr>
            <w:tcW w:w="875" w:type="pct"/>
            <w:vAlign w:val="center"/>
          </w:tcPr>
          <w:p w14:paraId="42AE68C5"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19 200</w:t>
            </w:r>
          </w:p>
        </w:tc>
        <w:tc>
          <w:tcPr>
            <w:tcW w:w="746" w:type="pct"/>
            <w:vAlign w:val="center"/>
          </w:tcPr>
          <w:p w14:paraId="37F6229C"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25 814</w:t>
            </w:r>
          </w:p>
        </w:tc>
        <w:tc>
          <w:tcPr>
            <w:tcW w:w="746" w:type="pct"/>
            <w:vAlign w:val="center"/>
          </w:tcPr>
          <w:p w14:paraId="789A9ABA"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33 958</w:t>
            </w:r>
          </w:p>
        </w:tc>
        <w:tc>
          <w:tcPr>
            <w:tcW w:w="754" w:type="pct"/>
            <w:vAlign w:val="center"/>
          </w:tcPr>
          <w:p w14:paraId="5E2ECC87"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54 365</w:t>
            </w:r>
          </w:p>
        </w:tc>
        <w:tc>
          <w:tcPr>
            <w:tcW w:w="745" w:type="pct"/>
            <w:vAlign w:val="center"/>
          </w:tcPr>
          <w:p w14:paraId="446933BB"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Roboto-Medium" w:hAnsi="Times New Roman"/>
                <w:color w:val="000000"/>
                <w:sz w:val="21"/>
                <w:szCs w:val="21"/>
                <w:lang w:eastAsia="zh-CN" w:bidi="ar"/>
                <w14:ligatures w14:val="standardContextual"/>
              </w:rPr>
              <w:t>121 970</w:t>
            </w:r>
          </w:p>
        </w:tc>
      </w:tr>
      <w:tr w:rsidR="00606C71" w:rsidRPr="007C5A6E" w14:paraId="032442E9" w14:textId="77777777" w:rsidTr="0070034C">
        <w:tc>
          <w:tcPr>
            <w:tcW w:w="249" w:type="pct"/>
          </w:tcPr>
          <w:p w14:paraId="76948029" w14:textId="77777777" w:rsidR="00606C71" w:rsidRPr="007C5A6E" w:rsidRDefault="00606C71" w:rsidP="009D1E01">
            <w:pPr>
              <w:numPr>
                <w:ilvl w:val="0"/>
                <w:numId w:val="52"/>
              </w:numPr>
              <w:spacing w:after="0" w:line="240" w:lineRule="auto"/>
              <w:rPr>
                <w:rFonts w:ascii="Times New Roman" w:eastAsiaTheme="minorHAnsi" w:hAnsi="Times New Roman"/>
                <w:kern w:val="2"/>
                <w:sz w:val="21"/>
                <w:szCs w:val="21"/>
                <w:lang w:eastAsia="en-US"/>
                <w14:ligatures w14:val="standardContextual"/>
              </w:rPr>
            </w:pPr>
          </w:p>
        </w:tc>
        <w:tc>
          <w:tcPr>
            <w:tcW w:w="885" w:type="pct"/>
            <w:vAlign w:val="center"/>
          </w:tcPr>
          <w:p w14:paraId="3A05A7B8" w14:textId="77777777" w:rsidR="00606C71" w:rsidRPr="007C5A6E" w:rsidRDefault="00606C71" w:rsidP="009D1E01">
            <w:pPr>
              <w:spacing w:after="0" w:line="240" w:lineRule="auto"/>
              <w:rPr>
                <w:rFonts w:ascii="Times New Roman" w:eastAsiaTheme="minorHAnsi" w:hAnsi="Times New Roman"/>
                <w:kern w:val="2"/>
                <w:sz w:val="21"/>
                <w:szCs w:val="21"/>
                <w:lang w:eastAsia="en-US"/>
                <w14:ligatures w14:val="standardContextual"/>
              </w:rPr>
            </w:pPr>
            <w:r w:rsidRPr="007C5A6E">
              <w:rPr>
                <w:rFonts w:ascii="Times New Roman" w:eastAsia="Roboto" w:hAnsi="Times New Roman"/>
                <w:color w:val="000000"/>
                <w:sz w:val="21"/>
                <w:szCs w:val="21"/>
                <w:lang w:eastAsia="zh-CN" w:bidi="ar"/>
                <w14:ligatures w14:val="standardContextual"/>
              </w:rPr>
              <w:t>Banfora</w:t>
            </w:r>
          </w:p>
        </w:tc>
        <w:tc>
          <w:tcPr>
            <w:tcW w:w="875" w:type="pct"/>
            <w:vAlign w:val="center"/>
          </w:tcPr>
          <w:p w14:paraId="06001D62"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12 358</w:t>
            </w:r>
          </w:p>
        </w:tc>
        <w:tc>
          <w:tcPr>
            <w:tcW w:w="746" w:type="pct"/>
            <w:vAlign w:val="center"/>
          </w:tcPr>
          <w:p w14:paraId="4D73DC6B"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35 319</w:t>
            </w:r>
          </w:p>
        </w:tc>
        <w:tc>
          <w:tcPr>
            <w:tcW w:w="746" w:type="pct"/>
            <w:vAlign w:val="center"/>
          </w:tcPr>
          <w:p w14:paraId="70DBC7F7"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49 724</w:t>
            </w:r>
          </w:p>
        </w:tc>
        <w:tc>
          <w:tcPr>
            <w:tcW w:w="754" w:type="pct"/>
            <w:vAlign w:val="center"/>
          </w:tcPr>
          <w:p w14:paraId="3A93396E"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75 917</w:t>
            </w:r>
          </w:p>
        </w:tc>
        <w:tc>
          <w:tcPr>
            <w:tcW w:w="745" w:type="pct"/>
            <w:vAlign w:val="center"/>
          </w:tcPr>
          <w:p w14:paraId="3D0EFD9D"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Roboto-Medium" w:hAnsi="Times New Roman"/>
                <w:color w:val="000000"/>
                <w:sz w:val="21"/>
                <w:szCs w:val="21"/>
                <w:lang w:eastAsia="zh-CN" w:bidi="ar"/>
                <w14:ligatures w14:val="standardContextual"/>
              </w:rPr>
              <w:t>117 452</w:t>
            </w:r>
          </w:p>
        </w:tc>
      </w:tr>
      <w:tr w:rsidR="00606C71" w:rsidRPr="007C5A6E" w14:paraId="51414B95" w14:textId="77777777" w:rsidTr="0070034C">
        <w:tc>
          <w:tcPr>
            <w:tcW w:w="249" w:type="pct"/>
          </w:tcPr>
          <w:p w14:paraId="21279414" w14:textId="77777777" w:rsidR="00606C71" w:rsidRPr="007C5A6E" w:rsidRDefault="00606C71" w:rsidP="009D1E01">
            <w:pPr>
              <w:numPr>
                <w:ilvl w:val="0"/>
                <w:numId w:val="52"/>
              </w:numPr>
              <w:spacing w:after="0" w:line="240" w:lineRule="auto"/>
              <w:rPr>
                <w:rFonts w:ascii="Times New Roman" w:eastAsiaTheme="minorHAnsi" w:hAnsi="Times New Roman"/>
                <w:kern w:val="2"/>
                <w:sz w:val="21"/>
                <w:szCs w:val="21"/>
                <w:lang w:eastAsia="en-US"/>
                <w14:ligatures w14:val="standardContextual"/>
              </w:rPr>
            </w:pPr>
          </w:p>
        </w:tc>
        <w:tc>
          <w:tcPr>
            <w:tcW w:w="885" w:type="pct"/>
            <w:vAlign w:val="center"/>
          </w:tcPr>
          <w:p w14:paraId="066875EC" w14:textId="77777777" w:rsidR="00606C71" w:rsidRPr="007C5A6E" w:rsidRDefault="00606C71" w:rsidP="009D1E01">
            <w:pPr>
              <w:spacing w:after="0" w:line="240" w:lineRule="auto"/>
              <w:rPr>
                <w:rFonts w:ascii="Times New Roman" w:eastAsiaTheme="minorHAnsi" w:hAnsi="Times New Roman"/>
                <w:kern w:val="2"/>
                <w:sz w:val="21"/>
                <w:szCs w:val="21"/>
                <w:lang w:eastAsia="en-US"/>
                <w14:ligatures w14:val="standardContextual"/>
              </w:rPr>
            </w:pPr>
            <w:r w:rsidRPr="007C5A6E">
              <w:rPr>
                <w:rFonts w:ascii="Times New Roman" w:eastAsia="Roboto" w:hAnsi="Times New Roman"/>
                <w:color w:val="000000"/>
                <w:sz w:val="21"/>
                <w:szCs w:val="21"/>
                <w:lang w:eastAsia="zh-CN" w:bidi="ar"/>
                <w14:ligatures w14:val="standardContextual"/>
              </w:rPr>
              <w:t>Pouytenga</w:t>
            </w:r>
          </w:p>
        </w:tc>
        <w:tc>
          <w:tcPr>
            <w:tcW w:w="875" w:type="pct"/>
            <w:vAlign w:val="center"/>
          </w:tcPr>
          <w:p w14:paraId="7080A11E"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24 240</w:t>
            </w:r>
          </w:p>
        </w:tc>
        <w:tc>
          <w:tcPr>
            <w:tcW w:w="746" w:type="pct"/>
            <w:vAlign w:val="center"/>
          </w:tcPr>
          <w:p w14:paraId="11B1F98E"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12 445</w:t>
            </w:r>
          </w:p>
        </w:tc>
        <w:tc>
          <w:tcPr>
            <w:tcW w:w="746" w:type="pct"/>
            <w:vAlign w:val="center"/>
          </w:tcPr>
          <w:p w14:paraId="73BF8796"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35 720</w:t>
            </w:r>
          </w:p>
        </w:tc>
        <w:tc>
          <w:tcPr>
            <w:tcW w:w="754" w:type="pct"/>
            <w:vAlign w:val="center"/>
          </w:tcPr>
          <w:p w14:paraId="15C17EE1"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60 618</w:t>
            </w:r>
          </w:p>
        </w:tc>
        <w:tc>
          <w:tcPr>
            <w:tcW w:w="745" w:type="pct"/>
            <w:vAlign w:val="center"/>
          </w:tcPr>
          <w:p w14:paraId="3B2D3B1B"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Roboto-Medium" w:hAnsi="Times New Roman"/>
                <w:color w:val="000000"/>
                <w:sz w:val="21"/>
                <w:szCs w:val="21"/>
                <w:lang w:eastAsia="zh-CN" w:bidi="ar"/>
                <w14:ligatures w14:val="standardContextual"/>
              </w:rPr>
              <w:t>96 469</w:t>
            </w:r>
          </w:p>
        </w:tc>
      </w:tr>
      <w:tr w:rsidR="00606C71" w:rsidRPr="007C5A6E" w14:paraId="31F313B1" w14:textId="77777777" w:rsidTr="0070034C">
        <w:tc>
          <w:tcPr>
            <w:tcW w:w="249" w:type="pct"/>
          </w:tcPr>
          <w:p w14:paraId="50FD65A0" w14:textId="77777777" w:rsidR="00606C71" w:rsidRPr="007C5A6E" w:rsidRDefault="00606C71" w:rsidP="009D1E01">
            <w:pPr>
              <w:numPr>
                <w:ilvl w:val="0"/>
                <w:numId w:val="52"/>
              </w:numPr>
              <w:spacing w:after="0" w:line="240" w:lineRule="auto"/>
              <w:rPr>
                <w:rFonts w:ascii="Times New Roman" w:eastAsiaTheme="minorHAnsi" w:hAnsi="Times New Roman"/>
                <w:kern w:val="2"/>
                <w:sz w:val="21"/>
                <w:szCs w:val="21"/>
                <w:lang w:eastAsia="en-US"/>
                <w14:ligatures w14:val="standardContextual"/>
              </w:rPr>
            </w:pPr>
          </w:p>
        </w:tc>
        <w:tc>
          <w:tcPr>
            <w:tcW w:w="885" w:type="pct"/>
            <w:vAlign w:val="center"/>
          </w:tcPr>
          <w:p w14:paraId="24308471" w14:textId="77777777" w:rsidR="00606C71" w:rsidRPr="007C5A6E" w:rsidRDefault="00606C71" w:rsidP="009D1E01">
            <w:pPr>
              <w:spacing w:after="0" w:line="240" w:lineRule="auto"/>
              <w:rPr>
                <w:rFonts w:ascii="Times New Roman" w:eastAsiaTheme="minorHAnsi" w:hAnsi="Times New Roman"/>
                <w:kern w:val="2"/>
                <w:sz w:val="21"/>
                <w:szCs w:val="21"/>
                <w:lang w:eastAsia="en-US"/>
                <w14:ligatures w14:val="standardContextual"/>
              </w:rPr>
            </w:pPr>
            <w:r w:rsidRPr="007C5A6E">
              <w:rPr>
                <w:rFonts w:ascii="Times New Roman" w:eastAsia="Roboto" w:hAnsi="Times New Roman"/>
                <w:color w:val="000000"/>
                <w:sz w:val="21"/>
                <w:szCs w:val="21"/>
                <w:lang w:eastAsia="zh-CN" w:bidi="ar"/>
                <w14:ligatures w14:val="standardContextual"/>
              </w:rPr>
              <w:t>Houndé</w:t>
            </w:r>
          </w:p>
        </w:tc>
        <w:tc>
          <w:tcPr>
            <w:tcW w:w="875" w:type="pct"/>
            <w:vAlign w:val="center"/>
          </w:tcPr>
          <w:p w14:paraId="7455AA4E"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p>
        </w:tc>
        <w:tc>
          <w:tcPr>
            <w:tcW w:w="746" w:type="pct"/>
            <w:vAlign w:val="center"/>
          </w:tcPr>
          <w:p w14:paraId="15736893"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p>
        </w:tc>
        <w:tc>
          <w:tcPr>
            <w:tcW w:w="746" w:type="pct"/>
            <w:vAlign w:val="center"/>
          </w:tcPr>
          <w:p w14:paraId="077F9B29"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21 830</w:t>
            </w:r>
          </w:p>
        </w:tc>
        <w:tc>
          <w:tcPr>
            <w:tcW w:w="754" w:type="pct"/>
            <w:vAlign w:val="center"/>
          </w:tcPr>
          <w:p w14:paraId="45701982"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39 458</w:t>
            </w:r>
          </w:p>
        </w:tc>
        <w:tc>
          <w:tcPr>
            <w:tcW w:w="745" w:type="pct"/>
            <w:vAlign w:val="center"/>
          </w:tcPr>
          <w:p w14:paraId="788F711B"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Roboto-Medium" w:hAnsi="Times New Roman"/>
                <w:color w:val="000000"/>
                <w:sz w:val="21"/>
                <w:szCs w:val="21"/>
                <w:lang w:eastAsia="zh-CN" w:bidi="ar"/>
                <w14:ligatures w14:val="standardContextual"/>
              </w:rPr>
              <w:t>87 151</w:t>
            </w:r>
          </w:p>
        </w:tc>
      </w:tr>
      <w:tr w:rsidR="00606C71" w:rsidRPr="007C5A6E" w14:paraId="424F4BAA" w14:textId="77777777" w:rsidTr="0070034C">
        <w:tc>
          <w:tcPr>
            <w:tcW w:w="249" w:type="pct"/>
          </w:tcPr>
          <w:p w14:paraId="554742F1" w14:textId="77777777" w:rsidR="00606C71" w:rsidRPr="007C5A6E" w:rsidRDefault="00606C71" w:rsidP="009D1E01">
            <w:pPr>
              <w:numPr>
                <w:ilvl w:val="0"/>
                <w:numId w:val="52"/>
              </w:numPr>
              <w:spacing w:after="0" w:line="240" w:lineRule="auto"/>
              <w:rPr>
                <w:rFonts w:ascii="Times New Roman" w:eastAsiaTheme="minorHAnsi" w:hAnsi="Times New Roman"/>
                <w:kern w:val="2"/>
                <w:sz w:val="21"/>
                <w:szCs w:val="21"/>
                <w:lang w:eastAsia="en-US"/>
                <w14:ligatures w14:val="standardContextual"/>
              </w:rPr>
            </w:pPr>
          </w:p>
        </w:tc>
        <w:tc>
          <w:tcPr>
            <w:tcW w:w="885" w:type="pct"/>
            <w:vAlign w:val="center"/>
          </w:tcPr>
          <w:p w14:paraId="29E008FE" w14:textId="77777777" w:rsidR="00606C71" w:rsidRPr="007C5A6E" w:rsidRDefault="00606C71" w:rsidP="009D1E01">
            <w:pPr>
              <w:spacing w:after="0" w:line="240" w:lineRule="auto"/>
              <w:rPr>
                <w:rFonts w:ascii="Times New Roman" w:eastAsiaTheme="minorHAnsi" w:hAnsi="Times New Roman"/>
                <w:kern w:val="2"/>
                <w:sz w:val="21"/>
                <w:szCs w:val="21"/>
                <w:lang w:eastAsia="en-US"/>
                <w14:ligatures w14:val="standardContextual"/>
              </w:rPr>
            </w:pPr>
            <w:r w:rsidRPr="007C5A6E">
              <w:rPr>
                <w:rFonts w:ascii="Times New Roman" w:eastAsia="Roboto" w:hAnsi="Times New Roman"/>
                <w:color w:val="000000"/>
                <w:sz w:val="21"/>
                <w:szCs w:val="21"/>
                <w:lang w:eastAsia="zh-CN" w:bidi="ar"/>
                <w14:ligatures w14:val="standardContextual"/>
              </w:rPr>
              <w:t>Fada N’Gourma</w:t>
            </w:r>
          </w:p>
        </w:tc>
        <w:tc>
          <w:tcPr>
            <w:tcW w:w="875" w:type="pct"/>
            <w:vAlign w:val="center"/>
          </w:tcPr>
          <w:p w14:paraId="12C5D244"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13 067</w:t>
            </w:r>
          </w:p>
        </w:tc>
        <w:tc>
          <w:tcPr>
            <w:tcW w:w="746" w:type="pct"/>
            <w:vAlign w:val="center"/>
          </w:tcPr>
          <w:p w14:paraId="4A2033F3"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20 857</w:t>
            </w:r>
          </w:p>
        </w:tc>
        <w:tc>
          <w:tcPr>
            <w:tcW w:w="746" w:type="pct"/>
            <w:vAlign w:val="center"/>
          </w:tcPr>
          <w:p w14:paraId="5075C26D"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29 254</w:t>
            </w:r>
          </w:p>
        </w:tc>
        <w:tc>
          <w:tcPr>
            <w:tcW w:w="754" w:type="pct"/>
            <w:vAlign w:val="center"/>
          </w:tcPr>
          <w:p w14:paraId="50B09E92"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41 785</w:t>
            </w:r>
          </w:p>
        </w:tc>
        <w:tc>
          <w:tcPr>
            <w:tcW w:w="745" w:type="pct"/>
            <w:vAlign w:val="center"/>
          </w:tcPr>
          <w:p w14:paraId="22C0321D"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Roboto-Medium" w:hAnsi="Times New Roman"/>
                <w:color w:val="000000"/>
                <w:sz w:val="21"/>
                <w:szCs w:val="21"/>
                <w:lang w:eastAsia="zh-CN" w:bidi="ar"/>
                <w14:ligatures w14:val="standardContextual"/>
              </w:rPr>
              <w:t>73 200</w:t>
            </w:r>
          </w:p>
        </w:tc>
      </w:tr>
      <w:tr w:rsidR="00606C71" w:rsidRPr="007C5A6E" w14:paraId="2D2535C6" w14:textId="77777777" w:rsidTr="0070034C">
        <w:tc>
          <w:tcPr>
            <w:tcW w:w="249" w:type="pct"/>
          </w:tcPr>
          <w:p w14:paraId="77169D62" w14:textId="77777777" w:rsidR="00606C71" w:rsidRPr="007C5A6E" w:rsidRDefault="00606C71" w:rsidP="009D1E01">
            <w:pPr>
              <w:numPr>
                <w:ilvl w:val="0"/>
                <w:numId w:val="52"/>
              </w:numPr>
              <w:spacing w:after="0" w:line="240" w:lineRule="auto"/>
              <w:rPr>
                <w:rFonts w:ascii="Times New Roman" w:eastAsiaTheme="minorHAnsi" w:hAnsi="Times New Roman"/>
                <w:kern w:val="2"/>
                <w:sz w:val="21"/>
                <w:szCs w:val="21"/>
                <w:lang w:eastAsia="en-US"/>
                <w14:ligatures w14:val="standardContextual"/>
              </w:rPr>
            </w:pPr>
          </w:p>
        </w:tc>
        <w:tc>
          <w:tcPr>
            <w:tcW w:w="885" w:type="pct"/>
            <w:vAlign w:val="center"/>
          </w:tcPr>
          <w:p w14:paraId="39A0B6A2" w14:textId="77777777" w:rsidR="00606C71" w:rsidRPr="007C5A6E" w:rsidRDefault="00606C71" w:rsidP="009D1E01">
            <w:pPr>
              <w:spacing w:after="0" w:line="240" w:lineRule="auto"/>
              <w:rPr>
                <w:rFonts w:ascii="Times New Roman" w:eastAsiaTheme="minorHAnsi" w:hAnsi="Times New Roman"/>
                <w:kern w:val="2"/>
                <w:sz w:val="21"/>
                <w:szCs w:val="21"/>
                <w:lang w:eastAsia="en-US"/>
                <w14:ligatures w14:val="standardContextual"/>
              </w:rPr>
            </w:pPr>
            <w:r w:rsidRPr="007C5A6E">
              <w:rPr>
                <w:rFonts w:ascii="Times New Roman" w:eastAsia="Roboto" w:hAnsi="Times New Roman"/>
                <w:color w:val="000000"/>
                <w:sz w:val="21"/>
                <w:szCs w:val="21"/>
                <w:lang w:eastAsia="zh-CN" w:bidi="ar"/>
                <w14:ligatures w14:val="standardContextual"/>
              </w:rPr>
              <w:t>Dédougou</w:t>
            </w:r>
          </w:p>
        </w:tc>
        <w:tc>
          <w:tcPr>
            <w:tcW w:w="875" w:type="pct"/>
            <w:vAlign w:val="center"/>
          </w:tcPr>
          <w:p w14:paraId="658B2C68"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7 913</w:t>
            </w:r>
          </w:p>
        </w:tc>
        <w:tc>
          <w:tcPr>
            <w:tcW w:w="746" w:type="pct"/>
            <w:vAlign w:val="center"/>
          </w:tcPr>
          <w:p w14:paraId="27337D88"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21 049</w:t>
            </w:r>
          </w:p>
        </w:tc>
        <w:tc>
          <w:tcPr>
            <w:tcW w:w="746" w:type="pct"/>
            <w:vAlign w:val="center"/>
          </w:tcPr>
          <w:p w14:paraId="7D638585"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33 815</w:t>
            </w:r>
          </w:p>
        </w:tc>
        <w:tc>
          <w:tcPr>
            <w:tcW w:w="754" w:type="pct"/>
            <w:vAlign w:val="center"/>
          </w:tcPr>
          <w:p w14:paraId="6E064B94"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Theme="minorHAnsi" w:hAnsi="Times New Roman"/>
                <w:kern w:val="2"/>
                <w:sz w:val="21"/>
                <w:szCs w:val="21"/>
                <w:lang w:eastAsia="en-US"/>
                <w14:ligatures w14:val="standardContextual"/>
              </w:rPr>
              <w:t>38 862</w:t>
            </w:r>
          </w:p>
        </w:tc>
        <w:tc>
          <w:tcPr>
            <w:tcW w:w="745" w:type="pct"/>
            <w:vAlign w:val="center"/>
          </w:tcPr>
          <w:p w14:paraId="028E6E2C" w14:textId="77777777" w:rsidR="00606C71" w:rsidRPr="007C5A6E" w:rsidRDefault="00606C71" w:rsidP="009D1E01">
            <w:pPr>
              <w:spacing w:after="0" w:line="240" w:lineRule="auto"/>
              <w:jc w:val="center"/>
              <w:rPr>
                <w:rFonts w:ascii="Times New Roman" w:eastAsiaTheme="minorHAnsi" w:hAnsi="Times New Roman"/>
                <w:kern w:val="2"/>
                <w:sz w:val="21"/>
                <w:szCs w:val="21"/>
                <w:lang w:eastAsia="en-US"/>
                <w14:ligatures w14:val="standardContextual"/>
              </w:rPr>
            </w:pPr>
            <w:r w:rsidRPr="007C5A6E">
              <w:rPr>
                <w:rFonts w:ascii="Times New Roman" w:eastAsia="Roboto-Medium" w:hAnsi="Times New Roman"/>
                <w:color w:val="000000"/>
                <w:sz w:val="21"/>
                <w:szCs w:val="21"/>
                <w:lang w:eastAsia="zh-CN" w:bidi="ar"/>
                <w14:ligatures w14:val="standardContextual"/>
              </w:rPr>
              <w:t>63 617</w:t>
            </w:r>
          </w:p>
        </w:tc>
      </w:tr>
    </w:tbl>
    <w:p w14:paraId="078CB1B8" w14:textId="77777777" w:rsidR="00606C71" w:rsidRPr="007C5A6E" w:rsidRDefault="00606C71" w:rsidP="009D1E01">
      <w:pPr>
        <w:spacing w:after="0" w:line="240" w:lineRule="auto"/>
        <w:rPr>
          <w:rFonts w:ascii="Times New Roman" w:eastAsiaTheme="minorHAnsi" w:hAnsi="Times New Roman"/>
          <w:kern w:val="2"/>
          <w:sz w:val="20"/>
          <w:szCs w:val="24"/>
          <w:lang w:eastAsia="en-US"/>
          <w14:ligatures w14:val="standardContextual"/>
        </w:rPr>
      </w:pPr>
      <w:r w:rsidRPr="007C5A6E">
        <w:rPr>
          <w:rFonts w:ascii="Times New Roman" w:eastAsiaTheme="minorHAnsi" w:hAnsi="Times New Roman"/>
          <w:kern w:val="2"/>
          <w:sz w:val="20"/>
          <w:szCs w:val="24"/>
          <w:lang w:eastAsia="en-US"/>
          <w14:ligatures w14:val="standardContextual"/>
        </w:rPr>
        <w:t>Source : RGPH 1975, 1985, 1996, 2006, 2019</w:t>
      </w:r>
    </w:p>
    <w:p w14:paraId="60E0666F" w14:textId="77777777" w:rsidR="00B63F25" w:rsidRPr="007C5A6E" w:rsidRDefault="00B63F25" w:rsidP="00B63F25">
      <w:pPr>
        <w:spacing w:after="0" w:line="240" w:lineRule="auto"/>
        <w:jc w:val="both"/>
        <w:rPr>
          <w:rFonts w:ascii="Times New Roman" w:eastAsiaTheme="minorHAnsi" w:hAnsi="Times New Roman"/>
          <w:sz w:val="24"/>
          <w:szCs w:val="24"/>
        </w:rPr>
      </w:pPr>
    </w:p>
    <w:p w14:paraId="3B8AA095" w14:textId="514F0E32"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En termes d’évolution, avec une population de 60 000 habitants en 1960, Ouagadougou a vu sa population passer à 172 661 habitants en 1975, soit un taux d’accroissement annuel de 7,4% (cf. tableau </w:t>
      </w:r>
      <w:r w:rsidR="00317B63" w:rsidRPr="007C5A6E">
        <w:rPr>
          <w:rFonts w:ascii="Times New Roman" w:eastAsiaTheme="minorHAnsi" w:hAnsi="Times New Roman"/>
          <w:sz w:val="24"/>
          <w:szCs w:val="24"/>
        </w:rPr>
        <w:t>6</w:t>
      </w:r>
      <w:r w:rsidRPr="007C5A6E">
        <w:rPr>
          <w:rFonts w:ascii="Times New Roman" w:eastAsiaTheme="minorHAnsi" w:hAnsi="Times New Roman"/>
          <w:sz w:val="24"/>
          <w:szCs w:val="24"/>
        </w:rPr>
        <w:t xml:space="preserve">2). Le recensement général de la population de 1985 affichait une population de 441 514 habitants avec un taux d’accroissement de 9,4%. Ce chiffre atteindra 709 736 en 1996 puis 1 475 223 en 2006, avec respectivement des taux d’accroissement annuel de 4,3% et 4,2%. En 2006, Ouagadougou rassemblait 46% de la population urbaine nationale, soit 10,5% de la population nationale </w:t>
      </w:r>
      <w:sdt>
        <w:sdtPr>
          <w:rPr>
            <w:rFonts w:ascii="Times New Roman" w:eastAsiaTheme="minorHAnsi" w:hAnsi="Times New Roman"/>
            <w:sz w:val="24"/>
            <w:szCs w:val="24"/>
          </w:rPr>
          <w:id w:val="1099679251"/>
          <w:citation/>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INS061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(INSD, 2006)</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w:t>
      </w:r>
    </w:p>
    <w:p w14:paraId="11A58E63" w14:textId="77777777" w:rsidR="00B63F25" w:rsidRPr="007C5A6E" w:rsidRDefault="00B63F25" w:rsidP="00B63F25">
      <w:pPr>
        <w:spacing w:after="0" w:line="240" w:lineRule="auto"/>
        <w:jc w:val="both"/>
        <w:rPr>
          <w:rFonts w:ascii="Times New Roman" w:eastAsiaTheme="minorHAnsi" w:hAnsi="Times New Roman"/>
          <w:sz w:val="24"/>
          <w:szCs w:val="24"/>
        </w:rPr>
      </w:pPr>
    </w:p>
    <w:p w14:paraId="503F4B92" w14:textId="134EF32E" w:rsidR="00606C71" w:rsidRPr="007C5A6E" w:rsidRDefault="00606C71" w:rsidP="00540B43">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Avec Bobo Dioulasso, Ouagadougou enregistre donc largement la plus grande partie de la population urbaine avec les taux de croissance les plus élevés comparativement à l’année 2006 (cf. </w:t>
      </w:r>
      <w:r w:rsidR="00D93EC5" w:rsidRPr="007C5A6E">
        <w:rPr>
          <w:rFonts w:ascii="Times New Roman" w:eastAsiaTheme="minorHAnsi" w:hAnsi="Times New Roman"/>
          <w:sz w:val="24"/>
          <w:szCs w:val="24"/>
        </w:rPr>
        <w:t>Figure 8</w:t>
      </w:r>
      <w:r w:rsidR="00B63F25" w:rsidRPr="007C5A6E">
        <w:rPr>
          <w:rFonts w:ascii="Times New Roman" w:eastAsiaTheme="minorHAnsi" w:hAnsi="Times New Roman"/>
          <w:sz w:val="24"/>
          <w:szCs w:val="24"/>
        </w:rPr>
        <w:t>7</w:t>
      </w:r>
      <w:r w:rsidRPr="007C5A6E">
        <w:rPr>
          <w:rFonts w:ascii="Times New Roman" w:eastAsiaTheme="minorHAnsi" w:hAnsi="Times New Roman"/>
          <w:sz w:val="24"/>
          <w:szCs w:val="24"/>
        </w:rPr>
        <w:t xml:space="preserve">). Pour la même période, une assez forte croissance est tout de même visible pour les villes comme Koudougou, Ouahigouya, Kaya et Houndé. </w:t>
      </w:r>
    </w:p>
    <w:p w14:paraId="64719B47" w14:textId="77777777" w:rsidR="00B63F25" w:rsidRPr="007C5A6E" w:rsidRDefault="00B63F25" w:rsidP="00B63F25">
      <w:pPr>
        <w:spacing w:after="0" w:line="240" w:lineRule="auto"/>
        <w:jc w:val="both"/>
        <w:rPr>
          <w:rFonts w:ascii="Times New Roman" w:eastAsiaTheme="minorHAnsi" w:hAnsi="Times New Roman"/>
          <w:sz w:val="24"/>
          <w:szCs w:val="24"/>
        </w:rPr>
      </w:pPr>
    </w:p>
    <w:p w14:paraId="4F53A017" w14:textId="77777777" w:rsidR="00606C71" w:rsidRPr="007C5A6E" w:rsidRDefault="00606C71" w:rsidP="00540B43">
      <w:pPr>
        <w:spacing w:after="0" w:line="240" w:lineRule="auto"/>
        <w:rPr>
          <w:rFonts w:ascii="Times New Roman" w:eastAsiaTheme="minorHAnsi" w:hAnsi="Times New Roman"/>
          <w:color w:val="002060"/>
          <w:sz w:val="24"/>
          <w:szCs w:val="24"/>
        </w:rPr>
      </w:pPr>
      <w:r w:rsidRPr="007C5A6E">
        <w:rPr>
          <w:rFonts w:asciiTheme="minorHAnsi" w:eastAsiaTheme="minorHAnsi" w:hAnsiTheme="minorHAnsi" w:cstheme="minorBidi"/>
          <w:noProof/>
          <w:kern w:val="2"/>
        </w:rPr>
        <w:drawing>
          <wp:inline distT="0" distB="0" distL="0" distR="0" wp14:anchorId="2FD2026A" wp14:editId="26B36C88">
            <wp:extent cx="5739765" cy="2763596"/>
            <wp:effectExtent l="0" t="0" r="13335" b="17780"/>
            <wp:docPr id="410684830" name="Graphique 1">
              <a:extLst xmlns:a="http://schemas.openxmlformats.org/drawingml/2006/main">
                <a:ext uri="{FF2B5EF4-FFF2-40B4-BE49-F238E27FC236}">
                  <a16:creationId xmlns:a16="http://schemas.microsoft.com/office/drawing/2014/main" id="{EFB9C8E4-DFF4-DAD2-3E38-90ED9AF7AF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14:paraId="4F02F622" w14:textId="46695408" w:rsidR="00D93EC5" w:rsidRPr="007C5A6E" w:rsidRDefault="00D93EC5" w:rsidP="00540B43">
      <w:pPr>
        <w:autoSpaceDE w:val="0"/>
        <w:autoSpaceDN w:val="0"/>
        <w:adjustRightInd w:val="0"/>
        <w:spacing w:after="0" w:line="240" w:lineRule="auto"/>
        <w:rPr>
          <w:rFonts w:ascii="Times New Roman" w:hAnsi="Times New Roman"/>
          <w:sz w:val="20"/>
          <w:szCs w:val="20"/>
        </w:rPr>
      </w:pPr>
      <w:r w:rsidRPr="007C5A6E">
        <w:rPr>
          <w:rFonts w:ascii="Times New Roman" w:hAnsi="Times New Roman"/>
          <w:sz w:val="20"/>
          <w:szCs w:val="20"/>
        </w:rPr>
        <w:t>(Source : RGPH 1975, 1985, 1996, 2006, 2019)</w:t>
      </w:r>
    </w:p>
    <w:p w14:paraId="3FA9518A" w14:textId="0306810A" w:rsidR="00D93EC5" w:rsidRPr="007C5A6E" w:rsidRDefault="00D93EC5" w:rsidP="00B63F25">
      <w:pPr>
        <w:spacing w:after="0" w:line="240" w:lineRule="auto"/>
        <w:jc w:val="both"/>
        <w:rPr>
          <w:rFonts w:ascii="Times New Roman" w:eastAsiaTheme="minorHAnsi" w:hAnsi="Times New Roman"/>
          <w:i/>
          <w:iCs/>
          <w:kern w:val="2"/>
          <w:sz w:val="24"/>
          <w:szCs w:val="24"/>
          <w:lang w:eastAsia="en-US"/>
          <w14:ligatures w14:val="standardContextual"/>
        </w:rPr>
      </w:pPr>
      <w:bookmarkStart w:id="1435" w:name="_Toc183230935"/>
      <w:bookmarkStart w:id="1436" w:name="_Toc183240727"/>
      <w:bookmarkStart w:id="1437" w:name="_Toc183340466"/>
      <w:r w:rsidRPr="007C5A6E">
        <w:rPr>
          <w:rFonts w:ascii="Times New Roman" w:eastAsiaTheme="minorHAnsi" w:hAnsi="Times New Roman"/>
          <w:i/>
          <w:iCs/>
          <w:kern w:val="2"/>
          <w:sz w:val="24"/>
          <w:szCs w:val="24"/>
          <w:lang w:eastAsia="en-US"/>
          <w14:ligatures w14:val="standardContextual"/>
        </w:rPr>
        <w:t xml:space="preserve">Figure </w:t>
      </w:r>
      <w:r w:rsidRPr="007C5A6E">
        <w:rPr>
          <w:rFonts w:ascii="Times New Roman" w:eastAsiaTheme="minorHAnsi" w:hAnsi="Times New Roman"/>
          <w:i/>
          <w:iCs/>
          <w:kern w:val="2"/>
          <w:sz w:val="24"/>
          <w:szCs w:val="24"/>
          <w:lang w:eastAsia="en-US"/>
          <w14:ligatures w14:val="standardContextual"/>
        </w:rPr>
        <w:fldChar w:fldCharType="begin"/>
      </w:r>
      <w:r w:rsidRPr="007C5A6E">
        <w:rPr>
          <w:rFonts w:ascii="Times New Roman" w:eastAsiaTheme="minorHAnsi" w:hAnsi="Times New Roman"/>
          <w:i/>
          <w:iCs/>
          <w:kern w:val="2"/>
          <w:sz w:val="24"/>
          <w:szCs w:val="24"/>
          <w:lang w:eastAsia="en-US"/>
          <w14:ligatures w14:val="standardContextual"/>
        </w:rPr>
        <w:instrText xml:space="preserve"> SEQ Figure \* ARABIC </w:instrText>
      </w:r>
      <w:r w:rsidRPr="007C5A6E">
        <w:rPr>
          <w:rFonts w:ascii="Times New Roman" w:eastAsiaTheme="minorHAnsi" w:hAnsi="Times New Roman"/>
          <w:i/>
          <w:iCs/>
          <w:kern w:val="2"/>
          <w:sz w:val="24"/>
          <w:szCs w:val="24"/>
          <w:lang w:eastAsia="en-US"/>
          <w14:ligatures w14:val="standardContextual"/>
        </w:rPr>
        <w:fldChar w:fldCharType="separate"/>
      </w:r>
      <w:r w:rsidR="00B63F25" w:rsidRPr="007C5A6E">
        <w:rPr>
          <w:rFonts w:ascii="Times New Roman" w:eastAsiaTheme="minorHAnsi" w:hAnsi="Times New Roman"/>
          <w:i/>
          <w:iCs/>
          <w:noProof/>
          <w:kern w:val="2"/>
          <w:sz w:val="24"/>
          <w:szCs w:val="24"/>
          <w:lang w:eastAsia="en-US"/>
          <w14:ligatures w14:val="standardContextual"/>
        </w:rPr>
        <w:t>87</w:t>
      </w:r>
      <w:r w:rsidRPr="007C5A6E">
        <w:rPr>
          <w:rFonts w:ascii="Times New Roman" w:eastAsiaTheme="minorHAnsi" w:hAnsi="Times New Roman"/>
          <w:i/>
          <w:iCs/>
          <w:kern w:val="2"/>
          <w:sz w:val="24"/>
          <w:szCs w:val="24"/>
          <w:lang w:eastAsia="en-US"/>
          <w14:ligatures w14:val="standardContextual"/>
        </w:rPr>
        <w:fldChar w:fldCharType="end"/>
      </w:r>
      <w:r w:rsidRPr="007C5A6E">
        <w:rPr>
          <w:rFonts w:ascii="Times New Roman" w:eastAsiaTheme="minorHAnsi" w:hAnsi="Times New Roman"/>
          <w:i/>
          <w:iCs/>
          <w:kern w:val="2"/>
          <w:sz w:val="24"/>
          <w:szCs w:val="24"/>
          <w:lang w:eastAsia="en-US"/>
          <w14:ligatures w14:val="standardContextual"/>
        </w:rPr>
        <w:t>. Évolution de la population par ville de 1975 à 2019</w:t>
      </w:r>
      <w:bookmarkEnd w:id="1435"/>
      <w:bookmarkEnd w:id="1436"/>
      <w:bookmarkEnd w:id="1437"/>
    </w:p>
    <w:p w14:paraId="167F55F2" w14:textId="77777777" w:rsidR="00B63F25" w:rsidRPr="007C5A6E" w:rsidRDefault="00B63F25" w:rsidP="00B63F25">
      <w:pPr>
        <w:spacing w:after="0" w:line="240" w:lineRule="auto"/>
        <w:jc w:val="both"/>
        <w:rPr>
          <w:rFonts w:ascii="Times New Roman" w:eastAsiaTheme="minorHAnsi" w:hAnsi="Times New Roman"/>
          <w:sz w:val="24"/>
          <w:szCs w:val="24"/>
        </w:rPr>
      </w:pPr>
    </w:p>
    <w:p w14:paraId="0F00E698" w14:textId="0F56F846" w:rsidR="00606C71" w:rsidRPr="007C5A6E" w:rsidRDefault="00606C71" w:rsidP="00B63F25">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Ouagadougou compte à ce jour environ 3 millions d’habitants et affiche un taux de croissance démographique de 7% l’an. On estime sa population à environ 4 millions d’habitants d’ici 2025. Cet accroissement vertigineux de la population rend le travail de planification urbaine difficile, voire impossible, et renvoie dès lors à une logique de (re)structuration/(ré)organisation. </w:t>
      </w:r>
    </w:p>
    <w:p w14:paraId="309B2086" w14:textId="59162679" w:rsidR="00606C71" w:rsidRPr="007C5A6E" w:rsidRDefault="00606C71" w:rsidP="00B63F25">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Avec la croissance de la population urbaine, comme le montre le tableau </w:t>
      </w:r>
      <w:r w:rsidR="003E48C8" w:rsidRPr="007C5A6E">
        <w:rPr>
          <w:rFonts w:ascii="Times New Roman" w:eastAsiaTheme="minorHAnsi" w:hAnsi="Times New Roman"/>
          <w:sz w:val="24"/>
          <w:szCs w:val="24"/>
        </w:rPr>
        <w:t>6</w:t>
      </w:r>
      <w:r w:rsidRPr="007C5A6E">
        <w:rPr>
          <w:rFonts w:ascii="Times New Roman" w:eastAsiaTheme="minorHAnsi" w:hAnsi="Times New Roman"/>
          <w:sz w:val="24"/>
          <w:szCs w:val="24"/>
        </w:rPr>
        <w:t>3 ci-dessous, le nombre de villes a également augmenté au fil des années.</w:t>
      </w:r>
    </w:p>
    <w:p w14:paraId="673F53DC" w14:textId="48CBD7AA" w:rsidR="00606C71" w:rsidRPr="007C5A6E" w:rsidRDefault="00606C71" w:rsidP="00540B43">
      <w:pPr>
        <w:spacing w:after="0" w:line="240" w:lineRule="auto"/>
        <w:rPr>
          <w:rFonts w:ascii="Times New Roman" w:eastAsiaTheme="minorHAnsi" w:hAnsi="Times New Roman"/>
          <w:sz w:val="24"/>
          <w:szCs w:val="24"/>
        </w:rPr>
      </w:pPr>
      <w:bookmarkStart w:id="1438" w:name="_Toc177649642"/>
      <w:bookmarkStart w:id="1439" w:name="_Toc179043337"/>
      <w:bookmarkStart w:id="1440" w:name="_Toc183241025"/>
      <w:bookmarkStart w:id="1441" w:name="_Toc183292267"/>
      <w:bookmarkStart w:id="1442" w:name="_Toc183340547"/>
      <w:r w:rsidRPr="007C5A6E">
        <w:rPr>
          <w:rFonts w:ascii="Times New Roman" w:eastAsiaTheme="minorHAnsi" w:hAnsi="Times New Roman"/>
          <w:kern w:val="2"/>
          <w:sz w:val="24"/>
          <w:szCs w:val="24"/>
          <w:lang w:eastAsia="en-US"/>
          <w14:ligatures w14:val="standardContextual"/>
        </w:rPr>
        <w:t>Tableau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SEQ Tableau \* ARABIC </w:instrText>
      </w:r>
      <w:r w:rsidRPr="007C5A6E">
        <w:rPr>
          <w:rFonts w:ascii="Times New Roman" w:eastAsiaTheme="minorHAnsi" w:hAnsi="Times New Roman"/>
          <w:kern w:val="2"/>
          <w:sz w:val="24"/>
          <w:szCs w:val="24"/>
          <w:lang w:eastAsia="en-US"/>
          <w14:ligatures w14:val="standardContextual"/>
        </w:rPr>
        <w:fldChar w:fldCharType="separate"/>
      </w:r>
      <w:r w:rsidR="00B63F25" w:rsidRPr="007C5A6E">
        <w:rPr>
          <w:rFonts w:ascii="Times New Roman" w:eastAsiaTheme="minorHAnsi" w:hAnsi="Times New Roman"/>
          <w:noProof/>
          <w:kern w:val="2"/>
          <w:sz w:val="24"/>
          <w:szCs w:val="24"/>
          <w:lang w:eastAsia="en-US"/>
          <w14:ligatures w14:val="standardContextual"/>
        </w:rPr>
        <w:t>63</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w:t>
      </w:r>
      <w:r w:rsidRPr="007C5A6E">
        <w:rPr>
          <w:rFonts w:ascii="Times New Roman" w:eastAsiaTheme="minorHAnsi" w:hAnsi="Times New Roman"/>
          <w:sz w:val="24"/>
          <w:szCs w:val="24"/>
        </w:rPr>
        <w:t xml:space="preserve"> Évolution de la population et urbanisation</w:t>
      </w:r>
      <w:bookmarkEnd w:id="1438"/>
      <w:bookmarkEnd w:id="1439"/>
      <w:bookmarkEnd w:id="1440"/>
      <w:bookmarkEnd w:id="1441"/>
      <w:bookmarkEnd w:id="1442"/>
    </w:p>
    <w:p w14:paraId="681EB7EA" w14:textId="77777777" w:rsidR="00BA0E03" w:rsidRPr="007C5A6E" w:rsidRDefault="00BA0E03" w:rsidP="00540B43">
      <w:pPr>
        <w:spacing w:after="0" w:line="240" w:lineRule="auto"/>
        <w:rPr>
          <w:rFonts w:ascii="Times New Roman" w:eastAsiaTheme="minorHAnsi"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724"/>
        <w:gridCol w:w="1076"/>
        <w:gridCol w:w="1075"/>
        <w:gridCol w:w="1075"/>
        <w:gridCol w:w="1075"/>
        <w:gridCol w:w="1075"/>
        <w:gridCol w:w="1075"/>
      </w:tblGrid>
      <w:tr w:rsidR="00606C71" w:rsidRPr="007C5A6E" w14:paraId="29FBADF8" w14:textId="77777777" w:rsidTr="0070034C">
        <w:trPr>
          <w:trHeight w:val="20"/>
        </w:trPr>
        <w:tc>
          <w:tcPr>
            <w:tcW w:w="1484" w:type="pct"/>
            <w:shd w:val="clear" w:color="auto" w:fill="auto"/>
            <w:noWrap/>
            <w:vAlign w:val="bottom"/>
          </w:tcPr>
          <w:p w14:paraId="0381178F" w14:textId="77777777" w:rsidR="00606C71" w:rsidRPr="007C5A6E" w:rsidRDefault="00606C71" w:rsidP="00540B43">
            <w:pPr>
              <w:spacing w:after="0" w:line="240" w:lineRule="auto"/>
              <w:rPr>
                <w:rFonts w:ascii="Times New Roman" w:hAnsi="Times New Roman"/>
                <w:b/>
                <w:bCs/>
                <w:color w:val="000000"/>
                <w:sz w:val="20"/>
                <w:szCs w:val="20"/>
              </w:rPr>
            </w:pPr>
            <w:r w:rsidRPr="007C5A6E">
              <w:rPr>
                <w:rFonts w:ascii="Times New Roman" w:hAnsi="Times New Roman"/>
                <w:b/>
                <w:bCs/>
                <w:color w:val="000000"/>
                <w:sz w:val="20"/>
                <w:szCs w:val="20"/>
              </w:rPr>
              <w:t>Année du recensement</w:t>
            </w:r>
          </w:p>
        </w:tc>
        <w:tc>
          <w:tcPr>
            <w:tcW w:w="586" w:type="pct"/>
            <w:vMerge w:val="restart"/>
            <w:shd w:val="clear" w:color="auto" w:fill="auto"/>
            <w:noWrap/>
            <w:vAlign w:val="center"/>
          </w:tcPr>
          <w:p w14:paraId="0A718D5D" w14:textId="77777777" w:rsidR="00606C71" w:rsidRPr="007C5A6E" w:rsidRDefault="00606C71" w:rsidP="00540B43">
            <w:pPr>
              <w:spacing w:after="0" w:line="240" w:lineRule="auto"/>
              <w:jc w:val="center"/>
              <w:rPr>
                <w:rFonts w:ascii="Times New Roman" w:hAnsi="Times New Roman"/>
                <w:b/>
                <w:bCs/>
                <w:color w:val="000000"/>
                <w:sz w:val="20"/>
                <w:szCs w:val="20"/>
              </w:rPr>
            </w:pPr>
            <w:r w:rsidRPr="007C5A6E">
              <w:rPr>
                <w:rFonts w:ascii="Times New Roman" w:hAnsi="Times New Roman"/>
                <w:b/>
                <w:bCs/>
                <w:color w:val="000000"/>
                <w:sz w:val="20"/>
                <w:szCs w:val="20"/>
              </w:rPr>
              <w:t>1960 (enquête)</w:t>
            </w:r>
          </w:p>
          <w:p w14:paraId="4148D60B" w14:textId="77777777" w:rsidR="00606C71" w:rsidRPr="007C5A6E" w:rsidRDefault="00606C71" w:rsidP="00540B43">
            <w:pPr>
              <w:spacing w:after="0" w:line="240" w:lineRule="auto"/>
              <w:jc w:val="center"/>
              <w:rPr>
                <w:rFonts w:ascii="Times New Roman" w:hAnsi="Times New Roman"/>
                <w:b/>
                <w:bCs/>
                <w:color w:val="000000"/>
                <w:sz w:val="20"/>
                <w:szCs w:val="20"/>
              </w:rPr>
            </w:pPr>
          </w:p>
        </w:tc>
        <w:tc>
          <w:tcPr>
            <w:tcW w:w="586" w:type="pct"/>
            <w:vMerge w:val="restart"/>
            <w:shd w:val="clear" w:color="auto" w:fill="auto"/>
            <w:noWrap/>
            <w:vAlign w:val="center"/>
          </w:tcPr>
          <w:p w14:paraId="224832BF" w14:textId="77777777" w:rsidR="00606C71" w:rsidRPr="007C5A6E" w:rsidRDefault="00606C71" w:rsidP="00540B43">
            <w:pPr>
              <w:spacing w:after="0" w:line="240" w:lineRule="auto"/>
              <w:jc w:val="center"/>
              <w:rPr>
                <w:rFonts w:ascii="Times New Roman" w:hAnsi="Times New Roman"/>
                <w:b/>
                <w:bCs/>
                <w:color w:val="000000"/>
                <w:sz w:val="20"/>
                <w:szCs w:val="20"/>
              </w:rPr>
            </w:pPr>
            <w:r w:rsidRPr="007C5A6E">
              <w:rPr>
                <w:rFonts w:ascii="Times New Roman" w:hAnsi="Times New Roman"/>
                <w:b/>
                <w:bCs/>
                <w:color w:val="000000"/>
                <w:sz w:val="20"/>
                <w:szCs w:val="20"/>
              </w:rPr>
              <w:t>1975</w:t>
            </w:r>
          </w:p>
        </w:tc>
        <w:tc>
          <w:tcPr>
            <w:tcW w:w="586" w:type="pct"/>
            <w:vMerge w:val="restart"/>
            <w:shd w:val="clear" w:color="auto" w:fill="auto"/>
            <w:noWrap/>
            <w:vAlign w:val="center"/>
          </w:tcPr>
          <w:p w14:paraId="46CF9F8E" w14:textId="77777777" w:rsidR="00606C71" w:rsidRPr="007C5A6E" w:rsidRDefault="00606C71" w:rsidP="00540B43">
            <w:pPr>
              <w:spacing w:after="0" w:line="240" w:lineRule="auto"/>
              <w:jc w:val="center"/>
              <w:rPr>
                <w:rFonts w:ascii="Times New Roman" w:hAnsi="Times New Roman"/>
                <w:b/>
                <w:bCs/>
                <w:color w:val="000000"/>
                <w:sz w:val="20"/>
                <w:szCs w:val="20"/>
              </w:rPr>
            </w:pPr>
            <w:r w:rsidRPr="007C5A6E">
              <w:rPr>
                <w:rFonts w:ascii="Times New Roman" w:hAnsi="Times New Roman"/>
                <w:b/>
                <w:bCs/>
                <w:color w:val="000000"/>
                <w:sz w:val="20"/>
                <w:szCs w:val="20"/>
              </w:rPr>
              <w:t>1985</w:t>
            </w:r>
          </w:p>
        </w:tc>
        <w:tc>
          <w:tcPr>
            <w:tcW w:w="586" w:type="pct"/>
            <w:vMerge w:val="restart"/>
            <w:shd w:val="clear" w:color="auto" w:fill="auto"/>
            <w:noWrap/>
            <w:vAlign w:val="center"/>
          </w:tcPr>
          <w:p w14:paraId="2628E015" w14:textId="77777777" w:rsidR="00606C71" w:rsidRPr="007C5A6E" w:rsidRDefault="00606C71" w:rsidP="00540B43">
            <w:pPr>
              <w:spacing w:after="0" w:line="240" w:lineRule="auto"/>
              <w:jc w:val="center"/>
              <w:rPr>
                <w:rFonts w:ascii="Times New Roman" w:hAnsi="Times New Roman"/>
                <w:b/>
                <w:bCs/>
                <w:color w:val="000000"/>
                <w:sz w:val="20"/>
                <w:szCs w:val="20"/>
              </w:rPr>
            </w:pPr>
            <w:r w:rsidRPr="007C5A6E">
              <w:rPr>
                <w:rFonts w:ascii="Times New Roman" w:hAnsi="Times New Roman"/>
                <w:b/>
                <w:bCs/>
                <w:color w:val="000000"/>
                <w:sz w:val="20"/>
                <w:szCs w:val="20"/>
              </w:rPr>
              <w:t>1996</w:t>
            </w:r>
          </w:p>
        </w:tc>
        <w:tc>
          <w:tcPr>
            <w:tcW w:w="586" w:type="pct"/>
            <w:vMerge w:val="restart"/>
            <w:shd w:val="clear" w:color="auto" w:fill="auto"/>
            <w:noWrap/>
            <w:vAlign w:val="center"/>
          </w:tcPr>
          <w:p w14:paraId="092942C6" w14:textId="77777777" w:rsidR="00606C71" w:rsidRPr="007C5A6E" w:rsidRDefault="00606C71" w:rsidP="00540B43">
            <w:pPr>
              <w:spacing w:after="0" w:line="240" w:lineRule="auto"/>
              <w:jc w:val="center"/>
              <w:rPr>
                <w:rFonts w:ascii="Times New Roman" w:hAnsi="Times New Roman"/>
                <w:b/>
                <w:bCs/>
                <w:color w:val="000000"/>
                <w:sz w:val="20"/>
                <w:szCs w:val="20"/>
              </w:rPr>
            </w:pPr>
            <w:r w:rsidRPr="007C5A6E">
              <w:rPr>
                <w:rFonts w:ascii="Times New Roman" w:hAnsi="Times New Roman"/>
                <w:b/>
                <w:bCs/>
                <w:color w:val="000000"/>
                <w:sz w:val="20"/>
                <w:szCs w:val="20"/>
              </w:rPr>
              <w:t>2006</w:t>
            </w:r>
          </w:p>
        </w:tc>
        <w:tc>
          <w:tcPr>
            <w:tcW w:w="586" w:type="pct"/>
            <w:vMerge w:val="restart"/>
            <w:vAlign w:val="center"/>
          </w:tcPr>
          <w:p w14:paraId="0EF361CD" w14:textId="77777777" w:rsidR="00606C71" w:rsidRPr="007C5A6E" w:rsidRDefault="00606C71" w:rsidP="00540B43">
            <w:pPr>
              <w:spacing w:after="0" w:line="240" w:lineRule="auto"/>
              <w:jc w:val="center"/>
              <w:rPr>
                <w:rFonts w:ascii="Times New Roman" w:hAnsi="Times New Roman"/>
                <w:b/>
                <w:bCs/>
                <w:color w:val="000000"/>
                <w:sz w:val="20"/>
                <w:szCs w:val="20"/>
              </w:rPr>
            </w:pPr>
            <w:r w:rsidRPr="007C5A6E">
              <w:rPr>
                <w:rFonts w:ascii="Times New Roman" w:hAnsi="Times New Roman"/>
                <w:b/>
                <w:bCs/>
                <w:color w:val="000000"/>
                <w:sz w:val="20"/>
                <w:szCs w:val="20"/>
              </w:rPr>
              <w:t>2019</w:t>
            </w:r>
          </w:p>
        </w:tc>
      </w:tr>
      <w:tr w:rsidR="00606C71" w:rsidRPr="007C5A6E" w14:paraId="35A831B4" w14:textId="77777777" w:rsidTr="0070034C">
        <w:trPr>
          <w:trHeight w:val="20"/>
        </w:trPr>
        <w:tc>
          <w:tcPr>
            <w:tcW w:w="1484" w:type="pct"/>
            <w:shd w:val="clear" w:color="auto" w:fill="auto"/>
            <w:noWrap/>
            <w:vAlign w:val="center"/>
          </w:tcPr>
          <w:p w14:paraId="374DDB49" w14:textId="77777777" w:rsidR="00606C71" w:rsidRPr="007C5A6E" w:rsidRDefault="00606C71" w:rsidP="00540B43">
            <w:pPr>
              <w:spacing w:after="0" w:line="240" w:lineRule="auto"/>
              <w:rPr>
                <w:rFonts w:ascii="Times New Roman" w:hAnsi="Times New Roman"/>
                <w:color w:val="000000"/>
                <w:sz w:val="20"/>
                <w:szCs w:val="20"/>
              </w:rPr>
            </w:pPr>
          </w:p>
        </w:tc>
        <w:tc>
          <w:tcPr>
            <w:tcW w:w="586" w:type="pct"/>
            <w:vMerge/>
            <w:shd w:val="clear" w:color="auto" w:fill="auto"/>
            <w:noWrap/>
            <w:vAlign w:val="bottom"/>
          </w:tcPr>
          <w:p w14:paraId="40E25157" w14:textId="77777777" w:rsidR="00606C71" w:rsidRPr="007C5A6E" w:rsidRDefault="00606C71" w:rsidP="00540B43">
            <w:pPr>
              <w:spacing w:after="0" w:line="240" w:lineRule="auto"/>
              <w:rPr>
                <w:rFonts w:ascii="Times New Roman" w:hAnsi="Times New Roman"/>
                <w:color w:val="000000"/>
                <w:sz w:val="20"/>
                <w:szCs w:val="20"/>
              </w:rPr>
            </w:pPr>
          </w:p>
        </w:tc>
        <w:tc>
          <w:tcPr>
            <w:tcW w:w="586" w:type="pct"/>
            <w:vMerge/>
            <w:shd w:val="clear" w:color="auto" w:fill="auto"/>
            <w:noWrap/>
            <w:vAlign w:val="bottom"/>
          </w:tcPr>
          <w:p w14:paraId="45575DEE" w14:textId="77777777" w:rsidR="00606C71" w:rsidRPr="007C5A6E" w:rsidRDefault="00606C71" w:rsidP="00540B43">
            <w:pPr>
              <w:spacing w:after="0" w:line="240" w:lineRule="auto"/>
              <w:rPr>
                <w:rFonts w:ascii="Times New Roman" w:hAnsi="Times New Roman"/>
                <w:color w:val="000000"/>
                <w:sz w:val="20"/>
                <w:szCs w:val="20"/>
              </w:rPr>
            </w:pPr>
          </w:p>
        </w:tc>
        <w:tc>
          <w:tcPr>
            <w:tcW w:w="586" w:type="pct"/>
            <w:vMerge/>
            <w:shd w:val="clear" w:color="auto" w:fill="auto"/>
            <w:noWrap/>
            <w:vAlign w:val="bottom"/>
          </w:tcPr>
          <w:p w14:paraId="43BB5FCF" w14:textId="77777777" w:rsidR="00606C71" w:rsidRPr="007C5A6E" w:rsidRDefault="00606C71" w:rsidP="00540B43">
            <w:pPr>
              <w:spacing w:after="0" w:line="240" w:lineRule="auto"/>
              <w:rPr>
                <w:rFonts w:ascii="Times New Roman" w:hAnsi="Times New Roman"/>
                <w:color w:val="000000"/>
                <w:sz w:val="20"/>
                <w:szCs w:val="20"/>
              </w:rPr>
            </w:pPr>
          </w:p>
        </w:tc>
        <w:tc>
          <w:tcPr>
            <w:tcW w:w="586" w:type="pct"/>
            <w:vMerge/>
            <w:shd w:val="clear" w:color="auto" w:fill="auto"/>
            <w:noWrap/>
            <w:vAlign w:val="bottom"/>
          </w:tcPr>
          <w:p w14:paraId="065754B4" w14:textId="77777777" w:rsidR="00606C71" w:rsidRPr="007C5A6E" w:rsidRDefault="00606C71" w:rsidP="00540B43">
            <w:pPr>
              <w:spacing w:after="0" w:line="240" w:lineRule="auto"/>
              <w:rPr>
                <w:rFonts w:ascii="Times New Roman" w:hAnsi="Times New Roman"/>
                <w:color w:val="000000"/>
                <w:sz w:val="20"/>
                <w:szCs w:val="20"/>
              </w:rPr>
            </w:pPr>
          </w:p>
        </w:tc>
        <w:tc>
          <w:tcPr>
            <w:tcW w:w="586" w:type="pct"/>
            <w:vMerge/>
            <w:shd w:val="clear" w:color="auto" w:fill="auto"/>
            <w:noWrap/>
            <w:vAlign w:val="bottom"/>
          </w:tcPr>
          <w:p w14:paraId="5F594253" w14:textId="77777777" w:rsidR="00606C71" w:rsidRPr="007C5A6E" w:rsidRDefault="00606C71" w:rsidP="00540B43">
            <w:pPr>
              <w:spacing w:after="0" w:line="240" w:lineRule="auto"/>
              <w:rPr>
                <w:rFonts w:ascii="Times New Roman" w:hAnsi="Times New Roman"/>
                <w:color w:val="000000"/>
                <w:sz w:val="20"/>
                <w:szCs w:val="20"/>
              </w:rPr>
            </w:pPr>
          </w:p>
        </w:tc>
        <w:tc>
          <w:tcPr>
            <w:tcW w:w="586" w:type="pct"/>
            <w:vMerge/>
          </w:tcPr>
          <w:p w14:paraId="7E52482F" w14:textId="77777777" w:rsidR="00606C71" w:rsidRPr="007C5A6E" w:rsidRDefault="00606C71" w:rsidP="00540B43">
            <w:pPr>
              <w:spacing w:after="0" w:line="240" w:lineRule="auto"/>
              <w:rPr>
                <w:rFonts w:ascii="Times New Roman" w:hAnsi="Times New Roman"/>
                <w:b/>
                <w:bCs/>
                <w:color w:val="000000"/>
                <w:sz w:val="20"/>
                <w:szCs w:val="20"/>
              </w:rPr>
            </w:pPr>
          </w:p>
        </w:tc>
      </w:tr>
      <w:tr w:rsidR="00606C71" w:rsidRPr="007C5A6E" w14:paraId="1B466C2C" w14:textId="77777777" w:rsidTr="0070034C">
        <w:trPr>
          <w:trHeight w:val="20"/>
        </w:trPr>
        <w:tc>
          <w:tcPr>
            <w:tcW w:w="1484" w:type="pct"/>
            <w:shd w:val="clear" w:color="auto" w:fill="auto"/>
            <w:noWrap/>
            <w:vAlign w:val="center"/>
          </w:tcPr>
          <w:p w14:paraId="10879F55" w14:textId="77777777" w:rsidR="00606C71" w:rsidRPr="007C5A6E" w:rsidRDefault="00606C71" w:rsidP="00540B43">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1-Population totale</w:t>
            </w:r>
          </w:p>
        </w:tc>
        <w:tc>
          <w:tcPr>
            <w:tcW w:w="586" w:type="pct"/>
            <w:shd w:val="clear" w:color="auto" w:fill="auto"/>
            <w:noWrap/>
            <w:vAlign w:val="center"/>
          </w:tcPr>
          <w:p w14:paraId="3DF84AA8"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4 317 770</w:t>
            </w:r>
          </w:p>
        </w:tc>
        <w:tc>
          <w:tcPr>
            <w:tcW w:w="586" w:type="pct"/>
            <w:shd w:val="clear" w:color="auto" w:fill="auto"/>
            <w:noWrap/>
            <w:vAlign w:val="center"/>
          </w:tcPr>
          <w:p w14:paraId="7954F382"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5 489 202</w:t>
            </w:r>
          </w:p>
        </w:tc>
        <w:tc>
          <w:tcPr>
            <w:tcW w:w="586" w:type="pct"/>
            <w:shd w:val="clear" w:color="auto" w:fill="auto"/>
            <w:noWrap/>
            <w:vAlign w:val="center"/>
          </w:tcPr>
          <w:p w14:paraId="4B0EB252"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7 964 705</w:t>
            </w:r>
          </w:p>
        </w:tc>
        <w:tc>
          <w:tcPr>
            <w:tcW w:w="586" w:type="pct"/>
            <w:shd w:val="clear" w:color="auto" w:fill="auto"/>
            <w:noWrap/>
            <w:vAlign w:val="center"/>
          </w:tcPr>
          <w:p w14:paraId="0DDBC371"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10 3126 09</w:t>
            </w:r>
          </w:p>
        </w:tc>
        <w:tc>
          <w:tcPr>
            <w:tcW w:w="586" w:type="pct"/>
            <w:shd w:val="clear" w:color="auto" w:fill="auto"/>
            <w:noWrap/>
            <w:vAlign w:val="center"/>
          </w:tcPr>
          <w:p w14:paraId="42E57CC0"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14 017 262</w:t>
            </w:r>
          </w:p>
        </w:tc>
        <w:tc>
          <w:tcPr>
            <w:tcW w:w="586" w:type="pct"/>
            <w:vAlign w:val="center"/>
          </w:tcPr>
          <w:p w14:paraId="78EF9C27"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20 505 155</w:t>
            </w:r>
          </w:p>
        </w:tc>
      </w:tr>
      <w:tr w:rsidR="00606C71" w:rsidRPr="007C5A6E" w14:paraId="6EB1D849" w14:textId="77777777" w:rsidTr="0070034C">
        <w:trPr>
          <w:trHeight w:val="20"/>
        </w:trPr>
        <w:tc>
          <w:tcPr>
            <w:tcW w:w="1484" w:type="pct"/>
            <w:shd w:val="clear" w:color="auto" w:fill="auto"/>
            <w:noWrap/>
            <w:vAlign w:val="center"/>
          </w:tcPr>
          <w:p w14:paraId="77B08BF4" w14:textId="77777777" w:rsidR="00606C71" w:rsidRPr="007C5A6E" w:rsidRDefault="00606C71" w:rsidP="00540B43">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2-PopuIation urbaine totale</w:t>
            </w:r>
          </w:p>
        </w:tc>
        <w:tc>
          <w:tcPr>
            <w:tcW w:w="586" w:type="pct"/>
            <w:shd w:val="clear" w:color="auto" w:fill="auto"/>
            <w:noWrap/>
            <w:vAlign w:val="center"/>
          </w:tcPr>
          <w:p w14:paraId="4AF603C7"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21 168</w:t>
            </w:r>
          </w:p>
        </w:tc>
        <w:tc>
          <w:tcPr>
            <w:tcW w:w="586" w:type="pct"/>
            <w:shd w:val="clear" w:color="auto" w:fill="auto"/>
            <w:noWrap/>
            <w:vAlign w:val="center"/>
          </w:tcPr>
          <w:p w14:paraId="5AFBD81C"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362 610</w:t>
            </w:r>
          </w:p>
        </w:tc>
        <w:tc>
          <w:tcPr>
            <w:tcW w:w="586" w:type="pct"/>
            <w:shd w:val="clear" w:color="auto" w:fill="auto"/>
            <w:noWrap/>
            <w:vAlign w:val="center"/>
          </w:tcPr>
          <w:p w14:paraId="0A9E9CD1"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949 978</w:t>
            </w:r>
          </w:p>
        </w:tc>
        <w:tc>
          <w:tcPr>
            <w:tcW w:w="586" w:type="pct"/>
            <w:shd w:val="clear" w:color="auto" w:fill="auto"/>
            <w:noWrap/>
            <w:vAlign w:val="center"/>
          </w:tcPr>
          <w:p w14:paraId="01F2ADF5"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1 601 168</w:t>
            </w:r>
          </w:p>
        </w:tc>
        <w:tc>
          <w:tcPr>
            <w:tcW w:w="586" w:type="pct"/>
            <w:shd w:val="clear" w:color="auto" w:fill="auto"/>
            <w:noWrap/>
            <w:vAlign w:val="center"/>
          </w:tcPr>
          <w:p w14:paraId="5608540A"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3 181 967</w:t>
            </w:r>
          </w:p>
        </w:tc>
        <w:tc>
          <w:tcPr>
            <w:tcW w:w="586" w:type="pct"/>
          </w:tcPr>
          <w:p w14:paraId="188CDAC8" w14:textId="77777777" w:rsidR="00606C71" w:rsidRPr="007C5A6E" w:rsidRDefault="00606C71" w:rsidP="00540B43">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5 360 112</w:t>
            </w:r>
          </w:p>
        </w:tc>
      </w:tr>
      <w:tr w:rsidR="00606C71" w:rsidRPr="007C5A6E" w14:paraId="0AD823BB" w14:textId="77777777" w:rsidTr="0070034C">
        <w:trPr>
          <w:trHeight w:val="20"/>
        </w:trPr>
        <w:tc>
          <w:tcPr>
            <w:tcW w:w="1484" w:type="pct"/>
            <w:shd w:val="clear" w:color="auto" w:fill="auto"/>
            <w:noWrap/>
            <w:vAlign w:val="center"/>
          </w:tcPr>
          <w:p w14:paraId="37C35A1D" w14:textId="77777777" w:rsidR="00606C71" w:rsidRPr="007C5A6E" w:rsidRDefault="00606C71" w:rsidP="00540B43">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Nombre de localités</w:t>
            </w:r>
          </w:p>
        </w:tc>
        <w:tc>
          <w:tcPr>
            <w:tcW w:w="586" w:type="pct"/>
            <w:shd w:val="clear" w:color="auto" w:fill="auto"/>
            <w:noWrap/>
            <w:vAlign w:val="center"/>
          </w:tcPr>
          <w:p w14:paraId="5C64CC19"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5</w:t>
            </w:r>
          </w:p>
        </w:tc>
        <w:tc>
          <w:tcPr>
            <w:tcW w:w="586" w:type="pct"/>
            <w:shd w:val="clear" w:color="auto" w:fill="auto"/>
            <w:noWrap/>
            <w:vAlign w:val="center"/>
          </w:tcPr>
          <w:p w14:paraId="21F6B273"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5</w:t>
            </w:r>
          </w:p>
        </w:tc>
        <w:tc>
          <w:tcPr>
            <w:tcW w:w="586" w:type="pct"/>
            <w:shd w:val="clear" w:color="auto" w:fill="auto"/>
            <w:noWrap/>
            <w:vAlign w:val="center"/>
          </w:tcPr>
          <w:p w14:paraId="1028B7AD"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18</w:t>
            </w:r>
          </w:p>
        </w:tc>
        <w:tc>
          <w:tcPr>
            <w:tcW w:w="586" w:type="pct"/>
            <w:shd w:val="clear" w:color="auto" w:fill="auto"/>
            <w:noWrap/>
            <w:vAlign w:val="center"/>
          </w:tcPr>
          <w:p w14:paraId="051B2FC8"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26</w:t>
            </w:r>
          </w:p>
        </w:tc>
        <w:tc>
          <w:tcPr>
            <w:tcW w:w="586" w:type="pct"/>
            <w:shd w:val="clear" w:color="auto" w:fill="auto"/>
            <w:noWrap/>
            <w:vAlign w:val="center"/>
          </w:tcPr>
          <w:p w14:paraId="7F04CD84"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49</w:t>
            </w:r>
          </w:p>
        </w:tc>
        <w:tc>
          <w:tcPr>
            <w:tcW w:w="586" w:type="pct"/>
            <w:vAlign w:val="center"/>
          </w:tcPr>
          <w:p w14:paraId="764D3431"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49</w:t>
            </w:r>
          </w:p>
        </w:tc>
      </w:tr>
      <w:tr w:rsidR="00606C71" w:rsidRPr="007C5A6E" w14:paraId="237F2F7B" w14:textId="77777777" w:rsidTr="0070034C">
        <w:trPr>
          <w:trHeight w:val="20"/>
        </w:trPr>
        <w:tc>
          <w:tcPr>
            <w:tcW w:w="1484" w:type="pct"/>
            <w:shd w:val="clear" w:color="auto" w:fill="auto"/>
            <w:noWrap/>
            <w:vAlign w:val="center"/>
          </w:tcPr>
          <w:p w14:paraId="20DF6E04" w14:textId="77777777" w:rsidR="00606C71" w:rsidRPr="007C5A6E" w:rsidRDefault="00606C71" w:rsidP="00540B43">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xml:space="preserve">% population urbaine dans population totale </w:t>
            </w:r>
          </w:p>
        </w:tc>
        <w:tc>
          <w:tcPr>
            <w:tcW w:w="586" w:type="pct"/>
            <w:shd w:val="clear" w:color="auto" w:fill="auto"/>
            <w:noWrap/>
            <w:vAlign w:val="center"/>
          </w:tcPr>
          <w:p w14:paraId="368C41F5"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4,9</w:t>
            </w:r>
          </w:p>
        </w:tc>
        <w:tc>
          <w:tcPr>
            <w:tcW w:w="586" w:type="pct"/>
            <w:shd w:val="clear" w:color="auto" w:fill="auto"/>
            <w:noWrap/>
            <w:vAlign w:val="center"/>
          </w:tcPr>
          <w:p w14:paraId="3DCB17D1"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6,6</w:t>
            </w:r>
          </w:p>
        </w:tc>
        <w:tc>
          <w:tcPr>
            <w:tcW w:w="586" w:type="pct"/>
            <w:shd w:val="clear" w:color="auto" w:fill="auto"/>
            <w:noWrap/>
            <w:vAlign w:val="center"/>
          </w:tcPr>
          <w:p w14:paraId="335D6F2A"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11,9</w:t>
            </w:r>
          </w:p>
        </w:tc>
        <w:tc>
          <w:tcPr>
            <w:tcW w:w="586" w:type="pct"/>
            <w:shd w:val="clear" w:color="auto" w:fill="auto"/>
            <w:noWrap/>
            <w:vAlign w:val="center"/>
          </w:tcPr>
          <w:p w14:paraId="227E679D"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15,5</w:t>
            </w:r>
          </w:p>
        </w:tc>
        <w:tc>
          <w:tcPr>
            <w:tcW w:w="586" w:type="pct"/>
            <w:shd w:val="clear" w:color="auto" w:fill="auto"/>
            <w:noWrap/>
            <w:vAlign w:val="center"/>
          </w:tcPr>
          <w:p w14:paraId="6659C534"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22,7</w:t>
            </w:r>
          </w:p>
        </w:tc>
        <w:tc>
          <w:tcPr>
            <w:tcW w:w="586" w:type="pct"/>
            <w:vAlign w:val="center"/>
          </w:tcPr>
          <w:p w14:paraId="1CEF4D8F"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26,1</w:t>
            </w:r>
          </w:p>
        </w:tc>
      </w:tr>
      <w:tr w:rsidR="00606C71" w:rsidRPr="007C5A6E" w14:paraId="26C46F89" w14:textId="77777777" w:rsidTr="0070034C">
        <w:trPr>
          <w:trHeight w:val="20"/>
        </w:trPr>
        <w:tc>
          <w:tcPr>
            <w:tcW w:w="1484" w:type="pct"/>
            <w:shd w:val="clear" w:color="auto" w:fill="auto"/>
            <w:noWrap/>
            <w:vAlign w:val="center"/>
          </w:tcPr>
          <w:p w14:paraId="614D54ED" w14:textId="77777777" w:rsidR="00606C71" w:rsidRPr="007C5A6E" w:rsidRDefault="00606C71" w:rsidP="00540B43">
            <w:pPr>
              <w:spacing w:after="0" w:line="240" w:lineRule="auto"/>
              <w:rPr>
                <w:rFonts w:ascii="Times New Roman" w:hAnsi="Times New Roman"/>
                <w:color w:val="000000"/>
                <w:sz w:val="20"/>
                <w:szCs w:val="20"/>
              </w:rPr>
            </w:pPr>
            <w:r w:rsidRPr="007C5A6E">
              <w:rPr>
                <w:rFonts w:ascii="Times New Roman" w:hAnsi="Times New Roman"/>
                <w:color w:val="000000"/>
                <w:sz w:val="20"/>
                <w:szCs w:val="20"/>
              </w:rPr>
              <w:t xml:space="preserve">% de Ouagadougou dans la population urbaine </w:t>
            </w:r>
          </w:p>
        </w:tc>
        <w:tc>
          <w:tcPr>
            <w:tcW w:w="586" w:type="pct"/>
            <w:shd w:val="clear" w:color="auto" w:fill="auto"/>
            <w:noWrap/>
            <w:vAlign w:val="center"/>
          </w:tcPr>
          <w:p w14:paraId="6EC000BB"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27,9</w:t>
            </w:r>
          </w:p>
        </w:tc>
        <w:tc>
          <w:tcPr>
            <w:tcW w:w="586" w:type="pct"/>
            <w:shd w:val="clear" w:color="auto" w:fill="auto"/>
            <w:noWrap/>
            <w:vAlign w:val="center"/>
          </w:tcPr>
          <w:p w14:paraId="56E8F0B5"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47,6</w:t>
            </w:r>
          </w:p>
        </w:tc>
        <w:tc>
          <w:tcPr>
            <w:tcW w:w="586" w:type="pct"/>
            <w:shd w:val="clear" w:color="auto" w:fill="auto"/>
            <w:noWrap/>
            <w:vAlign w:val="center"/>
          </w:tcPr>
          <w:p w14:paraId="41672373"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46,5</w:t>
            </w:r>
          </w:p>
        </w:tc>
        <w:tc>
          <w:tcPr>
            <w:tcW w:w="586" w:type="pct"/>
            <w:shd w:val="clear" w:color="auto" w:fill="auto"/>
            <w:noWrap/>
            <w:vAlign w:val="center"/>
          </w:tcPr>
          <w:p w14:paraId="2CC7C87F"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44,3</w:t>
            </w:r>
          </w:p>
        </w:tc>
        <w:tc>
          <w:tcPr>
            <w:tcW w:w="586" w:type="pct"/>
            <w:shd w:val="clear" w:color="auto" w:fill="auto"/>
            <w:noWrap/>
            <w:vAlign w:val="center"/>
          </w:tcPr>
          <w:p w14:paraId="07638230"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46,4</w:t>
            </w:r>
          </w:p>
        </w:tc>
        <w:tc>
          <w:tcPr>
            <w:tcW w:w="586" w:type="pct"/>
            <w:vAlign w:val="center"/>
          </w:tcPr>
          <w:p w14:paraId="0F861AF2" w14:textId="77777777" w:rsidR="00606C71" w:rsidRPr="007C5A6E" w:rsidRDefault="00606C71" w:rsidP="00540B43">
            <w:pPr>
              <w:spacing w:after="0" w:line="240" w:lineRule="auto"/>
              <w:jc w:val="center"/>
              <w:rPr>
                <w:rFonts w:ascii="Times New Roman" w:hAnsi="Times New Roman"/>
                <w:color w:val="000000"/>
                <w:sz w:val="20"/>
                <w:szCs w:val="20"/>
              </w:rPr>
            </w:pPr>
            <w:r w:rsidRPr="007C5A6E">
              <w:rPr>
                <w:rFonts w:ascii="Times New Roman" w:hAnsi="Times New Roman"/>
                <w:color w:val="000000"/>
                <w:sz w:val="20"/>
                <w:szCs w:val="20"/>
              </w:rPr>
              <w:t>45,1</w:t>
            </w:r>
          </w:p>
        </w:tc>
      </w:tr>
    </w:tbl>
    <w:p w14:paraId="58F7A865" w14:textId="77777777" w:rsidR="00606C71" w:rsidRPr="007C5A6E" w:rsidRDefault="00606C71" w:rsidP="00540B43">
      <w:pPr>
        <w:spacing w:after="0" w:line="240" w:lineRule="auto"/>
        <w:rPr>
          <w:rFonts w:ascii="Times New Roman" w:eastAsiaTheme="minorHAnsi" w:hAnsi="Times New Roman"/>
          <w:color w:val="002060"/>
          <w:sz w:val="8"/>
          <w:szCs w:val="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959"/>
        <w:gridCol w:w="1044"/>
        <w:gridCol w:w="1044"/>
        <w:gridCol w:w="1044"/>
        <w:gridCol w:w="1044"/>
        <w:gridCol w:w="1040"/>
      </w:tblGrid>
      <w:tr w:rsidR="00606C71" w:rsidRPr="007C5A6E" w14:paraId="0D4CA97E" w14:textId="77777777" w:rsidTr="0070034C">
        <w:trPr>
          <w:trHeight w:val="20"/>
        </w:trPr>
        <w:tc>
          <w:tcPr>
            <w:tcW w:w="2157" w:type="pct"/>
            <w:shd w:val="clear" w:color="auto" w:fill="auto"/>
            <w:noWrap/>
            <w:vAlign w:val="bottom"/>
          </w:tcPr>
          <w:p w14:paraId="30040B6D" w14:textId="77777777" w:rsidR="00606C71" w:rsidRPr="007C5A6E" w:rsidRDefault="00606C71" w:rsidP="00540B43">
            <w:pPr>
              <w:spacing w:after="0" w:line="240" w:lineRule="auto"/>
              <w:rPr>
                <w:rFonts w:ascii="Times New Roman" w:hAnsi="Times New Roman"/>
                <w:b/>
                <w:bCs/>
                <w:color w:val="000000"/>
                <w:sz w:val="21"/>
                <w:szCs w:val="21"/>
              </w:rPr>
            </w:pPr>
            <w:r w:rsidRPr="007C5A6E">
              <w:rPr>
                <w:rFonts w:ascii="Times New Roman" w:hAnsi="Times New Roman"/>
                <w:b/>
                <w:bCs/>
                <w:color w:val="000000"/>
                <w:sz w:val="21"/>
                <w:szCs w:val="21"/>
              </w:rPr>
              <w:t>Périodes intercensitaires</w:t>
            </w:r>
          </w:p>
          <w:p w14:paraId="26371B2F" w14:textId="77777777" w:rsidR="00606C71" w:rsidRPr="007C5A6E" w:rsidRDefault="00606C71" w:rsidP="00540B43">
            <w:pPr>
              <w:spacing w:after="0" w:line="240" w:lineRule="auto"/>
              <w:rPr>
                <w:rFonts w:ascii="Times New Roman" w:hAnsi="Times New Roman"/>
                <w:b/>
                <w:bCs/>
                <w:color w:val="000000"/>
                <w:sz w:val="21"/>
                <w:szCs w:val="21"/>
              </w:rPr>
            </w:pPr>
            <w:r w:rsidRPr="007C5A6E">
              <w:rPr>
                <w:rFonts w:ascii="Times New Roman" w:hAnsi="Times New Roman"/>
                <w:color w:val="000000"/>
                <w:sz w:val="21"/>
                <w:szCs w:val="21"/>
              </w:rPr>
              <w:t>Taux de croissance (%) de</w:t>
            </w:r>
          </w:p>
        </w:tc>
        <w:tc>
          <w:tcPr>
            <w:tcW w:w="569" w:type="pct"/>
            <w:shd w:val="clear" w:color="auto" w:fill="auto"/>
            <w:noWrap/>
            <w:vAlign w:val="center"/>
          </w:tcPr>
          <w:p w14:paraId="2B1A9199" w14:textId="77777777" w:rsidR="00606C71" w:rsidRPr="007C5A6E" w:rsidRDefault="00606C71" w:rsidP="00540B43">
            <w:pPr>
              <w:spacing w:after="0" w:line="240" w:lineRule="auto"/>
              <w:jc w:val="center"/>
              <w:rPr>
                <w:rFonts w:ascii="Times New Roman" w:hAnsi="Times New Roman"/>
                <w:b/>
                <w:bCs/>
                <w:color w:val="000000"/>
                <w:sz w:val="21"/>
                <w:szCs w:val="21"/>
              </w:rPr>
            </w:pPr>
            <w:r w:rsidRPr="007C5A6E">
              <w:rPr>
                <w:rFonts w:ascii="Times New Roman" w:hAnsi="Times New Roman"/>
                <w:b/>
                <w:bCs/>
                <w:color w:val="000000"/>
                <w:sz w:val="21"/>
                <w:szCs w:val="21"/>
              </w:rPr>
              <w:t>1960-1975</w:t>
            </w:r>
          </w:p>
        </w:tc>
        <w:tc>
          <w:tcPr>
            <w:tcW w:w="569" w:type="pct"/>
            <w:shd w:val="clear" w:color="auto" w:fill="auto"/>
            <w:noWrap/>
            <w:vAlign w:val="center"/>
          </w:tcPr>
          <w:p w14:paraId="355064E9" w14:textId="77777777" w:rsidR="00606C71" w:rsidRPr="007C5A6E" w:rsidRDefault="00606C71" w:rsidP="00540B43">
            <w:pPr>
              <w:spacing w:after="0" w:line="240" w:lineRule="auto"/>
              <w:jc w:val="center"/>
              <w:rPr>
                <w:rFonts w:ascii="Times New Roman" w:hAnsi="Times New Roman"/>
                <w:b/>
                <w:bCs/>
                <w:color w:val="000000"/>
                <w:sz w:val="21"/>
                <w:szCs w:val="21"/>
              </w:rPr>
            </w:pPr>
            <w:r w:rsidRPr="007C5A6E">
              <w:rPr>
                <w:rFonts w:ascii="Times New Roman" w:hAnsi="Times New Roman"/>
                <w:b/>
                <w:bCs/>
                <w:color w:val="000000"/>
                <w:sz w:val="21"/>
                <w:szCs w:val="21"/>
              </w:rPr>
              <w:t>1975-1985</w:t>
            </w:r>
          </w:p>
        </w:tc>
        <w:tc>
          <w:tcPr>
            <w:tcW w:w="569" w:type="pct"/>
            <w:shd w:val="clear" w:color="auto" w:fill="auto"/>
            <w:noWrap/>
            <w:vAlign w:val="center"/>
          </w:tcPr>
          <w:p w14:paraId="683C1FAD" w14:textId="77777777" w:rsidR="00606C71" w:rsidRPr="007C5A6E" w:rsidRDefault="00606C71" w:rsidP="00540B43">
            <w:pPr>
              <w:spacing w:after="0" w:line="240" w:lineRule="auto"/>
              <w:jc w:val="center"/>
              <w:rPr>
                <w:rFonts w:ascii="Times New Roman" w:hAnsi="Times New Roman"/>
                <w:b/>
                <w:bCs/>
                <w:color w:val="000000"/>
                <w:sz w:val="21"/>
                <w:szCs w:val="21"/>
              </w:rPr>
            </w:pPr>
            <w:r w:rsidRPr="007C5A6E">
              <w:rPr>
                <w:rFonts w:ascii="Times New Roman" w:hAnsi="Times New Roman"/>
                <w:b/>
                <w:bCs/>
                <w:color w:val="000000"/>
                <w:sz w:val="21"/>
                <w:szCs w:val="21"/>
              </w:rPr>
              <w:t>1985-1996</w:t>
            </w:r>
          </w:p>
        </w:tc>
        <w:tc>
          <w:tcPr>
            <w:tcW w:w="569" w:type="pct"/>
            <w:shd w:val="clear" w:color="auto" w:fill="auto"/>
            <w:noWrap/>
            <w:vAlign w:val="center"/>
          </w:tcPr>
          <w:p w14:paraId="6598124D" w14:textId="77777777" w:rsidR="00606C71" w:rsidRPr="007C5A6E" w:rsidRDefault="00606C71" w:rsidP="00540B43">
            <w:pPr>
              <w:spacing w:after="0" w:line="240" w:lineRule="auto"/>
              <w:jc w:val="center"/>
              <w:rPr>
                <w:rFonts w:ascii="Times New Roman" w:hAnsi="Times New Roman"/>
                <w:b/>
                <w:bCs/>
                <w:color w:val="000000"/>
                <w:sz w:val="21"/>
                <w:szCs w:val="21"/>
              </w:rPr>
            </w:pPr>
            <w:r w:rsidRPr="007C5A6E">
              <w:rPr>
                <w:rFonts w:ascii="Times New Roman" w:hAnsi="Times New Roman"/>
                <w:b/>
                <w:bCs/>
                <w:color w:val="000000"/>
                <w:sz w:val="21"/>
                <w:szCs w:val="21"/>
              </w:rPr>
              <w:t>1996-2006</w:t>
            </w:r>
          </w:p>
        </w:tc>
        <w:tc>
          <w:tcPr>
            <w:tcW w:w="567" w:type="pct"/>
            <w:vAlign w:val="center"/>
          </w:tcPr>
          <w:p w14:paraId="160307BD" w14:textId="77777777" w:rsidR="00606C71" w:rsidRPr="007C5A6E" w:rsidRDefault="00606C71" w:rsidP="00540B43">
            <w:pPr>
              <w:spacing w:after="0" w:line="240" w:lineRule="auto"/>
              <w:jc w:val="center"/>
              <w:rPr>
                <w:rFonts w:ascii="Times New Roman" w:hAnsi="Times New Roman"/>
                <w:b/>
                <w:bCs/>
                <w:color w:val="000000"/>
                <w:sz w:val="21"/>
                <w:szCs w:val="21"/>
              </w:rPr>
            </w:pPr>
            <w:r w:rsidRPr="007C5A6E">
              <w:rPr>
                <w:rFonts w:ascii="Times New Roman" w:hAnsi="Times New Roman"/>
                <w:b/>
                <w:bCs/>
                <w:sz w:val="21"/>
                <w:szCs w:val="21"/>
              </w:rPr>
              <w:t>2006-2019</w:t>
            </w:r>
          </w:p>
        </w:tc>
      </w:tr>
      <w:tr w:rsidR="00606C71" w:rsidRPr="007C5A6E" w14:paraId="09686A4A" w14:textId="77777777" w:rsidTr="0070034C">
        <w:trPr>
          <w:trHeight w:val="20"/>
        </w:trPr>
        <w:tc>
          <w:tcPr>
            <w:tcW w:w="2157" w:type="pct"/>
            <w:shd w:val="clear" w:color="auto" w:fill="auto"/>
            <w:noWrap/>
            <w:vAlign w:val="bottom"/>
          </w:tcPr>
          <w:p w14:paraId="510EF35B" w14:textId="77777777" w:rsidR="00606C71" w:rsidRPr="007C5A6E" w:rsidRDefault="00606C71" w:rsidP="00540B43">
            <w:pPr>
              <w:numPr>
                <w:ilvl w:val="0"/>
                <w:numId w:val="51"/>
              </w:numPr>
              <w:spacing w:after="0" w:line="240" w:lineRule="auto"/>
              <w:contextualSpacing/>
              <w:rPr>
                <w:rFonts w:ascii="Times New Roman" w:hAnsi="Times New Roman"/>
                <w:color w:val="000000"/>
                <w:sz w:val="21"/>
                <w:szCs w:val="21"/>
              </w:rPr>
            </w:pPr>
            <w:proofErr w:type="gramStart"/>
            <w:r w:rsidRPr="007C5A6E">
              <w:rPr>
                <w:rFonts w:ascii="Times New Roman" w:hAnsi="Times New Roman"/>
                <w:color w:val="000000"/>
                <w:sz w:val="21"/>
                <w:szCs w:val="21"/>
              </w:rPr>
              <w:t>la</w:t>
            </w:r>
            <w:proofErr w:type="gramEnd"/>
            <w:r w:rsidRPr="007C5A6E">
              <w:rPr>
                <w:rFonts w:ascii="Times New Roman" w:hAnsi="Times New Roman"/>
                <w:color w:val="000000"/>
                <w:sz w:val="21"/>
                <w:szCs w:val="21"/>
              </w:rPr>
              <w:t xml:space="preserve"> population totale</w:t>
            </w:r>
          </w:p>
        </w:tc>
        <w:tc>
          <w:tcPr>
            <w:tcW w:w="569" w:type="pct"/>
            <w:shd w:val="clear" w:color="auto" w:fill="auto"/>
            <w:noWrap/>
            <w:vAlign w:val="center"/>
          </w:tcPr>
          <w:p w14:paraId="459AC6D2"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1,6</w:t>
            </w:r>
          </w:p>
        </w:tc>
        <w:tc>
          <w:tcPr>
            <w:tcW w:w="569" w:type="pct"/>
            <w:shd w:val="clear" w:color="auto" w:fill="auto"/>
            <w:noWrap/>
            <w:vAlign w:val="center"/>
          </w:tcPr>
          <w:p w14:paraId="5DCA3B2E"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2,67</w:t>
            </w:r>
          </w:p>
        </w:tc>
        <w:tc>
          <w:tcPr>
            <w:tcW w:w="569" w:type="pct"/>
            <w:shd w:val="clear" w:color="auto" w:fill="auto"/>
            <w:noWrap/>
            <w:vAlign w:val="center"/>
          </w:tcPr>
          <w:p w14:paraId="324D4C32"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2,38</w:t>
            </w:r>
          </w:p>
        </w:tc>
        <w:tc>
          <w:tcPr>
            <w:tcW w:w="569" w:type="pct"/>
            <w:shd w:val="clear" w:color="auto" w:fill="auto"/>
            <w:noWrap/>
            <w:vAlign w:val="center"/>
          </w:tcPr>
          <w:p w14:paraId="5A70F700"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3,12</w:t>
            </w:r>
          </w:p>
        </w:tc>
        <w:tc>
          <w:tcPr>
            <w:tcW w:w="567" w:type="pct"/>
          </w:tcPr>
          <w:p w14:paraId="3AC096DD"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2,94</w:t>
            </w:r>
          </w:p>
        </w:tc>
      </w:tr>
      <w:tr w:rsidR="00606C71" w:rsidRPr="007C5A6E" w14:paraId="268F6E13" w14:textId="77777777" w:rsidTr="0070034C">
        <w:trPr>
          <w:trHeight w:val="20"/>
        </w:trPr>
        <w:tc>
          <w:tcPr>
            <w:tcW w:w="2157" w:type="pct"/>
            <w:shd w:val="clear" w:color="auto" w:fill="auto"/>
            <w:noWrap/>
            <w:vAlign w:val="bottom"/>
          </w:tcPr>
          <w:p w14:paraId="05C24FBC" w14:textId="77777777" w:rsidR="00606C71" w:rsidRPr="007C5A6E" w:rsidRDefault="00606C71" w:rsidP="00540B43">
            <w:pPr>
              <w:numPr>
                <w:ilvl w:val="0"/>
                <w:numId w:val="51"/>
              </w:numPr>
              <w:spacing w:after="0" w:line="240" w:lineRule="auto"/>
              <w:contextualSpacing/>
              <w:rPr>
                <w:rFonts w:ascii="Times New Roman" w:hAnsi="Times New Roman"/>
                <w:color w:val="000000"/>
                <w:sz w:val="21"/>
                <w:szCs w:val="21"/>
              </w:rPr>
            </w:pPr>
            <w:proofErr w:type="gramStart"/>
            <w:r w:rsidRPr="007C5A6E">
              <w:rPr>
                <w:rFonts w:ascii="Times New Roman" w:hAnsi="Times New Roman"/>
                <w:color w:val="000000"/>
                <w:sz w:val="21"/>
                <w:szCs w:val="21"/>
              </w:rPr>
              <w:t>la</w:t>
            </w:r>
            <w:proofErr w:type="gramEnd"/>
            <w:r w:rsidRPr="007C5A6E">
              <w:rPr>
                <w:rFonts w:ascii="Times New Roman" w:hAnsi="Times New Roman"/>
                <w:color w:val="000000"/>
                <w:sz w:val="21"/>
                <w:szCs w:val="21"/>
              </w:rPr>
              <w:t xml:space="preserve"> population urbaine</w:t>
            </w:r>
          </w:p>
        </w:tc>
        <w:tc>
          <w:tcPr>
            <w:tcW w:w="569" w:type="pct"/>
            <w:shd w:val="clear" w:color="auto" w:fill="auto"/>
            <w:noWrap/>
            <w:vAlign w:val="center"/>
          </w:tcPr>
          <w:p w14:paraId="0A799147"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3,6</w:t>
            </w:r>
          </w:p>
        </w:tc>
        <w:tc>
          <w:tcPr>
            <w:tcW w:w="569" w:type="pct"/>
            <w:shd w:val="clear" w:color="auto" w:fill="auto"/>
            <w:noWrap/>
            <w:vAlign w:val="center"/>
          </w:tcPr>
          <w:p w14:paraId="74C70A2F"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10,8</w:t>
            </w:r>
          </w:p>
        </w:tc>
        <w:tc>
          <w:tcPr>
            <w:tcW w:w="569" w:type="pct"/>
            <w:shd w:val="clear" w:color="auto" w:fill="auto"/>
            <w:noWrap/>
            <w:vAlign w:val="center"/>
          </w:tcPr>
          <w:p w14:paraId="12DEB286"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4,3</w:t>
            </w:r>
          </w:p>
        </w:tc>
        <w:tc>
          <w:tcPr>
            <w:tcW w:w="569" w:type="pct"/>
            <w:shd w:val="clear" w:color="auto" w:fill="auto"/>
            <w:noWrap/>
            <w:vAlign w:val="center"/>
          </w:tcPr>
          <w:p w14:paraId="0473857E"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7,1</w:t>
            </w:r>
          </w:p>
        </w:tc>
        <w:tc>
          <w:tcPr>
            <w:tcW w:w="567" w:type="pct"/>
          </w:tcPr>
          <w:p w14:paraId="5ED4D8D6"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4</w:t>
            </w:r>
          </w:p>
        </w:tc>
      </w:tr>
      <w:tr w:rsidR="00606C71" w:rsidRPr="007C5A6E" w14:paraId="65C74EE7" w14:textId="77777777" w:rsidTr="0070034C">
        <w:trPr>
          <w:trHeight w:val="20"/>
        </w:trPr>
        <w:tc>
          <w:tcPr>
            <w:tcW w:w="2157" w:type="pct"/>
            <w:shd w:val="clear" w:color="auto" w:fill="auto"/>
            <w:noWrap/>
            <w:vAlign w:val="bottom"/>
          </w:tcPr>
          <w:p w14:paraId="677E8AB1" w14:textId="77777777" w:rsidR="00606C71" w:rsidRPr="007C5A6E" w:rsidRDefault="00606C71" w:rsidP="00540B43">
            <w:pPr>
              <w:numPr>
                <w:ilvl w:val="0"/>
                <w:numId w:val="51"/>
              </w:numPr>
              <w:spacing w:after="0" w:line="240" w:lineRule="auto"/>
              <w:contextualSpacing/>
              <w:rPr>
                <w:rFonts w:ascii="Times New Roman" w:hAnsi="Times New Roman"/>
                <w:color w:val="000000"/>
                <w:sz w:val="21"/>
                <w:szCs w:val="21"/>
              </w:rPr>
            </w:pPr>
            <w:r w:rsidRPr="007C5A6E">
              <w:rPr>
                <w:rFonts w:ascii="Times New Roman" w:hAnsi="Times New Roman"/>
                <w:color w:val="000000"/>
                <w:sz w:val="21"/>
                <w:szCs w:val="21"/>
              </w:rPr>
              <w:t>Ouagadougou</w:t>
            </w:r>
          </w:p>
        </w:tc>
        <w:tc>
          <w:tcPr>
            <w:tcW w:w="569" w:type="pct"/>
            <w:shd w:val="clear" w:color="auto" w:fill="auto"/>
            <w:noWrap/>
            <w:vAlign w:val="center"/>
          </w:tcPr>
          <w:p w14:paraId="7C9BA68D"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7,4</w:t>
            </w:r>
          </w:p>
        </w:tc>
        <w:tc>
          <w:tcPr>
            <w:tcW w:w="569" w:type="pct"/>
            <w:shd w:val="clear" w:color="auto" w:fill="auto"/>
            <w:noWrap/>
            <w:vAlign w:val="center"/>
          </w:tcPr>
          <w:p w14:paraId="7A5171E5"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9,9</w:t>
            </w:r>
          </w:p>
        </w:tc>
        <w:tc>
          <w:tcPr>
            <w:tcW w:w="569" w:type="pct"/>
            <w:shd w:val="clear" w:color="auto" w:fill="auto"/>
            <w:noWrap/>
            <w:vAlign w:val="center"/>
          </w:tcPr>
          <w:p w14:paraId="218B5601"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4,4</w:t>
            </w:r>
          </w:p>
        </w:tc>
        <w:tc>
          <w:tcPr>
            <w:tcW w:w="569" w:type="pct"/>
            <w:shd w:val="clear" w:color="auto" w:fill="auto"/>
            <w:noWrap/>
            <w:vAlign w:val="center"/>
          </w:tcPr>
          <w:p w14:paraId="796F28EB"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7,6</w:t>
            </w:r>
          </w:p>
        </w:tc>
        <w:tc>
          <w:tcPr>
            <w:tcW w:w="567" w:type="pct"/>
          </w:tcPr>
          <w:p w14:paraId="3881C74B"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4,42</w:t>
            </w:r>
          </w:p>
        </w:tc>
      </w:tr>
    </w:tbl>
    <w:p w14:paraId="2A2AD8C6" w14:textId="77777777" w:rsidR="00606C71" w:rsidRPr="007C5A6E" w:rsidRDefault="00606C71" w:rsidP="009D1E01">
      <w:pPr>
        <w:spacing w:after="0" w:line="240" w:lineRule="auto"/>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b/>
          <w:bCs/>
          <w:kern w:val="2"/>
          <w:sz w:val="20"/>
          <w:szCs w:val="20"/>
          <w:u w:val="single"/>
          <w:lang w:eastAsia="en-US"/>
          <w14:ligatures w14:val="standardContextual"/>
        </w:rPr>
        <w:t>Source</w:t>
      </w:r>
      <w:r w:rsidRPr="007C5A6E">
        <w:rPr>
          <w:rFonts w:ascii="Times New Roman" w:eastAsiaTheme="minorHAnsi" w:hAnsi="Times New Roman"/>
          <w:kern w:val="2"/>
          <w:sz w:val="20"/>
          <w:szCs w:val="20"/>
          <w:lang w:eastAsia="en-US"/>
          <w14:ligatures w14:val="standardContextual"/>
        </w:rPr>
        <w:t> : recensements généraux de la population</w:t>
      </w:r>
    </w:p>
    <w:p w14:paraId="4E21539B" w14:textId="77777777" w:rsidR="00B63F25" w:rsidRPr="007C5A6E" w:rsidRDefault="00B63F25" w:rsidP="00B63F25">
      <w:pPr>
        <w:spacing w:after="0" w:line="240" w:lineRule="auto"/>
        <w:jc w:val="both"/>
        <w:rPr>
          <w:rFonts w:ascii="Times New Roman" w:eastAsiaTheme="minorHAnsi" w:hAnsi="Times New Roman"/>
          <w:sz w:val="24"/>
          <w:szCs w:val="24"/>
        </w:rPr>
      </w:pPr>
    </w:p>
    <w:p w14:paraId="48CAEA23" w14:textId="3041247B"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Ces dernières années, la dynamique d'urbanisation a été accentuée par la crise sécuritaire et humanitaire que le pays traverse, en raison des attaques terroristes. Cela a causé le déplacement de plus de 2 millions de personnes vers les centres urbains qui apparaissent plus sûrs et résilients. </w:t>
      </w:r>
    </w:p>
    <w:p w14:paraId="2B852220" w14:textId="35EDE15E" w:rsidR="00606C71" w:rsidRPr="007C5A6E" w:rsidRDefault="00606C71" w:rsidP="00540B43">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Selon les données de l'OCHA (2024), le nombre de personnes déplacées internes (PDI) au Burkina Faso est passé de 8 665 en janvier 2018 à 1 882 593 en décembre 2022. Au 31 mars 2023, le pays comptait plus de 2 millions de PDI, malgré le retour de plus de 343 000 personnes selon les chiffres du gouvernement. Ainsi que le montrent les données de la </w:t>
      </w:r>
      <w:r w:rsidR="007148B2" w:rsidRPr="007C5A6E">
        <w:rPr>
          <w:rFonts w:ascii="Times New Roman" w:eastAsiaTheme="minorHAnsi" w:hAnsi="Times New Roman"/>
          <w:kern w:val="2"/>
          <w:sz w:val="24"/>
          <w:szCs w:val="24"/>
          <w:lang w:eastAsia="en-US"/>
          <w14:ligatures w14:val="standardContextual"/>
        </w:rPr>
        <w:t xml:space="preserve">Figure </w:t>
      </w:r>
      <w:r w:rsidR="00975D9A" w:rsidRPr="007C5A6E">
        <w:rPr>
          <w:rFonts w:ascii="Times New Roman" w:eastAsiaTheme="minorHAnsi" w:hAnsi="Times New Roman"/>
          <w:kern w:val="2"/>
          <w:sz w:val="24"/>
          <w:szCs w:val="24"/>
          <w:lang w:eastAsia="en-US"/>
          <w14:ligatures w14:val="standardContextual"/>
        </w:rPr>
        <w:t>8</w:t>
      </w:r>
      <w:r w:rsidR="00B63F25" w:rsidRPr="007C5A6E">
        <w:rPr>
          <w:rFonts w:ascii="Times New Roman" w:eastAsiaTheme="minorHAnsi" w:hAnsi="Times New Roman"/>
          <w:kern w:val="2"/>
          <w:sz w:val="24"/>
          <w:szCs w:val="24"/>
          <w:lang w:eastAsia="en-US"/>
          <w14:ligatures w14:val="standardContextual"/>
        </w:rPr>
        <w:t>8</w:t>
      </w:r>
      <w:r w:rsidRPr="007C5A6E">
        <w:rPr>
          <w:rFonts w:ascii="Times New Roman" w:eastAsiaTheme="minorHAnsi" w:hAnsi="Times New Roman"/>
          <w:sz w:val="24"/>
          <w:szCs w:val="24"/>
        </w:rPr>
        <w:t xml:space="preserve"> suivante, la majorité des déplacés internes se concentre dans les centres urbains, en particulier les chefs-lieux de provinces ou de régions. </w:t>
      </w:r>
    </w:p>
    <w:p w14:paraId="5F1DCF04" w14:textId="77777777" w:rsidR="00B63F25" w:rsidRPr="007C5A6E" w:rsidRDefault="00B63F25" w:rsidP="00B63F25">
      <w:pPr>
        <w:spacing w:after="0" w:line="240" w:lineRule="auto"/>
        <w:jc w:val="both"/>
        <w:rPr>
          <w:rFonts w:ascii="Times New Roman" w:eastAsiaTheme="minorHAnsi" w:hAnsi="Times New Roman"/>
          <w:sz w:val="24"/>
          <w:szCs w:val="24"/>
        </w:rPr>
      </w:pPr>
    </w:p>
    <w:p w14:paraId="5DAB0352" w14:textId="77777777" w:rsidR="00606C71" w:rsidRPr="007C5A6E" w:rsidRDefault="00606C71" w:rsidP="009D1E01">
      <w:pPr>
        <w:spacing w:after="0" w:line="240" w:lineRule="auto"/>
        <w:rPr>
          <w:rFonts w:asciiTheme="minorHAnsi" w:eastAsiaTheme="minorHAnsi" w:hAnsiTheme="minorHAnsi" w:cstheme="minorBidi"/>
          <w:kern w:val="2"/>
          <w14:ligatures w14:val="standardContextual"/>
        </w:rPr>
      </w:pPr>
      <w:r w:rsidRPr="007C5A6E">
        <w:rPr>
          <w:rFonts w:asciiTheme="minorHAnsi" w:eastAsiaTheme="minorHAnsi" w:hAnsiTheme="minorHAnsi" w:cstheme="minorBidi"/>
          <w:noProof/>
          <w:kern w:val="2"/>
          <w14:ligatures w14:val="standardContextual"/>
        </w:rPr>
        <w:drawing>
          <wp:inline distT="0" distB="0" distL="0" distR="0" wp14:anchorId="4C5776F2" wp14:editId="61EC8D1D">
            <wp:extent cx="5729605" cy="3143250"/>
            <wp:effectExtent l="19050" t="19050" r="23495" b="19050"/>
            <wp:docPr id="17742857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285754" name="Image 1"/>
                    <pic:cNvPicPr>
                      <a:picLocks noChangeAspect="1"/>
                    </pic:cNvPicPr>
                  </pic:nvPicPr>
                  <pic:blipFill>
                    <a:blip r:embed="rId217" cstate="email">
                      <a:extLst>
                        <a:ext uri="{28A0092B-C50C-407E-A947-70E740481C1C}">
                          <a14:useLocalDpi xmlns:a14="http://schemas.microsoft.com/office/drawing/2010/main"/>
                        </a:ext>
                      </a:extLst>
                    </a:blip>
                    <a:stretch>
                      <a:fillRect/>
                    </a:stretch>
                  </pic:blipFill>
                  <pic:spPr>
                    <a:xfrm>
                      <a:off x="0" y="0"/>
                      <a:ext cx="5734053" cy="3145690"/>
                    </a:xfrm>
                    <a:prstGeom prst="rect">
                      <a:avLst/>
                    </a:prstGeom>
                    <a:ln>
                      <a:solidFill>
                        <a:sysClr val="window" lastClr="FFFFFF">
                          <a:lumMod val="50000"/>
                        </a:sysClr>
                      </a:solidFill>
                    </a:ln>
                  </pic:spPr>
                </pic:pic>
              </a:graphicData>
            </a:graphic>
          </wp:inline>
        </w:drawing>
      </w:r>
    </w:p>
    <w:p w14:paraId="6E386F1B" w14:textId="053A7AE7" w:rsidR="00D93EC5" w:rsidRPr="007C5A6E" w:rsidRDefault="00D93EC5" w:rsidP="00540B43">
      <w:pPr>
        <w:autoSpaceDE w:val="0"/>
        <w:autoSpaceDN w:val="0"/>
        <w:adjustRightInd w:val="0"/>
        <w:spacing w:after="0" w:line="240" w:lineRule="auto"/>
        <w:rPr>
          <w:rFonts w:ascii="Times New Roman" w:hAnsi="Times New Roman"/>
          <w:sz w:val="20"/>
          <w:szCs w:val="20"/>
        </w:rPr>
      </w:pPr>
      <w:r w:rsidRPr="007C5A6E">
        <w:rPr>
          <w:rFonts w:ascii="Times New Roman" w:hAnsi="Times New Roman"/>
          <w:sz w:val="20"/>
          <w:szCs w:val="20"/>
        </w:rPr>
        <w:t>(Source : OCHA, 2024)</w:t>
      </w:r>
    </w:p>
    <w:p w14:paraId="060B4F5B" w14:textId="1502A3FF" w:rsidR="00D93EC5" w:rsidRPr="007C5A6E" w:rsidRDefault="00D93EC5" w:rsidP="00B63F25">
      <w:pPr>
        <w:spacing w:after="0" w:line="240" w:lineRule="auto"/>
        <w:jc w:val="both"/>
        <w:rPr>
          <w:rFonts w:ascii="Times New Roman" w:eastAsiaTheme="minorHAnsi" w:hAnsi="Times New Roman"/>
          <w:i/>
          <w:iCs/>
          <w:kern w:val="2"/>
          <w:sz w:val="24"/>
          <w:szCs w:val="24"/>
          <w:lang w:eastAsia="en-US"/>
          <w14:ligatures w14:val="standardContextual"/>
        </w:rPr>
      </w:pPr>
      <w:bookmarkStart w:id="1443" w:name="_Toc183230936"/>
      <w:bookmarkStart w:id="1444" w:name="_Toc183240728"/>
      <w:bookmarkStart w:id="1445" w:name="_Toc183340467"/>
      <w:r w:rsidRPr="007C5A6E">
        <w:rPr>
          <w:rFonts w:ascii="Times New Roman" w:eastAsiaTheme="minorHAnsi" w:hAnsi="Times New Roman"/>
          <w:i/>
          <w:iCs/>
          <w:kern w:val="2"/>
          <w:sz w:val="24"/>
          <w:szCs w:val="24"/>
          <w:lang w:eastAsia="en-US"/>
          <w14:ligatures w14:val="standardContextual"/>
        </w:rPr>
        <w:t xml:space="preserve">Figure </w:t>
      </w:r>
      <w:r w:rsidRPr="007C5A6E">
        <w:rPr>
          <w:rFonts w:ascii="Times New Roman" w:eastAsiaTheme="minorHAnsi" w:hAnsi="Times New Roman"/>
          <w:i/>
          <w:iCs/>
          <w:kern w:val="2"/>
          <w:sz w:val="24"/>
          <w:szCs w:val="24"/>
          <w:lang w:eastAsia="en-US"/>
          <w14:ligatures w14:val="standardContextual"/>
        </w:rPr>
        <w:fldChar w:fldCharType="begin"/>
      </w:r>
      <w:r w:rsidRPr="007C5A6E">
        <w:rPr>
          <w:rFonts w:ascii="Times New Roman" w:eastAsiaTheme="minorHAnsi" w:hAnsi="Times New Roman"/>
          <w:i/>
          <w:iCs/>
          <w:kern w:val="2"/>
          <w:sz w:val="24"/>
          <w:szCs w:val="24"/>
          <w:lang w:eastAsia="en-US"/>
          <w14:ligatures w14:val="standardContextual"/>
        </w:rPr>
        <w:instrText xml:space="preserve"> SEQ Figure \* ARABIC </w:instrText>
      </w:r>
      <w:r w:rsidRPr="007C5A6E">
        <w:rPr>
          <w:rFonts w:ascii="Times New Roman" w:eastAsiaTheme="minorHAnsi" w:hAnsi="Times New Roman"/>
          <w:i/>
          <w:iCs/>
          <w:kern w:val="2"/>
          <w:sz w:val="24"/>
          <w:szCs w:val="24"/>
          <w:lang w:eastAsia="en-US"/>
          <w14:ligatures w14:val="standardContextual"/>
        </w:rPr>
        <w:fldChar w:fldCharType="separate"/>
      </w:r>
      <w:r w:rsidR="00B63F25" w:rsidRPr="007C5A6E">
        <w:rPr>
          <w:rFonts w:ascii="Times New Roman" w:eastAsiaTheme="minorHAnsi" w:hAnsi="Times New Roman"/>
          <w:i/>
          <w:iCs/>
          <w:noProof/>
          <w:kern w:val="2"/>
          <w:sz w:val="24"/>
          <w:szCs w:val="24"/>
          <w:lang w:eastAsia="en-US"/>
          <w14:ligatures w14:val="standardContextual"/>
        </w:rPr>
        <w:t>88</w:t>
      </w:r>
      <w:r w:rsidRPr="007C5A6E">
        <w:rPr>
          <w:rFonts w:ascii="Times New Roman" w:eastAsiaTheme="minorHAnsi" w:hAnsi="Times New Roman"/>
          <w:i/>
          <w:iCs/>
          <w:kern w:val="2"/>
          <w:sz w:val="24"/>
          <w:szCs w:val="24"/>
          <w:lang w:eastAsia="en-US"/>
          <w14:ligatures w14:val="standardContextual"/>
        </w:rPr>
        <w:fldChar w:fldCharType="end"/>
      </w:r>
      <w:r w:rsidRPr="007C5A6E">
        <w:rPr>
          <w:rFonts w:ascii="Times New Roman" w:eastAsiaTheme="minorHAnsi" w:hAnsi="Times New Roman"/>
          <w:i/>
          <w:iCs/>
          <w:kern w:val="2"/>
          <w:sz w:val="24"/>
          <w:szCs w:val="24"/>
          <w:lang w:eastAsia="en-US"/>
          <w14:ligatures w14:val="standardContextual"/>
        </w:rPr>
        <w:t>. Pourcentage des personnes déplacées internes par rapport à la population non déplacée dans les communes</w:t>
      </w:r>
      <w:bookmarkEnd w:id="1443"/>
      <w:bookmarkEnd w:id="1444"/>
      <w:bookmarkEnd w:id="1445"/>
    </w:p>
    <w:p w14:paraId="5DEE6963" w14:textId="2BAB82CF" w:rsidR="00B63F25" w:rsidRPr="007C5A6E" w:rsidRDefault="00B63F25" w:rsidP="00B63F25">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Certaines de ces villes ont ainsi vu leur population croître subitement. En effet, environ dix villes ont accueilli plus de 50 000 PDI en un temps très court, mettant ainsi une forte pression sur leurs espaces, infrastructures, ressources naturelles et produites, services essentiels, etc., déjà limités avant la crise.</w:t>
      </w:r>
    </w:p>
    <w:p w14:paraId="3BE316E6" w14:textId="4735BF94" w:rsidR="00606C71" w:rsidRPr="007C5A6E" w:rsidRDefault="00606C71" w:rsidP="00B63F25">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Arrivés souvent à l’improviste, les PDI attendent presque tout de leur lieu de destination : logement, soins, nourriture, éducation, etc. Les centres urbains, où, par exemple, les ratios médecin/patient et enseignant/élève sont déjà élevés, voient ainsi leurs capacités de service public fortement sollicitées et poussées souvent à leurs limites aussi bien en termes de disponibilité que de qualité. </w:t>
      </w:r>
    </w:p>
    <w:p w14:paraId="11F23805" w14:textId="77777777" w:rsidR="00606C71" w:rsidRPr="007C5A6E" w:rsidRDefault="00606C71" w:rsidP="00B63F25">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Par exemple, l'accès à un assainissement amélioré n'a progressé que de 5,5% entre 2017 et 2020, passant de 19,8% à 25,3% selon le rapport PN AEUE 2020. De plus, 64% des populations (85% des PDI et 62% des communautés hôtes) n'ont pas accès à des latrines correspondant aux normes de sphère, notamment hygiénique et partagée avec moins de 20 personnes. Par ailleurs, 63% de ces populations ne disposent pas de savon ou de dispositif de lavage des mains à proximité des latrines (MSNA REACH, 2021).</w:t>
      </w:r>
    </w:p>
    <w:p w14:paraId="145BCFB7" w14:textId="3FA7226E" w:rsidR="00606C71" w:rsidRPr="007C5A6E" w:rsidRDefault="00606C71" w:rsidP="00B63F25">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Dans le contexte actuel, les projections indiquent que d'ici 2030, près de 40% de la population pourrait résider en milieu urbain, posant des défis importants en matière d'aménagement du territoire, de logements et de services de base </w:t>
      </w:r>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IRD09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(IRD, 2009)</w:t>
      </w:r>
      <w:r w:rsidRPr="007C5A6E">
        <w:rPr>
          <w:rFonts w:ascii="Times New Roman" w:eastAsiaTheme="minorHAnsi" w:hAnsi="Times New Roman"/>
          <w:sz w:val="24"/>
          <w:szCs w:val="24"/>
        </w:rPr>
        <w:fldChar w:fldCharType="end"/>
      </w:r>
      <w:r w:rsidRPr="007C5A6E">
        <w:rPr>
          <w:rFonts w:ascii="Times New Roman" w:eastAsiaTheme="minorHAnsi" w:hAnsi="Times New Roman"/>
          <w:sz w:val="24"/>
          <w:szCs w:val="24"/>
        </w:rPr>
        <w:t xml:space="preserve"> </w:t>
      </w:r>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ONU23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(ONU-Habitat, 2023)</w:t>
      </w:r>
      <w:r w:rsidRPr="007C5A6E">
        <w:rPr>
          <w:rFonts w:ascii="Times New Roman" w:eastAsiaTheme="minorHAnsi" w:hAnsi="Times New Roman"/>
          <w:sz w:val="24"/>
          <w:szCs w:val="24"/>
        </w:rPr>
        <w:fldChar w:fldCharType="end"/>
      </w:r>
      <w:r w:rsidRPr="007C5A6E">
        <w:rPr>
          <w:rFonts w:ascii="Times New Roman" w:eastAsiaTheme="minorHAnsi" w:hAnsi="Times New Roman"/>
          <w:sz w:val="24"/>
          <w:szCs w:val="24"/>
        </w:rPr>
        <w:t xml:space="preserve"> </w:t>
      </w:r>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Sta24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(Statista, 2024)</w:t>
      </w:r>
      <w:r w:rsidRPr="007C5A6E">
        <w:rPr>
          <w:rFonts w:ascii="Times New Roman" w:eastAsiaTheme="minorHAnsi" w:hAnsi="Times New Roman"/>
          <w:sz w:val="24"/>
          <w:szCs w:val="24"/>
        </w:rPr>
        <w:fldChar w:fldCharType="end"/>
      </w:r>
      <w:r w:rsidRPr="007C5A6E">
        <w:rPr>
          <w:rFonts w:ascii="Times New Roman" w:eastAsiaTheme="minorHAnsi" w:hAnsi="Times New Roman"/>
          <w:sz w:val="24"/>
          <w:szCs w:val="24"/>
        </w:rPr>
        <w:t xml:space="preserve"> ; </w:t>
      </w:r>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OPE24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(OPENDATA, 2024)</w:t>
      </w:r>
      <w:r w:rsidRPr="007C5A6E">
        <w:rPr>
          <w:rFonts w:ascii="Times New Roman" w:eastAsiaTheme="minorHAnsi" w:hAnsi="Times New Roman"/>
          <w:sz w:val="24"/>
          <w:szCs w:val="24"/>
        </w:rPr>
        <w:fldChar w:fldCharType="end"/>
      </w:r>
      <w:r w:rsidRPr="007C5A6E">
        <w:rPr>
          <w:rFonts w:ascii="Times New Roman" w:eastAsiaTheme="minorHAnsi" w:hAnsi="Times New Roman"/>
          <w:sz w:val="24"/>
          <w:szCs w:val="24"/>
        </w:rPr>
        <w:t xml:space="preserve">.Aujourd’hui, toutes ces dynamiques urbaines exigent une meilleure planification du développement urbain pour répondre à l’afflux de populations dans les villes, éviter la multiplication des non lotis et améliorer l’accès aux services essentiels, notamment dans les zones périurbaines. </w:t>
      </w:r>
    </w:p>
    <w:p w14:paraId="0A367DD7" w14:textId="77777777" w:rsidR="00B63F25" w:rsidRPr="007C5A6E" w:rsidRDefault="00B63F25" w:rsidP="00B63F25">
      <w:pPr>
        <w:spacing w:after="0" w:line="240" w:lineRule="auto"/>
        <w:jc w:val="both"/>
        <w:rPr>
          <w:rFonts w:ascii="Times New Roman" w:eastAsiaTheme="minorHAnsi" w:hAnsi="Times New Roman"/>
          <w:sz w:val="24"/>
          <w:szCs w:val="24"/>
        </w:rPr>
      </w:pPr>
    </w:p>
    <w:p w14:paraId="213C664A" w14:textId="77777777" w:rsidR="00606C71" w:rsidRPr="007C5A6E" w:rsidRDefault="00606C71" w:rsidP="00540B43">
      <w:pPr>
        <w:pStyle w:val="Titre4"/>
      </w:pPr>
      <w:bookmarkStart w:id="1446" w:name="_Toc177649420"/>
      <w:bookmarkStart w:id="1447" w:name="_Toc179043976"/>
      <w:bookmarkStart w:id="1448" w:name="_Toc183340311"/>
      <w:bookmarkStart w:id="1449" w:name="_Toc176973796"/>
      <w:r w:rsidRPr="007C5A6E">
        <w:t>Expansion des villes</w:t>
      </w:r>
      <w:bookmarkEnd w:id="1446"/>
      <w:bookmarkEnd w:id="1447"/>
      <w:bookmarkEnd w:id="1448"/>
      <w:r w:rsidRPr="007C5A6E">
        <w:t> </w:t>
      </w:r>
      <w:bookmarkEnd w:id="1427"/>
      <w:bookmarkEnd w:id="1449"/>
    </w:p>
    <w:p w14:paraId="252CF150"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p>
    <w:p w14:paraId="48324807" w14:textId="77777777"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L'expansion des villes est un phénomène marqué par une croissance rapide de la superficie urbaine et une transformation significative des structures urbaines existantes. Cette expansion peut être observée à travers plusieurs dimensions, notamment l'augmentation de la population urbaine traitée précédemment, l'élargissement des zones résidentielles, et l'émergence de nouveaux quartiers. </w:t>
      </w:r>
    </w:p>
    <w:p w14:paraId="4C0216B3" w14:textId="57976CCC" w:rsidR="00606C71" w:rsidRPr="007C5A6E" w:rsidRDefault="00606C71" w:rsidP="009D1E01">
      <w:pPr>
        <w:spacing w:after="0" w:line="240" w:lineRule="auto"/>
        <w:jc w:val="both"/>
        <w:rPr>
          <w:rFonts w:ascii="Times New Roman" w:eastAsiaTheme="minorHAnsi" w:hAnsi="Times New Roman"/>
          <w:sz w:val="24"/>
          <w:szCs w:val="24"/>
        </w:rPr>
      </w:pPr>
      <w:bookmarkStart w:id="1450" w:name="_Toc183230937"/>
      <w:r w:rsidRPr="007C5A6E">
        <w:rPr>
          <w:rFonts w:ascii="Times New Roman" w:eastAsiaTheme="minorHAnsi" w:hAnsi="Times New Roman"/>
          <w:sz w:val="24"/>
          <w:szCs w:val="24"/>
        </w:rPr>
        <w:t xml:space="preserve">Similairement aux constats faits pour les dynamiques de la population, l'expansion spatiale des villes burkinabè a été est également très importante. Selon les données du Plan directeur d'urbanisme (PDU), la superficie des grandes villes comme Ouagadougou et Bobo Dioulasso a évolué de manière exponentielle au cours des deux dernières décennies. La </w:t>
      </w:r>
      <w:r w:rsidR="00414237" w:rsidRPr="007C5A6E">
        <w:rPr>
          <w:rFonts w:ascii="Times New Roman" w:eastAsiaTheme="minorHAnsi" w:hAnsi="Times New Roman"/>
          <w:sz w:val="24"/>
          <w:szCs w:val="24"/>
        </w:rPr>
        <w:t xml:space="preserve">Figure </w:t>
      </w:r>
      <w:r w:rsidR="00B63F25" w:rsidRPr="007C5A6E">
        <w:rPr>
          <w:rFonts w:ascii="Times New Roman" w:eastAsiaTheme="minorHAnsi" w:hAnsi="Times New Roman"/>
          <w:sz w:val="24"/>
          <w:szCs w:val="24"/>
        </w:rPr>
        <w:t>8</w:t>
      </w:r>
      <w:r w:rsidR="00694E92" w:rsidRPr="007C5A6E">
        <w:rPr>
          <w:rFonts w:ascii="Times New Roman" w:eastAsiaTheme="minorHAnsi" w:hAnsi="Times New Roman"/>
          <w:sz w:val="24"/>
          <w:szCs w:val="24"/>
        </w:rPr>
        <w:t>9</w:t>
      </w:r>
      <w:r w:rsidRPr="007C5A6E">
        <w:rPr>
          <w:rFonts w:ascii="Times New Roman" w:eastAsiaTheme="minorHAnsi" w:hAnsi="Times New Roman"/>
          <w:sz w:val="24"/>
          <w:szCs w:val="24"/>
        </w:rPr>
        <w:t xml:space="preserve"> suivante illustre les cas de Ouagadougou</w:t>
      </w:r>
      <w:r w:rsidR="00414237" w:rsidRPr="007C5A6E">
        <w:rPr>
          <w:rFonts w:ascii="Times New Roman" w:eastAsiaTheme="minorHAnsi" w:hAnsi="Times New Roman"/>
          <w:sz w:val="24"/>
          <w:szCs w:val="24"/>
        </w:rPr>
        <w:t xml:space="preserve">, </w:t>
      </w:r>
      <w:r w:rsidR="006A59B6" w:rsidRPr="007C5A6E">
        <w:rPr>
          <w:rFonts w:ascii="Times New Roman" w:eastAsiaTheme="minorHAnsi" w:hAnsi="Times New Roman"/>
          <w:sz w:val="24"/>
          <w:szCs w:val="24"/>
        </w:rPr>
        <w:t xml:space="preserve">de </w:t>
      </w:r>
      <w:r w:rsidRPr="007C5A6E">
        <w:rPr>
          <w:rFonts w:ascii="Times New Roman" w:eastAsiaTheme="minorHAnsi" w:hAnsi="Times New Roman"/>
          <w:sz w:val="24"/>
          <w:szCs w:val="24"/>
        </w:rPr>
        <w:t>Bobo Dioulasso</w:t>
      </w:r>
      <w:r w:rsidR="006A59B6" w:rsidRPr="007C5A6E">
        <w:rPr>
          <w:rFonts w:ascii="Times New Roman" w:eastAsiaTheme="minorHAnsi" w:hAnsi="Times New Roman"/>
          <w:sz w:val="24"/>
          <w:szCs w:val="24"/>
        </w:rPr>
        <w:t xml:space="preserve"> et de Koudougou</w:t>
      </w:r>
      <w:r w:rsidRPr="007C5A6E">
        <w:rPr>
          <w:rFonts w:ascii="Times New Roman" w:eastAsiaTheme="minorHAnsi" w:hAnsi="Times New Roman"/>
          <w:sz w:val="24"/>
          <w:szCs w:val="24"/>
        </w:rPr>
        <w:t>.</w:t>
      </w:r>
      <w:bookmarkEnd w:id="1450"/>
      <w:r w:rsidRPr="007C5A6E">
        <w:rPr>
          <w:rFonts w:ascii="Times New Roman" w:eastAsiaTheme="minorHAnsi" w:hAnsi="Times New Roman"/>
          <w:sz w:val="24"/>
          <w:szCs w:val="24"/>
        </w:rPr>
        <w:t xml:space="preserve"> </w:t>
      </w:r>
    </w:p>
    <w:p w14:paraId="41124504" w14:textId="77777777" w:rsidR="00B63F25" w:rsidRPr="007C5A6E" w:rsidRDefault="00B63F25" w:rsidP="00B63F25">
      <w:pPr>
        <w:spacing w:after="0" w:line="240" w:lineRule="auto"/>
        <w:jc w:val="both"/>
        <w:rPr>
          <w:rFonts w:ascii="Times New Roman" w:eastAsiaTheme="minorHAnsi" w:hAnsi="Times New Roman"/>
          <w:sz w:val="24"/>
          <w:szCs w:val="24"/>
        </w:rPr>
      </w:pPr>
    </w:p>
    <w:p w14:paraId="072DA8EC" w14:textId="66D2D3BF"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En 1960, le colonisateur a légué à l’État indépendant une ville de Ouagadougou aménagée qui s’étendait sur 920 hectares (soit, 9,2 km²) </w:t>
      </w:r>
      <w:sdt>
        <w:sdtPr>
          <w:rPr>
            <w:rFonts w:ascii="Times New Roman" w:eastAsiaTheme="minorHAnsi" w:hAnsi="Times New Roman"/>
            <w:sz w:val="24"/>
            <w:szCs w:val="24"/>
          </w:rPr>
          <w:id w:val="-153306379"/>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Oua02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(Ouattara, 2002)</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En 2007 et 2010, Ouagadougou occupait une superficie de 52 000 hectares (soit environ 518 km² et 0,2% du territoire), dont 21 750 (soit 217,5 km²) urbanisés </w:t>
      </w:r>
      <w:sdt>
        <w:sdtPr>
          <w:rPr>
            <w:rFonts w:ascii="Times New Roman" w:eastAsiaTheme="minorHAnsi" w:hAnsi="Times New Roman"/>
            <w:sz w:val="24"/>
            <w:szCs w:val="24"/>
          </w:rPr>
          <w:id w:val="-1069499443"/>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NUH07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(NU-Habitat, 2007)</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w:t>
      </w:r>
      <w:sdt>
        <w:sdtPr>
          <w:rPr>
            <w:rFonts w:ascii="Times New Roman" w:eastAsiaTheme="minorHAnsi" w:hAnsi="Times New Roman"/>
            <w:sz w:val="24"/>
            <w:szCs w:val="24"/>
          </w:rPr>
          <w:id w:val="524213988"/>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CITATION INS224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(INSD, 2022a)</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Dès 2017, soit seulement sept ans après, la ville de Ouagadougou a dépassé les limites de son territoire administratif et s’étend désormais dans le territoire du grand Ouaga qui couvre une superficie de 3 300 km², soit 7 fois la superficie initialement planifiée pour les limites de la ville </w:t>
      </w:r>
      <w:sdt>
        <w:sdtPr>
          <w:rPr>
            <w:rFonts w:ascii="Times New Roman" w:eastAsiaTheme="minorHAnsi" w:hAnsi="Times New Roman"/>
            <w:sz w:val="24"/>
            <w:szCs w:val="24"/>
          </w:rPr>
          <w:id w:val="1269347038"/>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CITATION AMM17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(AMMA, 2017)</w:t>
          </w:r>
          <w:r w:rsidRPr="007C5A6E">
            <w:rPr>
              <w:rFonts w:ascii="Times New Roman" w:eastAsiaTheme="minorHAnsi" w:hAnsi="Times New Roman"/>
              <w:sz w:val="24"/>
              <w:szCs w:val="24"/>
            </w:rPr>
            <w:fldChar w:fldCharType="end"/>
          </w:r>
          <w:r w:rsidRPr="007C5A6E">
            <w:rPr>
              <w:rFonts w:ascii="Times New Roman" w:eastAsiaTheme="minorHAnsi" w:hAnsi="Times New Roman"/>
              <w:sz w:val="24"/>
              <w:szCs w:val="24"/>
            </w:rPr>
            <w:t> ;</w:t>
          </w:r>
        </w:sdtContent>
      </w:sdt>
      <w:r w:rsidRPr="007C5A6E">
        <w:rPr>
          <w:rFonts w:ascii="Times New Roman" w:eastAsiaTheme="minorHAnsi" w:hAnsi="Times New Roman"/>
          <w:sz w:val="24"/>
          <w:szCs w:val="24"/>
        </w:rPr>
        <w:t xml:space="preserve"> </w:t>
      </w:r>
      <w:sdt>
        <w:sdtPr>
          <w:rPr>
            <w:rFonts w:ascii="Times New Roman" w:eastAsiaTheme="minorHAnsi" w:hAnsi="Times New Roman"/>
            <w:sz w:val="24"/>
            <w:szCs w:val="24"/>
          </w:rPr>
          <w:id w:val="1460763619"/>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CITATION PÉR19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(Périssol, Lepoittevin, &amp; Valenzuelle, 2019)</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w:t>
      </w:r>
    </w:p>
    <w:p w14:paraId="198B29D7" w14:textId="77777777" w:rsidR="00B63F25" w:rsidRPr="007C5A6E" w:rsidRDefault="00B63F25" w:rsidP="00B63F25">
      <w:pPr>
        <w:spacing w:after="0" w:line="240" w:lineRule="auto"/>
        <w:jc w:val="both"/>
        <w:rPr>
          <w:rFonts w:ascii="Times New Roman" w:eastAsiaTheme="minorHAnsi" w:hAnsi="Times New Roman"/>
          <w:sz w:val="24"/>
          <w:szCs w:val="24"/>
        </w:rPr>
      </w:pPr>
      <w:bookmarkStart w:id="1451" w:name="_Toc183230938"/>
    </w:p>
    <w:p w14:paraId="7DB61BAE" w14:textId="4AA57B08" w:rsidR="00606C71" w:rsidRPr="007C5A6E" w:rsidRDefault="00606C71" w:rsidP="00540B43">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Dans cette ville, en 2018, les zones non loties occupaient le tiers (30%) de la superficie et près de la moitié (40%) de sa population soit plus de 1 000 000 d'habitants </w:t>
      </w:r>
      <w:sdt>
        <w:sdtPr>
          <w:rPr>
            <w:rFonts w:ascii="Times New Roman" w:eastAsiaTheme="minorHAnsi" w:hAnsi="Times New Roman"/>
            <w:sz w:val="24"/>
            <w:szCs w:val="24"/>
          </w:rPr>
          <w:id w:val="524063334"/>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Ros11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(Rossier, 2011)</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En 2023, l’Ordre des urbanistes du Burkina (OUB) estime que la superficie de Ouagadougou est actuellement occupée à presque 96% avec près de 3 000 hectares de non lotis </w:t>
      </w:r>
      <w:sdt>
        <w:sdtPr>
          <w:rPr>
            <w:rFonts w:ascii="Times New Roman" w:eastAsiaTheme="minorHAnsi" w:hAnsi="Times New Roman"/>
            <w:sz w:val="24"/>
            <w:szCs w:val="24"/>
          </w:rPr>
          <w:id w:val="-1529177446"/>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CITATION Urb23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(OUB, 2023)</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Située à l'ouest du Burkina Faso, ancienne capitale coloniale de la Haute-Volta et capitale économique actuelle</w:t>
      </w:r>
      <w:r w:rsidR="004444EF" w:rsidRPr="007C5A6E">
        <w:rPr>
          <w:rFonts w:ascii="Times New Roman" w:eastAsiaTheme="minorHAnsi" w:hAnsi="Times New Roman"/>
          <w:sz w:val="24"/>
          <w:szCs w:val="24"/>
        </w:rPr>
        <w:t>.</w:t>
      </w:r>
      <w:r w:rsidRPr="007C5A6E">
        <w:rPr>
          <w:rFonts w:ascii="Times New Roman" w:eastAsiaTheme="minorHAnsi" w:hAnsi="Times New Roman"/>
          <w:sz w:val="24"/>
          <w:szCs w:val="24"/>
        </w:rPr>
        <w:t xml:space="preserve"> Sur ces points, la </w:t>
      </w:r>
      <w:r w:rsidR="00414237" w:rsidRPr="007C5A6E">
        <w:rPr>
          <w:rFonts w:ascii="Times New Roman" w:eastAsiaTheme="minorHAnsi" w:hAnsi="Times New Roman"/>
          <w:sz w:val="24"/>
          <w:szCs w:val="24"/>
        </w:rPr>
        <w:t>Figure</w:t>
      </w:r>
      <w:r w:rsidR="00694E92" w:rsidRPr="007C5A6E">
        <w:rPr>
          <w:rFonts w:ascii="Times New Roman" w:eastAsiaTheme="minorHAnsi" w:hAnsi="Times New Roman"/>
          <w:sz w:val="24"/>
          <w:szCs w:val="24"/>
        </w:rPr>
        <w:t xml:space="preserve"> </w:t>
      </w:r>
      <w:r w:rsidR="00B63F25" w:rsidRPr="007C5A6E">
        <w:rPr>
          <w:rFonts w:ascii="Times New Roman" w:eastAsiaTheme="minorHAnsi" w:hAnsi="Times New Roman"/>
          <w:sz w:val="24"/>
          <w:szCs w:val="24"/>
        </w:rPr>
        <w:t>8</w:t>
      </w:r>
      <w:r w:rsidR="00694E92" w:rsidRPr="007C5A6E">
        <w:rPr>
          <w:rFonts w:ascii="Times New Roman" w:eastAsiaTheme="minorHAnsi" w:hAnsi="Times New Roman"/>
          <w:sz w:val="24"/>
          <w:szCs w:val="24"/>
        </w:rPr>
        <w:t>9</w:t>
      </w:r>
      <w:r w:rsidR="00414237" w:rsidRPr="007C5A6E">
        <w:rPr>
          <w:rFonts w:ascii="Times New Roman" w:eastAsiaTheme="minorHAnsi" w:hAnsi="Times New Roman"/>
          <w:sz w:val="24"/>
          <w:szCs w:val="24"/>
        </w:rPr>
        <w:t xml:space="preserve"> </w:t>
      </w:r>
      <w:r w:rsidRPr="007C5A6E">
        <w:rPr>
          <w:rFonts w:ascii="Times New Roman" w:eastAsiaTheme="minorHAnsi" w:hAnsi="Times New Roman"/>
          <w:sz w:val="24"/>
          <w:szCs w:val="24"/>
        </w:rPr>
        <w:t>suivante est illustrative.</w:t>
      </w:r>
      <w:bookmarkEnd w:id="1451"/>
      <w:r w:rsidRPr="007C5A6E">
        <w:rPr>
          <w:rFonts w:ascii="Times New Roman" w:eastAsiaTheme="minorHAnsi" w:hAnsi="Times New Roman"/>
          <w:sz w:val="24"/>
          <w:szCs w:val="24"/>
        </w:rPr>
        <w:t xml:space="preserve"> </w:t>
      </w:r>
    </w:p>
    <w:p w14:paraId="6ACE2736" w14:textId="77777777" w:rsidR="00B63F25" w:rsidRPr="007C5A6E" w:rsidRDefault="00B63F25" w:rsidP="00B63F25">
      <w:pPr>
        <w:spacing w:after="0" w:line="240" w:lineRule="auto"/>
        <w:jc w:val="both"/>
        <w:rPr>
          <w:rFonts w:ascii="Times New Roman" w:eastAsiaTheme="minorHAnsi" w:hAnsi="Times New Roman"/>
          <w:sz w:val="24"/>
          <w:szCs w:val="24"/>
        </w:rPr>
      </w:pPr>
    </w:p>
    <w:tbl>
      <w:tblPr>
        <w:tblStyle w:val="Grilledutableau12"/>
        <w:tblW w:w="9396" w:type="dxa"/>
        <w:tblLook w:val="04A0" w:firstRow="1" w:lastRow="0" w:firstColumn="1" w:lastColumn="0" w:noHBand="0" w:noVBand="1"/>
      </w:tblPr>
      <w:tblGrid>
        <w:gridCol w:w="5136"/>
        <w:gridCol w:w="4266"/>
      </w:tblGrid>
      <w:tr w:rsidR="00063A0C" w:rsidRPr="007C5A6E" w14:paraId="4AC92037" w14:textId="77777777" w:rsidTr="00673F8B">
        <w:tc>
          <w:tcPr>
            <w:tcW w:w="9396" w:type="dxa"/>
            <w:gridSpan w:val="2"/>
          </w:tcPr>
          <w:p w14:paraId="0EC8DCBE" w14:textId="77777777" w:rsidR="00606C71" w:rsidRPr="007C5A6E" w:rsidRDefault="00606C71" w:rsidP="00540B43">
            <w:pPr>
              <w:spacing w:after="0" w:line="240" w:lineRule="auto"/>
              <w:jc w:val="center"/>
              <w:rPr>
                <w:rFonts w:ascii="Times New Roman" w:eastAsiaTheme="minorHAnsi" w:hAnsi="Times New Roman"/>
                <w:b/>
                <w:bCs/>
                <w:sz w:val="24"/>
                <w:szCs w:val="24"/>
                <w:lang w:eastAsia="en-US"/>
              </w:rPr>
            </w:pPr>
            <w:r w:rsidRPr="007C5A6E">
              <w:rPr>
                <w:rFonts w:ascii="Times New Roman" w:eastAsiaTheme="minorHAnsi" w:hAnsi="Times New Roman"/>
                <w:b/>
                <w:bCs/>
                <w:sz w:val="24"/>
                <w:szCs w:val="24"/>
                <w:lang w:eastAsia="en-US"/>
              </w:rPr>
              <w:t>Ouagadougou</w:t>
            </w:r>
          </w:p>
        </w:tc>
      </w:tr>
      <w:tr w:rsidR="00606C71" w:rsidRPr="007C5A6E" w14:paraId="2AA3E41D" w14:textId="77777777" w:rsidTr="00673F8B">
        <w:tc>
          <w:tcPr>
            <w:tcW w:w="9396" w:type="dxa"/>
            <w:gridSpan w:val="2"/>
          </w:tcPr>
          <w:p w14:paraId="20E5CADA" w14:textId="77777777" w:rsidR="00606C71" w:rsidRPr="007C5A6E" w:rsidRDefault="00606C71" w:rsidP="00540B43">
            <w:pPr>
              <w:pStyle w:val="Sansinterligne"/>
              <w:rPr>
                <w:rFonts w:eastAsiaTheme="minorHAnsi"/>
                <w:lang w:eastAsia="en-US"/>
              </w:rPr>
            </w:pPr>
            <w:r w:rsidRPr="007C5A6E">
              <w:rPr>
                <w:rFonts w:eastAsiaTheme="minorHAnsi"/>
                <w:noProof/>
              </w:rPr>
              <w:drawing>
                <wp:inline distT="0" distB="0" distL="0" distR="0" wp14:anchorId="537208C6" wp14:editId="7C666B8C">
                  <wp:extent cx="3366895" cy="2878097"/>
                  <wp:effectExtent l="0" t="0" r="5080" b="0"/>
                  <wp:docPr id="18362419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241918" name=""/>
                          <pic:cNvPicPr/>
                        </pic:nvPicPr>
                        <pic:blipFill>
                          <a:blip r:embed="rId218" cstate="email">
                            <a:extLst>
                              <a:ext uri="{BEBA8EAE-BF5A-486C-A8C5-ECC9F3942E4B}">
                                <a14:imgProps xmlns:a14="http://schemas.microsoft.com/office/drawing/2010/main">
                                  <a14:imgLayer r:embed="rId21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3373538" cy="2883776"/>
                          </a:xfrm>
                          <a:prstGeom prst="rect">
                            <a:avLst/>
                          </a:prstGeom>
                        </pic:spPr>
                      </pic:pic>
                    </a:graphicData>
                  </a:graphic>
                </wp:inline>
              </w:drawing>
            </w:r>
          </w:p>
        </w:tc>
      </w:tr>
      <w:tr w:rsidR="00606C71" w:rsidRPr="007C5A6E" w14:paraId="0FAA8F05" w14:textId="77777777" w:rsidTr="00673F8B">
        <w:tc>
          <w:tcPr>
            <w:tcW w:w="5133" w:type="dxa"/>
          </w:tcPr>
          <w:p w14:paraId="6C72FAFC" w14:textId="77777777" w:rsidR="00606C71" w:rsidRPr="007C5A6E" w:rsidRDefault="00606C71" w:rsidP="00540B43">
            <w:pPr>
              <w:spacing w:after="0" w:line="240" w:lineRule="auto"/>
              <w:jc w:val="center"/>
              <w:rPr>
                <w:rFonts w:ascii="Times New Roman" w:eastAsiaTheme="minorHAnsi" w:hAnsi="Times New Roman"/>
                <w:b/>
                <w:bCs/>
                <w:sz w:val="24"/>
                <w:szCs w:val="24"/>
                <w:lang w:eastAsia="en-US"/>
              </w:rPr>
            </w:pPr>
            <w:r w:rsidRPr="007C5A6E">
              <w:rPr>
                <w:rFonts w:ascii="Times New Roman" w:eastAsiaTheme="minorHAnsi" w:hAnsi="Times New Roman"/>
                <w:b/>
                <w:bCs/>
                <w:sz w:val="24"/>
                <w:szCs w:val="24"/>
                <w:lang w:eastAsia="en-US"/>
              </w:rPr>
              <w:t>Bobo Dioulasso</w:t>
            </w:r>
          </w:p>
        </w:tc>
        <w:tc>
          <w:tcPr>
            <w:tcW w:w="4263" w:type="dxa"/>
          </w:tcPr>
          <w:p w14:paraId="12137635" w14:textId="77777777" w:rsidR="00606C71" w:rsidRPr="007C5A6E" w:rsidRDefault="00606C71" w:rsidP="00540B43">
            <w:pPr>
              <w:spacing w:after="0" w:line="240" w:lineRule="auto"/>
              <w:jc w:val="center"/>
              <w:rPr>
                <w:rFonts w:ascii="Times New Roman" w:eastAsiaTheme="minorHAnsi" w:hAnsi="Times New Roman"/>
                <w:b/>
                <w:bCs/>
                <w:sz w:val="24"/>
                <w:szCs w:val="24"/>
                <w:lang w:eastAsia="en-US"/>
              </w:rPr>
            </w:pPr>
            <w:r w:rsidRPr="007C5A6E">
              <w:rPr>
                <w:rFonts w:ascii="Times New Roman" w:eastAsiaTheme="minorHAnsi" w:hAnsi="Times New Roman"/>
                <w:b/>
                <w:bCs/>
                <w:sz w:val="24"/>
                <w:szCs w:val="24"/>
                <w:lang w:eastAsia="en-US"/>
              </w:rPr>
              <w:t>Koudougou</w:t>
            </w:r>
          </w:p>
        </w:tc>
      </w:tr>
      <w:tr w:rsidR="00606C71" w:rsidRPr="007C5A6E" w14:paraId="7BA84281" w14:textId="77777777" w:rsidTr="00673F8B">
        <w:tc>
          <w:tcPr>
            <w:tcW w:w="5133" w:type="dxa"/>
          </w:tcPr>
          <w:p w14:paraId="1D3D7C66" w14:textId="77777777" w:rsidR="00606C71" w:rsidRPr="007C5A6E" w:rsidRDefault="00606C71" w:rsidP="009D1E01">
            <w:pPr>
              <w:spacing w:after="0" w:line="240" w:lineRule="auto"/>
              <w:rPr>
                <w:rFonts w:eastAsiaTheme="minorHAnsi"/>
                <w:lang w:eastAsia="en-US"/>
              </w:rPr>
            </w:pPr>
            <w:r w:rsidRPr="007C5A6E">
              <w:rPr>
                <w:rFonts w:eastAsiaTheme="minorHAnsi"/>
                <w:noProof/>
              </w:rPr>
              <w:drawing>
                <wp:inline distT="0" distB="0" distL="0" distR="0" wp14:anchorId="7993A4A7" wp14:editId="5149198F">
                  <wp:extent cx="3085363" cy="2212340"/>
                  <wp:effectExtent l="19050" t="19050" r="20320" b="16510"/>
                  <wp:docPr id="5613593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359324" name=""/>
                          <pic:cNvPicPr/>
                        </pic:nvPicPr>
                        <pic:blipFill>
                          <a:blip r:embed="rId220" cstate="email">
                            <a:extLst>
                              <a:ext uri="{BEBA8EAE-BF5A-486C-A8C5-ECC9F3942E4B}">
                                <a14:imgProps xmlns:a14="http://schemas.microsoft.com/office/drawing/2010/main">
                                  <a14:imgLayer r:embed="rId221">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3087825" cy="2214105"/>
                          </a:xfrm>
                          <a:prstGeom prst="rect">
                            <a:avLst/>
                          </a:prstGeom>
                          <a:ln>
                            <a:solidFill>
                              <a:sysClr val="window" lastClr="FFFFFF">
                                <a:lumMod val="50000"/>
                              </a:sysClr>
                            </a:solidFill>
                          </a:ln>
                        </pic:spPr>
                      </pic:pic>
                    </a:graphicData>
                  </a:graphic>
                </wp:inline>
              </w:drawing>
            </w:r>
          </w:p>
        </w:tc>
        <w:tc>
          <w:tcPr>
            <w:tcW w:w="4263" w:type="dxa"/>
          </w:tcPr>
          <w:p w14:paraId="5ADA16C4" w14:textId="77777777" w:rsidR="00606C71" w:rsidRPr="007C5A6E" w:rsidRDefault="00606C71" w:rsidP="009D1E01">
            <w:pPr>
              <w:spacing w:after="0" w:line="240" w:lineRule="auto"/>
              <w:rPr>
                <w:rFonts w:eastAsiaTheme="minorHAnsi"/>
                <w:lang w:eastAsia="en-US"/>
              </w:rPr>
            </w:pPr>
            <w:r w:rsidRPr="007C5A6E">
              <w:rPr>
                <w:rFonts w:eastAsiaTheme="minorHAnsi"/>
                <w:noProof/>
              </w:rPr>
              <w:drawing>
                <wp:inline distT="0" distB="0" distL="0" distR="0" wp14:anchorId="6CA8DCED" wp14:editId="1B84D0C0">
                  <wp:extent cx="2571750" cy="2231390"/>
                  <wp:effectExtent l="0" t="0" r="0" b="0"/>
                  <wp:docPr id="21190330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033070" name=""/>
                          <pic:cNvPicPr/>
                        </pic:nvPicPr>
                        <pic:blipFill>
                          <a:blip r:embed="rId222" cstate="email">
                            <a:extLst>
                              <a:ext uri="{28A0092B-C50C-407E-A947-70E740481C1C}">
                                <a14:useLocalDpi xmlns:a14="http://schemas.microsoft.com/office/drawing/2010/main"/>
                              </a:ext>
                            </a:extLst>
                          </a:blip>
                          <a:stretch>
                            <a:fillRect/>
                          </a:stretch>
                        </pic:blipFill>
                        <pic:spPr>
                          <a:xfrm>
                            <a:off x="0" y="0"/>
                            <a:ext cx="2571750" cy="2231390"/>
                          </a:xfrm>
                          <a:prstGeom prst="rect">
                            <a:avLst/>
                          </a:prstGeom>
                        </pic:spPr>
                      </pic:pic>
                    </a:graphicData>
                  </a:graphic>
                </wp:inline>
              </w:drawing>
            </w:r>
          </w:p>
        </w:tc>
      </w:tr>
    </w:tbl>
    <w:p w14:paraId="5F26BDC9" w14:textId="23AF8F55" w:rsidR="0064424E" w:rsidRPr="007C5A6E" w:rsidRDefault="0064424E" w:rsidP="00540B43">
      <w:pPr>
        <w:autoSpaceDE w:val="0"/>
        <w:autoSpaceDN w:val="0"/>
        <w:adjustRightInd w:val="0"/>
        <w:spacing w:after="0" w:line="240" w:lineRule="auto"/>
        <w:rPr>
          <w:rFonts w:ascii="Times New Roman" w:hAnsi="Times New Roman"/>
          <w:sz w:val="20"/>
          <w:szCs w:val="20"/>
        </w:rPr>
      </w:pPr>
      <w:r w:rsidRPr="007C5A6E">
        <w:rPr>
          <w:rFonts w:ascii="Times New Roman" w:hAnsi="Times New Roman"/>
          <w:sz w:val="20"/>
          <w:szCs w:val="20"/>
        </w:rPr>
        <w:t>(Source : ONU-habitat, 2017)</w:t>
      </w:r>
    </w:p>
    <w:p w14:paraId="6C4BB197" w14:textId="1F7FCCB6" w:rsidR="0064424E" w:rsidRPr="007C5A6E" w:rsidRDefault="0064424E" w:rsidP="00B63F25">
      <w:pPr>
        <w:spacing w:after="0" w:line="240" w:lineRule="auto"/>
        <w:jc w:val="both"/>
        <w:rPr>
          <w:rFonts w:ascii="Times New Roman" w:eastAsiaTheme="minorHAnsi" w:hAnsi="Times New Roman"/>
          <w:i/>
          <w:iCs/>
          <w:kern w:val="2"/>
          <w:sz w:val="24"/>
          <w:szCs w:val="24"/>
          <w:lang w:eastAsia="en-US"/>
          <w14:ligatures w14:val="standardContextual"/>
        </w:rPr>
      </w:pPr>
      <w:bookmarkStart w:id="1452" w:name="_Toc183230939"/>
      <w:bookmarkStart w:id="1453" w:name="_Toc183240729"/>
      <w:bookmarkStart w:id="1454" w:name="_Toc183340468"/>
      <w:r w:rsidRPr="007C5A6E">
        <w:rPr>
          <w:rFonts w:ascii="Times New Roman" w:eastAsiaTheme="minorHAnsi" w:hAnsi="Times New Roman"/>
          <w:i/>
          <w:iCs/>
          <w:kern w:val="2"/>
          <w:sz w:val="24"/>
          <w:szCs w:val="24"/>
          <w:lang w:eastAsia="en-US"/>
          <w14:ligatures w14:val="standardContextual"/>
        </w:rPr>
        <w:t xml:space="preserve">Figure </w:t>
      </w:r>
      <w:r w:rsidRPr="007C5A6E">
        <w:rPr>
          <w:rFonts w:ascii="Times New Roman" w:eastAsiaTheme="minorHAnsi" w:hAnsi="Times New Roman"/>
          <w:i/>
          <w:iCs/>
          <w:kern w:val="2"/>
          <w:sz w:val="24"/>
          <w:szCs w:val="24"/>
          <w:lang w:eastAsia="en-US"/>
          <w14:ligatures w14:val="standardContextual"/>
        </w:rPr>
        <w:fldChar w:fldCharType="begin"/>
      </w:r>
      <w:r w:rsidRPr="007C5A6E">
        <w:rPr>
          <w:rFonts w:ascii="Times New Roman" w:eastAsiaTheme="minorHAnsi" w:hAnsi="Times New Roman"/>
          <w:i/>
          <w:iCs/>
          <w:kern w:val="2"/>
          <w:sz w:val="24"/>
          <w:szCs w:val="24"/>
          <w:lang w:eastAsia="en-US"/>
          <w14:ligatures w14:val="standardContextual"/>
        </w:rPr>
        <w:instrText xml:space="preserve"> SEQ Figure \* ARABIC </w:instrText>
      </w:r>
      <w:r w:rsidRPr="007C5A6E">
        <w:rPr>
          <w:rFonts w:ascii="Times New Roman" w:eastAsiaTheme="minorHAnsi" w:hAnsi="Times New Roman"/>
          <w:i/>
          <w:iCs/>
          <w:kern w:val="2"/>
          <w:sz w:val="24"/>
          <w:szCs w:val="24"/>
          <w:lang w:eastAsia="en-US"/>
          <w14:ligatures w14:val="standardContextual"/>
        </w:rPr>
        <w:fldChar w:fldCharType="separate"/>
      </w:r>
      <w:r w:rsidR="00B63F25" w:rsidRPr="007C5A6E">
        <w:rPr>
          <w:rFonts w:ascii="Times New Roman" w:eastAsiaTheme="minorHAnsi" w:hAnsi="Times New Roman"/>
          <w:i/>
          <w:iCs/>
          <w:noProof/>
          <w:kern w:val="2"/>
          <w:sz w:val="24"/>
          <w:szCs w:val="24"/>
          <w:lang w:eastAsia="en-US"/>
          <w14:ligatures w14:val="standardContextual"/>
        </w:rPr>
        <w:t>89</w:t>
      </w:r>
      <w:r w:rsidRPr="007C5A6E">
        <w:rPr>
          <w:rFonts w:ascii="Times New Roman" w:eastAsiaTheme="minorHAnsi" w:hAnsi="Times New Roman"/>
          <w:i/>
          <w:iCs/>
          <w:kern w:val="2"/>
          <w:sz w:val="24"/>
          <w:szCs w:val="24"/>
          <w:lang w:eastAsia="en-US"/>
          <w14:ligatures w14:val="standardContextual"/>
        </w:rPr>
        <w:fldChar w:fldCharType="end"/>
      </w:r>
      <w:r w:rsidRPr="007C5A6E">
        <w:rPr>
          <w:rFonts w:ascii="Times New Roman" w:eastAsiaTheme="minorHAnsi" w:hAnsi="Times New Roman"/>
          <w:i/>
          <w:iCs/>
          <w:kern w:val="2"/>
          <w:sz w:val="24"/>
          <w:szCs w:val="24"/>
          <w:lang w:eastAsia="en-US"/>
          <w14:ligatures w14:val="standardContextual"/>
        </w:rPr>
        <w:t>. Évolution des taches urbaines des villes de Ouagadougou et Bobo Dioulasso</w:t>
      </w:r>
      <w:bookmarkEnd w:id="1452"/>
      <w:bookmarkEnd w:id="1453"/>
      <w:bookmarkEnd w:id="1454"/>
    </w:p>
    <w:p w14:paraId="16F5A234" w14:textId="77777777" w:rsidR="00B63F25" w:rsidRPr="007C5A6E" w:rsidRDefault="00B63F25" w:rsidP="00B63F25">
      <w:pPr>
        <w:spacing w:after="0" w:line="240" w:lineRule="auto"/>
        <w:jc w:val="both"/>
        <w:rPr>
          <w:rFonts w:ascii="Times New Roman" w:eastAsiaTheme="minorHAnsi" w:hAnsi="Times New Roman"/>
          <w:sz w:val="24"/>
          <w:szCs w:val="24"/>
        </w:rPr>
      </w:pPr>
    </w:p>
    <w:p w14:paraId="4DD52CDB" w14:textId="55FF1A82" w:rsidR="00606C71" w:rsidRPr="007C5A6E" w:rsidRDefault="00606C71" w:rsidP="00B63F25">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En 2017, l’envergure et la structure de Ouagadougou se présentent comme illustrées par la </w:t>
      </w:r>
      <w:r w:rsidR="00975D9A" w:rsidRPr="007C5A6E">
        <w:rPr>
          <w:rFonts w:ascii="Times New Roman" w:eastAsiaTheme="minorHAnsi" w:hAnsi="Times New Roman"/>
          <w:kern w:val="2"/>
          <w:sz w:val="24"/>
          <w:szCs w:val="24"/>
          <w:lang w:eastAsia="en-US"/>
          <w14:ligatures w14:val="standardContextual"/>
        </w:rPr>
        <w:t xml:space="preserve">Figure </w:t>
      </w:r>
      <w:r w:rsidR="00713F33" w:rsidRPr="007C5A6E">
        <w:rPr>
          <w:rFonts w:ascii="Times New Roman" w:eastAsiaTheme="minorHAnsi" w:hAnsi="Times New Roman"/>
          <w:kern w:val="2"/>
          <w:sz w:val="24"/>
          <w:szCs w:val="24"/>
          <w:lang w:eastAsia="en-US"/>
          <w14:ligatures w14:val="standardContextual"/>
        </w:rPr>
        <w:t>9</w:t>
      </w:r>
      <w:r w:rsidR="00B63F25" w:rsidRPr="007C5A6E">
        <w:rPr>
          <w:rFonts w:ascii="Times New Roman" w:eastAsiaTheme="minorHAnsi" w:hAnsi="Times New Roman"/>
          <w:kern w:val="2"/>
          <w:sz w:val="24"/>
          <w:szCs w:val="24"/>
          <w:lang w:eastAsia="en-US"/>
          <w14:ligatures w14:val="standardContextual"/>
        </w:rPr>
        <w:t>0</w:t>
      </w:r>
      <w:r w:rsidRPr="007C5A6E">
        <w:rPr>
          <w:rFonts w:ascii="Times New Roman" w:eastAsiaTheme="minorHAnsi" w:hAnsi="Times New Roman"/>
          <w:sz w:val="24"/>
          <w:szCs w:val="24"/>
        </w:rPr>
        <w:t xml:space="preserve"> ci-après, avec ses problématiques d’habitats spontanés. </w:t>
      </w:r>
    </w:p>
    <w:p w14:paraId="0626B5B7" w14:textId="77777777" w:rsidR="00606C71" w:rsidRPr="007C5A6E" w:rsidRDefault="00606C71" w:rsidP="00540B43">
      <w:pPr>
        <w:spacing w:after="0" w:line="240" w:lineRule="auto"/>
        <w:rPr>
          <w:rFonts w:asciiTheme="minorHAnsi" w:eastAsiaTheme="minorHAnsi" w:hAnsiTheme="minorHAnsi" w:cstheme="minorBidi"/>
          <w:b/>
          <w:bCs/>
          <w:kern w:val="2"/>
          <w:lang w:eastAsia="en-US"/>
          <w14:ligatures w14:val="standardContextual"/>
        </w:rPr>
      </w:pPr>
      <w:r w:rsidRPr="007C5A6E">
        <w:rPr>
          <w:rFonts w:asciiTheme="minorHAnsi" w:eastAsiaTheme="minorHAnsi" w:hAnsiTheme="minorHAnsi" w:cstheme="minorBidi"/>
          <w:b/>
          <w:bCs/>
          <w:kern w:val="2"/>
          <w:lang w:eastAsia="en-US"/>
          <w14:ligatures w14:val="standardContextual"/>
        </w:rPr>
        <w:br w:type="page"/>
      </w:r>
    </w:p>
    <w:tbl>
      <w:tblPr>
        <w:tblStyle w:val="Grilledutableau12"/>
        <w:tblW w:w="0" w:type="auto"/>
        <w:tblLook w:val="04A0" w:firstRow="1" w:lastRow="0" w:firstColumn="1" w:lastColumn="0" w:noHBand="0" w:noVBand="1"/>
      </w:tblPr>
      <w:tblGrid>
        <w:gridCol w:w="9175"/>
      </w:tblGrid>
      <w:tr w:rsidR="00606C71" w:rsidRPr="007C5A6E" w14:paraId="46CD5098" w14:textId="77777777" w:rsidTr="00975D9A">
        <w:tc>
          <w:tcPr>
            <w:tcW w:w="9316" w:type="dxa"/>
          </w:tcPr>
          <w:p w14:paraId="5F1F174A" w14:textId="77777777" w:rsidR="00606C71" w:rsidRPr="007C5A6E" w:rsidRDefault="00606C71" w:rsidP="00540B43">
            <w:pPr>
              <w:spacing w:after="0" w:line="240" w:lineRule="auto"/>
              <w:rPr>
                <w:rFonts w:ascii="Times New Roman" w:eastAsia="SimSun" w:hAnsi="Times New Roman"/>
              </w:rPr>
            </w:pPr>
            <w:r w:rsidRPr="007C5A6E">
              <w:rPr>
                <w:rFonts w:ascii="Times New Roman" w:eastAsia="SimSun" w:hAnsi="Times New Roman"/>
                <w:noProof/>
              </w:rPr>
              <w:drawing>
                <wp:inline distT="0" distB="0" distL="0" distR="0" wp14:anchorId="4EAA27C9" wp14:editId="6B79AF93">
                  <wp:extent cx="5778500" cy="3819525"/>
                  <wp:effectExtent l="0" t="0" r="0" b="9525"/>
                  <wp:docPr id="1934615363" name="Image 1" descr="Une image contenant texte, carte, diagramme, atla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615363" name="Image 1" descr="Une image contenant texte, carte, diagramme, atlas&#10;&#10;Description générée automatiquement"/>
                          <pic:cNvPicPr/>
                        </pic:nvPicPr>
                        <pic:blipFill>
                          <a:blip r:embed="rId223" cstate="email">
                            <a:extLst>
                              <a:ext uri="{BEBA8EAE-BF5A-486C-A8C5-ECC9F3942E4B}">
                                <a14:imgProps xmlns:a14="http://schemas.microsoft.com/office/drawing/2010/main">
                                  <a14:imgLayer r:embed="rId224">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778813" cy="3819732"/>
                          </a:xfrm>
                          <a:prstGeom prst="rect">
                            <a:avLst/>
                          </a:prstGeom>
                        </pic:spPr>
                      </pic:pic>
                    </a:graphicData>
                  </a:graphic>
                </wp:inline>
              </w:drawing>
            </w:r>
          </w:p>
        </w:tc>
      </w:tr>
      <w:tr w:rsidR="00606C71" w:rsidRPr="007C5A6E" w14:paraId="19D47906" w14:textId="77777777" w:rsidTr="00975D9A">
        <w:tc>
          <w:tcPr>
            <w:tcW w:w="9316" w:type="dxa"/>
          </w:tcPr>
          <w:p w14:paraId="4D99A179" w14:textId="77777777" w:rsidR="00606C71" w:rsidRPr="007C5A6E" w:rsidRDefault="00606C71" w:rsidP="00540B43">
            <w:pPr>
              <w:spacing w:after="0" w:line="240" w:lineRule="auto"/>
              <w:rPr>
                <w:rFonts w:ascii="Times New Roman" w:eastAsia="SimSun" w:hAnsi="Times New Roman"/>
              </w:rPr>
            </w:pPr>
            <w:r w:rsidRPr="007C5A6E">
              <w:rPr>
                <w:rFonts w:ascii="Times New Roman" w:eastAsia="SimSun" w:hAnsi="Times New Roman"/>
                <w:noProof/>
              </w:rPr>
              <w:drawing>
                <wp:inline distT="0" distB="0" distL="0" distR="0" wp14:anchorId="561D1F2C" wp14:editId="3594C5AD">
                  <wp:extent cx="5760720" cy="4078605"/>
                  <wp:effectExtent l="0" t="0" r="0" b="0"/>
                  <wp:docPr id="2923871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387164" name=""/>
                          <pic:cNvPicPr/>
                        </pic:nvPicPr>
                        <pic:blipFill>
                          <a:blip r:embed="rId225" cstate="email">
                            <a:extLst>
                              <a:ext uri="{28A0092B-C50C-407E-A947-70E740481C1C}">
                                <a14:useLocalDpi xmlns:a14="http://schemas.microsoft.com/office/drawing/2010/main"/>
                              </a:ext>
                            </a:extLst>
                          </a:blip>
                          <a:stretch>
                            <a:fillRect/>
                          </a:stretch>
                        </pic:blipFill>
                        <pic:spPr>
                          <a:xfrm>
                            <a:off x="0" y="0"/>
                            <a:ext cx="5760720" cy="4078605"/>
                          </a:xfrm>
                          <a:prstGeom prst="rect">
                            <a:avLst/>
                          </a:prstGeom>
                        </pic:spPr>
                      </pic:pic>
                    </a:graphicData>
                  </a:graphic>
                </wp:inline>
              </w:drawing>
            </w:r>
          </w:p>
        </w:tc>
      </w:tr>
    </w:tbl>
    <w:p w14:paraId="05CA7B82" w14:textId="7E65C3AE" w:rsidR="005163AB" w:rsidRPr="007C5A6E" w:rsidRDefault="005163AB" w:rsidP="00540B43">
      <w:pPr>
        <w:autoSpaceDE w:val="0"/>
        <w:autoSpaceDN w:val="0"/>
        <w:adjustRightInd w:val="0"/>
        <w:spacing w:after="0" w:line="240" w:lineRule="auto"/>
        <w:rPr>
          <w:rFonts w:ascii="Times New Roman" w:hAnsi="Times New Roman"/>
          <w:sz w:val="20"/>
          <w:szCs w:val="20"/>
        </w:rPr>
      </w:pPr>
      <w:bookmarkStart w:id="1455" w:name="_Toc183230940"/>
      <w:r w:rsidRPr="007C5A6E">
        <w:rPr>
          <w:rFonts w:ascii="Times New Roman" w:hAnsi="Times New Roman"/>
          <w:sz w:val="20"/>
          <w:szCs w:val="20"/>
        </w:rPr>
        <w:t xml:space="preserve">(Source : </w:t>
      </w:r>
      <w:r w:rsidR="00457B49" w:rsidRPr="007C5A6E">
        <w:rPr>
          <w:rFonts w:ascii="Times New Roman" w:hAnsi="Times New Roman"/>
          <w:sz w:val="20"/>
          <w:szCs w:val="20"/>
        </w:rPr>
        <w:t>cf.</w:t>
      </w:r>
      <w:r w:rsidR="00C0614E" w:rsidRPr="007C5A6E">
        <w:rPr>
          <w:rFonts w:ascii="Times New Roman" w:hAnsi="Times New Roman"/>
          <w:sz w:val="20"/>
          <w:szCs w:val="20"/>
        </w:rPr>
        <w:t xml:space="preserve"> i</w:t>
      </w:r>
      <w:r w:rsidRPr="007C5A6E">
        <w:rPr>
          <w:rFonts w:ascii="Times New Roman" w:hAnsi="Times New Roman"/>
          <w:sz w:val="20"/>
          <w:szCs w:val="20"/>
        </w:rPr>
        <w:t>mage</w:t>
      </w:r>
      <w:r w:rsidR="00457B49" w:rsidRPr="007C5A6E">
        <w:rPr>
          <w:rFonts w:ascii="Times New Roman" w:hAnsi="Times New Roman"/>
          <w:sz w:val="20"/>
          <w:szCs w:val="20"/>
        </w:rPr>
        <w:t>s</w:t>
      </w:r>
      <w:r w:rsidRPr="007C5A6E">
        <w:rPr>
          <w:rFonts w:ascii="Times New Roman" w:hAnsi="Times New Roman"/>
          <w:sz w:val="20"/>
          <w:szCs w:val="20"/>
        </w:rPr>
        <w:t>)</w:t>
      </w:r>
    </w:p>
    <w:p w14:paraId="6E0ADF3D" w14:textId="02C11421" w:rsidR="00975D9A" w:rsidRPr="007C5A6E" w:rsidRDefault="00975D9A" w:rsidP="00B63F25">
      <w:pPr>
        <w:spacing w:after="0" w:line="240" w:lineRule="auto"/>
        <w:jc w:val="both"/>
        <w:rPr>
          <w:rFonts w:ascii="Times New Roman" w:eastAsiaTheme="minorHAnsi" w:hAnsi="Times New Roman"/>
          <w:i/>
          <w:iCs/>
          <w:kern w:val="2"/>
          <w:sz w:val="24"/>
          <w:szCs w:val="24"/>
          <w:lang w:eastAsia="en-US"/>
          <w14:ligatures w14:val="standardContextual"/>
        </w:rPr>
      </w:pPr>
      <w:bookmarkStart w:id="1456" w:name="_Toc183240730"/>
      <w:bookmarkStart w:id="1457" w:name="_Toc183340469"/>
      <w:r w:rsidRPr="007C5A6E">
        <w:rPr>
          <w:rFonts w:ascii="Times New Roman" w:eastAsiaTheme="minorHAnsi" w:hAnsi="Times New Roman"/>
          <w:i/>
          <w:iCs/>
          <w:kern w:val="2"/>
          <w:sz w:val="24"/>
          <w:szCs w:val="24"/>
          <w:lang w:eastAsia="en-US"/>
          <w14:ligatures w14:val="standardContextual"/>
        </w:rPr>
        <w:t xml:space="preserve">Figure </w:t>
      </w:r>
      <w:r w:rsidRPr="007C5A6E">
        <w:rPr>
          <w:rFonts w:ascii="Times New Roman" w:eastAsiaTheme="minorHAnsi" w:hAnsi="Times New Roman"/>
          <w:i/>
          <w:iCs/>
          <w:kern w:val="2"/>
          <w:sz w:val="24"/>
          <w:szCs w:val="24"/>
          <w:lang w:eastAsia="en-US"/>
          <w14:ligatures w14:val="standardContextual"/>
        </w:rPr>
        <w:fldChar w:fldCharType="begin"/>
      </w:r>
      <w:r w:rsidRPr="007C5A6E">
        <w:rPr>
          <w:rFonts w:ascii="Times New Roman" w:eastAsiaTheme="minorHAnsi" w:hAnsi="Times New Roman"/>
          <w:i/>
          <w:iCs/>
          <w:kern w:val="2"/>
          <w:sz w:val="24"/>
          <w:szCs w:val="24"/>
          <w:lang w:eastAsia="en-US"/>
          <w14:ligatures w14:val="standardContextual"/>
        </w:rPr>
        <w:instrText xml:space="preserve"> SEQ Figure \* ARABIC </w:instrText>
      </w:r>
      <w:r w:rsidRPr="007C5A6E">
        <w:rPr>
          <w:rFonts w:ascii="Times New Roman" w:eastAsiaTheme="minorHAnsi" w:hAnsi="Times New Roman"/>
          <w:i/>
          <w:iCs/>
          <w:kern w:val="2"/>
          <w:sz w:val="24"/>
          <w:szCs w:val="24"/>
          <w:lang w:eastAsia="en-US"/>
          <w14:ligatures w14:val="standardContextual"/>
        </w:rPr>
        <w:fldChar w:fldCharType="separate"/>
      </w:r>
      <w:r w:rsidR="00B63F25" w:rsidRPr="007C5A6E">
        <w:rPr>
          <w:rFonts w:ascii="Times New Roman" w:eastAsiaTheme="minorHAnsi" w:hAnsi="Times New Roman"/>
          <w:i/>
          <w:iCs/>
          <w:noProof/>
          <w:kern w:val="2"/>
          <w:sz w:val="24"/>
          <w:szCs w:val="24"/>
          <w:lang w:eastAsia="en-US"/>
          <w14:ligatures w14:val="standardContextual"/>
        </w:rPr>
        <w:t>90</w:t>
      </w:r>
      <w:r w:rsidRPr="007C5A6E">
        <w:rPr>
          <w:rFonts w:ascii="Times New Roman" w:eastAsiaTheme="minorHAnsi" w:hAnsi="Times New Roman"/>
          <w:i/>
          <w:iCs/>
          <w:kern w:val="2"/>
          <w:sz w:val="24"/>
          <w:szCs w:val="24"/>
          <w:lang w:eastAsia="en-US"/>
          <w14:ligatures w14:val="standardContextual"/>
        </w:rPr>
        <w:fldChar w:fldCharType="end"/>
      </w:r>
      <w:r w:rsidRPr="007C5A6E">
        <w:rPr>
          <w:rFonts w:ascii="Times New Roman" w:eastAsiaTheme="minorHAnsi" w:hAnsi="Times New Roman"/>
          <w:i/>
          <w:iCs/>
          <w:kern w:val="2"/>
          <w:sz w:val="24"/>
          <w:szCs w:val="24"/>
          <w:lang w:eastAsia="en-US"/>
          <w14:ligatures w14:val="standardContextual"/>
        </w:rPr>
        <w:t xml:space="preserve">. </w:t>
      </w:r>
      <w:r w:rsidR="00910C96" w:rsidRPr="007C5A6E">
        <w:rPr>
          <w:rFonts w:ascii="Times New Roman" w:eastAsiaTheme="minorHAnsi" w:hAnsi="Times New Roman"/>
          <w:i/>
          <w:iCs/>
          <w:kern w:val="2"/>
          <w:sz w:val="24"/>
          <w:szCs w:val="24"/>
          <w:lang w:eastAsia="en-US"/>
          <w14:ligatures w14:val="standardContextual"/>
        </w:rPr>
        <w:t>Territoire du "Grand Ouaga"</w:t>
      </w:r>
      <w:bookmarkEnd w:id="1455"/>
      <w:bookmarkEnd w:id="1456"/>
      <w:bookmarkEnd w:id="1457"/>
    </w:p>
    <w:p w14:paraId="61DD3EB7" w14:textId="77777777" w:rsidR="00606C71" w:rsidRPr="007C5A6E" w:rsidRDefault="00606C71" w:rsidP="00B63F25">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Quant à la ville de Bobo Dioulasso, elle couvrait une superficie de 13 678 ha (soit 136,8 km²) et comptait, au recensement de 1985, 231 162 habitants. En 2006, cette ville couvrait une superficie de 1 805 km² </w:t>
      </w:r>
      <w:sdt>
        <w:sdtPr>
          <w:rPr>
            <w:rFonts w:ascii="Times New Roman" w:eastAsiaTheme="minorHAnsi" w:hAnsi="Times New Roman"/>
            <w:sz w:val="24"/>
            <w:szCs w:val="24"/>
          </w:rPr>
          <w:id w:val="1184939431"/>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CITATION INS091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(Zida/Bangré, 2009)</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soit une multiplication par 13 en l’espace de 21 ans. </w:t>
      </w:r>
    </w:p>
    <w:p w14:paraId="7FBBE830" w14:textId="77777777" w:rsidR="00606C71" w:rsidRPr="007C5A6E" w:rsidRDefault="00606C71" w:rsidP="00B63F25">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Enfin, il faut noter qu’en général, l’expansion des villes est presque toujours caractérisée par la formation de nouveaux quartiers périphériques. Plus de 40% des nouveaux quartiers développés dans les principales villes du Burkina Faso depuis 2010 sont des zones résidentielles informelles (SNADDT, 2017). </w:t>
      </w:r>
    </w:p>
    <w:p w14:paraId="6E1D9894" w14:textId="77777777" w:rsidR="00B63F25" w:rsidRPr="007C5A6E" w:rsidRDefault="00B63F25" w:rsidP="00B63F25">
      <w:pPr>
        <w:spacing w:after="0" w:line="240" w:lineRule="auto"/>
        <w:jc w:val="both"/>
        <w:rPr>
          <w:rFonts w:ascii="Times New Roman" w:eastAsiaTheme="minorHAnsi" w:hAnsi="Times New Roman"/>
          <w:sz w:val="24"/>
          <w:szCs w:val="24"/>
        </w:rPr>
      </w:pPr>
    </w:p>
    <w:p w14:paraId="66C7875A" w14:textId="77777777" w:rsidR="00606C71" w:rsidRPr="007C5A6E" w:rsidRDefault="00606C71" w:rsidP="00540B43">
      <w:pPr>
        <w:pStyle w:val="Titre4"/>
      </w:pPr>
      <w:bookmarkStart w:id="1458" w:name="_Toc178951918"/>
      <w:bookmarkStart w:id="1459" w:name="_Toc176973797"/>
      <w:bookmarkStart w:id="1460" w:name="_Toc177649421"/>
      <w:bookmarkStart w:id="1461" w:name="_Toc179043977"/>
      <w:bookmarkStart w:id="1462" w:name="_Toc183340312"/>
      <w:bookmarkStart w:id="1463" w:name="_Toc176443997"/>
      <w:bookmarkEnd w:id="1458"/>
      <w:r w:rsidRPr="007C5A6E">
        <w:t>Mobilité urbaine</w:t>
      </w:r>
      <w:bookmarkEnd w:id="1459"/>
      <w:bookmarkEnd w:id="1460"/>
      <w:bookmarkEnd w:id="1461"/>
      <w:bookmarkEnd w:id="1462"/>
      <w:r w:rsidRPr="007C5A6E">
        <w:t xml:space="preserve"> </w:t>
      </w:r>
      <w:bookmarkEnd w:id="1463"/>
    </w:p>
    <w:p w14:paraId="0FA062BD"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p>
    <w:p w14:paraId="16F89460" w14:textId="77777777"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La mobilité urbaine au Burkina Faso est confrontée à divers défis. En général, le réseau routier, bien que relativement développé dans les grandes villes, souffre d'un manque d'entretien et d'une forte congestion, surtout aux heures de pointe </w:t>
      </w:r>
      <w:sdt>
        <w:sdtPr>
          <w:rPr>
            <w:rFonts w:ascii="Times New Roman" w:eastAsiaTheme="minorHAnsi" w:hAnsi="Times New Roman"/>
            <w:sz w:val="24"/>
            <w:szCs w:val="24"/>
          </w:rPr>
          <w:id w:val="664143644"/>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CITATION Sta03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(Bamas &amp; Marie, 2003)</w:t>
          </w:r>
          <w:r w:rsidRPr="007C5A6E">
            <w:rPr>
              <w:rFonts w:ascii="Times New Roman" w:eastAsiaTheme="minorHAnsi" w:hAnsi="Times New Roman"/>
              <w:sz w:val="24"/>
              <w:szCs w:val="24"/>
            </w:rPr>
            <w:fldChar w:fldCharType="end"/>
          </w:r>
          <w:r w:rsidRPr="007C5A6E">
            <w:rPr>
              <w:rFonts w:ascii="Times New Roman" w:eastAsiaTheme="minorHAnsi" w:hAnsi="Times New Roman"/>
              <w:sz w:val="24"/>
              <w:szCs w:val="24"/>
            </w:rPr>
            <w:t> ;</w:t>
          </w:r>
        </w:sdtContent>
      </w:sdt>
      <w:r w:rsidRPr="007C5A6E">
        <w:rPr>
          <w:rFonts w:ascii="Times New Roman" w:eastAsiaTheme="minorHAnsi" w:hAnsi="Times New Roman"/>
          <w:sz w:val="24"/>
          <w:szCs w:val="24"/>
        </w:rPr>
        <w:t xml:space="preserve"> </w:t>
      </w:r>
      <w:sdt>
        <w:sdtPr>
          <w:rPr>
            <w:rFonts w:ascii="Times New Roman" w:eastAsiaTheme="minorHAnsi" w:hAnsi="Times New Roman"/>
            <w:sz w:val="24"/>
            <w:szCs w:val="24"/>
          </w:rPr>
          <w:id w:val="-110517469"/>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SSA21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(SSATP, 2021)</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w:t>
      </w:r>
    </w:p>
    <w:p w14:paraId="1A80850A" w14:textId="77777777" w:rsidR="00B63F25" w:rsidRPr="007C5A6E" w:rsidRDefault="00B63F25" w:rsidP="00B63F25">
      <w:pPr>
        <w:spacing w:after="0" w:line="240" w:lineRule="auto"/>
        <w:jc w:val="both"/>
        <w:rPr>
          <w:rFonts w:ascii="Times New Roman" w:eastAsiaTheme="minorHAnsi" w:hAnsi="Times New Roman"/>
          <w:sz w:val="24"/>
          <w:szCs w:val="24"/>
        </w:rPr>
      </w:pPr>
    </w:p>
    <w:p w14:paraId="5960E4B1" w14:textId="3807B391"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En général, l'accès aux infrastructures de transport reste inégal, en défaveur des zones périphériques, notamment les quartiers périphériques. En effet, dans le contexte actuel, le développement des infrastructures de transport a du mal à suivre le rythme de l'expansion urbaine </w:t>
      </w:r>
      <w:sdt>
        <w:sdtPr>
          <w:rPr>
            <w:rFonts w:ascii="Times New Roman" w:eastAsiaTheme="minorHAnsi" w:hAnsi="Times New Roman"/>
            <w:sz w:val="24"/>
            <w:szCs w:val="24"/>
          </w:rPr>
          <w:id w:val="34706933"/>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Bol17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(Boly, 2017)</w:t>
          </w:r>
          <w:r w:rsidRPr="007C5A6E">
            <w:rPr>
              <w:rFonts w:ascii="Times New Roman" w:eastAsiaTheme="minorHAnsi" w:hAnsi="Times New Roman"/>
              <w:sz w:val="24"/>
              <w:szCs w:val="24"/>
            </w:rPr>
            <w:fldChar w:fldCharType="end"/>
          </w:r>
          <w:r w:rsidRPr="007C5A6E">
            <w:rPr>
              <w:rFonts w:ascii="Times New Roman" w:eastAsiaTheme="minorHAnsi" w:hAnsi="Times New Roman"/>
              <w:sz w:val="24"/>
              <w:szCs w:val="24"/>
            </w:rPr>
            <w:t> ;</w:t>
          </w:r>
        </w:sdtContent>
      </w:sdt>
      <w:r w:rsidRPr="007C5A6E">
        <w:rPr>
          <w:rFonts w:ascii="Times New Roman" w:eastAsiaTheme="minorHAnsi" w:hAnsi="Times New Roman"/>
          <w:sz w:val="24"/>
          <w:szCs w:val="24"/>
        </w:rPr>
        <w:t xml:space="preserve"> </w:t>
      </w:r>
      <w:sdt>
        <w:sdtPr>
          <w:rPr>
            <w:rFonts w:ascii="Times New Roman" w:eastAsiaTheme="minorHAnsi" w:hAnsi="Times New Roman"/>
            <w:sz w:val="24"/>
            <w:szCs w:val="24"/>
          </w:rPr>
          <w:id w:val="404423079"/>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AMM17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(AMMA, 2017)</w:t>
          </w:r>
          <w:r w:rsidRPr="007C5A6E">
            <w:rPr>
              <w:rFonts w:ascii="Times New Roman" w:eastAsiaTheme="minorHAnsi" w:hAnsi="Times New Roman"/>
              <w:sz w:val="24"/>
              <w:szCs w:val="24"/>
            </w:rPr>
            <w:fldChar w:fldCharType="end"/>
          </w:r>
          <w:r w:rsidRPr="007C5A6E">
            <w:rPr>
              <w:rFonts w:ascii="Times New Roman" w:eastAsiaTheme="minorHAnsi" w:hAnsi="Times New Roman"/>
              <w:sz w:val="24"/>
              <w:szCs w:val="24"/>
            </w:rPr>
            <w:t> ;</w:t>
          </w:r>
        </w:sdtContent>
      </w:sdt>
      <w:r w:rsidRPr="007C5A6E">
        <w:rPr>
          <w:rFonts w:ascii="Times New Roman" w:eastAsiaTheme="minorHAnsi" w:hAnsi="Times New Roman"/>
          <w:sz w:val="24"/>
          <w:szCs w:val="24"/>
        </w:rPr>
        <w:t xml:space="preserve"> </w:t>
      </w:r>
      <w:sdt>
        <w:sdtPr>
          <w:rPr>
            <w:rFonts w:ascii="Times New Roman" w:eastAsiaTheme="minorHAnsi" w:hAnsi="Times New Roman"/>
            <w:sz w:val="24"/>
            <w:szCs w:val="24"/>
          </w:rPr>
          <w:id w:val="1292860182"/>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CITATION INS22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(INSD, 2022b)</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Les zones périphériques, où l'étalement urbain est le plus marqué, sont souvent mal desservies par des routes goudronnées ou des réseaux de transport public, ce qui pousse les résidents à se tourner vers les taxis-motos qui encombrent les voies </w:t>
      </w:r>
      <w:sdt>
        <w:sdtPr>
          <w:rPr>
            <w:rFonts w:ascii="Times New Roman" w:eastAsiaTheme="minorHAnsi" w:hAnsi="Times New Roman"/>
            <w:sz w:val="24"/>
            <w:szCs w:val="24"/>
          </w:rPr>
          <w:id w:val="-1212575010"/>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SSA21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(SSATP, 2021)</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Ces moyens de transport informels jouent un rôle central dans la mobilité urbaine, mais souffrent de problèmes de sécurité. </w:t>
      </w:r>
    </w:p>
    <w:p w14:paraId="1C86E5B8" w14:textId="77777777" w:rsidR="00B63F25" w:rsidRPr="007C5A6E" w:rsidRDefault="00B63F25" w:rsidP="00B63F25">
      <w:pPr>
        <w:spacing w:after="0" w:line="240" w:lineRule="auto"/>
        <w:jc w:val="both"/>
        <w:rPr>
          <w:rFonts w:ascii="Times New Roman" w:eastAsiaTheme="minorHAnsi" w:hAnsi="Times New Roman"/>
          <w:sz w:val="24"/>
          <w:szCs w:val="24"/>
        </w:rPr>
      </w:pPr>
    </w:p>
    <w:p w14:paraId="75322E84" w14:textId="610CA4F5"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La mobilité urbaine au Burkina Faso souffre également de la culture de l’usage du moyen de déplacement personnel aussi bien pour les deux roues que les quatre roues </w:t>
      </w:r>
      <w:sdt>
        <w:sdtPr>
          <w:rPr>
            <w:rFonts w:ascii="Times New Roman" w:eastAsiaTheme="minorHAnsi" w:hAnsi="Times New Roman"/>
            <w:sz w:val="24"/>
            <w:szCs w:val="24"/>
          </w:rPr>
          <w:id w:val="-2066251041"/>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Sta03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(Bamas &amp; Marie, 2003)</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En 1984, la création de la Régie nationale de transport en commun dénommée X9 n’a pas transformé les habitudes (cf. </w:t>
      </w:r>
      <w:r w:rsidR="00857E11" w:rsidRPr="007C5A6E">
        <w:rPr>
          <w:rFonts w:ascii="Times New Roman" w:eastAsiaTheme="minorHAnsi" w:hAnsi="Times New Roman"/>
          <w:sz w:val="24"/>
          <w:szCs w:val="24"/>
        </w:rPr>
        <w:t>figure</w:t>
      </w:r>
      <w:r w:rsidRPr="007C5A6E">
        <w:rPr>
          <w:rFonts w:ascii="Times New Roman" w:eastAsiaTheme="minorHAnsi" w:hAnsi="Times New Roman"/>
          <w:sz w:val="24"/>
          <w:szCs w:val="24"/>
        </w:rPr>
        <w:t> </w:t>
      </w:r>
      <w:r w:rsidR="00857E11" w:rsidRPr="007C5A6E">
        <w:rPr>
          <w:rFonts w:ascii="Times New Roman" w:eastAsiaTheme="minorHAnsi" w:hAnsi="Times New Roman"/>
          <w:sz w:val="24"/>
          <w:szCs w:val="24"/>
        </w:rPr>
        <w:t>9</w:t>
      </w:r>
      <w:r w:rsidR="00B63F25" w:rsidRPr="007C5A6E">
        <w:rPr>
          <w:rFonts w:ascii="Times New Roman" w:eastAsiaTheme="minorHAnsi" w:hAnsi="Times New Roman"/>
          <w:sz w:val="24"/>
          <w:szCs w:val="24"/>
        </w:rPr>
        <w:t>1</w:t>
      </w:r>
      <w:r w:rsidRPr="007C5A6E">
        <w:rPr>
          <w:rFonts w:ascii="Times New Roman" w:eastAsiaTheme="minorHAnsi" w:hAnsi="Times New Roman"/>
          <w:sz w:val="24"/>
          <w:szCs w:val="24"/>
        </w:rPr>
        <w:t xml:space="preserve">). Les transports collectifs ne représentaient que 4% de l’ensemble des déplacements motorisés en 1987 </w:t>
      </w:r>
      <w:sdt>
        <w:sdtPr>
          <w:rPr>
            <w:rFonts w:ascii="Times New Roman" w:eastAsiaTheme="minorHAnsi" w:hAnsi="Times New Roman"/>
            <w:sz w:val="24"/>
            <w:szCs w:val="24"/>
          </w:rPr>
          <w:id w:val="-1649743556"/>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JPT89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(Taroux, 1989)</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En 1992, les résultats de l’enquête ménage ont confirmé la part marginale des transports collectifs avec 3% de l’ensemble des déplacements, marche comprise. Ce taux est passé à 7% en 2017, selon l’étude menée par Boyer &amp; Delaunay (2017). </w:t>
      </w:r>
    </w:p>
    <w:p w14:paraId="36F90B6A" w14:textId="77777777" w:rsidR="00606C71" w:rsidRPr="007C5A6E" w:rsidRDefault="00606C71" w:rsidP="00540B43">
      <w:pPr>
        <w:spacing w:after="0" w:line="240" w:lineRule="auto"/>
        <w:rPr>
          <w:rFonts w:ascii="Times New Roman" w:eastAsiaTheme="minorHAnsi" w:hAnsi="Times New Roman"/>
          <w:color w:val="002060"/>
          <w:sz w:val="24"/>
          <w:szCs w:val="24"/>
        </w:rPr>
      </w:pPr>
      <w:r w:rsidRPr="007C5A6E">
        <w:rPr>
          <w:rFonts w:ascii="Arial" w:eastAsiaTheme="minorHAnsi" w:hAnsi="Arial" w:cs="Arial"/>
          <w:noProof/>
          <w:kern w:val="2"/>
          <w:sz w:val="20"/>
          <w:szCs w:val="20"/>
          <w14:ligatures w14:val="standardContextual"/>
        </w:rPr>
        <w:drawing>
          <wp:inline distT="0" distB="0" distL="0" distR="0" wp14:anchorId="10A92100" wp14:editId="6EE6275F">
            <wp:extent cx="5751162" cy="2752725"/>
            <wp:effectExtent l="19050" t="19050" r="21590" b="9525"/>
            <wp:docPr id="1727695269" name="Image 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695269" name="Image 23" descr="Image"/>
                    <pic:cNvPicPr>
                      <a:picLocks noChangeAspect="1" noChangeArrowheads="1"/>
                    </pic:cNvPicPr>
                  </pic:nvPicPr>
                  <pic:blipFill>
                    <a:blip r:embed="rId226" cstate="email">
                      <a:extLst>
                        <a:ext uri="{BEBA8EAE-BF5A-486C-A8C5-ECC9F3942E4B}">
                          <a14:imgProps xmlns:a14="http://schemas.microsoft.com/office/drawing/2010/main">
                            <a14:imgLayer r:embed="rId227">
                              <a14:imgEffect>
                                <a14:sharpenSoften amount="50000"/>
                              </a14:imgEffect>
                            </a14:imgLayer>
                          </a14:imgProps>
                        </a:ext>
                        <a:ext uri="{28A0092B-C50C-407E-A947-70E740481C1C}">
                          <a14:useLocalDpi xmlns:a14="http://schemas.microsoft.com/office/drawing/2010/main"/>
                        </a:ext>
                      </a:extLst>
                    </a:blip>
                    <a:srcRect/>
                    <a:stretch>
                      <a:fillRect/>
                    </a:stretch>
                  </pic:blipFill>
                  <pic:spPr>
                    <a:xfrm>
                      <a:off x="0" y="0"/>
                      <a:ext cx="5786109" cy="2769452"/>
                    </a:xfrm>
                    <a:prstGeom prst="rect">
                      <a:avLst/>
                    </a:prstGeom>
                    <a:noFill/>
                    <a:ln>
                      <a:solidFill>
                        <a:sysClr val="window" lastClr="FFFFFF">
                          <a:lumMod val="50000"/>
                        </a:sysClr>
                      </a:solidFill>
                    </a:ln>
                  </pic:spPr>
                </pic:pic>
              </a:graphicData>
            </a:graphic>
          </wp:inline>
        </w:drawing>
      </w:r>
    </w:p>
    <w:p w14:paraId="5CFE5664" w14:textId="77777777" w:rsidR="00457B49" w:rsidRPr="007C5A6E" w:rsidRDefault="00457B49" w:rsidP="00540B43">
      <w:pPr>
        <w:autoSpaceDE w:val="0"/>
        <w:autoSpaceDN w:val="0"/>
        <w:adjustRightInd w:val="0"/>
        <w:spacing w:after="0" w:line="240" w:lineRule="auto"/>
        <w:rPr>
          <w:rFonts w:ascii="Times New Roman" w:hAnsi="Times New Roman"/>
          <w:sz w:val="20"/>
          <w:szCs w:val="20"/>
        </w:rPr>
      </w:pPr>
      <w:r w:rsidRPr="007C5A6E">
        <w:rPr>
          <w:rFonts w:ascii="Times New Roman" w:hAnsi="Times New Roman"/>
          <w:sz w:val="20"/>
          <w:szCs w:val="20"/>
        </w:rPr>
        <w:t>(Source : cf. images)</w:t>
      </w:r>
    </w:p>
    <w:p w14:paraId="24452D45" w14:textId="209A286D" w:rsidR="00457B49" w:rsidRPr="007C5A6E" w:rsidRDefault="00457B49" w:rsidP="00B63F25">
      <w:pPr>
        <w:spacing w:after="0" w:line="240" w:lineRule="auto"/>
        <w:jc w:val="both"/>
        <w:rPr>
          <w:rFonts w:ascii="Times New Roman" w:eastAsiaTheme="minorHAnsi" w:hAnsi="Times New Roman"/>
          <w:i/>
          <w:iCs/>
          <w:kern w:val="2"/>
          <w:sz w:val="24"/>
          <w:szCs w:val="24"/>
          <w:lang w:eastAsia="en-US"/>
          <w14:ligatures w14:val="standardContextual"/>
        </w:rPr>
      </w:pPr>
      <w:bookmarkStart w:id="1464" w:name="_Toc183240731"/>
      <w:bookmarkStart w:id="1465" w:name="_Toc183340470"/>
      <w:r w:rsidRPr="007C5A6E">
        <w:rPr>
          <w:rFonts w:ascii="Times New Roman" w:eastAsiaTheme="minorHAnsi" w:hAnsi="Times New Roman"/>
          <w:i/>
          <w:iCs/>
          <w:kern w:val="2"/>
          <w:sz w:val="24"/>
          <w:szCs w:val="24"/>
          <w:lang w:eastAsia="en-US"/>
          <w14:ligatures w14:val="standardContextual"/>
        </w:rPr>
        <w:t xml:space="preserve">Figure </w:t>
      </w:r>
      <w:r w:rsidRPr="007C5A6E">
        <w:rPr>
          <w:rFonts w:ascii="Times New Roman" w:eastAsiaTheme="minorHAnsi" w:hAnsi="Times New Roman"/>
          <w:i/>
          <w:iCs/>
          <w:kern w:val="2"/>
          <w:sz w:val="24"/>
          <w:szCs w:val="24"/>
          <w:lang w:eastAsia="en-US"/>
          <w14:ligatures w14:val="standardContextual"/>
        </w:rPr>
        <w:fldChar w:fldCharType="begin"/>
      </w:r>
      <w:r w:rsidRPr="007C5A6E">
        <w:rPr>
          <w:rFonts w:ascii="Times New Roman" w:eastAsiaTheme="minorHAnsi" w:hAnsi="Times New Roman"/>
          <w:i/>
          <w:iCs/>
          <w:kern w:val="2"/>
          <w:sz w:val="24"/>
          <w:szCs w:val="24"/>
          <w:lang w:eastAsia="en-US"/>
          <w14:ligatures w14:val="standardContextual"/>
        </w:rPr>
        <w:instrText xml:space="preserve"> SEQ Figure \* ARABIC </w:instrText>
      </w:r>
      <w:r w:rsidRPr="007C5A6E">
        <w:rPr>
          <w:rFonts w:ascii="Times New Roman" w:eastAsiaTheme="minorHAnsi" w:hAnsi="Times New Roman"/>
          <w:i/>
          <w:iCs/>
          <w:kern w:val="2"/>
          <w:sz w:val="24"/>
          <w:szCs w:val="24"/>
          <w:lang w:eastAsia="en-US"/>
          <w14:ligatures w14:val="standardContextual"/>
        </w:rPr>
        <w:fldChar w:fldCharType="separate"/>
      </w:r>
      <w:r w:rsidR="00B63F25" w:rsidRPr="007C5A6E">
        <w:rPr>
          <w:rFonts w:ascii="Times New Roman" w:eastAsiaTheme="minorHAnsi" w:hAnsi="Times New Roman"/>
          <w:i/>
          <w:iCs/>
          <w:noProof/>
          <w:kern w:val="2"/>
          <w:sz w:val="24"/>
          <w:szCs w:val="24"/>
          <w:lang w:eastAsia="en-US"/>
          <w14:ligatures w14:val="standardContextual"/>
        </w:rPr>
        <w:t>91</w:t>
      </w:r>
      <w:r w:rsidRPr="007C5A6E">
        <w:rPr>
          <w:rFonts w:ascii="Times New Roman" w:eastAsiaTheme="minorHAnsi" w:hAnsi="Times New Roman"/>
          <w:i/>
          <w:iCs/>
          <w:kern w:val="2"/>
          <w:sz w:val="24"/>
          <w:szCs w:val="24"/>
          <w:lang w:eastAsia="en-US"/>
          <w14:ligatures w14:val="standardContextual"/>
        </w:rPr>
        <w:fldChar w:fldCharType="end"/>
      </w:r>
      <w:r w:rsidRPr="007C5A6E">
        <w:rPr>
          <w:rFonts w:ascii="Times New Roman" w:eastAsiaTheme="minorHAnsi" w:hAnsi="Times New Roman"/>
          <w:i/>
          <w:iCs/>
          <w:kern w:val="2"/>
          <w:sz w:val="24"/>
          <w:szCs w:val="24"/>
          <w:lang w:eastAsia="en-US"/>
          <w14:ligatures w14:val="standardContextual"/>
        </w:rPr>
        <w:t>. Proportion des usagers des transports collectifs selon l’âge</w:t>
      </w:r>
      <w:bookmarkEnd w:id="1464"/>
      <w:bookmarkEnd w:id="1465"/>
    </w:p>
    <w:p w14:paraId="0B37C0F8" w14:textId="2A7AB3B4" w:rsidR="00606C71" w:rsidRPr="007C5A6E" w:rsidRDefault="00606C71" w:rsidP="00B63F25">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Du fait de l’individualisation historique des moyens de transport, le moyen de déplacement le plus remarquable en circulation, notamment à Ouagadougou, est l’engin à deux roues. Ainsi, « 80% des déplacements se font sur un deux-roues (motos et vélos). Sur 100 personnes qui circulent, 66 sont à moto, 16 en auto, 15 à vélo et 5 en taxi/minibus/bus/poids lourds/charrettes/tricycles » selon Chaumier &amp; </w:t>
      </w:r>
      <w:proofErr w:type="spellStart"/>
      <w:r w:rsidRPr="007C5A6E">
        <w:rPr>
          <w:rFonts w:ascii="Times New Roman" w:eastAsiaTheme="minorHAnsi" w:hAnsi="Times New Roman"/>
          <w:sz w:val="24"/>
          <w:szCs w:val="24"/>
        </w:rPr>
        <w:t>Guigma</w:t>
      </w:r>
      <w:proofErr w:type="spellEnd"/>
      <w:r w:rsidRPr="007C5A6E">
        <w:rPr>
          <w:rFonts w:ascii="Times New Roman" w:eastAsiaTheme="minorHAnsi" w:hAnsi="Times New Roman"/>
          <w:sz w:val="24"/>
          <w:szCs w:val="24"/>
        </w:rPr>
        <w:t xml:space="preserve"> (2015). </w:t>
      </w:r>
    </w:p>
    <w:p w14:paraId="5C4AB04A" w14:textId="77777777" w:rsidR="00B63F25" w:rsidRPr="007C5A6E" w:rsidRDefault="00B63F25" w:rsidP="00B63F25">
      <w:pPr>
        <w:spacing w:after="0" w:line="240" w:lineRule="auto"/>
        <w:jc w:val="both"/>
        <w:rPr>
          <w:rFonts w:ascii="Times New Roman" w:eastAsiaTheme="minorHAnsi" w:hAnsi="Times New Roman"/>
          <w:sz w:val="24"/>
          <w:szCs w:val="24"/>
        </w:rPr>
      </w:pPr>
    </w:p>
    <w:p w14:paraId="74F2AD4D" w14:textId="4D62D414" w:rsidR="00606C71" w:rsidRPr="007C5A6E" w:rsidRDefault="00606C71" w:rsidP="00B63F25">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En 2009, comme le montre </w:t>
      </w:r>
      <w:r w:rsidR="00B63F25" w:rsidRPr="007C5A6E">
        <w:rPr>
          <w:rFonts w:ascii="Times New Roman" w:eastAsiaTheme="minorHAnsi" w:hAnsi="Times New Roman"/>
          <w:sz w:val="24"/>
          <w:szCs w:val="24"/>
        </w:rPr>
        <w:t>la figure ci-dessous</w:t>
      </w:r>
      <w:r w:rsidRPr="007C5A6E">
        <w:rPr>
          <w:rFonts w:ascii="Times New Roman" w:eastAsiaTheme="minorHAnsi" w:hAnsi="Times New Roman"/>
          <w:sz w:val="24"/>
          <w:szCs w:val="24"/>
        </w:rPr>
        <w:t xml:space="preserve">, tous moyens confondus, un peu plus de la moitié des Ouagalais de plus de 5 ans possèdent un moyen de transport, 57% selon l’étude de Boyer &amp; Delaunay (2017). </w:t>
      </w:r>
      <w:bookmarkStart w:id="1466" w:name="_Toc177649598"/>
    </w:p>
    <w:bookmarkEnd w:id="1466"/>
    <w:p w14:paraId="2657EB8C" w14:textId="77777777" w:rsidR="00606C71" w:rsidRPr="007C5A6E" w:rsidRDefault="00606C71" w:rsidP="00540B43">
      <w:pPr>
        <w:spacing w:after="0" w:line="240" w:lineRule="auto"/>
        <w:rPr>
          <w:rFonts w:ascii="Times New Roman" w:eastAsiaTheme="minorHAnsi" w:hAnsi="Times New Roman"/>
          <w:color w:val="002060"/>
          <w:sz w:val="24"/>
          <w:szCs w:val="24"/>
        </w:rPr>
      </w:pPr>
      <w:r w:rsidRPr="007C5A6E">
        <w:rPr>
          <w:rFonts w:ascii="Arial" w:eastAsiaTheme="minorHAnsi" w:hAnsi="Arial" w:cs="Arial"/>
          <w:noProof/>
          <w:kern w:val="2"/>
          <w:sz w:val="20"/>
          <w:szCs w:val="20"/>
          <w14:ligatures w14:val="standardContextual"/>
        </w:rPr>
        <w:drawing>
          <wp:inline distT="0" distB="0" distL="0" distR="0" wp14:anchorId="656CE7D9" wp14:editId="3951FB1B">
            <wp:extent cx="5713385" cy="2924175"/>
            <wp:effectExtent l="19050" t="19050" r="20955" b="9525"/>
            <wp:docPr id="2883496" name="Image 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496" name="Image 24" descr="Image"/>
                    <pic:cNvPicPr>
                      <a:picLocks noChangeAspect="1" noChangeArrowheads="1"/>
                    </pic:cNvPicPr>
                  </pic:nvPicPr>
                  <pic:blipFill>
                    <a:blip r:embed="rId228" cstate="email">
                      <a:extLst>
                        <a:ext uri="{BEBA8EAE-BF5A-486C-A8C5-ECC9F3942E4B}">
                          <a14:imgProps xmlns:a14="http://schemas.microsoft.com/office/drawing/2010/main">
                            <a14:imgLayer r:embed="rId229">
                              <a14:imgEffect>
                                <a14:sharpenSoften amount="50000"/>
                              </a14:imgEffect>
                            </a14:imgLayer>
                          </a14:imgProps>
                        </a:ext>
                        <a:ext uri="{28A0092B-C50C-407E-A947-70E740481C1C}">
                          <a14:useLocalDpi xmlns:a14="http://schemas.microsoft.com/office/drawing/2010/main"/>
                        </a:ext>
                      </a:extLst>
                    </a:blip>
                    <a:srcRect/>
                    <a:stretch>
                      <a:fillRect/>
                    </a:stretch>
                  </pic:blipFill>
                  <pic:spPr>
                    <a:xfrm>
                      <a:off x="0" y="0"/>
                      <a:ext cx="5729104" cy="2932220"/>
                    </a:xfrm>
                    <a:prstGeom prst="rect">
                      <a:avLst/>
                    </a:prstGeom>
                    <a:noFill/>
                    <a:ln>
                      <a:solidFill>
                        <a:sysClr val="window" lastClr="FFFFFF">
                          <a:lumMod val="50000"/>
                        </a:sysClr>
                      </a:solidFill>
                    </a:ln>
                  </pic:spPr>
                </pic:pic>
              </a:graphicData>
            </a:graphic>
          </wp:inline>
        </w:drawing>
      </w:r>
    </w:p>
    <w:p w14:paraId="126EFB23" w14:textId="77777777" w:rsidR="00857E11" w:rsidRPr="007C5A6E" w:rsidRDefault="00857E11" w:rsidP="00540B43">
      <w:pPr>
        <w:autoSpaceDE w:val="0"/>
        <w:autoSpaceDN w:val="0"/>
        <w:adjustRightInd w:val="0"/>
        <w:spacing w:after="0" w:line="240" w:lineRule="auto"/>
        <w:rPr>
          <w:rFonts w:ascii="Times New Roman" w:hAnsi="Times New Roman"/>
          <w:sz w:val="20"/>
          <w:szCs w:val="20"/>
        </w:rPr>
      </w:pPr>
      <w:r w:rsidRPr="007C5A6E">
        <w:rPr>
          <w:rFonts w:ascii="Times New Roman" w:hAnsi="Times New Roman"/>
          <w:sz w:val="20"/>
          <w:szCs w:val="20"/>
        </w:rPr>
        <w:t>(Source : cf. images)</w:t>
      </w:r>
    </w:p>
    <w:p w14:paraId="46A53BDD" w14:textId="10F6EF0A" w:rsidR="00857E11" w:rsidRPr="007C5A6E" w:rsidRDefault="00857E11" w:rsidP="00B63F25">
      <w:pPr>
        <w:spacing w:after="0" w:line="240" w:lineRule="auto"/>
        <w:jc w:val="both"/>
        <w:rPr>
          <w:rFonts w:ascii="Times New Roman" w:eastAsiaTheme="minorHAnsi" w:hAnsi="Times New Roman"/>
          <w:i/>
          <w:iCs/>
          <w:kern w:val="2"/>
          <w:sz w:val="24"/>
          <w:szCs w:val="24"/>
          <w:lang w:eastAsia="en-US"/>
          <w14:ligatures w14:val="standardContextual"/>
        </w:rPr>
      </w:pPr>
      <w:bookmarkStart w:id="1467" w:name="_Toc183240732"/>
      <w:bookmarkStart w:id="1468" w:name="_Toc183340471"/>
      <w:r w:rsidRPr="007C5A6E">
        <w:rPr>
          <w:rFonts w:ascii="Times New Roman" w:eastAsiaTheme="minorHAnsi" w:hAnsi="Times New Roman"/>
          <w:i/>
          <w:iCs/>
          <w:kern w:val="2"/>
          <w:sz w:val="24"/>
          <w:szCs w:val="24"/>
          <w:lang w:eastAsia="en-US"/>
          <w14:ligatures w14:val="standardContextual"/>
        </w:rPr>
        <w:t xml:space="preserve">Figure </w:t>
      </w:r>
      <w:r w:rsidRPr="007C5A6E">
        <w:rPr>
          <w:rFonts w:ascii="Times New Roman" w:eastAsiaTheme="minorHAnsi" w:hAnsi="Times New Roman"/>
          <w:i/>
          <w:iCs/>
          <w:kern w:val="2"/>
          <w:sz w:val="24"/>
          <w:szCs w:val="24"/>
          <w:lang w:eastAsia="en-US"/>
          <w14:ligatures w14:val="standardContextual"/>
        </w:rPr>
        <w:fldChar w:fldCharType="begin"/>
      </w:r>
      <w:r w:rsidRPr="007C5A6E">
        <w:rPr>
          <w:rFonts w:ascii="Times New Roman" w:eastAsiaTheme="minorHAnsi" w:hAnsi="Times New Roman"/>
          <w:i/>
          <w:iCs/>
          <w:kern w:val="2"/>
          <w:sz w:val="24"/>
          <w:szCs w:val="24"/>
          <w:lang w:eastAsia="en-US"/>
          <w14:ligatures w14:val="standardContextual"/>
        </w:rPr>
        <w:instrText xml:space="preserve"> SEQ Figure \* ARABIC </w:instrText>
      </w:r>
      <w:r w:rsidRPr="007C5A6E">
        <w:rPr>
          <w:rFonts w:ascii="Times New Roman" w:eastAsiaTheme="minorHAnsi" w:hAnsi="Times New Roman"/>
          <w:i/>
          <w:iCs/>
          <w:kern w:val="2"/>
          <w:sz w:val="24"/>
          <w:szCs w:val="24"/>
          <w:lang w:eastAsia="en-US"/>
          <w14:ligatures w14:val="standardContextual"/>
        </w:rPr>
        <w:fldChar w:fldCharType="separate"/>
      </w:r>
      <w:r w:rsidR="00B63F25" w:rsidRPr="007C5A6E">
        <w:rPr>
          <w:rFonts w:ascii="Times New Roman" w:eastAsiaTheme="minorHAnsi" w:hAnsi="Times New Roman"/>
          <w:i/>
          <w:iCs/>
          <w:noProof/>
          <w:kern w:val="2"/>
          <w:sz w:val="24"/>
          <w:szCs w:val="24"/>
          <w:lang w:eastAsia="en-US"/>
          <w14:ligatures w14:val="standardContextual"/>
        </w:rPr>
        <w:t>92</w:t>
      </w:r>
      <w:r w:rsidRPr="007C5A6E">
        <w:rPr>
          <w:rFonts w:ascii="Times New Roman" w:eastAsiaTheme="minorHAnsi" w:hAnsi="Times New Roman"/>
          <w:i/>
          <w:iCs/>
          <w:kern w:val="2"/>
          <w:sz w:val="24"/>
          <w:szCs w:val="24"/>
          <w:lang w:eastAsia="en-US"/>
          <w14:ligatures w14:val="standardContextual"/>
        </w:rPr>
        <w:fldChar w:fldCharType="end"/>
      </w:r>
      <w:r w:rsidRPr="007C5A6E">
        <w:rPr>
          <w:rFonts w:ascii="Times New Roman" w:eastAsiaTheme="minorHAnsi" w:hAnsi="Times New Roman"/>
          <w:i/>
          <w:iCs/>
          <w:kern w:val="2"/>
          <w:sz w:val="24"/>
          <w:szCs w:val="24"/>
          <w:lang w:eastAsia="en-US"/>
          <w14:ligatures w14:val="standardContextual"/>
        </w:rPr>
        <w:t>. Équipement de moyens de transport selon l’âge et le sexe</w:t>
      </w:r>
      <w:bookmarkEnd w:id="1467"/>
      <w:bookmarkEnd w:id="1468"/>
    </w:p>
    <w:p w14:paraId="422B65ED" w14:textId="77777777" w:rsidR="00B63F25" w:rsidRPr="007C5A6E" w:rsidRDefault="00B63F25" w:rsidP="00B63F25">
      <w:pPr>
        <w:spacing w:after="0" w:line="240" w:lineRule="auto"/>
        <w:jc w:val="both"/>
        <w:rPr>
          <w:rFonts w:ascii="Times New Roman" w:eastAsiaTheme="minorHAnsi" w:hAnsi="Times New Roman"/>
          <w:sz w:val="24"/>
          <w:szCs w:val="24"/>
        </w:rPr>
      </w:pPr>
    </w:p>
    <w:p w14:paraId="15F42A09" w14:textId="6080A449"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La tendance historique à l’individualisation des moyens de transport, efficace sur de courtes distances, provoque toute des congestions croissantes sur les routes, particulièrement dans les centres urbains mal équipés pour absorber de tels volumes de trafic. Ce modèle de mobilité soulève des questions de durabilité, car la dépendance aux véhicules motorisés intensifie la pollution et l'empreinte carbone de villes burkinabè. </w:t>
      </w:r>
    </w:p>
    <w:p w14:paraId="3D4D0D67" w14:textId="77777777" w:rsidR="00B63F25" w:rsidRPr="007C5A6E" w:rsidRDefault="00B63F25" w:rsidP="00B63F25">
      <w:pPr>
        <w:spacing w:after="0" w:line="240" w:lineRule="auto"/>
        <w:jc w:val="both"/>
        <w:rPr>
          <w:rFonts w:ascii="Times New Roman" w:eastAsiaTheme="minorHAnsi" w:hAnsi="Times New Roman"/>
          <w:sz w:val="24"/>
          <w:szCs w:val="24"/>
        </w:rPr>
      </w:pPr>
    </w:p>
    <w:p w14:paraId="52FD5C62" w14:textId="5CEE4EAC" w:rsidR="00606C71" w:rsidRPr="007C5A6E" w:rsidRDefault="00606C71" w:rsidP="00540B43">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Le Projet de mobilité et de développement urbain des villes secondaires (PMDUVS) vise à améliorer cette situation en renforçant les infrastructures routières et les moyens de transport public. Ce projet devrait permettre d'améliorer les connexions entre les quartiers périphériques et le centre-ville, tout en réduisant la congestion dans les centres urbains les plus dynamiques. Mais, comme mentionné plus haut, la problématique de son applicabilité et de son application reste posée. </w:t>
      </w:r>
    </w:p>
    <w:p w14:paraId="30E8F08B" w14:textId="77777777" w:rsidR="00B63F25" w:rsidRPr="007C5A6E" w:rsidRDefault="00B63F25" w:rsidP="00B63F25">
      <w:pPr>
        <w:spacing w:after="0" w:line="240" w:lineRule="auto"/>
        <w:jc w:val="both"/>
        <w:rPr>
          <w:rFonts w:ascii="Times New Roman" w:eastAsiaTheme="minorHAnsi" w:hAnsi="Times New Roman"/>
          <w:sz w:val="24"/>
          <w:szCs w:val="24"/>
        </w:rPr>
      </w:pPr>
    </w:p>
    <w:p w14:paraId="5CCDEF85" w14:textId="77777777" w:rsidR="00606C71" w:rsidRPr="007C5A6E" w:rsidRDefault="00606C71" w:rsidP="00540B43">
      <w:pPr>
        <w:pStyle w:val="Titre3"/>
      </w:pPr>
      <w:bookmarkStart w:id="1469" w:name="_Toc176973798"/>
      <w:bookmarkStart w:id="1470" w:name="_Toc177649422"/>
      <w:bookmarkStart w:id="1471" w:name="_Toc179043978"/>
      <w:bookmarkStart w:id="1472" w:name="_Toc183340313"/>
      <w:r w:rsidRPr="007C5A6E">
        <w:t>Cartographie et évolution de la pauvreté urbaine</w:t>
      </w:r>
      <w:bookmarkEnd w:id="1469"/>
      <w:bookmarkEnd w:id="1470"/>
      <w:bookmarkEnd w:id="1471"/>
      <w:bookmarkEnd w:id="1472"/>
    </w:p>
    <w:p w14:paraId="636AABF0" w14:textId="77777777" w:rsidR="00606C71" w:rsidRPr="007C5A6E" w:rsidRDefault="00606C71" w:rsidP="00540B43">
      <w:pPr>
        <w:spacing w:after="0" w:line="240" w:lineRule="auto"/>
        <w:rPr>
          <w:rFonts w:asciiTheme="minorHAnsi" w:eastAsiaTheme="minorHAnsi" w:hAnsiTheme="minorHAnsi" w:cstheme="minorBidi"/>
          <w:kern w:val="2"/>
          <w14:ligatures w14:val="standardContextual"/>
        </w:rPr>
      </w:pPr>
    </w:p>
    <w:p w14:paraId="0E53023D" w14:textId="77777777" w:rsidR="00606C71" w:rsidRPr="007C5A6E" w:rsidRDefault="00606C71" w:rsidP="00540B43">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La cartographie et l’évolution de la pauvreté urbaine révèlent les défis auxquels sont confrontées les populations en situation de pauvreté en milieu urbain. Dans le contexte du Burkina Faso, cette section se penche sur les conditions de vie, les problèmes de logement, et les conditions spécifiques de logement dans les zones urbaines défavorisées, afin de mieux comprendre les enjeux actuels et de proposer des pistes d’amélioration.</w:t>
      </w:r>
    </w:p>
    <w:p w14:paraId="21898ECA" w14:textId="77777777" w:rsidR="00606C71" w:rsidRPr="007C5A6E" w:rsidRDefault="00606C71" w:rsidP="00540B43">
      <w:pPr>
        <w:pStyle w:val="Titre4"/>
      </w:pPr>
      <w:bookmarkStart w:id="1473" w:name="_Toc177649423"/>
      <w:bookmarkStart w:id="1474" w:name="_Toc179043979"/>
      <w:bookmarkStart w:id="1475" w:name="_Toc183340314"/>
      <w:bookmarkStart w:id="1476" w:name="_Toc176444001"/>
      <w:bookmarkStart w:id="1477" w:name="_Toc176973799"/>
      <w:r w:rsidRPr="007C5A6E">
        <w:t>Accès aux services sociaux de base</w:t>
      </w:r>
      <w:bookmarkEnd w:id="1473"/>
      <w:bookmarkEnd w:id="1474"/>
      <w:bookmarkEnd w:id="1475"/>
      <w:r w:rsidRPr="007C5A6E">
        <w:t xml:space="preserve"> </w:t>
      </w:r>
      <w:bookmarkEnd w:id="1476"/>
      <w:bookmarkEnd w:id="1477"/>
    </w:p>
    <w:p w14:paraId="3537B0CD"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p>
    <w:p w14:paraId="34868503" w14:textId="77777777"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Au Burkina Faso, les zones urbaines défavorisées, constituées de la périphérie des villes et des quartiers non lotis, sont confrontées à des conditions de vie précaires qui affectent gravement la qualité de vie de leurs habitants. L'accès à l'eau potable, l'assainissement, l'accès à la santé, et l'éducation sont parmi les principaux défis rencontrés.</w:t>
      </w:r>
    </w:p>
    <w:p w14:paraId="2CDC1654" w14:textId="53F73500" w:rsidR="00B63F25" w:rsidRPr="007C5A6E" w:rsidRDefault="00606C71" w:rsidP="00540B43">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Selon les données d</w:t>
      </w:r>
      <w:r w:rsidR="00C0188A" w:rsidRPr="007C5A6E">
        <w:rPr>
          <w:rFonts w:ascii="Times New Roman" w:eastAsiaTheme="minorHAnsi" w:hAnsi="Times New Roman"/>
          <w:sz w:val="24"/>
          <w:szCs w:val="24"/>
        </w:rPr>
        <w:t>e la</w:t>
      </w:r>
      <w:r w:rsidRPr="007C5A6E">
        <w:rPr>
          <w:rFonts w:ascii="Times New Roman" w:eastAsiaTheme="minorHAnsi" w:hAnsi="Times New Roman"/>
          <w:sz w:val="24"/>
          <w:szCs w:val="24"/>
        </w:rPr>
        <w:t xml:space="preserve"> </w:t>
      </w:r>
      <w:r w:rsidR="00C0188A" w:rsidRPr="007C5A6E">
        <w:rPr>
          <w:rFonts w:ascii="Times New Roman" w:eastAsiaTheme="minorHAnsi" w:hAnsi="Times New Roman"/>
          <w:sz w:val="24"/>
          <w:szCs w:val="24"/>
        </w:rPr>
        <w:t>figure 9</w:t>
      </w:r>
      <w:r w:rsidR="00B63F25" w:rsidRPr="007C5A6E">
        <w:rPr>
          <w:rFonts w:ascii="Times New Roman" w:eastAsiaTheme="minorHAnsi" w:hAnsi="Times New Roman"/>
          <w:sz w:val="24"/>
          <w:szCs w:val="24"/>
        </w:rPr>
        <w:t>3</w:t>
      </w:r>
      <w:r w:rsidRPr="007C5A6E">
        <w:rPr>
          <w:rFonts w:ascii="Times New Roman" w:eastAsiaTheme="minorHAnsi" w:hAnsi="Times New Roman"/>
          <w:sz w:val="24"/>
          <w:szCs w:val="24"/>
        </w:rPr>
        <w:t xml:space="preserve"> ci-dessous, avec une tendance générale à la baisse, l'accès à l'eau potable en milieu urbain connaît une variabilité significative entre 2003 et 2018.</w:t>
      </w:r>
    </w:p>
    <w:p w14:paraId="27A98415" w14:textId="0D2DB096" w:rsidR="00606C71" w:rsidRPr="007C5A6E" w:rsidRDefault="00606C71" w:rsidP="00B63F25">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 </w:t>
      </w:r>
    </w:p>
    <w:p w14:paraId="11478E77" w14:textId="77777777" w:rsidR="00606C71" w:rsidRPr="007C5A6E" w:rsidRDefault="00606C71" w:rsidP="00540B43">
      <w:pPr>
        <w:spacing w:after="0" w:line="240" w:lineRule="auto"/>
        <w:rPr>
          <w:rFonts w:ascii="Times New Roman" w:eastAsiaTheme="minorHAnsi" w:hAnsi="Times New Roman"/>
          <w:color w:val="002060"/>
          <w:sz w:val="24"/>
          <w:szCs w:val="24"/>
        </w:rPr>
      </w:pPr>
      <w:r w:rsidRPr="007C5A6E">
        <w:rPr>
          <w:rFonts w:asciiTheme="minorHAnsi" w:eastAsiaTheme="minorHAnsi" w:hAnsiTheme="minorHAnsi" w:cstheme="minorBidi"/>
          <w:noProof/>
          <w:kern w:val="2"/>
          <w14:ligatures w14:val="standardContextual"/>
        </w:rPr>
        <w:drawing>
          <wp:inline distT="0" distB="0" distL="0" distR="0" wp14:anchorId="1C3FB384" wp14:editId="011A811A">
            <wp:extent cx="5762625" cy="2943225"/>
            <wp:effectExtent l="0" t="0" r="9525" b="9525"/>
            <wp:docPr id="999472511"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p w14:paraId="0A7D2549" w14:textId="07E1CB95" w:rsidR="00C0188A" w:rsidRPr="007C5A6E" w:rsidRDefault="00C0188A" w:rsidP="00540B43">
      <w:pPr>
        <w:autoSpaceDE w:val="0"/>
        <w:autoSpaceDN w:val="0"/>
        <w:adjustRightInd w:val="0"/>
        <w:spacing w:after="0" w:line="240" w:lineRule="auto"/>
        <w:rPr>
          <w:rFonts w:ascii="Times New Roman" w:hAnsi="Times New Roman"/>
          <w:sz w:val="20"/>
          <w:szCs w:val="20"/>
          <w:lang w:val="en-US"/>
        </w:rPr>
      </w:pPr>
      <w:r w:rsidRPr="007C5A6E">
        <w:rPr>
          <w:rFonts w:ascii="Times New Roman" w:hAnsi="Times New Roman"/>
          <w:sz w:val="20"/>
          <w:szCs w:val="20"/>
          <w:lang w:val="en-US"/>
        </w:rPr>
        <w:t>(</w:t>
      </w:r>
      <w:proofErr w:type="gramStart"/>
      <w:r w:rsidRPr="007C5A6E">
        <w:rPr>
          <w:rFonts w:ascii="Times New Roman" w:hAnsi="Times New Roman"/>
          <w:sz w:val="20"/>
          <w:szCs w:val="20"/>
          <w:lang w:val="en-US"/>
        </w:rPr>
        <w:t>Source :</w:t>
      </w:r>
      <w:proofErr w:type="gramEnd"/>
      <w:r w:rsidRPr="007C5A6E">
        <w:rPr>
          <w:rFonts w:ascii="Times New Roman" w:hAnsi="Times New Roman"/>
          <w:sz w:val="20"/>
          <w:szCs w:val="20"/>
          <w:lang w:val="en-US"/>
        </w:rPr>
        <w:t xml:space="preserve"> INSD-(1994-2022), CNS-2024, </w:t>
      </w:r>
      <w:proofErr w:type="spellStart"/>
      <w:r w:rsidRPr="007C5A6E">
        <w:rPr>
          <w:rFonts w:ascii="Times New Roman" w:hAnsi="Times New Roman"/>
          <w:sz w:val="20"/>
          <w:szCs w:val="20"/>
          <w:lang w:val="en-US"/>
        </w:rPr>
        <w:t>OpenData</w:t>
      </w:r>
      <w:proofErr w:type="spellEnd"/>
      <w:r w:rsidRPr="007C5A6E">
        <w:rPr>
          <w:rFonts w:ascii="Times New Roman" w:hAnsi="Times New Roman"/>
          <w:sz w:val="20"/>
          <w:szCs w:val="20"/>
          <w:lang w:val="en-US"/>
        </w:rPr>
        <w:t xml:space="preserve"> for Africa)</w:t>
      </w:r>
    </w:p>
    <w:p w14:paraId="7E0C0C26" w14:textId="5D9A6C45" w:rsidR="00C0188A" w:rsidRPr="007C5A6E" w:rsidRDefault="00C0188A" w:rsidP="00B63F25">
      <w:pPr>
        <w:spacing w:after="0" w:line="240" w:lineRule="auto"/>
        <w:jc w:val="both"/>
        <w:rPr>
          <w:rFonts w:ascii="Times New Roman" w:eastAsiaTheme="minorHAnsi" w:hAnsi="Times New Roman"/>
          <w:i/>
          <w:iCs/>
          <w:kern w:val="2"/>
          <w:sz w:val="24"/>
          <w:szCs w:val="24"/>
          <w:lang w:eastAsia="en-US"/>
          <w14:ligatures w14:val="standardContextual"/>
        </w:rPr>
      </w:pPr>
      <w:bookmarkStart w:id="1478" w:name="_Toc183240733"/>
      <w:bookmarkStart w:id="1479" w:name="_Toc183340472"/>
      <w:r w:rsidRPr="007C5A6E">
        <w:rPr>
          <w:rFonts w:ascii="Times New Roman" w:eastAsiaTheme="minorHAnsi" w:hAnsi="Times New Roman"/>
          <w:i/>
          <w:iCs/>
          <w:kern w:val="2"/>
          <w:sz w:val="24"/>
          <w:szCs w:val="24"/>
          <w:lang w:eastAsia="en-US"/>
          <w14:ligatures w14:val="standardContextual"/>
        </w:rPr>
        <w:t xml:space="preserve">Figure </w:t>
      </w:r>
      <w:r w:rsidRPr="007C5A6E">
        <w:rPr>
          <w:rFonts w:ascii="Times New Roman" w:eastAsiaTheme="minorHAnsi" w:hAnsi="Times New Roman"/>
          <w:i/>
          <w:iCs/>
          <w:kern w:val="2"/>
          <w:sz w:val="24"/>
          <w:szCs w:val="24"/>
          <w:lang w:eastAsia="en-US"/>
          <w14:ligatures w14:val="standardContextual"/>
        </w:rPr>
        <w:fldChar w:fldCharType="begin"/>
      </w:r>
      <w:r w:rsidRPr="007C5A6E">
        <w:rPr>
          <w:rFonts w:ascii="Times New Roman" w:eastAsiaTheme="minorHAnsi" w:hAnsi="Times New Roman"/>
          <w:i/>
          <w:iCs/>
          <w:kern w:val="2"/>
          <w:sz w:val="24"/>
          <w:szCs w:val="24"/>
          <w:lang w:eastAsia="en-US"/>
          <w14:ligatures w14:val="standardContextual"/>
        </w:rPr>
        <w:instrText xml:space="preserve"> SEQ Figure \* ARABIC </w:instrText>
      </w:r>
      <w:r w:rsidRPr="007C5A6E">
        <w:rPr>
          <w:rFonts w:ascii="Times New Roman" w:eastAsiaTheme="minorHAnsi" w:hAnsi="Times New Roman"/>
          <w:i/>
          <w:iCs/>
          <w:kern w:val="2"/>
          <w:sz w:val="24"/>
          <w:szCs w:val="24"/>
          <w:lang w:eastAsia="en-US"/>
          <w14:ligatures w14:val="standardContextual"/>
        </w:rPr>
        <w:fldChar w:fldCharType="separate"/>
      </w:r>
      <w:r w:rsidR="00B63F25" w:rsidRPr="007C5A6E">
        <w:rPr>
          <w:rFonts w:ascii="Times New Roman" w:eastAsiaTheme="minorHAnsi" w:hAnsi="Times New Roman"/>
          <w:i/>
          <w:iCs/>
          <w:noProof/>
          <w:kern w:val="2"/>
          <w:sz w:val="24"/>
          <w:szCs w:val="24"/>
          <w:lang w:eastAsia="en-US"/>
          <w14:ligatures w14:val="standardContextual"/>
        </w:rPr>
        <w:t>93</w:t>
      </w:r>
      <w:r w:rsidRPr="007C5A6E">
        <w:rPr>
          <w:rFonts w:ascii="Times New Roman" w:eastAsiaTheme="minorHAnsi" w:hAnsi="Times New Roman"/>
          <w:i/>
          <w:iCs/>
          <w:kern w:val="2"/>
          <w:sz w:val="24"/>
          <w:szCs w:val="24"/>
          <w:lang w:eastAsia="en-US"/>
          <w14:ligatures w14:val="standardContextual"/>
        </w:rPr>
        <w:fldChar w:fldCharType="end"/>
      </w:r>
      <w:r w:rsidRPr="007C5A6E">
        <w:rPr>
          <w:rFonts w:ascii="Times New Roman" w:eastAsiaTheme="minorHAnsi" w:hAnsi="Times New Roman"/>
          <w:i/>
          <w:iCs/>
          <w:kern w:val="2"/>
          <w:sz w:val="24"/>
          <w:szCs w:val="24"/>
          <w:lang w:eastAsia="en-US"/>
          <w14:ligatures w14:val="standardContextual"/>
        </w:rPr>
        <w:t>. Évolution du taux d’accès à l’eau potable selon le milieu de résidence</w:t>
      </w:r>
      <w:bookmarkEnd w:id="1478"/>
      <w:bookmarkEnd w:id="1479"/>
    </w:p>
    <w:p w14:paraId="4F5C8387" w14:textId="77777777" w:rsidR="00B63F25" w:rsidRPr="007C5A6E" w:rsidRDefault="00B63F25" w:rsidP="00B63F25">
      <w:pPr>
        <w:spacing w:after="0" w:line="240" w:lineRule="auto"/>
        <w:jc w:val="both"/>
        <w:rPr>
          <w:rFonts w:ascii="Times New Roman" w:eastAsiaTheme="minorHAnsi" w:hAnsi="Times New Roman"/>
          <w:sz w:val="24"/>
          <w:szCs w:val="24"/>
        </w:rPr>
      </w:pPr>
    </w:p>
    <w:p w14:paraId="5656C1B3" w14:textId="25412606"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En 2003, l'accès était à 97,5% et a légèrement fluctué, atteignant son point le plus bas en 2010 à 84,3%. Il s'est ensuite redressé, atteignant 97,4% en 2017 avant de redescendre à 94,9% en 2018. </w:t>
      </w:r>
    </w:p>
    <w:p w14:paraId="5951C79E" w14:textId="77777777"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Au regard des efforts considérables déployés par l’État à travers les politiques et les investissements en la matière, ces fluctuations dans l'accès à peuvent être attribuées à la croissance démographique et l’urbanisation accélérée. Et, les systèmes d'approvisionnement en eau ont du mal à suivre le rythme de cette accélération, créant des inégalités dans la distribution à l’échelle des villes et des milieux.</w:t>
      </w:r>
    </w:p>
    <w:p w14:paraId="3163EAAA" w14:textId="1D6E3858"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À l’échelle des villes, l’accès à l’eau potable varie fortement, avec des disparités notables entre les centres-villes, les zones périurbaines, et les zones non loties (Fournet, Meunier-</w:t>
      </w:r>
      <w:proofErr w:type="spellStart"/>
      <w:r w:rsidRPr="007C5A6E">
        <w:rPr>
          <w:rFonts w:ascii="Times New Roman" w:eastAsiaTheme="minorHAnsi" w:hAnsi="Times New Roman"/>
          <w:sz w:val="24"/>
          <w:szCs w:val="24"/>
        </w:rPr>
        <w:t>Nikiema</w:t>
      </w:r>
      <w:proofErr w:type="spellEnd"/>
      <w:r w:rsidRPr="007C5A6E">
        <w:rPr>
          <w:rFonts w:ascii="Times New Roman" w:eastAsiaTheme="minorHAnsi" w:hAnsi="Times New Roman"/>
          <w:sz w:val="24"/>
          <w:szCs w:val="24"/>
        </w:rPr>
        <w:t xml:space="preserve">, &amp; Salem, 2008 ; INSD, 2022 ; ONU-Habitat, 2023). Les zones loties bénéficient d’un taux d’accès supérieur à 90%, tandis que dans les quartiers non lotis, ce taux chute à 37%, soit un écart de 53 points de pourcentage. </w:t>
      </w:r>
    </w:p>
    <w:p w14:paraId="612E55AC" w14:textId="7AB658A0" w:rsidR="00606C71" w:rsidRPr="007C5A6E" w:rsidRDefault="00606C71" w:rsidP="009D1E01">
      <w:pPr>
        <w:spacing w:after="0" w:line="240" w:lineRule="auto"/>
        <w:jc w:val="both"/>
        <w:rPr>
          <w:rFonts w:asciiTheme="minorHAnsi" w:eastAsiaTheme="minorHAnsi" w:hAnsiTheme="minorHAnsi" w:cstheme="minorBidi"/>
          <w:b/>
          <w:bCs/>
          <w:kern w:val="2"/>
          <w:lang w:eastAsia="en-US"/>
          <w14:ligatures w14:val="standardContextual"/>
        </w:rPr>
      </w:pPr>
      <w:r w:rsidRPr="007C5A6E">
        <w:rPr>
          <w:rFonts w:ascii="Times New Roman" w:eastAsiaTheme="minorHAnsi" w:hAnsi="Times New Roman"/>
          <w:sz w:val="24"/>
          <w:szCs w:val="24"/>
        </w:rPr>
        <w:t xml:space="preserve">En 2019, au secteur 19 de Bobo Dioulasso, le taux d’accès à une source d’eau améliorée est compris entre 50% et 60% alors que ce taux d’environ 90% pour l’ensemble de la ville. Les cartes suivantes (cf. </w:t>
      </w:r>
      <w:r w:rsidR="00FD62E2" w:rsidRPr="007C5A6E">
        <w:rPr>
          <w:rFonts w:ascii="Times New Roman" w:eastAsiaTheme="minorHAnsi" w:hAnsi="Times New Roman"/>
          <w:sz w:val="24"/>
          <w:szCs w:val="24"/>
        </w:rPr>
        <w:t xml:space="preserve">figure </w:t>
      </w:r>
      <w:r w:rsidR="004F2A81" w:rsidRPr="007C5A6E">
        <w:rPr>
          <w:rFonts w:ascii="Times New Roman" w:eastAsiaTheme="minorHAnsi" w:hAnsi="Times New Roman"/>
          <w:sz w:val="24"/>
          <w:szCs w:val="24"/>
        </w:rPr>
        <w:t>9</w:t>
      </w:r>
      <w:r w:rsidR="00B63F25" w:rsidRPr="007C5A6E">
        <w:rPr>
          <w:rFonts w:ascii="Times New Roman" w:eastAsiaTheme="minorHAnsi" w:hAnsi="Times New Roman"/>
          <w:sz w:val="24"/>
          <w:szCs w:val="24"/>
        </w:rPr>
        <w:t>4</w:t>
      </w:r>
      <w:r w:rsidRPr="007C5A6E">
        <w:rPr>
          <w:rFonts w:ascii="Times New Roman" w:eastAsiaTheme="minorHAnsi" w:hAnsi="Times New Roman"/>
          <w:sz w:val="24"/>
          <w:szCs w:val="24"/>
        </w:rPr>
        <w:t>) illustrent spatialement les disparités d’accès à une source d’eau améliorée pour les villes de Ouagadougou et Bobo Dioulasso selon les estimations de l’INSD (2019).</w:t>
      </w:r>
      <w:r w:rsidRPr="007C5A6E">
        <w:rPr>
          <w:rFonts w:asciiTheme="minorHAnsi" w:eastAsiaTheme="minorHAnsi" w:hAnsiTheme="minorHAnsi" w:cstheme="minorBidi"/>
          <w:kern w:val="2"/>
          <w:lang w:eastAsia="en-US"/>
          <w14:ligatures w14:val="standardContextual"/>
        </w:rPr>
        <w:t xml:space="preserve"> </w:t>
      </w:r>
      <w:r w:rsidRPr="007C5A6E">
        <w:rPr>
          <w:rFonts w:asciiTheme="minorHAnsi" w:eastAsiaTheme="minorHAnsi" w:hAnsiTheme="minorHAnsi" w:cstheme="minorBidi"/>
          <w:b/>
          <w:bCs/>
          <w:kern w:val="2"/>
          <w:lang w:eastAsia="en-US"/>
          <w14:ligatures w14:val="standardContextual"/>
        </w:rPr>
        <w:br w:type="page"/>
      </w:r>
    </w:p>
    <w:p w14:paraId="49998020" w14:textId="576A1B5A"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bookmarkStart w:id="1480" w:name="_Toc179043663"/>
      <w:r w:rsidRPr="007C5A6E">
        <w:rPr>
          <w:rFonts w:asciiTheme="minorHAnsi" w:eastAsiaTheme="minorHAnsi" w:hAnsiTheme="minorHAnsi" w:cstheme="minorBidi"/>
          <w:b/>
          <w:bCs/>
          <w:kern w:val="2"/>
          <w:lang w:eastAsia="en-US"/>
          <w14:ligatures w14:val="standardContextual"/>
        </w:rPr>
        <w:t>Carte </w:t>
      </w:r>
      <w:r w:rsidRPr="007C5A6E">
        <w:rPr>
          <w:rFonts w:asciiTheme="minorHAnsi" w:eastAsiaTheme="minorHAnsi" w:hAnsiTheme="minorHAnsi" w:cstheme="minorBidi"/>
          <w:b/>
          <w:bCs/>
          <w:kern w:val="2"/>
          <w:lang w:eastAsia="en-US"/>
          <w14:ligatures w14:val="standardContextual"/>
        </w:rPr>
        <w:fldChar w:fldCharType="begin"/>
      </w:r>
      <w:r w:rsidRPr="007C5A6E">
        <w:rPr>
          <w:rFonts w:asciiTheme="minorHAnsi" w:eastAsiaTheme="minorHAnsi" w:hAnsiTheme="minorHAnsi" w:cstheme="minorBidi"/>
          <w:b/>
          <w:bCs/>
          <w:kern w:val="2"/>
          <w:lang w:eastAsia="en-US"/>
          <w14:ligatures w14:val="standardContextual"/>
        </w:rPr>
        <w:instrText xml:space="preserve"> SEQ Carte \* ARABIC </w:instrText>
      </w:r>
      <w:r w:rsidRPr="007C5A6E">
        <w:rPr>
          <w:rFonts w:asciiTheme="minorHAnsi" w:eastAsiaTheme="minorHAnsi" w:hAnsiTheme="minorHAnsi" w:cstheme="minorBidi"/>
          <w:b/>
          <w:bCs/>
          <w:kern w:val="2"/>
          <w:lang w:eastAsia="en-US"/>
          <w14:ligatures w14:val="standardContextual"/>
        </w:rPr>
        <w:fldChar w:fldCharType="separate"/>
      </w:r>
      <w:r w:rsidRPr="007C5A6E">
        <w:rPr>
          <w:rFonts w:asciiTheme="minorHAnsi" w:eastAsiaTheme="minorHAnsi" w:hAnsiTheme="minorHAnsi" w:cstheme="minorBidi"/>
          <w:b/>
          <w:bCs/>
          <w:kern w:val="2"/>
          <w:lang w:eastAsia="en-US"/>
          <w14:ligatures w14:val="standardContextual"/>
        </w:rPr>
        <w:t>4</w:t>
      </w:r>
      <w:r w:rsidRPr="007C5A6E">
        <w:rPr>
          <w:rFonts w:asciiTheme="minorHAnsi" w:eastAsiaTheme="minorHAnsi" w:hAnsiTheme="minorHAnsi" w:cstheme="minorBidi"/>
          <w:b/>
          <w:bCs/>
          <w:kern w:val="2"/>
          <w:lang w:eastAsia="en-US"/>
          <w14:ligatures w14:val="standardContextual"/>
        </w:rPr>
        <w:fldChar w:fldCharType="end"/>
      </w:r>
      <w:r w:rsidRPr="007C5A6E">
        <w:rPr>
          <w:rFonts w:asciiTheme="minorHAnsi" w:eastAsiaTheme="minorHAnsi" w:hAnsiTheme="minorHAnsi" w:cstheme="minorBidi"/>
          <w:b/>
          <w:bCs/>
          <w:kern w:val="2"/>
          <w:lang w:eastAsia="en-US"/>
          <w14:ligatures w14:val="standardContextual"/>
        </w:rPr>
        <w:t xml:space="preserve"> : </w:t>
      </w:r>
      <w:bookmarkEnd w:id="1480"/>
    </w:p>
    <w:tbl>
      <w:tblPr>
        <w:tblStyle w:val="Grilledutableau12"/>
        <w:tblW w:w="0" w:type="auto"/>
        <w:tblLook w:val="04A0" w:firstRow="1" w:lastRow="0" w:firstColumn="1" w:lastColumn="0" w:noHBand="0" w:noVBand="1"/>
      </w:tblPr>
      <w:tblGrid>
        <w:gridCol w:w="4536"/>
        <w:gridCol w:w="4536"/>
      </w:tblGrid>
      <w:tr w:rsidR="00606C71" w:rsidRPr="007C5A6E" w14:paraId="79D996F9" w14:textId="77777777" w:rsidTr="00C0188A">
        <w:tc>
          <w:tcPr>
            <w:tcW w:w="4536" w:type="dxa"/>
          </w:tcPr>
          <w:p w14:paraId="20D520E5" w14:textId="77777777" w:rsidR="00606C71" w:rsidRPr="007C5A6E" w:rsidRDefault="00606C71" w:rsidP="00540B43">
            <w:pPr>
              <w:spacing w:after="0" w:line="240" w:lineRule="auto"/>
              <w:rPr>
                <w:rFonts w:ascii="Times New Roman" w:eastAsia="SimSun" w:hAnsi="Times New Roman"/>
                <w:b/>
                <w:bCs/>
              </w:rPr>
            </w:pPr>
            <w:r w:rsidRPr="007C5A6E">
              <w:rPr>
                <w:rFonts w:ascii="Times New Roman" w:eastAsia="SimSun" w:hAnsi="Times New Roman"/>
                <w:b/>
                <w:bCs/>
              </w:rPr>
              <w:t>Bobo Dioulasso</w:t>
            </w:r>
          </w:p>
        </w:tc>
        <w:tc>
          <w:tcPr>
            <w:tcW w:w="4536" w:type="dxa"/>
          </w:tcPr>
          <w:p w14:paraId="2B5BBFCB" w14:textId="77777777" w:rsidR="00606C71" w:rsidRPr="007C5A6E" w:rsidRDefault="00606C71" w:rsidP="00540B43">
            <w:pPr>
              <w:spacing w:after="0" w:line="240" w:lineRule="auto"/>
              <w:rPr>
                <w:rFonts w:ascii="Times New Roman" w:eastAsia="SimSun" w:hAnsi="Times New Roman"/>
                <w:b/>
                <w:bCs/>
              </w:rPr>
            </w:pPr>
            <w:r w:rsidRPr="007C5A6E">
              <w:rPr>
                <w:rFonts w:ascii="Times New Roman" w:eastAsia="SimSun" w:hAnsi="Times New Roman"/>
                <w:b/>
                <w:bCs/>
              </w:rPr>
              <w:t>Ouagadougou</w:t>
            </w:r>
          </w:p>
        </w:tc>
      </w:tr>
      <w:tr w:rsidR="00606C71" w:rsidRPr="007C5A6E" w14:paraId="37B9F6C0" w14:textId="77777777" w:rsidTr="00C0188A">
        <w:tc>
          <w:tcPr>
            <w:tcW w:w="4536" w:type="dxa"/>
          </w:tcPr>
          <w:p w14:paraId="2B81D28F" w14:textId="77777777" w:rsidR="00606C71" w:rsidRPr="007C5A6E" w:rsidRDefault="00606C71" w:rsidP="00540B43">
            <w:pPr>
              <w:spacing w:after="0" w:line="240" w:lineRule="auto"/>
              <w:rPr>
                <w:rFonts w:ascii="Times New Roman" w:eastAsia="SimSun" w:hAnsi="Times New Roman"/>
              </w:rPr>
            </w:pPr>
            <w:r w:rsidRPr="007C5A6E">
              <w:rPr>
                <w:rFonts w:ascii="Times New Roman" w:eastAsia="SimSun" w:hAnsi="Times New Roman"/>
                <w:noProof/>
              </w:rPr>
              <w:drawing>
                <wp:inline distT="0" distB="0" distL="0" distR="0" wp14:anchorId="0CA0ED41" wp14:editId="4B8F272D">
                  <wp:extent cx="2743656" cy="2266499"/>
                  <wp:effectExtent l="0" t="0" r="0" b="635"/>
                  <wp:docPr id="734469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46943" name=""/>
                          <pic:cNvPicPr/>
                        </pic:nvPicPr>
                        <pic:blipFill>
                          <a:blip r:embed="rId231" cstate="email">
                            <a:extLst>
                              <a:ext uri="{28A0092B-C50C-407E-A947-70E740481C1C}">
                                <a14:useLocalDpi xmlns:a14="http://schemas.microsoft.com/office/drawing/2010/main"/>
                              </a:ext>
                            </a:extLst>
                          </a:blip>
                          <a:stretch>
                            <a:fillRect/>
                          </a:stretch>
                        </pic:blipFill>
                        <pic:spPr>
                          <a:xfrm>
                            <a:off x="0" y="0"/>
                            <a:ext cx="2743656" cy="2266499"/>
                          </a:xfrm>
                          <a:prstGeom prst="rect">
                            <a:avLst/>
                          </a:prstGeom>
                        </pic:spPr>
                      </pic:pic>
                    </a:graphicData>
                  </a:graphic>
                </wp:inline>
              </w:drawing>
            </w:r>
          </w:p>
        </w:tc>
        <w:tc>
          <w:tcPr>
            <w:tcW w:w="4536" w:type="dxa"/>
          </w:tcPr>
          <w:p w14:paraId="2E77746B" w14:textId="77777777" w:rsidR="00606C71" w:rsidRPr="007C5A6E" w:rsidRDefault="00606C71" w:rsidP="00540B43">
            <w:pPr>
              <w:spacing w:after="0" w:line="240" w:lineRule="auto"/>
              <w:rPr>
                <w:rFonts w:ascii="Times New Roman" w:eastAsia="SimSun" w:hAnsi="Times New Roman"/>
              </w:rPr>
            </w:pPr>
            <w:r w:rsidRPr="007C5A6E">
              <w:rPr>
                <w:rFonts w:ascii="Times New Roman" w:eastAsia="SimSun" w:hAnsi="Times New Roman"/>
                <w:noProof/>
              </w:rPr>
              <w:drawing>
                <wp:inline distT="0" distB="0" distL="0" distR="0" wp14:anchorId="53BDA11D" wp14:editId="2EB75D9D">
                  <wp:extent cx="2743200" cy="2199640"/>
                  <wp:effectExtent l="0" t="0" r="0" b="0"/>
                  <wp:docPr id="2621242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124241" name=""/>
                          <pic:cNvPicPr/>
                        </pic:nvPicPr>
                        <pic:blipFill>
                          <a:blip r:embed="rId232" cstate="email">
                            <a:extLst>
                              <a:ext uri="{28A0092B-C50C-407E-A947-70E740481C1C}">
                                <a14:useLocalDpi xmlns:a14="http://schemas.microsoft.com/office/drawing/2010/main"/>
                              </a:ext>
                            </a:extLst>
                          </a:blip>
                          <a:stretch>
                            <a:fillRect/>
                          </a:stretch>
                        </pic:blipFill>
                        <pic:spPr>
                          <a:xfrm>
                            <a:off x="0" y="0"/>
                            <a:ext cx="2747071" cy="2202744"/>
                          </a:xfrm>
                          <a:prstGeom prst="rect">
                            <a:avLst/>
                          </a:prstGeom>
                        </pic:spPr>
                      </pic:pic>
                    </a:graphicData>
                  </a:graphic>
                </wp:inline>
              </w:drawing>
            </w:r>
          </w:p>
        </w:tc>
      </w:tr>
    </w:tbl>
    <w:p w14:paraId="127B0901" w14:textId="34EDB6C1" w:rsidR="00C0188A" w:rsidRPr="007C5A6E" w:rsidRDefault="00C0188A" w:rsidP="00540B43">
      <w:pPr>
        <w:autoSpaceDE w:val="0"/>
        <w:autoSpaceDN w:val="0"/>
        <w:adjustRightInd w:val="0"/>
        <w:spacing w:after="0" w:line="240" w:lineRule="auto"/>
        <w:rPr>
          <w:rFonts w:ascii="Times New Roman" w:hAnsi="Times New Roman"/>
          <w:sz w:val="20"/>
          <w:szCs w:val="20"/>
        </w:rPr>
      </w:pPr>
      <w:r w:rsidRPr="007C5A6E">
        <w:rPr>
          <w:rFonts w:ascii="Times New Roman" w:hAnsi="Times New Roman"/>
          <w:sz w:val="20"/>
          <w:szCs w:val="20"/>
        </w:rPr>
        <w:t>(Source : RGPH</w:t>
      </w:r>
      <w:r w:rsidR="00FD62E2" w:rsidRPr="007C5A6E">
        <w:rPr>
          <w:rFonts w:ascii="Times New Roman" w:hAnsi="Times New Roman"/>
          <w:sz w:val="20"/>
          <w:szCs w:val="20"/>
        </w:rPr>
        <w:t>, 2019</w:t>
      </w:r>
      <w:r w:rsidRPr="007C5A6E">
        <w:rPr>
          <w:rFonts w:ascii="Times New Roman" w:hAnsi="Times New Roman"/>
          <w:sz w:val="20"/>
          <w:szCs w:val="20"/>
        </w:rPr>
        <w:t>)</w:t>
      </w:r>
    </w:p>
    <w:p w14:paraId="39D3EEC0" w14:textId="5E7B0DAE" w:rsidR="00C0188A" w:rsidRPr="007C5A6E" w:rsidRDefault="00C0188A" w:rsidP="00B63F25">
      <w:pPr>
        <w:spacing w:after="0" w:line="240" w:lineRule="auto"/>
        <w:jc w:val="both"/>
        <w:rPr>
          <w:rFonts w:ascii="Times New Roman" w:eastAsiaTheme="minorHAnsi" w:hAnsi="Times New Roman"/>
          <w:sz w:val="24"/>
          <w:szCs w:val="24"/>
        </w:rPr>
      </w:pPr>
      <w:bookmarkStart w:id="1481" w:name="_Toc183240734"/>
      <w:bookmarkStart w:id="1482" w:name="_Toc183340473"/>
      <w:r w:rsidRPr="007C5A6E">
        <w:rPr>
          <w:rFonts w:ascii="Times New Roman" w:eastAsiaTheme="minorHAnsi" w:hAnsi="Times New Roman"/>
          <w:i/>
          <w:iCs/>
          <w:kern w:val="2"/>
          <w:sz w:val="24"/>
          <w:szCs w:val="24"/>
          <w:lang w:eastAsia="en-US"/>
          <w14:ligatures w14:val="standardContextual"/>
        </w:rPr>
        <w:t xml:space="preserve">Figure </w:t>
      </w:r>
      <w:r w:rsidRPr="007C5A6E">
        <w:rPr>
          <w:rFonts w:ascii="Times New Roman" w:eastAsiaTheme="minorHAnsi" w:hAnsi="Times New Roman"/>
          <w:i/>
          <w:iCs/>
          <w:kern w:val="2"/>
          <w:sz w:val="24"/>
          <w:szCs w:val="24"/>
          <w:lang w:eastAsia="en-US"/>
          <w14:ligatures w14:val="standardContextual"/>
        </w:rPr>
        <w:fldChar w:fldCharType="begin"/>
      </w:r>
      <w:r w:rsidRPr="007C5A6E">
        <w:rPr>
          <w:rFonts w:ascii="Times New Roman" w:eastAsiaTheme="minorHAnsi" w:hAnsi="Times New Roman"/>
          <w:i/>
          <w:iCs/>
          <w:kern w:val="2"/>
          <w:sz w:val="24"/>
          <w:szCs w:val="24"/>
          <w:lang w:eastAsia="en-US"/>
          <w14:ligatures w14:val="standardContextual"/>
        </w:rPr>
        <w:instrText xml:space="preserve"> SEQ Figure \* ARABIC </w:instrText>
      </w:r>
      <w:r w:rsidRPr="007C5A6E">
        <w:rPr>
          <w:rFonts w:ascii="Times New Roman" w:eastAsiaTheme="minorHAnsi" w:hAnsi="Times New Roman"/>
          <w:i/>
          <w:iCs/>
          <w:kern w:val="2"/>
          <w:sz w:val="24"/>
          <w:szCs w:val="24"/>
          <w:lang w:eastAsia="en-US"/>
          <w14:ligatures w14:val="standardContextual"/>
        </w:rPr>
        <w:fldChar w:fldCharType="separate"/>
      </w:r>
      <w:r w:rsidR="00B63F25" w:rsidRPr="007C5A6E">
        <w:rPr>
          <w:rFonts w:ascii="Times New Roman" w:eastAsiaTheme="minorHAnsi" w:hAnsi="Times New Roman"/>
          <w:i/>
          <w:iCs/>
          <w:noProof/>
          <w:kern w:val="2"/>
          <w:sz w:val="24"/>
          <w:szCs w:val="24"/>
          <w:lang w:eastAsia="en-US"/>
          <w14:ligatures w14:val="standardContextual"/>
        </w:rPr>
        <w:t>94</w:t>
      </w:r>
      <w:r w:rsidRPr="007C5A6E">
        <w:rPr>
          <w:rFonts w:ascii="Times New Roman" w:eastAsiaTheme="minorHAnsi" w:hAnsi="Times New Roman"/>
          <w:i/>
          <w:iCs/>
          <w:kern w:val="2"/>
          <w:sz w:val="24"/>
          <w:szCs w:val="24"/>
          <w:lang w:eastAsia="en-US"/>
          <w14:ligatures w14:val="standardContextual"/>
        </w:rPr>
        <w:fldChar w:fldCharType="end"/>
      </w:r>
      <w:r w:rsidRPr="007C5A6E">
        <w:rPr>
          <w:rFonts w:ascii="Times New Roman" w:eastAsiaTheme="minorHAnsi" w:hAnsi="Times New Roman"/>
          <w:i/>
          <w:iCs/>
          <w:kern w:val="2"/>
          <w:sz w:val="24"/>
          <w:szCs w:val="24"/>
          <w:lang w:eastAsia="en-US"/>
          <w14:ligatures w14:val="standardContextual"/>
        </w:rPr>
        <w:t xml:space="preserve">. </w:t>
      </w:r>
      <w:r w:rsidR="00FD62E2" w:rsidRPr="007C5A6E">
        <w:rPr>
          <w:rFonts w:ascii="Times New Roman" w:eastAsiaTheme="minorHAnsi" w:hAnsi="Times New Roman"/>
          <w:i/>
          <w:iCs/>
          <w:kern w:val="2"/>
          <w:sz w:val="24"/>
          <w:szCs w:val="24"/>
          <w:lang w:eastAsia="en-US"/>
          <w14:ligatures w14:val="standardContextual"/>
        </w:rPr>
        <w:t>Taux d'accès à une source d'eau améliorée</w:t>
      </w:r>
      <w:bookmarkEnd w:id="1481"/>
      <w:bookmarkEnd w:id="1482"/>
    </w:p>
    <w:p w14:paraId="50F651E9" w14:textId="77777777" w:rsidR="00B63F25" w:rsidRPr="007C5A6E" w:rsidRDefault="00B63F25" w:rsidP="00B63F25">
      <w:pPr>
        <w:spacing w:after="0" w:line="240" w:lineRule="auto"/>
        <w:jc w:val="both"/>
        <w:rPr>
          <w:rFonts w:ascii="Times New Roman" w:eastAsiaTheme="minorHAnsi" w:hAnsi="Times New Roman"/>
          <w:sz w:val="24"/>
          <w:szCs w:val="24"/>
        </w:rPr>
      </w:pPr>
    </w:p>
    <w:p w14:paraId="3D0C1510" w14:textId="34B027A5"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À l’échelle des milieux de résidence, les données </w:t>
      </w:r>
      <w:r w:rsidR="00B63F25" w:rsidRPr="007C5A6E">
        <w:rPr>
          <w:rFonts w:ascii="Times New Roman" w:eastAsiaTheme="minorHAnsi" w:hAnsi="Times New Roman"/>
          <w:sz w:val="24"/>
          <w:szCs w:val="24"/>
        </w:rPr>
        <w:t>de la figure 95</w:t>
      </w:r>
      <w:r w:rsidRPr="007C5A6E">
        <w:rPr>
          <w:rFonts w:ascii="Times New Roman" w:eastAsiaTheme="minorHAnsi" w:hAnsi="Times New Roman"/>
          <w:sz w:val="24"/>
          <w:szCs w:val="24"/>
        </w:rPr>
        <w:t xml:space="preserve"> (ci-dessus) montrent que l'écart s'est creusé entre les milieux rural et urbain au fil du temps. En 2003, la différence entre le milieu urbain (97,5%) et le milieu rural (87,5%) était de 10 points de pourcentage. Ce fossé s'est élargi, atteignant un pic en 2010, où l'accès à l'eau potable était de 84,3% en milieu urbain contre seulement 69,2% en milieu rural, soit un écart de 15,1 points de pourcentage. </w:t>
      </w:r>
    </w:p>
    <w:p w14:paraId="1390D1F8" w14:textId="145AF875"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Même si l'accès à l'eau s'est globalement amélioré en milieu rural à partir de 2014, l'accès urbain est resté largement supérieur. Le creusement de l’écart, avec un pic en 2010, suggère aussi que les politiques d'aménagement et de distribution des ressources ont favorisé les milieux urbains, au détriment des zones rurales. Une approche plus équilibrée et inclusive dans la planification urbaine, tenant compte de l'exode rural et de l'urbanisation rapide, pourrait aider à atténuer ces inégalités.</w:t>
      </w:r>
    </w:p>
    <w:p w14:paraId="1195B923" w14:textId="3AFA212F" w:rsidR="00B63F25" w:rsidRPr="007C5A6E" w:rsidRDefault="00606C71" w:rsidP="00B63F25">
      <w:pPr>
        <w:spacing w:after="0" w:line="240" w:lineRule="auto"/>
        <w:jc w:val="both"/>
        <w:rPr>
          <w:rFonts w:ascii="Times New Roman" w:eastAsiaTheme="minorHAnsi" w:hAnsi="Times New Roman"/>
          <w:b/>
          <w:bCs/>
          <w:sz w:val="24"/>
          <w:szCs w:val="24"/>
        </w:rPr>
      </w:pPr>
      <w:r w:rsidRPr="007C5A6E">
        <w:rPr>
          <w:rFonts w:ascii="Times New Roman" w:eastAsiaTheme="minorHAnsi" w:hAnsi="Times New Roman"/>
          <w:sz w:val="24"/>
          <w:szCs w:val="24"/>
        </w:rPr>
        <w:t xml:space="preserve">À l’image de l’eau qui l’accompagne très souvent, l’accès à l'assainissement reste problématique, même s’il s’est nettement amélioré ces dernières années en milieu urbain comme le montre le graphique 6 ci-dessous. </w:t>
      </w:r>
      <w:bookmarkStart w:id="1483" w:name="_Toc177649600"/>
    </w:p>
    <w:bookmarkEnd w:id="1483"/>
    <w:p w14:paraId="5EBBAF1E" w14:textId="77777777" w:rsidR="00606C71" w:rsidRPr="007C5A6E" w:rsidRDefault="00606C71" w:rsidP="00540B43">
      <w:pPr>
        <w:spacing w:after="0" w:line="240" w:lineRule="auto"/>
        <w:rPr>
          <w:rFonts w:ascii="Times New Roman" w:eastAsiaTheme="minorHAnsi" w:hAnsi="Times New Roman"/>
          <w:color w:val="002060"/>
          <w:sz w:val="24"/>
          <w:szCs w:val="24"/>
        </w:rPr>
      </w:pPr>
      <w:r w:rsidRPr="007C5A6E">
        <w:rPr>
          <w:rFonts w:asciiTheme="minorHAnsi" w:eastAsiaTheme="minorHAnsi" w:hAnsiTheme="minorHAnsi" w:cstheme="minorBidi"/>
          <w:noProof/>
          <w:kern w:val="2"/>
          <w14:ligatures w14:val="standardContextual"/>
        </w:rPr>
        <w:drawing>
          <wp:inline distT="0" distB="0" distL="0" distR="0" wp14:anchorId="5BFCCDC1" wp14:editId="2DCBC9B8">
            <wp:extent cx="5733415" cy="2600325"/>
            <wp:effectExtent l="0" t="0" r="635" b="9525"/>
            <wp:docPr id="141416914"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14:paraId="6176E236" w14:textId="1A7C78A4" w:rsidR="004F2A81" w:rsidRPr="007C5A6E" w:rsidRDefault="004F2A81" w:rsidP="00540B43">
      <w:pPr>
        <w:autoSpaceDE w:val="0"/>
        <w:autoSpaceDN w:val="0"/>
        <w:adjustRightInd w:val="0"/>
        <w:spacing w:after="0" w:line="240" w:lineRule="auto"/>
        <w:rPr>
          <w:rFonts w:ascii="Times New Roman" w:hAnsi="Times New Roman"/>
          <w:sz w:val="20"/>
          <w:szCs w:val="20"/>
          <w:lang w:val="en-US"/>
        </w:rPr>
      </w:pPr>
      <w:r w:rsidRPr="007C5A6E">
        <w:rPr>
          <w:rFonts w:ascii="Times New Roman" w:hAnsi="Times New Roman"/>
          <w:sz w:val="20"/>
          <w:szCs w:val="20"/>
          <w:lang w:val="en-US"/>
        </w:rPr>
        <w:t>(</w:t>
      </w:r>
      <w:proofErr w:type="gramStart"/>
      <w:r w:rsidRPr="007C5A6E">
        <w:rPr>
          <w:rFonts w:ascii="Times New Roman" w:hAnsi="Times New Roman"/>
          <w:sz w:val="20"/>
          <w:szCs w:val="20"/>
          <w:lang w:val="en-US"/>
        </w:rPr>
        <w:t>Source :</w:t>
      </w:r>
      <w:proofErr w:type="gramEnd"/>
      <w:r w:rsidRPr="007C5A6E">
        <w:rPr>
          <w:rFonts w:ascii="Times New Roman" w:hAnsi="Times New Roman"/>
          <w:sz w:val="20"/>
          <w:szCs w:val="20"/>
          <w:lang w:val="en-US"/>
        </w:rPr>
        <w:t xml:space="preserve"> INSD-(1994-2022), CNS-2024, </w:t>
      </w:r>
      <w:proofErr w:type="spellStart"/>
      <w:r w:rsidRPr="007C5A6E">
        <w:rPr>
          <w:rFonts w:ascii="Times New Roman" w:hAnsi="Times New Roman"/>
          <w:sz w:val="20"/>
          <w:szCs w:val="20"/>
          <w:lang w:val="en-US"/>
        </w:rPr>
        <w:t>OpenData</w:t>
      </w:r>
      <w:proofErr w:type="spellEnd"/>
      <w:r w:rsidRPr="007C5A6E">
        <w:rPr>
          <w:rFonts w:ascii="Times New Roman" w:hAnsi="Times New Roman"/>
          <w:sz w:val="20"/>
          <w:szCs w:val="20"/>
          <w:lang w:val="en-US"/>
        </w:rPr>
        <w:t xml:space="preserve"> for Africa)</w:t>
      </w:r>
    </w:p>
    <w:p w14:paraId="28D12BC1" w14:textId="204B8711" w:rsidR="004F2A81" w:rsidRPr="007C5A6E" w:rsidRDefault="004F2A81" w:rsidP="00B63F25">
      <w:pPr>
        <w:spacing w:after="0" w:line="240" w:lineRule="auto"/>
        <w:jc w:val="both"/>
        <w:rPr>
          <w:rFonts w:ascii="Times New Roman" w:eastAsiaTheme="minorHAnsi" w:hAnsi="Times New Roman"/>
          <w:sz w:val="24"/>
          <w:szCs w:val="24"/>
        </w:rPr>
      </w:pPr>
      <w:bookmarkStart w:id="1484" w:name="_Toc183240735"/>
      <w:bookmarkStart w:id="1485" w:name="_Toc183340474"/>
      <w:r w:rsidRPr="007C5A6E">
        <w:rPr>
          <w:rFonts w:ascii="Times New Roman" w:eastAsiaTheme="minorHAnsi" w:hAnsi="Times New Roman"/>
          <w:i/>
          <w:iCs/>
          <w:kern w:val="2"/>
          <w:sz w:val="24"/>
          <w:szCs w:val="24"/>
          <w:lang w:eastAsia="en-US"/>
          <w14:ligatures w14:val="standardContextual"/>
        </w:rPr>
        <w:t xml:space="preserve">Figure </w:t>
      </w:r>
      <w:r w:rsidRPr="007C5A6E">
        <w:rPr>
          <w:rFonts w:ascii="Times New Roman" w:eastAsiaTheme="minorHAnsi" w:hAnsi="Times New Roman"/>
          <w:i/>
          <w:iCs/>
          <w:kern w:val="2"/>
          <w:sz w:val="24"/>
          <w:szCs w:val="24"/>
          <w:lang w:eastAsia="en-US"/>
          <w14:ligatures w14:val="standardContextual"/>
        </w:rPr>
        <w:fldChar w:fldCharType="begin"/>
      </w:r>
      <w:r w:rsidRPr="007C5A6E">
        <w:rPr>
          <w:rFonts w:ascii="Times New Roman" w:eastAsiaTheme="minorHAnsi" w:hAnsi="Times New Roman"/>
          <w:i/>
          <w:iCs/>
          <w:kern w:val="2"/>
          <w:sz w:val="24"/>
          <w:szCs w:val="24"/>
          <w:lang w:eastAsia="en-US"/>
          <w14:ligatures w14:val="standardContextual"/>
        </w:rPr>
        <w:instrText xml:space="preserve"> SEQ Figure \* ARABIC </w:instrText>
      </w:r>
      <w:r w:rsidRPr="007C5A6E">
        <w:rPr>
          <w:rFonts w:ascii="Times New Roman" w:eastAsiaTheme="minorHAnsi" w:hAnsi="Times New Roman"/>
          <w:i/>
          <w:iCs/>
          <w:kern w:val="2"/>
          <w:sz w:val="24"/>
          <w:szCs w:val="24"/>
          <w:lang w:eastAsia="en-US"/>
          <w14:ligatures w14:val="standardContextual"/>
        </w:rPr>
        <w:fldChar w:fldCharType="separate"/>
      </w:r>
      <w:r w:rsidR="00B63F25" w:rsidRPr="007C5A6E">
        <w:rPr>
          <w:rFonts w:ascii="Times New Roman" w:eastAsiaTheme="minorHAnsi" w:hAnsi="Times New Roman"/>
          <w:i/>
          <w:iCs/>
          <w:noProof/>
          <w:kern w:val="2"/>
          <w:sz w:val="24"/>
          <w:szCs w:val="24"/>
          <w:lang w:eastAsia="en-US"/>
          <w14:ligatures w14:val="standardContextual"/>
        </w:rPr>
        <w:t>95</w:t>
      </w:r>
      <w:r w:rsidRPr="007C5A6E">
        <w:rPr>
          <w:rFonts w:ascii="Times New Roman" w:eastAsiaTheme="minorHAnsi" w:hAnsi="Times New Roman"/>
          <w:i/>
          <w:iCs/>
          <w:kern w:val="2"/>
          <w:sz w:val="24"/>
          <w:szCs w:val="24"/>
          <w:lang w:eastAsia="en-US"/>
          <w14:ligatures w14:val="standardContextual"/>
        </w:rPr>
        <w:fldChar w:fldCharType="end"/>
      </w:r>
      <w:r w:rsidRPr="007C5A6E">
        <w:rPr>
          <w:rFonts w:ascii="Times New Roman" w:eastAsiaTheme="minorHAnsi" w:hAnsi="Times New Roman"/>
          <w:i/>
          <w:iCs/>
          <w:kern w:val="2"/>
          <w:sz w:val="24"/>
          <w:szCs w:val="24"/>
          <w:lang w:eastAsia="en-US"/>
          <w14:ligatures w14:val="standardContextual"/>
        </w:rPr>
        <w:t>. Répartition des ménages selon lieu d’aisance et le milieu de résidence (%)</w:t>
      </w:r>
      <w:bookmarkEnd w:id="1484"/>
      <w:bookmarkEnd w:id="1485"/>
    </w:p>
    <w:p w14:paraId="09AD59F4" w14:textId="45F2A169"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Au regard des données du graphique 6, l'une des tendances les plus significatives est la réduction de la défécation à l'air libre. En milieu rural, ce taux a diminué de 74,4% en 2009 à 52% en 2018, ce qui représente une avancée considérable. En milieu urbain, la baisse est encore plus frappante, passant de 10,7% à seulement 3,2% sur la même période, un léger écart à combler pour la fin de la défécation à l’air libre souhaitée notamment pour 2030 (Agenda 2030). </w:t>
      </w:r>
    </w:p>
    <w:p w14:paraId="5A608A47" w14:textId="77777777"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L'utilisation des latrines améliorées a connu une hausse marquée, passant de 14,2% en 2009 à 30,1% en 2018 en remplacement des latrines non améliorées dont l’utilisation a diminué de 75,1% en 2009 à 66,1% en 2018. </w:t>
      </w:r>
    </w:p>
    <w:p w14:paraId="44A5BF2D" w14:textId="3DEF6F8E" w:rsidR="00606C71" w:rsidRPr="007C5A6E" w:rsidRDefault="00606C71" w:rsidP="00540B43">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Malgré les améliorations, la majeure partie de la population urbaine continue donc d’utiliser des latrines précaires ou des systèmes d'évacuation des eaux inappropriés, usés, insuffisants, etc. </w:t>
      </w:r>
      <w:sdt>
        <w:sdtPr>
          <w:rPr>
            <w:rFonts w:ascii="Times New Roman" w:eastAsiaTheme="minorHAnsi" w:hAnsi="Times New Roman"/>
            <w:sz w:val="24"/>
            <w:szCs w:val="24"/>
          </w:rPr>
          <w:id w:val="1135521389"/>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CITATION INS231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(INSD, 2023a)</w:t>
          </w:r>
          <w:r w:rsidRPr="007C5A6E">
            <w:rPr>
              <w:rFonts w:ascii="Times New Roman" w:eastAsiaTheme="minorHAnsi" w:hAnsi="Times New Roman"/>
              <w:sz w:val="24"/>
              <w:szCs w:val="24"/>
            </w:rPr>
            <w:fldChar w:fldCharType="end"/>
          </w:r>
          <w:r w:rsidRPr="007C5A6E">
            <w:rPr>
              <w:rFonts w:ascii="Times New Roman" w:eastAsiaTheme="minorHAnsi" w:hAnsi="Times New Roman"/>
              <w:sz w:val="24"/>
              <w:szCs w:val="24"/>
            </w:rPr>
            <w:t>.</w:t>
          </w:r>
        </w:sdtContent>
      </w:sdt>
      <w:r w:rsidRPr="007C5A6E">
        <w:rPr>
          <w:rFonts w:ascii="Times New Roman" w:eastAsiaTheme="minorHAnsi" w:hAnsi="Times New Roman"/>
          <w:sz w:val="24"/>
          <w:szCs w:val="24"/>
        </w:rPr>
        <w:t xml:space="preserve"> Cette situation contribue ainsi à la prolifération des maladies transmissibles, contribuant ainsi à détériorer les conditions de vie dans les centres urbains, en particulier dans les zones périphériques et non loties. Pour la période 2003-2010, les données du tableau </w:t>
      </w:r>
      <w:r w:rsidR="003E48C8" w:rsidRPr="007C5A6E">
        <w:rPr>
          <w:rFonts w:ascii="Times New Roman" w:eastAsiaTheme="minorHAnsi" w:hAnsi="Times New Roman"/>
          <w:sz w:val="24"/>
          <w:szCs w:val="24"/>
        </w:rPr>
        <w:t>6</w:t>
      </w:r>
      <w:r w:rsidRPr="007C5A6E">
        <w:rPr>
          <w:rFonts w:ascii="Times New Roman" w:eastAsiaTheme="minorHAnsi" w:hAnsi="Times New Roman"/>
          <w:sz w:val="24"/>
          <w:szCs w:val="24"/>
        </w:rPr>
        <w:t xml:space="preserve">4 donnent un aperçu de la qualité des équipements d’assainissement. </w:t>
      </w:r>
    </w:p>
    <w:p w14:paraId="56E938C0" w14:textId="77777777" w:rsidR="001A7FE8" w:rsidRPr="007C5A6E" w:rsidRDefault="001A7FE8" w:rsidP="001A7FE8">
      <w:pPr>
        <w:spacing w:after="0" w:line="240" w:lineRule="auto"/>
        <w:jc w:val="both"/>
        <w:rPr>
          <w:rFonts w:ascii="Times New Roman" w:eastAsiaTheme="minorHAnsi" w:hAnsi="Times New Roman"/>
          <w:sz w:val="24"/>
          <w:szCs w:val="24"/>
        </w:rPr>
      </w:pPr>
    </w:p>
    <w:p w14:paraId="25A40514" w14:textId="00063CC7" w:rsidR="00606C71" w:rsidRPr="007C5A6E" w:rsidRDefault="00606C71" w:rsidP="00540B43">
      <w:pPr>
        <w:spacing w:after="0" w:line="240" w:lineRule="auto"/>
        <w:rPr>
          <w:rFonts w:ascii="Times New Roman" w:eastAsiaTheme="minorHAnsi" w:hAnsi="Times New Roman"/>
          <w:sz w:val="24"/>
          <w:szCs w:val="24"/>
        </w:rPr>
      </w:pPr>
      <w:bookmarkStart w:id="1486" w:name="_Toc177649644"/>
      <w:bookmarkStart w:id="1487" w:name="_Toc179043338"/>
      <w:bookmarkStart w:id="1488" w:name="_Toc183241026"/>
      <w:bookmarkStart w:id="1489" w:name="_Toc183292268"/>
      <w:bookmarkStart w:id="1490" w:name="_Toc183340548"/>
      <w:r w:rsidRPr="007C5A6E">
        <w:rPr>
          <w:rFonts w:ascii="Times New Roman" w:eastAsiaTheme="minorHAnsi" w:hAnsi="Times New Roman"/>
          <w:kern w:val="2"/>
          <w:sz w:val="24"/>
          <w:szCs w:val="24"/>
          <w:lang w:eastAsia="en-US"/>
          <w14:ligatures w14:val="standardContextual"/>
        </w:rPr>
        <w:t>Tableau </w:t>
      </w:r>
      <w:r w:rsidRPr="007C5A6E">
        <w:rPr>
          <w:rFonts w:ascii="Times New Roman" w:eastAsiaTheme="minorHAnsi" w:hAnsi="Times New Roman"/>
          <w:kern w:val="2"/>
          <w:sz w:val="24"/>
          <w:szCs w:val="24"/>
          <w:lang w:eastAsia="en-US"/>
          <w14:ligatures w14:val="standardContextual"/>
        </w:rPr>
        <w:fldChar w:fldCharType="begin"/>
      </w:r>
      <w:r w:rsidRPr="007C5A6E">
        <w:rPr>
          <w:rFonts w:ascii="Times New Roman" w:eastAsiaTheme="minorHAnsi" w:hAnsi="Times New Roman"/>
          <w:kern w:val="2"/>
          <w:sz w:val="24"/>
          <w:szCs w:val="24"/>
          <w:lang w:eastAsia="en-US"/>
          <w14:ligatures w14:val="standardContextual"/>
        </w:rPr>
        <w:instrText xml:space="preserve"> SEQ Tableau \* ARABIC </w:instrText>
      </w:r>
      <w:r w:rsidRPr="007C5A6E">
        <w:rPr>
          <w:rFonts w:ascii="Times New Roman" w:eastAsiaTheme="minorHAnsi" w:hAnsi="Times New Roman"/>
          <w:kern w:val="2"/>
          <w:sz w:val="24"/>
          <w:szCs w:val="24"/>
          <w:lang w:eastAsia="en-US"/>
          <w14:ligatures w14:val="standardContextual"/>
        </w:rPr>
        <w:fldChar w:fldCharType="separate"/>
      </w:r>
      <w:r w:rsidR="001A7FE8" w:rsidRPr="007C5A6E">
        <w:rPr>
          <w:rFonts w:ascii="Times New Roman" w:eastAsiaTheme="minorHAnsi" w:hAnsi="Times New Roman"/>
          <w:noProof/>
          <w:kern w:val="2"/>
          <w:sz w:val="24"/>
          <w:szCs w:val="24"/>
          <w:lang w:eastAsia="en-US"/>
          <w14:ligatures w14:val="standardContextual"/>
        </w:rPr>
        <w:t>64</w:t>
      </w:r>
      <w:r w:rsidRPr="007C5A6E">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w:t>
      </w:r>
      <w:r w:rsidRPr="007C5A6E">
        <w:rPr>
          <w:rFonts w:ascii="Times New Roman" w:eastAsiaTheme="minorHAnsi" w:hAnsi="Times New Roman"/>
          <w:sz w:val="24"/>
          <w:szCs w:val="24"/>
        </w:rPr>
        <w:t xml:space="preserve"> Répartition des ménages selon le lieu d’aisance et le milieu de résidence (%)</w:t>
      </w:r>
      <w:bookmarkEnd w:id="1486"/>
      <w:bookmarkEnd w:id="1487"/>
      <w:bookmarkEnd w:id="1488"/>
      <w:bookmarkEnd w:id="1489"/>
      <w:bookmarkEnd w:id="1490"/>
    </w:p>
    <w:p w14:paraId="0CCDE149" w14:textId="77777777" w:rsidR="001A5A1B" w:rsidRPr="007C5A6E" w:rsidRDefault="001A5A1B" w:rsidP="00540B43">
      <w:pPr>
        <w:spacing w:after="0" w:line="240" w:lineRule="auto"/>
        <w:rPr>
          <w:rFonts w:ascii="Times New Roman" w:eastAsiaTheme="minorHAnsi"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84"/>
        <w:gridCol w:w="647"/>
        <w:gridCol w:w="647"/>
        <w:gridCol w:w="649"/>
        <w:gridCol w:w="650"/>
        <w:gridCol w:w="650"/>
        <w:gridCol w:w="650"/>
        <w:gridCol w:w="650"/>
        <w:gridCol w:w="650"/>
        <w:gridCol w:w="650"/>
        <w:gridCol w:w="648"/>
      </w:tblGrid>
      <w:tr w:rsidR="00606C71" w:rsidRPr="007C5A6E" w14:paraId="3E33BD98" w14:textId="77777777" w:rsidTr="0070034C">
        <w:trPr>
          <w:trHeight w:val="20"/>
        </w:trPr>
        <w:tc>
          <w:tcPr>
            <w:tcW w:w="1463" w:type="pct"/>
            <w:vMerge w:val="restart"/>
            <w:shd w:val="clear" w:color="auto" w:fill="auto"/>
            <w:noWrap/>
            <w:vAlign w:val="center"/>
          </w:tcPr>
          <w:p w14:paraId="2063A10A" w14:textId="77777777" w:rsidR="00606C71" w:rsidRPr="007C5A6E" w:rsidRDefault="00606C71" w:rsidP="00540B43">
            <w:pPr>
              <w:spacing w:after="0" w:line="240" w:lineRule="auto"/>
              <w:jc w:val="center"/>
              <w:rPr>
                <w:rFonts w:ascii="Times New Roman" w:hAnsi="Times New Roman"/>
                <w:b/>
                <w:bCs/>
                <w:color w:val="000000"/>
                <w:sz w:val="21"/>
                <w:szCs w:val="21"/>
              </w:rPr>
            </w:pPr>
            <w:r w:rsidRPr="007C5A6E">
              <w:rPr>
                <w:rFonts w:ascii="Times New Roman" w:hAnsi="Times New Roman"/>
                <w:b/>
                <w:bCs/>
                <w:color w:val="000000"/>
                <w:sz w:val="21"/>
                <w:szCs w:val="21"/>
              </w:rPr>
              <w:t>Principal type/lieu d'aisance</w:t>
            </w:r>
          </w:p>
        </w:tc>
        <w:tc>
          <w:tcPr>
            <w:tcW w:w="1767" w:type="pct"/>
            <w:gridSpan w:val="5"/>
            <w:shd w:val="clear" w:color="auto" w:fill="auto"/>
            <w:noWrap/>
            <w:vAlign w:val="bottom"/>
          </w:tcPr>
          <w:p w14:paraId="2925CF21" w14:textId="77777777" w:rsidR="00606C71" w:rsidRPr="007C5A6E" w:rsidRDefault="00606C71" w:rsidP="00540B43">
            <w:pPr>
              <w:spacing w:after="0" w:line="240" w:lineRule="auto"/>
              <w:jc w:val="center"/>
              <w:rPr>
                <w:rFonts w:ascii="Times New Roman" w:hAnsi="Times New Roman"/>
                <w:b/>
                <w:bCs/>
                <w:color w:val="000000"/>
                <w:sz w:val="21"/>
                <w:szCs w:val="21"/>
              </w:rPr>
            </w:pPr>
            <w:r w:rsidRPr="007C5A6E">
              <w:rPr>
                <w:rFonts w:ascii="Times New Roman" w:hAnsi="Times New Roman"/>
                <w:b/>
                <w:bCs/>
                <w:color w:val="000000"/>
                <w:sz w:val="21"/>
                <w:szCs w:val="21"/>
              </w:rPr>
              <w:t>Urbain</w:t>
            </w:r>
          </w:p>
        </w:tc>
        <w:tc>
          <w:tcPr>
            <w:tcW w:w="1770" w:type="pct"/>
            <w:gridSpan w:val="5"/>
            <w:shd w:val="clear" w:color="auto" w:fill="auto"/>
            <w:noWrap/>
            <w:vAlign w:val="bottom"/>
          </w:tcPr>
          <w:p w14:paraId="2A87FE4E" w14:textId="77777777" w:rsidR="00606C71" w:rsidRPr="007C5A6E" w:rsidRDefault="00606C71" w:rsidP="00540B43">
            <w:pPr>
              <w:spacing w:after="0" w:line="240" w:lineRule="auto"/>
              <w:jc w:val="center"/>
              <w:rPr>
                <w:rFonts w:ascii="Times New Roman" w:hAnsi="Times New Roman"/>
                <w:b/>
                <w:bCs/>
                <w:color w:val="000000"/>
                <w:sz w:val="21"/>
                <w:szCs w:val="21"/>
              </w:rPr>
            </w:pPr>
            <w:r w:rsidRPr="007C5A6E">
              <w:rPr>
                <w:rFonts w:ascii="Times New Roman" w:hAnsi="Times New Roman"/>
                <w:b/>
                <w:bCs/>
                <w:color w:val="000000"/>
                <w:sz w:val="21"/>
                <w:szCs w:val="21"/>
              </w:rPr>
              <w:t>Rural</w:t>
            </w:r>
          </w:p>
        </w:tc>
      </w:tr>
      <w:tr w:rsidR="00606C71" w:rsidRPr="007C5A6E" w14:paraId="36D3091B" w14:textId="77777777" w:rsidTr="0070034C">
        <w:trPr>
          <w:trHeight w:val="20"/>
        </w:trPr>
        <w:tc>
          <w:tcPr>
            <w:tcW w:w="1463" w:type="pct"/>
            <w:vMerge/>
            <w:vAlign w:val="center"/>
          </w:tcPr>
          <w:p w14:paraId="61FD4017" w14:textId="77777777" w:rsidR="00606C71" w:rsidRPr="007C5A6E" w:rsidRDefault="00606C71" w:rsidP="00540B43">
            <w:pPr>
              <w:spacing w:after="0" w:line="240" w:lineRule="auto"/>
              <w:rPr>
                <w:rFonts w:ascii="Times New Roman" w:hAnsi="Times New Roman"/>
                <w:b/>
                <w:bCs/>
                <w:color w:val="000000"/>
                <w:sz w:val="21"/>
                <w:szCs w:val="21"/>
              </w:rPr>
            </w:pPr>
          </w:p>
        </w:tc>
        <w:tc>
          <w:tcPr>
            <w:tcW w:w="353" w:type="pct"/>
            <w:shd w:val="clear" w:color="auto" w:fill="auto"/>
            <w:noWrap/>
            <w:vAlign w:val="bottom"/>
          </w:tcPr>
          <w:p w14:paraId="4B90A452" w14:textId="77777777" w:rsidR="00606C71" w:rsidRPr="007C5A6E" w:rsidRDefault="00606C71" w:rsidP="00540B43">
            <w:pPr>
              <w:spacing w:after="0" w:line="240" w:lineRule="auto"/>
              <w:jc w:val="right"/>
              <w:rPr>
                <w:rFonts w:ascii="Times New Roman" w:hAnsi="Times New Roman"/>
                <w:b/>
                <w:bCs/>
                <w:color w:val="000000"/>
                <w:sz w:val="21"/>
                <w:szCs w:val="21"/>
              </w:rPr>
            </w:pPr>
            <w:r w:rsidRPr="007C5A6E">
              <w:rPr>
                <w:rFonts w:ascii="Times New Roman" w:hAnsi="Times New Roman"/>
                <w:b/>
                <w:bCs/>
                <w:color w:val="000000"/>
                <w:sz w:val="21"/>
                <w:szCs w:val="21"/>
              </w:rPr>
              <w:t>2003</w:t>
            </w:r>
          </w:p>
        </w:tc>
        <w:tc>
          <w:tcPr>
            <w:tcW w:w="353" w:type="pct"/>
            <w:shd w:val="clear" w:color="auto" w:fill="auto"/>
            <w:noWrap/>
            <w:vAlign w:val="bottom"/>
          </w:tcPr>
          <w:p w14:paraId="06FCC232" w14:textId="77777777" w:rsidR="00606C71" w:rsidRPr="007C5A6E" w:rsidRDefault="00606C71" w:rsidP="00540B43">
            <w:pPr>
              <w:spacing w:after="0" w:line="240" w:lineRule="auto"/>
              <w:jc w:val="right"/>
              <w:rPr>
                <w:rFonts w:ascii="Times New Roman" w:hAnsi="Times New Roman"/>
                <w:b/>
                <w:bCs/>
                <w:color w:val="000000"/>
                <w:sz w:val="21"/>
                <w:szCs w:val="21"/>
              </w:rPr>
            </w:pPr>
            <w:r w:rsidRPr="007C5A6E">
              <w:rPr>
                <w:rFonts w:ascii="Times New Roman" w:hAnsi="Times New Roman"/>
                <w:b/>
                <w:bCs/>
                <w:color w:val="000000"/>
                <w:sz w:val="21"/>
                <w:szCs w:val="21"/>
              </w:rPr>
              <w:t>2005</w:t>
            </w:r>
          </w:p>
        </w:tc>
        <w:tc>
          <w:tcPr>
            <w:tcW w:w="354" w:type="pct"/>
            <w:shd w:val="clear" w:color="auto" w:fill="auto"/>
            <w:noWrap/>
            <w:vAlign w:val="bottom"/>
          </w:tcPr>
          <w:p w14:paraId="29B2BAED" w14:textId="77777777" w:rsidR="00606C71" w:rsidRPr="007C5A6E" w:rsidRDefault="00606C71" w:rsidP="00540B43">
            <w:pPr>
              <w:spacing w:after="0" w:line="240" w:lineRule="auto"/>
              <w:jc w:val="right"/>
              <w:rPr>
                <w:rFonts w:ascii="Times New Roman" w:hAnsi="Times New Roman"/>
                <w:b/>
                <w:bCs/>
                <w:color w:val="000000"/>
                <w:sz w:val="21"/>
                <w:szCs w:val="21"/>
              </w:rPr>
            </w:pPr>
            <w:r w:rsidRPr="007C5A6E">
              <w:rPr>
                <w:rFonts w:ascii="Times New Roman" w:hAnsi="Times New Roman"/>
                <w:b/>
                <w:bCs/>
                <w:color w:val="000000"/>
                <w:sz w:val="21"/>
                <w:szCs w:val="21"/>
              </w:rPr>
              <w:t>2007</w:t>
            </w:r>
          </w:p>
        </w:tc>
        <w:tc>
          <w:tcPr>
            <w:tcW w:w="354" w:type="pct"/>
            <w:shd w:val="clear" w:color="auto" w:fill="auto"/>
            <w:noWrap/>
            <w:vAlign w:val="bottom"/>
          </w:tcPr>
          <w:p w14:paraId="48B9E9DE" w14:textId="77777777" w:rsidR="00606C71" w:rsidRPr="007C5A6E" w:rsidRDefault="00606C71" w:rsidP="00540B43">
            <w:pPr>
              <w:spacing w:after="0" w:line="240" w:lineRule="auto"/>
              <w:jc w:val="right"/>
              <w:rPr>
                <w:rFonts w:ascii="Times New Roman" w:hAnsi="Times New Roman"/>
                <w:b/>
                <w:bCs/>
                <w:color w:val="000000"/>
                <w:sz w:val="21"/>
                <w:szCs w:val="21"/>
              </w:rPr>
            </w:pPr>
            <w:r w:rsidRPr="007C5A6E">
              <w:rPr>
                <w:rFonts w:ascii="Times New Roman" w:hAnsi="Times New Roman"/>
                <w:b/>
                <w:bCs/>
                <w:color w:val="000000"/>
                <w:sz w:val="21"/>
                <w:szCs w:val="21"/>
              </w:rPr>
              <w:t>2009</w:t>
            </w:r>
          </w:p>
        </w:tc>
        <w:tc>
          <w:tcPr>
            <w:tcW w:w="354" w:type="pct"/>
            <w:shd w:val="clear" w:color="auto" w:fill="auto"/>
            <w:noWrap/>
            <w:vAlign w:val="bottom"/>
          </w:tcPr>
          <w:p w14:paraId="1F4DC656" w14:textId="77777777" w:rsidR="00606C71" w:rsidRPr="007C5A6E" w:rsidRDefault="00606C71" w:rsidP="00540B43">
            <w:pPr>
              <w:spacing w:after="0" w:line="240" w:lineRule="auto"/>
              <w:jc w:val="right"/>
              <w:rPr>
                <w:rFonts w:ascii="Times New Roman" w:hAnsi="Times New Roman"/>
                <w:b/>
                <w:bCs/>
                <w:color w:val="000000"/>
                <w:sz w:val="21"/>
                <w:szCs w:val="21"/>
              </w:rPr>
            </w:pPr>
            <w:r w:rsidRPr="007C5A6E">
              <w:rPr>
                <w:rFonts w:ascii="Times New Roman" w:hAnsi="Times New Roman"/>
                <w:b/>
                <w:bCs/>
                <w:color w:val="000000"/>
                <w:sz w:val="21"/>
                <w:szCs w:val="21"/>
              </w:rPr>
              <w:t>2010</w:t>
            </w:r>
          </w:p>
        </w:tc>
        <w:tc>
          <w:tcPr>
            <w:tcW w:w="354" w:type="pct"/>
            <w:shd w:val="clear" w:color="auto" w:fill="auto"/>
            <w:noWrap/>
            <w:vAlign w:val="bottom"/>
          </w:tcPr>
          <w:p w14:paraId="05BE9F2C" w14:textId="77777777" w:rsidR="00606C71" w:rsidRPr="007C5A6E" w:rsidRDefault="00606C71" w:rsidP="00540B43">
            <w:pPr>
              <w:spacing w:after="0" w:line="240" w:lineRule="auto"/>
              <w:jc w:val="right"/>
              <w:rPr>
                <w:rFonts w:ascii="Times New Roman" w:hAnsi="Times New Roman"/>
                <w:b/>
                <w:bCs/>
                <w:color w:val="000000"/>
                <w:sz w:val="21"/>
                <w:szCs w:val="21"/>
              </w:rPr>
            </w:pPr>
            <w:r w:rsidRPr="007C5A6E">
              <w:rPr>
                <w:rFonts w:ascii="Times New Roman" w:hAnsi="Times New Roman"/>
                <w:b/>
                <w:bCs/>
                <w:color w:val="000000"/>
                <w:sz w:val="21"/>
                <w:szCs w:val="21"/>
              </w:rPr>
              <w:t>2003</w:t>
            </w:r>
          </w:p>
        </w:tc>
        <w:tc>
          <w:tcPr>
            <w:tcW w:w="354" w:type="pct"/>
            <w:shd w:val="clear" w:color="auto" w:fill="auto"/>
            <w:noWrap/>
            <w:vAlign w:val="bottom"/>
          </w:tcPr>
          <w:p w14:paraId="7CED0ADC" w14:textId="77777777" w:rsidR="00606C71" w:rsidRPr="007C5A6E" w:rsidRDefault="00606C71" w:rsidP="00540B43">
            <w:pPr>
              <w:spacing w:after="0" w:line="240" w:lineRule="auto"/>
              <w:jc w:val="right"/>
              <w:rPr>
                <w:rFonts w:ascii="Times New Roman" w:hAnsi="Times New Roman"/>
                <w:b/>
                <w:bCs/>
                <w:color w:val="000000"/>
                <w:sz w:val="21"/>
                <w:szCs w:val="21"/>
              </w:rPr>
            </w:pPr>
            <w:r w:rsidRPr="007C5A6E">
              <w:rPr>
                <w:rFonts w:ascii="Times New Roman" w:hAnsi="Times New Roman"/>
                <w:b/>
                <w:bCs/>
                <w:color w:val="000000"/>
                <w:sz w:val="21"/>
                <w:szCs w:val="21"/>
              </w:rPr>
              <w:t>2005</w:t>
            </w:r>
          </w:p>
        </w:tc>
        <w:tc>
          <w:tcPr>
            <w:tcW w:w="354" w:type="pct"/>
            <w:shd w:val="clear" w:color="auto" w:fill="auto"/>
            <w:noWrap/>
            <w:vAlign w:val="bottom"/>
          </w:tcPr>
          <w:p w14:paraId="2CC69CC0" w14:textId="77777777" w:rsidR="00606C71" w:rsidRPr="007C5A6E" w:rsidRDefault="00606C71" w:rsidP="00540B43">
            <w:pPr>
              <w:spacing w:after="0" w:line="240" w:lineRule="auto"/>
              <w:jc w:val="right"/>
              <w:rPr>
                <w:rFonts w:ascii="Times New Roman" w:hAnsi="Times New Roman"/>
                <w:b/>
                <w:bCs/>
                <w:color w:val="000000"/>
                <w:sz w:val="21"/>
                <w:szCs w:val="21"/>
              </w:rPr>
            </w:pPr>
            <w:r w:rsidRPr="007C5A6E">
              <w:rPr>
                <w:rFonts w:ascii="Times New Roman" w:hAnsi="Times New Roman"/>
                <w:b/>
                <w:bCs/>
                <w:color w:val="000000"/>
                <w:sz w:val="21"/>
                <w:szCs w:val="21"/>
              </w:rPr>
              <w:t>2007</w:t>
            </w:r>
          </w:p>
        </w:tc>
        <w:tc>
          <w:tcPr>
            <w:tcW w:w="354" w:type="pct"/>
            <w:shd w:val="clear" w:color="auto" w:fill="auto"/>
            <w:noWrap/>
            <w:vAlign w:val="bottom"/>
          </w:tcPr>
          <w:p w14:paraId="5A782AEB" w14:textId="77777777" w:rsidR="00606C71" w:rsidRPr="007C5A6E" w:rsidRDefault="00606C71" w:rsidP="00540B43">
            <w:pPr>
              <w:spacing w:after="0" w:line="240" w:lineRule="auto"/>
              <w:jc w:val="right"/>
              <w:rPr>
                <w:rFonts w:ascii="Times New Roman" w:hAnsi="Times New Roman"/>
                <w:b/>
                <w:bCs/>
                <w:color w:val="000000"/>
                <w:sz w:val="21"/>
                <w:szCs w:val="21"/>
              </w:rPr>
            </w:pPr>
            <w:r w:rsidRPr="007C5A6E">
              <w:rPr>
                <w:rFonts w:ascii="Times New Roman" w:hAnsi="Times New Roman"/>
                <w:b/>
                <w:bCs/>
                <w:color w:val="000000"/>
                <w:sz w:val="21"/>
                <w:szCs w:val="21"/>
              </w:rPr>
              <w:t>2009</w:t>
            </w:r>
          </w:p>
        </w:tc>
        <w:tc>
          <w:tcPr>
            <w:tcW w:w="353" w:type="pct"/>
            <w:shd w:val="clear" w:color="auto" w:fill="auto"/>
            <w:noWrap/>
            <w:vAlign w:val="bottom"/>
          </w:tcPr>
          <w:p w14:paraId="4F1369EA" w14:textId="77777777" w:rsidR="00606C71" w:rsidRPr="007C5A6E" w:rsidRDefault="00606C71" w:rsidP="00540B43">
            <w:pPr>
              <w:spacing w:after="0" w:line="240" w:lineRule="auto"/>
              <w:jc w:val="right"/>
              <w:rPr>
                <w:rFonts w:ascii="Times New Roman" w:hAnsi="Times New Roman"/>
                <w:b/>
                <w:bCs/>
                <w:color w:val="000000"/>
                <w:sz w:val="21"/>
                <w:szCs w:val="21"/>
              </w:rPr>
            </w:pPr>
            <w:r w:rsidRPr="007C5A6E">
              <w:rPr>
                <w:rFonts w:ascii="Times New Roman" w:hAnsi="Times New Roman"/>
                <w:b/>
                <w:bCs/>
                <w:color w:val="000000"/>
                <w:sz w:val="21"/>
                <w:szCs w:val="21"/>
              </w:rPr>
              <w:t>2010</w:t>
            </w:r>
          </w:p>
        </w:tc>
      </w:tr>
      <w:tr w:rsidR="00606C71" w:rsidRPr="007C5A6E" w14:paraId="7235D0E1" w14:textId="77777777" w:rsidTr="0070034C">
        <w:trPr>
          <w:trHeight w:val="20"/>
        </w:trPr>
        <w:tc>
          <w:tcPr>
            <w:tcW w:w="1463" w:type="pct"/>
            <w:shd w:val="clear" w:color="auto" w:fill="auto"/>
            <w:noWrap/>
            <w:vAlign w:val="bottom"/>
          </w:tcPr>
          <w:p w14:paraId="59111524" w14:textId="77777777" w:rsidR="00606C71" w:rsidRPr="007C5A6E" w:rsidRDefault="00606C71" w:rsidP="00540B43">
            <w:pPr>
              <w:spacing w:after="0" w:line="240" w:lineRule="auto"/>
              <w:rPr>
                <w:rFonts w:ascii="Times New Roman" w:hAnsi="Times New Roman"/>
                <w:color w:val="000000"/>
                <w:sz w:val="21"/>
                <w:szCs w:val="21"/>
              </w:rPr>
            </w:pPr>
            <w:r w:rsidRPr="007C5A6E">
              <w:rPr>
                <w:rFonts w:ascii="Times New Roman" w:hAnsi="Times New Roman"/>
                <w:color w:val="000000"/>
                <w:sz w:val="21"/>
                <w:szCs w:val="21"/>
              </w:rPr>
              <w:t>Chasse d'eau/fosse septique</w:t>
            </w:r>
          </w:p>
        </w:tc>
        <w:tc>
          <w:tcPr>
            <w:tcW w:w="353" w:type="pct"/>
            <w:shd w:val="clear" w:color="auto" w:fill="auto"/>
            <w:noWrap/>
            <w:vAlign w:val="center"/>
          </w:tcPr>
          <w:p w14:paraId="7F64F917"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4,90</w:t>
            </w:r>
          </w:p>
        </w:tc>
        <w:tc>
          <w:tcPr>
            <w:tcW w:w="353" w:type="pct"/>
            <w:shd w:val="clear" w:color="auto" w:fill="auto"/>
            <w:noWrap/>
            <w:vAlign w:val="center"/>
          </w:tcPr>
          <w:p w14:paraId="5FB4E096"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12,70</w:t>
            </w:r>
          </w:p>
        </w:tc>
        <w:tc>
          <w:tcPr>
            <w:tcW w:w="354" w:type="pct"/>
            <w:shd w:val="clear" w:color="auto" w:fill="auto"/>
            <w:noWrap/>
            <w:vAlign w:val="center"/>
          </w:tcPr>
          <w:p w14:paraId="3918D6CD"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12,50</w:t>
            </w:r>
          </w:p>
        </w:tc>
        <w:tc>
          <w:tcPr>
            <w:tcW w:w="354" w:type="pct"/>
            <w:shd w:val="clear" w:color="auto" w:fill="auto"/>
            <w:noWrap/>
            <w:vAlign w:val="center"/>
          </w:tcPr>
          <w:p w14:paraId="08F53711"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9,50</w:t>
            </w:r>
          </w:p>
        </w:tc>
        <w:tc>
          <w:tcPr>
            <w:tcW w:w="354" w:type="pct"/>
            <w:shd w:val="clear" w:color="auto" w:fill="auto"/>
            <w:noWrap/>
            <w:vAlign w:val="center"/>
          </w:tcPr>
          <w:p w14:paraId="424E2A51"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6,80</w:t>
            </w:r>
          </w:p>
        </w:tc>
        <w:tc>
          <w:tcPr>
            <w:tcW w:w="354" w:type="pct"/>
            <w:shd w:val="clear" w:color="auto" w:fill="auto"/>
            <w:noWrap/>
            <w:vAlign w:val="center"/>
          </w:tcPr>
          <w:p w14:paraId="4BBA4688"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0,10</w:t>
            </w:r>
          </w:p>
        </w:tc>
        <w:tc>
          <w:tcPr>
            <w:tcW w:w="354" w:type="pct"/>
            <w:shd w:val="clear" w:color="auto" w:fill="auto"/>
            <w:noWrap/>
            <w:vAlign w:val="center"/>
          </w:tcPr>
          <w:p w14:paraId="4430B8D5"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1,60</w:t>
            </w:r>
          </w:p>
        </w:tc>
        <w:tc>
          <w:tcPr>
            <w:tcW w:w="354" w:type="pct"/>
            <w:shd w:val="clear" w:color="auto" w:fill="auto"/>
            <w:noWrap/>
            <w:vAlign w:val="center"/>
          </w:tcPr>
          <w:p w14:paraId="1C2F8CA9"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2,60</w:t>
            </w:r>
          </w:p>
        </w:tc>
        <w:tc>
          <w:tcPr>
            <w:tcW w:w="354" w:type="pct"/>
            <w:shd w:val="clear" w:color="auto" w:fill="auto"/>
            <w:noWrap/>
            <w:vAlign w:val="center"/>
          </w:tcPr>
          <w:p w14:paraId="6733FB98"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0,10</w:t>
            </w:r>
          </w:p>
        </w:tc>
        <w:tc>
          <w:tcPr>
            <w:tcW w:w="353" w:type="pct"/>
            <w:shd w:val="clear" w:color="auto" w:fill="auto"/>
            <w:noWrap/>
            <w:vAlign w:val="center"/>
          </w:tcPr>
          <w:p w14:paraId="5047EC01"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0,10</w:t>
            </w:r>
          </w:p>
        </w:tc>
      </w:tr>
      <w:tr w:rsidR="00606C71" w:rsidRPr="007C5A6E" w14:paraId="547F8A7B" w14:textId="77777777" w:rsidTr="0070034C">
        <w:trPr>
          <w:trHeight w:val="20"/>
        </w:trPr>
        <w:tc>
          <w:tcPr>
            <w:tcW w:w="1463" w:type="pct"/>
            <w:shd w:val="clear" w:color="auto" w:fill="auto"/>
            <w:noWrap/>
            <w:vAlign w:val="bottom"/>
          </w:tcPr>
          <w:p w14:paraId="159B44DF" w14:textId="77777777" w:rsidR="00606C71" w:rsidRPr="007C5A6E" w:rsidRDefault="00606C71" w:rsidP="00540B43">
            <w:pPr>
              <w:spacing w:after="0" w:line="240" w:lineRule="auto"/>
              <w:rPr>
                <w:rFonts w:ascii="Times New Roman" w:hAnsi="Times New Roman"/>
                <w:color w:val="000000"/>
                <w:sz w:val="21"/>
                <w:szCs w:val="21"/>
              </w:rPr>
            </w:pPr>
            <w:r w:rsidRPr="007C5A6E">
              <w:rPr>
                <w:rFonts w:ascii="Times New Roman" w:hAnsi="Times New Roman"/>
                <w:color w:val="000000"/>
                <w:sz w:val="21"/>
                <w:szCs w:val="21"/>
              </w:rPr>
              <w:t>Latrine simple/traditionnelle</w:t>
            </w:r>
          </w:p>
        </w:tc>
        <w:tc>
          <w:tcPr>
            <w:tcW w:w="353" w:type="pct"/>
            <w:shd w:val="clear" w:color="auto" w:fill="auto"/>
            <w:noWrap/>
            <w:vAlign w:val="center"/>
          </w:tcPr>
          <w:p w14:paraId="00ADDFAE"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83,10</w:t>
            </w:r>
          </w:p>
        </w:tc>
        <w:tc>
          <w:tcPr>
            <w:tcW w:w="353" w:type="pct"/>
            <w:shd w:val="clear" w:color="auto" w:fill="auto"/>
            <w:noWrap/>
            <w:vAlign w:val="center"/>
          </w:tcPr>
          <w:p w14:paraId="296AC053"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77,00</w:t>
            </w:r>
          </w:p>
        </w:tc>
        <w:tc>
          <w:tcPr>
            <w:tcW w:w="354" w:type="pct"/>
            <w:shd w:val="clear" w:color="auto" w:fill="auto"/>
            <w:noWrap/>
            <w:vAlign w:val="center"/>
          </w:tcPr>
          <w:p w14:paraId="7F60E6C6"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76,00</w:t>
            </w:r>
          </w:p>
        </w:tc>
        <w:tc>
          <w:tcPr>
            <w:tcW w:w="354" w:type="pct"/>
            <w:shd w:val="clear" w:color="auto" w:fill="auto"/>
            <w:noWrap/>
            <w:vAlign w:val="center"/>
          </w:tcPr>
          <w:p w14:paraId="43822F3B"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75,10</w:t>
            </w:r>
          </w:p>
        </w:tc>
        <w:tc>
          <w:tcPr>
            <w:tcW w:w="354" w:type="pct"/>
            <w:shd w:val="clear" w:color="auto" w:fill="auto"/>
            <w:noWrap/>
            <w:vAlign w:val="center"/>
          </w:tcPr>
          <w:p w14:paraId="745ABEE0"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73,50</w:t>
            </w:r>
          </w:p>
        </w:tc>
        <w:tc>
          <w:tcPr>
            <w:tcW w:w="354" w:type="pct"/>
            <w:shd w:val="clear" w:color="auto" w:fill="auto"/>
            <w:noWrap/>
            <w:vAlign w:val="center"/>
          </w:tcPr>
          <w:p w14:paraId="58598C69"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20,00</w:t>
            </w:r>
          </w:p>
        </w:tc>
        <w:tc>
          <w:tcPr>
            <w:tcW w:w="354" w:type="pct"/>
            <w:shd w:val="clear" w:color="auto" w:fill="auto"/>
            <w:noWrap/>
            <w:vAlign w:val="center"/>
          </w:tcPr>
          <w:p w14:paraId="7E6C8DDA"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19,50</w:t>
            </w:r>
          </w:p>
        </w:tc>
        <w:tc>
          <w:tcPr>
            <w:tcW w:w="354" w:type="pct"/>
            <w:shd w:val="clear" w:color="auto" w:fill="auto"/>
            <w:noWrap/>
            <w:vAlign w:val="center"/>
          </w:tcPr>
          <w:p w14:paraId="258AF21D"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26,60</w:t>
            </w:r>
          </w:p>
        </w:tc>
        <w:tc>
          <w:tcPr>
            <w:tcW w:w="354" w:type="pct"/>
            <w:shd w:val="clear" w:color="auto" w:fill="auto"/>
            <w:noWrap/>
            <w:vAlign w:val="center"/>
          </w:tcPr>
          <w:p w14:paraId="5E76F735"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24,50</w:t>
            </w:r>
          </w:p>
        </w:tc>
        <w:tc>
          <w:tcPr>
            <w:tcW w:w="353" w:type="pct"/>
            <w:shd w:val="clear" w:color="auto" w:fill="auto"/>
            <w:noWrap/>
            <w:vAlign w:val="center"/>
          </w:tcPr>
          <w:p w14:paraId="14F6A0B2"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14,10</w:t>
            </w:r>
          </w:p>
        </w:tc>
      </w:tr>
      <w:tr w:rsidR="00606C71" w:rsidRPr="007C5A6E" w14:paraId="09BB1B3E" w14:textId="77777777" w:rsidTr="0070034C">
        <w:trPr>
          <w:trHeight w:val="20"/>
        </w:trPr>
        <w:tc>
          <w:tcPr>
            <w:tcW w:w="1463" w:type="pct"/>
            <w:shd w:val="clear" w:color="auto" w:fill="auto"/>
            <w:noWrap/>
            <w:vAlign w:val="bottom"/>
          </w:tcPr>
          <w:p w14:paraId="3BF064E7" w14:textId="77777777" w:rsidR="00606C71" w:rsidRPr="007C5A6E" w:rsidRDefault="00606C71" w:rsidP="00540B43">
            <w:pPr>
              <w:spacing w:after="0" w:line="240" w:lineRule="auto"/>
              <w:rPr>
                <w:rFonts w:ascii="Times New Roman" w:hAnsi="Times New Roman"/>
                <w:color w:val="000000"/>
                <w:sz w:val="21"/>
                <w:szCs w:val="21"/>
              </w:rPr>
            </w:pPr>
            <w:r w:rsidRPr="007C5A6E">
              <w:rPr>
                <w:rFonts w:ascii="Times New Roman" w:hAnsi="Times New Roman"/>
                <w:color w:val="000000"/>
                <w:sz w:val="21"/>
                <w:szCs w:val="21"/>
              </w:rPr>
              <w:t>Latrine ventilée/améliorée</w:t>
            </w:r>
          </w:p>
        </w:tc>
        <w:tc>
          <w:tcPr>
            <w:tcW w:w="353" w:type="pct"/>
            <w:shd w:val="clear" w:color="auto" w:fill="auto"/>
            <w:noWrap/>
            <w:vAlign w:val="center"/>
          </w:tcPr>
          <w:p w14:paraId="105BD20E"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2,60</w:t>
            </w:r>
          </w:p>
        </w:tc>
        <w:tc>
          <w:tcPr>
            <w:tcW w:w="353" w:type="pct"/>
            <w:shd w:val="clear" w:color="auto" w:fill="auto"/>
            <w:noWrap/>
            <w:vAlign w:val="center"/>
          </w:tcPr>
          <w:p w14:paraId="2D961849"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2,30</w:t>
            </w:r>
          </w:p>
        </w:tc>
        <w:tc>
          <w:tcPr>
            <w:tcW w:w="354" w:type="pct"/>
            <w:shd w:val="clear" w:color="auto" w:fill="auto"/>
            <w:noWrap/>
            <w:vAlign w:val="center"/>
          </w:tcPr>
          <w:p w14:paraId="722E8102"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5,60</w:t>
            </w:r>
          </w:p>
        </w:tc>
        <w:tc>
          <w:tcPr>
            <w:tcW w:w="354" w:type="pct"/>
            <w:shd w:val="clear" w:color="auto" w:fill="auto"/>
            <w:noWrap/>
            <w:vAlign w:val="center"/>
          </w:tcPr>
          <w:p w14:paraId="7D18176B"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4,70</w:t>
            </w:r>
          </w:p>
        </w:tc>
        <w:tc>
          <w:tcPr>
            <w:tcW w:w="354" w:type="pct"/>
            <w:shd w:val="clear" w:color="auto" w:fill="auto"/>
            <w:noWrap/>
            <w:vAlign w:val="center"/>
          </w:tcPr>
          <w:p w14:paraId="20476114"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1,30</w:t>
            </w:r>
          </w:p>
        </w:tc>
        <w:tc>
          <w:tcPr>
            <w:tcW w:w="354" w:type="pct"/>
            <w:shd w:val="clear" w:color="auto" w:fill="auto"/>
            <w:noWrap/>
            <w:vAlign w:val="center"/>
          </w:tcPr>
          <w:p w14:paraId="6D6403D2"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0,10</w:t>
            </w:r>
          </w:p>
        </w:tc>
        <w:tc>
          <w:tcPr>
            <w:tcW w:w="354" w:type="pct"/>
            <w:shd w:val="clear" w:color="auto" w:fill="auto"/>
            <w:noWrap/>
            <w:vAlign w:val="center"/>
          </w:tcPr>
          <w:p w14:paraId="30F37B0A"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0,00</w:t>
            </w:r>
          </w:p>
        </w:tc>
        <w:tc>
          <w:tcPr>
            <w:tcW w:w="354" w:type="pct"/>
            <w:shd w:val="clear" w:color="auto" w:fill="auto"/>
            <w:noWrap/>
            <w:vAlign w:val="center"/>
          </w:tcPr>
          <w:p w14:paraId="07C3E9E8"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0,00</w:t>
            </w:r>
          </w:p>
        </w:tc>
        <w:tc>
          <w:tcPr>
            <w:tcW w:w="354" w:type="pct"/>
            <w:shd w:val="clear" w:color="auto" w:fill="auto"/>
            <w:noWrap/>
            <w:vAlign w:val="center"/>
          </w:tcPr>
          <w:p w14:paraId="01F11066"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1,00</w:t>
            </w:r>
          </w:p>
        </w:tc>
        <w:tc>
          <w:tcPr>
            <w:tcW w:w="353" w:type="pct"/>
            <w:shd w:val="clear" w:color="auto" w:fill="auto"/>
            <w:noWrap/>
            <w:vAlign w:val="center"/>
          </w:tcPr>
          <w:p w14:paraId="180EC57D"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0,20</w:t>
            </w:r>
          </w:p>
        </w:tc>
      </w:tr>
      <w:tr w:rsidR="00606C71" w:rsidRPr="007C5A6E" w14:paraId="6786D37C" w14:textId="77777777" w:rsidTr="0070034C">
        <w:trPr>
          <w:trHeight w:val="20"/>
        </w:trPr>
        <w:tc>
          <w:tcPr>
            <w:tcW w:w="1463" w:type="pct"/>
            <w:shd w:val="clear" w:color="auto" w:fill="auto"/>
            <w:noWrap/>
            <w:vAlign w:val="bottom"/>
          </w:tcPr>
          <w:p w14:paraId="6A10C0EF" w14:textId="77777777" w:rsidR="00606C71" w:rsidRPr="007C5A6E" w:rsidRDefault="00606C71" w:rsidP="00540B43">
            <w:pPr>
              <w:spacing w:after="0" w:line="240" w:lineRule="auto"/>
              <w:rPr>
                <w:rFonts w:ascii="Times New Roman" w:hAnsi="Times New Roman"/>
                <w:color w:val="000000"/>
                <w:sz w:val="21"/>
                <w:szCs w:val="21"/>
              </w:rPr>
            </w:pPr>
            <w:r w:rsidRPr="007C5A6E">
              <w:rPr>
                <w:rFonts w:ascii="Times New Roman" w:hAnsi="Times New Roman"/>
                <w:color w:val="000000"/>
                <w:sz w:val="21"/>
                <w:szCs w:val="21"/>
              </w:rPr>
              <w:t>Nature/brousse</w:t>
            </w:r>
          </w:p>
        </w:tc>
        <w:tc>
          <w:tcPr>
            <w:tcW w:w="353" w:type="pct"/>
            <w:shd w:val="clear" w:color="auto" w:fill="auto"/>
            <w:noWrap/>
            <w:vAlign w:val="center"/>
          </w:tcPr>
          <w:p w14:paraId="1FC67F7F"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8,30</w:t>
            </w:r>
          </w:p>
        </w:tc>
        <w:tc>
          <w:tcPr>
            <w:tcW w:w="353" w:type="pct"/>
            <w:shd w:val="clear" w:color="auto" w:fill="auto"/>
            <w:noWrap/>
            <w:vAlign w:val="center"/>
          </w:tcPr>
          <w:p w14:paraId="1D15E97B"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7,50</w:t>
            </w:r>
          </w:p>
        </w:tc>
        <w:tc>
          <w:tcPr>
            <w:tcW w:w="354" w:type="pct"/>
            <w:shd w:val="clear" w:color="auto" w:fill="auto"/>
            <w:noWrap/>
            <w:vAlign w:val="center"/>
          </w:tcPr>
          <w:p w14:paraId="6CAACBF4"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5,60</w:t>
            </w:r>
          </w:p>
        </w:tc>
        <w:tc>
          <w:tcPr>
            <w:tcW w:w="354" w:type="pct"/>
            <w:shd w:val="clear" w:color="auto" w:fill="auto"/>
            <w:noWrap/>
            <w:vAlign w:val="center"/>
          </w:tcPr>
          <w:p w14:paraId="6F5F3949"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9,30</w:t>
            </w:r>
          </w:p>
        </w:tc>
        <w:tc>
          <w:tcPr>
            <w:tcW w:w="354" w:type="pct"/>
            <w:shd w:val="clear" w:color="auto" w:fill="auto"/>
            <w:noWrap/>
            <w:vAlign w:val="center"/>
          </w:tcPr>
          <w:p w14:paraId="3325AA38"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13,30</w:t>
            </w:r>
          </w:p>
        </w:tc>
        <w:tc>
          <w:tcPr>
            <w:tcW w:w="354" w:type="pct"/>
            <w:shd w:val="clear" w:color="auto" w:fill="auto"/>
            <w:noWrap/>
            <w:vAlign w:val="center"/>
          </w:tcPr>
          <w:p w14:paraId="46FFF432"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78,90</w:t>
            </w:r>
          </w:p>
        </w:tc>
        <w:tc>
          <w:tcPr>
            <w:tcW w:w="354" w:type="pct"/>
            <w:shd w:val="clear" w:color="auto" w:fill="auto"/>
            <w:noWrap/>
            <w:vAlign w:val="center"/>
          </w:tcPr>
          <w:p w14:paraId="6447F170"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78,40</w:t>
            </w:r>
          </w:p>
        </w:tc>
        <w:tc>
          <w:tcPr>
            <w:tcW w:w="354" w:type="pct"/>
            <w:shd w:val="clear" w:color="auto" w:fill="auto"/>
            <w:noWrap/>
            <w:vAlign w:val="center"/>
          </w:tcPr>
          <w:p w14:paraId="37063645"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70,40</w:t>
            </w:r>
          </w:p>
        </w:tc>
        <w:tc>
          <w:tcPr>
            <w:tcW w:w="354" w:type="pct"/>
            <w:shd w:val="clear" w:color="auto" w:fill="auto"/>
            <w:noWrap/>
            <w:vAlign w:val="center"/>
          </w:tcPr>
          <w:p w14:paraId="045CD414"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74,39</w:t>
            </w:r>
          </w:p>
        </w:tc>
        <w:tc>
          <w:tcPr>
            <w:tcW w:w="353" w:type="pct"/>
            <w:shd w:val="clear" w:color="auto" w:fill="auto"/>
            <w:noWrap/>
            <w:vAlign w:val="center"/>
          </w:tcPr>
          <w:p w14:paraId="7840C307"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78,50</w:t>
            </w:r>
          </w:p>
        </w:tc>
      </w:tr>
      <w:tr w:rsidR="00606C71" w:rsidRPr="007C5A6E" w14:paraId="055EA314" w14:textId="77777777" w:rsidTr="0070034C">
        <w:trPr>
          <w:trHeight w:val="20"/>
        </w:trPr>
        <w:tc>
          <w:tcPr>
            <w:tcW w:w="1463" w:type="pct"/>
            <w:shd w:val="clear" w:color="auto" w:fill="auto"/>
            <w:noWrap/>
            <w:vAlign w:val="bottom"/>
          </w:tcPr>
          <w:p w14:paraId="3A6C2446" w14:textId="77777777" w:rsidR="00606C71" w:rsidRPr="007C5A6E" w:rsidRDefault="00606C71" w:rsidP="00540B43">
            <w:pPr>
              <w:spacing w:after="0" w:line="240" w:lineRule="auto"/>
              <w:rPr>
                <w:rFonts w:ascii="Times New Roman" w:hAnsi="Times New Roman"/>
                <w:color w:val="000000"/>
                <w:sz w:val="21"/>
                <w:szCs w:val="21"/>
              </w:rPr>
            </w:pPr>
            <w:r w:rsidRPr="007C5A6E">
              <w:rPr>
                <w:rFonts w:ascii="Times New Roman" w:hAnsi="Times New Roman"/>
                <w:color w:val="000000"/>
                <w:sz w:val="21"/>
                <w:szCs w:val="21"/>
              </w:rPr>
              <w:t>Autres</w:t>
            </w:r>
          </w:p>
        </w:tc>
        <w:tc>
          <w:tcPr>
            <w:tcW w:w="353" w:type="pct"/>
            <w:shd w:val="clear" w:color="auto" w:fill="auto"/>
            <w:noWrap/>
            <w:vAlign w:val="center"/>
          </w:tcPr>
          <w:p w14:paraId="61B85E4E"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1,1</w:t>
            </w:r>
          </w:p>
        </w:tc>
        <w:tc>
          <w:tcPr>
            <w:tcW w:w="353" w:type="pct"/>
            <w:shd w:val="clear" w:color="auto" w:fill="auto"/>
            <w:noWrap/>
            <w:vAlign w:val="center"/>
          </w:tcPr>
          <w:p w14:paraId="7906BE1C"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0,5</w:t>
            </w:r>
          </w:p>
        </w:tc>
        <w:tc>
          <w:tcPr>
            <w:tcW w:w="354" w:type="pct"/>
            <w:shd w:val="clear" w:color="auto" w:fill="auto"/>
            <w:noWrap/>
            <w:vAlign w:val="center"/>
          </w:tcPr>
          <w:p w14:paraId="12B827F8"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0,3</w:t>
            </w:r>
          </w:p>
        </w:tc>
        <w:tc>
          <w:tcPr>
            <w:tcW w:w="354" w:type="pct"/>
            <w:shd w:val="clear" w:color="auto" w:fill="auto"/>
            <w:noWrap/>
            <w:vAlign w:val="center"/>
          </w:tcPr>
          <w:p w14:paraId="3DE208DF"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1,4</w:t>
            </w:r>
          </w:p>
        </w:tc>
        <w:tc>
          <w:tcPr>
            <w:tcW w:w="354" w:type="pct"/>
            <w:shd w:val="clear" w:color="auto" w:fill="auto"/>
            <w:noWrap/>
            <w:vAlign w:val="center"/>
          </w:tcPr>
          <w:p w14:paraId="237B1A32"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5,1</w:t>
            </w:r>
          </w:p>
        </w:tc>
        <w:tc>
          <w:tcPr>
            <w:tcW w:w="354" w:type="pct"/>
            <w:shd w:val="clear" w:color="auto" w:fill="auto"/>
            <w:noWrap/>
            <w:vAlign w:val="center"/>
          </w:tcPr>
          <w:p w14:paraId="44A8B912"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0,9</w:t>
            </w:r>
          </w:p>
        </w:tc>
        <w:tc>
          <w:tcPr>
            <w:tcW w:w="354" w:type="pct"/>
            <w:shd w:val="clear" w:color="auto" w:fill="auto"/>
            <w:noWrap/>
            <w:vAlign w:val="center"/>
          </w:tcPr>
          <w:p w14:paraId="17D0B744"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0,5</w:t>
            </w:r>
          </w:p>
        </w:tc>
        <w:tc>
          <w:tcPr>
            <w:tcW w:w="354" w:type="pct"/>
            <w:shd w:val="clear" w:color="auto" w:fill="auto"/>
            <w:noWrap/>
            <w:vAlign w:val="center"/>
          </w:tcPr>
          <w:p w14:paraId="3D13695F"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0,4</w:t>
            </w:r>
          </w:p>
        </w:tc>
        <w:tc>
          <w:tcPr>
            <w:tcW w:w="354" w:type="pct"/>
            <w:shd w:val="clear" w:color="auto" w:fill="auto"/>
            <w:noWrap/>
            <w:vAlign w:val="center"/>
          </w:tcPr>
          <w:p w14:paraId="2CBE27CC"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0,1</w:t>
            </w:r>
          </w:p>
        </w:tc>
        <w:tc>
          <w:tcPr>
            <w:tcW w:w="353" w:type="pct"/>
            <w:shd w:val="clear" w:color="auto" w:fill="auto"/>
            <w:noWrap/>
            <w:vAlign w:val="center"/>
          </w:tcPr>
          <w:p w14:paraId="16097F20"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hAnsi="Times New Roman"/>
                <w:color w:val="000000"/>
                <w:sz w:val="21"/>
                <w:szCs w:val="21"/>
              </w:rPr>
              <w:t>7</w:t>
            </w:r>
          </w:p>
        </w:tc>
      </w:tr>
      <w:tr w:rsidR="00606C71" w:rsidRPr="007C5A6E" w14:paraId="2606BF98" w14:textId="77777777" w:rsidTr="0070034C">
        <w:trPr>
          <w:trHeight w:val="20"/>
        </w:trPr>
        <w:tc>
          <w:tcPr>
            <w:tcW w:w="1463" w:type="pct"/>
            <w:shd w:val="clear" w:color="auto" w:fill="auto"/>
            <w:noWrap/>
            <w:vAlign w:val="bottom"/>
          </w:tcPr>
          <w:p w14:paraId="1AA2EF70" w14:textId="77777777" w:rsidR="00606C71" w:rsidRPr="007C5A6E" w:rsidRDefault="00606C71" w:rsidP="00540B43">
            <w:pPr>
              <w:spacing w:after="0" w:line="240" w:lineRule="auto"/>
              <w:rPr>
                <w:rFonts w:ascii="Times New Roman" w:hAnsi="Times New Roman"/>
                <w:color w:val="000000"/>
                <w:sz w:val="21"/>
                <w:szCs w:val="21"/>
              </w:rPr>
            </w:pPr>
            <w:r w:rsidRPr="007C5A6E">
              <w:rPr>
                <w:rFonts w:ascii="Times New Roman" w:hAnsi="Times New Roman"/>
                <w:color w:val="000000"/>
                <w:sz w:val="21"/>
                <w:szCs w:val="21"/>
              </w:rPr>
              <w:t>Total</w:t>
            </w:r>
          </w:p>
        </w:tc>
        <w:tc>
          <w:tcPr>
            <w:tcW w:w="353" w:type="pct"/>
            <w:shd w:val="clear" w:color="auto" w:fill="auto"/>
            <w:noWrap/>
          </w:tcPr>
          <w:p w14:paraId="77C865DD"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eastAsiaTheme="minorHAnsi" w:hAnsi="Times New Roman"/>
                <w:kern w:val="2"/>
                <w:sz w:val="21"/>
                <w:szCs w:val="21"/>
                <w:lang w:eastAsia="en-US"/>
                <w14:ligatures w14:val="standardContextual"/>
              </w:rPr>
              <w:t>100</w:t>
            </w:r>
          </w:p>
        </w:tc>
        <w:tc>
          <w:tcPr>
            <w:tcW w:w="353" w:type="pct"/>
            <w:shd w:val="clear" w:color="auto" w:fill="auto"/>
            <w:noWrap/>
          </w:tcPr>
          <w:p w14:paraId="5DF8C8BE"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eastAsiaTheme="minorHAnsi" w:hAnsi="Times New Roman"/>
                <w:kern w:val="2"/>
                <w:sz w:val="21"/>
                <w:szCs w:val="21"/>
                <w:lang w:eastAsia="en-US"/>
                <w14:ligatures w14:val="standardContextual"/>
              </w:rPr>
              <w:t>100</w:t>
            </w:r>
          </w:p>
        </w:tc>
        <w:tc>
          <w:tcPr>
            <w:tcW w:w="354" w:type="pct"/>
            <w:shd w:val="clear" w:color="auto" w:fill="auto"/>
            <w:noWrap/>
          </w:tcPr>
          <w:p w14:paraId="2C3A0BCC"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eastAsiaTheme="minorHAnsi" w:hAnsi="Times New Roman"/>
                <w:kern w:val="2"/>
                <w:sz w:val="21"/>
                <w:szCs w:val="21"/>
                <w:lang w:eastAsia="en-US"/>
                <w14:ligatures w14:val="standardContextual"/>
              </w:rPr>
              <w:t>100</w:t>
            </w:r>
          </w:p>
        </w:tc>
        <w:tc>
          <w:tcPr>
            <w:tcW w:w="354" w:type="pct"/>
            <w:shd w:val="clear" w:color="auto" w:fill="auto"/>
            <w:noWrap/>
          </w:tcPr>
          <w:p w14:paraId="49E364BB"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eastAsiaTheme="minorHAnsi" w:hAnsi="Times New Roman"/>
                <w:kern w:val="2"/>
                <w:sz w:val="21"/>
                <w:szCs w:val="21"/>
                <w:lang w:eastAsia="en-US"/>
                <w14:ligatures w14:val="standardContextual"/>
              </w:rPr>
              <w:t>100</w:t>
            </w:r>
          </w:p>
        </w:tc>
        <w:tc>
          <w:tcPr>
            <w:tcW w:w="354" w:type="pct"/>
            <w:shd w:val="clear" w:color="auto" w:fill="auto"/>
            <w:noWrap/>
          </w:tcPr>
          <w:p w14:paraId="339C28AF"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eastAsiaTheme="minorHAnsi" w:hAnsi="Times New Roman"/>
                <w:kern w:val="2"/>
                <w:sz w:val="21"/>
                <w:szCs w:val="21"/>
                <w:lang w:eastAsia="en-US"/>
                <w14:ligatures w14:val="standardContextual"/>
              </w:rPr>
              <w:t>100</w:t>
            </w:r>
          </w:p>
        </w:tc>
        <w:tc>
          <w:tcPr>
            <w:tcW w:w="354" w:type="pct"/>
            <w:shd w:val="clear" w:color="auto" w:fill="auto"/>
            <w:noWrap/>
          </w:tcPr>
          <w:p w14:paraId="08D197BF"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eastAsiaTheme="minorHAnsi" w:hAnsi="Times New Roman"/>
                <w:kern w:val="2"/>
                <w:sz w:val="21"/>
                <w:szCs w:val="21"/>
                <w:lang w:eastAsia="en-US"/>
                <w14:ligatures w14:val="standardContextual"/>
              </w:rPr>
              <w:t>100</w:t>
            </w:r>
          </w:p>
        </w:tc>
        <w:tc>
          <w:tcPr>
            <w:tcW w:w="354" w:type="pct"/>
            <w:shd w:val="clear" w:color="auto" w:fill="auto"/>
            <w:noWrap/>
          </w:tcPr>
          <w:p w14:paraId="6BB72984"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eastAsiaTheme="minorHAnsi" w:hAnsi="Times New Roman"/>
                <w:kern w:val="2"/>
                <w:sz w:val="21"/>
                <w:szCs w:val="21"/>
                <w:lang w:eastAsia="en-US"/>
                <w14:ligatures w14:val="standardContextual"/>
              </w:rPr>
              <w:t>100</w:t>
            </w:r>
          </w:p>
        </w:tc>
        <w:tc>
          <w:tcPr>
            <w:tcW w:w="354" w:type="pct"/>
            <w:shd w:val="clear" w:color="auto" w:fill="auto"/>
            <w:noWrap/>
          </w:tcPr>
          <w:p w14:paraId="6CC09075"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eastAsiaTheme="minorHAnsi" w:hAnsi="Times New Roman"/>
                <w:kern w:val="2"/>
                <w:sz w:val="21"/>
                <w:szCs w:val="21"/>
                <w:lang w:eastAsia="en-US"/>
                <w14:ligatures w14:val="standardContextual"/>
              </w:rPr>
              <w:t>100</w:t>
            </w:r>
          </w:p>
        </w:tc>
        <w:tc>
          <w:tcPr>
            <w:tcW w:w="354" w:type="pct"/>
            <w:shd w:val="clear" w:color="auto" w:fill="auto"/>
            <w:noWrap/>
          </w:tcPr>
          <w:p w14:paraId="3272BABC"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eastAsiaTheme="minorHAnsi" w:hAnsi="Times New Roman"/>
                <w:kern w:val="2"/>
                <w:sz w:val="21"/>
                <w:szCs w:val="21"/>
                <w:lang w:eastAsia="en-US"/>
                <w14:ligatures w14:val="standardContextual"/>
              </w:rPr>
              <w:t>100</w:t>
            </w:r>
          </w:p>
        </w:tc>
        <w:tc>
          <w:tcPr>
            <w:tcW w:w="353" w:type="pct"/>
            <w:shd w:val="clear" w:color="auto" w:fill="auto"/>
            <w:noWrap/>
          </w:tcPr>
          <w:p w14:paraId="76729D3A" w14:textId="77777777" w:rsidR="00606C71" w:rsidRPr="007C5A6E" w:rsidRDefault="00606C71" w:rsidP="00540B43">
            <w:pPr>
              <w:spacing w:after="0" w:line="240" w:lineRule="auto"/>
              <w:jc w:val="center"/>
              <w:rPr>
                <w:rFonts w:ascii="Times New Roman" w:hAnsi="Times New Roman"/>
                <w:color w:val="000000"/>
                <w:sz w:val="21"/>
                <w:szCs w:val="21"/>
              </w:rPr>
            </w:pPr>
            <w:r w:rsidRPr="007C5A6E">
              <w:rPr>
                <w:rFonts w:ascii="Times New Roman" w:eastAsiaTheme="minorHAnsi" w:hAnsi="Times New Roman"/>
                <w:kern w:val="2"/>
                <w:sz w:val="21"/>
                <w:szCs w:val="21"/>
                <w:lang w:eastAsia="en-US"/>
                <w14:ligatures w14:val="standardContextual"/>
              </w:rPr>
              <w:t>100</w:t>
            </w:r>
          </w:p>
        </w:tc>
      </w:tr>
    </w:tbl>
    <w:p w14:paraId="6BF0F811" w14:textId="77777777" w:rsidR="00606C71" w:rsidRPr="007C5A6E" w:rsidRDefault="00606C71" w:rsidP="009D1E01">
      <w:pPr>
        <w:spacing w:after="0" w:line="240" w:lineRule="auto"/>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b/>
          <w:bCs/>
          <w:kern w:val="2"/>
          <w:sz w:val="20"/>
          <w:szCs w:val="20"/>
          <w:u w:val="single"/>
          <w:lang w:eastAsia="en-US"/>
          <w14:ligatures w14:val="standardContextual"/>
        </w:rPr>
        <w:t>Source</w:t>
      </w:r>
      <w:r w:rsidRPr="007C5A6E">
        <w:rPr>
          <w:rFonts w:ascii="Times New Roman" w:eastAsiaTheme="minorHAnsi" w:hAnsi="Times New Roman"/>
          <w:kern w:val="2"/>
          <w:sz w:val="20"/>
          <w:szCs w:val="20"/>
          <w:lang w:eastAsia="en-US"/>
          <w14:ligatures w14:val="standardContextual"/>
        </w:rPr>
        <w:t> : INSD, EBCVM 2003, EA/QUIBB 2005 et 2007 et EDS-BF IV (2010)</w:t>
      </w:r>
    </w:p>
    <w:p w14:paraId="6401CBB7" w14:textId="77777777" w:rsidR="001A7FE8" w:rsidRPr="007C5A6E" w:rsidRDefault="001A7FE8" w:rsidP="001A7FE8">
      <w:pPr>
        <w:spacing w:after="0" w:line="240" w:lineRule="auto"/>
        <w:jc w:val="both"/>
        <w:rPr>
          <w:rFonts w:ascii="Times New Roman" w:eastAsiaTheme="minorHAnsi" w:hAnsi="Times New Roman"/>
          <w:sz w:val="24"/>
          <w:szCs w:val="24"/>
        </w:rPr>
      </w:pPr>
    </w:p>
    <w:p w14:paraId="166999D1" w14:textId="5D331E88" w:rsidR="00606C71" w:rsidRPr="007C5A6E" w:rsidRDefault="00606C71" w:rsidP="00540B43">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L'accès aux soins de santé est un autre défi crucial pour les résidents de zones périurbaines. Les établissements de santé dans ces zones sont souvent insuffisants, mal équipés, etc. Ainsi, les distances à parcourir pour atteindre les centres de santé, combinées aux coûts des soins médicaux, limitent l'accès aux soins essentiels pour de nombreux résidents. Le </w:t>
      </w:r>
      <w:r w:rsidR="00C37140" w:rsidRPr="007C5A6E">
        <w:rPr>
          <w:rFonts w:ascii="Times New Roman" w:eastAsiaTheme="minorHAnsi" w:hAnsi="Times New Roman"/>
          <w:sz w:val="24"/>
          <w:szCs w:val="24"/>
        </w:rPr>
        <w:t>figure</w:t>
      </w:r>
      <w:r w:rsidRPr="007C5A6E">
        <w:rPr>
          <w:rFonts w:ascii="Times New Roman" w:eastAsiaTheme="minorHAnsi" w:hAnsi="Times New Roman"/>
          <w:sz w:val="24"/>
          <w:szCs w:val="24"/>
        </w:rPr>
        <w:t> </w:t>
      </w:r>
      <w:r w:rsidR="00DC0E0F" w:rsidRPr="007C5A6E">
        <w:rPr>
          <w:rFonts w:ascii="Times New Roman" w:eastAsiaTheme="minorHAnsi" w:hAnsi="Times New Roman"/>
          <w:sz w:val="24"/>
          <w:szCs w:val="24"/>
        </w:rPr>
        <w:t>9</w:t>
      </w:r>
      <w:r w:rsidR="001A7FE8" w:rsidRPr="007C5A6E">
        <w:rPr>
          <w:rFonts w:ascii="Times New Roman" w:eastAsiaTheme="minorHAnsi" w:hAnsi="Times New Roman"/>
          <w:sz w:val="24"/>
          <w:szCs w:val="24"/>
        </w:rPr>
        <w:t>6</w:t>
      </w:r>
      <w:r w:rsidRPr="007C5A6E">
        <w:rPr>
          <w:rFonts w:ascii="Times New Roman" w:eastAsiaTheme="minorHAnsi" w:hAnsi="Times New Roman"/>
          <w:sz w:val="24"/>
          <w:szCs w:val="24"/>
        </w:rPr>
        <w:t xml:space="preserve"> ci-dessous donne l’évolution du taux d’accès aux infrastructures de santé selon la norme de 30 minutes de 2014 à 2016 selon le milieu de résidence.</w:t>
      </w:r>
    </w:p>
    <w:p w14:paraId="662F6F6F" w14:textId="77777777" w:rsidR="001A7FE8" w:rsidRPr="007C5A6E" w:rsidRDefault="001A7FE8" w:rsidP="001A7FE8">
      <w:pPr>
        <w:spacing w:after="0" w:line="240" w:lineRule="auto"/>
        <w:jc w:val="both"/>
        <w:rPr>
          <w:rFonts w:ascii="Times New Roman" w:eastAsiaTheme="minorHAnsi" w:hAnsi="Times New Roman"/>
          <w:b/>
          <w:bCs/>
          <w:sz w:val="24"/>
          <w:szCs w:val="24"/>
        </w:rPr>
      </w:pPr>
    </w:p>
    <w:p w14:paraId="39BEA731" w14:textId="77777777" w:rsidR="00606C71" w:rsidRPr="007C5A6E" w:rsidRDefault="00606C71" w:rsidP="00540B43">
      <w:pPr>
        <w:spacing w:after="0" w:line="240" w:lineRule="auto"/>
        <w:rPr>
          <w:rFonts w:ascii="Times New Roman" w:eastAsiaTheme="minorHAnsi" w:hAnsi="Times New Roman"/>
          <w:color w:val="002060"/>
          <w:sz w:val="24"/>
          <w:szCs w:val="24"/>
        </w:rPr>
      </w:pPr>
      <w:r w:rsidRPr="007C5A6E">
        <w:rPr>
          <w:rFonts w:asciiTheme="minorHAnsi" w:eastAsiaTheme="minorHAnsi" w:hAnsiTheme="minorHAnsi" w:cstheme="minorBidi"/>
          <w:noProof/>
          <w:kern w:val="2"/>
          <w14:ligatures w14:val="standardContextual"/>
        </w:rPr>
        <w:drawing>
          <wp:inline distT="0" distB="0" distL="0" distR="0" wp14:anchorId="7D469EBD" wp14:editId="489003A3">
            <wp:extent cx="5750560" cy="2286000"/>
            <wp:effectExtent l="0" t="0" r="2540" b="0"/>
            <wp:docPr id="1965329649"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p>
    <w:p w14:paraId="03EAA4C2" w14:textId="4D693971" w:rsidR="00C37140" w:rsidRPr="007C5A6E" w:rsidRDefault="00C37140" w:rsidP="00540B43">
      <w:pPr>
        <w:autoSpaceDE w:val="0"/>
        <w:autoSpaceDN w:val="0"/>
        <w:adjustRightInd w:val="0"/>
        <w:spacing w:after="0" w:line="240" w:lineRule="auto"/>
        <w:rPr>
          <w:rFonts w:ascii="Times New Roman" w:hAnsi="Times New Roman"/>
          <w:sz w:val="20"/>
          <w:szCs w:val="20"/>
        </w:rPr>
      </w:pPr>
      <w:r w:rsidRPr="007C5A6E">
        <w:rPr>
          <w:rFonts w:ascii="Times New Roman" w:hAnsi="Times New Roman"/>
          <w:sz w:val="20"/>
          <w:szCs w:val="20"/>
        </w:rPr>
        <w:t>(Source : INSD-EBCVM 2014, SIGI-2016)</w:t>
      </w:r>
    </w:p>
    <w:p w14:paraId="5BBF48F1" w14:textId="10D92AE1" w:rsidR="00C37140" w:rsidRPr="007C5A6E" w:rsidRDefault="00C37140" w:rsidP="001A7FE8">
      <w:pPr>
        <w:spacing w:after="0" w:line="240" w:lineRule="auto"/>
        <w:jc w:val="both"/>
        <w:rPr>
          <w:rFonts w:ascii="Times New Roman" w:eastAsiaTheme="minorHAnsi" w:hAnsi="Times New Roman"/>
          <w:sz w:val="24"/>
          <w:szCs w:val="24"/>
        </w:rPr>
      </w:pPr>
      <w:bookmarkStart w:id="1491" w:name="_Toc183240736"/>
      <w:bookmarkStart w:id="1492" w:name="_Toc183340475"/>
      <w:r w:rsidRPr="007C5A6E">
        <w:rPr>
          <w:rFonts w:ascii="Times New Roman" w:eastAsiaTheme="minorHAnsi" w:hAnsi="Times New Roman"/>
          <w:i/>
          <w:iCs/>
          <w:kern w:val="2"/>
          <w:sz w:val="24"/>
          <w:szCs w:val="24"/>
          <w:lang w:eastAsia="en-US"/>
          <w14:ligatures w14:val="standardContextual"/>
        </w:rPr>
        <w:t xml:space="preserve">Figure </w:t>
      </w:r>
      <w:r w:rsidRPr="007C5A6E">
        <w:rPr>
          <w:rFonts w:ascii="Times New Roman" w:eastAsiaTheme="minorHAnsi" w:hAnsi="Times New Roman"/>
          <w:i/>
          <w:iCs/>
          <w:kern w:val="2"/>
          <w:sz w:val="24"/>
          <w:szCs w:val="24"/>
          <w:lang w:eastAsia="en-US"/>
          <w14:ligatures w14:val="standardContextual"/>
        </w:rPr>
        <w:fldChar w:fldCharType="begin"/>
      </w:r>
      <w:r w:rsidRPr="007C5A6E">
        <w:rPr>
          <w:rFonts w:ascii="Times New Roman" w:eastAsiaTheme="minorHAnsi" w:hAnsi="Times New Roman"/>
          <w:i/>
          <w:iCs/>
          <w:kern w:val="2"/>
          <w:sz w:val="24"/>
          <w:szCs w:val="24"/>
          <w:lang w:eastAsia="en-US"/>
          <w14:ligatures w14:val="standardContextual"/>
        </w:rPr>
        <w:instrText xml:space="preserve"> SEQ Figure \* ARABIC </w:instrText>
      </w:r>
      <w:r w:rsidRPr="007C5A6E">
        <w:rPr>
          <w:rFonts w:ascii="Times New Roman" w:eastAsiaTheme="minorHAnsi" w:hAnsi="Times New Roman"/>
          <w:i/>
          <w:iCs/>
          <w:kern w:val="2"/>
          <w:sz w:val="24"/>
          <w:szCs w:val="24"/>
          <w:lang w:eastAsia="en-US"/>
          <w14:ligatures w14:val="standardContextual"/>
        </w:rPr>
        <w:fldChar w:fldCharType="separate"/>
      </w:r>
      <w:r w:rsidR="001A7FE8" w:rsidRPr="007C5A6E">
        <w:rPr>
          <w:rFonts w:ascii="Times New Roman" w:eastAsiaTheme="minorHAnsi" w:hAnsi="Times New Roman"/>
          <w:i/>
          <w:iCs/>
          <w:noProof/>
          <w:kern w:val="2"/>
          <w:sz w:val="24"/>
          <w:szCs w:val="24"/>
          <w:lang w:eastAsia="en-US"/>
          <w14:ligatures w14:val="standardContextual"/>
        </w:rPr>
        <w:t>96</w:t>
      </w:r>
      <w:r w:rsidRPr="007C5A6E">
        <w:rPr>
          <w:rFonts w:ascii="Times New Roman" w:eastAsiaTheme="minorHAnsi" w:hAnsi="Times New Roman"/>
          <w:i/>
          <w:iCs/>
          <w:kern w:val="2"/>
          <w:sz w:val="24"/>
          <w:szCs w:val="24"/>
          <w:lang w:eastAsia="en-US"/>
          <w14:ligatures w14:val="standardContextual"/>
        </w:rPr>
        <w:fldChar w:fldCharType="end"/>
      </w:r>
      <w:r w:rsidRPr="007C5A6E">
        <w:rPr>
          <w:rFonts w:ascii="Times New Roman" w:eastAsiaTheme="minorHAnsi" w:hAnsi="Times New Roman"/>
          <w:i/>
          <w:iCs/>
          <w:kern w:val="2"/>
          <w:sz w:val="24"/>
          <w:szCs w:val="24"/>
          <w:lang w:eastAsia="en-US"/>
          <w14:ligatures w14:val="standardContextual"/>
        </w:rPr>
        <w:t>. Évolution de l’accès aux infrastructures de santé (%)</w:t>
      </w:r>
      <w:bookmarkEnd w:id="1491"/>
      <w:bookmarkEnd w:id="1492"/>
    </w:p>
    <w:p w14:paraId="225E4A03" w14:textId="77777777" w:rsidR="00606C71" w:rsidRPr="007C5A6E" w:rsidRDefault="00606C71" w:rsidP="001A7FE8">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En 2014, le taux d'accès aux infrastructures de santé en milieu urbain était de 81%. Toutefois, une baisse notable est observée en 2016, avec un taux réduit à 70,1%, soit une diminution de près de 11 points de pourcentage. Cette tendance à la baisse pourrait s'expliquer par la pression exercée sur les infrastructures de santé dues à l'urbanisation rapide, à la migration croissante vers les villes, et à l'expansion des quartiers périurbains. </w:t>
      </w:r>
    </w:p>
    <w:p w14:paraId="7C7D733B" w14:textId="77777777" w:rsidR="001A7FE8" w:rsidRPr="007C5A6E" w:rsidRDefault="001A7FE8" w:rsidP="001A7FE8">
      <w:pPr>
        <w:spacing w:after="0" w:line="240" w:lineRule="auto"/>
        <w:jc w:val="both"/>
        <w:rPr>
          <w:rFonts w:ascii="Times New Roman" w:eastAsiaTheme="minorHAnsi" w:hAnsi="Times New Roman"/>
          <w:sz w:val="24"/>
          <w:szCs w:val="24"/>
        </w:rPr>
      </w:pPr>
    </w:p>
    <w:p w14:paraId="164A0785" w14:textId="536D7EA2" w:rsidR="00606C71" w:rsidRPr="007C5A6E" w:rsidRDefault="00606C71" w:rsidP="001A7FE8">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L'augmentation de la population urbaine met à rude épreuve les services existants, générant ainsi des inégalités dans l'accès aux soins selon la zone de résidence en milieu urbain ainsi que le montre la</w:t>
      </w:r>
      <w:r w:rsidR="006E506E" w:rsidRPr="007C5A6E">
        <w:rPr>
          <w:rFonts w:ascii="Times New Roman" w:eastAsiaTheme="minorHAnsi" w:hAnsi="Times New Roman"/>
          <w:sz w:val="24"/>
          <w:szCs w:val="24"/>
        </w:rPr>
        <w:t xml:space="preserve"> </w:t>
      </w:r>
      <w:r w:rsidR="00DC0E0F" w:rsidRPr="007C5A6E">
        <w:rPr>
          <w:rFonts w:ascii="Times New Roman" w:eastAsiaTheme="minorHAnsi" w:hAnsi="Times New Roman"/>
          <w:sz w:val="24"/>
          <w:szCs w:val="24"/>
        </w:rPr>
        <w:t>figure 9</w:t>
      </w:r>
      <w:r w:rsidR="001A7FE8" w:rsidRPr="007C5A6E">
        <w:rPr>
          <w:rFonts w:ascii="Times New Roman" w:eastAsiaTheme="minorHAnsi" w:hAnsi="Times New Roman"/>
          <w:sz w:val="24"/>
          <w:szCs w:val="24"/>
        </w:rPr>
        <w:t>7</w:t>
      </w:r>
      <w:r w:rsidRPr="007C5A6E">
        <w:rPr>
          <w:rFonts w:ascii="Times New Roman" w:eastAsiaTheme="minorHAnsi" w:hAnsi="Times New Roman"/>
          <w:sz w:val="24"/>
          <w:szCs w:val="24"/>
        </w:rPr>
        <w:t xml:space="preserve"> suivante </w:t>
      </w:r>
      <w:sdt>
        <w:sdtPr>
          <w:rPr>
            <w:rFonts w:ascii="Times New Roman" w:eastAsiaTheme="minorHAnsi" w:hAnsi="Times New Roman"/>
            <w:sz w:val="24"/>
            <w:szCs w:val="24"/>
          </w:rPr>
          <w:id w:val="134142682"/>
          <w:citation/>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Emm09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(Cadot &amp; Harang, 2009)</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w:t>
      </w:r>
    </w:p>
    <w:p w14:paraId="715CC925" w14:textId="77777777" w:rsidR="001A7FE8" w:rsidRPr="007C5A6E" w:rsidRDefault="001A7FE8" w:rsidP="001A7FE8">
      <w:pPr>
        <w:spacing w:after="0" w:line="240" w:lineRule="auto"/>
        <w:jc w:val="both"/>
        <w:rPr>
          <w:rFonts w:ascii="Times New Roman" w:eastAsiaTheme="minorHAnsi" w:hAnsi="Times New Roman"/>
          <w:sz w:val="24"/>
          <w:szCs w:val="24"/>
        </w:rPr>
      </w:pPr>
    </w:p>
    <w:tbl>
      <w:tblPr>
        <w:tblStyle w:val="Grilledutableau12"/>
        <w:tblW w:w="0" w:type="auto"/>
        <w:tblLook w:val="04A0" w:firstRow="1" w:lastRow="0" w:firstColumn="1" w:lastColumn="0" w:noHBand="0" w:noVBand="1"/>
      </w:tblPr>
      <w:tblGrid>
        <w:gridCol w:w="4596"/>
        <w:gridCol w:w="4538"/>
      </w:tblGrid>
      <w:tr w:rsidR="00606C71" w:rsidRPr="007C5A6E" w14:paraId="320BDCE9" w14:textId="77777777" w:rsidTr="00DC0E0F">
        <w:tc>
          <w:tcPr>
            <w:tcW w:w="4596" w:type="dxa"/>
          </w:tcPr>
          <w:p w14:paraId="2F9D8941" w14:textId="77777777" w:rsidR="00606C71" w:rsidRPr="007C5A6E" w:rsidRDefault="00606C71" w:rsidP="00540B43">
            <w:pPr>
              <w:spacing w:after="0" w:line="240" w:lineRule="auto"/>
              <w:rPr>
                <w:rFonts w:ascii="Times New Roman" w:eastAsiaTheme="minorHAnsi" w:hAnsi="Times New Roman"/>
                <w:color w:val="002060"/>
                <w:kern w:val="2"/>
                <w:sz w:val="24"/>
                <w:szCs w:val="24"/>
                <w:lang w:eastAsia="en-US"/>
                <w14:ligatures w14:val="standardContextual"/>
              </w:rPr>
            </w:pPr>
            <w:r w:rsidRPr="007C5A6E">
              <w:rPr>
                <w:rFonts w:ascii="Times New Roman" w:eastAsiaTheme="minorHAnsi" w:hAnsi="Times New Roman"/>
                <w:noProof/>
                <w:color w:val="002060"/>
                <w:kern w:val="2"/>
                <w:sz w:val="24"/>
                <w:szCs w:val="24"/>
                <w14:ligatures w14:val="standardContextual"/>
              </w:rPr>
              <w:drawing>
                <wp:inline distT="0" distB="0" distL="0" distR="0" wp14:anchorId="7CAE4571" wp14:editId="0FEDBEA4">
                  <wp:extent cx="2775585" cy="2712720"/>
                  <wp:effectExtent l="0" t="0" r="5715" b="0"/>
                  <wp:docPr id="4628616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861621" name=""/>
                          <pic:cNvPicPr/>
                        </pic:nvPicPr>
                        <pic:blipFill>
                          <a:blip r:embed="rId235" cstate="email">
                            <a:extLst>
                              <a:ext uri="{BEBA8EAE-BF5A-486C-A8C5-ECC9F3942E4B}">
                                <a14:imgProps xmlns:a14="http://schemas.microsoft.com/office/drawing/2010/main">
                                  <a14:imgLayer r:embed="rId236">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2775585" cy="2712720"/>
                          </a:xfrm>
                          <a:prstGeom prst="rect">
                            <a:avLst/>
                          </a:prstGeom>
                        </pic:spPr>
                      </pic:pic>
                    </a:graphicData>
                  </a:graphic>
                </wp:inline>
              </w:drawing>
            </w:r>
          </w:p>
        </w:tc>
        <w:tc>
          <w:tcPr>
            <w:tcW w:w="4538" w:type="dxa"/>
          </w:tcPr>
          <w:p w14:paraId="49A74B98" w14:textId="77777777" w:rsidR="00606C71" w:rsidRPr="007C5A6E" w:rsidRDefault="00606C71" w:rsidP="00540B43">
            <w:pPr>
              <w:spacing w:after="0" w:line="240" w:lineRule="auto"/>
              <w:rPr>
                <w:rFonts w:ascii="Times New Roman" w:eastAsiaTheme="minorHAnsi" w:hAnsi="Times New Roman"/>
                <w:color w:val="002060"/>
                <w:kern w:val="2"/>
                <w:sz w:val="24"/>
                <w:szCs w:val="24"/>
                <w:lang w:eastAsia="en-US"/>
                <w14:ligatures w14:val="standardContextual"/>
              </w:rPr>
            </w:pPr>
            <w:r w:rsidRPr="007C5A6E">
              <w:rPr>
                <w:rFonts w:ascii="Times New Roman" w:eastAsiaTheme="minorHAnsi" w:hAnsi="Times New Roman"/>
                <w:noProof/>
                <w:color w:val="002060"/>
                <w:kern w:val="2"/>
                <w:sz w:val="24"/>
                <w:szCs w:val="24"/>
                <w14:ligatures w14:val="standardContextual"/>
              </w:rPr>
              <w:drawing>
                <wp:inline distT="0" distB="0" distL="0" distR="0" wp14:anchorId="6F552E03" wp14:editId="101BA74C">
                  <wp:extent cx="2744994" cy="2712864"/>
                  <wp:effectExtent l="0" t="0" r="0" b="0"/>
                  <wp:docPr id="4147299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29902" name=""/>
                          <pic:cNvPicPr/>
                        </pic:nvPicPr>
                        <pic:blipFill>
                          <a:blip r:embed="rId237" cstate="email">
                            <a:extLst>
                              <a:ext uri="{BEBA8EAE-BF5A-486C-A8C5-ECC9F3942E4B}">
                                <a14:imgProps xmlns:a14="http://schemas.microsoft.com/office/drawing/2010/main">
                                  <a14:imgLayer r:embed="rId238">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2746249" cy="2714104"/>
                          </a:xfrm>
                          <a:prstGeom prst="rect">
                            <a:avLst/>
                          </a:prstGeom>
                        </pic:spPr>
                      </pic:pic>
                    </a:graphicData>
                  </a:graphic>
                </wp:inline>
              </w:drawing>
            </w:r>
          </w:p>
        </w:tc>
      </w:tr>
      <w:tr w:rsidR="00606C71" w:rsidRPr="007C5A6E" w14:paraId="6D4C2B60" w14:textId="77777777" w:rsidTr="00DC0E0F">
        <w:tc>
          <w:tcPr>
            <w:tcW w:w="4596" w:type="dxa"/>
          </w:tcPr>
          <w:p w14:paraId="0C26B68E" w14:textId="77777777" w:rsidR="00606C71" w:rsidRPr="007C5A6E" w:rsidRDefault="00606C71" w:rsidP="00540B43">
            <w:pPr>
              <w:spacing w:after="0" w:line="240" w:lineRule="auto"/>
              <w:rPr>
                <w:rFonts w:ascii="Times New Roman" w:eastAsiaTheme="minorHAnsi" w:hAnsi="Times New Roman"/>
                <w:color w:val="002060"/>
                <w:kern w:val="2"/>
                <w:sz w:val="24"/>
                <w:szCs w:val="24"/>
                <w:lang w:eastAsia="en-US"/>
                <w14:ligatures w14:val="standardContextual"/>
              </w:rPr>
            </w:pPr>
            <w:r w:rsidRPr="007C5A6E">
              <w:rPr>
                <w:rFonts w:ascii="Times New Roman" w:eastAsiaTheme="minorHAnsi" w:hAnsi="Times New Roman"/>
                <w:noProof/>
                <w:color w:val="002060"/>
                <w:kern w:val="2"/>
                <w:sz w:val="24"/>
                <w:szCs w:val="24"/>
                <w14:ligatures w14:val="standardContextual"/>
              </w:rPr>
              <w:drawing>
                <wp:inline distT="0" distB="0" distL="0" distR="0" wp14:anchorId="081E4B09" wp14:editId="24CE0ED4">
                  <wp:extent cx="2610461" cy="962070"/>
                  <wp:effectExtent l="0" t="0" r="0" b="0"/>
                  <wp:docPr id="17061558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155888" name=""/>
                          <pic:cNvPicPr/>
                        </pic:nvPicPr>
                        <pic:blipFill>
                          <a:blip r:embed="rId239" cstate="email">
                            <a:extLst>
                              <a:ext uri="{BEBA8EAE-BF5A-486C-A8C5-ECC9F3942E4B}">
                                <a14:imgProps xmlns:a14="http://schemas.microsoft.com/office/drawing/2010/main">
                                  <a14:imgLayer r:embed="rId240">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2614167" cy="963436"/>
                          </a:xfrm>
                          <a:prstGeom prst="rect">
                            <a:avLst/>
                          </a:prstGeom>
                        </pic:spPr>
                      </pic:pic>
                    </a:graphicData>
                  </a:graphic>
                </wp:inline>
              </w:drawing>
            </w:r>
          </w:p>
        </w:tc>
        <w:tc>
          <w:tcPr>
            <w:tcW w:w="4538" w:type="dxa"/>
          </w:tcPr>
          <w:p w14:paraId="44362C3E" w14:textId="77777777" w:rsidR="00606C71" w:rsidRPr="007C5A6E" w:rsidRDefault="00606C71" w:rsidP="00540B43">
            <w:pPr>
              <w:spacing w:after="0" w:line="240" w:lineRule="auto"/>
              <w:rPr>
                <w:rFonts w:ascii="Times New Roman" w:eastAsiaTheme="minorHAnsi" w:hAnsi="Times New Roman"/>
                <w:color w:val="002060"/>
                <w:kern w:val="2"/>
                <w:sz w:val="24"/>
                <w:szCs w:val="24"/>
                <w:lang w:eastAsia="en-US"/>
                <w14:ligatures w14:val="standardContextual"/>
              </w:rPr>
            </w:pPr>
            <w:r w:rsidRPr="007C5A6E">
              <w:rPr>
                <w:rFonts w:ascii="Times New Roman" w:eastAsiaTheme="minorHAnsi" w:hAnsi="Times New Roman"/>
                <w:noProof/>
                <w:color w:val="002060"/>
                <w:kern w:val="2"/>
                <w:sz w:val="24"/>
                <w:szCs w:val="24"/>
                <w14:ligatures w14:val="standardContextual"/>
              </w:rPr>
              <w:drawing>
                <wp:anchor distT="0" distB="0" distL="114300" distR="114300" simplePos="0" relativeHeight="251715072" behindDoc="0" locked="0" layoutInCell="1" allowOverlap="1" wp14:anchorId="373C4FAC" wp14:editId="56375BEA">
                  <wp:simplePos x="0" y="0"/>
                  <wp:positionH relativeFrom="column">
                    <wp:posOffset>1647145</wp:posOffset>
                  </wp:positionH>
                  <wp:positionV relativeFrom="paragraph">
                    <wp:posOffset>31750</wp:posOffset>
                  </wp:positionV>
                  <wp:extent cx="1045632" cy="520038"/>
                  <wp:effectExtent l="0" t="0" r="2540" b="0"/>
                  <wp:wrapNone/>
                  <wp:docPr id="959061850" name="Image 1" descr="Une image contenant croquis, Police, dessin,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061850" name="Image 1" descr="Une image contenant croquis, Police, dessin, texte&#10;&#10;Description générée automatiquement"/>
                          <pic:cNvPicPr/>
                        </pic:nvPicPr>
                        <pic:blipFill>
                          <a:blip r:embed="rId241" cstate="email">
                            <a:extLst>
                              <a:ext uri="{BEBA8EAE-BF5A-486C-A8C5-ECC9F3942E4B}">
                                <a14:imgProps xmlns:a14="http://schemas.microsoft.com/office/drawing/2010/main">
                                  <a14:imgLayer r:embed="rId242">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1045632" cy="520038"/>
                          </a:xfrm>
                          <a:prstGeom prst="rect">
                            <a:avLst/>
                          </a:prstGeom>
                        </pic:spPr>
                      </pic:pic>
                    </a:graphicData>
                  </a:graphic>
                  <wp14:sizeRelH relativeFrom="page">
                    <wp14:pctWidth>0</wp14:pctWidth>
                  </wp14:sizeRelH>
                  <wp14:sizeRelV relativeFrom="page">
                    <wp14:pctHeight>0</wp14:pctHeight>
                  </wp14:sizeRelV>
                </wp:anchor>
              </w:drawing>
            </w:r>
            <w:r w:rsidRPr="007C5A6E">
              <w:rPr>
                <w:rFonts w:ascii="Times New Roman" w:eastAsiaTheme="minorHAnsi" w:hAnsi="Times New Roman"/>
                <w:noProof/>
                <w:color w:val="002060"/>
                <w:kern w:val="2"/>
                <w:sz w:val="24"/>
                <w:szCs w:val="24"/>
                <w14:ligatures w14:val="standardContextual"/>
              </w:rPr>
              <w:drawing>
                <wp:inline distT="0" distB="0" distL="0" distR="0" wp14:anchorId="07A2DEF1" wp14:editId="76131C73">
                  <wp:extent cx="2080152" cy="918136"/>
                  <wp:effectExtent l="0" t="0" r="0" b="0"/>
                  <wp:docPr id="3691315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131529" name=""/>
                          <pic:cNvPicPr/>
                        </pic:nvPicPr>
                        <pic:blipFill>
                          <a:blip r:embed="rId243" cstate="email">
                            <a:extLst>
                              <a:ext uri="{BEBA8EAE-BF5A-486C-A8C5-ECC9F3942E4B}">
                                <a14:imgProps xmlns:a14="http://schemas.microsoft.com/office/drawing/2010/main">
                                  <a14:imgLayer r:embed="rId244">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2081867" cy="918893"/>
                          </a:xfrm>
                          <a:prstGeom prst="rect">
                            <a:avLst/>
                          </a:prstGeom>
                        </pic:spPr>
                      </pic:pic>
                    </a:graphicData>
                  </a:graphic>
                </wp:inline>
              </w:drawing>
            </w:r>
          </w:p>
        </w:tc>
      </w:tr>
    </w:tbl>
    <w:p w14:paraId="4ED2F65D" w14:textId="605FC8B0" w:rsidR="00DC0E0F" w:rsidRPr="007C5A6E" w:rsidRDefault="00DC0E0F" w:rsidP="00540B43">
      <w:pPr>
        <w:autoSpaceDE w:val="0"/>
        <w:autoSpaceDN w:val="0"/>
        <w:adjustRightInd w:val="0"/>
        <w:spacing w:after="0" w:line="240" w:lineRule="auto"/>
        <w:rPr>
          <w:rFonts w:ascii="Times New Roman" w:hAnsi="Times New Roman"/>
          <w:sz w:val="20"/>
          <w:szCs w:val="20"/>
        </w:rPr>
      </w:pPr>
      <w:r w:rsidRPr="007C5A6E">
        <w:rPr>
          <w:rFonts w:ascii="Times New Roman" w:hAnsi="Times New Roman"/>
          <w:sz w:val="20"/>
          <w:szCs w:val="20"/>
        </w:rPr>
        <w:t xml:space="preserve">(Source : Cadot &amp; </w:t>
      </w:r>
      <w:proofErr w:type="spellStart"/>
      <w:r w:rsidRPr="007C5A6E">
        <w:rPr>
          <w:rFonts w:ascii="Times New Roman" w:hAnsi="Times New Roman"/>
          <w:sz w:val="20"/>
          <w:szCs w:val="20"/>
        </w:rPr>
        <w:t>Harang</w:t>
      </w:r>
      <w:proofErr w:type="spellEnd"/>
      <w:r w:rsidRPr="007C5A6E">
        <w:rPr>
          <w:rFonts w:ascii="Times New Roman" w:hAnsi="Times New Roman"/>
          <w:sz w:val="20"/>
          <w:szCs w:val="20"/>
        </w:rPr>
        <w:t>, 2009)</w:t>
      </w:r>
    </w:p>
    <w:p w14:paraId="0E4228D4" w14:textId="6A37D4C5" w:rsidR="00DC0E0F" w:rsidRPr="007C5A6E" w:rsidRDefault="00DC0E0F" w:rsidP="001A7FE8">
      <w:pPr>
        <w:spacing w:after="0" w:line="240" w:lineRule="auto"/>
        <w:jc w:val="both"/>
        <w:rPr>
          <w:rFonts w:ascii="Times New Roman" w:eastAsiaTheme="minorHAnsi" w:hAnsi="Times New Roman"/>
          <w:sz w:val="24"/>
          <w:szCs w:val="24"/>
        </w:rPr>
      </w:pPr>
      <w:bookmarkStart w:id="1493" w:name="_Toc183240737"/>
      <w:bookmarkStart w:id="1494" w:name="_Toc183340476"/>
      <w:r w:rsidRPr="007C5A6E">
        <w:rPr>
          <w:rFonts w:ascii="Times New Roman" w:eastAsiaTheme="minorHAnsi" w:hAnsi="Times New Roman"/>
          <w:i/>
          <w:iCs/>
          <w:kern w:val="2"/>
          <w:sz w:val="24"/>
          <w:szCs w:val="24"/>
          <w:lang w:eastAsia="en-US"/>
          <w14:ligatures w14:val="standardContextual"/>
        </w:rPr>
        <w:t xml:space="preserve">Figure </w:t>
      </w:r>
      <w:r w:rsidRPr="007C5A6E">
        <w:rPr>
          <w:rFonts w:ascii="Times New Roman" w:eastAsiaTheme="minorHAnsi" w:hAnsi="Times New Roman"/>
          <w:i/>
          <w:iCs/>
          <w:kern w:val="2"/>
          <w:sz w:val="24"/>
          <w:szCs w:val="24"/>
          <w:lang w:eastAsia="en-US"/>
          <w14:ligatures w14:val="standardContextual"/>
        </w:rPr>
        <w:fldChar w:fldCharType="begin"/>
      </w:r>
      <w:r w:rsidRPr="007C5A6E">
        <w:rPr>
          <w:rFonts w:ascii="Times New Roman" w:eastAsiaTheme="minorHAnsi" w:hAnsi="Times New Roman"/>
          <w:i/>
          <w:iCs/>
          <w:kern w:val="2"/>
          <w:sz w:val="24"/>
          <w:szCs w:val="24"/>
          <w:lang w:eastAsia="en-US"/>
          <w14:ligatures w14:val="standardContextual"/>
        </w:rPr>
        <w:instrText xml:space="preserve"> SEQ Figure \* ARABIC </w:instrText>
      </w:r>
      <w:r w:rsidRPr="007C5A6E">
        <w:rPr>
          <w:rFonts w:ascii="Times New Roman" w:eastAsiaTheme="minorHAnsi" w:hAnsi="Times New Roman"/>
          <w:i/>
          <w:iCs/>
          <w:kern w:val="2"/>
          <w:sz w:val="24"/>
          <w:szCs w:val="24"/>
          <w:lang w:eastAsia="en-US"/>
          <w14:ligatures w14:val="standardContextual"/>
        </w:rPr>
        <w:fldChar w:fldCharType="separate"/>
      </w:r>
      <w:r w:rsidR="001A7FE8" w:rsidRPr="007C5A6E">
        <w:rPr>
          <w:rFonts w:ascii="Times New Roman" w:eastAsiaTheme="minorHAnsi" w:hAnsi="Times New Roman"/>
          <w:i/>
          <w:iCs/>
          <w:noProof/>
          <w:kern w:val="2"/>
          <w:sz w:val="24"/>
          <w:szCs w:val="24"/>
          <w:lang w:eastAsia="en-US"/>
          <w14:ligatures w14:val="standardContextual"/>
        </w:rPr>
        <w:t>97</w:t>
      </w:r>
      <w:r w:rsidRPr="007C5A6E">
        <w:rPr>
          <w:rFonts w:ascii="Times New Roman" w:eastAsiaTheme="minorHAnsi" w:hAnsi="Times New Roman"/>
          <w:i/>
          <w:iCs/>
          <w:kern w:val="2"/>
          <w:sz w:val="24"/>
          <w:szCs w:val="24"/>
          <w:lang w:eastAsia="en-US"/>
          <w14:ligatures w14:val="standardContextual"/>
        </w:rPr>
        <w:fldChar w:fldCharType="end"/>
      </w:r>
      <w:r w:rsidRPr="007C5A6E">
        <w:rPr>
          <w:rFonts w:ascii="Times New Roman" w:eastAsiaTheme="minorHAnsi" w:hAnsi="Times New Roman"/>
          <w:i/>
          <w:iCs/>
          <w:kern w:val="2"/>
          <w:sz w:val="24"/>
          <w:szCs w:val="24"/>
          <w:lang w:eastAsia="en-US"/>
          <w14:ligatures w14:val="standardContextual"/>
        </w:rPr>
        <w:t>. Offre de soins et étalement urbain à Ouagadougou de 1931 à 2005</w:t>
      </w:r>
      <w:bookmarkEnd w:id="1493"/>
      <w:bookmarkEnd w:id="1494"/>
    </w:p>
    <w:p w14:paraId="0FC59EDC" w14:textId="77777777" w:rsidR="001A7FE8" w:rsidRPr="007C5A6E" w:rsidRDefault="001A7FE8" w:rsidP="001A7FE8">
      <w:pPr>
        <w:spacing w:after="0" w:line="240" w:lineRule="auto"/>
        <w:jc w:val="both"/>
        <w:rPr>
          <w:rFonts w:ascii="Times New Roman" w:eastAsiaTheme="minorHAnsi" w:hAnsi="Times New Roman"/>
          <w:sz w:val="24"/>
          <w:szCs w:val="24"/>
        </w:rPr>
      </w:pPr>
    </w:p>
    <w:p w14:paraId="23506CE6" w14:textId="448DD232" w:rsidR="00606C71" w:rsidRPr="007C5A6E" w:rsidRDefault="00606C71" w:rsidP="001A7FE8">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Contrairement à la tendance urbaine, le milieu rural a connu une amélioration de l'accès aux infrastructures de santé. Le taux est passé de 33,9% en 2014 à 38,3% en 2016, marquant une augmentation de 4,4 points de pourcentage. Bien que ce progrès reste modeste, il est probablement le résultat des efforts pour renforcer les services de santé dans les zones rurales, dans le but de réduire les écarts avec les zones urbaines.</w:t>
      </w:r>
    </w:p>
    <w:p w14:paraId="47010C56" w14:textId="77777777" w:rsidR="001A7FE8" w:rsidRPr="007C5A6E" w:rsidRDefault="001A7FE8" w:rsidP="001A7FE8">
      <w:pPr>
        <w:spacing w:after="0" w:line="240" w:lineRule="auto"/>
        <w:jc w:val="both"/>
        <w:rPr>
          <w:rFonts w:ascii="Times New Roman" w:eastAsiaTheme="minorHAnsi" w:hAnsi="Times New Roman"/>
          <w:sz w:val="24"/>
          <w:szCs w:val="24"/>
        </w:rPr>
      </w:pPr>
    </w:p>
    <w:p w14:paraId="5F6E7318" w14:textId="5429146A" w:rsidR="00606C71" w:rsidRPr="007C5A6E" w:rsidRDefault="00606C71" w:rsidP="001A7FE8">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Enfin, l'accès à l'éducation est également limité dans ces zones en raison de la rareté des établissements scolaires et des coûts liés à l'éducation </w:t>
      </w:r>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Bol17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(Boly, 2017)</w:t>
      </w:r>
      <w:r w:rsidRPr="007C5A6E">
        <w:rPr>
          <w:rFonts w:ascii="Times New Roman" w:eastAsiaTheme="minorHAnsi" w:hAnsi="Times New Roman"/>
          <w:sz w:val="24"/>
          <w:szCs w:val="24"/>
        </w:rPr>
        <w:fldChar w:fldCharType="end"/>
      </w:r>
      <w:r w:rsidRPr="007C5A6E">
        <w:rPr>
          <w:rFonts w:ascii="Times New Roman" w:eastAsiaTheme="minorHAnsi" w:hAnsi="Times New Roman"/>
          <w:sz w:val="24"/>
          <w:szCs w:val="24"/>
        </w:rPr>
        <w:t xml:space="preserve">. Les écoles publiques, souvent surchargées, peinent à répondre à la demande croissante privant ainsi de nombreux enfants d'un accès adéquat à une éducation de qualité. </w:t>
      </w:r>
    </w:p>
    <w:p w14:paraId="2BDADF3C" w14:textId="77777777" w:rsidR="001A7FE8" w:rsidRPr="007C5A6E" w:rsidRDefault="001A7FE8" w:rsidP="001A7FE8">
      <w:pPr>
        <w:spacing w:after="0" w:line="240" w:lineRule="auto"/>
        <w:jc w:val="both"/>
        <w:rPr>
          <w:rFonts w:ascii="Times New Roman" w:eastAsiaTheme="minorHAnsi" w:hAnsi="Times New Roman"/>
          <w:sz w:val="24"/>
          <w:szCs w:val="24"/>
        </w:rPr>
      </w:pPr>
    </w:p>
    <w:p w14:paraId="2B423AC2" w14:textId="5207F93F" w:rsidR="00606C71" w:rsidRPr="007C5A6E" w:rsidRDefault="00606C71" w:rsidP="001A7FE8">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Les écoles privées, restent inaccessibles pour la plupart des résidents en raison de leurs coûts élevés. En 2012, 86,6% des écoles dans les zones périphériques non loties sont privées </w:t>
      </w:r>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Bol17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(Boly, 2017)</w:t>
      </w:r>
      <w:r w:rsidRPr="007C5A6E">
        <w:rPr>
          <w:rFonts w:ascii="Times New Roman" w:eastAsiaTheme="minorHAnsi" w:hAnsi="Times New Roman"/>
          <w:sz w:val="24"/>
          <w:szCs w:val="24"/>
        </w:rPr>
        <w:fldChar w:fldCharType="end"/>
      </w:r>
      <w:r w:rsidRPr="007C5A6E">
        <w:rPr>
          <w:rFonts w:ascii="Times New Roman" w:eastAsiaTheme="minorHAnsi" w:hAnsi="Times New Roman"/>
          <w:sz w:val="24"/>
          <w:szCs w:val="24"/>
        </w:rPr>
        <w:t xml:space="preserve">; </w:t>
      </w:r>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CITATION Las24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(LibreFaso, 2024)</w:t>
      </w:r>
      <w:r w:rsidRPr="007C5A6E">
        <w:rPr>
          <w:rFonts w:ascii="Times New Roman" w:eastAsiaTheme="minorHAnsi" w:hAnsi="Times New Roman"/>
          <w:sz w:val="24"/>
          <w:szCs w:val="24"/>
        </w:rPr>
        <w:fldChar w:fldCharType="end"/>
      </w:r>
      <w:r w:rsidRPr="007C5A6E">
        <w:rPr>
          <w:rFonts w:ascii="Times New Roman" w:eastAsiaTheme="minorHAnsi" w:hAnsi="Times New Roman"/>
          <w:sz w:val="24"/>
          <w:szCs w:val="24"/>
        </w:rPr>
        <w:t>. Le</w:t>
      </w:r>
      <w:r w:rsidR="008A3590" w:rsidRPr="007C5A6E">
        <w:rPr>
          <w:rFonts w:ascii="Times New Roman" w:eastAsiaTheme="minorHAnsi" w:hAnsi="Times New Roman"/>
          <w:sz w:val="24"/>
          <w:szCs w:val="24"/>
        </w:rPr>
        <w:t>s</w:t>
      </w:r>
      <w:r w:rsidRPr="007C5A6E">
        <w:rPr>
          <w:rFonts w:ascii="Times New Roman" w:eastAsiaTheme="minorHAnsi" w:hAnsi="Times New Roman"/>
          <w:sz w:val="24"/>
          <w:szCs w:val="24"/>
        </w:rPr>
        <w:t xml:space="preserve"> </w:t>
      </w:r>
      <w:r w:rsidR="006E506E" w:rsidRPr="007C5A6E">
        <w:rPr>
          <w:rFonts w:ascii="Times New Roman" w:eastAsiaTheme="minorHAnsi" w:hAnsi="Times New Roman"/>
          <w:sz w:val="24"/>
          <w:szCs w:val="24"/>
        </w:rPr>
        <w:t>figure</w:t>
      </w:r>
      <w:r w:rsidR="008A3590" w:rsidRPr="007C5A6E">
        <w:rPr>
          <w:rFonts w:ascii="Times New Roman" w:eastAsiaTheme="minorHAnsi" w:hAnsi="Times New Roman"/>
          <w:sz w:val="24"/>
          <w:szCs w:val="24"/>
        </w:rPr>
        <w:t>s</w:t>
      </w:r>
      <w:r w:rsidR="006E506E" w:rsidRPr="007C5A6E">
        <w:rPr>
          <w:rFonts w:ascii="Times New Roman" w:eastAsiaTheme="minorHAnsi" w:hAnsi="Times New Roman"/>
          <w:sz w:val="24"/>
          <w:szCs w:val="24"/>
        </w:rPr>
        <w:t xml:space="preserve"> 9</w:t>
      </w:r>
      <w:r w:rsidR="001A7FE8" w:rsidRPr="007C5A6E">
        <w:rPr>
          <w:rFonts w:ascii="Times New Roman" w:eastAsiaTheme="minorHAnsi" w:hAnsi="Times New Roman"/>
          <w:sz w:val="24"/>
          <w:szCs w:val="24"/>
        </w:rPr>
        <w:t>8</w:t>
      </w:r>
      <w:r w:rsidRPr="007C5A6E">
        <w:rPr>
          <w:rFonts w:ascii="Times New Roman" w:eastAsiaTheme="minorHAnsi" w:hAnsi="Times New Roman"/>
          <w:sz w:val="24"/>
          <w:szCs w:val="24"/>
        </w:rPr>
        <w:t xml:space="preserve"> et </w:t>
      </w:r>
      <w:r w:rsidR="001A7FE8" w:rsidRPr="007C5A6E">
        <w:rPr>
          <w:rFonts w:ascii="Times New Roman" w:eastAsiaTheme="minorHAnsi" w:hAnsi="Times New Roman"/>
          <w:sz w:val="24"/>
          <w:szCs w:val="24"/>
        </w:rPr>
        <w:t>99</w:t>
      </w:r>
      <w:r w:rsidRPr="007C5A6E">
        <w:rPr>
          <w:rFonts w:ascii="Times New Roman" w:eastAsiaTheme="minorHAnsi" w:hAnsi="Times New Roman"/>
          <w:sz w:val="24"/>
          <w:szCs w:val="24"/>
        </w:rPr>
        <w:t xml:space="preserve"> suivant</w:t>
      </w:r>
      <w:r w:rsidR="008A3590" w:rsidRPr="007C5A6E">
        <w:rPr>
          <w:rFonts w:ascii="Times New Roman" w:eastAsiaTheme="minorHAnsi" w:hAnsi="Times New Roman"/>
          <w:sz w:val="24"/>
          <w:szCs w:val="24"/>
        </w:rPr>
        <w:t>e</w:t>
      </w:r>
      <w:r w:rsidRPr="007C5A6E">
        <w:rPr>
          <w:rFonts w:ascii="Times New Roman" w:eastAsiaTheme="minorHAnsi" w:hAnsi="Times New Roman"/>
          <w:sz w:val="24"/>
          <w:szCs w:val="24"/>
        </w:rPr>
        <w:t>s donnent une idée des disparités sur la question.</w:t>
      </w:r>
      <w:bookmarkStart w:id="1495" w:name="_Toc177649602"/>
    </w:p>
    <w:bookmarkEnd w:id="1495"/>
    <w:p w14:paraId="5269EF67" w14:textId="77777777" w:rsidR="00606C71" w:rsidRPr="007C5A6E" w:rsidRDefault="00606C71" w:rsidP="00540B43">
      <w:pPr>
        <w:spacing w:after="0" w:line="240" w:lineRule="auto"/>
        <w:rPr>
          <w:rFonts w:ascii="Times New Roman" w:eastAsiaTheme="minorHAnsi" w:hAnsi="Times New Roman"/>
          <w:color w:val="002060"/>
          <w:sz w:val="24"/>
          <w:szCs w:val="24"/>
        </w:rPr>
      </w:pPr>
      <w:r w:rsidRPr="007C5A6E">
        <w:rPr>
          <w:rFonts w:asciiTheme="minorHAnsi" w:eastAsiaTheme="minorHAnsi" w:hAnsiTheme="minorHAnsi" w:cstheme="minorBidi"/>
          <w:noProof/>
          <w:kern w:val="2"/>
          <w14:ligatures w14:val="standardContextual"/>
        </w:rPr>
        <w:drawing>
          <wp:inline distT="0" distB="0" distL="0" distR="0" wp14:anchorId="1BA4218D" wp14:editId="02A7DE5E">
            <wp:extent cx="5733415" cy="1990725"/>
            <wp:effectExtent l="0" t="0" r="635" b="9525"/>
            <wp:docPr id="1869288784"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p>
    <w:p w14:paraId="7A37D43B" w14:textId="4BDC3638" w:rsidR="006E506E" w:rsidRPr="007C5A6E" w:rsidRDefault="006E506E" w:rsidP="00540B43">
      <w:pPr>
        <w:autoSpaceDE w:val="0"/>
        <w:autoSpaceDN w:val="0"/>
        <w:adjustRightInd w:val="0"/>
        <w:spacing w:after="0" w:line="240" w:lineRule="auto"/>
        <w:rPr>
          <w:rFonts w:ascii="Times New Roman" w:hAnsi="Times New Roman"/>
          <w:sz w:val="20"/>
          <w:szCs w:val="20"/>
        </w:rPr>
      </w:pPr>
      <w:r w:rsidRPr="007C5A6E">
        <w:rPr>
          <w:rFonts w:ascii="Times New Roman" w:hAnsi="Times New Roman"/>
          <w:sz w:val="20"/>
          <w:szCs w:val="20"/>
        </w:rPr>
        <w:t>(Source : Boly, 2017)</w:t>
      </w:r>
    </w:p>
    <w:p w14:paraId="4AD5DE68" w14:textId="255FD178" w:rsidR="006E506E" w:rsidRPr="007C5A6E" w:rsidRDefault="006E506E" w:rsidP="001A7FE8">
      <w:pPr>
        <w:spacing w:after="0" w:line="240" w:lineRule="auto"/>
        <w:jc w:val="both"/>
        <w:rPr>
          <w:rFonts w:ascii="Times New Roman" w:eastAsiaTheme="minorHAnsi" w:hAnsi="Times New Roman"/>
          <w:sz w:val="24"/>
          <w:szCs w:val="24"/>
        </w:rPr>
      </w:pPr>
      <w:bookmarkStart w:id="1496" w:name="_Toc183240738"/>
      <w:bookmarkStart w:id="1497" w:name="_Toc183340477"/>
      <w:r w:rsidRPr="007C5A6E">
        <w:rPr>
          <w:rFonts w:ascii="Times New Roman" w:eastAsiaTheme="minorHAnsi" w:hAnsi="Times New Roman"/>
          <w:i/>
          <w:iCs/>
          <w:kern w:val="2"/>
          <w:sz w:val="24"/>
          <w:szCs w:val="24"/>
          <w:lang w:eastAsia="en-US"/>
          <w14:ligatures w14:val="standardContextual"/>
        </w:rPr>
        <w:t xml:space="preserve">Figure </w:t>
      </w:r>
      <w:r w:rsidRPr="007C5A6E">
        <w:rPr>
          <w:rFonts w:ascii="Times New Roman" w:eastAsiaTheme="minorHAnsi" w:hAnsi="Times New Roman"/>
          <w:i/>
          <w:iCs/>
          <w:kern w:val="2"/>
          <w:sz w:val="24"/>
          <w:szCs w:val="24"/>
          <w:lang w:eastAsia="en-US"/>
          <w14:ligatures w14:val="standardContextual"/>
        </w:rPr>
        <w:fldChar w:fldCharType="begin"/>
      </w:r>
      <w:r w:rsidRPr="007C5A6E">
        <w:rPr>
          <w:rFonts w:ascii="Times New Roman" w:eastAsiaTheme="minorHAnsi" w:hAnsi="Times New Roman"/>
          <w:i/>
          <w:iCs/>
          <w:kern w:val="2"/>
          <w:sz w:val="24"/>
          <w:szCs w:val="24"/>
          <w:lang w:eastAsia="en-US"/>
          <w14:ligatures w14:val="standardContextual"/>
        </w:rPr>
        <w:instrText xml:space="preserve"> SEQ Figure \* ARABIC </w:instrText>
      </w:r>
      <w:r w:rsidRPr="007C5A6E">
        <w:rPr>
          <w:rFonts w:ascii="Times New Roman" w:eastAsiaTheme="minorHAnsi" w:hAnsi="Times New Roman"/>
          <w:i/>
          <w:iCs/>
          <w:kern w:val="2"/>
          <w:sz w:val="24"/>
          <w:szCs w:val="24"/>
          <w:lang w:eastAsia="en-US"/>
          <w14:ligatures w14:val="standardContextual"/>
        </w:rPr>
        <w:fldChar w:fldCharType="separate"/>
      </w:r>
      <w:r w:rsidR="001A7FE8" w:rsidRPr="007C5A6E">
        <w:rPr>
          <w:rFonts w:ascii="Times New Roman" w:eastAsiaTheme="minorHAnsi" w:hAnsi="Times New Roman"/>
          <w:i/>
          <w:iCs/>
          <w:noProof/>
          <w:kern w:val="2"/>
          <w:sz w:val="24"/>
          <w:szCs w:val="24"/>
          <w:lang w:eastAsia="en-US"/>
          <w14:ligatures w14:val="standardContextual"/>
        </w:rPr>
        <w:t>98</w:t>
      </w:r>
      <w:r w:rsidRPr="007C5A6E">
        <w:rPr>
          <w:rFonts w:ascii="Times New Roman" w:eastAsiaTheme="minorHAnsi" w:hAnsi="Times New Roman"/>
          <w:i/>
          <w:iCs/>
          <w:kern w:val="2"/>
          <w:sz w:val="24"/>
          <w:szCs w:val="24"/>
          <w:lang w:eastAsia="en-US"/>
          <w14:ligatures w14:val="standardContextual"/>
        </w:rPr>
        <w:fldChar w:fldCharType="end"/>
      </w:r>
      <w:r w:rsidRPr="007C5A6E">
        <w:rPr>
          <w:rFonts w:ascii="Times New Roman" w:eastAsiaTheme="minorHAnsi" w:hAnsi="Times New Roman"/>
          <w:i/>
          <w:iCs/>
          <w:kern w:val="2"/>
          <w:sz w:val="24"/>
          <w:szCs w:val="24"/>
          <w:lang w:eastAsia="en-US"/>
          <w14:ligatures w14:val="standardContextual"/>
        </w:rPr>
        <w:t>. Taux de fréquentation scolaire des enfants de 9 à 11 ans selon la zone de résidence (%)</w:t>
      </w:r>
      <w:bookmarkEnd w:id="1496"/>
      <w:bookmarkEnd w:id="1497"/>
    </w:p>
    <w:p w14:paraId="0DFB3BF5" w14:textId="77777777" w:rsidR="006E506E" w:rsidRPr="007C5A6E" w:rsidRDefault="006E506E" w:rsidP="001A7FE8">
      <w:pPr>
        <w:spacing w:after="0" w:line="240" w:lineRule="auto"/>
        <w:rPr>
          <w:rFonts w:asciiTheme="minorHAnsi" w:eastAsiaTheme="minorHAnsi" w:hAnsiTheme="minorHAnsi" w:cstheme="minorBidi"/>
          <w:kern w:val="2"/>
          <w:sz w:val="20"/>
          <w:szCs w:val="20"/>
          <w:lang w:eastAsia="en-US"/>
          <w14:ligatures w14:val="standardContextual"/>
        </w:rPr>
      </w:pPr>
    </w:p>
    <w:tbl>
      <w:tblPr>
        <w:tblStyle w:val="Grilledutableau12"/>
        <w:tblW w:w="0" w:type="auto"/>
        <w:tblLook w:val="04A0" w:firstRow="1" w:lastRow="0" w:firstColumn="1" w:lastColumn="0" w:noHBand="0" w:noVBand="1"/>
      </w:tblPr>
      <w:tblGrid>
        <w:gridCol w:w="9156"/>
      </w:tblGrid>
      <w:tr w:rsidR="00606C71" w:rsidRPr="007C5A6E" w14:paraId="40A5D9AF" w14:textId="77777777" w:rsidTr="006E506E">
        <w:tc>
          <w:tcPr>
            <w:tcW w:w="9156" w:type="dxa"/>
          </w:tcPr>
          <w:p w14:paraId="008670E6" w14:textId="77777777" w:rsidR="00606C71" w:rsidRPr="007C5A6E" w:rsidRDefault="00606C71" w:rsidP="00540B43">
            <w:pPr>
              <w:spacing w:after="0" w:line="240" w:lineRule="auto"/>
              <w:rPr>
                <w:rFonts w:ascii="Times New Roman" w:eastAsiaTheme="minorHAnsi" w:hAnsi="Times New Roman"/>
                <w:color w:val="002060"/>
                <w:kern w:val="2"/>
                <w:sz w:val="24"/>
                <w:szCs w:val="24"/>
                <w:lang w:eastAsia="en-US"/>
                <w14:ligatures w14:val="standardContextual"/>
              </w:rPr>
            </w:pPr>
            <w:r w:rsidRPr="007C5A6E">
              <w:rPr>
                <w:rFonts w:ascii="Times New Roman" w:eastAsiaTheme="minorHAnsi" w:hAnsi="Times New Roman"/>
                <w:noProof/>
                <w:color w:val="002060"/>
                <w:kern w:val="2"/>
                <w:sz w:val="24"/>
                <w:szCs w:val="24"/>
                <w14:ligatures w14:val="standardContextual"/>
              </w:rPr>
              <w:drawing>
                <wp:inline distT="0" distB="0" distL="0" distR="0" wp14:anchorId="7D0A5BD7" wp14:editId="1F22C004">
                  <wp:extent cx="5676265" cy="5057775"/>
                  <wp:effectExtent l="0" t="0" r="635" b="9525"/>
                  <wp:docPr id="4014043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404306" name=""/>
                          <pic:cNvPicPr/>
                        </pic:nvPicPr>
                        <pic:blipFill>
                          <a:blip r:embed="rId246" cstate="email">
                            <a:extLst>
                              <a:ext uri="{BEBA8EAE-BF5A-486C-A8C5-ECC9F3942E4B}">
                                <a14:imgProps xmlns:a14="http://schemas.microsoft.com/office/drawing/2010/main">
                                  <a14:imgLayer r:embed="rId247">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680169" cy="5061254"/>
                          </a:xfrm>
                          <a:prstGeom prst="rect">
                            <a:avLst/>
                          </a:prstGeom>
                        </pic:spPr>
                      </pic:pic>
                    </a:graphicData>
                  </a:graphic>
                </wp:inline>
              </w:drawing>
            </w:r>
          </w:p>
        </w:tc>
      </w:tr>
    </w:tbl>
    <w:p w14:paraId="2C56AE77" w14:textId="08FD2602" w:rsidR="006E506E" w:rsidRPr="007C5A6E" w:rsidRDefault="006E506E" w:rsidP="00540B43">
      <w:pPr>
        <w:autoSpaceDE w:val="0"/>
        <w:autoSpaceDN w:val="0"/>
        <w:adjustRightInd w:val="0"/>
        <w:spacing w:after="0" w:line="240" w:lineRule="auto"/>
        <w:rPr>
          <w:rFonts w:ascii="Times New Roman" w:hAnsi="Times New Roman"/>
          <w:sz w:val="20"/>
          <w:szCs w:val="20"/>
        </w:rPr>
      </w:pPr>
      <w:r w:rsidRPr="007C5A6E">
        <w:rPr>
          <w:rFonts w:ascii="Times New Roman" w:hAnsi="Times New Roman"/>
          <w:sz w:val="20"/>
          <w:szCs w:val="20"/>
        </w:rPr>
        <w:t>(Source : IRD, 2017)</w:t>
      </w:r>
    </w:p>
    <w:p w14:paraId="146FE7B2" w14:textId="63A525A8" w:rsidR="006E506E" w:rsidRPr="007C5A6E" w:rsidRDefault="006E506E" w:rsidP="001A7FE8">
      <w:pPr>
        <w:spacing w:after="0" w:line="240" w:lineRule="auto"/>
        <w:jc w:val="both"/>
        <w:rPr>
          <w:rFonts w:ascii="Times New Roman" w:eastAsiaTheme="minorHAnsi" w:hAnsi="Times New Roman"/>
          <w:sz w:val="24"/>
          <w:szCs w:val="24"/>
        </w:rPr>
      </w:pPr>
      <w:bookmarkStart w:id="1498" w:name="_Toc183240739"/>
      <w:bookmarkStart w:id="1499" w:name="_Toc183340478"/>
      <w:r w:rsidRPr="007C5A6E">
        <w:rPr>
          <w:rFonts w:ascii="Times New Roman" w:eastAsiaTheme="minorHAnsi" w:hAnsi="Times New Roman"/>
          <w:i/>
          <w:iCs/>
          <w:kern w:val="2"/>
          <w:sz w:val="24"/>
          <w:szCs w:val="24"/>
          <w:lang w:eastAsia="en-US"/>
          <w14:ligatures w14:val="standardContextual"/>
        </w:rPr>
        <w:t xml:space="preserve">Figure </w:t>
      </w:r>
      <w:r w:rsidRPr="007C5A6E">
        <w:rPr>
          <w:rFonts w:ascii="Times New Roman" w:eastAsiaTheme="minorHAnsi" w:hAnsi="Times New Roman"/>
          <w:i/>
          <w:iCs/>
          <w:kern w:val="2"/>
          <w:sz w:val="24"/>
          <w:szCs w:val="24"/>
          <w:lang w:eastAsia="en-US"/>
          <w14:ligatures w14:val="standardContextual"/>
        </w:rPr>
        <w:fldChar w:fldCharType="begin"/>
      </w:r>
      <w:r w:rsidRPr="007C5A6E">
        <w:rPr>
          <w:rFonts w:ascii="Times New Roman" w:eastAsiaTheme="minorHAnsi" w:hAnsi="Times New Roman"/>
          <w:i/>
          <w:iCs/>
          <w:kern w:val="2"/>
          <w:sz w:val="24"/>
          <w:szCs w:val="24"/>
          <w:lang w:eastAsia="en-US"/>
          <w14:ligatures w14:val="standardContextual"/>
        </w:rPr>
        <w:instrText xml:space="preserve"> SEQ Figure \* ARABIC </w:instrText>
      </w:r>
      <w:r w:rsidRPr="007C5A6E">
        <w:rPr>
          <w:rFonts w:ascii="Times New Roman" w:eastAsiaTheme="minorHAnsi" w:hAnsi="Times New Roman"/>
          <w:i/>
          <w:iCs/>
          <w:kern w:val="2"/>
          <w:sz w:val="24"/>
          <w:szCs w:val="24"/>
          <w:lang w:eastAsia="en-US"/>
          <w14:ligatures w14:val="standardContextual"/>
        </w:rPr>
        <w:fldChar w:fldCharType="separate"/>
      </w:r>
      <w:r w:rsidR="001A7FE8" w:rsidRPr="007C5A6E">
        <w:rPr>
          <w:rFonts w:ascii="Times New Roman" w:eastAsiaTheme="minorHAnsi" w:hAnsi="Times New Roman"/>
          <w:i/>
          <w:iCs/>
          <w:noProof/>
          <w:kern w:val="2"/>
          <w:sz w:val="24"/>
          <w:szCs w:val="24"/>
          <w:lang w:eastAsia="en-US"/>
          <w14:ligatures w14:val="standardContextual"/>
        </w:rPr>
        <w:t>99</w:t>
      </w:r>
      <w:r w:rsidRPr="007C5A6E">
        <w:rPr>
          <w:rFonts w:ascii="Times New Roman" w:eastAsiaTheme="minorHAnsi" w:hAnsi="Times New Roman"/>
          <w:i/>
          <w:iCs/>
          <w:kern w:val="2"/>
          <w:sz w:val="24"/>
          <w:szCs w:val="24"/>
          <w:lang w:eastAsia="en-US"/>
          <w14:ligatures w14:val="standardContextual"/>
        </w:rPr>
        <w:fldChar w:fldCharType="end"/>
      </w:r>
      <w:r w:rsidRPr="007C5A6E">
        <w:rPr>
          <w:rFonts w:ascii="Times New Roman" w:eastAsiaTheme="minorHAnsi" w:hAnsi="Times New Roman"/>
          <w:i/>
          <w:iCs/>
          <w:kern w:val="2"/>
          <w:sz w:val="24"/>
          <w:szCs w:val="24"/>
          <w:lang w:eastAsia="en-US"/>
          <w14:ligatures w14:val="standardContextual"/>
        </w:rPr>
        <w:t>. Répartition des établissements du préscolaire</w:t>
      </w:r>
      <w:bookmarkEnd w:id="1498"/>
      <w:bookmarkEnd w:id="1499"/>
    </w:p>
    <w:p w14:paraId="78B1A06D" w14:textId="77777777" w:rsidR="001A7FE8" w:rsidRPr="007C5A6E" w:rsidRDefault="001A7FE8" w:rsidP="001A7FE8">
      <w:pPr>
        <w:spacing w:after="0" w:line="240" w:lineRule="auto"/>
        <w:jc w:val="both"/>
        <w:rPr>
          <w:rFonts w:ascii="Times New Roman" w:eastAsiaTheme="minorHAnsi" w:hAnsi="Times New Roman"/>
          <w:sz w:val="24"/>
          <w:szCs w:val="24"/>
        </w:rPr>
      </w:pPr>
    </w:p>
    <w:p w14:paraId="4DBE9552" w14:textId="77777777" w:rsidR="001A7FE8" w:rsidRPr="007C5A6E" w:rsidRDefault="001A7FE8" w:rsidP="001A7FE8">
      <w:pPr>
        <w:spacing w:after="0" w:line="240" w:lineRule="auto"/>
        <w:jc w:val="both"/>
        <w:rPr>
          <w:rFonts w:ascii="Times New Roman" w:eastAsiaTheme="minorHAnsi" w:hAnsi="Times New Roman"/>
          <w:sz w:val="24"/>
          <w:szCs w:val="24"/>
        </w:rPr>
      </w:pPr>
    </w:p>
    <w:p w14:paraId="5A7AEB52" w14:textId="6C4FD581" w:rsidR="00606C71" w:rsidRPr="007C5A6E" w:rsidRDefault="00606C71" w:rsidP="001A7FE8">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Par ailleurs, selon l’étude menée par Ouédraogo (2020) sur les parcours scolaires, les élèves vivant dans les quartiers non lotis et issus de ménages défavorisés sont davantage exposés au risque de connaître un premier redoublement que ceux issus de ménages aisés. Cette analyse révèle également une inégalité dans l'offre scolaire : les établissements post-primaires publics sont majoritairement concentrés dans le centre de la ville, tandis que les établissements situés en périphérie, qu'elle soit lotie ou non, sont principalement privés comme précédemment mentionné, sous-équipés, et offrent des conditions d'apprentissage peu intéressantes. </w:t>
      </w:r>
    </w:p>
    <w:p w14:paraId="38A27CDC" w14:textId="77777777" w:rsidR="00606C71" w:rsidRPr="007C5A6E" w:rsidRDefault="00606C71" w:rsidP="001A7FE8">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En outre, l'examen de la qualité de l'offre en matière d'enseignement indique une diminution du pourcentage d'enseignants qualifiés à mesure que l'on s'éloigne du centre-ville vers la périphérie.</w:t>
      </w:r>
    </w:p>
    <w:p w14:paraId="4C9CD61E" w14:textId="77777777" w:rsidR="00606C71" w:rsidRPr="007C5A6E" w:rsidRDefault="00606C71" w:rsidP="00540B43">
      <w:pPr>
        <w:spacing w:after="0" w:line="240" w:lineRule="auto"/>
        <w:rPr>
          <w:rFonts w:ascii="Times New Roman" w:eastAsiaTheme="minorHAnsi" w:hAnsi="Times New Roman"/>
          <w:color w:val="002060"/>
          <w:sz w:val="24"/>
          <w:szCs w:val="24"/>
        </w:rPr>
      </w:pPr>
    </w:p>
    <w:p w14:paraId="37CF20B4" w14:textId="77777777" w:rsidR="00606C71" w:rsidRPr="007C5A6E" w:rsidRDefault="00606C71" w:rsidP="00540B43">
      <w:pPr>
        <w:pStyle w:val="Titre4"/>
      </w:pPr>
      <w:bookmarkStart w:id="1500" w:name="_Toc176973800"/>
      <w:bookmarkStart w:id="1501" w:name="_Toc177649424"/>
      <w:bookmarkStart w:id="1502" w:name="_Toc179043980"/>
      <w:bookmarkStart w:id="1503" w:name="_Toc183340315"/>
      <w:bookmarkStart w:id="1504" w:name="_Toc176444002"/>
      <w:r w:rsidRPr="007C5A6E">
        <w:t>Problèmes de logement</w:t>
      </w:r>
      <w:bookmarkEnd w:id="1500"/>
      <w:bookmarkEnd w:id="1501"/>
      <w:bookmarkEnd w:id="1502"/>
      <w:bookmarkEnd w:id="1503"/>
      <w:r w:rsidRPr="007C5A6E">
        <w:t xml:space="preserve"> </w:t>
      </w:r>
      <w:bookmarkEnd w:id="1504"/>
    </w:p>
    <w:p w14:paraId="20267122"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p>
    <w:p w14:paraId="7DCEF3B9" w14:textId="77777777"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Au Burkina Faso, les problèmes de logement se manifestent de manière particulièrement aiguë dans les zones périphériques. Le principal défi est l’absence de planification urbaine adéquate dans ces zones, où la majorité des terrains sont occupés de manière anarchique </w:t>
      </w:r>
      <w:sdt>
        <w:sdtPr>
          <w:rPr>
            <w:rFonts w:ascii="Times New Roman" w:eastAsiaTheme="minorHAnsi" w:hAnsi="Times New Roman"/>
            <w:sz w:val="24"/>
            <w:szCs w:val="24"/>
          </w:rPr>
          <w:id w:val="-1348095746"/>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Sta03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(Bamas &amp; Marie, 2003)</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 </w:t>
      </w:r>
      <w:sdt>
        <w:sdtPr>
          <w:rPr>
            <w:rFonts w:ascii="Times New Roman" w:eastAsiaTheme="minorHAnsi" w:hAnsi="Times New Roman"/>
            <w:sz w:val="24"/>
            <w:szCs w:val="24"/>
          </w:rPr>
          <w:id w:val="-1216806055"/>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BOY17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(Boyer &amp; Delaunay, 2017)</w:t>
          </w:r>
          <w:r w:rsidRPr="007C5A6E">
            <w:rPr>
              <w:rFonts w:ascii="Times New Roman" w:eastAsiaTheme="minorHAnsi" w:hAnsi="Times New Roman"/>
              <w:sz w:val="24"/>
              <w:szCs w:val="24"/>
            </w:rPr>
            <w:fldChar w:fldCharType="end"/>
          </w:r>
          <w:r w:rsidRPr="007C5A6E">
            <w:rPr>
              <w:rFonts w:ascii="Times New Roman" w:eastAsiaTheme="minorHAnsi" w:hAnsi="Times New Roman"/>
              <w:sz w:val="24"/>
              <w:szCs w:val="24"/>
            </w:rPr>
            <w:t>.</w:t>
          </w:r>
        </w:sdtContent>
      </w:sdt>
      <w:r w:rsidRPr="007C5A6E">
        <w:rPr>
          <w:rFonts w:ascii="Times New Roman" w:eastAsiaTheme="minorHAnsi" w:hAnsi="Times New Roman"/>
          <w:sz w:val="24"/>
          <w:szCs w:val="24"/>
        </w:rPr>
        <w:t xml:space="preserve"> Les habitants construisent leurs habitations de manière spontanée, souvent en matériaux précaires offrant peu de résistance aux conditions climatiques et un confort limité </w:t>
      </w:r>
      <w:sdt>
        <w:sdtPr>
          <w:rPr>
            <w:rFonts w:ascii="Times New Roman" w:eastAsiaTheme="minorHAnsi" w:hAnsi="Times New Roman"/>
            <w:sz w:val="24"/>
            <w:szCs w:val="24"/>
          </w:rPr>
          <w:id w:val="-620386382"/>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CITATION INS223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(INSD, 2022c)</w:t>
          </w:r>
          <w:r w:rsidRPr="007C5A6E">
            <w:rPr>
              <w:rFonts w:ascii="Times New Roman" w:eastAsiaTheme="minorHAnsi" w:hAnsi="Times New Roman"/>
              <w:sz w:val="24"/>
              <w:szCs w:val="24"/>
            </w:rPr>
            <w:fldChar w:fldCharType="end"/>
          </w:r>
          <w:r w:rsidRPr="007C5A6E">
            <w:rPr>
              <w:rFonts w:ascii="Times New Roman" w:eastAsiaTheme="minorHAnsi" w:hAnsi="Times New Roman"/>
              <w:sz w:val="24"/>
              <w:szCs w:val="24"/>
            </w:rPr>
            <w:t>;</w:t>
          </w:r>
        </w:sdtContent>
      </w:sdt>
      <w:r w:rsidRPr="007C5A6E">
        <w:rPr>
          <w:rFonts w:ascii="Times New Roman" w:eastAsiaTheme="minorHAnsi" w:hAnsi="Times New Roman"/>
          <w:sz w:val="24"/>
          <w:szCs w:val="24"/>
        </w:rPr>
        <w:t xml:space="preserve"> </w:t>
      </w:r>
      <w:sdt>
        <w:sdtPr>
          <w:rPr>
            <w:rFonts w:ascii="Times New Roman" w:eastAsiaTheme="minorHAnsi" w:hAnsi="Times New Roman"/>
            <w:sz w:val="24"/>
            <w:szCs w:val="24"/>
          </w:rPr>
          <w:id w:val="1754158490"/>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Fou08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(Fournet, Meunier-Nikiema, &amp; Salem, 2008)</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w:t>
      </w:r>
      <w:sdt>
        <w:sdtPr>
          <w:rPr>
            <w:rFonts w:ascii="Times New Roman" w:eastAsiaTheme="minorHAnsi" w:hAnsi="Times New Roman"/>
            <w:sz w:val="24"/>
            <w:szCs w:val="24"/>
          </w:rPr>
          <w:id w:val="-1936819545"/>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AMM17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(AMMA, 2017)</w:t>
          </w:r>
          <w:r w:rsidRPr="007C5A6E">
            <w:rPr>
              <w:rFonts w:ascii="Times New Roman" w:eastAsiaTheme="minorHAnsi" w:hAnsi="Times New Roman"/>
              <w:sz w:val="24"/>
              <w:szCs w:val="24"/>
            </w:rPr>
            <w:fldChar w:fldCharType="end"/>
          </w:r>
          <w:r w:rsidRPr="007C5A6E">
            <w:rPr>
              <w:rFonts w:ascii="Times New Roman" w:eastAsiaTheme="minorHAnsi" w:hAnsi="Times New Roman"/>
              <w:sz w:val="24"/>
              <w:szCs w:val="24"/>
            </w:rPr>
            <w:t> ;</w:t>
          </w:r>
        </w:sdtContent>
      </w:sdt>
      <w:r w:rsidRPr="007C5A6E">
        <w:rPr>
          <w:rFonts w:ascii="Times New Roman" w:eastAsiaTheme="minorHAnsi" w:hAnsi="Times New Roman"/>
          <w:sz w:val="24"/>
          <w:szCs w:val="24"/>
        </w:rPr>
        <w:t xml:space="preserve"> </w:t>
      </w:r>
      <w:sdt>
        <w:sdtPr>
          <w:rPr>
            <w:rFonts w:ascii="Times New Roman" w:eastAsiaTheme="minorHAnsi" w:hAnsi="Times New Roman"/>
            <w:sz w:val="24"/>
            <w:szCs w:val="24"/>
          </w:rPr>
          <w:id w:val="-1323894437"/>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CITATION INS231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(INSD, 2023a)</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w:t>
      </w:r>
    </w:p>
    <w:p w14:paraId="07690043" w14:textId="77777777"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Dans ces conditions, le surpeuplement est omniprésent. Dans de nombreuses habitations, plusieurs familles cohabitent dans des espaces restreints, souvent avec une seule pièce servant à la fois de chambre, de salon et de cuisine. Cette densité excessive entraîne des conditions de vie difficiles, avec peu d'intimité et une forte promiscuité. En conséquence, la ventilation est insuffisante, exacerbant les problèmes de chaleur pendant les mois les plus chauds et favorisant la propagation des maladies respiratoires, notamment en raison des fumées émises par le feu de bois utilisé pour la cuisine </w:t>
      </w:r>
      <w:sdt>
        <w:sdtPr>
          <w:rPr>
            <w:rFonts w:ascii="Times New Roman" w:eastAsiaTheme="minorHAnsi" w:hAnsi="Times New Roman"/>
            <w:sz w:val="24"/>
            <w:szCs w:val="24"/>
          </w:rPr>
          <w:id w:val="-1617136347"/>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CITATION INS22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(INSD, 2022b)</w:t>
          </w:r>
          <w:r w:rsidRPr="007C5A6E">
            <w:rPr>
              <w:rFonts w:ascii="Times New Roman" w:eastAsiaTheme="minorHAnsi" w:hAnsi="Times New Roman"/>
              <w:sz w:val="24"/>
              <w:szCs w:val="24"/>
            </w:rPr>
            <w:fldChar w:fldCharType="end"/>
          </w:r>
          <w:r w:rsidRPr="007C5A6E">
            <w:rPr>
              <w:rFonts w:ascii="Times New Roman" w:eastAsiaTheme="minorHAnsi" w:hAnsi="Times New Roman"/>
              <w:sz w:val="24"/>
              <w:szCs w:val="24"/>
            </w:rPr>
            <w:t> ;</w:t>
          </w:r>
        </w:sdtContent>
      </w:sdt>
      <w:r w:rsidRPr="007C5A6E">
        <w:rPr>
          <w:rFonts w:ascii="Times New Roman" w:eastAsiaTheme="minorHAnsi" w:hAnsi="Times New Roman"/>
          <w:sz w:val="24"/>
          <w:szCs w:val="24"/>
        </w:rPr>
        <w:t xml:space="preserve"> </w:t>
      </w:r>
      <w:sdt>
        <w:sdtPr>
          <w:rPr>
            <w:rFonts w:ascii="Times New Roman" w:eastAsiaTheme="minorHAnsi" w:hAnsi="Times New Roman"/>
            <w:sz w:val="24"/>
            <w:szCs w:val="24"/>
          </w:rPr>
          <w:id w:val="1965312142"/>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CITATION INS231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(INSD, 2023a)</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w:t>
      </w:r>
    </w:p>
    <w:p w14:paraId="6EF5D285" w14:textId="77777777" w:rsidR="001A7FE8" w:rsidRPr="007C5A6E" w:rsidRDefault="001A7FE8" w:rsidP="001A7FE8">
      <w:pPr>
        <w:spacing w:after="0" w:line="240" w:lineRule="auto"/>
        <w:jc w:val="both"/>
        <w:rPr>
          <w:rFonts w:ascii="Times New Roman" w:eastAsiaTheme="minorHAnsi" w:hAnsi="Times New Roman"/>
          <w:sz w:val="24"/>
          <w:szCs w:val="24"/>
        </w:rPr>
      </w:pPr>
    </w:p>
    <w:p w14:paraId="623BCE26" w14:textId="73967AE7"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Aussi, le manque d'accès adéquat aux infrastructures de base telles que l'eau potable et les systèmes d'assainissement adéquats </w:t>
      </w:r>
      <w:proofErr w:type="gramStart"/>
      <w:r w:rsidRPr="007C5A6E">
        <w:rPr>
          <w:rFonts w:ascii="Times New Roman" w:eastAsiaTheme="minorHAnsi" w:hAnsi="Times New Roman"/>
          <w:sz w:val="24"/>
          <w:szCs w:val="24"/>
        </w:rPr>
        <w:t>exacerbent</w:t>
      </w:r>
      <w:proofErr w:type="gramEnd"/>
      <w:r w:rsidRPr="007C5A6E">
        <w:rPr>
          <w:rFonts w:ascii="Times New Roman" w:eastAsiaTheme="minorHAnsi" w:hAnsi="Times New Roman"/>
          <w:sz w:val="24"/>
          <w:szCs w:val="24"/>
        </w:rPr>
        <w:t xml:space="preserve"> les risques sanitaires. Les déchets s'accumulent souvent en plein air, faute de services de collecte, tandis que l’absence de systèmes d’évacuation des eaux usées entraîne leur rejet dans les rues, créant des espaces de vie très insalubres. </w:t>
      </w:r>
    </w:p>
    <w:p w14:paraId="2B607068" w14:textId="77777777" w:rsidR="00606C71" w:rsidRPr="007C5A6E" w:rsidRDefault="00606C71" w:rsidP="009D1E01">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Cela accentue non seulement les risques d’inondation pendant la saison des pluies, mais favorise également la propagation de maladies hydriques telles que le choléra et les infections gastro-intestinales </w:t>
      </w:r>
      <w:sdt>
        <w:sdtPr>
          <w:rPr>
            <w:rFonts w:ascii="Times New Roman" w:eastAsiaTheme="minorHAnsi" w:hAnsi="Times New Roman"/>
            <w:sz w:val="24"/>
            <w:szCs w:val="24"/>
          </w:rPr>
          <w:id w:val="-435909991"/>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Swi18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(SAG, 2019)</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 </w:t>
      </w:r>
      <w:sdt>
        <w:sdtPr>
          <w:rPr>
            <w:rFonts w:ascii="Times New Roman" w:eastAsiaTheme="minorHAnsi" w:hAnsi="Times New Roman"/>
            <w:sz w:val="24"/>
            <w:szCs w:val="24"/>
          </w:rPr>
          <w:id w:val="462781537"/>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CITATION INS231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(INSD, 2023a)</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Cette situation est également source de la prolifération des moustiques responsables du palu et de la dingue. </w:t>
      </w:r>
    </w:p>
    <w:p w14:paraId="29C47E67" w14:textId="77777777" w:rsidR="001A7FE8" w:rsidRPr="007C5A6E" w:rsidRDefault="001A7FE8" w:rsidP="001A7FE8">
      <w:pPr>
        <w:spacing w:after="0" w:line="240" w:lineRule="auto"/>
        <w:jc w:val="both"/>
        <w:rPr>
          <w:rFonts w:ascii="Times New Roman" w:eastAsiaTheme="minorHAnsi" w:hAnsi="Times New Roman"/>
          <w:sz w:val="24"/>
          <w:szCs w:val="24"/>
        </w:rPr>
      </w:pPr>
    </w:p>
    <w:p w14:paraId="7BE284E2" w14:textId="72EA8385" w:rsidR="00606C71" w:rsidRPr="007C5A6E" w:rsidRDefault="00606C71" w:rsidP="00540B43">
      <w:pPr>
        <w:spacing w:after="0" w:line="240" w:lineRule="auto"/>
        <w:jc w:val="both"/>
        <w:rPr>
          <w:rFonts w:ascii="Times New Roman" w:eastAsiaTheme="minorHAnsi" w:hAnsi="Times New Roman"/>
          <w:sz w:val="24"/>
          <w:szCs w:val="24"/>
        </w:rPr>
      </w:pPr>
      <w:r w:rsidRPr="007C5A6E">
        <w:rPr>
          <w:rFonts w:ascii="Times New Roman" w:eastAsiaTheme="minorHAnsi" w:hAnsi="Times New Roman"/>
          <w:sz w:val="24"/>
          <w:szCs w:val="24"/>
        </w:rPr>
        <w:t xml:space="preserve">La promiscuité dans les zones non loties et périurbaines et l’absence d’espaces communs ou de lieux de loisirs poussent souvent les jeunes à errer dans les rues, augmentant les risques de délinquance et de violences interpersonnelles </w:t>
      </w:r>
      <w:sdt>
        <w:sdtPr>
          <w:rPr>
            <w:rFonts w:ascii="Times New Roman" w:eastAsiaTheme="minorHAnsi" w:hAnsi="Times New Roman"/>
            <w:sz w:val="24"/>
            <w:szCs w:val="24"/>
          </w:rPr>
          <w:id w:val="-1747796502"/>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AMM17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(AMMA, 2017)</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 </w:t>
      </w:r>
      <w:sdt>
        <w:sdtPr>
          <w:rPr>
            <w:rFonts w:ascii="Times New Roman" w:eastAsiaTheme="minorHAnsi" w:hAnsi="Times New Roman"/>
            <w:sz w:val="24"/>
            <w:szCs w:val="24"/>
          </w:rPr>
          <w:id w:val="2026824498"/>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CITATION INS20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(INSD, 2020)</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xml:space="preserve"> ; </w:t>
      </w:r>
      <w:sdt>
        <w:sdtPr>
          <w:rPr>
            <w:rFonts w:ascii="Times New Roman" w:eastAsiaTheme="minorHAnsi" w:hAnsi="Times New Roman"/>
            <w:sz w:val="24"/>
            <w:szCs w:val="24"/>
          </w:rPr>
          <w:id w:val="258647911"/>
        </w:sdtPr>
        <w:sdtContent>
          <w:r w:rsidRPr="007C5A6E">
            <w:rPr>
              <w:rFonts w:ascii="Times New Roman" w:eastAsiaTheme="minorHAnsi" w:hAnsi="Times New Roman"/>
              <w:sz w:val="24"/>
              <w:szCs w:val="24"/>
            </w:rPr>
            <w:fldChar w:fldCharType="begin"/>
          </w:r>
          <w:r w:rsidRPr="007C5A6E">
            <w:rPr>
              <w:rFonts w:ascii="Times New Roman" w:eastAsiaTheme="minorHAnsi" w:hAnsi="Times New Roman"/>
              <w:sz w:val="24"/>
              <w:szCs w:val="24"/>
            </w:rPr>
            <w:instrText xml:space="preserve"> CITATION ABa22 \l 1036 </w:instrText>
          </w:r>
          <w:r w:rsidRPr="007C5A6E">
            <w:rPr>
              <w:rFonts w:ascii="Times New Roman" w:eastAsiaTheme="minorHAnsi" w:hAnsi="Times New Roman"/>
              <w:sz w:val="24"/>
              <w:szCs w:val="24"/>
            </w:rPr>
            <w:fldChar w:fldCharType="separate"/>
          </w:r>
          <w:r w:rsidRPr="007C5A6E">
            <w:rPr>
              <w:rFonts w:ascii="Times New Roman" w:eastAsiaTheme="minorHAnsi" w:hAnsi="Times New Roman"/>
              <w:sz w:val="24"/>
              <w:szCs w:val="24"/>
            </w:rPr>
            <w:t>(Bajpai, Stratton-Short, &amp; Adelekan, 2022)</w:t>
          </w:r>
          <w:r w:rsidRPr="007C5A6E">
            <w:rPr>
              <w:rFonts w:ascii="Times New Roman" w:eastAsiaTheme="minorHAnsi" w:hAnsi="Times New Roman"/>
              <w:sz w:val="24"/>
              <w:szCs w:val="24"/>
            </w:rPr>
            <w:fldChar w:fldCharType="end"/>
          </w:r>
        </w:sdtContent>
      </w:sdt>
      <w:r w:rsidRPr="007C5A6E">
        <w:rPr>
          <w:rFonts w:ascii="Times New Roman" w:eastAsiaTheme="minorHAnsi" w:hAnsi="Times New Roman"/>
          <w:sz w:val="24"/>
          <w:szCs w:val="24"/>
        </w:rPr>
        <w:t>. Face à ces conditions, les habitants de ces zones défavorisées sont pris dans un cercle vicieux de pauvreté et de marginalisation, ayant peu de perspectives d’amélioration sans une intervention structurelle majeure dans les politiques de logement urbain.</w:t>
      </w:r>
    </w:p>
    <w:p w14:paraId="6EEF877E" w14:textId="77777777" w:rsidR="001A7FE8" w:rsidRPr="007C5A6E" w:rsidRDefault="001A7FE8" w:rsidP="001A7FE8">
      <w:pPr>
        <w:spacing w:after="0" w:line="240" w:lineRule="auto"/>
        <w:jc w:val="both"/>
        <w:rPr>
          <w:rFonts w:ascii="Times New Roman" w:eastAsiaTheme="minorHAnsi" w:hAnsi="Times New Roman"/>
          <w:sz w:val="24"/>
          <w:szCs w:val="24"/>
        </w:rPr>
      </w:pPr>
    </w:p>
    <w:p w14:paraId="3C10C3C5" w14:textId="77777777" w:rsidR="00606C71" w:rsidRPr="007C5A6E" w:rsidRDefault="00606C71" w:rsidP="00712C43">
      <w:pPr>
        <w:pStyle w:val="Titre2"/>
      </w:pPr>
      <w:bookmarkStart w:id="1505" w:name="_Toc177649425"/>
      <w:bookmarkStart w:id="1506" w:name="_Toc183340316"/>
      <w:bookmarkStart w:id="1507" w:name="_Toc176444006"/>
      <w:bookmarkStart w:id="1508" w:name="_Toc176973801"/>
      <w:r w:rsidRPr="007C5A6E">
        <w:t>Urbanisation et pauvreté : Impacts environnementaux et implications climatiques</w:t>
      </w:r>
      <w:bookmarkEnd w:id="1505"/>
      <w:bookmarkEnd w:id="1506"/>
    </w:p>
    <w:p w14:paraId="6A33252B"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p>
    <w:p w14:paraId="4725E333" w14:textId="77777777" w:rsidR="00606C71" w:rsidRPr="007C5A6E" w:rsidRDefault="00606C71" w:rsidP="00540B43">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L'urbanisation, comme discuté plus haut, progresse rapidement, en particulier dans les pays en développement, et s'accompagne à la fois d'opportunités et de nombreux défis. Les enjeux mondiaux tels que le changement climatique et l'épuisement des ressources naturelles ont des impacts variés sur les territoires, nécessitant des réponses novatrices et adaptées (ONU-Habitat, 2015). Au Burkina Faso, le taux d'urbanisation a évolué de manière significative au fil des décennies et est prévu pour atteindre 35% en 2026 et 40% en 2030. Cette urbanisation rapide, souvent spontanée et mal maîtrisée, engendre des problèmes sociaux et environnementaux susceptibles de freiner le développement harmonieux du pays.</w:t>
      </w:r>
    </w:p>
    <w:p w14:paraId="1389E9AE" w14:textId="77777777" w:rsidR="00606C71" w:rsidRPr="007C5A6E" w:rsidRDefault="00606C71" w:rsidP="00540B43">
      <w:pPr>
        <w:spacing w:after="0" w:line="240" w:lineRule="auto"/>
        <w:jc w:val="both"/>
        <w:rPr>
          <w:rFonts w:ascii="Times New Roman" w:eastAsia="Aptos" w:hAnsi="Times New Roman"/>
          <w:kern w:val="2"/>
          <w:sz w:val="24"/>
          <w:szCs w:val="24"/>
          <w:lang w:eastAsia="en-US"/>
          <w14:ligatures w14:val="standardContextual"/>
        </w:rPr>
      </w:pPr>
    </w:p>
    <w:p w14:paraId="2CD67CFF" w14:textId="77777777" w:rsidR="00606C71" w:rsidRPr="007C5A6E" w:rsidRDefault="00606C71" w:rsidP="00540B43">
      <w:pPr>
        <w:pStyle w:val="Titre3"/>
      </w:pPr>
      <w:bookmarkStart w:id="1509" w:name="_Toc177649426"/>
      <w:bookmarkStart w:id="1510" w:name="_Toc179043982"/>
      <w:bookmarkStart w:id="1511" w:name="_Toc183340317"/>
      <w:r w:rsidRPr="007C5A6E">
        <w:t>Dégradation du cadre de vie</w:t>
      </w:r>
      <w:bookmarkEnd w:id="1509"/>
      <w:bookmarkEnd w:id="1510"/>
      <w:bookmarkEnd w:id="1511"/>
      <w:r w:rsidRPr="007C5A6E">
        <w:t xml:space="preserve">  </w:t>
      </w:r>
    </w:p>
    <w:p w14:paraId="3B8612BC" w14:textId="77777777" w:rsidR="00606C71" w:rsidRPr="007C5A6E" w:rsidRDefault="00606C71" w:rsidP="00540B43">
      <w:pPr>
        <w:spacing w:after="0" w:line="240" w:lineRule="auto"/>
        <w:jc w:val="both"/>
        <w:rPr>
          <w:rFonts w:ascii="Times New Roman" w:eastAsia="Aptos" w:hAnsi="Times New Roman"/>
          <w:kern w:val="2"/>
          <w:sz w:val="24"/>
          <w:szCs w:val="24"/>
          <w:lang w:eastAsia="en-US"/>
          <w14:ligatures w14:val="standardContextual"/>
        </w:rPr>
      </w:pPr>
      <w:bookmarkStart w:id="1512" w:name="_Toc176444008"/>
      <w:bookmarkStart w:id="1513" w:name="_Toc176973803"/>
    </w:p>
    <w:p w14:paraId="218996CF" w14:textId="77777777"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 xml:space="preserve">L’urbanisation au Burkina Faso produit malheureusement des externalités négatives, à la fois sur les plans de l’organisation physique, de l’équité sociale, de l’environnement qui provoquent la dégradation du cadre de vie des populations urbaines. </w:t>
      </w:r>
    </w:p>
    <w:p w14:paraId="366B34E1" w14:textId="77777777"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 xml:space="preserve">En milieu urbain et hormis les villes de Ouagadougou et Bobo Dioulasso, il n’existe pas de décharges contrôlées véritablement aux normes pour l’élimination écologique rationnelle des déchets solides municipaux. Pourtant, les déchets solides sont responsables entre autres de la destruction du cheptel (environ 30 pour cent de la mortalité du cheptel est due à l’ingestion de déchets plastiques), de la dégradation du paysage, de l’appauvrissement des sols, de la détérioration de la qualité de l’air. </w:t>
      </w:r>
    </w:p>
    <w:p w14:paraId="49D85F9F" w14:textId="77777777"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 xml:space="preserve">Quant aux pollutions et nuisances diverses liées à la mauvaise gestion des déchets et l’utilisation incontrôlée des produits chimiques, elles constituent des menaces sérieuses sur la santé humaine, animale et des écosystèmes. On assiste ainsi à la prolifération des maladies d'origine hydrique et respiratoire. De 2020 à 2021, le nombre de maladies d'origine respiratoire liée à la qualité de l'air a connu une augmentation considérable, passant de 5 738 467 cas à 7 311 232 cas soit une augmentation de 27,4%. </w:t>
      </w:r>
    </w:p>
    <w:p w14:paraId="0CD94655" w14:textId="77777777"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 xml:space="preserve">La mauvaise gestion des déchets est par ailleurs responsable de maladie comme le paludisme, </w:t>
      </w:r>
      <w:r w:rsidRPr="007C5A6E">
        <w:rPr>
          <w:rFonts w:ascii="Times New Roman" w:eastAsia="Aptos" w:hAnsi="Times New Roman"/>
          <w:kern w:val="2"/>
          <w:sz w:val="24"/>
          <w:szCs w:val="24"/>
          <w:lang w:eastAsia="en-US"/>
          <w14:ligatures w14:val="standardContextual"/>
        </w:rPr>
        <w:t>maladie pour laquelle il a été estimé que 42% (30-53%) du fardeau mondial du paludisme, soit un demi-million de décès par an, pourrait être évité par une meilleure gestion de l'environnement. La dengue et la fièvre hémorragique de la dengue pourraient être presque entièrement évitées par une bonne gestion des plans d'eau à l'intérieur et autour des maisons, qui sont des sites de reproduction pour le principal moustique vecteur.</w:t>
      </w:r>
    </w:p>
    <w:p w14:paraId="066BF01E" w14:textId="77777777"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 xml:space="preserve">En matière d’assainissement du cadre de vie, les statistiques ne sont pas reluisantes. En 2016, seulement 36,8% de la population en milieu urbain disposaient d’un système d’assainissement à domicile (PN-AEPA, 2017). Le manque d’organisation dans le domaine de l’assainissement et l’insuffisance des ouvrages de collecte et de traitement des déchets ont accentué le phénomène de la pollution en milieu urbain. </w:t>
      </w:r>
    </w:p>
    <w:p w14:paraId="75E75C14" w14:textId="77777777"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 xml:space="preserve">Malgré un tissu industriel relativement peu développé, le Burkina Faso connaît des problèmes de pollutions industrielles importantes. En zone urbaine, à l’exception des deux premières villes, Ouagadougou et Bobo Dioulasso qui disposent chacune d’un plan stratégique d’assainissement opérationnel, la plus grande partie des matières de vidange et des effluents industriels est directement déversée dans la nature sans aucune précaution. </w:t>
      </w:r>
    </w:p>
    <w:p w14:paraId="47C45969" w14:textId="77777777"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L'expansion urbaine incontrôlée persiste et porte atteinte au couvert végétal et aux espaces verts dans les grandes villes du Burkina Faso. En 2010, la commune de Ouagadougou recense 1 071 espaces verts, mais nombreux d'entre eux sont illégalement occupés ou transformés. Pour A. </w:t>
      </w:r>
      <w:proofErr w:type="spellStart"/>
      <w:r w:rsidRPr="007C5A6E">
        <w:rPr>
          <w:rFonts w:ascii="Times New Roman" w:eastAsia="Aptos" w:hAnsi="Times New Roman"/>
          <w:kern w:val="2"/>
          <w:sz w:val="24"/>
          <w:szCs w:val="24"/>
          <w14:ligatures w14:val="standardContextual"/>
        </w:rPr>
        <w:t>Choplin</w:t>
      </w:r>
      <w:proofErr w:type="spellEnd"/>
      <w:r w:rsidRPr="007C5A6E">
        <w:rPr>
          <w:rFonts w:ascii="Times New Roman" w:eastAsia="Aptos" w:hAnsi="Times New Roman"/>
          <w:kern w:val="2"/>
          <w:sz w:val="24"/>
          <w:szCs w:val="24"/>
          <w14:ligatures w14:val="standardContextual"/>
        </w:rPr>
        <w:t xml:space="preserve"> (2009, p.12), « </w:t>
      </w:r>
      <w:r w:rsidRPr="007C5A6E">
        <w:rPr>
          <w:rFonts w:ascii="Times New Roman" w:eastAsia="Aptos" w:hAnsi="Times New Roman"/>
          <w:i/>
          <w:iCs/>
          <w:kern w:val="2"/>
          <w:sz w:val="24"/>
          <w:szCs w:val="24"/>
          <w14:ligatures w14:val="standardContextual"/>
        </w:rPr>
        <w:t>la pression démographique entraîne une occupation anarchique des sols et une réduction de la superficie des espaces verts</w:t>
      </w:r>
      <w:r w:rsidRPr="007C5A6E">
        <w:rPr>
          <w:rFonts w:ascii="Times New Roman" w:eastAsia="Aptos" w:hAnsi="Times New Roman"/>
          <w:kern w:val="2"/>
          <w:sz w:val="24"/>
          <w:szCs w:val="24"/>
          <w14:ligatures w14:val="standardContextual"/>
        </w:rPr>
        <w:t> ». Les espaces verts, jouant le rôle de poumons verts de la cité, sont d'une importance capitale pour les milieux urbains. Selon A. K. Adra (2010, p.2) « </w:t>
      </w:r>
      <w:r w:rsidRPr="007C5A6E">
        <w:rPr>
          <w:rFonts w:ascii="Times New Roman" w:eastAsia="Aptos" w:hAnsi="Times New Roman"/>
          <w:i/>
          <w:iCs/>
          <w:kern w:val="2"/>
          <w:sz w:val="24"/>
          <w:szCs w:val="24"/>
          <w14:ligatures w14:val="standardContextual"/>
        </w:rPr>
        <w:t>Les espaces verts sont un lieu de vie, un lieu de rassemblement pour les communautés et un endroit pour pratiquer des activités de plein air</w:t>
      </w:r>
      <w:r w:rsidRPr="007C5A6E">
        <w:rPr>
          <w:rFonts w:ascii="Times New Roman" w:eastAsia="Aptos" w:hAnsi="Times New Roman"/>
          <w:kern w:val="2"/>
          <w:sz w:val="24"/>
          <w:szCs w:val="24"/>
          <w14:ligatures w14:val="standardContextual"/>
        </w:rPr>
        <w:t xml:space="preserve"> ». </w:t>
      </w:r>
    </w:p>
    <w:p w14:paraId="52A6EB95" w14:textId="77777777"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Au-delà de leur fonction de détente et de loisirs, ils sont essentiels pour maintenir l'équilibre écologique, la qualité de l'air et la préservation de la biodiversité. Ils contribuent activement à façonner un environnement de vie agréable, favorisant le bien-être physique et mental de la population. Malheureusement, du fait de l’expansion des habitats, l'accès à des espaces verts de qualité devient de plus en plus problématique, en particulier dans les grandes villes comme Ouagadougou et Bobo Dioulasso.</w:t>
      </w:r>
    </w:p>
    <w:p w14:paraId="51F52B0C" w14:textId="77777777" w:rsidR="001A7FE8" w:rsidRPr="007C5A6E" w:rsidRDefault="001A7FE8" w:rsidP="001A7FE8">
      <w:pPr>
        <w:spacing w:after="0" w:line="240" w:lineRule="auto"/>
        <w:jc w:val="both"/>
        <w:rPr>
          <w:rFonts w:ascii="Times New Roman" w:eastAsia="Aptos" w:hAnsi="Times New Roman"/>
          <w:kern w:val="2"/>
          <w:sz w:val="24"/>
          <w:szCs w:val="24"/>
          <w14:ligatures w14:val="standardContextual"/>
        </w:rPr>
      </w:pPr>
    </w:p>
    <w:p w14:paraId="68A8962F" w14:textId="13DE4B23" w:rsidR="00606C71" w:rsidRPr="007C5A6E" w:rsidRDefault="00606C71" w:rsidP="00540B43">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Bien que l’élevage en milieu urbain soit une source de nutriments essentielle, d’engrais et de revenus pour de nombreux ménages burkinabè, les systèmes de production animale ont également des impacts sur l’environnement, en produisant notamment près de 15 pour cent du total des émissions anthropiques nocives et étant donc un facteur non négligeable du changement climatique. L’élevage peut également être le vecteur de plusieurs maladies transmissibles à l’homme et de la résistance aux antimicrobiens.</w:t>
      </w:r>
    </w:p>
    <w:p w14:paraId="0D280B10" w14:textId="77777777" w:rsidR="001A7FE8" w:rsidRPr="007C5A6E" w:rsidRDefault="001A7FE8" w:rsidP="001A7FE8">
      <w:pPr>
        <w:spacing w:after="0" w:line="240" w:lineRule="auto"/>
        <w:jc w:val="both"/>
        <w:rPr>
          <w:rFonts w:ascii="Times New Roman" w:eastAsia="Aptos" w:hAnsi="Times New Roman"/>
          <w:kern w:val="2"/>
          <w:sz w:val="24"/>
          <w:szCs w:val="24"/>
          <w:lang w:eastAsia="en-US"/>
          <w14:ligatures w14:val="standardContextual"/>
        </w:rPr>
      </w:pPr>
    </w:p>
    <w:p w14:paraId="269667DC" w14:textId="77777777" w:rsidR="00606C71" w:rsidRPr="007C5A6E" w:rsidRDefault="00606C71" w:rsidP="00540B43">
      <w:pPr>
        <w:pStyle w:val="Titre3"/>
      </w:pPr>
      <w:bookmarkStart w:id="1514" w:name="_Toc177649427"/>
      <w:bookmarkStart w:id="1515" w:name="_Toc179043983"/>
      <w:bookmarkStart w:id="1516" w:name="_Toc183340318"/>
      <w:r w:rsidRPr="007C5A6E">
        <w:t>Dégradation de conditions de mobilité</w:t>
      </w:r>
      <w:bookmarkEnd w:id="1512"/>
      <w:bookmarkEnd w:id="1513"/>
      <w:bookmarkEnd w:id="1514"/>
      <w:bookmarkEnd w:id="1515"/>
      <w:bookmarkEnd w:id="1516"/>
    </w:p>
    <w:p w14:paraId="731B3424" w14:textId="77777777" w:rsidR="00606C71" w:rsidRPr="007C5A6E" w:rsidRDefault="00606C71" w:rsidP="00540B43">
      <w:pPr>
        <w:spacing w:after="0" w:line="240" w:lineRule="auto"/>
        <w:jc w:val="both"/>
        <w:rPr>
          <w:rFonts w:ascii="Times New Roman" w:eastAsia="Aptos" w:hAnsi="Times New Roman"/>
          <w:kern w:val="2"/>
          <w:sz w:val="24"/>
          <w:szCs w:val="24"/>
          <w14:ligatures w14:val="standardContextual"/>
        </w:rPr>
      </w:pPr>
    </w:p>
    <w:p w14:paraId="75AC4562" w14:textId="77777777"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bookmarkStart w:id="1517" w:name="_Toc176444009"/>
      <w:bookmarkStart w:id="1518" w:name="_Toc176973804"/>
      <w:r w:rsidRPr="007C5A6E">
        <w:rPr>
          <w:rFonts w:ascii="Times New Roman" w:eastAsia="Aptos" w:hAnsi="Times New Roman"/>
          <w:kern w:val="2"/>
          <w:sz w:val="24"/>
          <w:szCs w:val="24"/>
          <w14:ligatures w14:val="standardContextual"/>
        </w:rPr>
        <w:t xml:space="preserve">La croissance urbaine rapide au Burkina Faso a largement surpassé le développement des infrastructures de transport, entraînant une dégradation notable des conditions de mobilité. La population urbaine a augmenté de manière exponentielle, passant de 14 017 262 en (RGPH, 2006) à 20 505 155 en 2019 avec 51,7% de femmes et 48,3% d’hommes (RGPH, 2019), soit une croissance annuelle de 5,4% (INSD, 2022). </w:t>
      </w:r>
    </w:p>
    <w:p w14:paraId="6CEEA7A0" w14:textId="77777777"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 xml:space="preserve">Toutefois, le développement des infrastructures de transport n'a pas suivi ce rythme, créant une pression importante sur les voies de circulation. Aujourd'hui, les grandes villes comme Ouagadougou et Bobo Dioulasso connaissent des taux de congestion élevés, avec une densité de circulation estimée entre 300 et 400 véhicules par kilomètre de route aux heures de pointe. </w:t>
      </w:r>
    </w:p>
    <w:p w14:paraId="1AA19C0A" w14:textId="77777777"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 xml:space="preserve">Cette congestion routière a des répercussions économiques et environnementales considérables. En moyenne, les citadins passent jusqu'à 1 heure par jour dans les embouteillages, ce qui engendre des pertes économiques estimées de plus de 2 milliards de FCFA par an en coûts liés à la productivité et à la consommation supplémentaire de carburant (Ministère des Transports, 2021). De plus, les véhicules bloqués dans le trafic émettent davantage du CO₂ (gaz à effet de serre) et de polluants atmosphériques, aggravant la pollution de l'air avec un impact négatif sur la santé de la population environnante. </w:t>
      </w:r>
    </w:p>
    <w:p w14:paraId="44EBE94C" w14:textId="77777777"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 xml:space="preserve">Selon le Rapport sur l’état de la qualité de l’environnement 2019 produit par le Laboratoire d'analyse de la qualité de l’environnement du Burkina (LAQE, 2019), ces dernières décennies, les grands centres urbains du pays font de plus en plus face à une pollution accrue de l’air. En évaluant le profil de pollution de l’air par les PM10 dans la province du Kadiogo, </w:t>
      </w:r>
      <w:proofErr w:type="spellStart"/>
      <w:r w:rsidRPr="007C5A6E">
        <w:rPr>
          <w:rFonts w:ascii="Times New Roman" w:eastAsia="Aptos" w:hAnsi="Times New Roman"/>
          <w:kern w:val="2"/>
          <w:sz w:val="24"/>
          <w:szCs w:val="24"/>
          <w14:ligatures w14:val="standardContextual"/>
        </w:rPr>
        <w:t>Guissou</w:t>
      </w:r>
      <w:proofErr w:type="spellEnd"/>
      <w:r w:rsidRPr="007C5A6E">
        <w:rPr>
          <w:rFonts w:ascii="Times New Roman" w:eastAsia="Aptos" w:hAnsi="Times New Roman"/>
          <w:kern w:val="2"/>
          <w:sz w:val="24"/>
          <w:szCs w:val="24"/>
          <w14:ligatures w14:val="standardContextual"/>
        </w:rPr>
        <w:t xml:space="preserve"> et al. (2022) constatent que les niveaux de PM10 mesurées étaient supérieurs aux normes définies par l’OMS aussi bien à Ouagadougou que dans les communes rurales de Pabré, Koubri et Komsilga. En 2020, </w:t>
      </w:r>
      <w:proofErr w:type="spellStart"/>
      <w:r w:rsidRPr="007C5A6E">
        <w:rPr>
          <w:rFonts w:ascii="Times New Roman" w:eastAsia="Aptos" w:hAnsi="Times New Roman"/>
          <w:kern w:val="2"/>
          <w:sz w:val="24"/>
          <w:szCs w:val="24"/>
          <w:lang w:eastAsia="en-US"/>
          <w14:ligatures w14:val="standardContextual"/>
        </w:rPr>
        <w:t>Ouarma</w:t>
      </w:r>
      <w:proofErr w:type="spellEnd"/>
      <w:r w:rsidRPr="007C5A6E">
        <w:rPr>
          <w:rFonts w:ascii="Times New Roman" w:eastAsia="Aptos" w:hAnsi="Times New Roman"/>
          <w:kern w:val="2"/>
          <w:sz w:val="24"/>
          <w:szCs w:val="24"/>
          <w:lang w:eastAsia="en-US"/>
          <w14:ligatures w14:val="standardContextual"/>
        </w:rPr>
        <w:t xml:space="preserve"> et al. (2020) avait fait le même constat.</w:t>
      </w:r>
      <w:r w:rsidRPr="007C5A6E">
        <w:rPr>
          <w:rFonts w:ascii="Times New Roman" w:eastAsia="Aptos" w:hAnsi="Times New Roman"/>
          <w:b/>
          <w:bCs/>
          <w:kern w:val="2"/>
          <w:sz w:val="24"/>
          <w:szCs w:val="24"/>
          <w:lang w:eastAsia="en-US"/>
          <w14:ligatures w14:val="standardContextual"/>
        </w:rPr>
        <w:t xml:space="preserve"> </w:t>
      </w:r>
      <w:r w:rsidRPr="007C5A6E">
        <w:rPr>
          <w:rFonts w:ascii="Times New Roman" w:eastAsia="Aptos" w:hAnsi="Times New Roman"/>
          <w:kern w:val="2"/>
          <w:sz w:val="24"/>
          <w:szCs w:val="24"/>
          <w14:ligatures w14:val="standardContextual"/>
        </w:rPr>
        <w:t xml:space="preserve">L'Organisation mondiale de la santé (OMS) estime que la pollution atmosphérique à Ouagadougou dépasse de 50% les normes recommandées, augmentant les risques de maladies respiratoires chez les résidents urbains. La situation est aggravée par la vétusté du parc automobile. Il faut noter que près de 60% des véhicules en circulation ont plus de 15 ans, et nombre d'entre eux sont peu efficaces sur le plan énergétique, ce qui augmente leur impact environnemental. </w:t>
      </w:r>
    </w:p>
    <w:p w14:paraId="2961F542" w14:textId="77777777"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 xml:space="preserve">À cette situation s'ajoute la culture de la possession d'un moyen de transport personnel. Selon une enquête réalisée par le Ministère des Transports en 2022, environ 70% des ménages urbains possèdent au moins une moto et 20% disposent d'une voiture. </w:t>
      </w:r>
    </w:p>
    <w:p w14:paraId="1019DB2F" w14:textId="77777777" w:rsidR="001A7FE8" w:rsidRPr="007C5A6E" w:rsidRDefault="001A7FE8" w:rsidP="001A7FE8">
      <w:pPr>
        <w:spacing w:after="0" w:line="240" w:lineRule="auto"/>
        <w:jc w:val="both"/>
        <w:rPr>
          <w:rFonts w:ascii="Times New Roman" w:eastAsia="Aptos" w:hAnsi="Times New Roman"/>
          <w:kern w:val="2"/>
          <w:sz w:val="24"/>
          <w:szCs w:val="24"/>
          <w14:ligatures w14:val="standardContextual"/>
        </w:rPr>
      </w:pPr>
    </w:p>
    <w:p w14:paraId="2E0AA6FD" w14:textId="167E8DFD" w:rsidR="00606C71" w:rsidRPr="007C5A6E" w:rsidRDefault="00606C71" w:rsidP="00540B43">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Cette tendance à l'acquisition de véhicules personnels, bien que compréhensible face à l'insuffisance des infrastructures de transport public, intensifie les problèmes de circulation. Avec une augmentation annuelle de 6% du nombre de véhicules dans les villes, le réseau routier urbain est de plus en plus encombré. Ce phénomène pose de nombreux défis et nécessite des réponses stratégiques en matière de gestion durable de la mobilité.</w:t>
      </w:r>
    </w:p>
    <w:p w14:paraId="3F629925" w14:textId="77777777" w:rsidR="001A7FE8" w:rsidRPr="007C5A6E" w:rsidRDefault="001A7FE8" w:rsidP="001A7FE8">
      <w:pPr>
        <w:spacing w:after="0" w:line="240" w:lineRule="auto"/>
        <w:jc w:val="both"/>
        <w:rPr>
          <w:rFonts w:ascii="Times New Roman" w:eastAsia="Aptos" w:hAnsi="Times New Roman"/>
          <w:kern w:val="2"/>
          <w:sz w:val="24"/>
          <w:szCs w:val="24"/>
          <w14:ligatures w14:val="standardContextual"/>
        </w:rPr>
      </w:pPr>
    </w:p>
    <w:p w14:paraId="69B512B9" w14:textId="77777777" w:rsidR="00606C71" w:rsidRPr="007C5A6E" w:rsidRDefault="00606C71" w:rsidP="00540B43">
      <w:pPr>
        <w:pStyle w:val="Titre3"/>
      </w:pPr>
      <w:bookmarkStart w:id="1519" w:name="_Toc177649428"/>
      <w:bookmarkStart w:id="1520" w:name="_Toc179043984"/>
      <w:bookmarkStart w:id="1521" w:name="_Toc183340319"/>
      <w:r w:rsidRPr="007C5A6E">
        <w:t>Dégradation des ressources naturelles</w:t>
      </w:r>
      <w:bookmarkEnd w:id="1517"/>
      <w:bookmarkEnd w:id="1518"/>
      <w:bookmarkEnd w:id="1519"/>
      <w:bookmarkEnd w:id="1520"/>
      <w:bookmarkEnd w:id="1521"/>
    </w:p>
    <w:p w14:paraId="629C22BD" w14:textId="77777777" w:rsidR="00606C71" w:rsidRPr="007C5A6E" w:rsidRDefault="00606C71" w:rsidP="00540B43">
      <w:pPr>
        <w:spacing w:after="0" w:line="240" w:lineRule="auto"/>
        <w:jc w:val="both"/>
        <w:rPr>
          <w:rFonts w:ascii="Times New Roman" w:eastAsia="Aptos" w:hAnsi="Times New Roman"/>
          <w:kern w:val="2"/>
          <w:sz w:val="24"/>
          <w:szCs w:val="24"/>
          <w14:ligatures w14:val="standardContextual"/>
        </w:rPr>
      </w:pPr>
    </w:p>
    <w:p w14:paraId="1AED9D34" w14:textId="77777777"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 xml:space="preserve">La croissance urbaine au Burkina Faso a entraîné une pression accrue sur les ressources naturelles, contribuant à leur dégradation. </w:t>
      </w:r>
    </w:p>
    <w:p w14:paraId="28B4A6FD" w14:textId="77777777" w:rsidR="00606C71" w:rsidRPr="007C5A6E" w:rsidRDefault="00606C71" w:rsidP="009D1E01">
      <w:pPr>
        <w:spacing w:after="0" w:line="240" w:lineRule="auto"/>
        <w:jc w:val="both"/>
        <w:rPr>
          <w:rFonts w:ascii="Times New Roman" w:eastAsia="Aptos" w:hAnsi="Times New Roman"/>
          <w:color w:val="FF0000"/>
          <w:kern w:val="2"/>
          <w:sz w:val="24"/>
          <w:szCs w:val="24"/>
          <w14:ligatures w14:val="standardContextual"/>
        </w:rPr>
      </w:pPr>
      <w:r w:rsidRPr="007C5A6E">
        <w:rPr>
          <w:rFonts w:ascii="Times New Roman" w:eastAsia="Aptos" w:hAnsi="Times New Roman"/>
          <w:kern w:val="2"/>
          <w:sz w:val="24"/>
          <w:szCs w:val="24"/>
          <w14:ligatures w14:val="standardContextual"/>
        </w:rPr>
        <w:t>Dans le contexte actuel, cette urbanisation rapide s’est traduite par une exploitation non durable des terres, une déforestation accélérée, et la pollution des sols et des cours d'eau. Les terres urbaines périphériques, jadis vouées à l'agriculture, sont désormais occupées par l'habitat. Les agriculteurs "urbains" doivent donc se déplacer toujours plus loin pour trouver de nouvelles terres agricoles. Ce mouvement perpétuel a abouti à des paysages dénudés parsemés d'arbres utiles aux environs immédiats de Ouagadougou (Résiniers, Karité, Néré).</w:t>
      </w:r>
      <w:r w:rsidRPr="007C5A6E">
        <w:rPr>
          <w:rFonts w:ascii="Times New Roman" w:eastAsia="Aptos" w:hAnsi="Times New Roman"/>
          <w:color w:val="FF0000"/>
          <w:kern w:val="2"/>
          <w:sz w:val="24"/>
          <w:szCs w:val="24"/>
          <w14:ligatures w14:val="standardContextual"/>
        </w:rPr>
        <w:t xml:space="preserve"> </w:t>
      </w:r>
    </w:p>
    <w:p w14:paraId="6047952A" w14:textId="77777777" w:rsidR="001A7FE8" w:rsidRPr="007C5A6E" w:rsidRDefault="001A7FE8" w:rsidP="001A7FE8">
      <w:pPr>
        <w:spacing w:after="0" w:line="240" w:lineRule="auto"/>
        <w:jc w:val="both"/>
        <w:rPr>
          <w:rFonts w:ascii="Times New Roman" w:eastAsia="Aptos" w:hAnsi="Times New Roman"/>
          <w:kern w:val="2"/>
          <w:sz w:val="24"/>
          <w:szCs w:val="24"/>
          <w14:ligatures w14:val="standardContextual"/>
        </w:rPr>
      </w:pPr>
    </w:p>
    <w:p w14:paraId="3576FC3F" w14:textId="736762D6"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 xml:space="preserve">L’action de l’homme due à la pression démographique a empiété sur près de la moitié (1 050 hectares) de l’ensemble de la Ceinture Verte de Ouagadougou (CVO). La partie dégradée est occupée par des maisons d’habitation, des édifices religieux, des kiosques, des maquis, des garages, des parkings pour des voitures et des camions en panne, de lieux de dépôt d’agrégats, de sépulture et de commerce. </w:t>
      </w:r>
    </w:p>
    <w:p w14:paraId="30B7C98A" w14:textId="77777777"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Pour mémoire, le projet de création de la CVO, initié en 1974, verra sa mise en œuvre débutée en 1976 grâce à l'appui de la Coopération Allemande. La mise en œuvre de la ceinture verte devait se faire sur une superficie de 2 100 ha avec un rythme de plantation annuel de 100 ha. En 1986, la superficie reboisée était estimée à 1 032 ha environ 21 km de long sur une bande de 500 m (</w:t>
      </w:r>
      <w:proofErr w:type="spellStart"/>
      <w:r w:rsidRPr="007C5A6E">
        <w:rPr>
          <w:rFonts w:ascii="Times New Roman" w:eastAsia="Aptos" w:hAnsi="Times New Roman"/>
          <w:kern w:val="2"/>
          <w:sz w:val="24"/>
          <w:szCs w:val="24"/>
          <w14:ligatures w14:val="standardContextual"/>
        </w:rPr>
        <w:t>Kalmogo</w:t>
      </w:r>
      <w:proofErr w:type="spellEnd"/>
      <w:r w:rsidRPr="007C5A6E">
        <w:rPr>
          <w:rFonts w:ascii="Times New Roman" w:eastAsia="Aptos" w:hAnsi="Times New Roman"/>
          <w:kern w:val="2"/>
          <w:sz w:val="24"/>
          <w:szCs w:val="24"/>
          <w14:ligatures w14:val="standardContextual"/>
        </w:rPr>
        <w:t>, 2017).</w:t>
      </w:r>
    </w:p>
    <w:p w14:paraId="0F283FC6" w14:textId="77777777" w:rsidR="001A7FE8" w:rsidRPr="007C5A6E" w:rsidRDefault="001A7FE8" w:rsidP="001A7FE8">
      <w:pPr>
        <w:spacing w:after="0" w:line="240" w:lineRule="auto"/>
        <w:jc w:val="both"/>
        <w:rPr>
          <w:rFonts w:ascii="Times New Roman" w:eastAsia="Aptos" w:hAnsi="Times New Roman"/>
          <w:kern w:val="2"/>
          <w:sz w:val="24"/>
          <w:szCs w:val="24"/>
          <w14:ligatures w14:val="standardContextual"/>
        </w:rPr>
      </w:pPr>
    </w:p>
    <w:p w14:paraId="15BB8602" w14:textId="37D55B9C"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proofErr w:type="gramStart"/>
      <w:r w:rsidRPr="007C5A6E">
        <w:rPr>
          <w:rFonts w:ascii="Times New Roman" w:eastAsia="Aptos" w:hAnsi="Times New Roman"/>
          <w:kern w:val="2"/>
          <w:sz w:val="24"/>
          <w:szCs w:val="24"/>
          <w14:ligatures w14:val="standardContextual"/>
        </w:rPr>
        <w:t>La CVO</w:t>
      </w:r>
      <w:proofErr w:type="gramEnd"/>
      <w:r w:rsidRPr="007C5A6E">
        <w:rPr>
          <w:rFonts w:ascii="Times New Roman" w:eastAsia="Aptos" w:hAnsi="Times New Roman"/>
          <w:kern w:val="2"/>
          <w:sz w:val="24"/>
          <w:szCs w:val="24"/>
          <w14:ligatures w14:val="standardContextual"/>
        </w:rPr>
        <w:t xml:space="preserve"> avait pour entre autres objectifs de barrer la route à l’avancée du désert, d’atténuer l’action des vents secs de </w:t>
      </w:r>
      <w:proofErr w:type="spellStart"/>
      <w:r w:rsidRPr="007C5A6E">
        <w:rPr>
          <w:rFonts w:ascii="Times New Roman" w:eastAsia="Aptos" w:hAnsi="Times New Roman"/>
          <w:kern w:val="2"/>
          <w:sz w:val="24"/>
          <w:szCs w:val="24"/>
          <w14:ligatures w14:val="standardContextual"/>
        </w:rPr>
        <w:t>l’harmattan</w:t>
      </w:r>
      <w:proofErr w:type="spellEnd"/>
      <w:r w:rsidRPr="007C5A6E">
        <w:rPr>
          <w:rFonts w:ascii="Times New Roman" w:eastAsia="Aptos" w:hAnsi="Times New Roman"/>
          <w:kern w:val="2"/>
          <w:sz w:val="24"/>
          <w:szCs w:val="24"/>
          <w14:ligatures w14:val="standardContextual"/>
        </w:rPr>
        <w:t xml:space="preserve">, de protéger les trois barrages de la ville de Ouagadougou contre l’envasement et l’ensablement, d’offrir aux ménages des produits forestiers non ligneux et du bois de chauffe. Aujourd’hui, au regard de l’état de la CVO, il est clair que l’atteinte de ces objectifs est remise en question. </w:t>
      </w:r>
    </w:p>
    <w:p w14:paraId="28F9297F" w14:textId="77777777" w:rsidR="001A7FE8" w:rsidRPr="007C5A6E" w:rsidRDefault="001A7FE8" w:rsidP="001A7FE8">
      <w:pPr>
        <w:spacing w:after="0" w:line="240" w:lineRule="auto"/>
        <w:jc w:val="both"/>
        <w:rPr>
          <w:rFonts w:ascii="Times New Roman" w:eastAsia="Aptos" w:hAnsi="Times New Roman"/>
          <w:kern w:val="2"/>
          <w:sz w:val="24"/>
          <w:szCs w:val="24"/>
          <w14:ligatures w14:val="standardContextual"/>
        </w:rPr>
      </w:pPr>
    </w:p>
    <w:p w14:paraId="5610AA28" w14:textId="56FC5296"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Pour inverser les tendances, la mairie de Ouagadougou a lancé en 2018, un chantier de réhabilitation. Plus de 1 000 hectares ont été reboisés avec l’implication de plusieurs entreprises dans le cadre d’un projet à long terme sous la forme d’un partenariat public privé.</w:t>
      </w:r>
    </w:p>
    <w:p w14:paraId="585C998B" w14:textId="77777777"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 xml:space="preserve">L’occupation anarchique des espaces verts dans des zones urbaines du pays par des maquis, des habitations, des dépotoirs, des kiosques, des garages, des lieux de cultes, des services publics, des marchés, etc., pose également problème. Une véritable spéculation foncière semble régner sur ces espaces. </w:t>
      </w:r>
    </w:p>
    <w:p w14:paraId="4FC96E8F" w14:textId="77777777" w:rsidR="001A7FE8" w:rsidRPr="007C5A6E" w:rsidRDefault="001A7FE8" w:rsidP="001A7FE8">
      <w:pPr>
        <w:spacing w:after="0" w:line="240" w:lineRule="auto"/>
        <w:jc w:val="both"/>
        <w:rPr>
          <w:rFonts w:ascii="Times New Roman" w:eastAsia="Aptos" w:hAnsi="Times New Roman"/>
          <w:kern w:val="2"/>
          <w:sz w:val="24"/>
          <w:szCs w:val="24"/>
          <w14:ligatures w14:val="standardContextual"/>
        </w:rPr>
      </w:pPr>
    </w:p>
    <w:p w14:paraId="737B619A" w14:textId="75E323FB" w:rsidR="00606C71" w:rsidRPr="007C5A6E" w:rsidRDefault="00606C71" w:rsidP="009D1E01">
      <w:pPr>
        <w:spacing w:after="0" w:line="240" w:lineRule="auto"/>
        <w:jc w:val="both"/>
        <w:rPr>
          <w:rFonts w:ascii="Times New Roman" w:eastAsia="Aptos" w:hAnsi="Times New Roman"/>
          <w:b/>
          <w:bCs/>
          <w:kern w:val="2"/>
          <w:sz w:val="24"/>
          <w:szCs w:val="24"/>
          <w:lang w:eastAsia="en-US"/>
          <w14:ligatures w14:val="standardContextual"/>
        </w:rPr>
      </w:pPr>
      <w:r w:rsidRPr="007C5A6E">
        <w:rPr>
          <w:rFonts w:ascii="Times New Roman" w:eastAsia="Aptos" w:hAnsi="Times New Roman"/>
          <w:kern w:val="2"/>
          <w:sz w:val="24"/>
          <w:szCs w:val="24"/>
          <w14:ligatures w14:val="standardContextual"/>
        </w:rPr>
        <w:t>En 2010, à titre d’exemple, les services municipaux de la commune de Ouagadougou ont estimé à 40% le taux des espaces verts illégalement occupés ou ayant changé de destination première. À titre illustratif, l</w:t>
      </w:r>
      <w:r w:rsidR="00CA576F" w:rsidRPr="007C5A6E">
        <w:rPr>
          <w:rFonts w:ascii="Times New Roman" w:eastAsia="Aptos" w:hAnsi="Times New Roman"/>
          <w:kern w:val="2"/>
          <w:sz w:val="24"/>
          <w:szCs w:val="24"/>
          <w14:ligatures w14:val="standardContextual"/>
        </w:rPr>
        <w:t>a</w:t>
      </w:r>
      <w:r w:rsidRPr="007C5A6E">
        <w:rPr>
          <w:rFonts w:ascii="Times New Roman" w:eastAsia="Aptos" w:hAnsi="Times New Roman"/>
          <w:kern w:val="2"/>
          <w:sz w:val="24"/>
          <w:szCs w:val="24"/>
          <w14:ligatures w14:val="standardContextual"/>
        </w:rPr>
        <w:t xml:space="preserve"> </w:t>
      </w:r>
      <w:r w:rsidR="00CA576F" w:rsidRPr="007C5A6E">
        <w:rPr>
          <w:rFonts w:ascii="Times New Roman" w:eastAsia="Aptos" w:hAnsi="Times New Roman"/>
          <w:kern w:val="2"/>
          <w:sz w:val="24"/>
          <w:szCs w:val="24"/>
          <w14:ligatures w14:val="standardContextual"/>
        </w:rPr>
        <w:t>figure</w:t>
      </w:r>
      <w:r w:rsidRPr="007C5A6E">
        <w:rPr>
          <w:rFonts w:ascii="Times New Roman" w:eastAsia="Aptos" w:hAnsi="Times New Roman"/>
          <w:kern w:val="2"/>
          <w:sz w:val="24"/>
          <w:szCs w:val="24"/>
          <w14:ligatures w14:val="standardContextual"/>
        </w:rPr>
        <w:t> </w:t>
      </w:r>
      <w:r w:rsidR="00CA576F" w:rsidRPr="007C5A6E">
        <w:rPr>
          <w:rFonts w:ascii="Times New Roman" w:eastAsia="Aptos" w:hAnsi="Times New Roman"/>
          <w:kern w:val="2"/>
          <w:sz w:val="24"/>
          <w:szCs w:val="24"/>
          <w14:ligatures w14:val="standardContextual"/>
        </w:rPr>
        <w:t>10</w:t>
      </w:r>
      <w:r w:rsidR="001A7FE8" w:rsidRPr="007C5A6E">
        <w:rPr>
          <w:rFonts w:ascii="Times New Roman" w:eastAsia="Aptos" w:hAnsi="Times New Roman"/>
          <w:kern w:val="2"/>
          <w:sz w:val="24"/>
          <w:szCs w:val="24"/>
          <w14:ligatures w14:val="standardContextual"/>
        </w:rPr>
        <w:t>0</w:t>
      </w:r>
      <w:r w:rsidRPr="007C5A6E">
        <w:rPr>
          <w:rFonts w:ascii="Times New Roman" w:eastAsia="Aptos" w:hAnsi="Times New Roman"/>
          <w:kern w:val="2"/>
          <w:sz w:val="24"/>
          <w:szCs w:val="24"/>
          <w14:ligatures w14:val="standardContextual"/>
        </w:rPr>
        <w:t xml:space="preserve"> suivant donne un aperçu des occupations illégales des espaces verts.  </w:t>
      </w:r>
    </w:p>
    <w:p w14:paraId="749C055F" w14:textId="77777777" w:rsidR="00606C71" w:rsidRPr="007C5A6E" w:rsidRDefault="00606C71" w:rsidP="00540B43">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noProof/>
          <w:kern w:val="2"/>
          <w:sz w:val="24"/>
          <w:szCs w:val="24"/>
        </w:rPr>
        <w:drawing>
          <wp:inline distT="0" distB="0" distL="0" distR="0" wp14:anchorId="67323571" wp14:editId="0C390C5E">
            <wp:extent cx="5940958" cy="2842260"/>
            <wp:effectExtent l="0" t="0" r="3175" b="15240"/>
            <wp:docPr id="1787666514" name="Graphique 1">
              <a:extLst xmlns:a="http://schemas.openxmlformats.org/drawingml/2006/main">
                <a:ext uri="{FF2B5EF4-FFF2-40B4-BE49-F238E27FC236}">
                  <a16:creationId xmlns:a16="http://schemas.microsoft.com/office/drawing/2014/main" id="{2FF99F8C-F393-79BF-230F-8DD55B386F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p w14:paraId="009B6648" w14:textId="4BA14AD4" w:rsidR="00FF05A5" w:rsidRPr="007C5A6E" w:rsidRDefault="00FF05A5" w:rsidP="00540B43">
      <w:pPr>
        <w:autoSpaceDE w:val="0"/>
        <w:autoSpaceDN w:val="0"/>
        <w:adjustRightInd w:val="0"/>
        <w:spacing w:after="0" w:line="240" w:lineRule="auto"/>
        <w:rPr>
          <w:rFonts w:ascii="Times New Roman" w:hAnsi="Times New Roman"/>
          <w:sz w:val="20"/>
          <w:szCs w:val="20"/>
        </w:rPr>
      </w:pPr>
      <w:r w:rsidRPr="007C5A6E">
        <w:rPr>
          <w:rFonts w:ascii="Times New Roman" w:hAnsi="Times New Roman"/>
          <w:sz w:val="20"/>
          <w:szCs w:val="20"/>
        </w:rPr>
        <w:t>(Source : Compilation de l’auteur)</w:t>
      </w:r>
    </w:p>
    <w:p w14:paraId="64AF9A8A" w14:textId="3B41B05E" w:rsidR="00FF05A5" w:rsidRPr="007C5A6E" w:rsidRDefault="00FF05A5" w:rsidP="001A7FE8">
      <w:pPr>
        <w:spacing w:after="0" w:line="240" w:lineRule="auto"/>
        <w:jc w:val="both"/>
        <w:rPr>
          <w:rFonts w:ascii="Times New Roman" w:eastAsiaTheme="minorHAnsi" w:hAnsi="Times New Roman"/>
          <w:sz w:val="24"/>
          <w:szCs w:val="24"/>
        </w:rPr>
      </w:pPr>
      <w:bookmarkStart w:id="1522" w:name="_Toc183240740"/>
      <w:bookmarkStart w:id="1523" w:name="_Toc183340479"/>
      <w:r w:rsidRPr="007C5A6E">
        <w:rPr>
          <w:rFonts w:ascii="Times New Roman" w:eastAsiaTheme="minorHAnsi" w:hAnsi="Times New Roman"/>
          <w:i/>
          <w:iCs/>
          <w:kern w:val="2"/>
          <w:sz w:val="24"/>
          <w:szCs w:val="24"/>
          <w:lang w:eastAsia="en-US"/>
          <w14:ligatures w14:val="standardContextual"/>
        </w:rPr>
        <w:t xml:space="preserve">Figure </w:t>
      </w:r>
      <w:r w:rsidRPr="007C5A6E">
        <w:rPr>
          <w:rFonts w:ascii="Times New Roman" w:eastAsiaTheme="minorHAnsi" w:hAnsi="Times New Roman"/>
          <w:i/>
          <w:iCs/>
          <w:kern w:val="2"/>
          <w:sz w:val="24"/>
          <w:szCs w:val="24"/>
          <w:lang w:eastAsia="en-US"/>
          <w14:ligatures w14:val="standardContextual"/>
        </w:rPr>
        <w:fldChar w:fldCharType="begin"/>
      </w:r>
      <w:r w:rsidRPr="007C5A6E">
        <w:rPr>
          <w:rFonts w:ascii="Times New Roman" w:eastAsiaTheme="minorHAnsi" w:hAnsi="Times New Roman"/>
          <w:i/>
          <w:iCs/>
          <w:kern w:val="2"/>
          <w:sz w:val="24"/>
          <w:szCs w:val="24"/>
          <w:lang w:eastAsia="en-US"/>
          <w14:ligatures w14:val="standardContextual"/>
        </w:rPr>
        <w:instrText xml:space="preserve"> SEQ Figure \* ARABIC </w:instrText>
      </w:r>
      <w:r w:rsidRPr="007C5A6E">
        <w:rPr>
          <w:rFonts w:ascii="Times New Roman" w:eastAsiaTheme="minorHAnsi" w:hAnsi="Times New Roman"/>
          <w:i/>
          <w:iCs/>
          <w:kern w:val="2"/>
          <w:sz w:val="24"/>
          <w:szCs w:val="24"/>
          <w:lang w:eastAsia="en-US"/>
          <w14:ligatures w14:val="standardContextual"/>
        </w:rPr>
        <w:fldChar w:fldCharType="separate"/>
      </w:r>
      <w:r w:rsidR="001A7FE8" w:rsidRPr="007C5A6E">
        <w:rPr>
          <w:rFonts w:ascii="Times New Roman" w:eastAsiaTheme="minorHAnsi" w:hAnsi="Times New Roman"/>
          <w:i/>
          <w:iCs/>
          <w:noProof/>
          <w:kern w:val="2"/>
          <w:sz w:val="24"/>
          <w:szCs w:val="24"/>
          <w:lang w:eastAsia="en-US"/>
          <w14:ligatures w14:val="standardContextual"/>
        </w:rPr>
        <w:t>100</w:t>
      </w:r>
      <w:r w:rsidRPr="007C5A6E">
        <w:rPr>
          <w:rFonts w:ascii="Times New Roman" w:eastAsiaTheme="minorHAnsi" w:hAnsi="Times New Roman"/>
          <w:i/>
          <w:iCs/>
          <w:kern w:val="2"/>
          <w:sz w:val="24"/>
          <w:szCs w:val="24"/>
          <w:lang w:eastAsia="en-US"/>
          <w14:ligatures w14:val="standardContextual"/>
        </w:rPr>
        <w:fldChar w:fldCharType="end"/>
      </w:r>
      <w:r w:rsidRPr="007C5A6E">
        <w:rPr>
          <w:rFonts w:ascii="Times New Roman" w:eastAsiaTheme="minorHAnsi" w:hAnsi="Times New Roman"/>
          <w:i/>
          <w:iCs/>
          <w:kern w:val="2"/>
          <w:sz w:val="24"/>
          <w:szCs w:val="24"/>
          <w:lang w:eastAsia="en-US"/>
          <w14:ligatures w14:val="standardContextual"/>
        </w:rPr>
        <w:t>. Occupation illégale des espaces verts de Ouagadougou (%)</w:t>
      </w:r>
      <w:bookmarkEnd w:id="1522"/>
      <w:bookmarkEnd w:id="1523"/>
    </w:p>
    <w:p w14:paraId="0CB927D7" w14:textId="77777777" w:rsidR="001A7FE8" w:rsidRPr="007C5A6E" w:rsidRDefault="001A7FE8" w:rsidP="001A7FE8">
      <w:pPr>
        <w:spacing w:after="0" w:line="240" w:lineRule="auto"/>
        <w:jc w:val="both"/>
        <w:rPr>
          <w:rFonts w:ascii="Times New Roman" w:eastAsia="Aptos" w:hAnsi="Times New Roman"/>
          <w:kern w:val="2"/>
          <w:sz w:val="24"/>
          <w:szCs w:val="24"/>
          <w14:ligatures w14:val="standardContextual"/>
        </w:rPr>
      </w:pPr>
    </w:p>
    <w:p w14:paraId="782E96E9" w14:textId="50028BC7"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Sur un total de 1 071 répertoriés, on dénombre 144 lieux de cultes, 113 habitations, 83 dépotoirs, 19 kiosques, 18 écoles, 17 terrains de sport, 16 garages, 15 services publics, 09 marchés, 24 autres (magasin, cabaret, siège d’association, salle de ciné, monument, station de service, domaine privé, cave, etc.). Selon les données de ce graphique, les occupations illégales concernent pour plus de la moitié (56%) les lieux de cultes et les habitations, les lieux de culte étant fautifs pour un tiers (31%) des cas. Les dépôts anarchiques viennent en 3</w:t>
      </w:r>
      <w:r w:rsidRPr="007C5A6E">
        <w:rPr>
          <w:rFonts w:ascii="Times New Roman" w:eastAsia="Aptos" w:hAnsi="Times New Roman"/>
          <w:kern w:val="2"/>
          <w:sz w:val="24"/>
          <w:szCs w:val="24"/>
          <w:vertAlign w:val="superscript"/>
          <w14:ligatures w14:val="standardContextual"/>
        </w:rPr>
        <w:t>ème</w:t>
      </w:r>
      <w:r w:rsidRPr="007C5A6E">
        <w:rPr>
          <w:rFonts w:ascii="Times New Roman" w:eastAsia="Aptos" w:hAnsi="Times New Roman"/>
          <w:kern w:val="2"/>
          <w:sz w:val="24"/>
          <w:szCs w:val="24"/>
          <w14:ligatures w14:val="standardContextual"/>
        </w:rPr>
        <w:t> position.</w:t>
      </w:r>
    </w:p>
    <w:p w14:paraId="0E40EFA9" w14:textId="77777777" w:rsidR="001A7FE8" w:rsidRPr="007C5A6E" w:rsidRDefault="001A7FE8" w:rsidP="001A7FE8">
      <w:pPr>
        <w:spacing w:after="0" w:line="240" w:lineRule="auto"/>
        <w:jc w:val="both"/>
        <w:rPr>
          <w:rFonts w:ascii="Times New Roman" w:eastAsia="Aptos" w:hAnsi="Times New Roman"/>
          <w:kern w:val="2"/>
          <w:sz w:val="24"/>
          <w:szCs w:val="24"/>
          <w14:ligatures w14:val="standardContextual"/>
        </w:rPr>
      </w:pPr>
    </w:p>
    <w:p w14:paraId="2E6069F9" w14:textId="6D6D1EBB"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Dans le même registre, des rapports d’audits réalisés en 2015 par l’autorité supérieure de contrôle d’État/Lutte contre la corruption (ASCE-LC) constatent aussi de nombreuses occupations illégales des espaces verts dans des arrondissements de la commune de Ouagadougou. L’enquête parlementaire sur le foncier urbain publié en septembre 2016 fait le même constat à Ouagadougou, « </w:t>
      </w:r>
      <w:r w:rsidRPr="007C5A6E">
        <w:rPr>
          <w:rFonts w:ascii="Times New Roman" w:eastAsia="Aptos" w:hAnsi="Times New Roman"/>
          <w:i/>
          <w:iCs/>
          <w:kern w:val="2"/>
          <w:sz w:val="24"/>
          <w:szCs w:val="24"/>
          <w14:ligatures w14:val="standardContextual"/>
        </w:rPr>
        <w:t>la plupart des réserves administratives et des espaces verts ont été morcelés sans suivre la procédure prescrite par le code de l’urbanisme et de la construction</w:t>
      </w:r>
      <w:r w:rsidRPr="007C5A6E">
        <w:rPr>
          <w:rFonts w:ascii="Times New Roman" w:eastAsia="Aptos" w:hAnsi="Times New Roman"/>
          <w:kern w:val="2"/>
          <w:sz w:val="24"/>
          <w:szCs w:val="24"/>
          <w14:ligatures w14:val="standardContextual"/>
        </w:rPr>
        <w:t> ».</w:t>
      </w:r>
    </w:p>
    <w:p w14:paraId="6E7FB3F9" w14:textId="77777777" w:rsidR="001A7FE8" w:rsidRPr="007C5A6E" w:rsidRDefault="001A7FE8" w:rsidP="001A7FE8">
      <w:pPr>
        <w:spacing w:after="0" w:line="240" w:lineRule="auto"/>
        <w:jc w:val="both"/>
        <w:rPr>
          <w:rFonts w:ascii="Times New Roman" w:eastAsia="Aptos" w:hAnsi="Times New Roman"/>
          <w:kern w:val="2"/>
          <w:sz w:val="24"/>
          <w:szCs w:val="24"/>
          <w14:ligatures w14:val="standardContextual"/>
        </w:rPr>
      </w:pPr>
    </w:p>
    <w:p w14:paraId="43CE3CB7" w14:textId="1658FA1C"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Par ailleurs, l'exploitation du bois pour la construction et le charbon de bois dans les zones urbaines constitue une autre source de dégradation des ressources naturelles. En 2020, environ 85% des ménages urbains burkinabè dépendent encore du bois et du charbon pour cuisiner (Ministère de l’Environnement, 2020). Cette forte demande a accéléré le déboisement des zones environnantes, contribuant à la perte annuelle de 105 000 hectares de forêt, soit une réduction de 2,4% du couvert forestier chaque année (FAO, 2021). La déforestation, en plus de provoquer des déséquilibres écologiques, réduit la capacité des écosystèmes à atténuer les effets du changement climatique.</w:t>
      </w:r>
    </w:p>
    <w:p w14:paraId="59FC085A" w14:textId="77777777"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De plus, la pression sur les ressources naturelles est exacerbée par la demande croissante de matériaux de construction tels que le sable et l’argile. L'extraction intensive de sable des lits des rivières pour répondre aux besoins de l’industrie de la construction entraîne l'érosion des berges et modifie les écosystèmes aquatiques. La conjugaison de ces facteurs conduit à une dégradation progressive des ressources naturelles urbaines, posant des défis majeurs pour le développement durable des villes burkinabè.</w:t>
      </w:r>
    </w:p>
    <w:p w14:paraId="34D956AA" w14:textId="77777777" w:rsidR="00606C71" w:rsidRPr="007C5A6E" w:rsidRDefault="00606C71" w:rsidP="009D1E01">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 xml:space="preserve">Enfin, la pollution de l’eau est une autre problématique préoccupante. Dans les grandes villes comme Ouagadougou et Bobo Dioulasso, la mauvaise gestion des déchets solides et liquides a entraîné une contamination des ressources hydriques. Des études montrent que près de 40% des eaux usées urbaines sont rejetées directement dans les cours d’eau sans traitement adéquat (Ministère de l’Eau, 2019). Cette situation menace la qualité de l’eau, surtout dans les zones périphériques où les populations dépendent souvent des puits et des forages pour leur approvisionnement en eau potable. </w:t>
      </w:r>
    </w:p>
    <w:p w14:paraId="2BF1ABB6" w14:textId="77777777" w:rsidR="001A7FE8" w:rsidRPr="007C5A6E" w:rsidRDefault="001A7FE8" w:rsidP="001A7FE8">
      <w:pPr>
        <w:spacing w:after="0" w:line="240" w:lineRule="auto"/>
        <w:jc w:val="both"/>
        <w:rPr>
          <w:rFonts w:ascii="Times New Roman" w:eastAsia="Aptos" w:hAnsi="Times New Roman"/>
          <w:kern w:val="2"/>
          <w:sz w:val="24"/>
          <w:szCs w:val="24"/>
          <w14:ligatures w14:val="standardContextual"/>
        </w:rPr>
      </w:pPr>
    </w:p>
    <w:p w14:paraId="10DE75CD" w14:textId="1D644D2E" w:rsidR="00606C71" w:rsidRPr="007C5A6E" w:rsidRDefault="00606C71" w:rsidP="00540B43">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 xml:space="preserve">En 2015, </w:t>
      </w:r>
      <w:proofErr w:type="spellStart"/>
      <w:r w:rsidRPr="007C5A6E">
        <w:rPr>
          <w:rFonts w:ascii="Times New Roman" w:eastAsia="Aptos" w:hAnsi="Times New Roman"/>
          <w:kern w:val="2"/>
          <w:sz w:val="24"/>
          <w:szCs w:val="24"/>
          <w14:ligatures w14:val="standardContextual"/>
        </w:rPr>
        <w:t>Kpoda</w:t>
      </w:r>
      <w:proofErr w:type="spellEnd"/>
      <w:r w:rsidRPr="007C5A6E">
        <w:rPr>
          <w:rFonts w:ascii="Times New Roman" w:eastAsia="Aptos" w:hAnsi="Times New Roman"/>
          <w:kern w:val="2"/>
          <w:sz w:val="24"/>
          <w:szCs w:val="24"/>
          <w14:ligatures w14:val="standardContextual"/>
        </w:rPr>
        <w:t xml:space="preserve"> et al. (2015) ont mené des investigations sur la qualité des eaux d’irrigation dans différents sites maraichers, dont </w:t>
      </w:r>
      <w:proofErr w:type="spellStart"/>
      <w:r w:rsidRPr="007C5A6E">
        <w:rPr>
          <w:rFonts w:ascii="Times New Roman" w:eastAsia="Aptos" w:hAnsi="Times New Roman"/>
          <w:kern w:val="2"/>
          <w:sz w:val="24"/>
          <w:szCs w:val="24"/>
          <w14:ligatures w14:val="standardContextual"/>
        </w:rPr>
        <w:t>Boulmiougou</w:t>
      </w:r>
      <w:proofErr w:type="spellEnd"/>
      <w:r w:rsidRPr="007C5A6E">
        <w:rPr>
          <w:rFonts w:ascii="Times New Roman" w:eastAsia="Aptos" w:hAnsi="Times New Roman"/>
          <w:kern w:val="2"/>
          <w:sz w:val="24"/>
          <w:szCs w:val="24"/>
          <w14:ligatures w14:val="standardContextual"/>
        </w:rPr>
        <w:t xml:space="preserve">, </w:t>
      </w:r>
      <w:proofErr w:type="spellStart"/>
      <w:r w:rsidRPr="007C5A6E">
        <w:rPr>
          <w:rFonts w:ascii="Times New Roman" w:eastAsia="Aptos" w:hAnsi="Times New Roman"/>
          <w:kern w:val="2"/>
          <w:sz w:val="24"/>
          <w:szCs w:val="24"/>
          <w14:ligatures w14:val="standardContextual"/>
        </w:rPr>
        <w:t>Maco</w:t>
      </w:r>
      <w:proofErr w:type="spellEnd"/>
      <w:r w:rsidRPr="007C5A6E">
        <w:rPr>
          <w:rFonts w:ascii="Times New Roman" w:eastAsia="Aptos" w:hAnsi="Times New Roman"/>
          <w:kern w:val="2"/>
          <w:sz w:val="24"/>
          <w:szCs w:val="24"/>
          <w14:ligatures w14:val="standardContextual"/>
        </w:rPr>
        <w:t xml:space="preserve">, </w:t>
      </w:r>
      <w:proofErr w:type="spellStart"/>
      <w:r w:rsidRPr="007C5A6E">
        <w:rPr>
          <w:rFonts w:ascii="Times New Roman" w:eastAsia="Aptos" w:hAnsi="Times New Roman"/>
          <w:kern w:val="2"/>
          <w:sz w:val="24"/>
          <w:szCs w:val="24"/>
          <w14:ligatures w14:val="standardContextual"/>
        </w:rPr>
        <w:t>Wayalghin</w:t>
      </w:r>
      <w:proofErr w:type="spellEnd"/>
      <w:r w:rsidRPr="007C5A6E">
        <w:rPr>
          <w:rFonts w:ascii="Times New Roman" w:eastAsia="Aptos" w:hAnsi="Times New Roman"/>
          <w:kern w:val="2"/>
          <w:sz w:val="24"/>
          <w:szCs w:val="24"/>
          <w14:ligatures w14:val="standardContextual"/>
        </w:rPr>
        <w:t xml:space="preserve"> et </w:t>
      </w:r>
      <w:proofErr w:type="spellStart"/>
      <w:r w:rsidRPr="007C5A6E">
        <w:rPr>
          <w:rFonts w:ascii="Times New Roman" w:eastAsia="Aptos" w:hAnsi="Times New Roman"/>
          <w:kern w:val="2"/>
          <w:sz w:val="24"/>
          <w:szCs w:val="24"/>
          <w14:ligatures w14:val="standardContextual"/>
        </w:rPr>
        <w:t>Kossodo</w:t>
      </w:r>
      <w:proofErr w:type="spellEnd"/>
      <w:r w:rsidRPr="007C5A6E">
        <w:rPr>
          <w:rFonts w:ascii="Times New Roman" w:eastAsia="Aptos" w:hAnsi="Times New Roman"/>
          <w:kern w:val="2"/>
          <w:sz w:val="24"/>
          <w:szCs w:val="24"/>
          <w14:ligatures w14:val="standardContextual"/>
        </w:rPr>
        <w:t xml:space="preserve">. Les résultats ont montré que la conductivité des eaux était plus élevée en saison pluvieuse qu’en saison sèche. Les eaux usées brutes et traités avaient tous des valeurs de conductivité qui dépassaient les normes de la FAO en termes d’eau propice à l’irrigation des cultures. La moyenne du pH des eaux était hautement basique et hors norme pour les eaux usées brutes et traitées. Les concentrations des parasites (1-11 </w:t>
      </w:r>
      <w:proofErr w:type="spellStart"/>
      <w:r w:rsidRPr="007C5A6E">
        <w:rPr>
          <w:rFonts w:ascii="Times New Roman" w:eastAsia="Aptos" w:hAnsi="Times New Roman"/>
          <w:kern w:val="2"/>
          <w:sz w:val="24"/>
          <w:szCs w:val="24"/>
          <w14:ligatures w14:val="standardContextual"/>
        </w:rPr>
        <w:t>egg</w:t>
      </w:r>
      <w:proofErr w:type="spellEnd"/>
      <w:r w:rsidRPr="007C5A6E">
        <w:rPr>
          <w:rFonts w:ascii="Times New Roman" w:eastAsia="Aptos" w:hAnsi="Times New Roman"/>
          <w:kern w:val="2"/>
          <w:sz w:val="24"/>
          <w:szCs w:val="24"/>
          <w14:ligatures w14:val="standardContextual"/>
        </w:rPr>
        <w:t xml:space="preserve">/L dans l’eau, 0,48 </w:t>
      </w:r>
      <w:proofErr w:type="spellStart"/>
      <w:r w:rsidRPr="007C5A6E">
        <w:rPr>
          <w:rFonts w:ascii="Times New Roman" w:eastAsia="Aptos" w:hAnsi="Times New Roman"/>
          <w:kern w:val="2"/>
          <w:sz w:val="24"/>
          <w:szCs w:val="24"/>
          <w14:ligatures w14:val="standardContextual"/>
        </w:rPr>
        <w:t>egg</w:t>
      </w:r>
      <w:proofErr w:type="spellEnd"/>
      <w:r w:rsidRPr="007C5A6E">
        <w:rPr>
          <w:rFonts w:ascii="Times New Roman" w:eastAsia="Aptos" w:hAnsi="Times New Roman"/>
          <w:kern w:val="2"/>
          <w:sz w:val="24"/>
          <w:szCs w:val="24"/>
          <w14:ligatures w14:val="standardContextual"/>
        </w:rPr>
        <w:t>/L dans le sol) dépassaient les seuils de l’OMS/FAO pour une irrigation sans restriction.</w:t>
      </w:r>
      <w:bookmarkEnd w:id="1507"/>
      <w:bookmarkEnd w:id="1508"/>
    </w:p>
    <w:p w14:paraId="4FFF2758" w14:textId="77777777" w:rsidR="001A7FE8" w:rsidRPr="007C5A6E" w:rsidRDefault="001A7FE8" w:rsidP="001A7FE8">
      <w:pPr>
        <w:spacing w:after="0" w:line="240" w:lineRule="auto"/>
        <w:jc w:val="both"/>
        <w:rPr>
          <w:rFonts w:ascii="Times New Roman" w:eastAsia="Aptos" w:hAnsi="Times New Roman"/>
          <w:kern w:val="2"/>
          <w:sz w:val="24"/>
          <w:szCs w:val="24"/>
          <w14:ligatures w14:val="standardContextual"/>
        </w:rPr>
      </w:pPr>
    </w:p>
    <w:p w14:paraId="4159FC3C" w14:textId="77777777" w:rsidR="00606C71" w:rsidRPr="007C5A6E" w:rsidRDefault="00606C71" w:rsidP="00712C43">
      <w:pPr>
        <w:pStyle w:val="Titre2"/>
      </w:pPr>
      <w:bookmarkStart w:id="1524" w:name="_Toc183340320"/>
      <w:bookmarkStart w:id="1525" w:name="_Toc176444011"/>
      <w:bookmarkStart w:id="1526" w:name="_Toc176973806"/>
      <w:bookmarkStart w:id="1527" w:name="_Toc177649430"/>
      <w:r w:rsidRPr="007C5A6E">
        <w:t>Les politiques et stratégies de développement urbain</w:t>
      </w:r>
      <w:bookmarkEnd w:id="1524"/>
    </w:p>
    <w:p w14:paraId="342E5D91" w14:textId="77777777" w:rsidR="00606C71" w:rsidRPr="007C5A6E" w:rsidRDefault="00606C71" w:rsidP="00540B43">
      <w:pPr>
        <w:spacing w:after="0" w:line="240" w:lineRule="auto"/>
        <w:jc w:val="both"/>
        <w:rPr>
          <w:rFonts w:ascii="Times New Roman" w:eastAsia="Aptos" w:hAnsi="Times New Roman"/>
          <w:kern w:val="2"/>
          <w:sz w:val="24"/>
          <w:szCs w:val="24"/>
          <w14:ligatures w14:val="standardContextual"/>
        </w:rPr>
      </w:pPr>
    </w:p>
    <w:p w14:paraId="71C8605C" w14:textId="77777777" w:rsidR="00606C71" w:rsidRPr="007C5A6E" w:rsidRDefault="00606C71" w:rsidP="00540B43">
      <w:pPr>
        <w:pStyle w:val="Titre3"/>
      </w:pPr>
      <w:bookmarkStart w:id="1528" w:name="_Toc177649431"/>
      <w:bookmarkStart w:id="1529" w:name="_Toc176444012"/>
      <w:bookmarkStart w:id="1530" w:name="_Toc176973807"/>
      <w:bookmarkStart w:id="1531" w:name="_Toc179043995"/>
      <w:bookmarkStart w:id="1532" w:name="_Toc183340321"/>
      <w:r w:rsidRPr="007C5A6E">
        <w:t>Politiques actuelles</w:t>
      </w:r>
      <w:bookmarkEnd w:id="1528"/>
      <w:bookmarkEnd w:id="1529"/>
      <w:bookmarkEnd w:id="1530"/>
      <w:bookmarkEnd w:id="1531"/>
      <w:bookmarkEnd w:id="1532"/>
    </w:p>
    <w:p w14:paraId="2F259DB6" w14:textId="77777777" w:rsidR="00606C71" w:rsidRPr="007C5A6E" w:rsidRDefault="00606C71" w:rsidP="00540B43">
      <w:pPr>
        <w:spacing w:after="0" w:line="240" w:lineRule="auto"/>
        <w:jc w:val="both"/>
        <w:rPr>
          <w:rFonts w:ascii="Times New Roman" w:eastAsia="Aptos" w:hAnsi="Times New Roman"/>
          <w:kern w:val="2"/>
          <w:sz w:val="24"/>
          <w:szCs w:val="24"/>
          <w14:ligatures w14:val="standardContextual"/>
        </w:rPr>
      </w:pPr>
    </w:p>
    <w:p w14:paraId="5120255C" w14:textId="77777777" w:rsidR="00606C71" w:rsidRPr="007C5A6E" w:rsidRDefault="00606C71" w:rsidP="00540B43">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 xml:space="preserve">L’instauration d’un développement urbain inclusif et durable nécessite l’adoption de politiques en bonne adéquation avec les réalités locales. Dans ce sens, cette section analyse les politiques mises en place au Burkina Faso pour encadrer la croissance urbaine, tout en mettant en exergue les défis majeurs. </w:t>
      </w:r>
    </w:p>
    <w:p w14:paraId="594616E2" w14:textId="77777777" w:rsidR="00606C71" w:rsidRPr="007C5A6E" w:rsidRDefault="00606C71" w:rsidP="00540B43">
      <w:pPr>
        <w:spacing w:after="0" w:line="240" w:lineRule="auto"/>
        <w:jc w:val="both"/>
        <w:rPr>
          <w:rFonts w:ascii="Times New Roman" w:eastAsia="Aptos" w:hAnsi="Times New Roman"/>
          <w:kern w:val="2"/>
          <w:sz w:val="24"/>
          <w:szCs w:val="24"/>
          <w:lang w:eastAsia="en-US"/>
          <w14:ligatures w14:val="standardContextual"/>
        </w:rPr>
      </w:pPr>
    </w:p>
    <w:p w14:paraId="70E8BB7C" w14:textId="77777777" w:rsidR="00606C71" w:rsidRPr="007C5A6E" w:rsidRDefault="00606C71" w:rsidP="00540B43">
      <w:pPr>
        <w:pStyle w:val="Titre4"/>
      </w:pPr>
      <w:bookmarkStart w:id="1533" w:name="_Toc176444013"/>
      <w:bookmarkStart w:id="1534" w:name="_Toc177649432"/>
      <w:bookmarkStart w:id="1535" w:name="_Toc176973808"/>
      <w:bookmarkStart w:id="1536" w:name="_Toc179043996"/>
      <w:bookmarkStart w:id="1537" w:name="_Toc183340322"/>
      <w:r w:rsidRPr="007C5A6E">
        <w:t>Politiques d’urbanisation</w:t>
      </w:r>
      <w:bookmarkEnd w:id="1533"/>
      <w:bookmarkEnd w:id="1534"/>
      <w:bookmarkEnd w:id="1535"/>
      <w:bookmarkEnd w:id="1536"/>
      <w:bookmarkEnd w:id="1537"/>
    </w:p>
    <w:p w14:paraId="2B6D66A7"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p>
    <w:p w14:paraId="1F07F002" w14:textId="77777777" w:rsidR="00606C71" w:rsidRPr="007C5A6E" w:rsidRDefault="00606C71" w:rsidP="001A7FE8">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 xml:space="preserve">Parmi les initiatives mises prises, plusieurs politiques et stratégies jouent un rôle clé dans la gestion de l'urbanisation au Burkina Faso. Dès 2008, la Politique nationale de l'habitat et du développement urbain (PNHDU) est élaborée afin de promouvoir un développement urbain durable et inclusif. Plus récemment, le Plan d'action de stabilisation et de développement (PASD) élaboré en janvier 2023, qui, tout en visant la stabilisation générale, inclut des composantes spécifiques pour soutenir le développement urbain et renforcer la résilience des zones urbaines face aux défis croissants. </w:t>
      </w:r>
    </w:p>
    <w:p w14:paraId="0E8F4051" w14:textId="77777777" w:rsidR="00606C71" w:rsidRPr="007C5A6E" w:rsidRDefault="00606C71" w:rsidP="001A7FE8">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Le Plan national de développement économique et social (PNDES), adopté en 2016 et révisé en 2020, a été également un cadre global de développement intégrant une forte composante d'urbanisation. Le Schéma National d’Aménagement et de Développement Durable du Territoire (SNADDT), adopté en 2017 et planifiant jusqu'en 2040, fixe des objectifs à long terme pour une gestion durable du territoire.</w:t>
      </w:r>
    </w:p>
    <w:p w14:paraId="28A310C2" w14:textId="77777777" w:rsidR="00606C71" w:rsidRPr="007C5A6E" w:rsidRDefault="00606C71" w:rsidP="001A7FE8">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En parallèle, la Stratégie de Développement des Villes Secondaires, le Plan directeur d'Urbanisme (PDU), la Stratégie Nationale de Logement Social et Économique (SNLS), et le Programme de Mobilité Urbaine de Ouagadougou (PMUO) contribuent respectivement à l’aménagement spatial des villes secondaires, à l’urbanisme global, à la réponse aux besoins en logement, et à l'amélioration des infrastructures de transport et de mobilité dans la capitale. Le Projet de Mobilité Urbaine et de Développement Urbain des Villes Secondaires (PMDUVS), lancé en février 2024, vise à améliorer les conditions de vie et renforcer la présence de l'État en répondant aux besoins de la population et en prévenant les conflits.</w:t>
      </w:r>
    </w:p>
    <w:p w14:paraId="12C6B833" w14:textId="77777777" w:rsidR="00606C71" w:rsidRPr="007C5A6E" w:rsidRDefault="00606C71" w:rsidP="001A7FE8">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 xml:space="preserve">Pour soutenir l'ensemble de ces politiques et stratégies, des réglementations importantes ont également été mises en place. La Loi sur la Réforme Agraire et Foncière (RAF), promulguée en 1984 et révisée en 2012, vise à sécuriser les droits fonciers et à améliorer la gestion des terres tant en milieu rural qu'urbain. Cette loi inclut la clarification des droits de propriété, l'établissement de cadastres, la régulation des transactions foncières pour prévenir l'accaparement des terres, et l'encadrement de la gestion des terres urbaines afin d'éviter l'anarchie et l'occupation illégale. </w:t>
      </w:r>
    </w:p>
    <w:p w14:paraId="2DBE3B55" w14:textId="77777777" w:rsidR="001A7FE8" w:rsidRPr="007C5A6E" w:rsidRDefault="001A7FE8" w:rsidP="001A7FE8">
      <w:pPr>
        <w:spacing w:after="0" w:line="240" w:lineRule="auto"/>
        <w:jc w:val="both"/>
        <w:rPr>
          <w:rFonts w:ascii="Times New Roman" w:eastAsia="Aptos" w:hAnsi="Times New Roman"/>
          <w:kern w:val="2"/>
          <w:sz w:val="24"/>
          <w:szCs w:val="24"/>
          <w:lang w:eastAsia="en-US"/>
          <w14:ligatures w14:val="standardContextual"/>
        </w:rPr>
      </w:pPr>
    </w:p>
    <w:p w14:paraId="6C952835" w14:textId="0E92B88A" w:rsidR="00606C71" w:rsidRPr="007C5A6E" w:rsidRDefault="00606C71" w:rsidP="001A7FE8">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 xml:space="preserve">En parallèle, la Loi sur la Décentralisation, adoptée dans les années 1990, a renforcé le rôle des collectivités locales dans la gestion de l'urbanisation. Les municipalités jouent désormais un rôle clé dans la planification urbaine, l'attribution des parcelles et la gestion des services publics locaux. Ces réglementations sont également essentielles pour encadrer l’expansion urbaine. Par exemple, sur le plan foncier, une mauvaise gestion des terres urbaines peut entraîner des conflits, des occupations illégales et des bidonvilles. </w:t>
      </w:r>
    </w:p>
    <w:p w14:paraId="152401E8" w14:textId="77777777" w:rsidR="001A7FE8" w:rsidRPr="007C5A6E" w:rsidRDefault="001A7FE8" w:rsidP="001A7FE8">
      <w:pPr>
        <w:spacing w:after="0" w:line="240" w:lineRule="auto"/>
        <w:jc w:val="both"/>
        <w:rPr>
          <w:rFonts w:ascii="Times New Roman" w:eastAsia="Aptos" w:hAnsi="Times New Roman"/>
          <w:kern w:val="2"/>
          <w:sz w:val="24"/>
          <w:szCs w:val="24"/>
          <w:lang w:eastAsia="en-US"/>
          <w14:ligatures w14:val="standardContextual"/>
        </w:rPr>
      </w:pPr>
    </w:p>
    <w:p w14:paraId="3134757C" w14:textId="594708A8" w:rsidR="00606C71" w:rsidRPr="007C5A6E" w:rsidRDefault="00606C71" w:rsidP="001A7FE8">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 xml:space="preserve">Les politiques spécifiques de logement jouent également un rôle crucial dans la réponse aux besoins croissants des populations urbaines. Face à une demande accrue de logements décents, il est essentiel que le gouvernement promeuve des programmes de logement social, offre des incitations fiscales aux promoteurs immobiliers, et mette en place des mécanismes de financement accessibles pour les ménages à faibles revenus. L'absence de politiques de logement cohérentes a souvent conduit à la prolifération de quartiers informels et de logements précaires. </w:t>
      </w:r>
    </w:p>
    <w:p w14:paraId="4FCFF754" w14:textId="77777777" w:rsidR="001A7FE8" w:rsidRPr="007C5A6E" w:rsidRDefault="001A7FE8" w:rsidP="001A7FE8">
      <w:pPr>
        <w:spacing w:after="0" w:line="240" w:lineRule="auto"/>
        <w:jc w:val="both"/>
        <w:rPr>
          <w:rFonts w:ascii="Times New Roman" w:eastAsia="Aptos" w:hAnsi="Times New Roman"/>
          <w:kern w:val="2"/>
          <w:sz w:val="24"/>
          <w:szCs w:val="24"/>
          <w:lang w:eastAsia="en-US"/>
          <w14:ligatures w14:val="standardContextual"/>
        </w:rPr>
      </w:pPr>
    </w:p>
    <w:p w14:paraId="448BF62E" w14:textId="7A5CA918" w:rsidR="00606C71" w:rsidRPr="007C5A6E" w:rsidRDefault="00606C71" w:rsidP="001A7FE8">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Pour atténuer ces problèmes, le gouvernement burkinabè a mis notamment en place le Programme national de construction de logements sociaux. Ce programme, conçu pour répondre à la crise du logement urbain, a pour objectif la construction de milliers de logements sociaux destinés aux ménages à faibles revenus. Il vise à réguler la demande croissante en logements et à réduire la prolifération des habitats précaires. La Stratégie nationale de logement social et économique (SNLS), adoptée en 2016, contribue également à cet effort. Elle facilite l'accès au logement pour les populations à faibles revenus en promouvant des logements sociaux abordables, en encadrant les coûts de construction et de vente de logements, et en facilitant l'accès au crédit immobilier pour les ménages à faibles revenus.</w:t>
      </w:r>
    </w:p>
    <w:p w14:paraId="38921028" w14:textId="77777777" w:rsidR="001A7FE8" w:rsidRPr="007C5A6E" w:rsidRDefault="001A7FE8" w:rsidP="00540B43">
      <w:pPr>
        <w:spacing w:after="0" w:line="240" w:lineRule="auto"/>
        <w:jc w:val="both"/>
        <w:rPr>
          <w:rFonts w:ascii="Times New Roman" w:eastAsia="Aptos" w:hAnsi="Times New Roman"/>
          <w:kern w:val="2"/>
          <w:sz w:val="24"/>
          <w:szCs w:val="24"/>
          <w:lang w:eastAsia="en-US"/>
          <w14:ligatures w14:val="standardContextual"/>
        </w:rPr>
      </w:pPr>
    </w:p>
    <w:p w14:paraId="48701E46" w14:textId="45A07AC1" w:rsidR="00606C71" w:rsidRPr="007C5A6E" w:rsidRDefault="00606C71" w:rsidP="00540B43">
      <w:pPr>
        <w:spacing w:after="0" w:line="240" w:lineRule="auto"/>
        <w:jc w:val="both"/>
        <w:rPr>
          <w:rFonts w:ascii="Times New Roman" w:eastAsia="Aptos" w:hAnsi="Times New Roman"/>
          <w:b/>
          <w:bCs/>
          <w:color w:val="002060"/>
          <w:sz w:val="24"/>
          <w:szCs w:val="24"/>
        </w:rPr>
      </w:pPr>
      <w:r w:rsidRPr="007C5A6E">
        <w:rPr>
          <w:rFonts w:ascii="Times New Roman" w:eastAsia="Aptos" w:hAnsi="Times New Roman"/>
          <w:kern w:val="2"/>
          <w:sz w:val="24"/>
          <w:szCs w:val="24"/>
          <w:lang w:eastAsia="en-US"/>
          <w14:ligatures w14:val="standardContextual"/>
        </w:rPr>
        <w:t>Le Burkina entretient également des relations de coopération avec des partenaires bilatéraux et multilatéraux (Allemagne, Suisse, Canada, Pays-Bas, République de Chine, Danemark, Autriche, etc.) en vue d’améliorer les conditions de vie des populations urbaines. Notons aussi l’existence de partenariat avec les institutions et agences de développement comme la Banque mondiale qui soutient plusieurs programmes dont le Programme d’amélioration des conditions de vie urbaine, la Banque africaine de développement avec le Programme de réduction de la pauvreté dans les communes, le système des Nations unies et l’Union européenne.</w:t>
      </w:r>
      <w:r w:rsidRPr="007C5A6E">
        <w:rPr>
          <w:rFonts w:ascii="Times New Roman" w:eastAsia="Aptos" w:hAnsi="Times New Roman"/>
          <w:b/>
          <w:bCs/>
          <w:color w:val="002060"/>
          <w:sz w:val="24"/>
          <w:szCs w:val="24"/>
        </w:rPr>
        <w:t xml:space="preserve"> </w:t>
      </w:r>
    </w:p>
    <w:p w14:paraId="10463BEC" w14:textId="77777777" w:rsidR="00606C71" w:rsidRPr="007C5A6E" w:rsidRDefault="00606C71" w:rsidP="00540B43">
      <w:pPr>
        <w:spacing w:after="0" w:line="240" w:lineRule="auto"/>
        <w:jc w:val="both"/>
        <w:rPr>
          <w:rFonts w:ascii="Times New Roman" w:eastAsia="Aptos" w:hAnsi="Times New Roman"/>
          <w:kern w:val="2"/>
          <w:sz w:val="24"/>
          <w:szCs w:val="24"/>
          <w:lang w:eastAsia="en-US"/>
          <w14:ligatures w14:val="standardContextual"/>
        </w:rPr>
      </w:pPr>
    </w:p>
    <w:p w14:paraId="71759410" w14:textId="77777777" w:rsidR="00606C71" w:rsidRPr="007C5A6E" w:rsidRDefault="00606C71" w:rsidP="00540B43">
      <w:pPr>
        <w:pStyle w:val="Titre4"/>
      </w:pPr>
      <w:bookmarkStart w:id="1538" w:name="_Toc176973809"/>
      <w:bookmarkStart w:id="1539" w:name="_Toc177649433"/>
      <w:bookmarkStart w:id="1540" w:name="_Toc179043997"/>
      <w:bookmarkStart w:id="1541" w:name="_Toc183340323"/>
      <w:r w:rsidRPr="007C5A6E">
        <w:t>Politiques environnementales en milieu urbain</w:t>
      </w:r>
      <w:bookmarkEnd w:id="1538"/>
      <w:bookmarkEnd w:id="1539"/>
      <w:bookmarkEnd w:id="1540"/>
      <w:bookmarkEnd w:id="1541"/>
    </w:p>
    <w:p w14:paraId="46BE2705"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p>
    <w:p w14:paraId="07EBB260" w14:textId="77777777" w:rsidR="00606C71" w:rsidRPr="007C5A6E" w:rsidRDefault="00606C71" w:rsidP="009D1E01">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 xml:space="preserve">L'expansion des villes exerce une pression importante sur les ressources naturelles, notamment en ce qui concerne l'accès à l'eau, la gestion des déchets et l'approvisionnement en énergie. Les politiques de développement durable doivent être intégrées dans les plans urbains pour réduire l’empreinte écologique des villes, favoriser l’utilisation d’énergies renouvelables et assurer une gestion adéquate des espaces verts. </w:t>
      </w:r>
    </w:p>
    <w:p w14:paraId="7826D241" w14:textId="77777777" w:rsidR="00606C71" w:rsidRPr="007C5A6E" w:rsidRDefault="00606C71" w:rsidP="009D1E01">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 xml:space="preserve">Le contexte politique du secteur environnemental en milieu urbain est marqué par l'existence de documents de politiques pertinents dont les principaux sont : </w:t>
      </w:r>
    </w:p>
    <w:p w14:paraId="045D0F76" w14:textId="77777777" w:rsidR="00606C71" w:rsidRPr="007C5A6E" w:rsidRDefault="00606C71" w:rsidP="001A7FE8">
      <w:pPr>
        <w:numPr>
          <w:ilvl w:val="0"/>
          <w:numId w:val="51"/>
        </w:numPr>
        <w:spacing w:after="0" w:line="240" w:lineRule="auto"/>
        <w:ind w:left="357" w:hanging="357"/>
        <w:jc w:val="both"/>
        <w:rPr>
          <w:rFonts w:ascii="Times New Roman" w:eastAsia="Aptos" w:hAnsi="Times New Roman"/>
          <w:kern w:val="2"/>
          <w:sz w:val="24"/>
          <w:szCs w:val="24"/>
          <w:lang w:eastAsia="en-US"/>
          <w14:ligatures w14:val="standardContextual"/>
        </w:rPr>
      </w:pPr>
      <w:proofErr w:type="gramStart"/>
      <w:r w:rsidRPr="007C5A6E">
        <w:rPr>
          <w:rFonts w:ascii="Times New Roman" w:eastAsia="Aptos" w:hAnsi="Times New Roman"/>
          <w:kern w:val="2"/>
          <w:sz w:val="24"/>
          <w:szCs w:val="24"/>
          <w:lang w:eastAsia="en-US"/>
          <w14:ligatures w14:val="standardContextual"/>
        </w:rPr>
        <w:t>le</w:t>
      </w:r>
      <w:proofErr w:type="gramEnd"/>
      <w:r w:rsidRPr="007C5A6E">
        <w:rPr>
          <w:rFonts w:ascii="Times New Roman" w:eastAsia="Aptos" w:hAnsi="Times New Roman"/>
          <w:kern w:val="2"/>
          <w:sz w:val="24"/>
          <w:szCs w:val="24"/>
          <w:lang w:eastAsia="en-US"/>
          <w14:ligatures w14:val="standardContextual"/>
        </w:rPr>
        <w:t xml:space="preserve"> Plan National de Développement Économique et Social II (2021-2025) au niveau de l’objectif stratégique 4.5 « inverser la tendance de la dégradation de l’environnement et des ressources naturelles pour favoriser la résilience climatique et la réduction des émissions de gaz à effet de serre » ; </w:t>
      </w:r>
    </w:p>
    <w:p w14:paraId="0126E17C" w14:textId="77777777" w:rsidR="00606C71" w:rsidRPr="007C5A6E" w:rsidRDefault="00606C71" w:rsidP="001A7FE8">
      <w:pPr>
        <w:numPr>
          <w:ilvl w:val="0"/>
          <w:numId w:val="51"/>
        </w:numPr>
        <w:spacing w:after="0" w:line="240" w:lineRule="auto"/>
        <w:ind w:left="357" w:hanging="357"/>
        <w:jc w:val="both"/>
        <w:rPr>
          <w:rFonts w:ascii="Times New Roman" w:eastAsia="Aptos" w:hAnsi="Times New Roman"/>
          <w:kern w:val="2"/>
          <w:sz w:val="24"/>
          <w:szCs w:val="24"/>
          <w:lang w:eastAsia="en-US"/>
          <w14:ligatures w14:val="standardContextual"/>
        </w:rPr>
      </w:pPr>
      <w:proofErr w:type="gramStart"/>
      <w:r w:rsidRPr="007C5A6E">
        <w:rPr>
          <w:rFonts w:ascii="Times New Roman" w:eastAsia="Aptos" w:hAnsi="Times New Roman"/>
          <w:kern w:val="2"/>
          <w:sz w:val="24"/>
          <w:szCs w:val="24"/>
          <w:lang w:eastAsia="en-US"/>
          <w14:ligatures w14:val="standardContextual"/>
        </w:rPr>
        <w:t>la</w:t>
      </w:r>
      <w:proofErr w:type="gramEnd"/>
      <w:r w:rsidRPr="007C5A6E">
        <w:rPr>
          <w:rFonts w:ascii="Times New Roman" w:eastAsia="Aptos" w:hAnsi="Times New Roman"/>
          <w:kern w:val="2"/>
          <w:sz w:val="24"/>
          <w:szCs w:val="24"/>
          <w:lang w:eastAsia="en-US"/>
          <w14:ligatures w14:val="standardContextual"/>
        </w:rPr>
        <w:t xml:space="preserve"> Politique Nationale de Développement Durable (PNDD) adoptée par le Gouvernement en octobre 2013 pour l’horizon 2050, énonce les principes de la prévention et de protection de l’environnement ; </w:t>
      </w:r>
    </w:p>
    <w:p w14:paraId="4BA50DB0" w14:textId="77777777" w:rsidR="00606C71" w:rsidRPr="007C5A6E" w:rsidRDefault="00606C71" w:rsidP="001A7FE8">
      <w:pPr>
        <w:numPr>
          <w:ilvl w:val="0"/>
          <w:numId w:val="51"/>
        </w:numPr>
        <w:spacing w:after="0" w:line="240" w:lineRule="auto"/>
        <w:ind w:left="357" w:hanging="357"/>
        <w:jc w:val="both"/>
        <w:rPr>
          <w:rFonts w:ascii="Times New Roman" w:eastAsia="Aptos" w:hAnsi="Times New Roman"/>
          <w:kern w:val="2"/>
          <w:sz w:val="24"/>
          <w:szCs w:val="24"/>
          <w:lang w:eastAsia="en-US"/>
          <w14:ligatures w14:val="standardContextual"/>
        </w:rPr>
      </w:pPr>
      <w:proofErr w:type="gramStart"/>
      <w:r w:rsidRPr="007C5A6E">
        <w:rPr>
          <w:rFonts w:ascii="Times New Roman" w:eastAsia="Aptos" w:hAnsi="Times New Roman"/>
          <w:kern w:val="2"/>
          <w:sz w:val="24"/>
          <w:szCs w:val="24"/>
          <w:lang w:eastAsia="en-US"/>
          <w14:ligatures w14:val="standardContextual"/>
        </w:rPr>
        <w:t>la</w:t>
      </w:r>
      <w:proofErr w:type="gramEnd"/>
      <w:r w:rsidRPr="007C5A6E">
        <w:rPr>
          <w:rFonts w:ascii="Times New Roman" w:eastAsia="Aptos" w:hAnsi="Times New Roman"/>
          <w:kern w:val="2"/>
          <w:sz w:val="24"/>
          <w:szCs w:val="24"/>
          <w:lang w:eastAsia="en-US"/>
          <w14:ligatures w14:val="standardContextual"/>
        </w:rPr>
        <w:t xml:space="preserve"> Stratégie Nationale en matière d’Environnement (SNE) 2019-2023 au niveau de l’objectif stratégique.1.2 : promouvoir un environnement sain pour l’amélioration de la qualité du cadre de vie des populations définit les actions à mettre en œuvre en vue de réduire les pollutions et nuisances et, de renforcer la prévention des risques technologiques et environnementaux. Parmi ces actions, on note : le renforcement des contrôles environnementaux, l’optimisation de la gestion des déchets solides, la mitigation des risques environnementaux et</w:t>
      </w:r>
      <w:proofErr w:type="gramStart"/>
      <w:r w:rsidRPr="007C5A6E">
        <w:rPr>
          <w:rFonts w:ascii="Times New Roman" w:eastAsia="Aptos" w:hAnsi="Times New Roman"/>
          <w:kern w:val="2"/>
          <w:sz w:val="24"/>
          <w:szCs w:val="24"/>
          <w:lang w:eastAsia="en-US"/>
          <w14:ligatures w14:val="standardContextual"/>
        </w:rPr>
        <w:t> ;le</w:t>
      </w:r>
      <w:proofErr w:type="gramEnd"/>
      <w:r w:rsidRPr="007C5A6E">
        <w:rPr>
          <w:rFonts w:ascii="Times New Roman" w:eastAsia="Aptos" w:hAnsi="Times New Roman"/>
          <w:kern w:val="2"/>
          <w:sz w:val="24"/>
          <w:szCs w:val="24"/>
          <w:lang w:eastAsia="en-US"/>
          <w14:ligatures w14:val="standardContextual"/>
        </w:rPr>
        <w:t xml:space="preserve"> Plan National d’Adaptation aux Changements Climatiques (PNA), adopté par décret N° 2015-1189/PRESTRANS/PM/MERH/MEF du 22, JO N° 53 du 31 décembre 2015, exige la prise en compte des changements climatiques dans tout projet de développement. </w:t>
      </w:r>
    </w:p>
    <w:p w14:paraId="160B0942" w14:textId="77777777" w:rsidR="00606C71" w:rsidRPr="007C5A6E" w:rsidRDefault="00606C71" w:rsidP="00540B43">
      <w:pPr>
        <w:spacing w:after="0" w:line="240" w:lineRule="auto"/>
        <w:jc w:val="both"/>
        <w:rPr>
          <w:rFonts w:ascii="Times New Roman" w:eastAsia="Aptos" w:hAnsi="Times New Roman"/>
          <w:kern w:val="2"/>
          <w:sz w:val="24"/>
          <w:szCs w:val="24"/>
          <w:lang w:eastAsia="en-US"/>
          <w14:ligatures w14:val="standardContextual"/>
        </w:rPr>
      </w:pPr>
    </w:p>
    <w:p w14:paraId="406EF2A2" w14:textId="77777777" w:rsidR="00606C71" w:rsidRPr="007C5A6E" w:rsidRDefault="00606C71" w:rsidP="001A7FE8">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En complément, le Plan National de gestion des déchets solides (PNGDS) vise à améliorer la gestion des déchets dans les zones urbaines, tandis que la Stratégie nationale de gestion intégrée des ressources en eau (SNGIRE) se concentre sur la gestion durable des ressources en eau. La gestion des pestes et des déchets dangereux (y compris les déchets biomédicaux (DBM) en milieu urbain est régie par l’Étude Nationale Prospective Burkina 2025.</w:t>
      </w:r>
    </w:p>
    <w:p w14:paraId="482E57D5" w14:textId="77777777" w:rsidR="001A7FE8" w:rsidRPr="007C5A6E" w:rsidRDefault="001A7FE8" w:rsidP="001A7FE8">
      <w:pPr>
        <w:spacing w:after="0" w:line="240" w:lineRule="auto"/>
        <w:jc w:val="both"/>
        <w:rPr>
          <w:rFonts w:ascii="Times New Roman" w:eastAsia="Aptos" w:hAnsi="Times New Roman"/>
          <w:kern w:val="2"/>
          <w:sz w:val="24"/>
          <w:szCs w:val="24"/>
          <w:lang w:eastAsia="en-US"/>
          <w14:ligatures w14:val="standardContextual"/>
        </w:rPr>
      </w:pPr>
    </w:p>
    <w:p w14:paraId="7B5EF987" w14:textId="25ABBAEA" w:rsidR="00606C71" w:rsidRPr="007C5A6E" w:rsidRDefault="00606C71" w:rsidP="001A7FE8">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Ces politiques, stratégies et plans ont permis de mettre en place un cadre législatif et réglementaire qui régit la gestion environnementale et la gestion des déchets dangereux au Burkina Faso.</w:t>
      </w:r>
    </w:p>
    <w:p w14:paraId="0597B798" w14:textId="77777777" w:rsidR="00606C71" w:rsidRPr="007C5A6E" w:rsidRDefault="00606C71" w:rsidP="001A7FE8">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 xml:space="preserve">Au plan législatif, il a été promulgué dans la Constitution du Burkina Faso du 2 juin 1991 et la Loi N°006-2013/AN du 2 avril 2013 portant Code de l’environnement au Burkina Faso qui définit les principes généraux de la protection de l’environnement au Burkina, la Loi N°003-2011/AN du 5 avril 2011 portant Code forestier au Burkina Faso, la Loi portant Code de santé publique au Burkina Faso, la Loi portant Code de l’hygiène publique au Burkina Faso, la Loi n° 025-2018/AN du 31 mai 2018 portant Code pénal et le Code de l’urbanisme et de l’aménagement du territoire, adopté en 2003, régule la planification urbaine et la gestion des zones sensibles, veillant à une utilisation durable des espaces urbains et périurbains. </w:t>
      </w:r>
    </w:p>
    <w:p w14:paraId="286AE5F6" w14:textId="2A78477E" w:rsidR="00606C71" w:rsidRPr="007C5A6E" w:rsidRDefault="00606C71" w:rsidP="001A7FE8">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Enfin, la Loi sur la protection et la mise en valeur des espaces verts, adoptée en 2006, établit des normes pour la création et la conservation des espaces verts urbains. Ces mesures sont conçues pour équilibrer la croissance urbaine avec la préservation de l’environnement.</w:t>
      </w:r>
    </w:p>
    <w:p w14:paraId="022ED789" w14:textId="77777777" w:rsidR="001A7FE8" w:rsidRPr="007C5A6E" w:rsidRDefault="001A7FE8" w:rsidP="001A7FE8">
      <w:pPr>
        <w:spacing w:after="0" w:line="240" w:lineRule="auto"/>
        <w:jc w:val="both"/>
        <w:rPr>
          <w:rFonts w:ascii="Times New Roman" w:eastAsia="Aptos" w:hAnsi="Times New Roman"/>
          <w:kern w:val="2"/>
          <w:sz w:val="24"/>
          <w:szCs w:val="24"/>
          <w:lang w:eastAsia="en-US"/>
          <w14:ligatures w14:val="standardContextual"/>
        </w:rPr>
      </w:pPr>
    </w:p>
    <w:p w14:paraId="2804DA7F" w14:textId="0CE32C80" w:rsidR="00606C71" w:rsidRPr="007C5A6E" w:rsidRDefault="00606C71" w:rsidP="001A7FE8">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Au plan réglementaire, on note le Décret N° 2015-1187/PRES-TRANS/PM/MERH/MATD/MME/MS/MARHASA/MICA/MHU/MIDT du 22 octobre 2015 portant conditions et procédures de réalisation et de validation de l’évaluation environnementale stratégique, de l’étude et de la notice d’impact environnemental et social.</w:t>
      </w:r>
    </w:p>
    <w:p w14:paraId="522971CA" w14:textId="77777777" w:rsidR="001A7FE8" w:rsidRPr="007C5A6E" w:rsidRDefault="001A7FE8" w:rsidP="001A7FE8">
      <w:pPr>
        <w:spacing w:after="0" w:line="240" w:lineRule="auto"/>
        <w:jc w:val="both"/>
        <w:rPr>
          <w:rFonts w:ascii="Times New Roman" w:eastAsia="Aptos" w:hAnsi="Times New Roman"/>
          <w:kern w:val="2"/>
          <w:sz w:val="24"/>
          <w:szCs w:val="24"/>
          <w:lang w:eastAsia="en-US"/>
          <w14:ligatures w14:val="standardContextual"/>
        </w:rPr>
      </w:pPr>
    </w:p>
    <w:p w14:paraId="5D3F0297" w14:textId="18A02147" w:rsidR="00606C71" w:rsidRPr="007C5A6E" w:rsidRDefault="00606C71" w:rsidP="001A7FE8">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 xml:space="preserve">Par ailleurs, le Burkina Faso a signé et ratifié plusieurs instruments juridiques internationaux relatifs à la gestion de l’environnement, aux produits chimiques et à la gestion des déchets biomédicaux parmi lesquels on peut citer : </w:t>
      </w:r>
    </w:p>
    <w:p w14:paraId="55534D7F" w14:textId="77777777" w:rsidR="00606C71" w:rsidRPr="007C5A6E" w:rsidRDefault="00606C71" w:rsidP="001A7FE8">
      <w:pPr>
        <w:numPr>
          <w:ilvl w:val="0"/>
          <w:numId w:val="51"/>
        </w:numPr>
        <w:spacing w:after="0" w:line="240" w:lineRule="auto"/>
        <w:ind w:left="360"/>
        <w:jc w:val="both"/>
        <w:rPr>
          <w:rFonts w:ascii="Times New Roman" w:eastAsia="Aptos" w:hAnsi="Times New Roman"/>
          <w:kern w:val="2"/>
          <w:sz w:val="24"/>
          <w:szCs w:val="24"/>
          <w14:ligatures w14:val="standardContextual"/>
        </w:rPr>
      </w:pPr>
      <w:proofErr w:type="gramStart"/>
      <w:r w:rsidRPr="007C5A6E">
        <w:rPr>
          <w:rFonts w:ascii="Times New Roman" w:eastAsia="Aptos" w:hAnsi="Times New Roman"/>
          <w:kern w:val="2"/>
          <w:sz w:val="24"/>
          <w:szCs w:val="24"/>
          <w:lang w:eastAsia="en-US"/>
          <w14:ligatures w14:val="standardContextual"/>
        </w:rPr>
        <w:t>la</w:t>
      </w:r>
      <w:proofErr w:type="gramEnd"/>
      <w:r w:rsidRPr="007C5A6E">
        <w:rPr>
          <w:rFonts w:ascii="Times New Roman" w:eastAsia="Aptos" w:hAnsi="Times New Roman"/>
          <w:kern w:val="2"/>
          <w:sz w:val="24"/>
          <w:szCs w:val="24"/>
          <w:lang w:eastAsia="en-US"/>
          <w14:ligatures w14:val="standardContextual"/>
        </w:rPr>
        <w:t xml:space="preserve"> Convention des Nations Unies sur la diversité biologique </w:t>
      </w:r>
      <w:r w:rsidRPr="007C5A6E">
        <w:rPr>
          <w:rFonts w:ascii="Times New Roman" w:eastAsia="Aptos" w:hAnsi="Times New Roman"/>
          <w:kern w:val="2"/>
          <w:sz w:val="24"/>
          <w:szCs w:val="24"/>
          <w:lang w:eastAsia="zh-CN"/>
          <w14:ligatures w14:val="standardContextual"/>
        </w:rPr>
        <w:t>ratifiée par Décret 93-292 RU du 20 septembre 1993</w:t>
      </w:r>
      <w:r w:rsidRPr="007C5A6E">
        <w:rPr>
          <w:rFonts w:ascii="Times New Roman" w:eastAsia="Aptos" w:hAnsi="Times New Roman"/>
          <w:kern w:val="2"/>
          <w:sz w:val="24"/>
          <w:szCs w:val="24"/>
          <w:lang w:eastAsia="en-US"/>
          <w14:ligatures w14:val="standardContextual"/>
        </w:rPr>
        <w:t xml:space="preserve"> </w:t>
      </w:r>
    </w:p>
    <w:p w14:paraId="77D0D787" w14:textId="77777777" w:rsidR="00606C71" w:rsidRPr="007C5A6E" w:rsidRDefault="00606C71" w:rsidP="001A7FE8">
      <w:pPr>
        <w:numPr>
          <w:ilvl w:val="0"/>
          <w:numId w:val="51"/>
        </w:numPr>
        <w:spacing w:after="0" w:line="240" w:lineRule="auto"/>
        <w:ind w:left="360"/>
        <w:jc w:val="both"/>
        <w:rPr>
          <w:rFonts w:ascii="Times New Roman" w:eastAsia="Aptos" w:hAnsi="Times New Roman"/>
          <w:kern w:val="2"/>
          <w:sz w:val="24"/>
          <w:szCs w:val="24"/>
          <w14:ligatures w14:val="standardContextual"/>
        </w:rPr>
      </w:pPr>
      <w:proofErr w:type="gramStart"/>
      <w:r w:rsidRPr="007C5A6E">
        <w:rPr>
          <w:rFonts w:ascii="Times New Roman" w:eastAsia="Aptos" w:hAnsi="Times New Roman"/>
          <w:kern w:val="2"/>
          <w:sz w:val="24"/>
          <w:szCs w:val="24"/>
          <w:lang w:eastAsia="en-US"/>
          <w14:ligatures w14:val="standardContextual"/>
        </w:rPr>
        <w:t>la</w:t>
      </w:r>
      <w:proofErr w:type="gramEnd"/>
      <w:r w:rsidRPr="007C5A6E">
        <w:rPr>
          <w:rFonts w:ascii="Times New Roman" w:eastAsia="Aptos" w:hAnsi="Times New Roman"/>
          <w:kern w:val="2"/>
          <w:sz w:val="24"/>
          <w:szCs w:val="24"/>
          <w:lang w:eastAsia="en-US"/>
          <w14:ligatures w14:val="standardContextual"/>
        </w:rPr>
        <w:t xml:space="preserve"> Convention-cadre des Nations Unies sur les Changements Climatiques </w:t>
      </w:r>
      <w:r w:rsidRPr="007C5A6E">
        <w:rPr>
          <w:rFonts w:ascii="Times New Roman" w:eastAsia="Aptos" w:hAnsi="Times New Roman"/>
          <w:kern w:val="2"/>
          <w:sz w:val="24"/>
          <w:szCs w:val="24"/>
          <w:lang w:eastAsia="zh-CN"/>
          <w14:ligatures w14:val="standardContextual"/>
        </w:rPr>
        <w:t xml:space="preserve">ratifiée par Décret 93-287 RU du 20 septembre 1993 </w:t>
      </w:r>
      <w:r w:rsidRPr="007C5A6E">
        <w:rPr>
          <w:rFonts w:ascii="Times New Roman" w:eastAsia="SimSun" w:hAnsi="Times New Roman"/>
          <w:color w:val="000000"/>
          <w:sz w:val="24"/>
          <w:szCs w:val="24"/>
          <w:lang w:eastAsia="zh-CN" w:bidi="ar"/>
          <w14:ligatures w14:val="standardContextual"/>
        </w:rPr>
        <w:t>ratifiée par Décret 98-424 du 5 octobre 1998 </w:t>
      </w:r>
      <w:r w:rsidRPr="007C5A6E">
        <w:rPr>
          <w:rFonts w:ascii="Times New Roman" w:eastAsia="Aptos" w:hAnsi="Times New Roman"/>
          <w:kern w:val="2"/>
          <w:sz w:val="24"/>
          <w:szCs w:val="24"/>
          <w:lang w:eastAsia="en-US"/>
          <w14:ligatures w14:val="standardContextual"/>
        </w:rPr>
        <w:t>;</w:t>
      </w:r>
    </w:p>
    <w:p w14:paraId="21E94071" w14:textId="77777777" w:rsidR="00606C71" w:rsidRPr="007C5A6E" w:rsidRDefault="00606C71" w:rsidP="001A7FE8">
      <w:pPr>
        <w:numPr>
          <w:ilvl w:val="0"/>
          <w:numId w:val="51"/>
        </w:numPr>
        <w:spacing w:after="0" w:line="240" w:lineRule="auto"/>
        <w:ind w:left="360"/>
        <w:jc w:val="both"/>
        <w:rPr>
          <w:rFonts w:ascii="Times New Roman" w:eastAsia="Aptos" w:hAnsi="Times New Roman"/>
          <w:kern w:val="2"/>
          <w:sz w:val="24"/>
          <w:szCs w:val="24"/>
          <w14:ligatures w14:val="standardContextual"/>
        </w:rPr>
      </w:pPr>
      <w:proofErr w:type="gramStart"/>
      <w:r w:rsidRPr="007C5A6E">
        <w:rPr>
          <w:rFonts w:ascii="Times New Roman" w:eastAsia="Aptos" w:hAnsi="Times New Roman"/>
          <w:kern w:val="2"/>
          <w:sz w:val="24"/>
          <w:szCs w:val="24"/>
          <w:lang w:eastAsia="en-US"/>
          <w14:ligatures w14:val="standardContextual"/>
        </w:rPr>
        <w:t>la</w:t>
      </w:r>
      <w:proofErr w:type="gramEnd"/>
      <w:r w:rsidRPr="007C5A6E">
        <w:rPr>
          <w:rFonts w:ascii="Times New Roman" w:eastAsia="Aptos" w:hAnsi="Times New Roman"/>
          <w:kern w:val="2"/>
          <w:sz w:val="24"/>
          <w:szCs w:val="24"/>
          <w:lang w:eastAsia="en-US"/>
          <w14:ligatures w14:val="standardContextual"/>
        </w:rPr>
        <w:t xml:space="preserve"> Convention de Bâle sur le contrôle des mouvements transfrontaliers de déchets dangereux et de leur élimination </w:t>
      </w:r>
      <w:r w:rsidRPr="007C5A6E">
        <w:rPr>
          <w:rFonts w:ascii="Times New Roman" w:eastAsia="Aptos" w:hAnsi="Times New Roman"/>
          <w:kern w:val="2"/>
          <w:sz w:val="24"/>
          <w:szCs w:val="24"/>
          <w:lang w:eastAsia="zh-CN"/>
          <w14:ligatures w14:val="standardContextual"/>
        </w:rPr>
        <w:t>ratifiée par Décret 98-424 du 5 octobre 1998 </w:t>
      </w:r>
      <w:r w:rsidRPr="007C5A6E">
        <w:rPr>
          <w:rFonts w:ascii="Times New Roman" w:eastAsia="Aptos" w:hAnsi="Times New Roman"/>
          <w:kern w:val="2"/>
          <w:sz w:val="24"/>
          <w:szCs w:val="24"/>
          <w:lang w:eastAsia="en-US"/>
          <w14:ligatures w14:val="standardContextual"/>
        </w:rPr>
        <w:t xml:space="preserve">; </w:t>
      </w:r>
    </w:p>
    <w:p w14:paraId="0C5A0632" w14:textId="77777777" w:rsidR="00606C71" w:rsidRPr="007C5A6E" w:rsidRDefault="00606C71" w:rsidP="001A7FE8">
      <w:pPr>
        <w:numPr>
          <w:ilvl w:val="0"/>
          <w:numId w:val="51"/>
        </w:numPr>
        <w:spacing w:after="0" w:line="240" w:lineRule="auto"/>
        <w:ind w:left="360"/>
        <w:jc w:val="both"/>
        <w:rPr>
          <w:rFonts w:ascii="Times New Roman" w:eastAsia="Aptos" w:hAnsi="Times New Roman"/>
          <w:kern w:val="2"/>
          <w:sz w:val="24"/>
          <w:szCs w:val="24"/>
          <w14:ligatures w14:val="standardContextual"/>
        </w:rPr>
      </w:pPr>
      <w:proofErr w:type="gramStart"/>
      <w:r w:rsidRPr="007C5A6E">
        <w:rPr>
          <w:rFonts w:ascii="Times New Roman" w:eastAsia="Aptos" w:hAnsi="Times New Roman"/>
          <w:kern w:val="2"/>
          <w:sz w:val="24"/>
          <w:szCs w:val="24"/>
          <w:lang w:eastAsia="en-US"/>
          <w14:ligatures w14:val="standardContextual"/>
        </w:rPr>
        <w:t>la</w:t>
      </w:r>
      <w:proofErr w:type="gramEnd"/>
      <w:r w:rsidRPr="007C5A6E">
        <w:rPr>
          <w:rFonts w:ascii="Times New Roman" w:eastAsia="Aptos" w:hAnsi="Times New Roman"/>
          <w:kern w:val="2"/>
          <w:sz w:val="24"/>
          <w:szCs w:val="24"/>
          <w:lang w:eastAsia="en-US"/>
          <w14:ligatures w14:val="standardContextual"/>
        </w:rPr>
        <w:t xml:space="preserve"> Convention de Bamako sur l'interdiction d'importer en Afrique des déchets dangereux et sur le contrôle des mouvements transfrontaliers et la gestion des déchets dangereux produits en Afrique, adoptée le 30 janvier 1991 à Bamako et ;</w:t>
      </w:r>
    </w:p>
    <w:p w14:paraId="74AC6927" w14:textId="77777777" w:rsidR="00606C71" w:rsidRPr="007C5A6E" w:rsidRDefault="00606C71" w:rsidP="001A7FE8">
      <w:pPr>
        <w:numPr>
          <w:ilvl w:val="0"/>
          <w:numId w:val="51"/>
        </w:numPr>
        <w:spacing w:after="0" w:line="240" w:lineRule="auto"/>
        <w:ind w:left="360"/>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 xml:space="preserve"> </w:t>
      </w:r>
      <w:proofErr w:type="gramStart"/>
      <w:r w:rsidRPr="007C5A6E">
        <w:rPr>
          <w:rFonts w:ascii="Times New Roman" w:eastAsia="Aptos" w:hAnsi="Times New Roman"/>
          <w:kern w:val="2"/>
          <w:sz w:val="24"/>
          <w:szCs w:val="24"/>
          <w:lang w:eastAsia="en-US"/>
          <w14:ligatures w14:val="standardContextual"/>
        </w:rPr>
        <w:t>la</w:t>
      </w:r>
      <w:proofErr w:type="gramEnd"/>
      <w:r w:rsidRPr="007C5A6E">
        <w:rPr>
          <w:rFonts w:ascii="Times New Roman" w:eastAsia="Aptos" w:hAnsi="Times New Roman"/>
          <w:kern w:val="2"/>
          <w:sz w:val="24"/>
          <w:szCs w:val="24"/>
          <w:lang w:eastAsia="en-US"/>
          <w14:ligatures w14:val="standardContextual"/>
        </w:rPr>
        <w:t xml:space="preserve"> Convention internationale sur la protection des végétaux, approuvée par la</w:t>
      </w:r>
    </w:p>
    <w:p w14:paraId="154AF7D4" w14:textId="77777777" w:rsidR="00606C71" w:rsidRPr="007C5A6E" w:rsidRDefault="00606C71" w:rsidP="001A7FE8">
      <w:pPr>
        <w:numPr>
          <w:ilvl w:val="0"/>
          <w:numId w:val="51"/>
        </w:numPr>
        <w:spacing w:after="0" w:line="240" w:lineRule="auto"/>
        <w:ind w:left="360"/>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lang w:eastAsia="en-US"/>
          <w14:ligatures w14:val="standardContextual"/>
        </w:rPr>
        <w:t>Conférence de la FAO (sixième session) le 6 décembre 1951, par la Résolution No.85/51.</w:t>
      </w:r>
    </w:p>
    <w:p w14:paraId="781240D3" w14:textId="77777777" w:rsidR="00606C71" w:rsidRPr="007C5A6E" w:rsidRDefault="00606C71" w:rsidP="001A7FE8">
      <w:pPr>
        <w:spacing w:after="0" w:line="240" w:lineRule="auto"/>
        <w:jc w:val="both"/>
        <w:rPr>
          <w:rFonts w:ascii="Arial Narrow" w:eastAsia="Aptos" w:hAnsi="Arial Narrow"/>
          <w:kern w:val="2"/>
          <w:sz w:val="24"/>
          <w:szCs w:val="24"/>
          <w:lang w:eastAsia="en-US"/>
          <w14:ligatures w14:val="standardContextual"/>
        </w:rPr>
      </w:pPr>
    </w:p>
    <w:p w14:paraId="6F4DE36C" w14:textId="77777777" w:rsidR="00606C71" w:rsidRPr="007C5A6E" w:rsidRDefault="00606C71" w:rsidP="00540B43">
      <w:pPr>
        <w:pStyle w:val="Titre4"/>
      </w:pPr>
      <w:bookmarkStart w:id="1542" w:name="_Toc177649434"/>
      <w:bookmarkStart w:id="1543" w:name="_Toc176444014"/>
      <w:bookmarkStart w:id="1544" w:name="_Toc179043998"/>
      <w:bookmarkStart w:id="1545" w:name="_Toc183340324"/>
      <w:bookmarkStart w:id="1546" w:name="_Toc176973810"/>
      <w:r w:rsidRPr="007C5A6E">
        <w:t>Politique de réduction de la pauvreté en milieu urbain</w:t>
      </w:r>
      <w:bookmarkEnd w:id="1542"/>
      <w:bookmarkEnd w:id="1543"/>
      <w:bookmarkEnd w:id="1544"/>
      <w:bookmarkEnd w:id="1545"/>
      <w:r w:rsidRPr="007C5A6E">
        <w:t xml:space="preserve"> </w:t>
      </w:r>
      <w:bookmarkEnd w:id="1546"/>
    </w:p>
    <w:p w14:paraId="1A1AA158"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p>
    <w:p w14:paraId="0AAC713B" w14:textId="77777777" w:rsidR="00606C71" w:rsidRPr="007C5A6E" w:rsidRDefault="00606C71" w:rsidP="009D1E01">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Au plan national, quatre grandes périodes ont été marquées par les politiques de la réduction de la pauvreté au Burkina Faso :</w:t>
      </w:r>
    </w:p>
    <w:p w14:paraId="1480AA1F" w14:textId="77777777" w:rsidR="00606C71" w:rsidRPr="007C5A6E" w:rsidRDefault="00606C71" w:rsidP="001A7FE8">
      <w:pPr>
        <w:numPr>
          <w:ilvl w:val="0"/>
          <w:numId w:val="53"/>
        </w:numPr>
        <w:spacing w:after="0" w:line="240" w:lineRule="auto"/>
        <w:ind w:left="357" w:hanging="357"/>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 xml:space="preserve">Au cours des années 1990 à 1999, il eut les plans quinquennaux de développement ; l’adoption de la politique d’ajustement structurel, d’autres initiatives, etc. Il avait été préconisé de réaliser des études pour éradiquer la pauvreté par les politiques appropriées. </w:t>
      </w:r>
    </w:p>
    <w:p w14:paraId="270B17E4" w14:textId="77777777" w:rsidR="00606C71" w:rsidRPr="007C5A6E" w:rsidRDefault="00606C71" w:rsidP="001A7FE8">
      <w:pPr>
        <w:numPr>
          <w:ilvl w:val="0"/>
          <w:numId w:val="53"/>
        </w:numPr>
        <w:spacing w:after="0" w:line="240" w:lineRule="auto"/>
        <w:ind w:left="357" w:hanging="357"/>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 xml:space="preserve">La décennie 2000 à 2010, caractérisée par le renouveau de la planification. Le Cadre Stratégique de Lutte contre la Pauvreté (CSLP), élaboré, fut orienté vers l’équité et l’accès des pauvres aux services sociaux de base ; la promotion sociale et des opportunités d’emplois. </w:t>
      </w:r>
    </w:p>
    <w:p w14:paraId="6FA05B3E" w14:textId="77777777" w:rsidR="00606C71" w:rsidRPr="007C5A6E" w:rsidRDefault="00606C71" w:rsidP="001A7FE8">
      <w:pPr>
        <w:numPr>
          <w:ilvl w:val="0"/>
          <w:numId w:val="53"/>
        </w:numPr>
        <w:spacing w:after="0" w:line="240" w:lineRule="auto"/>
        <w:ind w:left="357" w:hanging="357"/>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La période 2011 à 2015 fut marquée par l’élaboration des stratégies de croissance (SCADD) visant l’accélération de la croissance et la promotion du développement durable.</w:t>
      </w:r>
    </w:p>
    <w:p w14:paraId="75D95C6C" w14:textId="77777777" w:rsidR="00606C71" w:rsidRPr="007C5A6E" w:rsidRDefault="00606C71" w:rsidP="009D1E01">
      <w:pPr>
        <w:numPr>
          <w:ilvl w:val="0"/>
          <w:numId w:val="53"/>
        </w:numPr>
        <w:spacing w:after="0" w:line="240" w:lineRule="auto"/>
        <w:ind w:left="357" w:hanging="357"/>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Enfin, la période 2016 à 2025 est marquée par la mise en œuvre du Plan de Développement Économique et Social (PNDES) puis du Plan d’Action pour la Stabilisation et le Développement (PASD) pour la période 2023 à 2025. Toutes ces politiques ont plus ou moins contribué à la réduction de la pauvreté et des inégalités comme nous le verrons dans les sections suivantes.</w:t>
      </w:r>
    </w:p>
    <w:p w14:paraId="2EBB81AA" w14:textId="77777777" w:rsidR="00606C71" w:rsidRPr="007C5A6E" w:rsidRDefault="00606C71" w:rsidP="00540B43">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Au plan sectoriel, on peut noter l’élaboration en 2008, de la stratégie nationale de lutte contre la pauvreté urbaine (SNLPU) : financée par le Programme des Nations Unies pour le Développement (PNUD) à travers ONU-Habitat, la SNLPU a pour objectif principal de créer les bases et les conditions favorables pour améliorer les conditions de vie des populations en milieu urbain et mettre en place un environnement favorable pour un développement économique durable et équilibré au niveau des villes.</w:t>
      </w:r>
    </w:p>
    <w:p w14:paraId="6A6A15EC" w14:textId="77777777" w:rsidR="00606C71" w:rsidRPr="007C5A6E" w:rsidRDefault="00606C71" w:rsidP="00540B43">
      <w:pPr>
        <w:spacing w:after="0" w:line="240" w:lineRule="auto"/>
        <w:jc w:val="both"/>
        <w:rPr>
          <w:rFonts w:ascii="Times New Roman" w:eastAsia="Aptos" w:hAnsi="Times New Roman"/>
          <w:kern w:val="2"/>
          <w:sz w:val="24"/>
          <w:szCs w:val="24"/>
          <w:lang w:eastAsia="en-US"/>
          <w14:ligatures w14:val="standardContextual"/>
        </w:rPr>
      </w:pPr>
    </w:p>
    <w:p w14:paraId="02D7DD4C" w14:textId="77777777" w:rsidR="00606C71" w:rsidRPr="007C5A6E" w:rsidRDefault="00606C71" w:rsidP="00540B43">
      <w:pPr>
        <w:pStyle w:val="Titre3"/>
      </w:pPr>
      <w:bookmarkStart w:id="1547" w:name="_Toc179043999"/>
      <w:bookmarkStart w:id="1548" w:name="_Toc183340325"/>
      <w:r w:rsidRPr="007C5A6E">
        <w:t>Initiatives et actions des partenaires au développement</w:t>
      </w:r>
      <w:bookmarkEnd w:id="1547"/>
      <w:bookmarkEnd w:id="1548"/>
      <w:r w:rsidRPr="007C5A6E">
        <w:t xml:space="preserve"> </w:t>
      </w:r>
    </w:p>
    <w:p w14:paraId="2E5168EE" w14:textId="77777777" w:rsidR="00606C71" w:rsidRPr="007C5A6E" w:rsidRDefault="00606C71" w:rsidP="00540B43">
      <w:pPr>
        <w:spacing w:after="0" w:line="240" w:lineRule="auto"/>
        <w:jc w:val="both"/>
        <w:rPr>
          <w:rFonts w:ascii="Times New Roman" w:eastAsia="Aptos" w:hAnsi="Times New Roman"/>
          <w:kern w:val="2"/>
          <w:sz w:val="24"/>
          <w:szCs w:val="24"/>
          <w14:ligatures w14:val="standardContextual"/>
        </w:rPr>
      </w:pPr>
    </w:p>
    <w:p w14:paraId="04332E69" w14:textId="77777777" w:rsidR="00606C71" w:rsidRPr="007C5A6E" w:rsidRDefault="00606C71" w:rsidP="00540B43">
      <w:pPr>
        <w:pStyle w:val="Titre4"/>
      </w:pPr>
      <w:bookmarkStart w:id="1549" w:name="_Toc179044000"/>
      <w:bookmarkStart w:id="1550" w:name="_Toc183340326"/>
      <w:r w:rsidRPr="007C5A6E">
        <w:t>Initiatives et actions des institutions/secteur privé</w:t>
      </w:r>
      <w:bookmarkEnd w:id="1549"/>
      <w:bookmarkEnd w:id="1550"/>
    </w:p>
    <w:p w14:paraId="3A882240"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p>
    <w:p w14:paraId="1396BC42" w14:textId="77777777" w:rsidR="00606C71" w:rsidRPr="007C5A6E" w:rsidRDefault="00606C71" w:rsidP="009D1E01">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 xml:space="preserve">Avec la croissance urbaine, le Burkina Faso à des défis croissants, notamment en milieu urbain comme discuté précédemment : éducation, santé, accès à l’eau potable et à l’assainissement, inégalités, logement, etc. Pour inverser les tendances, le gouvernement bénéficie de l’accompagnement de divers partenaires. </w:t>
      </w:r>
    </w:p>
    <w:p w14:paraId="18C0DCA3" w14:textId="77777777" w:rsidR="00606C71" w:rsidRPr="007C5A6E" w:rsidRDefault="00606C71" w:rsidP="009D1E01">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 xml:space="preserve">L’Agence Française de Développement (AFD) soutient financièrement l’aménagement de pôles urbains et d’un réseau de voies goudronnées pour contribuer à un développement urbain plus harmonieux. Le projet de développement durable de Ouagadougou (PDDO) vise à contribuer à ces objectifs. Avec un montant de 52,5 milliards de FCFA, la deuxième phase de ce projet (PDDO 2) débutée le 1er janvier 2017 pour une durée de 5 ans a été mise en œuvre par la ville de Ouagadougou. </w:t>
      </w:r>
    </w:p>
    <w:p w14:paraId="39DD1695" w14:textId="77777777" w:rsidR="00606C71" w:rsidRPr="007C5A6E" w:rsidRDefault="00606C71" w:rsidP="00540B43">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En fin de compte il a été entièrement rétrocédé sous la forme de subvention d’investissement à la municipalité de Ouagadougou en vue de l’amélioration des conditions de vie de la population. De façon spécifique, il s’agissait de :</w:t>
      </w:r>
    </w:p>
    <w:p w14:paraId="71B822E6" w14:textId="77777777" w:rsidR="00606C71" w:rsidRPr="007C5A6E" w:rsidRDefault="00606C71" w:rsidP="00540B43">
      <w:pPr>
        <w:numPr>
          <w:ilvl w:val="0"/>
          <w:numId w:val="55"/>
        </w:numPr>
        <w:tabs>
          <w:tab w:val="left" w:pos="420"/>
        </w:tabs>
        <w:spacing w:after="0" w:line="240" w:lineRule="auto"/>
        <w:rPr>
          <w:rFonts w:ascii="Times New Roman" w:eastAsia="Aptos" w:hAnsi="Times New Roman"/>
          <w:kern w:val="2"/>
          <w:sz w:val="24"/>
          <w:szCs w:val="24"/>
          <w:lang w:eastAsia="en-US"/>
          <w14:ligatures w14:val="standardContextual"/>
        </w:rPr>
      </w:pPr>
      <w:proofErr w:type="gramStart"/>
      <w:r w:rsidRPr="007C5A6E">
        <w:rPr>
          <w:rFonts w:ascii="Times New Roman" w:eastAsia="Aptos" w:hAnsi="Times New Roman"/>
          <w:kern w:val="2"/>
          <w:sz w:val="24"/>
          <w:szCs w:val="24"/>
          <w:lang w:eastAsia="en-US"/>
          <w14:ligatures w14:val="standardContextual"/>
        </w:rPr>
        <w:t>construire</w:t>
      </w:r>
      <w:proofErr w:type="gramEnd"/>
      <w:r w:rsidRPr="007C5A6E">
        <w:rPr>
          <w:rFonts w:ascii="Times New Roman" w:eastAsia="Aptos" w:hAnsi="Times New Roman"/>
          <w:kern w:val="2"/>
          <w:sz w:val="24"/>
          <w:szCs w:val="24"/>
          <w:lang w:eastAsia="en-US"/>
          <w14:ligatures w14:val="standardContextual"/>
        </w:rPr>
        <w:t xml:space="preserve"> et réhabiliter 13 kilomètres de routes pour mieux relier les quartiers entre eux et au centre-ville</w:t>
      </w:r>
    </w:p>
    <w:p w14:paraId="401FCA6A" w14:textId="77777777" w:rsidR="00606C71" w:rsidRPr="007C5A6E" w:rsidRDefault="00606C71" w:rsidP="00540B43">
      <w:pPr>
        <w:numPr>
          <w:ilvl w:val="0"/>
          <w:numId w:val="55"/>
        </w:numPr>
        <w:tabs>
          <w:tab w:val="left" w:pos="420"/>
        </w:tabs>
        <w:spacing w:after="0" w:line="240" w:lineRule="auto"/>
        <w:rPr>
          <w:rFonts w:ascii="Times New Roman" w:eastAsia="Aptos" w:hAnsi="Times New Roman"/>
          <w:kern w:val="2"/>
          <w:sz w:val="24"/>
          <w:szCs w:val="24"/>
          <w:lang w:eastAsia="en-US"/>
          <w14:ligatures w14:val="standardContextual"/>
        </w:rPr>
      </w:pPr>
      <w:proofErr w:type="gramStart"/>
      <w:r w:rsidRPr="007C5A6E">
        <w:rPr>
          <w:rFonts w:ascii="Times New Roman" w:eastAsia="Aptos" w:hAnsi="Times New Roman"/>
          <w:kern w:val="2"/>
          <w:sz w:val="24"/>
          <w:szCs w:val="24"/>
          <w:lang w:eastAsia="en-US"/>
          <w14:ligatures w14:val="standardContextual"/>
        </w:rPr>
        <w:t>aménager</w:t>
      </w:r>
      <w:proofErr w:type="gramEnd"/>
      <w:r w:rsidRPr="007C5A6E">
        <w:rPr>
          <w:rFonts w:ascii="Times New Roman" w:eastAsia="Aptos" w:hAnsi="Times New Roman"/>
          <w:kern w:val="2"/>
          <w:sz w:val="24"/>
          <w:szCs w:val="24"/>
          <w:lang w:eastAsia="en-US"/>
          <w14:ligatures w14:val="standardContextual"/>
        </w:rPr>
        <w:t xml:space="preserve"> trois centralités secondaires pour éviter les déplacements vers le centre-ville : il s’agissait d’aménager l’espace public (12 km de voirie, éclairage, drainage, plantation d’arbres) et de créer ou de renforcer des marchés, des gares routières, des jardins publics et des équipements scolaires, sanitaires, culturels et sportifs</w:t>
      </w:r>
    </w:p>
    <w:p w14:paraId="1EA51DE6" w14:textId="77777777" w:rsidR="00606C71" w:rsidRPr="007C5A6E" w:rsidRDefault="00606C71" w:rsidP="00540B43">
      <w:pPr>
        <w:numPr>
          <w:ilvl w:val="0"/>
          <w:numId w:val="55"/>
        </w:numPr>
        <w:tabs>
          <w:tab w:val="left" w:pos="420"/>
        </w:tabs>
        <w:spacing w:after="0" w:line="240" w:lineRule="auto"/>
        <w:rPr>
          <w:rFonts w:ascii="Times New Roman" w:eastAsia="Aptos" w:hAnsi="Times New Roman"/>
          <w:kern w:val="2"/>
          <w:sz w:val="24"/>
          <w:szCs w:val="24"/>
          <w:lang w:eastAsia="en-US"/>
          <w14:ligatures w14:val="standardContextual"/>
        </w:rPr>
      </w:pPr>
      <w:proofErr w:type="gramStart"/>
      <w:r w:rsidRPr="007C5A6E">
        <w:rPr>
          <w:rFonts w:ascii="Times New Roman" w:eastAsia="Aptos" w:hAnsi="Times New Roman"/>
          <w:kern w:val="2"/>
          <w:sz w:val="24"/>
          <w:szCs w:val="24"/>
          <w:lang w:eastAsia="en-US"/>
          <w14:ligatures w14:val="standardContextual"/>
        </w:rPr>
        <w:t>renforcer</w:t>
      </w:r>
      <w:proofErr w:type="gramEnd"/>
      <w:r w:rsidRPr="007C5A6E">
        <w:rPr>
          <w:rFonts w:ascii="Times New Roman" w:eastAsia="Aptos" w:hAnsi="Times New Roman"/>
          <w:kern w:val="2"/>
          <w:sz w:val="24"/>
          <w:szCs w:val="24"/>
          <w:lang w:eastAsia="en-US"/>
          <w14:ligatures w14:val="standardContextual"/>
        </w:rPr>
        <w:t xml:space="preserve"> les capacités de la ville en matière de gestion de projets et de mobilité.</w:t>
      </w:r>
    </w:p>
    <w:p w14:paraId="3F78CEC8" w14:textId="77777777" w:rsidR="00606C71" w:rsidRPr="007C5A6E" w:rsidRDefault="00606C71" w:rsidP="00540B43">
      <w:pPr>
        <w:spacing w:after="0" w:line="240" w:lineRule="auto"/>
        <w:jc w:val="both"/>
        <w:rPr>
          <w:rFonts w:ascii="Times New Roman" w:eastAsia="Aptos" w:hAnsi="Times New Roman"/>
          <w:kern w:val="2"/>
          <w:sz w:val="24"/>
          <w:szCs w:val="24"/>
          <w:lang w:eastAsia="en-US"/>
          <w14:ligatures w14:val="standardContextual"/>
        </w:rPr>
      </w:pPr>
    </w:p>
    <w:p w14:paraId="18A19A69" w14:textId="77777777" w:rsidR="00606C71" w:rsidRPr="007C5A6E" w:rsidRDefault="00606C71" w:rsidP="009D1E01">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 xml:space="preserve">Le pays a bénéficié également de la mise en œuvre du </w:t>
      </w:r>
      <w:hyperlink r:id="rId249" w:history="1">
        <w:r w:rsidRPr="007C5A6E">
          <w:rPr>
            <w:rFonts w:ascii="Times New Roman" w:eastAsia="Aptos" w:hAnsi="Times New Roman"/>
            <w:kern w:val="2"/>
            <w:sz w:val="24"/>
            <w:szCs w:val="24"/>
            <w:lang w:eastAsia="en-US"/>
            <w14:ligatures w14:val="standardContextual"/>
          </w:rPr>
          <w:t xml:space="preserve">Projet d’électrification des zones périurbaines </w:t>
        </w:r>
      </w:hyperlink>
      <w:r w:rsidRPr="007C5A6E">
        <w:rPr>
          <w:rFonts w:ascii="Times New Roman" w:eastAsia="Aptos" w:hAnsi="Times New Roman"/>
          <w:kern w:val="2"/>
          <w:sz w:val="24"/>
          <w:szCs w:val="24"/>
          <w:lang w:eastAsia="en-US"/>
          <w14:ligatures w14:val="standardContextual"/>
        </w:rPr>
        <w:t xml:space="preserve">(PEPU) de septembre 2017 à juin 2022 avec l’appui financier de la Banque africaine de développement (BAD). Ce projet vise à accroître le taux d’accès à l’électricité au Burkina, plus spécifiquement à Ouagadougou et à Bobo Dioulasso à travers le renforcement des réseaux électriques de distribution au profit de 17 500 ménages et avec un coût global de 31,42 milliards de francs CFA. </w:t>
      </w:r>
    </w:p>
    <w:p w14:paraId="0AAD7A20" w14:textId="77777777" w:rsidR="00606C71" w:rsidRPr="007C5A6E" w:rsidRDefault="00606C71" w:rsidP="009D1E01">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 xml:space="preserve">Le Burkina Faso est dans une dynamique d’urbanisation accélérée et les villes secondaires sont des sources de résilience. C’est dans ce sens que le pays mettra en œuvre le Projet de mobilité et de développement urbain des villes secondaires (PMDUVS) lancé officiellement le samedi 17 février 2024. Financé par la Banque mondiale, ce projet vise à améliorer la mobilité urbaine, l’accès aux services de base et aux opportunités économiques tout en renforçant les capacités institutionnelles pour la gestion urbaine dans des villes secondaires sélectionnées au Burkina Faso que sont Bobo Dioulasso, Kaya et Ouahigouya. </w:t>
      </w:r>
    </w:p>
    <w:p w14:paraId="3C32D825" w14:textId="77777777" w:rsidR="00606C71" w:rsidRPr="007C5A6E" w:rsidRDefault="00606C71" w:rsidP="00540B43">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La mise en œuvre de ce projet vise à impacter plusieurs secteurs, dont ceux des transports, des infrastructures, de l’environnement et de l’éducation. D’un coût global de 124 milliards de FCFA, le PMDUVS est financé en grande partie par la Banque mondiale 95% et 5% pour l’État burkinabè.</w:t>
      </w:r>
    </w:p>
    <w:p w14:paraId="059AD7F7" w14:textId="77777777" w:rsidR="00606C71" w:rsidRPr="007C5A6E" w:rsidRDefault="00606C71" w:rsidP="00540B43">
      <w:pPr>
        <w:spacing w:after="0" w:line="240" w:lineRule="auto"/>
        <w:jc w:val="both"/>
        <w:rPr>
          <w:rFonts w:ascii="Times New Roman" w:eastAsia="Aptos" w:hAnsi="Times New Roman"/>
          <w:kern w:val="2"/>
          <w:sz w:val="24"/>
          <w:szCs w:val="24"/>
          <w:lang w:eastAsia="en-US"/>
          <w14:ligatures w14:val="standardContextual"/>
        </w:rPr>
      </w:pPr>
    </w:p>
    <w:p w14:paraId="205BCE03" w14:textId="77777777" w:rsidR="00606C71" w:rsidRPr="007C5A6E" w:rsidRDefault="00606C71" w:rsidP="00540B43">
      <w:pPr>
        <w:pStyle w:val="Titre4"/>
      </w:pPr>
      <w:bookmarkStart w:id="1551" w:name="_Toc179044001"/>
      <w:bookmarkStart w:id="1552" w:name="_Toc183340327"/>
      <w:r w:rsidRPr="007C5A6E">
        <w:t>Initiatives et actions des organisations de la société civile</w:t>
      </w:r>
      <w:bookmarkEnd w:id="1551"/>
      <w:bookmarkEnd w:id="1552"/>
      <w:r w:rsidRPr="007C5A6E">
        <w:t xml:space="preserve"> </w:t>
      </w:r>
    </w:p>
    <w:p w14:paraId="7CFB142A" w14:textId="77777777" w:rsidR="00606C71" w:rsidRPr="007C5A6E" w:rsidRDefault="00606C71" w:rsidP="00540B43">
      <w:pPr>
        <w:spacing w:after="0" w:line="240" w:lineRule="auto"/>
        <w:rPr>
          <w:rFonts w:asciiTheme="minorHAnsi" w:eastAsiaTheme="minorHAnsi" w:hAnsiTheme="minorHAnsi" w:cstheme="minorBidi"/>
          <w:kern w:val="2"/>
          <w:lang w:eastAsia="en-US"/>
          <w14:ligatures w14:val="standardContextual"/>
        </w:rPr>
      </w:pPr>
    </w:p>
    <w:p w14:paraId="47418F9C" w14:textId="77777777" w:rsidR="00606C71" w:rsidRPr="007C5A6E" w:rsidRDefault="00606C71" w:rsidP="00540B43">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Le Burkina Faso bénéficie d’une forte présence des organisations de la société civile locales, nationales ou internationales. Dans le contexte actuel, l’implication, la pertinence et la qualité des interventions de la société civile (les associations, les ONG et les organisations à base communautaires) sont d’une importance capitale dans le processus d’amélioration des conditions de vie des populations. Ces ONG et ces associations disposent de multiples potentialités :</w:t>
      </w:r>
    </w:p>
    <w:p w14:paraId="392F335B" w14:textId="77777777" w:rsidR="00606C71" w:rsidRPr="007C5A6E" w:rsidRDefault="00606C71" w:rsidP="001A7FE8">
      <w:pPr>
        <w:numPr>
          <w:ilvl w:val="0"/>
          <w:numId w:val="54"/>
        </w:numPr>
        <w:spacing w:after="0" w:line="240" w:lineRule="auto"/>
        <w:ind w:left="360"/>
        <w:jc w:val="both"/>
        <w:rPr>
          <w:rFonts w:ascii="Times New Roman" w:eastAsia="Aptos" w:hAnsi="Times New Roman"/>
          <w:kern w:val="2"/>
          <w:sz w:val="24"/>
          <w:szCs w:val="24"/>
          <w:lang w:eastAsia="en-US"/>
          <w14:ligatures w14:val="standardContextual"/>
        </w:rPr>
      </w:pPr>
      <w:proofErr w:type="gramStart"/>
      <w:r w:rsidRPr="007C5A6E">
        <w:rPr>
          <w:rFonts w:ascii="Times New Roman" w:eastAsia="Aptos" w:hAnsi="Times New Roman"/>
          <w:kern w:val="2"/>
          <w:sz w:val="24"/>
          <w:szCs w:val="24"/>
          <w:lang w:eastAsia="en-US"/>
          <w14:ligatures w14:val="standardContextual"/>
        </w:rPr>
        <w:t>fortes</w:t>
      </w:r>
      <w:proofErr w:type="gramEnd"/>
      <w:r w:rsidRPr="007C5A6E">
        <w:rPr>
          <w:rFonts w:ascii="Times New Roman" w:eastAsia="Aptos" w:hAnsi="Times New Roman"/>
          <w:kern w:val="2"/>
          <w:sz w:val="24"/>
          <w:szCs w:val="24"/>
          <w:lang w:eastAsia="en-US"/>
          <w14:ligatures w14:val="standardContextual"/>
        </w:rPr>
        <w:t xml:space="preserve"> capacités de mobilisation des populations ;</w:t>
      </w:r>
    </w:p>
    <w:p w14:paraId="62D2022C" w14:textId="77777777" w:rsidR="00606C71" w:rsidRPr="007C5A6E" w:rsidRDefault="00606C71" w:rsidP="001A7FE8">
      <w:pPr>
        <w:numPr>
          <w:ilvl w:val="0"/>
          <w:numId w:val="54"/>
        </w:numPr>
        <w:spacing w:after="0" w:line="240" w:lineRule="auto"/>
        <w:ind w:left="360"/>
        <w:jc w:val="both"/>
        <w:rPr>
          <w:rFonts w:ascii="Times New Roman" w:eastAsia="Aptos" w:hAnsi="Times New Roman"/>
          <w:kern w:val="2"/>
          <w:sz w:val="24"/>
          <w:szCs w:val="24"/>
          <w:lang w:eastAsia="en-US"/>
          <w14:ligatures w14:val="standardContextual"/>
        </w:rPr>
      </w:pPr>
      <w:proofErr w:type="gramStart"/>
      <w:r w:rsidRPr="007C5A6E">
        <w:rPr>
          <w:rFonts w:ascii="Times New Roman" w:eastAsia="Aptos" w:hAnsi="Times New Roman"/>
          <w:kern w:val="2"/>
          <w:sz w:val="24"/>
          <w:szCs w:val="24"/>
          <w:lang w:eastAsia="en-US"/>
          <w14:ligatures w14:val="standardContextual"/>
        </w:rPr>
        <w:t>engagement</w:t>
      </w:r>
      <w:proofErr w:type="gramEnd"/>
      <w:r w:rsidRPr="007C5A6E">
        <w:rPr>
          <w:rFonts w:ascii="Times New Roman" w:eastAsia="Aptos" w:hAnsi="Times New Roman"/>
          <w:kern w:val="2"/>
          <w:sz w:val="24"/>
          <w:szCs w:val="24"/>
          <w:lang w:eastAsia="en-US"/>
          <w14:ligatures w14:val="standardContextual"/>
        </w:rPr>
        <w:t xml:space="preserve"> individuel et collectif ;</w:t>
      </w:r>
    </w:p>
    <w:p w14:paraId="2DAA4334" w14:textId="77777777" w:rsidR="00606C71" w:rsidRPr="007C5A6E" w:rsidRDefault="00606C71" w:rsidP="001A7FE8">
      <w:pPr>
        <w:numPr>
          <w:ilvl w:val="0"/>
          <w:numId w:val="54"/>
        </w:numPr>
        <w:spacing w:after="0" w:line="240" w:lineRule="auto"/>
        <w:ind w:left="360"/>
        <w:jc w:val="both"/>
        <w:rPr>
          <w:rFonts w:ascii="Times New Roman" w:eastAsia="Aptos" w:hAnsi="Times New Roman"/>
          <w:kern w:val="2"/>
          <w:sz w:val="24"/>
          <w:szCs w:val="24"/>
          <w:lang w:eastAsia="en-US"/>
          <w14:ligatures w14:val="standardContextual"/>
        </w:rPr>
      </w:pPr>
      <w:proofErr w:type="gramStart"/>
      <w:r w:rsidRPr="007C5A6E">
        <w:rPr>
          <w:rFonts w:ascii="Times New Roman" w:eastAsia="Aptos" w:hAnsi="Times New Roman"/>
          <w:kern w:val="2"/>
          <w:sz w:val="24"/>
          <w:szCs w:val="24"/>
          <w:lang w:eastAsia="en-US"/>
          <w14:ligatures w14:val="standardContextual"/>
        </w:rPr>
        <w:t>dynamisme</w:t>
      </w:r>
      <w:proofErr w:type="gramEnd"/>
      <w:r w:rsidRPr="007C5A6E">
        <w:rPr>
          <w:rFonts w:ascii="Times New Roman" w:eastAsia="Aptos" w:hAnsi="Times New Roman"/>
          <w:kern w:val="2"/>
          <w:sz w:val="24"/>
          <w:szCs w:val="24"/>
          <w:lang w:eastAsia="en-US"/>
          <w14:ligatures w14:val="standardContextual"/>
        </w:rPr>
        <w:t xml:space="preserve"> interne des communautés ;</w:t>
      </w:r>
    </w:p>
    <w:p w14:paraId="77E0E6F9" w14:textId="77777777" w:rsidR="00606C71" w:rsidRPr="007C5A6E" w:rsidRDefault="00606C71" w:rsidP="001A7FE8">
      <w:pPr>
        <w:numPr>
          <w:ilvl w:val="0"/>
          <w:numId w:val="54"/>
        </w:numPr>
        <w:spacing w:after="0" w:line="240" w:lineRule="auto"/>
        <w:ind w:left="360"/>
        <w:jc w:val="both"/>
        <w:rPr>
          <w:rFonts w:ascii="Times New Roman" w:eastAsia="Aptos" w:hAnsi="Times New Roman"/>
          <w:kern w:val="2"/>
          <w:sz w:val="24"/>
          <w:szCs w:val="24"/>
          <w:lang w:eastAsia="en-US"/>
          <w14:ligatures w14:val="standardContextual"/>
        </w:rPr>
      </w:pPr>
      <w:proofErr w:type="gramStart"/>
      <w:r w:rsidRPr="007C5A6E">
        <w:rPr>
          <w:rFonts w:ascii="Times New Roman" w:eastAsia="Aptos" w:hAnsi="Times New Roman"/>
          <w:kern w:val="2"/>
          <w:sz w:val="24"/>
          <w:szCs w:val="24"/>
          <w:lang w:eastAsia="en-US"/>
          <w14:ligatures w14:val="standardContextual"/>
        </w:rPr>
        <w:t>connaissance</w:t>
      </w:r>
      <w:proofErr w:type="gramEnd"/>
      <w:r w:rsidRPr="007C5A6E">
        <w:rPr>
          <w:rFonts w:ascii="Times New Roman" w:eastAsia="Aptos" w:hAnsi="Times New Roman"/>
          <w:kern w:val="2"/>
          <w:sz w:val="24"/>
          <w:szCs w:val="24"/>
          <w:lang w:eastAsia="en-US"/>
          <w14:ligatures w14:val="standardContextual"/>
        </w:rPr>
        <w:t xml:space="preserve"> des réalités du terrain.</w:t>
      </w:r>
    </w:p>
    <w:p w14:paraId="34A7AE0F" w14:textId="77777777" w:rsidR="00606C71" w:rsidRPr="007C5A6E" w:rsidRDefault="00606C71" w:rsidP="00540B43">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Selon le rapport sur la contribution des ONG, Associations de développement et Fondations du Burkina Faso publié en novembre 2022, le Burkina comptait 370 ONG/AD, dont 48 nationales. Soit 12,97% du total. Leur contribution financière totale, en 2021, est de 179,61 milliards de FCFA. Elle est supérieure à celle de l’année 2020 qui était de 161,65 milliards FCFA. Leurs investissements couvrent 12 secteurs de planification (éducation-formation, santé, production agro-</w:t>
      </w:r>
      <w:proofErr w:type="spellStart"/>
      <w:r w:rsidRPr="007C5A6E">
        <w:rPr>
          <w:rFonts w:ascii="Times New Roman" w:eastAsia="Aptos" w:hAnsi="Times New Roman"/>
          <w:kern w:val="2"/>
          <w:sz w:val="24"/>
          <w:szCs w:val="24"/>
          <w:lang w:eastAsia="en-US"/>
          <w14:ligatures w14:val="standardContextual"/>
        </w:rPr>
        <w:t>sylvo</w:t>
      </w:r>
      <w:proofErr w:type="spellEnd"/>
      <w:r w:rsidRPr="007C5A6E">
        <w:rPr>
          <w:rFonts w:ascii="Times New Roman" w:eastAsia="Aptos" w:hAnsi="Times New Roman"/>
          <w:kern w:val="2"/>
          <w:sz w:val="24"/>
          <w:szCs w:val="24"/>
          <w:lang w:eastAsia="en-US"/>
          <w14:ligatures w14:val="standardContextual"/>
        </w:rPr>
        <w:t>-pastorale, environnement-eau-assainissement, travail-emploi-protection sociale, commerce et service marchands, infrastructures, transport, communication-habitat, transformation industrielle et artisanale, gouvernance administrative et locale).</w:t>
      </w:r>
      <w:bookmarkEnd w:id="1525"/>
      <w:bookmarkEnd w:id="1526"/>
      <w:bookmarkEnd w:id="1527"/>
    </w:p>
    <w:p w14:paraId="1FCD55F6" w14:textId="77777777" w:rsidR="00606C71" w:rsidRPr="007C5A6E" w:rsidRDefault="00606C71" w:rsidP="00540B43">
      <w:pPr>
        <w:spacing w:after="0" w:line="240" w:lineRule="auto"/>
        <w:rPr>
          <w:rFonts w:ascii="Times New Roman" w:eastAsiaTheme="minorHAnsi" w:hAnsi="Times New Roman"/>
          <w:kern w:val="2"/>
          <w:sz w:val="24"/>
          <w:szCs w:val="24"/>
          <w:lang w:eastAsia="en-US"/>
          <w14:ligatures w14:val="standardContextual"/>
        </w:rPr>
      </w:pPr>
    </w:p>
    <w:p w14:paraId="2367700C" w14:textId="1D428C09" w:rsidR="00606C71" w:rsidRPr="007C5A6E" w:rsidRDefault="00606C71" w:rsidP="00712C43">
      <w:pPr>
        <w:pStyle w:val="Titre2"/>
      </w:pPr>
      <w:bookmarkStart w:id="1553" w:name="_Toc183340328"/>
      <w:r w:rsidRPr="007C5A6E">
        <w:t>Climat et dynamique d’urbanisation au Burkina Faso : défis actuels et futurs</w:t>
      </w:r>
      <w:bookmarkEnd w:id="1553"/>
    </w:p>
    <w:p w14:paraId="5242403E" w14:textId="77777777" w:rsidR="00606C71" w:rsidRPr="007C5A6E" w:rsidRDefault="00606C71" w:rsidP="00540B43">
      <w:pPr>
        <w:spacing w:after="0" w:line="240" w:lineRule="auto"/>
        <w:rPr>
          <w:rFonts w:asciiTheme="minorHAnsi" w:eastAsiaTheme="minorHAnsi" w:hAnsiTheme="minorHAnsi" w:cstheme="minorBidi"/>
          <w:kern w:val="2"/>
          <w:sz w:val="24"/>
          <w:szCs w:val="24"/>
          <w:lang w:eastAsia="en-US"/>
          <w14:ligatures w14:val="standardContextual"/>
        </w:rPr>
      </w:pPr>
    </w:p>
    <w:p w14:paraId="52A77A17" w14:textId="77777777" w:rsidR="00606C71" w:rsidRPr="007C5A6E" w:rsidRDefault="00606C71" w:rsidP="00540B43">
      <w:pPr>
        <w:pStyle w:val="Titre3"/>
      </w:pPr>
      <w:bookmarkStart w:id="1554" w:name="_Toc179043990"/>
      <w:bookmarkStart w:id="1555" w:name="_Toc183340329"/>
      <w:r w:rsidRPr="007C5A6E">
        <w:t>Projections climatiques à l’horizon 2100</w:t>
      </w:r>
      <w:bookmarkEnd w:id="1554"/>
      <w:bookmarkEnd w:id="1555"/>
    </w:p>
    <w:p w14:paraId="7E03AFF3" w14:textId="77777777" w:rsidR="00606C71" w:rsidRPr="007C5A6E" w:rsidRDefault="00606C71" w:rsidP="00540B43">
      <w:pPr>
        <w:spacing w:after="0" w:line="240" w:lineRule="auto"/>
        <w:jc w:val="both"/>
        <w:rPr>
          <w:rFonts w:ascii="Times New Roman" w:eastAsia="Aptos" w:hAnsi="Times New Roman"/>
          <w:kern w:val="2"/>
          <w:sz w:val="24"/>
          <w:szCs w:val="24"/>
          <w:lang w:eastAsia="en-US"/>
          <w14:ligatures w14:val="standardContextual"/>
        </w:rPr>
      </w:pPr>
    </w:p>
    <w:p w14:paraId="6E81F72F" w14:textId="7BE36853" w:rsidR="00606C71" w:rsidRPr="007C5A6E" w:rsidRDefault="00606C71" w:rsidP="00540B43">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 xml:space="preserve">Selon </w:t>
      </w:r>
      <w:r w:rsidR="001A7FE8" w:rsidRPr="007C5A6E">
        <w:rPr>
          <w:rFonts w:ascii="Times New Roman" w:eastAsia="Aptos" w:hAnsi="Times New Roman"/>
          <w:kern w:val="2"/>
          <w:sz w:val="24"/>
          <w:szCs w:val="24"/>
          <w:lang w:eastAsia="en-US"/>
          <w14:ligatures w14:val="standardContextual"/>
        </w:rPr>
        <w:t>les projections actuelles</w:t>
      </w:r>
      <w:r w:rsidRPr="007C5A6E">
        <w:rPr>
          <w:rFonts w:ascii="Times New Roman" w:eastAsia="Aptos" w:hAnsi="Times New Roman"/>
          <w:kern w:val="2"/>
          <w:sz w:val="24"/>
          <w:szCs w:val="24"/>
          <w:lang w:eastAsia="en-US"/>
          <w14:ligatures w14:val="standardContextual"/>
        </w:rPr>
        <w:t>, en zone sahélienne, tous les indices pluviométriques augmentent fortement en 2050 et 2100 par rapport aux valeurs de l’année 2000 et cela pour tous les scénarios. À long terme le risque de sécheresse devrait donc diminuer. Toutefois, le risque d’inondations semble augmenter. En zone soudano-sahélienne (station de Ouagadougou), le constat est le même que pour la zone sahélienne (station de Dori), sauf que le scénario extrême SSP585 augmente les indices moins que les 2 autres. En zone soudanienne (Bobo Dioulasso), il est remarquable qu’après une phase d’augmentation par rapport aux valeurs de l’année 2000, les valeurs restent stables à partir de 2020 pour les scénarios SSP245 et SSP370.</w:t>
      </w:r>
    </w:p>
    <w:p w14:paraId="3F220261" w14:textId="77777777" w:rsidR="00CF3A5D" w:rsidRPr="007C5A6E" w:rsidRDefault="00CF3A5D" w:rsidP="00540B43">
      <w:pPr>
        <w:spacing w:after="0" w:line="240" w:lineRule="auto"/>
        <w:jc w:val="both"/>
        <w:rPr>
          <w:rFonts w:ascii="Times New Roman" w:eastAsia="Aptos" w:hAnsi="Times New Roman"/>
          <w:kern w:val="2"/>
          <w:sz w:val="24"/>
          <w:szCs w:val="24"/>
          <w:lang w:eastAsia="en-US"/>
          <w14:ligatures w14:val="standardContextual"/>
        </w:rPr>
      </w:pPr>
    </w:p>
    <w:p w14:paraId="68B58293" w14:textId="4DC96862" w:rsidR="00606C71" w:rsidRPr="007C5A6E" w:rsidRDefault="00606C71" w:rsidP="00540B43">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 xml:space="preserve">En ce qui concerne les températures, pour toutes les zones climatiques, les températures maximales augmentent à partir des données historiques (tendances à la hausse) de la même manière pour les 3 scénarios jusqu’en 2060 ; puis les valeurs se mettent à croître de manière accélérée pour les scénarios SSP370 et SSP585. Quant au nombre de jours chauds (T&gt;40 °C), les projections ont le même comportement que les projections de températures maximales, sauf que les scénarios SSP370 et SSP585 se détachent plus nettement dès 2050. </w:t>
      </w:r>
    </w:p>
    <w:p w14:paraId="165F3FBC" w14:textId="77777777" w:rsidR="00606C71" w:rsidRPr="007C5A6E" w:rsidRDefault="00606C71" w:rsidP="00540B43">
      <w:pPr>
        <w:spacing w:after="0" w:line="240" w:lineRule="auto"/>
        <w:rPr>
          <w:rFonts w:asciiTheme="minorHAnsi" w:eastAsiaTheme="minorHAnsi" w:hAnsiTheme="minorHAnsi" w:cstheme="minorBidi"/>
          <w:kern w:val="2"/>
          <w:sz w:val="24"/>
          <w:szCs w:val="24"/>
          <w:lang w:eastAsia="en-US"/>
          <w14:ligatures w14:val="standardContextual"/>
        </w:rPr>
      </w:pPr>
    </w:p>
    <w:p w14:paraId="5F1CCC36" w14:textId="2BFF48AB" w:rsidR="00606C71" w:rsidRPr="007C5A6E" w:rsidRDefault="00606C71" w:rsidP="00540B43">
      <w:pPr>
        <w:pStyle w:val="Titre3"/>
      </w:pPr>
      <w:bookmarkStart w:id="1556" w:name="_Toc179043993"/>
      <w:bookmarkStart w:id="1557" w:name="_Toc183340330"/>
      <w:r w:rsidRPr="007C5A6E">
        <w:t xml:space="preserve">Implications </w:t>
      </w:r>
      <w:r w:rsidR="001A7FE8" w:rsidRPr="007C5A6E">
        <w:t xml:space="preserve">du changement </w:t>
      </w:r>
      <w:r w:rsidRPr="007C5A6E">
        <w:t>climatique</w:t>
      </w:r>
      <w:r w:rsidR="001A7FE8" w:rsidRPr="007C5A6E">
        <w:t xml:space="preserve"> pour </w:t>
      </w:r>
      <w:r w:rsidRPr="007C5A6E">
        <w:t>l’urbanisation</w:t>
      </w:r>
      <w:bookmarkEnd w:id="1556"/>
      <w:bookmarkEnd w:id="1557"/>
      <w:r w:rsidRPr="007C5A6E">
        <w:t xml:space="preserve"> </w:t>
      </w:r>
    </w:p>
    <w:p w14:paraId="6ED3274E" w14:textId="77777777" w:rsidR="00606C71" w:rsidRPr="007C5A6E" w:rsidRDefault="00606C71" w:rsidP="00540B43">
      <w:pPr>
        <w:spacing w:after="0" w:line="240" w:lineRule="auto"/>
        <w:jc w:val="both"/>
        <w:rPr>
          <w:rFonts w:ascii="Times New Roman" w:eastAsia="Aptos" w:hAnsi="Times New Roman"/>
          <w:b/>
          <w:bCs/>
          <w:color w:val="002060"/>
          <w:sz w:val="24"/>
          <w:szCs w:val="24"/>
        </w:rPr>
      </w:pPr>
    </w:p>
    <w:p w14:paraId="3597C68F" w14:textId="77777777" w:rsidR="00606C71" w:rsidRPr="007C5A6E" w:rsidRDefault="00606C71" w:rsidP="001A7FE8">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Les projections climatiques sur le Burkina Faso à l’horizon 2050 et 2100 ci-dessus présentées prévoient une augmentation de la pluviométrie. Dans la pratique, cette prévision indique un risque d’augmentation des inondations, aggravant les défis déjà imposés par l'urbanisation, notamment en termes d’infrastructures de drainage des eaux de pluies et de protection des personnes vivant dans des habitats précaires, notamment dans les zones périphériques et les zones non loties. Si ce risque est avéré, les impacts négatifs seront d’autant plus importants que la plupart des villes voient leurs capacités à absorber les eaux pluviales réduites du fait de la prolifération des sachets plastiques, de la déforestation et de la dégradation des terres en milieu urbain.</w:t>
      </w:r>
    </w:p>
    <w:p w14:paraId="1AA93318" w14:textId="77777777" w:rsidR="00606C71" w:rsidRPr="007C5A6E" w:rsidRDefault="00606C71" w:rsidP="001A7FE8">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 xml:space="preserve">De plus, l'augmentation du risque d'inondations pourrait contribuer à dégrader davantage les infrastructures de transport vétustes ou de faible qualité, rendant la mobilité encore plus difficile et accentuant les embouteillages qui sont déjà responsables d'une part importante des émissions. Par ailleurs, le manque ou la faible qualité des infrastructures de transport couplé au vieillissement du parc automobile contribue à une dépendance accrue aux moyens de transport individuels, amplifiant ainsi les émissions de gaz à effet de serre (GES). </w:t>
      </w:r>
    </w:p>
    <w:p w14:paraId="010624EA" w14:textId="77777777" w:rsidR="0093589E" w:rsidRPr="007C5A6E" w:rsidRDefault="0093589E" w:rsidP="001A7FE8">
      <w:pPr>
        <w:spacing w:after="0" w:line="240" w:lineRule="auto"/>
        <w:jc w:val="both"/>
        <w:rPr>
          <w:rFonts w:ascii="Times New Roman" w:eastAsia="Aptos" w:hAnsi="Times New Roman"/>
          <w:kern w:val="2"/>
          <w:sz w:val="24"/>
          <w:szCs w:val="24"/>
          <w14:ligatures w14:val="standardContextual"/>
        </w:rPr>
      </w:pPr>
    </w:p>
    <w:p w14:paraId="6819DCB5" w14:textId="1B21F6CF" w:rsidR="00606C71" w:rsidRPr="007C5A6E" w:rsidRDefault="00606C71" w:rsidP="001A7FE8">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La congestion des routes urbaines, accentuée par une planification urbaine insuffisante, aggrave ces émissions et entraîne une détérioration de la qualité de l'air, impactant la santé publique. Avec des températures en hausse, la consommation énergétique des véhicules augmentera également, aggravant la pollution atmosphérique et les émissions de GES. Selon les inventaires nationaux des GES, les transports sont responsables de 80% des émissions de CO</w:t>
      </w:r>
      <w:r w:rsidRPr="007C5A6E">
        <w:rPr>
          <w:rFonts w:ascii="Times New Roman" w:eastAsia="Aptos" w:hAnsi="Times New Roman"/>
          <w:kern w:val="2"/>
          <w:sz w:val="24"/>
          <w:szCs w:val="24"/>
          <w:vertAlign w:val="subscript"/>
          <w14:ligatures w14:val="standardContextual"/>
        </w:rPr>
        <w:t>2</w:t>
      </w:r>
      <w:r w:rsidRPr="007C5A6E">
        <w:rPr>
          <w:rFonts w:ascii="Times New Roman" w:eastAsia="Aptos" w:hAnsi="Times New Roman"/>
          <w:kern w:val="2"/>
          <w:sz w:val="24"/>
          <w:szCs w:val="24"/>
          <w14:ligatures w14:val="standardContextual"/>
        </w:rPr>
        <w:t xml:space="preserve"> (MEEA, 2023).</w:t>
      </w:r>
    </w:p>
    <w:p w14:paraId="43350669" w14:textId="77777777" w:rsidR="00606C71" w:rsidRPr="007C5A6E" w:rsidRDefault="00606C71" w:rsidP="001A7FE8">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La modification du régime des précipitations et l'intensification des épisodes d’inondation aggraveront l’état des infrastructures urbaines de drainage des eaux pluviales déjà précaires. Les eaux usées non traitées, souvent rejetées dans les rivières et autres plans d'eau, pourraient se répandre plus facilement en cas d'inondation, amplifiant la libération de gaz à effet de serre comme le dioxyde d'azote (N₂O), aggravant ainsi les impacts des changements climatiques à long terme en milieu urbain. En outre, cette situation détériorerait davantage la qualité de l'eau, tout en posant de graves risques pour la santé humaine et l'écosystème urbain. Les infrastructures de drainage, souvent inadéquates dans les zones urbaines précaires, seront débordées, exacerbant les risques d'épidémies et de pollution généralisée.</w:t>
      </w:r>
    </w:p>
    <w:p w14:paraId="5D9B921A" w14:textId="77777777" w:rsidR="0093589E" w:rsidRPr="007C5A6E" w:rsidRDefault="0093589E" w:rsidP="001A7FE8">
      <w:pPr>
        <w:spacing w:after="0" w:line="240" w:lineRule="auto"/>
        <w:jc w:val="both"/>
        <w:rPr>
          <w:rFonts w:ascii="Times New Roman" w:eastAsia="Aptos" w:hAnsi="Times New Roman"/>
          <w:kern w:val="2"/>
          <w:sz w:val="24"/>
          <w:szCs w:val="24"/>
          <w14:ligatures w14:val="standardContextual"/>
        </w:rPr>
      </w:pPr>
    </w:p>
    <w:p w14:paraId="6443D13E" w14:textId="00EB4AA7" w:rsidR="00606C71" w:rsidRPr="007C5A6E" w:rsidRDefault="00606C71" w:rsidP="001A7FE8">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Au regard des projections sur les températures, l'effet d'îlot de chaleur urbain (ICU), déjà marqué par l'extension non planifiée des zones bâties et la réduction des espaces verts, sera amplifié. Cette situation augmentera la demande en énergie pour la climatisation, particulièrement dans les ménages urbains, et accentuera la pression sur les réseaux électriques, majoritairement alimentés par des combustibles fossiles au Burkina Faso. Une consommation énergétique accrue entraînera une augmentation des émissions de CO₂, renforçant ainsi l'empreinte carbone des villes. Ce cercle vicieux, hausse des températures - consommation énergétique accrue - augmentation des émissions de GES – hausse des températures, constitue une dynamique dangereuse pour la durabilité des villes burkinabè.</w:t>
      </w:r>
    </w:p>
    <w:p w14:paraId="7489F203" w14:textId="77777777" w:rsidR="0093589E" w:rsidRPr="007C5A6E" w:rsidRDefault="0093589E" w:rsidP="001A7FE8">
      <w:pPr>
        <w:spacing w:after="0" w:line="240" w:lineRule="auto"/>
        <w:jc w:val="both"/>
        <w:rPr>
          <w:rFonts w:ascii="Times New Roman" w:eastAsia="Aptos" w:hAnsi="Times New Roman"/>
          <w:kern w:val="2"/>
          <w:sz w:val="24"/>
          <w:szCs w:val="24"/>
          <w14:ligatures w14:val="standardContextual"/>
        </w:rPr>
      </w:pPr>
    </w:p>
    <w:p w14:paraId="18BF3555" w14:textId="2E790A39" w:rsidR="00606C71" w:rsidRPr="007C5A6E" w:rsidRDefault="00606C71" w:rsidP="001A7FE8">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 xml:space="preserve">Une hausse des températures et un risque accru d'inondations exacerbent les défis liés à la mauvaise gestion des déchets solides et liquides dans les zones urbaines. L’augmentation des températures exacerbera les processus de décomposition des déchets organiques dans les décharges non contrôlées, augmentant la libération de méthane dans l’atmosphère (CH₄) l’atmosphère, un gaz à effet de serre qui a un potentiel de réchauffement climatique 25 fois supérieur à celui du CO₂. </w:t>
      </w:r>
    </w:p>
    <w:p w14:paraId="1DB11274" w14:textId="77777777" w:rsidR="0093589E" w:rsidRPr="007C5A6E" w:rsidRDefault="0093589E" w:rsidP="001A7FE8">
      <w:pPr>
        <w:spacing w:after="0" w:line="240" w:lineRule="auto"/>
        <w:jc w:val="both"/>
        <w:rPr>
          <w:rFonts w:ascii="Times New Roman" w:eastAsia="Aptos" w:hAnsi="Times New Roman"/>
          <w:kern w:val="2"/>
          <w:sz w:val="24"/>
          <w:szCs w:val="24"/>
          <w14:ligatures w14:val="standardContextual"/>
        </w:rPr>
      </w:pPr>
    </w:p>
    <w:p w14:paraId="7A6DB061" w14:textId="4F0F6C0D" w:rsidR="00606C71" w:rsidRPr="007C5A6E" w:rsidRDefault="00606C71" w:rsidP="001A7FE8">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 xml:space="preserve">Enfin, l’élevage en milieu urbain, bien que souvent négligé dans les discussions sur les émissions de GES, représente une autre source importante de méthane et de dioxyde d'azote dont l’importance est multipliée par l’humidité accrue par une pluviométrie accrue. La fermentation entérique des animaux et la gestion non adéquate des déjections animales contribuent à la pollution de l'air et des sols. À mesure que l'urbanisation avance et que les activités d'élevage se rapprochent des centres urbains, ces émissions risquent de croître, particulièrement dans les quartiers où les pratiques agricoles et pastorales coexistent avec l'habitat humain, notamment dans les quartiers périphériques et les zones non loties. </w:t>
      </w:r>
    </w:p>
    <w:p w14:paraId="7EF1A0BD" w14:textId="77777777" w:rsidR="0093589E" w:rsidRPr="007C5A6E" w:rsidRDefault="0093589E" w:rsidP="001A7FE8">
      <w:pPr>
        <w:spacing w:after="0" w:line="240" w:lineRule="auto"/>
        <w:jc w:val="both"/>
        <w:rPr>
          <w:rFonts w:ascii="Times New Roman" w:eastAsia="Aptos" w:hAnsi="Times New Roman"/>
          <w:kern w:val="2"/>
          <w:sz w:val="24"/>
          <w:szCs w:val="24"/>
          <w14:ligatures w14:val="standardContextual"/>
        </w:rPr>
      </w:pPr>
    </w:p>
    <w:p w14:paraId="5D146369" w14:textId="60EC72A8" w:rsidR="00606C71" w:rsidRPr="007C5A6E" w:rsidRDefault="00606C71" w:rsidP="001A7FE8">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En résumé, si des mesures idoines ne sont pas prises, l’urbanisation rapide au Burkina Faso risque</w:t>
      </w:r>
      <w:r w:rsidR="0093589E" w:rsidRPr="007C5A6E">
        <w:rPr>
          <w:rFonts w:ascii="Times New Roman" w:eastAsia="Aptos" w:hAnsi="Times New Roman"/>
          <w:kern w:val="2"/>
          <w:sz w:val="24"/>
          <w:szCs w:val="24"/>
          <w14:ligatures w14:val="standardContextual"/>
        </w:rPr>
        <w:t>, en retour,</w:t>
      </w:r>
      <w:r w:rsidRPr="007C5A6E">
        <w:rPr>
          <w:rFonts w:ascii="Times New Roman" w:eastAsia="Aptos" w:hAnsi="Times New Roman"/>
          <w:kern w:val="2"/>
          <w:sz w:val="24"/>
          <w:szCs w:val="24"/>
          <w14:ligatures w14:val="standardContextual"/>
        </w:rPr>
        <w:t xml:space="preserve"> de contribuer considérablement aux changements climatiques, notamment par la déforestation, l’augmentation des émissions liées aux transports, la mauvaise gestion des déchets, et l’amplification de l’effet d’îlot de chaleur urbain. Les implications pour le changement climatique sont donc multiples, tant en termes de contributions aux émissions de GES qu’en aggravation des impacts climatiques locaux, notamment les vagues de chaleur et les inondations urbaines.</w:t>
      </w:r>
    </w:p>
    <w:p w14:paraId="2D7E8757" w14:textId="77777777" w:rsidR="0093589E" w:rsidRPr="007C5A6E" w:rsidRDefault="0093589E" w:rsidP="001A7FE8">
      <w:pPr>
        <w:spacing w:after="0" w:line="240" w:lineRule="auto"/>
        <w:jc w:val="both"/>
        <w:rPr>
          <w:rFonts w:ascii="Times New Roman" w:eastAsia="Aptos" w:hAnsi="Times New Roman"/>
          <w:kern w:val="2"/>
          <w:sz w:val="24"/>
          <w:szCs w:val="24"/>
          <w14:ligatures w14:val="standardContextual"/>
        </w:rPr>
      </w:pPr>
    </w:p>
    <w:p w14:paraId="72369BD1" w14:textId="77777777" w:rsidR="00606C71" w:rsidRPr="007C5A6E" w:rsidRDefault="00606C71" w:rsidP="00540B43">
      <w:pPr>
        <w:pStyle w:val="Titre3"/>
      </w:pPr>
      <w:bookmarkStart w:id="1558" w:name="_Toc179044002"/>
      <w:bookmarkStart w:id="1559" w:name="_Toc183340331"/>
      <w:r w:rsidRPr="007C5A6E">
        <w:t>Grands défis</w:t>
      </w:r>
      <w:bookmarkEnd w:id="1558"/>
      <w:r w:rsidRPr="007C5A6E">
        <w:t xml:space="preserve"> actuels et futurs</w:t>
      </w:r>
      <w:bookmarkEnd w:id="1559"/>
    </w:p>
    <w:p w14:paraId="3404979D" w14:textId="77777777" w:rsidR="00606C71" w:rsidRPr="007C5A6E" w:rsidRDefault="00606C71" w:rsidP="00540B43">
      <w:pPr>
        <w:spacing w:after="0" w:line="240" w:lineRule="auto"/>
        <w:jc w:val="both"/>
        <w:rPr>
          <w:rFonts w:ascii="Times New Roman" w:eastAsia="Aptos" w:hAnsi="Times New Roman"/>
          <w:kern w:val="2"/>
          <w:sz w:val="24"/>
          <w:szCs w:val="24"/>
          <w14:ligatures w14:val="standardContextual"/>
        </w:rPr>
      </w:pPr>
    </w:p>
    <w:p w14:paraId="2F393116" w14:textId="77777777" w:rsidR="00606C71" w:rsidRPr="007C5A6E" w:rsidRDefault="00606C71" w:rsidP="00540B43">
      <w:pPr>
        <w:spacing w:after="0" w:line="240" w:lineRule="auto"/>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14:ligatures w14:val="standardContextual"/>
        </w:rPr>
        <w:t>Au regard des résultats d’analyse et des projections, le Burkina Faso fait face à de nombreux défis à relever à court, moyen et long terme.</w:t>
      </w:r>
    </w:p>
    <w:p w14:paraId="558C6ED7" w14:textId="77777777" w:rsidR="0093589E" w:rsidRPr="007C5A6E" w:rsidRDefault="0093589E" w:rsidP="0093589E">
      <w:pPr>
        <w:spacing w:after="0" w:line="240" w:lineRule="auto"/>
        <w:jc w:val="both"/>
        <w:rPr>
          <w:rFonts w:ascii="Times New Roman" w:eastAsia="Aptos" w:hAnsi="Times New Roman"/>
          <w:kern w:val="2"/>
          <w:sz w:val="24"/>
          <w:szCs w:val="24"/>
          <w14:ligatures w14:val="standardContextual"/>
        </w:rPr>
      </w:pPr>
    </w:p>
    <w:p w14:paraId="401CE4AC" w14:textId="77777777" w:rsidR="00606C71" w:rsidRPr="007C5A6E" w:rsidRDefault="00606C71" w:rsidP="00540B43">
      <w:pPr>
        <w:numPr>
          <w:ilvl w:val="0"/>
          <w:numId w:val="57"/>
        </w:numPr>
        <w:spacing w:after="0" w:line="240" w:lineRule="auto"/>
        <w:rPr>
          <w:rFonts w:ascii="Times New Roman" w:eastAsiaTheme="minorHAnsi" w:hAnsi="Times New Roman"/>
          <w:b/>
          <w:bCs/>
          <w:kern w:val="2"/>
          <w:sz w:val="24"/>
          <w:szCs w:val="24"/>
          <w14:ligatures w14:val="standardContextual"/>
        </w:rPr>
      </w:pPr>
      <w:bookmarkStart w:id="1560" w:name="_Toc177649436"/>
      <w:bookmarkStart w:id="1561" w:name="_Toc176973813"/>
      <w:bookmarkStart w:id="1562" w:name="_Toc179044003"/>
      <w:r w:rsidRPr="007C5A6E">
        <w:rPr>
          <w:rFonts w:ascii="Times New Roman" w:eastAsiaTheme="minorHAnsi" w:hAnsi="Times New Roman"/>
          <w:b/>
          <w:bCs/>
          <w:kern w:val="2"/>
          <w:sz w:val="24"/>
          <w:szCs w:val="24"/>
          <w14:ligatures w14:val="standardContextual"/>
        </w:rPr>
        <w:t>Défis politiques et de réglementation</w:t>
      </w:r>
      <w:bookmarkEnd w:id="1560"/>
      <w:bookmarkEnd w:id="1561"/>
      <w:bookmarkEnd w:id="1562"/>
    </w:p>
    <w:p w14:paraId="2F7D5F7F" w14:textId="77777777" w:rsidR="00606C71" w:rsidRPr="007C5A6E" w:rsidRDefault="00606C71" w:rsidP="00540B43">
      <w:pPr>
        <w:numPr>
          <w:ilvl w:val="0"/>
          <w:numId w:val="56"/>
        </w:num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Défi de la protection sociale : Assurer une couverture adéquate et équitable pour les populations urbaines, en tenant compte des disparités socio-économiques.</w:t>
      </w:r>
    </w:p>
    <w:p w14:paraId="77C549C6" w14:textId="77777777" w:rsidR="00606C71" w:rsidRPr="007C5A6E" w:rsidRDefault="00606C71" w:rsidP="00540B43">
      <w:pPr>
        <w:numPr>
          <w:ilvl w:val="0"/>
          <w:numId w:val="56"/>
        </w:num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 xml:space="preserve">Défi de la conciliation de </w:t>
      </w:r>
      <w:bookmarkStart w:id="1563" w:name="_Hlk177633015"/>
      <w:r w:rsidRPr="007C5A6E">
        <w:rPr>
          <w:rFonts w:ascii="Times New Roman" w:eastAsia="Aptos" w:hAnsi="Times New Roman"/>
          <w:kern w:val="2"/>
          <w:sz w:val="24"/>
          <w:szCs w:val="24"/>
          <w:lang w:eastAsia="en-US"/>
          <w14:ligatures w14:val="standardContextual"/>
        </w:rPr>
        <w:t xml:space="preserve">l’individualisation historique </w:t>
      </w:r>
      <w:bookmarkEnd w:id="1563"/>
      <w:r w:rsidRPr="007C5A6E">
        <w:rPr>
          <w:rFonts w:ascii="Times New Roman" w:eastAsia="Aptos" w:hAnsi="Times New Roman"/>
          <w:kern w:val="2"/>
          <w:sz w:val="24"/>
          <w:szCs w:val="24"/>
          <w:lang w:eastAsia="en-US"/>
          <w14:ligatures w14:val="standardContextual"/>
        </w:rPr>
        <w:t>du foncier et des moyens de transport avec les politiques d’urbanisation actuelles : Adapter les politiques d’urbanisation pour intégrer la culture locale de la propriété foncière et du déplacement.</w:t>
      </w:r>
    </w:p>
    <w:p w14:paraId="66AC2B6F" w14:textId="77777777" w:rsidR="00606C71" w:rsidRPr="007C5A6E" w:rsidRDefault="00606C71" w:rsidP="00540B43">
      <w:pPr>
        <w:spacing w:after="0" w:line="240" w:lineRule="auto"/>
        <w:jc w:val="both"/>
        <w:rPr>
          <w:rFonts w:ascii="Times New Roman" w:eastAsia="Aptos" w:hAnsi="Times New Roman"/>
          <w:kern w:val="2"/>
          <w:sz w:val="24"/>
          <w:szCs w:val="24"/>
          <w:lang w:eastAsia="en-US"/>
          <w14:ligatures w14:val="standardContextual"/>
        </w:rPr>
      </w:pPr>
    </w:p>
    <w:p w14:paraId="760B40ED" w14:textId="77777777" w:rsidR="00606C71" w:rsidRPr="007C5A6E" w:rsidRDefault="00606C71" w:rsidP="00540B43">
      <w:pPr>
        <w:numPr>
          <w:ilvl w:val="0"/>
          <w:numId w:val="57"/>
        </w:numPr>
        <w:spacing w:after="0" w:line="240" w:lineRule="auto"/>
        <w:rPr>
          <w:rFonts w:ascii="Times New Roman" w:eastAsiaTheme="minorHAnsi" w:hAnsi="Times New Roman"/>
          <w:b/>
          <w:bCs/>
          <w:kern w:val="2"/>
          <w:sz w:val="24"/>
          <w:szCs w:val="24"/>
          <w14:ligatures w14:val="standardContextual"/>
        </w:rPr>
      </w:pPr>
      <w:bookmarkStart w:id="1564" w:name="_Toc177649437"/>
      <w:bookmarkStart w:id="1565" w:name="_Toc176973814"/>
      <w:bookmarkStart w:id="1566" w:name="_Toc179044004"/>
      <w:r w:rsidRPr="007C5A6E">
        <w:rPr>
          <w:rFonts w:ascii="Times New Roman" w:eastAsiaTheme="minorHAnsi" w:hAnsi="Times New Roman"/>
          <w:b/>
          <w:bCs/>
          <w:kern w:val="2"/>
          <w:sz w:val="24"/>
          <w:szCs w:val="24"/>
          <w14:ligatures w14:val="standardContextual"/>
        </w:rPr>
        <w:t>Défis des infrastructures urbaines</w:t>
      </w:r>
      <w:bookmarkEnd w:id="1564"/>
      <w:bookmarkEnd w:id="1565"/>
      <w:bookmarkEnd w:id="1566"/>
    </w:p>
    <w:p w14:paraId="28C6AAC0" w14:textId="77777777" w:rsidR="00606C71" w:rsidRPr="007C5A6E" w:rsidRDefault="00606C71" w:rsidP="00540B43">
      <w:pPr>
        <w:numPr>
          <w:ilvl w:val="0"/>
          <w:numId w:val="56"/>
        </w:num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Défi de l’infrastructure de drainage des eaux de pluie : Développer des systèmes de drainage des eaux de pluie pour éviter les inondations et améliorer la résilience urbaine.</w:t>
      </w:r>
    </w:p>
    <w:p w14:paraId="68915BE4" w14:textId="77777777" w:rsidR="00606C71" w:rsidRPr="007C5A6E" w:rsidRDefault="00606C71" w:rsidP="00540B43">
      <w:pPr>
        <w:numPr>
          <w:ilvl w:val="0"/>
          <w:numId w:val="56"/>
        </w:num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Défi de l’infrastructure d’assainissement : Améliorer les infrastructures d’assainissement pour réduire les risques sanitaires et garantir un environnement urbain propre.</w:t>
      </w:r>
    </w:p>
    <w:p w14:paraId="2B7F395C" w14:textId="77777777" w:rsidR="00606C71" w:rsidRPr="007C5A6E" w:rsidRDefault="00606C71" w:rsidP="00540B43">
      <w:pPr>
        <w:numPr>
          <w:ilvl w:val="0"/>
          <w:numId w:val="56"/>
        </w:num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Défi de la mobilité urbaine : Optimiser les infrastructures et les moyens de transport pour faciliter la mobilité urbaine et réduire les congestions.</w:t>
      </w:r>
    </w:p>
    <w:p w14:paraId="4AC837BE" w14:textId="77777777" w:rsidR="00606C71" w:rsidRPr="007C5A6E" w:rsidRDefault="00606C71" w:rsidP="00540B43">
      <w:pPr>
        <w:spacing w:after="0" w:line="240" w:lineRule="auto"/>
        <w:jc w:val="both"/>
        <w:rPr>
          <w:rFonts w:ascii="Times New Roman" w:eastAsia="Aptos" w:hAnsi="Times New Roman"/>
          <w:kern w:val="2"/>
          <w:sz w:val="24"/>
          <w:szCs w:val="24"/>
          <w:lang w:eastAsia="en-US"/>
          <w14:ligatures w14:val="standardContextual"/>
        </w:rPr>
      </w:pPr>
    </w:p>
    <w:p w14:paraId="7E0F4C23" w14:textId="77777777" w:rsidR="00606C71" w:rsidRPr="007C5A6E" w:rsidRDefault="00606C71" w:rsidP="00540B43">
      <w:pPr>
        <w:numPr>
          <w:ilvl w:val="0"/>
          <w:numId w:val="57"/>
        </w:numPr>
        <w:spacing w:after="0" w:line="240" w:lineRule="auto"/>
        <w:rPr>
          <w:rFonts w:ascii="Times New Roman" w:eastAsiaTheme="minorHAnsi" w:hAnsi="Times New Roman"/>
          <w:b/>
          <w:bCs/>
          <w:kern w:val="2"/>
          <w:sz w:val="24"/>
          <w:szCs w:val="24"/>
          <w14:ligatures w14:val="standardContextual"/>
        </w:rPr>
      </w:pPr>
      <w:bookmarkStart w:id="1567" w:name="_Toc177649438"/>
      <w:bookmarkStart w:id="1568" w:name="_Toc179044005"/>
      <w:bookmarkStart w:id="1569" w:name="_Toc176973815"/>
      <w:r w:rsidRPr="007C5A6E">
        <w:rPr>
          <w:rFonts w:ascii="Times New Roman" w:eastAsiaTheme="minorHAnsi" w:hAnsi="Times New Roman"/>
          <w:b/>
          <w:bCs/>
          <w:kern w:val="2"/>
          <w:sz w:val="24"/>
          <w:szCs w:val="24"/>
          <w14:ligatures w14:val="standardContextual"/>
        </w:rPr>
        <w:t>Défis de l'inclusion et de l'accès aux services publics en milieu urbain</w:t>
      </w:r>
      <w:bookmarkEnd w:id="1567"/>
      <w:bookmarkEnd w:id="1568"/>
    </w:p>
    <w:p w14:paraId="2BE8CBEF" w14:textId="77777777" w:rsidR="00606C71" w:rsidRPr="007C5A6E" w:rsidRDefault="00606C71" w:rsidP="00540B43">
      <w:pPr>
        <w:numPr>
          <w:ilvl w:val="0"/>
          <w:numId w:val="56"/>
        </w:num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Défi de l'inclusion des populations vulnérables : Assurer l’intégration des groupes vulnérables dans le processus de développement urbain et leur accès équitable aux services et infrastructures de base, tout en réduisant les inégalités entre les différentes zones urbaines</w:t>
      </w:r>
    </w:p>
    <w:p w14:paraId="1CE454FC" w14:textId="77777777" w:rsidR="00606C71" w:rsidRPr="007C5A6E" w:rsidRDefault="00606C71" w:rsidP="00540B43">
      <w:pPr>
        <w:numPr>
          <w:ilvl w:val="0"/>
          <w:numId w:val="56"/>
        </w:num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Défi de l'accès aux services publics : Garantir un accès équitable à l'eau potable, aux soins de santé, à l’éducation, et résoudre les problèmes liés aux logements non lotis, au surpeuplement et à l’insalubrité, pour améliorer les conditions de vie en milieu urbain.</w:t>
      </w:r>
    </w:p>
    <w:bookmarkEnd w:id="1569"/>
    <w:p w14:paraId="7E9D141F" w14:textId="77777777" w:rsidR="00606C71" w:rsidRPr="007C5A6E" w:rsidRDefault="00606C71" w:rsidP="00540B43">
      <w:pPr>
        <w:spacing w:after="0" w:line="240" w:lineRule="auto"/>
        <w:jc w:val="both"/>
        <w:rPr>
          <w:rFonts w:ascii="Times New Roman" w:eastAsia="Aptos" w:hAnsi="Times New Roman"/>
          <w:kern w:val="2"/>
          <w:sz w:val="24"/>
          <w:szCs w:val="24"/>
          <w:lang w:eastAsia="en-US"/>
          <w14:ligatures w14:val="standardContextual"/>
        </w:rPr>
      </w:pPr>
    </w:p>
    <w:p w14:paraId="6B19DB86" w14:textId="77777777" w:rsidR="00606C71" w:rsidRPr="007C5A6E" w:rsidRDefault="00606C71" w:rsidP="00540B43">
      <w:pPr>
        <w:numPr>
          <w:ilvl w:val="0"/>
          <w:numId w:val="57"/>
        </w:numPr>
        <w:spacing w:after="0" w:line="240" w:lineRule="auto"/>
        <w:rPr>
          <w:rFonts w:ascii="Times New Roman" w:eastAsiaTheme="minorHAnsi" w:hAnsi="Times New Roman"/>
          <w:b/>
          <w:bCs/>
          <w:kern w:val="2"/>
          <w:sz w:val="24"/>
          <w:szCs w:val="24"/>
          <w14:ligatures w14:val="standardContextual"/>
        </w:rPr>
      </w:pPr>
      <w:bookmarkStart w:id="1570" w:name="_Toc177649439"/>
      <w:bookmarkStart w:id="1571" w:name="_Toc176973816"/>
      <w:bookmarkStart w:id="1572" w:name="_Toc179044006"/>
      <w:r w:rsidRPr="007C5A6E">
        <w:rPr>
          <w:rFonts w:ascii="Times New Roman" w:eastAsiaTheme="minorHAnsi" w:hAnsi="Times New Roman"/>
          <w:b/>
          <w:bCs/>
          <w:kern w:val="2"/>
          <w:sz w:val="24"/>
          <w:szCs w:val="24"/>
          <w14:ligatures w14:val="standardContextual"/>
        </w:rPr>
        <w:t>Défis liés à l’urbanisation informelle et aux inégalités</w:t>
      </w:r>
      <w:bookmarkEnd w:id="1570"/>
      <w:bookmarkEnd w:id="1571"/>
      <w:bookmarkEnd w:id="1572"/>
    </w:p>
    <w:p w14:paraId="5A07A408" w14:textId="77777777" w:rsidR="00606C71" w:rsidRPr="007C5A6E" w:rsidRDefault="00606C71" w:rsidP="00540B43">
      <w:pPr>
        <w:numPr>
          <w:ilvl w:val="0"/>
          <w:numId w:val="56"/>
        </w:num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Défi de l’urbanisation informelle : Réguler l’expansion urbaine informelle pour éviter l'émergence de quartiers précaires et garantir une planification urbaine cohérente.</w:t>
      </w:r>
    </w:p>
    <w:p w14:paraId="532DB9F7" w14:textId="77777777" w:rsidR="00431FF2" w:rsidRPr="007C5A6E" w:rsidRDefault="00431FF2" w:rsidP="00540B43">
      <w:pPr>
        <w:spacing w:after="0" w:line="240" w:lineRule="auto"/>
        <w:rPr>
          <w:rFonts w:ascii="Times New Roman" w:hAnsi="Times New Roman"/>
          <w:sz w:val="24"/>
          <w:szCs w:val="24"/>
        </w:rPr>
      </w:pPr>
    </w:p>
    <w:p w14:paraId="17E3E4E2" w14:textId="77777777" w:rsidR="00995549" w:rsidRPr="007C5A6E" w:rsidRDefault="00995549" w:rsidP="00540B43">
      <w:pPr>
        <w:spacing w:after="0" w:line="240" w:lineRule="auto"/>
        <w:rPr>
          <w:rFonts w:ascii="Times New Roman" w:hAnsi="Times New Roman"/>
          <w:sz w:val="24"/>
          <w:szCs w:val="24"/>
        </w:rPr>
      </w:pPr>
    </w:p>
    <w:p w14:paraId="0536E984" w14:textId="77777777" w:rsidR="00995549" w:rsidRPr="007C5A6E" w:rsidRDefault="00995549" w:rsidP="00540B43">
      <w:pPr>
        <w:spacing w:after="0" w:line="240" w:lineRule="auto"/>
        <w:rPr>
          <w:rFonts w:ascii="Times New Roman" w:hAnsi="Times New Roman"/>
          <w:sz w:val="24"/>
          <w:szCs w:val="24"/>
        </w:rPr>
      </w:pPr>
    </w:p>
    <w:p w14:paraId="3F512486" w14:textId="77777777" w:rsidR="00995549" w:rsidRPr="007C5A6E" w:rsidRDefault="00995549" w:rsidP="00540B43">
      <w:pPr>
        <w:spacing w:after="0" w:line="240" w:lineRule="auto"/>
        <w:rPr>
          <w:rFonts w:ascii="Times New Roman" w:hAnsi="Times New Roman"/>
          <w:sz w:val="24"/>
          <w:szCs w:val="24"/>
        </w:rPr>
      </w:pPr>
    </w:p>
    <w:p w14:paraId="53B759DC" w14:textId="77777777" w:rsidR="00995549" w:rsidRPr="007C5A6E" w:rsidRDefault="00995549" w:rsidP="00540B43">
      <w:pPr>
        <w:spacing w:after="0" w:line="240" w:lineRule="auto"/>
        <w:rPr>
          <w:rFonts w:ascii="Times New Roman" w:hAnsi="Times New Roman"/>
          <w:sz w:val="24"/>
          <w:szCs w:val="24"/>
        </w:rPr>
      </w:pPr>
    </w:p>
    <w:p w14:paraId="45CF8067" w14:textId="77777777" w:rsidR="00995549" w:rsidRPr="007C5A6E" w:rsidRDefault="00995549" w:rsidP="00540B43">
      <w:pPr>
        <w:spacing w:after="0" w:line="240" w:lineRule="auto"/>
        <w:rPr>
          <w:rFonts w:ascii="Times New Roman" w:hAnsi="Times New Roman"/>
          <w:sz w:val="24"/>
          <w:szCs w:val="24"/>
        </w:rPr>
      </w:pPr>
    </w:p>
    <w:p w14:paraId="25FB390B" w14:textId="77777777" w:rsidR="00995549" w:rsidRPr="007C5A6E" w:rsidRDefault="00995549" w:rsidP="00540B43">
      <w:pPr>
        <w:spacing w:after="0" w:line="240" w:lineRule="auto"/>
        <w:rPr>
          <w:rFonts w:ascii="Times New Roman" w:hAnsi="Times New Roman"/>
          <w:sz w:val="24"/>
          <w:szCs w:val="24"/>
        </w:rPr>
      </w:pPr>
    </w:p>
    <w:p w14:paraId="31C81764" w14:textId="77777777" w:rsidR="00995549" w:rsidRPr="007C5A6E" w:rsidRDefault="00995549" w:rsidP="00540B43">
      <w:pPr>
        <w:pStyle w:val="Titre1"/>
        <w:numPr>
          <w:ilvl w:val="0"/>
          <w:numId w:val="4"/>
        </w:numPr>
        <w:spacing w:before="0"/>
        <w:rPr>
          <w:bCs/>
          <w:sz w:val="26"/>
          <w:szCs w:val="26"/>
        </w:rPr>
        <w:sectPr w:rsidR="00995549" w:rsidRPr="007C5A6E" w:rsidSect="006514BA">
          <w:pgSz w:w="11907" w:h="16840" w:code="9"/>
          <w:pgMar w:top="1191" w:right="1361" w:bottom="1191" w:left="1361" w:header="709" w:footer="709" w:gutter="0"/>
          <w:cols w:space="708"/>
          <w:docGrid w:linePitch="360"/>
        </w:sectPr>
      </w:pPr>
    </w:p>
    <w:p w14:paraId="46422887" w14:textId="41B18104" w:rsidR="005E7B17" w:rsidRPr="007C5A6E" w:rsidRDefault="00E17E61" w:rsidP="0093589E">
      <w:pPr>
        <w:pStyle w:val="Titre1"/>
        <w:spacing w:before="0"/>
      </w:pPr>
      <w:bookmarkStart w:id="1573" w:name="_Toc183340332"/>
      <w:r w:rsidRPr="007C5A6E">
        <w:t>ENVIRONNEMENT</w:t>
      </w:r>
      <w:r w:rsidR="00D63F90" w:rsidRPr="007C5A6E">
        <w:t xml:space="preserve"> ET </w:t>
      </w:r>
      <w:r w:rsidRPr="007C5A6E">
        <w:t>SANTÉ</w:t>
      </w:r>
      <w:bookmarkEnd w:id="1573"/>
      <w:r w:rsidRPr="007C5A6E">
        <w:t xml:space="preserve">   </w:t>
      </w:r>
    </w:p>
    <w:p w14:paraId="7F5206A6" w14:textId="77777777" w:rsidR="005E7B17" w:rsidRPr="007C5A6E" w:rsidRDefault="005E7B17" w:rsidP="0093589E">
      <w:pPr>
        <w:spacing w:after="0" w:line="240" w:lineRule="auto"/>
        <w:rPr>
          <w:rFonts w:ascii="Times New Roman" w:hAnsi="Times New Roman"/>
          <w:sz w:val="24"/>
          <w:szCs w:val="24"/>
        </w:rPr>
      </w:pPr>
    </w:p>
    <w:p w14:paraId="20D17E7F" w14:textId="77777777" w:rsidR="001F79CB" w:rsidRPr="007C5A6E" w:rsidRDefault="001F79CB" w:rsidP="001F79CB">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La qualité de l’environnement joue un rôle central dans la santé des populations, notamment au Burkina Faso, où les conditions climatiques, les dynamiques socio-économiques et la gestion des ressources influencent profondément l’apparition et la propagation de nombreuses maladies. Cette problématique s'inscrit ainsi comme un enjeu majeur dans le cadre de l’élaboration de rapports nationaux tels que le Rapport sur l’État de l’Environnement au Burkina Faso (REEB), qui vise à offrir une vision intégrée des liens entre santé et environnement dans un contexte de changements globaux.</w:t>
      </w:r>
    </w:p>
    <w:p w14:paraId="1FEE99E4" w14:textId="77777777" w:rsidR="001F79CB" w:rsidRPr="007C5A6E" w:rsidRDefault="001F79CB" w:rsidP="001F79CB">
      <w:pPr>
        <w:spacing w:after="0" w:line="240" w:lineRule="auto"/>
        <w:jc w:val="both"/>
        <w:rPr>
          <w:rFonts w:eastAsiaTheme="minorHAnsi"/>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Ce chapitre 8 explore les principales interactions entre environnement et santé en cinq grandes sections. La première section (8.1) dresse un état des lieux des déterminants environnementaux de la santé au Burkina Faso. La deuxième section (8.2) fait une analyse épidémiologique et identifie les maladies les plus fréquentes liées à ces déterminants. La troisième section (8.3) étudie les impacts socioéconomiques de ces maladies, en termes de coûts humains, économiques et sociaux. Les stratégies et les mesures de lutte visant à atténuer ces impacts sont discutées dans la quatrième section (8.4). Enfin, la cinquième section (8.5) traite des projections climatiques et leurs implications en termes de santé publique.</w:t>
      </w:r>
    </w:p>
    <w:p w14:paraId="1F928BCF" w14:textId="77777777" w:rsidR="001F79CB" w:rsidRPr="007C5A6E" w:rsidRDefault="001F79CB" w:rsidP="001F79CB">
      <w:pPr>
        <w:spacing w:after="0" w:line="240" w:lineRule="auto"/>
        <w:rPr>
          <w:rFonts w:ascii="Times New Roman" w:hAnsi="Times New Roman"/>
          <w:sz w:val="24"/>
          <w:szCs w:val="24"/>
        </w:rPr>
      </w:pPr>
    </w:p>
    <w:p w14:paraId="75B0D040" w14:textId="77777777" w:rsidR="00530291" w:rsidRPr="007C5A6E" w:rsidRDefault="00530291" w:rsidP="0093589E">
      <w:pPr>
        <w:pStyle w:val="Paragraphedeliste"/>
        <w:numPr>
          <w:ilvl w:val="0"/>
          <w:numId w:val="4"/>
        </w:numPr>
        <w:spacing w:after="0" w:line="240" w:lineRule="auto"/>
        <w:outlineLvl w:val="1"/>
        <w:rPr>
          <w:rFonts w:ascii="Times New Roman" w:hAnsi="Times New Roman"/>
          <w:b/>
          <w:bCs/>
          <w:vanish/>
          <w:sz w:val="24"/>
          <w:szCs w:val="24"/>
        </w:rPr>
      </w:pPr>
      <w:bookmarkStart w:id="1574" w:name="_Toc183288091"/>
      <w:bookmarkStart w:id="1575" w:name="_Toc183291332"/>
      <w:bookmarkStart w:id="1576" w:name="_Toc183291736"/>
      <w:bookmarkStart w:id="1577" w:name="_Toc183292140"/>
      <w:bookmarkStart w:id="1578" w:name="_Toc183340333"/>
      <w:bookmarkEnd w:id="1574"/>
      <w:bookmarkEnd w:id="1575"/>
      <w:bookmarkEnd w:id="1576"/>
      <w:bookmarkEnd w:id="1577"/>
      <w:bookmarkEnd w:id="1578"/>
    </w:p>
    <w:p w14:paraId="4076E189" w14:textId="77777777" w:rsidR="001F7AA6" w:rsidRPr="007C5A6E" w:rsidRDefault="001F7AA6" w:rsidP="00712C43">
      <w:pPr>
        <w:pStyle w:val="Titre2"/>
      </w:pPr>
      <w:bookmarkStart w:id="1579" w:name="_Toc183340334"/>
      <w:r w:rsidRPr="007C5A6E">
        <w:t>État des lieux des déterminants environnementaux de la santé au Burkina Faso</w:t>
      </w:r>
      <w:bookmarkEnd w:id="1579"/>
    </w:p>
    <w:p w14:paraId="2BB7188A"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r w:rsidRPr="007C5A6E">
        <w:rPr>
          <w:rFonts w:asciiTheme="minorHAnsi" w:eastAsiaTheme="minorHAnsi" w:hAnsiTheme="minorHAnsi" w:cstheme="minorBidi"/>
          <w:kern w:val="2"/>
          <w:lang w:eastAsia="en-US"/>
          <w14:ligatures w14:val="standardContextual"/>
        </w:rPr>
        <w:t xml:space="preserve"> </w:t>
      </w:r>
    </w:p>
    <w:p w14:paraId="2A3542D2" w14:textId="6082907C" w:rsidR="001F7AA6" w:rsidRPr="007C5A6E" w:rsidRDefault="00F35210" w:rsidP="0093589E">
      <w:pPr>
        <w:pStyle w:val="Titre3"/>
      </w:pPr>
      <w:bookmarkStart w:id="1580" w:name="_Toc182986578"/>
      <w:bookmarkStart w:id="1581" w:name="_Toc183340335"/>
      <w:r w:rsidRPr="007C5A6E">
        <w:t xml:space="preserve">La </w:t>
      </w:r>
      <w:r w:rsidR="001F7AA6" w:rsidRPr="007C5A6E">
        <w:t>Pollution de l’air</w:t>
      </w:r>
      <w:bookmarkEnd w:id="1580"/>
      <w:bookmarkEnd w:id="1581"/>
    </w:p>
    <w:p w14:paraId="58514037"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40195439" w14:textId="21A1C21D" w:rsidR="001F7AA6" w:rsidRPr="007C5A6E" w:rsidRDefault="00F35210" w:rsidP="0093589E">
      <w:pPr>
        <w:pStyle w:val="Titre4"/>
      </w:pPr>
      <w:bookmarkStart w:id="1582" w:name="_Toc183340336"/>
      <w:r w:rsidRPr="007C5A6E">
        <w:t>Pollution de l’a</w:t>
      </w:r>
      <w:r w:rsidR="001F7AA6" w:rsidRPr="007C5A6E">
        <w:t>ir extérieur</w:t>
      </w:r>
      <w:bookmarkEnd w:id="1582"/>
    </w:p>
    <w:p w14:paraId="26C0EB2C"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520AB001"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Plusieurs études ont évalué le profil de pollution de l’air extérieur au Burkina Faso, dans plusieurs localités, en milieu rural comme urbain. Elles ont pour la plupart mesuré la pollution particulaire dont les PM10, les PM2,5 et les PM1. D’autres se sont intéressées aux polluants gazeux.</w:t>
      </w:r>
    </w:p>
    <w:p w14:paraId="57505ED7" w14:textId="02896AE0" w:rsidR="001F79CB" w:rsidRPr="007C5A6E" w:rsidRDefault="001F7AA6" w:rsidP="001F79CB">
      <w:pPr>
        <w:spacing w:after="0" w:line="240" w:lineRule="auto"/>
        <w:jc w:val="both"/>
        <w:rPr>
          <w:rFonts w:ascii="Times New Roman" w:eastAsiaTheme="minorHAnsi" w:hAnsi="Times New Roman"/>
          <w:b/>
          <w:bCs/>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Dans une étude réalisée par </w:t>
      </w:r>
      <w:proofErr w:type="spellStart"/>
      <w:r w:rsidRPr="007C5A6E">
        <w:rPr>
          <w:rFonts w:ascii="Times New Roman" w:eastAsiaTheme="minorHAnsi" w:hAnsi="Times New Roman"/>
          <w:kern w:val="2"/>
          <w:sz w:val="24"/>
          <w:szCs w:val="24"/>
          <w:lang w:eastAsia="en-US"/>
          <w14:ligatures w14:val="standardContextual"/>
        </w:rPr>
        <w:t>Guissou</w:t>
      </w:r>
      <w:proofErr w:type="spellEnd"/>
      <w:r w:rsidRPr="007C5A6E">
        <w:rPr>
          <w:rFonts w:ascii="Times New Roman" w:eastAsiaTheme="minorHAnsi" w:hAnsi="Times New Roman"/>
          <w:kern w:val="2"/>
          <w:sz w:val="24"/>
          <w:szCs w:val="24"/>
          <w:lang w:eastAsia="en-US"/>
          <w14:ligatures w14:val="standardContextual"/>
        </w:rPr>
        <w:t xml:space="preserve"> et al. (2022) dans trois communes rurales périphériques de Ouagadougou (Komsilga, Koubri et Pabré) et dans six quartiers de Ouagadougou, les résultats montrent une pollution de l’air par les PM10 dont le niveau le plus bas a été enregistré à Koubri (86,80 µg/m</w:t>
      </w:r>
      <w:r w:rsidRPr="007C5A6E">
        <w:rPr>
          <w:rFonts w:ascii="Times New Roman" w:eastAsiaTheme="minorHAnsi" w:hAnsi="Times New Roman"/>
          <w:kern w:val="2"/>
          <w:sz w:val="24"/>
          <w:szCs w:val="24"/>
          <w:vertAlign w:val="superscript"/>
          <w:lang w:eastAsia="en-US"/>
          <w14:ligatures w14:val="standardContextual"/>
        </w:rPr>
        <w:t>3</w:t>
      </w:r>
      <w:r w:rsidRPr="007C5A6E">
        <w:rPr>
          <w:rFonts w:ascii="Times New Roman" w:eastAsiaTheme="minorHAnsi" w:hAnsi="Times New Roman"/>
          <w:kern w:val="2"/>
          <w:sz w:val="24"/>
          <w:szCs w:val="24"/>
          <w:lang w:eastAsia="en-US"/>
          <w14:ligatures w14:val="standardContextual"/>
        </w:rPr>
        <w:t>) et celui le plus élevé à Komsilga (6469,43 µg/m</w:t>
      </w:r>
      <w:r w:rsidRPr="007C5A6E">
        <w:rPr>
          <w:rFonts w:ascii="Times New Roman" w:eastAsiaTheme="minorHAnsi" w:hAnsi="Times New Roman"/>
          <w:kern w:val="2"/>
          <w:sz w:val="24"/>
          <w:szCs w:val="24"/>
          <w:vertAlign w:val="superscript"/>
          <w:lang w:eastAsia="en-US"/>
          <w14:ligatures w14:val="standardContextual"/>
        </w:rPr>
        <w:t>3</w:t>
      </w:r>
      <w:r w:rsidRPr="007C5A6E">
        <w:rPr>
          <w:rFonts w:ascii="Times New Roman" w:eastAsiaTheme="minorHAnsi" w:hAnsi="Times New Roman"/>
          <w:kern w:val="2"/>
          <w:sz w:val="24"/>
          <w:szCs w:val="24"/>
          <w:lang w:eastAsia="en-US"/>
          <w14:ligatures w14:val="standardContextual"/>
        </w:rPr>
        <w:t>). Dans tous les cas, les taux mesurées étaient supérieurs aux normes définies par l’OMS aussi bien à Ouagadougou que dans les communes rurales de Pabré, Koubri et Komsilga</w:t>
      </w:r>
      <w:r w:rsidR="001F79CB" w:rsidRPr="007C5A6E">
        <w:rPr>
          <w:rFonts w:ascii="Times New Roman" w:eastAsiaTheme="minorHAnsi" w:hAnsi="Times New Roman"/>
          <w:kern w:val="2"/>
          <w:sz w:val="24"/>
          <w:szCs w:val="24"/>
          <w:lang w:eastAsia="en-US"/>
          <w14:ligatures w14:val="standardContextual"/>
        </w:rPr>
        <w:t>, comme souligné au chapitre 7 précédent.</w:t>
      </w:r>
      <w:r w:rsidR="001F79CB" w:rsidRPr="007C5A6E">
        <w:rPr>
          <w:rFonts w:ascii="Times New Roman" w:eastAsiaTheme="minorHAnsi" w:hAnsi="Times New Roman"/>
          <w:b/>
          <w:bCs/>
          <w:kern w:val="2"/>
          <w:sz w:val="24"/>
          <w:szCs w:val="24"/>
          <w:lang w:eastAsia="en-US"/>
          <w14:ligatures w14:val="standardContextual"/>
        </w:rPr>
        <w:t xml:space="preserve"> </w:t>
      </w:r>
    </w:p>
    <w:p w14:paraId="106EE63A" w14:textId="77777777" w:rsidR="00773466" w:rsidRPr="007C5A6E" w:rsidRDefault="00773466" w:rsidP="0093589E">
      <w:pPr>
        <w:spacing w:after="0" w:line="240" w:lineRule="auto"/>
        <w:jc w:val="both"/>
        <w:rPr>
          <w:rFonts w:ascii="Times New Roman" w:eastAsiaTheme="minorHAnsi" w:hAnsi="Times New Roman"/>
          <w:b/>
          <w:bCs/>
          <w:kern w:val="2"/>
          <w:sz w:val="24"/>
          <w:szCs w:val="24"/>
          <w:lang w:eastAsia="en-US"/>
          <w14:ligatures w14:val="standardContextual"/>
        </w:rPr>
      </w:pPr>
    </w:p>
    <w:p w14:paraId="7C721D6E"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proofErr w:type="spellStart"/>
      <w:r w:rsidRPr="007C5A6E">
        <w:rPr>
          <w:rFonts w:ascii="Times New Roman" w:eastAsiaTheme="minorHAnsi" w:hAnsi="Times New Roman"/>
          <w:kern w:val="2"/>
          <w:sz w:val="24"/>
          <w:szCs w:val="24"/>
          <w:lang w:eastAsia="en-US"/>
          <w14:ligatures w14:val="standardContextual"/>
        </w:rPr>
        <w:t>Ouarma</w:t>
      </w:r>
      <w:proofErr w:type="spellEnd"/>
      <w:r w:rsidRPr="007C5A6E">
        <w:rPr>
          <w:rFonts w:ascii="Times New Roman" w:eastAsiaTheme="minorHAnsi" w:hAnsi="Times New Roman"/>
          <w:kern w:val="2"/>
          <w:sz w:val="24"/>
          <w:szCs w:val="24"/>
          <w:lang w:eastAsia="en-US"/>
          <w14:ligatures w14:val="standardContextual"/>
        </w:rPr>
        <w:t xml:space="preserve"> et al. (2020) ont évalué les niveaux de pollution particulaire de l’air de la ville de Ouagadougou à travers deux campagnes de mesures en 2019. Les mesures ont concerné les PM1, les PM2,5 et les PM10. Des sites de mesures situés au bord de route, au sein de services administratifs, d’établissements d’enseignement secondaire et de quartiers périphériques ont été retenus. Les résultats ont montré que : 1) les valeurs de concentrations de PM1 ne présentent aucune variation significative entre les jours, les saisons ou les sites d'échantillonnage ; 2) les concentrations de PM2,5 sur 24 heures dépassent souvent les concentrations recommandées par l'OMS et 3) les concentrations de PM10 sur 24 heures dépassent les concentrations recommandées par l'OMS, quelle que soit la saison ou le site d'échantillonnage. </w:t>
      </w:r>
    </w:p>
    <w:p w14:paraId="03122ED5" w14:textId="77777777" w:rsidR="00773466" w:rsidRPr="007C5A6E" w:rsidRDefault="00773466" w:rsidP="0093589E">
      <w:pPr>
        <w:spacing w:after="0" w:line="240" w:lineRule="auto"/>
        <w:jc w:val="both"/>
        <w:rPr>
          <w:rFonts w:ascii="Times New Roman" w:eastAsiaTheme="minorHAnsi" w:hAnsi="Times New Roman"/>
          <w:kern w:val="2"/>
          <w:sz w:val="24"/>
          <w:szCs w:val="24"/>
          <w:lang w:eastAsia="en-US"/>
          <w14:ligatures w14:val="standardContextual"/>
        </w:rPr>
      </w:pPr>
    </w:p>
    <w:p w14:paraId="40DFEEFC" w14:textId="7D9F652A"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Une étude relativement plus ancienne ayant ciblée les polluants gazeux et particulaires de l’air dont les NO</w:t>
      </w:r>
      <w:r w:rsidRPr="007C5A6E">
        <w:rPr>
          <w:rFonts w:ascii="Times New Roman" w:eastAsiaTheme="minorHAnsi" w:hAnsi="Times New Roman"/>
          <w:kern w:val="2"/>
          <w:sz w:val="24"/>
          <w:szCs w:val="24"/>
          <w:vertAlign w:val="subscript"/>
          <w:lang w:eastAsia="en-US"/>
          <w14:ligatures w14:val="standardContextual"/>
        </w:rPr>
        <w:t>2</w:t>
      </w:r>
      <w:r w:rsidRPr="007C5A6E">
        <w:rPr>
          <w:rFonts w:ascii="Times New Roman" w:eastAsiaTheme="minorHAnsi" w:hAnsi="Times New Roman"/>
          <w:kern w:val="2"/>
          <w:sz w:val="24"/>
          <w:szCs w:val="24"/>
          <w:lang w:eastAsia="en-US"/>
          <w14:ligatures w14:val="standardContextual"/>
        </w:rPr>
        <w:t xml:space="preserve">, SO2, BTEX et PM10 à Ouagadougou a été réalisée en deux campagnes de mesures. Entre novembre et décembre 2006, le NO2 et le SO2 ont été </w:t>
      </w:r>
      <w:r w:rsidR="00A10FE4" w:rsidRPr="007C5A6E">
        <w:rPr>
          <w:rFonts w:ascii="Times New Roman" w:eastAsiaTheme="minorHAnsi" w:hAnsi="Times New Roman"/>
          <w:kern w:val="2"/>
          <w:sz w:val="24"/>
          <w:szCs w:val="24"/>
          <w:lang w:eastAsia="en-US"/>
          <w14:ligatures w14:val="standardContextual"/>
        </w:rPr>
        <w:t>mesurés</w:t>
      </w:r>
      <w:r w:rsidRPr="007C5A6E">
        <w:rPr>
          <w:rFonts w:ascii="Times New Roman" w:eastAsiaTheme="minorHAnsi" w:hAnsi="Times New Roman"/>
          <w:kern w:val="2"/>
          <w:sz w:val="24"/>
          <w:szCs w:val="24"/>
          <w:lang w:eastAsia="en-US"/>
          <w14:ligatures w14:val="standardContextual"/>
        </w:rPr>
        <w:t xml:space="preserve">. De février à juin 2007, l’ensemble des polluants comme le NO2, SO2, BTEX and PM10 ont été mesurés. Des tubes à diffusion passive ont été </w:t>
      </w:r>
      <w:r w:rsidR="00A10FE4" w:rsidRPr="007C5A6E">
        <w:rPr>
          <w:rFonts w:ascii="Times New Roman" w:eastAsiaTheme="minorHAnsi" w:hAnsi="Times New Roman"/>
          <w:kern w:val="2"/>
          <w:sz w:val="24"/>
          <w:szCs w:val="24"/>
          <w:lang w:eastAsia="en-US"/>
          <w14:ligatures w14:val="standardContextual"/>
        </w:rPr>
        <w:t>utilisés</w:t>
      </w:r>
      <w:r w:rsidRPr="007C5A6E">
        <w:rPr>
          <w:rFonts w:ascii="Times New Roman" w:eastAsiaTheme="minorHAnsi" w:hAnsi="Times New Roman"/>
          <w:kern w:val="2"/>
          <w:sz w:val="24"/>
          <w:szCs w:val="24"/>
          <w:lang w:eastAsia="en-US"/>
          <w14:ligatures w14:val="standardContextual"/>
        </w:rPr>
        <w:t xml:space="preserve"> pour le NO2 et SO2 tandis qu’un un analyseur automatique de particules, le Thermo-Andersen ADR1200S a été </w:t>
      </w:r>
      <w:r w:rsidR="00A10FE4" w:rsidRPr="007C5A6E">
        <w:rPr>
          <w:rFonts w:ascii="Times New Roman" w:eastAsiaTheme="minorHAnsi" w:hAnsi="Times New Roman"/>
          <w:kern w:val="2"/>
          <w:sz w:val="24"/>
          <w:szCs w:val="24"/>
          <w:lang w:eastAsia="en-US"/>
          <w14:ligatures w14:val="standardContextual"/>
        </w:rPr>
        <w:t>utilisé</w:t>
      </w:r>
      <w:r w:rsidRPr="007C5A6E">
        <w:rPr>
          <w:rFonts w:ascii="Times New Roman" w:eastAsiaTheme="minorHAnsi" w:hAnsi="Times New Roman"/>
          <w:kern w:val="2"/>
          <w:sz w:val="24"/>
          <w:szCs w:val="24"/>
          <w:lang w:eastAsia="en-US"/>
          <w14:ligatures w14:val="standardContextual"/>
        </w:rPr>
        <w:t xml:space="preserve"> pour les PM10.  Les résultats ont montré que les concentrations de NO2 (variant de 22 à 27 µg m-3 en moyenne) dans la ville étaient inférieures à la limite fixée par la norme de l’OMS. Les concentrations moyennes de SO2 (variant de 0,5 à 10,5 µg/m3) étaient faibles en général dans toute la ville. Les concentrations de BTEX (par exemple le benzène : 27,9 µg/m3) étaient élevées dans la ville. Les concentrations de PM10 étaient très élevées dans la ville en général mais elles dépassent la limite fixée par la norme de l’OMS avec des pics observés aux heures de pointe (Nana et al., 2012). </w:t>
      </w:r>
      <w:proofErr w:type="spellStart"/>
      <w:r w:rsidRPr="007C5A6E">
        <w:rPr>
          <w:rFonts w:ascii="Times New Roman" w:eastAsiaTheme="minorHAnsi" w:hAnsi="Times New Roman"/>
          <w:kern w:val="2"/>
          <w:sz w:val="24"/>
          <w:szCs w:val="24"/>
          <w:lang w:eastAsia="en-US"/>
          <w14:ligatures w14:val="standardContextual"/>
        </w:rPr>
        <w:t>Lindén</w:t>
      </w:r>
      <w:proofErr w:type="spellEnd"/>
      <w:r w:rsidRPr="007C5A6E">
        <w:rPr>
          <w:rFonts w:ascii="Times New Roman" w:eastAsiaTheme="minorHAnsi" w:hAnsi="Times New Roman"/>
          <w:kern w:val="2"/>
          <w:sz w:val="24"/>
          <w:szCs w:val="24"/>
          <w:lang w:eastAsia="en-US"/>
          <w14:ligatures w14:val="standardContextual"/>
        </w:rPr>
        <w:t xml:space="preserve"> et al. (2008) ont examiné les variations spatiales du monoxyde de carbone (CO) en zone urbaine, en bord de route et en circulation à Ouagadougou en Novembre/Décembre 2004 et en Octobre/Novembre 2005 grâce à des capteurs électrochimiques passifs Langan T15v et </w:t>
      </w:r>
      <w:proofErr w:type="spellStart"/>
      <w:r w:rsidRPr="007C5A6E">
        <w:rPr>
          <w:rFonts w:ascii="Times New Roman" w:eastAsiaTheme="minorHAnsi" w:hAnsi="Times New Roman"/>
          <w:kern w:val="2"/>
          <w:sz w:val="24"/>
          <w:szCs w:val="24"/>
          <w:lang w:eastAsia="en-US"/>
          <w14:ligatures w14:val="standardContextual"/>
        </w:rPr>
        <w:t>tpi</w:t>
      </w:r>
      <w:proofErr w:type="spellEnd"/>
      <w:r w:rsidRPr="007C5A6E">
        <w:rPr>
          <w:rFonts w:ascii="Times New Roman" w:eastAsiaTheme="minorHAnsi" w:hAnsi="Times New Roman"/>
          <w:kern w:val="2"/>
          <w:sz w:val="24"/>
          <w:szCs w:val="24"/>
          <w:lang w:eastAsia="en-US"/>
          <w14:ligatures w14:val="standardContextual"/>
        </w:rPr>
        <w:t xml:space="preserve"> A701). Les résultats ont montré des différences significatives entre les trois points de mesure où les valeurs moyennes en circulation étaient supérieures aux normes de l’OMS et 2 à 3 fois supérieures aux valeurs moyennes en bord de route et 10 à 12 fois supérieures aux valeurs moyennes de la zone urbaine. Pendant les embouteillages, ces différences s'étendaient jusqu'à 6 et 20 fois respectivement.</w:t>
      </w:r>
    </w:p>
    <w:p w14:paraId="69E01448" w14:textId="77777777" w:rsidR="001F7AA6" w:rsidRPr="007C5A6E" w:rsidRDefault="001F7AA6" w:rsidP="0093589E">
      <w:pPr>
        <w:spacing w:after="0" w:line="240" w:lineRule="auto"/>
        <w:rPr>
          <w:rFonts w:ascii="Times New Roman" w:eastAsiaTheme="minorHAnsi" w:hAnsi="Times New Roman"/>
          <w:kern w:val="2"/>
          <w:lang w:eastAsia="en-US"/>
          <w14:ligatures w14:val="standardContextual"/>
        </w:rPr>
      </w:pPr>
    </w:p>
    <w:p w14:paraId="54770D15" w14:textId="1F28674A" w:rsidR="001F7AA6" w:rsidRPr="007C5A6E" w:rsidRDefault="00F35210" w:rsidP="0093589E">
      <w:pPr>
        <w:pStyle w:val="Titre4"/>
      </w:pPr>
      <w:bookmarkStart w:id="1583" w:name="_Toc183340337"/>
      <w:r w:rsidRPr="007C5A6E">
        <w:t>Pollution de l’a</w:t>
      </w:r>
      <w:r w:rsidR="001F7AA6" w:rsidRPr="007C5A6E">
        <w:t>ir intérieur</w:t>
      </w:r>
      <w:bookmarkEnd w:id="1583"/>
    </w:p>
    <w:p w14:paraId="763DD34A"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3CDFB6F8"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Des travaux de recherche ont été menés par plusieurs équipes sur la qualité de l’air intérieur au Burkina Faso. Ainsi, Koala et al. (2023) ont présenté une étude comparative sur l’exposition des ménages au monoxyde de carbone (CO) et aux particules fines (PM2,5) émis par les foyers améliorés (FAI) ou les foyers traditionnels (FTC). L’étude a eu lieu dans les ménages de la ville de Ouagadougou, de juillet à octobre. Les résultats de cette étude montrent des niveaux élevés de PM2,5 et de CO pour tous les types de foyers. Les foyers à bois ont entraîné des émissions de PM2,5 plus élevées et des émissions de CO plus faibles que les foyers à charbon de bois. L'exposition au CO obtenue variait de 119,10 à 362,72 μg/m3 pour 15 minutes et de 10,83 à 55,11 μg/m3 pour une exposition d'une heure. L'exposition aux PM2,5 variait de 4762 à 16 257 μg/m3 pour 15 minutes et de 106,63 à 1597 μg/m3 pour une exposition d'une heure. Il a été constaté que les niveaux d’exposition au CO obtenus sur une durée d’exposition de 15 minutes étaient 1,36 à 4,15 fois supérieurs à la recommandation de l’OMS et 1,8 fois supérieurs pour une durée d’exposition d’une heure. </w:t>
      </w:r>
    </w:p>
    <w:p w14:paraId="6D7B0FF3"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L’équipe de </w:t>
      </w:r>
      <w:proofErr w:type="spellStart"/>
      <w:r w:rsidRPr="007C5A6E">
        <w:rPr>
          <w:rFonts w:ascii="Times New Roman" w:eastAsiaTheme="minorHAnsi" w:hAnsi="Times New Roman"/>
          <w:kern w:val="2"/>
          <w:sz w:val="24"/>
          <w:szCs w:val="24"/>
          <w:lang w:eastAsia="en-US"/>
          <w14:ligatures w14:val="standardContextual"/>
        </w:rPr>
        <w:t>Kafando</w:t>
      </w:r>
      <w:proofErr w:type="spellEnd"/>
      <w:r w:rsidRPr="007C5A6E">
        <w:rPr>
          <w:rFonts w:ascii="Times New Roman" w:eastAsiaTheme="minorHAnsi" w:hAnsi="Times New Roman"/>
          <w:kern w:val="2"/>
          <w:sz w:val="24"/>
          <w:szCs w:val="24"/>
          <w:lang w:eastAsia="en-US"/>
          <w14:ligatures w14:val="standardContextual"/>
        </w:rPr>
        <w:t xml:space="preserve"> et al. (2020) a recherché les facteurs de fortes concentrations de PM2,5, dans des ménages de la ville de Ouagadougou. L’étude a été réalisée entre mai et juin 2017. Les résultats ont montré que les concentrations de PM2,5 pour 24 heures étaient au-dessus du seuil préconisé par l’Organisation mondiale de la santé (OMS) (25 mg/m</w:t>
      </w:r>
      <w:r w:rsidRPr="007C5A6E">
        <w:rPr>
          <w:rFonts w:ascii="Times New Roman" w:eastAsiaTheme="minorHAnsi" w:hAnsi="Times New Roman"/>
          <w:kern w:val="2"/>
          <w:sz w:val="24"/>
          <w:szCs w:val="24"/>
          <w:vertAlign w:val="superscript"/>
          <w:lang w:eastAsia="en-US"/>
          <w14:ligatures w14:val="standardContextual"/>
        </w:rPr>
        <w:t>3</w:t>
      </w:r>
      <w:r w:rsidRPr="007C5A6E">
        <w:rPr>
          <w:rFonts w:ascii="Times New Roman" w:eastAsiaTheme="minorHAnsi" w:hAnsi="Times New Roman"/>
          <w:kern w:val="2"/>
          <w:sz w:val="24"/>
          <w:szCs w:val="24"/>
          <w:lang w:eastAsia="en-US"/>
          <w14:ligatures w14:val="standardContextual"/>
        </w:rPr>
        <w:t>) dans les situations suivantes : cuisine à l’air libre, utilisation de la biomasse à l’aide de foyers traditionnels/amélioré. L’analyse bivariée a montré que les concentrations de PM2,5 étaient plus élevées de manière significative dans les ménages utilisant de la biomasse. La régression linéaire a montré que les concentrations de PM2,5 étaient significativement plus élevées au niveau des cuisines à l’air libre comparativement aux cuisines externes ou internes, et quand des foyers traditionnels avec du bois étaient utilisés (p =0,01).</w:t>
      </w:r>
    </w:p>
    <w:p w14:paraId="12F20531" w14:textId="77777777" w:rsidR="00773466" w:rsidRPr="007C5A6E" w:rsidRDefault="00773466" w:rsidP="0093589E">
      <w:pPr>
        <w:spacing w:after="0" w:line="240" w:lineRule="auto"/>
        <w:jc w:val="both"/>
        <w:rPr>
          <w:rFonts w:ascii="Times New Roman" w:eastAsiaTheme="minorHAnsi" w:hAnsi="Times New Roman"/>
          <w:kern w:val="2"/>
          <w:sz w:val="24"/>
          <w:szCs w:val="24"/>
          <w:lang w:eastAsia="en-US"/>
          <w14:ligatures w14:val="standardContextual"/>
        </w:rPr>
      </w:pPr>
    </w:p>
    <w:p w14:paraId="251FBE89" w14:textId="5C92E362"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proofErr w:type="spellStart"/>
      <w:r w:rsidRPr="007C5A6E">
        <w:rPr>
          <w:rFonts w:ascii="Times New Roman" w:eastAsiaTheme="minorHAnsi" w:hAnsi="Times New Roman"/>
          <w:kern w:val="2"/>
          <w:sz w:val="24"/>
          <w:szCs w:val="24"/>
          <w:lang w:eastAsia="en-US"/>
          <w14:ligatures w14:val="standardContextual"/>
        </w:rPr>
        <w:t>Thorsson</w:t>
      </w:r>
      <w:proofErr w:type="spellEnd"/>
      <w:r w:rsidRPr="007C5A6E">
        <w:rPr>
          <w:rFonts w:ascii="Times New Roman" w:eastAsiaTheme="minorHAnsi" w:hAnsi="Times New Roman"/>
          <w:kern w:val="2"/>
          <w:sz w:val="24"/>
          <w:szCs w:val="24"/>
          <w:lang w:eastAsia="en-US"/>
          <w14:ligatures w14:val="standardContextual"/>
        </w:rPr>
        <w:t xml:space="preserve"> et al. (2014) ont mesuré la teneur de l’air en </w:t>
      </w:r>
      <w:proofErr w:type="spellStart"/>
      <w:r w:rsidRPr="007C5A6E">
        <w:rPr>
          <w:rFonts w:ascii="Times New Roman" w:eastAsiaTheme="minorHAnsi" w:hAnsi="Times New Roman"/>
          <w:kern w:val="2"/>
          <w:sz w:val="24"/>
          <w:szCs w:val="24"/>
          <w:lang w:eastAsia="en-US"/>
          <w14:ligatures w14:val="standardContextual"/>
        </w:rPr>
        <w:t>moxyde</w:t>
      </w:r>
      <w:proofErr w:type="spellEnd"/>
      <w:r w:rsidRPr="007C5A6E">
        <w:rPr>
          <w:rFonts w:ascii="Times New Roman" w:eastAsiaTheme="minorHAnsi" w:hAnsi="Times New Roman"/>
          <w:kern w:val="2"/>
          <w:sz w:val="24"/>
          <w:szCs w:val="24"/>
          <w:lang w:eastAsia="en-US"/>
          <w14:ligatures w14:val="standardContextual"/>
        </w:rPr>
        <w:t xml:space="preserve"> de carbone dans huit ménages. Les résultats ont montré que la concentration moyenne de CO pendant la cuisson était de 4,3 ppm, avec un maximum de 65,3 ppm et un minimum de 0,3 ppm (valeurs sur 1 min). Les concentrations étaient relativement faibles pendant la journée et élevées le soir, dépassant parfois les directives de l'Organisation mondiale de la santé sur 1 et 8 heures. Dans la même lancée, </w:t>
      </w:r>
      <w:hyperlink r:id="rId250" w:history="1">
        <w:r w:rsidRPr="007C5A6E">
          <w:rPr>
            <w:rFonts w:ascii="Times New Roman" w:eastAsiaTheme="minorHAnsi" w:hAnsi="Times New Roman"/>
            <w:kern w:val="2"/>
            <w:lang w:eastAsia="en-US"/>
            <w14:ligatures w14:val="standardContextual"/>
          </w:rPr>
          <w:t>Yamamoto</w:t>
        </w:r>
      </w:hyperlink>
      <w:r w:rsidRPr="007C5A6E">
        <w:rPr>
          <w:rFonts w:ascii="Times New Roman" w:eastAsiaTheme="minorHAnsi" w:hAnsi="Times New Roman"/>
          <w:kern w:val="2"/>
          <w:sz w:val="24"/>
          <w:szCs w:val="24"/>
          <w:lang w:eastAsia="en-US"/>
          <w14:ligatures w14:val="standardContextual"/>
        </w:rPr>
        <w:t xml:space="preserve"> et al. (2014) ont évalué l'association des caractéristiques de la cuisine avec les niveaux mesurés de PM10 et de CO et la relation entre PM10 et les concentrations de CO, à travers ces différentes caractéristiques de cuisine dans les ménages de Nouna. Les résultats ont montré que les concentrations moyennes de PM10 dans les cuisines extérieures étaient relativement élevées (774 μg/m3 - 1 218 μg/m3), mais inférieures aux concentrations intérieures. De fortes corrélations entre les concentrations de PM10 et de CO ont été trouvées avec les cuisines intérieures (r de Spearman = 0,82, p &lt; 0,0001), l'utilisation de cuisinières intérieures (r de Spearman = 0,82, p &lt; 0,0001) et la présence d'un fumeur dans le ménage.</w:t>
      </w:r>
    </w:p>
    <w:p w14:paraId="4DDD5EEB"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p>
    <w:p w14:paraId="408F2C59" w14:textId="585B3D27" w:rsidR="001F7AA6" w:rsidRPr="007C5A6E" w:rsidRDefault="00F35210" w:rsidP="0093589E">
      <w:pPr>
        <w:pStyle w:val="Titre3"/>
      </w:pPr>
      <w:bookmarkStart w:id="1584" w:name="_Toc182986581"/>
      <w:bookmarkStart w:id="1585" w:name="_Toc183340338"/>
      <w:r w:rsidRPr="007C5A6E">
        <w:t xml:space="preserve">La </w:t>
      </w:r>
      <w:r w:rsidR="001F7AA6" w:rsidRPr="007C5A6E">
        <w:t>Pollution de l’eau</w:t>
      </w:r>
      <w:bookmarkEnd w:id="1584"/>
      <w:bookmarkEnd w:id="1585"/>
    </w:p>
    <w:p w14:paraId="4FA5170A"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0B71CA21" w14:textId="6C68A4C4" w:rsidR="001F7AA6" w:rsidRPr="007C5A6E" w:rsidRDefault="00F35210" w:rsidP="0093589E">
      <w:pPr>
        <w:pStyle w:val="Titre4"/>
      </w:pPr>
      <w:bookmarkStart w:id="1586" w:name="_Toc182986582"/>
      <w:bookmarkStart w:id="1587" w:name="_Toc183340339"/>
      <w:r w:rsidRPr="007C5A6E">
        <w:t xml:space="preserve">Pollution des eaux de </w:t>
      </w:r>
      <w:r w:rsidR="001F7AA6" w:rsidRPr="007C5A6E">
        <w:t>surface</w:t>
      </w:r>
      <w:bookmarkEnd w:id="1586"/>
      <w:bookmarkEnd w:id="1587"/>
    </w:p>
    <w:p w14:paraId="27641241"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451D1F48"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Plusieurs études ont été réalisées sur la qualité des eaux de surface, certaines en lien avec l’activité humaine. Les paramètres concernés par les mesures sont les paramètres physicochimiques (métaux lourds, éléments trace métallique, pesticides, pH, …) et microbiologiques. </w:t>
      </w:r>
    </w:p>
    <w:p w14:paraId="34D7D489" w14:textId="77777777" w:rsidR="00773466" w:rsidRPr="007C5A6E" w:rsidRDefault="00773466" w:rsidP="0093589E">
      <w:pPr>
        <w:spacing w:after="0" w:line="240" w:lineRule="auto"/>
        <w:jc w:val="both"/>
        <w:rPr>
          <w:rFonts w:ascii="Times New Roman" w:eastAsiaTheme="minorHAnsi" w:hAnsi="Times New Roman"/>
          <w:kern w:val="2"/>
          <w:sz w:val="24"/>
          <w:szCs w:val="24"/>
          <w:lang w:eastAsia="en-US"/>
          <w14:ligatures w14:val="standardContextual"/>
        </w:rPr>
      </w:pPr>
    </w:p>
    <w:p w14:paraId="674E5543" w14:textId="77777777" w:rsidR="0077346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Ouédraogo et al. (2024) ont évalué l'impact de l'exploitation aurifère sur la qualité des ressources en eau de la commune de </w:t>
      </w:r>
      <w:proofErr w:type="spellStart"/>
      <w:r w:rsidRPr="007C5A6E">
        <w:rPr>
          <w:rFonts w:ascii="Times New Roman" w:eastAsiaTheme="minorHAnsi" w:hAnsi="Times New Roman"/>
          <w:kern w:val="2"/>
          <w:sz w:val="24"/>
          <w:szCs w:val="24"/>
          <w:lang w:eastAsia="en-US"/>
          <w14:ligatures w14:val="standardContextual"/>
        </w:rPr>
        <w:t>Meguet</w:t>
      </w:r>
      <w:proofErr w:type="spellEnd"/>
      <w:r w:rsidRPr="007C5A6E">
        <w:rPr>
          <w:rFonts w:ascii="Times New Roman" w:eastAsiaTheme="minorHAnsi" w:hAnsi="Times New Roman"/>
          <w:kern w:val="2"/>
          <w:sz w:val="24"/>
          <w:szCs w:val="24"/>
          <w:lang w:eastAsia="en-US"/>
          <w14:ligatures w14:val="standardContextual"/>
        </w:rPr>
        <w:t xml:space="preserve">. La température, le potentiel hydrogène (pH) et la conductivité électrique ont été mesurés in situ à l'aide d'un instrument multi paramètres. Les métaux lourds tels que Ag, As, Cd, Co, Cr, Cu, Fe, Hg, Mn, Ni, Pb, Ti et Zn ont été déterminés par la méthode du plasma couplé inclusif (ICP). Le cyanure a été analysé à l'aide d'un équipé d'une électrode spécifique au CN au BUMIGEB. Les résultats ont montré que les eaux étaient légèrement alcalines (6,97 &lt; pH &lt; 8,1), faiblement minéralisées et conductrices (124 &lt; EC &lt; 543 </w:t>
      </w:r>
      <w:proofErr w:type="spellStart"/>
      <w:r w:rsidRPr="007C5A6E">
        <w:rPr>
          <w:rFonts w:ascii="Times New Roman" w:eastAsiaTheme="minorHAnsi" w:hAnsi="Times New Roman"/>
          <w:kern w:val="2"/>
          <w:sz w:val="24"/>
          <w:szCs w:val="24"/>
          <w:lang w:eastAsia="en-US"/>
          <w14:ligatures w14:val="standardContextual"/>
        </w:rPr>
        <w:t>μS</w:t>
      </w:r>
      <w:proofErr w:type="spellEnd"/>
      <w:r w:rsidRPr="007C5A6E">
        <w:rPr>
          <w:rFonts w:ascii="Times New Roman" w:eastAsiaTheme="minorHAnsi" w:hAnsi="Times New Roman"/>
          <w:kern w:val="2"/>
          <w:sz w:val="24"/>
          <w:szCs w:val="24"/>
          <w:lang w:eastAsia="en-US"/>
          <w14:ligatures w14:val="standardContextual"/>
        </w:rPr>
        <w:t xml:space="preserve">/cm), avec des températures allant de 24,6˚C à 31,6˚C. De plus, les métaux traces (TME) analysés dans les eaux de surface et souterraines présentaient des niveaux très élevés, s’écartant généralement des niveaux recommandés par les directives de l’OMS pour le Burkina Faso. </w:t>
      </w:r>
    </w:p>
    <w:p w14:paraId="37192961" w14:textId="77777777" w:rsidR="00773466" w:rsidRPr="007C5A6E" w:rsidRDefault="00773466" w:rsidP="0093589E">
      <w:pPr>
        <w:spacing w:after="0" w:line="240" w:lineRule="auto"/>
        <w:jc w:val="both"/>
        <w:rPr>
          <w:rFonts w:ascii="Times New Roman" w:eastAsiaTheme="minorHAnsi" w:hAnsi="Times New Roman"/>
          <w:kern w:val="2"/>
          <w:sz w:val="24"/>
          <w:szCs w:val="24"/>
          <w:lang w:eastAsia="en-US"/>
          <w14:ligatures w14:val="standardContextual"/>
        </w:rPr>
      </w:pPr>
    </w:p>
    <w:p w14:paraId="721CB48A" w14:textId="77777777" w:rsidR="0077346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La contamination des ressources en eau de la commune de Méguet par des traces d'éléments métalliques est principalement due au Fe (3,78 - 11,12 mg/kg), au Hg (0,03 - 0,29 mg/kg), à l'As (0,01 - 6,31 mg/kg) et au Pb (0,01 - 3,8 mg/kg). L’équipe d’Idrissa et al. (2023) a investigué sur l’influence des rejets municipaux sur la qualité physico-chimique et biologique des écosystèmes aquatiques urbains de la rivière </w:t>
      </w:r>
      <w:proofErr w:type="spellStart"/>
      <w:r w:rsidRPr="007C5A6E">
        <w:rPr>
          <w:rFonts w:ascii="Times New Roman" w:eastAsiaTheme="minorHAnsi" w:hAnsi="Times New Roman"/>
          <w:kern w:val="2"/>
          <w:sz w:val="24"/>
          <w:szCs w:val="24"/>
          <w:lang w:eastAsia="en-US"/>
          <w14:ligatures w14:val="standardContextual"/>
        </w:rPr>
        <w:t>Massili</w:t>
      </w:r>
      <w:proofErr w:type="spellEnd"/>
      <w:r w:rsidRPr="007C5A6E">
        <w:rPr>
          <w:rFonts w:ascii="Times New Roman" w:eastAsiaTheme="minorHAnsi" w:hAnsi="Times New Roman"/>
          <w:kern w:val="2"/>
          <w:sz w:val="24"/>
          <w:szCs w:val="24"/>
          <w:lang w:eastAsia="en-US"/>
          <w14:ligatures w14:val="standardContextual"/>
        </w:rPr>
        <w:t xml:space="preserve"> de septembre à octobre 2020. </w:t>
      </w:r>
    </w:p>
    <w:p w14:paraId="07C5EAF7" w14:textId="77777777" w:rsidR="00773466" w:rsidRPr="007C5A6E" w:rsidRDefault="00773466" w:rsidP="0093589E">
      <w:pPr>
        <w:spacing w:after="0" w:line="240" w:lineRule="auto"/>
        <w:jc w:val="both"/>
        <w:rPr>
          <w:rFonts w:ascii="Times New Roman" w:eastAsiaTheme="minorHAnsi" w:hAnsi="Times New Roman"/>
          <w:kern w:val="2"/>
          <w:sz w:val="24"/>
          <w:szCs w:val="24"/>
          <w:lang w:eastAsia="en-US"/>
          <w14:ligatures w14:val="standardContextual"/>
        </w:rPr>
      </w:pPr>
    </w:p>
    <w:p w14:paraId="0BF363AE" w14:textId="77777777" w:rsidR="0093589E"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Les variables physico-chimiques clés tels que le pH, les solides totaux dissous (STD), la température, la conductivité de l’eau ont été mesurés in situ à l’aide d’un multi-paramètre portatif de marque Hanna.</w:t>
      </w:r>
      <w:r w:rsidRPr="007C5A6E">
        <w:rPr>
          <w:rFonts w:ascii="Times New Roman" w:eastAsiaTheme="minorHAnsi" w:hAnsi="Times New Roman"/>
          <w:kern w:val="2"/>
          <w:lang w:eastAsia="en-US"/>
          <w14:ligatures w14:val="standardContextual"/>
        </w:rPr>
        <w:t xml:space="preserve"> </w:t>
      </w:r>
      <w:r w:rsidRPr="007C5A6E">
        <w:rPr>
          <w:rFonts w:ascii="Times New Roman" w:eastAsiaTheme="minorHAnsi" w:hAnsi="Times New Roman"/>
          <w:kern w:val="2"/>
          <w:sz w:val="24"/>
          <w:szCs w:val="24"/>
          <w:lang w:eastAsia="en-US"/>
          <w14:ligatures w14:val="standardContextual"/>
        </w:rPr>
        <w:t xml:space="preserve">Au laboratoire, les analyses ont concerné les ions nitrate, nitrite, ammonium, ortho-phosphate, les matières en suspension (MES) ; la demande chimique en oxygène (DCO), la demande biochimique en oxygène (DBO5), les coliformes totaux, Escherichia coli et les streptocoques fécaux. Les ions chlorures ont été déterminés par la méthode de titration, tandis que les ions : nitrate, nitrite, ammonium et phosphore ont été analysés par la méthode spectrophotométrie (UV) ionique. Les matières en suspension (MES) ont été déterminées par la méthode gravimétrie (sec à 105◦C). La demande chimique en oxygène (DCO) a été déterminée par la méthode au permanganate de potassium et la demande biochimique en oxygène après 5 jours (DBO5) suivant la méthode respirométrique. Les indicateurs de contamination fécale : coliformes totaux, Escherichia coli et les streptocoques fécaux ont été mesurés à l’aide des méthodes normalisées de routine dont la technique de filtration sur membrane. Les résultats ont montré des concentrations très élevées des variables physico-chimiques enregistrés à l’amont. </w:t>
      </w:r>
    </w:p>
    <w:p w14:paraId="01B1D218" w14:textId="77777777" w:rsidR="0093589E" w:rsidRPr="007C5A6E" w:rsidRDefault="0093589E" w:rsidP="0093589E">
      <w:pPr>
        <w:spacing w:after="0" w:line="240" w:lineRule="auto"/>
        <w:jc w:val="both"/>
        <w:rPr>
          <w:rFonts w:ascii="Times New Roman" w:eastAsiaTheme="minorHAnsi" w:hAnsi="Times New Roman"/>
          <w:kern w:val="2"/>
          <w:sz w:val="24"/>
          <w:szCs w:val="24"/>
          <w:lang w:eastAsia="en-US"/>
          <w14:ligatures w14:val="standardContextual"/>
        </w:rPr>
      </w:pPr>
    </w:p>
    <w:p w14:paraId="0A18BBAB" w14:textId="77777777" w:rsidR="0093589E"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Les teneurs en coliformes totaux, Escherichia coli et streptocoques fécaux responsables de maladies hydriques étaient également très élevées à l’amont. Quant aux </w:t>
      </w:r>
      <w:r w:rsidR="0093589E" w:rsidRPr="007C5A6E">
        <w:rPr>
          <w:rFonts w:ascii="Times New Roman" w:eastAsiaTheme="minorHAnsi" w:hAnsi="Times New Roman"/>
          <w:kern w:val="2"/>
          <w:sz w:val="24"/>
          <w:szCs w:val="24"/>
          <w:lang w:eastAsia="en-US"/>
          <w14:ligatures w14:val="standardContextual"/>
        </w:rPr>
        <w:t>macro-invertébrés</w:t>
      </w:r>
      <w:r w:rsidRPr="007C5A6E">
        <w:rPr>
          <w:rFonts w:ascii="Times New Roman" w:eastAsiaTheme="minorHAnsi" w:hAnsi="Times New Roman"/>
          <w:kern w:val="2"/>
          <w:sz w:val="24"/>
          <w:szCs w:val="24"/>
          <w:lang w:eastAsia="en-US"/>
          <w14:ligatures w14:val="standardContextual"/>
        </w:rPr>
        <w:t xml:space="preserve">, les indices taxonomiques, de diversités et la composition relative des taxa </w:t>
      </w:r>
      <w:proofErr w:type="spellStart"/>
      <w:r w:rsidRPr="007C5A6E">
        <w:rPr>
          <w:rFonts w:ascii="Times New Roman" w:eastAsiaTheme="minorHAnsi" w:hAnsi="Times New Roman"/>
          <w:kern w:val="2"/>
          <w:sz w:val="24"/>
          <w:szCs w:val="24"/>
          <w:lang w:eastAsia="en-US"/>
          <w14:ligatures w14:val="standardContextual"/>
        </w:rPr>
        <w:t>polluo</w:t>
      </w:r>
      <w:proofErr w:type="spellEnd"/>
      <w:r w:rsidRPr="007C5A6E">
        <w:rPr>
          <w:rFonts w:ascii="Times New Roman" w:eastAsiaTheme="minorHAnsi" w:hAnsi="Times New Roman"/>
          <w:kern w:val="2"/>
          <w:sz w:val="24"/>
          <w:szCs w:val="24"/>
          <w:lang w:eastAsia="en-US"/>
          <w14:ligatures w14:val="standardContextual"/>
        </w:rPr>
        <w:t xml:space="preserve">-sensibles étaient très faibles à l’aval qu’en l’amont traduisant le très mauvais état physico-chimique et biologique du cours d’eau. </w:t>
      </w:r>
      <w:proofErr w:type="spellStart"/>
      <w:r w:rsidRPr="007C5A6E">
        <w:rPr>
          <w:rFonts w:ascii="Times New Roman" w:eastAsiaTheme="minorHAnsi" w:hAnsi="Times New Roman"/>
          <w:kern w:val="2"/>
          <w:sz w:val="24"/>
          <w:szCs w:val="24"/>
          <w:lang w:eastAsia="en-US"/>
          <w14:ligatures w14:val="standardContextual"/>
        </w:rPr>
        <w:t>Kagambega</w:t>
      </w:r>
      <w:proofErr w:type="spellEnd"/>
      <w:r w:rsidRPr="007C5A6E">
        <w:rPr>
          <w:rFonts w:ascii="Times New Roman" w:eastAsiaTheme="minorHAnsi" w:hAnsi="Times New Roman"/>
          <w:kern w:val="2"/>
          <w:sz w:val="24"/>
          <w:szCs w:val="24"/>
          <w:lang w:eastAsia="en-US"/>
          <w14:ligatures w14:val="standardContextual"/>
        </w:rPr>
        <w:t xml:space="preserve"> et al. (2023) ont évalué le niveau de pollution des eaux et des sédiments fluviaux en lien avec la mine artisanale à Alga. Des échantillons d’eau de surface, souterraine, de sédiments fluviaux et des résidus miniers ont été prélevés et analyses. L’analyse des paramètres physico-chimiques et des teneurs en métaux (cadmium, chrome, cuivre, mercure, nickel, plomb, zinc et arsenic) des eaux ont montré que les valeurs étaient conformes aux normes de potabilité de l’eau en vigueur au Burkina Faso. </w:t>
      </w:r>
    </w:p>
    <w:p w14:paraId="7A41FA9C" w14:textId="2F4BCD89" w:rsidR="0077346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Cependant, les différents indices calculés, à savoir l’indice de géo-accumulation (</w:t>
      </w:r>
      <w:proofErr w:type="spellStart"/>
      <w:r w:rsidRPr="007C5A6E">
        <w:rPr>
          <w:rFonts w:ascii="Times New Roman" w:eastAsiaTheme="minorHAnsi" w:hAnsi="Times New Roman"/>
          <w:kern w:val="2"/>
          <w:sz w:val="24"/>
          <w:szCs w:val="24"/>
          <w:lang w:eastAsia="en-US"/>
          <w14:ligatures w14:val="standardContextual"/>
        </w:rPr>
        <w:t>Igeo</w:t>
      </w:r>
      <w:proofErr w:type="spellEnd"/>
      <w:r w:rsidRPr="007C5A6E">
        <w:rPr>
          <w:rFonts w:ascii="Times New Roman" w:eastAsiaTheme="minorHAnsi" w:hAnsi="Times New Roman"/>
          <w:kern w:val="2"/>
          <w:sz w:val="24"/>
          <w:szCs w:val="24"/>
          <w:lang w:eastAsia="en-US"/>
          <w14:ligatures w14:val="standardContextual"/>
        </w:rPr>
        <w:t xml:space="preserve">), le facteur de contamination (CF) et le facteur d’enrichissement (EF) ont montré que les teneurs totales en métaux des sédiments fluviaux ne n’étaient t pas d’origine lithogène (naturelle) mais imputables à l’exploitation artisanale dans le village d’Alga. Ils ont mis en évidence une pollution métallique avec des niveaux élevés d’arsenic et de cadmium et des niveaux extrêmement élevés de mercure. </w:t>
      </w:r>
    </w:p>
    <w:p w14:paraId="1677B389" w14:textId="77777777" w:rsidR="00773466" w:rsidRPr="007C5A6E" w:rsidRDefault="00773466" w:rsidP="0093589E">
      <w:pPr>
        <w:spacing w:after="0" w:line="240" w:lineRule="auto"/>
        <w:jc w:val="both"/>
        <w:rPr>
          <w:rFonts w:ascii="Times New Roman" w:eastAsiaTheme="minorHAnsi" w:hAnsi="Times New Roman"/>
          <w:kern w:val="2"/>
          <w:sz w:val="24"/>
          <w:szCs w:val="24"/>
          <w:lang w:eastAsia="en-US"/>
          <w14:ligatures w14:val="standardContextual"/>
        </w:rPr>
      </w:pPr>
    </w:p>
    <w:p w14:paraId="199439FE" w14:textId="77777777" w:rsidR="0093589E"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Maïga-</w:t>
      </w:r>
      <w:proofErr w:type="spellStart"/>
      <w:r w:rsidRPr="007C5A6E">
        <w:rPr>
          <w:rFonts w:ascii="Times New Roman" w:eastAsiaTheme="minorHAnsi" w:hAnsi="Times New Roman"/>
          <w:kern w:val="2"/>
          <w:sz w:val="24"/>
          <w:szCs w:val="24"/>
          <w:lang w:eastAsia="en-US"/>
          <w14:ligatures w14:val="standardContextual"/>
        </w:rPr>
        <w:t>Yaleu</w:t>
      </w:r>
      <w:proofErr w:type="spellEnd"/>
      <w:r w:rsidRPr="007C5A6E">
        <w:rPr>
          <w:rFonts w:ascii="Times New Roman" w:eastAsiaTheme="minorHAnsi" w:hAnsi="Times New Roman"/>
          <w:kern w:val="2"/>
          <w:sz w:val="24"/>
          <w:szCs w:val="24"/>
          <w:lang w:eastAsia="en-US"/>
          <w14:ligatures w14:val="standardContextual"/>
        </w:rPr>
        <w:t xml:space="preserve"> et al. (2020) ont évalué l’état des métaux lourds dans les eaux de surface du Sous-bassin versant du Barrage de </w:t>
      </w:r>
      <w:proofErr w:type="spellStart"/>
      <w:r w:rsidRPr="007C5A6E">
        <w:rPr>
          <w:rFonts w:ascii="Times New Roman" w:eastAsiaTheme="minorHAnsi" w:hAnsi="Times New Roman"/>
          <w:kern w:val="2"/>
          <w:sz w:val="24"/>
          <w:szCs w:val="24"/>
          <w:lang w:eastAsia="en-US"/>
          <w14:ligatures w14:val="standardContextual"/>
        </w:rPr>
        <w:t>Tougou</w:t>
      </w:r>
      <w:proofErr w:type="spellEnd"/>
      <w:r w:rsidRPr="007C5A6E">
        <w:rPr>
          <w:rFonts w:ascii="Times New Roman" w:eastAsiaTheme="minorHAnsi" w:hAnsi="Times New Roman"/>
          <w:kern w:val="2"/>
          <w:sz w:val="24"/>
          <w:szCs w:val="24"/>
          <w:lang w:eastAsia="en-US"/>
          <w14:ligatures w14:val="standardContextual"/>
        </w:rPr>
        <w:t xml:space="preserve"> dont les eaux proviennent essentiellement des activités agricoles. Des échantillons d’eau ont été prélevés à l’entrée du plan d’eau et en plusieurs points situés sur le plan d’eau, d’août à octobre 2019. Les échantillons d’eau ont été caractérisés pour la température, le pH, la conductivité électrique (CE), le sulfate (SO4 2-), le nitrate (NO3-) et le phosphate (PO4 3-). </w:t>
      </w:r>
    </w:p>
    <w:p w14:paraId="7896B3D1" w14:textId="554029E6" w:rsidR="0077346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Les résultats ont montré que la gamme de CE était comprise entre 27,45 et 53,90 µS/cm avec un pH moyen de 6,4. Le nitrate (NO3</w:t>
      </w:r>
      <w:r w:rsidRPr="007C5A6E">
        <w:rPr>
          <w:rFonts w:ascii="Times New Roman" w:eastAsiaTheme="minorHAnsi" w:hAnsi="Times New Roman"/>
          <w:kern w:val="2"/>
          <w:sz w:val="24"/>
          <w:szCs w:val="24"/>
          <w:vertAlign w:val="superscript"/>
          <w:lang w:eastAsia="en-US"/>
          <w14:ligatures w14:val="standardContextual"/>
        </w:rPr>
        <w:t>-</w:t>
      </w:r>
      <w:r w:rsidRPr="007C5A6E">
        <w:rPr>
          <w:rFonts w:ascii="Times New Roman" w:eastAsiaTheme="minorHAnsi" w:hAnsi="Times New Roman"/>
          <w:kern w:val="2"/>
          <w:sz w:val="24"/>
          <w:szCs w:val="24"/>
          <w:lang w:eastAsia="en-US"/>
          <w14:ligatures w14:val="standardContextual"/>
        </w:rPr>
        <w:t>) était l'anion le plus abondant dans l'eau (39,70 mg/L) et les phosphates (PO4</w:t>
      </w:r>
      <w:r w:rsidRPr="007C5A6E">
        <w:rPr>
          <w:rFonts w:ascii="Times New Roman" w:eastAsiaTheme="minorHAnsi" w:hAnsi="Times New Roman"/>
          <w:kern w:val="2"/>
          <w:sz w:val="24"/>
          <w:szCs w:val="24"/>
          <w:vertAlign w:val="superscript"/>
          <w:lang w:eastAsia="en-US"/>
          <w14:ligatures w14:val="standardContextual"/>
        </w:rPr>
        <w:t>3-</w:t>
      </w:r>
      <w:r w:rsidRPr="007C5A6E">
        <w:rPr>
          <w:rFonts w:ascii="Times New Roman" w:eastAsiaTheme="minorHAnsi" w:hAnsi="Times New Roman"/>
          <w:kern w:val="2"/>
          <w:sz w:val="24"/>
          <w:szCs w:val="24"/>
          <w:lang w:eastAsia="en-US"/>
          <w14:ligatures w14:val="standardContextual"/>
        </w:rPr>
        <w:t xml:space="preserve">) étaient présents en très faible quantité (0,34 mg/L). Les résultats ont également montré de très faibles concentrations de Pb et de Cd, inférieures à 5 µg/L et inférieures à 2 µg/L, respectivement. Les concentrations d'As, Mn et Zn dans l'eau étaient respectivement de 2,8 µg/L, 13,2 µg/L et 9,8 µg/L. Les pratiques agricoles n'avaient donc pas d'effet significatif sur les eaux de surface. Les concentrations de métaux lourds analysées dans l'eau étaient inférieures aux normes établies par l'OMS pour la qualité de l'eau potable. </w:t>
      </w:r>
      <w:proofErr w:type="spellStart"/>
      <w:r w:rsidRPr="007C5A6E">
        <w:rPr>
          <w:rFonts w:ascii="Times New Roman" w:eastAsiaTheme="minorHAnsi" w:hAnsi="Times New Roman"/>
          <w:kern w:val="2"/>
          <w:sz w:val="24"/>
          <w:szCs w:val="24"/>
          <w:lang w:eastAsia="en-US"/>
          <w14:ligatures w14:val="standardContextual"/>
        </w:rPr>
        <w:t>Pélédé</w:t>
      </w:r>
      <w:proofErr w:type="spellEnd"/>
      <w:r w:rsidRPr="007C5A6E">
        <w:rPr>
          <w:rFonts w:ascii="Times New Roman" w:eastAsiaTheme="minorHAnsi" w:hAnsi="Times New Roman"/>
          <w:kern w:val="2"/>
          <w:sz w:val="24"/>
          <w:szCs w:val="24"/>
          <w:lang w:eastAsia="en-US"/>
          <w14:ligatures w14:val="standardContextual"/>
        </w:rPr>
        <w:t xml:space="preserve"> et al. (2018) ont étudié l'état écologique des sédiments du réservoir de </w:t>
      </w:r>
      <w:proofErr w:type="spellStart"/>
      <w:r w:rsidRPr="007C5A6E">
        <w:rPr>
          <w:rFonts w:ascii="Times New Roman" w:eastAsiaTheme="minorHAnsi" w:hAnsi="Times New Roman"/>
          <w:kern w:val="2"/>
          <w:sz w:val="24"/>
          <w:szCs w:val="24"/>
          <w:lang w:eastAsia="en-US"/>
          <w14:ligatures w14:val="standardContextual"/>
        </w:rPr>
        <w:t>Soubeira</w:t>
      </w:r>
      <w:proofErr w:type="spellEnd"/>
      <w:r w:rsidRPr="007C5A6E">
        <w:rPr>
          <w:rFonts w:ascii="Times New Roman" w:eastAsiaTheme="minorHAnsi" w:hAnsi="Times New Roman"/>
          <w:kern w:val="2"/>
          <w:sz w:val="24"/>
          <w:szCs w:val="24"/>
          <w:lang w:eastAsia="en-US"/>
          <w14:ligatures w14:val="standardContextual"/>
        </w:rPr>
        <w:t xml:space="preserve">, en utilisant les concentrations d'une série de métaux lourds. Les résultats des concentrations des métaux ont permis de les classer comme suit : Fe&gt; Mn&gt; Cr&gt; Zn&gt; Cu&gt; Pb&gt; As ~ Co&gt; Hg ~ Mo&gt; Cd. </w:t>
      </w:r>
    </w:p>
    <w:p w14:paraId="0CAE6EB5" w14:textId="77777777" w:rsidR="00773466" w:rsidRPr="007C5A6E" w:rsidRDefault="00773466" w:rsidP="0093589E">
      <w:pPr>
        <w:spacing w:after="0" w:line="240" w:lineRule="auto"/>
        <w:jc w:val="both"/>
        <w:rPr>
          <w:rFonts w:ascii="Times New Roman" w:eastAsiaTheme="minorHAnsi" w:hAnsi="Times New Roman"/>
          <w:kern w:val="2"/>
          <w:sz w:val="24"/>
          <w:szCs w:val="24"/>
          <w:lang w:eastAsia="en-US"/>
          <w14:ligatures w14:val="standardContextual"/>
        </w:rPr>
      </w:pPr>
    </w:p>
    <w:p w14:paraId="56E0E9B8" w14:textId="77777777" w:rsidR="0093589E"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Sur la base de l'analyse de corrélation, il est ressorti que le Fe, avec des relations plus faibles avec d'autres métaux, pourrait provenir du sol ferrugineux local, tandis que le Cd, le Cu et le Cr pourraient provenir principalement de sources anthropiques et transportés par des minéraux argileux dans le réservoir. En revanche, l'abondance de Hg et d’As pourrait être liée à l'exploitation artisanale de l'or dans l'environnement environnant. </w:t>
      </w:r>
    </w:p>
    <w:p w14:paraId="44F6A068" w14:textId="77777777" w:rsidR="007A6F6C"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Les indices de risque écologique potentiel et d'effets indésirables suggéraient tous deux que les sédiments du réservoir étaient fortement pollués. Cinq métaux lourds (As, Cd, Cu, Cr et Hg) pourraient avoir des effets indésirables sur le biote, tandis que seuls le Hg et le Cd semblaient présenter des indices de risque écologique potentiel élevé et modéré, respectivement. </w:t>
      </w:r>
    </w:p>
    <w:p w14:paraId="034ED6DE" w14:textId="77777777" w:rsidR="007A6F6C" w:rsidRPr="007C5A6E" w:rsidRDefault="007A6F6C" w:rsidP="0093589E">
      <w:pPr>
        <w:spacing w:after="0" w:line="240" w:lineRule="auto"/>
        <w:jc w:val="both"/>
        <w:rPr>
          <w:rFonts w:ascii="Times New Roman" w:eastAsiaTheme="minorHAnsi" w:hAnsi="Times New Roman"/>
          <w:kern w:val="2"/>
          <w:sz w:val="24"/>
          <w:szCs w:val="24"/>
          <w:lang w:eastAsia="en-US"/>
          <w14:ligatures w14:val="standardContextual"/>
        </w:rPr>
      </w:pPr>
    </w:p>
    <w:p w14:paraId="0B28623B" w14:textId="77777777" w:rsidR="007A6F6C"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proofErr w:type="spellStart"/>
      <w:r w:rsidRPr="007C5A6E">
        <w:rPr>
          <w:rFonts w:ascii="Times New Roman" w:eastAsiaTheme="minorHAnsi" w:hAnsi="Times New Roman"/>
          <w:kern w:val="2"/>
          <w:sz w:val="24"/>
          <w:szCs w:val="24"/>
          <w:lang w:eastAsia="en-US"/>
          <w14:ligatures w14:val="standardContextual"/>
        </w:rPr>
        <w:t>Millogo</w:t>
      </w:r>
      <w:proofErr w:type="spellEnd"/>
      <w:r w:rsidRPr="007C5A6E">
        <w:rPr>
          <w:rFonts w:ascii="Times New Roman" w:eastAsiaTheme="minorHAnsi" w:hAnsi="Times New Roman"/>
          <w:kern w:val="2"/>
          <w:sz w:val="24"/>
          <w:szCs w:val="24"/>
          <w:lang w:eastAsia="en-US"/>
          <w14:ligatures w14:val="standardContextual"/>
        </w:rPr>
        <w:t xml:space="preserve"> et al. (2018) ont évalué les pollutions agricoles et minières des plans d'eau du bassin du Nakanbé notamment de </w:t>
      </w:r>
      <w:proofErr w:type="spellStart"/>
      <w:r w:rsidRPr="007C5A6E">
        <w:rPr>
          <w:rFonts w:ascii="Times New Roman" w:eastAsiaTheme="minorHAnsi" w:hAnsi="Times New Roman"/>
          <w:kern w:val="2"/>
          <w:sz w:val="24"/>
          <w:szCs w:val="24"/>
          <w:lang w:eastAsia="en-US"/>
          <w14:ligatures w14:val="standardContextual"/>
        </w:rPr>
        <w:t>Goinré</w:t>
      </w:r>
      <w:proofErr w:type="spellEnd"/>
      <w:r w:rsidRPr="007C5A6E">
        <w:rPr>
          <w:rFonts w:ascii="Times New Roman" w:eastAsiaTheme="minorHAnsi" w:hAnsi="Times New Roman"/>
          <w:kern w:val="2"/>
          <w:sz w:val="24"/>
          <w:szCs w:val="24"/>
          <w:lang w:eastAsia="en-US"/>
          <w14:ligatures w14:val="standardContextual"/>
        </w:rPr>
        <w:t xml:space="preserve">, </w:t>
      </w:r>
      <w:proofErr w:type="spellStart"/>
      <w:r w:rsidRPr="007C5A6E">
        <w:rPr>
          <w:rFonts w:ascii="Times New Roman" w:eastAsiaTheme="minorHAnsi" w:hAnsi="Times New Roman"/>
          <w:kern w:val="2"/>
          <w:sz w:val="24"/>
          <w:szCs w:val="24"/>
          <w:lang w:eastAsia="en-US"/>
          <w14:ligatures w14:val="standardContextual"/>
        </w:rPr>
        <w:t>Ziga</w:t>
      </w:r>
      <w:proofErr w:type="spellEnd"/>
      <w:r w:rsidRPr="007C5A6E">
        <w:rPr>
          <w:rFonts w:ascii="Times New Roman" w:eastAsiaTheme="minorHAnsi" w:hAnsi="Times New Roman"/>
          <w:kern w:val="2"/>
          <w:sz w:val="24"/>
          <w:szCs w:val="24"/>
          <w:lang w:eastAsia="en-US"/>
          <w14:ligatures w14:val="standardContextual"/>
        </w:rPr>
        <w:t xml:space="preserve"> et Bagré durant la période d’août à décembre. Les résultats ont montré que les valeurs moyennes pour les nitrates étaient de 0,833 mg/L dans la retenue d’eau douce de </w:t>
      </w:r>
      <w:proofErr w:type="spellStart"/>
      <w:r w:rsidRPr="007C5A6E">
        <w:rPr>
          <w:rFonts w:ascii="Times New Roman" w:eastAsiaTheme="minorHAnsi" w:hAnsi="Times New Roman"/>
          <w:kern w:val="2"/>
          <w:sz w:val="24"/>
          <w:szCs w:val="24"/>
          <w:lang w:eastAsia="en-US"/>
          <w14:ligatures w14:val="standardContextual"/>
        </w:rPr>
        <w:t>Goinré</w:t>
      </w:r>
      <w:proofErr w:type="spellEnd"/>
      <w:r w:rsidRPr="007C5A6E">
        <w:rPr>
          <w:rFonts w:ascii="Times New Roman" w:eastAsiaTheme="minorHAnsi" w:hAnsi="Times New Roman"/>
          <w:kern w:val="2"/>
          <w:sz w:val="24"/>
          <w:szCs w:val="24"/>
          <w:lang w:eastAsia="en-US"/>
          <w14:ligatures w14:val="standardContextual"/>
        </w:rPr>
        <w:t xml:space="preserve">, 1,372 mg/L dans la retenue de </w:t>
      </w:r>
      <w:proofErr w:type="spellStart"/>
      <w:r w:rsidRPr="007C5A6E">
        <w:rPr>
          <w:rFonts w:ascii="Times New Roman" w:eastAsiaTheme="minorHAnsi" w:hAnsi="Times New Roman"/>
          <w:kern w:val="2"/>
          <w:sz w:val="24"/>
          <w:szCs w:val="24"/>
          <w:lang w:eastAsia="en-US"/>
          <w14:ligatures w14:val="standardContextual"/>
        </w:rPr>
        <w:t>Ziga</w:t>
      </w:r>
      <w:proofErr w:type="spellEnd"/>
      <w:r w:rsidRPr="007C5A6E">
        <w:rPr>
          <w:rFonts w:ascii="Times New Roman" w:eastAsiaTheme="minorHAnsi" w:hAnsi="Times New Roman"/>
          <w:kern w:val="2"/>
          <w:sz w:val="24"/>
          <w:szCs w:val="24"/>
          <w:lang w:eastAsia="en-US"/>
          <w14:ligatures w14:val="standardContextual"/>
        </w:rPr>
        <w:t xml:space="preserve"> et 1,267 mg/L dans la retenue d’eau douce de Bagré. Quant à l’</w:t>
      </w:r>
      <w:proofErr w:type="spellStart"/>
      <w:r w:rsidRPr="007C5A6E">
        <w:rPr>
          <w:rFonts w:ascii="Times New Roman" w:eastAsiaTheme="minorHAnsi" w:hAnsi="Times New Roman"/>
          <w:kern w:val="2"/>
          <w:sz w:val="24"/>
          <w:szCs w:val="24"/>
          <w:lang w:eastAsia="en-US"/>
          <w14:ligatures w14:val="standardContextual"/>
        </w:rPr>
        <w:t>orthophosphate</w:t>
      </w:r>
      <w:proofErr w:type="spellEnd"/>
      <w:r w:rsidRPr="007C5A6E">
        <w:rPr>
          <w:rFonts w:ascii="Times New Roman" w:eastAsiaTheme="minorHAnsi" w:hAnsi="Times New Roman"/>
          <w:kern w:val="2"/>
          <w:sz w:val="24"/>
          <w:szCs w:val="24"/>
          <w:lang w:eastAsia="en-US"/>
          <w14:ligatures w14:val="standardContextual"/>
        </w:rPr>
        <w:t xml:space="preserve">, les valeurs moyennes étaient de 0,357 mg/L dans la retenue de </w:t>
      </w:r>
      <w:proofErr w:type="spellStart"/>
      <w:r w:rsidRPr="007C5A6E">
        <w:rPr>
          <w:rFonts w:ascii="Times New Roman" w:eastAsiaTheme="minorHAnsi" w:hAnsi="Times New Roman"/>
          <w:kern w:val="2"/>
          <w:sz w:val="24"/>
          <w:szCs w:val="24"/>
          <w:lang w:eastAsia="en-US"/>
          <w14:ligatures w14:val="standardContextual"/>
        </w:rPr>
        <w:t>Goinré</w:t>
      </w:r>
      <w:proofErr w:type="spellEnd"/>
      <w:r w:rsidRPr="007C5A6E">
        <w:rPr>
          <w:rFonts w:ascii="Times New Roman" w:eastAsiaTheme="minorHAnsi" w:hAnsi="Times New Roman"/>
          <w:kern w:val="2"/>
          <w:sz w:val="24"/>
          <w:szCs w:val="24"/>
          <w:lang w:eastAsia="en-US"/>
          <w14:ligatures w14:val="standardContextual"/>
        </w:rPr>
        <w:t xml:space="preserve">, 0,157 mg/L dans la retenue de </w:t>
      </w:r>
      <w:proofErr w:type="spellStart"/>
      <w:r w:rsidRPr="007C5A6E">
        <w:rPr>
          <w:rFonts w:ascii="Times New Roman" w:eastAsiaTheme="minorHAnsi" w:hAnsi="Times New Roman"/>
          <w:kern w:val="2"/>
          <w:sz w:val="24"/>
          <w:szCs w:val="24"/>
          <w:lang w:eastAsia="en-US"/>
          <w14:ligatures w14:val="standardContextual"/>
        </w:rPr>
        <w:t>Ziga</w:t>
      </w:r>
      <w:proofErr w:type="spellEnd"/>
      <w:r w:rsidRPr="007C5A6E">
        <w:rPr>
          <w:rFonts w:ascii="Times New Roman" w:eastAsiaTheme="minorHAnsi" w:hAnsi="Times New Roman"/>
          <w:kern w:val="2"/>
          <w:sz w:val="24"/>
          <w:szCs w:val="24"/>
          <w:lang w:eastAsia="en-US"/>
          <w14:ligatures w14:val="standardContextual"/>
        </w:rPr>
        <w:t xml:space="preserve"> et 0,123 mg/L dans la retenue de Bagré. </w:t>
      </w:r>
    </w:p>
    <w:p w14:paraId="4B935D03" w14:textId="77777777" w:rsidR="007A6F6C" w:rsidRPr="007C5A6E" w:rsidRDefault="007A6F6C" w:rsidP="0093589E">
      <w:pPr>
        <w:spacing w:after="0" w:line="240" w:lineRule="auto"/>
        <w:jc w:val="both"/>
        <w:rPr>
          <w:rFonts w:ascii="Times New Roman" w:eastAsiaTheme="minorHAnsi" w:hAnsi="Times New Roman"/>
          <w:kern w:val="2"/>
          <w:sz w:val="24"/>
          <w:szCs w:val="24"/>
          <w:lang w:eastAsia="en-US"/>
          <w14:ligatures w14:val="standardContextual"/>
        </w:rPr>
      </w:pPr>
    </w:p>
    <w:p w14:paraId="0945D491" w14:textId="38205616"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Ces valeurs moyennes sont supérieures aux normes établies par </w:t>
      </w:r>
      <w:proofErr w:type="spellStart"/>
      <w:r w:rsidRPr="007C5A6E">
        <w:rPr>
          <w:rFonts w:ascii="Times New Roman" w:eastAsiaTheme="minorHAnsi" w:hAnsi="Times New Roman"/>
          <w:kern w:val="2"/>
          <w:sz w:val="24"/>
          <w:szCs w:val="24"/>
          <w:lang w:eastAsia="en-US"/>
          <w14:ligatures w14:val="standardContextual"/>
        </w:rPr>
        <w:t>Nisbet</w:t>
      </w:r>
      <w:proofErr w:type="spellEnd"/>
      <w:r w:rsidRPr="007C5A6E">
        <w:rPr>
          <w:rFonts w:ascii="Times New Roman" w:eastAsiaTheme="minorHAnsi" w:hAnsi="Times New Roman"/>
          <w:kern w:val="2"/>
          <w:sz w:val="24"/>
          <w:szCs w:val="24"/>
          <w:lang w:eastAsia="en-US"/>
          <w14:ligatures w14:val="standardContextual"/>
        </w:rPr>
        <w:t xml:space="preserve"> et Vernaux (1970) pour l’eutrophisation. Les nitrates et l’</w:t>
      </w:r>
      <w:proofErr w:type="spellStart"/>
      <w:r w:rsidRPr="007C5A6E">
        <w:rPr>
          <w:rFonts w:ascii="Times New Roman" w:eastAsiaTheme="minorHAnsi" w:hAnsi="Times New Roman"/>
          <w:kern w:val="2"/>
          <w:sz w:val="24"/>
          <w:szCs w:val="24"/>
          <w:lang w:eastAsia="en-US"/>
          <w14:ligatures w14:val="standardContextual"/>
        </w:rPr>
        <w:t>orthophosphate</w:t>
      </w:r>
      <w:proofErr w:type="spellEnd"/>
      <w:r w:rsidRPr="007C5A6E">
        <w:rPr>
          <w:rFonts w:ascii="Times New Roman" w:eastAsiaTheme="minorHAnsi" w:hAnsi="Times New Roman"/>
          <w:kern w:val="2"/>
          <w:sz w:val="24"/>
          <w:szCs w:val="24"/>
          <w:lang w:eastAsia="en-US"/>
          <w14:ligatures w14:val="standardContextual"/>
        </w:rPr>
        <w:t xml:space="preserve"> sont les éléments qui contribuent à l’eutrophisation des surfaces d’eau dans le bassin du Nakanbé, bien que cette eutrophisation soit de faible intensité.</w:t>
      </w:r>
    </w:p>
    <w:p w14:paraId="56F8761F"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p>
    <w:p w14:paraId="620A5888" w14:textId="77777777" w:rsidR="007A6F6C"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Lehmann et al. (2017) ont étudié la contamination des ressources en eau par les pesticides dans les conditions climatiques et hydrologiques spécifiques du climat soudano-sahélien de 2014 à 2016. Des échantillons ont été collectés dans des puits traditionnels, des forages et un lac puis analyses par UPLC-MS/MS. Une analyse </w:t>
      </w:r>
      <w:proofErr w:type="spellStart"/>
      <w:r w:rsidRPr="007C5A6E">
        <w:rPr>
          <w:rFonts w:ascii="Times New Roman" w:eastAsiaTheme="minorHAnsi" w:hAnsi="Times New Roman"/>
          <w:kern w:val="2"/>
          <w:sz w:val="24"/>
          <w:szCs w:val="24"/>
          <w:lang w:eastAsia="en-US"/>
          <w14:ligatures w14:val="standardContextual"/>
        </w:rPr>
        <w:t>multirésidus</w:t>
      </w:r>
      <w:proofErr w:type="spellEnd"/>
      <w:r w:rsidRPr="007C5A6E">
        <w:rPr>
          <w:rFonts w:ascii="Times New Roman" w:eastAsiaTheme="minorHAnsi" w:hAnsi="Times New Roman"/>
          <w:kern w:val="2"/>
          <w:sz w:val="24"/>
          <w:szCs w:val="24"/>
          <w:lang w:eastAsia="en-US"/>
          <w14:ligatures w14:val="standardContextual"/>
        </w:rPr>
        <w:t xml:space="preserve"> a été développée pour 25 pesticides identifiés lors d'enquêtes de terrain. Des échantillonneurs intégratifs de produits chimiques organiques polaires (POCIS) ont été utilisés pour confirmer les tendances observées avec des échantillons ponctuels. La cinétique d'absorption des POCIS a été évaluée par étalonnage in situ. L'utilisation proposée de la régression des moindres carrés non linéaire s'est avérée être une approche robuste pour estimer la concentration moyenne pondérée dans le temps dans les cas d'absorption non linéaire. </w:t>
      </w:r>
    </w:p>
    <w:p w14:paraId="57AD958D" w14:textId="77777777" w:rsidR="007A6F6C"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Les taux d'échantillonnage élevés pour les triazines dans un lac quasi-stagnant ont été attribués à la température élevée de l'eau (30,8 ± 1,3 °C). La combinaison des techniques d'échantillonnage au cours d'une période de surveillance de 3 ans a permis d'identifier les interactions potentielles entre les ressources, les tendances saisonnières et les origines des contaminants. L'atrazine, l'azadirachtine, le carbofuran, le chlorpyrifos, la cyperméthrine, la dieldrine, l'imidaclopride et le profénofos ont dépassé 0,1 μg/L, ce qui indique un </w:t>
      </w:r>
      <w:r w:rsidR="005F0E2A" w:rsidRPr="007C5A6E">
        <w:rPr>
          <w:rFonts w:ascii="Times New Roman" w:eastAsiaTheme="minorHAnsi" w:hAnsi="Times New Roman"/>
          <w:kern w:val="2"/>
          <w:sz w:val="24"/>
          <w:szCs w:val="24"/>
          <w:lang w:eastAsia="en-US"/>
          <w14:ligatures w14:val="standardContextual"/>
        </w:rPr>
        <w:t>risque</w:t>
      </w:r>
      <w:r w:rsidRPr="007C5A6E">
        <w:rPr>
          <w:rFonts w:ascii="Times New Roman" w:eastAsiaTheme="minorHAnsi" w:hAnsi="Times New Roman"/>
          <w:kern w:val="2"/>
          <w:sz w:val="24"/>
          <w:szCs w:val="24"/>
          <w:lang w:eastAsia="en-US"/>
          <w14:ligatures w14:val="standardContextual"/>
        </w:rPr>
        <w:t xml:space="preserve"> pour les consommateurs. </w:t>
      </w:r>
    </w:p>
    <w:p w14:paraId="1C0DE95B" w14:textId="77777777" w:rsidR="007A6F6C" w:rsidRPr="007C5A6E" w:rsidRDefault="007A6F6C" w:rsidP="0093589E">
      <w:pPr>
        <w:spacing w:after="0" w:line="240" w:lineRule="auto"/>
        <w:jc w:val="both"/>
        <w:rPr>
          <w:rFonts w:ascii="Times New Roman" w:eastAsiaTheme="minorHAnsi" w:hAnsi="Times New Roman"/>
          <w:kern w:val="2"/>
          <w:sz w:val="24"/>
          <w:szCs w:val="24"/>
          <w:lang w:eastAsia="en-US"/>
          <w14:ligatures w14:val="standardContextual"/>
        </w:rPr>
      </w:pPr>
    </w:p>
    <w:p w14:paraId="14D86CFD" w14:textId="432275CC"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L'évaluation des risques écologiques a été réalisée à l'aide du Pesticide Tool Index pour les poissons, les cladocères et les invertébrés benthiques. Les concentrations maximales de cyperméthrine et de Chlorpyrifos ont été systématiquement associées à un danger pour les taxons étudiés.</w:t>
      </w:r>
    </w:p>
    <w:p w14:paraId="4DD9E4B3"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p>
    <w:p w14:paraId="77F2C6A2" w14:textId="77777777" w:rsidR="007A6F6C"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Des travaux relativement anciens ont concerné d’autres activités et localités. </w:t>
      </w:r>
      <w:proofErr w:type="spellStart"/>
      <w:r w:rsidRPr="007C5A6E">
        <w:rPr>
          <w:rFonts w:ascii="Times New Roman" w:eastAsiaTheme="minorHAnsi" w:hAnsi="Times New Roman"/>
          <w:kern w:val="2"/>
          <w:sz w:val="24"/>
          <w:szCs w:val="24"/>
          <w:lang w:eastAsia="en-US"/>
          <w14:ligatures w14:val="standardContextual"/>
        </w:rPr>
        <w:t>Kpoda</w:t>
      </w:r>
      <w:proofErr w:type="spellEnd"/>
      <w:r w:rsidRPr="007C5A6E">
        <w:rPr>
          <w:rFonts w:ascii="Times New Roman" w:eastAsiaTheme="minorHAnsi" w:hAnsi="Times New Roman"/>
          <w:kern w:val="2"/>
          <w:sz w:val="24"/>
          <w:szCs w:val="24"/>
          <w:lang w:eastAsia="en-US"/>
          <w14:ligatures w14:val="standardContextual"/>
        </w:rPr>
        <w:t xml:space="preserve"> et al. (2015) ont mené des investigations sur la qualité des eaux d’irrigation dans trois sites maraichers dont </w:t>
      </w:r>
      <w:proofErr w:type="spellStart"/>
      <w:r w:rsidRPr="007C5A6E">
        <w:rPr>
          <w:rFonts w:ascii="Times New Roman" w:eastAsiaTheme="minorHAnsi" w:hAnsi="Times New Roman"/>
          <w:kern w:val="2"/>
          <w:sz w:val="24"/>
          <w:szCs w:val="24"/>
          <w:lang w:eastAsia="en-US"/>
          <w14:ligatures w14:val="standardContextual"/>
        </w:rPr>
        <w:t>Boulmiougou</w:t>
      </w:r>
      <w:proofErr w:type="spellEnd"/>
      <w:r w:rsidRPr="007C5A6E">
        <w:rPr>
          <w:rFonts w:ascii="Times New Roman" w:eastAsiaTheme="minorHAnsi" w:hAnsi="Times New Roman"/>
          <w:kern w:val="2"/>
          <w:sz w:val="24"/>
          <w:szCs w:val="24"/>
          <w:lang w:eastAsia="en-US"/>
          <w14:ligatures w14:val="standardContextual"/>
        </w:rPr>
        <w:t xml:space="preserve">, </w:t>
      </w:r>
      <w:proofErr w:type="spellStart"/>
      <w:r w:rsidRPr="007C5A6E">
        <w:rPr>
          <w:rFonts w:ascii="Times New Roman" w:eastAsiaTheme="minorHAnsi" w:hAnsi="Times New Roman"/>
          <w:kern w:val="2"/>
          <w:sz w:val="24"/>
          <w:szCs w:val="24"/>
          <w:lang w:eastAsia="en-US"/>
          <w14:ligatures w14:val="standardContextual"/>
        </w:rPr>
        <w:t>Maco</w:t>
      </w:r>
      <w:proofErr w:type="spellEnd"/>
      <w:r w:rsidRPr="007C5A6E">
        <w:rPr>
          <w:rFonts w:ascii="Times New Roman" w:eastAsiaTheme="minorHAnsi" w:hAnsi="Times New Roman"/>
          <w:kern w:val="2"/>
          <w:sz w:val="24"/>
          <w:szCs w:val="24"/>
          <w:lang w:eastAsia="en-US"/>
          <w14:ligatures w14:val="standardContextual"/>
        </w:rPr>
        <w:t xml:space="preserve">, </w:t>
      </w:r>
      <w:proofErr w:type="spellStart"/>
      <w:r w:rsidRPr="007C5A6E">
        <w:rPr>
          <w:rFonts w:ascii="Times New Roman" w:eastAsiaTheme="minorHAnsi" w:hAnsi="Times New Roman"/>
          <w:kern w:val="2"/>
          <w:sz w:val="24"/>
          <w:szCs w:val="24"/>
          <w:lang w:eastAsia="en-US"/>
          <w14:ligatures w14:val="standardContextual"/>
        </w:rPr>
        <w:t>Wayalghin</w:t>
      </w:r>
      <w:proofErr w:type="spellEnd"/>
      <w:r w:rsidRPr="007C5A6E">
        <w:rPr>
          <w:rFonts w:ascii="Times New Roman" w:eastAsiaTheme="minorHAnsi" w:hAnsi="Times New Roman"/>
          <w:kern w:val="2"/>
          <w:sz w:val="24"/>
          <w:szCs w:val="24"/>
          <w:lang w:eastAsia="en-US"/>
          <w14:ligatures w14:val="standardContextual"/>
        </w:rPr>
        <w:t xml:space="preserve"> et </w:t>
      </w:r>
      <w:proofErr w:type="spellStart"/>
      <w:r w:rsidRPr="007C5A6E">
        <w:rPr>
          <w:rFonts w:ascii="Times New Roman" w:eastAsiaTheme="minorHAnsi" w:hAnsi="Times New Roman"/>
          <w:kern w:val="2"/>
          <w:sz w:val="24"/>
          <w:szCs w:val="24"/>
          <w:lang w:eastAsia="en-US"/>
          <w14:ligatures w14:val="standardContextual"/>
        </w:rPr>
        <w:t>Kossodo</w:t>
      </w:r>
      <w:proofErr w:type="spellEnd"/>
      <w:r w:rsidRPr="007C5A6E">
        <w:rPr>
          <w:rFonts w:ascii="Times New Roman" w:eastAsiaTheme="minorHAnsi" w:hAnsi="Times New Roman"/>
          <w:kern w:val="2"/>
          <w:sz w:val="24"/>
          <w:szCs w:val="24"/>
          <w:lang w:eastAsia="en-US"/>
          <w14:ligatures w14:val="standardContextual"/>
        </w:rPr>
        <w:t xml:space="preserve">. Les résultats ont montré que la conductivité des eaux était plus élevée en saison pluvieuse qu’en saison sèche. Les eaux usées brutes et traités avaient tous des valeurs de conductivité qui dépassaient les normes de la FAO en termes d’eau propice </w:t>
      </w:r>
      <w:r w:rsidR="005F0E2A" w:rsidRPr="007C5A6E">
        <w:rPr>
          <w:rFonts w:ascii="Times New Roman" w:eastAsiaTheme="minorHAnsi" w:hAnsi="Times New Roman"/>
          <w:kern w:val="2"/>
          <w:sz w:val="24"/>
          <w:szCs w:val="24"/>
          <w:lang w:eastAsia="en-US"/>
          <w14:ligatures w14:val="standardContextual"/>
        </w:rPr>
        <w:t>à</w:t>
      </w:r>
      <w:r w:rsidRPr="007C5A6E">
        <w:rPr>
          <w:rFonts w:ascii="Times New Roman" w:eastAsiaTheme="minorHAnsi" w:hAnsi="Times New Roman"/>
          <w:kern w:val="2"/>
          <w:sz w:val="24"/>
          <w:szCs w:val="24"/>
          <w:lang w:eastAsia="en-US"/>
          <w14:ligatures w14:val="standardContextual"/>
        </w:rPr>
        <w:t xml:space="preserve"> l’irrigation des cultures. La moyenne du pH des eaux était hautement basic et hors norme pour eau usée brut et traitées. Les concentrations des parasites (1-11 </w:t>
      </w:r>
      <w:proofErr w:type="spellStart"/>
      <w:r w:rsidRPr="007C5A6E">
        <w:rPr>
          <w:rFonts w:ascii="Times New Roman" w:eastAsiaTheme="minorHAnsi" w:hAnsi="Times New Roman"/>
          <w:kern w:val="2"/>
          <w:sz w:val="24"/>
          <w:szCs w:val="24"/>
          <w:lang w:eastAsia="en-US"/>
          <w14:ligatures w14:val="standardContextual"/>
        </w:rPr>
        <w:t>egg</w:t>
      </w:r>
      <w:proofErr w:type="spellEnd"/>
      <w:r w:rsidRPr="007C5A6E">
        <w:rPr>
          <w:rFonts w:ascii="Times New Roman" w:eastAsiaTheme="minorHAnsi" w:hAnsi="Times New Roman"/>
          <w:kern w:val="2"/>
          <w:sz w:val="24"/>
          <w:szCs w:val="24"/>
          <w:lang w:eastAsia="en-US"/>
          <w14:ligatures w14:val="standardContextual"/>
        </w:rPr>
        <w:t xml:space="preserve">/L dans l’eau, 0,48 </w:t>
      </w:r>
      <w:proofErr w:type="spellStart"/>
      <w:r w:rsidRPr="007C5A6E">
        <w:rPr>
          <w:rFonts w:ascii="Times New Roman" w:eastAsiaTheme="minorHAnsi" w:hAnsi="Times New Roman"/>
          <w:kern w:val="2"/>
          <w:sz w:val="24"/>
          <w:szCs w:val="24"/>
          <w:lang w:eastAsia="en-US"/>
          <w14:ligatures w14:val="standardContextual"/>
        </w:rPr>
        <w:t>egg</w:t>
      </w:r>
      <w:proofErr w:type="spellEnd"/>
      <w:r w:rsidRPr="007C5A6E">
        <w:rPr>
          <w:rFonts w:ascii="Times New Roman" w:eastAsiaTheme="minorHAnsi" w:hAnsi="Times New Roman"/>
          <w:kern w:val="2"/>
          <w:sz w:val="24"/>
          <w:szCs w:val="24"/>
          <w:lang w:eastAsia="en-US"/>
          <w14:ligatures w14:val="standardContextual"/>
        </w:rPr>
        <w:t xml:space="preserve">/L dans le sol) dépassaient les seuils de l’OMS/FAO pour une irrigation sans restriction. </w:t>
      </w:r>
    </w:p>
    <w:p w14:paraId="51EFFE28" w14:textId="77777777" w:rsidR="007A6F6C" w:rsidRPr="007C5A6E" w:rsidRDefault="007A6F6C" w:rsidP="0093589E">
      <w:pPr>
        <w:spacing w:after="0" w:line="240" w:lineRule="auto"/>
        <w:jc w:val="both"/>
        <w:rPr>
          <w:rFonts w:ascii="Times New Roman" w:eastAsiaTheme="minorHAnsi" w:hAnsi="Times New Roman"/>
          <w:kern w:val="2"/>
          <w:sz w:val="24"/>
          <w:szCs w:val="24"/>
          <w:lang w:eastAsia="en-US"/>
          <w14:ligatures w14:val="standardContextual"/>
        </w:rPr>
      </w:pPr>
    </w:p>
    <w:p w14:paraId="0570E813" w14:textId="30E4BB3E" w:rsidR="00E46253"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Les parasites incluaient </w:t>
      </w:r>
      <w:proofErr w:type="spellStart"/>
      <w:r w:rsidRPr="007C5A6E">
        <w:rPr>
          <w:rFonts w:ascii="Times New Roman" w:eastAsiaTheme="minorHAnsi" w:hAnsi="Times New Roman"/>
          <w:kern w:val="2"/>
          <w:sz w:val="24"/>
          <w:szCs w:val="24"/>
          <w:lang w:eastAsia="en-US"/>
          <w14:ligatures w14:val="standardContextual"/>
        </w:rPr>
        <w:t>Ankylostoma</w:t>
      </w:r>
      <w:proofErr w:type="spellEnd"/>
      <w:r w:rsidRPr="007C5A6E">
        <w:rPr>
          <w:rFonts w:ascii="Times New Roman" w:eastAsiaTheme="minorHAnsi" w:hAnsi="Times New Roman"/>
          <w:kern w:val="2"/>
          <w:sz w:val="24"/>
          <w:szCs w:val="24"/>
          <w:lang w:eastAsia="en-US"/>
          <w14:ligatures w14:val="standardContextual"/>
        </w:rPr>
        <w:t xml:space="preserve"> </w:t>
      </w:r>
      <w:proofErr w:type="spellStart"/>
      <w:r w:rsidRPr="007C5A6E">
        <w:rPr>
          <w:rFonts w:ascii="Times New Roman" w:eastAsiaTheme="minorHAnsi" w:hAnsi="Times New Roman"/>
          <w:kern w:val="2"/>
          <w:sz w:val="24"/>
          <w:szCs w:val="24"/>
          <w:lang w:eastAsia="en-US"/>
          <w14:ligatures w14:val="standardContextual"/>
        </w:rPr>
        <w:t>duodenalis</w:t>
      </w:r>
      <w:proofErr w:type="spellEnd"/>
      <w:r w:rsidRPr="007C5A6E">
        <w:rPr>
          <w:rFonts w:ascii="Times New Roman" w:eastAsiaTheme="minorHAnsi" w:hAnsi="Times New Roman"/>
          <w:kern w:val="2"/>
          <w:sz w:val="24"/>
          <w:szCs w:val="24"/>
          <w:lang w:eastAsia="en-US"/>
          <w14:ligatures w14:val="standardContextual"/>
        </w:rPr>
        <w:t xml:space="preserve">, </w:t>
      </w:r>
      <w:proofErr w:type="spellStart"/>
      <w:r w:rsidRPr="007C5A6E">
        <w:rPr>
          <w:rFonts w:ascii="Times New Roman" w:eastAsiaTheme="minorHAnsi" w:hAnsi="Times New Roman"/>
          <w:kern w:val="2"/>
          <w:sz w:val="24"/>
          <w:szCs w:val="24"/>
          <w:lang w:eastAsia="en-US"/>
          <w14:ligatures w14:val="standardContextual"/>
        </w:rPr>
        <w:t>Hymenolepis</w:t>
      </w:r>
      <w:proofErr w:type="spellEnd"/>
      <w:r w:rsidRPr="007C5A6E">
        <w:rPr>
          <w:rFonts w:ascii="Times New Roman" w:eastAsiaTheme="minorHAnsi" w:hAnsi="Times New Roman"/>
          <w:kern w:val="2"/>
          <w:sz w:val="24"/>
          <w:szCs w:val="24"/>
          <w:lang w:eastAsia="en-US"/>
          <w14:ligatures w14:val="standardContextual"/>
        </w:rPr>
        <w:t xml:space="preserve"> nana, Ascaris </w:t>
      </w:r>
      <w:proofErr w:type="spellStart"/>
      <w:r w:rsidRPr="007C5A6E">
        <w:rPr>
          <w:rFonts w:ascii="Times New Roman" w:eastAsiaTheme="minorHAnsi" w:hAnsi="Times New Roman"/>
          <w:kern w:val="2"/>
          <w:sz w:val="24"/>
          <w:szCs w:val="24"/>
          <w:lang w:eastAsia="en-US"/>
          <w14:ligatures w14:val="standardContextual"/>
        </w:rPr>
        <w:t>lombricoides</w:t>
      </w:r>
      <w:proofErr w:type="spellEnd"/>
      <w:r w:rsidRPr="007C5A6E">
        <w:rPr>
          <w:rFonts w:ascii="Times New Roman" w:eastAsiaTheme="minorHAnsi" w:hAnsi="Times New Roman"/>
          <w:kern w:val="2"/>
          <w:sz w:val="24"/>
          <w:szCs w:val="24"/>
          <w:lang w:eastAsia="en-US"/>
          <w14:ligatures w14:val="standardContextual"/>
        </w:rPr>
        <w:t xml:space="preserve">, </w:t>
      </w:r>
      <w:proofErr w:type="spellStart"/>
      <w:r w:rsidRPr="007C5A6E">
        <w:rPr>
          <w:rFonts w:ascii="Times New Roman" w:eastAsiaTheme="minorHAnsi" w:hAnsi="Times New Roman"/>
          <w:kern w:val="2"/>
          <w:sz w:val="24"/>
          <w:szCs w:val="24"/>
          <w:lang w:eastAsia="en-US"/>
          <w14:ligatures w14:val="standardContextual"/>
        </w:rPr>
        <w:t>Taenias</w:t>
      </w:r>
      <w:proofErr w:type="spellEnd"/>
      <w:r w:rsidRPr="007C5A6E">
        <w:rPr>
          <w:rFonts w:ascii="Times New Roman" w:eastAsiaTheme="minorHAnsi" w:hAnsi="Times New Roman"/>
          <w:kern w:val="2"/>
          <w:sz w:val="24"/>
          <w:szCs w:val="24"/>
          <w:lang w:eastAsia="en-US"/>
          <w14:ligatures w14:val="standardContextual"/>
        </w:rPr>
        <w:t xml:space="preserve"> </w:t>
      </w:r>
      <w:proofErr w:type="spellStart"/>
      <w:r w:rsidRPr="007C5A6E">
        <w:rPr>
          <w:rFonts w:ascii="Times New Roman" w:eastAsiaTheme="minorHAnsi" w:hAnsi="Times New Roman"/>
          <w:kern w:val="2"/>
          <w:sz w:val="24"/>
          <w:szCs w:val="24"/>
          <w:lang w:eastAsia="en-US"/>
          <w14:ligatures w14:val="standardContextual"/>
        </w:rPr>
        <w:t>ssp</w:t>
      </w:r>
      <w:proofErr w:type="spellEnd"/>
      <w:r w:rsidRPr="007C5A6E">
        <w:rPr>
          <w:rFonts w:ascii="Times New Roman" w:eastAsiaTheme="minorHAnsi" w:hAnsi="Times New Roman"/>
          <w:kern w:val="2"/>
          <w:sz w:val="24"/>
          <w:szCs w:val="24"/>
          <w:lang w:eastAsia="en-US"/>
          <w14:ligatures w14:val="standardContextual"/>
        </w:rPr>
        <w:t xml:space="preserve">., </w:t>
      </w:r>
      <w:proofErr w:type="spellStart"/>
      <w:r w:rsidRPr="007C5A6E">
        <w:rPr>
          <w:rFonts w:ascii="Times New Roman" w:eastAsiaTheme="minorHAnsi" w:hAnsi="Times New Roman"/>
          <w:kern w:val="2"/>
          <w:sz w:val="24"/>
          <w:szCs w:val="24"/>
          <w:lang w:eastAsia="en-US"/>
          <w14:ligatures w14:val="standardContextual"/>
        </w:rPr>
        <w:t>strongyloides</w:t>
      </w:r>
      <w:proofErr w:type="spellEnd"/>
      <w:r w:rsidRPr="007C5A6E">
        <w:rPr>
          <w:rFonts w:ascii="Times New Roman" w:eastAsiaTheme="minorHAnsi" w:hAnsi="Times New Roman"/>
          <w:kern w:val="2"/>
          <w:sz w:val="24"/>
          <w:szCs w:val="24"/>
          <w:lang w:eastAsia="en-US"/>
          <w14:ligatures w14:val="standardContextual"/>
        </w:rPr>
        <w:t xml:space="preserve">, </w:t>
      </w:r>
      <w:proofErr w:type="spellStart"/>
      <w:r w:rsidRPr="007C5A6E">
        <w:rPr>
          <w:rFonts w:ascii="Times New Roman" w:eastAsiaTheme="minorHAnsi" w:hAnsi="Times New Roman"/>
          <w:kern w:val="2"/>
          <w:sz w:val="24"/>
          <w:szCs w:val="24"/>
          <w:lang w:eastAsia="en-US"/>
          <w14:ligatures w14:val="standardContextual"/>
        </w:rPr>
        <w:t>stercoralis</w:t>
      </w:r>
      <w:proofErr w:type="spellEnd"/>
      <w:r w:rsidRPr="007C5A6E">
        <w:rPr>
          <w:rFonts w:ascii="Times New Roman" w:eastAsiaTheme="minorHAnsi" w:hAnsi="Times New Roman"/>
          <w:kern w:val="2"/>
          <w:sz w:val="24"/>
          <w:szCs w:val="24"/>
          <w:lang w:eastAsia="en-US"/>
          <w14:ligatures w14:val="standardContextual"/>
        </w:rPr>
        <w:t xml:space="preserve">, Entamoeba </w:t>
      </w:r>
      <w:proofErr w:type="spellStart"/>
      <w:r w:rsidRPr="007C5A6E">
        <w:rPr>
          <w:rFonts w:ascii="Times New Roman" w:eastAsiaTheme="minorHAnsi" w:hAnsi="Times New Roman"/>
          <w:kern w:val="2"/>
          <w:sz w:val="24"/>
          <w:szCs w:val="24"/>
          <w:lang w:eastAsia="en-US"/>
          <w14:ligatures w14:val="standardContextual"/>
        </w:rPr>
        <w:t>hystolitica</w:t>
      </w:r>
      <w:proofErr w:type="spellEnd"/>
      <w:r w:rsidRPr="007C5A6E">
        <w:rPr>
          <w:rFonts w:ascii="Times New Roman" w:eastAsiaTheme="minorHAnsi" w:hAnsi="Times New Roman"/>
          <w:kern w:val="2"/>
          <w:sz w:val="24"/>
          <w:szCs w:val="24"/>
          <w:lang w:eastAsia="en-US"/>
          <w14:ligatures w14:val="standardContextual"/>
        </w:rPr>
        <w:t xml:space="preserve">, Giardia </w:t>
      </w:r>
      <w:proofErr w:type="spellStart"/>
      <w:r w:rsidRPr="007C5A6E">
        <w:rPr>
          <w:rFonts w:ascii="Times New Roman" w:eastAsiaTheme="minorHAnsi" w:hAnsi="Times New Roman"/>
          <w:kern w:val="2"/>
          <w:sz w:val="24"/>
          <w:szCs w:val="24"/>
          <w:lang w:eastAsia="en-US"/>
          <w14:ligatures w14:val="standardContextual"/>
        </w:rPr>
        <w:t>limba</w:t>
      </w:r>
      <w:proofErr w:type="spellEnd"/>
      <w:r w:rsidRPr="007C5A6E">
        <w:rPr>
          <w:rFonts w:ascii="Times New Roman" w:eastAsiaTheme="minorHAnsi" w:hAnsi="Times New Roman"/>
          <w:kern w:val="2"/>
          <w:sz w:val="24"/>
          <w:szCs w:val="24"/>
          <w:lang w:eastAsia="en-US"/>
          <w14:ligatures w14:val="standardContextual"/>
        </w:rPr>
        <w:t xml:space="preserve"> et Entamoeba </w:t>
      </w:r>
      <w:proofErr w:type="gramStart"/>
      <w:r w:rsidRPr="007C5A6E">
        <w:rPr>
          <w:rFonts w:ascii="Times New Roman" w:eastAsiaTheme="minorHAnsi" w:hAnsi="Times New Roman"/>
          <w:kern w:val="2"/>
          <w:sz w:val="24"/>
          <w:szCs w:val="24"/>
          <w:lang w:eastAsia="en-US"/>
          <w14:ligatures w14:val="standardContextual"/>
        </w:rPr>
        <w:t>Coli</w:t>
      </w:r>
      <w:proofErr w:type="gramEnd"/>
      <w:r w:rsidRPr="007C5A6E">
        <w:rPr>
          <w:rFonts w:ascii="Times New Roman" w:eastAsiaTheme="minorHAnsi" w:hAnsi="Times New Roman"/>
          <w:kern w:val="2"/>
          <w:sz w:val="24"/>
          <w:szCs w:val="24"/>
          <w:lang w:eastAsia="en-US"/>
          <w14:ligatures w14:val="standardContextual"/>
        </w:rPr>
        <w:t xml:space="preserve">. Les œufs de Ascaris </w:t>
      </w:r>
      <w:proofErr w:type="spellStart"/>
      <w:r w:rsidRPr="007C5A6E">
        <w:rPr>
          <w:rFonts w:ascii="Times New Roman" w:eastAsiaTheme="minorHAnsi" w:hAnsi="Times New Roman"/>
          <w:kern w:val="2"/>
          <w:sz w:val="24"/>
          <w:szCs w:val="24"/>
          <w:lang w:eastAsia="en-US"/>
          <w14:ligatures w14:val="standardContextual"/>
        </w:rPr>
        <w:t>lombricoides</w:t>
      </w:r>
      <w:proofErr w:type="spellEnd"/>
      <w:r w:rsidRPr="007C5A6E">
        <w:rPr>
          <w:rFonts w:ascii="Times New Roman" w:eastAsiaTheme="minorHAnsi" w:hAnsi="Times New Roman"/>
          <w:kern w:val="2"/>
          <w:sz w:val="24"/>
          <w:szCs w:val="24"/>
          <w:lang w:eastAsia="en-US"/>
          <w14:ligatures w14:val="standardContextual"/>
        </w:rPr>
        <w:t xml:space="preserve"> et de </w:t>
      </w:r>
      <w:proofErr w:type="spellStart"/>
      <w:r w:rsidRPr="007C5A6E">
        <w:rPr>
          <w:rFonts w:ascii="Times New Roman" w:eastAsiaTheme="minorHAnsi" w:hAnsi="Times New Roman"/>
          <w:kern w:val="2"/>
          <w:sz w:val="24"/>
          <w:szCs w:val="24"/>
          <w:lang w:eastAsia="en-US"/>
          <w14:ligatures w14:val="standardContextual"/>
        </w:rPr>
        <w:t>Ankylostoma</w:t>
      </w:r>
      <w:proofErr w:type="spellEnd"/>
      <w:r w:rsidRPr="007C5A6E">
        <w:rPr>
          <w:rFonts w:ascii="Times New Roman" w:eastAsiaTheme="minorHAnsi" w:hAnsi="Times New Roman"/>
          <w:kern w:val="2"/>
          <w:sz w:val="24"/>
          <w:szCs w:val="24"/>
          <w:lang w:eastAsia="en-US"/>
          <w14:ligatures w14:val="standardContextual"/>
        </w:rPr>
        <w:t xml:space="preserve"> </w:t>
      </w:r>
      <w:proofErr w:type="spellStart"/>
      <w:r w:rsidRPr="007C5A6E">
        <w:rPr>
          <w:rFonts w:ascii="Times New Roman" w:eastAsiaTheme="minorHAnsi" w:hAnsi="Times New Roman"/>
          <w:kern w:val="2"/>
          <w:sz w:val="24"/>
          <w:szCs w:val="24"/>
          <w:lang w:eastAsia="en-US"/>
          <w14:ligatures w14:val="standardContextual"/>
        </w:rPr>
        <w:t>duodenalis</w:t>
      </w:r>
      <w:proofErr w:type="spellEnd"/>
      <w:r w:rsidRPr="007C5A6E">
        <w:rPr>
          <w:rFonts w:ascii="Times New Roman" w:eastAsiaTheme="minorHAnsi" w:hAnsi="Times New Roman"/>
          <w:kern w:val="2"/>
          <w:sz w:val="24"/>
          <w:szCs w:val="24"/>
          <w:lang w:eastAsia="en-US"/>
          <w14:ligatures w14:val="standardContextual"/>
        </w:rPr>
        <w:t xml:space="preserve"> ont été isoles communément dans les eaux et le sol. Les œufs des helminthes prédominaient parmi les œufs des parasites identifiées. Ouédraogo et al. (2013) ont évalué l’étendue de la contamination par le mercure (Hg), le sélénium (Se) et l’arsenic (As) dans les systèmes aquatiques Durant les mois de juillet et d’août 2009. Des échantillons ont été prélevés une fois dans 10 réservoirs du bassin versant du </w:t>
      </w:r>
      <w:proofErr w:type="spellStart"/>
      <w:r w:rsidRPr="007C5A6E">
        <w:rPr>
          <w:rFonts w:ascii="Times New Roman" w:eastAsiaTheme="minorHAnsi" w:hAnsi="Times New Roman"/>
          <w:kern w:val="2"/>
          <w:sz w:val="24"/>
          <w:szCs w:val="24"/>
          <w:lang w:eastAsia="en-US"/>
          <w14:ligatures w14:val="standardContextual"/>
        </w:rPr>
        <w:t>Nakamb</w:t>
      </w:r>
      <w:r w:rsidR="005B10AC" w:rsidRPr="007C5A6E">
        <w:rPr>
          <w:rFonts w:ascii="Times New Roman" w:eastAsiaTheme="minorHAnsi" w:hAnsi="Times New Roman"/>
          <w:kern w:val="2"/>
          <w:sz w:val="24"/>
          <w:szCs w:val="24"/>
          <w:lang w:eastAsia="en-US"/>
          <w14:ligatures w14:val="standardContextual"/>
        </w:rPr>
        <w:t>é</w:t>
      </w:r>
      <w:proofErr w:type="spellEnd"/>
      <w:r w:rsidRPr="007C5A6E">
        <w:rPr>
          <w:rFonts w:ascii="Times New Roman" w:eastAsiaTheme="minorHAnsi" w:hAnsi="Times New Roman"/>
          <w:kern w:val="2"/>
          <w:sz w:val="24"/>
          <w:szCs w:val="24"/>
          <w:lang w:eastAsia="en-US"/>
          <w14:ligatures w14:val="standardContextual"/>
        </w:rPr>
        <w:t xml:space="preserve">. </w:t>
      </w:r>
    </w:p>
    <w:p w14:paraId="78C4CFE8" w14:textId="77777777" w:rsidR="00E46253" w:rsidRPr="007C5A6E" w:rsidRDefault="00E46253" w:rsidP="0093589E">
      <w:pPr>
        <w:spacing w:after="0" w:line="240" w:lineRule="auto"/>
        <w:jc w:val="both"/>
        <w:rPr>
          <w:rFonts w:ascii="Times New Roman" w:eastAsiaTheme="minorHAnsi" w:hAnsi="Times New Roman"/>
          <w:kern w:val="2"/>
          <w:sz w:val="24"/>
          <w:szCs w:val="24"/>
          <w:lang w:eastAsia="en-US"/>
          <w14:ligatures w14:val="standardContextual"/>
        </w:rPr>
      </w:pPr>
    </w:p>
    <w:p w14:paraId="2BEEEFF7" w14:textId="77777777" w:rsidR="005B10AC"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Les résultats ont montré que le niveau de ces éléments dans l’eau étaient relativement faibles et ne révélaient pas d’impact important des activités d’extraction d’or. La température et la conductivité de l’eau étaient les principaux facteurs associés à des niveaux plus élevés de </w:t>
      </w:r>
      <w:proofErr w:type="spellStart"/>
      <w:r w:rsidRPr="007C5A6E">
        <w:rPr>
          <w:rFonts w:ascii="Times New Roman" w:eastAsiaTheme="minorHAnsi" w:hAnsi="Times New Roman"/>
          <w:kern w:val="2"/>
          <w:sz w:val="24"/>
          <w:szCs w:val="24"/>
          <w:lang w:eastAsia="en-US"/>
          <w14:ligatures w14:val="standardContextual"/>
        </w:rPr>
        <w:t>MeHg</w:t>
      </w:r>
      <w:proofErr w:type="spellEnd"/>
      <w:r w:rsidRPr="007C5A6E">
        <w:rPr>
          <w:rFonts w:ascii="Times New Roman" w:eastAsiaTheme="minorHAnsi" w:hAnsi="Times New Roman"/>
          <w:kern w:val="2"/>
          <w:sz w:val="24"/>
          <w:szCs w:val="24"/>
          <w:lang w:eastAsia="en-US"/>
          <w14:ligatures w14:val="standardContextual"/>
        </w:rPr>
        <w:t>. Une teneur plus élevée en sulfate a été signalée dans les sites contenant plus de Hg, As et Se particulaires, suggérant une origine anthropique des apports de métaux(</w:t>
      </w:r>
      <w:proofErr w:type="spellStart"/>
      <w:r w:rsidRPr="007C5A6E">
        <w:rPr>
          <w:rFonts w:ascii="Times New Roman" w:eastAsiaTheme="minorHAnsi" w:hAnsi="Times New Roman"/>
          <w:kern w:val="2"/>
          <w:sz w:val="24"/>
          <w:szCs w:val="24"/>
          <w:lang w:eastAsia="en-US"/>
          <w14:ligatures w14:val="standardContextual"/>
        </w:rPr>
        <w:t>loïdes</w:t>
      </w:r>
      <w:proofErr w:type="spellEnd"/>
      <w:r w:rsidRPr="007C5A6E">
        <w:rPr>
          <w:rFonts w:ascii="Times New Roman" w:eastAsiaTheme="minorHAnsi" w:hAnsi="Times New Roman"/>
          <w:kern w:val="2"/>
          <w:sz w:val="24"/>
          <w:szCs w:val="24"/>
          <w:lang w:eastAsia="en-US"/>
          <w14:ligatures w14:val="standardContextual"/>
        </w:rPr>
        <w:t xml:space="preserve">) dans les réservoirs d’eau. Dans l’ensemble, les réservoirs d’eau ont été relativement peu affectés par la contamination par l’As, le </w:t>
      </w:r>
      <w:proofErr w:type="spellStart"/>
      <w:r w:rsidRPr="007C5A6E">
        <w:rPr>
          <w:rFonts w:ascii="Times New Roman" w:eastAsiaTheme="minorHAnsi" w:hAnsi="Times New Roman"/>
          <w:kern w:val="2"/>
          <w:sz w:val="24"/>
          <w:szCs w:val="24"/>
          <w:lang w:eastAsia="en-US"/>
          <w14:ligatures w14:val="standardContextual"/>
        </w:rPr>
        <w:t>Se</w:t>
      </w:r>
      <w:proofErr w:type="spellEnd"/>
      <w:r w:rsidRPr="007C5A6E">
        <w:rPr>
          <w:rFonts w:ascii="Times New Roman" w:eastAsiaTheme="minorHAnsi" w:hAnsi="Times New Roman"/>
          <w:kern w:val="2"/>
          <w:sz w:val="24"/>
          <w:szCs w:val="24"/>
          <w:lang w:eastAsia="en-US"/>
          <w14:ligatures w14:val="standardContextual"/>
        </w:rPr>
        <w:t xml:space="preserve"> et le Hg malgré l’augmentation des activités d’extraction d’or. </w:t>
      </w:r>
    </w:p>
    <w:p w14:paraId="17E9F06C" w14:textId="77777777" w:rsidR="005B10AC" w:rsidRPr="007C5A6E" w:rsidRDefault="005B10AC" w:rsidP="0093589E">
      <w:pPr>
        <w:spacing w:after="0" w:line="240" w:lineRule="auto"/>
        <w:jc w:val="both"/>
        <w:rPr>
          <w:rFonts w:ascii="Times New Roman" w:eastAsiaTheme="minorHAnsi" w:hAnsi="Times New Roman"/>
          <w:kern w:val="2"/>
          <w:sz w:val="24"/>
          <w:szCs w:val="24"/>
          <w:lang w:eastAsia="en-US"/>
          <w14:ligatures w14:val="standardContextual"/>
        </w:rPr>
      </w:pPr>
    </w:p>
    <w:p w14:paraId="3B27891C" w14:textId="6DECAE7D"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proofErr w:type="spellStart"/>
      <w:r w:rsidRPr="007C5A6E">
        <w:rPr>
          <w:rFonts w:ascii="Times New Roman" w:eastAsiaTheme="minorHAnsi" w:hAnsi="Times New Roman"/>
          <w:kern w:val="2"/>
          <w:sz w:val="24"/>
          <w:szCs w:val="24"/>
          <w:lang w:eastAsia="en-US"/>
          <w14:ligatures w14:val="standardContextual"/>
        </w:rPr>
        <w:t>Guiguemde</w:t>
      </w:r>
      <w:proofErr w:type="spellEnd"/>
      <w:r w:rsidRPr="007C5A6E">
        <w:rPr>
          <w:rFonts w:ascii="Times New Roman" w:eastAsiaTheme="minorHAnsi" w:hAnsi="Times New Roman"/>
          <w:kern w:val="2"/>
          <w:sz w:val="24"/>
          <w:szCs w:val="24"/>
          <w:lang w:eastAsia="en-US"/>
          <w14:ligatures w14:val="standardContextual"/>
        </w:rPr>
        <w:t xml:space="preserve"> et al. (2013) ont évalué la qualité physicochimique des effluents de la zone industrielle de </w:t>
      </w:r>
      <w:proofErr w:type="spellStart"/>
      <w:r w:rsidRPr="007C5A6E">
        <w:rPr>
          <w:rFonts w:ascii="Times New Roman" w:eastAsiaTheme="minorHAnsi" w:hAnsi="Times New Roman"/>
          <w:kern w:val="2"/>
          <w:sz w:val="24"/>
          <w:szCs w:val="24"/>
          <w:lang w:eastAsia="en-US"/>
          <w14:ligatures w14:val="standardContextual"/>
        </w:rPr>
        <w:t>Kossodo</w:t>
      </w:r>
      <w:proofErr w:type="spellEnd"/>
      <w:r w:rsidRPr="007C5A6E">
        <w:rPr>
          <w:rFonts w:ascii="Times New Roman" w:eastAsiaTheme="minorHAnsi" w:hAnsi="Times New Roman"/>
          <w:kern w:val="2"/>
          <w:sz w:val="24"/>
          <w:szCs w:val="24"/>
          <w:lang w:eastAsia="en-US"/>
          <w14:ligatures w14:val="standardContextual"/>
        </w:rPr>
        <w:t xml:space="preserve"> qui s’écoulent dans le bassin du </w:t>
      </w:r>
      <w:proofErr w:type="spellStart"/>
      <w:r w:rsidRPr="007C5A6E">
        <w:rPr>
          <w:rFonts w:ascii="Times New Roman" w:eastAsiaTheme="minorHAnsi" w:hAnsi="Times New Roman"/>
          <w:kern w:val="2"/>
          <w:sz w:val="24"/>
          <w:szCs w:val="24"/>
          <w:lang w:eastAsia="en-US"/>
          <w14:ligatures w14:val="standardContextual"/>
        </w:rPr>
        <w:t>Massili</w:t>
      </w:r>
      <w:proofErr w:type="spellEnd"/>
      <w:r w:rsidRPr="007C5A6E">
        <w:rPr>
          <w:rFonts w:ascii="Times New Roman" w:eastAsiaTheme="minorHAnsi" w:hAnsi="Times New Roman"/>
          <w:kern w:val="2"/>
          <w:sz w:val="24"/>
          <w:szCs w:val="24"/>
          <w:lang w:eastAsia="en-US"/>
          <w14:ligatures w14:val="standardContextual"/>
        </w:rPr>
        <w:t xml:space="preserve">. Les résultats des analyses ont montré que la DBO5, DCO, l’oxygène dissout et les teneurs en </w:t>
      </w:r>
      <w:proofErr w:type="spellStart"/>
      <w:r w:rsidRPr="007C5A6E">
        <w:rPr>
          <w:rFonts w:ascii="Times New Roman" w:eastAsiaTheme="minorHAnsi" w:hAnsi="Times New Roman"/>
          <w:kern w:val="2"/>
          <w:sz w:val="24"/>
          <w:szCs w:val="24"/>
          <w:lang w:eastAsia="en-US"/>
          <w14:ligatures w14:val="standardContextual"/>
        </w:rPr>
        <w:t>orthophosphates</w:t>
      </w:r>
      <w:proofErr w:type="spellEnd"/>
      <w:r w:rsidRPr="007C5A6E">
        <w:rPr>
          <w:rFonts w:ascii="Times New Roman" w:eastAsiaTheme="minorHAnsi" w:hAnsi="Times New Roman"/>
          <w:kern w:val="2"/>
          <w:sz w:val="24"/>
          <w:szCs w:val="24"/>
          <w:lang w:eastAsia="en-US"/>
          <w14:ligatures w14:val="standardContextual"/>
        </w:rPr>
        <w:t xml:space="preserve"> avaient des valeurs supérieures aux normes requises, de sorte que les rejets industriels polluaient les ruisseaux de </w:t>
      </w:r>
      <w:proofErr w:type="spellStart"/>
      <w:r w:rsidRPr="007C5A6E">
        <w:rPr>
          <w:rFonts w:ascii="Times New Roman" w:eastAsiaTheme="minorHAnsi" w:hAnsi="Times New Roman"/>
          <w:kern w:val="2"/>
          <w:sz w:val="24"/>
          <w:szCs w:val="24"/>
          <w:lang w:eastAsia="en-US"/>
          <w14:ligatures w14:val="standardContextual"/>
        </w:rPr>
        <w:t>Massili</w:t>
      </w:r>
      <w:proofErr w:type="spellEnd"/>
      <w:r w:rsidRPr="007C5A6E">
        <w:rPr>
          <w:rFonts w:ascii="Times New Roman" w:eastAsiaTheme="minorHAnsi" w:hAnsi="Times New Roman"/>
          <w:kern w:val="2"/>
          <w:sz w:val="24"/>
          <w:szCs w:val="24"/>
          <w:lang w:eastAsia="en-US"/>
          <w14:ligatures w14:val="standardContextual"/>
        </w:rPr>
        <w:t xml:space="preserve">. </w:t>
      </w:r>
      <w:proofErr w:type="spellStart"/>
      <w:r w:rsidRPr="007C5A6E">
        <w:rPr>
          <w:rFonts w:ascii="Times New Roman" w:eastAsiaTheme="minorHAnsi" w:hAnsi="Times New Roman"/>
          <w:kern w:val="2"/>
          <w:sz w:val="24"/>
          <w:szCs w:val="24"/>
          <w:lang w:eastAsia="en-US"/>
          <w14:ligatures w14:val="standardContextual"/>
        </w:rPr>
        <w:t>Tapsoba</w:t>
      </w:r>
      <w:proofErr w:type="spellEnd"/>
      <w:r w:rsidRPr="007C5A6E">
        <w:rPr>
          <w:rFonts w:ascii="Times New Roman" w:eastAsiaTheme="minorHAnsi" w:hAnsi="Times New Roman"/>
          <w:kern w:val="2"/>
          <w:sz w:val="24"/>
          <w:szCs w:val="24"/>
          <w:lang w:eastAsia="en-US"/>
          <w14:ligatures w14:val="standardContextual"/>
        </w:rPr>
        <w:t xml:space="preserve"> and </w:t>
      </w:r>
      <w:proofErr w:type="spellStart"/>
      <w:r w:rsidRPr="007C5A6E">
        <w:rPr>
          <w:rFonts w:ascii="Times New Roman" w:eastAsiaTheme="minorHAnsi" w:hAnsi="Times New Roman"/>
          <w:kern w:val="2"/>
          <w:sz w:val="24"/>
          <w:szCs w:val="24"/>
          <w:lang w:eastAsia="en-US"/>
          <w14:ligatures w14:val="standardContextual"/>
        </w:rPr>
        <w:t>Bonzi-coulibaly</w:t>
      </w:r>
      <w:proofErr w:type="spellEnd"/>
      <w:r w:rsidRPr="007C5A6E">
        <w:rPr>
          <w:rFonts w:ascii="Times New Roman" w:eastAsiaTheme="minorHAnsi" w:hAnsi="Times New Roman"/>
          <w:kern w:val="2"/>
          <w:sz w:val="24"/>
          <w:szCs w:val="24"/>
          <w:lang w:eastAsia="en-US"/>
          <w14:ligatures w14:val="standardContextual"/>
        </w:rPr>
        <w:t xml:space="preserve">. (2006) ont évalué l’état de contamination au cours du temps des eaux de quatre sites en zone cotonnière dont </w:t>
      </w:r>
      <w:proofErr w:type="spellStart"/>
      <w:r w:rsidRPr="007C5A6E">
        <w:rPr>
          <w:rFonts w:ascii="Times New Roman" w:eastAsiaTheme="minorHAnsi" w:hAnsi="Times New Roman"/>
          <w:kern w:val="2"/>
          <w:sz w:val="24"/>
          <w:szCs w:val="24"/>
          <w:lang w:eastAsia="en-US"/>
          <w14:ligatures w14:val="standardContextual"/>
        </w:rPr>
        <w:t>Dankuy</w:t>
      </w:r>
      <w:proofErr w:type="spellEnd"/>
      <w:r w:rsidRPr="007C5A6E">
        <w:rPr>
          <w:rFonts w:ascii="Times New Roman" w:eastAsiaTheme="minorHAnsi" w:hAnsi="Times New Roman"/>
          <w:kern w:val="2"/>
          <w:sz w:val="24"/>
          <w:szCs w:val="24"/>
          <w:lang w:eastAsia="en-US"/>
          <w14:ligatures w14:val="standardContextual"/>
        </w:rPr>
        <w:t xml:space="preserve">, </w:t>
      </w:r>
      <w:proofErr w:type="spellStart"/>
      <w:r w:rsidRPr="007C5A6E">
        <w:rPr>
          <w:rFonts w:ascii="Times New Roman" w:eastAsiaTheme="minorHAnsi" w:hAnsi="Times New Roman"/>
          <w:kern w:val="2"/>
          <w:sz w:val="24"/>
          <w:szCs w:val="24"/>
          <w:lang w:eastAsia="en-US"/>
          <w14:ligatures w14:val="standardContextual"/>
        </w:rPr>
        <w:t>Fankuy</w:t>
      </w:r>
      <w:proofErr w:type="spellEnd"/>
      <w:r w:rsidRPr="007C5A6E">
        <w:rPr>
          <w:rFonts w:ascii="Times New Roman" w:eastAsiaTheme="minorHAnsi" w:hAnsi="Times New Roman"/>
          <w:kern w:val="2"/>
          <w:sz w:val="24"/>
          <w:szCs w:val="24"/>
          <w:lang w:eastAsia="en-US"/>
          <w14:ligatures w14:val="standardContextual"/>
        </w:rPr>
        <w:t>, Vy-</w:t>
      </w:r>
      <w:proofErr w:type="spellStart"/>
      <w:r w:rsidRPr="007C5A6E">
        <w:rPr>
          <w:rFonts w:ascii="Times New Roman" w:eastAsiaTheme="minorHAnsi" w:hAnsi="Times New Roman"/>
          <w:kern w:val="2"/>
          <w:sz w:val="24"/>
          <w:szCs w:val="24"/>
          <w:lang w:eastAsia="en-US"/>
          <w14:ligatures w14:val="standardContextual"/>
        </w:rPr>
        <w:t>Kayo</w:t>
      </w:r>
      <w:proofErr w:type="spellEnd"/>
      <w:r w:rsidRPr="007C5A6E">
        <w:rPr>
          <w:rFonts w:ascii="Times New Roman" w:eastAsiaTheme="minorHAnsi" w:hAnsi="Times New Roman"/>
          <w:kern w:val="2"/>
          <w:sz w:val="24"/>
          <w:szCs w:val="24"/>
          <w:lang w:eastAsia="en-US"/>
          <w14:ligatures w14:val="standardContextual"/>
        </w:rPr>
        <w:t xml:space="preserve"> et </w:t>
      </w:r>
      <w:proofErr w:type="spellStart"/>
      <w:r w:rsidRPr="007C5A6E">
        <w:rPr>
          <w:rFonts w:ascii="Times New Roman" w:eastAsiaTheme="minorHAnsi" w:hAnsi="Times New Roman"/>
          <w:kern w:val="2"/>
          <w:sz w:val="24"/>
          <w:szCs w:val="24"/>
          <w:lang w:eastAsia="en-US"/>
          <w14:ligatures w14:val="standardContextual"/>
        </w:rPr>
        <w:t>Sipohen</w:t>
      </w:r>
      <w:proofErr w:type="spellEnd"/>
      <w:r w:rsidRPr="007C5A6E">
        <w:rPr>
          <w:rFonts w:ascii="Times New Roman" w:eastAsiaTheme="minorHAnsi" w:hAnsi="Times New Roman"/>
          <w:kern w:val="2"/>
          <w:sz w:val="24"/>
          <w:szCs w:val="24"/>
          <w:lang w:eastAsia="en-US"/>
          <w14:ligatures w14:val="standardContextual"/>
        </w:rPr>
        <w:t xml:space="preserve"> d’août 2003 à octobre 2005. Les résultats ont montré une pollution des eaux avec de fortes concentrations en endosulfan notamment en saison pluvieuse.</w:t>
      </w:r>
    </w:p>
    <w:p w14:paraId="76C3C817" w14:textId="77777777" w:rsidR="001F7AA6" w:rsidRPr="007C5A6E" w:rsidRDefault="001F7AA6" w:rsidP="0093589E">
      <w:pPr>
        <w:spacing w:after="0" w:line="240" w:lineRule="auto"/>
        <w:rPr>
          <w:rFonts w:ascii="Times New Roman" w:eastAsiaTheme="minorHAnsi" w:hAnsi="Times New Roman"/>
          <w:kern w:val="2"/>
          <w:lang w:eastAsia="en-US"/>
          <w14:ligatures w14:val="standardContextual"/>
        </w:rPr>
      </w:pPr>
    </w:p>
    <w:p w14:paraId="4FE02127" w14:textId="65FB0506" w:rsidR="001F7AA6" w:rsidRPr="007C5A6E" w:rsidRDefault="00F35210" w:rsidP="0093589E">
      <w:pPr>
        <w:pStyle w:val="Titre4"/>
      </w:pPr>
      <w:bookmarkStart w:id="1588" w:name="_Toc182986583"/>
      <w:bookmarkStart w:id="1589" w:name="_Toc183340340"/>
      <w:r w:rsidRPr="007C5A6E">
        <w:t>Pollution des eaux s</w:t>
      </w:r>
      <w:r w:rsidR="001F7AA6" w:rsidRPr="007C5A6E">
        <w:t>outerraine</w:t>
      </w:r>
      <w:bookmarkEnd w:id="1588"/>
      <w:r w:rsidRPr="007C5A6E">
        <w:t>s</w:t>
      </w:r>
      <w:bookmarkEnd w:id="1589"/>
    </w:p>
    <w:p w14:paraId="6464A650"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4C34DA19" w14:textId="77777777" w:rsidR="00E46253" w:rsidRPr="007C5A6E" w:rsidRDefault="001F7AA6" w:rsidP="0093589E">
      <w:pPr>
        <w:tabs>
          <w:tab w:val="left" w:pos="426"/>
        </w:tabs>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Des études se sont également intéressées à la contamination des eaux </w:t>
      </w:r>
      <w:r w:rsidR="0092754F" w:rsidRPr="007C5A6E">
        <w:rPr>
          <w:rFonts w:ascii="Times New Roman" w:eastAsiaTheme="minorHAnsi" w:hAnsi="Times New Roman"/>
          <w:kern w:val="2"/>
          <w:sz w:val="24"/>
          <w:szCs w:val="24"/>
          <w:lang w:eastAsia="en-US"/>
          <w14:ligatures w14:val="standardContextual"/>
        </w:rPr>
        <w:t>souterraines</w:t>
      </w:r>
      <w:r w:rsidRPr="007C5A6E">
        <w:rPr>
          <w:rFonts w:ascii="Times New Roman" w:eastAsiaTheme="minorHAnsi" w:hAnsi="Times New Roman"/>
          <w:kern w:val="2"/>
          <w:sz w:val="24"/>
          <w:szCs w:val="24"/>
          <w:lang w:eastAsia="en-US"/>
          <w14:ligatures w14:val="standardContextual"/>
        </w:rPr>
        <w:t xml:space="preserve"> par la caractérisation physicochimique et </w:t>
      </w:r>
      <w:r w:rsidR="0092754F" w:rsidRPr="007C5A6E">
        <w:rPr>
          <w:rFonts w:ascii="Times New Roman" w:eastAsiaTheme="minorHAnsi" w:hAnsi="Times New Roman"/>
          <w:kern w:val="2"/>
          <w:sz w:val="24"/>
          <w:szCs w:val="24"/>
          <w:lang w:eastAsia="en-US"/>
          <w14:ligatures w14:val="standardContextual"/>
        </w:rPr>
        <w:t>microbiologique</w:t>
      </w:r>
      <w:r w:rsidRPr="007C5A6E">
        <w:rPr>
          <w:rFonts w:ascii="Times New Roman" w:eastAsiaTheme="minorHAnsi" w:hAnsi="Times New Roman"/>
          <w:kern w:val="2"/>
          <w:sz w:val="24"/>
          <w:szCs w:val="24"/>
          <w:lang w:eastAsia="en-US"/>
          <w14:ligatures w14:val="standardContextual"/>
        </w:rPr>
        <w:t xml:space="preserve"> de ces eaux. </w:t>
      </w:r>
      <w:proofErr w:type="spellStart"/>
      <w:r w:rsidRPr="007C5A6E">
        <w:rPr>
          <w:rFonts w:ascii="Times New Roman" w:eastAsiaTheme="minorHAnsi" w:hAnsi="Times New Roman"/>
          <w:kern w:val="2"/>
          <w:sz w:val="24"/>
          <w:szCs w:val="24"/>
          <w:lang w:eastAsia="en-US"/>
          <w14:ligatures w14:val="standardContextual"/>
        </w:rPr>
        <w:t>Millogo</w:t>
      </w:r>
      <w:proofErr w:type="spellEnd"/>
      <w:r w:rsidRPr="007C5A6E">
        <w:rPr>
          <w:rFonts w:ascii="Times New Roman" w:eastAsiaTheme="minorHAnsi" w:hAnsi="Times New Roman"/>
          <w:kern w:val="2"/>
          <w:sz w:val="24"/>
          <w:szCs w:val="24"/>
          <w:lang w:eastAsia="en-US"/>
          <w14:ligatures w14:val="standardContextual"/>
        </w:rPr>
        <w:t xml:space="preserve"> et al. (2024) ont examiné les caractéristiques hydrogéochimiques des ressources en eau souterraine de Pala à Bobo Dioulasso. Les résultats ont révélé que l'eau de source était moins minéralisée que l'eau de forage, qui présente une plus grande variabilité des paramètres physiques et chimiques tels que le pH, la conductivité électrique (CE) et la turbidité. Les ions majeurs, dominés par les bicarbonates et le calcium, </w:t>
      </w:r>
      <w:r w:rsidR="0092754F" w:rsidRPr="007C5A6E">
        <w:rPr>
          <w:rFonts w:ascii="Times New Roman" w:eastAsiaTheme="minorHAnsi" w:hAnsi="Times New Roman"/>
          <w:kern w:val="2"/>
          <w:sz w:val="24"/>
          <w:szCs w:val="24"/>
          <w:lang w:eastAsia="en-US"/>
          <w14:ligatures w14:val="standardContextual"/>
        </w:rPr>
        <w:t>influençaient</w:t>
      </w:r>
      <w:r w:rsidRPr="007C5A6E">
        <w:rPr>
          <w:rFonts w:ascii="Times New Roman" w:eastAsiaTheme="minorHAnsi" w:hAnsi="Times New Roman"/>
          <w:kern w:val="2"/>
          <w:sz w:val="24"/>
          <w:szCs w:val="24"/>
          <w:lang w:eastAsia="en-US"/>
          <w14:ligatures w14:val="standardContextual"/>
        </w:rPr>
        <w:t xml:space="preserve"> les principaux faciès hydriques que sont le bicarbonate calcique et le bicarbonate calcique et magnésien. L'analyse des métaux lourds ont révélé des concentrations inférieures aux normes OMS. Traoré et al. (2023) ont évalué la qualité microbiologique et physicochimique des eaux souterraines à Ouagadougou. </w:t>
      </w:r>
    </w:p>
    <w:p w14:paraId="66A8D7DF" w14:textId="77777777" w:rsidR="00E46253" w:rsidRPr="007C5A6E" w:rsidRDefault="00E46253" w:rsidP="0093589E">
      <w:pPr>
        <w:tabs>
          <w:tab w:val="left" w:pos="426"/>
        </w:tabs>
        <w:spacing w:after="0" w:line="240" w:lineRule="auto"/>
        <w:jc w:val="both"/>
        <w:rPr>
          <w:rFonts w:ascii="Times New Roman" w:eastAsiaTheme="minorHAnsi" w:hAnsi="Times New Roman"/>
          <w:kern w:val="2"/>
          <w:sz w:val="24"/>
          <w:szCs w:val="24"/>
          <w:lang w:eastAsia="en-US"/>
          <w14:ligatures w14:val="standardContextual"/>
        </w:rPr>
      </w:pPr>
    </w:p>
    <w:p w14:paraId="5FE22927" w14:textId="77777777" w:rsidR="009A60DE" w:rsidRPr="007C5A6E" w:rsidRDefault="001F7AA6" w:rsidP="0093589E">
      <w:pPr>
        <w:tabs>
          <w:tab w:val="left" w:pos="426"/>
        </w:tabs>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Les résultats ont révélé qu’une mauvaise qualité des eaux souterraines à Ouagadougou avec des non-conformités majeures liées aux coliformes totaux, à </w:t>
      </w:r>
      <w:r w:rsidRPr="007C5A6E">
        <w:rPr>
          <w:rFonts w:ascii="Times New Roman" w:eastAsiaTheme="minorHAnsi" w:hAnsi="Times New Roman"/>
          <w:i/>
          <w:iCs/>
          <w:kern w:val="2"/>
          <w:sz w:val="24"/>
          <w:szCs w:val="24"/>
          <w:lang w:eastAsia="en-US"/>
          <w14:ligatures w14:val="standardContextual"/>
        </w:rPr>
        <w:t>Escherichia</w:t>
      </w:r>
      <w:r w:rsidRPr="007C5A6E">
        <w:rPr>
          <w:rFonts w:ascii="Times New Roman" w:eastAsiaTheme="minorHAnsi" w:hAnsi="Times New Roman"/>
          <w:kern w:val="2"/>
          <w:sz w:val="24"/>
          <w:szCs w:val="24"/>
          <w:lang w:eastAsia="en-US"/>
          <w14:ligatures w14:val="standardContextual"/>
        </w:rPr>
        <w:t xml:space="preserve"> </w:t>
      </w:r>
      <w:r w:rsidRPr="007C5A6E">
        <w:rPr>
          <w:rFonts w:ascii="Times New Roman" w:eastAsiaTheme="minorHAnsi" w:hAnsi="Times New Roman"/>
          <w:i/>
          <w:iCs/>
          <w:kern w:val="2"/>
          <w:sz w:val="24"/>
          <w:szCs w:val="24"/>
          <w:lang w:eastAsia="en-US"/>
          <w14:ligatures w14:val="standardContextual"/>
        </w:rPr>
        <w:t>coli</w:t>
      </w:r>
      <w:r w:rsidRPr="007C5A6E">
        <w:rPr>
          <w:rFonts w:ascii="Times New Roman" w:eastAsiaTheme="minorHAnsi" w:hAnsi="Times New Roman"/>
          <w:kern w:val="2"/>
          <w:sz w:val="24"/>
          <w:szCs w:val="24"/>
          <w:lang w:eastAsia="en-US"/>
          <w14:ligatures w14:val="standardContextual"/>
        </w:rPr>
        <w:t xml:space="preserve"> et à la turbidité. Les échantillons d'eau de 19 forages (59 %) étaient contaminés par des coliformes et 11 (34 %) par </w:t>
      </w:r>
      <w:r w:rsidRPr="007C5A6E">
        <w:rPr>
          <w:rFonts w:ascii="Times New Roman" w:eastAsiaTheme="minorHAnsi" w:hAnsi="Times New Roman"/>
          <w:i/>
          <w:iCs/>
          <w:kern w:val="2"/>
          <w:sz w:val="24"/>
          <w:szCs w:val="24"/>
          <w:lang w:eastAsia="en-US"/>
          <w14:ligatures w14:val="standardContextual"/>
        </w:rPr>
        <w:t>E. coli</w:t>
      </w:r>
      <w:r w:rsidRPr="007C5A6E">
        <w:rPr>
          <w:rFonts w:ascii="Times New Roman" w:eastAsiaTheme="minorHAnsi" w:hAnsi="Times New Roman"/>
          <w:kern w:val="2"/>
          <w:sz w:val="24"/>
          <w:szCs w:val="24"/>
          <w:lang w:eastAsia="en-US"/>
          <w14:ligatures w14:val="standardContextual"/>
        </w:rPr>
        <w:t xml:space="preserve">. De plus, </w:t>
      </w:r>
      <w:r w:rsidRPr="007C5A6E">
        <w:rPr>
          <w:rFonts w:ascii="Times New Roman" w:eastAsiaTheme="minorHAnsi" w:hAnsi="Times New Roman"/>
          <w:i/>
          <w:iCs/>
          <w:kern w:val="2"/>
          <w:sz w:val="24"/>
          <w:szCs w:val="24"/>
          <w:lang w:eastAsia="en-US"/>
          <w14:ligatures w14:val="standardContextual"/>
        </w:rPr>
        <w:t xml:space="preserve">Pseudomonas </w:t>
      </w:r>
      <w:proofErr w:type="spellStart"/>
      <w:r w:rsidRPr="007C5A6E">
        <w:rPr>
          <w:rFonts w:ascii="Times New Roman" w:eastAsiaTheme="minorHAnsi" w:hAnsi="Times New Roman"/>
          <w:i/>
          <w:iCs/>
          <w:kern w:val="2"/>
          <w:sz w:val="24"/>
          <w:szCs w:val="24"/>
          <w:lang w:eastAsia="en-US"/>
          <w14:ligatures w14:val="standardContextual"/>
        </w:rPr>
        <w:t>aeruginosa</w:t>
      </w:r>
      <w:proofErr w:type="spellEnd"/>
      <w:r w:rsidRPr="007C5A6E">
        <w:rPr>
          <w:rFonts w:ascii="Times New Roman" w:eastAsiaTheme="minorHAnsi" w:hAnsi="Times New Roman"/>
          <w:kern w:val="2"/>
          <w:sz w:val="24"/>
          <w:szCs w:val="24"/>
          <w:lang w:eastAsia="en-US"/>
          <w14:ligatures w14:val="standardContextual"/>
        </w:rPr>
        <w:t xml:space="preserve">, Enterococcus et des spores bactériennes anaérobies réductrices de sulfites ont été détectés. Des écarts par rapport aux exigences de qualité physicochimique ont été observés pour la turbidité, le pH, les nitrates, le fluor et le fer de l’eau. </w:t>
      </w:r>
      <w:r w:rsidRPr="007C5A6E">
        <w:rPr>
          <w:rFonts w:ascii="Times New Roman" w:eastAsiaTheme="minorHAnsi" w:hAnsi="Times New Roman"/>
          <w:b/>
          <w:bCs/>
          <w:kern w:val="2"/>
          <w:sz w:val="24"/>
          <w:szCs w:val="24"/>
          <w:lang w:eastAsia="en-US"/>
          <w14:ligatures w14:val="standardContextual"/>
        </w:rPr>
        <w:t>Faye et al. (2022)</w:t>
      </w:r>
      <w:r w:rsidRPr="007C5A6E">
        <w:rPr>
          <w:rFonts w:ascii="Times New Roman" w:eastAsiaTheme="minorHAnsi" w:hAnsi="Times New Roman"/>
          <w:kern w:val="2"/>
          <w:sz w:val="24"/>
          <w:szCs w:val="24"/>
          <w:lang w:eastAsia="en-US"/>
          <w14:ligatures w14:val="standardContextual"/>
        </w:rPr>
        <w:t xml:space="preserve"> ont montré que l’état de la qualité des eaux souterraines dans la région des Cascades au Burkina Faso était caractérisé par une faible minéralisation de celles-ci. Les eaux étaient agressives, avec une corrosion sévère à importante, et avec une saturation en calcite par rapport au faciès géologique. La qualité chimique et bactériologique des systèmes d’eaux souterraines était donc très préoccupante, car certains paramètres dépassaient les directives du Burkina Faso. </w:t>
      </w:r>
      <w:r w:rsidRPr="007C5A6E">
        <w:rPr>
          <w:rFonts w:ascii="Times New Roman" w:eastAsiaTheme="minorHAnsi" w:hAnsi="Times New Roman"/>
          <w:b/>
          <w:bCs/>
          <w:kern w:val="2"/>
          <w:sz w:val="24"/>
          <w:szCs w:val="24"/>
          <w:lang w:eastAsia="en-US"/>
          <w14:ligatures w14:val="standardContextual"/>
        </w:rPr>
        <w:t>Sako et al. (2021)</w:t>
      </w:r>
      <w:r w:rsidRPr="007C5A6E">
        <w:rPr>
          <w:rFonts w:ascii="Times New Roman" w:eastAsiaTheme="minorHAnsi" w:hAnsi="Times New Roman"/>
          <w:kern w:val="2"/>
          <w:sz w:val="24"/>
          <w:szCs w:val="24"/>
          <w:lang w:eastAsia="en-US"/>
          <w14:ligatures w14:val="standardContextual"/>
        </w:rPr>
        <w:t xml:space="preserve"> ont évalué la qualité hydrogéochimique et spatiale des eaux souterraines des aquifères du socle de la région du Plateau Central notamment à Boudry and Zoungou districts de la province du Ganzourgou à l'aide de la géochimie des ions majeurs, du calcul des indices de qualité de l'eau et de l'utilisation d'une analyse géostatistique spatiale. Leurs résultats ont montré une faible teneur globale en solides dissous des eaux souterraines indiquant un régime de recharge rapide pendant la saison des pluies. Les eaux souterraines étaient de nature quasi neutre à alcaline avec des concentrations dominantes de Ca</w:t>
      </w:r>
      <w:r w:rsidRPr="007C5A6E">
        <w:rPr>
          <w:rFonts w:ascii="Times New Roman" w:eastAsiaTheme="minorHAnsi" w:hAnsi="Times New Roman"/>
          <w:kern w:val="2"/>
          <w:sz w:val="24"/>
          <w:szCs w:val="24"/>
          <w:vertAlign w:val="superscript"/>
          <w:lang w:eastAsia="en-US"/>
          <w14:ligatures w14:val="standardContextual"/>
        </w:rPr>
        <w:t>2+</w:t>
      </w:r>
      <w:r w:rsidRPr="007C5A6E">
        <w:rPr>
          <w:rFonts w:ascii="Times New Roman" w:eastAsiaTheme="minorHAnsi" w:hAnsi="Times New Roman"/>
          <w:kern w:val="2"/>
          <w:sz w:val="24"/>
          <w:szCs w:val="24"/>
          <w:lang w:eastAsia="en-US"/>
          <w14:ligatures w14:val="standardContextual"/>
        </w:rPr>
        <w:t>, Mg</w:t>
      </w:r>
      <w:r w:rsidRPr="007C5A6E">
        <w:rPr>
          <w:rFonts w:ascii="Times New Roman" w:eastAsiaTheme="minorHAnsi" w:hAnsi="Times New Roman"/>
          <w:kern w:val="2"/>
          <w:sz w:val="24"/>
          <w:szCs w:val="24"/>
          <w:vertAlign w:val="superscript"/>
          <w:lang w:eastAsia="en-US"/>
          <w14:ligatures w14:val="standardContextual"/>
        </w:rPr>
        <w:t>2+</w:t>
      </w:r>
      <w:r w:rsidRPr="007C5A6E">
        <w:rPr>
          <w:rFonts w:ascii="Times New Roman" w:eastAsiaTheme="minorHAnsi" w:hAnsi="Times New Roman"/>
          <w:kern w:val="2"/>
          <w:sz w:val="24"/>
          <w:szCs w:val="24"/>
          <w:lang w:eastAsia="en-US"/>
          <w14:ligatures w14:val="standardContextual"/>
        </w:rPr>
        <w:t xml:space="preserve"> et HCO3</w:t>
      </w:r>
      <w:r w:rsidRPr="007C5A6E">
        <w:rPr>
          <w:rFonts w:ascii="Times New Roman" w:eastAsiaTheme="minorHAnsi" w:hAnsi="Times New Roman"/>
          <w:kern w:val="2"/>
          <w:sz w:val="24"/>
          <w:szCs w:val="24"/>
          <w:vertAlign w:val="superscript"/>
          <w:lang w:eastAsia="en-US"/>
          <w14:ligatures w14:val="standardContextual"/>
        </w:rPr>
        <w:t>−</w:t>
      </w:r>
      <w:r w:rsidRPr="007C5A6E">
        <w:rPr>
          <w:rFonts w:ascii="Times New Roman" w:eastAsiaTheme="minorHAnsi" w:hAnsi="Times New Roman"/>
          <w:kern w:val="2"/>
          <w:sz w:val="24"/>
          <w:szCs w:val="24"/>
          <w:lang w:eastAsia="en-US"/>
          <w14:ligatures w14:val="standardContextual"/>
        </w:rPr>
        <w:t xml:space="preserve">. Sur la base des indices de qualité de l'eau calculés, la plupart des puits échantillonnés produisaient des eaux souterraines propres à la consommation humaine. </w:t>
      </w:r>
    </w:p>
    <w:p w14:paraId="1348494B" w14:textId="77777777" w:rsidR="009A60DE" w:rsidRPr="007C5A6E" w:rsidRDefault="009A60DE" w:rsidP="0093589E">
      <w:pPr>
        <w:tabs>
          <w:tab w:val="left" w:pos="426"/>
        </w:tabs>
        <w:spacing w:after="0" w:line="240" w:lineRule="auto"/>
        <w:jc w:val="both"/>
        <w:rPr>
          <w:rFonts w:ascii="Times New Roman" w:eastAsiaTheme="minorHAnsi" w:hAnsi="Times New Roman"/>
          <w:kern w:val="2"/>
          <w:sz w:val="24"/>
          <w:szCs w:val="24"/>
          <w:lang w:eastAsia="en-US"/>
          <w14:ligatures w14:val="standardContextual"/>
        </w:rPr>
      </w:pPr>
    </w:p>
    <w:p w14:paraId="79496111" w14:textId="4D3788F5" w:rsidR="009A60DE" w:rsidRPr="007C5A6E" w:rsidRDefault="001F7AA6" w:rsidP="0093589E">
      <w:pPr>
        <w:tabs>
          <w:tab w:val="left" w:pos="426"/>
        </w:tabs>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Cependant, quelques puits présentaient des concentrations élevées d'As et de F− qui dépassaient les limites autorisées pour l'eau potable. Les concentrations élevées d'As provenaient probablement de l'altération des roches </w:t>
      </w:r>
      <w:proofErr w:type="spellStart"/>
      <w:r w:rsidRPr="007C5A6E">
        <w:rPr>
          <w:rFonts w:ascii="Times New Roman" w:eastAsiaTheme="minorHAnsi" w:hAnsi="Times New Roman"/>
          <w:kern w:val="2"/>
          <w:sz w:val="24"/>
          <w:szCs w:val="24"/>
          <w:lang w:eastAsia="en-US"/>
          <w14:ligatures w14:val="standardContextual"/>
        </w:rPr>
        <w:t>volcano</w:t>
      </w:r>
      <w:proofErr w:type="spellEnd"/>
      <w:r w:rsidRPr="007C5A6E">
        <w:rPr>
          <w:rFonts w:ascii="Times New Roman" w:eastAsiaTheme="minorHAnsi" w:hAnsi="Times New Roman"/>
          <w:kern w:val="2"/>
          <w:sz w:val="24"/>
          <w:szCs w:val="24"/>
          <w:lang w:eastAsia="en-US"/>
          <w14:ligatures w14:val="standardContextual"/>
        </w:rPr>
        <w:t>-sédimentaires, tandis que celles de F</w:t>
      </w:r>
      <w:r w:rsidRPr="007C5A6E">
        <w:rPr>
          <w:rFonts w:ascii="Times New Roman" w:eastAsiaTheme="minorHAnsi" w:hAnsi="Times New Roman"/>
          <w:kern w:val="2"/>
          <w:sz w:val="24"/>
          <w:szCs w:val="24"/>
          <w:vertAlign w:val="superscript"/>
          <w:lang w:eastAsia="en-US"/>
          <w14:ligatures w14:val="standardContextual"/>
        </w:rPr>
        <w:t>−</w:t>
      </w:r>
      <w:r w:rsidRPr="007C5A6E">
        <w:rPr>
          <w:rFonts w:ascii="Times New Roman" w:eastAsiaTheme="minorHAnsi" w:hAnsi="Times New Roman"/>
          <w:kern w:val="2"/>
          <w:sz w:val="24"/>
          <w:szCs w:val="24"/>
          <w:lang w:eastAsia="en-US"/>
          <w14:ligatures w14:val="standardContextual"/>
        </w:rPr>
        <w:t xml:space="preserve"> semblaient provenir de roches granitiques. Les graphiques bivariés ont montré que les processus géochimiques tels que l'altération des silicates, la dissolution et la précipitation des minéraux, l'échange d'ions ainsi que l'évapotranspiration étaient les principaux facteurs influençant l'acquisition de solutés dans les eaux souterraines. De plus, la désorption et l'échange d'ions dans des conditions de pH alcalin pourraient améliorer l'enrichissement en As et F− dans les eaux souterraines. Les cartes de distribution spatiale de la force ionique et de la conductivité électrique ont identifié le secteur nord de la zone d'étude comme étant les zones de recharge des eaux souterraines, qui devraient nécessiter une protection et un plan de surveillance périodique des eaux souterraines. Faye et al. (2020) ont réalisé une caractérisation physico-chimique de la qualité des eaux souterraines du sous bassin versant de la </w:t>
      </w:r>
      <w:r w:rsidR="005B10AC" w:rsidRPr="007C5A6E">
        <w:rPr>
          <w:rFonts w:ascii="Times New Roman" w:eastAsiaTheme="minorHAnsi" w:hAnsi="Times New Roman"/>
          <w:kern w:val="2"/>
          <w:sz w:val="24"/>
          <w:szCs w:val="24"/>
          <w:lang w:eastAsia="en-US"/>
          <w14:ligatures w14:val="standardContextual"/>
        </w:rPr>
        <w:t>Sissili</w:t>
      </w:r>
      <w:r w:rsidRPr="007C5A6E">
        <w:rPr>
          <w:rFonts w:ascii="Times New Roman" w:eastAsiaTheme="minorHAnsi" w:hAnsi="Times New Roman"/>
          <w:kern w:val="2"/>
          <w:sz w:val="24"/>
          <w:szCs w:val="24"/>
          <w:lang w:eastAsia="en-US"/>
          <w14:ligatures w14:val="standardContextual"/>
        </w:rPr>
        <w:t xml:space="preserve">. Soixante-sept puits de forage ont fait l’objet d’analyses selon les techniques d’évaluation de la qualité de l’eau décrites par Rodier (2009) et des recommandations de l’OMS (2008). </w:t>
      </w:r>
    </w:p>
    <w:p w14:paraId="06306FA4" w14:textId="77777777" w:rsidR="009A60DE" w:rsidRPr="007C5A6E" w:rsidRDefault="009A60DE" w:rsidP="0093589E">
      <w:pPr>
        <w:tabs>
          <w:tab w:val="left" w:pos="426"/>
        </w:tabs>
        <w:spacing w:after="0" w:line="240" w:lineRule="auto"/>
        <w:jc w:val="both"/>
        <w:rPr>
          <w:rFonts w:ascii="Times New Roman" w:eastAsiaTheme="minorHAnsi" w:hAnsi="Times New Roman"/>
          <w:kern w:val="2"/>
          <w:sz w:val="24"/>
          <w:szCs w:val="24"/>
          <w:lang w:eastAsia="en-US"/>
          <w14:ligatures w14:val="standardContextual"/>
        </w:rPr>
      </w:pPr>
    </w:p>
    <w:p w14:paraId="51CCC265" w14:textId="77777777" w:rsidR="007A6F6C" w:rsidRPr="007C5A6E" w:rsidRDefault="001F7AA6" w:rsidP="0093589E">
      <w:pPr>
        <w:tabs>
          <w:tab w:val="left" w:pos="426"/>
        </w:tabs>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Les résultats montrés que la qualité chimique des eaux provient de plusieurs processus, ce qui entraine une situation très complexe. Les eaux étaient fortement corrosives et présentent une saturation en calcites. Les eaux souterraines étaient classées bicarbonatées calciques et magnésiennes. Les valeurs de la conductivité électrique de l’eau ont montré que les eaux souterraines sont faiblement minéralisées avec une valeur maximale de 639 </w:t>
      </w:r>
      <w:proofErr w:type="spellStart"/>
      <w:r w:rsidRPr="007C5A6E">
        <w:rPr>
          <w:rFonts w:ascii="Times New Roman" w:eastAsiaTheme="minorHAnsi" w:hAnsi="Times New Roman"/>
          <w:kern w:val="2"/>
          <w:sz w:val="24"/>
          <w:szCs w:val="24"/>
          <w:lang w:eastAsia="en-US"/>
          <w14:ligatures w14:val="standardContextual"/>
        </w:rPr>
        <w:t>μS</w:t>
      </w:r>
      <w:proofErr w:type="spellEnd"/>
      <w:r w:rsidRPr="007C5A6E">
        <w:rPr>
          <w:rFonts w:ascii="Times New Roman" w:eastAsiaTheme="minorHAnsi" w:hAnsi="Times New Roman"/>
          <w:kern w:val="2"/>
          <w:sz w:val="24"/>
          <w:szCs w:val="24"/>
          <w:lang w:eastAsia="en-US"/>
          <w14:ligatures w14:val="standardContextual"/>
        </w:rPr>
        <w:t xml:space="preserve">/cm. La valeur du pH oscillait autour de 7, généralement acide. L’analyse hydro chimique a révélé des teneurs en Arsenic, fluor, cyanure, plomb, fer, potassium, phosphate et aluminium dépassant les recommandations de l’OMS. Sako et al. (2020) ont réalisé une caractérisation hydrogéochimique et de la pollution d'un aquifère de grès glauconien peu profond en milieu périurbain de Bobo‑Dioulasso, au sud-ouest. </w:t>
      </w:r>
    </w:p>
    <w:p w14:paraId="6D719006" w14:textId="4D9B16F6" w:rsidR="009A60DE" w:rsidRPr="007C5A6E" w:rsidRDefault="001F7AA6" w:rsidP="0093589E">
      <w:pPr>
        <w:tabs>
          <w:tab w:val="left" w:pos="426"/>
        </w:tabs>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Des échantillons d’eaux ont été prélevés en saison sèche durant juillet 2017. Les paramètres physico-chimiques, à savoir le pH, la conductivité électrique (CE), la turbidité, l'oxygène dissous (OD), les solides dissous totaux (TDS), les ions majeurs (Ca2+, Mg2+, K+, Na+, NO3−, Cl−, HCO3− et SO42−) et les métaux lourds (Cd, Cu, Fe total, Ni et Zn) ont été mesuré. Les résultats ont révélé qu’en raison du court temps de séjour de l'eau souterraine et du stade d'altération déjà avancé des matériaux de l'aquifère, les concentrations en ions majeurs, la CE et les TDS étaient faibles et conformes aux valeurs guides recommandées par l'Organisation mondiale de la santé (OMS) pour l'eau potable. </w:t>
      </w:r>
    </w:p>
    <w:p w14:paraId="34BD7FAA" w14:textId="77777777" w:rsidR="009A60DE" w:rsidRPr="007C5A6E" w:rsidRDefault="009A60DE" w:rsidP="0093589E">
      <w:pPr>
        <w:tabs>
          <w:tab w:val="left" w:pos="426"/>
        </w:tabs>
        <w:spacing w:after="0" w:line="240" w:lineRule="auto"/>
        <w:jc w:val="both"/>
        <w:rPr>
          <w:rFonts w:ascii="Times New Roman" w:eastAsiaTheme="minorHAnsi" w:hAnsi="Times New Roman"/>
          <w:kern w:val="2"/>
          <w:sz w:val="24"/>
          <w:szCs w:val="24"/>
          <w:lang w:eastAsia="en-US"/>
          <w14:ligatures w14:val="standardContextual"/>
        </w:rPr>
      </w:pPr>
    </w:p>
    <w:p w14:paraId="3CAB6CF1" w14:textId="77777777" w:rsidR="007A6F6C" w:rsidRPr="007C5A6E" w:rsidRDefault="001F7AA6" w:rsidP="0093589E">
      <w:pPr>
        <w:tabs>
          <w:tab w:val="left" w:pos="426"/>
        </w:tabs>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Cependant, la turbidité, le Cd, le Ni et, dans une moindre mesure, le Fe total avait des concentrations supérieures aux limites acceptables de l'OMS. Les diagrammes de Piper et </w:t>
      </w:r>
      <w:proofErr w:type="spellStart"/>
      <w:r w:rsidRPr="007C5A6E">
        <w:rPr>
          <w:rFonts w:ascii="Times New Roman" w:eastAsiaTheme="minorHAnsi" w:hAnsi="Times New Roman"/>
          <w:kern w:val="2"/>
          <w:sz w:val="24"/>
          <w:szCs w:val="24"/>
          <w:lang w:eastAsia="en-US"/>
          <w14:ligatures w14:val="standardContextual"/>
        </w:rPr>
        <w:t>Durov</w:t>
      </w:r>
      <w:proofErr w:type="spellEnd"/>
      <w:r w:rsidRPr="007C5A6E">
        <w:rPr>
          <w:rFonts w:ascii="Times New Roman" w:eastAsiaTheme="minorHAnsi" w:hAnsi="Times New Roman"/>
          <w:kern w:val="2"/>
          <w:sz w:val="24"/>
          <w:szCs w:val="24"/>
          <w:lang w:eastAsia="en-US"/>
          <w14:ligatures w14:val="standardContextual"/>
        </w:rPr>
        <w:t xml:space="preserve"> ont montré que l'aquifère est vulnérable aux activités anthropiques, car les eaux souterraines sont dominées par une eau de type mixte </w:t>
      </w:r>
      <w:proofErr w:type="gramStart"/>
      <w:r w:rsidRPr="007C5A6E">
        <w:rPr>
          <w:rFonts w:ascii="Times New Roman" w:eastAsiaTheme="minorHAnsi" w:hAnsi="Times New Roman"/>
          <w:kern w:val="2"/>
          <w:sz w:val="24"/>
          <w:szCs w:val="24"/>
          <w:lang w:eastAsia="en-US"/>
          <w14:ligatures w14:val="standardContextual"/>
        </w:rPr>
        <w:t>Ca</w:t>
      </w:r>
      <w:proofErr w:type="gramEnd"/>
      <w:r w:rsidRPr="007C5A6E">
        <w:rPr>
          <w:rFonts w:ascii="Times New Roman" w:eastAsiaTheme="minorHAnsi" w:hAnsi="Times New Roman"/>
          <w:kern w:val="2"/>
          <w:sz w:val="24"/>
          <w:szCs w:val="24"/>
          <w:lang w:eastAsia="en-US"/>
          <w14:ligatures w14:val="standardContextual"/>
        </w:rPr>
        <w:t xml:space="preserve">–Mg–Cl–SO4. La pollution environnementale anthropique était principalement associée à la turbidité, au NO3-, au Cd, au Ni et au Zn. Kam et al. (2019) ont évalué la source de contamination au thallium des eaux souterraines et de surface de la localité du village </w:t>
      </w:r>
      <w:proofErr w:type="spellStart"/>
      <w:r w:rsidRPr="007C5A6E">
        <w:rPr>
          <w:rFonts w:ascii="Times New Roman" w:eastAsiaTheme="minorHAnsi" w:hAnsi="Times New Roman"/>
          <w:kern w:val="2"/>
          <w:sz w:val="24"/>
          <w:szCs w:val="24"/>
          <w:lang w:eastAsia="en-US"/>
          <w14:ligatures w14:val="standardContextual"/>
        </w:rPr>
        <w:t>Yamtenga</w:t>
      </w:r>
      <w:proofErr w:type="spellEnd"/>
      <w:r w:rsidRPr="007C5A6E">
        <w:rPr>
          <w:rFonts w:ascii="Times New Roman" w:eastAsiaTheme="minorHAnsi" w:hAnsi="Times New Roman"/>
          <w:kern w:val="2"/>
          <w:sz w:val="24"/>
          <w:szCs w:val="24"/>
          <w:lang w:eastAsia="en-US"/>
          <w14:ligatures w14:val="standardContextual"/>
        </w:rPr>
        <w:t xml:space="preserve">. Des échantillons de sol ont été prélevés à des profondeurs allant de 30 cm à 140 cm. L'analyse des métaux lourds a été réalisée à l'aide d'un ICP-AES. Des concentrations en thallium dans cette zone allant de 1,61 mg/kg à 404,75 mg/kg ont été retrouvés. </w:t>
      </w:r>
    </w:p>
    <w:p w14:paraId="62361C2F" w14:textId="77777777" w:rsidR="007A6F6C" w:rsidRPr="007C5A6E" w:rsidRDefault="007A6F6C" w:rsidP="0093589E">
      <w:pPr>
        <w:tabs>
          <w:tab w:val="left" w:pos="426"/>
        </w:tabs>
        <w:spacing w:after="0" w:line="240" w:lineRule="auto"/>
        <w:jc w:val="both"/>
        <w:rPr>
          <w:rFonts w:ascii="Times New Roman" w:eastAsiaTheme="minorHAnsi" w:hAnsi="Times New Roman"/>
          <w:kern w:val="2"/>
          <w:sz w:val="24"/>
          <w:szCs w:val="24"/>
          <w:lang w:eastAsia="en-US"/>
          <w14:ligatures w14:val="standardContextual"/>
        </w:rPr>
      </w:pPr>
    </w:p>
    <w:p w14:paraId="5DAA5BDA" w14:textId="535AECAA" w:rsidR="007E26B1" w:rsidRPr="007C5A6E" w:rsidRDefault="001F7AA6" w:rsidP="0093589E">
      <w:pPr>
        <w:tabs>
          <w:tab w:val="left" w:pos="426"/>
        </w:tabs>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Une minéralisation zonée en thallium, due à la structure géologique de la localité, suggère que la source de contamination au thallium des eaux souterraines et de surface de la localité du village </w:t>
      </w:r>
      <w:proofErr w:type="spellStart"/>
      <w:r w:rsidRPr="007C5A6E">
        <w:rPr>
          <w:rFonts w:ascii="Times New Roman" w:eastAsiaTheme="minorHAnsi" w:hAnsi="Times New Roman"/>
          <w:kern w:val="2"/>
          <w:sz w:val="24"/>
          <w:szCs w:val="24"/>
          <w:lang w:eastAsia="en-US"/>
          <w14:ligatures w14:val="standardContextual"/>
        </w:rPr>
        <w:t>Yamtenga</w:t>
      </w:r>
      <w:proofErr w:type="spellEnd"/>
      <w:r w:rsidRPr="007C5A6E">
        <w:rPr>
          <w:rFonts w:ascii="Times New Roman" w:eastAsiaTheme="minorHAnsi" w:hAnsi="Times New Roman"/>
          <w:kern w:val="2"/>
          <w:sz w:val="24"/>
          <w:szCs w:val="24"/>
          <w:lang w:eastAsia="en-US"/>
          <w14:ligatures w14:val="standardContextual"/>
        </w:rPr>
        <w:t xml:space="preserve"> est d'origine naturelle. Les concentrations de certains métaux lourds (Pb, Zn, Cd, Cu et Mn) ont été également évaluées dans les sols du village de </w:t>
      </w:r>
      <w:proofErr w:type="spellStart"/>
      <w:r w:rsidRPr="007C5A6E">
        <w:rPr>
          <w:rFonts w:ascii="Times New Roman" w:eastAsiaTheme="minorHAnsi" w:hAnsi="Times New Roman"/>
          <w:kern w:val="2"/>
          <w:sz w:val="24"/>
          <w:szCs w:val="24"/>
          <w:lang w:eastAsia="en-US"/>
          <w14:ligatures w14:val="standardContextual"/>
        </w:rPr>
        <w:t>Yamtenga</w:t>
      </w:r>
      <w:proofErr w:type="spellEnd"/>
      <w:r w:rsidRPr="007C5A6E">
        <w:rPr>
          <w:rFonts w:ascii="Times New Roman" w:eastAsiaTheme="minorHAnsi" w:hAnsi="Times New Roman"/>
          <w:kern w:val="2"/>
          <w:sz w:val="24"/>
          <w:szCs w:val="24"/>
          <w:lang w:eastAsia="en-US"/>
          <w14:ligatures w14:val="standardContextual"/>
        </w:rPr>
        <w:t xml:space="preserve"> et leurs relations de concentration avec le thallium ont été analysées par le coefficient de corrélation de Pearson basé sur la matrice de corrélation. Des coefficients de corrélation modérés (0,554), faibles (0,408) et significatifs (0,999) ont été obtenus entre le thallium et le plomb, le zinc, le manganèse respectivement. </w:t>
      </w:r>
    </w:p>
    <w:p w14:paraId="7320399A" w14:textId="77777777" w:rsidR="007E26B1" w:rsidRPr="007C5A6E" w:rsidRDefault="007E26B1" w:rsidP="0093589E">
      <w:pPr>
        <w:tabs>
          <w:tab w:val="left" w:pos="426"/>
        </w:tabs>
        <w:spacing w:after="0" w:line="240" w:lineRule="auto"/>
        <w:jc w:val="both"/>
        <w:rPr>
          <w:rFonts w:ascii="Times New Roman" w:eastAsiaTheme="minorHAnsi" w:hAnsi="Times New Roman"/>
          <w:kern w:val="2"/>
          <w:sz w:val="24"/>
          <w:szCs w:val="24"/>
          <w:lang w:eastAsia="en-US"/>
          <w14:ligatures w14:val="standardContextual"/>
        </w:rPr>
      </w:pPr>
    </w:p>
    <w:p w14:paraId="044D4067" w14:textId="6B92A065" w:rsidR="001F7AA6" w:rsidRPr="007C5A6E" w:rsidRDefault="001F7AA6" w:rsidP="0093589E">
      <w:pPr>
        <w:tabs>
          <w:tab w:val="left" w:pos="426"/>
        </w:tabs>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Des coefficients de corrélation significatifs (0,788 et 0,791) ont également été notés entre le thallium et le cuivre, le cadmium respectivement. Les concentrations de thallium dans les eaux souterraines et de surface de cette localité sont principalement liées aux interactions entre l'eau et les roches mères, le thallium étant libéré suite à certains processus d'altération avec d'autres éléments métalliques lourds notamment le manganèse. </w:t>
      </w:r>
      <w:proofErr w:type="spellStart"/>
      <w:r w:rsidRPr="007C5A6E">
        <w:rPr>
          <w:rFonts w:ascii="Times New Roman" w:eastAsiaTheme="minorHAnsi" w:hAnsi="Times New Roman"/>
          <w:kern w:val="2"/>
          <w:sz w:val="24"/>
          <w:szCs w:val="24"/>
          <w:lang w:eastAsia="en-US"/>
          <w14:ligatures w14:val="standardContextual"/>
        </w:rPr>
        <w:t>Bretzler</w:t>
      </w:r>
      <w:proofErr w:type="spellEnd"/>
      <w:r w:rsidRPr="007C5A6E">
        <w:rPr>
          <w:rFonts w:ascii="Times New Roman" w:eastAsiaTheme="minorHAnsi" w:hAnsi="Times New Roman"/>
          <w:kern w:val="2"/>
          <w:sz w:val="24"/>
          <w:szCs w:val="24"/>
          <w:lang w:eastAsia="en-US"/>
          <w14:ligatures w14:val="standardContextual"/>
        </w:rPr>
        <w:t xml:space="preserve"> et al. (2017) ont évalué la contamination des eaux souterraines par l'arsenic au Burkina Faso. Les paramètres (température, pH, conductivité électrique, concentration en O2 et potentiel redox) ont été mesurés dans une cellule à flux continu connectée au bec de la pompe. Les résultats ont montré que les concentrations d'arsenic dans les puits d'eau potable du Burkina Faso rural (n = 1498), dont 14,6 % étaient supérieures à 10 μg/L.</w:t>
      </w:r>
    </w:p>
    <w:p w14:paraId="034EB92F" w14:textId="77777777" w:rsidR="007E26B1" w:rsidRPr="007C5A6E" w:rsidRDefault="007E26B1" w:rsidP="0093589E">
      <w:pPr>
        <w:tabs>
          <w:tab w:val="left" w:pos="426"/>
        </w:tabs>
        <w:spacing w:after="0" w:line="240" w:lineRule="auto"/>
        <w:jc w:val="both"/>
        <w:rPr>
          <w:rFonts w:ascii="Times New Roman" w:eastAsiaTheme="minorHAnsi" w:hAnsi="Times New Roman"/>
          <w:kern w:val="2"/>
          <w:sz w:val="24"/>
          <w:szCs w:val="24"/>
          <w:lang w:eastAsia="en-US"/>
          <w14:ligatures w14:val="standardContextual"/>
        </w:rPr>
      </w:pPr>
    </w:p>
    <w:p w14:paraId="1B5F76FF" w14:textId="77777777" w:rsidR="007E26B1" w:rsidRPr="007C5A6E" w:rsidRDefault="001F7AA6" w:rsidP="0093589E">
      <w:pPr>
        <w:tabs>
          <w:tab w:val="left" w:pos="426"/>
        </w:tabs>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Sako et al. (2016) ont examiné les processus qui contrôlent la chimie de l'eau des puits creusés et des puits forés dans les aquifères cristallins du socle en milieu semi-aride. Des échantillons d'eau souterraine ont été prélevés dans des puits creusés et des puits forés au début de la saison des pluies en 2014. Les résultats ont révélé que six puits creusés et sept puits forés présentaient des concentrations élevées de NO3− par rapport à SO42−, ce qui suggère que des conditions redox oxydantes prévalentes dans ces échantillons. Les concentrations les plus élevées de NO− et de SO42− ont été trouvées dans quelques puits forés. Les indices de saturation et les coefficients de corrélation ont montré que la plupart des puits creusés et certains puits forés étaient sursaturés en minéraux contenant du fer, ce qui implique que des éléments traces tels que </w:t>
      </w:r>
      <w:proofErr w:type="spellStart"/>
      <w:r w:rsidRPr="007C5A6E">
        <w:rPr>
          <w:rFonts w:ascii="Times New Roman" w:eastAsiaTheme="minorHAnsi" w:hAnsi="Times New Roman"/>
          <w:kern w:val="2"/>
          <w:sz w:val="24"/>
          <w:szCs w:val="24"/>
          <w:lang w:eastAsia="en-US"/>
          <w14:ligatures w14:val="standardContextual"/>
        </w:rPr>
        <w:t>AsT</w:t>
      </w:r>
      <w:proofErr w:type="spellEnd"/>
      <w:r w:rsidRPr="007C5A6E">
        <w:rPr>
          <w:rFonts w:ascii="Times New Roman" w:eastAsiaTheme="minorHAnsi" w:hAnsi="Times New Roman"/>
          <w:kern w:val="2"/>
          <w:sz w:val="24"/>
          <w:szCs w:val="24"/>
          <w:lang w:eastAsia="en-US"/>
          <w14:ligatures w14:val="standardContextual"/>
        </w:rPr>
        <w:t xml:space="preserve">, Cu, Cr, Ni et Zn étaient susceptibles de Co précipiter avec les minéraux de fer résiduels. </w:t>
      </w:r>
    </w:p>
    <w:p w14:paraId="11B92008" w14:textId="77777777" w:rsidR="007E26B1" w:rsidRPr="007C5A6E" w:rsidRDefault="007E26B1" w:rsidP="0093589E">
      <w:pPr>
        <w:tabs>
          <w:tab w:val="left" w:pos="426"/>
        </w:tabs>
        <w:spacing w:after="0" w:line="240" w:lineRule="auto"/>
        <w:jc w:val="both"/>
        <w:rPr>
          <w:rFonts w:ascii="Times New Roman" w:eastAsiaTheme="minorHAnsi" w:hAnsi="Times New Roman"/>
          <w:kern w:val="2"/>
          <w:sz w:val="24"/>
          <w:szCs w:val="24"/>
          <w:lang w:eastAsia="en-US"/>
          <w14:ligatures w14:val="standardContextual"/>
        </w:rPr>
      </w:pPr>
    </w:p>
    <w:p w14:paraId="547BBC64" w14:textId="77777777" w:rsidR="007A6F6C" w:rsidRPr="007C5A6E" w:rsidRDefault="001F7AA6" w:rsidP="0093589E">
      <w:pPr>
        <w:tabs>
          <w:tab w:val="left" w:pos="426"/>
        </w:tabs>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La faible mobilité de l'</w:t>
      </w:r>
      <w:proofErr w:type="spellStart"/>
      <w:r w:rsidRPr="007C5A6E">
        <w:rPr>
          <w:rFonts w:ascii="Times New Roman" w:eastAsiaTheme="minorHAnsi" w:hAnsi="Times New Roman"/>
          <w:kern w:val="2"/>
          <w:sz w:val="24"/>
          <w:szCs w:val="24"/>
          <w:lang w:eastAsia="en-US"/>
          <w14:ligatures w14:val="standardContextual"/>
        </w:rPr>
        <w:t>AsT</w:t>
      </w:r>
      <w:proofErr w:type="spellEnd"/>
      <w:r w:rsidRPr="007C5A6E">
        <w:rPr>
          <w:rFonts w:ascii="Times New Roman" w:eastAsiaTheme="minorHAnsi" w:hAnsi="Times New Roman"/>
          <w:kern w:val="2"/>
          <w:sz w:val="24"/>
          <w:szCs w:val="24"/>
          <w:lang w:eastAsia="en-US"/>
          <w14:ligatures w14:val="standardContextual"/>
        </w:rPr>
        <w:t xml:space="preserve"> dans les puits creusés pourrait également s'expliquer par l'abondance limitée de minéraux carbonatés dans la couche altérée. En revanche, les concentrations élevées d'</w:t>
      </w:r>
      <w:proofErr w:type="spellStart"/>
      <w:r w:rsidRPr="007C5A6E">
        <w:rPr>
          <w:rFonts w:ascii="Times New Roman" w:eastAsiaTheme="minorHAnsi" w:hAnsi="Times New Roman"/>
          <w:kern w:val="2"/>
          <w:sz w:val="24"/>
          <w:szCs w:val="24"/>
          <w:lang w:eastAsia="en-US"/>
          <w14:ligatures w14:val="standardContextual"/>
        </w:rPr>
        <w:t>AsT</w:t>
      </w:r>
      <w:proofErr w:type="spellEnd"/>
      <w:r w:rsidRPr="007C5A6E">
        <w:rPr>
          <w:rFonts w:ascii="Times New Roman" w:eastAsiaTheme="minorHAnsi" w:hAnsi="Times New Roman"/>
          <w:kern w:val="2"/>
          <w:sz w:val="24"/>
          <w:szCs w:val="24"/>
          <w:lang w:eastAsia="en-US"/>
          <w14:ligatures w14:val="standardContextual"/>
        </w:rPr>
        <w:t xml:space="preserve"> observées dans la majorité des puits forés reflétaient une interaction eau-roche prolongée qui avait conduit à la déportation des charges de surface des minéraux de l'aquifère, inhibant ainsi l'adsorption d'</w:t>
      </w:r>
      <w:proofErr w:type="spellStart"/>
      <w:r w:rsidRPr="007C5A6E">
        <w:rPr>
          <w:rFonts w:ascii="Times New Roman" w:eastAsiaTheme="minorHAnsi" w:hAnsi="Times New Roman"/>
          <w:kern w:val="2"/>
          <w:sz w:val="24"/>
          <w:szCs w:val="24"/>
          <w:lang w:eastAsia="en-US"/>
          <w14:ligatures w14:val="standardContextual"/>
        </w:rPr>
        <w:t>AsT</w:t>
      </w:r>
      <w:proofErr w:type="spellEnd"/>
      <w:r w:rsidRPr="007C5A6E">
        <w:rPr>
          <w:rFonts w:ascii="Times New Roman" w:eastAsiaTheme="minorHAnsi" w:hAnsi="Times New Roman"/>
          <w:kern w:val="2"/>
          <w:sz w:val="24"/>
          <w:szCs w:val="24"/>
          <w:lang w:eastAsia="en-US"/>
          <w14:ligatures w14:val="standardContextual"/>
        </w:rPr>
        <w:t xml:space="preserve">. La concentration moyenne de </w:t>
      </w:r>
      <w:proofErr w:type="spellStart"/>
      <w:r w:rsidRPr="007C5A6E">
        <w:rPr>
          <w:rFonts w:ascii="Times New Roman" w:eastAsiaTheme="minorHAnsi" w:hAnsi="Times New Roman"/>
          <w:kern w:val="2"/>
          <w:sz w:val="24"/>
          <w:szCs w:val="24"/>
          <w:lang w:eastAsia="en-US"/>
          <w14:ligatures w14:val="standardContextual"/>
        </w:rPr>
        <w:t>FeT</w:t>
      </w:r>
      <w:proofErr w:type="spellEnd"/>
      <w:r w:rsidRPr="007C5A6E">
        <w:rPr>
          <w:rFonts w:ascii="Times New Roman" w:eastAsiaTheme="minorHAnsi" w:hAnsi="Times New Roman"/>
          <w:kern w:val="2"/>
          <w:sz w:val="24"/>
          <w:szCs w:val="24"/>
          <w:lang w:eastAsia="en-US"/>
          <w14:ligatures w14:val="standardContextual"/>
        </w:rPr>
        <w:t xml:space="preserve"> et la teneur totale en coliformes des échantillons de puits creusés dépassaient les limites de l'OMS pour les eaux potables. De même, les concentrations moyennes de </w:t>
      </w:r>
      <w:proofErr w:type="spellStart"/>
      <w:r w:rsidRPr="007C5A6E">
        <w:rPr>
          <w:rFonts w:ascii="Times New Roman" w:eastAsiaTheme="minorHAnsi" w:hAnsi="Times New Roman"/>
          <w:kern w:val="2"/>
          <w:sz w:val="24"/>
          <w:szCs w:val="24"/>
          <w:lang w:eastAsia="en-US"/>
          <w14:ligatures w14:val="standardContextual"/>
        </w:rPr>
        <w:t>FeT</w:t>
      </w:r>
      <w:proofErr w:type="spellEnd"/>
      <w:r w:rsidRPr="007C5A6E">
        <w:rPr>
          <w:rFonts w:ascii="Times New Roman" w:eastAsiaTheme="minorHAnsi" w:hAnsi="Times New Roman"/>
          <w:kern w:val="2"/>
          <w:sz w:val="24"/>
          <w:szCs w:val="24"/>
          <w:lang w:eastAsia="en-US"/>
          <w14:ligatures w14:val="standardContextual"/>
        </w:rPr>
        <w:t xml:space="preserve">, </w:t>
      </w:r>
      <w:proofErr w:type="spellStart"/>
      <w:r w:rsidRPr="007C5A6E">
        <w:rPr>
          <w:rFonts w:ascii="Times New Roman" w:eastAsiaTheme="minorHAnsi" w:hAnsi="Times New Roman"/>
          <w:kern w:val="2"/>
          <w:sz w:val="24"/>
          <w:szCs w:val="24"/>
          <w:lang w:eastAsia="en-US"/>
          <w14:ligatures w14:val="standardContextual"/>
        </w:rPr>
        <w:t>AsT</w:t>
      </w:r>
      <w:proofErr w:type="spellEnd"/>
      <w:r w:rsidRPr="007C5A6E">
        <w:rPr>
          <w:rFonts w:ascii="Times New Roman" w:eastAsiaTheme="minorHAnsi" w:hAnsi="Times New Roman"/>
          <w:kern w:val="2"/>
          <w:sz w:val="24"/>
          <w:szCs w:val="24"/>
          <w:lang w:eastAsia="en-US"/>
          <w14:ligatures w14:val="standardContextual"/>
        </w:rPr>
        <w:t xml:space="preserve"> (~ 55 % des échantillons) et Pb dans les puits forés étaient supérieures aux limites autorisées par l'OMS. L'étude a montré que les ressources en eaux souterraines locales sont exposées à des sources de pollution à la fois anthropiques et géogéniques. </w:t>
      </w:r>
      <w:proofErr w:type="spellStart"/>
      <w:r w:rsidRPr="007C5A6E">
        <w:rPr>
          <w:rFonts w:ascii="Times New Roman" w:eastAsiaTheme="minorHAnsi" w:hAnsi="Times New Roman"/>
          <w:kern w:val="2"/>
          <w:sz w:val="24"/>
          <w:szCs w:val="24"/>
          <w:lang w:eastAsia="en-US"/>
          <w14:ligatures w14:val="standardContextual"/>
        </w:rPr>
        <w:t>Smedley</w:t>
      </w:r>
      <w:proofErr w:type="spellEnd"/>
      <w:r w:rsidRPr="007C5A6E">
        <w:rPr>
          <w:rFonts w:ascii="Times New Roman" w:eastAsiaTheme="minorHAnsi" w:hAnsi="Times New Roman"/>
          <w:kern w:val="2"/>
          <w:sz w:val="24"/>
          <w:szCs w:val="24"/>
          <w:lang w:eastAsia="en-US"/>
          <w14:ligatures w14:val="standardContextual"/>
        </w:rPr>
        <w:t xml:space="preserve"> et al. (2007) ont décrit l'hydrogéochimie et la distribution de l'As dans les eaux souterraines d'une zone nouvellement étudiée du Burkina Faso. Les eaux souterraines ont été échantillonnées à partir de forages à pompe manuelle et de puits creusés près de la ville de Ouahigouya durant </w:t>
      </w:r>
      <w:r w:rsidR="006D0702" w:rsidRPr="007C5A6E">
        <w:rPr>
          <w:rFonts w:ascii="Times New Roman" w:eastAsiaTheme="minorHAnsi" w:hAnsi="Times New Roman"/>
          <w:kern w:val="2"/>
          <w:sz w:val="24"/>
          <w:szCs w:val="24"/>
          <w:lang w:eastAsia="en-US"/>
          <w14:ligatures w14:val="standardContextual"/>
        </w:rPr>
        <w:t>j</w:t>
      </w:r>
      <w:r w:rsidRPr="007C5A6E">
        <w:rPr>
          <w:rFonts w:ascii="Times New Roman" w:eastAsiaTheme="minorHAnsi" w:hAnsi="Times New Roman"/>
          <w:kern w:val="2"/>
          <w:sz w:val="24"/>
          <w:szCs w:val="24"/>
          <w:lang w:eastAsia="en-US"/>
          <w14:ligatures w14:val="standardContextual"/>
        </w:rPr>
        <w:t>anvier–</w:t>
      </w:r>
      <w:r w:rsidR="006D0702" w:rsidRPr="007C5A6E">
        <w:rPr>
          <w:rFonts w:ascii="Times New Roman" w:eastAsiaTheme="minorHAnsi" w:hAnsi="Times New Roman"/>
          <w:kern w:val="2"/>
          <w:sz w:val="24"/>
          <w:szCs w:val="24"/>
          <w:lang w:eastAsia="en-US"/>
          <w14:ligatures w14:val="standardContextual"/>
        </w:rPr>
        <w:t>fé</w:t>
      </w:r>
      <w:r w:rsidRPr="007C5A6E">
        <w:rPr>
          <w:rFonts w:ascii="Times New Roman" w:eastAsiaTheme="minorHAnsi" w:hAnsi="Times New Roman"/>
          <w:kern w:val="2"/>
          <w:sz w:val="24"/>
          <w:szCs w:val="24"/>
          <w:lang w:eastAsia="en-US"/>
          <w14:ligatures w14:val="standardContextual"/>
        </w:rPr>
        <w:t xml:space="preserve">vrier 2005. Les résultats ont montré que la plupart des eaux souterraines analysées avaient des concentrations d'As inférieures à 10 μg/L, et présentaient une large plage allant de &lt; 0,5 à 1630 μg/L. </w:t>
      </w:r>
    </w:p>
    <w:p w14:paraId="22AC7421" w14:textId="59DED41A" w:rsidR="001F7AA6" w:rsidRPr="007C5A6E" w:rsidRDefault="001F7AA6" w:rsidP="0093589E">
      <w:pPr>
        <w:tabs>
          <w:tab w:val="left" w:pos="426"/>
        </w:tabs>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Les concentrations les plus élevées se trouvaient dans les eaux de forage ; tous les puits creusés analysés dans cette étude avaient des concentrations d'As &lt; 10 μg/L. </w:t>
      </w:r>
      <w:proofErr w:type="spellStart"/>
      <w:r w:rsidRPr="007C5A6E">
        <w:rPr>
          <w:rFonts w:ascii="Times New Roman" w:eastAsiaTheme="minorHAnsi" w:hAnsi="Times New Roman"/>
          <w:kern w:val="2"/>
          <w:sz w:val="24"/>
          <w:szCs w:val="24"/>
          <w:lang w:eastAsia="en-US"/>
          <w14:ligatures w14:val="standardContextual"/>
        </w:rPr>
        <w:t>Nzihou</w:t>
      </w:r>
      <w:proofErr w:type="spellEnd"/>
      <w:r w:rsidRPr="007C5A6E">
        <w:rPr>
          <w:rFonts w:ascii="Times New Roman" w:eastAsiaTheme="minorHAnsi" w:hAnsi="Times New Roman"/>
          <w:kern w:val="2"/>
          <w:sz w:val="24"/>
          <w:szCs w:val="24"/>
          <w:lang w:eastAsia="en-US"/>
          <w14:ligatures w14:val="standardContextual"/>
        </w:rPr>
        <w:t xml:space="preserve"> et al. (2013) ont évalué la concentration d’arsenic dans trente-quatre (34) points d’eau de forage dans 04 provinces Nord du Burkina de Septembre 2006 à Décembre 2006. Les paramètres tels que température, pH, conductivité, turbidité, le titre alcalin, l'ion fluorure, les sulfates, le phosphate, les ions sodium, potassium (K), calcium (Ca), magnésium (Mg), </w:t>
      </w:r>
      <w:r w:rsidR="006D0702" w:rsidRPr="007C5A6E">
        <w:rPr>
          <w:rFonts w:ascii="Times New Roman" w:eastAsiaTheme="minorHAnsi" w:hAnsi="Times New Roman"/>
          <w:kern w:val="2"/>
          <w:sz w:val="24"/>
          <w:szCs w:val="24"/>
          <w:lang w:eastAsia="en-US"/>
          <w14:ligatures w14:val="standardContextual"/>
        </w:rPr>
        <w:t>etc.</w:t>
      </w:r>
      <w:r w:rsidRPr="007C5A6E">
        <w:rPr>
          <w:rFonts w:ascii="Times New Roman" w:eastAsiaTheme="minorHAnsi" w:hAnsi="Times New Roman"/>
          <w:kern w:val="2"/>
          <w:sz w:val="24"/>
          <w:szCs w:val="24"/>
          <w:lang w:eastAsia="en-US"/>
          <w14:ligatures w14:val="standardContextual"/>
        </w:rPr>
        <w:t xml:space="preserve"> ont été déterminé. Les résultats ont montré que la concentration d’arsenic variait de 0 à 87,8 microgrammes par litre. </w:t>
      </w:r>
    </w:p>
    <w:p w14:paraId="4CEFDF1E" w14:textId="77777777" w:rsidR="001F7AA6" w:rsidRPr="007C5A6E" w:rsidRDefault="001F7AA6" w:rsidP="0093589E">
      <w:pPr>
        <w:spacing w:after="0" w:line="240" w:lineRule="auto"/>
        <w:rPr>
          <w:rFonts w:ascii="Times New Roman" w:eastAsiaTheme="minorHAnsi" w:hAnsi="Times New Roman"/>
          <w:kern w:val="2"/>
          <w:lang w:eastAsia="en-US"/>
          <w14:ligatures w14:val="standardContextual"/>
        </w:rPr>
      </w:pPr>
    </w:p>
    <w:p w14:paraId="294F6687" w14:textId="6E476D74" w:rsidR="001F7AA6" w:rsidRPr="007C5A6E" w:rsidRDefault="00F35210" w:rsidP="0093589E">
      <w:pPr>
        <w:pStyle w:val="Titre3"/>
      </w:pPr>
      <w:bookmarkStart w:id="1590" w:name="_Toc183340341"/>
      <w:r w:rsidRPr="007C5A6E">
        <w:t xml:space="preserve">La </w:t>
      </w:r>
      <w:r w:rsidR="001F7AA6" w:rsidRPr="007C5A6E">
        <w:t>Pollution du sol</w:t>
      </w:r>
      <w:bookmarkEnd w:id="1590"/>
    </w:p>
    <w:p w14:paraId="661D20B5"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30086423" w14:textId="77777777" w:rsidR="000938D1"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Plusieurs travaux assez récents ont été réalisés sur la contamination des sols au Burkina Faso. La plupart d’entre elles s’est focalisée sur les paramètres physicochimiques. </w:t>
      </w:r>
    </w:p>
    <w:p w14:paraId="223411D7" w14:textId="77777777" w:rsidR="000938D1" w:rsidRPr="007C5A6E" w:rsidRDefault="000938D1" w:rsidP="0093589E">
      <w:pPr>
        <w:spacing w:after="0" w:line="240" w:lineRule="auto"/>
        <w:jc w:val="both"/>
        <w:rPr>
          <w:rFonts w:ascii="Times New Roman" w:eastAsiaTheme="minorHAnsi" w:hAnsi="Times New Roman"/>
          <w:kern w:val="2"/>
          <w:sz w:val="24"/>
          <w:szCs w:val="24"/>
          <w:lang w:eastAsia="en-US"/>
          <w14:ligatures w14:val="standardContextual"/>
        </w:rPr>
      </w:pPr>
    </w:p>
    <w:p w14:paraId="3C814ED8" w14:textId="4CF65BFF" w:rsidR="000938D1"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Ainsi, </w:t>
      </w:r>
      <w:proofErr w:type="spellStart"/>
      <w:r w:rsidRPr="007C5A6E">
        <w:rPr>
          <w:rFonts w:ascii="Times New Roman" w:eastAsiaTheme="minorHAnsi" w:hAnsi="Times New Roman"/>
          <w:kern w:val="2"/>
          <w:sz w:val="24"/>
          <w:szCs w:val="24"/>
          <w:lang w:eastAsia="en-US"/>
          <w14:ligatures w14:val="standardContextual"/>
        </w:rPr>
        <w:t>Kagambega</w:t>
      </w:r>
      <w:proofErr w:type="spellEnd"/>
      <w:r w:rsidRPr="007C5A6E">
        <w:rPr>
          <w:rFonts w:ascii="Times New Roman" w:eastAsiaTheme="minorHAnsi" w:hAnsi="Times New Roman"/>
          <w:kern w:val="2"/>
          <w:sz w:val="24"/>
          <w:szCs w:val="24"/>
          <w:lang w:eastAsia="en-US"/>
          <w14:ligatures w14:val="standardContextual"/>
        </w:rPr>
        <w:t xml:space="preserve"> et al. (2023) ont évalué la qualité des sols de la zone d’exploitation artisanale d’or à </w:t>
      </w:r>
      <w:proofErr w:type="spellStart"/>
      <w:r w:rsidRPr="007C5A6E">
        <w:rPr>
          <w:rFonts w:ascii="Times New Roman" w:eastAsiaTheme="minorHAnsi" w:hAnsi="Times New Roman"/>
          <w:kern w:val="2"/>
          <w:sz w:val="24"/>
          <w:szCs w:val="24"/>
          <w:lang w:eastAsia="en-US"/>
          <w14:ligatures w14:val="standardContextual"/>
        </w:rPr>
        <w:t>Yimiougou</w:t>
      </w:r>
      <w:proofErr w:type="spellEnd"/>
      <w:r w:rsidRPr="007C5A6E">
        <w:rPr>
          <w:rFonts w:ascii="Times New Roman" w:eastAsiaTheme="minorHAnsi" w:hAnsi="Times New Roman"/>
          <w:kern w:val="2"/>
          <w:sz w:val="24"/>
          <w:szCs w:val="24"/>
          <w:lang w:eastAsia="en-US"/>
          <w14:ligatures w14:val="standardContextual"/>
        </w:rPr>
        <w:t xml:space="preserve">. Les résultats ont montré que les sols de </w:t>
      </w:r>
      <w:proofErr w:type="spellStart"/>
      <w:r w:rsidRPr="007C5A6E">
        <w:rPr>
          <w:rFonts w:ascii="Times New Roman" w:eastAsiaTheme="minorHAnsi" w:hAnsi="Times New Roman"/>
          <w:kern w:val="2"/>
          <w:sz w:val="24"/>
          <w:szCs w:val="24"/>
          <w:lang w:eastAsia="en-US"/>
          <w14:ligatures w14:val="standardContextual"/>
        </w:rPr>
        <w:t>Yimiougou</w:t>
      </w:r>
      <w:proofErr w:type="spellEnd"/>
      <w:r w:rsidRPr="007C5A6E">
        <w:rPr>
          <w:rFonts w:ascii="Times New Roman" w:eastAsiaTheme="minorHAnsi" w:hAnsi="Times New Roman"/>
          <w:kern w:val="2"/>
          <w:sz w:val="24"/>
          <w:szCs w:val="24"/>
          <w:lang w:eastAsia="en-US"/>
          <w14:ligatures w14:val="standardContextual"/>
        </w:rPr>
        <w:t xml:space="preserve"> ont un intérêt agronomique nul à faible. Les différentes unités morphologiques étudiées étaient très fortement contaminées en zinc, cuivre, plomb et arsenic. Les teneurs en sulfures étaient strictement supérieures au seuil (0,3%) dans certains échantillons qui étaient donc potentiellement acidogènes. L'étude comparative du potentiel acide (PA) et du potentiel de neutralisation (NP) a révélé que les potentiels de neutralisation des différents échantillons étaient nettement supérieurs aux potentiels acides même pour les échantillons qui ont présenté un potentiel d'acidification avéré. Sawadogo et al. (2023) ont évalué les caractéristiques physicochimiques ainsi que la présence de métaux lourds dans les sols agricoles de </w:t>
      </w:r>
      <w:proofErr w:type="spellStart"/>
      <w:r w:rsidRPr="007C5A6E">
        <w:rPr>
          <w:rFonts w:ascii="Times New Roman" w:eastAsiaTheme="minorHAnsi" w:hAnsi="Times New Roman"/>
          <w:kern w:val="2"/>
          <w:sz w:val="24"/>
          <w:szCs w:val="24"/>
          <w:lang w:eastAsia="en-US"/>
          <w14:ligatures w14:val="standardContextual"/>
        </w:rPr>
        <w:t>Bouly</w:t>
      </w:r>
      <w:proofErr w:type="spellEnd"/>
      <w:r w:rsidRPr="007C5A6E">
        <w:rPr>
          <w:rFonts w:ascii="Times New Roman" w:eastAsiaTheme="minorHAnsi" w:hAnsi="Times New Roman"/>
          <w:kern w:val="2"/>
          <w:sz w:val="24"/>
          <w:szCs w:val="24"/>
          <w:lang w:eastAsia="en-US"/>
          <w14:ligatures w14:val="standardContextual"/>
        </w:rPr>
        <w:t xml:space="preserve"> situés à proximité d’une mine d’or industrielle. Les résultats ont révélé que les sols étudiés présentaient une acidité élevée, une salinité marquée, une texture limoneuse, ainsi qu’un rapport C/N satisfaisant. Les concentrations en Hg, As, Cu et Cr se sont avérées supérieures aux valeurs moyennes de la croûte continentale. De plus, les concentrations en Hg et As dépassaient les normes sud-africaines, tandis que Hg dépassait également les normes fixées par l’OMS et la FAO. Ils montrent également que la zone étudiée était fortement enrichie en mercure, significativement enrichie en arsenic et faiblement à moyennement enrichie en cuivre, ce qui suggère une influence des activités humaines. L'arsenic semble provenir principalement des activités minières, tandis que le mercure provient à la fois des activités minières et agricoles. </w:t>
      </w:r>
    </w:p>
    <w:p w14:paraId="5CA16AF9" w14:textId="77777777" w:rsidR="000938D1" w:rsidRPr="007C5A6E" w:rsidRDefault="000938D1" w:rsidP="0093589E">
      <w:pPr>
        <w:spacing w:after="0" w:line="240" w:lineRule="auto"/>
        <w:jc w:val="both"/>
        <w:rPr>
          <w:rFonts w:ascii="Times New Roman" w:eastAsiaTheme="minorHAnsi" w:hAnsi="Times New Roman"/>
          <w:kern w:val="2"/>
          <w:sz w:val="24"/>
          <w:szCs w:val="24"/>
          <w:lang w:eastAsia="en-US"/>
          <w14:ligatures w14:val="standardContextual"/>
        </w:rPr>
      </w:pPr>
    </w:p>
    <w:p w14:paraId="434167B4" w14:textId="6E1E9F0C" w:rsidR="000938D1"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proofErr w:type="spellStart"/>
      <w:r w:rsidRPr="007C5A6E">
        <w:rPr>
          <w:rFonts w:ascii="Times New Roman" w:eastAsiaTheme="minorHAnsi" w:hAnsi="Times New Roman"/>
          <w:kern w:val="2"/>
          <w:sz w:val="24"/>
          <w:szCs w:val="24"/>
          <w:lang w:eastAsia="en-US"/>
          <w14:ligatures w14:val="standardContextual"/>
        </w:rPr>
        <w:t>Tougma</w:t>
      </w:r>
      <w:proofErr w:type="spellEnd"/>
      <w:r w:rsidRPr="007C5A6E">
        <w:rPr>
          <w:rFonts w:ascii="Times New Roman" w:eastAsiaTheme="minorHAnsi" w:hAnsi="Times New Roman"/>
          <w:kern w:val="2"/>
          <w:sz w:val="24"/>
          <w:szCs w:val="24"/>
          <w:lang w:eastAsia="en-US"/>
          <w14:ligatures w14:val="standardContextual"/>
        </w:rPr>
        <w:t xml:space="preserve"> et al. (2023) ont évalué la pollution des sols par les métaux lourds dans les zones maraîchères de la commune de Korsimoro. Des échantillons de sol ont été prélevés entre décembre 2022 et janvier 2023. Les résultats ont révélé que les concentrations moyennes en métaux lourds variaient comme suit : Cd &gt; Co &gt; Cr &gt; Zn &gt; Ni &gt; Cu &gt; Hg &gt; Pb &gt; As. Les concentrations moyennes en cadmium (587,039 mg/kg±20,546), mercure (29,048 mg/kg±20 647), nickel (60,037 mg/kg±14 615) et cobalt (575,956 mg/kg±66 693) dépassaient les valeurs limites de l'OMS pour les sols agricoles. Les valeurs CF calculées montraient une contamination très élevée en Co, Cd et Hg, une contamination importante en Cu, Cr, Zn, Ni et As, et aucune contamination en Pb. Les valeurs EF montraient un enrichissement très sévère en cobalt (Co), suivi d'un enrichissement globalement extrêmement sévère en cadmium (Cd) et mercure (Hg). Sako et al. (2023) ont évalué la Géochimie environnementale des éléments potentiellement toxiques dans les sols urbains à proximité d'un laboratoire d'essais pyrognostiques du plomb à Ouagadougou. Des échantillons de terre végétale, de sous-sol et 11 coupelles neuves et usagées ont été collectés autour du laboratoire. Les paramètres physico-chimiques des sols et leurs concentrations en éléments majeurs et potentiellement toxiques (PTE) ont été déterminés. Les résultats ont montré que les échantillons de sol à proximité immédiate du site d'élimination des coupelles usagées étaient fortement pollués par le Pb (jusqu'à 8900 mg/kg). L'analyse de cluster a identifié les coupelles usagées comme la principale source de contamination des sols arables par le Pb, l'As, le Cr, le Cu, le Ni et le </w:t>
      </w:r>
      <w:proofErr w:type="gramStart"/>
      <w:r w:rsidRPr="007C5A6E">
        <w:rPr>
          <w:rFonts w:ascii="Times New Roman" w:eastAsiaTheme="minorHAnsi" w:hAnsi="Times New Roman"/>
          <w:kern w:val="2"/>
          <w:sz w:val="24"/>
          <w:szCs w:val="24"/>
          <w:lang w:eastAsia="en-US"/>
          <w14:ligatures w14:val="standardContextual"/>
        </w:rPr>
        <w:t>Ca</w:t>
      </w:r>
      <w:proofErr w:type="gramEnd"/>
      <w:r w:rsidRPr="007C5A6E">
        <w:rPr>
          <w:rFonts w:ascii="Times New Roman" w:eastAsiaTheme="minorHAnsi" w:hAnsi="Times New Roman"/>
          <w:kern w:val="2"/>
          <w:sz w:val="24"/>
          <w:szCs w:val="24"/>
          <w:lang w:eastAsia="en-US"/>
          <w14:ligatures w14:val="standardContextual"/>
        </w:rPr>
        <w:t xml:space="preserve">. L'analyse en composantes principales a révélé que l'abondance et la mobilité du Cr, du Cu, du Ni et du Pb étaient probablement contrôlées par l'argile et les </w:t>
      </w:r>
      <w:proofErr w:type="spellStart"/>
      <w:r w:rsidRPr="007C5A6E">
        <w:rPr>
          <w:rFonts w:ascii="Times New Roman" w:eastAsiaTheme="minorHAnsi" w:hAnsi="Times New Roman"/>
          <w:kern w:val="2"/>
          <w:sz w:val="24"/>
          <w:szCs w:val="24"/>
          <w:lang w:eastAsia="en-US"/>
          <w14:ligatures w14:val="standardContextual"/>
        </w:rPr>
        <w:t>oxyhydroxydes</w:t>
      </w:r>
      <w:proofErr w:type="spellEnd"/>
      <w:r w:rsidRPr="007C5A6E">
        <w:rPr>
          <w:rFonts w:ascii="Times New Roman" w:eastAsiaTheme="minorHAnsi" w:hAnsi="Times New Roman"/>
          <w:kern w:val="2"/>
          <w:sz w:val="24"/>
          <w:szCs w:val="24"/>
          <w:lang w:eastAsia="en-US"/>
          <w14:ligatures w14:val="standardContextual"/>
        </w:rPr>
        <w:t xml:space="preserve"> de Fe et d'Al, tandis que celles de l'As et du Mn semblaient être une fonction du pH et des réactions d'oxydoréduction. Avec des indices de charge de pollution supérieurs à l'unité, l'état de tous les sites d'échantillonnage variait de très élevé à modérément </w:t>
      </w:r>
      <w:proofErr w:type="gramStart"/>
      <w:r w:rsidRPr="007C5A6E">
        <w:rPr>
          <w:rFonts w:ascii="Times New Roman" w:eastAsiaTheme="minorHAnsi" w:hAnsi="Times New Roman"/>
          <w:kern w:val="2"/>
          <w:sz w:val="24"/>
          <w:szCs w:val="24"/>
          <w:lang w:eastAsia="en-US"/>
          <w14:ligatures w14:val="standardContextual"/>
        </w:rPr>
        <w:t>pollué</w:t>
      </w:r>
      <w:proofErr w:type="gramEnd"/>
      <w:r w:rsidRPr="007C5A6E">
        <w:rPr>
          <w:rFonts w:ascii="Times New Roman" w:eastAsiaTheme="minorHAnsi" w:hAnsi="Times New Roman"/>
          <w:kern w:val="2"/>
          <w:sz w:val="24"/>
          <w:szCs w:val="24"/>
          <w:lang w:eastAsia="en-US"/>
          <w14:ligatures w14:val="standardContextual"/>
        </w:rPr>
        <w:t xml:space="preserve">. </w:t>
      </w:r>
    </w:p>
    <w:p w14:paraId="5443D816" w14:textId="77777777" w:rsidR="000938D1" w:rsidRPr="007C5A6E" w:rsidRDefault="000938D1" w:rsidP="0093589E">
      <w:pPr>
        <w:spacing w:after="0" w:line="240" w:lineRule="auto"/>
        <w:jc w:val="both"/>
        <w:rPr>
          <w:rFonts w:ascii="Times New Roman" w:eastAsiaTheme="minorHAnsi" w:hAnsi="Times New Roman"/>
          <w:kern w:val="2"/>
          <w:sz w:val="24"/>
          <w:szCs w:val="24"/>
          <w:lang w:eastAsia="en-US"/>
          <w14:ligatures w14:val="standardContextual"/>
        </w:rPr>
      </w:pPr>
    </w:p>
    <w:p w14:paraId="0AC56D97" w14:textId="77777777" w:rsidR="008476FD"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Sawadogo et al. (2023) ont évalué la contamination en métaux lourds des sols agricoles autour d’une mine d’or, principalement à Bissa, un village de la commune de Sabcé. Des échantillons de sols ont été prélevés en surface, à des profondeurs de 0 à 15 cm. Sept métaux lourds (Cr, Ni, Cu, Zn, As, Hg et Pb) ont été analysés par spectrométrie d’absorption atomique. Les résultats ont révélé que les concentrations moyennes de métaux obtenues étaient classées par ordre décroissant Cr&gt;Zn&gt;Cu&gt;As&gt;Ni&gt;Pb&gt;Hg avec les valeurs respectives de 102,3 mg/kg, 58,513 mg/kg, 57,133 mg/kg, 49,73 mg/kg, 38,873 mg/kg, 17,943 mg/kg et 3,83 mg/kg. Les concentrations moyennes de Cr, Cu, As et Hg dépassaient leurs valeurs de fond géochimiques respectives, et seul l'arsenic dépassait la norme OMS/FAO. L'indice de </w:t>
      </w:r>
      <w:proofErr w:type="spellStart"/>
      <w:r w:rsidRPr="007C5A6E">
        <w:rPr>
          <w:rFonts w:ascii="Times New Roman" w:eastAsiaTheme="minorHAnsi" w:hAnsi="Times New Roman"/>
          <w:kern w:val="2"/>
          <w:sz w:val="24"/>
          <w:szCs w:val="24"/>
          <w:lang w:eastAsia="en-US"/>
          <w14:ligatures w14:val="standardContextual"/>
        </w:rPr>
        <w:t>géoaccumulation</w:t>
      </w:r>
      <w:proofErr w:type="spellEnd"/>
      <w:r w:rsidRPr="007C5A6E">
        <w:rPr>
          <w:rFonts w:ascii="Times New Roman" w:eastAsiaTheme="minorHAnsi" w:hAnsi="Times New Roman"/>
          <w:kern w:val="2"/>
          <w:sz w:val="24"/>
          <w:szCs w:val="24"/>
          <w:lang w:eastAsia="en-US"/>
          <w14:ligatures w14:val="standardContextual"/>
        </w:rPr>
        <w:t xml:space="preserve"> a montré que 75 % des échantillons de sol étaient fortement pollués par le mercure (Hg). Laura et al. (2023) ont étudié le niveau de pollution des traces d'éléments traces métalliques dans le sol agricole de l’Oubritenga. Des échantillons de sol ont été prélevés pendant l'agriculture hors saison et l'agriculture pluviale d'avril à octobre 2022. Les résultats ont montré que la concentration en éléments traces métalliques suivait l'ordre décroissant Mn &gt; Cr &gt; Cu &gt; Pb &gt; Zn hors saison. As, Cd, Co, Hg, Ni, Sb et </w:t>
      </w:r>
      <w:proofErr w:type="gramStart"/>
      <w:r w:rsidRPr="007C5A6E">
        <w:rPr>
          <w:rFonts w:ascii="Times New Roman" w:eastAsiaTheme="minorHAnsi" w:hAnsi="Times New Roman"/>
          <w:kern w:val="2"/>
          <w:sz w:val="24"/>
          <w:szCs w:val="24"/>
          <w:lang w:eastAsia="en-US"/>
          <w14:ligatures w14:val="standardContextual"/>
        </w:rPr>
        <w:t>Se étaient</w:t>
      </w:r>
      <w:proofErr w:type="gramEnd"/>
      <w:r w:rsidRPr="007C5A6E">
        <w:rPr>
          <w:rFonts w:ascii="Times New Roman" w:eastAsiaTheme="minorHAnsi" w:hAnsi="Times New Roman"/>
          <w:kern w:val="2"/>
          <w:sz w:val="24"/>
          <w:szCs w:val="24"/>
          <w:lang w:eastAsia="en-US"/>
          <w14:ligatures w14:val="standardContextual"/>
        </w:rPr>
        <w:t xml:space="preserve"> inférieurs aux limites détectables. En saison pluvieuse, la concentration des traces de métaux suit l'ordre Mn &gt; Cr &gt; Zn &gt; Cu &gt; Ni &gt; Pb &gt; Hg &gt; As. Cd, Co, Sb et Se restent en dessous des limites détectables. Les concentrations de Cr, Mn et Zn étaient plus faibles en agriculture de contre-saison qu'en agriculture pluviale. Pour Cu et Pb, les concentrations sont plus élevées en contre-saison qu'en agriculture pluviale. Le Cf varie de 0,24 à 11,70 selon le métal trace considéré. Les valeurs de Cf de As, Ni, Pb, Zn et Mn indiquaient que le sol agricole d'étude était faiblement contaminé par ces métaux traces. Le sol agricole d'étude était modérément contaminé par Cr et Cu, et fortement contaminé par Hg. </w:t>
      </w:r>
      <w:proofErr w:type="spellStart"/>
      <w:r w:rsidRPr="007C5A6E">
        <w:rPr>
          <w:rFonts w:ascii="Times New Roman" w:eastAsiaTheme="minorHAnsi" w:hAnsi="Times New Roman"/>
          <w:kern w:val="2"/>
          <w:sz w:val="24"/>
          <w:szCs w:val="24"/>
          <w:lang w:eastAsia="en-US"/>
          <w14:ligatures w14:val="standardContextual"/>
        </w:rPr>
        <w:t>Derra</w:t>
      </w:r>
      <w:proofErr w:type="spellEnd"/>
      <w:r w:rsidRPr="007C5A6E">
        <w:rPr>
          <w:rFonts w:ascii="Times New Roman" w:eastAsiaTheme="minorHAnsi" w:hAnsi="Times New Roman"/>
          <w:kern w:val="2"/>
          <w:sz w:val="24"/>
          <w:szCs w:val="24"/>
          <w:lang w:eastAsia="en-US"/>
          <w14:ligatures w14:val="standardContextual"/>
        </w:rPr>
        <w:t xml:space="preserve"> et al. (2023) ont estimé le degré de pollution en métaux lourds (As, Cr, Cu, Fe, Hg, Mn, Ni, Pb, Se, Tl et Zn) des sols maraîchers de la région du Kadiogo (</w:t>
      </w:r>
      <w:proofErr w:type="spellStart"/>
      <w:r w:rsidRPr="007C5A6E">
        <w:rPr>
          <w:rFonts w:ascii="Times New Roman" w:eastAsiaTheme="minorHAnsi" w:hAnsi="Times New Roman"/>
          <w:kern w:val="2"/>
          <w:sz w:val="24"/>
          <w:szCs w:val="24"/>
          <w:lang w:eastAsia="en-US"/>
          <w14:ligatures w14:val="standardContextual"/>
        </w:rPr>
        <w:t>Boulbi</w:t>
      </w:r>
      <w:proofErr w:type="spellEnd"/>
      <w:r w:rsidRPr="007C5A6E">
        <w:rPr>
          <w:rFonts w:ascii="Times New Roman" w:eastAsiaTheme="minorHAnsi" w:hAnsi="Times New Roman"/>
          <w:kern w:val="2"/>
          <w:sz w:val="24"/>
          <w:szCs w:val="24"/>
          <w:lang w:eastAsia="en-US"/>
          <w14:ligatures w14:val="standardContextual"/>
        </w:rPr>
        <w:t>, Tanghin-Dassouri et Koubri). Trente-deux échantillons de sols maraîchers, dont deux (02) pour le fond, ont été mesurés à l’aide de l’ICPMS. Les résultats montrés que les concentrations moyennes en métaux lourds dans le profil de sol 0-20 cm respectaient les limites recommandées.</w:t>
      </w:r>
    </w:p>
    <w:p w14:paraId="3FB47E1C" w14:textId="77777777" w:rsidR="008476FD" w:rsidRPr="007C5A6E" w:rsidRDefault="008476FD" w:rsidP="0093589E">
      <w:pPr>
        <w:spacing w:after="0" w:line="240" w:lineRule="auto"/>
        <w:jc w:val="both"/>
        <w:rPr>
          <w:rFonts w:ascii="Times New Roman" w:eastAsiaTheme="minorHAnsi" w:hAnsi="Times New Roman"/>
          <w:kern w:val="2"/>
          <w:sz w:val="24"/>
          <w:szCs w:val="24"/>
          <w:lang w:eastAsia="en-US"/>
          <w14:ligatures w14:val="standardContextual"/>
        </w:rPr>
      </w:pPr>
    </w:p>
    <w:p w14:paraId="409B2510" w14:textId="77777777" w:rsidR="008476FD"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 Cependant, les Facteurs de Contamination (FC) et l’Indice de Charge de Pollution (ICP) montraient que certains sols sont pollués. Ces indices ont révélé que la pollution des sols exploités différait non seulement d’un site à l’autre mais aussi entre les niveaux 0-10 cm et 10-20 cm. Ainsi, le sol le plus pollué en surface (0-10 cm) était le SK2 à Koubri avec un PLI de 8,20 contre 0,24 pour le STD1 à Tanghin-Dassouri. Pour l’horizon 10-20 cm, les valeurs du ICP montraient que les sols PO5 (Pissy), PO1 (CHU-YO), PO2 (CHU-YO) et PK3 (Koubri) polluent déjà en surface (0-10 cm) le reste en profil (10-20 cm). Aussi, on peut souligner que la présence d’éléments traces métalliques non essentiels tels que Pb, As et Hg constitue une menace pour la santé des consommateurs de produits maraîchers issus de ces sites. De plus, les faibles concentrations en métaux dans les échantillons de sol suggèrent qu’il s’agit d’une pollution diffuse. </w:t>
      </w:r>
    </w:p>
    <w:p w14:paraId="11C62CDF" w14:textId="77777777" w:rsidR="008476FD" w:rsidRPr="007C5A6E" w:rsidRDefault="008476FD" w:rsidP="0093589E">
      <w:pPr>
        <w:spacing w:after="0" w:line="240" w:lineRule="auto"/>
        <w:jc w:val="both"/>
        <w:rPr>
          <w:rFonts w:ascii="Times New Roman" w:eastAsiaTheme="minorHAnsi" w:hAnsi="Times New Roman"/>
          <w:kern w:val="2"/>
          <w:sz w:val="24"/>
          <w:szCs w:val="24"/>
          <w:lang w:eastAsia="en-US"/>
          <w14:ligatures w14:val="standardContextual"/>
        </w:rPr>
      </w:pPr>
    </w:p>
    <w:p w14:paraId="620492B8" w14:textId="77777777" w:rsidR="00A90B84"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Bambara et al. (2022) ont évalué la concentration en métaux lourds dans le sol et les plantes dans les périmètres maraîchers de Loumbila. Les concentrations en métaux lourds dans les sols ont été déterminé ainsi que le calcul du facteur de bioconcentration. Les résultats ont révélé que la concentration en chrome était de 175 mg/kg, supérieur à la limite de concentration qui est de 150 mg/kg dans le sol où le piment a été cultivé, De même, les concentrations de plomb dans les sols d'oignon (118 mg/kg), de haricot vert (118 mg/kg), de carotte (178 mg/kg) et de poivron (135 mg/kg) étaient supérieures à la limite qui est de 100 mg/kg. Les concentrations de chrome dans les feuilles d'oignon (3,72 mg/kg), les oignons (4,65 mg/kg), la laitue (4,89 mg/kg), les haricots verts (5,89 mg/kg) et les poivrons (3,56 mg/kg) étaient supérieures à la limite établie par la FAO/OMS, qui est de 2,3 mg/kg. Les concentrations de plomb dans la carotte, la feuille d'oignon, l'oignon, la laitue, le haricot vert et le poivron étaient supérieures à la limite proposée. Bambara et al. (2021) ont évalué les paramètres physico-chimiques et l’aspect de pollution des sols des décharges. Des échantillons de sols ont été collectés dans certaines décharges à Ouagadougou. Les résultats ont révélé que les décharges étudiées contribuent à augmenter la concentration en métaux lourds (Cr, Mn, Fe, Ni, Cu, Zn, As, Hg et Pb) dans les sols. Le pH KCl des sols des décharges étudiés était inférieur à 7, ce qui reflète la nature acide des sols des décharges. La </w:t>
      </w:r>
      <w:proofErr w:type="spellStart"/>
      <w:r w:rsidRPr="007C5A6E">
        <w:rPr>
          <w:rFonts w:ascii="Times New Roman" w:eastAsiaTheme="minorHAnsi" w:hAnsi="Times New Roman"/>
          <w:kern w:val="2"/>
          <w:sz w:val="24"/>
          <w:szCs w:val="24"/>
          <w:lang w:eastAsia="en-US"/>
          <w14:ligatures w14:val="standardContextual"/>
        </w:rPr>
        <w:t>géoaccumulation</w:t>
      </w:r>
      <w:proofErr w:type="spellEnd"/>
      <w:r w:rsidRPr="007C5A6E">
        <w:rPr>
          <w:rFonts w:ascii="Times New Roman" w:eastAsiaTheme="minorHAnsi" w:hAnsi="Times New Roman"/>
          <w:kern w:val="2"/>
          <w:sz w:val="24"/>
          <w:szCs w:val="24"/>
          <w:lang w:eastAsia="en-US"/>
          <w14:ligatures w14:val="standardContextual"/>
        </w:rPr>
        <w:t xml:space="preserve"> de Cr, Mn, Fe, Ni et As était inférieure à 1 pour les décharges étudiées. Les classifications montrent que les sols des décharges de KARPALA et DAGNOIN étaient les plus pollués en Cu, Zn et Pb. Le Cu, Zn et Pb étaient les métaux qui contribuaient le plus à la pollution des sols des décharges de Ouagadougou. </w:t>
      </w:r>
      <w:proofErr w:type="spellStart"/>
      <w:r w:rsidRPr="007C5A6E">
        <w:rPr>
          <w:rFonts w:ascii="Times New Roman" w:eastAsiaTheme="minorHAnsi" w:hAnsi="Times New Roman"/>
          <w:kern w:val="2"/>
          <w:sz w:val="24"/>
          <w:szCs w:val="24"/>
          <w:lang w:eastAsia="en-US"/>
          <w14:ligatures w14:val="standardContextual"/>
        </w:rPr>
        <w:t>Ye</w:t>
      </w:r>
      <w:proofErr w:type="spellEnd"/>
      <w:r w:rsidRPr="007C5A6E">
        <w:rPr>
          <w:rFonts w:ascii="Times New Roman" w:eastAsiaTheme="minorHAnsi" w:hAnsi="Times New Roman"/>
          <w:kern w:val="2"/>
          <w:sz w:val="24"/>
          <w:szCs w:val="24"/>
          <w:lang w:eastAsia="en-US"/>
          <w14:ligatures w14:val="standardContextual"/>
        </w:rPr>
        <w:t xml:space="preserve"> et al. (2020) ont évalué les concentrations en ETM des sols péri-urbains de la ville de Bobo-Dioulasso soumis à l’épandage des DUS. Des échantillons composites de sols ont été prélevés, suivant les horizons 0-20 cm, 20-40 cm et 40-60 cm, sur quatorze sites dans la forêt classée de </w:t>
      </w:r>
      <w:proofErr w:type="spellStart"/>
      <w:r w:rsidRPr="007C5A6E">
        <w:rPr>
          <w:rFonts w:ascii="Times New Roman" w:eastAsiaTheme="minorHAnsi" w:hAnsi="Times New Roman"/>
          <w:kern w:val="2"/>
          <w:sz w:val="24"/>
          <w:szCs w:val="24"/>
          <w:lang w:eastAsia="en-US"/>
          <w14:ligatures w14:val="standardContextual"/>
        </w:rPr>
        <w:t>Dindérésso</w:t>
      </w:r>
      <w:proofErr w:type="spellEnd"/>
      <w:r w:rsidRPr="007C5A6E">
        <w:rPr>
          <w:rFonts w:ascii="Times New Roman" w:eastAsiaTheme="minorHAnsi" w:hAnsi="Times New Roman"/>
          <w:kern w:val="2"/>
          <w:sz w:val="24"/>
          <w:szCs w:val="24"/>
          <w:lang w:eastAsia="en-US"/>
          <w14:ligatures w14:val="standardContextual"/>
        </w:rPr>
        <w:t xml:space="preserve"> située à la périphérie de la ville de Bobo-Dioulasso. Les résultats montrés que les concentrations en Cd, Cr, Cu, Ni, Pb et Zn des sols étaient très variées. Elles variaient en fonction de l’ETM, du site et de l’horizon du sol. Les concentrations des différents ETM dans les sols étaient inférieures aux valeurs limites sur tous les sites. L’index de pollution de chaque site était inférieur à 1, quel que soit l’horizon de sol, suggérant ainsi que les sites de la zone ne faisaient pas l’objet d’une contamination multiple de leurs sols par les ETM. </w:t>
      </w:r>
    </w:p>
    <w:p w14:paraId="3F7AC400" w14:textId="77777777" w:rsidR="00A90B84" w:rsidRPr="007C5A6E" w:rsidRDefault="00A90B84" w:rsidP="0093589E">
      <w:pPr>
        <w:spacing w:after="0" w:line="240" w:lineRule="auto"/>
        <w:jc w:val="both"/>
        <w:rPr>
          <w:rFonts w:ascii="Times New Roman" w:eastAsiaTheme="minorHAnsi" w:hAnsi="Times New Roman"/>
          <w:kern w:val="2"/>
          <w:sz w:val="24"/>
          <w:szCs w:val="24"/>
          <w:lang w:eastAsia="en-US"/>
          <w14:ligatures w14:val="standardContextual"/>
        </w:rPr>
      </w:pPr>
    </w:p>
    <w:p w14:paraId="0D707F6B" w14:textId="77777777" w:rsidR="00A90B84"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Sawadogo et al. (2019) ont évalué de l’effet des eaux usées brutes d’origines industrielles sur les paramètres physico-chimiques des sols d’un site maraîcher situé à proximité d’une zone industrielle dans le quartier de </w:t>
      </w:r>
      <w:proofErr w:type="spellStart"/>
      <w:r w:rsidRPr="007C5A6E">
        <w:rPr>
          <w:rFonts w:ascii="Times New Roman" w:eastAsiaTheme="minorHAnsi" w:hAnsi="Times New Roman"/>
          <w:kern w:val="2"/>
          <w:sz w:val="24"/>
          <w:szCs w:val="24"/>
          <w:lang w:eastAsia="en-US"/>
          <w14:ligatures w14:val="standardContextual"/>
        </w:rPr>
        <w:t>Kossodo</w:t>
      </w:r>
      <w:proofErr w:type="spellEnd"/>
      <w:r w:rsidRPr="007C5A6E">
        <w:rPr>
          <w:rFonts w:ascii="Times New Roman" w:eastAsiaTheme="minorHAnsi" w:hAnsi="Times New Roman"/>
          <w:kern w:val="2"/>
          <w:sz w:val="24"/>
          <w:szCs w:val="24"/>
          <w:lang w:eastAsia="en-US"/>
          <w14:ligatures w14:val="standardContextual"/>
        </w:rPr>
        <w:t xml:space="preserve">. Des échantillons de sols ont été prélevés sur 12 parcelles du site dont 2 parcelles témoins isolées de toute source de pollution. Les résultats ont révélé que seuls l’arsenic, le cuivre, le nickel, le plomb, le chrome et le zinc présentaient des concentrations élevées dans les parcelles irriguées par les eaux usées d’origine industrielles comparativement aux parcelles témoins. Sako et </w:t>
      </w:r>
      <w:proofErr w:type="spellStart"/>
      <w:r w:rsidRPr="007C5A6E">
        <w:rPr>
          <w:rFonts w:ascii="Times New Roman" w:eastAsiaTheme="minorHAnsi" w:hAnsi="Times New Roman"/>
          <w:kern w:val="2"/>
          <w:sz w:val="24"/>
          <w:szCs w:val="24"/>
          <w:lang w:eastAsia="en-US"/>
          <w14:ligatures w14:val="standardContextual"/>
        </w:rPr>
        <w:t>Nimi</w:t>
      </w:r>
      <w:proofErr w:type="spellEnd"/>
      <w:r w:rsidRPr="007C5A6E">
        <w:rPr>
          <w:rFonts w:ascii="Times New Roman" w:eastAsiaTheme="minorHAnsi" w:hAnsi="Times New Roman"/>
          <w:kern w:val="2"/>
          <w:sz w:val="24"/>
          <w:szCs w:val="24"/>
          <w:lang w:eastAsia="en-US"/>
          <w14:ligatures w14:val="standardContextual"/>
        </w:rPr>
        <w:t xml:space="preserve">, (2018) ont examiné la géochimie des éléments potentiellement nocifs dérivés de l'exploitation artisanale de l'or dans les sols semi-arides de Bagassi au Burkina Faso. Les charges élevées du facteur 1 sur As, Au, Bi, Cd, Hg, Mo, Pb, Sb, Te, W and Zn suggéraient que l'exploitation artisanale de l'or était le facteur le plus important contrôlant la géochimie du sol. Le facteur 2 avait des charges élevées sur Al, Fe, Mn, Ti, Co, Cr, Cu, Ni, Sc, Sr, Tl et V, représentant leur origine géogénique. Avec des charges élevées sur </w:t>
      </w:r>
      <w:proofErr w:type="gramStart"/>
      <w:r w:rsidRPr="007C5A6E">
        <w:rPr>
          <w:rFonts w:ascii="Times New Roman" w:eastAsiaTheme="minorHAnsi" w:hAnsi="Times New Roman"/>
          <w:kern w:val="2"/>
          <w:sz w:val="24"/>
          <w:szCs w:val="24"/>
          <w:lang w:eastAsia="en-US"/>
          <w14:ligatures w14:val="standardContextual"/>
        </w:rPr>
        <w:t>Ca</w:t>
      </w:r>
      <w:proofErr w:type="gramEnd"/>
      <w:r w:rsidRPr="007C5A6E">
        <w:rPr>
          <w:rFonts w:ascii="Times New Roman" w:eastAsiaTheme="minorHAnsi" w:hAnsi="Times New Roman"/>
          <w:kern w:val="2"/>
          <w:sz w:val="24"/>
          <w:szCs w:val="24"/>
          <w:lang w:eastAsia="en-US"/>
          <w14:ligatures w14:val="standardContextual"/>
        </w:rPr>
        <w:t xml:space="preserve">, Mg, S et La, le facteur 3 décrit la contribution du cycle biogéochimique à l'abondance des éléments dans les sols. Les compositions isotopiques du plomb ont permis d'identifier les dépôts atmosphériques comme la principale source de Pb dans les fermes et les sols, tandis que la couche supérieure du sol et les profils des sols étaient principalement influencés par les activités minières. Le mercure, l'As et, dans une moindre mesure, le Cd constituait la menace écologique la plus grave pour les sols collectés autour du site minier par rapport à ceux des terres agricoles. </w:t>
      </w:r>
    </w:p>
    <w:p w14:paraId="15A89E13" w14:textId="77777777" w:rsidR="00A90B84" w:rsidRPr="007C5A6E" w:rsidRDefault="00A90B84" w:rsidP="0093589E">
      <w:pPr>
        <w:spacing w:after="0" w:line="240" w:lineRule="auto"/>
        <w:jc w:val="both"/>
        <w:rPr>
          <w:rFonts w:ascii="Times New Roman" w:eastAsiaTheme="minorHAnsi" w:hAnsi="Times New Roman"/>
          <w:kern w:val="2"/>
          <w:sz w:val="24"/>
          <w:szCs w:val="24"/>
          <w:lang w:eastAsia="en-US"/>
          <w14:ligatures w14:val="standardContextual"/>
        </w:rPr>
      </w:pPr>
    </w:p>
    <w:p w14:paraId="1FFD749E" w14:textId="77777777" w:rsidR="00A90B84"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Compaoré et al. (2019) ont évalué l'impact d'une mine d'or située dans le sud-est du Burkina Faso sur la qualité des sols locaux. À cette fin, des paramètres tels que le pH, la matière organique totale et la capacité d'échange cationique ont été évalués suivi d’une analyse des éléments mineurs et traces totaux par ICP-OES ainsi qu'une extraction séquentielle. Les résultats ont été interprétés à l'aide de différentes méthodologies : facteur d'enrichissement (EF), indice de </w:t>
      </w:r>
      <w:proofErr w:type="spellStart"/>
      <w:r w:rsidRPr="007C5A6E">
        <w:rPr>
          <w:rFonts w:ascii="Times New Roman" w:eastAsiaTheme="minorHAnsi" w:hAnsi="Times New Roman"/>
          <w:kern w:val="2"/>
          <w:sz w:val="24"/>
          <w:szCs w:val="24"/>
          <w:lang w:eastAsia="en-US"/>
          <w14:ligatures w14:val="standardContextual"/>
        </w:rPr>
        <w:t>géoaccumulation</w:t>
      </w:r>
      <w:proofErr w:type="spellEnd"/>
      <w:r w:rsidRPr="007C5A6E">
        <w:rPr>
          <w:rFonts w:ascii="Times New Roman" w:eastAsiaTheme="minorHAnsi" w:hAnsi="Times New Roman"/>
          <w:kern w:val="2"/>
          <w:sz w:val="24"/>
          <w:szCs w:val="24"/>
          <w:lang w:eastAsia="en-US"/>
          <w14:ligatures w14:val="standardContextual"/>
        </w:rPr>
        <w:t xml:space="preserve"> (</w:t>
      </w:r>
      <w:proofErr w:type="spellStart"/>
      <w:r w:rsidRPr="007C5A6E">
        <w:rPr>
          <w:rFonts w:ascii="Times New Roman" w:eastAsiaTheme="minorHAnsi" w:hAnsi="Times New Roman"/>
          <w:kern w:val="2"/>
          <w:sz w:val="24"/>
          <w:szCs w:val="24"/>
          <w:lang w:eastAsia="en-US"/>
          <w14:ligatures w14:val="standardContextual"/>
        </w:rPr>
        <w:t>Igeo</w:t>
      </w:r>
      <w:proofErr w:type="spellEnd"/>
      <w:r w:rsidRPr="007C5A6E">
        <w:rPr>
          <w:rFonts w:ascii="Times New Roman" w:eastAsiaTheme="minorHAnsi" w:hAnsi="Times New Roman"/>
          <w:kern w:val="2"/>
          <w:sz w:val="24"/>
          <w:szCs w:val="24"/>
          <w:lang w:eastAsia="en-US"/>
          <w14:ligatures w14:val="standardContextual"/>
        </w:rPr>
        <w:t xml:space="preserve">) calculé à l'aide de deux échantillons de fond distincts et comparaison avec la norme nationale sélectionnée. Les résultats de l’analyse du sol </w:t>
      </w:r>
      <w:proofErr w:type="gramStart"/>
      <w:r w:rsidRPr="007C5A6E">
        <w:rPr>
          <w:rFonts w:ascii="Times New Roman" w:eastAsiaTheme="minorHAnsi" w:hAnsi="Times New Roman"/>
          <w:kern w:val="2"/>
          <w:sz w:val="24"/>
          <w:szCs w:val="24"/>
          <w:lang w:eastAsia="en-US"/>
          <w14:ligatures w14:val="standardContextual"/>
        </w:rPr>
        <w:t>a</w:t>
      </w:r>
      <w:proofErr w:type="gramEnd"/>
      <w:r w:rsidRPr="007C5A6E">
        <w:rPr>
          <w:rFonts w:ascii="Times New Roman" w:eastAsiaTheme="minorHAnsi" w:hAnsi="Times New Roman"/>
          <w:kern w:val="2"/>
          <w:sz w:val="24"/>
          <w:szCs w:val="24"/>
          <w:lang w:eastAsia="en-US"/>
          <w14:ligatures w14:val="standardContextual"/>
        </w:rPr>
        <w:t xml:space="preserve"> révélé un EF et un </w:t>
      </w:r>
      <w:proofErr w:type="spellStart"/>
      <w:r w:rsidRPr="007C5A6E">
        <w:rPr>
          <w:rFonts w:ascii="Times New Roman" w:eastAsiaTheme="minorHAnsi" w:hAnsi="Times New Roman"/>
          <w:kern w:val="2"/>
          <w:sz w:val="24"/>
          <w:szCs w:val="24"/>
          <w:lang w:eastAsia="en-US"/>
          <w14:ligatures w14:val="standardContextual"/>
        </w:rPr>
        <w:t>Igeo</w:t>
      </w:r>
      <w:proofErr w:type="spellEnd"/>
      <w:r w:rsidRPr="007C5A6E">
        <w:rPr>
          <w:rFonts w:ascii="Times New Roman" w:eastAsiaTheme="minorHAnsi" w:hAnsi="Times New Roman"/>
          <w:kern w:val="2"/>
          <w:sz w:val="24"/>
          <w:szCs w:val="24"/>
          <w:lang w:eastAsia="en-US"/>
          <w14:ligatures w14:val="standardContextual"/>
        </w:rPr>
        <w:t xml:space="preserve"> modérés à significatifs avec des points chauds situés plus près de l'usine de traitement du minerai et du côté est du site, avec une concentration maximale en arsenic de 286,55 ± 12,50 mg/kg. L'extraction séquentielle a révélé que moins de 2 % de l'arsenic se trouvait dans la partie échangeable. Le cobalt et le zinc l'indice de charge de pollution plus distribués dans les différentes fractions que l'arsenic. </w:t>
      </w:r>
    </w:p>
    <w:p w14:paraId="28E4448C" w14:textId="77777777" w:rsidR="00A90B84" w:rsidRPr="007C5A6E" w:rsidRDefault="00A90B84" w:rsidP="0093589E">
      <w:pPr>
        <w:spacing w:after="0" w:line="240" w:lineRule="auto"/>
        <w:jc w:val="both"/>
        <w:rPr>
          <w:rFonts w:ascii="Times New Roman" w:eastAsiaTheme="minorHAnsi" w:hAnsi="Times New Roman"/>
          <w:kern w:val="2"/>
          <w:sz w:val="24"/>
          <w:szCs w:val="24"/>
          <w:lang w:eastAsia="en-US"/>
          <w14:ligatures w14:val="standardContextual"/>
        </w:rPr>
      </w:pPr>
    </w:p>
    <w:p w14:paraId="74961654" w14:textId="77777777" w:rsidR="007206F7"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Bouda et al. (2018) ont étudié les propriétés du sol des champs agricoles amendés avec des déchets urbains solides non traités de </w:t>
      </w:r>
      <w:proofErr w:type="spellStart"/>
      <w:r w:rsidRPr="007C5A6E">
        <w:rPr>
          <w:rFonts w:ascii="Times New Roman" w:eastAsiaTheme="minorHAnsi" w:hAnsi="Times New Roman"/>
          <w:kern w:val="2"/>
          <w:sz w:val="24"/>
          <w:szCs w:val="24"/>
          <w:lang w:eastAsia="en-US"/>
          <w14:ligatures w14:val="standardContextual"/>
        </w:rPr>
        <w:t>Toudwéogo</w:t>
      </w:r>
      <w:proofErr w:type="spellEnd"/>
      <w:r w:rsidRPr="007C5A6E">
        <w:rPr>
          <w:rFonts w:ascii="Times New Roman" w:eastAsiaTheme="minorHAnsi" w:hAnsi="Times New Roman"/>
          <w:kern w:val="2"/>
          <w:sz w:val="24"/>
          <w:szCs w:val="24"/>
          <w:lang w:eastAsia="en-US"/>
          <w14:ligatures w14:val="standardContextual"/>
        </w:rPr>
        <w:t xml:space="preserve"> et </w:t>
      </w:r>
      <w:proofErr w:type="spellStart"/>
      <w:r w:rsidRPr="007C5A6E">
        <w:rPr>
          <w:rFonts w:ascii="Times New Roman" w:eastAsiaTheme="minorHAnsi" w:hAnsi="Times New Roman"/>
          <w:kern w:val="2"/>
          <w:sz w:val="24"/>
          <w:szCs w:val="24"/>
          <w:lang w:eastAsia="en-US"/>
          <w14:ligatures w14:val="standardContextual"/>
        </w:rPr>
        <w:t>Nagrin</w:t>
      </w:r>
      <w:proofErr w:type="spellEnd"/>
      <w:r w:rsidRPr="007C5A6E">
        <w:rPr>
          <w:rFonts w:ascii="Times New Roman" w:eastAsiaTheme="minorHAnsi" w:hAnsi="Times New Roman"/>
          <w:kern w:val="2"/>
          <w:sz w:val="24"/>
          <w:szCs w:val="24"/>
          <w:lang w:eastAsia="en-US"/>
          <w14:ligatures w14:val="standardContextual"/>
        </w:rPr>
        <w:t xml:space="preserve">. L'échantillonnage a été réalisé en mars 2013 dans le site de </w:t>
      </w:r>
      <w:proofErr w:type="spellStart"/>
      <w:r w:rsidRPr="007C5A6E">
        <w:rPr>
          <w:rFonts w:ascii="Times New Roman" w:eastAsiaTheme="minorHAnsi" w:hAnsi="Times New Roman"/>
          <w:kern w:val="2"/>
          <w:sz w:val="24"/>
          <w:szCs w:val="24"/>
          <w:lang w:eastAsia="en-US"/>
          <w14:ligatures w14:val="standardContextual"/>
        </w:rPr>
        <w:t>Toudwéogo</w:t>
      </w:r>
      <w:proofErr w:type="spellEnd"/>
      <w:r w:rsidRPr="007C5A6E">
        <w:rPr>
          <w:rFonts w:ascii="Times New Roman" w:eastAsiaTheme="minorHAnsi" w:hAnsi="Times New Roman"/>
          <w:kern w:val="2"/>
          <w:sz w:val="24"/>
          <w:szCs w:val="24"/>
          <w:lang w:eastAsia="en-US"/>
          <w14:ligatures w14:val="standardContextual"/>
        </w:rPr>
        <w:t xml:space="preserve"> et en mars 2014 dans le site de </w:t>
      </w:r>
      <w:proofErr w:type="spellStart"/>
      <w:r w:rsidRPr="007C5A6E">
        <w:rPr>
          <w:rFonts w:ascii="Times New Roman" w:eastAsiaTheme="minorHAnsi" w:hAnsi="Times New Roman"/>
          <w:kern w:val="2"/>
          <w:sz w:val="24"/>
          <w:szCs w:val="24"/>
          <w:lang w:eastAsia="en-US"/>
          <w14:ligatures w14:val="standardContextual"/>
        </w:rPr>
        <w:t>Nagrin</w:t>
      </w:r>
      <w:proofErr w:type="spellEnd"/>
      <w:r w:rsidRPr="007C5A6E">
        <w:rPr>
          <w:rFonts w:ascii="Times New Roman" w:eastAsiaTheme="minorHAnsi" w:hAnsi="Times New Roman"/>
          <w:kern w:val="2"/>
          <w:sz w:val="24"/>
          <w:szCs w:val="24"/>
          <w:lang w:eastAsia="en-US"/>
          <w14:ligatures w14:val="standardContextual"/>
        </w:rPr>
        <w:t xml:space="preserve"> sur des parcelles amendées en SUW et sur des parcelles non amendées (champ témoin). Les résultats ont montré que les amendements entrainaient une augmentation significative du pH, des C, N et P totaux ainsi que du P disponible. En outre, les concentrations des éléments traces méta </w:t>
      </w:r>
      <w:proofErr w:type="spellStart"/>
      <w:r w:rsidRPr="007C5A6E">
        <w:rPr>
          <w:rFonts w:ascii="Times New Roman" w:eastAsiaTheme="minorHAnsi" w:hAnsi="Times New Roman"/>
          <w:kern w:val="2"/>
          <w:sz w:val="24"/>
          <w:szCs w:val="24"/>
          <w:lang w:eastAsia="en-US"/>
          <w14:ligatures w14:val="standardContextual"/>
        </w:rPr>
        <w:t>liques</w:t>
      </w:r>
      <w:proofErr w:type="spellEnd"/>
      <w:r w:rsidRPr="007C5A6E">
        <w:rPr>
          <w:rFonts w:ascii="Times New Roman" w:eastAsiaTheme="minorHAnsi" w:hAnsi="Times New Roman"/>
          <w:kern w:val="2"/>
          <w:sz w:val="24"/>
          <w:szCs w:val="24"/>
          <w:lang w:eastAsia="en-US"/>
          <w14:ligatures w14:val="standardContextual"/>
        </w:rPr>
        <w:t xml:space="preserve"> (Cu, Zn, Pb, Ni et Cr) étaient plus élevées dans les sols amendés que dans les sols non amendés suggérant que les amendements n'apportent pas seulement des nutriments pour la croissance des plantes, mais aussi des contaminants pouvant présenter un risque pour la santé humaine. Savadogo et al. (2017) ont évalué les effets synergiques du Paraquat et de la </w:t>
      </w:r>
      <w:proofErr w:type="spellStart"/>
      <w:r w:rsidRPr="007C5A6E">
        <w:rPr>
          <w:rFonts w:ascii="Times New Roman" w:eastAsiaTheme="minorHAnsi" w:hAnsi="Times New Roman"/>
          <w:kern w:val="2"/>
          <w:sz w:val="24"/>
          <w:szCs w:val="24"/>
          <w:lang w:eastAsia="en-US"/>
          <w14:ligatures w14:val="standardContextual"/>
        </w:rPr>
        <w:t>Lambdacyhalothrine</w:t>
      </w:r>
      <w:proofErr w:type="spellEnd"/>
      <w:r w:rsidRPr="007C5A6E">
        <w:rPr>
          <w:rFonts w:ascii="Times New Roman" w:eastAsiaTheme="minorHAnsi" w:hAnsi="Times New Roman"/>
          <w:kern w:val="2"/>
          <w:sz w:val="24"/>
          <w:szCs w:val="24"/>
          <w:lang w:eastAsia="en-US"/>
          <w14:ligatures w14:val="standardContextual"/>
        </w:rPr>
        <w:t xml:space="preserve"> en présence du compost sur le macrofaune du sol sous culture pluviale de sésame en milieu paysan, dans la région du Centre-Est. L’étude a été menée entre 2014 et 2015 sur des monolithes de sols prélevés à des profondeurs de 0-10 cm et 10-30 cm 3 jours avant semis, au 41ème et au 81ème jours après semis. Les résultats ont montré qu’en absence de pesticide, le compost a entraîné une augmentation du nombre d’individus du macrofaune du sol de 84,14% et de 173,46% respectivement dans les profondeurs de 0-10 cm et 10-30 cm du sol par rapport au témoin non traité. Il est ressort aussi que le compost était plus favorable au développement équilibré et diversifié des groupes de macrofaune. Après traitement des parcelles par le Paraquat et la </w:t>
      </w:r>
      <w:proofErr w:type="spellStart"/>
      <w:r w:rsidRPr="007C5A6E">
        <w:rPr>
          <w:rFonts w:ascii="Times New Roman" w:eastAsiaTheme="minorHAnsi" w:hAnsi="Times New Roman"/>
          <w:kern w:val="2"/>
          <w:sz w:val="24"/>
          <w:szCs w:val="24"/>
          <w:lang w:eastAsia="en-US"/>
          <w14:ligatures w14:val="standardContextual"/>
        </w:rPr>
        <w:t>Lambdacyhalothrine</w:t>
      </w:r>
      <w:proofErr w:type="spellEnd"/>
      <w:r w:rsidRPr="007C5A6E">
        <w:rPr>
          <w:rFonts w:ascii="Times New Roman" w:eastAsiaTheme="minorHAnsi" w:hAnsi="Times New Roman"/>
          <w:kern w:val="2"/>
          <w:sz w:val="24"/>
          <w:szCs w:val="24"/>
          <w:lang w:eastAsia="en-US"/>
          <w14:ligatures w14:val="standardContextual"/>
        </w:rPr>
        <w:t xml:space="preserve">, une diminution de 47,56% du macrofaune du sol a été notée à la profondeur de 0-10 cm du sol et leur élimination totale a été observée à la profondeur 10-30 cm. </w:t>
      </w:r>
    </w:p>
    <w:p w14:paraId="7EF5E962" w14:textId="77777777" w:rsidR="007206F7" w:rsidRPr="007C5A6E" w:rsidRDefault="007206F7" w:rsidP="0093589E">
      <w:pPr>
        <w:spacing w:after="0" w:line="240" w:lineRule="auto"/>
        <w:jc w:val="both"/>
        <w:rPr>
          <w:rFonts w:ascii="Times New Roman" w:eastAsiaTheme="minorHAnsi" w:hAnsi="Times New Roman"/>
          <w:kern w:val="2"/>
          <w:sz w:val="24"/>
          <w:szCs w:val="24"/>
          <w:lang w:eastAsia="en-US"/>
          <w14:ligatures w14:val="standardContextual"/>
        </w:rPr>
      </w:pPr>
    </w:p>
    <w:p w14:paraId="067CAD87" w14:textId="3CE381C3"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proofErr w:type="spellStart"/>
      <w:r w:rsidRPr="007C5A6E">
        <w:rPr>
          <w:rFonts w:ascii="Times New Roman" w:eastAsiaTheme="minorHAnsi" w:hAnsi="Times New Roman"/>
          <w:kern w:val="2"/>
          <w:sz w:val="24"/>
          <w:szCs w:val="24"/>
          <w:lang w:eastAsia="en-US"/>
          <w14:ligatures w14:val="standardContextual"/>
        </w:rPr>
        <w:t>Porgo</w:t>
      </w:r>
      <w:proofErr w:type="spellEnd"/>
      <w:r w:rsidRPr="007C5A6E">
        <w:rPr>
          <w:rFonts w:ascii="Times New Roman" w:eastAsiaTheme="minorHAnsi" w:hAnsi="Times New Roman"/>
          <w:kern w:val="2"/>
          <w:sz w:val="24"/>
          <w:szCs w:val="24"/>
          <w:lang w:eastAsia="en-US"/>
          <w14:ligatures w14:val="standardContextual"/>
        </w:rPr>
        <w:t xml:space="preserve"> et al. (2016) ont évalué les impacts environnementaux sur la pollution de l’air, de l’eau et du sol causés par l’exploitation de la mine d’or d’</w:t>
      </w:r>
      <w:proofErr w:type="spellStart"/>
      <w:r w:rsidRPr="007C5A6E">
        <w:rPr>
          <w:rFonts w:ascii="Times New Roman" w:eastAsiaTheme="minorHAnsi" w:hAnsi="Times New Roman"/>
          <w:kern w:val="2"/>
          <w:sz w:val="24"/>
          <w:szCs w:val="24"/>
          <w:lang w:eastAsia="en-US"/>
          <w14:ligatures w14:val="standardContextual"/>
        </w:rPr>
        <w:t>Essakane</w:t>
      </w:r>
      <w:proofErr w:type="spellEnd"/>
      <w:r w:rsidRPr="007C5A6E">
        <w:rPr>
          <w:rFonts w:ascii="Times New Roman" w:eastAsiaTheme="minorHAnsi" w:hAnsi="Times New Roman"/>
          <w:kern w:val="2"/>
          <w:sz w:val="24"/>
          <w:szCs w:val="24"/>
          <w:lang w:eastAsia="en-US"/>
          <w14:ligatures w14:val="standardContextual"/>
        </w:rPr>
        <w:t xml:space="preserve">, située au Nord-Est. Des analyses sur l’eau potable ont été faites pour déterminer la concentration des produits chimiques essentiels utilisés dans l’exploitation de l’or. Les résultats ont montré que l’utilisation de produits chimiques tels que le cyanure (exploitation aurifère industrielle) et le mercure (exploitation artisanale de l’or) pour obtenir l’or du minerai constituait un risque potentiel pour l’écosystème, la santé des populations locales et la production animale. </w:t>
      </w:r>
    </w:p>
    <w:p w14:paraId="209873D4" w14:textId="77777777" w:rsidR="007206F7" w:rsidRPr="007C5A6E" w:rsidRDefault="007206F7" w:rsidP="0093589E">
      <w:pPr>
        <w:spacing w:after="0" w:line="240" w:lineRule="auto"/>
        <w:jc w:val="both"/>
        <w:rPr>
          <w:rFonts w:ascii="Times New Roman" w:eastAsiaTheme="minorHAnsi" w:hAnsi="Times New Roman"/>
          <w:kern w:val="2"/>
          <w:sz w:val="24"/>
          <w:szCs w:val="24"/>
          <w:lang w:eastAsia="en-US"/>
          <w14:ligatures w14:val="standardContextual"/>
        </w:rPr>
      </w:pPr>
    </w:p>
    <w:p w14:paraId="0712268B" w14:textId="77777777" w:rsidR="007206F7"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Bambara et al. (2015) ont évalué la pollution des sols agricoles et leur relation avec les métaux lourds à </w:t>
      </w:r>
      <w:proofErr w:type="spellStart"/>
      <w:r w:rsidRPr="007C5A6E">
        <w:rPr>
          <w:rFonts w:ascii="Times New Roman" w:eastAsiaTheme="minorHAnsi" w:hAnsi="Times New Roman"/>
          <w:kern w:val="2"/>
          <w:sz w:val="24"/>
          <w:szCs w:val="24"/>
          <w:lang w:eastAsia="en-US"/>
          <w14:ligatures w14:val="standardContextual"/>
        </w:rPr>
        <w:t>Paspanga</w:t>
      </w:r>
      <w:proofErr w:type="spellEnd"/>
      <w:r w:rsidRPr="007C5A6E">
        <w:rPr>
          <w:rFonts w:ascii="Times New Roman" w:eastAsiaTheme="minorHAnsi" w:hAnsi="Times New Roman"/>
          <w:kern w:val="2"/>
          <w:sz w:val="24"/>
          <w:szCs w:val="24"/>
          <w:lang w:eastAsia="en-US"/>
          <w14:ligatures w14:val="standardContextual"/>
        </w:rPr>
        <w:t xml:space="preserve">. Ainsi, la détermination de la concentration, le calcul du facteur de contamination et l'indice de charge de pollution des métaux lourds dans les sols agricoles, y compris les sols supérieurs (0-5 cm) et sous-sols (15-20 cm) à </w:t>
      </w:r>
      <w:proofErr w:type="spellStart"/>
      <w:r w:rsidRPr="007C5A6E">
        <w:rPr>
          <w:rFonts w:ascii="Times New Roman" w:eastAsiaTheme="minorHAnsi" w:hAnsi="Times New Roman"/>
          <w:kern w:val="2"/>
          <w:sz w:val="24"/>
          <w:szCs w:val="24"/>
          <w:lang w:eastAsia="en-US"/>
          <w14:ligatures w14:val="standardContextual"/>
        </w:rPr>
        <w:t>Paspanga</w:t>
      </w:r>
      <w:proofErr w:type="spellEnd"/>
      <w:r w:rsidRPr="007C5A6E">
        <w:rPr>
          <w:rFonts w:ascii="Times New Roman" w:eastAsiaTheme="minorHAnsi" w:hAnsi="Times New Roman"/>
          <w:kern w:val="2"/>
          <w:sz w:val="24"/>
          <w:szCs w:val="24"/>
          <w:lang w:eastAsia="en-US"/>
          <w14:ligatures w14:val="standardContextual"/>
        </w:rPr>
        <w:t xml:space="preserve">, ont été entrepris. Les résultats montrent un ordre décroissant des métaux observés dans les échantillons de sol supérieur de </w:t>
      </w:r>
      <w:proofErr w:type="spellStart"/>
      <w:r w:rsidRPr="007C5A6E">
        <w:rPr>
          <w:rFonts w:ascii="Times New Roman" w:eastAsiaTheme="minorHAnsi" w:hAnsi="Times New Roman"/>
          <w:kern w:val="2"/>
          <w:sz w:val="24"/>
          <w:szCs w:val="24"/>
          <w:lang w:eastAsia="en-US"/>
          <w14:ligatures w14:val="standardContextual"/>
        </w:rPr>
        <w:t>Paspanga</w:t>
      </w:r>
      <w:proofErr w:type="spellEnd"/>
      <w:r w:rsidRPr="007C5A6E">
        <w:rPr>
          <w:rFonts w:ascii="Times New Roman" w:eastAsiaTheme="minorHAnsi" w:hAnsi="Times New Roman"/>
          <w:kern w:val="2"/>
          <w:sz w:val="24"/>
          <w:szCs w:val="24"/>
          <w:lang w:eastAsia="en-US"/>
          <w14:ligatures w14:val="standardContextual"/>
        </w:rPr>
        <w:t xml:space="preserve"> : Fe&gt;Mn&gt;Pb&gt;Zn&gt;Cr&gt;Ni&gt;Co&gt;As&gt;Hg tandis que celui des échantillons de sous-sol était Fe&gt;Mn&gt;Zn&gt;Pb&gt;Cr&gt;Ni&gt;Co&gt;As&gt;Hg. Les niveaux de métaux lourds analysés étaient dans la limite du seuil fixé par l'OMS. Les concentrations de métaux lourds dans le sol supérieur étaient plus élevées que celles du sous-sol. L'indice de charge de pollution a indiqué que la couche supérieure et le sous-sol du jardin maraîcher de </w:t>
      </w:r>
      <w:proofErr w:type="spellStart"/>
      <w:r w:rsidRPr="007C5A6E">
        <w:rPr>
          <w:rFonts w:ascii="Times New Roman" w:eastAsiaTheme="minorHAnsi" w:hAnsi="Times New Roman"/>
          <w:kern w:val="2"/>
          <w:sz w:val="24"/>
          <w:szCs w:val="24"/>
          <w:lang w:eastAsia="en-US"/>
          <w14:ligatures w14:val="standardContextual"/>
        </w:rPr>
        <w:t>Paspanga</w:t>
      </w:r>
      <w:proofErr w:type="spellEnd"/>
      <w:r w:rsidRPr="007C5A6E">
        <w:rPr>
          <w:rFonts w:ascii="Times New Roman" w:eastAsiaTheme="minorHAnsi" w:hAnsi="Times New Roman"/>
          <w:kern w:val="2"/>
          <w:sz w:val="24"/>
          <w:szCs w:val="24"/>
          <w:lang w:eastAsia="en-US"/>
          <w14:ligatures w14:val="standardContextual"/>
        </w:rPr>
        <w:t xml:space="preserve"> (sol) n'étaient pas pollués. L'étude statistique de la concentration en métaux lourds dans la couche supérieure et le sous-sol a montré qu'il existe une corrélation entre : le nickel et le zinc (Ni-Zn), le manganèse et le zinc (Mn-Zn), le plomb et l'arsenic (Pb-As) et le plomb et le mercure (Pb-Hg). </w:t>
      </w:r>
    </w:p>
    <w:p w14:paraId="3C6D7200" w14:textId="77777777" w:rsidR="007206F7" w:rsidRPr="007C5A6E" w:rsidRDefault="007206F7" w:rsidP="0093589E">
      <w:pPr>
        <w:spacing w:after="0" w:line="240" w:lineRule="auto"/>
        <w:jc w:val="both"/>
        <w:rPr>
          <w:rFonts w:ascii="Times New Roman" w:eastAsiaTheme="minorHAnsi" w:hAnsi="Times New Roman"/>
          <w:kern w:val="2"/>
          <w:sz w:val="24"/>
          <w:szCs w:val="24"/>
          <w:lang w:eastAsia="en-US"/>
          <w14:ligatures w14:val="standardContextual"/>
        </w:rPr>
      </w:pPr>
    </w:p>
    <w:p w14:paraId="261D6A26" w14:textId="77777777" w:rsidR="007206F7"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Kiba et al. (2012) ont évalué l’effet des pratiques de fertilisation sur les sols et des cultures des sites de </w:t>
      </w:r>
      <w:proofErr w:type="spellStart"/>
      <w:r w:rsidRPr="007C5A6E">
        <w:rPr>
          <w:rFonts w:ascii="Times New Roman" w:eastAsiaTheme="minorHAnsi" w:hAnsi="Times New Roman"/>
          <w:kern w:val="2"/>
          <w:sz w:val="24"/>
          <w:szCs w:val="24"/>
          <w:lang w:eastAsia="en-US"/>
          <w14:ligatures w14:val="standardContextual"/>
        </w:rPr>
        <w:t>Boulmiougou</w:t>
      </w:r>
      <w:proofErr w:type="spellEnd"/>
      <w:r w:rsidRPr="007C5A6E">
        <w:rPr>
          <w:rFonts w:ascii="Times New Roman" w:eastAsiaTheme="minorHAnsi" w:hAnsi="Times New Roman"/>
          <w:kern w:val="2"/>
          <w:sz w:val="24"/>
          <w:szCs w:val="24"/>
          <w:lang w:eastAsia="en-US"/>
          <w14:ligatures w14:val="standardContextual"/>
        </w:rPr>
        <w:t xml:space="preserve">, Hôpital, Tanghin, </w:t>
      </w:r>
      <w:proofErr w:type="spellStart"/>
      <w:r w:rsidRPr="007C5A6E">
        <w:rPr>
          <w:rFonts w:ascii="Times New Roman" w:eastAsiaTheme="minorHAnsi" w:hAnsi="Times New Roman"/>
          <w:kern w:val="2"/>
          <w:sz w:val="24"/>
          <w:szCs w:val="24"/>
          <w:lang w:eastAsia="en-US"/>
          <w14:ligatures w14:val="standardContextual"/>
        </w:rPr>
        <w:t>Wayalguin</w:t>
      </w:r>
      <w:proofErr w:type="spellEnd"/>
      <w:r w:rsidRPr="007C5A6E">
        <w:rPr>
          <w:rFonts w:ascii="Times New Roman" w:eastAsiaTheme="minorHAnsi" w:hAnsi="Times New Roman"/>
          <w:kern w:val="2"/>
          <w:sz w:val="24"/>
          <w:szCs w:val="24"/>
          <w:lang w:eastAsia="en-US"/>
          <w14:ligatures w14:val="standardContextual"/>
        </w:rPr>
        <w:t xml:space="preserve"> entre 2007 et 2008. Le pH, les teneurs en carbone total (C), azote (N), phosphate (P) et P inorganique, ainsi que les teneurs en P disponible et en métaux lourds (Cd, Cu, Pb, Cr, Zn et Ni) ont été déterminé dans les sols. Les résultats ont montré que les teneurs en Pb du sol étaient la plus élevée sur le site avec Tanghin qui a été attribuée à la pollution atmosphérique lie au </w:t>
      </w:r>
      <w:proofErr w:type="spellStart"/>
      <w:r w:rsidRPr="007C5A6E">
        <w:rPr>
          <w:rFonts w:ascii="Times New Roman" w:eastAsiaTheme="minorHAnsi" w:hAnsi="Times New Roman"/>
          <w:kern w:val="2"/>
          <w:sz w:val="24"/>
          <w:szCs w:val="24"/>
          <w:lang w:eastAsia="en-US"/>
          <w14:ligatures w14:val="standardContextual"/>
        </w:rPr>
        <w:t>traffic</w:t>
      </w:r>
      <w:proofErr w:type="spellEnd"/>
      <w:r w:rsidRPr="007C5A6E">
        <w:rPr>
          <w:rFonts w:ascii="Times New Roman" w:eastAsiaTheme="minorHAnsi" w:hAnsi="Times New Roman"/>
          <w:kern w:val="2"/>
          <w:sz w:val="24"/>
          <w:szCs w:val="24"/>
          <w:lang w:eastAsia="en-US"/>
          <w14:ligatures w14:val="standardContextual"/>
        </w:rPr>
        <w:t xml:space="preserve"> routier compte tenu de la proximité du site avec une route principale. L'utilisation de déchets solides et d'eaux usées a conduit à l'accumulation de N, P et de métaux dans le sol. Abaga et al. (2011) ont déterminé les résidus d'insecticides dans les sols cotonniers du Burkina Faso et leur effet sur l'asymétrie fluctuante chez les abeilles mellifères (Apis </w:t>
      </w:r>
      <w:proofErr w:type="spellStart"/>
      <w:r w:rsidRPr="007C5A6E">
        <w:rPr>
          <w:rFonts w:ascii="Times New Roman" w:eastAsiaTheme="minorHAnsi" w:hAnsi="Times New Roman"/>
          <w:kern w:val="2"/>
          <w:sz w:val="24"/>
          <w:szCs w:val="24"/>
          <w:lang w:eastAsia="en-US"/>
          <w14:ligatures w14:val="standardContextual"/>
        </w:rPr>
        <w:t>mellifera</w:t>
      </w:r>
      <w:proofErr w:type="spellEnd"/>
      <w:r w:rsidRPr="007C5A6E">
        <w:rPr>
          <w:rFonts w:ascii="Times New Roman" w:eastAsiaTheme="minorHAnsi" w:hAnsi="Times New Roman"/>
          <w:kern w:val="2"/>
          <w:sz w:val="24"/>
          <w:szCs w:val="24"/>
          <w:lang w:eastAsia="en-US"/>
          <w14:ligatures w14:val="standardContextual"/>
        </w:rPr>
        <w:t xml:space="preserve"> Linnaeus). L’acétamipride, cyperméthrine, endosulfan et </w:t>
      </w:r>
      <w:proofErr w:type="spellStart"/>
      <w:r w:rsidRPr="007C5A6E">
        <w:rPr>
          <w:rFonts w:ascii="Times New Roman" w:eastAsiaTheme="minorHAnsi" w:hAnsi="Times New Roman"/>
          <w:kern w:val="2"/>
          <w:sz w:val="24"/>
          <w:szCs w:val="24"/>
          <w:lang w:eastAsia="en-US"/>
          <w14:ligatures w14:val="standardContextual"/>
        </w:rPr>
        <w:t>profenofos</w:t>
      </w:r>
      <w:proofErr w:type="spellEnd"/>
      <w:r w:rsidRPr="007C5A6E">
        <w:rPr>
          <w:rFonts w:ascii="Times New Roman" w:eastAsiaTheme="minorHAnsi" w:hAnsi="Times New Roman"/>
          <w:kern w:val="2"/>
          <w:sz w:val="24"/>
          <w:szCs w:val="24"/>
          <w:lang w:eastAsia="en-US"/>
          <w14:ligatures w14:val="standardContextual"/>
        </w:rPr>
        <w:t xml:space="preserve"> ont été étudiés dans des sols prélevés dans des zones cotonnières traditionnellement cultivées et dans de nouvelles zones cotonnières. Des échantillons de sols superficiels de </w:t>
      </w:r>
      <w:proofErr w:type="spellStart"/>
      <w:r w:rsidRPr="007C5A6E">
        <w:rPr>
          <w:rFonts w:ascii="Times New Roman" w:eastAsiaTheme="minorHAnsi" w:hAnsi="Times New Roman"/>
          <w:kern w:val="2"/>
          <w:sz w:val="24"/>
          <w:szCs w:val="24"/>
          <w:lang w:eastAsia="en-US"/>
          <w14:ligatures w14:val="standardContextual"/>
        </w:rPr>
        <w:t>lixisol</w:t>
      </w:r>
      <w:proofErr w:type="spellEnd"/>
      <w:r w:rsidRPr="007C5A6E">
        <w:rPr>
          <w:rFonts w:ascii="Times New Roman" w:eastAsiaTheme="minorHAnsi" w:hAnsi="Times New Roman"/>
          <w:kern w:val="2"/>
          <w:sz w:val="24"/>
          <w:szCs w:val="24"/>
          <w:lang w:eastAsia="en-US"/>
          <w14:ligatures w14:val="standardContextual"/>
        </w:rPr>
        <w:t xml:space="preserve"> et de vertisol (0–20 cm) ont été collectés dans les 11 parcelles de coton en juin 2006 avant l’application d’insecticide (T0) et à nouveau 3 mois (T3 mois) après les traitements insecticides. Les résidus de pesticides extraits ont été analysés à l'aide d'un chromatographe en phase gazeuse couplé à un spectromètre de masse (GC–MS). Les résultats ont révélé que dans des échantillons de sol prélevés trois mois après les traitements insecticides, les concentrations d'endosulfan et de </w:t>
      </w:r>
      <w:proofErr w:type="spellStart"/>
      <w:r w:rsidRPr="007C5A6E">
        <w:rPr>
          <w:rFonts w:ascii="Times New Roman" w:eastAsiaTheme="minorHAnsi" w:hAnsi="Times New Roman"/>
          <w:kern w:val="2"/>
          <w:sz w:val="24"/>
          <w:szCs w:val="24"/>
          <w:lang w:eastAsia="en-US"/>
          <w14:ligatures w14:val="standardContextual"/>
        </w:rPr>
        <w:t>profenofos</w:t>
      </w:r>
      <w:proofErr w:type="spellEnd"/>
      <w:r w:rsidRPr="007C5A6E">
        <w:rPr>
          <w:rFonts w:ascii="Times New Roman" w:eastAsiaTheme="minorHAnsi" w:hAnsi="Times New Roman"/>
          <w:kern w:val="2"/>
          <w:sz w:val="24"/>
          <w:szCs w:val="24"/>
          <w:lang w:eastAsia="en-US"/>
          <w14:ligatures w14:val="standardContextual"/>
        </w:rPr>
        <w:t xml:space="preserve"> variaient de l'ordre de 10 à 30 µg/kg dans les zones traditionnellement cultivées et de 10 à 80 µg/kg dans les nouvelles zones cotonnières, ce qui indique une pollution des terres agricoles. Cependant, seules les concentrations de </w:t>
      </w:r>
      <w:proofErr w:type="spellStart"/>
      <w:r w:rsidRPr="007C5A6E">
        <w:rPr>
          <w:rFonts w:ascii="Times New Roman" w:eastAsiaTheme="minorHAnsi" w:hAnsi="Times New Roman"/>
          <w:kern w:val="2"/>
          <w:sz w:val="24"/>
          <w:szCs w:val="24"/>
          <w:lang w:eastAsia="en-US"/>
          <w14:ligatures w14:val="standardContextual"/>
        </w:rPr>
        <w:t>profenofos</w:t>
      </w:r>
      <w:proofErr w:type="spellEnd"/>
      <w:r w:rsidRPr="007C5A6E">
        <w:rPr>
          <w:rFonts w:ascii="Times New Roman" w:eastAsiaTheme="minorHAnsi" w:hAnsi="Times New Roman"/>
          <w:kern w:val="2"/>
          <w:sz w:val="24"/>
          <w:szCs w:val="24"/>
          <w:lang w:eastAsia="en-US"/>
          <w14:ligatures w14:val="standardContextual"/>
        </w:rPr>
        <w:t xml:space="preserve"> étaient significativement plus élevées dans la nouvelle zone cotonnière que dans les zones traditionnellement cultivées. </w:t>
      </w:r>
    </w:p>
    <w:p w14:paraId="67355A48" w14:textId="77777777" w:rsidR="007206F7" w:rsidRPr="007C5A6E" w:rsidRDefault="007206F7" w:rsidP="0093589E">
      <w:pPr>
        <w:spacing w:after="0" w:line="240" w:lineRule="auto"/>
        <w:jc w:val="both"/>
        <w:rPr>
          <w:rFonts w:ascii="Times New Roman" w:eastAsiaTheme="minorHAnsi" w:hAnsi="Times New Roman"/>
          <w:kern w:val="2"/>
          <w:sz w:val="24"/>
          <w:szCs w:val="24"/>
          <w:lang w:eastAsia="en-US"/>
          <w14:ligatures w14:val="standardContextual"/>
        </w:rPr>
      </w:pPr>
    </w:p>
    <w:p w14:paraId="7819CB7D" w14:textId="517DEE8C"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Traore et al. (2006) ont évalué de la pollution des sols par les pesticides utilisés dans la production cotonnière dans sept sites de la zone cotonnière du Burkina Faso. Des échantillons de sols ont été prélevés dans les champs de coton pendant la saison des pluies et la saison sèche entre 2003 et 2004. Les résidus de pesticides ont été analysés par chromatographie gazeuse après extraction et purification. Les résultats ont montré que les sols étaient contaminés par l'endosulfan à la teneur de 1 à 22 µg/kg aussi bien au champ paysan qu'en station expérimentale. Une faible pollution par le diméthoate (1,7 à 5 µg/kg) a été notée dans le milieu paysan au cours de la campagne. Le suivi à l'échelle du laboratoire de la dégradation de l'endosulfan dans différents types de sols a montré que la dégradation était plus rapide dans les sols riches en matière organique et en argile </w:t>
      </w:r>
      <w:proofErr w:type="spellStart"/>
      <w:r w:rsidRPr="007C5A6E">
        <w:rPr>
          <w:rFonts w:ascii="Times New Roman" w:eastAsiaTheme="minorHAnsi" w:hAnsi="Times New Roman"/>
          <w:kern w:val="2"/>
          <w:sz w:val="24"/>
          <w:szCs w:val="24"/>
          <w:lang w:eastAsia="en-US"/>
          <w14:ligatures w14:val="standardContextual"/>
        </w:rPr>
        <w:t>Tapsoba</w:t>
      </w:r>
      <w:proofErr w:type="spellEnd"/>
      <w:r w:rsidRPr="007C5A6E">
        <w:rPr>
          <w:rFonts w:ascii="Times New Roman" w:eastAsiaTheme="minorHAnsi" w:hAnsi="Times New Roman"/>
          <w:kern w:val="2"/>
          <w:sz w:val="24"/>
          <w:szCs w:val="24"/>
          <w:lang w:eastAsia="en-US"/>
          <w14:ligatures w14:val="standardContextual"/>
        </w:rPr>
        <w:t xml:space="preserve"> et al. (2008) ont déterminé les teneurs en résidus de α et β–endosulfan et de sulfate d’endosulfan dans des sols prélevés sur trois zones productrices de coton dont Boromo, Dédougou et Fada N’Gourma. Des échantillons de sols ont été collectés dans les zones d'étude en juin et novembre 2007 dans la région du Mouhoun et en juillet et novembre 2007 dans la région de l'Est sur les sites de culture de coton conventionnel, biologique et de sésame. Le sol a été prélevé dans la couche 0-20 cm à l'aide d'une tarière manuelle. Les échantillons ont été analysés avec un deuxième GC équipé d'ECD. Les isomères α et β-endosulfan ainsi que leur produit de dégradation, le sulfate d’endosulfan, ont été détectés dans les échantillons de sols. La présence de résidus d’endosulfan dans les sols de site de culture biologique et du sésame était non-systématique, tandis qu’elle s’intensifie de la période de culture jusqu’à la saison sèche dans les champs de coton conventionnel.</w:t>
      </w:r>
    </w:p>
    <w:p w14:paraId="10A06423" w14:textId="77777777" w:rsidR="001F7AA6" w:rsidRPr="007C5A6E" w:rsidRDefault="001F7AA6" w:rsidP="0093589E">
      <w:pPr>
        <w:spacing w:after="0" w:line="240" w:lineRule="auto"/>
        <w:rPr>
          <w:rFonts w:ascii="Times New Roman" w:eastAsiaTheme="minorHAnsi" w:hAnsi="Times New Roman"/>
          <w:kern w:val="2"/>
          <w:lang w:eastAsia="en-US"/>
          <w14:ligatures w14:val="standardContextual"/>
        </w:rPr>
      </w:pPr>
    </w:p>
    <w:p w14:paraId="742E5194" w14:textId="78F3BCF9" w:rsidR="001F7AA6" w:rsidRPr="007C5A6E" w:rsidRDefault="00F35210" w:rsidP="0093589E">
      <w:pPr>
        <w:pStyle w:val="Titre3"/>
      </w:pPr>
      <w:bookmarkStart w:id="1591" w:name="_Toc183340342"/>
      <w:r w:rsidRPr="007C5A6E">
        <w:t xml:space="preserve">Les </w:t>
      </w:r>
      <w:r w:rsidR="001F7AA6" w:rsidRPr="007C5A6E">
        <w:t>Pollution</w:t>
      </w:r>
      <w:r w:rsidRPr="007C5A6E">
        <w:t>s</w:t>
      </w:r>
      <w:r w:rsidR="001F7AA6" w:rsidRPr="007C5A6E">
        <w:t xml:space="preserve"> sonore</w:t>
      </w:r>
      <w:r w:rsidRPr="007C5A6E">
        <w:t>s</w:t>
      </w:r>
      <w:bookmarkEnd w:id="1591"/>
    </w:p>
    <w:p w14:paraId="2FFC83D1"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11BF54F1" w14:textId="77777777" w:rsidR="00C32C05"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L'exposition à long terme au bruit peut avoir diverses conséquences pour la santé, notamment provoquer un inconfort, des troubles du sommeil, des effets négatifs sur le système cardiovasculaire et sur le métabolisme, ainsi que des troubles cognitifs chez les enfants. </w:t>
      </w:r>
    </w:p>
    <w:p w14:paraId="1A2BDB44" w14:textId="77777777" w:rsidR="00C32C05" w:rsidRPr="007C5A6E" w:rsidRDefault="00C32C05" w:rsidP="0093589E">
      <w:pPr>
        <w:spacing w:after="0" w:line="240" w:lineRule="auto"/>
        <w:jc w:val="both"/>
        <w:rPr>
          <w:rFonts w:ascii="Times New Roman" w:eastAsiaTheme="minorHAnsi" w:hAnsi="Times New Roman"/>
          <w:kern w:val="2"/>
          <w:sz w:val="24"/>
          <w:szCs w:val="24"/>
          <w:lang w:eastAsia="en-US"/>
          <w14:ligatures w14:val="standardContextual"/>
        </w:rPr>
      </w:pPr>
    </w:p>
    <w:p w14:paraId="2B12751C" w14:textId="77777777" w:rsidR="00C32C05"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Traore et al. (2023) ont réalisé des mesures sur le niveau de pollution sonore afin d’évaluer ses effets possibles chez 104 travailleurs dans une usine de métallurgie d’acier et d’aluminium à Ouagadougou du 1er décembre 2019 au 31 janvier 2020. Les résultats ont montré que l’intensité du bruit variait de 52 à 96 dB(A) aux postes de travail. Les signes fonctionnels étaient dominés par les acouphènes (28,85%), les céphalées (27,88%) la sensation d’oreilles bouchées (18,27%) et les troubles du sommeil (18,27%). 45 travailleurs (43,27%) avaient un déficit audiométrique. 43 (soit 95,56%) ont présenté une surdité de perception et 2 (soit 4,44%) ont présenté une surdité mixte. Tous les travailleurs disposaient de protecteurs individuels contre le bruit. Toutefois, 58 (soit 55,77%) ne portaient pas ces équipements de protection individuelle de façon permanente. </w:t>
      </w:r>
      <w:proofErr w:type="spellStart"/>
      <w:r w:rsidRPr="007C5A6E">
        <w:rPr>
          <w:rFonts w:ascii="Times New Roman" w:eastAsiaTheme="minorHAnsi" w:hAnsi="Times New Roman"/>
          <w:kern w:val="2"/>
          <w:sz w:val="24"/>
          <w:szCs w:val="24"/>
          <w:lang w:eastAsia="en-US"/>
          <w14:ligatures w14:val="standardContextual"/>
        </w:rPr>
        <w:t>Oubian</w:t>
      </w:r>
      <w:proofErr w:type="spellEnd"/>
      <w:r w:rsidRPr="007C5A6E">
        <w:rPr>
          <w:rFonts w:ascii="Times New Roman" w:eastAsiaTheme="minorHAnsi" w:hAnsi="Times New Roman"/>
          <w:kern w:val="2"/>
          <w:sz w:val="24"/>
          <w:szCs w:val="24"/>
          <w:lang w:eastAsia="en-US"/>
          <w14:ligatures w14:val="standardContextual"/>
        </w:rPr>
        <w:t xml:space="preserve"> et al. (2020) ont réalisé une évaluation audiométrique menée dans les quatre centrales électriques de la SONABEL du 19 juillet 2016 au 03 août 2016, de la ville de Ouagadougou. Les résultats ont montré que la sonométrie a noté une moyenne de 105,05 décibels (</w:t>
      </w:r>
      <w:proofErr w:type="spellStart"/>
      <w:r w:rsidRPr="007C5A6E">
        <w:rPr>
          <w:rFonts w:ascii="Times New Roman" w:eastAsiaTheme="minorHAnsi" w:hAnsi="Times New Roman"/>
          <w:kern w:val="2"/>
          <w:sz w:val="24"/>
          <w:szCs w:val="24"/>
          <w:lang w:eastAsia="en-US"/>
          <w14:ligatures w14:val="standardContextual"/>
        </w:rPr>
        <w:t>db</w:t>
      </w:r>
      <w:proofErr w:type="spellEnd"/>
      <w:r w:rsidRPr="007C5A6E">
        <w:rPr>
          <w:rFonts w:ascii="Times New Roman" w:eastAsiaTheme="minorHAnsi" w:hAnsi="Times New Roman"/>
          <w:kern w:val="2"/>
          <w:sz w:val="24"/>
          <w:szCs w:val="24"/>
          <w:lang w:eastAsia="en-US"/>
          <w14:ligatures w14:val="standardContextual"/>
        </w:rPr>
        <w:t xml:space="preserve">) dans les salles de production et 74,1db dans les salles de commandes. </w:t>
      </w:r>
    </w:p>
    <w:p w14:paraId="2FCC787A" w14:textId="77777777" w:rsidR="00C32C05" w:rsidRPr="007C5A6E" w:rsidRDefault="00C32C05" w:rsidP="0093589E">
      <w:pPr>
        <w:spacing w:after="0" w:line="240" w:lineRule="auto"/>
        <w:jc w:val="both"/>
        <w:rPr>
          <w:rFonts w:ascii="Times New Roman" w:eastAsiaTheme="minorHAnsi" w:hAnsi="Times New Roman"/>
          <w:kern w:val="2"/>
          <w:sz w:val="24"/>
          <w:szCs w:val="24"/>
          <w:lang w:eastAsia="en-US"/>
          <w14:ligatures w14:val="standardContextual"/>
        </w:rPr>
      </w:pPr>
    </w:p>
    <w:p w14:paraId="172C189B" w14:textId="77777777" w:rsidR="00C32C05"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proofErr w:type="spellStart"/>
      <w:r w:rsidRPr="007C5A6E">
        <w:rPr>
          <w:rFonts w:ascii="Times New Roman" w:eastAsiaTheme="minorHAnsi" w:hAnsi="Times New Roman"/>
          <w:kern w:val="2"/>
          <w:sz w:val="24"/>
          <w:szCs w:val="24"/>
          <w:lang w:eastAsia="en-US"/>
          <w14:ligatures w14:val="standardContextual"/>
        </w:rPr>
        <w:t>Oubian</w:t>
      </w:r>
      <w:proofErr w:type="spellEnd"/>
      <w:r w:rsidRPr="007C5A6E">
        <w:rPr>
          <w:rFonts w:ascii="Times New Roman" w:eastAsiaTheme="minorHAnsi" w:hAnsi="Times New Roman"/>
          <w:kern w:val="2"/>
          <w:sz w:val="24"/>
          <w:szCs w:val="24"/>
          <w:lang w:eastAsia="en-US"/>
          <w14:ligatures w14:val="standardContextual"/>
        </w:rPr>
        <w:t xml:space="preserve"> et al. (2019) ont analysé l’impact des nuisances sonores sur la qualité de vie chez 109 travailleurs dans les Centrales Électriques de la Ville de Ouagadougou du 19 juillet 2016 au 03 aout 2016. Les résultats ont montré que l’exposition était intermittente dans 80,7% et continue dans 19,2%. Une baisse auditive était retrouvée chez 13 travailleurs en exposition continue. Le retentissement clinique était constitué des acouphènes, des palpitations, des céphalées et sensation de pesanteur dans la poitrine. La nuisance sonore occasionne une perturbation du comportement social. Vingt-cinq travailleurs avaient tendance à hausser la voix quand ils parlaient, 18 personnes avaient des acouphènes, 12 personnes augmentaient le volume de la télévision. Les nuisances sonores sont donc un problème réel et impactent négativement la santé des travailleurs et altèrent leur intégration sociale. </w:t>
      </w:r>
    </w:p>
    <w:p w14:paraId="75830D41" w14:textId="77777777" w:rsidR="00C32C05" w:rsidRPr="007C5A6E" w:rsidRDefault="00C32C05" w:rsidP="0093589E">
      <w:pPr>
        <w:spacing w:after="0" w:line="240" w:lineRule="auto"/>
        <w:jc w:val="both"/>
        <w:rPr>
          <w:rFonts w:ascii="Times New Roman" w:eastAsiaTheme="minorHAnsi" w:hAnsi="Times New Roman"/>
          <w:kern w:val="2"/>
          <w:sz w:val="24"/>
          <w:szCs w:val="24"/>
          <w:lang w:eastAsia="en-US"/>
          <w14:ligatures w14:val="standardContextual"/>
        </w:rPr>
      </w:pPr>
    </w:p>
    <w:p w14:paraId="0559B5E2" w14:textId="11B8B1A0"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hyperlink r:id="rId251" w:tooltip="Noel Thiombiano" w:history="1">
        <w:proofErr w:type="spellStart"/>
        <w:r w:rsidRPr="007C5A6E">
          <w:rPr>
            <w:rFonts w:ascii="Times New Roman" w:eastAsiaTheme="minorHAnsi" w:hAnsi="Times New Roman"/>
            <w:kern w:val="2"/>
            <w:sz w:val="24"/>
            <w:szCs w:val="24"/>
            <w:lang w:eastAsia="en-US"/>
            <w14:ligatures w14:val="standardContextual"/>
          </w:rPr>
          <w:t>Thiombiano</w:t>
        </w:r>
        <w:proofErr w:type="spellEnd"/>
      </w:hyperlink>
      <w:r w:rsidRPr="007C5A6E">
        <w:rPr>
          <w:rFonts w:ascii="Times New Roman" w:eastAsiaTheme="minorHAnsi" w:hAnsi="Times New Roman"/>
          <w:kern w:val="2"/>
          <w:sz w:val="24"/>
          <w:szCs w:val="24"/>
          <w:lang w:eastAsia="en-US"/>
          <w14:ligatures w14:val="standardContextual"/>
        </w:rPr>
        <w:t> et </w:t>
      </w:r>
      <w:proofErr w:type="spellStart"/>
      <w:r>
        <w:fldChar w:fldCharType="begin"/>
      </w:r>
      <w:r>
        <w:instrText>HYPERLINK "https://www.inderscienceonline.com/doi/abs/10.1504/IJBHR.2018.091258" \o "Ibrahim Niankara"</w:instrText>
      </w:r>
      <w:r>
        <w:fldChar w:fldCharType="separate"/>
      </w:r>
      <w:r w:rsidRPr="007C5A6E">
        <w:rPr>
          <w:rFonts w:ascii="Times New Roman" w:eastAsiaTheme="minorHAnsi" w:hAnsi="Times New Roman"/>
          <w:kern w:val="2"/>
          <w:sz w:val="24"/>
          <w:szCs w:val="24"/>
          <w:lang w:eastAsia="en-US"/>
          <w14:ligatures w14:val="standardContextual"/>
        </w:rPr>
        <w:t>Niankara</w:t>
      </w:r>
      <w:proofErr w:type="spellEnd"/>
      <w:r>
        <w:rPr>
          <w:rFonts w:ascii="Times New Roman" w:eastAsiaTheme="minorHAnsi" w:hAnsi="Times New Roman"/>
          <w:kern w:val="2"/>
          <w:sz w:val="24"/>
          <w:szCs w:val="24"/>
          <w:lang w:eastAsia="en-US"/>
          <w14:ligatures w14:val="standardContextual"/>
        </w:rPr>
        <w:fldChar w:fldCharType="end"/>
      </w:r>
      <w:r w:rsidRPr="007C5A6E">
        <w:rPr>
          <w:rFonts w:ascii="Times New Roman" w:eastAsiaTheme="minorHAnsi" w:hAnsi="Times New Roman"/>
          <w:kern w:val="2"/>
          <w:sz w:val="24"/>
          <w:szCs w:val="24"/>
          <w:lang w:eastAsia="en-US"/>
          <w14:ligatures w14:val="standardContextual"/>
        </w:rPr>
        <w:t xml:space="preserve"> (2018) ont examiné l'impact de la pollution sonore constante et intermittente sur les inégalités sociales de santé au Burkina Faso sous l'angle des déficiences auditives en s'</w:t>
      </w:r>
      <w:proofErr w:type="spellStart"/>
      <w:r w:rsidRPr="007C5A6E">
        <w:rPr>
          <w:rFonts w:ascii="Times New Roman" w:eastAsiaTheme="minorHAnsi" w:hAnsi="Times New Roman"/>
          <w:kern w:val="2"/>
          <w:sz w:val="24"/>
          <w:szCs w:val="24"/>
          <w:lang w:eastAsia="en-US"/>
          <w14:ligatures w14:val="standardContextual"/>
        </w:rPr>
        <w:t>appuiyant</w:t>
      </w:r>
      <w:proofErr w:type="spellEnd"/>
      <w:r w:rsidRPr="007C5A6E">
        <w:rPr>
          <w:rFonts w:ascii="Times New Roman" w:eastAsiaTheme="minorHAnsi" w:hAnsi="Times New Roman"/>
          <w:kern w:val="2"/>
          <w:sz w:val="24"/>
          <w:szCs w:val="24"/>
          <w:lang w:eastAsia="en-US"/>
          <w14:ligatures w14:val="standardContextual"/>
        </w:rPr>
        <w:t xml:space="preserve"> sur une modélisation de Poisson. Un échantillon aléatoire de 838 personnes dans 200 ménages vivant à proximité de l'aéroport international de Ouagadougou et des centrales thermiques de la SONABEL a été enrôlé dans l’étude. Les résultats empiriques ont révélé que l'intensité du bruit est un déterminant significatif de la déficience auditive et une source d'inégalités environnementales. Une exposition constante à un bruit de forte intensité double la probabilité de développer une déficience auditive par rapport à une exposition temporaire. Les résultats soulignent également les problèmes de mauvaise planification urbaine dans les pays en développement.</w:t>
      </w:r>
    </w:p>
    <w:p w14:paraId="5DA3411E" w14:textId="77777777" w:rsidR="001F7AA6" w:rsidRPr="007C5A6E" w:rsidRDefault="001F7AA6" w:rsidP="0093589E">
      <w:pPr>
        <w:spacing w:after="0" w:line="240" w:lineRule="auto"/>
        <w:rPr>
          <w:rFonts w:ascii="Times New Roman" w:eastAsiaTheme="minorHAnsi" w:hAnsi="Times New Roman"/>
          <w:kern w:val="2"/>
          <w:lang w:eastAsia="en-US"/>
          <w14:ligatures w14:val="standardContextual"/>
        </w:rPr>
      </w:pPr>
    </w:p>
    <w:p w14:paraId="5B060792" w14:textId="77777777" w:rsidR="001F7AA6" w:rsidRPr="007C5A6E" w:rsidRDefault="001F7AA6" w:rsidP="00712C43">
      <w:pPr>
        <w:pStyle w:val="Titre2"/>
      </w:pPr>
      <w:bookmarkStart w:id="1592" w:name="_Toc183340343"/>
      <w:r w:rsidRPr="007C5A6E">
        <w:t>Épidémiologie des maladies liées à l’environnement au Burkina Faso</w:t>
      </w:r>
      <w:bookmarkEnd w:id="1592"/>
    </w:p>
    <w:p w14:paraId="4D5BC658" w14:textId="77777777" w:rsidR="00135F54" w:rsidRPr="007C5A6E" w:rsidRDefault="00135F54" w:rsidP="0093589E">
      <w:pPr>
        <w:spacing w:after="0" w:line="240" w:lineRule="auto"/>
        <w:jc w:val="both"/>
        <w:rPr>
          <w:rFonts w:ascii="Times New Roman" w:eastAsiaTheme="minorHAnsi" w:hAnsi="Times New Roman"/>
          <w:kern w:val="2"/>
          <w:sz w:val="24"/>
          <w:szCs w:val="24"/>
          <w:lang w:eastAsia="en-US"/>
          <w14:ligatures w14:val="standardContextual"/>
        </w:rPr>
      </w:pPr>
    </w:p>
    <w:p w14:paraId="115D468E" w14:textId="5E7F1BD6"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 profil épidémiologique du pays est marqué par la persistance d’une forte charge de morbidité due aux endémo-épidémies y compris l’infection à VIH et par l’augmentation progressive du fardeau des maladies non transmissibles. Les principales maladies d’importance en santé publique sont le paludisme, la dengue, les infections respiratoires aigües, la malnutrition, les maladies diarrhéiques, le VIH, le Sida, les IST, la tuberculose, la lèpre et les maladies tropicales négligées. En outre, le Burkina Faso est régulièrement confronté à des flambées épidémiques (méningite cérébro-spinale, COVID-19, rougeole, poliomyélite). Les maladies non transmissibles sont en augmentation. Elles regroupent entre autres, les affections cardio-vasculaires, les troubles et maladies mentales, les maladies métaboliques comme le diabète, la malnutrition et autres carences nutritionnelles, les cancers, les maladies génétiques et les traumatismes dus aux accidents de la route. </w:t>
      </w:r>
    </w:p>
    <w:p w14:paraId="3451CD6A" w14:textId="08684CB7" w:rsidR="00863377" w:rsidRPr="007C5A6E" w:rsidRDefault="00863377"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Au regard des données auxquelles le con</w:t>
      </w:r>
      <w:r w:rsidR="00CF3A5D" w:rsidRPr="007C5A6E">
        <w:rPr>
          <w:rFonts w:ascii="Times New Roman" w:eastAsiaTheme="minorHAnsi" w:hAnsi="Times New Roman"/>
          <w:kern w:val="2"/>
          <w:sz w:val="24"/>
          <w:szCs w:val="24"/>
          <w:lang w:eastAsia="en-US"/>
          <w14:ligatures w14:val="standardContextual"/>
        </w:rPr>
        <w:t xml:space="preserve">sultant a pu accéder, l’analyse de l’épidémiologie des maladies liées à l’environnement a porté sur les maladies infectieuses. </w:t>
      </w:r>
    </w:p>
    <w:p w14:paraId="4268793F"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p>
    <w:p w14:paraId="3D00408D" w14:textId="77777777" w:rsidR="001F7AA6" w:rsidRPr="007C5A6E" w:rsidRDefault="001F7AA6" w:rsidP="0093589E">
      <w:pPr>
        <w:pStyle w:val="Titre3"/>
      </w:pPr>
      <w:bookmarkStart w:id="1593" w:name="_Toc182986587"/>
      <w:bookmarkStart w:id="1594" w:name="_Toc183340344"/>
      <w:r w:rsidRPr="007C5A6E">
        <w:t>Maladies infectieuses</w:t>
      </w:r>
      <w:bookmarkEnd w:id="1593"/>
      <w:bookmarkEnd w:id="1594"/>
      <w:r w:rsidRPr="007C5A6E">
        <w:t xml:space="preserve"> </w:t>
      </w:r>
    </w:p>
    <w:p w14:paraId="4DB932D2" w14:textId="77777777" w:rsidR="001F7AA6" w:rsidRPr="007C5A6E" w:rsidRDefault="001F7AA6" w:rsidP="0093589E">
      <w:pPr>
        <w:spacing w:after="0" w:line="240" w:lineRule="auto"/>
        <w:rPr>
          <w:rFonts w:ascii="Times New Roman" w:eastAsiaTheme="minorHAnsi" w:hAnsi="Times New Roman"/>
          <w:kern w:val="2"/>
          <w:lang w:eastAsia="en-US"/>
          <w14:ligatures w14:val="standardContextual"/>
        </w:rPr>
      </w:pPr>
    </w:p>
    <w:p w14:paraId="54DF74B6" w14:textId="167BA7B3" w:rsidR="001F7AA6" w:rsidRPr="007C5A6E" w:rsidRDefault="00F35210" w:rsidP="0093589E">
      <w:pPr>
        <w:pStyle w:val="Titre4"/>
      </w:pPr>
      <w:bookmarkStart w:id="1595" w:name="_Toc182986588"/>
      <w:bookmarkStart w:id="1596" w:name="_Toc183340345"/>
      <w:r w:rsidRPr="007C5A6E">
        <w:t xml:space="preserve">Le </w:t>
      </w:r>
      <w:r w:rsidR="001F7AA6" w:rsidRPr="007C5A6E">
        <w:t>Paludisme</w:t>
      </w:r>
      <w:bookmarkEnd w:id="1595"/>
      <w:bookmarkEnd w:id="1596"/>
    </w:p>
    <w:p w14:paraId="1B8D3C77"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14556C9C"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Le paludisme reste la maladie infectieuse la plus fréquente au Burkina Faso, malgré une baisse continue des indicateurs entre 2017 et 2023. L’incidence du paludisme dans la population est passée de 623,9 pour 1000 habitants en 2019 à 471,0 pour 1000 habitants en 2023. Dans la même période, la létalité globale du paludisme évoluait en dent de scie, passant de 0,7% en 2019 à 0,6% en 2023. Chez les enfants de moins de 5 ans, la létalité due au paludisme grave reste stationnaire entre 1,4% en 2019 à 1,3% en 2023. Chez les femmes enceintes, cette létalité était de 0,1% entre 2020 et 2023. Les enfants de moins de 5 ans paient le plus lourd tribut en termes de morbidité et de létalité liée au paludisme.</w:t>
      </w:r>
    </w:p>
    <w:p w14:paraId="0A1200A4" w14:textId="77777777" w:rsidR="00C32C05" w:rsidRPr="007C5A6E" w:rsidRDefault="00C32C05" w:rsidP="0093589E">
      <w:pPr>
        <w:spacing w:after="0" w:line="240" w:lineRule="auto"/>
        <w:jc w:val="both"/>
        <w:rPr>
          <w:rFonts w:ascii="Times New Roman" w:eastAsiaTheme="minorHAnsi" w:hAnsi="Times New Roman"/>
          <w:kern w:val="2"/>
          <w:sz w:val="24"/>
          <w:szCs w:val="24"/>
          <w:lang w:eastAsia="en-US"/>
          <w14:ligatures w14:val="standardContextual"/>
        </w:rPr>
      </w:pPr>
    </w:p>
    <w:p w14:paraId="2C346C2C"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Entre 2017 et 2023, le paludisme était le principal motif de consultation externe et d’hospitalisation dans les formations sanitaires de base et les centres médicaux/hôpitaux, même sa morbidité est en constante diminution. Avec 43,5% des consultations externes dans les formations sanitaires de base et 30,3% dans les centres médicaux/hôpitaux, 10 774 624 et 1 028 482 de cas de paludisme ont été respectivement rapportés en 2017. En 2020, 10 285 218 cas et 993 875 cas de paludisme, représentant respectivement 39,8% et 25,5% des cas, ont été notifiés dans les formations sanitaires de base et les centres médicaux/hôpitaux. Le paludisme a causé 10 777 110 cas dans les formations sanitaires de base, représentant 35,1% des consultations externes. </w:t>
      </w:r>
    </w:p>
    <w:p w14:paraId="7226A31B"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Du point de vue de la distribution géographique, les régions des Hauts-Bassins, de l’Est et du Centre-Est avaient rapporté le plus de cas de paludisme en consultations externes dans les formations sanitaires en 2017, alors qu’en 2020 les régions du Centre-Est, de l’Est et des Hauts-Bassins dominaient. En revanche, la région du Centre est passée devant en 2023, suivie par les Hauts Bassins et la région du Centre-Est.</w:t>
      </w:r>
    </w:p>
    <w:p w14:paraId="4F4C3BD1"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p>
    <w:p w14:paraId="3A9FA841" w14:textId="15F0E6BE" w:rsidR="001F7AA6" w:rsidRPr="007C5A6E" w:rsidRDefault="00F35210" w:rsidP="0093589E">
      <w:pPr>
        <w:pStyle w:val="Titre4"/>
      </w:pPr>
      <w:bookmarkStart w:id="1597" w:name="_Toc183340346"/>
      <w:r w:rsidRPr="007C5A6E">
        <w:t xml:space="preserve">La </w:t>
      </w:r>
      <w:r w:rsidR="001F7AA6" w:rsidRPr="007C5A6E">
        <w:t>Dengue</w:t>
      </w:r>
      <w:bookmarkEnd w:id="1597"/>
    </w:p>
    <w:p w14:paraId="1A068B99"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08263916"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C’est l’arbovirose la plus répandue au Burkina Faso. Son ampleur est probablement sous-estimée en raison de sa proximité clinique avec le paludisme et la non-disponibilité ou la cherté des moyens diagnostics. La surveillance de la dengue au Burkina Faso s’est améliorée à la suite de l’épidémie de 2013. L’incidence de la dengue est en constante augmentation, même si elle varie en dents de scie entre 2017 et 2023 et concernait principalement les adultes en termes de morbidité et de mortalité.</w:t>
      </w:r>
    </w:p>
    <w:p w14:paraId="4F920306" w14:textId="77777777" w:rsidR="00C32C05" w:rsidRPr="007C5A6E" w:rsidRDefault="00C32C05" w:rsidP="0093589E">
      <w:pPr>
        <w:spacing w:after="0" w:line="240" w:lineRule="auto"/>
        <w:jc w:val="both"/>
        <w:rPr>
          <w:rFonts w:ascii="Times New Roman" w:eastAsiaTheme="minorHAnsi" w:hAnsi="Times New Roman"/>
          <w:kern w:val="2"/>
          <w:sz w:val="24"/>
          <w:szCs w:val="24"/>
          <w:lang w:eastAsia="en-US"/>
          <w14:ligatures w14:val="standardContextual"/>
        </w:rPr>
      </w:pPr>
    </w:p>
    <w:p w14:paraId="3D68C5ED"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En 2017, 6922 cas de dengue ont été notifiés en consultation externe dans les formations sanitaires de base, principalement dans la région du Centre. Les régions des Cascades (1 cas), Sud-Ouest (11 cas), Sahel (16 cas) et le Centre-Sud (18 cas) avaient le moins de cas. De manière similaire, ces formations sanitaires ont rapporté 2277 mises en observation dont 6 décès, principalement dans les régions du Centre (1546 cas) et du Nord (347 cas). Seule la région du Centre a notifié 510 cas en consultations externes des centres médicaux et hôpitaux en 2017. En hospitalisation, en revanche, toutes les régions en ont rapporté. Au total, 3487 cas dont 65 décès sont survenus principalement dans les régions du Centre (2257 cas) et le Centre-Ouest (360cas). Moins de cas ont été rapportés en consultations externes et dans les mises en observation des formations sanitaires de base, ainsi que les hospitalisations et décès des centres médicaux et hôpitaux en 2020.  Par contre, ces derniers ont rapporté jusqu’à 7557 cas dont 5612 dans la Région du Centre, 342 dans le Sahel qui semblait peu touché précédemment, 337 dans la Bouche du Mouhoun et le reste dans les autres régions.</w:t>
      </w:r>
    </w:p>
    <w:p w14:paraId="7EDA504B" w14:textId="77777777" w:rsidR="00C32C05" w:rsidRPr="007C5A6E" w:rsidRDefault="00C32C05" w:rsidP="0093589E">
      <w:pPr>
        <w:spacing w:after="0" w:line="240" w:lineRule="auto"/>
        <w:jc w:val="both"/>
        <w:rPr>
          <w:rFonts w:ascii="Times New Roman" w:eastAsiaTheme="minorHAnsi" w:hAnsi="Times New Roman"/>
          <w:kern w:val="2"/>
          <w:sz w:val="24"/>
          <w:szCs w:val="24"/>
          <w:lang w:eastAsia="en-US"/>
          <w14:ligatures w14:val="standardContextual"/>
        </w:rPr>
      </w:pPr>
    </w:p>
    <w:p w14:paraId="777DF321"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L’année 2023 a été exceptionnelle en termes de morbidité et létalité liée à la dengue, qui passe désormais troisième dans le top 10 des hospitalisations et huitième dans le top 10 des causes de décès dans les hôpitaux et centres médicaux, avec respectivement 29 343 cas et 989 décès. Au total, 137 010 cas ont été rapportés en consultations externes dont 80 653 dans le Centre, 33 835 dans les hauts-Bassins et 5582 dans le Centre-Ouest. Seules les régions des Cascades, du Centre-Sud et du Sud-Ouest ont rapporté moins de 800 cas. En termes de cas hospitalisés, la région du Centre dominait également, suivie par les Hauts-Bassins, de même qu’ne termes de décès avec 435 et 336 respectivement. La létalité globale était de 0,5%, avec pour les extrêmes 0,0% dans le Sud-Ouest, 0,8% dans le nord et 2,2% dans le Sahel probablement à cause de la situation sécuritaire.</w:t>
      </w:r>
    </w:p>
    <w:p w14:paraId="35E5379E"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p>
    <w:p w14:paraId="35938157" w14:textId="48F503C4" w:rsidR="001F7AA6" w:rsidRPr="007C5A6E" w:rsidRDefault="00F35210" w:rsidP="0093589E">
      <w:pPr>
        <w:pStyle w:val="Titre4"/>
      </w:pPr>
      <w:bookmarkStart w:id="1598" w:name="_Toc182986590"/>
      <w:bookmarkStart w:id="1599" w:name="_Toc183340347"/>
      <w:r w:rsidRPr="007C5A6E">
        <w:t xml:space="preserve">La </w:t>
      </w:r>
      <w:r w:rsidR="001F7AA6" w:rsidRPr="007C5A6E">
        <w:t>Méningite</w:t>
      </w:r>
      <w:bookmarkEnd w:id="1598"/>
      <w:bookmarkEnd w:id="1599"/>
    </w:p>
    <w:p w14:paraId="76D5B162"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7F02E114"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En 2017, la létalité due à la méningite était de 7,7% à l’échelle nationale, soit 3,5% à l’Est et 3,6% dans les Cascades, pour les plus faibles contre 14,4% au Sahel, 11,6% dans le Sud-ouest et 10,0% au Plateau central. La méningite évoluait de manière biannuelle avec moins de 2000 cas en 2019, 2021 et 2023 et plus de 2000 cas en 2020 et 2022. La létalité due à la méningite a baissé de 7% en 2019 à 3,8% en 2023. </w:t>
      </w:r>
    </w:p>
    <w:p w14:paraId="040DD8A7" w14:textId="77777777" w:rsidR="00C32C05" w:rsidRPr="007C5A6E" w:rsidRDefault="00C32C05" w:rsidP="0093589E">
      <w:pPr>
        <w:spacing w:after="0" w:line="240" w:lineRule="auto"/>
        <w:jc w:val="both"/>
        <w:rPr>
          <w:rFonts w:ascii="Times New Roman" w:eastAsiaTheme="minorHAnsi" w:hAnsi="Times New Roman"/>
          <w:kern w:val="2"/>
          <w:sz w:val="24"/>
          <w:szCs w:val="24"/>
          <w:lang w:eastAsia="en-US"/>
          <w14:ligatures w14:val="standardContextual"/>
        </w:rPr>
      </w:pPr>
    </w:p>
    <w:p w14:paraId="2C81AC6F"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La méningite était la septième cause de décès dans les formations sanitaires de base en 2017 avec 41 décès (1,5%), dont la majorité chez les enfants de 5-14 ans. Au total 603 cas de méningites ont été notifiés lors des consultations externes dans ces formations sanitaires de base en 2017 dont la majorité chez les enfants de 1-4 ans (154 cas) et 5-14 ans (257 cas). Les Régions du sud-ouest (91), des Hauts Bassins (73), du Centre-Est (69) et du Centre-Sud (69) concentraient la majorité des cas. Au total, 545 personnes ont été mises en observation pour méningite dont la plupart étaient âgés de 1-4 ans (136 cas dont 9 décès) et de 5-14 ans (217 cas dont 20 décès).</w:t>
      </w:r>
    </w:p>
    <w:p w14:paraId="21BF1B59" w14:textId="77777777" w:rsidR="00C32C05" w:rsidRPr="007C5A6E" w:rsidRDefault="00C32C05" w:rsidP="0093589E">
      <w:pPr>
        <w:spacing w:after="0" w:line="240" w:lineRule="auto"/>
        <w:jc w:val="both"/>
        <w:rPr>
          <w:rFonts w:ascii="Times New Roman" w:eastAsiaTheme="minorHAnsi" w:hAnsi="Times New Roman"/>
          <w:kern w:val="2"/>
          <w:sz w:val="24"/>
          <w:szCs w:val="24"/>
          <w:lang w:eastAsia="en-US"/>
          <w14:ligatures w14:val="standardContextual"/>
        </w:rPr>
      </w:pPr>
    </w:p>
    <w:p w14:paraId="05C0F505"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En consultations externes dans les centres médicaux et les hôpitaux, 282 cas de méningites à méningocoque étaient rapportés en 2017, avec 56 cas de méningite à liquide clair non tuberculeux et 1469 autres cas de méningites. Au total, 322 hospitalisations dont 64 décès ont été faites pour méningite, la majorité étant de 1-4 ans et 5-14 ans. </w:t>
      </w:r>
    </w:p>
    <w:p w14:paraId="0D2BA0C7" w14:textId="77777777" w:rsidR="00C32C05" w:rsidRPr="007C5A6E" w:rsidRDefault="00C32C05" w:rsidP="0093589E">
      <w:pPr>
        <w:spacing w:after="0" w:line="240" w:lineRule="auto"/>
        <w:jc w:val="both"/>
        <w:rPr>
          <w:rFonts w:ascii="Times New Roman" w:eastAsiaTheme="minorHAnsi" w:hAnsi="Times New Roman"/>
          <w:kern w:val="2"/>
          <w:sz w:val="24"/>
          <w:szCs w:val="24"/>
          <w:lang w:eastAsia="en-US"/>
          <w14:ligatures w14:val="standardContextual"/>
        </w:rPr>
      </w:pPr>
    </w:p>
    <w:p w14:paraId="56847A5C"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Selon le Service de surveillance épidémiologique / DPSP, 517 cas positifs de méningites ont été objectivés sur les 1 828 échantillons Liquides </w:t>
      </w:r>
      <w:proofErr w:type="spellStart"/>
      <w:r w:rsidRPr="007C5A6E">
        <w:rPr>
          <w:rFonts w:ascii="Times New Roman" w:eastAsiaTheme="minorHAnsi" w:hAnsi="Times New Roman"/>
          <w:kern w:val="2"/>
          <w:sz w:val="24"/>
          <w:szCs w:val="24"/>
          <w:lang w:eastAsia="en-US"/>
          <w14:ligatures w14:val="standardContextual"/>
        </w:rPr>
        <w:t>Céphalo-Rachiodiens</w:t>
      </w:r>
      <w:proofErr w:type="spellEnd"/>
      <w:r w:rsidRPr="007C5A6E">
        <w:rPr>
          <w:rFonts w:ascii="Times New Roman" w:eastAsiaTheme="minorHAnsi" w:hAnsi="Times New Roman"/>
          <w:kern w:val="2"/>
          <w:sz w:val="24"/>
          <w:szCs w:val="24"/>
          <w:lang w:eastAsia="en-US"/>
          <w14:ligatures w14:val="standardContextual"/>
        </w:rPr>
        <w:t xml:space="preserve"> (LCR) analysés par PCR avec 329 cas de </w:t>
      </w:r>
      <w:r w:rsidRPr="007C5A6E">
        <w:rPr>
          <w:rFonts w:ascii="Times New Roman" w:eastAsiaTheme="minorHAnsi" w:hAnsi="Times New Roman"/>
          <w:i/>
          <w:iCs/>
          <w:kern w:val="2"/>
          <w:sz w:val="24"/>
          <w:szCs w:val="24"/>
          <w:lang w:eastAsia="en-US"/>
          <w14:ligatures w14:val="standardContextual"/>
        </w:rPr>
        <w:t>Neisseria meningitidis</w:t>
      </w:r>
      <w:r w:rsidRPr="007C5A6E">
        <w:rPr>
          <w:rFonts w:ascii="Times New Roman" w:eastAsiaTheme="minorHAnsi" w:hAnsi="Times New Roman"/>
          <w:kern w:val="2"/>
          <w:sz w:val="24"/>
          <w:szCs w:val="24"/>
          <w:lang w:eastAsia="en-US"/>
          <w14:ligatures w14:val="standardContextual"/>
        </w:rPr>
        <w:t xml:space="preserve"> (Nm) indéterminés, 84 cas de </w:t>
      </w:r>
      <w:proofErr w:type="spellStart"/>
      <w:r w:rsidRPr="007C5A6E">
        <w:rPr>
          <w:rFonts w:ascii="Times New Roman" w:eastAsiaTheme="minorHAnsi" w:hAnsi="Times New Roman"/>
          <w:kern w:val="2"/>
          <w:sz w:val="24"/>
          <w:szCs w:val="24"/>
          <w:lang w:eastAsia="en-US"/>
          <w14:ligatures w14:val="standardContextual"/>
        </w:rPr>
        <w:t>NmW</w:t>
      </w:r>
      <w:proofErr w:type="spellEnd"/>
      <w:r w:rsidRPr="007C5A6E">
        <w:rPr>
          <w:rFonts w:ascii="Times New Roman" w:eastAsiaTheme="minorHAnsi" w:hAnsi="Times New Roman"/>
          <w:kern w:val="2"/>
          <w:sz w:val="24"/>
          <w:szCs w:val="24"/>
          <w:lang w:eastAsia="en-US"/>
          <w14:ligatures w14:val="standardContextual"/>
        </w:rPr>
        <w:t xml:space="preserve">, 54 de </w:t>
      </w:r>
      <w:proofErr w:type="spellStart"/>
      <w:r w:rsidRPr="007C5A6E">
        <w:rPr>
          <w:rFonts w:ascii="Times New Roman" w:eastAsiaTheme="minorHAnsi" w:hAnsi="Times New Roman"/>
          <w:kern w:val="2"/>
          <w:sz w:val="24"/>
          <w:szCs w:val="24"/>
          <w:lang w:eastAsia="en-US"/>
          <w14:ligatures w14:val="standardContextual"/>
        </w:rPr>
        <w:t>NmA</w:t>
      </w:r>
      <w:proofErr w:type="spellEnd"/>
      <w:r w:rsidRPr="007C5A6E">
        <w:rPr>
          <w:rFonts w:ascii="Times New Roman" w:eastAsiaTheme="minorHAnsi" w:hAnsi="Times New Roman"/>
          <w:kern w:val="2"/>
          <w:sz w:val="24"/>
          <w:szCs w:val="24"/>
          <w:lang w:eastAsia="en-US"/>
          <w14:ligatures w14:val="standardContextual"/>
        </w:rPr>
        <w:t>, 20 cas d’</w:t>
      </w:r>
      <w:r w:rsidRPr="007C5A6E">
        <w:rPr>
          <w:rFonts w:ascii="Times New Roman" w:eastAsiaTheme="minorHAnsi" w:hAnsi="Times New Roman"/>
          <w:i/>
          <w:iCs/>
          <w:kern w:val="2"/>
          <w:sz w:val="24"/>
          <w:szCs w:val="24"/>
          <w:lang w:eastAsia="en-US"/>
          <w14:ligatures w14:val="standardContextual"/>
        </w:rPr>
        <w:t xml:space="preserve">Haemophilus influenzae </w:t>
      </w:r>
      <w:r w:rsidRPr="007C5A6E">
        <w:rPr>
          <w:rFonts w:ascii="Times New Roman" w:eastAsiaTheme="minorHAnsi" w:hAnsi="Times New Roman"/>
          <w:kern w:val="2"/>
          <w:sz w:val="24"/>
          <w:szCs w:val="24"/>
          <w:lang w:eastAsia="en-US"/>
          <w14:ligatures w14:val="standardContextual"/>
        </w:rPr>
        <w:t xml:space="preserve">b et 14 cas de </w:t>
      </w:r>
      <w:proofErr w:type="spellStart"/>
      <w:r w:rsidRPr="007C5A6E">
        <w:rPr>
          <w:rFonts w:ascii="Times New Roman" w:eastAsiaTheme="minorHAnsi" w:hAnsi="Times New Roman"/>
          <w:kern w:val="2"/>
          <w:sz w:val="24"/>
          <w:szCs w:val="24"/>
          <w:lang w:eastAsia="en-US"/>
          <w14:ligatures w14:val="standardContextual"/>
        </w:rPr>
        <w:t>NmC</w:t>
      </w:r>
      <w:proofErr w:type="spellEnd"/>
      <w:r w:rsidRPr="007C5A6E">
        <w:rPr>
          <w:rFonts w:ascii="Times New Roman" w:eastAsiaTheme="minorHAnsi" w:hAnsi="Times New Roman"/>
          <w:kern w:val="2"/>
          <w:sz w:val="24"/>
          <w:szCs w:val="24"/>
          <w:lang w:eastAsia="en-US"/>
          <w14:ligatures w14:val="standardContextual"/>
        </w:rPr>
        <w:t>.</w:t>
      </w:r>
    </w:p>
    <w:p w14:paraId="33570872"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p>
    <w:p w14:paraId="2CEBBBE8" w14:textId="29789DA1" w:rsidR="001F7AA6" w:rsidRPr="007C5A6E" w:rsidRDefault="00F35210" w:rsidP="0093589E">
      <w:pPr>
        <w:pStyle w:val="Titre4"/>
      </w:pPr>
      <w:bookmarkStart w:id="1600" w:name="_Toc182986591"/>
      <w:bookmarkStart w:id="1601" w:name="_Toc183340348"/>
      <w:r w:rsidRPr="007C5A6E">
        <w:t xml:space="preserve">La </w:t>
      </w:r>
      <w:r w:rsidR="001F7AA6" w:rsidRPr="007C5A6E">
        <w:t>COVID-19</w:t>
      </w:r>
      <w:bookmarkEnd w:id="1600"/>
      <w:bookmarkEnd w:id="1601"/>
    </w:p>
    <w:p w14:paraId="6A94797D"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58626DC8" w14:textId="77777777" w:rsidR="008B503A"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 9 mars 2020, le Burkina Faso confirmait son premier cas de COVID-19 à la suite d’un dépistage de deux cas suspects. Au 30 septembre 2021, le Burkina Faso a recensé 13 537 cas confirmés de la COVID-19 et 186 décès. Ceci représente un taux d’attaque de 62,9 cas COVID-19 pour 100 000 habitants et environ 9,1 décès COVID-19 pour 1.000.000 d’habitants. </w:t>
      </w:r>
    </w:p>
    <w:p w14:paraId="6CB51F6D" w14:textId="77777777" w:rsidR="008B503A" w:rsidRPr="007C5A6E" w:rsidRDefault="008B503A" w:rsidP="0093589E">
      <w:pPr>
        <w:spacing w:after="0" w:line="240" w:lineRule="auto"/>
        <w:jc w:val="both"/>
        <w:rPr>
          <w:rFonts w:ascii="Times New Roman" w:eastAsiaTheme="minorHAnsi" w:hAnsi="Times New Roman"/>
          <w:kern w:val="2"/>
          <w:sz w:val="24"/>
          <w:szCs w:val="24"/>
          <w:lang w:eastAsia="en-US"/>
          <w14:ligatures w14:val="standardContextual"/>
        </w:rPr>
      </w:pPr>
    </w:p>
    <w:p w14:paraId="5B10434C" w14:textId="3E9EC9EB" w:rsidR="00F35210"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L’épidémie de COVID-19 est marquée par deux vagues, la première entre septembre et octobre 2020 avec 18 cas enregistrés en moyenne chaque jour ; et la deuxième, la plus importante, entre décembre 2020 et février 2021 avec une moyenne de 101 nouveaux cas par jour, avec un pic 292 nouveaux cas par jour. Près de 63% des personnes infectées par la COVID-19 au Burkina Faso sont des hommes. L’âge moyen des personnes atteintes par cas la COVID-19 au Burkina Faso est de 41 ans. Les décès se concentrent au niveau des deux régions (Centre et Hauts-Bassins), épicentres de l’épidémie, qui regroupent les 87% des décès. L’âge moyen des personnes décédées des suites de la COVID-19 est de 68,1 ans. </w:t>
      </w:r>
    </w:p>
    <w:p w14:paraId="1F0B7903" w14:textId="77777777" w:rsidR="008B503A" w:rsidRPr="007C5A6E" w:rsidRDefault="008B503A" w:rsidP="0093589E">
      <w:pPr>
        <w:spacing w:after="0" w:line="240" w:lineRule="auto"/>
        <w:jc w:val="both"/>
        <w:rPr>
          <w:rFonts w:ascii="Times New Roman" w:eastAsiaTheme="minorHAnsi" w:hAnsi="Times New Roman"/>
          <w:kern w:val="2"/>
          <w:sz w:val="24"/>
          <w:szCs w:val="24"/>
          <w:lang w:eastAsia="en-US"/>
          <w14:ligatures w14:val="standardContextual"/>
        </w:rPr>
      </w:pPr>
    </w:p>
    <w:p w14:paraId="5D0591D1" w14:textId="4C096243"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En somme, l’année 2021 a été plus meurtrière que 2020. En effet, de janvier à septembre 2021, soit neuf mois sur le total des dix-neuf mois, le nombre de décès enregistré s’élève </w:t>
      </w:r>
      <w:r w:rsidR="00485EC3" w:rsidRPr="007C5A6E">
        <w:rPr>
          <w:rFonts w:ascii="Times New Roman" w:eastAsiaTheme="minorHAnsi" w:hAnsi="Times New Roman"/>
          <w:kern w:val="2"/>
          <w:sz w:val="24"/>
          <w:szCs w:val="24"/>
          <w:lang w:eastAsia="en-US"/>
          <w14:ligatures w14:val="standardContextual"/>
        </w:rPr>
        <w:t>à</w:t>
      </w:r>
      <w:r w:rsidRPr="007C5A6E">
        <w:rPr>
          <w:rFonts w:ascii="Times New Roman" w:eastAsiaTheme="minorHAnsi" w:hAnsi="Times New Roman"/>
          <w:kern w:val="2"/>
          <w:sz w:val="24"/>
          <w:szCs w:val="24"/>
          <w:lang w:eastAsia="en-US"/>
          <w14:ligatures w14:val="standardContextual"/>
        </w:rPr>
        <w:t xml:space="preserve"> 101, soit environ 54%. Le pays a reçu au total 266 400 doses de vaccin dont 115 200 doses du vaccin AstraZeneca et 151 200 doses de vaccins Johnson &amp; Johnson, tous financés par le dispositif. Après deux mois et demi de campagne de vaccination (juin-août 2021), près de 84% de la dotation des doses de vaccin disponibles (115 200) est administré à la date du 18 août 2021.</w:t>
      </w:r>
    </w:p>
    <w:p w14:paraId="39B7DDDC"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p>
    <w:p w14:paraId="5DC72014" w14:textId="77777777" w:rsidR="001F7AA6" w:rsidRPr="007C5A6E" w:rsidRDefault="001F7AA6" w:rsidP="0093589E">
      <w:pPr>
        <w:spacing w:after="0" w:line="240" w:lineRule="auto"/>
        <w:rPr>
          <w:rFonts w:ascii="Times New Roman" w:eastAsiaTheme="minorHAnsi" w:hAnsi="Times New Roman"/>
          <w:b/>
          <w:bCs/>
          <w:kern w:val="2"/>
          <w:sz w:val="24"/>
          <w:szCs w:val="24"/>
          <w:lang w:eastAsia="en-US"/>
          <w14:ligatures w14:val="standardContextual"/>
        </w:rPr>
      </w:pPr>
      <w:r w:rsidRPr="007C5A6E">
        <w:rPr>
          <w:rFonts w:ascii="Times New Roman" w:eastAsiaTheme="minorHAnsi" w:hAnsi="Times New Roman"/>
          <w:noProof/>
          <w:kern w:val="2"/>
          <w:sz w:val="24"/>
          <w:szCs w:val="24"/>
          <w:lang w:eastAsia="en-US"/>
          <w14:ligatures w14:val="standardContextual"/>
        </w:rPr>
        <w:drawing>
          <wp:inline distT="0" distB="0" distL="0" distR="0" wp14:anchorId="4E223678" wp14:editId="4D550D98">
            <wp:extent cx="5760720" cy="3185795"/>
            <wp:effectExtent l="19050" t="19050" r="11430" b="14605"/>
            <wp:docPr id="1730119127" name="Image 1" descr="Une image contenant texte, capture d’écran, rouge, Carm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119127" name="Image 1" descr="Une image contenant texte, capture d’écran, rouge, Carmin&#10;&#10;Description générée automatiquement"/>
                    <pic:cNvPicPr/>
                  </pic:nvPicPr>
                  <pic:blipFill>
                    <a:blip r:embed="rId252" cstate="email">
                      <a:extLst>
                        <a:ext uri="{BEBA8EAE-BF5A-486C-A8C5-ECC9F3942E4B}">
                          <a14:imgProps xmlns:a14="http://schemas.microsoft.com/office/drawing/2010/main">
                            <a14:imgLayer r:embed="rId253">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5760720" cy="3185795"/>
                    </a:xfrm>
                    <a:prstGeom prst="rect">
                      <a:avLst/>
                    </a:prstGeom>
                    <a:ln>
                      <a:solidFill>
                        <a:schemeClr val="bg1">
                          <a:lumMod val="50000"/>
                        </a:schemeClr>
                      </a:solidFill>
                    </a:ln>
                  </pic:spPr>
                </pic:pic>
              </a:graphicData>
            </a:graphic>
          </wp:inline>
        </w:drawing>
      </w:r>
    </w:p>
    <w:p w14:paraId="253C26DA" w14:textId="77777777" w:rsidR="009D1011" w:rsidRPr="007C5A6E" w:rsidRDefault="009D1011" w:rsidP="0093589E">
      <w:pPr>
        <w:autoSpaceDE w:val="0"/>
        <w:autoSpaceDN w:val="0"/>
        <w:adjustRightInd w:val="0"/>
        <w:spacing w:after="0" w:line="240" w:lineRule="auto"/>
        <w:rPr>
          <w:rFonts w:ascii="Times New Roman" w:hAnsi="Times New Roman"/>
          <w:color w:val="FF0000"/>
          <w:sz w:val="20"/>
          <w:szCs w:val="20"/>
        </w:rPr>
      </w:pPr>
      <w:r w:rsidRPr="007C5A6E">
        <w:rPr>
          <w:rFonts w:ascii="Times New Roman" w:hAnsi="Times New Roman"/>
          <w:color w:val="FF0000"/>
          <w:sz w:val="20"/>
          <w:szCs w:val="20"/>
        </w:rPr>
        <w:t>(Source : XX)</w:t>
      </w:r>
    </w:p>
    <w:p w14:paraId="0FAB4926" w14:textId="361C1B28" w:rsidR="009D1011" w:rsidRPr="007C5A6E" w:rsidRDefault="009D1011" w:rsidP="0093589E">
      <w:pPr>
        <w:spacing w:after="0" w:line="240" w:lineRule="auto"/>
        <w:jc w:val="both"/>
        <w:rPr>
          <w:rFonts w:ascii="Times New Roman" w:eastAsiaTheme="minorHAnsi" w:hAnsi="Times New Roman"/>
          <w:sz w:val="24"/>
          <w:szCs w:val="24"/>
        </w:rPr>
      </w:pPr>
      <w:bookmarkStart w:id="1602" w:name="_Toc183240742"/>
      <w:bookmarkStart w:id="1603" w:name="_Toc183340480"/>
      <w:r w:rsidRPr="007C5A6E">
        <w:rPr>
          <w:rFonts w:ascii="Times New Roman" w:eastAsiaTheme="minorHAnsi" w:hAnsi="Times New Roman"/>
          <w:i/>
          <w:iCs/>
          <w:kern w:val="2"/>
          <w:sz w:val="24"/>
          <w:szCs w:val="24"/>
          <w:lang w:eastAsia="en-US"/>
          <w14:ligatures w14:val="standardContextual"/>
        </w:rPr>
        <w:t xml:space="preserve">Figure </w:t>
      </w:r>
      <w:r w:rsidRPr="007C5A6E">
        <w:rPr>
          <w:rFonts w:ascii="Times New Roman" w:eastAsiaTheme="minorHAnsi" w:hAnsi="Times New Roman"/>
          <w:i/>
          <w:iCs/>
          <w:kern w:val="2"/>
          <w:sz w:val="24"/>
          <w:szCs w:val="24"/>
          <w:lang w:eastAsia="en-US"/>
          <w14:ligatures w14:val="standardContextual"/>
        </w:rPr>
        <w:fldChar w:fldCharType="begin"/>
      </w:r>
      <w:r w:rsidRPr="007C5A6E">
        <w:rPr>
          <w:rFonts w:ascii="Times New Roman" w:eastAsiaTheme="minorHAnsi" w:hAnsi="Times New Roman"/>
          <w:i/>
          <w:iCs/>
          <w:kern w:val="2"/>
          <w:sz w:val="24"/>
          <w:szCs w:val="24"/>
          <w:lang w:eastAsia="en-US"/>
          <w14:ligatures w14:val="standardContextual"/>
        </w:rPr>
        <w:instrText xml:space="preserve"> SEQ Figure \* ARABIC </w:instrText>
      </w:r>
      <w:r w:rsidRPr="007C5A6E">
        <w:rPr>
          <w:rFonts w:ascii="Times New Roman" w:eastAsiaTheme="minorHAnsi" w:hAnsi="Times New Roman"/>
          <w:i/>
          <w:iCs/>
          <w:kern w:val="2"/>
          <w:sz w:val="24"/>
          <w:szCs w:val="24"/>
          <w:lang w:eastAsia="en-US"/>
          <w14:ligatures w14:val="standardContextual"/>
        </w:rPr>
        <w:fldChar w:fldCharType="separate"/>
      </w:r>
      <w:r w:rsidR="00F35210" w:rsidRPr="007C5A6E">
        <w:rPr>
          <w:rFonts w:ascii="Times New Roman" w:eastAsiaTheme="minorHAnsi" w:hAnsi="Times New Roman"/>
          <w:i/>
          <w:iCs/>
          <w:noProof/>
          <w:kern w:val="2"/>
          <w:sz w:val="24"/>
          <w:szCs w:val="24"/>
          <w:lang w:eastAsia="en-US"/>
          <w14:ligatures w14:val="standardContextual"/>
        </w:rPr>
        <w:t>102</w:t>
      </w:r>
      <w:r w:rsidRPr="007C5A6E">
        <w:rPr>
          <w:rFonts w:ascii="Times New Roman" w:eastAsiaTheme="minorHAnsi" w:hAnsi="Times New Roman"/>
          <w:i/>
          <w:iCs/>
          <w:kern w:val="2"/>
          <w:sz w:val="24"/>
          <w:szCs w:val="24"/>
          <w:lang w:eastAsia="en-US"/>
          <w14:ligatures w14:val="standardContextual"/>
        </w:rPr>
        <w:fldChar w:fldCharType="end"/>
      </w:r>
      <w:r w:rsidRPr="007C5A6E">
        <w:rPr>
          <w:rFonts w:ascii="Times New Roman" w:eastAsiaTheme="minorHAnsi" w:hAnsi="Times New Roman"/>
          <w:i/>
          <w:iCs/>
          <w:kern w:val="2"/>
          <w:sz w:val="24"/>
          <w:szCs w:val="24"/>
          <w:lang w:eastAsia="en-US"/>
          <w14:ligatures w14:val="standardContextual"/>
        </w:rPr>
        <w:t>. Principaux indicateurs sur la COVID-19 au Burkina Faso (mars 2020-septembre 2021)</w:t>
      </w:r>
      <w:bookmarkEnd w:id="1602"/>
      <w:bookmarkEnd w:id="1603"/>
    </w:p>
    <w:p w14:paraId="7174B477" w14:textId="77777777" w:rsidR="009D1011" w:rsidRPr="007C5A6E" w:rsidRDefault="009D1011" w:rsidP="0093589E">
      <w:pPr>
        <w:spacing w:after="0" w:line="240" w:lineRule="auto"/>
        <w:rPr>
          <w:rFonts w:ascii="Times New Roman" w:eastAsiaTheme="minorHAnsi" w:hAnsi="Times New Roman"/>
          <w:b/>
          <w:bCs/>
          <w:color w:val="000000" w:themeColor="text1"/>
          <w:kern w:val="2"/>
          <w:sz w:val="36"/>
          <w:szCs w:val="36"/>
          <w:lang w:eastAsia="en-US"/>
          <w14:ligatures w14:val="standardContextual"/>
        </w:rPr>
      </w:pPr>
    </w:p>
    <w:p w14:paraId="54DC57CE" w14:textId="77777777" w:rsidR="001F7AA6" w:rsidRPr="007C5A6E" w:rsidRDefault="001F7AA6" w:rsidP="0093589E">
      <w:pPr>
        <w:spacing w:after="0" w:line="240" w:lineRule="auto"/>
        <w:rPr>
          <w:rFonts w:ascii="Times New Roman" w:eastAsiaTheme="minorHAnsi" w:hAnsi="Times New Roman"/>
          <w:b/>
          <w:bCs/>
          <w:kern w:val="2"/>
          <w:sz w:val="24"/>
          <w:szCs w:val="24"/>
          <w:lang w:eastAsia="en-US"/>
          <w14:ligatures w14:val="standardContextual"/>
        </w:rPr>
      </w:pPr>
      <w:r w:rsidRPr="007C5A6E">
        <w:rPr>
          <w:rFonts w:ascii="Times New Roman" w:eastAsiaTheme="minorHAnsi" w:hAnsi="Times New Roman"/>
          <w:noProof/>
          <w:kern w:val="2"/>
          <w:sz w:val="24"/>
          <w:szCs w:val="24"/>
          <w:lang w:eastAsia="en-US"/>
          <w14:ligatures w14:val="standardContextual"/>
        </w:rPr>
        <w:drawing>
          <wp:inline distT="0" distB="0" distL="0" distR="0" wp14:anchorId="708ED9A1" wp14:editId="0350C9A9">
            <wp:extent cx="5760720" cy="2575560"/>
            <wp:effectExtent l="0" t="0" r="0" b="0"/>
            <wp:docPr id="536741548" name="Image 1" descr="Une image contenant texte, capture d’écran, Tracé,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741548" name="Image 1" descr="Une image contenant texte, capture d’écran, Tracé, Police&#10;&#10;Description générée automatiquement"/>
                    <pic:cNvPicPr/>
                  </pic:nvPicPr>
                  <pic:blipFill rotWithShape="1">
                    <a:blip r:embed="rId254" cstate="email">
                      <a:extLst>
                        <a:ext uri="{28A0092B-C50C-407E-A947-70E740481C1C}">
                          <a14:useLocalDpi xmlns:a14="http://schemas.microsoft.com/office/drawing/2010/main"/>
                        </a:ext>
                      </a:extLst>
                    </a:blip>
                    <a:srcRect t="14739" b="13065"/>
                    <a:stretch/>
                  </pic:blipFill>
                  <pic:spPr bwMode="auto">
                    <a:xfrm>
                      <a:off x="0" y="0"/>
                      <a:ext cx="5760720" cy="2575560"/>
                    </a:xfrm>
                    <a:prstGeom prst="rect">
                      <a:avLst/>
                    </a:prstGeom>
                    <a:ln>
                      <a:noFill/>
                    </a:ln>
                    <a:extLst>
                      <a:ext uri="{53640926-AAD7-44D8-BBD7-CCE9431645EC}">
                        <a14:shadowObscured xmlns:a14="http://schemas.microsoft.com/office/drawing/2010/main"/>
                      </a:ext>
                    </a:extLst>
                  </pic:spPr>
                </pic:pic>
              </a:graphicData>
            </a:graphic>
          </wp:inline>
        </w:drawing>
      </w:r>
    </w:p>
    <w:p w14:paraId="5EE1F1F2" w14:textId="77777777" w:rsidR="00760B4D" w:rsidRPr="007C5A6E" w:rsidRDefault="00760B4D" w:rsidP="0093589E">
      <w:pPr>
        <w:autoSpaceDE w:val="0"/>
        <w:autoSpaceDN w:val="0"/>
        <w:adjustRightInd w:val="0"/>
        <w:spacing w:after="0" w:line="240" w:lineRule="auto"/>
        <w:rPr>
          <w:rFonts w:ascii="Times New Roman" w:hAnsi="Times New Roman"/>
          <w:color w:val="FF0000"/>
          <w:sz w:val="20"/>
          <w:szCs w:val="20"/>
        </w:rPr>
      </w:pPr>
      <w:r w:rsidRPr="007C5A6E">
        <w:rPr>
          <w:rFonts w:ascii="Times New Roman" w:hAnsi="Times New Roman"/>
          <w:color w:val="FF0000"/>
          <w:sz w:val="20"/>
          <w:szCs w:val="20"/>
        </w:rPr>
        <w:t>(Source : XX)</w:t>
      </w:r>
    </w:p>
    <w:p w14:paraId="1D0BB937" w14:textId="2FBB6769" w:rsidR="00760B4D" w:rsidRPr="007C5A6E" w:rsidRDefault="00760B4D" w:rsidP="0093589E">
      <w:pPr>
        <w:spacing w:after="0" w:line="240" w:lineRule="auto"/>
        <w:jc w:val="both"/>
        <w:rPr>
          <w:rFonts w:ascii="Times New Roman" w:eastAsiaTheme="minorHAnsi" w:hAnsi="Times New Roman"/>
          <w:i/>
          <w:iCs/>
          <w:kern w:val="2"/>
          <w:sz w:val="24"/>
          <w:szCs w:val="24"/>
          <w:lang w:eastAsia="en-US"/>
          <w14:ligatures w14:val="standardContextual"/>
        </w:rPr>
      </w:pPr>
      <w:bookmarkStart w:id="1604" w:name="_Toc183240743"/>
      <w:bookmarkStart w:id="1605" w:name="_Toc183340481"/>
      <w:r w:rsidRPr="007C5A6E">
        <w:rPr>
          <w:rFonts w:ascii="Times New Roman" w:eastAsiaTheme="minorHAnsi" w:hAnsi="Times New Roman"/>
          <w:i/>
          <w:iCs/>
          <w:kern w:val="2"/>
          <w:sz w:val="24"/>
          <w:szCs w:val="24"/>
          <w:lang w:eastAsia="en-US"/>
          <w14:ligatures w14:val="standardContextual"/>
        </w:rPr>
        <w:t xml:space="preserve">Figure </w:t>
      </w:r>
      <w:r w:rsidRPr="007C5A6E">
        <w:rPr>
          <w:rFonts w:ascii="Times New Roman" w:eastAsiaTheme="minorHAnsi" w:hAnsi="Times New Roman"/>
          <w:i/>
          <w:iCs/>
          <w:kern w:val="2"/>
          <w:sz w:val="24"/>
          <w:szCs w:val="24"/>
          <w:lang w:eastAsia="en-US"/>
          <w14:ligatures w14:val="standardContextual"/>
        </w:rPr>
        <w:fldChar w:fldCharType="begin"/>
      </w:r>
      <w:r w:rsidRPr="007C5A6E">
        <w:rPr>
          <w:rFonts w:ascii="Times New Roman" w:eastAsiaTheme="minorHAnsi" w:hAnsi="Times New Roman"/>
          <w:i/>
          <w:iCs/>
          <w:kern w:val="2"/>
          <w:sz w:val="24"/>
          <w:szCs w:val="24"/>
          <w:lang w:eastAsia="en-US"/>
          <w14:ligatures w14:val="standardContextual"/>
        </w:rPr>
        <w:instrText xml:space="preserve"> SEQ Figure \* ARABIC </w:instrText>
      </w:r>
      <w:r w:rsidRPr="007C5A6E">
        <w:rPr>
          <w:rFonts w:ascii="Times New Roman" w:eastAsiaTheme="minorHAnsi" w:hAnsi="Times New Roman"/>
          <w:i/>
          <w:iCs/>
          <w:kern w:val="2"/>
          <w:sz w:val="24"/>
          <w:szCs w:val="24"/>
          <w:lang w:eastAsia="en-US"/>
          <w14:ligatures w14:val="standardContextual"/>
        </w:rPr>
        <w:fldChar w:fldCharType="separate"/>
      </w:r>
      <w:r w:rsidR="008B503A" w:rsidRPr="007C5A6E">
        <w:rPr>
          <w:rFonts w:ascii="Times New Roman" w:eastAsiaTheme="minorHAnsi" w:hAnsi="Times New Roman"/>
          <w:i/>
          <w:iCs/>
          <w:noProof/>
          <w:kern w:val="2"/>
          <w:sz w:val="24"/>
          <w:szCs w:val="24"/>
          <w:lang w:eastAsia="en-US"/>
          <w14:ligatures w14:val="standardContextual"/>
        </w:rPr>
        <w:t>103</w:t>
      </w:r>
      <w:r w:rsidRPr="007C5A6E">
        <w:rPr>
          <w:rFonts w:ascii="Times New Roman" w:eastAsiaTheme="minorHAnsi" w:hAnsi="Times New Roman"/>
          <w:i/>
          <w:iCs/>
          <w:kern w:val="2"/>
          <w:sz w:val="24"/>
          <w:szCs w:val="24"/>
          <w:lang w:eastAsia="en-US"/>
          <w14:ligatures w14:val="standardContextual"/>
        </w:rPr>
        <w:fldChar w:fldCharType="end"/>
      </w:r>
      <w:r w:rsidRPr="007C5A6E">
        <w:rPr>
          <w:rFonts w:ascii="Times New Roman" w:eastAsiaTheme="minorHAnsi" w:hAnsi="Times New Roman"/>
          <w:i/>
          <w:iCs/>
          <w:kern w:val="2"/>
          <w:sz w:val="24"/>
          <w:szCs w:val="24"/>
          <w:lang w:eastAsia="en-US"/>
          <w14:ligatures w14:val="standardContextual"/>
        </w:rPr>
        <w:t>. Evolution du nombre de décès et des cas confirmés au Burkina Faso, de mars 2020 au 30 septembre 2021</w:t>
      </w:r>
      <w:bookmarkEnd w:id="1604"/>
      <w:bookmarkEnd w:id="1605"/>
    </w:p>
    <w:p w14:paraId="403FB2BB" w14:textId="77777777" w:rsidR="008B503A" w:rsidRPr="007C5A6E" w:rsidRDefault="008B503A" w:rsidP="0093589E">
      <w:pPr>
        <w:spacing w:after="0" w:line="240" w:lineRule="auto"/>
        <w:jc w:val="both"/>
        <w:rPr>
          <w:rFonts w:ascii="Times New Roman" w:eastAsiaTheme="minorHAnsi" w:hAnsi="Times New Roman"/>
          <w:sz w:val="24"/>
          <w:szCs w:val="24"/>
        </w:rPr>
      </w:pPr>
    </w:p>
    <w:p w14:paraId="6A6081F1" w14:textId="0CC89425" w:rsidR="001F7AA6" w:rsidRPr="007C5A6E" w:rsidRDefault="008B503A" w:rsidP="0093589E">
      <w:pPr>
        <w:pStyle w:val="Titre4"/>
      </w:pPr>
      <w:bookmarkStart w:id="1606" w:name="_Toc182986592"/>
      <w:bookmarkStart w:id="1607" w:name="_Toc183340349"/>
      <w:r w:rsidRPr="007C5A6E">
        <w:t>Les a</w:t>
      </w:r>
      <w:r w:rsidR="001F7AA6" w:rsidRPr="007C5A6E">
        <w:t>utres maladies infectieuses</w:t>
      </w:r>
      <w:bookmarkEnd w:id="1606"/>
      <w:bookmarkEnd w:id="1607"/>
      <w:r w:rsidR="001F7AA6" w:rsidRPr="007C5A6E">
        <w:t xml:space="preserve"> </w:t>
      </w:r>
    </w:p>
    <w:p w14:paraId="1365DCB6"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45D0E3A5"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D’autres arboviroses comme la maladie de Zika, chikungunya, fièvre Lassa ont été retrouvées dans des études sérologiques au Burkina Faso. D’ailleurs, une épidémie de chikungunya a été notifiée dans la région du Centre-Est, dans le district sanitaire de Pouytenga en septembre 2023. Après les investigations épidémiologiques, le Centre des opérations de réponses aux urgences sanitaires (CORUS) a annoncé 234 cas suspects, dont 89 cas confirmés et 0 décès à la date du 19 septembre 2023. Ces maladies nécessiteront donc une surveillance dans les prochaines années.</w:t>
      </w:r>
    </w:p>
    <w:p w14:paraId="79BA0D40"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 choléra fait aussi l’objet d’une surveillance en raison de son potentiel épidémique important. Ainsi, 3 et 4 cas ont été notifiés respectivement en 2021 et 2022, tandis qu’aucun n’a été rapporté en 2019, 2020 et 2023. </w:t>
      </w:r>
    </w:p>
    <w:p w14:paraId="1EC915E0" w14:textId="77777777" w:rsidR="00CF3A5D" w:rsidRPr="007C5A6E" w:rsidRDefault="00CF3A5D" w:rsidP="0093589E">
      <w:pPr>
        <w:spacing w:after="0" w:line="240" w:lineRule="auto"/>
        <w:jc w:val="both"/>
        <w:rPr>
          <w:rFonts w:ascii="Times New Roman" w:eastAsiaTheme="minorHAnsi" w:hAnsi="Times New Roman"/>
          <w:kern w:val="2"/>
          <w:sz w:val="24"/>
          <w:szCs w:val="24"/>
          <w:lang w:eastAsia="en-US"/>
          <w14:ligatures w14:val="standardContextual"/>
        </w:rPr>
      </w:pPr>
    </w:p>
    <w:p w14:paraId="280347DD" w14:textId="7A6B68CB" w:rsidR="001F7AA6" w:rsidRPr="007C5A6E" w:rsidRDefault="001F7AA6" w:rsidP="00712C43">
      <w:pPr>
        <w:pStyle w:val="Titre2"/>
      </w:pPr>
      <w:bookmarkStart w:id="1608" w:name="_Toc183340350"/>
      <w:r w:rsidRPr="007C5A6E">
        <w:t>Impacts socioéconomiques des maladies liées à l’environnement</w:t>
      </w:r>
      <w:bookmarkEnd w:id="1608"/>
    </w:p>
    <w:p w14:paraId="20E8B2F1"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4AB07976" w14:textId="77777777" w:rsidR="00537BE0"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proofErr w:type="spellStart"/>
      <w:r w:rsidRPr="007C5A6E">
        <w:rPr>
          <w:rFonts w:ascii="Times New Roman" w:eastAsiaTheme="minorHAnsi" w:hAnsi="Times New Roman"/>
          <w:kern w:val="2"/>
          <w:sz w:val="24"/>
          <w:szCs w:val="24"/>
          <w:lang w:eastAsia="en-US"/>
          <w14:ligatures w14:val="standardContextual"/>
        </w:rPr>
        <w:t>Kadio</w:t>
      </w:r>
      <w:proofErr w:type="spellEnd"/>
      <w:r w:rsidRPr="007C5A6E">
        <w:rPr>
          <w:rFonts w:ascii="Times New Roman" w:eastAsiaTheme="minorHAnsi" w:hAnsi="Times New Roman"/>
          <w:kern w:val="2"/>
          <w:sz w:val="24"/>
          <w:szCs w:val="24"/>
          <w:lang w:eastAsia="en-US"/>
          <w14:ligatures w14:val="standardContextual"/>
        </w:rPr>
        <w:t xml:space="preserve"> et al. (2024) ont examiné la perception des femmes sur les impacts de la chaleur sur leur santé physique et mentale, ainsi que sur leurs relations sociales et leurs activités économiques. Des méthodes qualitatives (entretiens approfondis et discussions de groupe) ont été menées auprès de femmes, de représentants communautaires et de professionnels de la santé dans deux régions du Burkina Faso. Une analyse thématique a été utilisée pour explorer les réalités des expériences des participants et les perspectives contextuelles par rapport à la chaleur. Les résultats ont montré que les températures extrêmes ont un impact multiforme sur les femmes enceintes, les mères et les nouveau-nés. La chaleur extrême affecte la fonctionnalité et le bien-être des femmes. </w:t>
      </w:r>
    </w:p>
    <w:p w14:paraId="1A25903C" w14:textId="3B6FCA4B"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La chaleur compromet la capacité d’une femme à prendre soin d’elle-même et de son enfant et interfère négativement avec l’allaitement maternel. La chaleur affecte négativement leur capacité à travailler et à entretenir des relations harmonieuses avec leur partenaire et leur famille. Les pratiques culturelles, comme l’interdiction de sortir le bébé avant le 40e jour, peuvent aggraver certaines conséquences négatives de la chaleur. La plupart des femmes ne reconnaissent pas les symptômes du stress thermique et ne sont pas conscientes des risques pour la santé liée à la chaleur. </w:t>
      </w:r>
    </w:p>
    <w:p w14:paraId="073508BA" w14:textId="77777777" w:rsidR="00537BE0"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Pohl et al. (2024) ont examiné l’exposition des populations africaines à la chaleur extrême en mesurant la température et l’humidité de l’air intérieur toutes les heures pendant 13 mois dans sept maisons d’architecture et de matériaux de construction contrastés, toutes situées dans les quartiers nord de Ouagadougou. Ces mesures ont été comparées aux températures de l’air enregistrées à la station météorologique synoptique de l’aéroport de Ouagadougou et aux estimations de la température de la surface terrestre à partir d’images satellite Landsat à sept dates avec des conditions de ciel clair. Les résultats ont révélé d’énormes différences de température (supérieures à 10 °C) entre les maisons, en particulier dans les heures de l’après-midi de la saison la plus chaude. </w:t>
      </w:r>
    </w:p>
    <w:p w14:paraId="2E1B089E" w14:textId="49C43513"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La température intérieure était également beaucoup plus variable que la température de la surface terrestre (extérieure) aux mêmes endroits, telle qu’estimée par l’imagerie satellite. Les bioindicateurs de stress thermique ont révélé que les seuils de dangerosité, rarement atteints dans certaines maisons, étaient fréquemment dépassés dans d’autres toute l’année, sauf au cœur de la saison froide d’hiver (décembre et janvier). Au printemps, saison la plus chaude, le seuil de dangerosité était presque en permanence dépassé dans ces habitations, exposant leurs habitants à un stress thermique important. </w:t>
      </w:r>
    </w:p>
    <w:p w14:paraId="46D043E7" w14:textId="77777777" w:rsidR="008239E3" w:rsidRPr="007C5A6E" w:rsidRDefault="008239E3" w:rsidP="0093589E">
      <w:pPr>
        <w:spacing w:after="0" w:line="240" w:lineRule="auto"/>
        <w:jc w:val="both"/>
        <w:rPr>
          <w:rFonts w:ascii="Times New Roman" w:eastAsiaTheme="minorHAnsi" w:hAnsi="Times New Roman"/>
          <w:kern w:val="2"/>
          <w:sz w:val="24"/>
          <w:szCs w:val="24"/>
          <w:lang w:eastAsia="en-US"/>
          <w14:ligatures w14:val="standardContextual"/>
        </w:rPr>
      </w:pPr>
    </w:p>
    <w:p w14:paraId="0E71610D" w14:textId="77777777" w:rsidR="00537BE0"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Koch et al. (2023) ont évalué la relation entre l'activité quotidienne individuelle, la durée du sommeil et la fréquence cardiaque (FC), telle qu'estimée par les appareils portables, et l'exposition à la chaleur et aux fortes pluies. Des participants du système de surveillance sanitaire et démographique de Nouna au Burkina Faso ont porté le dispositif portable </w:t>
      </w:r>
      <w:proofErr w:type="spellStart"/>
      <w:r w:rsidRPr="007C5A6E">
        <w:rPr>
          <w:rFonts w:ascii="Times New Roman" w:eastAsiaTheme="minorHAnsi" w:hAnsi="Times New Roman"/>
          <w:kern w:val="2"/>
          <w:sz w:val="24"/>
          <w:szCs w:val="24"/>
          <w:lang w:eastAsia="en-US"/>
          <w14:ligatures w14:val="standardContextual"/>
        </w:rPr>
        <w:t>Withings</w:t>
      </w:r>
      <w:proofErr w:type="spellEnd"/>
      <w:r w:rsidRPr="007C5A6E">
        <w:rPr>
          <w:rFonts w:ascii="Times New Roman" w:eastAsiaTheme="minorHAnsi" w:hAnsi="Times New Roman"/>
          <w:kern w:val="2"/>
          <w:sz w:val="24"/>
          <w:szCs w:val="24"/>
          <w:lang w:eastAsia="en-US"/>
          <w14:ligatures w14:val="standardContextual"/>
        </w:rPr>
        <w:t xml:space="preserve"> Pulse HR 24 heures sur 24, 7 jours sur 7, pendant 11 mois. Des données météorologiques ont été recueilli en continu à l'aide de 5 stations météorologiques réparties dans toute la région d'étude. L'indice de chaleur et la température du globe humide (WBGT) ont été calculés comme mesures de la chaleur. </w:t>
      </w:r>
    </w:p>
    <w:p w14:paraId="5E265F6D" w14:textId="055E51B6"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Les résultats ont révélé que la durée du sommeil a diminué de manière significative avec une exposition à la chaleur plus élevée, avec une durée de sommeil environ 15 minutes plus courte pendant les nuits de stress thermique avec une valeur d'indice de chaleur ≥25 °C. De nombreux participants ont déclaré que la chaleur les affectait le plus la nuit. Pendant la saison des pluies, lorsque la température du globe à bulbe humide était la plus élevée, l'activité quotidienne était la plus élevée et augmentait lorsque la WBGT maximale quotidienne dépassait 30 °C pendant le mois le plus pluvieux. Au cours du mois le plus chaud, l'activité quotidienne diminuait par augmentation de degré de la température du globe à bulbe humide pour des valeurs &gt;30 °C.</w:t>
      </w:r>
    </w:p>
    <w:p w14:paraId="188F78E7" w14:textId="77777777" w:rsidR="008239E3" w:rsidRPr="007C5A6E" w:rsidRDefault="008239E3" w:rsidP="0093589E">
      <w:pPr>
        <w:spacing w:after="0" w:line="240" w:lineRule="auto"/>
        <w:jc w:val="both"/>
        <w:rPr>
          <w:rFonts w:ascii="Times New Roman" w:eastAsiaTheme="minorHAnsi" w:hAnsi="Times New Roman"/>
          <w:kern w:val="2"/>
          <w:sz w:val="24"/>
          <w:szCs w:val="24"/>
          <w:lang w:eastAsia="en-US"/>
          <w14:ligatures w14:val="standardContextual"/>
        </w:rPr>
      </w:pPr>
    </w:p>
    <w:p w14:paraId="113CE19C" w14:textId="77777777" w:rsidR="00537BE0"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proofErr w:type="spellStart"/>
      <w:r w:rsidRPr="007C5A6E">
        <w:rPr>
          <w:rFonts w:ascii="Times New Roman" w:eastAsiaTheme="minorHAnsi" w:hAnsi="Times New Roman"/>
          <w:kern w:val="2"/>
          <w:sz w:val="24"/>
          <w:szCs w:val="24"/>
          <w:lang w:eastAsia="en-US"/>
          <w14:ligatures w14:val="standardContextual"/>
        </w:rPr>
        <w:t>Arisco</w:t>
      </w:r>
      <w:proofErr w:type="spellEnd"/>
      <w:r w:rsidRPr="007C5A6E">
        <w:rPr>
          <w:rFonts w:ascii="Times New Roman" w:eastAsiaTheme="minorHAnsi" w:hAnsi="Times New Roman"/>
          <w:kern w:val="2"/>
          <w:sz w:val="24"/>
          <w:szCs w:val="24"/>
          <w:lang w:eastAsia="en-US"/>
          <w14:ligatures w14:val="standardContextual"/>
        </w:rPr>
        <w:t xml:space="preserve"> et al. (2023) ont examiné l'effet des températures et des précipitations extrêmes sur les décès par cause spécifique dans les zones rurales du Burkina Faso. Des données quotidiennes anonymisées sur les causes de décès provenant du Système de surveillance démographique et sanitaire dirigé par le Centre de Recherche en Santé de Nouna (CRSN) de l'Institut national de santé publique du Burkina Faso ont été utilisé pour évaluer les associations temporelles entre les conditions météorologiques quotidiennes et hebdomadaires (température maximale et précipitations totales) et les décès attribués à des maladies spécifiques sensibles au climat. Tous les décès dus à des maladies sensibles au climat dans la zone de surveillance démographique du CRSN du 1er janvier 2000 au 31 décembre 2015 dans l'analyse ont été inclus. </w:t>
      </w:r>
    </w:p>
    <w:p w14:paraId="0127C420" w14:textId="697038B8"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Les résultats ont révélé que sur les 8 256 décès enregistrés dans la zone de surveillance démographique du CRSN au cours de la période d'observation, 6 185 (74,9 %) ont été causés par des maladies sensibles au climat. Un risque accru de décès dû à toutes les maladies transmissibles sensibles au climat et au paludisme (à la fois pour tous les âges et chez les enfants de moins de 5 ans) était associé à des températures maximales quotidiennes décalées de 14 jours égales ou supérieures à 41,1 °C, le 90e percentile des températures maximales quotidiennes, par rapport à 36,4 °C, la médiane. Un risque accru de décès par maladies cardiovasculaires sensibles au climat chez les personnes âgées de 65 ans et plus, associé à des températures maximales quotidiennes décalées de 7 jours égales ou supérieures à 41,9 °C a été observé. Aussi, sur une période cumulée de 8 semaines, il a été constaté que le risque de décès par maladies transmissibles était accru à tous les âges par des températures égales ou supérieures à 41,1 °C. Les résultats indiquent une forte charge de mortalité liée aux conditions météorologiques extrêmes dans la région du Sahel. </w:t>
      </w:r>
    </w:p>
    <w:p w14:paraId="7F8E120C" w14:textId="77777777" w:rsidR="008239E3" w:rsidRPr="007C5A6E" w:rsidRDefault="008239E3" w:rsidP="0093589E">
      <w:pPr>
        <w:spacing w:after="0" w:line="240" w:lineRule="auto"/>
        <w:jc w:val="both"/>
        <w:rPr>
          <w:rFonts w:ascii="Times New Roman" w:eastAsiaTheme="minorHAnsi" w:hAnsi="Times New Roman"/>
          <w:kern w:val="2"/>
          <w:sz w:val="24"/>
          <w:szCs w:val="24"/>
          <w:lang w:eastAsia="en-US"/>
          <w14:ligatures w14:val="standardContextual"/>
        </w:rPr>
      </w:pPr>
    </w:p>
    <w:p w14:paraId="72C808E6" w14:textId="77777777" w:rsidR="00537BE0"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Dasgupta and Robinson. (2023) ont évalué l'impact des facteurs de stress climatiques sur la santé infantile au Burkina Faso. Une analyse empirique rigoureuse de l'impact des chocs climatiques et météorologiques sur la mortalité, le retard de croissance (score Z taille-pour-âge) et l'émaciation (score Z poids-pour-âge), en utilisant des enquêtes démographiques et de santé, combinées à des données météorologiques à haute résolution, en contrôlant les </w:t>
      </w:r>
      <w:proofErr w:type="spellStart"/>
      <w:r w:rsidRPr="007C5A6E">
        <w:rPr>
          <w:rFonts w:ascii="Times New Roman" w:eastAsiaTheme="minorHAnsi" w:hAnsi="Times New Roman"/>
          <w:kern w:val="2"/>
          <w:sz w:val="24"/>
          <w:szCs w:val="24"/>
          <w:lang w:eastAsia="en-US"/>
          <w14:ligatures w14:val="standardContextual"/>
        </w:rPr>
        <w:t>covariables</w:t>
      </w:r>
      <w:proofErr w:type="spellEnd"/>
      <w:r w:rsidRPr="007C5A6E">
        <w:rPr>
          <w:rFonts w:ascii="Times New Roman" w:eastAsiaTheme="minorHAnsi" w:hAnsi="Times New Roman"/>
          <w:kern w:val="2"/>
          <w:sz w:val="24"/>
          <w:szCs w:val="24"/>
          <w:lang w:eastAsia="en-US"/>
          <w14:ligatures w14:val="standardContextual"/>
        </w:rPr>
        <w:t xml:space="preserve"> des ménages et individuelles a été faite. Les résultats ont révélé que l'exposition à vie et à court terme aux températures élevées et aux sécheresses a un impact négatif sur la santé des enfants, tout comme l'augmentation des anomalies de température pendant les saisons de récolte, suggérant un lien entre le climat et la santé à travers la production alimentaire nationale. </w:t>
      </w:r>
    </w:p>
    <w:p w14:paraId="1AD9F5E4" w14:textId="3B3170FA" w:rsidR="008239E3"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 revenu et la richesse des ménages, l'accès à l'électricité, à l'assainissement et à un établissement de santé pour l'accouchement annulent certains impacts négatifs du changement climatique. Il est également ressorti que le réchauffement climatique devrait entraîner une augmentation significative de la mortalité infantile et de la proportion d’enfants souffrant d’insuffisance pondérale et de retard de croissance. </w:t>
      </w:r>
    </w:p>
    <w:p w14:paraId="3BB09284" w14:textId="77777777" w:rsidR="008239E3" w:rsidRPr="007C5A6E" w:rsidRDefault="008239E3" w:rsidP="0093589E">
      <w:pPr>
        <w:spacing w:after="0" w:line="240" w:lineRule="auto"/>
        <w:jc w:val="both"/>
        <w:rPr>
          <w:rFonts w:ascii="Times New Roman" w:eastAsiaTheme="minorHAnsi" w:hAnsi="Times New Roman"/>
          <w:kern w:val="2"/>
          <w:sz w:val="24"/>
          <w:szCs w:val="24"/>
          <w:lang w:eastAsia="en-US"/>
          <w14:ligatures w14:val="standardContextual"/>
        </w:rPr>
      </w:pPr>
    </w:p>
    <w:p w14:paraId="4BE849F1" w14:textId="77777777" w:rsidR="00537BE0"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Part et al. (2022) ont examiné les effets d’une température ambiante élevée sur les pratiques d’alimentation du nourrisson et les soins aux enfants. Une analyse secondaire de données quantitatives issues d’une étude de cohorte prospective a été faite. 866 femmes ont été interrogées sur une période de 12 mois. Les données météorologiques ont été obtenues à partir d’archives accessibles au public. Les résultats ont montré que des températures élevées avaient été observé durant toute l’année incluant la période de l’étude. L’allaitement maternel a diminué de 2,3 minutes/jour (IC à 95 % -4,6 à 0,04, p = 0,05) et la garde des enfants a augmenté de 0,6 minute/jour (0,06 à 1,2, p = 0,03), pour chaque augmentation de 1 °C de la température moyenne le jour même. </w:t>
      </w:r>
    </w:p>
    <w:p w14:paraId="68E5CE0A" w14:textId="6715D70F" w:rsidR="00463760"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La température interagissait avec l’âge du nourrisson pour affecter la durée de l’allaitement (p = 0,02), avec une association plus forte (négative) entre la température et l’allaitement à mesure que les nourrissons vieillissaient (0 à 57 semaines). Les probabilités d'allaitement exclusif chez les très jeunes nourrissons (0 à 3 mois) ont tendance à diminuer à mesure que la température augmente (OR = 0,88, 0,75 à 1,02, p = 0,09). Les femmes passaient beaucoup moins de temps à allaiter (~ 25 minutes/jour) pendant les périodes les plus chaudes de l'année que pendant les périodes les plus froides (doi.org/10.1136/ bmjopen-2022-061297). </w:t>
      </w:r>
    </w:p>
    <w:p w14:paraId="3F62861D" w14:textId="77777777" w:rsidR="00463760" w:rsidRPr="007C5A6E" w:rsidRDefault="00463760" w:rsidP="0093589E">
      <w:pPr>
        <w:spacing w:after="0" w:line="240" w:lineRule="auto"/>
        <w:jc w:val="both"/>
        <w:rPr>
          <w:rFonts w:ascii="Times New Roman" w:eastAsiaTheme="minorHAnsi" w:hAnsi="Times New Roman"/>
          <w:kern w:val="2"/>
          <w:sz w:val="24"/>
          <w:szCs w:val="24"/>
          <w:lang w:eastAsia="en-US"/>
          <w14:ligatures w14:val="standardContextual"/>
        </w:rPr>
      </w:pPr>
    </w:p>
    <w:p w14:paraId="54DB301C" w14:textId="77777777" w:rsidR="00537BE0"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Bunker et al. (2017) ont étudié l'association entre l'exposition à la chaleur et les années de vie perdues dues aux maladies non transmissibles (MNT) à Nouna, entre 2000 et 2010. Des analyses de régression des séries chronologiques quotidiennes à l'aide de modèles non linéaires à décalage distribué, en supposant une distribution quasi-</w:t>
      </w:r>
      <w:proofErr w:type="spellStart"/>
      <w:r w:rsidRPr="007C5A6E">
        <w:rPr>
          <w:rFonts w:ascii="Times New Roman" w:eastAsiaTheme="minorHAnsi" w:hAnsi="Times New Roman"/>
          <w:kern w:val="2"/>
          <w:sz w:val="24"/>
          <w:szCs w:val="24"/>
          <w:lang w:eastAsia="en-US"/>
          <w14:ligatures w14:val="standardContextual"/>
        </w:rPr>
        <w:t>Poissonienne</w:t>
      </w:r>
      <w:proofErr w:type="spellEnd"/>
      <w:r w:rsidRPr="007C5A6E">
        <w:rPr>
          <w:rFonts w:ascii="Times New Roman" w:eastAsiaTheme="minorHAnsi" w:hAnsi="Times New Roman"/>
          <w:kern w:val="2"/>
          <w:sz w:val="24"/>
          <w:szCs w:val="24"/>
          <w:lang w:eastAsia="en-US"/>
          <w14:ligatures w14:val="standardContextual"/>
        </w:rPr>
        <w:t xml:space="preserve"> des années de vie perdues a été faite. </w:t>
      </w:r>
    </w:p>
    <w:p w14:paraId="4A58B77D" w14:textId="77777777" w:rsidR="00537BE0" w:rsidRPr="007C5A6E" w:rsidRDefault="00537BE0" w:rsidP="0093589E">
      <w:pPr>
        <w:spacing w:after="0" w:line="240" w:lineRule="auto"/>
        <w:jc w:val="both"/>
        <w:rPr>
          <w:rFonts w:ascii="Times New Roman" w:eastAsiaTheme="minorHAnsi" w:hAnsi="Times New Roman"/>
          <w:kern w:val="2"/>
          <w:sz w:val="24"/>
          <w:szCs w:val="24"/>
          <w:lang w:eastAsia="en-US"/>
          <w14:ligatures w14:val="standardContextual"/>
        </w:rPr>
      </w:pPr>
    </w:p>
    <w:p w14:paraId="188039C3" w14:textId="77777777" w:rsidR="00537BE0"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Les résultats ont révélé que les années de vie perdues dues aux maladies non transmissibles (MNT) étaient de 4,6, 2,4 et 2,1 personnes-années pour tous les âges, hommes et femmes, respectivement. Une augmentation cumulative modérée sur 4 jours de la température maximale de 36,4 °C (50e percentile) à 41,4 °C (90e percentile) a entraîné un excès de 4,44 (IC à 95 % 0,24 à 12,28) d’années de vie perdues dues aux maladies non transmissibles quotidiennes pour tous les âges, passant à 7,39 (IC à 95 % 0,32 à 24,62) à une température extrême (42,8 °C ; 99e percentile). </w:t>
      </w:r>
    </w:p>
    <w:p w14:paraId="7B4E7AAE" w14:textId="791E3FBD" w:rsidR="00463760"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Les effets sur la santé les plus marqués se sont manifestés le jour de l'exposition à la chaleur (décalage 0), où un excès de 0,81 (IC à 95 % 0,13 à 1,59) d'années de vie perdues dues aux maladies non transmissibles moyenne s'est produit quotidiennement à 41,7 °C contre 36,4 °C, diminuant en signification statistique après 4 jours. Au décalage 0, l'excès quotidien moyen d’années de vie perdues dues aux maladies non transmissibles était plus élevé chez les hommes, 0,58 (IC à 95 % 0,11 à 1,15) par rapport aux femmes, 0,15 (IC à 95 % -0,25 à 9,63) à 41,7 °C contre 36,4 °C. La mortalité prématurée due aux MNT était significativement plus élevée avec une exposition à une chaleur modérée et extrême. </w:t>
      </w:r>
    </w:p>
    <w:p w14:paraId="08F6461B" w14:textId="77777777" w:rsidR="00463760" w:rsidRPr="007C5A6E" w:rsidRDefault="00463760" w:rsidP="0093589E">
      <w:pPr>
        <w:spacing w:after="0" w:line="240" w:lineRule="auto"/>
        <w:jc w:val="both"/>
        <w:rPr>
          <w:rFonts w:ascii="Times New Roman" w:eastAsiaTheme="minorHAnsi" w:hAnsi="Times New Roman"/>
          <w:kern w:val="2"/>
          <w:sz w:val="24"/>
          <w:szCs w:val="24"/>
          <w:lang w:eastAsia="en-US"/>
          <w14:ligatures w14:val="standardContextual"/>
        </w:rPr>
      </w:pPr>
    </w:p>
    <w:p w14:paraId="1C8A25D8" w14:textId="77777777" w:rsidR="00537BE0"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proofErr w:type="spellStart"/>
      <w:r w:rsidRPr="007C5A6E">
        <w:rPr>
          <w:rFonts w:ascii="Times New Roman" w:eastAsiaTheme="minorHAnsi" w:hAnsi="Times New Roman"/>
          <w:kern w:val="2"/>
          <w:sz w:val="24"/>
          <w:szCs w:val="24"/>
          <w:lang w:eastAsia="en-US"/>
          <w14:ligatures w14:val="standardContextual"/>
        </w:rPr>
        <w:t>Diboulo</w:t>
      </w:r>
      <w:proofErr w:type="spellEnd"/>
      <w:r w:rsidRPr="007C5A6E">
        <w:rPr>
          <w:rFonts w:ascii="Times New Roman" w:eastAsiaTheme="minorHAnsi" w:hAnsi="Times New Roman"/>
          <w:kern w:val="2"/>
          <w:sz w:val="24"/>
          <w:szCs w:val="24"/>
          <w:lang w:eastAsia="en-US"/>
          <w14:ligatures w14:val="standardContextual"/>
        </w:rPr>
        <w:t xml:space="preserve"> et al. (2012) ont étudié l'association entre les conditions météorologiques et la mortalité quotidienne dans la zone du Système de Surveillance Démographique et Sanitaire de Nouna au cours de la période 1999-2009. Les données météorologiques ont été obtenues à partir d'une station météorologique voisine dans la zone de Nouna et liées aux données de mortalité sur une base quotidienne. Des modèles de régression de Poisson en séries chronologiques ont été établis pour estimer l'association entre les décalages météorologiques et la mortalité quotidienne au niveau de la population, en ajustant les tendances temporelles. </w:t>
      </w:r>
    </w:p>
    <w:p w14:paraId="042FDD10" w14:textId="28388D1C" w:rsidR="00463760"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Les résultats ont trouvé des associations profondes entre une température plus élevée et la mortalité quotidienne. L'effet direct à court terme de la chaleur était particulièrement fort sur le taux de mortalité des enfants de moins de cinq ans. Il a également été trouvé des effets cohérents indépendants et de fortes associations entre les événements pluvieux et la mortalité quotidienne, en particulier chez les populations âgées. </w:t>
      </w:r>
    </w:p>
    <w:p w14:paraId="2FCE0524" w14:textId="77777777" w:rsidR="00463760" w:rsidRPr="007C5A6E" w:rsidRDefault="00463760" w:rsidP="0093589E">
      <w:pPr>
        <w:spacing w:after="0" w:line="240" w:lineRule="auto"/>
        <w:jc w:val="both"/>
        <w:rPr>
          <w:rFonts w:ascii="Times New Roman" w:eastAsiaTheme="minorHAnsi" w:hAnsi="Times New Roman"/>
          <w:kern w:val="2"/>
          <w:sz w:val="24"/>
          <w:szCs w:val="24"/>
          <w:lang w:eastAsia="en-US"/>
          <w14:ligatures w14:val="standardContextual"/>
        </w:rPr>
      </w:pPr>
    </w:p>
    <w:p w14:paraId="0D89457E" w14:textId="77777777" w:rsidR="00537BE0"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proofErr w:type="spellStart"/>
      <w:r w:rsidRPr="007C5A6E">
        <w:rPr>
          <w:rFonts w:ascii="Times New Roman" w:eastAsiaTheme="minorHAnsi" w:hAnsi="Times New Roman"/>
          <w:kern w:val="2"/>
          <w:sz w:val="24"/>
          <w:szCs w:val="24"/>
          <w:lang w:eastAsia="en-US"/>
          <w14:ligatures w14:val="standardContextual"/>
        </w:rPr>
        <w:t>Kynast</w:t>
      </w:r>
      <w:proofErr w:type="spellEnd"/>
      <w:r w:rsidRPr="007C5A6E">
        <w:rPr>
          <w:rFonts w:ascii="Times New Roman" w:eastAsiaTheme="minorHAnsi" w:hAnsi="Times New Roman"/>
          <w:kern w:val="2"/>
          <w:sz w:val="24"/>
          <w:szCs w:val="24"/>
          <w:lang w:eastAsia="en-US"/>
          <w14:ligatures w14:val="standardContextual"/>
        </w:rPr>
        <w:t xml:space="preserve">-Wolf et al. (2010) ont évalué les schémas saisonniers de mortalité cardiovasculaire chez les adultes, probablement influencés par le climat chaud et sec, dans un milieu rural. La cause du décès a été déterminée par autopsie verbale. Les taux de mortalité par âge (décès cardiovasculaire et toutes causes confondues) par mois de décès ont été calculés. </w:t>
      </w:r>
    </w:p>
    <w:p w14:paraId="2440AA4A" w14:textId="77777777" w:rsidR="00537BE0"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Les tendances saisonnières et les effets de la température ont été modélisés par régression de Poisson. Les résultats ont montré que les décès d'origine cardiovasculaire étaient la quatrième cause de décès la plus fréquente chez les adultes (40 ans et plus), avec une mortalité de 109,9 (IC à 95 % 76,6-143,1) pour les 40-64 ans et de 544,9 (IC à 95 % 404,6-685,1) pour les 65 ans et plus. </w:t>
      </w:r>
    </w:p>
    <w:p w14:paraId="6D9BA5D6" w14:textId="1CAC979A"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Pour toutes les causes, la mortalité était la plus élevée en mars et pour les décès d'origine cardiovasculaire, c'était en avril, la saison sèche et chaude (mars-mai). La température mensuelle moyenne est significativement liée à la mortalité chez les personnes âgées. La mortalité cardiovasculaire varie donc selon la saison, les taux de mortalité étant plus élevés pendant la saison chaude et sèche. </w:t>
      </w:r>
    </w:p>
    <w:p w14:paraId="0735F503" w14:textId="77777777" w:rsidR="001F7AA6" w:rsidRPr="007C5A6E" w:rsidRDefault="001F7AA6" w:rsidP="0093589E">
      <w:pPr>
        <w:spacing w:after="0" w:line="240" w:lineRule="auto"/>
        <w:ind w:firstLine="720"/>
        <w:jc w:val="both"/>
        <w:rPr>
          <w:rFonts w:ascii="Times New Roman" w:eastAsiaTheme="minorHAnsi" w:hAnsi="Times New Roman"/>
          <w:kern w:val="2"/>
          <w:sz w:val="24"/>
          <w:szCs w:val="24"/>
          <w:lang w:eastAsia="en-US"/>
          <w14:ligatures w14:val="standardContextual"/>
        </w:rPr>
      </w:pPr>
    </w:p>
    <w:p w14:paraId="3C053341" w14:textId="688FE003" w:rsidR="001F7AA6" w:rsidRPr="007C5A6E" w:rsidRDefault="00CF3A5D" w:rsidP="00712C43">
      <w:pPr>
        <w:pStyle w:val="Titre2"/>
      </w:pPr>
      <w:bookmarkStart w:id="1609" w:name="_Toc183340351"/>
      <w:r w:rsidRPr="007C5A6E">
        <w:t>La l</w:t>
      </w:r>
      <w:r w:rsidR="001F7AA6" w:rsidRPr="007C5A6E">
        <w:t>utte contre les maladies liées à l’environnement</w:t>
      </w:r>
      <w:bookmarkEnd w:id="1609"/>
    </w:p>
    <w:p w14:paraId="2E8C232D"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512E31AA"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Plusieurs initiatives sont mises en œuvre au plan national pour une gestion efficiente de l’environnement. Il s’agit notamment d’actions liées à la gestion des ressources en eau, la protection et la restauration des forêts, la gestion des parcs et réserves, la gestion des risques de catastrophe, la lutte contre les changements climatiques, la réduction de la pollution atmosphérique, le développement des énergies renouvelables et la gestion des déchets ainsi qu’aux questions relatives au genre.</w:t>
      </w:r>
    </w:p>
    <w:p w14:paraId="74342910"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p>
    <w:p w14:paraId="101830A5" w14:textId="166B94EE" w:rsidR="001F7AA6" w:rsidRPr="007C5A6E" w:rsidRDefault="00CF3A5D" w:rsidP="0093589E">
      <w:pPr>
        <w:pStyle w:val="Titre3"/>
      </w:pPr>
      <w:bookmarkStart w:id="1610" w:name="_Toc183340352"/>
      <w:bookmarkStart w:id="1611" w:name="_Toc182986601"/>
      <w:r w:rsidRPr="007C5A6E">
        <w:t xml:space="preserve">Le </w:t>
      </w:r>
      <w:r w:rsidR="001F7AA6" w:rsidRPr="007C5A6E">
        <w:t>Cadre institutionnel</w:t>
      </w:r>
      <w:bookmarkEnd w:id="1610"/>
      <w:r w:rsidR="001F7AA6" w:rsidRPr="007C5A6E">
        <w:t xml:space="preserve"> </w:t>
      </w:r>
    </w:p>
    <w:p w14:paraId="0B0ED7BA"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5376AD5F" w14:textId="77777777" w:rsidR="001F7AA6" w:rsidRPr="007C5A6E" w:rsidRDefault="001F7AA6" w:rsidP="0093589E">
      <w:pPr>
        <w:pStyle w:val="Titre4"/>
      </w:pPr>
      <w:bookmarkStart w:id="1612" w:name="_Toc183340353"/>
      <w:r w:rsidRPr="007C5A6E">
        <w:t>Organisation administrative du système de santé</w:t>
      </w:r>
      <w:bookmarkEnd w:id="1611"/>
      <w:bookmarkEnd w:id="1612"/>
    </w:p>
    <w:p w14:paraId="0AE5F533"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32FC5748"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 Ministère de la santé et de l’hygiène publique comprend trois niveaux dans sa structuration administrative : </w:t>
      </w:r>
    </w:p>
    <w:p w14:paraId="15AD3003" w14:textId="6D2C59FB" w:rsidR="001F7AA6" w:rsidRPr="007C5A6E" w:rsidRDefault="001F7AA6" w:rsidP="0093589E">
      <w:pPr>
        <w:pStyle w:val="Paragraphedeliste"/>
        <w:numPr>
          <w:ilvl w:val="1"/>
          <w:numId w:val="67"/>
        </w:numPr>
        <w:spacing w:after="0" w:line="240" w:lineRule="auto"/>
        <w:ind w:left="284" w:hanging="284"/>
        <w:jc w:val="both"/>
        <w:rPr>
          <w:rFonts w:ascii="Times New Roman" w:eastAsiaTheme="minorHAnsi" w:hAnsi="Times New Roman"/>
          <w:kern w:val="2"/>
          <w:sz w:val="24"/>
          <w:szCs w:val="24"/>
          <w:lang w:eastAsia="en-US"/>
          <w14:ligatures w14:val="standardContextual"/>
        </w:rPr>
      </w:pPr>
      <w:proofErr w:type="gramStart"/>
      <w:r w:rsidRPr="007C5A6E">
        <w:rPr>
          <w:rFonts w:ascii="Times New Roman" w:eastAsiaTheme="minorHAnsi" w:hAnsi="Times New Roman"/>
          <w:kern w:val="2"/>
          <w:sz w:val="24"/>
          <w:szCs w:val="24"/>
          <w:lang w:eastAsia="en-US"/>
          <w14:ligatures w14:val="standardContextual"/>
        </w:rPr>
        <w:t>le</w:t>
      </w:r>
      <w:proofErr w:type="gramEnd"/>
      <w:r w:rsidRPr="007C5A6E">
        <w:rPr>
          <w:rFonts w:ascii="Times New Roman" w:eastAsiaTheme="minorHAnsi" w:hAnsi="Times New Roman"/>
          <w:kern w:val="2"/>
          <w:sz w:val="24"/>
          <w:szCs w:val="24"/>
          <w:lang w:eastAsia="en-US"/>
          <w14:ligatures w14:val="standardContextual"/>
        </w:rPr>
        <w:t xml:space="preserve"> niveau central composé des structures centrales et rattachées organisées autour du cabinet du Ministre et du Secrétariat général ; </w:t>
      </w:r>
    </w:p>
    <w:p w14:paraId="3017A82D" w14:textId="2785B5D9" w:rsidR="001F7AA6" w:rsidRPr="007C5A6E" w:rsidRDefault="001F7AA6" w:rsidP="0093589E">
      <w:pPr>
        <w:pStyle w:val="Paragraphedeliste"/>
        <w:numPr>
          <w:ilvl w:val="1"/>
          <w:numId w:val="67"/>
        </w:numPr>
        <w:spacing w:after="0" w:line="240" w:lineRule="auto"/>
        <w:ind w:left="284" w:hanging="284"/>
        <w:jc w:val="both"/>
        <w:rPr>
          <w:rFonts w:ascii="Times New Roman" w:eastAsiaTheme="minorHAnsi" w:hAnsi="Times New Roman"/>
          <w:kern w:val="2"/>
          <w:sz w:val="24"/>
          <w:szCs w:val="24"/>
          <w:lang w:eastAsia="en-US"/>
          <w14:ligatures w14:val="standardContextual"/>
        </w:rPr>
      </w:pPr>
      <w:proofErr w:type="gramStart"/>
      <w:r w:rsidRPr="007C5A6E">
        <w:rPr>
          <w:rFonts w:ascii="Times New Roman" w:eastAsiaTheme="minorHAnsi" w:hAnsi="Times New Roman"/>
          <w:kern w:val="2"/>
          <w:sz w:val="24"/>
          <w:szCs w:val="24"/>
          <w:lang w:eastAsia="en-US"/>
          <w14:ligatures w14:val="standardContextual"/>
        </w:rPr>
        <w:t>le</w:t>
      </w:r>
      <w:proofErr w:type="gramEnd"/>
      <w:r w:rsidRPr="007C5A6E">
        <w:rPr>
          <w:rFonts w:ascii="Times New Roman" w:eastAsiaTheme="minorHAnsi" w:hAnsi="Times New Roman"/>
          <w:kern w:val="2"/>
          <w:sz w:val="24"/>
          <w:szCs w:val="24"/>
          <w:lang w:eastAsia="en-US"/>
          <w14:ligatures w14:val="standardContextual"/>
        </w:rPr>
        <w:t xml:space="preserve"> niveau intermédiaire comprend les 13 directions régionales de la santé et de l’hygiène publique ; </w:t>
      </w:r>
    </w:p>
    <w:p w14:paraId="169B8BF5" w14:textId="7D6BDB19" w:rsidR="001F7AA6" w:rsidRPr="007C5A6E" w:rsidRDefault="001F7AA6" w:rsidP="0093589E">
      <w:pPr>
        <w:pStyle w:val="Paragraphedeliste"/>
        <w:numPr>
          <w:ilvl w:val="1"/>
          <w:numId w:val="67"/>
        </w:numPr>
        <w:spacing w:after="0" w:line="240" w:lineRule="auto"/>
        <w:ind w:left="284" w:hanging="284"/>
        <w:jc w:val="both"/>
        <w:rPr>
          <w:rFonts w:ascii="Times New Roman" w:eastAsiaTheme="minorHAnsi" w:hAnsi="Times New Roman"/>
          <w:kern w:val="2"/>
          <w:sz w:val="24"/>
          <w:szCs w:val="24"/>
          <w:lang w:eastAsia="en-US"/>
          <w14:ligatures w14:val="standardContextual"/>
        </w:rPr>
      </w:pPr>
      <w:proofErr w:type="gramStart"/>
      <w:r w:rsidRPr="007C5A6E">
        <w:rPr>
          <w:rFonts w:ascii="Times New Roman" w:eastAsiaTheme="minorHAnsi" w:hAnsi="Times New Roman"/>
          <w:kern w:val="2"/>
          <w:sz w:val="24"/>
          <w:szCs w:val="24"/>
          <w:lang w:eastAsia="en-US"/>
          <w14:ligatures w14:val="standardContextual"/>
        </w:rPr>
        <w:t>le</w:t>
      </w:r>
      <w:proofErr w:type="gramEnd"/>
      <w:r w:rsidRPr="007C5A6E">
        <w:rPr>
          <w:rFonts w:ascii="Times New Roman" w:eastAsiaTheme="minorHAnsi" w:hAnsi="Times New Roman"/>
          <w:kern w:val="2"/>
          <w:sz w:val="24"/>
          <w:szCs w:val="24"/>
          <w:lang w:eastAsia="en-US"/>
          <w14:ligatures w14:val="standardContextual"/>
        </w:rPr>
        <w:t xml:space="preserve"> niveau périphérique est constitué des districts sanitaires qui sont les entités opérationnelles les plus décentralisées du système national de santé. En 2023, on dénombrait 70 districts sanitaires.</w:t>
      </w:r>
    </w:p>
    <w:p w14:paraId="68550606" w14:textId="77777777" w:rsidR="001F7AA6" w:rsidRPr="007C5A6E" w:rsidRDefault="001F7AA6" w:rsidP="00537BE0">
      <w:pPr>
        <w:spacing w:after="0" w:line="240" w:lineRule="auto"/>
        <w:jc w:val="both"/>
        <w:rPr>
          <w:rFonts w:ascii="Times New Roman" w:eastAsiaTheme="minorHAnsi" w:hAnsi="Times New Roman"/>
          <w:kern w:val="2"/>
          <w:sz w:val="24"/>
          <w:szCs w:val="24"/>
          <w:lang w:eastAsia="en-US"/>
          <w14:ligatures w14:val="standardContextual"/>
        </w:rPr>
      </w:pPr>
    </w:p>
    <w:p w14:paraId="20D51416" w14:textId="77777777" w:rsidR="001F7AA6" w:rsidRPr="007C5A6E" w:rsidRDefault="001F7AA6" w:rsidP="00537BE0">
      <w:pPr>
        <w:pStyle w:val="Titre4"/>
      </w:pPr>
      <w:bookmarkStart w:id="1613" w:name="_Toc183340354"/>
      <w:r w:rsidRPr="007C5A6E">
        <w:t>Organisation de l’offre de soins dans le système de santé</w:t>
      </w:r>
      <w:bookmarkEnd w:id="1613"/>
    </w:p>
    <w:p w14:paraId="297045CB" w14:textId="77777777" w:rsidR="001F7AA6" w:rsidRPr="007C5A6E" w:rsidRDefault="001F7AA6" w:rsidP="00537BE0">
      <w:pPr>
        <w:spacing w:after="0" w:line="240" w:lineRule="auto"/>
        <w:rPr>
          <w:rFonts w:asciiTheme="minorHAnsi" w:eastAsiaTheme="minorHAnsi" w:hAnsiTheme="minorHAnsi" w:cstheme="minorBidi"/>
          <w:kern w:val="2"/>
          <w:lang w:eastAsia="en-US"/>
          <w14:ligatures w14:val="standardContextual"/>
        </w:rPr>
      </w:pPr>
    </w:p>
    <w:p w14:paraId="53324041" w14:textId="77777777" w:rsidR="001F7AA6" w:rsidRPr="007C5A6E" w:rsidRDefault="001F7AA6" w:rsidP="00537BE0">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Les structures publiques de soins sont organisées en trois niveaux qui assurent des soins primaires, secondaires et tertiaires. </w:t>
      </w:r>
    </w:p>
    <w:p w14:paraId="49D7F0B4" w14:textId="1CF36C6C" w:rsidR="001F7AA6" w:rsidRPr="007C5A6E" w:rsidRDefault="001F7AA6" w:rsidP="00537BE0">
      <w:pPr>
        <w:pStyle w:val="Paragraphedeliste"/>
        <w:numPr>
          <w:ilvl w:val="1"/>
          <w:numId w:val="67"/>
        </w:numPr>
        <w:spacing w:after="0" w:line="240" w:lineRule="auto"/>
        <w:ind w:left="284"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 premier niveau correspond au district sanitaire qui comprend deux échelons : </w:t>
      </w:r>
    </w:p>
    <w:p w14:paraId="7C3A033A" w14:textId="77777777" w:rsidR="001F7AA6" w:rsidRPr="007C5A6E" w:rsidRDefault="001F7AA6" w:rsidP="00537BE0">
      <w:pPr>
        <w:numPr>
          <w:ilvl w:val="0"/>
          <w:numId w:val="68"/>
        </w:numPr>
        <w:spacing w:after="0" w:line="240" w:lineRule="auto"/>
        <w:contextualSpacing/>
        <w:jc w:val="both"/>
        <w:rPr>
          <w:rFonts w:ascii="Times New Roman" w:eastAsiaTheme="minorHAnsi" w:hAnsi="Times New Roman"/>
          <w:kern w:val="2"/>
          <w:sz w:val="24"/>
          <w:szCs w:val="24"/>
          <w:lang w:eastAsia="en-US"/>
          <w14:ligatures w14:val="standardContextual"/>
        </w:rPr>
      </w:pPr>
      <w:proofErr w:type="gramStart"/>
      <w:r w:rsidRPr="007C5A6E">
        <w:rPr>
          <w:rFonts w:ascii="Times New Roman" w:eastAsiaTheme="minorHAnsi" w:hAnsi="Times New Roman"/>
          <w:kern w:val="2"/>
          <w:sz w:val="24"/>
          <w:szCs w:val="24"/>
          <w:lang w:eastAsia="en-US"/>
          <w14:ligatures w14:val="standardContextual"/>
        </w:rPr>
        <w:t>le</w:t>
      </w:r>
      <w:proofErr w:type="gramEnd"/>
      <w:r w:rsidRPr="007C5A6E">
        <w:rPr>
          <w:rFonts w:ascii="Times New Roman" w:eastAsiaTheme="minorHAnsi" w:hAnsi="Times New Roman"/>
          <w:kern w:val="2"/>
          <w:sz w:val="24"/>
          <w:szCs w:val="24"/>
          <w:lang w:eastAsia="en-US"/>
          <w14:ligatures w14:val="standardContextual"/>
        </w:rPr>
        <w:t xml:space="preserve"> premier échelon de soins est le Centre de santé et de promotion sociale (CSPS). En 2023, on dénombrait 2233 CSPS publics ; </w:t>
      </w:r>
    </w:p>
    <w:p w14:paraId="589AC01B" w14:textId="77777777" w:rsidR="001F7AA6" w:rsidRPr="007C5A6E" w:rsidRDefault="001F7AA6" w:rsidP="00537BE0">
      <w:pPr>
        <w:numPr>
          <w:ilvl w:val="0"/>
          <w:numId w:val="68"/>
        </w:numPr>
        <w:spacing w:after="0" w:line="240" w:lineRule="auto"/>
        <w:contextualSpacing/>
        <w:jc w:val="both"/>
        <w:rPr>
          <w:rFonts w:ascii="Times New Roman" w:eastAsiaTheme="minorHAnsi" w:hAnsi="Times New Roman"/>
          <w:kern w:val="2"/>
          <w:sz w:val="24"/>
          <w:szCs w:val="24"/>
          <w:lang w:eastAsia="en-US"/>
          <w14:ligatures w14:val="standardContextual"/>
        </w:rPr>
      </w:pPr>
      <w:proofErr w:type="gramStart"/>
      <w:r w:rsidRPr="007C5A6E">
        <w:rPr>
          <w:rFonts w:ascii="Times New Roman" w:eastAsiaTheme="minorHAnsi" w:hAnsi="Times New Roman"/>
          <w:kern w:val="2"/>
          <w:sz w:val="24"/>
          <w:szCs w:val="24"/>
          <w:lang w:eastAsia="en-US"/>
          <w14:ligatures w14:val="standardContextual"/>
        </w:rPr>
        <w:t>le</w:t>
      </w:r>
      <w:proofErr w:type="gramEnd"/>
      <w:r w:rsidRPr="007C5A6E">
        <w:rPr>
          <w:rFonts w:ascii="Times New Roman" w:eastAsiaTheme="minorHAnsi" w:hAnsi="Times New Roman"/>
          <w:kern w:val="2"/>
          <w:sz w:val="24"/>
          <w:szCs w:val="24"/>
          <w:lang w:eastAsia="en-US"/>
          <w14:ligatures w14:val="standardContextual"/>
        </w:rPr>
        <w:t xml:space="preserve"> deuxième échelon de soins est le Centre médical avec antenne chirurgicale (CMA). Il est le centre de référence des formations sanitaires du district. En 2023, on comptait 46 CMA fonctionnels. </w:t>
      </w:r>
    </w:p>
    <w:p w14:paraId="43C8A559" w14:textId="6F503FFC" w:rsidR="001F7AA6" w:rsidRPr="007C5A6E" w:rsidRDefault="001F7AA6" w:rsidP="00537BE0">
      <w:pPr>
        <w:pStyle w:val="Paragraphedeliste"/>
        <w:numPr>
          <w:ilvl w:val="1"/>
          <w:numId w:val="67"/>
        </w:numPr>
        <w:spacing w:after="0" w:line="240" w:lineRule="auto"/>
        <w:ind w:left="284"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 deuxième niveau est représenté par le Centre hospitalier régional (CHR). Il sert de référence aux CMA. </w:t>
      </w:r>
    </w:p>
    <w:p w14:paraId="037C237F" w14:textId="28B8209A" w:rsidR="001F7AA6" w:rsidRPr="007C5A6E" w:rsidRDefault="001F7AA6" w:rsidP="00537BE0">
      <w:pPr>
        <w:pStyle w:val="Paragraphedeliste"/>
        <w:numPr>
          <w:ilvl w:val="1"/>
          <w:numId w:val="67"/>
        </w:numPr>
        <w:spacing w:after="0" w:line="240" w:lineRule="auto"/>
        <w:ind w:left="284"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Le troisième niveau est constitué par le Centre hospitalier universitaire. Il est le niveau de référence le plus élevé.</w:t>
      </w:r>
    </w:p>
    <w:p w14:paraId="09E5013A" w14:textId="77777777" w:rsidR="00CF3A5D" w:rsidRPr="007C5A6E" w:rsidRDefault="00CF3A5D" w:rsidP="00537BE0">
      <w:pPr>
        <w:spacing w:after="0" w:line="240" w:lineRule="auto"/>
        <w:jc w:val="both"/>
        <w:rPr>
          <w:rFonts w:ascii="Times New Roman" w:eastAsiaTheme="minorHAnsi" w:hAnsi="Times New Roman"/>
          <w:kern w:val="2"/>
          <w:sz w:val="24"/>
          <w:szCs w:val="24"/>
          <w:lang w:eastAsia="en-US"/>
          <w14:ligatures w14:val="standardContextual"/>
        </w:rPr>
      </w:pPr>
    </w:p>
    <w:p w14:paraId="4C6A82A6" w14:textId="2F8E8730" w:rsidR="001F7AA6" w:rsidRPr="007C5A6E" w:rsidRDefault="001F7AA6" w:rsidP="00537BE0">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Il existe d’autres structures publiques de soins telles que les services de santé des armées et les services de santé des travailleurs. </w:t>
      </w:r>
    </w:p>
    <w:p w14:paraId="06200626" w14:textId="77777777" w:rsidR="00537BE0" w:rsidRPr="007C5A6E" w:rsidRDefault="00537BE0" w:rsidP="00537BE0">
      <w:pPr>
        <w:spacing w:after="0" w:line="240" w:lineRule="auto"/>
        <w:jc w:val="both"/>
        <w:rPr>
          <w:rFonts w:ascii="Times New Roman" w:eastAsiaTheme="minorHAnsi" w:hAnsi="Times New Roman"/>
          <w:kern w:val="2"/>
          <w:sz w:val="24"/>
          <w:szCs w:val="24"/>
          <w:lang w:eastAsia="en-US"/>
          <w14:ligatures w14:val="standardContextual"/>
        </w:rPr>
      </w:pPr>
    </w:p>
    <w:p w14:paraId="365FA5A2" w14:textId="5BA28D9F" w:rsidR="00537BE0" w:rsidRPr="007C5A6E" w:rsidRDefault="00537BE0" w:rsidP="00537BE0">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En plus des structures sanitaires publiques, le Burkina Faso compte des structures privées de santé situées en majorité dans les villes de Ouagadougou et de Bobo Dioulasso. En 2023, le nombre de structures privées de soins était de 1027.</w:t>
      </w:r>
    </w:p>
    <w:p w14:paraId="39B541F2" w14:textId="77777777" w:rsidR="00537BE0" w:rsidRPr="007C5A6E" w:rsidRDefault="00537BE0" w:rsidP="00537BE0">
      <w:pPr>
        <w:spacing w:after="0" w:line="240" w:lineRule="auto"/>
        <w:jc w:val="both"/>
        <w:rPr>
          <w:rFonts w:ascii="Times New Roman" w:eastAsiaTheme="minorHAnsi" w:hAnsi="Times New Roman"/>
          <w:kern w:val="2"/>
          <w:sz w:val="24"/>
          <w:szCs w:val="24"/>
          <w:lang w:eastAsia="en-US"/>
          <w14:ligatures w14:val="standardContextual"/>
        </w:rPr>
      </w:pPr>
    </w:p>
    <w:p w14:paraId="306EB262" w14:textId="7C44C3CE" w:rsidR="00537BE0" w:rsidRPr="007C5A6E" w:rsidRDefault="00537BE0" w:rsidP="00537BE0">
      <w:pPr>
        <w:spacing w:after="0" w:line="240" w:lineRule="auto"/>
        <w:jc w:val="both"/>
        <w:rPr>
          <w:rFonts w:ascii="Times New Roman" w:hAnsi="Times New Roman"/>
          <w:color w:val="FF0000"/>
          <w:sz w:val="20"/>
          <w:szCs w:val="20"/>
        </w:rPr>
      </w:pPr>
      <w:bookmarkStart w:id="1614" w:name="_Hlk183176295"/>
      <w:r w:rsidRPr="007C5A6E">
        <w:rPr>
          <w:rFonts w:ascii="Times New Roman" w:eastAsiaTheme="minorHAnsi" w:hAnsi="Times New Roman"/>
          <w:noProof/>
          <w:kern w:val="2"/>
          <w:sz w:val="24"/>
          <w:szCs w:val="24"/>
          <w:lang w:eastAsia="en-US"/>
          <w14:ligatures w14:val="standardContextual"/>
        </w:rPr>
        <w:drawing>
          <wp:anchor distT="0" distB="0" distL="114300" distR="114300" simplePos="0" relativeHeight="251716096" behindDoc="0" locked="0" layoutInCell="1" allowOverlap="1" wp14:anchorId="33940928" wp14:editId="33E9170F">
            <wp:simplePos x="0" y="0"/>
            <wp:positionH relativeFrom="column">
              <wp:posOffset>69215</wp:posOffset>
            </wp:positionH>
            <wp:positionV relativeFrom="paragraph">
              <wp:posOffset>19050</wp:posOffset>
            </wp:positionV>
            <wp:extent cx="5516880" cy="3171825"/>
            <wp:effectExtent l="19050" t="19050" r="26670" b="28575"/>
            <wp:wrapSquare wrapText="bothSides"/>
            <wp:docPr id="657957460" name="Image 1" descr="Une image contenant texte, capture d’écran, Polic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957460" name="Image 1" descr="Une image contenant texte, capture d’écran, Police, diagramme&#10;&#10;Description générée automatiquement"/>
                    <pic:cNvPicPr/>
                  </pic:nvPicPr>
                  <pic:blipFill rotWithShape="1">
                    <a:blip r:embed="rId255" cstate="email">
                      <a:extLst>
                        <a:ext uri="{BEBA8EAE-BF5A-486C-A8C5-ECC9F3942E4B}">
                          <a14:imgProps xmlns:a14="http://schemas.microsoft.com/office/drawing/2010/main">
                            <a14:imgLayer r:embed="rId256">
                              <a14:imgEffect>
                                <a14:sharpenSoften amount="25000"/>
                              </a14:imgEffect>
                            </a14:imgLayer>
                          </a14:imgProps>
                        </a:ext>
                        <a:ext uri="{28A0092B-C50C-407E-A947-70E740481C1C}">
                          <a14:useLocalDpi xmlns:a14="http://schemas.microsoft.com/office/drawing/2010/main"/>
                        </a:ext>
                      </a:extLst>
                    </a:blip>
                    <a:srcRect l="4894" r="1455"/>
                    <a:stretch/>
                  </pic:blipFill>
                  <pic:spPr bwMode="auto">
                    <a:xfrm>
                      <a:off x="0" y="0"/>
                      <a:ext cx="5516880" cy="317182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C5A6E">
        <w:rPr>
          <w:rFonts w:ascii="Times New Roman" w:hAnsi="Times New Roman"/>
          <w:color w:val="FF0000"/>
          <w:sz w:val="20"/>
          <w:szCs w:val="20"/>
        </w:rPr>
        <w:t>(Source : XX)</w:t>
      </w:r>
    </w:p>
    <w:p w14:paraId="21BE3611" w14:textId="77777777" w:rsidR="00537BE0" w:rsidRPr="007C5A6E" w:rsidRDefault="00537BE0" w:rsidP="00537BE0">
      <w:pPr>
        <w:spacing w:after="0" w:line="240" w:lineRule="auto"/>
        <w:jc w:val="both"/>
        <w:rPr>
          <w:rFonts w:ascii="Times New Roman" w:eastAsiaTheme="minorHAnsi" w:hAnsi="Times New Roman"/>
          <w:i/>
          <w:iCs/>
          <w:kern w:val="2"/>
          <w:sz w:val="24"/>
          <w:szCs w:val="24"/>
          <w:lang w:eastAsia="en-US"/>
          <w14:ligatures w14:val="standardContextual"/>
        </w:rPr>
      </w:pPr>
      <w:bookmarkStart w:id="1615" w:name="_Toc183240744"/>
      <w:bookmarkStart w:id="1616" w:name="_Toc183340482"/>
      <w:r w:rsidRPr="007C5A6E">
        <w:rPr>
          <w:rFonts w:ascii="Times New Roman" w:eastAsiaTheme="minorHAnsi" w:hAnsi="Times New Roman"/>
          <w:i/>
          <w:iCs/>
          <w:kern w:val="2"/>
          <w:sz w:val="24"/>
          <w:szCs w:val="24"/>
          <w:lang w:eastAsia="en-US"/>
          <w14:ligatures w14:val="standardContextual"/>
        </w:rPr>
        <w:t xml:space="preserve">Figure </w:t>
      </w:r>
      <w:r w:rsidRPr="007C5A6E">
        <w:rPr>
          <w:rFonts w:ascii="Times New Roman" w:eastAsiaTheme="minorHAnsi" w:hAnsi="Times New Roman"/>
          <w:i/>
          <w:iCs/>
          <w:kern w:val="2"/>
          <w:sz w:val="24"/>
          <w:szCs w:val="24"/>
          <w:lang w:eastAsia="en-US"/>
          <w14:ligatures w14:val="standardContextual"/>
        </w:rPr>
        <w:fldChar w:fldCharType="begin"/>
      </w:r>
      <w:r w:rsidRPr="007C5A6E">
        <w:rPr>
          <w:rFonts w:ascii="Times New Roman" w:eastAsiaTheme="minorHAnsi" w:hAnsi="Times New Roman"/>
          <w:i/>
          <w:iCs/>
          <w:kern w:val="2"/>
          <w:sz w:val="24"/>
          <w:szCs w:val="24"/>
          <w:lang w:eastAsia="en-US"/>
          <w14:ligatures w14:val="standardContextual"/>
        </w:rPr>
        <w:instrText xml:space="preserve"> SEQ Figure \* ARABIC </w:instrText>
      </w:r>
      <w:r w:rsidRPr="007C5A6E">
        <w:rPr>
          <w:rFonts w:ascii="Times New Roman" w:eastAsiaTheme="minorHAnsi" w:hAnsi="Times New Roman"/>
          <w:i/>
          <w:iCs/>
          <w:kern w:val="2"/>
          <w:sz w:val="24"/>
          <w:szCs w:val="24"/>
          <w:lang w:eastAsia="en-US"/>
          <w14:ligatures w14:val="standardContextual"/>
        </w:rPr>
        <w:fldChar w:fldCharType="separate"/>
      </w:r>
      <w:r w:rsidRPr="007C5A6E">
        <w:rPr>
          <w:rFonts w:ascii="Times New Roman" w:eastAsiaTheme="minorHAnsi" w:hAnsi="Times New Roman"/>
          <w:i/>
          <w:iCs/>
          <w:noProof/>
          <w:kern w:val="2"/>
          <w:sz w:val="24"/>
          <w:szCs w:val="24"/>
          <w:lang w:eastAsia="en-US"/>
          <w14:ligatures w14:val="standardContextual"/>
        </w:rPr>
        <w:t>104</w:t>
      </w:r>
      <w:r w:rsidRPr="007C5A6E">
        <w:rPr>
          <w:rFonts w:ascii="Times New Roman" w:eastAsiaTheme="minorHAnsi" w:hAnsi="Times New Roman"/>
          <w:i/>
          <w:iCs/>
          <w:kern w:val="2"/>
          <w:sz w:val="24"/>
          <w:szCs w:val="24"/>
          <w:lang w:eastAsia="en-US"/>
          <w14:ligatures w14:val="standardContextual"/>
        </w:rPr>
        <w:fldChar w:fldCharType="end"/>
      </w:r>
      <w:r w:rsidRPr="007C5A6E">
        <w:rPr>
          <w:rFonts w:ascii="Times New Roman" w:eastAsiaTheme="minorHAnsi" w:hAnsi="Times New Roman"/>
          <w:i/>
          <w:iCs/>
          <w:kern w:val="2"/>
          <w:sz w:val="24"/>
          <w:szCs w:val="24"/>
          <w:lang w:eastAsia="en-US"/>
          <w14:ligatures w14:val="standardContextual"/>
        </w:rPr>
        <w:t>. Pyramide sanitaire du Burkina Faso en 2020 (ONSP, 2023)</w:t>
      </w:r>
      <w:bookmarkEnd w:id="1615"/>
      <w:bookmarkEnd w:id="1616"/>
    </w:p>
    <w:p w14:paraId="1D209C2B" w14:textId="77777777" w:rsidR="00537BE0" w:rsidRPr="007C5A6E" w:rsidRDefault="00537BE0" w:rsidP="00537BE0">
      <w:pPr>
        <w:spacing w:after="0" w:line="240" w:lineRule="auto"/>
        <w:rPr>
          <w:lang w:eastAsia="en-US"/>
        </w:rPr>
      </w:pPr>
    </w:p>
    <w:p w14:paraId="2B98F5A4" w14:textId="30B9A90F" w:rsidR="001F7AA6" w:rsidRPr="007C5A6E" w:rsidRDefault="00CF3A5D" w:rsidP="00537BE0">
      <w:pPr>
        <w:pStyle w:val="Titre3"/>
        <w:keepNext w:val="0"/>
        <w:keepLines w:val="0"/>
      </w:pPr>
      <w:bookmarkStart w:id="1617" w:name="_Toc183340355"/>
      <w:r w:rsidRPr="007C5A6E">
        <w:t xml:space="preserve">Le </w:t>
      </w:r>
      <w:r w:rsidR="001F7AA6" w:rsidRPr="007C5A6E">
        <w:t>Cadre juridique et réglementaire</w:t>
      </w:r>
      <w:bookmarkEnd w:id="1617"/>
    </w:p>
    <w:p w14:paraId="26145432" w14:textId="77777777" w:rsidR="001F7AA6" w:rsidRPr="007C5A6E" w:rsidRDefault="001F7AA6" w:rsidP="00537BE0">
      <w:pPr>
        <w:spacing w:after="0" w:line="240" w:lineRule="auto"/>
        <w:rPr>
          <w:rFonts w:asciiTheme="minorHAnsi" w:eastAsiaTheme="minorHAnsi" w:hAnsiTheme="minorHAnsi" w:cstheme="minorBidi"/>
          <w:kern w:val="2"/>
          <w:lang w:eastAsia="en-US"/>
          <w14:ligatures w14:val="standardContextual"/>
        </w:rPr>
      </w:pPr>
    </w:p>
    <w:p w14:paraId="74EEBDCE" w14:textId="06DDCF09" w:rsidR="001F7AA6" w:rsidRPr="007C5A6E" w:rsidRDefault="001F7AA6" w:rsidP="00537BE0">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 Burkina Faso a ratifié et pris des textes devant lui permettre de lutter contre la </w:t>
      </w:r>
      <w:r w:rsidR="0007503D" w:rsidRPr="007C5A6E">
        <w:rPr>
          <w:rFonts w:ascii="Times New Roman" w:eastAsiaTheme="minorHAnsi" w:hAnsi="Times New Roman"/>
          <w:kern w:val="2"/>
          <w:sz w:val="24"/>
          <w:szCs w:val="24"/>
          <w:lang w:eastAsia="en-US"/>
          <w14:ligatures w14:val="standardContextual"/>
        </w:rPr>
        <w:t>dégradation</w:t>
      </w:r>
      <w:r w:rsidRPr="007C5A6E">
        <w:rPr>
          <w:rFonts w:ascii="Times New Roman" w:eastAsiaTheme="minorHAnsi" w:hAnsi="Times New Roman"/>
          <w:kern w:val="2"/>
          <w:sz w:val="24"/>
          <w:szCs w:val="24"/>
          <w:lang w:eastAsia="en-US"/>
          <w14:ligatures w14:val="standardContextual"/>
        </w:rPr>
        <w:t xml:space="preserve"> de l’environnement et ses </w:t>
      </w:r>
      <w:r w:rsidR="0007503D" w:rsidRPr="007C5A6E">
        <w:rPr>
          <w:rFonts w:ascii="Times New Roman" w:eastAsiaTheme="minorHAnsi" w:hAnsi="Times New Roman"/>
          <w:kern w:val="2"/>
          <w:sz w:val="24"/>
          <w:szCs w:val="24"/>
          <w:lang w:eastAsia="en-US"/>
          <w14:ligatures w14:val="standardContextual"/>
        </w:rPr>
        <w:t>conséquences</w:t>
      </w:r>
      <w:r w:rsidRPr="007C5A6E">
        <w:rPr>
          <w:rFonts w:ascii="Times New Roman" w:eastAsiaTheme="minorHAnsi" w:hAnsi="Times New Roman"/>
          <w:kern w:val="2"/>
          <w:sz w:val="24"/>
          <w:szCs w:val="24"/>
          <w:lang w:eastAsia="en-US"/>
          <w14:ligatures w14:val="standardContextual"/>
        </w:rPr>
        <w:t xml:space="preserve"> sur la santé des population</w:t>
      </w:r>
      <w:r w:rsidR="00CF3A5D" w:rsidRPr="007C5A6E">
        <w:rPr>
          <w:rFonts w:ascii="Times New Roman" w:eastAsiaTheme="minorHAnsi" w:hAnsi="Times New Roman"/>
          <w:kern w:val="2"/>
          <w:sz w:val="24"/>
          <w:szCs w:val="24"/>
          <w:lang w:eastAsia="en-US"/>
          <w14:ligatures w14:val="standardContextual"/>
        </w:rPr>
        <w:t>s</w:t>
      </w:r>
      <w:r w:rsidRPr="007C5A6E">
        <w:rPr>
          <w:rFonts w:ascii="Times New Roman" w:eastAsiaTheme="minorHAnsi" w:hAnsi="Times New Roman"/>
          <w:kern w:val="2"/>
          <w:sz w:val="24"/>
          <w:szCs w:val="24"/>
          <w:lang w:eastAsia="en-US"/>
          <w14:ligatures w14:val="standardContextual"/>
        </w:rPr>
        <w:t xml:space="preserve">. Ce dispositive juridique peut être catégoriser par </w:t>
      </w:r>
      <w:r w:rsidR="0007503D" w:rsidRPr="007C5A6E">
        <w:rPr>
          <w:rFonts w:ascii="Times New Roman" w:eastAsiaTheme="minorHAnsi" w:hAnsi="Times New Roman"/>
          <w:kern w:val="2"/>
          <w:sz w:val="24"/>
          <w:szCs w:val="24"/>
          <w:lang w:eastAsia="en-US"/>
          <w14:ligatures w14:val="standardContextual"/>
        </w:rPr>
        <w:t>échelle</w:t>
      </w:r>
      <w:r w:rsidRPr="007C5A6E">
        <w:rPr>
          <w:rFonts w:ascii="Times New Roman" w:eastAsiaTheme="minorHAnsi" w:hAnsi="Times New Roman"/>
          <w:kern w:val="2"/>
          <w:sz w:val="24"/>
          <w:szCs w:val="24"/>
          <w:lang w:eastAsia="en-US"/>
          <w14:ligatures w14:val="standardContextual"/>
        </w:rPr>
        <w:t xml:space="preserve">, en </w:t>
      </w:r>
      <w:r w:rsidR="0007503D" w:rsidRPr="007C5A6E">
        <w:rPr>
          <w:rFonts w:ascii="Times New Roman" w:eastAsiaTheme="minorHAnsi" w:hAnsi="Times New Roman"/>
          <w:kern w:val="2"/>
          <w:sz w:val="24"/>
          <w:szCs w:val="24"/>
          <w:lang w:eastAsia="en-US"/>
          <w14:ligatures w14:val="standardContextual"/>
        </w:rPr>
        <w:t>distinguant</w:t>
      </w:r>
      <w:r w:rsidRPr="007C5A6E">
        <w:rPr>
          <w:rFonts w:ascii="Times New Roman" w:eastAsiaTheme="minorHAnsi" w:hAnsi="Times New Roman"/>
          <w:kern w:val="2"/>
          <w:sz w:val="24"/>
          <w:szCs w:val="24"/>
          <w:lang w:eastAsia="en-US"/>
          <w14:ligatures w14:val="standardContextual"/>
        </w:rPr>
        <w:t xml:space="preserve"> les textes internationaux, les textes régionaux et ceux pris à l’interne, soit</w:t>
      </w:r>
      <w:r w:rsidR="0007503D" w:rsidRPr="007C5A6E">
        <w:rPr>
          <w:rFonts w:ascii="Times New Roman" w:eastAsiaTheme="minorHAnsi" w:hAnsi="Times New Roman"/>
          <w:kern w:val="2"/>
          <w:sz w:val="24"/>
          <w:szCs w:val="24"/>
          <w:lang w:eastAsia="en-US"/>
          <w14:ligatures w14:val="standardContextual"/>
        </w:rPr>
        <w:t xml:space="preserve"> </w:t>
      </w:r>
      <w:r w:rsidRPr="007C5A6E">
        <w:rPr>
          <w:rFonts w:ascii="Times New Roman" w:eastAsiaTheme="minorHAnsi" w:hAnsi="Times New Roman"/>
          <w:kern w:val="2"/>
          <w:sz w:val="24"/>
          <w:szCs w:val="24"/>
          <w:lang w:eastAsia="en-US"/>
          <w14:ligatures w14:val="standardContextual"/>
        </w:rPr>
        <w:t>en application des textes internationaux et régionaux, soit à la propre initiative du pays.</w:t>
      </w:r>
    </w:p>
    <w:p w14:paraId="05F47828" w14:textId="77777777" w:rsidR="001F7AA6" w:rsidRPr="007C5A6E" w:rsidRDefault="001F7AA6" w:rsidP="00537BE0">
      <w:pPr>
        <w:spacing w:after="0" w:line="240" w:lineRule="auto"/>
        <w:jc w:val="both"/>
        <w:rPr>
          <w:rFonts w:ascii="Times New Roman" w:eastAsiaTheme="minorHAnsi" w:hAnsi="Times New Roman"/>
          <w:kern w:val="2"/>
          <w:sz w:val="24"/>
          <w:szCs w:val="24"/>
          <w:lang w:eastAsia="en-US"/>
          <w14:ligatures w14:val="standardContextual"/>
        </w:rPr>
      </w:pPr>
    </w:p>
    <w:p w14:paraId="0EB254CD" w14:textId="0B1D1A91" w:rsidR="001F7AA6" w:rsidRPr="007C5A6E" w:rsidRDefault="00CF3A5D" w:rsidP="00537BE0">
      <w:pPr>
        <w:pStyle w:val="Titre4"/>
      </w:pPr>
      <w:bookmarkStart w:id="1618" w:name="_Toc183340356"/>
      <w:bookmarkEnd w:id="1614"/>
      <w:r w:rsidRPr="007C5A6E">
        <w:t>A l’é</w:t>
      </w:r>
      <w:r w:rsidR="001F7AA6" w:rsidRPr="007C5A6E">
        <w:t>chelle internationale</w:t>
      </w:r>
      <w:bookmarkEnd w:id="1618"/>
    </w:p>
    <w:p w14:paraId="6A6BEDC6" w14:textId="77777777" w:rsidR="001F7AA6" w:rsidRPr="007C5A6E" w:rsidRDefault="001F7AA6" w:rsidP="00537BE0">
      <w:pPr>
        <w:spacing w:after="0" w:line="240" w:lineRule="auto"/>
        <w:rPr>
          <w:rFonts w:asciiTheme="minorHAnsi" w:eastAsiaTheme="minorHAnsi" w:hAnsiTheme="minorHAnsi" w:cstheme="minorBidi"/>
          <w:kern w:val="2"/>
          <w:lang w:eastAsia="en-US"/>
          <w14:ligatures w14:val="standardContextual"/>
        </w:rPr>
      </w:pPr>
    </w:p>
    <w:p w14:paraId="3AF6C5A1" w14:textId="77777777" w:rsidR="00712C43" w:rsidRPr="007C5A6E" w:rsidRDefault="00712C43" w:rsidP="00537BE0">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Au niveau international, plusieurs instruments réglementaires visent à encadrer l'utilisation des pesticides et à contrôler la pollution. Parmi ceux-ci, on retrouve :</w:t>
      </w:r>
    </w:p>
    <w:p w14:paraId="498DB2B3" w14:textId="42147561" w:rsidR="001F7AA6" w:rsidRPr="007C5A6E" w:rsidRDefault="00712C43" w:rsidP="00537BE0">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 </w:t>
      </w:r>
      <w:r w:rsidR="001F7AA6" w:rsidRPr="007C5A6E">
        <w:rPr>
          <w:rFonts w:ascii="Times New Roman" w:eastAsiaTheme="minorHAnsi" w:hAnsi="Times New Roman"/>
          <w:kern w:val="2"/>
          <w:sz w:val="24"/>
          <w:szCs w:val="24"/>
          <w:lang w:eastAsia="en-US"/>
          <w14:ligatures w14:val="standardContextual"/>
        </w:rPr>
        <w:t xml:space="preserve">Code international de conduite pour la distribution et l’utilisation des Pesticides de la </w:t>
      </w:r>
      <w:proofErr w:type="gramStart"/>
      <w:r w:rsidR="001F7AA6" w:rsidRPr="007C5A6E">
        <w:rPr>
          <w:rFonts w:ascii="Times New Roman" w:eastAsiaTheme="minorHAnsi" w:hAnsi="Times New Roman"/>
          <w:kern w:val="2"/>
          <w:sz w:val="24"/>
          <w:szCs w:val="24"/>
          <w:lang w:eastAsia="en-US"/>
          <w14:ligatures w14:val="standardContextual"/>
        </w:rPr>
        <w:t>FAO;</w:t>
      </w:r>
      <w:proofErr w:type="gramEnd"/>
    </w:p>
    <w:p w14:paraId="5C0D5AD6" w14:textId="23423DAE" w:rsidR="001F7AA6" w:rsidRPr="007C5A6E" w:rsidRDefault="00712C43" w:rsidP="00537BE0">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La </w:t>
      </w:r>
      <w:r w:rsidR="001F7AA6" w:rsidRPr="007C5A6E">
        <w:rPr>
          <w:rFonts w:ascii="Times New Roman" w:eastAsiaTheme="minorHAnsi" w:hAnsi="Times New Roman"/>
          <w:kern w:val="2"/>
          <w:sz w:val="24"/>
          <w:szCs w:val="24"/>
          <w:lang w:eastAsia="en-US"/>
          <w14:ligatures w14:val="standardContextual"/>
        </w:rPr>
        <w:t xml:space="preserve">Convention de </w:t>
      </w:r>
      <w:r w:rsidRPr="007C5A6E">
        <w:rPr>
          <w:rFonts w:ascii="Times New Roman" w:eastAsiaTheme="minorHAnsi" w:hAnsi="Times New Roman"/>
          <w:kern w:val="2"/>
          <w:sz w:val="24"/>
          <w:szCs w:val="24"/>
          <w:lang w:eastAsia="en-US"/>
          <w14:ligatures w14:val="standardContextual"/>
        </w:rPr>
        <w:t>Rotterdam :</w:t>
      </w:r>
      <w:r w:rsidR="001F7AA6" w:rsidRPr="007C5A6E">
        <w:rPr>
          <w:rFonts w:ascii="Times New Roman" w:eastAsiaTheme="minorHAnsi" w:hAnsi="Times New Roman"/>
          <w:kern w:val="2"/>
          <w:sz w:val="24"/>
          <w:szCs w:val="24"/>
          <w:lang w:eastAsia="en-US"/>
          <w14:ligatures w14:val="standardContextual"/>
        </w:rPr>
        <w:t xml:space="preserve"> Elle porte sur la procédure de consentement préalable en connaissance de cause (PIC) applicable à certains produits chimiques et pesticides dangereux qui font l’objet d’un commerce </w:t>
      </w:r>
      <w:r w:rsidRPr="007C5A6E">
        <w:rPr>
          <w:rFonts w:ascii="Times New Roman" w:eastAsiaTheme="minorHAnsi" w:hAnsi="Times New Roman"/>
          <w:kern w:val="2"/>
          <w:sz w:val="24"/>
          <w:szCs w:val="24"/>
          <w:lang w:eastAsia="en-US"/>
          <w14:ligatures w14:val="standardContextual"/>
        </w:rPr>
        <w:t>international ;</w:t>
      </w:r>
    </w:p>
    <w:p w14:paraId="0762AD78" w14:textId="3C12A228" w:rsidR="001F7AA6" w:rsidRPr="007C5A6E" w:rsidRDefault="00712C43" w:rsidP="00537BE0">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La </w:t>
      </w:r>
      <w:r w:rsidR="001F7AA6" w:rsidRPr="007C5A6E">
        <w:rPr>
          <w:rFonts w:ascii="Times New Roman" w:eastAsiaTheme="minorHAnsi" w:hAnsi="Times New Roman"/>
          <w:kern w:val="2"/>
          <w:sz w:val="24"/>
          <w:szCs w:val="24"/>
          <w:lang w:eastAsia="en-US"/>
          <w14:ligatures w14:val="standardContextual"/>
        </w:rPr>
        <w:t>Convention de Stockholm sur les polluants organiques persistants (</w:t>
      </w:r>
      <w:proofErr w:type="spellStart"/>
      <w:r w:rsidR="001F7AA6" w:rsidRPr="007C5A6E">
        <w:rPr>
          <w:rFonts w:ascii="Times New Roman" w:eastAsiaTheme="minorHAnsi" w:hAnsi="Times New Roman"/>
          <w:kern w:val="2"/>
          <w:sz w:val="24"/>
          <w:szCs w:val="24"/>
          <w:lang w:eastAsia="en-US"/>
          <w14:ligatures w14:val="standardContextual"/>
        </w:rPr>
        <w:t>POPs</w:t>
      </w:r>
      <w:proofErr w:type="spellEnd"/>
      <w:r w:rsidR="001F7AA6" w:rsidRPr="007C5A6E">
        <w:rPr>
          <w:rFonts w:ascii="Times New Roman" w:eastAsiaTheme="minorHAnsi" w:hAnsi="Times New Roman"/>
          <w:kern w:val="2"/>
          <w:sz w:val="24"/>
          <w:szCs w:val="24"/>
          <w:lang w:eastAsia="en-US"/>
          <w14:ligatures w14:val="standardContextual"/>
        </w:rPr>
        <w:t>)</w:t>
      </w:r>
      <w:r w:rsidRPr="007C5A6E">
        <w:rPr>
          <w:rFonts w:ascii="Times New Roman" w:eastAsiaTheme="minorHAnsi" w:hAnsi="Times New Roman"/>
          <w:kern w:val="2"/>
          <w:sz w:val="24"/>
          <w:szCs w:val="24"/>
          <w:lang w:eastAsia="en-US"/>
          <w14:ligatures w14:val="standardContextual"/>
        </w:rPr>
        <w:t xml:space="preserve"> </w:t>
      </w:r>
      <w:r w:rsidR="001F7AA6" w:rsidRPr="007C5A6E">
        <w:rPr>
          <w:rFonts w:ascii="Times New Roman" w:eastAsiaTheme="minorHAnsi" w:hAnsi="Times New Roman"/>
          <w:kern w:val="2"/>
          <w:sz w:val="24"/>
          <w:szCs w:val="24"/>
          <w:lang w:eastAsia="en-US"/>
          <w14:ligatures w14:val="standardContextual"/>
        </w:rPr>
        <w:t>;</w:t>
      </w:r>
    </w:p>
    <w:p w14:paraId="6FA59362" w14:textId="56215CC7" w:rsidR="001F7AA6" w:rsidRPr="007C5A6E" w:rsidRDefault="00712C43" w:rsidP="00537BE0">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La </w:t>
      </w:r>
      <w:r w:rsidR="001F7AA6" w:rsidRPr="007C5A6E">
        <w:rPr>
          <w:rFonts w:ascii="Times New Roman" w:eastAsiaTheme="minorHAnsi" w:hAnsi="Times New Roman"/>
          <w:kern w:val="2"/>
          <w:sz w:val="24"/>
          <w:szCs w:val="24"/>
          <w:lang w:eastAsia="en-US"/>
          <w14:ligatures w14:val="standardContextual"/>
        </w:rPr>
        <w:t xml:space="preserve">Convention de Bâle et de Bamako sur le contrôle des mouvements transfrontaliers des déchets dangereux et de leur </w:t>
      </w:r>
      <w:r w:rsidRPr="007C5A6E">
        <w:rPr>
          <w:rFonts w:ascii="Times New Roman" w:eastAsiaTheme="minorHAnsi" w:hAnsi="Times New Roman"/>
          <w:kern w:val="2"/>
          <w:sz w:val="24"/>
          <w:szCs w:val="24"/>
          <w:lang w:eastAsia="en-US"/>
          <w14:ligatures w14:val="standardContextual"/>
        </w:rPr>
        <w:t>élimination ;</w:t>
      </w:r>
    </w:p>
    <w:p w14:paraId="3E13F8AF" w14:textId="3035EBF7" w:rsidR="001F7AA6" w:rsidRPr="007C5A6E" w:rsidRDefault="00712C43" w:rsidP="00537BE0">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La </w:t>
      </w:r>
      <w:r w:rsidR="001F7AA6" w:rsidRPr="007C5A6E">
        <w:rPr>
          <w:rFonts w:ascii="Times New Roman" w:eastAsiaTheme="minorHAnsi" w:hAnsi="Times New Roman"/>
          <w:kern w:val="2"/>
          <w:sz w:val="24"/>
          <w:szCs w:val="24"/>
          <w:lang w:eastAsia="en-US"/>
          <w14:ligatures w14:val="standardContextual"/>
        </w:rPr>
        <w:t xml:space="preserve">Convention Internationale pour la Protection des Végétaux adoptée à Rome en décembre </w:t>
      </w:r>
      <w:proofErr w:type="gramStart"/>
      <w:r w:rsidR="001F7AA6" w:rsidRPr="007C5A6E">
        <w:rPr>
          <w:rFonts w:ascii="Times New Roman" w:eastAsiaTheme="minorHAnsi" w:hAnsi="Times New Roman"/>
          <w:kern w:val="2"/>
          <w:sz w:val="24"/>
          <w:szCs w:val="24"/>
          <w:lang w:eastAsia="en-US"/>
          <w14:ligatures w14:val="standardContextual"/>
        </w:rPr>
        <w:t>1951;</w:t>
      </w:r>
      <w:proofErr w:type="gramEnd"/>
    </w:p>
    <w:p w14:paraId="1F382293" w14:textId="58F11462" w:rsidR="001F7AA6" w:rsidRPr="007C5A6E" w:rsidRDefault="00712C43" w:rsidP="00537BE0">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La </w:t>
      </w:r>
      <w:r w:rsidR="001F7AA6" w:rsidRPr="007C5A6E">
        <w:rPr>
          <w:rFonts w:ascii="Times New Roman" w:eastAsiaTheme="minorHAnsi" w:hAnsi="Times New Roman"/>
          <w:kern w:val="2"/>
          <w:sz w:val="24"/>
          <w:szCs w:val="24"/>
          <w:lang w:eastAsia="en-US"/>
          <w14:ligatures w14:val="standardContextual"/>
        </w:rPr>
        <w:t xml:space="preserve">Convention Cadre des Nations Unies sur les Changements Climatiques (CCNUCC) et la Convention sur la Diversité Biologique (CDB) Rio de Janeiro </w:t>
      </w:r>
      <w:r w:rsidRPr="007C5A6E">
        <w:rPr>
          <w:rFonts w:ascii="Times New Roman" w:eastAsiaTheme="minorHAnsi" w:hAnsi="Times New Roman"/>
          <w:kern w:val="2"/>
          <w:sz w:val="24"/>
          <w:szCs w:val="24"/>
          <w:lang w:eastAsia="en-US"/>
          <w14:ligatures w14:val="standardContextual"/>
        </w:rPr>
        <w:t>1992 ;</w:t>
      </w:r>
    </w:p>
    <w:p w14:paraId="47932271" w14:textId="33A7E87E" w:rsidR="001F7AA6" w:rsidRPr="007C5A6E" w:rsidRDefault="00712C43" w:rsidP="00537BE0">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La </w:t>
      </w:r>
      <w:r w:rsidR="001F7AA6" w:rsidRPr="007C5A6E">
        <w:rPr>
          <w:rFonts w:ascii="Times New Roman" w:eastAsiaTheme="minorHAnsi" w:hAnsi="Times New Roman"/>
          <w:kern w:val="2"/>
          <w:sz w:val="24"/>
          <w:szCs w:val="24"/>
          <w:lang w:eastAsia="en-US"/>
          <w14:ligatures w14:val="standardContextual"/>
        </w:rPr>
        <w:t xml:space="preserve">Réglementation du Commerce Extérieur sur les </w:t>
      </w:r>
      <w:r w:rsidRPr="007C5A6E">
        <w:rPr>
          <w:rFonts w:ascii="Times New Roman" w:eastAsiaTheme="minorHAnsi" w:hAnsi="Times New Roman"/>
          <w:kern w:val="2"/>
          <w:sz w:val="24"/>
          <w:szCs w:val="24"/>
          <w:lang w:eastAsia="en-US"/>
          <w14:ligatures w14:val="standardContextual"/>
        </w:rPr>
        <w:t>Pesticides ;</w:t>
      </w:r>
    </w:p>
    <w:p w14:paraId="729D1600" w14:textId="3749875B" w:rsidR="001F7AA6" w:rsidRPr="007C5A6E" w:rsidRDefault="00712C43" w:rsidP="00537BE0">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Les </w:t>
      </w:r>
      <w:r w:rsidR="001F7AA6" w:rsidRPr="007C5A6E">
        <w:rPr>
          <w:rFonts w:ascii="Times New Roman" w:eastAsiaTheme="minorHAnsi" w:hAnsi="Times New Roman"/>
          <w:kern w:val="2"/>
          <w:sz w:val="24"/>
          <w:szCs w:val="24"/>
          <w:lang w:eastAsia="en-US"/>
          <w14:ligatures w14:val="standardContextual"/>
        </w:rPr>
        <w:t>Sauvegarde</w:t>
      </w:r>
      <w:r w:rsidRPr="007C5A6E">
        <w:rPr>
          <w:rFonts w:ascii="Times New Roman" w:eastAsiaTheme="minorHAnsi" w:hAnsi="Times New Roman"/>
          <w:kern w:val="2"/>
          <w:sz w:val="24"/>
          <w:szCs w:val="24"/>
          <w:lang w:eastAsia="en-US"/>
          <w14:ligatures w14:val="standardContextual"/>
        </w:rPr>
        <w:t>s</w:t>
      </w:r>
      <w:r w:rsidR="001F7AA6" w:rsidRPr="007C5A6E">
        <w:rPr>
          <w:rFonts w:ascii="Times New Roman" w:eastAsiaTheme="minorHAnsi" w:hAnsi="Times New Roman"/>
          <w:kern w:val="2"/>
          <w:sz w:val="24"/>
          <w:szCs w:val="24"/>
          <w:lang w:eastAsia="en-US"/>
          <w14:ligatures w14:val="standardContextual"/>
        </w:rPr>
        <w:t xml:space="preserve"> opérationnelle</w:t>
      </w:r>
      <w:r w:rsidRPr="007C5A6E">
        <w:rPr>
          <w:rFonts w:ascii="Times New Roman" w:eastAsiaTheme="minorHAnsi" w:hAnsi="Times New Roman"/>
          <w:kern w:val="2"/>
          <w:sz w:val="24"/>
          <w:szCs w:val="24"/>
          <w:lang w:eastAsia="en-US"/>
          <w14:ligatures w14:val="standardContextual"/>
        </w:rPr>
        <w:t>s</w:t>
      </w:r>
      <w:r w:rsidR="001F7AA6" w:rsidRPr="007C5A6E">
        <w:rPr>
          <w:rFonts w:ascii="Times New Roman" w:eastAsiaTheme="minorHAnsi" w:hAnsi="Times New Roman"/>
          <w:kern w:val="2"/>
          <w:sz w:val="24"/>
          <w:szCs w:val="24"/>
          <w:lang w:eastAsia="en-US"/>
          <w14:ligatures w14:val="standardContextual"/>
        </w:rPr>
        <w:t xml:space="preserve"> (SO4) de la BAD : Prévention et contrôle de la pollution, matières dangereuses et utilisation efficiente des ressources.</w:t>
      </w:r>
    </w:p>
    <w:p w14:paraId="3AC420D9" w14:textId="1224C4B8" w:rsidR="001F7AA6" w:rsidRPr="007C5A6E" w:rsidRDefault="00CF3A5D" w:rsidP="00537BE0">
      <w:pPr>
        <w:pStyle w:val="Titre4"/>
      </w:pPr>
      <w:bookmarkStart w:id="1619" w:name="_Toc182986605"/>
      <w:bookmarkStart w:id="1620" w:name="_Toc183340357"/>
      <w:r w:rsidRPr="007C5A6E">
        <w:t>A l’é</w:t>
      </w:r>
      <w:r w:rsidR="001F7AA6" w:rsidRPr="007C5A6E">
        <w:t>chelle régionale et sous</w:t>
      </w:r>
      <w:r w:rsidRPr="007C5A6E">
        <w:t>-</w:t>
      </w:r>
      <w:r w:rsidR="001F7AA6" w:rsidRPr="007C5A6E">
        <w:t>régionale</w:t>
      </w:r>
      <w:bookmarkEnd w:id="1619"/>
      <w:bookmarkEnd w:id="1620"/>
      <w:r w:rsidR="001F7AA6" w:rsidRPr="007C5A6E">
        <w:t xml:space="preserve"> </w:t>
      </w:r>
    </w:p>
    <w:p w14:paraId="112CE6EC" w14:textId="77777777" w:rsidR="001F7AA6" w:rsidRPr="007C5A6E" w:rsidRDefault="001F7AA6" w:rsidP="00537BE0">
      <w:pPr>
        <w:spacing w:after="0" w:line="240" w:lineRule="auto"/>
        <w:rPr>
          <w:rFonts w:asciiTheme="minorHAnsi" w:eastAsiaTheme="minorHAnsi" w:hAnsiTheme="minorHAnsi" w:cstheme="minorBidi"/>
          <w:kern w:val="2"/>
          <w:lang w:eastAsia="en-US"/>
          <w14:ligatures w14:val="standardContextual"/>
        </w:rPr>
      </w:pPr>
    </w:p>
    <w:p w14:paraId="6F8F3889" w14:textId="77777777" w:rsidR="00712C43" w:rsidRPr="007C5A6E" w:rsidRDefault="00712C43" w:rsidP="00537BE0">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Au niveau régional, plusieurs instruments encadrent la gestion des pesticides dans les pays d'Afrique.</w:t>
      </w:r>
    </w:p>
    <w:p w14:paraId="02A3A728" w14:textId="44DB9A20" w:rsidR="001F7AA6" w:rsidRPr="007C5A6E" w:rsidRDefault="00712C43" w:rsidP="00537BE0">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La rè</w:t>
      </w:r>
      <w:r w:rsidR="001F7AA6" w:rsidRPr="007C5A6E">
        <w:rPr>
          <w:rFonts w:ascii="Times New Roman" w:eastAsiaTheme="minorHAnsi" w:hAnsi="Times New Roman"/>
          <w:kern w:val="2"/>
          <w:sz w:val="24"/>
          <w:szCs w:val="24"/>
          <w:lang w:eastAsia="en-US"/>
          <w14:ligatures w14:val="standardContextual"/>
        </w:rPr>
        <w:t>glementation commune aux Etats membres du CILSS sur l’homologation des pesticides</w:t>
      </w:r>
      <w:r w:rsidRPr="007C5A6E">
        <w:rPr>
          <w:rFonts w:ascii="Times New Roman" w:eastAsiaTheme="minorHAnsi" w:hAnsi="Times New Roman"/>
          <w:kern w:val="2"/>
          <w:sz w:val="24"/>
          <w:szCs w:val="24"/>
          <w:lang w:eastAsia="en-US"/>
          <w14:ligatures w14:val="standardContextual"/>
        </w:rPr>
        <w:t xml:space="preserve"> </w:t>
      </w:r>
      <w:r w:rsidR="001F7AA6" w:rsidRPr="007C5A6E">
        <w:rPr>
          <w:rFonts w:ascii="Times New Roman" w:eastAsiaTheme="minorHAnsi" w:hAnsi="Times New Roman"/>
          <w:kern w:val="2"/>
          <w:sz w:val="24"/>
          <w:szCs w:val="24"/>
          <w:lang w:eastAsia="en-US"/>
          <w14:ligatures w14:val="standardContextual"/>
        </w:rPr>
        <w:t>;</w:t>
      </w:r>
    </w:p>
    <w:p w14:paraId="5B505E94" w14:textId="190D9AA5" w:rsidR="001F7AA6" w:rsidRPr="007C5A6E" w:rsidRDefault="00712C43" w:rsidP="00537BE0">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La </w:t>
      </w:r>
      <w:r w:rsidR="00315704" w:rsidRPr="007C5A6E">
        <w:rPr>
          <w:rFonts w:ascii="Times New Roman" w:eastAsiaTheme="minorHAnsi" w:hAnsi="Times New Roman"/>
          <w:kern w:val="2"/>
          <w:sz w:val="24"/>
          <w:szCs w:val="24"/>
          <w:lang w:eastAsia="en-US"/>
          <w14:ligatures w14:val="standardContextual"/>
        </w:rPr>
        <w:t>règlementation</w:t>
      </w:r>
      <w:r w:rsidRPr="007C5A6E">
        <w:rPr>
          <w:rFonts w:ascii="Times New Roman" w:eastAsiaTheme="minorHAnsi" w:hAnsi="Times New Roman"/>
          <w:kern w:val="2"/>
          <w:sz w:val="24"/>
          <w:szCs w:val="24"/>
          <w:lang w:eastAsia="en-US"/>
          <w14:ligatures w14:val="standardContextual"/>
        </w:rPr>
        <w:t xml:space="preserve"> </w:t>
      </w:r>
      <w:r w:rsidR="001F7AA6" w:rsidRPr="007C5A6E">
        <w:rPr>
          <w:rFonts w:ascii="Times New Roman" w:eastAsiaTheme="minorHAnsi" w:hAnsi="Times New Roman"/>
          <w:kern w:val="2"/>
          <w:sz w:val="24"/>
          <w:szCs w:val="24"/>
          <w:lang w:eastAsia="en-US"/>
          <w14:ligatures w14:val="standardContextual"/>
        </w:rPr>
        <w:t>de la CEDEAO sur la gestion des pesticides (COAHP)</w:t>
      </w:r>
      <w:r w:rsidRPr="007C5A6E">
        <w:rPr>
          <w:rFonts w:ascii="Times New Roman" w:eastAsiaTheme="minorHAnsi" w:hAnsi="Times New Roman"/>
          <w:kern w:val="2"/>
          <w:sz w:val="24"/>
          <w:szCs w:val="24"/>
          <w:lang w:eastAsia="en-US"/>
          <w14:ligatures w14:val="standardContextual"/>
        </w:rPr>
        <w:t xml:space="preserve"> </w:t>
      </w:r>
      <w:r w:rsidR="001F7AA6" w:rsidRPr="007C5A6E">
        <w:rPr>
          <w:rFonts w:ascii="Times New Roman" w:eastAsiaTheme="minorHAnsi" w:hAnsi="Times New Roman"/>
          <w:kern w:val="2"/>
          <w:sz w:val="24"/>
          <w:szCs w:val="24"/>
          <w:lang w:eastAsia="en-US"/>
          <w14:ligatures w14:val="standardContextual"/>
        </w:rPr>
        <w:t>;</w:t>
      </w:r>
    </w:p>
    <w:p w14:paraId="354944B0" w14:textId="42CE63E1" w:rsidR="001F7AA6" w:rsidRPr="007C5A6E" w:rsidRDefault="00712C43" w:rsidP="00537BE0">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La </w:t>
      </w:r>
      <w:r w:rsidR="001F7AA6" w:rsidRPr="007C5A6E">
        <w:rPr>
          <w:rFonts w:ascii="Times New Roman" w:eastAsiaTheme="minorHAnsi" w:hAnsi="Times New Roman"/>
          <w:kern w:val="2"/>
          <w:sz w:val="24"/>
          <w:szCs w:val="24"/>
          <w:lang w:eastAsia="en-US"/>
          <w14:ligatures w14:val="standardContextual"/>
        </w:rPr>
        <w:t>Convention de Bamako sur l’interdiction de l'importation en Afrique et le déversement ou l'incinération dans l'océan et les eaux intérieures de déchets dangereux, y compris les déchets radioactifs</w:t>
      </w:r>
      <w:r w:rsidRPr="007C5A6E">
        <w:rPr>
          <w:rFonts w:ascii="Times New Roman" w:eastAsiaTheme="minorHAnsi" w:hAnsi="Times New Roman"/>
          <w:kern w:val="2"/>
          <w:sz w:val="24"/>
          <w:szCs w:val="24"/>
          <w:lang w:eastAsia="en-US"/>
          <w14:ligatures w14:val="standardContextual"/>
        </w:rPr>
        <w:t xml:space="preserve"> </w:t>
      </w:r>
      <w:r w:rsidR="001F7AA6" w:rsidRPr="007C5A6E">
        <w:rPr>
          <w:rFonts w:ascii="Times New Roman" w:eastAsiaTheme="minorHAnsi" w:hAnsi="Times New Roman"/>
          <w:kern w:val="2"/>
          <w:sz w:val="24"/>
          <w:szCs w:val="24"/>
          <w:lang w:eastAsia="en-US"/>
          <w14:ligatures w14:val="standardContextual"/>
        </w:rPr>
        <w:t>;</w:t>
      </w:r>
    </w:p>
    <w:p w14:paraId="56DCD426" w14:textId="276B3329" w:rsidR="001F7AA6" w:rsidRPr="007C5A6E" w:rsidRDefault="00712C43" w:rsidP="00537BE0">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Le règlement </w:t>
      </w:r>
      <w:r w:rsidR="001F7AA6" w:rsidRPr="007C5A6E">
        <w:rPr>
          <w:rFonts w:ascii="Times New Roman" w:eastAsiaTheme="minorHAnsi" w:hAnsi="Times New Roman"/>
          <w:kern w:val="2"/>
          <w:sz w:val="24"/>
          <w:szCs w:val="24"/>
          <w:lang w:eastAsia="en-US"/>
          <w14:ligatures w14:val="standardContextual"/>
        </w:rPr>
        <w:t>C/REG.3/05/2008 portant harmonisation des règles régissant l'homologation des pesticides dans l'espace CEDEAO.</w:t>
      </w:r>
    </w:p>
    <w:p w14:paraId="70C3A931" w14:textId="77777777" w:rsidR="001F7AA6" w:rsidRPr="007C5A6E" w:rsidRDefault="001F7AA6" w:rsidP="00537BE0">
      <w:pPr>
        <w:spacing w:after="0" w:line="240" w:lineRule="auto"/>
        <w:ind w:left="283"/>
        <w:contextualSpacing/>
        <w:jc w:val="both"/>
        <w:rPr>
          <w:rFonts w:ascii="Times New Roman" w:eastAsiaTheme="minorHAnsi" w:hAnsi="Times New Roman"/>
          <w:kern w:val="2"/>
          <w:sz w:val="24"/>
          <w:szCs w:val="24"/>
          <w:lang w:eastAsia="en-US"/>
          <w14:ligatures w14:val="standardContextual"/>
        </w:rPr>
      </w:pPr>
    </w:p>
    <w:p w14:paraId="1D3EB284" w14:textId="7116F4DA" w:rsidR="001F7AA6" w:rsidRPr="007C5A6E" w:rsidRDefault="00CF3A5D" w:rsidP="0093589E">
      <w:pPr>
        <w:pStyle w:val="Titre4"/>
      </w:pPr>
      <w:bookmarkStart w:id="1621" w:name="_Toc183340358"/>
      <w:r w:rsidRPr="007C5A6E">
        <w:t>A l’é</w:t>
      </w:r>
      <w:r w:rsidR="001F7AA6" w:rsidRPr="007C5A6E">
        <w:t>chelle nationale</w:t>
      </w:r>
      <w:bookmarkEnd w:id="1621"/>
    </w:p>
    <w:p w14:paraId="09533338"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400C6E5C" w14:textId="77777777" w:rsidR="00D012F3" w:rsidRPr="007C5A6E" w:rsidRDefault="00D012F3" w:rsidP="00D012F3">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A l’échelle nationale, plusieurs textes législatifs et réglementaires encadrent également la gestion des pesticides et des produits chimiques, en vue de protéger la santé publique et l'environnement.</w:t>
      </w:r>
    </w:p>
    <w:p w14:paraId="57E0A6D6" w14:textId="76335D81" w:rsidR="001F7AA6" w:rsidRPr="007C5A6E" w:rsidRDefault="00D012F3" w:rsidP="0093589E">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Loi </w:t>
      </w:r>
      <w:r w:rsidR="001F7AA6" w:rsidRPr="007C5A6E">
        <w:rPr>
          <w:rFonts w:ascii="Times New Roman" w:eastAsiaTheme="minorHAnsi" w:hAnsi="Times New Roman"/>
          <w:kern w:val="2"/>
          <w:sz w:val="24"/>
          <w:szCs w:val="24"/>
          <w:lang w:eastAsia="en-US"/>
          <w14:ligatures w14:val="standardContextual"/>
        </w:rPr>
        <w:t xml:space="preserve">N° 022-2005/AN </w:t>
      </w:r>
      <w:r w:rsidRPr="007C5A6E">
        <w:rPr>
          <w:rFonts w:ascii="Times New Roman" w:eastAsiaTheme="minorHAnsi" w:hAnsi="Times New Roman"/>
          <w:kern w:val="2"/>
          <w:sz w:val="24"/>
          <w:szCs w:val="24"/>
          <w:lang w:eastAsia="en-US"/>
          <w14:ligatures w14:val="standardContextual"/>
        </w:rPr>
        <w:t>portant code de l’hygiène publique au Burkina Faso</w:t>
      </w:r>
    </w:p>
    <w:p w14:paraId="606D421F" w14:textId="77777777" w:rsidR="001F7AA6" w:rsidRPr="007C5A6E" w:rsidRDefault="001F7AA6" w:rsidP="0093589E">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Loi n°006-2013/AN portant Code de l'Environnement du Burkina </w:t>
      </w:r>
      <w:proofErr w:type="gramStart"/>
      <w:r w:rsidRPr="007C5A6E">
        <w:rPr>
          <w:rFonts w:ascii="Times New Roman" w:eastAsiaTheme="minorHAnsi" w:hAnsi="Times New Roman"/>
          <w:kern w:val="2"/>
          <w:sz w:val="24"/>
          <w:szCs w:val="24"/>
          <w:lang w:eastAsia="en-US"/>
          <w14:ligatures w14:val="standardContextual"/>
        </w:rPr>
        <w:t>Faso;</w:t>
      </w:r>
      <w:proofErr w:type="gramEnd"/>
    </w:p>
    <w:p w14:paraId="5A8E8C0E" w14:textId="6E7D5655" w:rsidR="001F7AA6" w:rsidRPr="007C5A6E" w:rsidRDefault="001F7AA6" w:rsidP="0093589E">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Loi n°041/96/ADP du 8 novembre 1996 instituant un contrôle des pesticides au Burkina </w:t>
      </w:r>
      <w:r w:rsidR="00315704" w:rsidRPr="007C5A6E">
        <w:rPr>
          <w:rFonts w:ascii="Times New Roman" w:eastAsiaTheme="minorHAnsi" w:hAnsi="Times New Roman"/>
          <w:kern w:val="2"/>
          <w:sz w:val="24"/>
          <w:szCs w:val="24"/>
          <w:lang w:eastAsia="en-US"/>
          <w14:ligatures w14:val="standardContextual"/>
        </w:rPr>
        <w:t>Faso ;</w:t>
      </w:r>
    </w:p>
    <w:p w14:paraId="299FEB66" w14:textId="77777777" w:rsidR="001F7AA6" w:rsidRPr="007C5A6E" w:rsidRDefault="001F7AA6" w:rsidP="0093589E">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Loi n°006–98/AN du 26 mars 98 portant modification de la Loi n°041/96/ADP. </w:t>
      </w:r>
    </w:p>
    <w:p w14:paraId="77167A9F" w14:textId="52781B3A" w:rsidR="001F7AA6" w:rsidRPr="007C5A6E" w:rsidRDefault="001F7AA6" w:rsidP="0093589E">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Loi n°026-2017/AN du 15 mai 2017 (AN_BF, 2017), portant contrôle de la gestion des pesticides au Burkina </w:t>
      </w:r>
      <w:r w:rsidR="00315704" w:rsidRPr="007C5A6E">
        <w:rPr>
          <w:rFonts w:ascii="Times New Roman" w:eastAsiaTheme="minorHAnsi" w:hAnsi="Times New Roman"/>
          <w:kern w:val="2"/>
          <w:sz w:val="24"/>
          <w:szCs w:val="24"/>
          <w:lang w:eastAsia="en-US"/>
          <w14:ligatures w14:val="standardContextual"/>
        </w:rPr>
        <w:t>Faso ;</w:t>
      </w:r>
    </w:p>
    <w:p w14:paraId="346B2C69" w14:textId="77777777" w:rsidR="001F7AA6" w:rsidRPr="007C5A6E" w:rsidRDefault="001F7AA6" w:rsidP="0093589E">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Loi n° 064-2012/AN du 20 décembre 2012 portant régime de sécurité en matière de biotechnologie et ses décrets d’application ;</w:t>
      </w:r>
    </w:p>
    <w:p w14:paraId="0E937B5C" w14:textId="693DBE91" w:rsidR="001F7AA6" w:rsidRPr="007C5A6E" w:rsidRDefault="001F7AA6" w:rsidP="0093589E">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Arrêté N° 0431 du 8 Mars 1975 portant sur les prescriptions à respecter sur les emplacements des dépôts </w:t>
      </w:r>
      <w:r w:rsidR="00315704" w:rsidRPr="007C5A6E">
        <w:rPr>
          <w:rFonts w:ascii="Times New Roman" w:eastAsiaTheme="minorHAnsi" w:hAnsi="Times New Roman"/>
          <w:kern w:val="2"/>
          <w:sz w:val="24"/>
          <w:szCs w:val="24"/>
          <w:lang w:eastAsia="en-US"/>
          <w14:ligatures w14:val="standardContextual"/>
        </w:rPr>
        <w:t>d’hydrocarbures ;</w:t>
      </w:r>
    </w:p>
    <w:p w14:paraId="4AF02946" w14:textId="1AD7D071" w:rsidR="001F7AA6" w:rsidRPr="007C5A6E" w:rsidRDefault="001F7AA6" w:rsidP="0093589E">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Décret N° 75-008 du 10 Janvier 1975 portant règlementation des établissements dangereux, insalubres et </w:t>
      </w:r>
      <w:r w:rsidR="00315704" w:rsidRPr="007C5A6E">
        <w:rPr>
          <w:rFonts w:ascii="Times New Roman" w:eastAsiaTheme="minorHAnsi" w:hAnsi="Times New Roman"/>
          <w:kern w:val="2"/>
          <w:sz w:val="24"/>
          <w:szCs w:val="24"/>
          <w:lang w:eastAsia="en-US"/>
          <w14:ligatures w14:val="standardContextual"/>
        </w:rPr>
        <w:t>incommodes ;</w:t>
      </w:r>
    </w:p>
    <w:p w14:paraId="7A6C4CC0" w14:textId="3B5054CE" w:rsidR="001F7AA6" w:rsidRPr="007C5A6E" w:rsidRDefault="001F7AA6" w:rsidP="0093589E">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Loi N° 19/93 du 21 Mai 1997 sur l'interdiction d'importer des déchets dangereux et contrôle de leurs mouvements en </w:t>
      </w:r>
      <w:r w:rsidR="00315704" w:rsidRPr="007C5A6E">
        <w:rPr>
          <w:rFonts w:ascii="Times New Roman" w:eastAsiaTheme="minorHAnsi" w:hAnsi="Times New Roman"/>
          <w:kern w:val="2"/>
          <w:sz w:val="24"/>
          <w:szCs w:val="24"/>
          <w:lang w:eastAsia="en-US"/>
          <w14:ligatures w14:val="standardContextual"/>
        </w:rPr>
        <w:t>Afrique ;</w:t>
      </w:r>
    </w:p>
    <w:p w14:paraId="27C9584A" w14:textId="77777777" w:rsidR="001F7AA6" w:rsidRPr="007C5A6E" w:rsidRDefault="001F7AA6" w:rsidP="0093589E">
      <w:pPr>
        <w:spacing w:after="0" w:line="240" w:lineRule="auto"/>
        <w:ind w:left="283"/>
        <w:contextualSpacing/>
        <w:jc w:val="both"/>
        <w:rPr>
          <w:rFonts w:ascii="Times New Roman" w:eastAsiaTheme="minorHAnsi" w:hAnsi="Times New Roman"/>
          <w:kern w:val="2"/>
          <w:sz w:val="24"/>
          <w:szCs w:val="24"/>
          <w:lang w:eastAsia="en-US"/>
          <w14:ligatures w14:val="standardContextual"/>
        </w:rPr>
      </w:pPr>
    </w:p>
    <w:p w14:paraId="724CD025" w14:textId="77777777" w:rsidR="001F7AA6" w:rsidRPr="007C5A6E" w:rsidRDefault="001F7AA6" w:rsidP="0093589E">
      <w:pPr>
        <w:pStyle w:val="Titre3"/>
      </w:pPr>
      <w:bookmarkStart w:id="1622" w:name="_Toc182986607"/>
      <w:bookmarkStart w:id="1623" w:name="_Toc183340359"/>
      <w:r w:rsidRPr="007C5A6E">
        <w:t>Interventions préventives contre les maladies liées à l’environnement</w:t>
      </w:r>
      <w:bookmarkEnd w:id="1622"/>
      <w:bookmarkEnd w:id="1623"/>
    </w:p>
    <w:p w14:paraId="07D9FD4D"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50D72F24" w14:textId="77777777" w:rsidR="001F7AA6" w:rsidRPr="007C5A6E" w:rsidRDefault="001F7AA6" w:rsidP="0093589E">
      <w:pPr>
        <w:pStyle w:val="Titre4"/>
      </w:pPr>
      <w:r w:rsidRPr="007C5A6E">
        <w:t xml:space="preserve"> </w:t>
      </w:r>
      <w:bookmarkStart w:id="1624" w:name="_Toc183340360"/>
      <w:r w:rsidRPr="007C5A6E">
        <w:t>Les vaccinations</w:t>
      </w:r>
      <w:bookmarkEnd w:id="1624"/>
    </w:p>
    <w:p w14:paraId="6A384C72"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0CD99F7D"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Le Programme élargie de vaccination (PEV) est l’un des programmes prioritaires du Ministère de la Santé. Le programme s’articule autour de trois principales stratégies, à savoir la vaccination de routine, les activités de vaccination supplémentaires (AVS) et la surveillance des maladies cibles du PEV. Sa mise en œuvre est assurée par la Direction de la Prévention par les Vaccinations (DPV). Dans le cadre de la vaccination de routine, les antigènes actuellement administrés sont le vaccin contre la tuberculeuse, les vaccins contre la diphtérie, le tétanos, la coqueluche, l’hépatite B, l’</w:t>
      </w:r>
      <w:r w:rsidRPr="007C5A6E">
        <w:rPr>
          <w:rFonts w:ascii="Times New Roman" w:eastAsiaTheme="minorHAnsi" w:hAnsi="Times New Roman"/>
          <w:i/>
          <w:iCs/>
          <w:kern w:val="2"/>
          <w:sz w:val="24"/>
          <w:szCs w:val="24"/>
          <w:lang w:eastAsia="en-US"/>
          <w14:ligatures w14:val="standardContextual"/>
        </w:rPr>
        <w:t xml:space="preserve">Haemophilus influenzae </w:t>
      </w:r>
      <w:r w:rsidRPr="007C5A6E">
        <w:rPr>
          <w:rFonts w:ascii="Times New Roman" w:eastAsiaTheme="minorHAnsi" w:hAnsi="Times New Roman"/>
          <w:kern w:val="2"/>
          <w:sz w:val="24"/>
          <w:szCs w:val="24"/>
          <w:lang w:eastAsia="en-US"/>
          <w14:ligatures w14:val="standardContextual"/>
        </w:rPr>
        <w:t xml:space="preserve">sérotype b, le vaccin oral contre la Poliomyélite, le vaccin contre la rougeole et le vaccin contre la fièvre jaune pour les enfants ; enfin le vaccin contre le tétanos pour les femmes enceintes. </w:t>
      </w:r>
    </w:p>
    <w:p w14:paraId="6917A42D" w14:textId="77777777" w:rsidR="00747801" w:rsidRPr="007C5A6E" w:rsidRDefault="00747801" w:rsidP="0093589E">
      <w:pPr>
        <w:spacing w:after="0" w:line="240" w:lineRule="auto"/>
        <w:jc w:val="both"/>
        <w:rPr>
          <w:rFonts w:ascii="Times New Roman" w:eastAsiaTheme="minorHAnsi" w:hAnsi="Times New Roman"/>
          <w:kern w:val="2"/>
          <w:sz w:val="24"/>
          <w:szCs w:val="24"/>
          <w:lang w:eastAsia="en-US"/>
          <w14:ligatures w14:val="standardContextual"/>
        </w:rPr>
      </w:pPr>
    </w:p>
    <w:p w14:paraId="13C82B5F"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En marge de la vaccination de routine, des activités de vaccination supplémentaires sont régulièrement organisées pour renforcer l’immunité des populations dans la lutte contre certaines maladies prioritaires : la poliomyélite, la méningite, la fièvre jaune, la rougeole, le tétanos maternel et néonatal. Certaines de ces activités supplémentaires sont couplées à l’administration de la vitamine A. Quant à la surveillance des maladies cibles du PEV, ce sont les paralysies flasques aiguës (PFA), la rougeole, la fièvre jaune, le tétanos néonatal, et la coqueluche qui sont concernés.</w:t>
      </w:r>
    </w:p>
    <w:p w14:paraId="01348E64" w14:textId="77777777"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p>
    <w:p w14:paraId="5847529E" w14:textId="77777777" w:rsidR="001F7AA6" w:rsidRPr="007C5A6E" w:rsidRDefault="001F7AA6" w:rsidP="0093589E">
      <w:pPr>
        <w:pStyle w:val="Titre4"/>
      </w:pPr>
      <w:bookmarkStart w:id="1625" w:name="_Toc183340361"/>
      <w:r w:rsidRPr="007C5A6E">
        <w:t>Autres mesures</w:t>
      </w:r>
      <w:bookmarkEnd w:id="1625"/>
    </w:p>
    <w:p w14:paraId="43394B65"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080E3863" w14:textId="40CE6B2C" w:rsidR="001F7AA6" w:rsidRPr="007C5A6E" w:rsidRDefault="001A4040"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Dans le contexte actuel, l</w:t>
      </w:r>
      <w:r w:rsidR="001F7AA6" w:rsidRPr="007C5A6E">
        <w:rPr>
          <w:rFonts w:ascii="Times New Roman" w:eastAsiaTheme="minorHAnsi" w:hAnsi="Times New Roman"/>
          <w:kern w:val="2"/>
          <w:sz w:val="24"/>
          <w:szCs w:val="24"/>
          <w:lang w:eastAsia="en-US"/>
          <w14:ligatures w14:val="standardContextual"/>
        </w:rPr>
        <w:t xml:space="preserve">es autres formes de </w:t>
      </w:r>
      <w:r w:rsidR="00B11BAF" w:rsidRPr="007C5A6E">
        <w:rPr>
          <w:rFonts w:ascii="Times New Roman" w:eastAsiaTheme="minorHAnsi" w:hAnsi="Times New Roman"/>
          <w:kern w:val="2"/>
          <w:sz w:val="24"/>
          <w:szCs w:val="24"/>
          <w:lang w:eastAsia="en-US"/>
          <w14:ligatures w14:val="standardContextual"/>
        </w:rPr>
        <w:t>prévention</w:t>
      </w:r>
      <w:r w:rsidR="001F7AA6" w:rsidRPr="007C5A6E">
        <w:rPr>
          <w:rFonts w:ascii="Times New Roman" w:eastAsiaTheme="minorHAnsi" w:hAnsi="Times New Roman"/>
          <w:kern w:val="2"/>
          <w:sz w:val="24"/>
          <w:szCs w:val="24"/>
          <w:lang w:eastAsia="en-US"/>
          <w14:ligatures w14:val="standardContextual"/>
        </w:rPr>
        <w:t xml:space="preserve"> contre les maladies liées à l’environnement consistent entre autres</w:t>
      </w:r>
      <w:r w:rsidR="00BD11BA" w:rsidRPr="007C5A6E">
        <w:rPr>
          <w:rFonts w:ascii="Times New Roman" w:eastAsiaTheme="minorHAnsi" w:hAnsi="Times New Roman"/>
          <w:kern w:val="2"/>
          <w:sz w:val="24"/>
          <w:szCs w:val="24"/>
          <w:lang w:eastAsia="en-US"/>
          <w14:ligatures w14:val="standardContextual"/>
        </w:rPr>
        <w:t> </w:t>
      </w:r>
      <w:r w:rsidR="001F7AA6" w:rsidRPr="007C5A6E">
        <w:rPr>
          <w:rFonts w:ascii="Times New Roman" w:eastAsiaTheme="minorHAnsi" w:hAnsi="Times New Roman"/>
          <w:kern w:val="2"/>
          <w:sz w:val="24"/>
          <w:szCs w:val="24"/>
          <w:lang w:eastAsia="en-US"/>
          <w14:ligatures w14:val="standardContextual"/>
        </w:rPr>
        <w:t>:</w:t>
      </w:r>
    </w:p>
    <w:p w14:paraId="2495E783" w14:textId="0AC337C9" w:rsidR="001F7AA6" w:rsidRPr="007C5A6E" w:rsidRDefault="001F7AA6" w:rsidP="0093589E">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proofErr w:type="gramStart"/>
      <w:r w:rsidRPr="007C5A6E">
        <w:rPr>
          <w:rFonts w:ascii="Times New Roman" w:eastAsiaTheme="minorHAnsi" w:hAnsi="Times New Roman"/>
          <w:kern w:val="2"/>
          <w:sz w:val="24"/>
          <w:szCs w:val="24"/>
          <w:lang w:eastAsia="en-US"/>
          <w14:ligatures w14:val="standardContextual"/>
        </w:rPr>
        <w:t>à</w:t>
      </w:r>
      <w:proofErr w:type="gramEnd"/>
      <w:r w:rsidRPr="007C5A6E">
        <w:rPr>
          <w:rFonts w:ascii="Times New Roman" w:eastAsiaTheme="minorHAnsi" w:hAnsi="Times New Roman"/>
          <w:kern w:val="2"/>
          <w:sz w:val="24"/>
          <w:szCs w:val="24"/>
          <w:lang w:eastAsia="en-US"/>
          <w14:ligatures w14:val="standardContextual"/>
        </w:rPr>
        <w:t xml:space="preserve"> l’application rigoureuse de la réglementation, afin d’éviter une </w:t>
      </w:r>
      <w:r w:rsidR="00B11BAF" w:rsidRPr="007C5A6E">
        <w:rPr>
          <w:rFonts w:ascii="Times New Roman" w:eastAsiaTheme="minorHAnsi" w:hAnsi="Times New Roman"/>
          <w:kern w:val="2"/>
          <w:sz w:val="24"/>
          <w:szCs w:val="24"/>
          <w:lang w:eastAsia="en-US"/>
          <w14:ligatures w14:val="standardContextual"/>
        </w:rPr>
        <w:t>dégradation</w:t>
      </w:r>
      <w:r w:rsidRPr="007C5A6E">
        <w:rPr>
          <w:rFonts w:ascii="Times New Roman" w:eastAsiaTheme="minorHAnsi" w:hAnsi="Times New Roman"/>
          <w:kern w:val="2"/>
          <w:sz w:val="24"/>
          <w:szCs w:val="24"/>
          <w:lang w:eastAsia="en-US"/>
          <w14:ligatures w14:val="standardContextual"/>
        </w:rPr>
        <w:t xml:space="preserve"> de l’environnement</w:t>
      </w:r>
      <w:r w:rsidR="00D140C9" w:rsidRPr="007C5A6E">
        <w:rPr>
          <w:rFonts w:ascii="Times New Roman" w:eastAsiaTheme="minorHAnsi" w:hAnsi="Times New Roman"/>
          <w:kern w:val="2"/>
          <w:sz w:val="24"/>
          <w:szCs w:val="24"/>
          <w:lang w:eastAsia="en-US"/>
          <w14:ligatures w14:val="standardContextual"/>
        </w:rPr>
        <w:t> </w:t>
      </w:r>
      <w:r w:rsidRPr="007C5A6E">
        <w:rPr>
          <w:rFonts w:ascii="Times New Roman" w:eastAsiaTheme="minorHAnsi" w:hAnsi="Times New Roman"/>
          <w:kern w:val="2"/>
          <w:sz w:val="24"/>
          <w:szCs w:val="24"/>
          <w:lang w:eastAsia="en-US"/>
          <w14:ligatures w14:val="standardContextual"/>
        </w:rPr>
        <w:t>;</w:t>
      </w:r>
    </w:p>
    <w:p w14:paraId="25DF5340" w14:textId="7E3FBF2E" w:rsidR="001F7AA6" w:rsidRPr="007C5A6E" w:rsidRDefault="001F7AA6" w:rsidP="0093589E">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proofErr w:type="gramStart"/>
      <w:r w:rsidRPr="007C5A6E">
        <w:rPr>
          <w:rFonts w:ascii="Times New Roman" w:eastAsiaTheme="minorHAnsi" w:hAnsi="Times New Roman"/>
          <w:kern w:val="2"/>
          <w:sz w:val="24"/>
          <w:szCs w:val="24"/>
          <w:lang w:eastAsia="en-US"/>
          <w14:ligatures w14:val="standardContextual"/>
        </w:rPr>
        <w:t>la</w:t>
      </w:r>
      <w:proofErr w:type="gramEnd"/>
      <w:r w:rsidRPr="007C5A6E">
        <w:rPr>
          <w:rFonts w:ascii="Times New Roman" w:eastAsiaTheme="minorHAnsi" w:hAnsi="Times New Roman"/>
          <w:kern w:val="2"/>
          <w:sz w:val="24"/>
          <w:szCs w:val="24"/>
          <w:lang w:eastAsia="en-US"/>
          <w14:ligatures w14:val="standardContextual"/>
        </w:rPr>
        <w:t xml:space="preserve"> mise en </w:t>
      </w:r>
      <w:r w:rsidR="00B11BAF" w:rsidRPr="007C5A6E">
        <w:rPr>
          <w:rFonts w:ascii="Times New Roman" w:eastAsiaTheme="minorHAnsi" w:hAnsi="Times New Roman"/>
          <w:kern w:val="2"/>
          <w:sz w:val="24"/>
          <w:szCs w:val="24"/>
          <w:lang w:eastAsia="en-US"/>
          <w14:ligatures w14:val="standardContextual"/>
        </w:rPr>
        <w:t>œuvre</w:t>
      </w:r>
      <w:r w:rsidRPr="007C5A6E">
        <w:rPr>
          <w:rFonts w:ascii="Times New Roman" w:eastAsiaTheme="minorHAnsi" w:hAnsi="Times New Roman"/>
          <w:kern w:val="2"/>
          <w:sz w:val="24"/>
          <w:szCs w:val="24"/>
          <w:lang w:eastAsia="en-US"/>
          <w14:ligatures w14:val="standardContextual"/>
        </w:rPr>
        <w:t xml:space="preserve"> de la politique et stratégie nationales d’assainissement adoptée en 2007</w:t>
      </w:r>
      <w:r w:rsidR="00D140C9" w:rsidRPr="007C5A6E">
        <w:rPr>
          <w:rFonts w:ascii="Times New Roman" w:eastAsiaTheme="minorHAnsi" w:hAnsi="Times New Roman"/>
          <w:kern w:val="2"/>
          <w:sz w:val="24"/>
          <w:szCs w:val="24"/>
          <w:lang w:eastAsia="en-US"/>
          <w14:ligatures w14:val="standardContextual"/>
        </w:rPr>
        <w:t> </w:t>
      </w:r>
      <w:r w:rsidRPr="007C5A6E">
        <w:rPr>
          <w:rFonts w:ascii="Times New Roman" w:eastAsiaTheme="minorHAnsi" w:hAnsi="Times New Roman"/>
          <w:kern w:val="2"/>
          <w:sz w:val="24"/>
          <w:szCs w:val="24"/>
          <w:lang w:eastAsia="en-US"/>
          <w14:ligatures w14:val="standardContextual"/>
        </w:rPr>
        <w:t>;</w:t>
      </w:r>
    </w:p>
    <w:p w14:paraId="03897CBF" w14:textId="6E964B82" w:rsidR="001F7AA6" w:rsidRPr="007C5A6E" w:rsidRDefault="001F7AA6" w:rsidP="0093589E">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proofErr w:type="gramStart"/>
      <w:r w:rsidRPr="007C5A6E">
        <w:rPr>
          <w:rFonts w:ascii="Times New Roman" w:eastAsiaTheme="minorHAnsi" w:hAnsi="Times New Roman"/>
          <w:kern w:val="2"/>
          <w:sz w:val="24"/>
          <w:szCs w:val="24"/>
          <w:lang w:eastAsia="en-US"/>
          <w14:ligatures w14:val="standardContextual"/>
        </w:rPr>
        <w:t>la</w:t>
      </w:r>
      <w:proofErr w:type="gramEnd"/>
      <w:r w:rsidRPr="007C5A6E">
        <w:rPr>
          <w:rFonts w:ascii="Times New Roman" w:eastAsiaTheme="minorHAnsi" w:hAnsi="Times New Roman"/>
          <w:kern w:val="2"/>
          <w:sz w:val="24"/>
          <w:szCs w:val="24"/>
          <w:lang w:eastAsia="en-US"/>
          <w14:ligatures w14:val="standardContextual"/>
        </w:rPr>
        <w:t xml:space="preserve"> distribution de moustiquaire imprégnée à longue durée d’action (MILDA) en routine</w:t>
      </w:r>
      <w:r w:rsidR="00D140C9" w:rsidRPr="007C5A6E">
        <w:rPr>
          <w:rFonts w:ascii="Times New Roman" w:eastAsiaTheme="minorHAnsi" w:hAnsi="Times New Roman"/>
          <w:kern w:val="2"/>
          <w:sz w:val="24"/>
          <w:szCs w:val="24"/>
          <w:lang w:eastAsia="en-US"/>
          <w14:ligatures w14:val="standardContextual"/>
        </w:rPr>
        <w:t> </w:t>
      </w:r>
      <w:r w:rsidRPr="007C5A6E">
        <w:rPr>
          <w:rFonts w:ascii="Times New Roman" w:eastAsiaTheme="minorHAnsi" w:hAnsi="Times New Roman"/>
          <w:kern w:val="2"/>
          <w:sz w:val="24"/>
          <w:szCs w:val="24"/>
          <w:lang w:eastAsia="en-US"/>
          <w14:ligatures w14:val="standardContextual"/>
        </w:rPr>
        <w:t xml:space="preserve">; </w:t>
      </w:r>
    </w:p>
    <w:p w14:paraId="4C834B3B" w14:textId="03B7804D" w:rsidR="001F7AA6" w:rsidRPr="007C5A6E" w:rsidRDefault="001F7AA6" w:rsidP="0093589E">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proofErr w:type="gramStart"/>
      <w:r w:rsidRPr="007C5A6E">
        <w:rPr>
          <w:rFonts w:ascii="Times New Roman" w:eastAsiaTheme="minorHAnsi" w:hAnsi="Times New Roman"/>
          <w:kern w:val="2"/>
          <w:sz w:val="24"/>
          <w:szCs w:val="24"/>
          <w:lang w:eastAsia="en-US"/>
          <w14:ligatures w14:val="standardContextual"/>
        </w:rPr>
        <w:t>le</w:t>
      </w:r>
      <w:proofErr w:type="gramEnd"/>
      <w:r w:rsidRPr="007C5A6E">
        <w:rPr>
          <w:rFonts w:ascii="Times New Roman" w:eastAsiaTheme="minorHAnsi" w:hAnsi="Times New Roman"/>
          <w:kern w:val="2"/>
          <w:sz w:val="24"/>
          <w:szCs w:val="24"/>
          <w:lang w:eastAsia="en-US"/>
          <w14:ligatures w14:val="standardContextual"/>
        </w:rPr>
        <w:t xml:space="preserve"> traitement préventif intermittent du paludisme pendant la grossesse (</w:t>
      </w:r>
      <w:proofErr w:type="spellStart"/>
      <w:r w:rsidRPr="007C5A6E">
        <w:rPr>
          <w:rFonts w:ascii="Times New Roman" w:eastAsiaTheme="minorHAnsi" w:hAnsi="Times New Roman"/>
          <w:kern w:val="2"/>
          <w:sz w:val="24"/>
          <w:szCs w:val="24"/>
          <w:lang w:eastAsia="en-US"/>
          <w14:ligatures w14:val="standardContextual"/>
        </w:rPr>
        <w:t>TPIg</w:t>
      </w:r>
      <w:proofErr w:type="spellEnd"/>
      <w:r w:rsidRPr="007C5A6E">
        <w:rPr>
          <w:rFonts w:ascii="Times New Roman" w:eastAsiaTheme="minorHAnsi" w:hAnsi="Times New Roman"/>
          <w:kern w:val="2"/>
          <w:sz w:val="24"/>
          <w:szCs w:val="24"/>
          <w:lang w:eastAsia="en-US"/>
          <w14:ligatures w14:val="standardContextual"/>
        </w:rPr>
        <w:t>)</w:t>
      </w:r>
      <w:r w:rsidR="00D140C9" w:rsidRPr="007C5A6E">
        <w:rPr>
          <w:rFonts w:ascii="Times New Roman" w:eastAsiaTheme="minorHAnsi" w:hAnsi="Times New Roman"/>
          <w:kern w:val="2"/>
          <w:sz w:val="24"/>
          <w:szCs w:val="24"/>
          <w:lang w:eastAsia="en-US"/>
          <w14:ligatures w14:val="standardContextual"/>
        </w:rPr>
        <w:t> </w:t>
      </w:r>
      <w:r w:rsidRPr="007C5A6E">
        <w:rPr>
          <w:rFonts w:ascii="Times New Roman" w:eastAsiaTheme="minorHAnsi" w:hAnsi="Times New Roman"/>
          <w:kern w:val="2"/>
          <w:sz w:val="24"/>
          <w:szCs w:val="24"/>
          <w:lang w:eastAsia="en-US"/>
          <w14:ligatures w14:val="standardContextual"/>
        </w:rPr>
        <w:t xml:space="preserve">; </w:t>
      </w:r>
    </w:p>
    <w:p w14:paraId="63E9F7D7" w14:textId="6D534A61" w:rsidR="001F7AA6" w:rsidRPr="007C5A6E" w:rsidRDefault="001F7AA6" w:rsidP="0093589E">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proofErr w:type="gramStart"/>
      <w:r w:rsidRPr="007C5A6E">
        <w:rPr>
          <w:rFonts w:ascii="Times New Roman" w:eastAsiaTheme="minorHAnsi" w:hAnsi="Times New Roman"/>
          <w:kern w:val="2"/>
          <w:sz w:val="24"/>
          <w:szCs w:val="24"/>
          <w:lang w:eastAsia="en-US"/>
          <w14:ligatures w14:val="standardContextual"/>
        </w:rPr>
        <w:t>la</w:t>
      </w:r>
      <w:proofErr w:type="gramEnd"/>
      <w:r w:rsidRPr="007C5A6E">
        <w:rPr>
          <w:rFonts w:ascii="Times New Roman" w:eastAsiaTheme="minorHAnsi" w:hAnsi="Times New Roman"/>
          <w:kern w:val="2"/>
          <w:sz w:val="24"/>
          <w:szCs w:val="24"/>
          <w:lang w:eastAsia="en-US"/>
          <w14:ligatures w14:val="standardContextual"/>
        </w:rPr>
        <w:t xml:space="preserve"> chimio-prévention du paludisme saisonnier pour les enfants de 3 à 59</w:t>
      </w:r>
      <w:r w:rsidR="00D140C9" w:rsidRPr="007C5A6E">
        <w:rPr>
          <w:rFonts w:ascii="Times New Roman" w:eastAsiaTheme="minorHAnsi" w:hAnsi="Times New Roman"/>
          <w:kern w:val="2"/>
          <w:sz w:val="24"/>
          <w:szCs w:val="24"/>
          <w:lang w:eastAsia="en-US"/>
          <w14:ligatures w14:val="standardContextual"/>
        </w:rPr>
        <w:t> </w:t>
      </w:r>
      <w:r w:rsidRPr="007C5A6E">
        <w:rPr>
          <w:rFonts w:ascii="Times New Roman" w:eastAsiaTheme="minorHAnsi" w:hAnsi="Times New Roman"/>
          <w:kern w:val="2"/>
          <w:sz w:val="24"/>
          <w:szCs w:val="24"/>
          <w:lang w:eastAsia="en-US"/>
          <w14:ligatures w14:val="standardContextual"/>
        </w:rPr>
        <w:t>mois</w:t>
      </w:r>
      <w:r w:rsidR="00D140C9" w:rsidRPr="007C5A6E">
        <w:rPr>
          <w:rFonts w:ascii="Times New Roman" w:eastAsiaTheme="minorHAnsi" w:hAnsi="Times New Roman"/>
          <w:kern w:val="2"/>
          <w:sz w:val="24"/>
          <w:szCs w:val="24"/>
          <w:lang w:eastAsia="en-US"/>
          <w14:ligatures w14:val="standardContextual"/>
        </w:rPr>
        <w:t> </w:t>
      </w:r>
      <w:r w:rsidRPr="007C5A6E">
        <w:rPr>
          <w:rFonts w:ascii="Times New Roman" w:eastAsiaTheme="minorHAnsi" w:hAnsi="Times New Roman"/>
          <w:kern w:val="2"/>
          <w:sz w:val="24"/>
          <w:szCs w:val="24"/>
          <w:lang w:eastAsia="en-US"/>
          <w14:ligatures w14:val="standardContextual"/>
        </w:rPr>
        <w:t xml:space="preserve">; </w:t>
      </w:r>
    </w:p>
    <w:p w14:paraId="21D5D20B" w14:textId="4A6B4FC9" w:rsidR="001F7AA6" w:rsidRPr="007C5A6E" w:rsidRDefault="001F7AA6" w:rsidP="0093589E">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proofErr w:type="gramStart"/>
      <w:r w:rsidRPr="007C5A6E">
        <w:rPr>
          <w:rFonts w:ascii="Times New Roman" w:eastAsiaTheme="minorHAnsi" w:hAnsi="Times New Roman"/>
          <w:kern w:val="2"/>
          <w:sz w:val="24"/>
          <w:szCs w:val="24"/>
          <w:lang w:eastAsia="en-US"/>
          <w14:ligatures w14:val="standardContextual"/>
        </w:rPr>
        <w:t>le</w:t>
      </w:r>
      <w:proofErr w:type="gramEnd"/>
      <w:r w:rsidRPr="007C5A6E">
        <w:rPr>
          <w:rFonts w:ascii="Times New Roman" w:eastAsiaTheme="minorHAnsi" w:hAnsi="Times New Roman"/>
          <w:kern w:val="2"/>
          <w:sz w:val="24"/>
          <w:szCs w:val="24"/>
          <w:lang w:eastAsia="en-US"/>
          <w14:ligatures w14:val="standardContextual"/>
        </w:rPr>
        <w:t xml:space="preserve"> renforcement de la communication sur les maladies liées à l’environnement</w:t>
      </w:r>
      <w:r w:rsidR="00D140C9" w:rsidRPr="007C5A6E">
        <w:rPr>
          <w:rFonts w:ascii="Times New Roman" w:eastAsiaTheme="minorHAnsi" w:hAnsi="Times New Roman"/>
          <w:kern w:val="2"/>
          <w:sz w:val="24"/>
          <w:szCs w:val="24"/>
          <w:lang w:eastAsia="en-US"/>
          <w14:ligatures w14:val="standardContextual"/>
        </w:rPr>
        <w:t> </w:t>
      </w:r>
      <w:r w:rsidRPr="007C5A6E">
        <w:rPr>
          <w:rFonts w:ascii="Times New Roman" w:eastAsiaTheme="minorHAnsi" w:hAnsi="Times New Roman"/>
          <w:kern w:val="2"/>
          <w:sz w:val="24"/>
          <w:szCs w:val="24"/>
          <w:lang w:eastAsia="en-US"/>
          <w14:ligatures w14:val="standardContextual"/>
        </w:rPr>
        <w:t xml:space="preserve">; </w:t>
      </w:r>
    </w:p>
    <w:p w14:paraId="22E7A8CB" w14:textId="11E0B8F9" w:rsidR="001F7AA6" w:rsidRPr="007C5A6E" w:rsidRDefault="001F7AA6" w:rsidP="0093589E">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proofErr w:type="gramStart"/>
      <w:r w:rsidRPr="007C5A6E">
        <w:rPr>
          <w:rFonts w:ascii="Times New Roman" w:eastAsiaTheme="minorHAnsi" w:hAnsi="Times New Roman"/>
          <w:kern w:val="2"/>
          <w:sz w:val="24"/>
          <w:szCs w:val="24"/>
          <w:lang w:eastAsia="en-US"/>
          <w14:ligatures w14:val="standardContextual"/>
        </w:rPr>
        <w:t>la</w:t>
      </w:r>
      <w:proofErr w:type="gramEnd"/>
      <w:r w:rsidRPr="007C5A6E">
        <w:rPr>
          <w:rFonts w:ascii="Times New Roman" w:eastAsiaTheme="minorHAnsi" w:hAnsi="Times New Roman"/>
          <w:kern w:val="2"/>
          <w:sz w:val="24"/>
          <w:szCs w:val="24"/>
          <w:lang w:eastAsia="en-US"/>
          <w14:ligatures w14:val="standardContextual"/>
        </w:rPr>
        <w:t xml:space="preserve"> disponibilisation des kits pour des tests de </w:t>
      </w:r>
      <w:r w:rsidR="00B11BAF" w:rsidRPr="007C5A6E">
        <w:rPr>
          <w:rFonts w:ascii="Times New Roman" w:eastAsiaTheme="minorHAnsi" w:hAnsi="Times New Roman"/>
          <w:kern w:val="2"/>
          <w:sz w:val="24"/>
          <w:szCs w:val="24"/>
          <w:lang w:eastAsia="en-US"/>
          <w14:ligatures w14:val="standardContextual"/>
        </w:rPr>
        <w:t>diagnostic</w:t>
      </w:r>
      <w:r w:rsidRPr="007C5A6E">
        <w:rPr>
          <w:rFonts w:ascii="Times New Roman" w:eastAsiaTheme="minorHAnsi" w:hAnsi="Times New Roman"/>
          <w:kern w:val="2"/>
          <w:sz w:val="24"/>
          <w:szCs w:val="24"/>
          <w:lang w:eastAsia="en-US"/>
          <w14:ligatures w14:val="standardContextual"/>
        </w:rPr>
        <w:t xml:space="preserve"> rapide</w:t>
      </w:r>
      <w:r w:rsidR="00D140C9" w:rsidRPr="007C5A6E">
        <w:rPr>
          <w:rFonts w:ascii="Times New Roman" w:eastAsiaTheme="minorHAnsi" w:hAnsi="Times New Roman"/>
          <w:kern w:val="2"/>
          <w:sz w:val="24"/>
          <w:szCs w:val="24"/>
          <w:lang w:eastAsia="en-US"/>
          <w14:ligatures w14:val="standardContextual"/>
        </w:rPr>
        <w:t> </w:t>
      </w:r>
      <w:r w:rsidRPr="007C5A6E">
        <w:rPr>
          <w:rFonts w:ascii="Times New Roman" w:eastAsiaTheme="minorHAnsi" w:hAnsi="Times New Roman"/>
          <w:kern w:val="2"/>
          <w:sz w:val="24"/>
          <w:szCs w:val="24"/>
          <w:lang w:eastAsia="en-US"/>
          <w14:ligatures w14:val="standardContextual"/>
        </w:rPr>
        <w:t>;</w:t>
      </w:r>
    </w:p>
    <w:p w14:paraId="2C434173" w14:textId="7524F1F5" w:rsidR="001F7AA6" w:rsidRPr="007C5A6E" w:rsidRDefault="001F7AA6" w:rsidP="0093589E">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proofErr w:type="gramStart"/>
      <w:r w:rsidRPr="007C5A6E">
        <w:rPr>
          <w:rFonts w:ascii="Times New Roman" w:eastAsiaTheme="minorHAnsi" w:hAnsi="Times New Roman"/>
          <w:kern w:val="2"/>
          <w:sz w:val="24"/>
          <w:szCs w:val="24"/>
          <w:lang w:eastAsia="en-US"/>
          <w14:ligatures w14:val="standardContextual"/>
        </w:rPr>
        <w:t>le</w:t>
      </w:r>
      <w:proofErr w:type="gramEnd"/>
      <w:r w:rsidRPr="007C5A6E">
        <w:rPr>
          <w:rFonts w:ascii="Times New Roman" w:eastAsiaTheme="minorHAnsi" w:hAnsi="Times New Roman"/>
          <w:kern w:val="2"/>
          <w:sz w:val="24"/>
          <w:szCs w:val="24"/>
          <w:lang w:eastAsia="en-US"/>
          <w14:ligatures w14:val="standardContextual"/>
        </w:rPr>
        <w:t xml:space="preserve"> renforcement des plateaux techniques pour le diagnostic de </w:t>
      </w:r>
      <w:r w:rsidR="00B11BAF" w:rsidRPr="007C5A6E">
        <w:rPr>
          <w:rFonts w:ascii="Times New Roman" w:eastAsiaTheme="minorHAnsi" w:hAnsi="Times New Roman"/>
          <w:kern w:val="2"/>
          <w:sz w:val="24"/>
          <w:szCs w:val="24"/>
          <w:lang w:eastAsia="en-US"/>
          <w14:ligatures w14:val="standardContextual"/>
        </w:rPr>
        <w:t>plusieurs</w:t>
      </w:r>
      <w:r w:rsidRPr="007C5A6E">
        <w:rPr>
          <w:rFonts w:ascii="Times New Roman" w:eastAsiaTheme="minorHAnsi" w:hAnsi="Times New Roman"/>
          <w:kern w:val="2"/>
          <w:sz w:val="24"/>
          <w:szCs w:val="24"/>
          <w:lang w:eastAsia="en-US"/>
          <w14:ligatures w14:val="standardContextual"/>
        </w:rPr>
        <w:t xml:space="preserve"> maladies </w:t>
      </w:r>
      <w:r w:rsidR="00B11BAF" w:rsidRPr="007C5A6E">
        <w:rPr>
          <w:rFonts w:ascii="Times New Roman" w:eastAsiaTheme="minorHAnsi" w:hAnsi="Times New Roman"/>
          <w:kern w:val="2"/>
          <w:sz w:val="24"/>
          <w:szCs w:val="24"/>
          <w:lang w:eastAsia="en-US"/>
          <w14:ligatures w14:val="standardContextual"/>
        </w:rPr>
        <w:t>dont</w:t>
      </w:r>
      <w:r w:rsidRPr="007C5A6E">
        <w:rPr>
          <w:rFonts w:ascii="Times New Roman" w:eastAsiaTheme="minorHAnsi" w:hAnsi="Times New Roman"/>
          <w:kern w:val="2"/>
          <w:sz w:val="24"/>
          <w:szCs w:val="24"/>
          <w:lang w:eastAsia="en-US"/>
          <w14:ligatures w14:val="standardContextual"/>
        </w:rPr>
        <w:t xml:space="preserve"> celles liées à l’environnement</w:t>
      </w:r>
      <w:r w:rsidR="00D140C9" w:rsidRPr="007C5A6E">
        <w:rPr>
          <w:rFonts w:ascii="Times New Roman" w:eastAsiaTheme="minorHAnsi" w:hAnsi="Times New Roman"/>
          <w:kern w:val="2"/>
          <w:sz w:val="24"/>
          <w:szCs w:val="24"/>
          <w:lang w:eastAsia="en-US"/>
          <w14:ligatures w14:val="standardContextual"/>
        </w:rPr>
        <w:t> </w:t>
      </w:r>
      <w:r w:rsidRPr="007C5A6E">
        <w:rPr>
          <w:rFonts w:ascii="Times New Roman" w:eastAsiaTheme="minorHAnsi" w:hAnsi="Times New Roman"/>
          <w:kern w:val="2"/>
          <w:sz w:val="24"/>
          <w:szCs w:val="24"/>
          <w:lang w:eastAsia="en-US"/>
          <w14:ligatures w14:val="standardContextual"/>
        </w:rPr>
        <w:t xml:space="preserve">; </w:t>
      </w:r>
    </w:p>
    <w:p w14:paraId="2B329A1E" w14:textId="77777777" w:rsidR="001F7AA6" w:rsidRPr="007C5A6E" w:rsidRDefault="001F7AA6" w:rsidP="0093589E">
      <w:pPr>
        <w:pStyle w:val="Paragraphedeliste"/>
        <w:numPr>
          <w:ilvl w:val="1"/>
          <w:numId w:val="67"/>
        </w:numPr>
        <w:spacing w:after="0" w:line="240" w:lineRule="auto"/>
        <w:ind w:left="426" w:hanging="284"/>
        <w:jc w:val="both"/>
        <w:rPr>
          <w:rFonts w:ascii="Times New Roman" w:eastAsiaTheme="minorHAnsi" w:hAnsi="Times New Roman"/>
          <w:kern w:val="2"/>
          <w:sz w:val="24"/>
          <w:szCs w:val="24"/>
          <w:lang w:eastAsia="en-US"/>
          <w14:ligatures w14:val="standardContextual"/>
        </w:rPr>
      </w:pPr>
      <w:proofErr w:type="gramStart"/>
      <w:r w:rsidRPr="007C5A6E">
        <w:rPr>
          <w:rFonts w:ascii="Times New Roman" w:eastAsiaTheme="minorHAnsi" w:hAnsi="Times New Roman"/>
          <w:kern w:val="2"/>
          <w:sz w:val="24"/>
          <w:szCs w:val="24"/>
          <w:lang w:eastAsia="en-US"/>
          <w14:ligatures w14:val="standardContextual"/>
        </w:rPr>
        <w:t>le</w:t>
      </w:r>
      <w:proofErr w:type="gramEnd"/>
      <w:r w:rsidRPr="007C5A6E">
        <w:rPr>
          <w:rFonts w:ascii="Times New Roman" w:eastAsiaTheme="minorHAnsi" w:hAnsi="Times New Roman"/>
          <w:kern w:val="2"/>
          <w:sz w:val="24"/>
          <w:szCs w:val="24"/>
          <w:lang w:eastAsia="en-US"/>
          <w14:ligatures w14:val="standardContextual"/>
        </w:rPr>
        <w:t xml:space="preserve"> renforcement de la surveillance.</w:t>
      </w:r>
    </w:p>
    <w:p w14:paraId="4F4F335C" w14:textId="77777777" w:rsidR="001F7AA6" w:rsidRPr="007C5A6E" w:rsidRDefault="001F7AA6" w:rsidP="0093589E">
      <w:pPr>
        <w:spacing w:after="0" w:line="240" w:lineRule="auto"/>
        <w:ind w:left="777"/>
        <w:contextualSpacing/>
        <w:jc w:val="both"/>
        <w:rPr>
          <w:rFonts w:ascii="Times New Roman" w:eastAsiaTheme="minorHAnsi" w:hAnsi="Times New Roman"/>
          <w:kern w:val="2"/>
          <w:sz w:val="24"/>
          <w:szCs w:val="24"/>
          <w:lang w:eastAsia="en-US"/>
          <w14:ligatures w14:val="standardContextual"/>
        </w:rPr>
      </w:pPr>
    </w:p>
    <w:p w14:paraId="2C722EAF" w14:textId="0A8491FF" w:rsidR="001F7AA6" w:rsidRPr="007C5A6E" w:rsidRDefault="001F7AA6" w:rsidP="0093589E">
      <w:pPr>
        <w:pStyle w:val="Titre3"/>
      </w:pPr>
      <w:bookmarkStart w:id="1626" w:name="_Toc183340362"/>
      <w:r w:rsidRPr="007C5A6E">
        <w:t>Prise en charge des maladies liées</w:t>
      </w:r>
      <w:r w:rsidR="00CF3A5D" w:rsidRPr="007C5A6E">
        <w:t xml:space="preserve"> à l’environnement</w:t>
      </w:r>
      <w:bookmarkEnd w:id="1626"/>
      <w:r w:rsidR="00CF3A5D" w:rsidRPr="007C5A6E">
        <w:t xml:space="preserve"> </w:t>
      </w:r>
    </w:p>
    <w:p w14:paraId="3375B662"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117B672C" w14:textId="1CD222AB" w:rsidR="001F7AA6" w:rsidRPr="007C5A6E" w:rsidRDefault="001F7AA6" w:rsidP="0093589E">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La prise en charge des maladies liées à l’environnement se fait suivant la même approche que celle des autres maladies. On peut noter entre autres</w:t>
      </w:r>
      <w:r w:rsidR="00545436" w:rsidRPr="007C5A6E">
        <w:rPr>
          <w:rFonts w:ascii="Times New Roman" w:eastAsiaTheme="minorHAnsi" w:hAnsi="Times New Roman"/>
          <w:kern w:val="2"/>
          <w:sz w:val="24"/>
          <w:szCs w:val="24"/>
          <w:lang w:eastAsia="en-US"/>
          <w14:ligatures w14:val="standardContextual"/>
        </w:rPr>
        <w:t xml:space="preserve"> </w:t>
      </w:r>
      <w:r w:rsidRPr="007C5A6E">
        <w:rPr>
          <w:rFonts w:ascii="Times New Roman" w:eastAsiaTheme="minorHAnsi" w:hAnsi="Times New Roman"/>
          <w:kern w:val="2"/>
          <w:sz w:val="24"/>
          <w:szCs w:val="24"/>
          <w:lang w:eastAsia="en-US"/>
          <w14:ligatures w14:val="standardContextual"/>
        </w:rPr>
        <w:t xml:space="preserve">des traitements de masse contre certaines maladies </w:t>
      </w:r>
      <w:r w:rsidR="00B11BAF" w:rsidRPr="007C5A6E">
        <w:rPr>
          <w:rFonts w:ascii="Times New Roman" w:eastAsiaTheme="minorHAnsi" w:hAnsi="Times New Roman"/>
          <w:kern w:val="2"/>
          <w:sz w:val="24"/>
          <w:szCs w:val="24"/>
          <w:lang w:eastAsia="en-US"/>
          <w14:ligatures w14:val="standardContextual"/>
        </w:rPr>
        <w:t>dont</w:t>
      </w:r>
      <w:r w:rsidRPr="007C5A6E">
        <w:rPr>
          <w:rFonts w:ascii="Times New Roman" w:eastAsiaTheme="minorHAnsi" w:hAnsi="Times New Roman"/>
          <w:kern w:val="2"/>
          <w:sz w:val="24"/>
          <w:szCs w:val="24"/>
          <w:lang w:eastAsia="en-US"/>
          <w14:ligatures w14:val="standardContextual"/>
        </w:rPr>
        <w:t xml:space="preserve"> les filarioses lymphatiques, la schistosomiase ou encore le </w:t>
      </w:r>
      <w:r w:rsidR="00B27AFB" w:rsidRPr="007C5A6E">
        <w:rPr>
          <w:rFonts w:ascii="Times New Roman" w:eastAsiaTheme="minorHAnsi" w:hAnsi="Times New Roman"/>
          <w:kern w:val="2"/>
          <w:sz w:val="24"/>
          <w:szCs w:val="24"/>
          <w:lang w:eastAsia="en-US"/>
          <w14:ligatures w14:val="standardContextual"/>
        </w:rPr>
        <w:t>trachoma.</w:t>
      </w:r>
    </w:p>
    <w:p w14:paraId="4631B483" w14:textId="77777777" w:rsidR="001F7AA6" w:rsidRPr="007C5A6E" w:rsidRDefault="001F7AA6" w:rsidP="0093589E">
      <w:pPr>
        <w:spacing w:after="0" w:line="240" w:lineRule="auto"/>
        <w:rPr>
          <w:rFonts w:asciiTheme="minorHAnsi" w:eastAsiaTheme="minorHAnsi" w:hAnsiTheme="minorHAnsi" w:cstheme="minorBidi"/>
          <w:kern w:val="2"/>
          <w:lang w:eastAsia="en-US"/>
          <w14:ligatures w14:val="standardContextual"/>
        </w:rPr>
      </w:pPr>
    </w:p>
    <w:p w14:paraId="7BE6E1E6" w14:textId="1360327B" w:rsidR="001F7AA6" w:rsidRPr="007C5A6E" w:rsidRDefault="001F7AA6" w:rsidP="00712C43">
      <w:pPr>
        <w:pStyle w:val="Titre2"/>
      </w:pPr>
      <w:bookmarkStart w:id="1627" w:name="_Toc183340363"/>
      <w:r w:rsidRPr="007C5A6E">
        <w:t>Changement climatique et santé : enjeux et risques du futur</w:t>
      </w:r>
      <w:bookmarkEnd w:id="1627"/>
    </w:p>
    <w:p w14:paraId="63752C5D" w14:textId="77777777" w:rsidR="001F7AA6" w:rsidRPr="007C5A6E" w:rsidRDefault="001F7AA6" w:rsidP="00D012F3">
      <w:pPr>
        <w:spacing w:after="0" w:line="240" w:lineRule="auto"/>
        <w:rPr>
          <w:rFonts w:asciiTheme="minorHAnsi" w:eastAsiaTheme="minorHAnsi" w:hAnsiTheme="minorHAnsi" w:cstheme="minorBidi"/>
          <w:kern w:val="2"/>
          <w:lang w:eastAsia="en-US"/>
          <w14:ligatures w14:val="standardContextual"/>
        </w:rPr>
      </w:pPr>
    </w:p>
    <w:p w14:paraId="7028224C" w14:textId="30202861" w:rsidR="00D012F3" w:rsidRPr="007C5A6E" w:rsidRDefault="00D012F3" w:rsidP="00D012F3">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Ainsi que l’a souligné le chapitre précédent, à l’horizon 2100, les projections climatiques pour le Burkina Faso indiquent une augmentation significative des indices pluviométriques et une élévation marquée des températures maximales. Cette évolution est accompagnée d’une hausse notable du nombre de jours chauds, avec des températures supérieures à 40°C. Similairement aux développements faits dans les autres chapitres, ces changements ont également des implications majeures pour la santé publique dans les termes suivants :</w:t>
      </w:r>
    </w:p>
    <w:p w14:paraId="351458D1" w14:textId="77777777" w:rsidR="00315704" w:rsidRPr="007C5A6E" w:rsidRDefault="00315704" w:rsidP="00D012F3">
      <w:pPr>
        <w:spacing w:after="0" w:line="240" w:lineRule="auto"/>
        <w:jc w:val="both"/>
        <w:rPr>
          <w:rFonts w:ascii="Times New Roman" w:eastAsiaTheme="minorHAnsi" w:hAnsi="Times New Roman"/>
          <w:kern w:val="2"/>
          <w:sz w:val="24"/>
          <w:szCs w:val="24"/>
          <w:lang w:eastAsia="en-US"/>
          <w14:ligatures w14:val="standardContextual"/>
        </w:rPr>
      </w:pPr>
    </w:p>
    <w:p w14:paraId="1D8526B3" w14:textId="77777777" w:rsidR="00D012F3" w:rsidRPr="007C5A6E" w:rsidRDefault="00D012F3" w:rsidP="00D012F3">
      <w:pPr>
        <w:pStyle w:val="Paragraphedeliste"/>
        <w:numPr>
          <w:ilvl w:val="0"/>
          <w:numId w:val="87"/>
        </w:numPr>
        <w:spacing w:after="0" w:line="240" w:lineRule="auto"/>
        <w:ind w:left="357" w:hanging="357"/>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b/>
          <w:bCs/>
          <w:kern w:val="2"/>
          <w:sz w:val="24"/>
          <w:szCs w:val="24"/>
          <w:lang w:eastAsia="en-US"/>
          <w14:ligatures w14:val="standardContextual"/>
        </w:rPr>
        <w:t>Risque accru de problèmes cardiovasculaires et respiratoires</w:t>
      </w:r>
      <w:r w:rsidRPr="007C5A6E">
        <w:rPr>
          <w:rFonts w:ascii="Times New Roman" w:eastAsiaTheme="minorHAnsi" w:hAnsi="Times New Roman"/>
          <w:kern w:val="2"/>
          <w:sz w:val="24"/>
          <w:szCs w:val="24"/>
          <w:lang w:eastAsia="en-US"/>
          <w14:ligatures w14:val="standardContextual"/>
        </w:rPr>
        <w:t xml:space="preserve"> : L'augmentation des températures expose davantage la population à des risques de déshydratation, de coups de chaleur et d'épuisement thermique. Ces affections sont particulièrement graves pour les groupes vulnérables, tels que les personnes âgées, les enfants et les personnes souffrant de maladies chroniques (</w:t>
      </w:r>
      <w:proofErr w:type="spellStart"/>
      <w:r w:rsidRPr="007C5A6E">
        <w:rPr>
          <w:rFonts w:ascii="Times New Roman" w:eastAsiaTheme="minorHAnsi" w:hAnsi="Times New Roman"/>
          <w:kern w:val="2"/>
          <w:sz w:val="24"/>
          <w:szCs w:val="24"/>
          <w:lang w:eastAsia="en-US"/>
          <w14:ligatures w14:val="standardContextual"/>
        </w:rPr>
        <w:t>Kovats</w:t>
      </w:r>
      <w:proofErr w:type="spellEnd"/>
      <w:r w:rsidRPr="007C5A6E">
        <w:rPr>
          <w:rFonts w:ascii="Times New Roman" w:eastAsiaTheme="minorHAnsi" w:hAnsi="Times New Roman"/>
          <w:kern w:val="2"/>
          <w:sz w:val="24"/>
          <w:szCs w:val="24"/>
          <w:lang w:eastAsia="en-US"/>
          <w14:ligatures w14:val="standardContextual"/>
        </w:rPr>
        <w:t xml:space="preserve"> et al., 2014). L’augmentation de la chaleur, combinée à la pollution de l’air, pourrait aggraver également les maladies respiratoires telles que l'asthme et la bronchite, en particulier dans les zones urbaines où la qualité de l’air est déjà altérée par les émissions industrielles et le trafic (</w:t>
      </w:r>
      <w:proofErr w:type="spellStart"/>
      <w:r w:rsidRPr="007C5A6E">
        <w:rPr>
          <w:rFonts w:ascii="Times New Roman" w:eastAsiaTheme="minorHAnsi" w:hAnsi="Times New Roman"/>
          <w:kern w:val="2"/>
          <w:sz w:val="24"/>
          <w:szCs w:val="24"/>
          <w:lang w:eastAsia="en-US"/>
          <w14:ligatures w14:val="standardContextual"/>
        </w:rPr>
        <w:t>Gauderman</w:t>
      </w:r>
      <w:proofErr w:type="spellEnd"/>
      <w:r w:rsidRPr="007C5A6E">
        <w:rPr>
          <w:rFonts w:ascii="Times New Roman" w:eastAsiaTheme="minorHAnsi" w:hAnsi="Times New Roman"/>
          <w:kern w:val="2"/>
          <w:sz w:val="24"/>
          <w:szCs w:val="24"/>
          <w:lang w:eastAsia="en-US"/>
          <w14:ligatures w14:val="standardContextual"/>
        </w:rPr>
        <w:t xml:space="preserve"> et al., 2004)</w:t>
      </w:r>
    </w:p>
    <w:p w14:paraId="182A52A2" w14:textId="77777777" w:rsidR="00D012F3" w:rsidRPr="007C5A6E" w:rsidRDefault="00D012F3" w:rsidP="00D012F3">
      <w:pPr>
        <w:pStyle w:val="Sansinterligne"/>
        <w:rPr>
          <w:rFonts w:eastAsiaTheme="minorHAnsi"/>
          <w:lang w:eastAsia="en-US"/>
        </w:rPr>
      </w:pPr>
    </w:p>
    <w:p w14:paraId="2AB0CDC5" w14:textId="77777777" w:rsidR="00D012F3" w:rsidRPr="007C5A6E" w:rsidRDefault="00D012F3" w:rsidP="00D012F3">
      <w:pPr>
        <w:pStyle w:val="Paragraphedeliste"/>
        <w:numPr>
          <w:ilvl w:val="0"/>
          <w:numId w:val="87"/>
        </w:numPr>
        <w:spacing w:after="0" w:line="240" w:lineRule="auto"/>
        <w:ind w:left="357" w:hanging="357"/>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b/>
          <w:bCs/>
          <w:kern w:val="2"/>
          <w:sz w:val="24"/>
          <w:szCs w:val="24"/>
          <w:lang w:eastAsia="en-US"/>
          <w14:ligatures w14:val="standardContextual"/>
        </w:rPr>
        <w:t>Propagation des maladies vectorielles</w:t>
      </w:r>
      <w:r w:rsidRPr="007C5A6E">
        <w:rPr>
          <w:rFonts w:ascii="Times New Roman" w:eastAsiaTheme="minorHAnsi" w:hAnsi="Times New Roman"/>
          <w:kern w:val="2"/>
          <w:sz w:val="24"/>
          <w:szCs w:val="24"/>
          <w:lang w:eastAsia="en-US"/>
          <w14:ligatures w14:val="standardContextual"/>
        </w:rPr>
        <w:t xml:space="preserve"> : Des températures élevées et un climat plus humide favorisent la propagation des maladies transmises par des vecteurs comme les moustiques (paludisme, dengue, Zika). Cette évolution a été observée dans plusieurs régions africaines où l’augmentation des températures et des précipitations a favorisé l'expansion des zones de transmission (Lambrechts et al., 2011). En outre, l'augmentation de la pluviométrie pourrait également favoriser la propagation de maladies hydriques, telles que le choléra et la dysenterie, du fait de l'inondation des zones non drainées et de la contamination des sources d'eau.</w:t>
      </w:r>
    </w:p>
    <w:p w14:paraId="63CAD963" w14:textId="77777777" w:rsidR="00315704" w:rsidRPr="007C5A6E" w:rsidRDefault="00315704" w:rsidP="00315704">
      <w:pPr>
        <w:spacing w:after="0" w:line="240" w:lineRule="auto"/>
        <w:jc w:val="both"/>
        <w:rPr>
          <w:rFonts w:ascii="Times New Roman" w:eastAsiaTheme="minorHAnsi" w:hAnsi="Times New Roman"/>
          <w:kern w:val="2"/>
          <w:sz w:val="24"/>
          <w:szCs w:val="24"/>
          <w:lang w:eastAsia="en-US"/>
          <w14:ligatures w14:val="standardContextual"/>
        </w:rPr>
      </w:pPr>
    </w:p>
    <w:p w14:paraId="40E4D50D" w14:textId="77777777" w:rsidR="00D012F3" w:rsidRPr="007C5A6E" w:rsidRDefault="00D012F3" w:rsidP="00D012F3">
      <w:pPr>
        <w:pStyle w:val="Paragraphedeliste"/>
        <w:numPr>
          <w:ilvl w:val="0"/>
          <w:numId w:val="87"/>
        </w:numPr>
        <w:spacing w:after="0" w:line="240" w:lineRule="auto"/>
        <w:ind w:left="357" w:hanging="357"/>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b/>
          <w:bCs/>
          <w:kern w:val="2"/>
          <w:sz w:val="24"/>
          <w:szCs w:val="24"/>
          <w:lang w:eastAsia="en-US"/>
          <w14:ligatures w14:val="standardContextual"/>
        </w:rPr>
        <w:t>Insécurité alimentaire</w:t>
      </w:r>
      <w:r w:rsidRPr="007C5A6E">
        <w:rPr>
          <w:rFonts w:ascii="Times New Roman" w:eastAsiaTheme="minorHAnsi" w:hAnsi="Times New Roman"/>
          <w:kern w:val="2"/>
          <w:sz w:val="24"/>
          <w:szCs w:val="24"/>
          <w:lang w:eastAsia="en-US"/>
          <w14:ligatures w14:val="standardContextual"/>
        </w:rPr>
        <w:t xml:space="preserve"> : Les périodes de chaleur intense et les changements dans les régimes de précipitations perturbent durablement les systèmes de production agricole, entraînant des pénuries alimentaires et exacerbant la malnutrition. Ces effets touchent particulièrement les enfants, les populations rurales et les groupes à faible revenu, qui sont les plus vulnérables face aux variations climatiques. Les régions confrontées à des épisodes de sécheresse prolongée ou à une irrégularité des précipitations risquent de voir leurs rendements agricoles diminuer, ce qui aggrave les conditions de vie des populations dépendantes de l'agriculture. Ces changements affectent aussi la diversité nutritionnelle, rendant certaines communautés encore plus susceptibles aux carences alimentaires (</w:t>
      </w:r>
      <w:proofErr w:type="spellStart"/>
      <w:r w:rsidRPr="007C5A6E">
        <w:rPr>
          <w:rFonts w:ascii="Times New Roman" w:eastAsiaTheme="minorHAnsi" w:hAnsi="Times New Roman"/>
          <w:kern w:val="2"/>
          <w:sz w:val="24"/>
          <w:szCs w:val="24"/>
          <w:lang w:eastAsia="en-US"/>
          <w14:ligatures w14:val="standardContextual"/>
        </w:rPr>
        <w:t>Ebi</w:t>
      </w:r>
      <w:proofErr w:type="spellEnd"/>
      <w:r w:rsidRPr="007C5A6E">
        <w:rPr>
          <w:rFonts w:ascii="Times New Roman" w:eastAsiaTheme="minorHAnsi" w:hAnsi="Times New Roman"/>
          <w:kern w:val="2"/>
          <w:sz w:val="24"/>
          <w:szCs w:val="24"/>
          <w:lang w:eastAsia="en-US"/>
          <w14:ligatures w14:val="standardContextual"/>
        </w:rPr>
        <w:t xml:space="preserve"> et al., 2018).</w:t>
      </w:r>
    </w:p>
    <w:p w14:paraId="7706B633" w14:textId="77777777" w:rsidR="00315704" w:rsidRPr="007C5A6E" w:rsidRDefault="00315704" w:rsidP="00315704">
      <w:pPr>
        <w:spacing w:after="0" w:line="240" w:lineRule="auto"/>
        <w:jc w:val="both"/>
        <w:rPr>
          <w:rFonts w:ascii="Times New Roman" w:eastAsiaTheme="minorHAnsi" w:hAnsi="Times New Roman"/>
          <w:kern w:val="2"/>
          <w:sz w:val="24"/>
          <w:szCs w:val="24"/>
          <w:lang w:eastAsia="en-US"/>
          <w14:ligatures w14:val="standardContextual"/>
        </w:rPr>
      </w:pPr>
    </w:p>
    <w:p w14:paraId="714C63C4" w14:textId="77777777" w:rsidR="00D012F3" w:rsidRPr="007C5A6E" w:rsidRDefault="00D012F3" w:rsidP="00D012F3">
      <w:pPr>
        <w:pStyle w:val="Paragraphedeliste"/>
        <w:numPr>
          <w:ilvl w:val="0"/>
          <w:numId w:val="87"/>
        </w:numPr>
        <w:spacing w:after="0" w:line="240" w:lineRule="auto"/>
        <w:ind w:left="357" w:hanging="357"/>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b/>
          <w:bCs/>
          <w:kern w:val="2"/>
          <w:sz w:val="24"/>
          <w:szCs w:val="24"/>
          <w:lang w:eastAsia="en-US"/>
          <w14:ligatures w14:val="standardContextual"/>
        </w:rPr>
        <w:t>Stress environnemental et psychosocial</w:t>
      </w:r>
      <w:r w:rsidRPr="007C5A6E">
        <w:rPr>
          <w:rFonts w:ascii="Times New Roman" w:eastAsiaTheme="minorHAnsi" w:hAnsi="Times New Roman"/>
          <w:kern w:val="2"/>
          <w:sz w:val="24"/>
          <w:szCs w:val="24"/>
          <w:lang w:eastAsia="en-US"/>
          <w14:ligatures w14:val="standardContextual"/>
        </w:rPr>
        <w:t xml:space="preserve"> : L'intensification des températures peut accroître le stress mental, exacerber les troubles psychologiques existants et entraîner des tensions sociales dues à la concurrence pour les ressources naturelles et l'accès aux services de santé. Ce stress lié aux conditions climatiques extrêmes peut également conduire à une hausse des troubles mentaux, notamment l'anxiété, la dépression et d'autres pathologies liées à l'impact du climat sur la vie quotidienne. Différentes recherches montrent que les conditions climatiques extrêmes, telles que des vagues de chaleur prolongées, augmentent les cas de stress post-traumatique et aggravent les problèmes de santé mentale, surtout dans les populations vulnérables comme les personnes âgées et celles vivant dans des zones urbaines précaires (Harris et al., 2020 ; Clayton et al., 2017).</w:t>
      </w:r>
    </w:p>
    <w:p w14:paraId="41664423" w14:textId="77777777" w:rsidR="00315704" w:rsidRPr="007C5A6E" w:rsidRDefault="00315704" w:rsidP="00315704">
      <w:pPr>
        <w:pStyle w:val="Paragraphedeliste"/>
        <w:spacing w:after="0" w:line="240" w:lineRule="auto"/>
        <w:ind w:left="357"/>
        <w:jc w:val="both"/>
        <w:rPr>
          <w:rFonts w:ascii="Times New Roman" w:eastAsiaTheme="minorHAnsi" w:hAnsi="Times New Roman"/>
          <w:kern w:val="2"/>
          <w:sz w:val="24"/>
          <w:szCs w:val="24"/>
          <w:lang w:eastAsia="en-US"/>
          <w14:ligatures w14:val="standardContextual"/>
        </w:rPr>
      </w:pPr>
    </w:p>
    <w:p w14:paraId="7A7507E8" w14:textId="332584D9" w:rsidR="00D012F3" w:rsidRPr="007C5A6E" w:rsidRDefault="00D012F3" w:rsidP="00D012F3">
      <w:pPr>
        <w:pStyle w:val="Paragraphedeliste"/>
        <w:numPr>
          <w:ilvl w:val="0"/>
          <w:numId w:val="87"/>
        </w:numPr>
        <w:spacing w:after="0" w:line="240" w:lineRule="auto"/>
        <w:ind w:left="357" w:hanging="357"/>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b/>
          <w:bCs/>
          <w:kern w:val="2"/>
          <w:sz w:val="24"/>
          <w:szCs w:val="24"/>
          <w:lang w:eastAsia="en-US"/>
          <w14:ligatures w14:val="standardContextual"/>
        </w:rPr>
        <w:t>Exposition à des catastrophes naturelles</w:t>
      </w:r>
      <w:r w:rsidRPr="007C5A6E">
        <w:rPr>
          <w:rFonts w:ascii="Times New Roman" w:eastAsiaTheme="minorHAnsi" w:hAnsi="Times New Roman"/>
          <w:kern w:val="2"/>
          <w:sz w:val="24"/>
          <w:szCs w:val="24"/>
          <w:lang w:eastAsia="en-US"/>
          <w14:ligatures w14:val="standardContextual"/>
        </w:rPr>
        <w:t xml:space="preserve"> : L'intensification des pluies et des inondations entraîne un risque accru de catastrophes naturelles qui engendrent parfois des pertes importantes en vies humaines et des dommages considérables, notamment aux infrastructures sanitaires. Ces événements compliquent l'accès aux soins de santé du fait de la fermeture temporaire d'établissements. Ils rendent également plus difficile le transport des patients vers les structures disponibles. </w:t>
      </w:r>
    </w:p>
    <w:p w14:paraId="76BD509B" w14:textId="77777777" w:rsidR="00D012F3" w:rsidRPr="007C5A6E" w:rsidRDefault="00D012F3" w:rsidP="00D012F3">
      <w:pPr>
        <w:spacing w:after="0" w:line="240" w:lineRule="auto"/>
        <w:ind w:left="357"/>
        <w:jc w:val="both"/>
        <w:rPr>
          <w:rFonts w:eastAsiaTheme="minorHAnsi"/>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Les inondations, en déstabilisant les services de santé, peuvent également entraîner une prolifération de maladies infectieuses en raison de la contamination des eaux et du manque de conditions sanitaires adéquates (</w:t>
      </w:r>
      <w:proofErr w:type="spellStart"/>
      <w:r w:rsidRPr="007C5A6E">
        <w:rPr>
          <w:rFonts w:ascii="Times New Roman" w:eastAsiaTheme="minorHAnsi" w:hAnsi="Times New Roman"/>
          <w:kern w:val="2"/>
          <w:sz w:val="24"/>
          <w:szCs w:val="24"/>
          <w:lang w:eastAsia="en-US"/>
          <w14:ligatures w14:val="standardContextual"/>
        </w:rPr>
        <w:t>Ebi</w:t>
      </w:r>
      <w:proofErr w:type="spellEnd"/>
      <w:r w:rsidRPr="007C5A6E">
        <w:rPr>
          <w:rFonts w:ascii="Times New Roman" w:eastAsiaTheme="minorHAnsi" w:hAnsi="Times New Roman"/>
          <w:kern w:val="2"/>
          <w:sz w:val="24"/>
          <w:szCs w:val="24"/>
          <w:lang w:eastAsia="en-US"/>
          <w14:ligatures w14:val="standardContextual"/>
        </w:rPr>
        <w:t xml:space="preserve"> et al., 2018 ; WHO, 2020).</w:t>
      </w:r>
    </w:p>
    <w:p w14:paraId="7E3CC631" w14:textId="77777777" w:rsidR="00995549" w:rsidRPr="007C5A6E" w:rsidRDefault="00995549" w:rsidP="00B27AFB">
      <w:pPr>
        <w:spacing w:after="0" w:line="240" w:lineRule="auto"/>
        <w:jc w:val="both"/>
        <w:rPr>
          <w:rFonts w:ascii="Times New Roman" w:eastAsia="Aptos" w:hAnsi="Times New Roman"/>
          <w:kern w:val="2"/>
          <w:sz w:val="24"/>
          <w:szCs w:val="24"/>
          <w:lang w:eastAsia="en-US"/>
          <w14:ligatures w14:val="standardContextual"/>
        </w:rPr>
        <w:sectPr w:rsidR="00995549" w:rsidRPr="007C5A6E" w:rsidSect="006514BA">
          <w:pgSz w:w="11907" w:h="16840" w:code="9"/>
          <w:pgMar w:top="1191" w:right="1361" w:bottom="1191" w:left="1361" w:header="709" w:footer="709" w:gutter="0"/>
          <w:cols w:space="708"/>
          <w:docGrid w:linePitch="360"/>
        </w:sectPr>
      </w:pPr>
    </w:p>
    <w:p w14:paraId="658A51DA" w14:textId="25BDF72F" w:rsidR="00800F57" w:rsidRPr="007C5A6E" w:rsidRDefault="00006463" w:rsidP="00800F57">
      <w:pPr>
        <w:pStyle w:val="Titre1"/>
        <w:spacing w:before="0"/>
        <w:ind w:left="510" w:hanging="510"/>
        <w:rPr>
          <w:bCs/>
          <w:szCs w:val="30"/>
        </w:rPr>
      </w:pPr>
      <w:bookmarkStart w:id="1628" w:name="_Toc183340364"/>
      <w:r w:rsidRPr="007C5A6E">
        <w:rPr>
          <w:bCs/>
          <w:szCs w:val="30"/>
        </w:rPr>
        <w:t>CONCLUSION</w:t>
      </w:r>
      <w:r w:rsidR="00800F57" w:rsidRPr="007C5A6E">
        <w:rPr>
          <w:bCs/>
          <w:szCs w:val="30"/>
        </w:rPr>
        <w:t>S</w:t>
      </w:r>
      <w:bookmarkEnd w:id="1628"/>
    </w:p>
    <w:p w14:paraId="5A14630D" w14:textId="77777777" w:rsidR="00800F57" w:rsidRPr="007C5A6E" w:rsidRDefault="00800F57" w:rsidP="00800F57">
      <w:pPr>
        <w:spacing w:after="0" w:line="240" w:lineRule="auto"/>
        <w:jc w:val="both"/>
        <w:rPr>
          <w:rFonts w:ascii="Times New Roman" w:hAnsi="Times New Roman"/>
          <w:sz w:val="24"/>
          <w:szCs w:val="24"/>
          <w:lang w:val="fr-BF"/>
        </w:rPr>
      </w:pPr>
    </w:p>
    <w:p w14:paraId="49EB93F4" w14:textId="69B183A6" w:rsidR="00800F57" w:rsidRPr="007C5A6E" w:rsidRDefault="00800F57" w:rsidP="00800F57">
      <w:pPr>
        <w:spacing w:after="0" w:line="240" w:lineRule="auto"/>
        <w:jc w:val="both"/>
        <w:rPr>
          <w:rFonts w:ascii="Times New Roman" w:hAnsi="Times New Roman"/>
          <w:sz w:val="24"/>
          <w:szCs w:val="24"/>
          <w:lang w:val="fr-BF"/>
        </w:rPr>
      </w:pPr>
      <w:r w:rsidRPr="007C5A6E">
        <w:rPr>
          <w:rFonts w:ascii="Times New Roman" w:hAnsi="Times New Roman"/>
          <w:sz w:val="24"/>
          <w:szCs w:val="24"/>
          <w:lang w:val="fr-BF"/>
        </w:rPr>
        <w:t xml:space="preserve">Les rapports thématiques élaborés dans le cadre du présent processus permettent de retenir à l’issue de l’exercice, les principaux constats et analyses suivants. </w:t>
      </w:r>
    </w:p>
    <w:p w14:paraId="6D97E1E3" w14:textId="77777777" w:rsidR="00800F57" w:rsidRPr="007C5A6E" w:rsidRDefault="00800F57" w:rsidP="00800F57">
      <w:pPr>
        <w:spacing w:after="0" w:line="240" w:lineRule="auto"/>
        <w:jc w:val="both"/>
        <w:rPr>
          <w:rFonts w:ascii="Times New Roman" w:hAnsi="Times New Roman"/>
          <w:sz w:val="24"/>
          <w:szCs w:val="24"/>
          <w:lang w:val="fr-BF"/>
        </w:rPr>
      </w:pPr>
    </w:p>
    <w:p w14:paraId="76C1B108" w14:textId="77777777" w:rsidR="00800F57" w:rsidRPr="007C5A6E" w:rsidRDefault="00800F57" w:rsidP="00800F57">
      <w:pPr>
        <w:pStyle w:val="Paragraphedeliste"/>
        <w:numPr>
          <w:ilvl w:val="0"/>
          <w:numId w:val="72"/>
        </w:numPr>
        <w:spacing w:after="0" w:line="240" w:lineRule="auto"/>
        <w:ind w:left="357" w:hanging="357"/>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L’analyse de l’évolution sur les 30 dernières années des indicateurs climatiques que sont la pluviométrie et la température, a montré une tendance à la hausse du cumul annuel de pluie dans toutes les zones agro-climatiques du pays. Le nombre de jours de pluie tend à baisser ou reste stable tandis que les très fortes pluies ont eu tendance à se multiplier. Plus d’eau en moins de fois augmente les risques d’inondation.</w:t>
      </w:r>
    </w:p>
    <w:p w14:paraId="7FB16B93" w14:textId="77777777" w:rsidR="00800F57" w:rsidRPr="007C5A6E" w:rsidRDefault="00800F57" w:rsidP="00800F57">
      <w:pPr>
        <w:spacing w:after="0" w:line="240" w:lineRule="auto"/>
        <w:ind w:left="357"/>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De même on a constaté une tendance à la hausse des températures moyennes annuelles, tendance moins prononcée en zone sahélienne où la température maximale est en baisse pendant que la température minimale monte.</w:t>
      </w:r>
    </w:p>
    <w:p w14:paraId="5478E75A" w14:textId="77777777" w:rsidR="00800F57" w:rsidRPr="007C5A6E" w:rsidRDefault="00800F57" w:rsidP="00800F57">
      <w:pPr>
        <w:spacing w:after="0" w:line="240" w:lineRule="auto"/>
        <w:ind w:left="357"/>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 xml:space="preserve">Pour les vagues de chaleurs et les jours chauds (T° &gt; 40°C), leur nombre a une tendance à la baisse en zone sahélienne alors que la tendance est à la hausse dans les 2 autres zones agro-climatiques du pays. </w:t>
      </w:r>
    </w:p>
    <w:p w14:paraId="3D5058C3" w14:textId="77777777" w:rsidR="00800F57" w:rsidRPr="007C5A6E" w:rsidRDefault="00800F57" w:rsidP="00800F57">
      <w:pPr>
        <w:spacing w:after="0" w:line="240" w:lineRule="auto"/>
        <w:ind w:left="357"/>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Les projections climatiques à l’horizon 2100, selon les 3 scénarios SSP245, SSP370 et SSP585 cités par ordre croissant d’importance des émissions de gaz à effet de serre, viennent confirmer toutes les tendances à la hausse, lesquelles deviennent vertigineuses à partir de 2060 pour les 2 derniers scénarios.</w:t>
      </w:r>
    </w:p>
    <w:p w14:paraId="4E6A0E5A" w14:textId="77777777" w:rsidR="00800F57" w:rsidRPr="007C5A6E" w:rsidRDefault="00800F57" w:rsidP="00800F57">
      <w:pPr>
        <w:spacing w:after="0" w:line="240" w:lineRule="auto"/>
        <w:ind w:left="357"/>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A long terme, ne va-t-on pas vers une sorte de convergence des 3 zones climatiques ? A moins que ce ne soit qu’un mouvement cyclique de contraction-expansion ?</w:t>
      </w:r>
    </w:p>
    <w:p w14:paraId="55B5608B" w14:textId="77777777" w:rsidR="00800F57" w:rsidRPr="007C5A6E" w:rsidRDefault="00800F57" w:rsidP="00800F57">
      <w:pPr>
        <w:spacing w:after="0" w:line="240" w:lineRule="auto"/>
        <w:ind w:left="357"/>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En supposant que la station de Dori est bien représentative de la zone sahélienne, cette zone devrait à la longue être bien plus propice aux activités agro-pastorales pour peu que l’on ait une maîtrise suffisante des eaux pluviales.</w:t>
      </w:r>
    </w:p>
    <w:p w14:paraId="2A45AA23" w14:textId="77777777" w:rsidR="00800F57" w:rsidRPr="007C5A6E" w:rsidRDefault="00800F57" w:rsidP="00800F57">
      <w:pPr>
        <w:spacing w:after="0" w:line="240" w:lineRule="auto"/>
        <w:ind w:left="357"/>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Les catastrophes naturelles telles que les inondations et les sécheresses qui sont le plus souvent les conséquences d’événements climatiques extrêmes seront donc très probablement bien plus fréquentes et de plus grande ampleur, à moins que les différents plans et stratégies élaborés pour y faire face n’atteignent dans leur mise en œuvre une efficacité suffisante.</w:t>
      </w:r>
    </w:p>
    <w:p w14:paraId="4D9CBAEF" w14:textId="77777777" w:rsidR="00800F57" w:rsidRPr="007C5A6E" w:rsidRDefault="00800F57" w:rsidP="00800F57">
      <w:pPr>
        <w:spacing w:after="0" w:line="240" w:lineRule="auto"/>
        <w:jc w:val="both"/>
        <w:rPr>
          <w:rFonts w:ascii="Times New Roman" w:hAnsi="Times New Roman"/>
          <w:sz w:val="24"/>
          <w:szCs w:val="24"/>
        </w:rPr>
      </w:pPr>
    </w:p>
    <w:p w14:paraId="10BC41D6" w14:textId="77777777" w:rsidR="00800F57" w:rsidRPr="007C5A6E" w:rsidRDefault="00800F57" w:rsidP="00800F57">
      <w:pPr>
        <w:pStyle w:val="Paragraphedeliste"/>
        <w:numPr>
          <w:ilvl w:val="0"/>
          <w:numId w:val="72"/>
        </w:numPr>
        <w:spacing w:after="0" w:line="240" w:lineRule="auto"/>
        <w:ind w:left="357" w:hanging="357"/>
        <w:jc w:val="both"/>
        <w:rPr>
          <w:rFonts w:ascii="Times New Roman" w:hAnsi="Times New Roman"/>
          <w:bCs/>
          <w:sz w:val="24"/>
          <w:szCs w:val="24"/>
        </w:rPr>
      </w:pPr>
      <w:r w:rsidRPr="007C5A6E">
        <w:rPr>
          <w:rFonts w:ascii="Times New Roman" w:eastAsiaTheme="minorHAnsi" w:hAnsi="Times New Roman"/>
          <w:kern w:val="2"/>
          <w:sz w:val="24"/>
          <w:szCs w:val="24"/>
          <w:lang w:eastAsia="en-US"/>
          <w14:ligatures w14:val="standardContextual"/>
        </w:rPr>
        <w:t>L’élaboration</w:t>
      </w:r>
      <w:r w:rsidRPr="007C5A6E">
        <w:rPr>
          <w:rFonts w:ascii="Times New Roman" w:hAnsi="Times New Roman"/>
          <w:bCs/>
          <w:sz w:val="24"/>
          <w:szCs w:val="24"/>
        </w:rPr>
        <w:t xml:space="preserve"> du rapport sur l’état et la dynamique des ressources en eau a souffert du manque de données et d’informations fraiches, de l’absence de réseau stable de suivi des impacts notamment de la pollution sur la qualité des ressources en eau</w:t>
      </w:r>
    </w:p>
    <w:p w14:paraId="21366E82" w14:textId="77777777" w:rsidR="00800F57" w:rsidRPr="007C5A6E" w:rsidRDefault="00800F57" w:rsidP="00800F57">
      <w:pPr>
        <w:spacing w:after="0" w:line="240" w:lineRule="auto"/>
        <w:ind w:left="357"/>
        <w:jc w:val="both"/>
        <w:rPr>
          <w:rFonts w:ascii="Times New Roman" w:hAnsi="Times New Roman"/>
          <w:bCs/>
          <w:sz w:val="24"/>
          <w:szCs w:val="24"/>
        </w:rPr>
      </w:pPr>
      <w:r w:rsidRPr="007C5A6E">
        <w:rPr>
          <w:rFonts w:ascii="Times New Roman" w:hAnsi="Times New Roman"/>
          <w:bCs/>
          <w:sz w:val="24"/>
          <w:szCs w:val="24"/>
        </w:rPr>
        <w:t>L’exercice confirme que (i) les principales pressions qui s’exercent sur les ressources en eau du Burkina Faso, sont la pollution, les déficits pluviométriques et les prélèvements et que (ii) les facteurs (porteurs) de ces pressions qui impactent les ressources en eau sur les plans qualitatif et quantitatif sont d’ordre climatique et anthropique.</w:t>
      </w:r>
    </w:p>
    <w:p w14:paraId="41B271A0" w14:textId="77777777" w:rsidR="00315704" w:rsidRPr="007C5A6E" w:rsidRDefault="00800F57" w:rsidP="00315704">
      <w:pPr>
        <w:spacing w:after="0" w:line="240" w:lineRule="auto"/>
        <w:ind w:left="357"/>
        <w:jc w:val="both"/>
        <w:rPr>
          <w:rFonts w:ascii="Times New Roman" w:hAnsi="Times New Roman"/>
          <w:bCs/>
          <w:sz w:val="24"/>
          <w:szCs w:val="24"/>
        </w:rPr>
      </w:pPr>
      <w:r w:rsidRPr="007C5A6E">
        <w:rPr>
          <w:rFonts w:ascii="Times New Roman" w:hAnsi="Times New Roman"/>
          <w:bCs/>
          <w:sz w:val="24"/>
          <w:szCs w:val="24"/>
        </w:rPr>
        <w:t xml:space="preserve">A l’exception des eaux de surface des bassins du Mouhoun et du Nakanbé, qui ont fait l’objet d’analyse partielle récente en 2022 de leur qualité physicochimique, l’état des ressources en eau souterraine et de surface à l’échelle du territoire national, n’a pas fait l’objet d’évaluation généralisée de la plupart des indicateurs. </w:t>
      </w:r>
    </w:p>
    <w:p w14:paraId="2A0447F3" w14:textId="0D361A65" w:rsidR="00800F57" w:rsidRPr="007C5A6E" w:rsidRDefault="00800F57" w:rsidP="00315704">
      <w:pPr>
        <w:spacing w:after="0" w:line="240" w:lineRule="auto"/>
        <w:ind w:left="357"/>
        <w:jc w:val="both"/>
        <w:rPr>
          <w:rFonts w:ascii="Times New Roman" w:hAnsi="Times New Roman"/>
          <w:bCs/>
          <w:sz w:val="24"/>
          <w:szCs w:val="24"/>
        </w:rPr>
      </w:pPr>
      <w:r w:rsidRPr="007C5A6E">
        <w:rPr>
          <w:rFonts w:ascii="Times New Roman" w:hAnsi="Times New Roman"/>
          <w:bCs/>
          <w:sz w:val="24"/>
          <w:szCs w:val="24"/>
        </w:rPr>
        <w:t>L’ensemble des ouvrages de captage d’eau souterraine réalisés jusqu’en 2023 porte le volume total d’eau souterraine prélevable à environ 241 356 250 m</w:t>
      </w:r>
      <w:r w:rsidRPr="007C5A6E">
        <w:rPr>
          <w:rFonts w:ascii="Times New Roman" w:hAnsi="Times New Roman"/>
          <w:bCs/>
          <w:sz w:val="24"/>
          <w:szCs w:val="24"/>
          <w:vertAlign w:val="superscript"/>
        </w:rPr>
        <w:t>3</w:t>
      </w:r>
      <w:r w:rsidRPr="007C5A6E">
        <w:rPr>
          <w:rFonts w:ascii="Times New Roman" w:hAnsi="Times New Roman"/>
          <w:bCs/>
          <w:sz w:val="24"/>
          <w:szCs w:val="24"/>
        </w:rPr>
        <w:t>/an par les PMH et à 140 598 000 m</w:t>
      </w:r>
      <w:r w:rsidRPr="007C5A6E">
        <w:rPr>
          <w:rFonts w:ascii="Times New Roman" w:hAnsi="Times New Roman"/>
          <w:bCs/>
          <w:sz w:val="24"/>
          <w:szCs w:val="24"/>
          <w:vertAlign w:val="superscript"/>
        </w:rPr>
        <w:t>3</w:t>
      </w:r>
      <w:r w:rsidRPr="007C5A6E">
        <w:rPr>
          <w:rFonts w:ascii="Times New Roman" w:hAnsi="Times New Roman"/>
          <w:bCs/>
          <w:sz w:val="24"/>
          <w:szCs w:val="24"/>
        </w:rPr>
        <w:t>/an par les AEPS-PEA. Cela représente une capacité totale de prélèvement des eaux souterraines d’au moins 381 954 250 m</w:t>
      </w:r>
      <w:r w:rsidRPr="007C5A6E">
        <w:rPr>
          <w:rFonts w:ascii="Times New Roman" w:hAnsi="Times New Roman"/>
          <w:bCs/>
          <w:sz w:val="24"/>
          <w:szCs w:val="24"/>
          <w:vertAlign w:val="superscript"/>
        </w:rPr>
        <w:t>3</w:t>
      </w:r>
      <w:r w:rsidRPr="007C5A6E">
        <w:rPr>
          <w:rFonts w:ascii="Times New Roman" w:hAnsi="Times New Roman"/>
          <w:bCs/>
          <w:sz w:val="24"/>
          <w:szCs w:val="24"/>
        </w:rPr>
        <w:t>/an pour la couverture des besoins en eau potable des populations.</w:t>
      </w:r>
      <w:r w:rsidR="00315704" w:rsidRPr="007C5A6E">
        <w:rPr>
          <w:rFonts w:ascii="Times New Roman" w:hAnsi="Times New Roman"/>
          <w:bCs/>
          <w:sz w:val="24"/>
          <w:szCs w:val="24"/>
        </w:rPr>
        <w:t xml:space="preserve"> </w:t>
      </w:r>
      <w:r w:rsidRPr="007C5A6E">
        <w:rPr>
          <w:rFonts w:ascii="Times New Roman" w:hAnsi="Times New Roman"/>
          <w:bCs/>
          <w:sz w:val="24"/>
          <w:szCs w:val="24"/>
        </w:rPr>
        <w:t>Cette quantité reste faible (13%) par rapport aux seules recharges des nappes du bassin national de la Comoé et du bassin national du Mouhoun et moins de 2% par rapport aux infiltrations (24,2 milliards de m3/an.</w:t>
      </w:r>
    </w:p>
    <w:p w14:paraId="0148FEF0" w14:textId="77777777" w:rsidR="00800F57" w:rsidRPr="007C5A6E" w:rsidRDefault="00800F57" w:rsidP="00800F57">
      <w:pPr>
        <w:spacing w:after="0" w:line="240" w:lineRule="auto"/>
        <w:ind w:left="357"/>
        <w:jc w:val="both"/>
        <w:rPr>
          <w:rFonts w:ascii="Times New Roman" w:hAnsi="Times New Roman"/>
          <w:bCs/>
          <w:sz w:val="24"/>
          <w:szCs w:val="24"/>
        </w:rPr>
      </w:pPr>
      <w:r w:rsidRPr="007C5A6E">
        <w:rPr>
          <w:rFonts w:ascii="Times New Roman" w:hAnsi="Times New Roman"/>
          <w:bCs/>
          <w:sz w:val="24"/>
          <w:szCs w:val="24"/>
        </w:rPr>
        <w:t>Les capacités totales de stockage des ressources en eau de surface qui correspondent aux volumes d’eau prélevables, sont évaluées en 2023 à au moins 6 704 758 606 m3/an dont 6 580 687 246 m3 par les barrages. Il reste entendu que ces volumes d’eau prélevables sont approximatifs en raison des comblements des cuvettes des barrages (non évalués pour pratiquement tous) et des retenues d’eau dont les capacités sont inconnues. Ces volumes d’eau de surface prélevables représentent environ 48,33% des écoulements à l’échelle nationale et 48,36% des écoulements qui sortent du pays.</w:t>
      </w:r>
    </w:p>
    <w:p w14:paraId="6868DF81" w14:textId="77777777" w:rsidR="00800F57" w:rsidRPr="007C5A6E" w:rsidRDefault="00800F57" w:rsidP="00800F57">
      <w:pPr>
        <w:spacing w:after="0" w:line="240" w:lineRule="auto"/>
        <w:ind w:left="357"/>
        <w:jc w:val="both"/>
        <w:rPr>
          <w:rFonts w:ascii="Times New Roman" w:hAnsi="Times New Roman"/>
          <w:bCs/>
          <w:sz w:val="24"/>
          <w:szCs w:val="24"/>
        </w:rPr>
      </w:pPr>
      <w:r w:rsidRPr="007C5A6E">
        <w:rPr>
          <w:rFonts w:ascii="Times New Roman" w:hAnsi="Times New Roman"/>
          <w:bCs/>
          <w:sz w:val="24"/>
          <w:szCs w:val="24"/>
        </w:rPr>
        <w:t>En ce qui concerne les prélèvement, l’analyse des données disponibles indiquent (i) une augmentation de l’impact des prélèvements d’eau souterraine de l’ordre de 88,59% en 9 ans (2014 à 2023), soit un accroissement de l’impact des prélèvements de l’ordre de 9,84 %/an (largement supérieur au taux d’accroissement moyen de la population) ; (ii) une augmentation des prélèvements d’eau de surface de l’ordre de 23,62% en 12 ans, équivalent à un accroissement de l’impact des prélèvements de l’ordre de 1,97%/an.</w:t>
      </w:r>
    </w:p>
    <w:p w14:paraId="1A53390D" w14:textId="77777777" w:rsidR="00800F57" w:rsidRPr="007C5A6E" w:rsidRDefault="00800F57" w:rsidP="00800F57">
      <w:pPr>
        <w:spacing w:after="0" w:line="240" w:lineRule="auto"/>
        <w:ind w:left="357"/>
        <w:jc w:val="both"/>
        <w:rPr>
          <w:rFonts w:ascii="Times New Roman" w:hAnsi="Times New Roman"/>
          <w:bCs/>
          <w:sz w:val="24"/>
          <w:szCs w:val="24"/>
        </w:rPr>
      </w:pPr>
      <w:r w:rsidRPr="007C5A6E">
        <w:rPr>
          <w:rFonts w:ascii="Times New Roman" w:hAnsi="Times New Roman"/>
          <w:bCs/>
          <w:sz w:val="24"/>
          <w:szCs w:val="24"/>
        </w:rPr>
        <w:t xml:space="preserve">L’accroissement, voire l’accélération d’une part du développement des activités socioéconomiques sur toute l’étendue du territoire national, malgré leur faible envergure actuelle, et d’autre part les tendances à la hausse des températures et de la vitesse des vents, sont des signes évidents d’une tendance à l’augmentation de la pollution et des prélèvements d’eau qui nécessiteront des réponses idoines et systématiques </w:t>
      </w:r>
    </w:p>
    <w:p w14:paraId="05C056DB" w14:textId="77777777" w:rsidR="00800F57" w:rsidRPr="007C5A6E" w:rsidRDefault="00800F57" w:rsidP="00800F57">
      <w:pPr>
        <w:spacing w:after="0" w:line="240" w:lineRule="auto"/>
        <w:ind w:left="357"/>
        <w:jc w:val="both"/>
        <w:rPr>
          <w:rFonts w:ascii="Times New Roman" w:eastAsia="Calibri" w:hAnsi="Times New Roman"/>
          <w:bCs/>
          <w:sz w:val="24"/>
          <w:szCs w:val="24"/>
          <w:lang w:eastAsia="da-DK"/>
        </w:rPr>
      </w:pPr>
      <w:r w:rsidRPr="007C5A6E">
        <w:rPr>
          <w:rFonts w:ascii="Times New Roman" w:eastAsia="Calibri" w:hAnsi="Times New Roman"/>
          <w:bCs/>
          <w:sz w:val="24"/>
          <w:szCs w:val="24"/>
          <w:lang w:eastAsia="da-DK"/>
        </w:rPr>
        <w:t xml:space="preserve">A </w:t>
      </w:r>
      <w:r w:rsidRPr="007C5A6E">
        <w:rPr>
          <w:rFonts w:ascii="Times New Roman" w:hAnsi="Times New Roman"/>
          <w:bCs/>
          <w:sz w:val="24"/>
          <w:szCs w:val="24"/>
        </w:rPr>
        <w:t>l’analyse</w:t>
      </w:r>
      <w:r w:rsidRPr="007C5A6E">
        <w:rPr>
          <w:rFonts w:ascii="Times New Roman" w:eastAsia="Calibri" w:hAnsi="Times New Roman"/>
          <w:bCs/>
          <w:sz w:val="24"/>
          <w:szCs w:val="24"/>
          <w:lang w:eastAsia="da-DK"/>
        </w:rPr>
        <w:t xml:space="preserve"> de ces constats, il ressort que les réponses apportées sont régulièrement soutenues d’une année à l’autre pour ce qui est de l’accès à l’eau potable aussi bien en milieu rural qu’en milieu urbain.</w:t>
      </w:r>
    </w:p>
    <w:p w14:paraId="3ED0CCB3" w14:textId="77777777" w:rsidR="00800F57" w:rsidRPr="007C5A6E" w:rsidRDefault="00800F57" w:rsidP="00800F57">
      <w:pPr>
        <w:spacing w:after="0" w:line="240" w:lineRule="auto"/>
        <w:ind w:left="357"/>
        <w:jc w:val="both"/>
        <w:rPr>
          <w:rFonts w:ascii="Times New Roman" w:hAnsi="Times New Roman"/>
          <w:bCs/>
          <w:color w:val="C00000"/>
          <w:sz w:val="24"/>
          <w:szCs w:val="24"/>
        </w:rPr>
      </w:pPr>
      <w:r w:rsidRPr="007C5A6E">
        <w:rPr>
          <w:rFonts w:ascii="Times New Roman" w:hAnsi="Times New Roman"/>
          <w:bCs/>
          <w:sz w:val="24"/>
          <w:szCs w:val="24"/>
        </w:rPr>
        <w:t>La tendance à la hausse du taux d’accès à l’assainissement des eaux usées et excrétas aussi bien en milieu rural qu’urbain, contribue inversement, à la réduction progressive de la pollution des ressources en eau</w:t>
      </w:r>
      <w:r w:rsidRPr="007C5A6E">
        <w:rPr>
          <w:rFonts w:ascii="Times New Roman" w:hAnsi="Times New Roman"/>
          <w:bCs/>
          <w:color w:val="C00000"/>
          <w:sz w:val="24"/>
          <w:szCs w:val="24"/>
        </w:rPr>
        <w:t>.</w:t>
      </w:r>
    </w:p>
    <w:p w14:paraId="6B49D142" w14:textId="77777777" w:rsidR="00800F57" w:rsidRPr="007C5A6E" w:rsidRDefault="00800F57" w:rsidP="00800F57">
      <w:pPr>
        <w:spacing w:after="0" w:line="240" w:lineRule="auto"/>
        <w:ind w:left="357"/>
        <w:jc w:val="both"/>
        <w:rPr>
          <w:rFonts w:ascii="Times New Roman" w:hAnsi="Times New Roman"/>
          <w:bCs/>
          <w:sz w:val="24"/>
          <w:szCs w:val="24"/>
        </w:rPr>
      </w:pPr>
      <w:r w:rsidRPr="007C5A6E">
        <w:rPr>
          <w:rFonts w:ascii="Times New Roman" w:hAnsi="Times New Roman"/>
          <w:bCs/>
          <w:sz w:val="24"/>
          <w:szCs w:val="24"/>
        </w:rPr>
        <w:t xml:space="preserve">Enfin, au regard des tendances historiques observées et des projections climatiques à long terme, on peut s’attendre au niveau du pays à (i) une amélioration des apports en eau du pays et par conséquent à une réduction du stress hydrique en même temps que (ii) une augmentation de la turbidité des eaux de surface en raison des érosions dues à l’intensité des pluies et à l’accroissement des épisodes pluvieux extrêmes, si des réponses adéquates ne sont pas apportée aux principales pressions qui s’exercent sur les bassins hydrographiques nationaux. </w:t>
      </w:r>
    </w:p>
    <w:p w14:paraId="09EDAFD7" w14:textId="77777777" w:rsidR="00800F57" w:rsidRPr="007C5A6E" w:rsidRDefault="00800F57" w:rsidP="00800F57">
      <w:pPr>
        <w:spacing w:after="0" w:line="240" w:lineRule="auto"/>
        <w:jc w:val="both"/>
        <w:rPr>
          <w:rFonts w:ascii="Times New Roman" w:hAnsi="Times New Roman"/>
          <w:bCs/>
          <w:sz w:val="24"/>
          <w:szCs w:val="24"/>
        </w:rPr>
      </w:pPr>
    </w:p>
    <w:p w14:paraId="7E7F7D14" w14:textId="77777777" w:rsidR="00800F57" w:rsidRPr="007C5A6E" w:rsidRDefault="00800F57" w:rsidP="00800F57">
      <w:pPr>
        <w:pStyle w:val="Paragraphedeliste"/>
        <w:numPr>
          <w:ilvl w:val="0"/>
          <w:numId w:val="72"/>
        </w:numPr>
        <w:spacing w:after="0" w:line="240" w:lineRule="auto"/>
        <w:ind w:left="357" w:hanging="357"/>
        <w:jc w:val="both"/>
        <w:rPr>
          <w:rFonts w:ascii="Times New Roman" w:hAnsi="Times New Roman"/>
          <w:sz w:val="24"/>
          <w:szCs w:val="24"/>
        </w:rPr>
      </w:pPr>
      <w:bookmarkStart w:id="1629" w:name="_Hlk183252379"/>
      <w:r w:rsidRPr="007C5A6E">
        <w:rPr>
          <w:rFonts w:ascii="Times New Roman" w:hAnsi="Times New Roman"/>
          <w:sz w:val="24"/>
          <w:szCs w:val="24"/>
        </w:rPr>
        <w:t xml:space="preserve">Les </w:t>
      </w:r>
      <w:r w:rsidRPr="007C5A6E">
        <w:rPr>
          <w:rFonts w:ascii="Times New Roman" w:hAnsi="Times New Roman"/>
          <w:bCs/>
          <w:sz w:val="24"/>
          <w:szCs w:val="24"/>
        </w:rPr>
        <w:t>pressions</w:t>
      </w:r>
      <w:r w:rsidRPr="007C5A6E">
        <w:rPr>
          <w:rFonts w:ascii="Times New Roman" w:hAnsi="Times New Roman"/>
          <w:sz w:val="24"/>
          <w:szCs w:val="24"/>
        </w:rPr>
        <w:t xml:space="preserve"> humaines qui pèsent lourdement sur les sols sont toujours largement présentes (le surpâturage, l’agriculture pluviale, les feux de brousse, l’exploitation artisanale de l’or ou orpaillage, et les mines industrielles) si certaines, comme l’orpaillage, ne se sont pas exacerbées.</w:t>
      </w:r>
      <w:r w:rsidRPr="007C5A6E">
        <w:rPr>
          <w:rFonts w:ascii="Times New Roman" w:hAnsi="Times New Roman"/>
          <w:bCs/>
          <w:sz w:val="24"/>
          <w:szCs w:val="24"/>
        </w:rPr>
        <w:t xml:space="preserve"> </w:t>
      </w:r>
      <w:r w:rsidRPr="007C5A6E">
        <w:rPr>
          <w:rFonts w:ascii="Times New Roman" w:hAnsi="Times New Roman"/>
          <w:sz w:val="24"/>
          <w:szCs w:val="24"/>
        </w:rPr>
        <w:t xml:space="preserve">La </w:t>
      </w:r>
      <w:r w:rsidRPr="007C5A6E">
        <w:rPr>
          <w:rFonts w:ascii="Times New Roman" w:hAnsi="Times New Roman"/>
          <w:sz w:val="24"/>
          <w:szCs w:val="24"/>
          <w:shd w:val="clear" w:color="auto" w:fill="FFFFFF"/>
        </w:rPr>
        <w:t>consommation</w:t>
      </w:r>
      <w:r w:rsidRPr="007C5A6E">
        <w:rPr>
          <w:rFonts w:ascii="Times New Roman" w:hAnsi="Times New Roman"/>
          <w:sz w:val="24"/>
          <w:szCs w:val="24"/>
        </w:rPr>
        <w:t xml:space="preserve"> des sachets plastiques non biodégradables a explosé au Burkina Faso et constitue désormais une menace sérieuse pour les sols et les systèmes de production agropastorale. </w:t>
      </w:r>
    </w:p>
    <w:p w14:paraId="7BEE6E62" w14:textId="77777777" w:rsidR="00800F57" w:rsidRPr="007C5A6E" w:rsidRDefault="00800F57" w:rsidP="00800F57">
      <w:pPr>
        <w:spacing w:after="0" w:line="240" w:lineRule="auto"/>
        <w:ind w:left="357"/>
        <w:jc w:val="both"/>
        <w:rPr>
          <w:rFonts w:ascii="Times New Roman" w:hAnsi="Times New Roman"/>
          <w:sz w:val="24"/>
          <w:szCs w:val="24"/>
        </w:rPr>
      </w:pPr>
      <w:r w:rsidRPr="007C5A6E">
        <w:rPr>
          <w:rFonts w:ascii="Times New Roman" w:hAnsi="Times New Roman"/>
          <w:sz w:val="24"/>
          <w:szCs w:val="24"/>
        </w:rPr>
        <w:t xml:space="preserve">L’analyse des données disponibles indiquent que 5,16 millions d’hectares de terres se sont dégradés entre 2002 et 2013 soit 19 % du territoire national ; soit une dégradation annuelle de 470 000 ha.  Cette dégradation résulte de trois grandes tendances : (i)  une déforestation importante (en 11 ans, le Burkina Faso a perdu plus de 2,4 millions d’hectares de forêts (9 % du territoire national, au profit de savanes ou de terres cultivées) ; (ii), une perte de productivité des terres cultivées (5,5 % des savanes et 3 % des terres cultivées sont aujourd’hui considérées comme ayant une productivité en déclin, soit un total de 9 % du territoire national) ; (iii) une dégradation du stock de carbone organique du sol au niveau des savanes, principalement dans la zone soudanienne. </w:t>
      </w:r>
    </w:p>
    <w:p w14:paraId="050DAB34" w14:textId="77777777" w:rsidR="00800F57" w:rsidRPr="007C5A6E" w:rsidRDefault="00800F57" w:rsidP="00800F57">
      <w:pPr>
        <w:spacing w:after="0" w:line="240" w:lineRule="auto"/>
        <w:ind w:left="357"/>
        <w:jc w:val="both"/>
        <w:rPr>
          <w:rFonts w:ascii="Times New Roman" w:hAnsi="Times New Roman"/>
          <w:sz w:val="24"/>
          <w:szCs w:val="24"/>
        </w:rPr>
      </w:pPr>
      <w:r w:rsidRPr="007C5A6E">
        <w:rPr>
          <w:rFonts w:ascii="Times New Roman" w:hAnsi="Times New Roman"/>
          <w:bCs/>
          <w:sz w:val="24"/>
          <w:szCs w:val="24"/>
        </w:rPr>
        <w:t>Toutefois, l</w:t>
      </w:r>
      <w:r w:rsidRPr="007C5A6E">
        <w:rPr>
          <w:rFonts w:ascii="Times New Roman" w:hAnsi="Times New Roman"/>
          <w:sz w:val="24"/>
          <w:szCs w:val="24"/>
        </w:rPr>
        <w:t xml:space="preserve">’analyse des cartes de l’évolution de la dégradation des sols entre 2012 et 2023, montre une régression des taux de dégradation des sols en 2023 par rapport à l’année 2012. Cette amélioration des tendances pourrait être favorisée par la mise en œuvre des programmes et actions conservation et de restauration des sols, dans le cadre des stratégies et politiques de lutte contre la dégradation des sols élaborées et soutenues par l’Etat, les Projets et les ONG. La prise de conscience des populations rurales de la gravité de la dégradation des terres de leurs terroirs est sans conteste un facteur améliorant. </w:t>
      </w:r>
    </w:p>
    <w:p w14:paraId="786D9845" w14:textId="77777777" w:rsidR="00800F57" w:rsidRPr="007C5A6E" w:rsidRDefault="00800F57" w:rsidP="00800F57">
      <w:pPr>
        <w:spacing w:after="0" w:line="240" w:lineRule="auto"/>
        <w:ind w:left="357"/>
        <w:jc w:val="both"/>
        <w:rPr>
          <w:rFonts w:ascii="Times New Roman" w:hAnsi="Times New Roman"/>
          <w:sz w:val="24"/>
          <w:szCs w:val="24"/>
        </w:rPr>
      </w:pPr>
      <w:r w:rsidRPr="007C5A6E">
        <w:rPr>
          <w:rFonts w:ascii="Times New Roman" w:hAnsi="Times New Roman"/>
          <w:sz w:val="24"/>
          <w:szCs w:val="24"/>
        </w:rPr>
        <w:t xml:space="preserve">En effet, le Burkina Faso dispose d’une importante panoplie de savoirs endogènes qui ont fait leurs preuves face à la dégradation des terres, dont certains ont fait l’objet d’amélioration voir de normalisation par le Recherche environnementale et agricole. L’obstacle majeur réside cependant dans la capacité des agriculteurs et des communautés rurales en général, à les mettre à l’échelle, pour répondre significativement aux dynamiques de dégradation des terres. </w:t>
      </w:r>
    </w:p>
    <w:p w14:paraId="45816143" w14:textId="77777777" w:rsidR="00800F57" w:rsidRPr="007C5A6E" w:rsidRDefault="00800F57" w:rsidP="00800F57">
      <w:pPr>
        <w:spacing w:after="0" w:line="240" w:lineRule="auto"/>
        <w:ind w:left="357"/>
        <w:jc w:val="both"/>
        <w:rPr>
          <w:rFonts w:ascii="Times New Roman" w:hAnsi="Times New Roman"/>
          <w:sz w:val="24"/>
          <w:szCs w:val="24"/>
        </w:rPr>
      </w:pPr>
      <w:r w:rsidRPr="007C5A6E">
        <w:rPr>
          <w:rFonts w:ascii="Times New Roman" w:hAnsi="Times New Roman"/>
          <w:sz w:val="24"/>
          <w:szCs w:val="24"/>
        </w:rPr>
        <w:t xml:space="preserve">Face aux changements climatiques projetés à moyen et long terme, les incidences sur les sols qui sont à craindre portent principalement sur les risques d’inondation et ceux liés à l’accroissement des températures. Les inondations sont en effet dommageables et causent des pertes énormes de terres et de cultures, indépendamment des impacts sur les infrastructures et la santé publique. </w:t>
      </w:r>
    </w:p>
    <w:p w14:paraId="0F7D3065" w14:textId="77777777" w:rsidR="00800F57" w:rsidRPr="007C5A6E" w:rsidRDefault="00800F57" w:rsidP="00800F57">
      <w:pPr>
        <w:spacing w:after="0" w:line="240" w:lineRule="auto"/>
        <w:ind w:left="357"/>
        <w:jc w:val="both"/>
        <w:rPr>
          <w:rFonts w:ascii="Times New Roman" w:hAnsi="Times New Roman"/>
          <w:sz w:val="24"/>
          <w:szCs w:val="24"/>
        </w:rPr>
      </w:pPr>
      <w:r w:rsidRPr="007C5A6E">
        <w:rPr>
          <w:rFonts w:ascii="Times New Roman" w:hAnsi="Times New Roman"/>
          <w:sz w:val="24"/>
          <w:szCs w:val="24"/>
        </w:rPr>
        <w:t xml:space="preserve">Les températures élevées provoquent une dessiccation des sols et une précipitation des oxydes et hydroxydes de fer en cuirasse ou carapace ferrugineuse conférant au sol une morphologie squelettique. L’induration réduit la profondeur utile d’enracinement des cultures. Les fortes températures sont aussi responsables de la déperdition des sols en matière organique. Elles contribuent également à un assèchement des sols, une forte évaporation de l’eau du sol et un abaissement en profondeur des nappes souterraines, ce qui ne permet plus à la végétation de s’alimenter en eau ; avec comme conséquence une mortalité du couvert végétal. Ce processus conduit à la dégradation des terres et à la formation de terres dénudées. </w:t>
      </w:r>
    </w:p>
    <w:p w14:paraId="50B63921" w14:textId="77777777" w:rsidR="00800F57" w:rsidRPr="007C5A6E" w:rsidRDefault="00800F57" w:rsidP="00800F57">
      <w:pPr>
        <w:spacing w:after="0" w:line="240" w:lineRule="auto"/>
        <w:ind w:left="357"/>
        <w:jc w:val="both"/>
        <w:rPr>
          <w:rFonts w:ascii="Times New Roman" w:hAnsi="Times New Roman"/>
          <w:sz w:val="24"/>
          <w:szCs w:val="24"/>
        </w:rPr>
      </w:pPr>
      <w:r w:rsidRPr="007C5A6E">
        <w:rPr>
          <w:rFonts w:ascii="Times New Roman" w:hAnsi="Times New Roman"/>
          <w:sz w:val="24"/>
          <w:szCs w:val="24"/>
        </w:rPr>
        <w:t>Par ailleurs, l’un des facteurs importants de la déferrallitisation des sols ferrallitiques est la forte dessiccation favorisée par les fortes températures durant la longue période sèche. Elle est d’autant plus importante que la surface du sol est dépourvue de couvert végétal.</w:t>
      </w:r>
    </w:p>
    <w:bookmarkEnd w:id="1629"/>
    <w:p w14:paraId="79BA87CB" w14:textId="77777777" w:rsidR="00800F57" w:rsidRPr="007C5A6E" w:rsidRDefault="00800F57" w:rsidP="00800F57">
      <w:pPr>
        <w:spacing w:after="0" w:line="240" w:lineRule="auto"/>
        <w:jc w:val="both"/>
        <w:rPr>
          <w:rFonts w:ascii="Times New Roman" w:hAnsi="Times New Roman"/>
          <w:bCs/>
          <w:sz w:val="24"/>
          <w:szCs w:val="24"/>
        </w:rPr>
      </w:pPr>
    </w:p>
    <w:p w14:paraId="03F86AAA" w14:textId="77777777" w:rsidR="00800F57" w:rsidRPr="007C5A6E" w:rsidRDefault="00800F57" w:rsidP="00800F57">
      <w:pPr>
        <w:pStyle w:val="Paragraphedeliste"/>
        <w:numPr>
          <w:ilvl w:val="0"/>
          <w:numId w:val="72"/>
        </w:numPr>
        <w:spacing w:after="0" w:line="240" w:lineRule="auto"/>
        <w:ind w:left="357" w:hanging="357"/>
        <w:jc w:val="both"/>
        <w:rPr>
          <w:rFonts w:ascii="Times New Roman" w:hAnsi="Times New Roman"/>
          <w:sz w:val="24"/>
          <w:szCs w:val="24"/>
        </w:rPr>
      </w:pPr>
      <w:r w:rsidRPr="007C5A6E">
        <w:rPr>
          <w:rFonts w:ascii="Times New Roman" w:hAnsi="Times New Roman"/>
          <w:sz w:val="24"/>
          <w:szCs w:val="24"/>
        </w:rPr>
        <w:t xml:space="preserve">En </w:t>
      </w:r>
      <w:r w:rsidRPr="007C5A6E">
        <w:rPr>
          <w:rFonts w:ascii="Times New Roman" w:eastAsiaTheme="minorHAnsi" w:hAnsi="Times New Roman"/>
          <w:kern w:val="2"/>
          <w:sz w:val="24"/>
          <w:szCs w:val="24"/>
          <w:lang w:eastAsia="en-US"/>
          <w14:ligatures w14:val="standardContextual"/>
        </w:rPr>
        <w:t>rapport</w:t>
      </w:r>
      <w:r w:rsidRPr="007C5A6E">
        <w:rPr>
          <w:rFonts w:ascii="Times New Roman" w:hAnsi="Times New Roman"/>
          <w:sz w:val="24"/>
          <w:szCs w:val="24"/>
        </w:rPr>
        <w:t xml:space="preserve"> avec le REEB-4, les efforts de recherche au cours des dernières années ont permis une bien meilleure connaissance des ressources biologiques du Burkina Faso. Plusieurs nouvelles espèces ont été identifiées. La diversité biologique au Burkina Faso continue de fluctuer sont les effets combinés des actions anthropiques et du changement climatique. Les tendances sont différentes selon les espèces. Les effectifs de certaines espèces régressent tandis qu’ils augmentent pour d’autres. De façon globale, la situation révèle des changements importants marqués par la diminution des formations naturelles (savanes, forêts, steppes) au profit des zones anthropiques (terres agricoles et zones urbaines). Ce qui induit une diminution et ou une perte des habitats pour la faune. </w:t>
      </w:r>
    </w:p>
    <w:p w14:paraId="6C20AF3B" w14:textId="77777777" w:rsidR="00800F57" w:rsidRPr="007C5A6E" w:rsidRDefault="00800F57" w:rsidP="00800F57">
      <w:pPr>
        <w:spacing w:after="0" w:line="240" w:lineRule="auto"/>
        <w:ind w:left="357"/>
        <w:jc w:val="both"/>
        <w:rPr>
          <w:rFonts w:ascii="Times New Roman" w:hAnsi="Times New Roman"/>
          <w:sz w:val="24"/>
          <w:szCs w:val="24"/>
        </w:rPr>
      </w:pPr>
      <w:r w:rsidRPr="007C5A6E">
        <w:rPr>
          <w:rFonts w:ascii="Times New Roman" w:hAnsi="Times New Roman"/>
          <w:sz w:val="24"/>
          <w:szCs w:val="24"/>
        </w:rPr>
        <w:t>Les pressions sont multiformes et sont aggravées par l’insuffisance ou la mauvaise gouvernance, le changement climatique ainsi que le contexte sécuritaire national. En particulier, les pressions anthropiques présentent des ampleurs variables et croissantes au fil des ans du fait de l’accroissement démographique et ses coralliaires de besoins d’espaces, en Energie et pour l’alimentation et en santé, la surexploitation des espèces et l’adoption de nouvelle variété cultural dans les agrosystèmes. A cela il convient de relever la pression pastorale qui s’amplifie du fait de la croissance de l’effectif du cheptel et le mode d’élevage extensif persistant. La situation globale se traduit par : Des défriches forestières croissantes et variables selon les zones agroécologiques.</w:t>
      </w:r>
    </w:p>
    <w:p w14:paraId="3CEF6278" w14:textId="77777777" w:rsidR="00800F57" w:rsidRPr="007C5A6E" w:rsidRDefault="00800F57" w:rsidP="00800F57">
      <w:pPr>
        <w:spacing w:after="0" w:line="240" w:lineRule="auto"/>
        <w:ind w:left="357"/>
        <w:jc w:val="both"/>
        <w:rPr>
          <w:rFonts w:ascii="Times New Roman" w:hAnsi="Times New Roman"/>
          <w:sz w:val="24"/>
          <w:szCs w:val="24"/>
        </w:rPr>
      </w:pPr>
      <w:r w:rsidRPr="007C5A6E">
        <w:rPr>
          <w:rFonts w:ascii="Times New Roman" w:hAnsi="Times New Roman"/>
          <w:sz w:val="24"/>
          <w:szCs w:val="24"/>
        </w:rPr>
        <w:t xml:space="preserve">De nombreux efforts sont consentis pour inverser les tendances.  A ce titre, il importe de relever les cadres institutionnel et juridique pertinents, ainsi que l’existence de stratégies et de programmes impliquant des actions fondées sur la nature. Des politiques solides ainsi que des solutions scientifiques et technologiques sont essentielles pour le succès des efforts d’atténuation des impacts des PEE. </w:t>
      </w:r>
    </w:p>
    <w:p w14:paraId="46A16F22" w14:textId="77777777" w:rsidR="00800F57" w:rsidRPr="007C5A6E" w:rsidRDefault="00800F57" w:rsidP="00800F57">
      <w:pPr>
        <w:spacing w:after="0" w:line="240" w:lineRule="auto"/>
        <w:ind w:left="357"/>
        <w:jc w:val="both"/>
        <w:rPr>
          <w:rFonts w:ascii="Times New Roman" w:hAnsi="Times New Roman"/>
          <w:sz w:val="24"/>
          <w:szCs w:val="24"/>
        </w:rPr>
      </w:pPr>
      <w:r w:rsidRPr="007C5A6E">
        <w:rPr>
          <w:rFonts w:ascii="Times New Roman" w:hAnsi="Times New Roman"/>
          <w:sz w:val="24"/>
          <w:szCs w:val="24"/>
        </w:rPr>
        <w:t xml:space="preserve">Toutefois les efforts sont toujours en deçà des attentes de l’ampleur des pressions. En particulier dans le développement d’un effort global pour faire face au problème, il importe de mettre l’accent </w:t>
      </w:r>
      <w:proofErr w:type="gramStart"/>
      <w:r w:rsidRPr="007C5A6E">
        <w:rPr>
          <w:rFonts w:ascii="Times New Roman" w:hAnsi="Times New Roman"/>
          <w:sz w:val="24"/>
          <w:szCs w:val="24"/>
        </w:rPr>
        <w:t>sur:</w:t>
      </w:r>
      <w:proofErr w:type="gramEnd"/>
      <w:r w:rsidRPr="007C5A6E">
        <w:rPr>
          <w:rFonts w:ascii="Times New Roman" w:hAnsi="Times New Roman"/>
          <w:sz w:val="24"/>
          <w:szCs w:val="24"/>
        </w:rPr>
        <w:t xml:space="preserve"> la prévention, la détection précoce, le contrôle et la gestion ainsi que la restauration. Ce processus doit nécessairement impliquer tous les acteurs essentiels, et suppose une coopération locale et internationale. </w:t>
      </w:r>
    </w:p>
    <w:p w14:paraId="3A314784" w14:textId="77777777" w:rsidR="00800F57" w:rsidRPr="007C5A6E" w:rsidRDefault="00800F57" w:rsidP="00800F57">
      <w:pPr>
        <w:spacing w:after="0" w:line="240" w:lineRule="auto"/>
        <w:jc w:val="both"/>
        <w:rPr>
          <w:rFonts w:ascii="Times New Roman" w:hAnsi="Times New Roman"/>
          <w:sz w:val="24"/>
          <w:szCs w:val="24"/>
        </w:rPr>
      </w:pPr>
    </w:p>
    <w:p w14:paraId="0F915678" w14:textId="77777777" w:rsidR="00800F57" w:rsidRPr="007C5A6E" w:rsidRDefault="00800F57" w:rsidP="00800F57">
      <w:pPr>
        <w:pStyle w:val="Paragraphedeliste"/>
        <w:numPr>
          <w:ilvl w:val="0"/>
          <w:numId w:val="72"/>
        </w:numPr>
        <w:spacing w:after="0" w:line="240" w:lineRule="auto"/>
        <w:ind w:left="357" w:hanging="357"/>
        <w:jc w:val="both"/>
        <w:rPr>
          <w:rFonts w:ascii="Times New Roman" w:eastAsia="Aptos"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L'urbanisation</w:t>
      </w:r>
      <w:r w:rsidRPr="007C5A6E">
        <w:rPr>
          <w:rFonts w:ascii="Times New Roman" w:eastAsia="Aptos" w:hAnsi="Times New Roman"/>
          <w:kern w:val="2"/>
          <w:sz w:val="24"/>
          <w:szCs w:val="24"/>
          <w:lang w:eastAsia="en-US"/>
          <w14:ligatures w14:val="standardContextual"/>
        </w:rPr>
        <w:t xml:space="preserve"> rapide au Burkina Faso, tout en créant de nouvelles opportunités économiques, a des impacts significatifs sur le développement des villes et leurs environnements. La faible maîtrise des modes de consommation des ressources naturelles, liée à la croissance rapide des villes, affaiblit rapidement les écosystèmes urbains. Les émissions de gaz à effet de serre augmentent en raison de la concentration de l'activité économique et du trafic marqué par l’usage individuel des moyens de transport et la vétusté du parc automobile, contribuant ainsi aux changements climatiques. La gestion des déchets et de l'assainissement reste déficiente, surtout dans les quartiers informels, exacerbant les risques environnementaux et climatiques.</w:t>
      </w:r>
    </w:p>
    <w:p w14:paraId="55AEDFF5" w14:textId="77777777" w:rsidR="00800F57" w:rsidRPr="007C5A6E" w:rsidRDefault="00800F57" w:rsidP="00800F57">
      <w:pPr>
        <w:spacing w:after="0" w:line="240" w:lineRule="auto"/>
        <w:ind w:left="357"/>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 xml:space="preserve">L'étalement urbain réduit les espaces verts, intensifiant l’effet d’îlot de chaleur urbain et augmentant la vulnérabilité des populations aux phénomènes climatiques extrêmes, tels que les inondations et les sécheresses. La faible résilience des infrastructures face à ces aléas climatiques menace la durabilité des villes burkinabè, surtout avec les crises humanitaires et sécuritaires récentes qui poussent des milliers de déplacés internes vers les zones urbaines. Ces défis soulignent l’urgence de mieux intégrer des politiques environnementales dans le cadre de l'urbanisation durable. Les projections faites en lien avec </w:t>
      </w:r>
      <w:r w:rsidRPr="007C5A6E">
        <w:rPr>
          <w:rFonts w:ascii="Times New Roman" w:eastAsia="Aptos" w:hAnsi="Times New Roman"/>
          <w:kern w:val="2"/>
          <w:sz w:val="24"/>
          <w:szCs w:val="24"/>
          <w14:ligatures w14:val="standardContextual"/>
        </w:rPr>
        <w:t>les changements climatiques et les catastrophes naturelles, qui</w:t>
      </w:r>
      <w:r w:rsidRPr="007C5A6E">
        <w:rPr>
          <w:rFonts w:ascii="Times New Roman" w:eastAsia="Aptos" w:hAnsi="Times New Roman"/>
          <w:kern w:val="2"/>
          <w:sz w:val="24"/>
          <w:szCs w:val="24"/>
          <w:lang w:eastAsia="en-US"/>
          <w14:ligatures w14:val="standardContextual"/>
        </w:rPr>
        <w:t xml:space="preserve"> prévoient une augmentation de la pluviométrie et de la chaleur, soulignent cette urgence. </w:t>
      </w:r>
    </w:p>
    <w:p w14:paraId="30D293D8" w14:textId="77777777" w:rsidR="00800F57" w:rsidRPr="007C5A6E" w:rsidRDefault="00800F57" w:rsidP="00800F57">
      <w:pPr>
        <w:spacing w:after="0" w:line="240" w:lineRule="auto"/>
        <w:ind w:left="357"/>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Sous un angle de réalisme et de pratique, la planification territoriale gagnerait à mieux contextualiser les politiques et actions portant notamment des solutions écologiques, telles que des infrastructures résilientes et l’adoption de systèmes énergétiques durables. Dans le même élan, elle doit viser aussi à réduire les émissions liées aux transports et à l’industrie, ainsi qu’améliorer l’assainissement. Cela est essentiel pour atténuer les impacts des changements climatiques tout en offrant des conditions de vie dignes aux populations urbaines en plein essor. Dans ce sens, les recommandations suivantes sont proposées.</w:t>
      </w:r>
    </w:p>
    <w:p w14:paraId="197E9725" w14:textId="77777777" w:rsidR="00800F57" w:rsidRPr="007C5A6E" w:rsidRDefault="00800F57" w:rsidP="00800F57">
      <w:pPr>
        <w:spacing w:after="0" w:line="240" w:lineRule="auto"/>
        <w:jc w:val="both"/>
        <w:rPr>
          <w:rFonts w:ascii="Times New Roman" w:hAnsi="Times New Roman"/>
          <w:sz w:val="24"/>
          <w:szCs w:val="24"/>
          <w:lang w:val="fr-BF"/>
        </w:rPr>
      </w:pPr>
    </w:p>
    <w:p w14:paraId="28791978" w14:textId="77777777" w:rsidR="00800F57" w:rsidRPr="007C5A6E" w:rsidRDefault="00800F57" w:rsidP="00800F57">
      <w:pPr>
        <w:pStyle w:val="Paragraphedeliste"/>
        <w:numPr>
          <w:ilvl w:val="0"/>
          <w:numId w:val="72"/>
        </w:numPr>
        <w:spacing w:after="0" w:line="240" w:lineRule="auto"/>
        <w:ind w:left="357" w:hanging="357"/>
        <w:jc w:val="both"/>
        <w:rPr>
          <w:rFonts w:ascii="Times New Roman" w:hAnsi="Times New Roman"/>
          <w:sz w:val="24"/>
          <w:szCs w:val="24"/>
        </w:rPr>
      </w:pPr>
      <w:r w:rsidRPr="007C5A6E">
        <w:rPr>
          <w:rFonts w:ascii="Times New Roman" w:hAnsi="Times New Roman"/>
          <w:sz w:val="24"/>
          <w:szCs w:val="24"/>
        </w:rPr>
        <w:t xml:space="preserve">Les </w:t>
      </w:r>
      <w:r w:rsidRPr="007C5A6E">
        <w:rPr>
          <w:rFonts w:ascii="Times New Roman" w:eastAsiaTheme="minorHAnsi" w:hAnsi="Times New Roman"/>
          <w:kern w:val="2"/>
          <w:sz w:val="24"/>
          <w:szCs w:val="24"/>
          <w:lang w:eastAsia="en-US"/>
          <w14:ligatures w14:val="standardContextual"/>
        </w:rPr>
        <w:t>maladies</w:t>
      </w:r>
      <w:r w:rsidRPr="007C5A6E">
        <w:rPr>
          <w:rFonts w:ascii="Times New Roman" w:hAnsi="Times New Roman"/>
          <w:sz w:val="24"/>
          <w:szCs w:val="24"/>
        </w:rPr>
        <w:t xml:space="preserve"> lies à l’environnement restent une préoccupation mondiale, et l’évolution des connaissances entraine un élargissement du spectre de ces pathologies. En dépit des limites liées aux données officielles disponibles au moment de l’élaboration de ce rapport, il ressort que l’environnement au Burkina Faso est relativement « pollué », avec la présence d’agents biologiques, chimiques et physiques. Comme cela ressort de la littérature, cette pollution de l’environnement n’est pas sans conséquences négatives sur la santé des populations. Les informations tirées des statistiques officielles révèlent une évolution « en dents de scie » des principales pathologies liées à l’environnement. </w:t>
      </w:r>
    </w:p>
    <w:p w14:paraId="48D2DED2" w14:textId="77777777" w:rsidR="00800F57" w:rsidRPr="007C5A6E" w:rsidRDefault="00800F57" w:rsidP="00800F57">
      <w:pPr>
        <w:spacing w:after="0" w:line="240" w:lineRule="auto"/>
        <w:ind w:left="357"/>
        <w:jc w:val="both"/>
        <w:rPr>
          <w:rFonts w:ascii="Times New Roman" w:hAnsi="Times New Roman"/>
          <w:sz w:val="24"/>
          <w:szCs w:val="24"/>
        </w:rPr>
      </w:pPr>
      <w:r w:rsidRPr="007C5A6E">
        <w:rPr>
          <w:rFonts w:ascii="Times New Roman" w:hAnsi="Times New Roman"/>
          <w:sz w:val="24"/>
          <w:szCs w:val="24"/>
        </w:rPr>
        <w:t>Même s’il est difficile d’attribuer à l’environnement la seule responsabilité de la survenue de ces pathologies, il convient d’agir sur certains facteurs pour alléger le fardeau de ces maladies sur les populations. Cela passe par une amélioration de l’application des disposition règlementaires en matière de gestion de l’environnement, le renforcement du système de santé et bien d’autres actions.</w:t>
      </w:r>
    </w:p>
    <w:p w14:paraId="5CBAEA0A" w14:textId="77777777" w:rsidR="00800F57" w:rsidRPr="007C5A6E" w:rsidRDefault="00800F57" w:rsidP="00800F57">
      <w:pPr>
        <w:spacing w:after="0" w:line="240" w:lineRule="auto"/>
        <w:jc w:val="both"/>
        <w:rPr>
          <w:rFonts w:ascii="Times New Roman" w:hAnsi="Times New Roman"/>
          <w:sz w:val="24"/>
          <w:szCs w:val="24"/>
        </w:rPr>
      </w:pPr>
    </w:p>
    <w:p w14:paraId="75B54B97" w14:textId="77777777" w:rsidR="00800F57" w:rsidRPr="007C5A6E" w:rsidRDefault="00800F57" w:rsidP="0093589E">
      <w:pPr>
        <w:pStyle w:val="Titre1"/>
        <w:spacing w:before="0"/>
        <w:ind w:left="510" w:hanging="510"/>
        <w:rPr>
          <w:bCs/>
          <w:szCs w:val="30"/>
        </w:rPr>
        <w:sectPr w:rsidR="00800F57" w:rsidRPr="007C5A6E" w:rsidSect="006514BA">
          <w:pgSz w:w="11907" w:h="16840" w:code="9"/>
          <w:pgMar w:top="1191" w:right="1361" w:bottom="1191" w:left="1361" w:header="709" w:footer="709" w:gutter="0"/>
          <w:cols w:space="708"/>
          <w:docGrid w:linePitch="360"/>
        </w:sectPr>
      </w:pPr>
    </w:p>
    <w:p w14:paraId="62706703" w14:textId="1B67308F" w:rsidR="00E17E61" w:rsidRPr="007C5A6E" w:rsidRDefault="00006463" w:rsidP="0093589E">
      <w:pPr>
        <w:pStyle w:val="Titre1"/>
        <w:spacing w:before="0"/>
        <w:ind w:left="510" w:hanging="510"/>
        <w:rPr>
          <w:bCs/>
          <w:szCs w:val="30"/>
        </w:rPr>
      </w:pPr>
      <w:bookmarkStart w:id="1630" w:name="_Toc183340365"/>
      <w:r w:rsidRPr="007C5A6E">
        <w:rPr>
          <w:bCs/>
          <w:szCs w:val="30"/>
        </w:rPr>
        <w:t>RECOMMANDATIONS</w:t>
      </w:r>
      <w:bookmarkEnd w:id="1630"/>
      <w:r w:rsidRPr="007C5A6E">
        <w:rPr>
          <w:bCs/>
          <w:szCs w:val="30"/>
        </w:rPr>
        <w:t xml:space="preserve"> </w:t>
      </w:r>
    </w:p>
    <w:p w14:paraId="3091BD3F" w14:textId="77777777" w:rsidR="00006463" w:rsidRPr="007C5A6E" w:rsidRDefault="00006463" w:rsidP="00800F57">
      <w:pPr>
        <w:spacing w:after="0" w:line="240" w:lineRule="auto"/>
        <w:rPr>
          <w:rFonts w:ascii="Times New Roman" w:hAnsi="Times New Roman"/>
          <w:sz w:val="24"/>
          <w:szCs w:val="24"/>
        </w:rPr>
      </w:pPr>
    </w:p>
    <w:p w14:paraId="4E710875" w14:textId="77777777" w:rsidR="002765E8" w:rsidRPr="007C5A6E" w:rsidRDefault="002765E8" w:rsidP="002765E8">
      <w:pPr>
        <w:pStyle w:val="Paragraphedeliste"/>
        <w:numPr>
          <w:ilvl w:val="0"/>
          <w:numId w:val="4"/>
        </w:numPr>
        <w:spacing w:after="0" w:line="240" w:lineRule="auto"/>
        <w:contextualSpacing w:val="0"/>
        <w:outlineLvl w:val="1"/>
        <w:rPr>
          <w:rFonts w:ascii="Times New Roman" w:hAnsi="Times New Roman"/>
          <w:b/>
          <w:bCs/>
          <w:vanish/>
          <w:sz w:val="28"/>
          <w:szCs w:val="28"/>
        </w:rPr>
      </w:pPr>
      <w:bookmarkStart w:id="1631" w:name="_Toc183288142"/>
      <w:bookmarkStart w:id="1632" w:name="_Toc183291383"/>
      <w:bookmarkStart w:id="1633" w:name="_Toc183291787"/>
      <w:bookmarkStart w:id="1634" w:name="_Toc183292191"/>
      <w:bookmarkStart w:id="1635" w:name="_Toc183340366"/>
      <w:bookmarkEnd w:id="1631"/>
      <w:bookmarkEnd w:id="1632"/>
      <w:bookmarkEnd w:id="1633"/>
      <w:bookmarkEnd w:id="1634"/>
      <w:bookmarkEnd w:id="1635"/>
    </w:p>
    <w:p w14:paraId="78377092" w14:textId="77777777" w:rsidR="002765E8" w:rsidRPr="007C5A6E" w:rsidRDefault="002765E8" w:rsidP="002765E8">
      <w:pPr>
        <w:pStyle w:val="Paragraphedeliste"/>
        <w:numPr>
          <w:ilvl w:val="0"/>
          <w:numId w:val="4"/>
        </w:numPr>
        <w:spacing w:after="0" w:line="240" w:lineRule="auto"/>
        <w:contextualSpacing w:val="0"/>
        <w:outlineLvl w:val="1"/>
        <w:rPr>
          <w:rFonts w:ascii="Times New Roman" w:hAnsi="Times New Roman"/>
          <w:b/>
          <w:bCs/>
          <w:vanish/>
          <w:sz w:val="28"/>
          <w:szCs w:val="28"/>
        </w:rPr>
      </w:pPr>
      <w:bookmarkStart w:id="1636" w:name="_Toc183288143"/>
      <w:bookmarkStart w:id="1637" w:name="_Toc183291384"/>
      <w:bookmarkStart w:id="1638" w:name="_Toc183291788"/>
      <w:bookmarkStart w:id="1639" w:name="_Toc183292192"/>
      <w:bookmarkStart w:id="1640" w:name="_Toc183340367"/>
      <w:bookmarkEnd w:id="1636"/>
      <w:bookmarkEnd w:id="1637"/>
      <w:bookmarkEnd w:id="1638"/>
      <w:bookmarkEnd w:id="1639"/>
      <w:bookmarkEnd w:id="1640"/>
    </w:p>
    <w:p w14:paraId="287CF5BD" w14:textId="615E42D9" w:rsidR="00800F57" w:rsidRPr="007C5A6E" w:rsidRDefault="00800F57" w:rsidP="00712C43">
      <w:pPr>
        <w:pStyle w:val="Titre2"/>
      </w:pPr>
      <w:bookmarkStart w:id="1641" w:name="_Toc183340368"/>
      <w:r w:rsidRPr="007C5A6E">
        <w:t>Recommandations de portée générale</w:t>
      </w:r>
      <w:bookmarkEnd w:id="1641"/>
      <w:r w:rsidRPr="007C5A6E">
        <w:t xml:space="preserve"> </w:t>
      </w:r>
    </w:p>
    <w:p w14:paraId="5CEC2482" w14:textId="77777777" w:rsidR="00800F57" w:rsidRPr="007C5A6E" w:rsidRDefault="00800F57" w:rsidP="00800F57">
      <w:pPr>
        <w:spacing w:after="0" w:line="240" w:lineRule="auto"/>
        <w:rPr>
          <w:rFonts w:ascii="Times New Roman" w:hAnsi="Times New Roman"/>
          <w:bCs/>
          <w:sz w:val="24"/>
          <w:szCs w:val="24"/>
        </w:rPr>
      </w:pPr>
    </w:p>
    <w:p w14:paraId="6A4168B0" w14:textId="77777777" w:rsidR="00800F57" w:rsidRPr="007C5A6E" w:rsidRDefault="00800F57" w:rsidP="00800F57">
      <w:pPr>
        <w:keepNext/>
        <w:keepLines/>
        <w:numPr>
          <w:ilvl w:val="2"/>
          <w:numId w:val="4"/>
        </w:numPr>
        <w:tabs>
          <w:tab w:val="num" w:pos="360"/>
        </w:tabs>
        <w:spacing w:after="0" w:line="240" w:lineRule="auto"/>
        <w:ind w:left="0" w:firstLine="0"/>
        <w:outlineLvl w:val="2"/>
        <w:rPr>
          <w:rFonts w:ascii="Times New Roman" w:eastAsiaTheme="minorHAnsi" w:hAnsi="Times New Roman" w:cstheme="majorBidi"/>
          <w:b/>
          <w:i/>
          <w:iCs/>
          <w:sz w:val="26"/>
          <w:szCs w:val="24"/>
          <w:lang w:val="fr-BF" w:eastAsia="en-US"/>
        </w:rPr>
      </w:pPr>
      <w:bookmarkStart w:id="1642" w:name="_Toc475963383"/>
      <w:bookmarkStart w:id="1643" w:name="_Toc475965421"/>
      <w:bookmarkStart w:id="1644" w:name="_Toc478757564"/>
      <w:bookmarkStart w:id="1645" w:name="_Toc183340369"/>
      <w:r w:rsidRPr="007C5A6E">
        <w:rPr>
          <w:rFonts w:ascii="Times New Roman" w:eastAsiaTheme="minorHAnsi" w:hAnsi="Times New Roman" w:cstheme="majorBidi"/>
          <w:b/>
          <w:i/>
          <w:iCs/>
          <w:sz w:val="26"/>
          <w:szCs w:val="24"/>
          <w:lang w:val="fr-BF" w:eastAsia="en-US"/>
        </w:rPr>
        <w:t>Sur l’élaboration régulière du REEB</w:t>
      </w:r>
      <w:bookmarkEnd w:id="1642"/>
      <w:bookmarkEnd w:id="1643"/>
      <w:bookmarkEnd w:id="1644"/>
      <w:bookmarkEnd w:id="1645"/>
    </w:p>
    <w:p w14:paraId="6A5A237E" w14:textId="77777777" w:rsidR="00800F57" w:rsidRPr="007C5A6E" w:rsidRDefault="00800F57" w:rsidP="00800F57">
      <w:pPr>
        <w:spacing w:after="0" w:line="240" w:lineRule="auto"/>
        <w:rPr>
          <w:rFonts w:ascii="Times New Roman" w:hAnsi="Times New Roman"/>
          <w:bCs/>
          <w:sz w:val="24"/>
          <w:szCs w:val="24"/>
        </w:rPr>
      </w:pPr>
    </w:p>
    <w:p w14:paraId="1F1086C5" w14:textId="77777777" w:rsidR="00800F57" w:rsidRPr="007C5A6E" w:rsidRDefault="00800F57" w:rsidP="00800F57">
      <w:pPr>
        <w:spacing w:after="0" w:line="240" w:lineRule="auto"/>
        <w:jc w:val="both"/>
        <w:rPr>
          <w:rFonts w:ascii="Times New Roman" w:hAnsi="Times New Roman"/>
          <w:sz w:val="24"/>
          <w:szCs w:val="24"/>
          <w:lang w:val="fr-BF"/>
        </w:rPr>
      </w:pPr>
      <w:r w:rsidRPr="007C5A6E">
        <w:rPr>
          <w:rFonts w:ascii="Times New Roman" w:hAnsi="Times New Roman"/>
          <w:sz w:val="24"/>
          <w:szCs w:val="24"/>
          <w:lang w:val="fr-BF"/>
        </w:rPr>
        <w:t xml:space="preserve">L’exercice d’élaboration du REEB-5 (2024) a été confronté, plus que le REEB-4, à un contexte particulier marqué par une détérioration des conditions sécuritaires sur une très portion du territoire national depuis 2015. Ce contexte particulier a sans aucun doute affecté la présence sur le terrain des Administrations en charge de la mise en œuvre des activités de développement en général, et en particulier de la surveillance, de la protection et du suivi des ressources naturelles comme l’eau et les ressources biologiques (flore et faune); il a aussi significativement modifié les priorités dans l’allocation des ressources publiques, forment sollicitées pour la restauration de l’intégrité du territoire national.    </w:t>
      </w:r>
    </w:p>
    <w:p w14:paraId="580EFFEB" w14:textId="77777777" w:rsidR="00800F57" w:rsidRPr="007C5A6E" w:rsidRDefault="00800F57" w:rsidP="00800F57">
      <w:pPr>
        <w:spacing w:after="0" w:line="240" w:lineRule="auto"/>
        <w:jc w:val="both"/>
        <w:rPr>
          <w:rFonts w:ascii="Times New Roman" w:eastAsiaTheme="minorHAnsi" w:hAnsi="Times New Roman"/>
          <w:kern w:val="2"/>
          <w:sz w:val="24"/>
          <w:szCs w:val="24"/>
          <w:lang w:eastAsia="en-US"/>
          <w14:ligatures w14:val="standardContextual"/>
        </w:rPr>
      </w:pPr>
      <w:r w:rsidRPr="007C5A6E">
        <w:rPr>
          <w:rFonts w:ascii="Times New Roman" w:hAnsi="Times New Roman"/>
          <w:bCs/>
          <w:sz w:val="24"/>
          <w:szCs w:val="24"/>
          <w:lang w:val="fr-BF"/>
        </w:rPr>
        <w:t xml:space="preserve">Cette situation n’est cependant pas suffisante pour justifier les contraintes essentielles rencontrées au cours de l’exercice, et qui avaient déjà été fortement soulignées en 2017, lors du précédent exercice de production du REEB-4 : (i) l’absence de </w:t>
      </w:r>
      <w:r w:rsidRPr="007C5A6E">
        <w:rPr>
          <w:rFonts w:ascii="Times New Roman" w:eastAsiaTheme="minorHAnsi" w:hAnsi="Times New Roman"/>
          <w:kern w:val="2"/>
          <w:sz w:val="24"/>
          <w:szCs w:val="24"/>
          <w:lang w:eastAsia="en-US"/>
          <w14:ligatures w14:val="standardContextual"/>
        </w:rPr>
        <w:t xml:space="preserve">dispositions particulières prises au niveau de toutes les institutions publiques et privées concernées en général et du Département en charge de l’Environnement en particulier, pour collecter de façon systématique, traiter selon les possibilités et conserver les données utiles dont l’analyse le moment venu permettrait d’établir l’état des lieux et les tendances majeures et (ii) le quasi-arrêt de l’alimentation en données d’un dispositif de surveillance et de suivi environnemental comme l’ONEDD. . </w:t>
      </w:r>
    </w:p>
    <w:p w14:paraId="527CB7BB" w14:textId="77777777" w:rsidR="00800F57" w:rsidRPr="007C5A6E" w:rsidRDefault="00800F57" w:rsidP="00800F57">
      <w:pPr>
        <w:spacing w:after="0" w:line="240" w:lineRule="auto"/>
        <w:jc w:val="both"/>
        <w:rPr>
          <w:rFonts w:ascii="Times New Roman" w:hAnsi="Times New Roman"/>
          <w:bCs/>
          <w:sz w:val="24"/>
          <w:szCs w:val="24"/>
          <w:lang w:val="fr-BF"/>
        </w:rPr>
      </w:pPr>
    </w:p>
    <w:p w14:paraId="15A16737" w14:textId="77777777" w:rsidR="00800F57" w:rsidRPr="007C5A6E" w:rsidRDefault="00800F57" w:rsidP="00800F57">
      <w:pPr>
        <w:spacing w:after="0" w:line="240" w:lineRule="auto"/>
        <w:jc w:val="both"/>
        <w:rPr>
          <w:rFonts w:ascii="Times New Roman" w:hAnsi="Times New Roman"/>
          <w:sz w:val="24"/>
          <w:szCs w:val="24"/>
        </w:rPr>
      </w:pPr>
      <w:r w:rsidRPr="007C5A6E">
        <w:rPr>
          <w:rFonts w:ascii="Times New Roman" w:hAnsi="Times New Roman"/>
          <w:bCs/>
          <w:sz w:val="24"/>
          <w:szCs w:val="24"/>
          <w:lang w:val="fr-BF"/>
        </w:rPr>
        <w:t xml:space="preserve">A cet égard, la recommandation formulée en 2017 dans le cadre du REEB-4 garde toute son actualité. Nous </w:t>
      </w:r>
      <w:r w:rsidRPr="007C5A6E">
        <w:rPr>
          <w:rFonts w:ascii="Times New Roman" w:hAnsi="Times New Roman"/>
          <w:sz w:val="24"/>
          <w:szCs w:val="24"/>
        </w:rPr>
        <w:t>recommandons fortement au département de l’environnement qui a la charge du pilotage de cet exercice légal, d’examiner l’ensemble des moyens publics à mettre en œuvre, y compris en mettant à contribution toutes les opportunités offertes dans le cadre des projets et programmes de développement ayant une incidence sur l’environnement, en vue de :</w:t>
      </w:r>
    </w:p>
    <w:p w14:paraId="6C015A22" w14:textId="77777777" w:rsidR="00800F57" w:rsidRPr="007C5A6E" w:rsidRDefault="00800F57" w:rsidP="00800F57">
      <w:pPr>
        <w:numPr>
          <w:ilvl w:val="0"/>
          <w:numId w:val="73"/>
        </w:numPr>
        <w:spacing w:after="0" w:line="240" w:lineRule="auto"/>
        <w:contextualSpacing/>
        <w:jc w:val="both"/>
        <w:rPr>
          <w:rFonts w:ascii="Times New Roman" w:hAnsi="Times New Roman"/>
          <w:sz w:val="24"/>
          <w:szCs w:val="24"/>
        </w:rPr>
      </w:pPr>
      <w:r w:rsidRPr="007C5A6E">
        <w:rPr>
          <w:rFonts w:ascii="Times New Roman" w:hAnsi="Times New Roman"/>
          <w:sz w:val="24"/>
          <w:szCs w:val="24"/>
        </w:rPr>
        <w:t>Assurer dans chaque secteur et sous-secteur contribuant au REEB la collecte systématique, le traitement (selon les moyens) et la conservation des données concernant l’état du milieu, les pressions exercées sur celui-ci et les réponses apportées à ces pressions tant par les pouvoirs publics que les acteurs privés ;</w:t>
      </w:r>
    </w:p>
    <w:p w14:paraId="0AEBAA30" w14:textId="77777777" w:rsidR="00800F57" w:rsidRPr="007C5A6E" w:rsidRDefault="00800F57" w:rsidP="00800F57">
      <w:pPr>
        <w:numPr>
          <w:ilvl w:val="0"/>
          <w:numId w:val="73"/>
        </w:numPr>
        <w:spacing w:after="0" w:line="240" w:lineRule="auto"/>
        <w:contextualSpacing/>
        <w:jc w:val="both"/>
        <w:rPr>
          <w:rFonts w:ascii="Times New Roman" w:hAnsi="Times New Roman"/>
          <w:sz w:val="24"/>
          <w:szCs w:val="24"/>
        </w:rPr>
      </w:pPr>
      <w:r w:rsidRPr="007C5A6E">
        <w:rPr>
          <w:rFonts w:ascii="Times New Roman" w:hAnsi="Times New Roman"/>
          <w:sz w:val="24"/>
          <w:szCs w:val="24"/>
        </w:rPr>
        <w:t xml:space="preserve">Réaliser de façon régulière et systématique les études stratégiques visant le suivi de l’état de l’environnement et des ressources naturelles aux échelles nationale et locale appropriées comme outils d’aide à la décision ; </w:t>
      </w:r>
    </w:p>
    <w:p w14:paraId="0DECB334" w14:textId="77777777" w:rsidR="00800F57" w:rsidRPr="007C5A6E" w:rsidRDefault="00800F57" w:rsidP="00800F57">
      <w:pPr>
        <w:numPr>
          <w:ilvl w:val="0"/>
          <w:numId w:val="73"/>
        </w:numPr>
        <w:spacing w:after="0" w:line="240" w:lineRule="auto"/>
        <w:contextualSpacing/>
        <w:jc w:val="both"/>
        <w:rPr>
          <w:rFonts w:ascii="Times New Roman" w:hAnsi="Times New Roman"/>
          <w:sz w:val="24"/>
          <w:szCs w:val="24"/>
        </w:rPr>
      </w:pPr>
      <w:r w:rsidRPr="007C5A6E">
        <w:rPr>
          <w:rFonts w:ascii="Times New Roman" w:hAnsi="Times New Roman"/>
          <w:sz w:val="24"/>
          <w:szCs w:val="24"/>
        </w:rPr>
        <w:t xml:space="preserve">Doter l’ONDD de moyens humains et opérationnels permanents pour (i) la collecte, la centralisation et le traitement de l’information et des données environnementales et sociales, conformément aux indicateurs pertinents de suivi validés au plan national et (ii) l’harmonisation des méthodes, normes et référentiels en matière de collecte et de traitement de l’information environnementale.     </w:t>
      </w:r>
    </w:p>
    <w:p w14:paraId="4CA39B78" w14:textId="77777777" w:rsidR="00800F57" w:rsidRPr="007C5A6E" w:rsidRDefault="00800F57" w:rsidP="00800F57">
      <w:pPr>
        <w:spacing w:after="0" w:line="240" w:lineRule="auto"/>
        <w:jc w:val="both"/>
        <w:rPr>
          <w:rFonts w:ascii="Times New Roman" w:hAnsi="Times New Roman"/>
          <w:sz w:val="24"/>
          <w:szCs w:val="24"/>
        </w:rPr>
      </w:pPr>
    </w:p>
    <w:p w14:paraId="4A95304B" w14:textId="77777777" w:rsidR="00800F57" w:rsidRPr="007C5A6E" w:rsidRDefault="00800F57" w:rsidP="00FE3624">
      <w:pPr>
        <w:numPr>
          <w:ilvl w:val="2"/>
          <w:numId w:val="4"/>
        </w:numPr>
        <w:tabs>
          <w:tab w:val="num" w:pos="360"/>
        </w:tabs>
        <w:spacing w:after="0" w:line="240" w:lineRule="auto"/>
        <w:ind w:left="0" w:firstLine="0"/>
        <w:outlineLvl w:val="2"/>
        <w:rPr>
          <w:rFonts w:ascii="Times New Roman" w:eastAsiaTheme="minorHAnsi" w:hAnsi="Times New Roman" w:cstheme="majorBidi"/>
          <w:b/>
          <w:i/>
          <w:iCs/>
          <w:sz w:val="26"/>
          <w:szCs w:val="24"/>
          <w:lang w:val="fr-BF" w:eastAsia="en-US"/>
        </w:rPr>
      </w:pPr>
      <w:bookmarkStart w:id="1646" w:name="_Toc183340370"/>
      <w:r w:rsidRPr="007C5A6E">
        <w:rPr>
          <w:rFonts w:ascii="Times New Roman" w:eastAsiaTheme="minorHAnsi" w:hAnsi="Times New Roman" w:cstheme="majorBidi"/>
          <w:b/>
          <w:i/>
          <w:iCs/>
          <w:sz w:val="26"/>
          <w:szCs w:val="24"/>
          <w:lang w:val="fr-BF" w:eastAsia="en-US"/>
        </w:rPr>
        <w:t>De l’anticipation des effets des changements climatiques</w:t>
      </w:r>
      <w:bookmarkEnd w:id="1646"/>
      <w:r w:rsidRPr="007C5A6E">
        <w:rPr>
          <w:rFonts w:ascii="Times New Roman" w:eastAsiaTheme="minorHAnsi" w:hAnsi="Times New Roman" w:cstheme="majorBidi"/>
          <w:b/>
          <w:i/>
          <w:iCs/>
          <w:sz w:val="26"/>
          <w:szCs w:val="24"/>
          <w:lang w:val="fr-BF" w:eastAsia="en-US"/>
        </w:rPr>
        <w:t xml:space="preserve"> </w:t>
      </w:r>
    </w:p>
    <w:p w14:paraId="586A8E6D" w14:textId="77777777" w:rsidR="00800F57" w:rsidRPr="007C5A6E" w:rsidRDefault="00800F57" w:rsidP="00FE3624">
      <w:pPr>
        <w:spacing w:after="0" w:line="240" w:lineRule="auto"/>
        <w:rPr>
          <w:rFonts w:ascii="Times New Roman" w:hAnsi="Times New Roman"/>
          <w:sz w:val="24"/>
          <w:szCs w:val="24"/>
          <w:lang w:val="fr-BF" w:eastAsia="en-US"/>
        </w:rPr>
      </w:pPr>
    </w:p>
    <w:p w14:paraId="7A418C91" w14:textId="26F73BED" w:rsidR="00D012F3" w:rsidRPr="007C5A6E" w:rsidRDefault="00D012F3" w:rsidP="00FE3624">
      <w:pPr>
        <w:spacing w:after="0" w:line="240" w:lineRule="auto"/>
        <w:jc w:val="both"/>
        <w:rPr>
          <w:rFonts w:ascii="Times New Roman" w:hAnsi="Times New Roman"/>
          <w:sz w:val="24"/>
          <w:szCs w:val="24"/>
          <w:lang w:val="fr-BF" w:eastAsia="en-US"/>
        </w:rPr>
      </w:pPr>
      <w:r w:rsidRPr="007C5A6E">
        <w:rPr>
          <w:rFonts w:ascii="Times New Roman" w:hAnsi="Times New Roman"/>
          <w:sz w:val="24"/>
          <w:szCs w:val="24"/>
          <w:lang w:val="fr-BF" w:eastAsia="en-US"/>
        </w:rPr>
        <w:t xml:space="preserve">Pour anticiper les effets des changements climatiques sur les différents secteurs de développement exposés, il est recommandé au Gouvernement du Burkina Faso de : </w:t>
      </w:r>
    </w:p>
    <w:p w14:paraId="0F215E5E" w14:textId="77777777" w:rsidR="00D012F3" w:rsidRPr="007C5A6E" w:rsidRDefault="00D012F3" w:rsidP="00FE3624">
      <w:pPr>
        <w:spacing w:after="0" w:line="240" w:lineRule="auto"/>
        <w:rPr>
          <w:rFonts w:ascii="Times New Roman" w:hAnsi="Times New Roman"/>
          <w:sz w:val="24"/>
          <w:szCs w:val="24"/>
          <w:lang w:val="fr-BF" w:eastAsia="en-US"/>
        </w:rPr>
      </w:pPr>
    </w:p>
    <w:p w14:paraId="017B8F83" w14:textId="72AA1F87" w:rsidR="00D012F3" w:rsidRPr="00D012F3" w:rsidRDefault="00D012F3" w:rsidP="00FE3624">
      <w:pPr>
        <w:spacing w:after="0" w:line="240" w:lineRule="auto"/>
        <w:jc w:val="both"/>
        <w:rPr>
          <w:rFonts w:ascii="Times New Roman" w:eastAsia="Calibri" w:hAnsi="Times New Roman" w:cs="Arial"/>
          <w:kern w:val="2"/>
          <w:sz w:val="24"/>
          <w:lang w:eastAsia="en-US"/>
          <w14:ligatures w14:val="standardContextual"/>
        </w:rPr>
      </w:pPr>
      <w:r w:rsidRPr="00D012F3">
        <w:rPr>
          <w:rFonts w:ascii="Times New Roman" w:eastAsia="Calibri" w:hAnsi="Times New Roman" w:cs="Arial"/>
          <w:b/>
          <w:bCs/>
          <w:i/>
          <w:iCs/>
          <w:kern w:val="2"/>
          <w:sz w:val="24"/>
          <w:lang w:eastAsia="en-US"/>
          <w14:ligatures w14:val="standardContextual"/>
        </w:rPr>
        <w:t>Revitaliser l’outil de planification T21-Burkina</w:t>
      </w:r>
      <w:r w:rsidRPr="007C5A6E">
        <w:rPr>
          <w:rFonts w:ascii="Times New Roman" w:eastAsia="Calibri" w:hAnsi="Times New Roman" w:cs="Arial"/>
          <w:b/>
          <w:bCs/>
          <w:i/>
          <w:iCs/>
          <w:kern w:val="2"/>
          <w:sz w:val="24"/>
          <w:lang w:eastAsia="en-US"/>
          <w14:ligatures w14:val="standardContextual"/>
        </w:rPr>
        <w:t xml:space="preserve">. </w:t>
      </w:r>
      <w:r w:rsidRPr="00D012F3">
        <w:rPr>
          <w:rFonts w:ascii="Times New Roman" w:eastAsia="Calibri" w:hAnsi="Times New Roman" w:cs="Arial"/>
          <w:kern w:val="2"/>
          <w:sz w:val="24"/>
          <w:lang w:eastAsia="en-US"/>
          <w14:ligatures w14:val="standardContextual"/>
        </w:rPr>
        <w:t xml:space="preserve">Cet outil développé sur plusieurs années modélise la dynamique des interactions multiples qu’il y a entre tous les secteurs des 3 sphères : l’économie, le social et l’environnement. </w:t>
      </w:r>
    </w:p>
    <w:p w14:paraId="00BC1334" w14:textId="0D56E340" w:rsidR="00D012F3" w:rsidRPr="007C5A6E" w:rsidRDefault="00D012F3" w:rsidP="00FE3624">
      <w:pPr>
        <w:spacing w:after="0" w:line="240" w:lineRule="auto"/>
        <w:jc w:val="both"/>
        <w:rPr>
          <w:rFonts w:ascii="Times New Roman" w:eastAsia="Calibri" w:hAnsi="Times New Roman" w:cs="Arial"/>
          <w:kern w:val="2"/>
          <w:sz w:val="24"/>
          <w:lang w:eastAsia="en-US"/>
          <w14:ligatures w14:val="standardContextual"/>
        </w:rPr>
      </w:pPr>
      <w:r w:rsidRPr="00D012F3">
        <w:rPr>
          <w:rFonts w:ascii="Times New Roman" w:eastAsia="Calibri" w:hAnsi="Times New Roman" w:cs="Arial"/>
          <w:kern w:val="2"/>
          <w:sz w:val="24"/>
          <w:lang w:eastAsia="en-US"/>
          <w14:ligatures w14:val="standardContextual"/>
        </w:rPr>
        <w:t>Il peut prendre en compte les projections climatiques selon divers scénarios et sa dernière version intègre l’économie verte.</w:t>
      </w:r>
      <w:r w:rsidRPr="007C5A6E">
        <w:rPr>
          <w:rFonts w:ascii="Times New Roman" w:eastAsia="Calibri" w:hAnsi="Times New Roman" w:cs="Arial"/>
          <w:kern w:val="2"/>
          <w:sz w:val="24"/>
          <w:lang w:eastAsia="en-US"/>
          <w14:ligatures w14:val="standardContextual"/>
        </w:rPr>
        <w:t xml:space="preserve"> </w:t>
      </w:r>
      <w:r w:rsidRPr="00D012F3">
        <w:rPr>
          <w:rFonts w:ascii="Times New Roman" w:eastAsia="Calibri" w:hAnsi="Times New Roman" w:cs="Arial"/>
          <w:kern w:val="2"/>
          <w:sz w:val="24"/>
          <w:lang w:eastAsia="en-US"/>
          <w14:ligatures w14:val="standardContextual"/>
        </w:rPr>
        <w:t>Il permet d’évaluer l’impact à moyen et long terme à tous les niveaux d’une action imprimée dans un secteur. Il permet en outre de déterminer quel levier actionner pour obtenir l’effet désiré.</w:t>
      </w:r>
      <w:r w:rsidR="007D06CA" w:rsidRPr="007C5A6E">
        <w:rPr>
          <w:rFonts w:ascii="Times New Roman" w:eastAsia="Calibri" w:hAnsi="Times New Roman" w:cs="Arial"/>
          <w:kern w:val="2"/>
          <w:sz w:val="24"/>
          <w:lang w:eastAsia="en-US"/>
          <w14:ligatures w14:val="standardContextual"/>
        </w:rPr>
        <w:t xml:space="preserve"> </w:t>
      </w:r>
      <w:r w:rsidRPr="00D012F3">
        <w:rPr>
          <w:rFonts w:ascii="Times New Roman" w:eastAsia="Calibri" w:hAnsi="Times New Roman" w:cs="Arial"/>
          <w:kern w:val="2"/>
          <w:sz w:val="24"/>
          <w:lang w:eastAsia="en-US"/>
          <w14:ligatures w14:val="standardContextual"/>
        </w:rPr>
        <w:t>En 2013 il a permis d’évaluer les investissements à faire en adaptation à partir de 2014 pour compenser en 2050 les effets du changement climatique.</w:t>
      </w:r>
    </w:p>
    <w:p w14:paraId="4A395734" w14:textId="22FBB8E6" w:rsidR="00D012F3" w:rsidRPr="00D012F3" w:rsidRDefault="00D012F3" w:rsidP="00FE3624">
      <w:pPr>
        <w:spacing w:after="0" w:line="240" w:lineRule="auto"/>
        <w:jc w:val="both"/>
        <w:rPr>
          <w:rFonts w:ascii="Times New Roman" w:eastAsia="Calibri" w:hAnsi="Times New Roman" w:cs="Arial"/>
          <w:kern w:val="2"/>
          <w:sz w:val="24"/>
          <w:lang w:eastAsia="en-US"/>
          <w14:ligatures w14:val="standardContextual"/>
        </w:rPr>
      </w:pPr>
      <w:r w:rsidRPr="00D012F3">
        <w:rPr>
          <w:rFonts w:ascii="Times New Roman" w:eastAsia="Calibri" w:hAnsi="Times New Roman" w:cs="Arial"/>
          <w:kern w:val="2"/>
          <w:sz w:val="24"/>
          <w:lang w:eastAsia="en-US"/>
          <w14:ligatures w14:val="standardContextual"/>
        </w:rPr>
        <w:t>Pour revitaliser T21-Burkina</w:t>
      </w:r>
      <w:r w:rsidR="007D06CA" w:rsidRPr="007C5A6E">
        <w:rPr>
          <w:rFonts w:ascii="Times New Roman" w:eastAsia="Calibri" w:hAnsi="Times New Roman" w:cs="Arial"/>
          <w:kern w:val="2"/>
          <w:sz w:val="24"/>
          <w:lang w:eastAsia="en-US"/>
          <w14:ligatures w14:val="standardContextual"/>
        </w:rPr>
        <w:t xml:space="preserve">, le Gouvernement burkinabè devra </w:t>
      </w:r>
    </w:p>
    <w:p w14:paraId="14D35144" w14:textId="7CD14075" w:rsidR="00D012F3" w:rsidRPr="007C5A6E" w:rsidRDefault="00D012F3" w:rsidP="00FE3624">
      <w:pPr>
        <w:pStyle w:val="Paragraphedeliste"/>
        <w:numPr>
          <w:ilvl w:val="0"/>
          <w:numId w:val="88"/>
        </w:numPr>
        <w:spacing w:after="0" w:line="240" w:lineRule="auto"/>
        <w:ind w:left="357" w:hanging="357"/>
        <w:jc w:val="both"/>
        <w:rPr>
          <w:rFonts w:ascii="Times New Roman" w:eastAsia="Calibri" w:hAnsi="Times New Roman" w:cs="Arial"/>
          <w:kern w:val="2"/>
          <w:sz w:val="24"/>
          <w:lang w:eastAsia="en-US"/>
          <w14:ligatures w14:val="standardContextual"/>
        </w:rPr>
      </w:pPr>
      <w:r w:rsidRPr="007C5A6E">
        <w:rPr>
          <w:rFonts w:ascii="Times New Roman" w:eastAsia="Calibri" w:hAnsi="Times New Roman" w:cs="Arial"/>
          <w:kern w:val="2"/>
          <w:sz w:val="24"/>
          <w:lang w:eastAsia="en-US"/>
          <w14:ligatures w14:val="standardContextual"/>
        </w:rPr>
        <w:t>Finaliser la mise en place d’un comité national de suivi de T21-Burkina amorcé en 2014</w:t>
      </w:r>
    </w:p>
    <w:p w14:paraId="09E167D0" w14:textId="245EA437" w:rsidR="00D012F3" w:rsidRPr="00D012F3" w:rsidRDefault="00D012F3" w:rsidP="00FE3624">
      <w:pPr>
        <w:pStyle w:val="Paragraphedeliste"/>
        <w:numPr>
          <w:ilvl w:val="0"/>
          <w:numId w:val="88"/>
        </w:numPr>
        <w:spacing w:after="0" w:line="240" w:lineRule="auto"/>
        <w:ind w:left="357" w:hanging="357"/>
        <w:jc w:val="both"/>
        <w:rPr>
          <w:rFonts w:ascii="Times New Roman" w:eastAsia="Calibri" w:hAnsi="Times New Roman" w:cs="Arial"/>
          <w:kern w:val="2"/>
          <w:sz w:val="24"/>
          <w:lang w:eastAsia="en-US"/>
          <w14:ligatures w14:val="standardContextual"/>
        </w:rPr>
      </w:pPr>
      <w:r w:rsidRPr="00D012F3">
        <w:rPr>
          <w:rFonts w:ascii="Times New Roman" w:eastAsia="Calibri" w:hAnsi="Times New Roman" w:cs="Arial"/>
          <w:kern w:val="2"/>
          <w:sz w:val="24"/>
          <w:lang w:eastAsia="en-US"/>
          <w14:ligatures w14:val="standardContextual"/>
        </w:rPr>
        <w:t>Poursuivre la création d’une masse critique de compétences dans l’utilisation, la mise à jour et l’évolution de T21-Burkina. A l’époque 12 jeunes enseignants-chercheurs ont été formés et la création d’un module interdisciplinaire de master consacré à ce sujet a été envisagé</w:t>
      </w:r>
    </w:p>
    <w:p w14:paraId="27583C54" w14:textId="31E045B6" w:rsidR="00D012F3" w:rsidRPr="00D012F3" w:rsidRDefault="00D012F3" w:rsidP="00FE3624">
      <w:pPr>
        <w:pStyle w:val="Paragraphedeliste"/>
        <w:numPr>
          <w:ilvl w:val="0"/>
          <w:numId w:val="88"/>
        </w:numPr>
        <w:spacing w:after="0" w:line="240" w:lineRule="auto"/>
        <w:ind w:left="357" w:hanging="357"/>
        <w:jc w:val="both"/>
        <w:rPr>
          <w:rFonts w:ascii="Times New Roman" w:eastAsia="Calibri" w:hAnsi="Times New Roman" w:cs="Arial"/>
          <w:kern w:val="2"/>
          <w:sz w:val="24"/>
          <w:lang w:eastAsia="en-US"/>
          <w14:ligatures w14:val="standardContextual"/>
        </w:rPr>
      </w:pPr>
      <w:r w:rsidRPr="00D012F3">
        <w:rPr>
          <w:rFonts w:ascii="Times New Roman" w:eastAsia="Calibri" w:hAnsi="Times New Roman" w:cs="Arial"/>
          <w:kern w:val="2"/>
          <w:sz w:val="24"/>
          <w:lang w:eastAsia="en-US"/>
          <w14:ligatures w14:val="standardContextual"/>
        </w:rPr>
        <w:t>Prévoir des ressources budgétaires dans le cadre des investissements en adaptation.</w:t>
      </w:r>
    </w:p>
    <w:p w14:paraId="4C846FA5" w14:textId="77777777" w:rsidR="00D012F3" w:rsidRPr="007C5A6E" w:rsidRDefault="00D012F3" w:rsidP="00FE3624">
      <w:pPr>
        <w:spacing w:after="0" w:line="240" w:lineRule="auto"/>
        <w:rPr>
          <w:rFonts w:ascii="Times New Roman" w:hAnsi="Times New Roman"/>
          <w:sz w:val="24"/>
          <w:szCs w:val="24"/>
          <w:lang w:eastAsia="en-US"/>
        </w:rPr>
      </w:pPr>
    </w:p>
    <w:p w14:paraId="305E8867" w14:textId="77777777" w:rsidR="00800F57" w:rsidRPr="007C5A6E" w:rsidRDefault="00800F57" w:rsidP="00FE3624">
      <w:pPr>
        <w:pStyle w:val="Titre2"/>
      </w:pPr>
      <w:bookmarkStart w:id="1647" w:name="_Toc183340371"/>
      <w:r w:rsidRPr="007C5A6E">
        <w:t>Recommandations à caractère sectoriel</w:t>
      </w:r>
      <w:bookmarkEnd w:id="1647"/>
      <w:r w:rsidRPr="007C5A6E">
        <w:t xml:space="preserve"> </w:t>
      </w:r>
    </w:p>
    <w:p w14:paraId="35A3A891" w14:textId="77777777" w:rsidR="00800F57" w:rsidRPr="007C5A6E" w:rsidRDefault="00800F57" w:rsidP="00FE3624">
      <w:pPr>
        <w:spacing w:after="0" w:line="240" w:lineRule="auto"/>
        <w:jc w:val="both"/>
        <w:rPr>
          <w:rFonts w:ascii="Times New Roman" w:hAnsi="Times New Roman"/>
          <w:sz w:val="24"/>
          <w:szCs w:val="24"/>
        </w:rPr>
      </w:pPr>
    </w:p>
    <w:p w14:paraId="628691A6" w14:textId="77777777" w:rsidR="00800F57" w:rsidRPr="00FE3624" w:rsidRDefault="00800F57" w:rsidP="00FE3624">
      <w:pPr>
        <w:numPr>
          <w:ilvl w:val="2"/>
          <w:numId w:val="4"/>
        </w:numPr>
        <w:tabs>
          <w:tab w:val="num" w:pos="360"/>
        </w:tabs>
        <w:spacing w:after="0" w:line="240" w:lineRule="auto"/>
        <w:ind w:left="0" w:firstLine="0"/>
        <w:outlineLvl w:val="2"/>
        <w:rPr>
          <w:rFonts w:ascii="Times New Roman" w:eastAsiaTheme="minorHAnsi" w:hAnsi="Times New Roman" w:cstheme="majorBidi"/>
          <w:b/>
          <w:i/>
          <w:iCs/>
          <w:sz w:val="26"/>
          <w:szCs w:val="24"/>
          <w:lang w:val="fr-BF" w:eastAsia="en-US"/>
        </w:rPr>
      </w:pPr>
      <w:bookmarkStart w:id="1648" w:name="_Toc183340372"/>
      <w:r w:rsidRPr="00FE3624">
        <w:rPr>
          <w:rFonts w:ascii="Times New Roman" w:eastAsiaTheme="minorHAnsi" w:hAnsi="Times New Roman" w:cstheme="majorBidi"/>
          <w:b/>
          <w:i/>
          <w:iCs/>
          <w:sz w:val="26"/>
          <w:szCs w:val="24"/>
          <w:lang w:val="fr-BF" w:eastAsia="en-US"/>
        </w:rPr>
        <w:t>Dans le domaine de la gestion des ressources en eau</w:t>
      </w:r>
      <w:bookmarkEnd w:id="1648"/>
      <w:r w:rsidRPr="00FE3624">
        <w:rPr>
          <w:rFonts w:ascii="Times New Roman" w:eastAsiaTheme="minorHAnsi" w:hAnsi="Times New Roman" w:cstheme="majorBidi"/>
          <w:b/>
          <w:i/>
          <w:iCs/>
          <w:sz w:val="26"/>
          <w:szCs w:val="24"/>
          <w:lang w:val="fr-BF" w:eastAsia="en-US"/>
        </w:rPr>
        <w:t xml:space="preserve">  </w:t>
      </w:r>
    </w:p>
    <w:p w14:paraId="5F8E7860" w14:textId="77777777" w:rsidR="00800F57" w:rsidRDefault="00800F57" w:rsidP="00FE3624">
      <w:pPr>
        <w:spacing w:after="0" w:line="240" w:lineRule="auto"/>
        <w:rPr>
          <w:rFonts w:ascii="Times New Roman" w:hAnsi="Times New Roman"/>
          <w:sz w:val="24"/>
          <w:szCs w:val="24"/>
          <w:highlight w:val="yellow"/>
        </w:rPr>
      </w:pPr>
    </w:p>
    <w:p w14:paraId="46398A83" w14:textId="77777777" w:rsidR="00FE3624" w:rsidRDefault="00FE3624" w:rsidP="00FE3624">
      <w:pPr>
        <w:spacing w:after="0" w:line="240" w:lineRule="auto"/>
        <w:jc w:val="both"/>
        <w:rPr>
          <w:rFonts w:ascii="Times New Roman" w:hAnsi="Times New Roman"/>
          <w:sz w:val="24"/>
          <w:szCs w:val="24"/>
        </w:rPr>
      </w:pPr>
      <w:r w:rsidRPr="00FE3624">
        <w:rPr>
          <w:rFonts w:ascii="Times New Roman" w:hAnsi="Times New Roman"/>
          <w:sz w:val="24"/>
          <w:szCs w:val="24"/>
        </w:rPr>
        <w:t>Les programmes opérationnels de mise en œuvre des plans de gestion des ressources en eau souffrent de manque de moyens pour leur traduction sur le terrain. Il est par conséquent important et recommandable que les mesures ci-après soient prises :</w:t>
      </w:r>
    </w:p>
    <w:p w14:paraId="6252EC69" w14:textId="77777777" w:rsidR="00FE3624" w:rsidRPr="00FE3624" w:rsidRDefault="00FE3624" w:rsidP="00FE3624">
      <w:pPr>
        <w:spacing w:after="0" w:line="240" w:lineRule="auto"/>
        <w:jc w:val="both"/>
        <w:rPr>
          <w:rFonts w:ascii="Times New Roman" w:hAnsi="Times New Roman"/>
          <w:sz w:val="24"/>
          <w:szCs w:val="24"/>
        </w:rPr>
      </w:pPr>
    </w:p>
    <w:p w14:paraId="28839DA8" w14:textId="77777777" w:rsidR="00FE3624" w:rsidRPr="00FE3624" w:rsidRDefault="00FE3624" w:rsidP="00FE3624">
      <w:pPr>
        <w:numPr>
          <w:ilvl w:val="0"/>
          <w:numId w:val="90"/>
        </w:numPr>
        <w:spacing w:after="0" w:line="240" w:lineRule="auto"/>
        <w:ind w:left="357" w:hanging="357"/>
        <w:contextualSpacing/>
        <w:jc w:val="both"/>
        <w:rPr>
          <w:rFonts w:ascii="Times New Roman" w:hAnsi="Times New Roman"/>
          <w:sz w:val="24"/>
          <w:szCs w:val="24"/>
        </w:rPr>
      </w:pPr>
      <w:r w:rsidRPr="00FE3624">
        <w:rPr>
          <w:rFonts w:ascii="Times New Roman" w:hAnsi="Times New Roman"/>
          <w:sz w:val="24"/>
          <w:szCs w:val="24"/>
        </w:rPr>
        <w:t>Créer un réseau formel et stable de suivi des impacts de la pollution et des prélèvements sur les infrastructures hydrauliques (puits, forages) et les ressources en eau souterraines et de surface (nappes, cours d’eau</w:t>
      </w:r>
      <w:proofErr w:type="gramStart"/>
      <w:r w:rsidRPr="00FE3624">
        <w:rPr>
          <w:rFonts w:ascii="Times New Roman" w:hAnsi="Times New Roman"/>
          <w:sz w:val="24"/>
          <w:szCs w:val="24"/>
        </w:rPr>
        <w:t>);</w:t>
      </w:r>
      <w:proofErr w:type="gramEnd"/>
      <w:r w:rsidRPr="00FE3624">
        <w:rPr>
          <w:rFonts w:ascii="Times New Roman" w:hAnsi="Times New Roman"/>
          <w:sz w:val="24"/>
          <w:szCs w:val="24"/>
        </w:rPr>
        <w:t xml:space="preserve"> </w:t>
      </w:r>
      <w:r w:rsidRPr="00FE3624">
        <w:rPr>
          <w:rFonts w:ascii="Times New Roman" w:hAnsi="Times New Roman"/>
          <w:b/>
          <w:bCs/>
          <w:i/>
          <w:iCs/>
          <w:sz w:val="24"/>
          <w:szCs w:val="24"/>
        </w:rPr>
        <w:t>(Responsables techniques : DGIH, DGRE /DEIE, DGEP)</w:t>
      </w:r>
    </w:p>
    <w:p w14:paraId="19FEC5A9" w14:textId="27D9C738" w:rsidR="000D60EA" w:rsidRPr="000D60EA" w:rsidRDefault="00FE3624" w:rsidP="000D60EA">
      <w:pPr>
        <w:numPr>
          <w:ilvl w:val="1"/>
          <w:numId w:val="89"/>
        </w:numPr>
        <w:spacing w:after="0" w:line="240" w:lineRule="auto"/>
        <w:ind w:left="924" w:hanging="357"/>
        <w:contextualSpacing/>
        <w:jc w:val="both"/>
        <w:rPr>
          <w:rFonts w:ascii="Times New Roman" w:hAnsi="Times New Roman"/>
          <w:sz w:val="24"/>
          <w:szCs w:val="24"/>
        </w:rPr>
      </w:pPr>
      <w:r w:rsidRPr="000D60EA">
        <w:rPr>
          <w:rFonts w:ascii="Times New Roman" w:hAnsi="Times New Roman"/>
          <w:sz w:val="24"/>
          <w:szCs w:val="24"/>
        </w:rPr>
        <w:t xml:space="preserve">Renforcer et mettre en œuvre le </w:t>
      </w:r>
      <w:r w:rsidR="000D60EA" w:rsidRPr="000D60EA">
        <w:rPr>
          <w:rFonts w:ascii="Times New Roman" w:hAnsi="Times New Roman"/>
          <w:sz w:val="24"/>
          <w:szCs w:val="24"/>
        </w:rPr>
        <w:t>réseau optimisé de suivi des ressources en eau de surface en l’élargissant systématiquement aux lacs d’eau de surface importants (mares, retenues d’eau pérennes…)</w:t>
      </w:r>
    </w:p>
    <w:p w14:paraId="364A9BEA" w14:textId="57630257" w:rsidR="00FE3624" w:rsidRPr="000D60EA" w:rsidRDefault="00FE3624" w:rsidP="00DA19CD">
      <w:pPr>
        <w:numPr>
          <w:ilvl w:val="1"/>
          <w:numId w:val="89"/>
        </w:numPr>
        <w:spacing w:after="0" w:line="240" w:lineRule="auto"/>
        <w:ind w:left="924" w:hanging="357"/>
        <w:contextualSpacing/>
        <w:jc w:val="both"/>
        <w:rPr>
          <w:rFonts w:ascii="Times New Roman" w:hAnsi="Times New Roman"/>
          <w:sz w:val="24"/>
          <w:szCs w:val="24"/>
        </w:rPr>
      </w:pPr>
      <w:r w:rsidRPr="000D60EA">
        <w:rPr>
          <w:rFonts w:ascii="Times New Roman" w:hAnsi="Times New Roman"/>
          <w:sz w:val="24"/>
          <w:szCs w:val="24"/>
        </w:rPr>
        <w:t xml:space="preserve">Mettre en place un réseau formel </w:t>
      </w:r>
      <w:r w:rsidR="000D60EA" w:rsidRPr="000D60EA">
        <w:rPr>
          <w:rFonts w:ascii="Times New Roman" w:hAnsi="Times New Roman"/>
          <w:sz w:val="24"/>
          <w:szCs w:val="24"/>
        </w:rPr>
        <w:t xml:space="preserve">de suivi de la qualité des eaux des ouvrages d’eau souterraine </w:t>
      </w:r>
      <w:r w:rsidRPr="000D60EA">
        <w:rPr>
          <w:rFonts w:ascii="Times New Roman" w:hAnsi="Times New Roman"/>
          <w:sz w:val="24"/>
          <w:szCs w:val="24"/>
        </w:rPr>
        <w:t>destinés à l’AEP (Puits, Forages).</w:t>
      </w:r>
    </w:p>
    <w:p w14:paraId="674C2F5B" w14:textId="77777777" w:rsidR="00FE3624" w:rsidRPr="00FE3624" w:rsidRDefault="00FE3624" w:rsidP="00FE3624">
      <w:pPr>
        <w:spacing w:after="0" w:line="240" w:lineRule="auto"/>
        <w:ind w:left="924"/>
        <w:contextualSpacing/>
        <w:jc w:val="both"/>
        <w:rPr>
          <w:rFonts w:ascii="Times New Roman" w:hAnsi="Times New Roman"/>
          <w:sz w:val="24"/>
          <w:szCs w:val="24"/>
        </w:rPr>
      </w:pPr>
    </w:p>
    <w:p w14:paraId="70C19D9B" w14:textId="77777777" w:rsidR="00FE3624" w:rsidRPr="00FE3624" w:rsidRDefault="00FE3624" w:rsidP="00FE3624">
      <w:pPr>
        <w:numPr>
          <w:ilvl w:val="0"/>
          <w:numId w:val="90"/>
        </w:numPr>
        <w:spacing w:after="0" w:line="240" w:lineRule="auto"/>
        <w:ind w:left="397" w:hanging="397"/>
        <w:contextualSpacing/>
        <w:jc w:val="both"/>
        <w:rPr>
          <w:rFonts w:ascii="Times New Roman" w:hAnsi="Times New Roman"/>
          <w:sz w:val="24"/>
          <w:szCs w:val="24"/>
        </w:rPr>
      </w:pPr>
      <w:r w:rsidRPr="00FE3624">
        <w:rPr>
          <w:rFonts w:ascii="Times New Roman" w:hAnsi="Times New Roman"/>
          <w:sz w:val="24"/>
          <w:szCs w:val="24"/>
        </w:rPr>
        <w:t>Organiser et planifier le suivi quantitatif et qualitatif des ressources en eau souterraine et de surface :</w:t>
      </w:r>
    </w:p>
    <w:p w14:paraId="4EC8448F" w14:textId="77777777" w:rsidR="00FE3624" w:rsidRPr="00FE3624" w:rsidRDefault="00FE3624" w:rsidP="00FE3624">
      <w:pPr>
        <w:numPr>
          <w:ilvl w:val="1"/>
          <w:numId w:val="89"/>
        </w:numPr>
        <w:spacing w:after="0" w:line="240" w:lineRule="auto"/>
        <w:ind w:left="924" w:hanging="357"/>
        <w:contextualSpacing/>
        <w:jc w:val="both"/>
        <w:rPr>
          <w:rFonts w:ascii="Times New Roman" w:hAnsi="Times New Roman"/>
          <w:sz w:val="24"/>
          <w:szCs w:val="24"/>
        </w:rPr>
      </w:pPr>
      <w:r w:rsidRPr="00FE3624">
        <w:rPr>
          <w:rFonts w:ascii="Times New Roman" w:hAnsi="Times New Roman"/>
          <w:sz w:val="24"/>
          <w:szCs w:val="24"/>
        </w:rPr>
        <w:t xml:space="preserve">Convenir des paramètres et des fréquences de leur de suivi ; </w:t>
      </w:r>
      <w:r w:rsidRPr="00FE3624">
        <w:rPr>
          <w:rFonts w:ascii="Times New Roman" w:hAnsi="Times New Roman"/>
          <w:b/>
          <w:bCs/>
          <w:i/>
          <w:iCs/>
          <w:sz w:val="24"/>
          <w:szCs w:val="24"/>
        </w:rPr>
        <w:t>(Autorités ministérielles en charge de l’eau et services techniques DGIH, DGRE/DEIE).</w:t>
      </w:r>
    </w:p>
    <w:p w14:paraId="73FB0886" w14:textId="77777777" w:rsidR="00FE3624" w:rsidRPr="00FE3624" w:rsidRDefault="00FE3624" w:rsidP="00FE3624">
      <w:pPr>
        <w:numPr>
          <w:ilvl w:val="1"/>
          <w:numId w:val="89"/>
        </w:numPr>
        <w:spacing w:after="0" w:line="240" w:lineRule="auto"/>
        <w:ind w:left="924" w:hanging="357"/>
        <w:contextualSpacing/>
        <w:jc w:val="both"/>
        <w:rPr>
          <w:rFonts w:ascii="Times New Roman" w:hAnsi="Times New Roman"/>
          <w:sz w:val="24"/>
          <w:szCs w:val="24"/>
        </w:rPr>
      </w:pPr>
      <w:r w:rsidRPr="00FE3624">
        <w:rPr>
          <w:rFonts w:ascii="Times New Roman" w:hAnsi="Times New Roman"/>
          <w:sz w:val="24"/>
          <w:szCs w:val="24"/>
        </w:rPr>
        <w:t xml:space="preserve">Assurer (reprendre) le suivi régulier des taux de remplissage des grands et moyens </w:t>
      </w:r>
      <w:proofErr w:type="gramStart"/>
      <w:r w:rsidRPr="00FE3624">
        <w:rPr>
          <w:rFonts w:ascii="Times New Roman" w:hAnsi="Times New Roman"/>
          <w:sz w:val="24"/>
          <w:szCs w:val="24"/>
        </w:rPr>
        <w:t>ouvrages</w:t>
      </w:r>
      <w:proofErr w:type="gramEnd"/>
      <w:r w:rsidRPr="00FE3624">
        <w:rPr>
          <w:rFonts w:ascii="Times New Roman" w:hAnsi="Times New Roman"/>
          <w:sz w:val="24"/>
          <w:szCs w:val="24"/>
        </w:rPr>
        <w:t xml:space="preserve"> hydrauliques d’eau de surface ; </w:t>
      </w:r>
      <w:r w:rsidRPr="00FE3624">
        <w:rPr>
          <w:rFonts w:ascii="Times New Roman" w:hAnsi="Times New Roman"/>
          <w:b/>
          <w:bCs/>
          <w:i/>
          <w:iCs/>
          <w:sz w:val="24"/>
          <w:szCs w:val="24"/>
        </w:rPr>
        <w:t>(Responsables techniques : DGIH, DGRE/DEIE).</w:t>
      </w:r>
      <w:r w:rsidRPr="00FE3624">
        <w:rPr>
          <w:rFonts w:ascii="Times New Roman" w:hAnsi="Times New Roman"/>
          <w:sz w:val="24"/>
          <w:szCs w:val="24"/>
        </w:rPr>
        <w:t xml:space="preserve"> </w:t>
      </w:r>
    </w:p>
    <w:p w14:paraId="0082F013" w14:textId="77777777" w:rsidR="00FE3624" w:rsidRPr="00FE3624" w:rsidRDefault="00FE3624" w:rsidP="00FE3624">
      <w:pPr>
        <w:numPr>
          <w:ilvl w:val="1"/>
          <w:numId w:val="89"/>
        </w:numPr>
        <w:spacing w:after="0" w:line="240" w:lineRule="auto"/>
        <w:ind w:left="924" w:hanging="357"/>
        <w:contextualSpacing/>
        <w:jc w:val="both"/>
        <w:rPr>
          <w:rFonts w:ascii="Times New Roman" w:hAnsi="Times New Roman"/>
          <w:sz w:val="24"/>
          <w:szCs w:val="24"/>
        </w:rPr>
      </w:pPr>
      <w:r w:rsidRPr="00FE3624">
        <w:rPr>
          <w:rFonts w:ascii="Times New Roman" w:hAnsi="Times New Roman"/>
          <w:sz w:val="24"/>
          <w:szCs w:val="24"/>
        </w:rPr>
        <w:t xml:space="preserve">Systématiser dans l’établissement de l’INO annuel, le suivi de la qualité physico chimique, des métaux lourds (arsenic…) et bactériologique des eaux d’un certain nombre d’ouvrages d’eau souterraine stratégiquement identifiés et destinés à l’AEP ; </w:t>
      </w:r>
      <w:r w:rsidRPr="00FE3624">
        <w:rPr>
          <w:rFonts w:ascii="Times New Roman" w:hAnsi="Times New Roman"/>
          <w:b/>
          <w:bCs/>
          <w:i/>
          <w:iCs/>
          <w:sz w:val="24"/>
          <w:szCs w:val="24"/>
        </w:rPr>
        <w:t>(Responsable technique : DGEP).</w:t>
      </w:r>
    </w:p>
    <w:p w14:paraId="3A40B1E4" w14:textId="77777777" w:rsidR="00FE3624" w:rsidRPr="00FE3624" w:rsidRDefault="00FE3624" w:rsidP="00FE3624">
      <w:pPr>
        <w:numPr>
          <w:ilvl w:val="1"/>
          <w:numId w:val="89"/>
        </w:numPr>
        <w:spacing w:after="0" w:line="240" w:lineRule="auto"/>
        <w:ind w:left="924" w:hanging="357"/>
        <w:contextualSpacing/>
        <w:jc w:val="both"/>
        <w:rPr>
          <w:rFonts w:ascii="Times New Roman" w:hAnsi="Times New Roman"/>
          <w:sz w:val="24"/>
          <w:szCs w:val="24"/>
        </w:rPr>
      </w:pPr>
      <w:r w:rsidRPr="00FE3624">
        <w:rPr>
          <w:rFonts w:ascii="Times New Roman" w:hAnsi="Times New Roman"/>
          <w:sz w:val="24"/>
          <w:szCs w:val="24"/>
        </w:rPr>
        <w:t>Systématiser dans la gestion des lacs d’eau de surface stratégiques, l’intégration du suivi qualitatif (paramètres à définir) et quantitatif (taux de remplissage…) de leurs eaux ;</w:t>
      </w:r>
      <w:r w:rsidRPr="00FE3624">
        <w:rPr>
          <w:rFonts w:ascii="Times New Roman" w:hAnsi="Times New Roman"/>
          <w:b/>
          <w:bCs/>
          <w:i/>
          <w:iCs/>
          <w:sz w:val="24"/>
          <w:szCs w:val="24"/>
        </w:rPr>
        <w:t xml:space="preserve"> (Responsables techniques : DGIH, DGRE/DEIE).</w:t>
      </w:r>
      <w:r w:rsidRPr="00FE3624">
        <w:rPr>
          <w:rFonts w:ascii="Times New Roman" w:hAnsi="Times New Roman"/>
          <w:sz w:val="24"/>
          <w:szCs w:val="24"/>
        </w:rPr>
        <w:t xml:space="preserve"> </w:t>
      </w:r>
    </w:p>
    <w:p w14:paraId="5EF53904" w14:textId="77777777" w:rsidR="00FE3624" w:rsidRPr="00FE3624" w:rsidRDefault="00FE3624" w:rsidP="00FE3624">
      <w:pPr>
        <w:numPr>
          <w:ilvl w:val="1"/>
          <w:numId w:val="89"/>
        </w:numPr>
        <w:spacing w:after="0" w:line="240" w:lineRule="auto"/>
        <w:ind w:left="924" w:hanging="357"/>
        <w:contextualSpacing/>
        <w:jc w:val="both"/>
        <w:rPr>
          <w:rFonts w:ascii="Times New Roman" w:hAnsi="Times New Roman"/>
          <w:sz w:val="24"/>
          <w:szCs w:val="24"/>
        </w:rPr>
      </w:pPr>
      <w:r w:rsidRPr="00FE3624">
        <w:rPr>
          <w:rFonts w:ascii="Times New Roman" w:hAnsi="Times New Roman"/>
          <w:sz w:val="24"/>
          <w:szCs w:val="24"/>
        </w:rPr>
        <w:t xml:space="preserve">Couvrir les espaces de compétence de toutes les agences de l’eau de ces réseaux de suivi d’impact et les responsabiliser à cet effet ; </w:t>
      </w:r>
      <w:r w:rsidRPr="00FE3624">
        <w:rPr>
          <w:rFonts w:ascii="Times New Roman" w:hAnsi="Times New Roman"/>
          <w:b/>
          <w:bCs/>
          <w:i/>
          <w:iCs/>
          <w:sz w:val="24"/>
          <w:szCs w:val="24"/>
        </w:rPr>
        <w:t>(Responsables techniques : DGIH, DGRE, DGEP Agences de l’eau)</w:t>
      </w:r>
      <w:r w:rsidRPr="00FE3624">
        <w:rPr>
          <w:rFonts w:ascii="Times New Roman" w:hAnsi="Times New Roman"/>
          <w:sz w:val="24"/>
          <w:szCs w:val="24"/>
        </w:rPr>
        <w:t>.</w:t>
      </w:r>
    </w:p>
    <w:p w14:paraId="009934CF" w14:textId="77777777" w:rsidR="00FE3624" w:rsidRPr="00FE3624" w:rsidRDefault="00FE3624" w:rsidP="00FE3624">
      <w:pPr>
        <w:spacing w:after="0" w:line="240" w:lineRule="auto"/>
        <w:ind w:left="924"/>
        <w:contextualSpacing/>
        <w:jc w:val="both"/>
        <w:rPr>
          <w:rFonts w:ascii="Times New Roman" w:hAnsi="Times New Roman"/>
          <w:sz w:val="24"/>
          <w:szCs w:val="24"/>
        </w:rPr>
      </w:pPr>
    </w:p>
    <w:p w14:paraId="108BA153" w14:textId="77777777" w:rsidR="00FE3624" w:rsidRPr="00FE3624" w:rsidRDefault="00FE3624" w:rsidP="00FE3624">
      <w:pPr>
        <w:numPr>
          <w:ilvl w:val="0"/>
          <w:numId w:val="90"/>
        </w:numPr>
        <w:spacing w:after="0" w:line="240" w:lineRule="auto"/>
        <w:ind w:left="397" w:hanging="397"/>
        <w:contextualSpacing/>
        <w:jc w:val="both"/>
        <w:rPr>
          <w:rFonts w:ascii="Times New Roman" w:hAnsi="Times New Roman"/>
          <w:sz w:val="24"/>
          <w:szCs w:val="24"/>
        </w:rPr>
      </w:pPr>
      <w:r w:rsidRPr="00FE3624">
        <w:rPr>
          <w:rFonts w:ascii="Times New Roman" w:hAnsi="Times New Roman"/>
          <w:sz w:val="24"/>
          <w:szCs w:val="24"/>
        </w:rPr>
        <w:t xml:space="preserve">Plaider pour une budgétisation des moyens nécessaires pour le suivi régulier des différents réseaux de suivi des ressources en eau ; </w:t>
      </w:r>
      <w:r w:rsidRPr="00FE3624">
        <w:rPr>
          <w:rFonts w:ascii="Times New Roman" w:hAnsi="Times New Roman"/>
          <w:b/>
          <w:bCs/>
          <w:i/>
          <w:iCs/>
          <w:sz w:val="24"/>
          <w:szCs w:val="24"/>
        </w:rPr>
        <w:t>(Autorités ministérielles en charge de l’eau et services techniques DGIH, DGRE/DEIE)</w:t>
      </w:r>
    </w:p>
    <w:p w14:paraId="57B8A280" w14:textId="77777777" w:rsidR="00FE3624" w:rsidRPr="00FE3624" w:rsidRDefault="00FE3624" w:rsidP="00FE3624">
      <w:pPr>
        <w:spacing w:after="0" w:line="240" w:lineRule="auto"/>
        <w:ind w:left="397"/>
        <w:contextualSpacing/>
        <w:jc w:val="both"/>
        <w:rPr>
          <w:rFonts w:ascii="Times New Roman" w:hAnsi="Times New Roman"/>
          <w:sz w:val="24"/>
          <w:szCs w:val="24"/>
        </w:rPr>
      </w:pPr>
    </w:p>
    <w:p w14:paraId="613EFA6D" w14:textId="77777777" w:rsidR="00FE3624" w:rsidRPr="00FE3624" w:rsidRDefault="00FE3624" w:rsidP="00FE3624">
      <w:pPr>
        <w:numPr>
          <w:ilvl w:val="0"/>
          <w:numId w:val="90"/>
        </w:numPr>
        <w:spacing w:after="0" w:line="240" w:lineRule="auto"/>
        <w:ind w:left="397" w:hanging="397"/>
        <w:contextualSpacing/>
        <w:jc w:val="both"/>
        <w:rPr>
          <w:rFonts w:ascii="Times New Roman" w:hAnsi="Times New Roman"/>
          <w:sz w:val="24"/>
          <w:szCs w:val="24"/>
        </w:rPr>
      </w:pPr>
      <w:r w:rsidRPr="00FE3624">
        <w:rPr>
          <w:rFonts w:ascii="Times New Roman" w:hAnsi="Times New Roman"/>
          <w:sz w:val="24"/>
          <w:szCs w:val="24"/>
        </w:rPr>
        <w:t xml:space="preserve">Plaider pour l’adoption par le gouvernement d’une stratégie nationale de développement de la micro irrigation et pour une conversion en conséquence des systèmes d’irrigation actuels des grands périmètres hydroagricoles </w:t>
      </w:r>
      <w:r w:rsidRPr="00FE3624">
        <w:rPr>
          <w:rFonts w:ascii="Times New Roman" w:hAnsi="Times New Roman"/>
          <w:b/>
          <w:bCs/>
          <w:i/>
          <w:iCs/>
          <w:sz w:val="24"/>
          <w:szCs w:val="24"/>
        </w:rPr>
        <w:t>(Cabinet du ministère en charge de l’eau et Responsables techniques - DGIH, DGRE, DGEP Agences de l’eau)</w:t>
      </w:r>
      <w:r w:rsidRPr="00FE3624">
        <w:rPr>
          <w:rFonts w:ascii="Times New Roman" w:hAnsi="Times New Roman"/>
          <w:sz w:val="24"/>
          <w:szCs w:val="24"/>
        </w:rPr>
        <w:t>.</w:t>
      </w:r>
    </w:p>
    <w:p w14:paraId="481A1BBD" w14:textId="77777777" w:rsidR="00FE3624" w:rsidRPr="00FE3624" w:rsidRDefault="00FE3624" w:rsidP="00FE3624">
      <w:pPr>
        <w:spacing w:after="0" w:line="240" w:lineRule="auto"/>
        <w:rPr>
          <w:rFonts w:ascii="Times New Roman" w:hAnsi="Times New Roman"/>
          <w:sz w:val="24"/>
          <w:szCs w:val="24"/>
        </w:rPr>
      </w:pPr>
    </w:p>
    <w:p w14:paraId="4B011D99" w14:textId="21B690B8" w:rsidR="006926C2" w:rsidRPr="007C5A6E" w:rsidRDefault="00800F57" w:rsidP="00FE3624">
      <w:pPr>
        <w:numPr>
          <w:ilvl w:val="2"/>
          <w:numId w:val="4"/>
        </w:numPr>
        <w:tabs>
          <w:tab w:val="num" w:pos="360"/>
        </w:tabs>
        <w:spacing w:after="0" w:line="240" w:lineRule="auto"/>
        <w:ind w:left="0" w:firstLine="0"/>
        <w:outlineLvl w:val="2"/>
        <w:rPr>
          <w:rFonts w:ascii="Times New Roman" w:eastAsiaTheme="minorHAnsi" w:hAnsi="Times New Roman" w:cstheme="majorBidi"/>
          <w:b/>
          <w:i/>
          <w:iCs/>
          <w:sz w:val="26"/>
          <w:szCs w:val="24"/>
          <w:lang w:val="fr-BF" w:eastAsia="en-US"/>
        </w:rPr>
      </w:pPr>
      <w:bookmarkStart w:id="1649" w:name="_Toc183340373"/>
      <w:r w:rsidRPr="007C5A6E">
        <w:rPr>
          <w:rFonts w:ascii="Times New Roman" w:eastAsiaTheme="minorHAnsi" w:hAnsi="Times New Roman" w:cstheme="majorBidi"/>
          <w:b/>
          <w:i/>
          <w:iCs/>
          <w:sz w:val="26"/>
          <w:szCs w:val="24"/>
          <w:lang w:val="fr-BF" w:eastAsia="en-US"/>
        </w:rPr>
        <w:t>Pour une gestion durable des terres</w:t>
      </w:r>
      <w:bookmarkEnd w:id="1649"/>
      <w:r w:rsidRPr="007C5A6E">
        <w:rPr>
          <w:rFonts w:ascii="Times New Roman" w:eastAsiaTheme="minorHAnsi" w:hAnsi="Times New Roman" w:cstheme="majorBidi"/>
          <w:b/>
          <w:i/>
          <w:iCs/>
          <w:sz w:val="26"/>
          <w:szCs w:val="24"/>
          <w:lang w:val="fr-BF" w:eastAsia="en-US"/>
        </w:rPr>
        <w:t xml:space="preserve">   </w:t>
      </w:r>
    </w:p>
    <w:p w14:paraId="4C9B1586" w14:textId="77777777" w:rsidR="006926C2" w:rsidRPr="007C5A6E" w:rsidRDefault="006926C2" w:rsidP="00FE3624">
      <w:pPr>
        <w:spacing w:after="0" w:line="240" w:lineRule="auto"/>
        <w:rPr>
          <w:rFonts w:ascii="Times New Roman" w:eastAsiaTheme="minorHAnsi" w:hAnsi="Times New Roman"/>
          <w:sz w:val="24"/>
          <w:szCs w:val="24"/>
          <w:lang w:val="fr-BF" w:eastAsia="en-US"/>
        </w:rPr>
      </w:pPr>
    </w:p>
    <w:p w14:paraId="2D19F6D1" w14:textId="1EB8A22B" w:rsidR="006926C2" w:rsidRPr="007C5A6E" w:rsidRDefault="006926C2" w:rsidP="00FE3624">
      <w:pPr>
        <w:spacing w:after="0" w:line="240" w:lineRule="auto"/>
        <w:jc w:val="both"/>
        <w:rPr>
          <w:rFonts w:ascii="Times New Roman" w:hAnsi="Times New Roman"/>
          <w:b/>
          <w:bCs/>
          <w:sz w:val="24"/>
          <w:szCs w:val="24"/>
        </w:rPr>
      </w:pPr>
      <w:bookmarkStart w:id="1650" w:name="_Toc181982298"/>
      <w:r w:rsidRPr="007C5A6E">
        <w:rPr>
          <w:rFonts w:ascii="Times New Roman" w:hAnsi="Times New Roman"/>
          <w:b/>
          <w:bCs/>
          <w:sz w:val="24"/>
          <w:szCs w:val="24"/>
        </w:rPr>
        <w:t xml:space="preserve">A-Recommandations au Ministère de l’Agriculture, des Ressources Animales et Halieutiques / Ministère de l’Environnement, de l’Eau et de l’Assainissement sur la dégradation des sols </w:t>
      </w:r>
      <w:bookmarkEnd w:id="1650"/>
    </w:p>
    <w:p w14:paraId="78B4BDBC" w14:textId="77777777" w:rsidR="006926C2" w:rsidRPr="007C5A6E" w:rsidRDefault="006926C2" w:rsidP="00FE3624">
      <w:pPr>
        <w:spacing w:after="0" w:line="240" w:lineRule="auto"/>
        <w:rPr>
          <w:rFonts w:ascii="Times New Roman" w:eastAsia="Calibri" w:hAnsi="Times New Roman"/>
          <w:b/>
          <w:bCs/>
          <w:kern w:val="2"/>
          <w:sz w:val="24"/>
          <w:szCs w:val="24"/>
          <w:lang w:eastAsia="en-US"/>
          <w14:ligatures w14:val="standardContextual"/>
        </w:rPr>
      </w:pPr>
    </w:p>
    <w:p w14:paraId="581E7C20" w14:textId="008BBDF9" w:rsidR="006926C2" w:rsidRPr="007C5A6E" w:rsidRDefault="006926C2" w:rsidP="00FE3624">
      <w:pPr>
        <w:spacing w:after="0" w:line="240" w:lineRule="auto"/>
        <w:jc w:val="both"/>
        <w:rPr>
          <w:rFonts w:ascii="Times New Roman" w:eastAsia="Calibri" w:hAnsi="Times New Roman"/>
          <w:kern w:val="2"/>
          <w:sz w:val="24"/>
          <w:szCs w:val="24"/>
          <w:lang w:eastAsia="en-US"/>
          <w14:ligatures w14:val="standardContextual"/>
        </w:rPr>
      </w:pPr>
      <w:r w:rsidRPr="007C5A6E">
        <w:rPr>
          <w:rFonts w:ascii="Times New Roman" w:eastAsia="Calibri" w:hAnsi="Times New Roman"/>
          <w:kern w:val="2"/>
          <w:sz w:val="24"/>
          <w:szCs w:val="24"/>
          <w:lang w:eastAsia="en-US"/>
          <w14:ligatures w14:val="standardContextual"/>
        </w:rPr>
        <w:t xml:space="preserve">La dégradation est imputable aux défriches abusives, au déboisement, au surpâturage, aux pratiques culturales inadaptées, à la pression foncière due à la forte densité de la population, au changement climatique, aux activités d’orpaillage et des mines industrielles qui dégradent et polluent les sols, les eaux de surface et souterraines. Le sol n’est pas une ressource renouvelable. Une fois détruit, il l’est définitivement. La pédogénèse est un processus extrêmement lent. Il faut 100 à 500 ans pour 1 cm de sol et 3000 à 1200 ans pour la formation d’une couche arable (Steiner, 1996). Alors les mesures recommandées sont les </w:t>
      </w:r>
      <w:r w:rsidR="00315704" w:rsidRPr="007C5A6E">
        <w:rPr>
          <w:rFonts w:ascii="Times New Roman" w:eastAsia="Calibri" w:hAnsi="Times New Roman"/>
          <w:kern w:val="2"/>
          <w:sz w:val="24"/>
          <w:szCs w:val="24"/>
          <w:lang w:eastAsia="en-US"/>
          <w14:ligatures w14:val="standardContextual"/>
        </w:rPr>
        <w:t>suivantes :</w:t>
      </w:r>
    </w:p>
    <w:p w14:paraId="248CCD6A" w14:textId="77777777" w:rsidR="006926C2" w:rsidRPr="007C5A6E" w:rsidRDefault="006926C2" w:rsidP="00FE3624">
      <w:pPr>
        <w:numPr>
          <w:ilvl w:val="0"/>
          <w:numId w:val="76"/>
        </w:numPr>
        <w:spacing w:after="0" w:line="240" w:lineRule="auto"/>
        <w:contextualSpacing/>
        <w:jc w:val="both"/>
        <w:rPr>
          <w:rFonts w:ascii="Times New Roman" w:eastAsia="Calibri" w:hAnsi="Times New Roman"/>
          <w:sz w:val="24"/>
          <w:szCs w:val="24"/>
          <w:lang w:eastAsia="en-US"/>
        </w:rPr>
      </w:pPr>
      <w:proofErr w:type="gramStart"/>
      <w:r w:rsidRPr="007C5A6E">
        <w:rPr>
          <w:rFonts w:ascii="Times New Roman" w:eastAsia="Calibri" w:hAnsi="Times New Roman"/>
          <w:sz w:val="24"/>
          <w:szCs w:val="24"/>
          <w:lang w:eastAsia="en-US"/>
        </w:rPr>
        <w:t>sédentariser</w:t>
      </w:r>
      <w:proofErr w:type="gramEnd"/>
      <w:r w:rsidRPr="007C5A6E">
        <w:rPr>
          <w:rFonts w:ascii="Times New Roman" w:eastAsia="Calibri" w:hAnsi="Times New Roman"/>
          <w:sz w:val="24"/>
          <w:szCs w:val="24"/>
          <w:lang w:eastAsia="en-US"/>
        </w:rPr>
        <w:t xml:space="preserve"> les producteurs en vue de promouvoir une agriculture intensive qui intègre l’agriculture et l’élevage ;</w:t>
      </w:r>
    </w:p>
    <w:p w14:paraId="48B123AA" w14:textId="77777777" w:rsidR="006926C2" w:rsidRPr="007C5A6E" w:rsidRDefault="006926C2" w:rsidP="00FE3624">
      <w:pPr>
        <w:numPr>
          <w:ilvl w:val="0"/>
          <w:numId w:val="76"/>
        </w:numPr>
        <w:spacing w:after="0" w:line="240" w:lineRule="auto"/>
        <w:contextualSpacing/>
        <w:jc w:val="both"/>
        <w:rPr>
          <w:rFonts w:ascii="Times New Roman" w:eastAsia="Calibri" w:hAnsi="Times New Roman"/>
          <w:sz w:val="24"/>
          <w:szCs w:val="24"/>
          <w:lang w:eastAsia="en-US"/>
        </w:rPr>
      </w:pPr>
      <w:proofErr w:type="gramStart"/>
      <w:r w:rsidRPr="007C5A6E">
        <w:rPr>
          <w:rFonts w:ascii="Times New Roman" w:eastAsia="Calibri" w:hAnsi="Times New Roman"/>
          <w:sz w:val="24"/>
          <w:szCs w:val="24"/>
          <w:lang w:eastAsia="en-US"/>
        </w:rPr>
        <w:t>faire</w:t>
      </w:r>
      <w:proofErr w:type="gramEnd"/>
      <w:r w:rsidRPr="007C5A6E">
        <w:rPr>
          <w:rFonts w:ascii="Times New Roman" w:eastAsia="Calibri" w:hAnsi="Times New Roman"/>
          <w:sz w:val="24"/>
          <w:szCs w:val="24"/>
          <w:lang w:eastAsia="en-US"/>
        </w:rPr>
        <w:t xml:space="preserve"> recours à l’utilisation à grande échelle des technologies de gestion durable des terres en réponse  au changement climatique ;</w:t>
      </w:r>
    </w:p>
    <w:p w14:paraId="4EB20786" w14:textId="77777777" w:rsidR="006926C2" w:rsidRPr="007C5A6E" w:rsidRDefault="006926C2" w:rsidP="00FE3624">
      <w:pPr>
        <w:numPr>
          <w:ilvl w:val="0"/>
          <w:numId w:val="76"/>
        </w:numPr>
        <w:spacing w:after="0" w:line="240" w:lineRule="auto"/>
        <w:contextualSpacing/>
        <w:jc w:val="both"/>
        <w:rPr>
          <w:rFonts w:ascii="Times New Roman" w:eastAsia="Calibri" w:hAnsi="Times New Roman"/>
          <w:sz w:val="24"/>
          <w:szCs w:val="24"/>
          <w:lang w:eastAsia="en-US"/>
        </w:rPr>
      </w:pPr>
      <w:proofErr w:type="gramStart"/>
      <w:r w:rsidRPr="007C5A6E">
        <w:rPr>
          <w:rFonts w:ascii="Times New Roman" w:eastAsia="Calibri" w:hAnsi="Times New Roman"/>
          <w:sz w:val="24"/>
          <w:szCs w:val="24"/>
          <w:lang w:eastAsia="en-US"/>
        </w:rPr>
        <w:t>utiliser</w:t>
      </w:r>
      <w:proofErr w:type="gramEnd"/>
      <w:r w:rsidRPr="007C5A6E">
        <w:rPr>
          <w:rFonts w:ascii="Times New Roman" w:eastAsia="Calibri" w:hAnsi="Times New Roman"/>
          <w:sz w:val="24"/>
          <w:szCs w:val="24"/>
          <w:lang w:eastAsia="en-US"/>
        </w:rPr>
        <w:t xml:space="preserve"> la matière organique sous forme de fumier ou de compost pour faire face à la dégradation physique, chimique et biologique des sols.</w:t>
      </w:r>
    </w:p>
    <w:p w14:paraId="1ED7868F" w14:textId="77777777" w:rsidR="006926C2" w:rsidRPr="007C5A6E" w:rsidRDefault="006926C2" w:rsidP="00FE3624">
      <w:pPr>
        <w:numPr>
          <w:ilvl w:val="0"/>
          <w:numId w:val="76"/>
        </w:numPr>
        <w:spacing w:after="0" w:line="240" w:lineRule="auto"/>
        <w:contextualSpacing/>
        <w:jc w:val="both"/>
        <w:rPr>
          <w:rFonts w:ascii="Times New Roman" w:eastAsia="Calibri" w:hAnsi="Times New Roman"/>
          <w:sz w:val="24"/>
          <w:szCs w:val="24"/>
          <w:lang w:eastAsia="en-US"/>
        </w:rPr>
      </w:pPr>
      <w:proofErr w:type="gramStart"/>
      <w:r w:rsidRPr="007C5A6E">
        <w:rPr>
          <w:rFonts w:ascii="Times New Roman" w:eastAsia="Calibri" w:hAnsi="Times New Roman"/>
          <w:sz w:val="24"/>
          <w:szCs w:val="24"/>
          <w:lang w:eastAsia="en-US"/>
        </w:rPr>
        <w:t>respecter</w:t>
      </w:r>
      <w:proofErr w:type="gramEnd"/>
      <w:r w:rsidRPr="007C5A6E">
        <w:rPr>
          <w:rFonts w:ascii="Times New Roman" w:eastAsia="Calibri" w:hAnsi="Times New Roman"/>
          <w:sz w:val="24"/>
          <w:szCs w:val="24"/>
          <w:lang w:eastAsia="en-US"/>
        </w:rPr>
        <w:t xml:space="preserve"> scrupuleusement le code minier en vigueur</w:t>
      </w:r>
    </w:p>
    <w:p w14:paraId="4D51DE7C" w14:textId="77777777" w:rsidR="006926C2" w:rsidRPr="007C5A6E" w:rsidRDefault="006926C2" w:rsidP="00FE3624">
      <w:pPr>
        <w:spacing w:after="0" w:line="240" w:lineRule="auto"/>
        <w:ind w:left="720"/>
        <w:contextualSpacing/>
        <w:jc w:val="both"/>
        <w:rPr>
          <w:rFonts w:ascii="Times New Roman" w:eastAsia="Calibri" w:hAnsi="Times New Roman"/>
          <w:sz w:val="24"/>
          <w:szCs w:val="24"/>
          <w:lang w:eastAsia="en-US"/>
        </w:rPr>
      </w:pPr>
    </w:p>
    <w:p w14:paraId="58D12046" w14:textId="77777777" w:rsidR="006926C2" w:rsidRDefault="006926C2" w:rsidP="00FE3624">
      <w:pPr>
        <w:spacing w:after="0" w:line="240" w:lineRule="auto"/>
        <w:jc w:val="both"/>
        <w:rPr>
          <w:rFonts w:ascii="Times New Roman" w:eastAsia="Calibri" w:hAnsi="Times New Roman"/>
          <w:kern w:val="2"/>
          <w:sz w:val="24"/>
          <w:szCs w:val="24"/>
          <w14:ligatures w14:val="standardContextual"/>
        </w:rPr>
      </w:pPr>
      <w:r w:rsidRPr="007C5A6E">
        <w:rPr>
          <w:rFonts w:ascii="Times New Roman" w:eastAsia="Calibri" w:hAnsi="Times New Roman"/>
          <w:kern w:val="2"/>
          <w:sz w:val="24"/>
          <w:szCs w:val="24"/>
          <w14:ligatures w14:val="standardContextual"/>
        </w:rPr>
        <w:t xml:space="preserve">Une maîtrise de la dégradation des sols est à envisager sur le court et moyen terme car elle nécessite au préalable, une formation et une conscientisation des producteurs par les techniciens d’agriculture, sur les techniques appropriées à l’utilisation des terres qui puissent permettre de conserver ou de renouveler la fertilité des sols en encourageant la pratique d’une agriculture intensive permettant une sédentarisation des producteurs </w:t>
      </w:r>
    </w:p>
    <w:p w14:paraId="5DF1598C" w14:textId="77777777" w:rsidR="00FE3624" w:rsidRPr="007C5A6E" w:rsidRDefault="00FE3624" w:rsidP="00FE3624">
      <w:pPr>
        <w:spacing w:after="0" w:line="240" w:lineRule="auto"/>
        <w:jc w:val="both"/>
        <w:rPr>
          <w:rFonts w:ascii="Times New Roman" w:eastAsia="Calibri" w:hAnsi="Times New Roman"/>
          <w:kern w:val="2"/>
          <w:sz w:val="24"/>
          <w:szCs w:val="24"/>
          <w14:ligatures w14:val="standardContextual"/>
        </w:rPr>
      </w:pPr>
    </w:p>
    <w:p w14:paraId="6C95697C" w14:textId="424AB1D9" w:rsidR="006926C2" w:rsidRPr="007C5A6E" w:rsidRDefault="006926C2" w:rsidP="00FE3624">
      <w:pPr>
        <w:spacing w:after="0" w:line="240" w:lineRule="auto"/>
        <w:jc w:val="both"/>
        <w:rPr>
          <w:rFonts w:ascii="Times New Roman" w:hAnsi="Times New Roman"/>
          <w:b/>
          <w:bCs/>
          <w:sz w:val="24"/>
          <w:szCs w:val="24"/>
        </w:rPr>
      </w:pPr>
      <w:bookmarkStart w:id="1651" w:name="_Toc181982299"/>
      <w:r w:rsidRPr="007C5A6E">
        <w:rPr>
          <w:rFonts w:ascii="Times New Roman" w:hAnsi="Times New Roman"/>
          <w:b/>
          <w:bCs/>
          <w:sz w:val="24"/>
          <w:szCs w:val="24"/>
        </w:rPr>
        <w:t xml:space="preserve">B-Recommandations au Ministère de l’Agriculture, des Ressources Animales et Halieutiques sur l’utilisation des pesticides </w:t>
      </w:r>
      <w:bookmarkEnd w:id="1651"/>
    </w:p>
    <w:p w14:paraId="7834F3E2" w14:textId="77777777" w:rsidR="006926C2" w:rsidRPr="007C5A6E" w:rsidRDefault="006926C2" w:rsidP="00FE3624">
      <w:pPr>
        <w:spacing w:after="0" w:line="240" w:lineRule="auto"/>
        <w:contextualSpacing/>
        <w:jc w:val="both"/>
        <w:rPr>
          <w:rFonts w:ascii="Times New Roman" w:eastAsia="Calibri" w:hAnsi="Times New Roman"/>
          <w:noProof/>
          <w:kern w:val="2"/>
          <w:sz w:val="24"/>
          <w:szCs w:val="24"/>
          <w14:ligatures w14:val="standardContextual"/>
        </w:rPr>
      </w:pPr>
    </w:p>
    <w:p w14:paraId="3AFC9ADB" w14:textId="157658AF" w:rsidR="006926C2" w:rsidRPr="007C5A6E" w:rsidRDefault="006926C2" w:rsidP="00FE3624">
      <w:pPr>
        <w:spacing w:after="0" w:line="240" w:lineRule="auto"/>
        <w:contextualSpacing/>
        <w:jc w:val="both"/>
        <w:rPr>
          <w:rFonts w:ascii="Times New Roman" w:eastAsia="Calibri" w:hAnsi="Times New Roman"/>
          <w:noProof/>
          <w:kern w:val="2"/>
          <w:sz w:val="24"/>
          <w:szCs w:val="24"/>
          <w14:ligatures w14:val="standardContextual"/>
        </w:rPr>
      </w:pPr>
      <w:r w:rsidRPr="007C5A6E">
        <w:rPr>
          <w:rFonts w:ascii="Times New Roman" w:eastAsia="Calibri" w:hAnsi="Times New Roman"/>
          <w:noProof/>
          <w:kern w:val="2"/>
          <w:sz w:val="24"/>
          <w:szCs w:val="24"/>
          <w14:ligatures w14:val="standardContextual"/>
        </w:rPr>
        <w:t>L’utilisation abusive des pesticides entraînent une pollution, une dégradation, une inhibition de l’activité de la pédofaune et une perte de la fertilité du sol. Les recommandations pour garder les sols sains sont les suivantes :</w:t>
      </w:r>
    </w:p>
    <w:p w14:paraId="07CD911D" w14:textId="77777777" w:rsidR="006926C2" w:rsidRPr="007C5A6E" w:rsidRDefault="006926C2" w:rsidP="00FE3624">
      <w:pPr>
        <w:numPr>
          <w:ilvl w:val="0"/>
          <w:numId w:val="77"/>
        </w:numPr>
        <w:spacing w:after="0" w:line="240" w:lineRule="auto"/>
        <w:contextualSpacing/>
        <w:jc w:val="both"/>
        <w:rPr>
          <w:rFonts w:ascii="Times New Roman" w:eastAsia="Calibri" w:hAnsi="Times New Roman"/>
          <w:noProof/>
          <w:sz w:val="24"/>
          <w:szCs w:val="24"/>
        </w:rPr>
      </w:pPr>
      <w:r w:rsidRPr="007C5A6E">
        <w:rPr>
          <w:rFonts w:ascii="Times New Roman" w:eastAsia="Calibri" w:hAnsi="Times New Roman"/>
          <w:noProof/>
          <w:sz w:val="24"/>
          <w:szCs w:val="24"/>
        </w:rPr>
        <w:t>utiliser rationnellenellement les pesticides ;</w:t>
      </w:r>
    </w:p>
    <w:p w14:paraId="7444B8EF" w14:textId="77777777" w:rsidR="006926C2" w:rsidRPr="007C5A6E" w:rsidRDefault="006926C2" w:rsidP="00FE3624">
      <w:pPr>
        <w:numPr>
          <w:ilvl w:val="0"/>
          <w:numId w:val="77"/>
        </w:numPr>
        <w:spacing w:after="0" w:line="240" w:lineRule="auto"/>
        <w:contextualSpacing/>
        <w:jc w:val="both"/>
        <w:rPr>
          <w:rFonts w:ascii="Times New Roman" w:eastAsia="Calibri" w:hAnsi="Times New Roman"/>
          <w:noProof/>
          <w:sz w:val="24"/>
          <w:szCs w:val="24"/>
        </w:rPr>
      </w:pPr>
      <w:r w:rsidRPr="007C5A6E">
        <w:rPr>
          <w:rFonts w:ascii="Times New Roman" w:eastAsia="Calibri" w:hAnsi="Times New Roman"/>
          <w:noProof/>
          <w:sz w:val="24"/>
          <w:szCs w:val="24"/>
        </w:rPr>
        <w:t>rechercher des produits naturels à base de plantes capables de lutter efficacement contre les ravageurs des cultures tout en préservant la santé humaine, animale et environnementale particulièrement les sols, les plantes et les eaux ;</w:t>
      </w:r>
    </w:p>
    <w:p w14:paraId="0B7799E5" w14:textId="77777777" w:rsidR="006926C2" w:rsidRPr="007C5A6E" w:rsidRDefault="006926C2" w:rsidP="00FE3624">
      <w:pPr>
        <w:numPr>
          <w:ilvl w:val="0"/>
          <w:numId w:val="77"/>
        </w:numPr>
        <w:spacing w:after="0" w:line="240" w:lineRule="auto"/>
        <w:contextualSpacing/>
        <w:jc w:val="both"/>
        <w:rPr>
          <w:rFonts w:ascii="Times New Roman" w:eastAsia="Calibri" w:hAnsi="Times New Roman"/>
          <w:noProof/>
          <w:sz w:val="24"/>
          <w:szCs w:val="24"/>
        </w:rPr>
      </w:pPr>
      <w:r w:rsidRPr="007C5A6E">
        <w:rPr>
          <w:rFonts w:ascii="Times New Roman" w:eastAsia="Calibri" w:hAnsi="Times New Roman"/>
          <w:noProof/>
          <w:sz w:val="24"/>
          <w:szCs w:val="24"/>
        </w:rPr>
        <w:t>respecter la loi relative à l’usage des pesticides au Burkina Faso.</w:t>
      </w:r>
    </w:p>
    <w:p w14:paraId="06579D6B" w14:textId="77777777" w:rsidR="006926C2" w:rsidRPr="007C5A6E" w:rsidRDefault="006926C2" w:rsidP="00FE3624">
      <w:pPr>
        <w:spacing w:after="0" w:line="240" w:lineRule="auto"/>
        <w:jc w:val="both"/>
        <w:rPr>
          <w:rFonts w:ascii="Times New Roman" w:eastAsia="Calibri" w:hAnsi="Times New Roman"/>
          <w:noProof/>
          <w:kern w:val="2"/>
          <w:sz w:val="24"/>
          <w:szCs w:val="24"/>
          <w14:ligatures w14:val="standardContextual"/>
        </w:rPr>
      </w:pPr>
      <w:r w:rsidRPr="007C5A6E">
        <w:rPr>
          <w:rFonts w:ascii="Times New Roman" w:eastAsia="Calibri" w:hAnsi="Times New Roman"/>
          <w:noProof/>
          <w:kern w:val="2"/>
          <w:sz w:val="24"/>
          <w:szCs w:val="24"/>
          <w14:ligatures w14:val="standardContextual"/>
        </w:rPr>
        <w:t xml:space="preserve">L’utilisation des pesticides commence à prendre de l’ampleur dans les systèmes de production. Des enquêtes menées sur l’usage des pesticides, a montré que les producteurs en majorité ignorent les techniques d’utilisation des pesticides. Certains n’ont pas reçu de formation en la matière. Une formation à court terme permettra une utilisation raisonnée des pesticides. </w:t>
      </w:r>
    </w:p>
    <w:p w14:paraId="353DFFB9" w14:textId="77777777" w:rsidR="006926C2" w:rsidRPr="007C5A6E" w:rsidRDefault="006926C2" w:rsidP="00FE3624">
      <w:pPr>
        <w:spacing w:after="0" w:line="240" w:lineRule="auto"/>
        <w:jc w:val="both"/>
        <w:rPr>
          <w:rFonts w:ascii="Times New Roman" w:eastAsia="Calibri" w:hAnsi="Times New Roman"/>
          <w:noProof/>
          <w:kern w:val="2"/>
          <w:sz w:val="24"/>
          <w:szCs w:val="24"/>
          <w14:ligatures w14:val="standardContextual"/>
        </w:rPr>
      </w:pPr>
    </w:p>
    <w:p w14:paraId="6A3EC053" w14:textId="39A69AC9" w:rsidR="006926C2" w:rsidRPr="007C5A6E" w:rsidRDefault="006926C2" w:rsidP="00FE3624">
      <w:pPr>
        <w:spacing w:after="0" w:line="240" w:lineRule="auto"/>
        <w:jc w:val="both"/>
        <w:rPr>
          <w:rFonts w:ascii="Times New Roman" w:hAnsi="Times New Roman"/>
          <w:b/>
          <w:bCs/>
          <w:sz w:val="24"/>
          <w:szCs w:val="24"/>
        </w:rPr>
      </w:pPr>
      <w:bookmarkStart w:id="1652" w:name="_Toc181982300"/>
      <w:r w:rsidRPr="007C5A6E">
        <w:rPr>
          <w:rFonts w:ascii="Times New Roman" w:hAnsi="Times New Roman"/>
          <w:b/>
          <w:bCs/>
          <w:sz w:val="24"/>
          <w:szCs w:val="24"/>
        </w:rPr>
        <w:t xml:space="preserve">C-Recommandation au Ministère de l’Agriculture, des Ressources Animales et Halieutiques sur l’utilisation des engrais </w:t>
      </w:r>
      <w:bookmarkEnd w:id="1652"/>
    </w:p>
    <w:p w14:paraId="71B9F84A" w14:textId="77777777" w:rsidR="006926C2" w:rsidRPr="007C5A6E" w:rsidRDefault="006926C2" w:rsidP="00FE3624">
      <w:pPr>
        <w:spacing w:after="0" w:line="240" w:lineRule="auto"/>
        <w:contextualSpacing/>
        <w:jc w:val="both"/>
        <w:rPr>
          <w:rFonts w:ascii="Times New Roman" w:eastAsia="Calibri" w:hAnsi="Times New Roman"/>
          <w:kern w:val="2"/>
          <w:sz w:val="24"/>
          <w:szCs w:val="24"/>
          <w:lang w:eastAsia="en-US"/>
          <w14:ligatures w14:val="standardContextual"/>
        </w:rPr>
      </w:pPr>
    </w:p>
    <w:p w14:paraId="046521AC" w14:textId="5AA11BF2" w:rsidR="006926C2" w:rsidRPr="007C5A6E" w:rsidRDefault="006926C2" w:rsidP="00FE3624">
      <w:pPr>
        <w:spacing w:after="0" w:line="240" w:lineRule="auto"/>
        <w:contextualSpacing/>
        <w:jc w:val="both"/>
        <w:rPr>
          <w:rFonts w:ascii="Times New Roman" w:eastAsia="Calibri" w:hAnsi="Times New Roman"/>
          <w:b/>
          <w:noProof/>
          <w:kern w:val="2"/>
          <w:sz w:val="24"/>
          <w:szCs w:val="24"/>
          <w14:ligatures w14:val="standardContextual"/>
        </w:rPr>
      </w:pPr>
      <w:r w:rsidRPr="007C5A6E">
        <w:rPr>
          <w:rFonts w:ascii="Times New Roman" w:eastAsia="Calibri" w:hAnsi="Times New Roman"/>
          <w:kern w:val="2"/>
          <w:sz w:val="24"/>
          <w:szCs w:val="24"/>
          <w:lang w:eastAsia="en-US"/>
          <w14:ligatures w14:val="standardContextual"/>
        </w:rPr>
        <w:t>Les engrais minéraux sont généralement efficaces pendant les premières années de culture, on observe, après cinq à dix années d’apports continus de fumures exclusivement minérales, une baisse des rendements. Outre les éléments nutritifs qu’il apporte, l’engrais minéral modifie les propriétés physico-chimiques du sol. Les engrais minéraux azotés sont notamment acidifiants. Une forte acidité peut réduire la disponibilité en éléments nutritifs et induire des toxicités en aluminium ou en manganate (Mn).</w:t>
      </w:r>
    </w:p>
    <w:p w14:paraId="36C97E14" w14:textId="77777777" w:rsidR="006926C2" w:rsidRPr="007C5A6E" w:rsidRDefault="006926C2" w:rsidP="00FE3624">
      <w:pPr>
        <w:spacing w:after="0" w:line="240" w:lineRule="auto"/>
        <w:contextualSpacing/>
        <w:jc w:val="both"/>
        <w:rPr>
          <w:rFonts w:ascii="Times New Roman" w:eastAsia="Calibri" w:hAnsi="Times New Roman"/>
          <w:noProof/>
          <w:kern w:val="2"/>
          <w:sz w:val="24"/>
          <w:szCs w:val="24"/>
          <w:lang w:val="en-US"/>
          <w14:ligatures w14:val="standardContextual"/>
        </w:rPr>
      </w:pPr>
      <w:r w:rsidRPr="007C5A6E">
        <w:rPr>
          <w:rFonts w:ascii="Times New Roman" w:eastAsia="Calibri" w:hAnsi="Times New Roman"/>
          <w:noProof/>
          <w:kern w:val="2"/>
          <w:sz w:val="24"/>
          <w:szCs w:val="24"/>
          <w:lang w:val="en-US"/>
          <w14:ligatures w14:val="standardContextual"/>
        </w:rPr>
        <w:t>Il faut donc :</w:t>
      </w:r>
    </w:p>
    <w:p w14:paraId="6AF6A0C0" w14:textId="77777777" w:rsidR="006926C2" w:rsidRPr="007C5A6E" w:rsidRDefault="006926C2" w:rsidP="00FE3624">
      <w:pPr>
        <w:numPr>
          <w:ilvl w:val="0"/>
          <w:numId w:val="78"/>
        </w:numPr>
        <w:spacing w:after="0" w:line="240" w:lineRule="auto"/>
        <w:contextualSpacing/>
        <w:jc w:val="both"/>
        <w:rPr>
          <w:rFonts w:ascii="Times New Roman" w:eastAsia="Calibri" w:hAnsi="Times New Roman"/>
          <w:noProof/>
          <w:sz w:val="24"/>
          <w:szCs w:val="24"/>
        </w:rPr>
      </w:pPr>
      <w:r w:rsidRPr="007C5A6E">
        <w:rPr>
          <w:rFonts w:ascii="Times New Roman" w:eastAsia="Calibri" w:hAnsi="Times New Roman"/>
          <w:noProof/>
          <w:sz w:val="24"/>
          <w:szCs w:val="24"/>
        </w:rPr>
        <w:t>assurer avec rigueur le contrôle des engrais importés au Burkina Faso ;</w:t>
      </w:r>
    </w:p>
    <w:p w14:paraId="1281DDA3" w14:textId="77777777" w:rsidR="006926C2" w:rsidRPr="007C5A6E" w:rsidRDefault="006926C2" w:rsidP="00FE3624">
      <w:pPr>
        <w:numPr>
          <w:ilvl w:val="0"/>
          <w:numId w:val="78"/>
        </w:numPr>
        <w:spacing w:after="0" w:line="240" w:lineRule="auto"/>
        <w:contextualSpacing/>
        <w:jc w:val="both"/>
        <w:rPr>
          <w:rFonts w:ascii="Times New Roman" w:eastAsia="Calibri" w:hAnsi="Times New Roman"/>
          <w:noProof/>
          <w:sz w:val="24"/>
          <w:szCs w:val="24"/>
        </w:rPr>
      </w:pPr>
      <w:r w:rsidRPr="007C5A6E">
        <w:rPr>
          <w:rFonts w:ascii="Times New Roman" w:eastAsia="Calibri" w:hAnsi="Times New Roman"/>
          <w:noProof/>
          <w:sz w:val="24"/>
          <w:szCs w:val="24"/>
        </w:rPr>
        <w:t>respecter rigoureusement la loi portant sur le contrôle des engrais au Burkina Faso ;</w:t>
      </w:r>
    </w:p>
    <w:p w14:paraId="1B2081AC" w14:textId="77777777" w:rsidR="006926C2" w:rsidRPr="007C5A6E" w:rsidRDefault="006926C2" w:rsidP="00FE3624">
      <w:pPr>
        <w:numPr>
          <w:ilvl w:val="0"/>
          <w:numId w:val="78"/>
        </w:numPr>
        <w:spacing w:after="0" w:line="240" w:lineRule="auto"/>
        <w:contextualSpacing/>
        <w:jc w:val="both"/>
        <w:rPr>
          <w:rFonts w:ascii="Times New Roman" w:eastAsia="Calibri" w:hAnsi="Times New Roman"/>
          <w:noProof/>
          <w:sz w:val="24"/>
          <w:szCs w:val="24"/>
        </w:rPr>
      </w:pPr>
      <w:r w:rsidRPr="007C5A6E">
        <w:rPr>
          <w:rFonts w:ascii="Times New Roman" w:eastAsia="Calibri" w:hAnsi="Times New Roman"/>
          <w:noProof/>
          <w:sz w:val="24"/>
          <w:szCs w:val="24"/>
        </w:rPr>
        <w:t>Analyser la qualité des engrais et voir si les formules sur les sacs sont conformes ;</w:t>
      </w:r>
    </w:p>
    <w:p w14:paraId="491B5397" w14:textId="77777777" w:rsidR="006926C2" w:rsidRPr="007C5A6E" w:rsidRDefault="006926C2" w:rsidP="00FE3624">
      <w:pPr>
        <w:numPr>
          <w:ilvl w:val="0"/>
          <w:numId w:val="78"/>
        </w:numPr>
        <w:spacing w:after="0" w:line="240" w:lineRule="auto"/>
        <w:contextualSpacing/>
        <w:jc w:val="both"/>
        <w:rPr>
          <w:rFonts w:ascii="Times New Roman" w:eastAsia="Calibri" w:hAnsi="Times New Roman"/>
          <w:noProof/>
          <w:sz w:val="24"/>
          <w:szCs w:val="24"/>
        </w:rPr>
      </w:pPr>
      <w:r w:rsidRPr="007C5A6E">
        <w:rPr>
          <w:rFonts w:ascii="Times New Roman" w:eastAsia="Calibri" w:hAnsi="Times New Roman"/>
          <w:noProof/>
          <w:sz w:val="24"/>
          <w:szCs w:val="24"/>
        </w:rPr>
        <w:t>Priviléger l’emploi de la matière organique pour améliorer les propriétés physico-chimiques des sols.</w:t>
      </w:r>
    </w:p>
    <w:p w14:paraId="386292DC" w14:textId="77777777" w:rsidR="006926C2" w:rsidRPr="007C5A6E" w:rsidRDefault="006926C2" w:rsidP="00FE3624">
      <w:pPr>
        <w:spacing w:after="0" w:line="240" w:lineRule="auto"/>
        <w:jc w:val="both"/>
        <w:rPr>
          <w:rFonts w:ascii="Times New Roman" w:eastAsia="Calibri" w:hAnsi="Times New Roman"/>
          <w:noProof/>
          <w:kern w:val="2"/>
          <w:sz w:val="24"/>
          <w:szCs w:val="24"/>
          <w14:ligatures w14:val="standardContextual"/>
        </w:rPr>
      </w:pPr>
      <w:r w:rsidRPr="007C5A6E">
        <w:rPr>
          <w:rFonts w:ascii="Times New Roman" w:eastAsia="Calibri" w:hAnsi="Times New Roman"/>
          <w:noProof/>
          <w:kern w:val="2"/>
          <w:sz w:val="24"/>
          <w:szCs w:val="24"/>
          <w14:ligatures w14:val="standardContextual"/>
        </w:rPr>
        <w:t>A l’image des pesticides, une formation des producteurs à court et moyen terme sur l’usage des engrais s’avère impérative : connaître les types d’engrais qui assurent une bonne productivité des sols sans les endomager, encourager à court terme, la production de la fumure organique moins coûteuse et qui permet d’améliorer les propripétés physico-chimiques des sols.</w:t>
      </w:r>
    </w:p>
    <w:p w14:paraId="27E1A537" w14:textId="77777777" w:rsidR="006926C2" w:rsidRPr="007C5A6E" w:rsidRDefault="006926C2" w:rsidP="00FE3624">
      <w:pPr>
        <w:spacing w:after="0" w:line="240" w:lineRule="auto"/>
        <w:jc w:val="both"/>
        <w:rPr>
          <w:rFonts w:ascii="Times New Roman" w:eastAsia="Calibri" w:hAnsi="Times New Roman"/>
          <w:noProof/>
          <w:kern w:val="2"/>
          <w:sz w:val="24"/>
          <w:szCs w:val="24"/>
          <w14:ligatures w14:val="standardContextual"/>
        </w:rPr>
      </w:pPr>
    </w:p>
    <w:p w14:paraId="38A8D4F1" w14:textId="1ADC66E1" w:rsidR="006926C2" w:rsidRPr="007C5A6E" w:rsidRDefault="006926C2" w:rsidP="00FE3624">
      <w:pPr>
        <w:spacing w:after="0" w:line="240" w:lineRule="auto"/>
        <w:jc w:val="both"/>
        <w:rPr>
          <w:rFonts w:ascii="Times New Roman" w:hAnsi="Times New Roman"/>
          <w:b/>
          <w:bCs/>
          <w:sz w:val="24"/>
          <w:szCs w:val="24"/>
        </w:rPr>
      </w:pPr>
      <w:bookmarkStart w:id="1653" w:name="_Toc181982301"/>
      <w:r w:rsidRPr="007C5A6E">
        <w:rPr>
          <w:rFonts w:ascii="Times New Roman" w:hAnsi="Times New Roman"/>
          <w:b/>
          <w:bCs/>
          <w:sz w:val="24"/>
          <w:szCs w:val="24"/>
        </w:rPr>
        <w:t xml:space="preserve">D-Recommandation au Ministère de l’Agriculture, des Ressources Animales et Halieutiques / Ministère de l’Environnement, de l’Eau et de l’Assainissement sur l’acquisition massive des terres </w:t>
      </w:r>
      <w:bookmarkEnd w:id="1653"/>
    </w:p>
    <w:p w14:paraId="0D955896" w14:textId="77777777" w:rsidR="006926C2" w:rsidRPr="007C5A6E" w:rsidRDefault="006926C2" w:rsidP="00FE3624">
      <w:pPr>
        <w:spacing w:after="0" w:line="240" w:lineRule="auto"/>
        <w:jc w:val="both"/>
        <w:rPr>
          <w:rFonts w:ascii="Times New Roman" w:eastAsia="Calibri" w:hAnsi="Times New Roman"/>
          <w:noProof/>
          <w:kern w:val="2"/>
          <w:sz w:val="24"/>
          <w:szCs w:val="24"/>
          <w14:ligatures w14:val="standardContextual"/>
        </w:rPr>
      </w:pPr>
    </w:p>
    <w:p w14:paraId="3FFE0548" w14:textId="5E696D5C" w:rsidR="006926C2" w:rsidRPr="007C5A6E" w:rsidRDefault="006926C2" w:rsidP="00FE3624">
      <w:pPr>
        <w:spacing w:after="0" w:line="240" w:lineRule="auto"/>
        <w:jc w:val="both"/>
        <w:rPr>
          <w:rFonts w:ascii="Times New Roman" w:eastAsia="Calibri" w:hAnsi="Times New Roman"/>
          <w:noProof/>
          <w:kern w:val="2"/>
          <w:sz w:val="24"/>
          <w:szCs w:val="24"/>
          <w14:ligatures w14:val="standardContextual"/>
        </w:rPr>
      </w:pPr>
      <w:r w:rsidRPr="007C5A6E">
        <w:rPr>
          <w:rFonts w:ascii="Times New Roman" w:eastAsia="Calibri" w:hAnsi="Times New Roman"/>
          <w:noProof/>
          <w:kern w:val="2"/>
          <w:sz w:val="24"/>
          <w:szCs w:val="24"/>
          <w14:ligatures w14:val="standardContextual"/>
        </w:rPr>
        <w:t>Le respect strict de l’Arrêté conjoint n° 2009 - 073 MECV/MAHRH, portant réglementation des défrichements agricoles au Burkina Faso.</w:t>
      </w:r>
    </w:p>
    <w:p w14:paraId="0F1D6BEF" w14:textId="77777777" w:rsidR="006926C2" w:rsidRPr="007C5A6E" w:rsidRDefault="006926C2" w:rsidP="00FE3624">
      <w:pPr>
        <w:spacing w:after="0" w:line="240" w:lineRule="auto"/>
        <w:jc w:val="both"/>
        <w:rPr>
          <w:rFonts w:ascii="Times New Roman" w:eastAsia="Calibri" w:hAnsi="Times New Roman"/>
          <w:noProof/>
          <w:kern w:val="2"/>
          <w:sz w:val="24"/>
          <w:szCs w:val="24"/>
          <w14:ligatures w14:val="standardContextual"/>
        </w:rPr>
      </w:pPr>
      <w:r w:rsidRPr="007C5A6E">
        <w:rPr>
          <w:rFonts w:ascii="Times New Roman" w:eastAsia="Calibri" w:hAnsi="Times New Roman"/>
          <w:noProof/>
          <w:kern w:val="2"/>
          <w:sz w:val="24"/>
          <w:szCs w:val="24"/>
          <w14:ligatures w14:val="standardContextual"/>
        </w:rPr>
        <w:t xml:space="preserve">Parvenir à court terme à redimentionner les superficies d’exploitation pour éviter la dégradation des terres par destruction totale du couvert végétal et le décapage des sols. </w:t>
      </w:r>
    </w:p>
    <w:p w14:paraId="79BC0136" w14:textId="77777777" w:rsidR="006926C2" w:rsidRPr="007C5A6E" w:rsidRDefault="006926C2" w:rsidP="00FE3624">
      <w:pPr>
        <w:spacing w:after="0" w:line="240" w:lineRule="auto"/>
        <w:jc w:val="both"/>
        <w:rPr>
          <w:rFonts w:ascii="Times New Roman" w:eastAsia="Calibri" w:hAnsi="Times New Roman"/>
          <w:noProof/>
          <w:kern w:val="2"/>
          <w:sz w:val="24"/>
          <w:szCs w:val="24"/>
          <w14:ligatures w14:val="standardContextual"/>
        </w:rPr>
      </w:pPr>
    </w:p>
    <w:p w14:paraId="76C25BF4" w14:textId="4EB11748" w:rsidR="006926C2" w:rsidRPr="007C5A6E" w:rsidRDefault="006926C2" w:rsidP="00FE3624">
      <w:pPr>
        <w:spacing w:after="0" w:line="240" w:lineRule="auto"/>
        <w:jc w:val="both"/>
        <w:rPr>
          <w:rFonts w:ascii="Times New Roman" w:hAnsi="Times New Roman"/>
          <w:b/>
          <w:bCs/>
          <w:sz w:val="24"/>
          <w:szCs w:val="24"/>
        </w:rPr>
      </w:pPr>
      <w:bookmarkStart w:id="1654" w:name="_Toc181982302"/>
      <w:r w:rsidRPr="007C5A6E">
        <w:rPr>
          <w:rFonts w:ascii="Times New Roman" w:hAnsi="Times New Roman"/>
          <w:b/>
          <w:bCs/>
          <w:sz w:val="24"/>
          <w:szCs w:val="24"/>
        </w:rPr>
        <w:t xml:space="preserve">E-Recommandation au Ministère de l’Energie, des Mines et des Carrières / Ministère de l’Agriculture, des Ressources Animales et Halieutiques sur les sites miniers en fin d’exploitation </w:t>
      </w:r>
      <w:bookmarkEnd w:id="1654"/>
    </w:p>
    <w:p w14:paraId="194E9F52" w14:textId="77777777" w:rsidR="006926C2" w:rsidRPr="007C5A6E" w:rsidRDefault="006926C2" w:rsidP="00FE3624">
      <w:pPr>
        <w:spacing w:after="0" w:line="240" w:lineRule="auto"/>
        <w:rPr>
          <w:rFonts w:ascii="Times New Roman" w:hAnsi="Times New Roman"/>
          <w:noProof/>
          <w:sz w:val="24"/>
          <w:szCs w:val="24"/>
        </w:rPr>
      </w:pPr>
    </w:p>
    <w:p w14:paraId="7842D40B" w14:textId="77777777" w:rsidR="006926C2" w:rsidRPr="007C5A6E" w:rsidRDefault="006926C2" w:rsidP="00FE3624">
      <w:pPr>
        <w:spacing w:after="0" w:line="240" w:lineRule="auto"/>
        <w:jc w:val="both"/>
        <w:rPr>
          <w:rFonts w:ascii="Times New Roman" w:eastAsia="Calibri" w:hAnsi="Times New Roman"/>
          <w:noProof/>
          <w:kern w:val="2"/>
          <w:sz w:val="24"/>
          <w:szCs w:val="24"/>
          <w14:ligatures w14:val="standardContextual"/>
        </w:rPr>
      </w:pPr>
      <w:r w:rsidRPr="007C5A6E">
        <w:rPr>
          <w:rFonts w:ascii="Times New Roman" w:eastAsia="Calibri" w:hAnsi="Times New Roman"/>
          <w:noProof/>
          <w:kern w:val="2"/>
          <w:sz w:val="24"/>
          <w:szCs w:val="24"/>
          <w14:ligatures w14:val="standardContextual"/>
        </w:rPr>
        <w:t>La programmation de fermeture doit comporter un plan de fermeture qui étudie les moyens les plus appropriés pour planifier et gérer les changements environnementaux et les effets socio-économiques induits par la cessation de l’exploitation. Les recommandations sont relatives aux sols, à la végétation et à la suveillance post-fermeture.</w:t>
      </w:r>
    </w:p>
    <w:p w14:paraId="5BACE965" w14:textId="77777777" w:rsidR="004C055F" w:rsidRPr="007C5A6E" w:rsidRDefault="004C055F" w:rsidP="00FE3624">
      <w:pPr>
        <w:spacing w:after="0" w:line="240" w:lineRule="auto"/>
        <w:rPr>
          <w:rFonts w:ascii="Times New Roman" w:hAnsi="Times New Roman"/>
          <w:b/>
          <w:bCs/>
          <w:sz w:val="24"/>
          <w:szCs w:val="24"/>
        </w:rPr>
      </w:pPr>
      <w:bookmarkStart w:id="1655" w:name="_Toc181982303"/>
    </w:p>
    <w:p w14:paraId="36CDA03C" w14:textId="29DC2BD0" w:rsidR="006926C2" w:rsidRPr="007C5A6E" w:rsidRDefault="00FE3624" w:rsidP="00FE3624">
      <w:pPr>
        <w:spacing w:after="0" w:line="240" w:lineRule="auto"/>
        <w:rPr>
          <w:rFonts w:ascii="Times New Roman" w:hAnsi="Times New Roman"/>
          <w:b/>
          <w:bCs/>
          <w:sz w:val="24"/>
          <w:szCs w:val="24"/>
        </w:rPr>
      </w:pPr>
      <w:r>
        <w:rPr>
          <w:rFonts w:ascii="Times New Roman" w:hAnsi="Times New Roman"/>
          <w:b/>
          <w:bCs/>
          <w:sz w:val="24"/>
          <w:szCs w:val="24"/>
        </w:rPr>
        <w:t>E.</w:t>
      </w:r>
      <w:r w:rsidR="006926C2" w:rsidRPr="007C5A6E">
        <w:rPr>
          <w:rFonts w:ascii="Times New Roman" w:hAnsi="Times New Roman"/>
          <w:b/>
          <w:bCs/>
          <w:sz w:val="24"/>
          <w:szCs w:val="24"/>
        </w:rPr>
        <w:t>1 Sols</w:t>
      </w:r>
      <w:bookmarkEnd w:id="1655"/>
    </w:p>
    <w:p w14:paraId="0988E98E" w14:textId="77777777" w:rsidR="006926C2" w:rsidRPr="007C5A6E" w:rsidRDefault="006926C2" w:rsidP="00FE3624">
      <w:pPr>
        <w:numPr>
          <w:ilvl w:val="0"/>
          <w:numId w:val="79"/>
        </w:numPr>
        <w:spacing w:after="0" w:line="240" w:lineRule="auto"/>
        <w:contextualSpacing/>
        <w:jc w:val="both"/>
        <w:rPr>
          <w:rFonts w:ascii="Times New Roman" w:eastAsia="Calibri" w:hAnsi="Times New Roman"/>
          <w:noProof/>
          <w:sz w:val="24"/>
          <w:szCs w:val="24"/>
        </w:rPr>
      </w:pPr>
      <w:r w:rsidRPr="007C5A6E">
        <w:rPr>
          <w:rFonts w:ascii="Times New Roman" w:eastAsia="Calibri" w:hAnsi="Times New Roman"/>
          <w:noProof/>
          <w:sz w:val="24"/>
          <w:szCs w:val="24"/>
        </w:rPr>
        <w:t xml:space="preserve">stabiliser les haldes à stériles par un couvert végétal dense pour empécher les risques d’érosion hydrique et éolienne et d’acidification des sols ; </w:t>
      </w:r>
    </w:p>
    <w:p w14:paraId="64749233" w14:textId="77777777" w:rsidR="006926C2" w:rsidRPr="007C5A6E" w:rsidRDefault="006926C2" w:rsidP="00FE3624">
      <w:pPr>
        <w:numPr>
          <w:ilvl w:val="0"/>
          <w:numId w:val="79"/>
        </w:numPr>
        <w:spacing w:after="0" w:line="240" w:lineRule="auto"/>
        <w:contextualSpacing/>
        <w:jc w:val="both"/>
        <w:rPr>
          <w:rFonts w:ascii="Times New Roman" w:eastAsia="Calibri" w:hAnsi="Times New Roman"/>
          <w:noProof/>
          <w:sz w:val="24"/>
          <w:szCs w:val="24"/>
        </w:rPr>
      </w:pPr>
      <w:r w:rsidRPr="007C5A6E">
        <w:rPr>
          <w:rFonts w:ascii="Times New Roman" w:eastAsia="Calibri" w:hAnsi="Times New Roman"/>
          <w:noProof/>
          <w:sz w:val="24"/>
          <w:szCs w:val="24"/>
        </w:rPr>
        <w:t>traiter les sols contaminés de manière à éviter qu’ils n’entravent à l’avenir, les utilisations prévues ; </w:t>
      </w:r>
    </w:p>
    <w:p w14:paraId="67198F68" w14:textId="77777777" w:rsidR="006926C2" w:rsidRPr="007C5A6E" w:rsidRDefault="006926C2" w:rsidP="00FE3624">
      <w:pPr>
        <w:numPr>
          <w:ilvl w:val="0"/>
          <w:numId w:val="79"/>
        </w:numPr>
        <w:spacing w:after="0" w:line="240" w:lineRule="auto"/>
        <w:contextualSpacing/>
        <w:jc w:val="both"/>
        <w:rPr>
          <w:rFonts w:ascii="Times New Roman" w:eastAsia="Calibri" w:hAnsi="Times New Roman"/>
          <w:noProof/>
          <w:sz w:val="24"/>
          <w:szCs w:val="24"/>
        </w:rPr>
      </w:pPr>
      <w:r w:rsidRPr="007C5A6E">
        <w:rPr>
          <w:rFonts w:ascii="Times New Roman" w:eastAsia="Calibri" w:hAnsi="Times New Roman"/>
          <w:noProof/>
          <w:sz w:val="24"/>
          <w:szCs w:val="24"/>
        </w:rPr>
        <w:t xml:space="preserve">effectuer régulièrement des contrôles de l’étanchéité de la géomembrane ; </w:t>
      </w:r>
    </w:p>
    <w:p w14:paraId="5A9F83AA" w14:textId="77777777" w:rsidR="006926C2" w:rsidRPr="007C5A6E" w:rsidRDefault="006926C2" w:rsidP="00FE3624">
      <w:pPr>
        <w:numPr>
          <w:ilvl w:val="0"/>
          <w:numId w:val="79"/>
        </w:numPr>
        <w:spacing w:after="0" w:line="240" w:lineRule="auto"/>
        <w:contextualSpacing/>
        <w:jc w:val="both"/>
        <w:rPr>
          <w:rFonts w:ascii="Times New Roman" w:eastAsia="Calibri" w:hAnsi="Times New Roman"/>
          <w:noProof/>
          <w:sz w:val="24"/>
          <w:szCs w:val="24"/>
        </w:rPr>
      </w:pPr>
      <w:r w:rsidRPr="007C5A6E">
        <w:rPr>
          <w:rFonts w:ascii="Times New Roman" w:eastAsia="Calibri" w:hAnsi="Times New Roman"/>
          <w:noProof/>
          <w:sz w:val="24"/>
          <w:szCs w:val="24"/>
        </w:rPr>
        <w:t>effectuer régulièrement des analyses d’échantillons de sols prélevés autour du parc à résidus pour contrer toute contamination éventuelle des sols ;</w:t>
      </w:r>
    </w:p>
    <w:p w14:paraId="348AE667" w14:textId="77777777" w:rsidR="006926C2" w:rsidRPr="007C5A6E" w:rsidRDefault="006926C2" w:rsidP="00FE3624">
      <w:pPr>
        <w:numPr>
          <w:ilvl w:val="0"/>
          <w:numId w:val="79"/>
        </w:numPr>
        <w:spacing w:after="0" w:line="240" w:lineRule="auto"/>
        <w:contextualSpacing/>
        <w:jc w:val="both"/>
        <w:rPr>
          <w:rFonts w:ascii="Times New Roman" w:eastAsia="Calibri" w:hAnsi="Times New Roman"/>
          <w:noProof/>
          <w:sz w:val="24"/>
          <w:szCs w:val="24"/>
        </w:rPr>
      </w:pPr>
      <w:r w:rsidRPr="007C5A6E">
        <w:rPr>
          <w:rFonts w:ascii="Times New Roman" w:eastAsia="Calibri" w:hAnsi="Times New Roman"/>
          <w:noProof/>
          <w:sz w:val="24"/>
          <w:szCs w:val="24"/>
        </w:rPr>
        <w:t>assurer la stabilité physique des terres résiduelles pour protéger l’environnement, la population et la faune.</w:t>
      </w:r>
    </w:p>
    <w:p w14:paraId="4FB5C87F" w14:textId="77777777" w:rsidR="006926C2" w:rsidRPr="007C5A6E" w:rsidRDefault="006926C2" w:rsidP="00FE3624">
      <w:pPr>
        <w:spacing w:after="0" w:line="240" w:lineRule="auto"/>
        <w:ind w:left="720"/>
        <w:contextualSpacing/>
        <w:jc w:val="both"/>
        <w:rPr>
          <w:rFonts w:ascii="Times New Roman" w:eastAsia="Calibri" w:hAnsi="Times New Roman"/>
          <w:noProof/>
          <w:sz w:val="24"/>
          <w:szCs w:val="24"/>
        </w:rPr>
      </w:pPr>
    </w:p>
    <w:p w14:paraId="0BD98A21" w14:textId="172DBA6B" w:rsidR="006926C2" w:rsidRPr="007C5A6E" w:rsidRDefault="00FE3624" w:rsidP="00FE3624">
      <w:pPr>
        <w:spacing w:after="0" w:line="240" w:lineRule="auto"/>
        <w:rPr>
          <w:rFonts w:ascii="Times New Roman" w:hAnsi="Times New Roman"/>
          <w:b/>
          <w:bCs/>
          <w:sz w:val="24"/>
          <w:szCs w:val="24"/>
        </w:rPr>
      </w:pPr>
      <w:bookmarkStart w:id="1656" w:name="_Toc181982304"/>
      <w:r>
        <w:rPr>
          <w:rFonts w:ascii="Times New Roman" w:hAnsi="Times New Roman"/>
          <w:b/>
          <w:bCs/>
          <w:sz w:val="24"/>
          <w:szCs w:val="24"/>
        </w:rPr>
        <w:t>E.</w:t>
      </w:r>
      <w:r w:rsidR="006926C2" w:rsidRPr="007C5A6E">
        <w:rPr>
          <w:rFonts w:ascii="Times New Roman" w:hAnsi="Times New Roman"/>
          <w:b/>
          <w:bCs/>
          <w:sz w:val="24"/>
          <w:szCs w:val="24"/>
        </w:rPr>
        <w:t>2 Végétation</w:t>
      </w:r>
      <w:bookmarkEnd w:id="1656"/>
    </w:p>
    <w:p w14:paraId="3394CD3C" w14:textId="77777777" w:rsidR="006926C2" w:rsidRPr="007C5A6E" w:rsidRDefault="006926C2" w:rsidP="00FE3624">
      <w:pPr>
        <w:numPr>
          <w:ilvl w:val="0"/>
          <w:numId w:val="80"/>
        </w:numPr>
        <w:spacing w:after="0" w:line="240" w:lineRule="auto"/>
        <w:contextualSpacing/>
        <w:jc w:val="both"/>
        <w:rPr>
          <w:rFonts w:ascii="Times New Roman" w:eastAsia="Calibri" w:hAnsi="Times New Roman"/>
          <w:noProof/>
          <w:sz w:val="24"/>
          <w:szCs w:val="24"/>
        </w:rPr>
      </w:pPr>
      <w:r w:rsidRPr="007C5A6E">
        <w:rPr>
          <w:rFonts w:ascii="Times New Roman" w:eastAsia="Calibri" w:hAnsi="Times New Roman"/>
          <w:noProof/>
          <w:sz w:val="24"/>
          <w:szCs w:val="24"/>
        </w:rPr>
        <w:t>envisager la remise en végétation de toutes les surfaces touchées par l’activité minière pour éviter l’érosion des sols ;</w:t>
      </w:r>
    </w:p>
    <w:p w14:paraId="6E9247F1" w14:textId="77777777" w:rsidR="006926C2" w:rsidRPr="007C5A6E" w:rsidRDefault="006926C2" w:rsidP="006926C2">
      <w:pPr>
        <w:numPr>
          <w:ilvl w:val="0"/>
          <w:numId w:val="80"/>
        </w:numPr>
        <w:spacing w:after="0" w:line="240" w:lineRule="auto"/>
        <w:contextualSpacing/>
        <w:jc w:val="both"/>
        <w:rPr>
          <w:rFonts w:ascii="Times New Roman" w:eastAsia="Calibri" w:hAnsi="Times New Roman"/>
          <w:noProof/>
          <w:sz w:val="24"/>
          <w:szCs w:val="24"/>
        </w:rPr>
      </w:pPr>
      <w:r w:rsidRPr="007C5A6E">
        <w:rPr>
          <w:rFonts w:ascii="Times New Roman" w:eastAsia="Calibri" w:hAnsi="Times New Roman"/>
          <w:noProof/>
          <w:sz w:val="24"/>
          <w:szCs w:val="24"/>
        </w:rPr>
        <w:t>rétablir la couverture végétale existant avant l’exploitation de la mine en favorisant la croissance des plantes locales et vivaces pour protéger le sol ;</w:t>
      </w:r>
    </w:p>
    <w:p w14:paraId="7CDEDDE3" w14:textId="77777777" w:rsidR="006926C2" w:rsidRPr="007C5A6E" w:rsidRDefault="006926C2" w:rsidP="006926C2">
      <w:pPr>
        <w:numPr>
          <w:ilvl w:val="0"/>
          <w:numId w:val="80"/>
        </w:numPr>
        <w:spacing w:after="0" w:line="240" w:lineRule="auto"/>
        <w:contextualSpacing/>
        <w:jc w:val="both"/>
        <w:rPr>
          <w:rFonts w:ascii="Times New Roman" w:eastAsia="Calibri" w:hAnsi="Times New Roman"/>
          <w:noProof/>
          <w:sz w:val="24"/>
          <w:szCs w:val="24"/>
        </w:rPr>
      </w:pPr>
      <w:r w:rsidRPr="007C5A6E">
        <w:rPr>
          <w:rFonts w:ascii="Times New Roman" w:eastAsia="Calibri" w:hAnsi="Times New Roman"/>
          <w:noProof/>
          <w:sz w:val="24"/>
          <w:szCs w:val="24"/>
        </w:rPr>
        <w:t>établir des habitats fauniques ;</w:t>
      </w:r>
    </w:p>
    <w:p w14:paraId="0CF338B1" w14:textId="77777777" w:rsidR="006926C2" w:rsidRPr="007C5A6E" w:rsidRDefault="006926C2" w:rsidP="006926C2">
      <w:pPr>
        <w:numPr>
          <w:ilvl w:val="0"/>
          <w:numId w:val="80"/>
        </w:numPr>
        <w:spacing w:after="0" w:line="240" w:lineRule="auto"/>
        <w:contextualSpacing/>
        <w:jc w:val="both"/>
        <w:rPr>
          <w:rFonts w:ascii="Times New Roman" w:eastAsia="Calibri" w:hAnsi="Times New Roman"/>
          <w:noProof/>
          <w:sz w:val="24"/>
          <w:szCs w:val="24"/>
        </w:rPr>
      </w:pPr>
      <w:r w:rsidRPr="007C5A6E">
        <w:rPr>
          <w:rFonts w:ascii="Times New Roman" w:eastAsia="Calibri" w:hAnsi="Times New Roman"/>
          <w:noProof/>
          <w:sz w:val="24"/>
          <w:szCs w:val="24"/>
        </w:rPr>
        <w:t>prévenir tout rejet important de substances nocives à l’environnement.</w:t>
      </w:r>
    </w:p>
    <w:p w14:paraId="69D28F14" w14:textId="77777777" w:rsidR="006926C2" w:rsidRPr="007C5A6E" w:rsidRDefault="006926C2" w:rsidP="006926C2">
      <w:pPr>
        <w:spacing w:after="0" w:line="240" w:lineRule="auto"/>
        <w:ind w:left="720"/>
        <w:contextualSpacing/>
        <w:jc w:val="both"/>
        <w:rPr>
          <w:rFonts w:ascii="Times New Roman" w:eastAsia="Calibri" w:hAnsi="Times New Roman"/>
          <w:noProof/>
          <w:sz w:val="24"/>
          <w:szCs w:val="24"/>
        </w:rPr>
      </w:pPr>
    </w:p>
    <w:p w14:paraId="4DC7D59F" w14:textId="2483207B" w:rsidR="006926C2" w:rsidRPr="007C5A6E" w:rsidRDefault="00FE3624" w:rsidP="004C055F">
      <w:pPr>
        <w:spacing w:after="0" w:line="240" w:lineRule="auto"/>
        <w:rPr>
          <w:rFonts w:ascii="Times New Roman" w:hAnsi="Times New Roman"/>
          <w:b/>
          <w:bCs/>
          <w:sz w:val="24"/>
          <w:szCs w:val="24"/>
        </w:rPr>
      </w:pPr>
      <w:bookmarkStart w:id="1657" w:name="_Toc181982305"/>
      <w:r>
        <w:rPr>
          <w:rFonts w:ascii="Times New Roman" w:hAnsi="Times New Roman"/>
          <w:b/>
          <w:bCs/>
          <w:sz w:val="24"/>
          <w:szCs w:val="24"/>
        </w:rPr>
        <w:t>E.</w:t>
      </w:r>
      <w:r w:rsidR="006926C2" w:rsidRPr="007C5A6E">
        <w:rPr>
          <w:rFonts w:ascii="Times New Roman" w:hAnsi="Times New Roman"/>
          <w:b/>
          <w:bCs/>
          <w:sz w:val="24"/>
          <w:szCs w:val="24"/>
        </w:rPr>
        <w:t>3 Surveillance post-fermeture</w:t>
      </w:r>
      <w:bookmarkEnd w:id="1657"/>
    </w:p>
    <w:p w14:paraId="065B090F" w14:textId="77777777" w:rsidR="006926C2" w:rsidRPr="007C5A6E" w:rsidRDefault="006926C2" w:rsidP="006926C2">
      <w:pPr>
        <w:numPr>
          <w:ilvl w:val="0"/>
          <w:numId w:val="81"/>
        </w:numPr>
        <w:spacing w:after="0" w:line="240" w:lineRule="auto"/>
        <w:contextualSpacing/>
        <w:jc w:val="both"/>
        <w:rPr>
          <w:rFonts w:ascii="Times New Roman" w:eastAsia="Calibri" w:hAnsi="Times New Roman"/>
          <w:noProof/>
          <w:sz w:val="24"/>
          <w:szCs w:val="24"/>
        </w:rPr>
      </w:pPr>
      <w:r w:rsidRPr="007C5A6E">
        <w:rPr>
          <w:rFonts w:ascii="Times New Roman" w:eastAsia="Calibri" w:hAnsi="Times New Roman"/>
          <w:noProof/>
          <w:sz w:val="24"/>
          <w:szCs w:val="24"/>
        </w:rPr>
        <w:t>poursuivre l’enregistrement des données de surveillance à partir de points d’observation  constants de la période précédant l’exploitation jusqu’après la fermeture ;</w:t>
      </w:r>
    </w:p>
    <w:p w14:paraId="6D77452F" w14:textId="77777777" w:rsidR="006926C2" w:rsidRPr="007C5A6E" w:rsidRDefault="006926C2" w:rsidP="006926C2">
      <w:pPr>
        <w:numPr>
          <w:ilvl w:val="0"/>
          <w:numId w:val="81"/>
        </w:numPr>
        <w:spacing w:after="0" w:line="240" w:lineRule="auto"/>
        <w:contextualSpacing/>
        <w:jc w:val="both"/>
        <w:rPr>
          <w:rFonts w:ascii="Times New Roman" w:eastAsia="Calibri" w:hAnsi="Times New Roman"/>
          <w:noProof/>
          <w:sz w:val="24"/>
          <w:szCs w:val="24"/>
        </w:rPr>
      </w:pPr>
      <w:r w:rsidRPr="007C5A6E">
        <w:rPr>
          <w:rFonts w:ascii="Times New Roman" w:eastAsia="Calibri" w:hAnsi="Times New Roman"/>
          <w:noProof/>
          <w:sz w:val="24"/>
          <w:szCs w:val="24"/>
        </w:rPr>
        <w:t>effectuer régulièrement des inspections pour déceler toute déformation progressive susceptible de déstabiliser le milieu ;</w:t>
      </w:r>
    </w:p>
    <w:p w14:paraId="13A619E2" w14:textId="77777777" w:rsidR="006926C2" w:rsidRPr="007C5A6E" w:rsidRDefault="006926C2" w:rsidP="006926C2">
      <w:pPr>
        <w:numPr>
          <w:ilvl w:val="0"/>
          <w:numId w:val="81"/>
        </w:numPr>
        <w:spacing w:after="0" w:line="240" w:lineRule="auto"/>
        <w:contextualSpacing/>
        <w:jc w:val="both"/>
        <w:rPr>
          <w:rFonts w:ascii="Times New Roman" w:eastAsia="Calibri" w:hAnsi="Times New Roman"/>
          <w:noProof/>
          <w:sz w:val="24"/>
          <w:szCs w:val="24"/>
        </w:rPr>
      </w:pPr>
      <w:r w:rsidRPr="007C5A6E">
        <w:rPr>
          <w:rFonts w:ascii="Times New Roman" w:eastAsia="Calibri" w:hAnsi="Times New Roman"/>
          <w:noProof/>
          <w:sz w:val="24"/>
          <w:szCs w:val="24"/>
        </w:rPr>
        <w:t>définir des seuils déclanchant les activités de surveillance et d’entretien, compte tenu du site, de la conception des ouvrages et de son cadre naturel.</w:t>
      </w:r>
    </w:p>
    <w:p w14:paraId="5472DB9D" w14:textId="77777777" w:rsidR="006926C2" w:rsidRPr="007C5A6E" w:rsidRDefault="006926C2" w:rsidP="006926C2">
      <w:pPr>
        <w:spacing w:after="0" w:line="240" w:lineRule="auto"/>
        <w:jc w:val="both"/>
        <w:rPr>
          <w:rFonts w:ascii="Times New Roman" w:eastAsia="Calibri" w:hAnsi="Times New Roman"/>
          <w:noProof/>
          <w:kern w:val="2"/>
          <w:sz w:val="24"/>
          <w:szCs w:val="24"/>
          <w14:ligatures w14:val="standardContextual"/>
        </w:rPr>
      </w:pPr>
    </w:p>
    <w:p w14:paraId="663BA5AD" w14:textId="749A09B2" w:rsidR="006926C2" w:rsidRPr="007C5A6E" w:rsidRDefault="006926C2" w:rsidP="006926C2">
      <w:pPr>
        <w:spacing w:after="0" w:line="240" w:lineRule="auto"/>
        <w:jc w:val="both"/>
        <w:rPr>
          <w:rFonts w:ascii="Times New Roman" w:eastAsia="Calibri" w:hAnsi="Times New Roman"/>
          <w:noProof/>
          <w:kern w:val="2"/>
          <w:sz w:val="24"/>
          <w:szCs w:val="24"/>
          <w14:ligatures w14:val="standardContextual"/>
        </w:rPr>
      </w:pPr>
      <w:r w:rsidRPr="007C5A6E">
        <w:rPr>
          <w:rFonts w:ascii="Times New Roman" w:eastAsia="Calibri" w:hAnsi="Times New Roman"/>
          <w:noProof/>
          <w:kern w:val="2"/>
          <w:sz w:val="24"/>
          <w:szCs w:val="24"/>
          <w14:ligatures w14:val="standardContextual"/>
        </w:rPr>
        <w:t>La réhabilitation des sols des sites miniers industiels après exploitation est à envisager sur le long terme en raison des profondes perturbations qu’ont connues les sols. Elle doit permettre à la fin d’avoir des sols sains, prêts à supporter les productions agricoles, pastorales et sylvicoles.</w:t>
      </w:r>
      <w:r w:rsidRPr="007C5A6E">
        <w:rPr>
          <w:rFonts w:ascii="Times New Roman" w:eastAsia="Calibri" w:hAnsi="Times New Roman"/>
          <w:kern w:val="2"/>
          <w:sz w:val="24"/>
          <w:szCs w:val="24"/>
          <w:lang w:eastAsia="en-US"/>
          <w14:ligatures w14:val="standardContextual"/>
        </w:rPr>
        <w:t xml:space="preserve"> Elle peut aussi consister à une stabilisation et à une mise en sûreté de la zone, ou bien en un simple reverdissement, mais elle peut aller jusqu’à la restauration écologique. C’est le niveau d’intervention le plus abouti, l’intégralité de l’écosystème original devant être restaurée. Dans ce cas, le rôle de la végétalisation sera d’accélérer la succession naturelle des espèces.</w:t>
      </w:r>
    </w:p>
    <w:p w14:paraId="483E4421" w14:textId="77777777" w:rsidR="006926C2" w:rsidRPr="007C5A6E" w:rsidRDefault="006926C2" w:rsidP="006926C2">
      <w:pPr>
        <w:spacing w:after="0" w:line="240" w:lineRule="auto"/>
        <w:jc w:val="both"/>
        <w:rPr>
          <w:rFonts w:ascii="Times New Roman" w:eastAsia="Calibri" w:hAnsi="Times New Roman"/>
          <w:noProof/>
          <w:kern w:val="2"/>
          <w:sz w:val="24"/>
          <w:szCs w:val="24"/>
          <w14:ligatures w14:val="standardContextual"/>
        </w:rPr>
      </w:pPr>
    </w:p>
    <w:p w14:paraId="01D7D7FB" w14:textId="77777777" w:rsidR="00315704" w:rsidRPr="007C5A6E" w:rsidRDefault="006926C2" w:rsidP="006926C2">
      <w:pPr>
        <w:spacing w:after="0" w:line="240" w:lineRule="auto"/>
        <w:jc w:val="both"/>
        <w:rPr>
          <w:rFonts w:ascii="Times New Roman" w:eastAsia="Calibri" w:hAnsi="Times New Roman"/>
          <w:b/>
          <w:bCs/>
          <w:noProof/>
          <w:kern w:val="2"/>
          <w:sz w:val="24"/>
          <w:szCs w:val="24"/>
          <w14:ligatures w14:val="standardContextual"/>
        </w:rPr>
      </w:pPr>
      <w:r w:rsidRPr="007C5A6E">
        <w:rPr>
          <w:rFonts w:ascii="Times New Roman" w:eastAsia="Calibri" w:hAnsi="Times New Roman"/>
          <w:noProof/>
          <w:kern w:val="2"/>
          <w:sz w:val="24"/>
          <w:szCs w:val="24"/>
          <w14:ligatures w14:val="standardContextual"/>
        </w:rPr>
        <w:t>La réhabilitation des sols des mines artisanales est à projeter pour le long terme, compte tenu de l’expansion de l’orpaillage sur l’ensemble du pays et aussi de la complexcité des sites due aux fortes perturbations des sols et de manière générale de l’environnement</w:t>
      </w:r>
      <w:r w:rsidRPr="007C5A6E">
        <w:rPr>
          <w:rFonts w:ascii="Times New Roman" w:eastAsia="Calibri" w:hAnsi="Times New Roman"/>
          <w:b/>
          <w:bCs/>
          <w:noProof/>
          <w:kern w:val="2"/>
          <w:sz w:val="24"/>
          <w:szCs w:val="24"/>
          <w14:ligatures w14:val="standardContextual"/>
        </w:rPr>
        <w:t xml:space="preserve">. </w:t>
      </w:r>
    </w:p>
    <w:p w14:paraId="03E35A10" w14:textId="0C039E2D" w:rsidR="006926C2" w:rsidRPr="007C5A6E" w:rsidRDefault="006926C2" w:rsidP="006926C2">
      <w:pPr>
        <w:spacing w:after="0" w:line="240" w:lineRule="auto"/>
        <w:jc w:val="both"/>
        <w:rPr>
          <w:rFonts w:ascii="Times New Roman" w:eastAsia="Calibri" w:hAnsi="Times New Roman"/>
          <w:b/>
          <w:bCs/>
          <w:color w:val="222222"/>
          <w:kern w:val="2"/>
          <w:sz w:val="24"/>
          <w:szCs w:val="24"/>
          <w:shd w:val="clear" w:color="auto" w:fill="FFFFFF"/>
          <w:lang w:eastAsia="en-US"/>
          <w14:ligatures w14:val="standardContextual"/>
        </w:rPr>
      </w:pPr>
      <w:r w:rsidRPr="007C5A6E">
        <w:rPr>
          <w:rFonts w:ascii="Times New Roman" w:eastAsia="Calibri" w:hAnsi="Times New Roman"/>
          <w:noProof/>
          <w:kern w:val="2"/>
          <w:sz w:val="24"/>
          <w:szCs w:val="24"/>
          <w14:ligatures w14:val="standardContextual"/>
        </w:rPr>
        <w:t>C‘est pourquoi l</w:t>
      </w:r>
      <w:r w:rsidRPr="007C5A6E">
        <w:rPr>
          <w:rFonts w:ascii="Times New Roman" w:eastAsia="Calibri" w:hAnsi="Times New Roman"/>
          <w:b/>
          <w:bCs/>
          <w:color w:val="222222"/>
          <w:kern w:val="2"/>
          <w:sz w:val="24"/>
          <w:szCs w:val="24"/>
          <w:shd w:val="clear" w:color="auto" w:fill="FFFFFF"/>
          <w:lang w:eastAsia="en-US"/>
          <w14:ligatures w14:val="standardContextual"/>
        </w:rPr>
        <w:t>e Ministère de l’Energie, des Mines et des Carrières, en collaboration avec le Ministère de l’Environnement, de l’Eau et de l’Assainissement, a organisé du 09 au 11 juillet 2024, à Ouagadougou, un atelier national sur la réhabilitation et la fermeture des sites miniers au Burkina Faso.</w:t>
      </w:r>
    </w:p>
    <w:p w14:paraId="76CA2B20" w14:textId="77777777" w:rsidR="00CF0199" w:rsidRPr="007C5A6E" w:rsidRDefault="00CF0199" w:rsidP="006926C2">
      <w:pPr>
        <w:spacing w:after="0" w:line="240" w:lineRule="auto"/>
        <w:jc w:val="both"/>
        <w:rPr>
          <w:rFonts w:ascii="Times New Roman" w:eastAsia="Calibri" w:hAnsi="Times New Roman"/>
          <w:b/>
          <w:bCs/>
          <w:noProof/>
          <w:kern w:val="2"/>
          <w:sz w:val="24"/>
          <w:szCs w:val="24"/>
          <w14:ligatures w14:val="standardContextual"/>
        </w:rPr>
      </w:pPr>
    </w:p>
    <w:p w14:paraId="305A931A" w14:textId="77777777" w:rsidR="00800F57" w:rsidRPr="007C5A6E" w:rsidRDefault="00800F57" w:rsidP="00580307">
      <w:pPr>
        <w:keepNext/>
        <w:keepLines/>
        <w:numPr>
          <w:ilvl w:val="2"/>
          <w:numId w:val="4"/>
        </w:numPr>
        <w:tabs>
          <w:tab w:val="num" w:pos="360"/>
        </w:tabs>
        <w:spacing w:after="0" w:line="240" w:lineRule="auto"/>
        <w:ind w:left="0" w:firstLine="0"/>
        <w:outlineLvl w:val="2"/>
        <w:rPr>
          <w:rFonts w:ascii="Times New Roman" w:eastAsiaTheme="minorHAnsi" w:hAnsi="Times New Roman" w:cstheme="majorBidi"/>
          <w:b/>
          <w:i/>
          <w:iCs/>
          <w:sz w:val="26"/>
          <w:szCs w:val="24"/>
          <w:lang w:val="fr-BF" w:eastAsia="en-US"/>
        </w:rPr>
      </w:pPr>
      <w:bookmarkStart w:id="1658" w:name="_Toc183340374"/>
      <w:r w:rsidRPr="007C5A6E">
        <w:rPr>
          <w:rFonts w:ascii="Times New Roman" w:eastAsiaTheme="minorHAnsi" w:hAnsi="Times New Roman" w:cstheme="majorBidi"/>
          <w:b/>
          <w:i/>
          <w:iCs/>
          <w:sz w:val="26"/>
          <w:szCs w:val="24"/>
          <w:lang w:val="fr-BF" w:eastAsia="en-US"/>
        </w:rPr>
        <w:t>En matière de conservation de la diversité biologique</w:t>
      </w:r>
      <w:bookmarkEnd w:id="1658"/>
      <w:r w:rsidRPr="007C5A6E">
        <w:rPr>
          <w:rFonts w:ascii="Times New Roman" w:eastAsiaTheme="minorHAnsi" w:hAnsi="Times New Roman" w:cstheme="majorBidi"/>
          <w:b/>
          <w:i/>
          <w:iCs/>
          <w:sz w:val="26"/>
          <w:szCs w:val="24"/>
          <w:lang w:val="fr-BF" w:eastAsia="en-US"/>
        </w:rPr>
        <w:t xml:space="preserve"> </w:t>
      </w:r>
    </w:p>
    <w:p w14:paraId="2668BC02" w14:textId="77777777" w:rsidR="006926C2" w:rsidRPr="007C5A6E" w:rsidRDefault="006926C2" w:rsidP="00580307">
      <w:pPr>
        <w:spacing w:after="0" w:line="240" w:lineRule="auto"/>
        <w:jc w:val="both"/>
        <w:rPr>
          <w:rFonts w:ascii="Times New Roman" w:hAnsi="Times New Roman"/>
          <w:sz w:val="24"/>
          <w:szCs w:val="24"/>
        </w:rPr>
      </w:pPr>
    </w:p>
    <w:p w14:paraId="56B93EBD" w14:textId="76AD7F58" w:rsidR="006926C2" w:rsidRPr="007C5A6E" w:rsidRDefault="006926C2" w:rsidP="00580307">
      <w:pPr>
        <w:spacing w:after="0" w:line="240" w:lineRule="auto"/>
        <w:jc w:val="both"/>
        <w:rPr>
          <w:rFonts w:ascii="Times New Roman" w:hAnsi="Times New Roman"/>
          <w:sz w:val="24"/>
          <w:szCs w:val="24"/>
        </w:rPr>
      </w:pPr>
      <w:r w:rsidRPr="007C5A6E">
        <w:rPr>
          <w:rFonts w:ascii="Times New Roman" w:hAnsi="Times New Roman"/>
          <w:sz w:val="24"/>
          <w:szCs w:val="24"/>
        </w:rPr>
        <w:t>Afin d’accroître l’efficacité des actions pour l’exécution des plans et programmes, le Burkina Faso, à travers Ministère en charge de l’environnement, d</w:t>
      </w:r>
      <w:r w:rsidR="00A157D6" w:rsidRPr="007C5A6E">
        <w:rPr>
          <w:rFonts w:ascii="Times New Roman" w:hAnsi="Times New Roman"/>
          <w:sz w:val="24"/>
          <w:szCs w:val="24"/>
        </w:rPr>
        <w:t xml:space="preserve">evrait, </w:t>
      </w:r>
      <w:r w:rsidRPr="007C5A6E">
        <w:rPr>
          <w:rFonts w:ascii="Times New Roman" w:hAnsi="Times New Roman"/>
          <w:sz w:val="24"/>
          <w:szCs w:val="24"/>
        </w:rPr>
        <w:t xml:space="preserve">dans le court </w:t>
      </w:r>
      <w:r w:rsidR="00A157D6" w:rsidRPr="007C5A6E">
        <w:rPr>
          <w:rFonts w:ascii="Times New Roman" w:hAnsi="Times New Roman"/>
          <w:sz w:val="24"/>
          <w:szCs w:val="24"/>
        </w:rPr>
        <w:t>et</w:t>
      </w:r>
      <w:r w:rsidRPr="007C5A6E">
        <w:rPr>
          <w:rFonts w:ascii="Times New Roman" w:hAnsi="Times New Roman"/>
          <w:sz w:val="24"/>
          <w:szCs w:val="24"/>
        </w:rPr>
        <w:t xml:space="preserve"> moyen terme</w:t>
      </w:r>
      <w:r w:rsidR="00580307" w:rsidRPr="007C5A6E">
        <w:rPr>
          <w:rFonts w:ascii="Times New Roman" w:hAnsi="Times New Roman"/>
          <w:sz w:val="24"/>
          <w:szCs w:val="24"/>
        </w:rPr>
        <w:t xml:space="preserve"> </w:t>
      </w:r>
      <w:r w:rsidRPr="007C5A6E">
        <w:rPr>
          <w:rFonts w:ascii="Times New Roman" w:hAnsi="Times New Roman"/>
          <w:sz w:val="24"/>
          <w:szCs w:val="24"/>
        </w:rPr>
        <w:t>:</w:t>
      </w:r>
    </w:p>
    <w:p w14:paraId="1BA8BDD1" w14:textId="77777777" w:rsidR="006926C2" w:rsidRPr="007C5A6E" w:rsidRDefault="006926C2" w:rsidP="00580307">
      <w:pPr>
        <w:spacing w:after="0" w:line="240" w:lineRule="auto"/>
        <w:jc w:val="both"/>
        <w:rPr>
          <w:rFonts w:ascii="Times New Roman" w:hAnsi="Times New Roman"/>
          <w:sz w:val="24"/>
          <w:szCs w:val="24"/>
        </w:rPr>
      </w:pPr>
    </w:p>
    <w:p w14:paraId="3386B6A5" w14:textId="5C075511" w:rsidR="006926C2" w:rsidRPr="007C5A6E" w:rsidRDefault="006926C2" w:rsidP="00580307">
      <w:pPr>
        <w:pStyle w:val="Paragraphedeliste"/>
        <w:numPr>
          <w:ilvl w:val="0"/>
          <w:numId w:val="82"/>
        </w:numPr>
        <w:spacing w:after="0" w:line="240" w:lineRule="auto"/>
        <w:ind w:left="357" w:hanging="357"/>
        <w:jc w:val="both"/>
        <w:rPr>
          <w:rFonts w:ascii="Times New Roman" w:hAnsi="Times New Roman"/>
          <w:sz w:val="24"/>
          <w:szCs w:val="24"/>
        </w:rPr>
      </w:pPr>
      <w:r w:rsidRPr="007C5A6E">
        <w:rPr>
          <w:rFonts w:ascii="Times New Roman" w:hAnsi="Times New Roman"/>
          <w:sz w:val="24"/>
          <w:szCs w:val="24"/>
        </w:rPr>
        <w:t xml:space="preserve">Elaborer ou réviser les stratégies spécifiques à d’autres conventions qui touchent directement aux composantes de la diversité biologique notamment la Convention sur le commerce international des espèces de faune et de flore sauvages menacées d’extinction (CITES), la Convention sur la conservation des espèces migratrices appartenant à la faune sauvage (CMS),  la Convention relative à la conservation de la faune sauvage et du milieu naturel (BERNE), la Convention internationale pour la protection des végétaux (Paris), le Traité International sur les Ressources Phylogénétiques pour l’Agriculture et l’Alimentation (TIRPAA). En particulier, la mise en œuvre de ces conventions sera plus efficace si des stratégies spécifiques leur sont </w:t>
      </w:r>
      <w:r w:rsidR="00580307" w:rsidRPr="007C5A6E">
        <w:rPr>
          <w:rFonts w:ascii="Times New Roman" w:hAnsi="Times New Roman"/>
          <w:sz w:val="24"/>
          <w:szCs w:val="24"/>
        </w:rPr>
        <w:t xml:space="preserve">consacrées. </w:t>
      </w:r>
      <w:r w:rsidRPr="007C5A6E">
        <w:rPr>
          <w:rFonts w:ascii="Times New Roman" w:hAnsi="Times New Roman"/>
          <w:sz w:val="24"/>
          <w:szCs w:val="24"/>
        </w:rPr>
        <w:t xml:space="preserve"> </w:t>
      </w:r>
    </w:p>
    <w:p w14:paraId="5219A8DD" w14:textId="77777777" w:rsidR="006926C2" w:rsidRPr="007C5A6E" w:rsidRDefault="006926C2" w:rsidP="00580307">
      <w:pPr>
        <w:spacing w:after="0" w:line="240" w:lineRule="auto"/>
        <w:jc w:val="both"/>
        <w:rPr>
          <w:rFonts w:ascii="Times New Roman" w:hAnsi="Times New Roman"/>
          <w:sz w:val="24"/>
          <w:szCs w:val="24"/>
        </w:rPr>
      </w:pPr>
    </w:p>
    <w:p w14:paraId="3D7006B8" w14:textId="746036AC" w:rsidR="006926C2" w:rsidRPr="007C5A6E" w:rsidRDefault="006926C2" w:rsidP="00580307">
      <w:pPr>
        <w:pStyle w:val="Paragraphedeliste"/>
        <w:numPr>
          <w:ilvl w:val="0"/>
          <w:numId w:val="82"/>
        </w:numPr>
        <w:spacing w:after="0" w:line="240" w:lineRule="auto"/>
        <w:ind w:left="357" w:hanging="357"/>
        <w:jc w:val="both"/>
        <w:rPr>
          <w:rFonts w:ascii="Times New Roman" w:hAnsi="Times New Roman"/>
          <w:sz w:val="24"/>
          <w:szCs w:val="24"/>
        </w:rPr>
      </w:pPr>
      <w:r w:rsidRPr="007C5A6E">
        <w:rPr>
          <w:rFonts w:ascii="Times New Roman" w:hAnsi="Times New Roman"/>
          <w:sz w:val="24"/>
          <w:szCs w:val="24"/>
        </w:rPr>
        <w:t xml:space="preserve">Promouvoir des zones de sédentarisation du cheptel :  Certaines zones pastorales (zones de pâture villageoise ou inter-villageoise) et pistes de transhumance n’ont pas de statut officiel ; il est souhaitable qu’à terme, de telles zones évoluent vers des zones de pâturage plus sécurisées permettant la sédentarisation du </w:t>
      </w:r>
      <w:r w:rsidR="00580307" w:rsidRPr="007C5A6E">
        <w:rPr>
          <w:rFonts w:ascii="Times New Roman" w:hAnsi="Times New Roman"/>
          <w:sz w:val="24"/>
          <w:szCs w:val="24"/>
        </w:rPr>
        <w:t>cheptel ;</w:t>
      </w:r>
    </w:p>
    <w:p w14:paraId="0DBE91EB" w14:textId="77777777" w:rsidR="006926C2" w:rsidRPr="007C5A6E" w:rsidRDefault="006926C2" w:rsidP="00580307">
      <w:pPr>
        <w:spacing w:after="0" w:line="240" w:lineRule="auto"/>
        <w:jc w:val="both"/>
        <w:rPr>
          <w:rFonts w:ascii="Times New Roman" w:hAnsi="Times New Roman"/>
          <w:sz w:val="24"/>
          <w:szCs w:val="24"/>
        </w:rPr>
      </w:pPr>
    </w:p>
    <w:p w14:paraId="62F0AC60" w14:textId="1EADEAF7" w:rsidR="006926C2" w:rsidRPr="007C5A6E" w:rsidRDefault="006926C2" w:rsidP="00580307">
      <w:pPr>
        <w:pStyle w:val="Paragraphedeliste"/>
        <w:numPr>
          <w:ilvl w:val="0"/>
          <w:numId w:val="82"/>
        </w:numPr>
        <w:spacing w:after="0" w:line="240" w:lineRule="auto"/>
        <w:ind w:left="357" w:hanging="357"/>
        <w:jc w:val="both"/>
        <w:rPr>
          <w:rFonts w:ascii="Times New Roman" w:hAnsi="Times New Roman"/>
          <w:sz w:val="24"/>
          <w:szCs w:val="24"/>
        </w:rPr>
      </w:pPr>
      <w:r w:rsidRPr="007C5A6E">
        <w:rPr>
          <w:rFonts w:ascii="Times New Roman" w:hAnsi="Times New Roman"/>
          <w:sz w:val="24"/>
          <w:szCs w:val="24"/>
        </w:rPr>
        <w:t>Mettre en place une fiscalité incitative ou fiscalité écologique : la mise en place d’une fiscalité incitative ou fiscalité écologique vise à faire payer les utilisateurs de l'environnement, qui pourrait constituer une alternative intéressante permettant de modifier les comportements tout en générant des recettes pour l’Etat. Cette approche par la fiscalité écologique doit toutefois faire l’objet d’un examen attentif car elle est susceptible de diminuer le revenu disponible des ménages et donc d’accentuer la pauvreté. Les deux options ne sont toutefois pas inconciliables.</w:t>
      </w:r>
    </w:p>
    <w:p w14:paraId="2CD3F780" w14:textId="77777777" w:rsidR="00580307" w:rsidRPr="007C5A6E" w:rsidRDefault="00580307" w:rsidP="00580307">
      <w:pPr>
        <w:spacing w:after="0" w:line="240" w:lineRule="auto"/>
        <w:jc w:val="both"/>
        <w:rPr>
          <w:rFonts w:ascii="Times New Roman" w:hAnsi="Times New Roman"/>
          <w:sz w:val="24"/>
          <w:szCs w:val="24"/>
        </w:rPr>
      </w:pPr>
    </w:p>
    <w:p w14:paraId="1D2E900B" w14:textId="77777777" w:rsidR="00800F57" w:rsidRPr="007C5A6E" w:rsidRDefault="00800F57" w:rsidP="00580307">
      <w:pPr>
        <w:keepNext/>
        <w:keepLines/>
        <w:numPr>
          <w:ilvl w:val="2"/>
          <w:numId w:val="4"/>
        </w:numPr>
        <w:tabs>
          <w:tab w:val="num" w:pos="360"/>
        </w:tabs>
        <w:spacing w:after="0" w:line="240" w:lineRule="auto"/>
        <w:ind w:left="0" w:firstLine="0"/>
        <w:outlineLvl w:val="2"/>
        <w:rPr>
          <w:rFonts w:ascii="Times New Roman" w:eastAsiaTheme="minorHAnsi" w:hAnsi="Times New Roman" w:cstheme="majorBidi"/>
          <w:b/>
          <w:i/>
          <w:iCs/>
          <w:sz w:val="26"/>
          <w:szCs w:val="24"/>
          <w:lang w:val="fr-BF" w:eastAsia="en-US"/>
        </w:rPr>
      </w:pPr>
      <w:bookmarkStart w:id="1659" w:name="_Toc183340375"/>
      <w:r w:rsidRPr="007C5A6E">
        <w:rPr>
          <w:rFonts w:ascii="Times New Roman" w:eastAsiaTheme="minorHAnsi" w:hAnsi="Times New Roman" w:cstheme="majorBidi"/>
          <w:b/>
          <w:i/>
          <w:iCs/>
          <w:sz w:val="26"/>
          <w:szCs w:val="24"/>
          <w:lang w:val="fr-BF" w:eastAsia="en-US"/>
        </w:rPr>
        <w:t>En matière de gestion des catastrophes naturelles</w:t>
      </w:r>
      <w:bookmarkEnd w:id="1659"/>
      <w:r w:rsidRPr="007C5A6E">
        <w:rPr>
          <w:rFonts w:ascii="Times New Roman" w:eastAsiaTheme="minorHAnsi" w:hAnsi="Times New Roman" w:cstheme="majorBidi"/>
          <w:b/>
          <w:i/>
          <w:iCs/>
          <w:sz w:val="26"/>
          <w:szCs w:val="24"/>
          <w:lang w:val="fr-BF" w:eastAsia="en-US"/>
        </w:rPr>
        <w:t xml:space="preserve"> </w:t>
      </w:r>
    </w:p>
    <w:p w14:paraId="1E58BA8F" w14:textId="77777777" w:rsidR="00800F57" w:rsidRPr="007C5A6E" w:rsidRDefault="00800F57" w:rsidP="007D06CA">
      <w:pPr>
        <w:spacing w:after="0" w:line="240" w:lineRule="auto"/>
        <w:rPr>
          <w:rFonts w:ascii="Times New Roman" w:hAnsi="Times New Roman"/>
          <w:sz w:val="24"/>
          <w:szCs w:val="24"/>
        </w:rPr>
      </w:pPr>
    </w:p>
    <w:p w14:paraId="728333C5" w14:textId="25409113" w:rsidR="007D06CA" w:rsidRPr="007C5A6E" w:rsidRDefault="007D06CA" w:rsidP="007D06CA">
      <w:pPr>
        <w:spacing w:after="0" w:line="240" w:lineRule="auto"/>
        <w:jc w:val="both"/>
        <w:rPr>
          <w:rFonts w:ascii="Times New Roman" w:hAnsi="Times New Roman"/>
          <w:sz w:val="24"/>
          <w:szCs w:val="24"/>
        </w:rPr>
      </w:pPr>
      <w:r w:rsidRPr="007C5A6E">
        <w:rPr>
          <w:rFonts w:ascii="Times New Roman" w:hAnsi="Times New Roman"/>
          <w:sz w:val="24"/>
          <w:szCs w:val="24"/>
        </w:rPr>
        <w:t xml:space="preserve">Il est recommandé au Ministère en charge de l’Action humanitaire, de mettre en place une plateforme documentée et tenue à jour sur les catastrophes naturelles et leur gestion. Ceci afin de produire et surtout de rendre accessibles les données actualisées sur l’action publique et non gouvernementale en matière de gestion des catastrophes naturelles. </w:t>
      </w:r>
    </w:p>
    <w:p w14:paraId="2E65EE6D" w14:textId="6104DAAC" w:rsidR="007D06CA" w:rsidRPr="007C5A6E" w:rsidRDefault="007D06CA" w:rsidP="007D06CA">
      <w:pPr>
        <w:spacing w:after="0" w:line="240" w:lineRule="auto"/>
        <w:jc w:val="both"/>
        <w:rPr>
          <w:rFonts w:ascii="Times New Roman" w:hAnsi="Times New Roman"/>
          <w:sz w:val="24"/>
          <w:szCs w:val="24"/>
        </w:rPr>
      </w:pPr>
      <w:r w:rsidRPr="007C5A6E">
        <w:rPr>
          <w:rFonts w:ascii="Times New Roman" w:hAnsi="Times New Roman"/>
          <w:sz w:val="24"/>
          <w:szCs w:val="24"/>
        </w:rPr>
        <w:t>Il suffirait alors, pour renseigner la plateforme, d’y introduire systématiquement toutes les informations pertinentes à chaque étape du processus d’intervention en cas de catastrophe</w:t>
      </w:r>
      <w:r w:rsidRPr="007C5A6E">
        <w:rPr>
          <w:rFonts w:ascii="Times New Roman" w:hAnsi="Times New Roman"/>
          <w:b/>
          <w:bCs/>
          <w:sz w:val="24"/>
          <w:szCs w:val="24"/>
        </w:rPr>
        <w:t xml:space="preserve"> </w:t>
      </w:r>
      <w:r w:rsidRPr="007C5A6E">
        <w:rPr>
          <w:rFonts w:ascii="Times New Roman" w:hAnsi="Times New Roman"/>
          <w:sz w:val="24"/>
          <w:szCs w:val="24"/>
        </w:rPr>
        <w:t xml:space="preserve">tel que présenté à la figure 84 de la section </w:t>
      </w:r>
      <w:r w:rsidR="00537BE0" w:rsidRPr="007C5A6E">
        <w:rPr>
          <w:rFonts w:ascii="Times New Roman" w:hAnsi="Times New Roman"/>
          <w:sz w:val="24"/>
          <w:szCs w:val="24"/>
        </w:rPr>
        <w:t>6.3.2</w:t>
      </w:r>
      <w:r w:rsidRPr="007C5A6E">
        <w:rPr>
          <w:rFonts w:ascii="Times New Roman" w:hAnsi="Times New Roman"/>
          <w:sz w:val="24"/>
          <w:szCs w:val="24"/>
        </w:rPr>
        <w:t>.</w:t>
      </w:r>
    </w:p>
    <w:p w14:paraId="31558DF4" w14:textId="77777777" w:rsidR="007D06CA" w:rsidRPr="007C5A6E" w:rsidRDefault="007D06CA" w:rsidP="007D06CA">
      <w:pPr>
        <w:spacing w:after="0" w:line="240" w:lineRule="auto"/>
        <w:rPr>
          <w:rFonts w:ascii="Times New Roman" w:hAnsi="Times New Roman"/>
          <w:sz w:val="24"/>
          <w:szCs w:val="24"/>
        </w:rPr>
      </w:pPr>
    </w:p>
    <w:p w14:paraId="3DC6299D" w14:textId="77777777" w:rsidR="00800F57" w:rsidRPr="007C5A6E" w:rsidRDefault="00800F57" w:rsidP="00580307">
      <w:pPr>
        <w:keepNext/>
        <w:keepLines/>
        <w:numPr>
          <w:ilvl w:val="2"/>
          <w:numId w:val="4"/>
        </w:numPr>
        <w:tabs>
          <w:tab w:val="num" w:pos="360"/>
        </w:tabs>
        <w:spacing w:after="0" w:line="240" w:lineRule="auto"/>
        <w:ind w:left="0" w:firstLine="0"/>
        <w:outlineLvl w:val="2"/>
        <w:rPr>
          <w:rFonts w:ascii="Times New Roman" w:eastAsiaTheme="minorHAnsi" w:hAnsi="Times New Roman" w:cstheme="majorBidi"/>
          <w:b/>
          <w:i/>
          <w:iCs/>
          <w:sz w:val="26"/>
          <w:szCs w:val="24"/>
          <w:lang w:val="fr-BF" w:eastAsia="en-US"/>
        </w:rPr>
      </w:pPr>
      <w:bookmarkStart w:id="1660" w:name="_Toc183340376"/>
      <w:r w:rsidRPr="007C5A6E">
        <w:rPr>
          <w:rFonts w:ascii="Times New Roman" w:eastAsiaTheme="minorHAnsi" w:hAnsi="Times New Roman" w:cstheme="majorBidi"/>
          <w:b/>
          <w:i/>
          <w:iCs/>
          <w:sz w:val="26"/>
          <w:szCs w:val="24"/>
          <w:lang w:val="fr-BF" w:eastAsia="en-US"/>
        </w:rPr>
        <w:t>En ce qui concerne l’urbanisation</w:t>
      </w:r>
      <w:bookmarkEnd w:id="1660"/>
      <w:r w:rsidRPr="007C5A6E">
        <w:rPr>
          <w:rFonts w:ascii="Times New Roman" w:eastAsiaTheme="minorHAnsi" w:hAnsi="Times New Roman" w:cstheme="majorBidi"/>
          <w:b/>
          <w:i/>
          <w:iCs/>
          <w:sz w:val="26"/>
          <w:szCs w:val="24"/>
          <w:lang w:val="fr-BF" w:eastAsia="en-US"/>
        </w:rPr>
        <w:t xml:space="preserve"> </w:t>
      </w:r>
    </w:p>
    <w:p w14:paraId="76374CC4" w14:textId="77777777" w:rsidR="00800F57" w:rsidRPr="007C5A6E" w:rsidRDefault="00800F57" w:rsidP="00580307">
      <w:pPr>
        <w:spacing w:after="0" w:line="240" w:lineRule="auto"/>
        <w:rPr>
          <w:rFonts w:ascii="Times New Roman" w:hAnsi="Times New Roman"/>
          <w:sz w:val="24"/>
          <w:szCs w:val="24"/>
          <w:lang w:val="fr-BF"/>
        </w:rPr>
      </w:pPr>
    </w:p>
    <w:p w14:paraId="14685595" w14:textId="77777777" w:rsidR="00580307" w:rsidRPr="007C5A6E" w:rsidRDefault="00580307" w:rsidP="00580307">
      <w:pPr>
        <w:spacing w:after="0" w:line="240" w:lineRule="auto"/>
        <w:jc w:val="both"/>
        <w:rPr>
          <w:rFonts w:ascii="Times New Roman" w:eastAsia="Aptos" w:hAnsi="Times New Roman"/>
          <w:b/>
          <w:bCs/>
          <w:kern w:val="2"/>
          <w:sz w:val="24"/>
          <w:szCs w:val="24"/>
          <w:lang w:eastAsia="en-US"/>
          <w14:ligatures w14:val="standardContextual"/>
        </w:rPr>
      </w:pPr>
      <w:r w:rsidRPr="007C5A6E">
        <w:rPr>
          <w:rFonts w:ascii="Times New Roman" w:eastAsia="Aptos" w:hAnsi="Times New Roman"/>
          <w:b/>
          <w:bCs/>
          <w:kern w:val="2"/>
          <w:sz w:val="24"/>
          <w:szCs w:val="24"/>
          <w:lang w:eastAsia="en-US"/>
          <w14:ligatures w14:val="standardContextual"/>
        </w:rPr>
        <w:t>1. Protection sociale</w:t>
      </w:r>
    </w:p>
    <w:p w14:paraId="01A800E3" w14:textId="77777777" w:rsidR="00580307" w:rsidRPr="007C5A6E" w:rsidRDefault="00580307" w:rsidP="00315704">
      <w:pPr>
        <w:numPr>
          <w:ilvl w:val="0"/>
          <w:numId w:val="83"/>
        </w:numPr>
        <w:spacing w:after="0" w:line="240" w:lineRule="auto"/>
        <w:ind w:left="357" w:hanging="357"/>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Renforcement de la couverture des programmes existants : renforcer les programmes existants de protection et de sécurité sociale pour offrir un filet de sécurité plus inclusif et adapté aux populations vulnérables, en veillant à ce que les aides soient proportionnées aux besoins spécifiques des bénéficiaires.</w:t>
      </w:r>
    </w:p>
    <w:p w14:paraId="2536AA15" w14:textId="77777777" w:rsidR="00580307" w:rsidRPr="007C5A6E" w:rsidRDefault="00580307" w:rsidP="00315704">
      <w:pPr>
        <w:numPr>
          <w:ilvl w:val="0"/>
          <w:numId w:val="83"/>
        </w:numPr>
        <w:spacing w:after="0" w:line="240" w:lineRule="auto"/>
        <w:ind w:left="357" w:hanging="357"/>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Mieux intégrer la planification du développement urbain dans les stratégies de réduction des risques liés aux catastrophes naturelles.</w:t>
      </w:r>
    </w:p>
    <w:p w14:paraId="34846BD4" w14:textId="77777777" w:rsidR="00580307" w:rsidRPr="007C5A6E" w:rsidRDefault="00580307" w:rsidP="00580307">
      <w:pPr>
        <w:spacing w:after="0" w:line="240" w:lineRule="auto"/>
        <w:jc w:val="both"/>
        <w:rPr>
          <w:rFonts w:ascii="Times New Roman" w:eastAsia="Aptos" w:hAnsi="Times New Roman"/>
          <w:b/>
          <w:bCs/>
          <w:kern w:val="2"/>
          <w:sz w:val="24"/>
          <w:szCs w:val="24"/>
          <w:lang w:eastAsia="en-US"/>
          <w14:ligatures w14:val="standardContextual"/>
        </w:rPr>
      </w:pPr>
      <w:r w:rsidRPr="007C5A6E">
        <w:rPr>
          <w:rFonts w:ascii="Times New Roman" w:eastAsia="Aptos" w:hAnsi="Times New Roman"/>
          <w:b/>
          <w:bCs/>
          <w:kern w:val="2"/>
          <w:sz w:val="24"/>
          <w:szCs w:val="24"/>
          <w:lang w:eastAsia="en-US"/>
          <w14:ligatures w14:val="standardContextual"/>
        </w:rPr>
        <w:t>2. Intégration des réalités locales dans les politiques d’urbanisation</w:t>
      </w:r>
    </w:p>
    <w:p w14:paraId="572961E8" w14:textId="77777777" w:rsidR="00580307" w:rsidRPr="007C5A6E" w:rsidRDefault="00580307" w:rsidP="00315704">
      <w:pPr>
        <w:numPr>
          <w:ilvl w:val="0"/>
          <w:numId w:val="83"/>
        </w:numPr>
        <w:spacing w:after="0" w:line="240" w:lineRule="auto"/>
        <w:ind w:left="357" w:hanging="357"/>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Pour le court et moyen terme, promouvoir des modèles de gestion foncière et de mobilité adaptés à la culture et aux réalités locales : adopter des politiques d'urbanisation intégrant les spécificités locales en matière foncière et de transport, tout en respectant les standards actuels.</w:t>
      </w:r>
    </w:p>
    <w:p w14:paraId="699DDC77" w14:textId="77777777" w:rsidR="00580307" w:rsidRPr="007C5A6E" w:rsidRDefault="00580307" w:rsidP="00315704">
      <w:pPr>
        <w:numPr>
          <w:ilvl w:val="0"/>
          <w:numId w:val="83"/>
        </w:numPr>
        <w:spacing w:after="0" w:line="240" w:lineRule="auto"/>
        <w:ind w:left="357" w:hanging="357"/>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Pour le long terme, promouvoir auprès des générations futures, la culture du transport en commun et la propriété collective.</w:t>
      </w:r>
    </w:p>
    <w:p w14:paraId="681FC39B" w14:textId="77777777" w:rsidR="00580307" w:rsidRPr="007C5A6E" w:rsidRDefault="00580307" w:rsidP="00580307">
      <w:pPr>
        <w:spacing w:after="0" w:line="240" w:lineRule="auto"/>
        <w:jc w:val="both"/>
        <w:rPr>
          <w:rFonts w:ascii="Times New Roman" w:eastAsia="Aptos" w:hAnsi="Times New Roman"/>
          <w:kern w:val="2"/>
          <w:sz w:val="24"/>
          <w:szCs w:val="24"/>
          <w:lang w:eastAsia="en-US"/>
          <w14:ligatures w14:val="standardContextual"/>
        </w:rPr>
      </w:pPr>
    </w:p>
    <w:p w14:paraId="259FED3F" w14:textId="77777777" w:rsidR="00580307" w:rsidRPr="007C5A6E" w:rsidRDefault="00580307" w:rsidP="00580307">
      <w:pPr>
        <w:spacing w:after="0" w:line="240" w:lineRule="auto"/>
        <w:jc w:val="both"/>
        <w:rPr>
          <w:rFonts w:ascii="Times New Roman" w:eastAsia="Aptos" w:hAnsi="Times New Roman"/>
          <w:b/>
          <w:bCs/>
          <w:kern w:val="2"/>
          <w:sz w:val="24"/>
          <w:szCs w:val="24"/>
          <w:lang w:eastAsia="en-US"/>
          <w14:ligatures w14:val="standardContextual"/>
        </w:rPr>
      </w:pPr>
      <w:r w:rsidRPr="007C5A6E">
        <w:rPr>
          <w:rFonts w:ascii="Times New Roman" w:eastAsia="Aptos" w:hAnsi="Times New Roman"/>
          <w:b/>
          <w:bCs/>
          <w:kern w:val="2"/>
          <w:sz w:val="24"/>
          <w:szCs w:val="24"/>
          <w:lang w:eastAsia="en-US"/>
          <w14:ligatures w14:val="standardContextual"/>
        </w:rPr>
        <w:t>3. Gestion foncière</w:t>
      </w:r>
    </w:p>
    <w:p w14:paraId="035D5EDC" w14:textId="77777777" w:rsidR="00580307" w:rsidRPr="007C5A6E" w:rsidRDefault="00580307" w:rsidP="00315704">
      <w:pPr>
        <w:numPr>
          <w:ilvl w:val="0"/>
          <w:numId w:val="83"/>
        </w:numPr>
        <w:spacing w:after="0" w:line="240" w:lineRule="auto"/>
        <w:ind w:left="357" w:hanging="357"/>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Renforcement du cadastre et des droits fonciers : mettre en place un cadastre national moderne pour clarifier les droits fonciers et sécuriser la propriété, tout en régulant mieux les transactions foncières pour prévenir l’accaparement des terres.</w:t>
      </w:r>
    </w:p>
    <w:p w14:paraId="300CD0A6" w14:textId="77777777" w:rsidR="00580307" w:rsidRPr="007C5A6E" w:rsidRDefault="00580307" w:rsidP="00315704">
      <w:pPr>
        <w:numPr>
          <w:ilvl w:val="0"/>
          <w:numId w:val="83"/>
        </w:numPr>
        <w:spacing w:after="0" w:line="240" w:lineRule="auto"/>
        <w:ind w:left="357" w:hanging="357"/>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 xml:space="preserve">Amélioration de la transparence et de la gouvernance : établir des mécanismes transparents de gestion foncière, notamment par la digitalisation des processus administratifs et </w:t>
      </w:r>
      <w:proofErr w:type="gramStart"/>
      <w:r w:rsidRPr="007C5A6E">
        <w:rPr>
          <w:rFonts w:ascii="Times New Roman" w:eastAsia="Aptos" w:hAnsi="Times New Roman"/>
          <w:kern w:val="2"/>
          <w:sz w:val="24"/>
          <w:szCs w:val="24"/>
          <w:lang w:eastAsia="en-US"/>
          <w14:ligatures w14:val="standardContextual"/>
        </w:rPr>
        <w:t>la</w:t>
      </w:r>
      <w:proofErr w:type="gramEnd"/>
      <w:r w:rsidRPr="007C5A6E">
        <w:rPr>
          <w:rFonts w:ascii="Times New Roman" w:eastAsia="Aptos" w:hAnsi="Times New Roman"/>
          <w:kern w:val="2"/>
          <w:sz w:val="24"/>
          <w:szCs w:val="24"/>
          <w:lang w:eastAsia="en-US"/>
          <w14:ligatures w14:val="standardContextual"/>
        </w:rPr>
        <w:t xml:space="preserve"> formation/sensibilisation des acteurs locaux.</w:t>
      </w:r>
    </w:p>
    <w:p w14:paraId="76AD4904" w14:textId="77777777" w:rsidR="00580307" w:rsidRPr="007C5A6E" w:rsidRDefault="00580307" w:rsidP="00580307">
      <w:pPr>
        <w:spacing w:after="0" w:line="240" w:lineRule="auto"/>
        <w:jc w:val="both"/>
        <w:rPr>
          <w:rFonts w:ascii="Times New Roman" w:eastAsia="Aptos" w:hAnsi="Times New Roman"/>
          <w:kern w:val="2"/>
          <w:sz w:val="24"/>
          <w:szCs w:val="24"/>
          <w:lang w:eastAsia="en-US"/>
          <w14:ligatures w14:val="standardContextual"/>
        </w:rPr>
      </w:pPr>
    </w:p>
    <w:p w14:paraId="70D7210D" w14:textId="77777777" w:rsidR="00580307" w:rsidRPr="007C5A6E" w:rsidRDefault="00580307" w:rsidP="00580307">
      <w:pPr>
        <w:spacing w:after="0" w:line="240" w:lineRule="auto"/>
        <w:jc w:val="both"/>
        <w:rPr>
          <w:rFonts w:ascii="Times New Roman" w:eastAsia="Aptos" w:hAnsi="Times New Roman"/>
          <w:b/>
          <w:bCs/>
          <w:kern w:val="2"/>
          <w:sz w:val="24"/>
          <w:szCs w:val="24"/>
          <w:lang w:eastAsia="en-US"/>
          <w14:ligatures w14:val="standardContextual"/>
        </w:rPr>
      </w:pPr>
      <w:r w:rsidRPr="007C5A6E">
        <w:rPr>
          <w:rFonts w:ascii="Times New Roman" w:eastAsia="Aptos" w:hAnsi="Times New Roman"/>
          <w:b/>
          <w:bCs/>
          <w:kern w:val="2"/>
          <w:sz w:val="24"/>
          <w:szCs w:val="24"/>
          <w:lang w:eastAsia="en-US"/>
          <w14:ligatures w14:val="standardContextual"/>
        </w:rPr>
        <w:t>4. Infrastructure de drainage des eaux de pluie</w:t>
      </w:r>
    </w:p>
    <w:p w14:paraId="081BE0A5" w14:textId="77777777" w:rsidR="00580307" w:rsidRPr="007C5A6E" w:rsidRDefault="00580307" w:rsidP="00315704">
      <w:pPr>
        <w:numPr>
          <w:ilvl w:val="0"/>
          <w:numId w:val="83"/>
        </w:numPr>
        <w:spacing w:after="0" w:line="240" w:lineRule="auto"/>
        <w:ind w:left="357" w:hanging="357"/>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Développer et rénover les infrastructures de drainage des eaux de pluie en mettant l’accent sur des solutions durables et adaptées aux conditions locales.</w:t>
      </w:r>
    </w:p>
    <w:p w14:paraId="3085C33A" w14:textId="77777777" w:rsidR="00580307" w:rsidRPr="007C5A6E" w:rsidRDefault="00580307" w:rsidP="00580307">
      <w:pPr>
        <w:spacing w:after="0" w:line="240" w:lineRule="auto"/>
        <w:jc w:val="both"/>
        <w:rPr>
          <w:rFonts w:ascii="Times New Roman" w:eastAsia="Aptos" w:hAnsi="Times New Roman"/>
          <w:kern w:val="2"/>
          <w:sz w:val="24"/>
          <w:szCs w:val="24"/>
          <w:lang w:eastAsia="en-US"/>
          <w14:ligatures w14:val="standardContextual"/>
        </w:rPr>
      </w:pPr>
    </w:p>
    <w:p w14:paraId="169F6522" w14:textId="77777777" w:rsidR="00580307" w:rsidRPr="007C5A6E" w:rsidRDefault="00580307" w:rsidP="00580307">
      <w:pPr>
        <w:spacing w:after="0" w:line="240" w:lineRule="auto"/>
        <w:jc w:val="both"/>
        <w:rPr>
          <w:rFonts w:ascii="Times New Roman" w:eastAsia="Aptos" w:hAnsi="Times New Roman"/>
          <w:b/>
          <w:bCs/>
          <w:kern w:val="2"/>
          <w:sz w:val="24"/>
          <w:szCs w:val="24"/>
          <w:lang w:eastAsia="en-US"/>
          <w14:ligatures w14:val="standardContextual"/>
        </w:rPr>
      </w:pPr>
      <w:r w:rsidRPr="007C5A6E">
        <w:rPr>
          <w:rFonts w:ascii="Times New Roman" w:eastAsia="Aptos" w:hAnsi="Times New Roman"/>
          <w:b/>
          <w:bCs/>
          <w:kern w:val="2"/>
          <w:sz w:val="24"/>
          <w:szCs w:val="24"/>
          <w:lang w:eastAsia="en-US"/>
          <w14:ligatures w14:val="standardContextual"/>
        </w:rPr>
        <w:t>5. Infrastructure d’assainissement</w:t>
      </w:r>
    </w:p>
    <w:p w14:paraId="7BF793C1" w14:textId="77777777" w:rsidR="00580307" w:rsidRPr="007C5A6E" w:rsidRDefault="00580307" w:rsidP="00315704">
      <w:pPr>
        <w:numPr>
          <w:ilvl w:val="0"/>
          <w:numId w:val="83"/>
        </w:numPr>
        <w:spacing w:after="0" w:line="240" w:lineRule="auto"/>
        <w:ind w:left="357" w:hanging="357"/>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Développement des infrastructures d’assainissement : investir dans des infrastructures d’assainissement modernes, telles que les réseaux d'égouts et les stations d'épuration, pour améliorer les conditions sanitaires et réduire les risques pour la santé publique.</w:t>
      </w:r>
    </w:p>
    <w:p w14:paraId="63EC3B1D" w14:textId="77777777" w:rsidR="00580307" w:rsidRPr="007C5A6E" w:rsidRDefault="00580307" w:rsidP="00315704">
      <w:pPr>
        <w:numPr>
          <w:ilvl w:val="0"/>
          <w:numId w:val="83"/>
        </w:numPr>
        <w:spacing w:after="0" w:line="240" w:lineRule="auto"/>
        <w:ind w:left="357" w:hanging="357"/>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Sensibilisation et formation communautaire : mettre en place des programmes de sensibilisation et de formation pour encourager les bonnes pratiques d’assainissement et la maintenance des infrastructures par les communautés locales.</w:t>
      </w:r>
    </w:p>
    <w:p w14:paraId="78A4A5DE" w14:textId="77777777" w:rsidR="00580307" w:rsidRPr="007C5A6E" w:rsidRDefault="00580307" w:rsidP="00580307">
      <w:pPr>
        <w:spacing w:after="0" w:line="240" w:lineRule="auto"/>
        <w:jc w:val="both"/>
        <w:rPr>
          <w:rFonts w:ascii="Times New Roman" w:eastAsia="Aptos" w:hAnsi="Times New Roman"/>
          <w:kern w:val="2"/>
          <w:sz w:val="24"/>
          <w:szCs w:val="24"/>
          <w:lang w:eastAsia="en-US"/>
          <w14:ligatures w14:val="standardContextual"/>
        </w:rPr>
      </w:pPr>
    </w:p>
    <w:p w14:paraId="5F7C29C9" w14:textId="77777777" w:rsidR="00580307" w:rsidRPr="007C5A6E" w:rsidRDefault="00580307" w:rsidP="00580307">
      <w:pPr>
        <w:spacing w:after="0" w:line="240" w:lineRule="auto"/>
        <w:jc w:val="both"/>
        <w:rPr>
          <w:rFonts w:ascii="Times New Roman" w:eastAsia="Aptos" w:hAnsi="Times New Roman"/>
          <w:b/>
          <w:bCs/>
          <w:kern w:val="2"/>
          <w:sz w:val="24"/>
          <w:szCs w:val="24"/>
          <w:lang w:eastAsia="en-US"/>
          <w14:ligatures w14:val="standardContextual"/>
        </w:rPr>
      </w:pPr>
      <w:r w:rsidRPr="007C5A6E">
        <w:rPr>
          <w:rFonts w:ascii="Times New Roman" w:eastAsia="Aptos" w:hAnsi="Times New Roman"/>
          <w:b/>
          <w:bCs/>
          <w:kern w:val="2"/>
          <w:sz w:val="24"/>
          <w:szCs w:val="24"/>
          <w:lang w:eastAsia="en-US"/>
          <w14:ligatures w14:val="standardContextual"/>
        </w:rPr>
        <w:t>6. Accès aux services sociaux de base</w:t>
      </w:r>
    </w:p>
    <w:p w14:paraId="395BF2D7" w14:textId="77777777" w:rsidR="00580307" w:rsidRPr="007C5A6E" w:rsidRDefault="00580307" w:rsidP="00315704">
      <w:pPr>
        <w:numPr>
          <w:ilvl w:val="0"/>
          <w:numId w:val="83"/>
        </w:numPr>
        <w:spacing w:after="0" w:line="240" w:lineRule="auto"/>
        <w:ind w:left="357" w:hanging="357"/>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Expansion et amélioration des services : élargir l’accès aux services sociaux de base tels que l’éducation, la santé et l’eau potable en construisant de nouvelles infrastructures et en améliorant celles existantes.</w:t>
      </w:r>
    </w:p>
    <w:p w14:paraId="177FEE63" w14:textId="77777777" w:rsidR="00580307" w:rsidRPr="007C5A6E" w:rsidRDefault="00580307" w:rsidP="00315704">
      <w:pPr>
        <w:numPr>
          <w:ilvl w:val="0"/>
          <w:numId w:val="83"/>
        </w:numPr>
        <w:spacing w:after="0" w:line="240" w:lineRule="auto"/>
        <w:ind w:left="357" w:hanging="357"/>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Subvention et aide ciblée : offrir des subventions et des aides financières pour rendre les services de base plus accessibles aux populations à faibles revenus, et établir des partenariats public-privé pour soutenir ces efforts.</w:t>
      </w:r>
    </w:p>
    <w:p w14:paraId="21E8FBFF" w14:textId="2C7F6902" w:rsidR="00580307" w:rsidRPr="007C5A6E" w:rsidRDefault="00580307" w:rsidP="00580307">
      <w:pPr>
        <w:spacing w:after="0" w:line="240" w:lineRule="auto"/>
        <w:jc w:val="both"/>
        <w:rPr>
          <w:rFonts w:ascii="Times New Roman" w:eastAsia="Aptos" w:hAnsi="Times New Roman"/>
          <w:kern w:val="2"/>
          <w:sz w:val="24"/>
          <w:szCs w:val="24"/>
          <w:lang w:eastAsia="en-US"/>
          <w14:ligatures w14:val="standardContextual"/>
        </w:rPr>
      </w:pPr>
    </w:p>
    <w:p w14:paraId="021829AD" w14:textId="77777777" w:rsidR="00580307" w:rsidRPr="007C5A6E" w:rsidRDefault="00580307" w:rsidP="00580307">
      <w:pPr>
        <w:spacing w:after="0" w:line="240" w:lineRule="auto"/>
        <w:jc w:val="both"/>
        <w:rPr>
          <w:rFonts w:ascii="Times New Roman" w:eastAsia="Aptos" w:hAnsi="Times New Roman"/>
          <w:b/>
          <w:bCs/>
          <w:kern w:val="2"/>
          <w:sz w:val="24"/>
          <w:szCs w:val="24"/>
          <w:lang w:eastAsia="en-US"/>
          <w14:ligatures w14:val="standardContextual"/>
        </w:rPr>
      </w:pPr>
      <w:r w:rsidRPr="007C5A6E">
        <w:rPr>
          <w:rFonts w:ascii="Times New Roman" w:eastAsia="Aptos" w:hAnsi="Times New Roman"/>
          <w:b/>
          <w:bCs/>
          <w:kern w:val="2"/>
          <w:sz w:val="24"/>
          <w:szCs w:val="24"/>
          <w:lang w:eastAsia="en-US"/>
          <w14:ligatures w14:val="standardContextual"/>
        </w:rPr>
        <w:t>7. Urbanisation informelle</w:t>
      </w:r>
    </w:p>
    <w:p w14:paraId="740382A0" w14:textId="77777777" w:rsidR="00580307" w:rsidRPr="007C5A6E" w:rsidRDefault="00580307" w:rsidP="00315704">
      <w:pPr>
        <w:numPr>
          <w:ilvl w:val="0"/>
          <w:numId w:val="83"/>
        </w:numPr>
        <w:spacing w:after="0" w:line="240" w:lineRule="auto"/>
        <w:ind w:left="357" w:hanging="357"/>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Régularisation et planification urbaine : mettre en place des politiques de régularisation réalistes pour intégrer les zones d’urbanisation informelle dans le tissu urbain officiel, en fournissant des services de base et en améliorant les conditions de vie dans ces zones.</w:t>
      </w:r>
    </w:p>
    <w:p w14:paraId="45B7177B" w14:textId="77777777" w:rsidR="00580307" w:rsidRPr="007C5A6E" w:rsidRDefault="00580307" w:rsidP="00580307">
      <w:pPr>
        <w:spacing w:after="0" w:line="240" w:lineRule="auto"/>
        <w:jc w:val="both"/>
        <w:rPr>
          <w:rFonts w:ascii="Times New Roman" w:eastAsia="Aptos" w:hAnsi="Times New Roman"/>
          <w:kern w:val="2"/>
          <w:sz w:val="24"/>
          <w:szCs w:val="24"/>
          <w:lang w:eastAsia="en-US"/>
          <w14:ligatures w14:val="standardContextual"/>
        </w:rPr>
      </w:pPr>
    </w:p>
    <w:p w14:paraId="1C0CB50F" w14:textId="77777777" w:rsidR="00580307" w:rsidRPr="007C5A6E" w:rsidRDefault="00580307" w:rsidP="00580307">
      <w:pPr>
        <w:spacing w:after="0" w:line="240" w:lineRule="auto"/>
        <w:jc w:val="both"/>
        <w:rPr>
          <w:rFonts w:ascii="Times New Roman" w:eastAsia="Aptos" w:hAnsi="Times New Roman"/>
          <w:b/>
          <w:bCs/>
          <w:kern w:val="2"/>
          <w:sz w:val="24"/>
          <w:szCs w:val="24"/>
          <w:lang w:eastAsia="en-US"/>
          <w14:ligatures w14:val="standardContextual"/>
        </w:rPr>
      </w:pPr>
      <w:r w:rsidRPr="007C5A6E">
        <w:rPr>
          <w:rFonts w:ascii="Times New Roman" w:eastAsia="Aptos" w:hAnsi="Times New Roman"/>
          <w:b/>
          <w:bCs/>
          <w:kern w:val="2"/>
          <w:sz w:val="24"/>
          <w:szCs w:val="24"/>
          <w:lang w:eastAsia="en-US"/>
          <w14:ligatures w14:val="standardContextual"/>
        </w:rPr>
        <w:t>8. Intégration des populations vulnérables</w:t>
      </w:r>
    </w:p>
    <w:p w14:paraId="2E8ABF17" w14:textId="77777777" w:rsidR="00580307" w:rsidRPr="007C5A6E" w:rsidRDefault="00580307" w:rsidP="00315704">
      <w:pPr>
        <w:numPr>
          <w:ilvl w:val="0"/>
          <w:numId w:val="83"/>
        </w:numPr>
        <w:spacing w:after="0" w:line="240" w:lineRule="auto"/>
        <w:ind w:left="357" w:hanging="357"/>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Programmes spécifiques d’intégration : créer des programmes ciblés pour soutenir l’intégration des populations vulnérables, tels que des formations professionnelles, des aides au logement et des services sociaux dédiés.</w:t>
      </w:r>
    </w:p>
    <w:p w14:paraId="1BD1A981" w14:textId="77777777" w:rsidR="00580307" w:rsidRPr="007C5A6E" w:rsidRDefault="00580307" w:rsidP="00580307">
      <w:pPr>
        <w:spacing w:after="0" w:line="240" w:lineRule="auto"/>
        <w:jc w:val="both"/>
        <w:rPr>
          <w:rFonts w:ascii="Times New Roman" w:eastAsia="Aptos" w:hAnsi="Times New Roman"/>
          <w:kern w:val="2"/>
          <w:sz w:val="24"/>
          <w:szCs w:val="24"/>
          <w:lang w:eastAsia="en-US"/>
          <w14:ligatures w14:val="standardContextual"/>
        </w:rPr>
      </w:pPr>
    </w:p>
    <w:p w14:paraId="55606CAA" w14:textId="77777777" w:rsidR="00580307" w:rsidRPr="007C5A6E" w:rsidRDefault="00580307" w:rsidP="00580307">
      <w:pPr>
        <w:spacing w:after="0" w:line="240" w:lineRule="auto"/>
        <w:jc w:val="both"/>
        <w:rPr>
          <w:rFonts w:ascii="Times New Roman" w:eastAsia="Aptos" w:hAnsi="Times New Roman"/>
          <w:b/>
          <w:bCs/>
          <w:kern w:val="2"/>
          <w:sz w:val="24"/>
          <w:szCs w:val="24"/>
          <w:lang w:eastAsia="en-US"/>
          <w14:ligatures w14:val="standardContextual"/>
        </w:rPr>
      </w:pPr>
      <w:r w:rsidRPr="007C5A6E">
        <w:rPr>
          <w:rFonts w:ascii="Times New Roman" w:eastAsia="Aptos" w:hAnsi="Times New Roman"/>
          <w:b/>
          <w:bCs/>
          <w:kern w:val="2"/>
          <w:sz w:val="24"/>
          <w:szCs w:val="24"/>
          <w:lang w:eastAsia="en-US"/>
          <w14:ligatures w14:val="standardContextual"/>
        </w:rPr>
        <w:t>9. Coût élevé de la vie</w:t>
      </w:r>
    </w:p>
    <w:p w14:paraId="6F359570" w14:textId="77777777" w:rsidR="00580307" w:rsidRPr="007C5A6E" w:rsidRDefault="00580307" w:rsidP="00315704">
      <w:pPr>
        <w:numPr>
          <w:ilvl w:val="0"/>
          <w:numId w:val="83"/>
        </w:numPr>
        <w:spacing w:after="0" w:line="240" w:lineRule="auto"/>
        <w:ind w:left="357" w:hanging="357"/>
        <w:jc w:val="both"/>
        <w:rPr>
          <w:rFonts w:ascii="Times New Roman" w:eastAsia="Aptos" w:hAnsi="Times New Roman"/>
          <w:kern w:val="2"/>
          <w:sz w:val="24"/>
          <w:szCs w:val="24"/>
          <w14:ligatures w14:val="standardContextual"/>
        </w:rPr>
      </w:pPr>
      <w:r w:rsidRPr="007C5A6E">
        <w:rPr>
          <w:rFonts w:ascii="Times New Roman" w:eastAsia="Aptos" w:hAnsi="Times New Roman"/>
          <w:kern w:val="2"/>
          <w:sz w:val="24"/>
          <w:szCs w:val="24"/>
          <w:lang w:eastAsia="en-US"/>
          <w14:ligatures w14:val="standardContextual"/>
        </w:rPr>
        <w:t>Promotion des alternatives économiques : promouvoir les alternatives économiques, comme les coopératives de logement et les solutions de transport collectif, pour réduire le coût de la vie et améliorer l’accessibilité.</w:t>
      </w:r>
    </w:p>
    <w:p w14:paraId="2909B7E7" w14:textId="77777777" w:rsidR="00580307" w:rsidRPr="007C5A6E" w:rsidRDefault="00580307" w:rsidP="00580307">
      <w:pPr>
        <w:spacing w:after="0" w:line="240" w:lineRule="auto"/>
        <w:jc w:val="both"/>
        <w:rPr>
          <w:rFonts w:ascii="Times New Roman" w:eastAsia="Aptos" w:hAnsi="Times New Roman"/>
          <w:b/>
          <w:bCs/>
          <w:kern w:val="2"/>
          <w:sz w:val="24"/>
          <w:szCs w:val="24"/>
          <w:lang w:eastAsia="en-US"/>
          <w14:ligatures w14:val="standardContextual"/>
        </w:rPr>
      </w:pPr>
    </w:p>
    <w:p w14:paraId="6B818479" w14:textId="041ADBF3" w:rsidR="00580307" w:rsidRPr="007C5A6E" w:rsidRDefault="00580307" w:rsidP="00580307">
      <w:pPr>
        <w:spacing w:after="0" w:line="240" w:lineRule="auto"/>
        <w:jc w:val="both"/>
        <w:rPr>
          <w:rFonts w:ascii="Times New Roman" w:eastAsia="Aptos"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En annexe </w:t>
      </w:r>
      <w:r w:rsidR="00CF0199" w:rsidRPr="007C5A6E">
        <w:rPr>
          <w:rFonts w:ascii="Times New Roman" w:eastAsia="Aptos" w:hAnsi="Times New Roman"/>
          <w:kern w:val="2"/>
          <w:sz w:val="24"/>
          <w:szCs w:val="24"/>
          <w:lang w:eastAsia="en-US"/>
          <w14:ligatures w14:val="standardContextual"/>
        </w:rPr>
        <w:t>1</w:t>
      </w:r>
      <w:r w:rsidRPr="007C5A6E">
        <w:rPr>
          <w:rFonts w:ascii="Times New Roman" w:eastAsia="Aptos" w:hAnsi="Times New Roman"/>
          <w:kern w:val="2"/>
          <w:sz w:val="24"/>
          <w:szCs w:val="24"/>
          <w:lang w:eastAsia="en-US"/>
          <w14:ligatures w14:val="standardContextual"/>
        </w:rPr>
        <w:t>, toutes ces recommandations sont organisées sous forme de projet de plan d’action à court, moyen et long terme. Dans l’hypothèse de son application, les structures concernées devront déterminer les ressources à allouer selon leur priorité et le budget disponible.</w:t>
      </w:r>
    </w:p>
    <w:p w14:paraId="5BC7F182" w14:textId="77777777" w:rsidR="00580307" w:rsidRPr="007C5A6E" w:rsidRDefault="00580307" w:rsidP="00580307">
      <w:pPr>
        <w:spacing w:after="0" w:line="240" w:lineRule="auto"/>
        <w:rPr>
          <w:rFonts w:ascii="Times New Roman" w:hAnsi="Times New Roman"/>
          <w:sz w:val="24"/>
          <w:szCs w:val="24"/>
        </w:rPr>
      </w:pPr>
    </w:p>
    <w:p w14:paraId="4AEBB44D" w14:textId="77777777" w:rsidR="00800F57" w:rsidRPr="007C5A6E" w:rsidRDefault="00800F57" w:rsidP="00580307">
      <w:pPr>
        <w:keepNext/>
        <w:keepLines/>
        <w:numPr>
          <w:ilvl w:val="2"/>
          <w:numId w:val="4"/>
        </w:numPr>
        <w:tabs>
          <w:tab w:val="num" w:pos="360"/>
        </w:tabs>
        <w:spacing w:after="0" w:line="240" w:lineRule="auto"/>
        <w:ind w:left="0" w:firstLine="0"/>
        <w:outlineLvl w:val="2"/>
        <w:rPr>
          <w:rFonts w:ascii="Times New Roman" w:eastAsiaTheme="minorHAnsi" w:hAnsi="Times New Roman" w:cstheme="majorBidi"/>
          <w:b/>
          <w:i/>
          <w:iCs/>
          <w:sz w:val="26"/>
          <w:szCs w:val="24"/>
          <w:lang w:val="fr-BF" w:eastAsia="en-US"/>
        </w:rPr>
      </w:pPr>
      <w:bookmarkStart w:id="1661" w:name="_Toc183340377"/>
      <w:r w:rsidRPr="007C5A6E">
        <w:rPr>
          <w:rFonts w:ascii="Times New Roman" w:eastAsiaTheme="minorHAnsi" w:hAnsi="Times New Roman" w:cstheme="majorBidi"/>
          <w:b/>
          <w:i/>
          <w:iCs/>
          <w:sz w:val="26"/>
          <w:szCs w:val="24"/>
          <w:lang w:val="fr-BF" w:eastAsia="en-US"/>
        </w:rPr>
        <w:t>Dans le domaine de la santé publique</w:t>
      </w:r>
      <w:bookmarkEnd w:id="1661"/>
      <w:r w:rsidRPr="007C5A6E">
        <w:rPr>
          <w:rFonts w:ascii="Times New Roman" w:eastAsiaTheme="minorHAnsi" w:hAnsi="Times New Roman" w:cstheme="majorBidi"/>
          <w:b/>
          <w:i/>
          <w:iCs/>
          <w:sz w:val="26"/>
          <w:szCs w:val="24"/>
          <w:lang w:val="fr-BF" w:eastAsia="en-US"/>
        </w:rPr>
        <w:t xml:space="preserve"> </w:t>
      </w:r>
    </w:p>
    <w:p w14:paraId="4F70D12D" w14:textId="77777777" w:rsidR="00800F57" w:rsidRPr="007C5A6E" w:rsidRDefault="00800F57" w:rsidP="004C055F">
      <w:pPr>
        <w:spacing w:after="0" w:line="240" w:lineRule="auto"/>
        <w:jc w:val="both"/>
        <w:rPr>
          <w:rFonts w:ascii="Times New Roman" w:hAnsi="Times New Roman"/>
          <w:sz w:val="24"/>
          <w:szCs w:val="24"/>
          <w:lang w:val="fr-BF"/>
        </w:rPr>
      </w:pPr>
    </w:p>
    <w:p w14:paraId="5F7F84C3" w14:textId="13A87810" w:rsidR="004C055F" w:rsidRPr="007C5A6E" w:rsidRDefault="004C055F" w:rsidP="004C055F">
      <w:pPr>
        <w:spacing w:after="0" w:line="259"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A l’endroit du Ministères de la santé et du Ministère de la fonction publique, du travail et de la protection sociale :</w:t>
      </w:r>
    </w:p>
    <w:p w14:paraId="3A1509E7" w14:textId="79D409AE" w:rsidR="004C055F" w:rsidRPr="007C5A6E" w:rsidRDefault="004C055F" w:rsidP="00315704">
      <w:pPr>
        <w:numPr>
          <w:ilvl w:val="0"/>
          <w:numId w:val="83"/>
        </w:numPr>
        <w:spacing w:after="0" w:line="240" w:lineRule="auto"/>
        <w:ind w:left="357" w:hanging="357"/>
        <w:jc w:val="both"/>
        <w:rPr>
          <w:rFonts w:ascii="Times New Roman" w:eastAsiaTheme="minorHAnsi"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Opérationnaliser</w:t>
      </w:r>
      <w:r w:rsidRPr="007C5A6E">
        <w:rPr>
          <w:rFonts w:ascii="Times New Roman" w:eastAsiaTheme="minorHAnsi" w:hAnsi="Times New Roman"/>
          <w:kern w:val="2"/>
          <w:sz w:val="24"/>
          <w:szCs w:val="24"/>
          <w:lang w:eastAsia="en-US"/>
          <w14:ligatures w14:val="standardContextual"/>
        </w:rPr>
        <w:t xml:space="preserve"> l’assurance maladie universelle : Pour permettre une prise en charge adéquate et réduire le fardeau des maladies liées à l’environnement, il s’avère indispensable rendre opérationnelle l’assurance universelle maladie et tout mettre en œuvre pour une bonne adhésion des populations ;</w:t>
      </w:r>
    </w:p>
    <w:p w14:paraId="1C702958" w14:textId="77777777" w:rsidR="004C055F" w:rsidRPr="007C5A6E" w:rsidRDefault="004C055F" w:rsidP="004C055F">
      <w:pPr>
        <w:spacing w:after="0" w:line="259" w:lineRule="auto"/>
        <w:jc w:val="both"/>
        <w:rPr>
          <w:rFonts w:ascii="Times New Roman" w:eastAsiaTheme="minorHAnsi" w:hAnsi="Times New Roman"/>
          <w:kern w:val="2"/>
          <w:sz w:val="24"/>
          <w:szCs w:val="24"/>
          <w:lang w:eastAsia="en-US"/>
          <w14:ligatures w14:val="standardContextual"/>
        </w:rPr>
      </w:pPr>
    </w:p>
    <w:p w14:paraId="5429AD52" w14:textId="6186163B" w:rsidR="004C055F" w:rsidRPr="007C5A6E" w:rsidRDefault="004C055F" w:rsidP="004C055F">
      <w:pPr>
        <w:spacing w:after="0" w:line="259"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A l’endroit du Ministère de l’Industrie, du Commerce et de l’Artisanat :</w:t>
      </w:r>
    </w:p>
    <w:p w14:paraId="5DEB0ACA" w14:textId="60F10902" w:rsidR="004C055F" w:rsidRPr="007C5A6E" w:rsidRDefault="004C055F" w:rsidP="00315704">
      <w:pPr>
        <w:numPr>
          <w:ilvl w:val="0"/>
          <w:numId w:val="83"/>
        </w:numPr>
        <w:spacing w:after="0" w:line="240" w:lineRule="auto"/>
        <w:ind w:left="357" w:hanging="357"/>
        <w:jc w:val="both"/>
        <w:rPr>
          <w:rFonts w:ascii="Times New Roman" w:eastAsiaTheme="minorHAnsi"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Réduire</w:t>
      </w:r>
      <w:r w:rsidRPr="007C5A6E">
        <w:rPr>
          <w:rFonts w:ascii="Times New Roman" w:eastAsiaTheme="minorHAnsi" w:hAnsi="Times New Roman"/>
          <w:kern w:val="2"/>
          <w:sz w:val="24"/>
          <w:szCs w:val="24"/>
          <w:lang w:eastAsia="en-US"/>
          <w14:ligatures w14:val="standardContextual"/>
        </w:rPr>
        <w:t xml:space="preserve"> les taxes d’importation des véhicules neufs ou âgés de moins de cinq ans, et taxer plus chers les véhicules de plus de dix ans. Une telle politique permettrait l’entrée de véhicules moins pollueurs ;</w:t>
      </w:r>
    </w:p>
    <w:p w14:paraId="1D09C5B8" w14:textId="77777777" w:rsidR="004C055F" w:rsidRPr="007C5A6E" w:rsidRDefault="004C055F" w:rsidP="00315704">
      <w:pPr>
        <w:numPr>
          <w:ilvl w:val="0"/>
          <w:numId w:val="83"/>
        </w:numPr>
        <w:spacing w:after="0" w:line="240" w:lineRule="auto"/>
        <w:ind w:left="357" w:hanging="357"/>
        <w:jc w:val="both"/>
        <w:rPr>
          <w:rFonts w:ascii="Times New Roman" w:eastAsiaTheme="minorHAnsi"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Favoriser</w:t>
      </w:r>
      <w:r w:rsidRPr="007C5A6E">
        <w:rPr>
          <w:rFonts w:ascii="Times New Roman" w:eastAsiaTheme="minorHAnsi" w:hAnsi="Times New Roman"/>
          <w:kern w:val="2"/>
          <w:sz w:val="24"/>
          <w:szCs w:val="24"/>
          <w:lang w:eastAsia="en-US"/>
          <w14:ligatures w14:val="standardContextual"/>
        </w:rPr>
        <w:t xml:space="preserve"> le déploiement et l’utilisation des foyers à gaz pour atténuer les émissions de gaz par les activités culinaires ;</w:t>
      </w:r>
    </w:p>
    <w:p w14:paraId="0777ED77" w14:textId="77777777" w:rsidR="004C055F" w:rsidRPr="007C5A6E" w:rsidRDefault="004C055F" w:rsidP="004C055F">
      <w:pPr>
        <w:spacing w:after="0" w:line="259" w:lineRule="auto"/>
        <w:jc w:val="both"/>
        <w:rPr>
          <w:rFonts w:ascii="Times New Roman" w:eastAsiaTheme="minorHAnsi" w:hAnsi="Times New Roman"/>
          <w:kern w:val="2"/>
          <w:sz w:val="24"/>
          <w:szCs w:val="24"/>
          <w:lang w:eastAsia="en-US"/>
          <w14:ligatures w14:val="standardContextual"/>
        </w:rPr>
      </w:pPr>
    </w:p>
    <w:p w14:paraId="1AF2F19F" w14:textId="4F664D90" w:rsidR="004C055F" w:rsidRPr="007C5A6E" w:rsidRDefault="004C055F" w:rsidP="004C055F">
      <w:pPr>
        <w:spacing w:after="0" w:line="259" w:lineRule="auto"/>
        <w:jc w:val="both"/>
        <w:rPr>
          <w:rFonts w:ascii="Times New Roman" w:eastAsiaTheme="minorHAnsi" w:hAnsi="Times New Roman"/>
          <w:kern w:val="2"/>
          <w:sz w:val="24"/>
          <w:szCs w:val="24"/>
          <w:lang w:eastAsia="en-US"/>
          <w14:ligatures w14:val="standardContextual"/>
        </w:rPr>
      </w:pPr>
      <w:r w:rsidRPr="007C5A6E">
        <w:rPr>
          <w:rFonts w:ascii="Times New Roman" w:eastAsiaTheme="minorHAnsi" w:hAnsi="Times New Roman"/>
          <w:kern w:val="2"/>
          <w:sz w:val="24"/>
          <w:szCs w:val="24"/>
          <w:lang w:eastAsia="en-US"/>
          <w14:ligatures w14:val="standardContextual"/>
        </w:rPr>
        <w:t>A l’endroit du Ministère de la Santé et du Ministère de l’Enseignement Supérieur, de la Recherche et de l’Innovation :</w:t>
      </w:r>
    </w:p>
    <w:p w14:paraId="752C2911" w14:textId="66A0977B" w:rsidR="004C055F" w:rsidRPr="007C5A6E" w:rsidRDefault="004C055F" w:rsidP="00315704">
      <w:pPr>
        <w:numPr>
          <w:ilvl w:val="0"/>
          <w:numId w:val="83"/>
        </w:numPr>
        <w:spacing w:after="0" w:line="240" w:lineRule="auto"/>
        <w:ind w:left="357" w:hanging="357"/>
        <w:jc w:val="both"/>
        <w:rPr>
          <w:rFonts w:ascii="Times New Roman" w:eastAsiaTheme="minorHAnsi"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Encourager</w:t>
      </w:r>
      <w:r w:rsidRPr="007C5A6E">
        <w:rPr>
          <w:rFonts w:ascii="Times New Roman" w:eastAsiaTheme="minorHAnsi" w:hAnsi="Times New Roman"/>
          <w:kern w:val="2"/>
          <w:sz w:val="24"/>
          <w:szCs w:val="24"/>
          <w:lang w:eastAsia="en-US"/>
          <w14:ligatures w14:val="standardContextual"/>
        </w:rPr>
        <w:t xml:space="preserve"> la recherche en santé sur les maladies liées l’environnement à travers la mise en œuvre du Programme National Fédérateur de Recherche en santé humaine et animale et le renforcement de la surveillance des maladies liées l’environnement ;</w:t>
      </w:r>
    </w:p>
    <w:p w14:paraId="3A3055E1" w14:textId="77777777" w:rsidR="004C055F" w:rsidRPr="007C5A6E" w:rsidRDefault="004C055F" w:rsidP="00315704">
      <w:pPr>
        <w:numPr>
          <w:ilvl w:val="0"/>
          <w:numId w:val="83"/>
        </w:numPr>
        <w:spacing w:after="0" w:line="240" w:lineRule="auto"/>
        <w:ind w:left="357" w:hanging="357"/>
        <w:jc w:val="both"/>
        <w:rPr>
          <w:rFonts w:ascii="Times New Roman" w:eastAsiaTheme="minorHAnsi" w:hAnsi="Times New Roman"/>
          <w:kern w:val="2"/>
          <w:sz w:val="24"/>
          <w:szCs w:val="24"/>
          <w:lang w:eastAsia="en-US"/>
          <w14:ligatures w14:val="standardContextual"/>
        </w:rPr>
      </w:pPr>
      <w:r w:rsidRPr="007C5A6E">
        <w:rPr>
          <w:rFonts w:ascii="Times New Roman" w:eastAsia="Aptos" w:hAnsi="Times New Roman"/>
          <w:kern w:val="2"/>
          <w:sz w:val="24"/>
          <w:szCs w:val="24"/>
          <w:lang w:eastAsia="en-US"/>
          <w14:ligatures w14:val="standardContextual"/>
        </w:rPr>
        <w:t>Améliorer</w:t>
      </w:r>
      <w:r w:rsidRPr="007C5A6E">
        <w:rPr>
          <w:rFonts w:ascii="Times New Roman" w:eastAsiaTheme="minorHAnsi" w:hAnsi="Times New Roman"/>
          <w:kern w:val="2"/>
          <w:sz w:val="24"/>
          <w:szCs w:val="24"/>
          <w:lang w:eastAsia="en-US"/>
          <w14:ligatures w14:val="standardContextual"/>
        </w:rPr>
        <w:t xml:space="preserve"> le rapportage des données sur les maladies liées l’environnement notamment dans les annuaires statistiques sanitaires.</w:t>
      </w:r>
    </w:p>
    <w:p w14:paraId="6B5B775F" w14:textId="77777777" w:rsidR="004C055F" w:rsidRPr="007C5A6E" w:rsidRDefault="004C055F" w:rsidP="004C055F">
      <w:pPr>
        <w:keepNext/>
        <w:keepLines/>
        <w:numPr>
          <w:ilvl w:val="0"/>
          <w:numId w:val="58"/>
        </w:numPr>
        <w:spacing w:after="0" w:line="259" w:lineRule="auto"/>
        <w:ind w:left="0" w:firstLine="0"/>
        <w:jc w:val="both"/>
        <w:outlineLvl w:val="0"/>
        <w:rPr>
          <w:rFonts w:ascii="Times New Roman" w:eastAsiaTheme="majorEastAsia" w:hAnsi="Times New Roman"/>
          <w:b/>
          <w:bCs/>
          <w:kern w:val="2"/>
          <w:sz w:val="24"/>
          <w:szCs w:val="24"/>
          <w:lang w:eastAsia="en-US"/>
          <w14:ligatures w14:val="standardContextual"/>
        </w:rPr>
        <w:sectPr w:rsidR="004C055F" w:rsidRPr="007C5A6E" w:rsidSect="00CF0199">
          <w:pgSz w:w="11907" w:h="16840" w:code="9"/>
          <w:pgMar w:top="1418" w:right="1418" w:bottom="1418" w:left="1418" w:header="709" w:footer="709" w:gutter="0"/>
          <w:cols w:space="708"/>
          <w:titlePg/>
          <w:docGrid w:linePitch="360"/>
        </w:sectPr>
      </w:pPr>
    </w:p>
    <w:p w14:paraId="0FE1E774" w14:textId="77777777" w:rsidR="004C055F" w:rsidRPr="007C5A6E" w:rsidRDefault="004C055F" w:rsidP="004C055F">
      <w:pPr>
        <w:pStyle w:val="Titre1"/>
        <w:numPr>
          <w:ilvl w:val="0"/>
          <w:numId w:val="0"/>
        </w:numPr>
        <w:spacing w:before="0"/>
        <w:ind w:left="432" w:hanging="432"/>
      </w:pPr>
      <w:bookmarkStart w:id="1662" w:name="_Toc482562297"/>
      <w:bookmarkStart w:id="1663" w:name="_Toc183340378"/>
      <w:r w:rsidRPr="007C5A6E">
        <w:t>REFERENCES DOCUMENTAIRES</w:t>
      </w:r>
      <w:bookmarkEnd w:id="1662"/>
      <w:bookmarkEnd w:id="1663"/>
    </w:p>
    <w:p w14:paraId="0FB2C76D" w14:textId="77777777" w:rsidR="004C055F" w:rsidRPr="007C5A6E" w:rsidRDefault="004C055F" w:rsidP="006F6024">
      <w:pPr>
        <w:spacing w:after="0" w:line="240" w:lineRule="auto"/>
        <w:rPr>
          <w:rFonts w:ascii="Times New Roman" w:hAnsi="Times New Roman"/>
          <w:sz w:val="24"/>
          <w:szCs w:val="24"/>
          <w:lang w:val="fr-BF"/>
        </w:rPr>
      </w:pPr>
    </w:p>
    <w:p w14:paraId="5848B054" w14:textId="4A458D7C" w:rsidR="004C055F" w:rsidRPr="007C5A6E" w:rsidRDefault="004C055F" w:rsidP="006F6024">
      <w:pPr>
        <w:numPr>
          <w:ilvl w:val="0"/>
          <w:numId w:val="84"/>
        </w:numPr>
        <w:spacing w:after="0" w:line="240" w:lineRule="auto"/>
        <w:ind w:left="357" w:hanging="357"/>
        <w:jc w:val="both"/>
        <w:rPr>
          <w:rFonts w:ascii="Times New Roman" w:hAnsi="Times New Roman"/>
          <w:b/>
          <w:sz w:val="24"/>
          <w:szCs w:val="24"/>
        </w:rPr>
      </w:pPr>
      <w:r w:rsidRPr="007C5A6E">
        <w:rPr>
          <w:rFonts w:ascii="Times New Roman" w:hAnsi="Times New Roman"/>
          <w:b/>
          <w:sz w:val="24"/>
          <w:szCs w:val="24"/>
        </w:rPr>
        <w:t>CLIMAT ET CATASTROPHES NATURELLES</w:t>
      </w:r>
    </w:p>
    <w:p w14:paraId="7BB3EBDE" w14:textId="77777777" w:rsidR="004C055F" w:rsidRPr="007C5A6E" w:rsidRDefault="004C055F" w:rsidP="006F6024">
      <w:pPr>
        <w:spacing w:after="0" w:line="240" w:lineRule="auto"/>
        <w:jc w:val="both"/>
        <w:rPr>
          <w:rFonts w:ascii="Times New Roman" w:hAnsi="Times New Roman"/>
          <w:b/>
        </w:rPr>
      </w:pPr>
    </w:p>
    <w:p w14:paraId="0758B867" w14:textId="77777777" w:rsidR="006F6024" w:rsidRPr="007C5A6E" w:rsidRDefault="006F6024" w:rsidP="006F6024">
      <w:pPr>
        <w:spacing w:after="0" w:line="240" w:lineRule="auto"/>
        <w:rPr>
          <w:rFonts w:ascii="Times New Roman" w:eastAsiaTheme="minorHAnsi" w:hAnsi="Times New Roman" w:cstheme="minorBidi"/>
          <w:b/>
          <w:bCs/>
          <w:kern w:val="2"/>
          <w:sz w:val="20"/>
          <w:szCs w:val="20"/>
          <w:lang w:eastAsia="en-US"/>
          <w14:ligatures w14:val="standardContextual"/>
        </w:rPr>
      </w:pPr>
      <w:r w:rsidRPr="007C5A6E">
        <w:rPr>
          <w:rFonts w:ascii="Times New Roman" w:eastAsiaTheme="minorHAnsi" w:hAnsi="Times New Roman" w:cstheme="minorBidi"/>
          <w:b/>
          <w:bCs/>
          <w:kern w:val="2"/>
          <w:sz w:val="20"/>
          <w:szCs w:val="20"/>
          <w:lang w:eastAsia="en-US"/>
          <w14:ligatures w14:val="standardContextual"/>
        </w:rPr>
        <w:t>Articles scientifiques</w:t>
      </w:r>
    </w:p>
    <w:p w14:paraId="71A7066E" w14:textId="2C6605AD" w:rsidR="006F6024" w:rsidRPr="007C5A6E" w:rsidRDefault="006F6024" w:rsidP="006F6024">
      <w:pPr>
        <w:spacing w:after="0" w:line="240" w:lineRule="auto"/>
        <w:jc w:val="both"/>
        <w:rPr>
          <w:rFonts w:ascii="Times New Roman" w:eastAsiaTheme="minorHAnsi" w:hAnsi="Times New Roman" w:cstheme="minorBidi"/>
          <w:kern w:val="2"/>
          <w:sz w:val="20"/>
          <w:szCs w:val="20"/>
          <w:lang w:val="en-US" w:eastAsia="en-US"/>
          <w14:ligatures w14:val="standardContextual"/>
        </w:rPr>
      </w:pPr>
      <w:r w:rsidRPr="007C5A6E">
        <w:rPr>
          <w:rFonts w:ascii="Times New Roman" w:eastAsiaTheme="minorHAnsi" w:hAnsi="Times New Roman" w:cstheme="minorBidi"/>
          <w:kern w:val="2"/>
          <w:sz w:val="20"/>
          <w:szCs w:val="20"/>
          <w:lang w:val="en-US" w:eastAsia="en-US"/>
          <w14:ligatures w14:val="standardContextual"/>
        </w:rPr>
        <w:t>Evaluation and comparison of CMIP6 and CMIP5 model performance in simulating the seasonal extreme precipitation in the Western North Pacific and East Asia, Chao-An Chen, Huang-Hsiung Hsu, Hsin-Chien Liang ,</w:t>
      </w:r>
      <w:hyperlink r:id="rId257" w:tooltip="Go to Weather and Climate Extremes on ScienceDirect" w:history="1">
        <w:r w:rsidRPr="007C5A6E">
          <w:rPr>
            <w:rFonts w:ascii="Times New Roman" w:eastAsiaTheme="minorHAnsi" w:hAnsi="Times New Roman" w:cstheme="minorBidi"/>
            <w:color w:val="0000FF"/>
            <w:kern w:val="2"/>
            <w:sz w:val="20"/>
            <w:szCs w:val="20"/>
            <w:u w:val="single"/>
            <w:lang w:val="en-US" w:eastAsia="en-US"/>
            <w14:ligatures w14:val="standardContextual"/>
          </w:rPr>
          <w:t>Weather and Climate Extremes</w:t>
        </w:r>
      </w:hyperlink>
      <w:r w:rsidRPr="007C5A6E">
        <w:rPr>
          <w:rFonts w:ascii="Times New Roman" w:eastAsiaTheme="minorHAnsi" w:hAnsi="Times New Roman" w:cstheme="minorBidi"/>
          <w:color w:val="0000FF"/>
          <w:kern w:val="2"/>
          <w:sz w:val="20"/>
          <w:szCs w:val="20"/>
          <w:u w:val="single"/>
          <w:lang w:val="en-US" w:eastAsia="en-US"/>
          <w14:ligatures w14:val="standardContextual"/>
        </w:rPr>
        <w:t xml:space="preserve"> </w:t>
      </w:r>
      <w:hyperlink r:id="rId258" w:tooltip="Go to table of contents for this volume/issue" w:history="1">
        <w:r w:rsidRPr="007C5A6E">
          <w:rPr>
            <w:rFonts w:ascii="Times New Roman" w:eastAsiaTheme="minorHAnsi" w:hAnsi="Times New Roman" w:cstheme="minorBidi"/>
            <w:color w:val="0000FF"/>
            <w:kern w:val="2"/>
            <w:sz w:val="20"/>
            <w:szCs w:val="20"/>
            <w:u w:val="single"/>
            <w:lang w:val="en-US" w:eastAsia="en-US"/>
            <w14:ligatures w14:val="standardContextual"/>
          </w:rPr>
          <w:t>Volume 31</w:t>
        </w:r>
      </w:hyperlink>
      <w:r w:rsidRPr="007C5A6E">
        <w:rPr>
          <w:rFonts w:ascii="Times New Roman" w:eastAsiaTheme="minorHAnsi" w:hAnsi="Times New Roman" w:cstheme="minorBidi"/>
          <w:kern w:val="2"/>
          <w:sz w:val="20"/>
          <w:szCs w:val="20"/>
          <w:lang w:val="en-US" w:eastAsia="en-US"/>
          <w14:ligatures w14:val="standardContextual"/>
        </w:rPr>
        <w:t>, March 2021, 100303</w:t>
      </w:r>
    </w:p>
    <w:p w14:paraId="139A9F05" w14:textId="77777777" w:rsidR="006F6024" w:rsidRPr="007C5A6E" w:rsidRDefault="006F6024" w:rsidP="006F6024">
      <w:pPr>
        <w:spacing w:after="0" w:line="240" w:lineRule="auto"/>
        <w:jc w:val="both"/>
        <w:rPr>
          <w:rFonts w:ascii="Times New Roman" w:eastAsiaTheme="minorHAnsi" w:hAnsi="Times New Roman" w:cstheme="minorBidi"/>
          <w:kern w:val="2"/>
          <w:sz w:val="20"/>
          <w:szCs w:val="20"/>
          <w:lang w:val="en-US" w:eastAsia="en-US"/>
          <w14:ligatures w14:val="standardContextual"/>
        </w:rPr>
      </w:pPr>
    </w:p>
    <w:p w14:paraId="2FAEA0F3" w14:textId="3CC6042A" w:rsidR="006F6024" w:rsidRPr="007C5A6E" w:rsidRDefault="006F6024" w:rsidP="006F6024">
      <w:pPr>
        <w:spacing w:after="0" w:line="240" w:lineRule="auto"/>
        <w:jc w:val="both"/>
        <w:rPr>
          <w:rFonts w:ascii="Times New Roman" w:eastAsiaTheme="minorHAnsi" w:hAnsi="Times New Roman" w:cstheme="minorBidi"/>
          <w:kern w:val="2"/>
          <w:sz w:val="20"/>
          <w:szCs w:val="20"/>
          <w:lang w:val="en-US" w:eastAsia="en-US"/>
          <w14:ligatures w14:val="standardContextual"/>
        </w:rPr>
      </w:pPr>
      <w:r w:rsidRPr="007C5A6E">
        <w:rPr>
          <w:rFonts w:ascii="Times New Roman" w:eastAsiaTheme="minorHAnsi" w:hAnsi="Times New Roman" w:cstheme="minorBidi"/>
          <w:kern w:val="2"/>
          <w:sz w:val="20"/>
          <w:szCs w:val="20"/>
          <w:lang w:val="en-US" w:eastAsia="en-US"/>
          <w14:ligatures w14:val="standardContextual"/>
        </w:rPr>
        <w:t>Frequency of different types of El Niño events under global warming, Alizadeh, 2022 - International Journal of Climatology - Wiley Online library</w:t>
      </w:r>
    </w:p>
    <w:p w14:paraId="1B9FE3DE" w14:textId="77777777" w:rsidR="006F6024" w:rsidRPr="007C5A6E" w:rsidRDefault="006F6024" w:rsidP="006F6024">
      <w:pPr>
        <w:spacing w:after="0" w:line="240" w:lineRule="auto"/>
        <w:jc w:val="both"/>
        <w:rPr>
          <w:rFonts w:ascii="Times New Roman" w:eastAsiaTheme="minorHAnsi" w:hAnsi="Times New Roman" w:cstheme="minorBidi"/>
          <w:b/>
          <w:bCs/>
          <w:kern w:val="2"/>
          <w:sz w:val="20"/>
          <w:szCs w:val="20"/>
          <w:lang w:val="en-US" w:eastAsia="en-US"/>
          <w14:ligatures w14:val="standardContextual"/>
        </w:rPr>
      </w:pPr>
    </w:p>
    <w:p w14:paraId="59614ED6" w14:textId="2DD33B8A" w:rsidR="006F6024" w:rsidRPr="007C5A6E" w:rsidRDefault="006F6024" w:rsidP="006F6024">
      <w:pPr>
        <w:spacing w:after="0" w:line="240" w:lineRule="auto"/>
        <w:jc w:val="both"/>
        <w:rPr>
          <w:rFonts w:ascii="Times New Roman" w:eastAsiaTheme="minorHAnsi" w:hAnsi="Times New Roman" w:cstheme="minorBidi"/>
          <w:b/>
          <w:bCs/>
          <w:kern w:val="2"/>
          <w:sz w:val="20"/>
          <w:szCs w:val="20"/>
          <w:lang w:eastAsia="en-US"/>
          <w14:ligatures w14:val="standardContextual"/>
        </w:rPr>
      </w:pPr>
      <w:r w:rsidRPr="007C5A6E">
        <w:rPr>
          <w:rFonts w:ascii="Times New Roman" w:eastAsiaTheme="minorHAnsi" w:hAnsi="Times New Roman" w:cstheme="minorBidi"/>
          <w:b/>
          <w:bCs/>
          <w:kern w:val="2"/>
          <w:sz w:val="20"/>
          <w:szCs w:val="20"/>
          <w:lang w:eastAsia="en-US"/>
          <w14:ligatures w14:val="standardContextual"/>
        </w:rPr>
        <w:t>Textes législatifs</w:t>
      </w:r>
    </w:p>
    <w:p w14:paraId="051A494E" w14:textId="5FF5811B" w:rsidR="006F6024" w:rsidRPr="007C5A6E" w:rsidRDefault="006F6024" w:rsidP="006F6024">
      <w:pPr>
        <w:spacing w:after="0" w:line="240" w:lineRule="auto"/>
        <w:jc w:val="both"/>
        <w:rPr>
          <w:rFonts w:ascii="Times New Roman" w:eastAsiaTheme="minorHAnsi" w:hAnsi="Times New Roman" w:cstheme="minorBidi"/>
          <w:b/>
          <w:bCs/>
          <w:color w:val="0000FF"/>
          <w:kern w:val="2"/>
          <w:sz w:val="20"/>
          <w:szCs w:val="20"/>
          <w:u w:val="single"/>
          <w:lang w:eastAsia="en-US"/>
          <w14:ligatures w14:val="standardContextual"/>
        </w:rPr>
      </w:pPr>
      <w:hyperlink r:id="rId259" w:tgtFrame="_blank" w:history="1">
        <w:r w:rsidRPr="007C5A6E">
          <w:rPr>
            <w:rFonts w:ascii="Times New Roman" w:eastAsiaTheme="minorHAnsi" w:hAnsi="Times New Roman" w:cstheme="minorBidi"/>
            <w:bCs/>
            <w:color w:val="0000FF"/>
            <w:kern w:val="2"/>
            <w:sz w:val="20"/>
            <w:szCs w:val="20"/>
            <w:u w:val="single"/>
            <w:lang w:eastAsia="en-US"/>
            <w14:ligatures w14:val="standardContextual"/>
          </w:rPr>
          <w:t xml:space="preserve">Décret N°2009-601/PRES/PM/MASSN/MEF/MATD </w:t>
        </w:r>
        <w:proofErr w:type="gramStart"/>
        <w:r w:rsidRPr="007C5A6E">
          <w:rPr>
            <w:rFonts w:ascii="Times New Roman" w:eastAsiaTheme="minorHAnsi" w:hAnsi="Times New Roman" w:cstheme="minorBidi"/>
            <w:bCs/>
            <w:color w:val="0000FF"/>
            <w:kern w:val="2"/>
            <w:sz w:val="20"/>
            <w:szCs w:val="20"/>
            <w:u w:val="single"/>
            <w:lang w:eastAsia="en-US"/>
            <w14:ligatures w14:val="standardContextual"/>
          </w:rPr>
          <w:t>portant  création</w:t>
        </w:r>
        <w:proofErr w:type="gramEnd"/>
        <w:r w:rsidRPr="007C5A6E">
          <w:rPr>
            <w:rFonts w:ascii="Times New Roman" w:eastAsiaTheme="minorHAnsi" w:hAnsi="Times New Roman" w:cstheme="minorBidi"/>
            <w:bCs/>
            <w:color w:val="0000FF"/>
            <w:kern w:val="2"/>
            <w:sz w:val="20"/>
            <w:szCs w:val="20"/>
            <w:u w:val="single"/>
            <w:lang w:eastAsia="en-US"/>
            <w14:ligatures w14:val="standardContextual"/>
          </w:rPr>
          <w:t>, composition, attributions et fonctionnement du Conseil National de Secours d'Urgence et de Réhabilitation.</w:t>
        </w:r>
      </w:hyperlink>
    </w:p>
    <w:p w14:paraId="23B497E4" w14:textId="77777777" w:rsidR="006F6024" w:rsidRPr="007C5A6E" w:rsidRDefault="006F6024" w:rsidP="006F6024">
      <w:pPr>
        <w:spacing w:after="0" w:line="240" w:lineRule="auto"/>
        <w:jc w:val="both"/>
        <w:rPr>
          <w:rFonts w:ascii="Times New Roman" w:eastAsiaTheme="minorHAnsi" w:hAnsi="Times New Roman" w:cstheme="minorBidi"/>
          <w:kern w:val="2"/>
          <w:sz w:val="20"/>
          <w:szCs w:val="20"/>
          <w:lang w:eastAsia="en-US"/>
          <w14:ligatures w14:val="standardContextual"/>
        </w:rPr>
      </w:pPr>
    </w:p>
    <w:p w14:paraId="5C7AD57B" w14:textId="4B76B2C2" w:rsidR="006F6024" w:rsidRPr="007C5A6E" w:rsidRDefault="006F6024" w:rsidP="006F6024">
      <w:pPr>
        <w:spacing w:after="0" w:line="240" w:lineRule="auto"/>
        <w:jc w:val="both"/>
        <w:rPr>
          <w:rFonts w:ascii="Times New Roman" w:eastAsiaTheme="minorHAnsi" w:hAnsi="Times New Roman" w:cstheme="minorBidi"/>
          <w:kern w:val="2"/>
          <w:sz w:val="20"/>
          <w:szCs w:val="20"/>
          <w:lang w:eastAsia="en-US"/>
          <w14:ligatures w14:val="standardContextual"/>
        </w:rPr>
      </w:pPr>
      <w:r w:rsidRPr="007C5A6E">
        <w:rPr>
          <w:rFonts w:ascii="Times New Roman" w:eastAsiaTheme="minorHAnsi" w:hAnsi="Times New Roman" w:cstheme="minorBidi"/>
          <w:kern w:val="2"/>
          <w:sz w:val="20"/>
          <w:szCs w:val="20"/>
          <w:lang w:eastAsia="en-US"/>
          <w14:ligatures w14:val="standardContextual"/>
        </w:rPr>
        <w:t xml:space="preserve">Loi n° 012-2014/an portant loi d’orientation relative </w:t>
      </w:r>
      <w:proofErr w:type="spellStart"/>
      <w:r w:rsidRPr="007C5A6E">
        <w:rPr>
          <w:rFonts w:ascii="Times New Roman" w:eastAsiaTheme="minorHAnsi" w:hAnsi="Times New Roman" w:cstheme="minorBidi"/>
          <w:kern w:val="2"/>
          <w:sz w:val="20"/>
          <w:szCs w:val="20"/>
          <w:lang w:eastAsia="en-US"/>
          <w14:ligatures w14:val="standardContextual"/>
        </w:rPr>
        <w:t>a</w:t>
      </w:r>
      <w:proofErr w:type="spellEnd"/>
      <w:r w:rsidRPr="007C5A6E">
        <w:rPr>
          <w:rFonts w:ascii="Times New Roman" w:eastAsiaTheme="minorHAnsi" w:hAnsi="Times New Roman" w:cstheme="minorBidi"/>
          <w:kern w:val="2"/>
          <w:sz w:val="20"/>
          <w:szCs w:val="20"/>
          <w:lang w:eastAsia="en-US"/>
          <w14:ligatures w14:val="standardContextual"/>
        </w:rPr>
        <w:t xml:space="preserve"> la prévention et </w:t>
      </w:r>
      <w:proofErr w:type="spellStart"/>
      <w:r w:rsidRPr="007C5A6E">
        <w:rPr>
          <w:rFonts w:ascii="Times New Roman" w:eastAsiaTheme="minorHAnsi" w:hAnsi="Times New Roman" w:cstheme="minorBidi"/>
          <w:kern w:val="2"/>
          <w:sz w:val="20"/>
          <w:szCs w:val="20"/>
          <w:lang w:eastAsia="en-US"/>
          <w14:ligatures w14:val="standardContextual"/>
        </w:rPr>
        <w:t>a</w:t>
      </w:r>
      <w:proofErr w:type="spellEnd"/>
      <w:r w:rsidRPr="007C5A6E">
        <w:rPr>
          <w:rFonts w:ascii="Times New Roman" w:eastAsiaTheme="minorHAnsi" w:hAnsi="Times New Roman" w:cstheme="minorBidi"/>
          <w:kern w:val="2"/>
          <w:sz w:val="20"/>
          <w:szCs w:val="20"/>
          <w:lang w:eastAsia="en-US"/>
          <w14:ligatures w14:val="standardContextual"/>
        </w:rPr>
        <w:t xml:space="preserve"> la gestion des risques, des crises humanitaires et des catastrophes.</w:t>
      </w:r>
    </w:p>
    <w:p w14:paraId="78CE0F2C" w14:textId="77777777" w:rsidR="006F6024" w:rsidRPr="007C5A6E" w:rsidRDefault="006F6024" w:rsidP="006F6024">
      <w:pPr>
        <w:spacing w:after="0" w:line="240" w:lineRule="auto"/>
        <w:jc w:val="both"/>
        <w:rPr>
          <w:rFonts w:ascii="Times New Roman" w:eastAsiaTheme="minorHAnsi" w:hAnsi="Times New Roman" w:cstheme="minorBidi"/>
          <w:color w:val="0000FF"/>
          <w:kern w:val="2"/>
          <w:sz w:val="20"/>
          <w:szCs w:val="20"/>
          <w:u w:val="single"/>
          <w:lang w:eastAsia="en-US"/>
          <w14:ligatures w14:val="standardContextual"/>
        </w:rPr>
      </w:pPr>
    </w:p>
    <w:p w14:paraId="6F5CA699" w14:textId="6233D061" w:rsidR="006F6024" w:rsidRPr="007C5A6E" w:rsidRDefault="006F6024" w:rsidP="006F6024">
      <w:pPr>
        <w:spacing w:after="0" w:line="240" w:lineRule="auto"/>
        <w:jc w:val="both"/>
        <w:rPr>
          <w:rFonts w:ascii="Times New Roman" w:eastAsiaTheme="minorHAnsi" w:hAnsi="Times New Roman" w:cstheme="minorBidi"/>
          <w:kern w:val="2"/>
          <w:sz w:val="20"/>
          <w:szCs w:val="20"/>
          <w:lang w:eastAsia="en-US"/>
          <w14:ligatures w14:val="standardContextual"/>
        </w:rPr>
      </w:pPr>
      <w:r w:rsidRPr="007C5A6E">
        <w:rPr>
          <w:rFonts w:ascii="Times New Roman" w:eastAsiaTheme="minorHAnsi" w:hAnsi="Times New Roman" w:cstheme="minorBidi"/>
          <w:color w:val="0000FF"/>
          <w:kern w:val="2"/>
          <w:sz w:val="20"/>
          <w:szCs w:val="20"/>
          <w:u w:val="single"/>
          <w:lang w:eastAsia="en-US"/>
          <w14:ligatures w14:val="standardContextual"/>
        </w:rPr>
        <w:t xml:space="preserve">Décret N°2014-178/PRES/PM/MASSN/MATS/MEF </w:t>
      </w:r>
      <w:proofErr w:type="gramStart"/>
      <w:r w:rsidRPr="007C5A6E">
        <w:rPr>
          <w:rFonts w:ascii="Times New Roman" w:eastAsiaTheme="minorHAnsi" w:hAnsi="Times New Roman" w:cstheme="minorBidi"/>
          <w:color w:val="0000FF"/>
          <w:kern w:val="2"/>
          <w:sz w:val="20"/>
          <w:szCs w:val="20"/>
          <w:u w:val="single"/>
          <w:lang w:eastAsia="en-US"/>
          <w14:ligatures w14:val="standardContextual"/>
        </w:rPr>
        <w:t>portant  attributions</w:t>
      </w:r>
      <w:proofErr w:type="gramEnd"/>
      <w:r w:rsidRPr="007C5A6E">
        <w:rPr>
          <w:rFonts w:ascii="Times New Roman" w:eastAsiaTheme="minorHAnsi" w:hAnsi="Times New Roman" w:cstheme="minorBidi"/>
          <w:color w:val="0000FF"/>
          <w:kern w:val="2"/>
          <w:sz w:val="20"/>
          <w:szCs w:val="20"/>
          <w:u w:val="single"/>
          <w:lang w:eastAsia="en-US"/>
          <w14:ligatures w14:val="standardContextual"/>
        </w:rPr>
        <w:t>, organisation et fonctionnement du Secrétariat permanent du Conseil National de Secours d'Urgence et de Réhabilitation</w:t>
      </w:r>
    </w:p>
    <w:p w14:paraId="050F48A8" w14:textId="77777777" w:rsidR="006F6024" w:rsidRPr="007C5A6E" w:rsidRDefault="006F6024" w:rsidP="006F6024">
      <w:pPr>
        <w:spacing w:after="0" w:line="240" w:lineRule="auto"/>
        <w:jc w:val="both"/>
        <w:rPr>
          <w:rFonts w:ascii="Times New Roman" w:eastAsiaTheme="minorHAnsi" w:hAnsi="Times New Roman" w:cstheme="minorBidi"/>
          <w:kern w:val="2"/>
          <w:sz w:val="20"/>
          <w:szCs w:val="20"/>
          <w:lang w:eastAsia="en-US"/>
          <w14:ligatures w14:val="standardContextual"/>
        </w:rPr>
      </w:pPr>
    </w:p>
    <w:p w14:paraId="50703065" w14:textId="14290771" w:rsidR="006F6024" w:rsidRPr="007C5A6E" w:rsidRDefault="006F6024" w:rsidP="006F6024">
      <w:pPr>
        <w:spacing w:after="0" w:line="240" w:lineRule="auto"/>
        <w:jc w:val="both"/>
        <w:rPr>
          <w:rFonts w:ascii="Times New Roman" w:eastAsiaTheme="minorHAnsi" w:hAnsi="Times New Roman" w:cstheme="minorBidi"/>
          <w:b/>
          <w:bCs/>
          <w:color w:val="0000FF"/>
          <w:kern w:val="2"/>
          <w:sz w:val="20"/>
          <w:szCs w:val="20"/>
          <w:u w:val="single"/>
          <w:lang w:eastAsia="en-US"/>
          <w14:ligatures w14:val="standardContextual"/>
        </w:rPr>
      </w:pPr>
      <w:hyperlink r:id="rId260" w:tgtFrame="_blank" w:history="1">
        <w:r w:rsidRPr="007C5A6E">
          <w:rPr>
            <w:rFonts w:ascii="Times New Roman" w:eastAsiaTheme="minorHAnsi" w:hAnsi="Times New Roman" w:cstheme="minorBidi"/>
            <w:bCs/>
            <w:color w:val="0000FF"/>
            <w:kern w:val="2"/>
            <w:sz w:val="20"/>
            <w:szCs w:val="20"/>
            <w:u w:val="single"/>
            <w:lang w:eastAsia="en-US"/>
            <w14:ligatures w14:val="standardContextual"/>
          </w:rPr>
          <w:t>Arrêté N° 2015-024 /MASSN/CAB/portant organisation des départements du Secrétariat Permanent du Conseil National de Secours d’Urgence et de Réhabilitation</w:t>
        </w:r>
      </w:hyperlink>
    </w:p>
    <w:p w14:paraId="0DA6B34B" w14:textId="77777777" w:rsidR="006F6024" w:rsidRPr="007C5A6E" w:rsidRDefault="006F6024" w:rsidP="006F6024">
      <w:pPr>
        <w:spacing w:after="0" w:line="240" w:lineRule="auto"/>
        <w:jc w:val="both"/>
        <w:rPr>
          <w:rFonts w:ascii="Times New Roman" w:eastAsiaTheme="minorHAnsi" w:hAnsi="Times New Roman" w:cstheme="minorBidi"/>
          <w:b/>
          <w:bCs/>
          <w:color w:val="0000FF"/>
          <w:kern w:val="2"/>
          <w:sz w:val="20"/>
          <w:szCs w:val="20"/>
          <w:u w:val="single"/>
          <w:lang w:eastAsia="en-US"/>
          <w14:ligatures w14:val="standardContextual"/>
        </w:rPr>
      </w:pPr>
    </w:p>
    <w:p w14:paraId="7AFD736C" w14:textId="3662F6E6" w:rsidR="006F6024" w:rsidRPr="007C5A6E" w:rsidRDefault="006F6024" w:rsidP="006F6024">
      <w:pPr>
        <w:spacing w:after="0" w:line="240" w:lineRule="auto"/>
        <w:jc w:val="both"/>
        <w:rPr>
          <w:rFonts w:ascii="Times New Roman" w:eastAsiaTheme="minorHAnsi" w:hAnsi="Times New Roman" w:cstheme="minorBidi"/>
          <w:b/>
          <w:bCs/>
          <w:kern w:val="2"/>
          <w:sz w:val="20"/>
          <w:szCs w:val="20"/>
          <w:u w:val="single"/>
          <w:lang w:eastAsia="en-US"/>
          <w14:ligatures w14:val="standardContextual"/>
        </w:rPr>
      </w:pPr>
      <w:r w:rsidRPr="007C5A6E">
        <w:rPr>
          <w:rFonts w:ascii="Times New Roman" w:eastAsiaTheme="minorHAnsi" w:hAnsi="Times New Roman" w:cstheme="minorBidi"/>
          <w:b/>
          <w:bCs/>
          <w:kern w:val="2"/>
          <w:sz w:val="20"/>
          <w:szCs w:val="20"/>
          <w:u w:val="single"/>
          <w:lang w:eastAsia="en-US"/>
          <w14:ligatures w14:val="standardContextual"/>
        </w:rPr>
        <w:t>Documents officiels</w:t>
      </w:r>
    </w:p>
    <w:p w14:paraId="6841E32E" w14:textId="4F3900A3" w:rsidR="006F6024" w:rsidRPr="007C5A6E" w:rsidRDefault="006F6024" w:rsidP="006F6024">
      <w:pPr>
        <w:spacing w:after="0" w:line="240" w:lineRule="auto"/>
        <w:jc w:val="both"/>
        <w:rPr>
          <w:rFonts w:ascii="Times New Roman" w:eastAsiaTheme="minorHAnsi" w:hAnsi="Times New Roman" w:cstheme="minorBidi"/>
          <w:kern w:val="2"/>
          <w:sz w:val="20"/>
          <w:szCs w:val="20"/>
          <w:lang w:eastAsia="en-US"/>
          <w14:ligatures w14:val="standardContextual"/>
        </w:rPr>
      </w:pPr>
      <w:r w:rsidRPr="007C5A6E">
        <w:rPr>
          <w:rFonts w:ascii="Times New Roman" w:eastAsiaTheme="minorHAnsi" w:hAnsi="Times New Roman" w:cstheme="minorBidi"/>
          <w:kern w:val="2"/>
          <w:sz w:val="20"/>
          <w:szCs w:val="20"/>
          <w:lang w:eastAsia="en-US"/>
          <w14:ligatures w14:val="standardContextual"/>
        </w:rPr>
        <w:t xml:space="preserve">Burkina Faso - Plan National Multirisque de </w:t>
      </w:r>
      <w:proofErr w:type="spellStart"/>
      <w:r w:rsidRPr="007C5A6E">
        <w:rPr>
          <w:rFonts w:ascii="Times New Roman" w:eastAsiaTheme="minorHAnsi" w:hAnsi="Times New Roman" w:cstheme="minorBidi"/>
          <w:kern w:val="2"/>
          <w:sz w:val="20"/>
          <w:szCs w:val="20"/>
          <w:lang w:eastAsia="en-US"/>
          <w14:ligatures w14:val="standardContextual"/>
        </w:rPr>
        <w:t>Preparation</w:t>
      </w:r>
      <w:proofErr w:type="spellEnd"/>
      <w:r w:rsidRPr="007C5A6E">
        <w:rPr>
          <w:rFonts w:ascii="Times New Roman" w:eastAsiaTheme="minorHAnsi" w:hAnsi="Times New Roman" w:cstheme="minorBidi"/>
          <w:kern w:val="2"/>
          <w:sz w:val="20"/>
          <w:szCs w:val="20"/>
          <w:lang w:eastAsia="en-US"/>
          <w14:ligatures w14:val="standardContextual"/>
        </w:rPr>
        <w:t xml:space="preserve"> et de Réponse aux Catastrophes </w:t>
      </w:r>
      <w:proofErr w:type="gramStart"/>
      <w:r w:rsidRPr="007C5A6E">
        <w:rPr>
          <w:rFonts w:ascii="Times New Roman" w:eastAsiaTheme="minorHAnsi" w:hAnsi="Times New Roman" w:cstheme="minorBidi"/>
          <w:kern w:val="2"/>
          <w:sz w:val="20"/>
          <w:szCs w:val="20"/>
          <w:lang w:eastAsia="en-US"/>
          <w14:ligatures w14:val="standardContextual"/>
        </w:rPr>
        <w:t>-  Période</w:t>
      </w:r>
      <w:proofErr w:type="gramEnd"/>
      <w:r w:rsidRPr="007C5A6E">
        <w:rPr>
          <w:rFonts w:ascii="Times New Roman" w:eastAsiaTheme="minorHAnsi" w:hAnsi="Times New Roman" w:cstheme="minorBidi"/>
          <w:kern w:val="2"/>
          <w:sz w:val="20"/>
          <w:szCs w:val="20"/>
          <w:lang w:eastAsia="en-US"/>
          <w14:ligatures w14:val="standardContextual"/>
        </w:rPr>
        <w:t xml:space="preserve"> 2013 – 2014</w:t>
      </w:r>
    </w:p>
    <w:p w14:paraId="45C6E258" w14:textId="77777777" w:rsidR="006F6024" w:rsidRPr="007C5A6E" w:rsidRDefault="006F6024" w:rsidP="006F6024">
      <w:pPr>
        <w:spacing w:after="0" w:line="240" w:lineRule="auto"/>
        <w:jc w:val="both"/>
        <w:rPr>
          <w:rFonts w:ascii="Times New Roman" w:eastAsiaTheme="minorHAnsi" w:hAnsi="Times New Roman" w:cstheme="minorBidi"/>
          <w:kern w:val="2"/>
          <w:sz w:val="20"/>
          <w:szCs w:val="20"/>
          <w:lang w:eastAsia="en-US"/>
          <w14:ligatures w14:val="standardContextual"/>
        </w:rPr>
      </w:pPr>
    </w:p>
    <w:p w14:paraId="42B539BF" w14:textId="4B34DB1E" w:rsidR="006F6024" w:rsidRPr="007C5A6E" w:rsidRDefault="006F6024" w:rsidP="006F6024">
      <w:pPr>
        <w:spacing w:after="0" w:line="240" w:lineRule="auto"/>
        <w:jc w:val="both"/>
        <w:rPr>
          <w:rFonts w:ascii="Times New Roman" w:eastAsiaTheme="minorHAnsi" w:hAnsi="Times New Roman" w:cstheme="minorBidi"/>
          <w:kern w:val="2"/>
          <w:sz w:val="20"/>
          <w:szCs w:val="20"/>
          <w:lang w:eastAsia="en-US"/>
          <w14:ligatures w14:val="standardContextual"/>
        </w:rPr>
      </w:pPr>
      <w:r w:rsidRPr="007C5A6E">
        <w:rPr>
          <w:rFonts w:ascii="Times New Roman" w:eastAsiaTheme="minorHAnsi" w:hAnsi="Times New Roman" w:cstheme="minorBidi"/>
          <w:kern w:val="2"/>
          <w:sz w:val="20"/>
          <w:szCs w:val="20"/>
          <w:lang w:eastAsia="en-US"/>
          <w14:ligatures w14:val="standardContextual"/>
        </w:rPr>
        <w:t xml:space="preserve">Burkina Faso - Plan d’Action National pour le Renforcement des Capacités pour la Réduction des Risques et la Préparation à la Réponse aux Urgences </w:t>
      </w:r>
      <w:proofErr w:type="gramStart"/>
      <w:r w:rsidRPr="007C5A6E">
        <w:rPr>
          <w:rFonts w:ascii="Times New Roman" w:eastAsiaTheme="minorHAnsi" w:hAnsi="Times New Roman" w:cstheme="minorBidi"/>
          <w:kern w:val="2"/>
          <w:sz w:val="20"/>
          <w:szCs w:val="20"/>
          <w:lang w:eastAsia="en-US"/>
          <w14:ligatures w14:val="standardContextual"/>
        </w:rPr>
        <w:t>au  Burkina</w:t>
      </w:r>
      <w:proofErr w:type="gramEnd"/>
      <w:r w:rsidRPr="007C5A6E">
        <w:rPr>
          <w:rFonts w:ascii="Times New Roman" w:eastAsiaTheme="minorHAnsi" w:hAnsi="Times New Roman" w:cstheme="minorBidi"/>
          <w:kern w:val="2"/>
          <w:sz w:val="20"/>
          <w:szCs w:val="20"/>
          <w:lang w:eastAsia="en-US"/>
          <w14:ligatures w14:val="standardContextual"/>
        </w:rPr>
        <w:t xml:space="preserve"> Faso 2016-2020</w:t>
      </w:r>
    </w:p>
    <w:p w14:paraId="0B4C4125" w14:textId="77777777" w:rsidR="006F6024" w:rsidRPr="007C5A6E" w:rsidRDefault="006F6024" w:rsidP="006F6024">
      <w:pPr>
        <w:spacing w:after="0" w:line="240" w:lineRule="auto"/>
        <w:jc w:val="both"/>
        <w:rPr>
          <w:rFonts w:ascii="Times New Roman" w:eastAsiaTheme="minorHAnsi" w:hAnsi="Times New Roman" w:cstheme="minorBidi"/>
          <w:kern w:val="2"/>
          <w:sz w:val="20"/>
          <w:szCs w:val="20"/>
          <w:lang w:eastAsia="en-US"/>
          <w14:ligatures w14:val="standardContextual"/>
        </w:rPr>
      </w:pPr>
    </w:p>
    <w:p w14:paraId="3D752CA7" w14:textId="79E618A4" w:rsidR="006F6024" w:rsidRPr="007C5A6E" w:rsidRDefault="006F6024" w:rsidP="006F6024">
      <w:pPr>
        <w:spacing w:after="0" w:line="240" w:lineRule="auto"/>
        <w:jc w:val="both"/>
        <w:rPr>
          <w:rFonts w:ascii="Times New Roman" w:eastAsiaTheme="minorHAnsi" w:hAnsi="Times New Roman" w:cstheme="minorBidi"/>
          <w:kern w:val="2"/>
          <w:sz w:val="20"/>
          <w:szCs w:val="20"/>
          <w:lang w:eastAsia="en-US"/>
          <w14:ligatures w14:val="standardContextual"/>
        </w:rPr>
      </w:pPr>
      <w:r w:rsidRPr="007C5A6E">
        <w:rPr>
          <w:rFonts w:ascii="Times New Roman" w:eastAsiaTheme="minorHAnsi" w:hAnsi="Times New Roman" w:cstheme="minorBidi"/>
          <w:kern w:val="2"/>
          <w:sz w:val="20"/>
          <w:szCs w:val="20"/>
          <w:lang w:eastAsia="en-US"/>
          <w14:ligatures w14:val="standardContextual"/>
        </w:rPr>
        <w:t>Burkina Faso - Inondations 2020 Rapport de situation N°01, 11 septembre 2020</w:t>
      </w:r>
    </w:p>
    <w:p w14:paraId="4FDAD84D" w14:textId="77777777" w:rsidR="006F6024" w:rsidRPr="007C5A6E" w:rsidRDefault="006F6024" w:rsidP="006F6024">
      <w:pPr>
        <w:spacing w:after="0" w:line="240" w:lineRule="auto"/>
        <w:jc w:val="both"/>
        <w:rPr>
          <w:rFonts w:ascii="Times New Roman" w:eastAsiaTheme="minorHAnsi" w:hAnsi="Times New Roman" w:cstheme="minorBidi"/>
          <w:kern w:val="2"/>
          <w:sz w:val="20"/>
          <w:szCs w:val="20"/>
          <w:lang w:eastAsia="en-US"/>
          <w14:ligatures w14:val="standardContextual"/>
        </w:rPr>
      </w:pPr>
    </w:p>
    <w:p w14:paraId="533EDB75" w14:textId="076BDBC5" w:rsidR="006F6024" w:rsidRPr="007C5A6E" w:rsidRDefault="006F6024" w:rsidP="006F6024">
      <w:pPr>
        <w:spacing w:after="0" w:line="240" w:lineRule="auto"/>
        <w:jc w:val="both"/>
        <w:rPr>
          <w:rFonts w:ascii="Times New Roman" w:eastAsiaTheme="minorHAnsi" w:hAnsi="Times New Roman" w:cstheme="minorBidi"/>
          <w:kern w:val="2"/>
          <w:sz w:val="20"/>
          <w:szCs w:val="20"/>
          <w:lang w:eastAsia="en-US"/>
          <w14:ligatures w14:val="standardContextual"/>
        </w:rPr>
      </w:pPr>
      <w:r w:rsidRPr="007C5A6E">
        <w:rPr>
          <w:rFonts w:ascii="Times New Roman" w:eastAsiaTheme="minorHAnsi" w:hAnsi="Times New Roman" w:cstheme="minorBidi"/>
          <w:kern w:val="2"/>
          <w:sz w:val="20"/>
          <w:szCs w:val="20"/>
          <w:lang w:eastAsia="en-US"/>
          <w14:ligatures w14:val="standardContextual"/>
        </w:rPr>
        <w:t xml:space="preserve">Burkina Faso - Troisième Communication Nationale sur les </w:t>
      </w:r>
      <w:proofErr w:type="gramStart"/>
      <w:r w:rsidRPr="007C5A6E">
        <w:rPr>
          <w:rFonts w:ascii="Times New Roman" w:eastAsiaTheme="minorHAnsi" w:hAnsi="Times New Roman" w:cstheme="minorBidi"/>
          <w:kern w:val="2"/>
          <w:sz w:val="20"/>
          <w:szCs w:val="20"/>
          <w:lang w:eastAsia="en-US"/>
          <w14:ligatures w14:val="standardContextual"/>
        </w:rPr>
        <w:t>Changements  Climatiques</w:t>
      </w:r>
      <w:proofErr w:type="gramEnd"/>
      <w:r w:rsidRPr="007C5A6E">
        <w:rPr>
          <w:rFonts w:ascii="Times New Roman" w:eastAsiaTheme="minorHAnsi" w:hAnsi="Times New Roman" w:cstheme="minorBidi"/>
          <w:kern w:val="2"/>
          <w:sz w:val="20"/>
          <w:szCs w:val="20"/>
          <w:lang w:eastAsia="en-US"/>
          <w14:ligatures w14:val="standardContextual"/>
        </w:rPr>
        <w:t xml:space="preserve">, Avril 2022 </w:t>
      </w:r>
    </w:p>
    <w:p w14:paraId="7F307EC8" w14:textId="77777777" w:rsidR="006F6024" w:rsidRPr="007C5A6E" w:rsidRDefault="006F6024" w:rsidP="006F6024">
      <w:pPr>
        <w:spacing w:after="0" w:line="240" w:lineRule="auto"/>
        <w:jc w:val="both"/>
        <w:rPr>
          <w:rFonts w:ascii="Times New Roman" w:eastAsiaTheme="minorHAnsi" w:hAnsi="Times New Roman" w:cstheme="minorBidi"/>
          <w:kern w:val="2"/>
          <w:sz w:val="20"/>
          <w:szCs w:val="20"/>
          <w:lang w:eastAsia="en-US"/>
          <w14:ligatures w14:val="standardContextual"/>
        </w:rPr>
      </w:pPr>
    </w:p>
    <w:p w14:paraId="2D75FAB6" w14:textId="19A8E39B" w:rsidR="006F6024" w:rsidRPr="007C5A6E" w:rsidRDefault="006F6024" w:rsidP="006F6024">
      <w:pPr>
        <w:spacing w:after="0" w:line="240" w:lineRule="auto"/>
        <w:jc w:val="both"/>
        <w:rPr>
          <w:rFonts w:ascii="Times New Roman" w:eastAsiaTheme="minorHAnsi" w:hAnsi="Times New Roman" w:cstheme="minorBidi"/>
          <w:kern w:val="2"/>
          <w:sz w:val="20"/>
          <w:szCs w:val="20"/>
          <w:lang w:eastAsia="en-US"/>
          <w14:ligatures w14:val="standardContextual"/>
        </w:rPr>
      </w:pPr>
      <w:r w:rsidRPr="007C5A6E">
        <w:rPr>
          <w:rFonts w:ascii="Times New Roman" w:eastAsiaTheme="minorHAnsi" w:hAnsi="Times New Roman" w:cstheme="minorBidi"/>
          <w:kern w:val="2"/>
          <w:sz w:val="20"/>
          <w:szCs w:val="20"/>
          <w:lang w:eastAsia="en-US"/>
          <w14:ligatures w14:val="standardContextual"/>
        </w:rPr>
        <w:t xml:space="preserve">Agence du Bassin de la Volta - Evaluation des Plans, des Politiques et Directives liés à la Gestion à long terme des Inondations et de la Sécheresse dans le Bassin de la </w:t>
      </w:r>
      <w:proofErr w:type="gramStart"/>
      <w:r w:rsidRPr="007C5A6E">
        <w:rPr>
          <w:rFonts w:ascii="Times New Roman" w:eastAsiaTheme="minorHAnsi" w:hAnsi="Times New Roman" w:cstheme="minorBidi"/>
          <w:kern w:val="2"/>
          <w:sz w:val="20"/>
          <w:szCs w:val="20"/>
          <w:lang w:eastAsia="en-US"/>
          <w14:ligatures w14:val="standardContextual"/>
        </w:rPr>
        <w:t>Volta  existants</w:t>
      </w:r>
      <w:proofErr w:type="gramEnd"/>
      <w:r w:rsidRPr="007C5A6E">
        <w:rPr>
          <w:rFonts w:ascii="Times New Roman" w:eastAsiaTheme="minorHAnsi" w:hAnsi="Times New Roman" w:cstheme="minorBidi"/>
          <w:kern w:val="2"/>
          <w:sz w:val="20"/>
          <w:szCs w:val="20"/>
          <w:lang w:eastAsia="en-US"/>
          <w14:ligatures w14:val="standardContextual"/>
        </w:rPr>
        <w:t xml:space="preserve"> au Niveau des six (6) Pays – Rapport Final du Burkina Faso – Mai 2022.</w:t>
      </w:r>
    </w:p>
    <w:p w14:paraId="05A49BD4" w14:textId="77777777" w:rsidR="006F6024" w:rsidRPr="007C5A6E" w:rsidRDefault="006F6024" w:rsidP="006F6024">
      <w:pPr>
        <w:spacing w:after="0" w:line="240" w:lineRule="auto"/>
        <w:jc w:val="both"/>
        <w:rPr>
          <w:rFonts w:ascii="Times New Roman" w:eastAsiaTheme="minorHAnsi" w:hAnsi="Times New Roman" w:cstheme="minorBidi"/>
          <w:b/>
          <w:bCs/>
          <w:kern w:val="2"/>
          <w:sz w:val="20"/>
          <w:szCs w:val="20"/>
          <w:lang w:eastAsia="en-US"/>
          <w14:ligatures w14:val="standardContextual"/>
        </w:rPr>
      </w:pPr>
    </w:p>
    <w:p w14:paraId="221FDE7A" w14:textId="027CB7D2" w:rsidR="006F6024" w:rsidRPr="007C5A6E" w:rsidRDefault="006F6024" w:rsidP="006F6024">
      <w:pPr>
        <w:spacing w:after="0" w:line="240" w:lineRule="auto"/>
        <w:jc w:val="both"/>
        <w:rPr>
          <w:rFonts w:ascii="Times New Roman" w:eastAsiaTheme="minorHAnsi" w:hAnsi="Times New Roman" w:cstheme="minorBidi"/>
          <w:b/>
          <w:bCs/>
          <w:kern w:val="2"/>
          <w:sz w:val="20"/>
          <w:szCs w:val="20"/>
          <w:lang w:eastAsia="en-US"/>
          <w14:ligatures w14:val="standardContextual"/>
        </w:rPr>
      </w:pPr>
      <w:r w:rsidRPr="007C5A6E">
        <w:rPr>
          <w:rFonts w:ascii="Times New Roman" w:eastAsiaTheme="minorHAnsi" w:hAnsi="Times New Roman" w:cstheme="minorBidi"/>
          <w:b/>
          <w:bCs/>
          <w:kern w:val="2"/>
          <w:sz w:val="20"/>
          <w:szCs w:val="20"/>
          <w:lang w:eastAsia="en-US"/>
          <w14:ligatures w14:val="standardContextual"/>
        </w:rPr>
        <w:t>Webographie</w:t>
      </w:r>
    </w:p>
    <w:p w14:paraId="3BA6B74D" w14:textId="16FAD1C3" w:rsidR="006F6024" w:rsidRPr="007C5A6E" w:rsidRDefault="006F6024" w:rsidP="006F6024">
      <w:pPr>
        <w:spacing w:after="0" w:line="240" w:lineRule="auto"/>
        <w:jc w:val="both"/>
        <w:rPr>
          <w:rFonts w:ascii="Times New Roman" w:eastAsiaTheme="minorHAnsi" w:hAnsi="Times New Roman" w:cstheme="minorBidi"/>
          <w:kern w:val="2"/>
          <w:sz w:val="20"/>
          <w:szCs w:val="20"/>
          <w:lang w:eastAsia="en-US"/>
          <w14:ligatures w14:val="standardContextual"/>
        </w:rPr>
      </w:pPr>
      <w:r w:rsidRPr="007C5A6E">
        <w:rPr>
          <w:rFonts w:ascii="Times New Roman" w:eastAsiaTheme="minorHAnsi" w:hAnsi="Times New Roman" w:cstheme="minorBidi"/>
          <w:kern w:val="2"/>
          <w:sz w:val="20"/>
          <w:szCs w:val="20"/>
          <w:lang w:eastAsia="en-US"/>
          <w14:ligatures w14:val="standardContextual"/>
        </w:rPr>
        <w:t xml:space="preserve">Modèles CMIP6 : </w:t>
      </w:r>
      <w:hyperlink r:id="rId261" w:history="1">
        <w:r w:rsidRPr="007C5A6E">
          <w:rPr>
            <w:rFonts w:ascii="Times New Roman" w:eastAsiaTheme="minorHAnsi" w:hAnsi="Times New Roman" w:cstheme="minorBidi"/>
            <w:color w:val="0000FF"/>
            <w:kern w:val="2"/>
            <w:sz w:val="20"/>
            <w:szCs w:val="20"/>
            <w:u w:val="single"/>
            <w:lang w:eastAsia="en-US"/>
            <w14:ligatures w14:val="standardContextual"/>
          </w:rPr>
          <w:t>https://scenarios-climatiques.canada.ca</w:t>
        </w:r>
      </w:hyperlink>
    </w:p>
    <w:p w14:paraId="7E470805" w14:textId="77777777" w:rsidR="006F6024" w:rsidRPr="007C5A6E" w:rsidRDefault="006F6024" w:rsidP="006F6024">
      <w:pPr>
        <w:spacing w:after="0" w:line="240" w:lineRule="auto"/>
        <w:jc w:val="both"/>
        <w:rPr>
          <w:rFonts w:ascii="Times New Roman" w:eastAsiaTheme="minorHAnsi" w:hAnsi="Times New Roman" w:cstheme="minorBidi"/>
          <w:kern w:val="2"/>
          <w:sz w:val="20"/>
          <w:szCs w:val="20"/>
          <w:lang w:eastAsia="en-US"/>
          <w14:ligatures w14:val="standardContextual"/>
        </w:rPr>
      </w:pPr>
    </w:p>
    <w:p w14:paraId="05D2DBAB" w14:textId="5A25FC25" w:rsidR="006F6024" w:rsidRPr="007C5A6E" w:rsidRDefault="006F6024" w:rsidP="006F6024">
      <w:pPr>
        <w:spacing w:after="0" w:line="240" w:lineRule="auto"/>
        <w:jc w:val="both"/>
        <w:rPr>
          <w:rFonts w:ascii="Times New Roman" w:eastAsiaTheme="minorHAnsi" w:hAnsi="Times New Roman" w:cstheme="minorBidi"/>
          <w:kern w:val="2"/>
          <w:sz w:val="20"/>
          <w:szCs w:val="20"/>
          <w:lang w:eastAsia="en-US"/>
          <w14:ligatures w14:val="standardContextual"/>
        </w:rPr>
      </w:pPr>
      <w:r w:rsidRPr="007C5A6E">
        <w:rPr>
          <w:rFonts w:ascii="Times New Roman" w:eastAsiaTheme="minorHAnsi" w:hAnsi="Times New Roman" w:cstheme="minorBidi"/>
          <w:kern w:val="2"/>
          <w:sz w:val="20"/>
          <w:szCs w:val="20"/>
          <w:lang w:eastAsia="en-US"/>
          <w14:ligatures w14:val="standardContextual"/>
        </w:rPr>
        <w:t>DRIAS Les </w:t>
      </w:r>
      <w:r w:rsidRPr="007C5A6E">
        <w:rPr>
          <w:rFonts w:ascii="Times New Roman" w:eastAsiaTheme="minorHAnsi" w:hAnsi="Times New Roman" w:cstheme="minorBidi"/>
          <w:b/>
          <w:bCs/>
          <w:kern w:val="2"/>
          <w:sz w:val="20"/>
          <w:szCs w:val="20"/>
          <w:lang w:eastAsia="en-US"/>
          <w14:ligatures w14:val="standardContextual"/>
        </w:rPr>
        <w:t>futurs</w:t>
      </w:r>
      <w:r w:rsidRPr="007C5A6E">
        <w:rPr>
          <w:rFonts w:ascii="Times New Roman" w:eastAsiaTheme="minorHAnsi" w:hAnsi="Times New Roman" w:cstheme="minorBidi"/>
          <w:kern w:val="2"/>
          <w:sz w:val="20"/>
          <w:szCs w:val="20"/>
          <w:lang w:eastAsia="en-US"/>
          <w14:ligatures w14:val="standardContextual"/>
        </w:rPr>
        <w:t> du </w:t>
      </w:r>
      <w:r w:rsidRPr="007C5A6E">
        <w:rPr>
          <w:rFonts w:ascii="Times New Roman" w:eastAsiaTheme="minorHAnsi" w:hAnsi="Times New Roman" w:cstheme="minorBidi"/>
          <w:b/>
          <w:bCs/>
          <w:kern w:val="2"/>
          <w:sz w:val="20"/>
          <w:szCs w:val="20"/>
          <w:lang w:eastAsia="en-US"/>
          <w14:ligatures w14:val="standardContextual"/>
        </w:rPr>
        <w:t xml:space="preserve">climat : </w:t>
      </w:r>
      <w:hyperlink r:id="rId262" w:history="1">
        <w:r w:rsidRPr="007C5A6E">
          <w:rPr>
            <w:rFonts w:ascii="Times New Roman" w:eastAsiaTheme="minorHAnsi" w:hAnsi="Times New Roman" w:cstheme="minorBidi"/>
            <w:color w:val="0000FF"/>
            <w:kern w:val="2"/>
            <w:sz w:val="20"/>
            <w:szCs w:val="20"/>
            <w:u w:val="single"/>
            <w:lang w:eastAsia="en-US"/>
            <w14:ligatures w14:val="standardContextual"/>
          </w:rPr>
          <w:t>https://www.drias-climat.fr/</w:t>
        </w:r>
      </w:hyperlink>
    </w:p>
    <w:p w14:paraId="04DE2029" w14:textId="77777777" w:rsidR="006F6024" w:rsidRPr="007C5A6E" w:rsidRDefault="006F6024" w:rsidP="006F6024">
      <w:pPr>
        <w:spacing w:after="0" w:line="240" w:lineRule="auto"/>
        <w:jc w:val="both"/>
        <w:rPr>
          <w:rFonts w:ascii="Times New Roman" w:eastAsiaTheme="minorHAnsi" w:hAnsi="Times New Roman" w:cstheme="minorBidi"/>
          <w:kern w:val="2"/>
          <w:sz w:val="20"/>
          <w:szCs w:val="20"/>
          <w:lang w:eastAsia="en-US"/>
          <w14:ligatures w14:val="standardContextual"/>
        </w:rPr>
      </w:pPr>
    </w:p>
    <w:p w14:paraId="0541E8AC" w14:textId="060B919E" w:rsidR="006F6024" w:rsidRPr="007C5A6E" w:rsidRDefault="006F6024" w:rsidP="006F6024">
      <w:pPr>
        <w:spacing w:after="0" w:line="240" w:lineRule="auto"/>
        <w:jc w:val="both"/>
        <w:rPr>
          <w:rFonts w:ascii="Times New Roman" w:eastAsiaTheme="minorHAnsi" w:hAnsi="Times New Roman" w:cstheme="minorBidi"/>
          <w:kern w:val="2"/>
          <w:sz w:val="20"/>
          <w:szCs w:val="20"/>
          <w:lang w:val="en-US" w:eastAsia="en-US"/>
          <w14:ligatures w14:val="standardContextual"/>
        </w:rPr>
      </w:pPr>
      <w:r w:rsidRPr="007C5A6E">
        <w:rPr>
          <w:rFonts w:ascii="Times New Roman" w:eastAsiaTheme="minorHAnsi" w:hAnsi="Times New Roman" w:cstheme="minorBidi"/>
          <w:kern w:val="2"/>
          <w:sz w:val="20"/>
          <w:szCs w:val="20"/>
          <w:lang w:val="en-US" w:eastAsia="en-US"/>
          <w14:ligatures w14:val="standardContextual"/>
        </w:rPr>
        <w:t xml:space="preserve">Climate Data Store: </w:t>
      </w:r>
      <w:hyperlink r:id="rId263" w:history="1">
        <w:r w:rsidRPr="007C5A6E">
          <w:rPr>
            <w:rFonts w:ascii="Times New Roman" w:eastAsiaTheme="minorHAnsi" w:hAnsi="Times New Roman" w:cstheme="minorBidi"/>
            <w:color w:val="0000FF"/>
            <w:kern w:val="2"/>
            <w:sz w:val="20"/>
            <w:szCs w:val="20"/>
            <w:u w:val="single"/>
            <w:lang w:val="en-US" w:eastAsia="en-US"/>
            <w14:ligatures w14:val="standardContextual"/>
          </w:rPr>
          <w:t>https://cds.climate.copernicus.eu/datasets/projections-cmip6?tab=download</w:t>
        </w:r>
      </w:hyperlink>
      <w:r w:rsidRPr="007C5A6E">
        <w:rPr>
          <w:rFonts w:ascii="Times New Roman" w:eastAsiaTheme="minorHAnsi" w:hAnsi="Times New Roman" w:cstheme="minorBidi"/>
          <w:kern w:val="2"/>
          <w:sz w:val="20"/>
          <w:szCs w:val="20"/>
          <w:lang w:val="en-US" w:eastAsia="en-US"/>
          <w14:ligatures w14:val="standardContextual"/>
        </w:rPr>
        <w:t xml:space="preserve"> ; </w:t>
      </w:r>
      <w:hyperlink r:id="rId264" w:history="1">
        <w:r w:rsidRPr="007C5A6E">
          <w:rPr>
            <w:rFonts w:ascii="Times New Roman" w:eastAsiaTheme="minorHAnsi" w:hAnsi="Times New Roman" w:cstheme="minorBidi"/>
            <w:color w:val="0000FF"/>
            <w:kern w:val="2"/>
            <w:sz w:val="20"/>
            <w:szCs w:val="20"/>
            <w:u w:val="single"/>
            <w:lang w:val="en-US" w:eastAsia="en-US"/>
            <w14:ligatures w14:val="standardContextual"/>
          </w:rPr>
          <w:t>https://cds.climate.copernicus.eu/user-guide</w:t>
        </w:r>
      </w:hyperlink>
    </w:p>
    <w:p w14:paraId="6DA8BF11" w14:textId="77777777" w:rsidR="006F6024" w:rsidRPr="007C5A6E" w:rsidRDefault="006F6024" w:rsidP="006F6024">
      <w:pPr>
        <w:spacing w:after="0" w:line="240" w:lineRule="auto"/>
        <w:jc w:val="both"/>
        <w:rPr>
          <w:rFonts w:ascii="Times New Roman" w:eastAsiaTheme="minorHAnsi" w:hAnsi="Times New Roman" w:cstheme="minorBidi"/>
          <w:kern w:val="2"/>
          <w:sz w:val="20"/>
          <w:szCs w:val="20"/>
          <w:lang w:val="en-US" w:eastAsia="en-US"/>
          <w14:ligatures w14:val="standardContextual"/>
        </w:rPr>
      </w:pPr>
    </w:p>
    <w:p w14:paraId="4C87AEC7" w14:textId="58847C7D" w:rsidR="006F6024" w:rsidRPr="007C5A6E" w:rsidRDefault="006F6024" w:rsidP="006F6024">
      <w:pPr>
        <w:spacing w:after="0" w:line="240" w:lineRule="auto"/>
        <w:jc w:val="both"/>
        <w:rPr>
          <w:rFonts w:ascii="Times New Roman" w:eastAsiaTheme="minorHAnsi" w:hAnsi="Times New Roman" w:cstheme="minorBidi"/>
          <w:kern w:val="2"/>
          <w:sz w:val="20"/>
          <w:szCs w:val="20"/>
          <w:lang w:eastAsia="en-US"/>
          <w14:ligatures w14:val="standardContextual"/>
        </w:rPr>
      </w:pPr>
      <w:r w:rsidRPr="007C5A6E">
        <w:rPr>
          <w:rFonts w:ascii="Times New Roman" w:eastAsiaTheme="minorHAnsi" w:hAnsi="Times New Roman" w:cstheme="minorBidi"/>
          <w:kern w:val="2"/>
          <w:sz w:val="20"/>
          <w:szCs w:val="20"/>
          <w:lang w:eastAsia="en-US"/>
          <w14:ligatures w14:val="standardContextual"/>
        </w:rPr>
        <w:t>Observatoire National du Développement Durable (ONDD</w:t>
      </w:r>
      <w:proofErr w:type="gramStart"/>
      <w:r w:rsidRPr="007C5A6E">
        <w:rPr>
          <w:rFonts w:ascii="Times New Roman" w:eastAsiaTheme="minorHAnsi" w:hAnsi="Times New Roman" w:cstheme="minorBidi"/>
          <w:kern w:val="2"/>
          <w:sz w:val="20"/>
          <w:szCs w:val="20"/>
          <w:lang w:eastAsia="en-US"/>
          <w14:ligatures w14:val="standardContextual"/>
        </w:rPr>
        <w:t>):</w:t>
      </w:r>
      <w:proofErr w:type="gramEnd"/>
      <w:r w:rsidRPr="007C5A6E">
        <w:rPr>
          <w:rFonts w:ascii="Times New Roman" w:eastAsiaTheme="minorHAnsi" w:hAnsi="Times New Roman" w:cstheme="minorBidi"/>
          <w:kern w:val="2"/>
          <w:sz w:val="20"/>
          <w:szCs w:val="20"/>
          <w:lang w:eastAsia="en-US"/>
          <w14:ligatures w14:val="standardContextual"/>
        </w:rPr>
        <w:t xml:space="preserve"> </w:t>
      </w:r>
      <w:hyperlink r:id="rId265" w:history="1">
        <w:r w:rsidRPr="007C5A6E">
          <w:rPr>
            <w:rFonts w:ascii="Times New Roman" w:eastAsiaTheme="minorHAnsi" w:hAnsi="Times New Roman" w:cstheme="minorBidi"/>
            <w:color w:val="0000FF"/>
            <w:kern w:val="2"/>
            <w:sz w:val="20"/>
            <w:szCs w:val="20"/>
            <w:u w:val="single"/>
            <w:lang w:eastAsia="en-US"/>
            <w14:ligatures w14:val="standardContextual"/>
          </w:rPr>
          <w:t>https://m.facebook.com/p/Observatoire-National-du-D%C3%A9veloppement-Durable-ONDD-100068840530906/</w:t>
        </w:r>
      </w:hyperlink>
    </w:p>
    <w:p w14:paraId="6E80089B" w14:textId="77777777" w:rsidR="006F6024" w:rsidRPr="007C5A6E" w:rsidRDefault="006F6024" w:rsidP="006F6024">
      <w:pPr>
        <w:spacing w:after="0" w:line="240" w:lineRule="auto"/>
        <w:jc w:val="both"/>
        <w:rPr>
          <w:rFonts w:ascii="Times New Roman" w:eastAsiaTheme="minorHAnsi" w:hAnsi="Times New Roman" w:cstheme="minorBidi"/>
          <w:kern w:val="2"/>
          <w:sz w:val="20"/>
          <w:szCs w:val="20"/>
          <w:lang w:eastAsia="en-US"/>
          <w14:ligatures w14:val="standardContextual"/>
        </w:rPr>
      </w:pPr>
    </w:p>
    <w:p w14:paraId="0C48ED26" w14:textId="7DB6F272" w:rsidR="006F6024" w:rsidRPr="007C5A6E" w:rsidRDefault="006F6024" w:rsidP="006F6024">
      <w:pPr>
        <w:spacing w:after="0" w:line="240" w:lineRule="auto"/>
        <w:jc w:val="both"/>
        <w:rPr>
          <w:rFonts w:ascii="Times New Roman" w:eastAsiaTheme="minorHAnsi" w:hAnsi="Times New Roman" w:cstheme="minorBidi"/>
          <w:kern w:val="2"/>
          <w:sz w:val="20"/>
          <w:szCs w:val="20"/>
          <w:lang w:eastAsia="en-US"/>
          <w14:ligatures w14:val="standardContextual"/>
        </w:rPr>
      </w:pPr>
      <w:r w:rsidRPr="007C5A6E">
        <w:rPr>
          <w:rFonts w:ascii="Times New Roman" w:eastAsiaTheme="minorHAnsi" w:hAnsi="Times New Roman" w:cstheme="minorBidi"/>
          <w:kern w:val="2"/>
          <w:sz w:val="20"/>
          <w:szCs w:val="20"/>
          <w:lang w:eastAsia="en-US"/>
          <w14:ligatures w14:val="standardContextual"/>
        </w:rPr>
        <w:t xml:space="preserve">Agence Nationale de la Météorologie du Burkina Faso (ANAM-BF) : </w:t>
      </w:r>
      <w:hyperlink r:id="rId266" w:history="1">
        <w:r w:rsidRPr="007C5A6E">
          <w:rPr>
            <w:rFonts w:ascii="Times New Roman" w:eastAsiaTheme="minorHAnsi" w:hAnsi="Times New Roman" w:cstheme="minorBidi"/>
            <w:color w:val="0000FF"/>
            <w:kern w:val="2"/>
            <w:sz w:val="20"/>
            <w:szCs w:val="20"/>
            <w:u w:val="single"/>
            <w:lang w:eastAsia="en-US"/>
            <w14:ligatures w14:val="standardContextual"/>
          </w:rPr>
          <w:t>https://www.meteoburkina.bf/</w:t>
        </w:r>
      </w:hyperlink>
    </w:p>
    <w:p w14:paraId="15F268C2" w14:textId="77777777" w:rsidR="006F6024" w:rsidRPr="007C5A6E" w:rsidRDefault="006F6024" w:rsidP="006F6024">
      <w:pPr>
        <w:spacing w:after="0" w:line="240" w:lineRule="auto"/>
        <w:jc w:val="both"/>
        <w:rPr>
          <w:rFonts w:ascii="Times New Roman" w:eastAsiaTheme="minorHAnsi" w:hAnsi="Times New Roman" w:cstheme="minorBidi"/>
          <w:kern w:val="2"/>
          <w:sz w:val="20"/>
          <w:szCs w:val="20"/>
          <w:lang w:eastAsia="en-US"/>
          <w14:ligatures w14:val="standardContextual"/>
        </w:rPr>
      </w:pPr>
    </w:p>
    <w:p w14:paraId="64BE9103" w14:textId="40D712A0" w:rsidR="006F6024" w:rsidRPr="007C5A6E" w:rsidRDefault="006F6024" w:rsidP="006F6024">
      <w:pPr>
        <w:spacing w:after="0" w:line="240" w:lineRule="auto"/>
        <w:jc w:val="both"/>
        <w:rPr>
          <w:rFonts w:ascii="Times New Roman" w:eastAsiaTheme="minorHAnsi" w:hAnsi="Times New Roman" w:cstheme="minorBidi"/>
          <w:kern w:val="2"/>
          <w:sz w:val="20"/>
          <w:szCs w:val="20"/>
          <w:lang w:eastAsia="en-US"/>
          <w14:ligatures w14:val="standardContextual"/>
        </w:rPr>
      </w:pPr>
      <w:r w:rsidRPr="007C5A6E">
        <w:rPr>
          <w:rFonts w:ascii="Times New Roman" w:eastAsiaTheme="minorHAnsi" w:hAnsi="Times New Roman" w:cstheme="minorBidi"/>
          <w:kern w:val="2"/>
          <w:sz w:val="20"/>
          <w:szCs w:val="20"/>
          <w:lang w:eastAsia="en-US"/>
          <w14:ligatures w14:val="standardContextual"/>
        </w:rPr>
        <w:t xml:space="preserve">Comité National de Secours d’Urgence et de Réhabilitation (CONASUR) : </w:t>
      </w:r>
      <w:hyperlink r:id="rId267" w:history="1">
        <w:r w:rsidRPr="007C5A6E">
          <w:rPr>
            <w:rFonts w:ascii="Times New Roman" w:eastAsiaTheme="minorHAnsi" w:hAnsi="Times New Roman" w:cstheme="minorBidi"/>
            <w:color w:val="0000FF"/>
            <w:kern w:val="2"/>
            <w:sz w:val="20"/>
            <w:szCs w:val="20"/>
            <w:u w:val="single"/>
            <w:lang w:eastAsia="en-US"/>
            <w14:ligatures w14:val="standardContextual"/>
          </w:rPr>
          <w:t>http://www.conasur.gov.bf/</w:t>
        </w:r>
      </w:hyperlink>
    </w:p>
    <w:p w14:paraId="7DCE017E" w14:textId="0FA98BC8" w:rsidR="006F6024" w:rsidRPr="007C5A6E" w:rsidRDefault="006F6024" w:rsidP="006F6024">
      <w:pPr>
        <w:tabs>
          <w:tab w:val="left" w:pos="6601"/>
        </w:tabs>
        <w:spacing w:after="0" w:line="240" w:lineRule="auto"/>
        <w:jc w:val="both"/>
        <w:rPr>
          <w:rFonts w:ascii="Times New Roman" w:eastAsiaTheme="minorHAnsi" w:hAnsi="Times New Roman" w:cstheme="minorBidi"/>
          <w:kern w:val="2"/>
          <w:sz w:val="20"/>
          <w:szCs w:val="20"/>
          <w:lang w:val="en-US" w:eastAsia="en-US"/>
          <w14:ligatures w14:val="standardContextual"/>
        </w:rPr>
      </w:pPr>
      <w:r w:rsidRPr="007C5A6E">
        <w:rPr>
          <w:rFonts w:ascii="Times New Roman" w:eastAsiaTheme="minorHAnsi" w:hAnsi="Times New Roman" w:cstheme="minorBidi"/>
          <w:kern w:val="2"/>
          <w:sz w:val="20"/>
          <w:szCs w:val="20"/>
          <w:lang w:val="en-US" w:eastAsia="en-US"/>
          <w14:ligatures w14:val="standardContextual"/>
        </w:rPr>
        <w:t xml:space="preserve">Food and Agriculture </w:t>
      </w:r>
      <w:proofErr w:type="spellStart"/>
      <w:r w:rsidRPr="007C5A6E">
        <w:rPr>
          <w:rFonts w:ascii="Times New Roman" w:eastAsiaTheme="minorHAnsi" w:hAnsi="Times New Roman" w:cstheme="minorBidi"/>
          <w:kern w:val="2"/>
          <w:sz w:val="20"/>
          <w:szCs w:val="20"/>
          <w:lang w:val="en-US" w:eastAsia="en-US"/>
          <w14:ligatures w14:val="standardContextual"/>
        </w:rPr>
        <w:t>Organisation</w:t>
      </w:r>
      <w:proofErr w:type="spellEnd"/>
      <w:r w:rsidRPr="007C5A6E">
        <w:rPr>
          <w:rFonts w:ascii="Times New Roman" w:eastAsiaTheme="minorHAnsi" w:hAnsi="Times New Roman" w:cstheme="minorBidi"/>
          <w:kern w:val="2"/>
          <w:sz w:val="20"/>
          <w:szCs w:val="20"/>
          <w:lang w:val="en-US" w:eastAsia="en-US"/>
          <w14:ligatures w14:val="standardContextual"/>
        </w:rPr>
        <w:t xml:space="preserve"> (FAO</w:t>
      </w:r>
      <w:proofErr w:type="gramStart"/>
      <w:r w:rsidRPr="007C5A6E">
        <w:rPr>
          <w:rFonts w:ascii="Times New Roman" w:eastAsiaTheme="minorHAnsi" w:hAnsi="Times New Roman" w:cstheme="minorBidi"/>
          <w:kern w:val="2"/>
          <w:sz w:val="20"/>
          <w:szCs w:val="20"/>
          <w:lang w:val="en-US" w:eastAsia="en-US"/>
          <w14:ligatures w14:val="standardContextual"/>
        </w:rPr>
        <w:t>) :</w:t>
      </w:r>
      <w:proofErr w:type="gramEnd"/>
      <w:r w:rsidRPr="007C5A6E">
        <w:rPr>
          <w:rFonts w:ascii="Times New Roman" w:eastAsiaTheme="minorHAnsi" w:hAnsi="Times New Roman" w:cstheme="minorBidi"/>
          <w:kern w:val="2"/>
          <w:sz w:val="20"/>
          <w:szCs w:val="20"/>
          <w:lang w:val="en-US" w:eastAsia="en-US"/>
          <w14:ligatures w14:val="standardContextual"/>
        </w:rPr>
        <w:t xml:space="preserve"> </w:t>
      </w:r>
      <w:hyperlink r:id="rId268" w:history="1">
        <w:r w:rsidRPr="007C5A6E">
          <w:rPr>
            <w:rFonts w:ascii="Times New Roman" w:eastAsiaTheme="minorHAnsi" w:hAnsi="Times New Roman" w:cstheme="minorBidi"/>
            <w:color w:val="0000FF"/>
            <w:kern w:val="2"/>
            <w:sz w:val="20"/>
            <w:szCs w:val="20"/>
            <w:u w:val="single"/>
            <w:lang w:val="en-US" w:eastAsia="en-US"/>
            <w14:ligatures w14:val="standardContextual"/>
          </w:rPr>
          <w:t>https://www.fao.org</w:t>
        </w:r>
      </w:hyperlink>
    </w:p>
    <w:p w14:paraId="631C4412" w14:textId="77777777" w:rsidR="006F6024" w:rsidRPr="007C5A6E" w:rsidRDefault="006F6024" w:rsidP="006F6024">
      <w:pPr>
        <w:spacing w:after="0" w:line="240" w:lineRule="auto"/>
        <w:jc w:val="both"/>
        <w:rPr>
          <w:rFonts w:ascii="Times New Roman" w:eastAsia="Calibri" w:hAnsi="Times New Roman" w:cstheme="majorBidi"/>
          <w:b/>
          <w:kern w:val="2"/>
          <w:lang w:val="en-US" w:eastAsia="en-US"/>
          <w14:ligatures w14:val="standardContextual"/>
        </w:rPr>
      </w:pPr>
    </w:p>
    <w:p w14:paraId="289D6A15" w14:textId="77777777" w:rsidR="00702D07" w:rsidRPr="007C5A6E" w:rsidRDefault="00702D07" w:rsidP="006F6024">
      <w:pPr>
        <w:spacing w:after="0" w:line="240" w:lineRule="auto"/>
        <w:jc w:val="both"/>
        <w:rPr>
          <w:rFonts w:ascii="Times New Roman" w:eastAsia="Calibri" w:hAnsi="Times New Roman" w:cstheme="majorBidi"/>
          <w:b/>
          <w:kern w:val="2"/>
          <w:lang w:val="en-US" w:eastAsia="en-US"/>
          <w14:ligatures w14:val="standardContextual"/>
        </w:rPr>
      </w:pPr>
    </w:p>
    <w:p w14:paraId="00664CFC" w14:textId="77777777" w:rsidR="00702D07" w:rsidRPr="007C5A6E" w:rsidRDefault="00702D07" w:rsidP="006F6024">
      <w:pPr>
        <w:spacing w:after="0" w:line="240" w:lineRule="auto"/>
        <w:jc w:val="both"/>
        <w:rPr>
          <w:rFonts w:ascii="Times New Roman" w:eastAsia="Calibri" w:hAnsi="Times New Roman" w:cstheme="majorBidi"/>
          <w:b/>
          <w:kern w:val="2"/>
          <w:lang w:val="en-US" w:eastAsia="en-US"/>
          <w14:ligatures w14:val="standardContextual"/>
        </w:rPr>
      </w:pPr>
    </w:p>
    <w:p w14:paraId="1E42AC7E" w14:textId="1BF04C75" w:rsidR="004C055F" w:rsidRPr="007C5A6E" w:rsidRDefault="004C055F" w:rsidP="006F6024">
      <w:pPr>
        <w:numPr>
          <w:ilvl w:val="0"/>
          <w:numId w:val="84"/>
        </w:numPr>
        <w:spacing w:after="0" w:line="240" w:lineRule="auto"/>
        <w:ind w:left="357" w:hanging="357"/>
        <w:jc w:val="both"/>
        <w:rPr>
          <w:rFonts w:ascii="Times New Roman" w:hAnsi="Times New Roman"/>
          <w:b/>
          <w:sz w:val="24"/>
          <w:szCs w:val="24"/>
          <w:highlight w:val="yellow"/>
        </w:rPr>
      </w:pPr>
      <w:r w:rsidRPr="007C5A6E">
        <w:rPr>
          <w:rFonts w:ascii="Times New Roman" w:hAnsi="Times New Roman"/>
          <w:b/>
          <w:sz w:val="24"/>
          <w:szCs w:val="24"/>
          <w:highlight w:val="yellow"/>
        </w:rPr>
        <w:t xml:space="preserve">RESSOURCES EN EAU </w:t>
      </w:r>
    </w:p>
    <w:p w14:paraId="0655C4E9" w14:textId="77777777" w:rsidR="004C055F" w:rsidRPr="007C5A6E" w:rsidRDefault="004C055F" w:rsidP="006F6024">
      <w:pPr>
        <w:spacing w:after="0" w:line="240" w:lineRule="auto"/>
        <w:jc w:val="both"/>
        <w:rPr>
          <w:rFonts w:ascii="Times New Roman" w:hAnsi="Times New Roman"/>
          <w:bCs/>
          <w:sz w:val="24"/>
          <w:szCs w:val="24"/>
          <w:highlight w:val="yellow"/>
        </w:rPr>
      </w:pPr>
    </w:p>
    <w:p w14:paraId="1671E331" w14:textId="52506234" w:rsidR="004C055F" w:rsidRPr="007C5A6E" w:rsidRDefault="000E4359" w:rsidP="006F6024">
      <w:pPr>
        <w:spacing w:after="0" w:line="240" w:lineRule="auto"/>
        <w:jc w:val="both"/>
        <w:rPr>
          <w:rFonts w:ascii="Times New Roman" w:hAnsi="Times New Roman"/>
          <w:bCs/>
          <w:sz w:val="24"/>
          <w:szCs w:val="24"/>
        </w:rPr>
      </w:pPr>
      <w:r w:rsidRPr="007C5A6E">
        <w:rPr>
          <w:rFonts w:ascii="Times New Roman" w:hAnsi="Times New Roman"/>
          <w:bCs/>
          <w:sz w:val="24"/>
          <w:szCs w:val="24"/>
          <w:highlight w:val="yellow"/>
        </w:rPr>
        <w:t>A compléter</w:t>
      </w:r>
      <w:r w:rsidRPr="007C5A6E">
        <w:rPr>
          <w:rFonts w:ascii="Times New Roman" w:hAnsi="Times New Roman"/>
          <w:bCs/>
          <w:sz w:val="24"/>
          <w:szCs w:val="24"/>
        </w:rPr>
        <w:t xml:space="preserve"> </w:t>
      </w:r>
    </w:p>
    <w:p w14:paraId="7DA19CD7" w14:textId="77777777" w:rsidR="004C055F" w:rsidRPr="007C5A6E" w:rsidRDefault="004C055F" w:rsidP="006F6024">
      <w:pPr>
        <w:spacing w:after="0" w:line="240" w:lineRule="auto"/>
        <w:jc w:val="both"/>
        <w:rPr>
          <w:rFonts w:ascii="Times New Roman" w:hAnsi="Times New Roman"/>
          <w:bCs/>
          <w:sz w:val="24"/>
          <w:szCs w:val="24"/>
        </w:rPr>
      </w:pPr>
    </w:p>
    <w:p w14:paraId="06225C44" w14:textId="77777777" w:rsidR="004C055F" w:rsidRPr="007C5A6E" w:rsidRDefault="004C055F" w:rsidP="006F6024">
      <w:pPr>
        <w:spacing w:after="0" w:line="240" w:lineRule="auto"/>
        <w:jc w:val="both"/>
        <w:rPr>
          <w:rFonts w:ascii="Times New Roman" w:hAnsi="Times New Roman"/>
          <w:bCs/>
          <w:sz w:val="24"/>
          <w:szCs w:val="24"/>
        </w:rPr>
      </w:pPr>
    </w:p>
    <w:p w14:paraId="28CFC128" w14:textId="77777777" w:rsidR="004C055F" w:rsidRPr="007C5A6E" w:rsidRDefault="004C055F" w:rsidP="006F6024">
      <w:pPr>
        <w:spacing w:after="0" w:line="240" w:lineRule="auto"/>
        <w:jc w:val="both"/>
        <w:rPr>
          <w:rFonts w:ascii="Times New Roman" w:hAnsi="Times New Roman"/>
          <w:bCs/>
          <w:sz w:val="24"/>
          <w:szCs w:val="24"/>
        </w:rPr>
      </w:pPr>
    </w:p>
    <w:p w14:paraId="242CC266" w14:textId="77777777" w:rsidR="004C055F" w:rsidRPr="007C5A6E" w:rsidRDefault="004C055F" w:rsidP="006F6024">
      <w:pPr>
        <w:spacing w:after="0" w:line="240" w:lineRule="auto"/>
        <w:jc w:val="both"/>
        <w:rPr>
          <w:rFonts w:ascii="Times New Roman" w:hAnsi="Times New Roman"/>
          <w:bCs/>
          <w:sz w:val="24"/>
          <w:szCs w:val="24"/>
        </w:rPr>
      </w:pPr>
    </w:p>
    <w:p w14:paraId="04306302" w14:textId="77777777" w:rsidR="004C055F" w:rsidRPr="007C5A6E" w:rsidRDefault="004C055F" w:rsidP="006F6024">
      <w:pPr>
        <w:spacing w:after="0" w:line="240" w:lineRule="auto"/>
        <w:jc w:val="both"/>
        <w:rPr>
          <w:rFonts w:ascii="Times New Roman" w:hAnsi="Times New Roman"/>
          <w:bCs/>
          <w:sz w:val="24"/>
          <w:szCs w:val="24"/>
        </w:rPr>
      </w:pPr>
    </w:p>
    <w:p w14:paraId="3CB6A9E1" w14:textId="6CBFE1C5" w:rsidR="004C055F" w:rsidRPr="007C5A6E" w:rsidRDefault="006F6024" w:rsidP="006F6024">
      <w:pPr>
        <w:numPr>
          <w:ilvl w:val="0"/>
          <w:numId w:val="84"/>
        </w:numPr>
        <w:spacing w:after="0" w:line="240" w:lineRule="auto"/>
        <w:ind w:left="357" w:hanging="357"/>
        <w:jc w:val="both"/>
        <w:rPr>
          <w:rFonts w:ascii="Times New Roman" w:hAnsi="Times New Roman"/>
          <w:b/>
          <w:sz w:val="24"/>
          <w:szCs w:val="24"/>
        </w:rPr>
      </w:pPr>
      <w:r w:rsidRPr="007C5A6E">
        <w:rPr>
          <w:rFonts w:ascii="Times New Roman" w:hAnsi="Times New Roman"/>
          <w:b/>
          <w:sz w:val="24"/>
          <w:szCs w:val="24"/>
        </w:rPr>
        <w:t xml:space="preserve"> ETAT ET DYNAMIQUE DES </w:t>
      </w:r>
      <w:r w:rsidR="004C055F" w:rsidRPr="007C5A6E">
        <w:rPr>
          <w:rFonts w:ascii="Times New Roman" w:hAnsi="Times New Roman"/>
          <w:b/>
          <w:sz w:val="24"/>
          <w:szCs w:val="24"/>
        </w:rPr>
        <w:t xml:space="preserve">SOLS </w:t>
      </w:r>
    </w:p>
    <w:p w14:paraId="31BDECBB" w14:textId="77777777" w:rsidR="006F6024" w:rsidRPr="007C5A6E" w:rsidRDefault="006F6024" w:rsidP="006F6024">
      <w:pPr>
        <w:spacing w:after="0" w:line="240" w:lineRule="auto"/>
        <w:jc w:val="both"/>
        <w:rPr>
          <w:rFonts w:ascii="Times New Roman" w:hAnsi="Times New Roman"/>
          <w:b/>
          <w:sz w:val="20"/>
          <w:szCs w:val="20"/>
        </w:rPr>
      </w:pPr>
    </w:p>
    <w:p w14:paraId="67E8B0F3"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ANEEMAS, 2020. Rapport de suivi environnnemental du site d’exploitation d’or de Kongan dans la Commune rurale de Ouo province de la Comoé dans la Région des Cascades. 26 p.</w:t>
      </w:r>
    </w:p>
    <w:p w14:paraId="6D5E32D6"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64D95383" w14:textId="0131C4F9"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Association Sahel People Service, 2010. La technique du zaï-Fiche technique.</w:t>
      </w:r>
    </w:p>
    <w:p w14:paraId="5FB6D580"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0065A9DA" w14:textId="51D1264A"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 xml:space="preserve">Bamogo A., Lankoandé F. Y., Koulibaly B., Traoré M., Traoré A., Naco B. H., 2022. Pratiques paysannes de gestion de la fertilité des sols dégradés dans la zone cotonnière au Burkina Faso. </w:t>
      </w:r>
      <w:r w:rsidRPr="007C5A6E">
        <w:rPr>
          <w:rFonts w:ascii="Times New Roman" w:eastAsia="Calibri" w:hAnsi="Times New Roman"/>
          <w:i/>
          <w:iCs/>
          <w:noProof/>
          <w:kern w:val="2"/>
          <w:sz w:val="20"/>
          <w:szCs w:val="20"/>
          <w14:ligatures w14:val="standardContextual"/>
        </w:rPr>
        <w:t>Sciences et techniques, Sciences Naturelles et appliquées</w:t>
      </w:r>
      <w:r w:rsidRPr="007C5A6E">
        <w:rPr>
          <w:rFonts w:ascii="Times New Roman" w:eastAsia="Calibri" w:hAnsi="Times New Roman"/>
          <w:noProof/>
          <w:kern w:val="2"/>
          <w:sz w:val="20"/>
          <w:szCs w:val="20"/>
          <w14:ligatures w14:val="standardContextual"/>
        </w:rPr>
        <w:t>. Vol. 41, n°1 16 p.</w:t>
      </w:r>
    </w:p>
    <w:p w14:paraId="43C39FE4"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5731BAD4" w14:textId="04296991"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Banque Mondiale, 2017. Burkina Faso : l’agriculture, un puissant instrument de réduire la pauvreté</w:t>
      </w:r>
    </w:p>
    <w:p w14:paraId="35E232E9"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29D93E6B" w14:textId="42D9BADB"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Bohbot J.,2021. L’orpaillage au Burkina Faso : une aubaine économique pour la population, aux conséquences sociales et environnementales mal maitraisées. Jounals Open Edition Varia N° 42, 43 p.</w:t>
      </w:r>
    </w:p>
    <w:p w14:paraId="2A632745"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7486B14F"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 xml:space="preserve">Botoni E., Larnanou M., Rej C., 2010. La régénération naturelle assistée (RNA) : une opportunité pour reverdir le Sahel et reduire la vulnérabilité des populations. In book : le projet majeur africain de la Grande Muraille Verte.pp. </w:t>
      </w:r>
    </w:p>
    <w:p w14:paraId="0E3C6A36" w14:textId="38E64235"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151-162.</w:t>
      </w:r>
    </w:p>
    <w:p w14:paraId="1F72D1BC"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3EC35D34" w14:textId="6E4D1D88"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BUMIGEB, 2024. Carte des principaux gisements du Burkina Faso.</w:t>
      </w:r>
    </w:p>
    <w:p w14:paraId="71597987"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67DB6795" w14:textId="12E4DF5C"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CENAZO, 2024. Burkina Faso/ Lutte contre la pollution plastique : sur un chemin pavé de recyclage.</w:t>
      </w:r>
    </w:p>
    <w:p w14:paraId="35BF9DD4" w14:textId="77777777" w:rsidR="000E4359" w:rsidRPr="007C5A6E" w:rsidRDefault="000E4359" w:rsidP="000E4359">
      <w:pPr>
        <w:spacing w:after="0" w:line="240" w:lineRule="auto"/>
        <w:jc w:val="both"/>
        <w:rPr>
          <w:rFonts w:ascii="Times New Roman" w:eastAsia="Calibri" w:hAnsi="Times New Roman"/>
          <w:kern w:val="2"/>
          <w:sz w:val="20"/>
          <w:szCs w:val="20"/>
          <w:lang w:eastAsia="en-US"/>
          <w14:ligatures w14:val="standardContextual"/>
        </w:rPr>
      </w:pPr>
    </w:p>
    <w:p w14:paraId="6721BB35" w14:textId="10981739" w:rsidR="000E4359" w:rsidRPr="007C5A6E" w:rsidRDefault="000E4359" w:rsidP="000E4359">
      <w:pPr>
        <w:spacing w:after="0" w:line="240" w:lineRule="auto"/>
        <w:jc w:val="both"/>
        <w:rPr>
          <w:rFonts w:ascii="Times New Roman" w:eastAsia="Calibri" w:hAnsi="Times New Roman"/>
          <w:iCs/>
          <w:kern w:val="2"/>
          <w:sz w:val="20"/>
          <w:szCs w:val="20"/>
          <w:lang w:eastAsia="en-US"/>
          <w14:ligatures w14:val="standardContextual"/>
        </w:rPr>
      </w:pPr>
      <w:r w:rsidRPr="007C5A6E">
        <w:rPr>
          <w:rFonts w:ascii="Times New Roman" w:eastAsia="Calibri" w:hAnsi="Times New Roman"/>
          <w:kern w:val="2"/>
          <w:sz w:val="20"/>
          <w:szCs w:val="20"/>
          <w:lang w:eastAsia="en-US"/>
          <w14:ligatures w14:val="standardContextual"/>
        </w:rPr>
        <w:t xml:space="preserve">Chauvel A., 1997. </w:t>
      </w:r>
      <w:r w:rsidRPr="007C5A6E">
        <w:rPr>
          <w:rFonts w:ascii="Times New Roman" w:eastAsia="Calibri" w:hAnsi="Times New Roman"/>
          <w:iCs/>
          <w:kern w:val="2"/>
          <w:sz w:val="20"/>
          <w:szCs w:val="20"/>
          <w:lang w:eastAsia="en-US"/>
          <w14:ligatures w14:val="standardContextual"/>
        </w:rPr>
        <w:t>Recherche sur la transformation des sols ferrallitiques dans la zone tropicale à saison contrastée. Evolution et réorganisation des sols rouges en moyenne Casamance (Sénégal). pp. 425-495.</w:t>
      </w:r>
    </w:p>
    <w:p w14:paraId="677A2AFF"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1417D8AB" w14:textId="1316A9BB"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 xml:space="preserve">Clavel D., Barro A., Belay T., Lahmar R., Maraux F., 2016. Burkina Faso : L’évolution de la technique du zaï. </w:t>
      </w:r>
      <w:r w:rsidRPr="007C5A6E">
        <w:rPr>
          <w:rFonts w:ascii="Times New Roman" w:eastAsia="Calibri" w:hAnsi="Times New Roman"/>
          <w:i/>
          <w:iCs/>
          <w:noProof/>
          <w:kern w:val="2"/>
          <w:sz w:val="20"/>
          <w:szCs w:val="20"/>
          <w14:ligatures w14:val="standardContextual"/>
        </w:rPr>
        <w:t>Agridap</w:t>
      </w:r>
      <w:r w:rsidRPr="007C5A6E">
        <w:rPr>
          <w:rFonts w:ascii="Times New Roman" w:eastAsia="Calibri" w:hAnsi="Times New Roman"/>
          <w:noProof/>
          <w:kern w:val="2"/>
          <w:sz w:val="20"/>
          <w:szCs w:val="20"/>
          <w14:ligatures w14:val="standardContextual"/>
        </w:rPr>
        <w:t>, 32 (1) : 18-20.</w:t>
      </w:r>
    </w:p>
    <w:p w14:paraId="58B66FF2"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71DFC79F" w14:textId="54D05E1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CNABio, 2023. Fiche technique sur les diguettes filtrantes anti-érosive.</w:t>
      </w:r>
    </w:p>
    <w:p w14:paraId="7070B769"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30FA251C" w14:textId="69F17DB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C.P.C.S., 1967. Classification des sols. Publ. ENSA-GRIGNON, France, 87 p.</w:t>
      </w:r>
    </w:p>
    <w:p w14:paraId="3DA06A99"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076E70E0" w14:textId="2F39207F"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Deshaores T., 2016. L’acaparement des terres et ses impacts sur la sécurité alimentaire et foncière :évaluation des mécanismes de prévention et de résolution de conflits fonciers dans la région des Hauts-Bassins au Burkina Faso.</w:t>
      </w:r>
    </w:p>
    <w:p w14:paraId="2E851E47"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32ED02B7" w14:textId="4E264DD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DGRE, 2023. Gestion modernisée des ressources en eau.</w:t>
      </w:r>
    </w:p>
    <w:p w14:paraId="1CE386AD"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498DE8F1" w14:textId="43E75638" w:rsidR="000E4359" w:rsidRPr="007C5A6E" w:rsidRDefault="000E4359" w:rsidP="000E4359">
      <w:pPr>
        <w:spacing w:after="0" w:line="240" w:lineRule="auto"/>
        <w:jc w:val="both"/>
        <w:rPr>
          <w:rFonts w:ascii="Times New Roman" w:eastAsia="Calibri" w:hAnsi="Times New Roman"/>
          <w:noProof/>
          <w:kern w:val="2"/>
          <w:sz w:val="20"/>
          <w:szCs w:val="20"/>
          <w:lang w:val="en-US"/>
          <w14:ligatures w14:val="standardContextual"/>
        </w:rPr>
      </w:pPr>
      <w:r w:rsidRPr="007C5A6E">
        <w:rPr>
          <w:rFonts w:ascii="Times New Roman" w:eastAsia="Calibri" w:hAnsi="Times New Roman"/>
          <w:noProof/>
          <w:kern w:val="2"/>
          <w:sz w:val="20"/>
          <w:szCs w:val="20"/>
          <w14:ligatures w14:val="standardContextual"/>
        </w:rPr>
        <w:t xml:space="preserve">Douamba S. W. M. F., Savadogo P.,, Hien E., 2023. Feux tardifs et dynamique de la matière organique en zone soudanienne du Burkina Faso. </w:t>
      </w:r>
      <w:r w:rsidRPr="007C5A6E">
        <w:rPr>
          <w:rFonts w:ascii="Times New Roman" w:eastAsia="Calibri" w:hAnsi="Times New Roman"/>
          <w:i/>
          <w:iCs/>
          <w:noProof/>
          <w:kern w:val="2"/>
          <w:sz w:val="20"/>
          <w:szCs w:val="20"/>
          <w:lang w:val="en-US"/>
          <w14:ligatures w14:val="standardContextual"/>
        </w:rPr>
        <w:t xml:space="preserve">Journa of Research in Environùent and Earth Sciences </w:t>
      </w:r>
      <w:r w:rsidRPr="007C5A6E">
        <w:rPr>
          <w:rFonts w:ascii="Times New Roman" w:eastAsia="Calibri" w:hAnsi="Times New Roman"/>
          <w:noProof/>
          <w:kern w:val="2"/>
          <w:sz w:val="20"/>
          <w:szCs w:val="20"/>
          <w:lang w:val="en-US"/>
          <w14:ligatures w14:val="standardContextual"/>
        </w:rPr>
        <w:t xml:space="preserve">Volume 9 pp 29-37.  </w:t>
      </w:r>
    </w:p>
    <w:p w14:paraId="57B2A978" w14:textId="77777777" w:rsidR="000E4359" w:rsidRPr="007C5A6E" w:rsidRDefault="000E4359" w:rsidP="000E4359">
      <w:pPr>
        <w:spacing w:after="0" w:line="240" w:lineRule="auto"/>
        <w:jc w:val="both"/>
        <w:rPr>
          <w:rFonts w:ascii="Times New Roman" w:eastAsia="Calibri" w:hAnsi="Times New Roman"/>
          <w:noProof/>
          <w:kern w:val="2"/>
          <w:sz w:val="20"/>
          <w:szCs w:val="20"/>
          <w:lang w:val="en-US"/>
          <w14:ligatures w14:val="standardContextual"/>
        </w:rPr>
      </w:pPr>
    </w:p>
    <w:p w14:paraId="642E43CF" w14:textId="5FB256A4"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Envir-Infos, 2024. L’information au service de l’environnement et du développement durable.</w:t>
      </w:r>
    </w:p>
    <w:p w14:paraId="625961BA" w14:textId="77777777" w:rsidR="000E4359" w:rsidRPr="007C5A6E" w:rsidRDefault="000E4359" w:rsidP="000E4359">
      <w:pPr>
        <w:spacing w:after="0" w:line="240" w:lineRule="auto"/>
        <w:jc w:val="both"/>
        <w:rPr>
          <w:rFonts w:ascii="Times New Roman" w:eastAsia="Calibri" w:hAnsi="Times New Roman"/>
          <w:kern w:val="2"/>
          <w:sz w:val="20"/>
          <w:szCs w:val="20"/>
          <w14:ligatures w14:val="standardContextual"/>
        </w:rPr>
      </w:pPr>
    </w:p>
    <w:p w14:paraId="5DEC495E" w14:textId="7C1C3CE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kern w:val="2"/>
          <w:sz w:val="20"/>
          <w:szCs w:val="20"/>
          <w14:ligatures w14:val="standardContextual"/>
        </w:rPr>
        <w:t>FAO, 2018a. Rapport pays-E</w:t>
      </w:r>
      <w:r w:rsidRPr="007C5A6E">
        <w:rPr>
          <w:rFonts w:ascii="Times New Roman" w:eastAsia="Calibri" w:hAnsi="Times New Roman"/>
          <w:noProof/>
          <w:kern w:val="2"/>
          <w:sz w:val="20"/>
          <w:szCs w:val="20"/>
          <w14:ligatures w14:val="standardContextual"/>
        </w:rPr>
        <w:t>levage durable en Afrique 2050. Burkina Faso. Organisation des Nations Unies pour l’Alimentation et l’Agriculture, Rome.</w:t>
      </w:r>
    </w:p>
    <w:p w14:paraId="1AB74E55"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4CC78DF0" w14:textId="1A07077F"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Fondation Konrad Adenauer Stiftung, 2023. Etude de la migration au Burkina Faso. Rapport final. 87 p.</w:t>
      </w:r>
    </w:p>
    <w:p w14:paraId="3D5481E2"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1E9D1485" w14:textId="0544D964"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Fonds Monétaire International, 2023. Perspectives de l’économie mondiale.</w:t>
      </w:r>
    </w:p>
    <w:p w14:paraId="3234C6E2"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0B28EE1D" w14:textId="6E07898D"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lang w:val="de-DE"/>
          <w14:ligatures w14:val="standardContextual"/>
        </w:rPr>
        <w:t xml:space="preserve">Franza D., Bettina E., Mirka S., 2018. </w:t>
      </w:r>
      <w:r w:rsidRPr="007C5A6E">
        <w:rPr>
          <w:rFonts w:ascii="Times New Roman" w:eastAsia="Calibri" w:hAnsi="Times New Roman"/>
          <w:noProof/>
          <w:kern w:val="2"/>
          <w:sz w:val="20"/>
          <w:szCs w:val="20"/>
          <w14:ligatures w14:val="standardContextual"/>
        </w:rPr>
        <w:t xml:space="preserve">Les mines nous rendent pauvres : L’exploitation minière industrielle au Burkina Faso. </w:t>
      </w:r>
      <w:r w:rsidRPr="007C5A6E">
        <w:rPr>
          <w:rFonts w:ascii="Times New Roman" w:eastAsia="Calibri" w:hAnsi="Times New Roman"/>
          <w:i/>
          <w:iCs/>
          <w:noProof/>
          <w:kern w:val="2"/>
          <w:sz w:val="20"/>
          <w:szCs w:val="20"/>
          <w14:ligatures w14:val="standardContextual"/>
        </w:rPr>
        <w:t xml:space="preserve">GLOCON Contry Report, </w:t>
      </w:r>
      <w:r w:rsidRPr="007C5A6E">
        <w:rPr>
          <w:rFonts w:ascii="Times New Roman" w:eastAsia="Calibri" w:hAnsi="Times New Roman"/>
          <w:noProof/>
          <w:kern w:val="2"/>
          <w:sz w:val="20"/>
          <w:szCs w:val="20"/>
          <w14:ligatures w14:val="standardContextual"/>
        </w:rPr>
        <w:t>N°2 Berli : GLOCON.</w:t>
      </w:r>
    </w:p>
    <w:p w14:paraId="02088D3B"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3C438010" w14:textId="2DBE8BDE"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GEO, 2022. Comment distinguer la qualité de géomembrane LissePeld ?</w:t>
      </w:r>
    </w:p>
    <w:p w14:paraId="4270BABF"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0494C221" w14:textId="1D1ED226"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 xml:space="preserve">Guillobez S. 2024. Etude des pluies et des intensités exceptionnelles au Burkina Faso. </w:t>
      </w:r>
      <w:r w:rsidRPr="007C5A6E">
        <w:rPr>
          <w:rFonts w:ascii="Times New Roman" w:eastAsia="Calibri" w:hAnsi="Times New Roman"/>
          <w:i/>
          <w:iCs/>
          <w:noProof/>
          <w:kern w:val="2"/>
          <w:sz w:val="20"/>
          <w:szCs w:val="20"/>
          <w14:ligatures w14:val="standardContextual"/>
        </w:rPr>
        <w:t>CIRAD-Agritop</w:t>
      </w:r>
      <w:r w:rsidRPr="007C5A6E">
        <w:rPr>
          <w:rFonts w:ascii="Times New Roman" w:eastAsia="Calibri" w:hAnsi="Times New Roman"/>
          <w:noProof/>
          <w:kern w:val="2"/>
          <w:sz w:val="20"/>
          <w:szCs w:val="20"/>
          <w14:ligatures w14:val="standardContextual"/>
        </w:rPr>
        <w:t>. 5 p. Page générée et mise en cache le 24-04 06.</w:t>
      </w:r>
    </w:p>
    <w:p w14:paraId="4BF615F9"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59E81712" w14:textId="79B9120B"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lang w:val="de-DE"/>
          <w14:ligatures w14:val="standardContextual"/>
        </w:rPr>
        <w:t xml:space="preserve">Idani T. F., Kaboré S. E., Konkobo J., 2022. </w:t>
      </w:r>
      <w:r w:rsidRPr="007C5A6E">
        <w:rPr>
          <w:rFonts w:ascii="Times New Roman" w:eastAsia="Calibri" w:hAnsi="Times New Roman"/>
          <w:noProof/>
          <w:kern w:val="2"/>
          <w:sz w:val="20"/>
          <w:szCs w:val="20"/>
          <w14:ligatures w14:val="standardContextual"/>
        </w:rPr>
        <w:t>Gestion des bas-fonds au Burkina Faso : cas des bas-fonds de Bankandé, Lofing et Pontiéba pp 106-120.</w:t>
      </w:r>
    </w:p>
    <w:p w14:paraId="6C81260E"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37C9F863" w14:textId="3AB5D38A"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IFAD, 2021. Petites exploitations agricoles au Burkina Faso : lutter contre la dégradation des terres à partir de la base.</w:t>
      </w:r>
    </w:p>
    <w:p w14:paraId="0CFC0A78"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5A4AC88D" w14:textId="319DC785"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IFDC, 2022. Consommation apparente d’engrais au Burkina Faso.</w:t>
      </w:r>
    </w:p>
    <w:p w14:paraId="3CD423F7"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01FCBA38" w14:textId="3C2A4635"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INSD, 2019. Recensement Général de la population et de l’Habitat.</w:t>
      </w:r>
    </w:p>
    <w:p w14:paraId="5DF3738D"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5780A686" w14:textId="317483DD"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 xml:space="preserve">J. K. </w:t>
      </w:r>
      <w:r w:rsidRPr="007C5A6E">
        <w:rPr>
          <w:rFonts w:ascii="Times New Roman" w:eastAsia="Calibri" w:hAnsi="Times New Roman"/>
          <w:i/>
          <w:iCs/>
          <w:noProof/>
          <w:kern w:val="2"/>
          <w:sz w:val="20"/>
          <w:szCs w:val="20"/>
          <w14:ligatures w14:val="standardContextual"/>
        </w:rPr>
        <w:t>Sidwaya</w:t>
      </w:r>
      <w:r w:rsidRPr="007C5A6E">
        <w:rPr>
          <w:rFonts w:ascii="Times New Roman" w:eastAsia="Calibri" w:hAnsi="Times New Roman"/>
          <w:noProof/>
          <w:kern w:val="2"/>
          <w:sz w:val="20"/>
          <w:szCs w:val="20"/>
          <w14:ligatures w14:val="standardContextual"/>
        </w:rPr>
        <w:t>. 2024. Feux de brousse au Sud-Ouest : une menace persistante pour l’environnement.</w:t>
      </w:r>
    </w:p>
    <w:p w14:paraId="4E62553C"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7D8134A6" w14:textId="5FA4BFE3"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 xml:space="preserve">Kaboré P. N., Barbier B., Ouoba P., Kiéma A., Somé L. et Ouédraogo A. 2019. Perception du changement climatique, impacts environnementaux et stratégies endogènes d’adaptation par les producteurs du Centre-Nord du Burkina Faso. </w:t>
      </w:r>
      <w:r w:rsidRPr="007C5A6E">
        <w:rPr>
          <w:rFonts w:ascii="Times New Roman" w:eastAsia="Calibri" w:hAnsi="Times New Roman"/>
          <w:i/>
          <w:iCs/>
          <w:noProof/>
          <w:kern w:val="2"/>
          <w:sz w:val="20"/>
          <w:szCs w:val="20"/>
          <w14:ligatures w14:val="standardContextual"/>
        </w:rPr>
        <w:t>VertgO</w:t>
      </w:r>
      <w:r w:rsidRPr="007C5A6E">
        <w:rPr>
          <w:rFonts w:ascii="Times New Roman" w:eastAsia="Calibri" w:hAnsi="Times New Roman"/>
          <w:noProof/>
          <w:kern w:val="2"/>
          <w:sz w:val="20"/>
          <w:szCs w:val="20"/>
          <w14:ligatures w14:val="standardContextual"/>
        </w:rPr>
        <w:t>-la revue électronique en sciences de  l’environnement. Volume 19 Numéro 1.</w:t>
      </w:r>
    </w:p>
    <w:p w14:paraId="3F8C7008"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60CDD092" w14:textId="2D6CBC9C"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 xml:space="preserve">Kissou R., Gnankambary Z., Nacro H. B., Sédogo M. P., 2018a. Classification locale et utilisation des sols en zone sahélienne au Burkina Faso. </w:t>
      </w:r>
      <w:r w:rsidRPr="007C5A6E">
        <w:rPr>
          <w:rFonts w:ascii="Times New Roman" w:eastAsia="Calibri" w:hAnsi="Times New Roman"/>
          <w:i/>
          <w:iCs/>
          <w:noProof/>
          <w:kern w:val="2"/>
          <w:sz w:val="20"/>
          <w:szCs w:val="20"/>
          <w14:ligatures w14:val="standardContextual"/>
        </w:rPr>
        <w:t>Int. J. Biol. Sci</w:t>
      </w:r>
      <w:r w:rsidRPr="007C5A6E">
        <w:rPr>
          <w:rFonts w:ascii="Times New Roman" w:eastAsia="Calibri" w:hAnsi="Times New Roman"/>
          <w:noProof/>
          <w:kern w:val="2"/>
          <w:sz w:val="20"/>
          <w:szCs w:val="20"/>
          <w14:ligatures w14:val="standardContextual"/>
        </w:rPr>
        <w:t>, 12 (1) 610-617.</w:t>
      </w:r>
    </w:p>
    <w:p w14:paraId="2AB1C988" w14:textId="77777777" w:rsidR="000E4359" w:rsidRPr="007C5A6E" w:rsidRDefault="000E4359" w:rsidP="000E4359">
      <w:pPr>
        <w:spacing w:after="0" w:line="240" w:lineRule="auto"/>
        <w:jc w:val="both"/>
        <w:rPr>
          <w:rFonts w:ascii="Times New Roman" w:eastAsia="Calibri" w:hAnsi="Times New Roman"/>
          <w:bCs/>
          <w:kern w:val="2"/>
          <w:sz w:val="20"/>
          <w:szCs w:val="20"/>
          <w:lang w:eastAsia="en-US"/>
          <w14:ligatures w14:val="standardContextual"/>
        </w:rPr>
      </w:pPr>
    </w:p>
    <w:p w14:paraId="52C74C13" w14:textId="09B2C810"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roofErr w:type="spellStart"/>
      <w:r w:rsidRPr="007C5A6E">
        <w:rPr>
          <w:rFonts w:ascii="Times New Roman" w:eastAsia="Calibri" w:hAnsi="Times New Roman"/>
          <w:bCs/>
          <w:kern w:val="2"/>
          <w:sz w:val="20"/>
          <w:szCs w:val="20"/>
          <w:lang w:eastAsia="en-US"/>
          <w14:ligatures w14:val="standardContextual"/>
        </w:rPr>
        <w:t>Kissou</w:t>
      </w:r>
      <w:proofErr w:type="spellEnd"/>
      <w:r w:rsidRPr="007C5A6E">
        <w:rPr>
          <w:rFonts w:ascii="Times New Roman" w:eastAsia="Calibri" w:hAnsi="Times New Roman"/>
          <w:bCs/>
          <w:kern w:val="2"/>
          <w:sz w:val="20"/>
          <w:szCs w:val="20"/>
          <w:lang w:eastAsia="en-US"/>
          <w14:ligatures w14:val="standardContextual"/>
        </w:rPr>
        <w:t xml:space="preserve"> R., </w:t>
      </w:r>
      <w:proofErr w:type="spellStart"/>
      <w:r w:rsidRPr="007C5A6E">
        <w:rPr>
          <w:rFonts w:ascii="Times New Roman" w:eastAsia="Calibri" w:hAnsi="Times New Roman"/>
          <w:bCs/>
          <w:kern w:val="2"/>
          <w:sz w:val="20"/>
          <w:szCs w:val="20"/>
          <w:lang w:eastAsia="en-US"/>
          <w14:ligatures w14:val="standardContextual"/>
        </w:rPr>
        <w:t>Gnankambary</w:t>
      </w:r>
      <w:proofErr w:type="spellEnd"/>
      <w:r w:rsidRPr="007C5A6E">
        <w:rPr>
          <w:rFonts w:ascii="Times New Roman" w:eastAsia="Calibri" w:hAnsi="Times New Roman"/>
          <w:bCs/>
          <w:kern w:val="2"/>
          <w:sz w:val="20"/>
          <w:szCs w:val="20"/>
          <w:lang w:eastAsia="en-US"/>
          <w14:ligatures w14:val="standardContextual"/>
        </w:rPr>
        <w:t xml:space="preserve"> Z., </w:t>
      </w:r>
      <w:proofErr w:type="spellStart"/>
      <w:r w:rsidRPr="007C5A6E">
        <w:rPr>
          <w:rFonts w:ascii="Times New Roman" w:eastAsia="Calibri" w:hAnsi="Times New Roman"/>
          <w:bCs/>
          <w:kern w:val="2"/>
          <w:sz w:val="20"/>
          <w:szCs w:val="20"/>
          <w:lang w:eastAsia="en-US"/>
          <w14:ligatures w14:val="standardContextual"/>
        </w:rPr>
        <w:t>Nacro</w:t>
      </w:r>
      <w:proofErr w:type="spellEnd"/>
      <w:r w:rsidRPr="007C5A6E">
        <w:rPr>
          <w:rFonts w:ascii="Times New Roman" w:eastAsia="Calibri" w:hAnsi="Times New Roman"/>
          <w:bCs/>
          <w:kern w:val="2"/>
          <w:sz w:val="20"/>
          <w:szCs w:val="20"/>
          <w:lang w:eastAsia="en-US"/>
          <w14:ligatures w14:val="standardContextual"/>
        </w:rPr>
        <w:t xml:space="preserve"> H. B. et </w:t>
      </w:r>
      <w:proofErr w:type="spellStart"/>
      <w:r w:rsidRPr="007C5A6E">
        <w:rPr>
          <w:rFonts w:ascii="Times New Roman" w:eastAsia="Calibri" w:hAnsi="Times New Roman"/>
          <w:bCs/>
          <w:kern w:val="2"/>
          <w:sz w:val="20"/>
          <w:szCs w:val="20"/>
          <w:lang w:eastAsia="en-US"/>
          <w14:ligatures w14:val="standardContextual"/>
        </w:rPr>
        <w:t>Sédogo</w:t>
      </w:r>
      <w:proofErr w:type="spellEnd"/>
      <w:r w:rsidRPr="007C5A6E">
        <w:rPr>
          <w:rFonts w:ascii="Times New Roman" w:eastAsia="Calibri" w:hAnsi="Times New Roman"/>
          <w:bCs/>
          <w:kern w:val="2"/>
          <w:sz w:val="20"/>
          <w:szCs w:val="20"/>
          <w:lang w:eastAsia="en-US"/>
          <w14:ligatures w14:val="standardContextual"/>
        </w:rPr>
        <w:t xml:space="preserve"> M. P., 2018b.</w:t>
      </w:r>
      <w:r w:rsidRPr="007C5A6E">
        <w:rPr>
          <w:rFonts w:ascii="Times New Roman" w:eastAsia="Calibri" w:hAnsi="Times New Roman"/>
          <w:b/>
          <w:bCs/>
          <w:kern w:val="2"/>
          <w:sz w:val="20"/>
          <w:szCs w:val="20"/>
          <w:lang w:eastAsia="en-US"/>
          <w14:ligatures w14:val="standardContextual"/>
        </w:rPr>
        <w:t xml:space="preserve"> </w:t>
      </w:r>
      <w:r w:rsidRPr="007C5A6E">
        <w:rPr>
          <w:rFonts w:ascii="Times New Roman" w:eastAsia="Calibri" w:hAnsi="Times New Roman"/>
          <w:bCs/>
          <w:kern w:val="2"/>
          <w:sz w:val="20"/>
          <w:szCs w:val="20"/>
          <w:lang w:eastAsia="en-US"/>
          <w14:ligatures w14:val="standardContextual"/>
        </w:rPr>
        <w:t xml:space="preserve">Variation de la matière organique du sol selon la géomorphologie dans les agro-paysages en zone soudano-sahélienne au Burkina Faso. </w:t>
      </w:r>
      <w:r w:rsidRPr="007C5A6E">
        <w:rPr>
          <w:rFonts w:ascii="Times New Roman" w:eastAsia="Calibri" w:hAnsi="Times New Roman"/>
          <w:bCs/>
          <w:i/>
          <w:kern w:val="2"/>
          <w:sz w:val="20"/>
          <w:szCs w:val="20"/>
          <w:lang w:eastAsia="en-US"/>
          <w14:ligatures w14:val="standardContextual"/>
        </w:rPr>
        <w:t>Afrique Science</w:t>
      </w:r>
      <w:r w:rsidRPr="007C5A6E">
        <w:rPr>
          <w:rFonts w:ascii="Times New Roman" w:eastAsia="Calibri" w:hAnsi="Times New Roman"/>
          <w:bCs/>
          <w:kern w:val="2"/>
          <w:sz w:val="20"/>
          <w:szCs w:val="20"/>
          <w:lang w:eastAsia="en-US"/>
          <w14:ligatures w14:val="standardContextual"/>
        </w:rPr>
        <w:t xml:space="preserve"> 14 (1) 251-262.</w:t>
      </w:r>
    </w:p>
    <w:p w14:paraId="219071F3"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42BE6957" w14:textId="018D3755"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Konaté A., K., Woni I., Zongo A.,</w:t>
      </w:r>
      <w:r w:rsidRPr="007C5A6E">
        <w:rPr>
          <w:rFonts w:ascii="Times New Roman" w:eastAsia="Calibri" w:hAnsi="Times New Roman"/>
          <w:noProof/>
          <w:color w:val="FF0000"/>
          <w:kern w:val="2"/>
          <w:sz w:val="20"/>
          <w:szCs w:val="20"/>
          <w14:ligatures w14:val="standardContextual"/>
        </w:rPr>
        <w:t xml:space="preserve"> </w:t>
      </w:r>
      <w:r w:rsidRPr="007C5A6E">
        <w:rPr>
          <w:rFonts w:ascii="Times New Roman" w:eastAsia="Calibri" w:hAnsi="Times New Roman"/>
          <w:noProof/>
          <w:kern w:val="2"/>
          <w:sz w:val="20"/>
          <w:szCs w:val="20"/>
          <w14:ligatures w14:val="standardContextual"/>
        </w:rPr>
        <w:t xml:space="preserve">Koné S. et Sawadogo M., 2022. </w:t>
      </w:r>
      <w:r w:rsidRPr="007C5A6E">
        <w:rPr>
          <w:rFonts w:ascii="Times New Roman" w:eastAsia="Calibri" w:hAnsi="Times New Roman"/>
          <w:kern w:val="2"/>
          <w:sz w:val="20"/>
          <w:szCs w:val="20"/>
          <w:lang w:eastAsia="en-US"/>
          <w14:ligatures w14:val="standardContextual"/>
        </w:rPr>
        <w:t xml:space="preserve">Étude de la variabilité des caractères agro-morphologiques d’accessions de riz en condition de toxicité ferreuse. </w:t>
      </w:r>
      <w:r w:rsidRPr="007C5A6E">
        <w:rPr>
          <w:rFonts w:ascii="Times New Roman" w:eastAsia="Calibri" w:hAnsi="Times New Roman"/>
          <w:i/>
          <w:iCs/>
          <w:kern w:val="2"/>
          <w:sz w:val="20"/>
          <w:szCs w:val="20"/>
          <w:lang w:eastAsia="en-US"/>
          <w14:ligatures w14:val="standardContextual"/>
        </w:rPr>
        <w:t xml:space="preserve">J. </w:t>
      </w:r>
      <w:proofErr w:type="spellStart"/>
      <w:r w:rsidRPr="007C5A6E">
        <w:rPr>
          <w:rFonts w:ascii="Times New Roman" w:eastAsia="Calibri" w:hAnsi="Times New Roman"/>
          <w:i/>
          <w:iCs/>
          <w:kern w:val="2"/>
          <w:sz w:val="20"/>
          <w:szCs w:val="20"/>
          <w:lang w:eastAsia="en-US"/>
          <w14:ligatures w14:val="standardContextual"/>
        </w:rPr>
        <w:t>Appl</w:t>
      </w:r>
      <w:proofErr w:type="spellEnd"/>
      <w:r w:rsidRPr="007C5A6E">
        <w:rPr>
          <w:rFonts w:ascii="Times New Roman" w:eastAsia="Calibri" w:hAnsi="Times New Roman"/>
          <w:i/>
          <w:iCs/>
          <w:kern w:val="2"/>
          <w:sz w:val="20"/>
          <w:szCs w:val="20"/>
          <w:lang w:eastAsia="en-US"/>
          <w14:ligatures w14:val="standardContextual"/>
        </w:rPr>
        <w:t xml:space="preserve">. </w:t>
      </w:r>
      <w:proofErr w:type="spellStart"/>
      <w:r w:rsidRPr="007C5A6E">
        <w:rPr>
          <w:rFonts w:ascii="Times New Roman" w:eastAsia="Calibri" w:hAnsi="Times New Roman"/>
          <w:i/>
          <w:iCs/>
          <w:kern w:val="2"/>
          <w:sz w:val="20"/>
          <w:szCs w:val="20"/>
          <w:lang w:eastAsia="en-US"/>
          <w14:ligatures w14:val="standardContextual"/>
        </w:rPr>
        <w:t>Biosci</w:t>
      </w:r>
      <w:proofErr w:type="spellEnd"/>
      <w:r w:rsidRPr="007C5A6E">
        <w:rPr>
          <w:rFonts w:ascii="Times New Roman" w:eastAsia="Calibri" w:hAnsi="Times New Roman"/>
          <w:kern w:val="2"/>
          <w:sz w:val="20"/>
          <w:szCs w:val="20"/>
          <w:lang w:eastAsia="en-US"/>
          <w14:ligatures w14:val="standardContextual"/>
        </w:rPr>
        <w:t>. Vol : 169 ; 17599-17616 ISSN 1997-5902.</w:t>
      </w:r>
    </w:p>
    <w:p w14:paraId="17947835"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1DDC12C9" w14:textId="3D70485A"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Koné M., Laris F., Maïga S.R., 2019. Pratiques, régimes des feux de brousse.</w:t>
      </w:r>
    </w:p>
    <w:p w14:paraId="29D1879E"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1EC97D3E" w14:textId="35D43A68"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Koulibay B.,Traoré O., Dkuo D., Lalsaga R., Lompo F. et Zombré P. N., 2014. Acidification des sols ferrugineux et ferrallitiques dans les systèmes de production cotonnière au Burkina Faso.</w:t>
      </w:r>
      <w:r w:rsidRPr="007C5A6E">
        <w:rPr>
          <w:rFonts w:ascii="Times New Roman" w:eastAsia="Calibri" w:hAnsi="Times New Roman"/>
          <w:i/>
          <w:iCs/>
          <w:noProof/>
          <w:kern w:val="2"/>
          <w:sz w:val="20"/>
          <w:szCs w:val="20"/>
          <w14:ligatures w14:val="standardContextual"/>
        </w:rPr>
        <w:t>Int.J.Biol. Chem.Sci</w:t>
      </w:r>
      <w:r w:rsidRPr="007C5A6E">
        <w:rPr>
          <w:rFonts w:ascii="Times New Roman" w:eastAsia="Calibri" w:hAnsi="Times New Roman"/>
          <w:noProof/>
          <w:kern w:val="2"/>
          <w:sz w:val="20"/>
          <w:szCs w:val="20"/>
          <w14:ligatures w14:val="standardContextual"/>
        </w:rPr>
        <w:t>. 8 (6) : 2879-2890.</w:t>
      </w:r>
    </w:p>
    <w:p w14:paraId="1EA7CCF8"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32D66D4B" w14:textId="664C7816"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 xml:space="preserve">Lambiénou Y., Lompo D. J. P., Sako S. et Nacro H. B., 2020. Evaluation des teneurs en Eléments Trace Métaliques des sols soumis à l’apport  des déchets urbains solides. </w:t>
      </w:r>
      <w:r w:rsidRPr="007C5A6E">
        <w:rPr>
          <w:rFonts w:ascii="Times New Roman" w:eastAsia="Calibri" w:hAnsi="Times New Roman"/>
          <w:i/>
          <w:iCs/>
          <w:noProof/>
          <w:kern w:val="2"/>
          <w:sz w:val="20"/>
          <w:szCs w:val="20"/>
          <w14:ligatures w14:val="standardContextual"/>
        </w:rPr>
        <w:t>Int. J. Biol. Chem. Sci</w:t>
      </w:r>
      <w:r w:rsidRPr="007C5A6E">
        <w:rPr>
          <w:rFonts w:ascii="Times New Roman" w:eastAsia="Calibri" w:hAnsi="Times New Roman"/>
          <w:noProof/>
          <w:kern w:val="2"/>
          <w:sz w:val="20"/>
          <w:szCs w:val="20"/>
          <w14:ligatures w14:val="standardContextual"/>
        </w:rPr>
        <w:t>. 14 (9) 3361-3371.</w:t>
      </w:r>
    </w:p>
    <w:p w14:paraId="0D296808" w14:textId="77777777" w:rsidR="000E4359" w:rsidRPr="007C5A6E" w:rsidRDefault="000E4359" w:rsidP="000E4359">
      <w:pPr>
        <w:spacing w:after="0" w:line="240" w:lineRule="auto"/>
        <w:jc w:val="both"/>
        <w:rPr>
          <w:rFonts w:ascii="Times New Roman" w:eastAsia="Calibri" w:hAnsi="Times New Roman"/>
          <w:i/>
          <w:iCs/>
          <w:noProof/>
          <w:kern w:val="2"/>
          <w:sz w:val="20"/>
          <w:szCs w:val="20"/>
          <w14:ligatures w14:val="standardContextual"/>
        </w:rPr>
      </w:pPr>
    </w:p>
    <w:p w14:paraId="672BB1CE" w14:textId="266F0BEE"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i/>
          <w:iCs/>
          <w:noProof/>
          <w:kern w:val="2"/>
          <w:sz w:val="20"/>
          <w:szCs w:val="20"/>
          <w14:ligatures w14:val="standardContextual"/>
        </w:rPr>
        <w:t>Le faso.net</w:t>
      </w:r>
      <w:r w:rsidRPr="007C5A6E">
        <w:rPr>
          <w:rFonts w:ascii="Times New Roman" w:eastAsia="Calibri" w:hAnsi="Times New Roman"/>
          <w:noProof/>
          <w:kern w:val="2"/>
          <w:sz w:val="20"/>
          <w:szCs w:val="20"/>
          <w14:ligatures w14:val="standardContextual"/>
        </w:rPr>
        <w:t xml:space="preserve">, 2024. Caractérisation de la variabilité climatique dans la région du Centre-Nord du Burkina Faso entre 1961 et 2016. </w:t>
      </w:r>
    </w:p>
    <w:p w14:paraId="7CB0ED20" w14:textId="77777777" w:rsidR="000E4359" w:rsidRPr="007C5A6E" w:rsidRDefault="000E4359" w:rsidP="000E4359">
      <w:pPr>
        <w:spacing w:after="0" w:line="240" w:lineRule="auto"/>
        <w:jc w:val="both"/>
        <w:rPr>
          <w:rFonts w:ascii="Times New Roman" w:eastAsia="Calibri" w:hAnsi="Times New Roman"/>
          <w:kern w:val="2"/>
          <w:sz w:val="20"/>
          <w:szCs w:val="20"/>
          <w14:ligatures w14:val="standardContextual"/>
        </w:rPr>
      </w:pPr>
    </w:p>
    <w:p w14:paraId="12512AB1" w14:textId="0888A1B9" w:rsidR="000E4359" w:rsidRPr="007C5A6E" w:rsidRDefault="000E4359" w:rsidP="000E4359">
      <w:pPr>
        <w:spacing w:after="0" w:line="240" w:lineRule="auto"/>
        <w:jc w:val="both"/>
        <w:rPr>
          <w:rFonts w:ascii="Times New Roman" w:eastAsia="Calibri" w:hAnsi="Times New Roman"/>
          <w:kern w:val="2"/>
          <w:sz w:val="20"/>
          <w:szCs w:val="20"/>
          <w14:ligatures w14:val="standardContextual"/>
        </w:rPr>
      </w:pPr>
      <w:r w:rsidRPr="007C5A6E">
        <w:rPr>
          <w:rFonts w:ascii="Times New Roman" w:eastAsia="Calibri" w:hAnsi="Times New Roman"/>
          <w:kern w:val="2"/>
          <w:sz w:val="20"/>
          <w:szCs w:val="20"/>
          <w14:ligatures w14:val="standardContextual"/>
        </w:rPr>
        <w:t>MAAH/DGHADI, 2021. Evolution des superficies des nouveaux périmètres irrigués 2016 à 2021.</w:t>
      </w:r>
    </w:p>
    <w:p w14:paraId="6E7A413F" w14:textId="77777777" w:rsidR="000E4359" w:rsidRPr="007C5A6E" w:rsidRDefault="000E4359" w:rsidP="000E4359">
      <w:pPr>
        <w:spacing w:after="0" w:line="240" w:lineRule="auto"/>
        <w:jc w:val="both"/>
        <w:rPr>
          <w:rFonts w:ascii="Times New Roman" w:eastAsia="Calibri" w:hAnsi="Times New Roman"/>
          <w:kern w:val="2"/>
          <w:sz w:val="20"/>
          <w:szCs w:val="20"/>
          <w14:ligatures w14:val="standardContextual"/>
        </w:rPr>
      </w:pPr>
    </w:p>
    <w:p w14:paraId="4EDF8FA2" w14:textId="2A85EA4C" w:rsidR="000E4359" w:rsidRPr="007C5A6E" w:rsidRDefault="000E4359" w:rsidP="000E4359">
      <w:pPr>
        <w:spacing w:after="0" w:line="240" w:lineRule="auto"/>
        <w:jc w:val="both"/>
        <w:rPr>
          <w:rFonts w:ascii="Times New Roman" w:eastAsia="Calibri" w:hAnsi="Times New Roman"/>
          <w:kern w:val="2"/>
          <w:sz w:val="20"/>
          <w:szCs w:val="20"/>
          <w14:ligatures w14:val="standardContextual"/>
        </w:rPr>
      </w:pPr>
      <w:r w:rsidRPr="007C5A6E">
        <w:rPr>
          <w:rFonts w:ascii="Times New Roman" w:eastAsia="Calibri" w:hAnsi="Times New Roman"/>
          <w:kern w:val="2"/>
          <w:sz w:val="20"/>
          <w:szCs w:val="20"/>
          <w14:ligatures w14:val="standardContextual"/>
        </w:rPr>
        <w:t>MEEA, 2024. Terres dégradées : le Burkina Faso veut restaurer 5,16 millions d’hectares d’ici 2030.</w:t>
      </w:r>
    </w:p>
    <w:p w14:paraId="410F32B1"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719610B1" w14:textId="6325ED58"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MEEV, 2018. Stratégie de gestion des feux de brousse dans le corridor forestier de la Boucle du Mouhoun. 26 p.</w:t>
      </w:r>
    </w:p>
    <w:p w14:paraId="6D2A6538"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250B4426" w14:textId="7F189573"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MEMC/DGESS, 2022. Bulletin Statistique du premier semestre 2022 des mines et des carrières. 39 p.</w:t>
      </w:r>
    </w:p>
    <w:p w14:paraId="7B463CDD"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3C42245F" w14:textId="0E7A0CB5"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 xml:space="preserve">Nabolé I. I., 2018. Burkina : l’or rapporte 226 milliards de FCFA en 2017 in Burkina 24. Com. En ligne http Com/2018/04/17/ Burkina. </w:t>
      </w:r>
    </w:p>
    <w:p w14:paraId="507A1DB0" w14:textId="77777777" w:rsidR="000E4359" w:rsidRPr="007C5A6E" w:rsidRDefault="000E4359" w:rsidP="000E4359">
      <w:pPr>
        <w:spacing w:after="0" w:line="240" w:lineRule="auto"/>
        <w:jc w:val="both"/>
        <w:rPr>
          <w:rFonts w:ascii="Times New Roman" w:eastAsia="Calibri" w:hAnsi="Times New Roman"/>
          <w:noProof/>
          <w:kern w:val="2"/>
          <w:sz w:val="20"/>
          <w:szCs w:val="20"/>
          <w:lang w:val="en-US"/>
          <w14:ligatures w14:val="standardContextual"/>
        </w:rPr>
      </w:pPr>
      <w:r w:rsidRPr="007C5A6E">
        <w:rPr>
          <w:rFonts w:ascii="Times New Roman" w:eastAsia="Calibri" w:hAnsi="Times New Roman"/>
          <w:noProof/>
          <w:kern w:val="2"/>
          <w:sz w:val="20"/>
          <w:szCs w:val="20"/>
          <w14:ligatures w14:val="standardContextual"/>
        </w:rPr>
        <w:t xml:space="preserve">Naré R. W. A., Savadogo P. W., Gnankambary Z., Nacro H. B., Sédogo M. P., 2015a. </w:t>
      </w:r>
      <w:r w:rsidRPr="007C5A6E">
        <w:rPr>
          <w:rFonts w:ascii="Times New Roman" w:eastAsia="Calibri" w:hAnsi="Times New Roman"/>
          <w:noProof/>
          <w:kern w:val="2"/>
          <w:sz w:val="20"/>
          <w:szCs w:val="20"/>
          <w:lang w:val="en-US"/>
          <w14:ligatures w14:val="standardContextual"/>
        </w:rPr>
        <w:t xml:space="preserve">Effect of three pesticides on soil dehydrogenase and fluoresceim Diacetate activities in vegetable garden in Burkina Faso. </w:t>
      </w:r>
      <w:r w:rsidRPr="007C5A6E">
        <w:rPr>
          <w:rFonts w:ascii="Times New Roman" w:eastAsia="Calibri" w:hAnsi="Times New Roman"/>
          <w:i/>
          <w:iCs/>
          <w:noProof/>
          <w:kern w:val="2"/>
          <w:sz w:val="20"/>
          <w:szCs w:val="20"/>
          <w:lang w:val="en-US"/>
          <w14:ligatures w14:val="standardContextual"/>
        </w:rPr>
        <w:t>Curant Research Journal of biological Science</w:t>
      </w:r>
      <w:r w:rsidRPr="007C5A6E">
        <w:rPr>
          <w:rFonts w:ascii="Times New Roman" w:eastAsia="Calibri" w:hAnsi="Times New Roman"/>
          <w:noProof/>
          <w:kern w:val="2"/>
          <w:sz w:val="20"/>
          <w:szCs w:val="20"/>
          <w:lang w:val="en-US"/>
          <w14:ligatures w14:val="standardContextual"/>
        </w:rPr>
        <w:t xml:space="preserve"> 6 (2) : 102-106.</w:t>
      </w:r>
    </w:p>
    <w:p w14:paraId="3AE2794D" w14:textId="77777777" w:rsidR="000E4359" w:rsidRPr="007C5A6E" w:rsidRDefault="000E4359" w:rsidP="000E4359">
      <w:pPr>
        <w:spacing w:after="0" w:line="240" w:lineRule="auto"/>
        <w:jc w:val="both"/>
        <w:rPr>
          <w:rFonts w:ascii="Times New Roman" w:eastAsia="Calibri" w:hAnsi="Times New Roman"/>
          <w:noProof/>
          <w:kern w:val="2"/>
          <w:sz w:val="20"/>
          <w:szCs w:val="20"/>
          <w:lang w:val="en-US"/>
          <w14:ligatures w14:val="standardContextual"/>
        </w:rPr>
      </w:pPr>
    </w:p>
    <w:p w14:paraId="77D1C638" w14:textId="5099E491"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lang w:val="en-US"/>
          <w14:ligatures w14:val="standardContextual"/>
        </w:rPr>
        <w:t xml:space="preserve">Naré R.W. A., Savadogo P. W., Gnankambary Z., Nacro H. B., Sédogo M. P., 2015b. Analyzing riks related to the use of pesticide in vegetable gardens in Burkina Faso. </w:t>
      </w:r>
      <w:r w:rsidRPr="007C5A6E">
        <w:rPr>
          <w:rFonts w:ascii="Times New Roman" w:eastAsia="Calibri" w:hAnsi="Times New Roman"/>
          <w:i/>
          <w:iCs/>
          <w:noProof/>
          <w:kern w:val="2"/>
          <w:sz w:val="20"/>
          <w:szCs w:val="20"/>
          <w14:ligatures w14:val="standardContextual"/>
        </w:rPr>
        <w:t>Agriculture, Forestry, and Fisheries</w:t>
      </w:r>
      <w:r w:rsidRPr="007C5A6E">
        <w:rPr>
          <w:rFonts w:ascii="Times New Roman" w:eastAsia="Calibri" w:hAnsi="Times New Roman"/>
          <w:noProof/>
          <w:kern w:val="2"/>
          <w:sz w:val="20"/>
          <w:szCs w:val="20"/>
          <w14:ligatures w14:val="standardContextual"/>
        </w:rPr>
        <w:t xml:space="preserve">, 4 (4) 165-172. </w:t>
      </w:r>
    </w:p>
    <w:p w14:paraId="44DAB806"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45AE5804" w14:textId="1D5444A9"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OIM, 2019. Intégration du lien entre migration, environnement et changement climatique dans la planification locale. Cas des communes de Mané et de Bokin dans la région du Centre-Nord. 72 p.</w:t>
      </w:r>
    </w:p>
    <w:p w14:paraId="4A75311E"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4C736D17" w14:textId="15D2939A"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 xml:space="preserve">Ouattara B., Savadogo P. W., Traoré O., Koulibaly B., Sédogo M. P., Traoré A. S., 2010. Effet des pesticides sur l’activité microbienne d’un sol ferrugineux tropical du Burkina Faso. </w:t>
      </w:r>
      <w:r w:rsidRPr="007C5A6E">
        <w:rPr>
          <w:rFonts w:ascii="Times New Roman" w:eastAsia="Calibri" w:hAnsi="Times New Roman"/>
          <w:i/>
          <w:iCs/>
          <w:noProof/>
          <w:kern w:val="2"/>
          <w:sz w:val="20"/>
          <w:szCs w:val="20"/>
          <w14:ligatures w14:val="standardContextual"/>
        </w:rPr>
        <w:t>Cameroon Journal of experimental biology</w:t>
      </w:r>
      <w:r w:rsidRPr="007C5A6E">
        <w:rPr>
          <w:rFonts w:ascii="Times New Roman" w:eastAsia="Calibri" w:hAnsi="Times New Roman"/>
          <w:noProof/>
          <w:kern w:val="2"/>
          <w:sz w:val="20"/>
          <w:szCs w:val="20"/>
          <w14:ligatures w14:val="standardContextual"/>
        </w:rPr>
        <w:t>, Vol. 06. N°1 11-20.</w:t>
      </w:r>
    </w:p>
    <w:p w14:paraId="0F969FBD"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032CEAD1" w14:textId="0CEA3241"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 xml:space="preserve">Ouédraogo F., 2023. Orpaillage traditionnel et pollution des eaux au Burkina Faso : Analyse sociologique de la mortalité massive de poissons dans les localités de Siby et de Sékako. </w:t>
      </w:r>
    </w:p>
    <w:p w14:paraId="6D391722"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PARIIS-Burkina Faso, 2022. Etude pédologique de 900 ha de périmètre irrigués autour du barrarage de Dourou. 39 p.</w:t>
      </w:r>
    </w:p>
    <w:p w14:paraId="21CAF228"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423970EF" w14:textId="207ACB03"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PND, 2024. L’économie circulaire : Rendre la ville de Ouagadougou plus propre en donnant du travail aux plus démunis.</w:t>
      </w:r>
    </w:p>
    <w:p w14:paraId="2403565B"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30AE5BDD" w14:textId="01B8A7A0"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PNUE, 2024. L’économie circulaire : Rendre la ville de Ouagadougou plus propre en donnant du travail aux plus démunis.</w:t>
      </w:r>
    </w:p>
    <w:p w14:paraId="45847E12"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2C06FB5D" w14:textId="2F14A180"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 xml:space="preserve">Poirier A. 2019. </w:t>
      </w:r>
      <w:r w:rsidRPr="007C5A6E">
        <w:rPr>
          <w:rFonts w:ascii="Times New Roman" w:eastAsia="Calibri" w:hAnsi="Times New Roman"/>
          <w:i/>
          <w:iCs/>
          <w:noProof/>
          <w:kern w:val="2"/>
          <w:sz w:val="20"/>
          <w:szCs w:val="20"/>
          <w14:ligatures w14:val="standardContextual"/>
        </w:rPr>
        <w:t>Etude de comprtement thermique d’un halde à stériles en milieu nordique</w:t>
      </w:r>
      <w:r w:rsidRPr="007C5A6E">
        <w:rPr>
          <w:rFonts w:ascii="Times New Roman" w:eastAsia="Calibri" w:hAnsi="Times New Roman"/>
          <w:noProof/>
          <w:kern w:val="2"/>
          <w:sz w:val="20"/>
          <w:szCs w:val="20"/>
          <w14:ligatures w14:val="standardContextual"/>
        </w:rPr>
        <w:t>. Mémoire présenté en vue de l’obtention de diplôme de Maitrise ès sciences appliquées. 229 p.</w:t>
      </w:r>
    </w:p>
    <w:p w14:paraId="278D59CA"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22E5DC9A" w14:textId="06E558D3"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Pougbila F., 2024. Burkina Faso : Dégradation des sols, une réalité.</w:t>
      </w:r>
    </w:p>
    <w:p w14:paraId="2E9990EF" w14:textId="77777777" w:rsidR="000E4359" w:rsidRPr="007C5A6E" w:rsidRDefault="000E4359" w:rsidP="000E4359">
      <w:pPr>
        <w:spacing w:after="0" w:line="240" w:lineRule="auto"/>
        <w:jc w:val="both"/>
        <w:rPr>
          <w:rFonts w:ascii="Times New Roman" w:eastAsia="Calibri" w:hAnsi="Times New Roman"/>
          <w:color w:val="383838"/>
          <w:kern w:val="2"/>
          <w:sz w:val="20"/>
          <w:szCs w:val="20"/>
          <w:shd w:val="clear" w:color="auto" w:fill="FFFFFF"/>
          <w:lang w:eastAsia="en-US"/>
          <w14:ligatures w14:val="standardContextual"/>
        </w:rPr>
      </w:pPr>
    </w:p>
    <w:p w14:paraId="674CD42A" w14:textId="74BA6AA1"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roofErr w:type="spellStart"/>
      <w:r w:rsidRPr="007C5A6E">
        <w:rPr>
          <w:rFonts w:ascii="Times New Roman" w:eastAsia="Calibri" w:hAnsi="Times New Roman"/>
          <w:color w:val="383838"/>
          <w:kern w:val="2"/>
          <w:sz w:val="20"/>
          <w:szCs w:val="20"/>
          <w:shd w:val="clear" w:color="auto" w:fill="FFFFFF"/>
          <w:lang w:eastAsia="en-US"/>
          <w14:ligatures w14:val="standardContextual"/>
        </w:rPr>
        <w:t>Sakandé</w:t>
      </w:r>
      <w:proofErr w:type="spellEnd"/>
      <w:r w:rsidRPr="007C5A6E">
        <w:rPr>
          <w:rFonts w:ascii="Times New Roman" w:eastAsia="Calibri" w:hAnsi="Times New Roman"/>
          <w:color w:val="383838"/>
          <w:kern w:val="2"/>
          <w:sz w:val="20"/>
          <w:szCs w:val="20"/>
          <w:shd w:val="clear" w:color="auto" w:fill="FFFFFF"/>
          <w:lang w:eastAsia="en-US"/>
          <w14:ligatures w14:val="standardContextual"/>
        </w:rPr>
        <w:t xml:space="preserve"> F., Traoré M., </w:t>
      </w:r>
      <w:proofErr w:type="spellStart"/>
      <w:r w:rsidRPr="007C5A6E">
        <w:rPr>
          <w:rFonts w:ascii="Times New Roman" w:eastAsia="Calibri" w:hAnsi="Times New Roman"/>
          <w:color w:val="383838"/>
          <w:kern w:val="2"/>
          <w:sz w:val="20"/>
          <w:szCs w:val="20"/>
          <w:shd w:val="clear" w:color="auto" w:fill="FFFFFF"/>
          <w:lang w:eastAsia="en-US"/>
          <w14:ligatures w14:val="standardContextual"/>
        </w:rPr>
        <w:t>Koulibaly</w:t>
      </w:r>
      <w:proofErr w:type="spellEnd"/>
      <w:r w:rsidRPr="007C5A6E">
        <w:rPr>
          <w:rFonts w:ascii="Times New Roman" w:eastAsia="Calibri" w:hAnsi="Times New Roman"/>
          <w:color w:val="383838"/>
          <w:kern w:val="2"/>
          <w:sz w:val="20"/>
          <w:szCs w:val="20"/>
          <w:shd w:val="clear" w:color="auto" w:fill="FFFFFF"/>
          <w:lang w:eastAsia="en-US"/>
          <w14:ligatures w14:val="standardContextual"/>
        </w:rPr>
        <w:t xml:space="preserve"> B., </w:t>
      </w:r>
      <w:proofErr w:type="spellStart"/>
      <w:r w:rsidRPr="007C5A6E">
        <w:rPr>
          <w:rFonts w:ascii="Times New Roman" w:eastAsia="Calibri" w:hAnsi="Times New Roman"/>
          <w:color w:val="383838"/>
          <w:kern w:val="2"/>
          <w:sz w:val="20"/>
          <w:szCs w:val="20"/>
          <w:shd w:val="clear" w:color="auto" w:fill="FFFFFF"/>
          <w:lang w:eastAsia="en-US"/>
          <w14:ligatures w14:val="standardContextual"/>
        </w:rPr>
        <w:t>Lankoandé</w:t>
      </w:r>
      <w:proofErr w:type="spellEnd"/>
      <w:r w:rsidRPr="007C5A6E">
        <w:rPr>
          <w:rFonts w:ascii="Times New Roman" w:eastAsia="Calibri" w:hAnsi="Times New Roman"/>
          <w:color w:val="383838"/>
          <w:kern w:val="2"/>
          <w:sz w:val="20"/>
          <w:szCs w:val="20"/>
          <w:shd w:val="clear" w:color="auto" w:fill="FFFFFF"/>
          <w:lang w:eastAsia="en-US"/>
          <w14:ligatures w14:val="standardContextual"/>
        </w:rPr>
        <w:t xml:space="preserve"> F. Y., Paré T., Coulibaly K. et </w:t>
      </w:r>
      <w:proofErr w:type="spellStart"/>
      <w:r w:rsidRPr="007C5A6E">
        <w:rPr>
          <w:rFonts w:ascii="Times New Roman" w:eastAsia="Calibri" w:hAnsi="Times New Roman"/>
          <w:color w:val="383838"/>
          <w:kern w:val="2"/>
          <w:sz w:val="20"/>
          <w:szCs w:val="20"/>
          <w:shd w:val="clear" w:color="auto" w:fill="FFFFFF"/>
          <w:lang w:eastAsia="en-US"/>
          <w14:ligatures w14:val="standardContextual"/>
        </w:rPr>
        <w:t>Naco</w:t>
      </w:r>
      <w:proofErr w:type="spellEnd"/>
      <w:r w:rsidRPr="007C5A6E">
        <w:rPr>
          <w:rFonts w:ascii="Times New Roman" w:eastAsia="Calibri" w:hAnsi="Times New Roman"/>
          <w:color w:val="383838"/>
          <w:kern w:val="2"/>
          <w:sz w:val="20"/>
          <w:szCs w:val="20"/>
          <w:shd w:val="clear" w:color="auto" w:fill="FFFFFF"/>
          <w:lang w:eastAsia="en-US"/>
          <w14:ligatures w14:val="standardContextual"/>
        </w:rPr>
        <w:t xml:space="preserve"> H.B., 2022. Perception de la dégradation des sols et réhabilitation dans la zone cotonnière Ouest du Burkina Faso. </w:t>
      </w:r>
      <w:r w:rsidRPr="007C5A6E">
        <w:rPr>
          <w:rFonts w:ascii="Times New Roman" w:eastAsia="Calibri" w:hAnsi="Times New Roman"/>
          <w:i/>
          <w:iCs/>
          <w:color w:val="383838"/>
          <w:kern w:val="2"/>
          <w:sz w:val="20"/>
          <w:szCs w:val="20"/>
          <w:shd w:val="clear" w:color="auto" w:fill="FFFFFF"/>
          <w:lang w:eastAsia="en-US"/>
          <w14:ligatures w14:val="standardContextual"/>
        </w:rPr>
        <w:t xml:space="preserve">Int. J. Biol. </w:t>
      </w:r>
      <w:proofErr w:type="spellStart"/>
      <w:r w:rsidRPr="007C5A6E">
        <w:rPr>
          <w:rFonts w:ascii="Times New Roman" w:eastAsia="Calibri" w:hAnsi="Times New Roman"/>
          <w:i/>
          <w:iCs/>
          <w:color w:val="383838"/>
          <w:kern w:val="2"/>
          <w:sz w:val="20"/>
          <w:szCs w:val="20"/>
          <w:shd w:val="clear" w:color="auto" w:fill="FFFFFF"/>
          <w:lang w:eastAsia="en-US"/>
          <w14:ligatures w14:val="standardContextual"/>
        </w:rPr>
        <w:t>Chem</w:t>
      </w:r>
      <w:proofErr w:type="spellEnd"/>
      <w:r w:rsidRPr="007C5A6E">
        <w:rPr>
          <w:rFonts w:ascii="Times New Roman" w:eastAsia="Calibri" w:hAnsi="Times New Roman"/>
          <w:i/>
          <w:iCs/>
          <w:color w:val="383838"/>
          <w:kern w:val="2"/>
          <w:sz w:val="20"/>
          <w:szCs w:val="20"/>
          <w:shd w:val="clear" w:color="auto" w:fill="FFFFFF"/>
          <w:lang w:eastAsia="en-US"/>
          <w14:ligatures w14:val="standardContextual"/>
        </w:rPr>
        <w:t xml:space="preserve">. </w:t>
      </w:r>
      <w:proofErr w:type="spellStart"/>
      <w:r w:rsidRPr="007C5A6E">
        <w:rPr>
          <w:rFonts w:ascii="Times New Roman" w:eastAsia="Calibri" w:hAnsi="Times New Roman"/>
          <w:i/>
          <w:iCs/>
          <w:color w:val="383838"/>
          <w:kern w:val="2"/>
          <w:sz w:val="20"/>
          <w:szCs w:val="20"/>
          <w:shd w:val="clear" w:color="auto" w:fill="FFFFFF"/>
          <w:lang w:eastAsia="en-US"/>
          <w14:ligatures w14:val="standardContextual"/>
        </w:rPr>
        <w:t>Sci</w:t>
      </w:r>
      <w:proofErr w:type="spellEnd"/>
      <w:r w:rsidRPr="007C5A6E">
        <w:rPr>
          <w:rFonts w:ascii="Times New Roman" w:eastAsia="Calibri" w:hAnsi="Times New Roman"/>
          <w:i/>
          <w:iCs/>
          <w:color w:val="383838"/>
          <w:kern w:val="2"/>
          <w:sz w:val="20"/>
          <w:szCs w:val="20"/>
          <w:shd w:val="clear" w:color="auto" w:fill="FFFFFF"/>
          <w:lang w:eastAsia="en-US"/>
          <w14:ligatures w14:val="standardContextual"/>
        </w:rPr>
        <w:t xml:space="preserve">. </w:t>
      </w:r>
      <w:r w:rsidRPr="007C5A6E">
        <w:rPr>
          <w:rFonts w:ascii="Times New Roman" w:eastAsia="Calibri" w:hAnsi="Times New Roman"/>
          <w:color w:val="383838"/>
          <w:kern w:val="2"/>
          <w:sz w:val="20"/>
          <w:szCs w:val="20"/>
          <w:shd w:val="clear" w:color="auto" w:fill="FFFFFF"/>
          <w:lang w:eastAsia="en-US"/>
          <w14:ligatures w14:val="standardContextual"/>
        </w:rPr>
        <w:t>16 (5) 2189-2201.</w:t>
      </w:r>
    </w:p>
    <w:p w14:paraId="1976AE81"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09742F65" w14:textId="5459F0C6"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 xml:space="preserve">Sangaré O., Mundier P., and ouédraogo L. S., 2016. Instututions informelles et gouvernance de proximité dans l’orpaillage artisanal. </w:t>
      </w:r>
      <w:r w:rsidRPr="007C5A6E">
        <w:rPr>
          <w:rFonts w:ascii="Times New Roman" w:eastAsia="Calibri" w:hAnsi="Times New Roman"/>
          <w:i/>
          <w:iCs/>
          <w:noProof/>
          <w:kern w:val="2"/>
          <w:sz w:val="20"/>
          <w:szCs w:val="20"/>
          <w14:ligatures w14:val="standardContextual"/>
        </w:rPr>
        <w:t>Journal Revue Gouvernance /Gouvernal revue</w:t>
      </w:r>
      <w:r w:rsidRPr="007C5A6E">
        <w:rPr>
          <w:rFonts w:ascii="Times New Roman" w:eastAsia="Calibri" w:hAnsi="Times New Roman"/>
          <w:noProof/>
          <w:kern w:val="2"/>
          <w:sz w:val="20"/>
          <w:szCs w:val="20"/>
          <w14:ligatures w14:val="standardContextual"/>
        </w:rPr>
        <w:t xml:space="preserve"> Volume 13, N°2  p 53-73. </w:t>
      </w:r>
    </w:p>
    <w:p w14:paraId="26889628"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494AEAE4" w14:textId="791144C8"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 xml:space="preserve">Sanou I., 2016. </w:t>
      </w:r>
      <w:r w:rsidRPr="007C5A6E">
        <w:rPr>
          <w:rFonts w:ascii="Times New Roman" w:eastAsia="Calibri" w:hAnsi="Times New Roman"/>
          <w:i/>
          <w:iCs/>
          <w:noProof/>
          <w:kern w:val="2"/>
          <w:sz w:val="20"/>
          <w:szCs w:val="20"/>
          <w14:ligatures w14:val="standardContextual"/>
        </w:rPr>
        <w:t>Perceptions locales sur l’usage des feux de brousse et son impact sur les services écosystémiques dans les formations savanicoles en zone soudanienne du Burkina.</w:t>
      </w:r>
      <w:r w:rsidRPr="007C5A6E">
        <w:rPr>
          <w:rFonts w:ascii="Times New Roman" w:eastAsia="Calibri" w:hAnsi="Times New Roman"/>
          <w:noProof/>
          <w:kern w:val="2"/>
          <w:sz w:val="20"/>
          <w:szCs w:val="20"/>
          <w14:ligatures w14:val="standardContextual"/>
        </w:rPr>
        <w:t xml:space="preserve"> Présenté en vue de l’obtention du diplôme d’Ingenieur du Développement Rural 87 p. </w:t>
      </w:r>
    </w:p>
    <w:p w14:paraId="3D8F5CBD"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5A220551" w14:textId="60F54CC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Sanou K., 2019. Les barrages au Burkina Faso : Penser la correction des dynamiques de mise en valeur.</w:t>
      </w:r>
    </w:p>
    <w:p w14:paraId="6632E21E"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 xml:space="preserve">Sartori M., Philippidis G., Ferrai E., Borrilli P.,  Lugato E., Montanarella </w:t>
      </w:r>
      <w:r w:rsidRPr="007C5A6E">
        <w:rPr>
          <w:rFonts w:ascii="Times New Roman" w:eastAsia="Calibri" w:hAnsi="Times New Roman"/>
          <w:kern w:val="2"/>
          <w:sz w:val="20"/>
          <w:szCs w:val="20"/>
          <w:lang w:eastAsia="en-US"/>
          <w14:ligatures w14:val="standardContextual"/>
        </w:rPr>
        <w:t xml:space="preserve">L., </w:t>
      </w:r>
      <w:proofErr w:type="spellStart"/>
      <w:r w:rsidRPr="007C5A6E">
        <w:rPr>
          <w:rFonts w:ascii="Times New Roman" w:eastAsia="Calibri" w:hAnsi="Times New Roman"/>
          <w:kern w:val="2"/>
          <w:sz w:val="20"/>
          <w:szCs w:val="20"/>
          <w:lang w:eastAsia="en-US"/>
          <w14:ligatures w14:val="standardContextual"/>
        </w:rPr>
        <w:t>Panagos</w:t>
      </w:r>
      <w:proofErr w:type="spellEnd"/>
      <w:r w:rsidRPr="007C5A6E">
        <w:rPr>
          <w:rFonts w:ascii="Times New Roman" w:eastAsia="Calibri" w:hAnsi="Times New Roman"/>
          <w:kern w:val="2"/>
          <w:sz w:val="20"/>
          <w:szCs w:val="20"/>
          <w:lang w:eastAsia="en-US"/>
          <w14:ligatures w14:val="standardContextual"/>
        </w:rPr>
        <w:t xml:space="preserve"> P., 2019. </w:t>
      </w:r>
      <w:r w:rsidRPr="007C5A6E">
        <w:rPr>
          <w:rFonts w:ascii="Times New Roman" w:eastAsia="Calibri" w:hAnsi="Times New Roman"/>
          <w:kern w:val="2"/>
          <w:sz w:val="20"/>
          <w:szCs w:val="20"/>
          <w:lang w:val="en-US" w:eastAsia="en-US"/>
          <w14:ligatures w14:val="standardContextual"/>
        </w:rPr>
        <w:t xml:space="preserve">“A linkage between the biophysical and the economic: Assessing the global market impacts of soil erosion”. </w:t>
      </w:r>
      <w:r w:rsidRPr="007C5A6E">
        <w:rPr>
          <w:rFonts w:ascii="Times New Roman" w:eastAsia="Calibri" w:hAnsi="Times New Roman"/>
          <w:i/>
          <w:iCs/>
          <w:kern w:val="2"/>
          <w:sz w:val="20"/>
          <w:szCs w:val="20"/>
          <w:lang w:eastAsia="en-US"/>
          <w14:ligatures w14:val="standardContextual"/>
        </w:rPr>
        <w:t>Land Use Policy</w:t>
      </w:r>
      <w:r w:rsidRPr="007C5A6E">
        <w:rPr>
          <w:rFonts w:ascii="Times New Roman" w:eastAsia="Calibri" w:hAnsi="Times New Roman"/>
          <w:kern w:val="2"/>
          <w:sz w:val="20"/>
          <w:szCs w:val="20"/>
          <w:lang w:eastAsia="en-US"/>
          <w14:ligatures w14:val="standardContextual"/>
        </w:rPr>
        <w:t>, 86 : 299–312.</w:t>
      </w:r>
    </w:p>
    <w:p w14:paraId="64970980"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4919961A" w14:textId="3FE58E76"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 xml:space="preserve">Sawadogo B., 2021. L’impact de la dégradation du sol sur la production agricole et la sécurité alimentaire au Burkina Faso. 12 p. </w:t>
      </w:r>
    </w:p>
    <w:p w14:paraId="6C5B3AED"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75A0514A" w14:textId="11545C0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 xml:space="preserve">Serpantier G., Doré A., Fusillier J. L., Moity-Menzi P., Lidon B., Douanio M., Sawadogo A., Bossa A. Y. et Hounpè J., 2019. Nouveaux risques dans les bas-fonds des terroirs soudaniens. Une étude de cas au Burkina Faso. </w:t>
      </w:r>
      <w:r w:rsidRPr="007C5A6E">
        <w:rPr>
          <w:rFonts w:ascii="Times New Roman" w:eastAsia="Calibri" w:hAnsi="Times New Roman"/>
          <w:i/>
          <w:iCs/>
          <w:noProof/>
          <w:kern w:val="2"/>
          <w:sz w:val="20"/>
          <w:szCs w:val="20"/>
          <w14:ligatures w14:val="standardContextual"/>
        </w:rPr>
        <w:t>Cah. Agric</w:t>
      </w:r>
      <w:r w:rsidRPr="007C5A6E">
        <w:rPr>
          <w:rFonts w:ascii="Times New Roman" w:eastAsia="Calibri" w:hAnsi="Times New Roman"/>
          <w:noProof/>
          <w:kern w:val="2"/>
          <w:sz w:val="20"/>
          <w:szCs w:val="20"/>
          <w14:ligatures w14:val="standardContextual"/>
        </w:rPr>
        <w:t>. Volume 28, 10 p.</w:t>
      </w:r>
    </w:p>
    <w:p w14:paraId="62611E1D"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225B68AA" w14:textId="02F093C2"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SOCREGE, 2023. Analyses chimiques des ETM du périmètre minier Cascade. 11 p.</w:t>
      </w:r>
    </w:p>
    <w:p w14:paraId="27CB0113"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Steiner K. G., 1996. Causes de la dégradation des sols et approches pour la promotion d’une utilisation durable des sols. ISBN 3-8236-1260-3 58 p.</w:t>
      </w:r>
    </w:p>
    <w:p w14:paraId="55E72D1A"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31F4FC09" w14:textId="42CD37EC"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Tapsoba A., Françoise G.,William</w:t>
      </w:r>
      <w:r w:rsidRPr="007C5A6E">
        <w:rPr>
          <w:rFonts w:ascii="Times New Roman" w:eastAsia="Calibri" w:hAnsi="Times New Roman"/>
          <w:noProof/>
          <w:kern w:val="2"/>
          <w:sz w:val="20"/>
          <w:szCs w:val="20"/>
          <w:vertAlign w:val="superscript"/>
          <w14:ligatures w14:val="standardContextual"/>
        </w:rPr>
        <w:t>s</w:t>
      </w:r>
      <w:r w:rsidRPr="007C5A6E">
        <w:rPr>
          <w:rFonts w:ascii="Times New Roman" w:eastAsia="Calibri" w:hAnsi="Times New Roman"/>
          <w:noProof/>
          <w:kern w:val="2"/>
          <w:sz w:val="20"/>
          <w:szCs w:val="20"/>
          <w14:ligatures w14:val="standardContextual"/>
        </w:rPr>
        <w:t xml:space="preserve"> D., 2018. Grands périmètres irrigués et résilience des paysans au Sahel. Le cas de Bagré au Burkina Faso. </w:t>
      </w:r>
      <w:r w:rsidRPr="007C5A6E">
        <w:rPr>
          <w:rFonts w:ascii="Times New Roman" w:eastAsia="Calibri" w:hAnsi="Times New Roman"/>
          <w:i/>
          <w:iCs/>
          <w:noProof/>
          <w:kern w:val="2"/>
          <w:sz w:val="20"/>
          <w:szCs w:val="20"/>
          <w14:ligatures w14:val="standardContextual"/>
        </w:rPr>
        <w:t>Revue Internationale des Etudes du Développement</w:t>
      </w:r>
      <w:r w:rsidRPr="007C5A6E">
        <w:rPr>
          <w:rFonts w:ascii="Times New Roman" w:eastAsia="Calibri" w:hAnsi="Times New Roman"/>
          <w:noProof/>
          <w:kern w:val="2"/>
          <w:sz w:val="20"/>
          <w:szCs w:val="20"/>
          <w14:ligatures w14:val="standardContextual"/>
        </w:rPr>
        <w:t xml:space="preserve"> (235) 147-176.</w:t>
      </w:r>
    </w:p>
    <w:p w14:paraId="214A9747" w14:textId="77777777"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p>
    <w:p w14:paraId="1E75BFB6" w14:textId="20BA2C84"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Traoré S. A. A., Requier D. M., 2019. Etude sur l’économie de la dégradation des terres au Burkina Faso. Un rapport de l’initiative ELD dans le cadre du projet « Rehabilitation et  Protection des sols dégradés et renforcement des instances foncières locales dans les zones rurales du Burkina Faso ».</w:t>
      </w:r>
    </w:p>
    <w:p w14:paraId="264865D0" w14:textId="77777777" w:rsidR="000E4359" w:rsidRPr="007C5A6E" w:rsidRDefault="000E4359" w:rsidP="000E4359">
      <w:pPr>
        <w:spacing w:after="0" w:line="240" w:lineRule="auto"/>
        <w:jc w:val="both"/>
        <w:rPr>
          <w:rFonts w:ascii="Times New Roman" w:eastAsia="Calibri" w:hAnsi="Times New Roman"/>
          <w:noProof/>
          <w:kern w:val="2"/>
          <w:sz w:val="20"/>
          <w:szCs w:val="20"/>
          <w:lang w:val="en-US"/>
          <w14:ligatures w14:val="standardContextual"/>
        </w:rPr>
      </w:pPr>
      <w:r w:rsidRPr="007C5A6E">
        <w:rPr>
          <w:rFonts w:ascii="Times New Roman" w:eastAsia="Calibri" w:hAnsi="Times New Roman"/>
          <w:noProof/>
          <w:kern w:val="2"/>
          <w:sz w:val="20"/>
          <w:szCs w:val="20"/>
          <w:lang w:val="en-US"/>
          <w14:ligatures w14:val="standardContextual"/>
        </w:rPr>
        <w:t>USAID, 2021. Agriculture and food escurity.</w:t>
      </w:r>
    </w:p>
    <w:p w14:paraId="477053C6" w14:textId="77777777" w:rsidR="000E4359" w:rsidRPr="007C5A6E" w:rsidRDefault="000E4359" w:rsidP="000E4359">
      <w:pPr>
        <w:spacing w:after="0" w:line="240" w:lineRule="auto"/>
        <w:jc w:val="both"/>
        <w:rPr>
          <w:rFonts w:ascii="Times New Roman" w:eastAsia="Calibri" w:hAnsi="Times New Roman"/>
          <w:noProof/>
          <w:kern w:val="2"/>
          <w:sz w:val="20"/>
          <w:szCs w:val="20"/>
          <w:lang w:val="en-US"/>
          <w14:ligatures w14:val="standardContextual"/>
        </w:rPr>
      </w:pPr>
    </w:p>
    <w:p w14:paraId="427694FC" w14:textId="459A31AB" w:rsidR="000E4359" w:rsidRPr="007C5A6E" w:rsidRDefault="000E4359" w:rsidP="000E4359">
      <w:pPr>
        <w:spacing w:after="0" w:line="240" w:lineRule="auto"/>
        <w:jc w:val="both"/>
        <w:rPr>
          <w:rFonts w:ascii="Times New Roman" w:eastAsia="Calibri" w:hAnsi="Times New Roman"/>
          <w:noProof/>
          <w:kern w:val="2"/>
          <w:sz w:val="20"/>
          <w:szCs w:val="20"/>
          <w14:ligatures w14:val="standardContextual"/>
        </w:rPr>
      </w:pPr>
      <w:r w:rsidRPr="007C5A6E">
        <w:rPr>
          <w:rFonts w:ascii="Times New Roman" w:eastAsia="Calibri" w:hAnsi="Times New Roman"/>
          <w:noProof/>
          <w:kern w:val="2"/>
          <w:sz w:val="20"/>
          <w:szCs w:val="20"/>
          <w14:ligatures w14:val="standardContextual"/>
        </w:rPr>
        <w:t xml:space="preserve">Yé L., LompoD. J. P., Sako A. et Nacro H. B., 2020. Evaluation des teneurs en éléments traces métaliques des sols soumis à l’apport des déchets solides. </w:t>
      </w:r>
      <w:r w:rsidRPr="007C5A6E">
        <w:rPr>
          <w:rFonts w:ascii="Times New Roman" w:eastAsia="Calibri" w:hAnsi="Times New Roman"/>
          <w:i/>
          <w:iCs/>
          <w:noProof/>
          <w:kern w:val="2"/>
          <w:sz w:val="20"/>
          <w:szCs w:val="20"/>
          <w14:ligatures w14:val="standardContextual"/>
        </w:rPr>
        <w:t>Int. J. Biol. Chem. Sci</w:t>
      </w:r>
      <w:r w:rsidRPr="007C5A6E">
        <w:rPr>
          <w:rFonts w:ascii="Times New Roman" w:eastAsia="Calibri" w:hAnsi="Times New Roman"/>
          <w:noProof/>
          <w:kern w:val="2"/>
          <w:sz w:val="20"/>
          <w:szCs w:val="20"/>
          <w14:ligatures w14:val="standardContextual"/>
        </w:rPr>
        <w:t xml:space="preserve"> 14 (9) 3361-3371. </w:t>
      </w:r>
    </w:p>
    <w:p w14:paraId="6324705A" w14:textId="77777777" w:rsidR="006F6024" w:rsidRPr="007C5A6E" w:rsidRDefault="006F6024" w:rsidP="000E4359">
      <w:pPr>
        <w:spacing w:after="0" w:line="240" w:lineRule="auto"/>
        <w:jc w:val="both"/>
        <w:rPr>
          <w:rFonts w:ascii="Times New Roman" w:hAnsi="Times New Roman"/>
          <w:b/>
          <w:sz w:val="20"/>
          <w:szCs w:val="20"/>
        </w:rPr>
      </w:pPr>
    </w:p>
    <w:p w14:paraId="3829E27A" w14:textId="099648E4" w:rsidR="006F6024" w:rsidRPr="007C5A6E" w:rsidRDefault="006F6024" w:rsidP="000E4359">
      <w:pPr>
        <w:numPr>
          <w:ilvl w:val="0"/>
          <w:numId w:val="84"/>
        </w:numPr>
        <w:spacing w:after="0" w:line="240" w:lineRule="auto"/>
        <w:ind w:left="357" w:hanging="357"/>
        <w:jc w:val="both"/>
        <w:rPr>
          <w:rFonts w:ascii="Times New Roman" w:hAnsi="Times New Roman"/>
          <w:b/>
          <w:sz w:val="24"/>
          <w:szCs w:val="24"/>
        </w:rPr>
      </w:pPr>
      <w:r w:rsidRPr="007C5A6E">
        <w:rPr>
          <w:rFonts w:ascii="Times New Roman" w:hAnsi="Times New Roman"/>
          <w:b/>
          <w:sz w:val="24"/>
          <w:szCs w:val="24"/>
        </w:rPr>
        <w:t xml:space="preserve">BIODIVERSITE ET CLIMAT  </w:t>
      </w:r>
    </w:p>
    <w:p w14:paraId="7BF6CA91" w14:textId="77777777" w:rsidR="006F6024" w:rsidRPr="007C5A6E" w:rsidRDefault="006F6024" w:rsidP="000E4359">
      <w:pPr>
        <w:spacing w:after="0" w:line="240" w:lineRule="auto"/>
        <w:jc w:val="both"/>
        <w:rPr>
          <w:rFonts w:ascii="Times New Roman" w:hAnsi="Times New Roman"/>
          <w:b/>
          <w:sz w:val="24"/>
          <w:szCs w:val="24"/>
        </w:rPr>
      </w:pPr>
    </w:p>
    <w:p w14:paraId="08EB41B5"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ACTION CONTRE LA FAIN (ACF), 2023. Bulletin de surveillance pastorale sur le Burkina Faso, Avril-Mai 2023 N°13, 19 pages ;</w:t>
      </w:r>
    </w:p>
    <w:p w14:paraId="44447660" w14:textId="77777777" w:rsidR="00BE2D71" w:rsidRPr="007C5A6E" w:rsidRDefault="00BE2D71" w:rsidP="00BE2D71">
      <w:pPr>
        <w:spacing w:after="0" w:line="240" w:lineRule="auto"/>
        <w:jc w:val="both"/>
        <w:rPr>
          <w:rFonts w:ascii="Times New Roman" w:hAnsi="Times New Roman"/>
          <w:bCs/>
          <w:sz w:val="20"/>
          <w:szCs w:val="20"/>
        </w:rPr>
      </w:pPr>
    </w:p>
    <w:p w14:paraId="117E0E81" w14:textId="77777777" w:rsidR="00BE2D71" w:rsidRPr="007C5A6E" w:rsidRDefault="00BE2D71" w:rsidP="00BE2D71">
      <w:pPr>
        <w:spacing w:after="0" w:line="240" w:lineRule="auto"/>
        <w:jc w:val="both"/>
        <w:rPr>
          <w:rFonts w:ascii="Times New Roman" w:hAnsi="Times New Roman"/>
          <w:sz w:val="20"/>
          <w:szCs w:val="20"/>
          <w:lang w:val="en-US"/>
        </w:rPr>
      </w:pPr>
      <w:r w:rsidRPr="007C5A6E">
        <w:rPr>
          <w:rFonts w:ascii="Times New Roman" w:hAnsi="Times New Roman"/>
          <w:bCs/>
          <w:sz w:val="20"/>
          <w:szCs w:val="20"/>
        </w:rPr>
        <w:t xml:space="preserve">AYORO, H. J., SEGNIAGBETO, G. H., HEMA, E. M., PENNER, J., OUEDA, A., DUBOIS, A., RÖDEL M.O, A. KABRE G. B. (2020). </w:t>
      </w:r>
      <w:r w:rsidRPr="007C5A6E">
        <w:rPr>
          <w:rFonts w:ascii="Times New Roman" w:hAnsi="Times New Roman"/>
          <w:bCs/>
          <w:sz w:val="20"/>
          <w:szCs w:val="20"/>
          <w:lang w:val="en-US"/>
        </w:rPr>
        <w:t xml:space="preserve">List of amphibian species (Vertebrata, </w:t>
      </w:r>
      <w:proofErr w:type="spellStart"/>
      <w:r w:rsidRPr="007C5A6E">
        <w:rPr>
          <w:rFonts w:ascii="Times New Roman" w:hAnsi="Times New Roman"/>
          <w:bCs/>
          <w:sz w:val="20"/>
          <w:szCs w:val="20"/>
          <w:lang w:val="en-US"/>
        </w:rPr>
        <w:t>tetrapoda</w:t>
      </w:r>
      <w:proofErr w:type="spellEnd"/>
      <w:r w:rsidRPr="007C5A6E">
        <w:rPr>
          <w:rFonts w:ascii="Times New Roman" w:hAnsi="Times New Roman"/>
          <w:bCs/>
          <w:sz w:val="20"/>
          <w:szCs w:val="20"/>
          <w:lang w:val="en-US"/>
        </w:rPr>
        <w:t>) of Burkina Faso. </w:t>
      </w:r>
      <w:proofErr w:type="spellStart"/>
      <w:r w:rsidRPr="007C5A6E">
        <w:rPr>
          <w:rFonts w:ascii="Times New Roman" w:hAnsi="Times New Roman"/>
          <w:bCs/>
          <w:i/>
          <w:iCs/>
          <w:sz w:val="20"/>
          <w:szCs w:val="20"/>
          <w:lang w:val="en-US"/>
        </w:rPr>
        <w:t>Zoosystema</w:t>
      </w:r>
      <w:proofErr w:type="spellEnd"/>
      <w:r w:rsidRPr="007C5A6E">
        <w:rPr>
          <w:rFonts w:ascii="Times New Roman" w:hAnsi="Times New Roman"/>
          <w:bCs/>
          <w:sz w:val="20"/>
          <w:szCs w:val="20"/>
          <w:lang w:val="en-US"/>
        </w:rPr>
        <w:t>, </w:t>
      </w:r>
      <w:r w:rsidRPr="007C5A6E">
        <w:rPr>
          <w:rFonts w:ascii="Times New Roman" w:hAnsi="Times New Roman"/>
          <w:bCs/>
          <w:i/>
          <w:iCs/>
          <w:sz w:val="20"/>
          <w:szCs w:val="20"/>
          <w:lang w:val="en-US"/>
        </w:rPr>
        <w:t>42</w:t>
      </w:r>
      <w:r w:rsidRPr="007C5A6E">
        <w:rPr>
          <w:rFonts w:ascii="Times New Roman" w:hAnsi="Times New Roman"/>
          <w:bCs/>
          <w:sz w:val="20"/>
          <w:szCs w:val="20"/>
          <w:lang w:val="en-US"/>
        </w:rPr>
        <w:t>(28), 547-582.</w:t>
      </w:r>
    </w:p>
    <w:p w14:paraId="2BFF253C" w14:textId="77777777" w:rsidR="00BE2D71" w:rsidRPr="007C5A6E" w:rsidRDefault="00BE2D71" w:rsidP="00BE2D71">
      <w:pPr>
        <w:spacing w:after="0" w:line="240" w:lineRule="auto"/>
        <w:jc w:val="both"/>
        <w:rPr>
          <w:rFonts w:ascii="Times New Roman" w:hAnsi="Times New Roman"/>
          <w:sz w:val="20"/>
          <w:szCs w:val="20"/>
          <w:lang w:val="en-US"/>
        </w:rPr>
      </w:pPr>
    </w:p>
    <w:p w14:paraId="76443560" w14:textId="77777777" w:rsidR="00BE2D71" w:rsidRPr="007C5A6E" w:rsidRDefault="00BE2D71" w:rsidP="00BE2D71">
      <w:pPr>
        <w:spacing w:after="0" w:line="240" w:lineRule="auto"/>
        <w:jc w:val="both"/>
        <w:rPr>
          <w:rFonts w:ascii="Times New Roman" w:hAnsi="Times New Roman"/>
          <w:sz w:val="20"/>
          <w:szCs w:val="20"/>
          <w:lang w:val="en-US"/>
        </w:rPr>
      </w:pPr>
      <w:r w:rsidRPr="007C5A6E">
        <w:rPr>
          <w:rFonts w:ascii="Times New Roman" w:hAnsi="Times New Roman"/>
          <w:noProof/>
          <w:sz w:val="20"/>
          <w:szCs w:val="20"/>
          <w:lang w:val="de-DE"/>
        </w:rPr>
        <w:t xml:space="preserve">AYORO J. H., NICOLAS V., SEGNIAGBETO G. H. , HEMA M. E., OHLER A.,  KABRE G. B. 2023. </w:t>
      </w:r>
      <w:r w:rsidRPr="007C5A6E">
        <w:rPr>
          <w:rFonts w:ascii="Times New Roman" w:hAnsi="Times New Roman"/>
          <w:noProof/>
          <w:sz w:val="20"/>
          <w:szCs w:val="20"/>
          <w:lang w:val="en-US"/>
        </w:rPr>
        <w:t xml:space="preserve">Potential impact of climate change on spatial distribution of two savannah amphibian species in West Africa. </w:t>
      </w:r>
      <w:r w:rsidRPr="007C5A6E">
        <w:rPr>
          <w:rFonts w:ascii="Times New Roman" w:hAnsi="Times New Roman"/>
          <w:i/>
          <w:iCs/>
          <w:noProof/>
          <w:sz w:val="20"/>
          <w:szCs w:val="20"/>
          <w:lang w:val="en-US"/>
        </w:rPr>
        <w:t>African Journal of Ecology</w:t>
      </w:r>
      <w:r w:rsidRPr="007C5A6E">
        <w:rPr>
          <w:rFonts w:ascii="Times New Roman" w:hAnsi="Times New Roman"/>
          <w:noProof/>
          <w:sz w:val="20"/>
          <w:szCs w:val="20"/>
          <w:lang w:val="en-US"/>
        </w:rPr>
        <w:t xml:space="preserve">, 00, 1–12. </w:t>
      </w:r>
      <w:hyperlink r:id="rId269" w:history="1">
        <w:r w:rsidRPr="007C5A6E">
          <w:rPr>
            <w:rFonts w:ascii="Times New Roman" w:hAnsi="Times New Roman"/>
            <w:noProof/>
            <w:color w:val="0000FF"/>
            <w:sz w:val="20"/>
            <w:szCs w:val="20"/>
            <w:u w:val="single"/>
            <w:lang w:val="en-US"/>
          </w:rPr>
          <w:t>https://doi.org/10.1111/aje.13187</w:t>
        </w:r>
      </w:hyperlink>
      <w:r w:rsidRPr="007C5A6E">
        <w:rPr>
          <w:rFonts w:ascii="Times New Roman" w:hAnsi="Times New Roman"/>
          <w:noProof/>
          <w:sz w:val="20"/>
          <w:szCs w:val="20"/>
          <w:lang w:val="en-US"/>
        </w:rPr>
        <w:t>.</w:t>
      </w:r>
    </w:p>
    <w:p w14:paraId="31C0A820" w14:textId="77777777" w:rsidR="00BE2D71" w:rsidRPr="007C5A6E" w:rsidRDefault="00BE2D71" w:rsidP="00BE2D71">
      <w:pPr>
        <w:spacing w:after="0" w:line="240" w:lineRule="auto"/>
        <w:jc w:val="both"/>
        <w:rPr>
          <w:rFonts w:ascii="Times New Roman" w:hAnsi="Times New Roman"/>
          <w:bCs/>
          <w:sz w:val="20"/>
          <w:szCs w:val="20"/>
          <w:lang w:val="en-US"/>
        </w:rPr>
      </w:pPr>
    </w:p>
    <w:p w14:paraId="46FE9E07" w14:textId="77777777" w:rsidR="00BE2D71" w:rsidRPr="007C5A6E" w:rsidRDefault="00BE2D71" w:rsidP="00BE2D71">
      <w:pPr>
        <w:spacing w:after="0" w:line="240" w:lineRule="auto"/>
        <w:jc w:val="both"/>
        <w:rPr>
          <w:rFonts w:ascii="Times New Roman" w:hAnsi="Times New Roman"/>
          <w:bCs/>
          <w:sz w:val="20"/>
          <w:szCs w:val="20"/>
          <w:lang w:val="en-US"/>
        </w:rPr>
      </w:pPr>
      <w:r w:rsidRPr="007C5A6E">
        <w:rPr>
          <w:rFonts w:ascii="Times New Roman" w:hAnsi="Times New Roman"/>
          <w:bCs/>
          <w:sz w:val="20"/>
          <w:szCs w:val="20"/>
          <w:lang w:val="en-US"/>
        </w:rPr>
        <w:t>BANQUE MONDIAL 2021. World Bank Open Data. https://data.worldbank.org</w:t>
      </w:r>
    </w:p>
    <w:p w14:paraId="31015A8B" w14:textId="77777777" w:rsidR="00BE2D71" w:rsidRPr="007C5A6E" w:rsidRDefault="00BE2D71" w:rsidP="00BE2D71">
      <w:pPr>
        <w:spacing w:after="0" w:line="240" w:lineRule="auto"/>
        <w:jc w:val="both"/>
        <w:rPr>
          <w:rFonts w:ascii="Times New Roman" w:hAnsi="Times New Roman"/>
          <w:sz w:val="20"/>
          <w:szCs w:val="20"/>
          <w:lang w:val="en-US"/>
        </w:rPr>
      </w:pPr>
    </w:p>
    <w:p w14:paraId="1BFB64D5"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BANQUE MONDIALE, 2022. Note sectorielle sur les forêts : Pour une gestion durable des forêts du Burkina Faso, 116 pages ;</w:t>
      </w:r>
    </w:p>
    <w:p w14:paraId="16580D28" w14:textId="77777777" w:rsidR="00BE2D71" w:rsidRPr="007C5A6E" w:rsidRDefault="00BE2D71" w:rsidP="00BE2D71">
      <w:pPr>
        <w:spacing w:after="0" w:line="240" w:lineRule="auto"/>
        <w:jc w:val="both"/>
        <w:rPr>
          <w:rFonts w:ascii="Times New Roman" w:hAnsi="Times New Roman"/>
          <w:bCs/>
          <w:sz w:val="20"/>
          <w:szCs w:val="20"/>
        </w:rPr>
      </w:pPr>
    </w:p>
    <w:p w14:paraId="4AFD7FD6"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 xml:space="preserve">Bationo J. Y. 2021. Quand braconnage et terrorisme font bon ménage, </w:t>
      </w:r>
      <w:hyperlink r:id="rId270" w:history="1">
        <w:r w:rsidRPr="007C5A6E">
          <w:rPr>
            <w:rFonts w:ascii="Times New Roman" w:hAnsi="Times New Roman"/>
            <w:bCs/>
            <w:i/>
            <w:color w:val="0000FF"/>
            <w:sz w:val="20"/>
            <w:szCs w:val="20"/>
            <w:u w:val="single"/>
          </w:rPr>
          <w:t>https://lefaso.net/spip.php?article104910</w:t>
        </w:r>
      </w:hyperlink>
      <w:r w:rsidRPr="007C5A6E">
        <w:rPr>
          <w:rFonts w:ascii="Times New Roman" w:hAnsi="Times New Roman"/>
          <w:bCs/>
          <w:i/>
          <w:sz w:val="20"/>
          <w:szCs w:val="20"/>
        </w:rPr>
        <w:t>,  lundi 24 mai 2021</w:t>
      </w:r>
    </w:p>
    <w:p w14:paraId="7A1E1971" w14:textId="77777777" w:rsidR="00BE2D71" w:rsidRPr="007C5A6E" w:rsidRDefault="00BE2D71" w:rsidP="00BE2D71">
      <w:pPr>
        <w:spacing w:after="0" w:line="240" w:lineRule="auto"/>
        <w:jc w:val="both"/>
        <w:rPr>
          <w:rFonts w:ascii="Times New Roman" w:hAnsi="Times New Roman"/>
          <w:bCs/>
          <w:sz w:val="20"/>
          <w:szCs w:val="20"/>
        </w:rPr>
      </w:pPr>
    </w:p>
    <w:p w14:paraId="6FC3090C"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lang w:val="en-US"/>
        </w:rPr>
        <w:t xml:space="preserve">BOANO G., BELEMSOBGO U., SILVANO F., HEMA M. E., BELEMSOBGO A., DIMOBE K. &amp; PAVIA M. (2022). An annotated checklist of the birds of Burkina Faso. </w:t>
      </w:r>
      <w:proofErr w:type="spellStart"/>
      <w:r w:rsidRPr="007C5A6E">
        <w:rPr>
          <w:rFonts w:ascii="Times New Roman" w:hAnsi="Times New Roman"/>
          <w:bCs/>
          <w:sz w:val="20"/>
          <w:szCs w:val="20"/>
          <w:lang w:val="en-US"/>
        </w:rPr>
        <w:t>Zoosystema</w:t>
      </w:r>
      <w:proofErr w:type="spellEnd"/>
      <w:r w:rsidRPr="007C5A6E">
        <w:rPr>
          <w:rFonts w:ascii="Times New Roman" w:hAnsi="Times New Roman"/>
          <w:bCs/>
          <w:sz w:val="20"/>
          <w:szCs w:val="20"/>
          <w:lang w:val="en-US"/>
        </w:rPr>
        <w:t xml:space="preserve"> 44 (2): 27-107. https://doi.org/10.5252/zoosystema2022v44a2. </w:t>
      </w:r>
      <w:hyperlink r:id="rId271" w:history="1">
        <w:r w:rsidRPr="007C5A6E">
          <w:rPr>
            <w:rFonts w:ascii="Times New Roman" w:hAnsi="Times New Roman"/>
            <w:bCs/>
            <w:color w:val="0000FF"/>
            <w:sz w:val="20"/>
            <w:szCs w:val="20"/>
            <w:u w:val="single"/>
          </w:rPr>
          <w:t>http://zoosystema.com/44/2</w:t>
        </w:r>
      </w:hyperlink>
    </w:p>
    <w:p w14:paraId="283EFB16" w14:textId="77777777" w:rsidR="00BE2D71" w:rsidRPr="007C5A6E" w:rsidRDefault="00BE2D71" w:rsidP="00BE2D71">
      <w:pPr>
        <w:spacing w:after="0" w:line="240" w:lineRule="auto"/>
        <w:jc w:val="both"/>
        <w:rPr>
          <w:rFonts w:ascii="Times New Roman" w:hAnsi="Times New Roman"/>
          <w:bCs/>
          <w:sz w:val="20"/>
          <w:szCs w:val="20"/>
        </w:rPr>
      </w:pPr>
    </w:p>
    <w:p w14:paraId="133339DC"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BURKINA FASO 2014 ; CATALOGUE NATIONAL DES ESPECES ET VARIETES AGRICOLES DU BURKINA FASO ;</w:t>
      </w:r>
    </w:p>
    <w:p w14:paraId="2F3F6F9C" w14:textId="77777777" w:rsidR="00BE2D71" w:rsidRPr="007C5A6E" w:rsidRDefault="00BE2D71" w:rsidP="00BE2D71">
      <w:pPr>
        <w:spacing w:after="0" w:line="240" w:lineRule="auto"/>
        <w:jc w:val="both"/>
        <w:rPr>
          <w:rFonts w:ascii="Times New Roman" w:hAnsi="Times New Roman"/>
          <w:bCs/>
          <w:sz w:val="20"/>
          <w:szCs w:val="20"/>
        </w:rPr>
      </w:pPr>
    </w:p>
    <w:p w14:paraId="2FA9807A"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sz w:val="20"/>
          <w:szCs w:val="20"/>
        </w:rPr>
        <w:t>SP/CNDD</w:t>
      </w:r>
      <w:r w:rsidRPr="007C5A6E">
        <w:rPr>
          <w:rFonts w:ascii="Times New Roman" w:hAnsi="Times New Roman"/>
          <w:bCs/>
          <w:sz w:val="20"/>
          <w:szCs w:val="20"/>
        </w:rPr>
        <w:t xml:space="preserve">, 2017 ; Quatrième rapport sur l'état de l'environnement au Burkina </w:t>
      </w:r>
      <w:proofErr w:type="gramStart"/>
      <w:r w:rsidRPr="007C5A6E">
        <w:rPr>
          <w:rFonts w:ascii="Times New Roman" w:hAnsi="Times New Roman"/>
          <w:bCs/>
          <w:sz w:val="20"/>
          <w:szCs w:val="20"/>
        </w:rPr>
        <w:t>Faso;</w:t>
      </w:r>
      <w:proofErr w:type="gramEnd"/>
    </w:p>
    <w:p w14:paraId="14B282C4" w14:textId="77777777" w:rsidR="00BE2D71" w:rsidRPr="007C5A6E" w:rsidRDefault="00BE2D71" w:rsidP="00BE2D71">
      <w:pPr>
        <w:spacing w:after="0" w:line="240" w:lineRule="auto"/>
        <w:jc w:val="both"/>
        <w:rPr>
          <w:rFonts w:ascii="Times New Roman" w:hAnsi="Times New Roman"/>
          <w:sz w:val="20"/>
          <w:szCs w:val="20"/>
        </w:rPr>
      </w:pPr>
    </w:p>
    <w:p w14:paraId="1F4F66C2"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BURKINA FASO, 2018. PROGRAMME DE DEFINITION DES CIBLES DE LA NEUTRALITE EN MATIERE DE DEGRADATION DES TERRES (PDC/NDT).</w:t>
      </w:r>
    </w:p>
    <w:p w14:paraId="4425D3E1"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BURKINA FASO, 2020. Niveau d’Émissions de Référence pour les Forêts du Burkina Faso, 85 pages ;</w:t>
      </w:r>
    </w:p>
    <w:p w14:paraId="7A3E2970" w14:textId="77777777" w:rsidR="00BE2D71" w:rsidRPr="007C5A6E" w:rsidRDefault="00BE2D71" w:rsidP="00BE2D71">
      <w:pPr>
        <w:spacing w:after="0" w:line="240" w:lineRule="auto"/>
        <w:jc w:val="both"/>
        <w:rPr>
          <w:rFonts w:ascii="Times New Roman" w:hAnsi="Times New Roman"/>
          <w:sz w:val="20"/>
          <w:szCs w:val="20"/>
        </w:rPr>
      </w:pPr>
    </w:p>
    <w:p w14:paraId="3DC8B190"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BURKINA FASO, 2021. CONTRIBUTION DETERMINEE AU NIVEAU NATIONAL (CDN) DU BURKINA FASO 2021-2025.</w:t>
      </w:r>
    </w:p>
    <w:p w14:paraId="5750AF29"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BURKINA FASO</w:t>
      </w:r>
      <w:r w:rsidRPr="007C5A6E">
        <w:rPr>
          <w:rFonts w:ascii="Times New Roman" w:hAnsi="Times New Roman"/>
          <w:sz w:val="20"/>
          <w:szCs w:val="20"/>
        </w:rPr>
        <w:t>/MEDD</w:t>
      </w:r>
      <w:r w:rsidRPr="007C5A6E">
        <w:rPr>
          <w:rFonts w:ascii="Times New Roman" w:hAnsi="Times New Roman"/>
          <w:bCs/>
          <w:sz w:val="20"/>
          <w:szCs w:val="20"/>
        </w:rPr>
        <w:t>, 2012. Stratégie et plan d’actions de l’Initiative Grande Muraille Verte au Burkina Faso</w:t>
      </w:r>
    </w:p>
    <w:p w14:paraId="4D5CAD88" w14:textId="77777777" w:rsidR="00BE2D71" w:rsidRPr="007C5A6E" w:rsidRDefault="00BE2D71" w:rsidP="00BE2D71">
      <w:pPr>
        <w:spacing w:after="0" w:line="240" w:lineRule="auto"/>
        <w:jc w:val="both"/>
        <w:rPr>
          <w:rFonts w:ascii="Times New Roman" w:hAnsi="Times New Roman"/>
          <w:sz w:val="20"/>
          <w:szCs w:val="20"/>
        </w:rPr>
      </w:pPr>
    </w:p>
    <w:p w14:paraId="777A1AFC"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 xml:space="preserve">COULIBALY M., SANOGO K., TOURE H.A., OWUSU-PREMPEH N., VILLAMORE G.B., BREDU S.A, MANU., E.A. 2021. Abondance et diversité des espèces d’arbres sous différentes utilisations des terres dans la zone écologique de la savane soudanaise du Ghana, Afrique de l’Ouest ; </w:t>
      </w:r>
      <w:proofErr w:type="spellStart"/>
      <w:r w:rsidRPr="007C5A6E">
        <w:rPr>
          <w:rFonts w:ascii="Times New Roman" w:hAnsi="Times New Roman"/>
          <w:bCs/>
          <w:sz w:val="20"/>
          <w:szCs w:val="20"/>
        </w:rPr>
        <w:t>Technol</w:t>
      </w:r>
      <w:proofErr w:type="spellEnd"/>
      <w:r w:rsidRPr="007C5A6E">
        <w:rPr>
          <w:rFonts w:ascii="Times New Roman" w:hAnsi="Times New Roman"/>
          <w:bCs/>
          <w:sz w:val="20"/>
          <w:szCs w:val="20"/>
        </w:rPr>
        <w:t xml:space="preserve">. </w:t>
      </w:r>
      <w:proofErr w:type="spellStart"/>
      <w:r w:rsidRPr="007C5A6E">
        <w:rPr>
          <w:rFonts w:ascii="Times New Roman" w:hAnsi="Times New Roman"/>
          <w:bCs/>
          <w:sz w:val="20"/>
          <w:szCs w:val="20"/>
        </w:rPr>
        <w:t>Sci</w:t>
      </w:r>
      <w:proofErr w:type="spellEnd"/>
      <w:r w:rsidRPr="007C5A6E">
        <w:rPr>
          <w:rFonts w:ascii="Times New Roman" w:hAnsi="Times New Roman"/>
          <w:bCs/>
          <w:sz w:val="20"/>
          <w:szCs w:val="20"/>
        </w:rPr>
        <w:t xml:space="preserve">. (ASRJETS) Am. </w:t>
      </w:r>
      <w:proofErr w:type="spellStart"/>
      <w:r w:rsidRPr="007C5A6E">
        <w:rPr>
          <w:rFonts w:ascii="Times New Roman" w:hAnsi="Times New Roman"/>
          <w:bCs/>
          <w:sz w:val="20"/>
          <w:szCs w:val="20"/>
        </w:rPr>
        <w:t>Sci</w:t>
      </w:r>
      <w:proofErr w:type="spellEnd"/>
      <w:r w:rsidRPr="007C5A6E">
        <w:rPr>
          <w:rFonts w:ascii="Times New Roman" w:hAnsi="Times New Roman"/>
          <w:bCs/>
          <w:sz w:val="20"/>
          <w:szCs w:val="20"/>
        </w:rPr>
        <w:t xml:space="preserve">. </w:t>
      </w:r>
      <w:proofErr w:type="spellStart"/>
      <w:r w:rsidRPr="007C5A6E">
        <w:rPr>
          <w:rFonts w:ascii="Times New Roman" w:hAnsi="Times New Roman"/>
          <w:bCs/>
          <w:sz w:val="20"/>
          <w:szCs w:val="20"/>
        </w:rPr>
        <w:t>Res</w:t>
      </w:r>
      <w:proofErr w:type="spellEnd"/>
      <w:r w:rsidRPr="007C5A6E">
        <w:rPr>
          <w:rFonts w:ascii="Times New Roman" w:hAnsi="Times New Roman"/>
          <w:bCs/>
          <w:sz w:val="20"/>
          <w:szCs w:val="20"/>
        </w:rPr>
        <w:t>. J. Eng., </w:t>
      </w:r>
      <w:r w:rsidRPr="007C5A6E">
        <w:rPr>
          <w:rFonts w:ascii="Times New Roman" w:hAnsi="Times New Roman"/>
          <w:bCs/>
          <w:i/>
          <w:iCs/>
          <w:sz w:val="20"/>
          <w:szCs w:val="20"/>
        </w:rPr>
        <w:t>76</w:t>
      </w:r>
      <w:r w:rsidRPr="007C5A6E">
        <w:rPr>
          <w:rFonts w:ascii="Times New Roman" w:hAnsi="Times New Roman"/>
          <w:bCs/>
          <w:sz w:val="20"/>
          <w:szCs w:val="20"/>
        </w:rPr>
        <w:t> (1) (2021), p. 138-154 (</w:t>
      </w:r>
      <w:hyperlink r:id="rId272" w:history="1">
        <w:r w:rsidRPr="007C5A6E">
          <w:rPr>
            <w:rFonts w:ascii="Times New Roman" w:hAnsi="Times New Roman"/>
            <w:bCs/>
            <w:color w:val="0000FF"/>
            <w:sz w:val="20"/>
            <w:szCs w:val="20"/>
            <w:u w:val="single"/>
          </w:rPr>
          <w:t>http://asrjetsjournal.org/</w:t>
        </w:r>
      </w:hyperlink>
      <w:r w:rsidRPr="007C5A6E">
        <w:rPr>
          <w:rFonts w:ascii="Times New Roman" w:hAnsi="Times New Roman"/>
          <w:bCs/>
          <w:sz w:val="20"/>
          <w:szCs w:val="20"/>
        </w:rPr>
        <w:t>)]</w:t>
      </w:r>
    </w:p>
    <w:p w14:paraId="226A3AEC" w14:textId="77777777" w:rsidR="00BE2D71" w:rsidRPr="007C5A6E" w:rsidRDefault="00BE2D71" w:rsidP="00BE2D71">
      <w:pPr>
        <w:spacing w:after="0" w:line="240" w:lineRule="auto"/>
        <w:jc w:val="both"/>
        <w:rPr>
          <w:rFonts w:ascii="Times New Roman" w:hAnsi="Times New Roman"/>
          <w:bCs/>
          <w:sz w:val="20"/>
          <w:szCs w:val="20"/>
        </w:rPr>
      </w:pPr>
    </w:p>
    <w:p w14:paraId="60632F7F"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 xml:space="preserve">DA SS, GARCIA MARQUEZ JR, SOMMER JH, THIOMBIANO A, ZIZKA G, DRESSLER S, SCHMIDT M, CHATELAIN C, BARTHLOTT W (2018) Modèles de biodiversité végétale le long d’un gradient climatique et dans des aires protégées en Afrique de l’Ouest. Journal africain d’écologie 56 (3) : 641-652. </w:t>
      </w:r>
      <w:hyperlink r:id="rId273" w:history="1">
        <w:r w:rsidRPr="007C5A6E">
          <w:rPr>
            <w:rFonts w:ascii="Times New Roman" w:hAnsi="Times New Roman"/>
            <w:bCs/>
            <w:color w:val="0000FF"/>
            <w:sz w:val="20"/>
            <w:szCs w:val="20"/>
            <w:u w:val="single"/>
          </w:rPr>
          <w:t>https://doi.org/10.1111/aje.12517</w:t>
        </w:r>
      </w:hyperlink>
    </w:p>
    <w:p w14:paraId="2D0FE658"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 xml:space="preserve">DABONE, C., BUIJ, R., OUEDA, A., ADJAKPA, J.B., GUENDA, W., WEESIE, P.D.M., … </w:t>
      </w:r>
      <w:r w:rsidRPr="007C5A6E">
        <w:rPr>
          <w:rFonts w:ascii="Times New Roman" w:hAnsi="Times New Roman"/>
          <w:bCs/>
          <w:sz w:val="20"/>
          <w:szCs w:val="20"/>
          <w:lang w:val="en-US"/>
        </w:rPr>
        <w:t xml:space="preserve">ADJAKPA, J. B., 2019. Impact of human activities on the reproduction of Hooded Vultures </w:t>
      </w:r>
      <w:proofErr w:type="spellStart"/>
      <w:r w:rsidRPr="007C5A6E">
        <w:rPr>
          <w:rFonts w:ascii="Times New Roman" w:hAnsi="Times New Roman"/>
          <w:bCs/>
          <w:sz w:val="20"/>
          <w:szCs w:val="20"/>
          <w:lang w:val="en-US"/>
        </w:rPr>
        <w:t>Necrosyrtes</w:t>
      </w:r>
      <w:proofErr w:type="spellEnd"/>
      <w:r w:rsidRPr="007C5A6E">
        <w:rPr>
          <w:rFonts w:ascii="Times New Roman" w:hAnsi="Times New Roman"/>
          <w:bCs/>
          <w:sz w:val="20"/>
          <w:szCs w:val="20"/>
          <w:lang w:val="en-US"/>
        </w:rPr>
        <w:t xml:space="preserve"> monachus in Burkina Faso Impact of human activities on the reproduction of Hooded Vultures </w:t>
      </w:r>
      <w:proofErr w:type="spellStart"/>
      <w:r w:rsidRPr="007C5A6E">
        <w:rPr>
          <w:rFonts w:ascii="Times New Roman" w:hAnsi="Times New Roman"/>
          <w:bCs/>
          <w:sz w:val="20"/>
          <w:szCs w:val="20"/>
          <w:lang w:val="en-US"/>
        </w:rPr>
        <w:t>Necrosyrtes</w:t>
      </w:r>
      <w:proofErr w:type="spellEnd"/>
      <w:r w:rsidRPr="007C5A6E">
        <w:rPr>
          <w:rFonts w:ascii="Times New Roman" w:hAnsi="Times New Roman"/>
          <w:bCs/>
          <w:sz w:val="20"/>
          <w:szCs w:val="20"/>
          <w:lang w:val="en-US"/>
        </w:rPr>
        <w:t xml:space="preserve"> monachus in Burkina Faso. </w:t>
      </w:r>
      <w:proofErr w:type="spellStart"/>
      <w:r w:rsidRPr="007C5A6E">
        <w:rPr>
          <w:rFonts w:ascii="Times New Roman" w:hAnsi="Times New Roman"/>
          <w:bCs/>
          <w:sz w:val="20"/>
          <w:szCs w:val="20"/>
        </w:rPr>
        <w:t>Ostrich</w:t>
      </w:r>
      <w:proofErr w:type="spellEnd"/>
      <w:r w:rsidRPr="007C5A6E">
        <w:rPr>
          <w:rFonts w:ascii="Times New Roman" w:hAnsi="Times New Roman"/>
          <w:bCs/>
          <w:sz w:val="20"/>
          <w:szCs w:val="20"/>
        </w:rPr>
        <w:t xml:space="preserve">, 90(1), 53–61. </w:t>
      </w:r>
      <w:hyperlink r:id="rId274" w:history="1">
        <w:r w:rsidRPr="007C5A6E">
          <w:rPr>
            <w:rFonts w:ascii="Times New Roman" w:hAnsi="Times New Roman"/>
            <w:bCs/>
            <w:color w:val="0000FF"/>
            <w:sz w:val="20"/>
            <w:szCs w:val="20"/>
            <w:u w:val="single"/>
          </w:rPr>
          <w:t>https://doi.org/10.2989/00306525.2018.1544175</w:t>
        </w:r>
      </w:hyperlink>
      <w:r w:rsidRPr="007C5A6E">
        <w:rPr>
          <w:rFonts w:ascii="Times New Roman" w:hAnsi="Times New Roman"/>
          <w:bCs/>
          <w:sz w:val="20"/>
          <w:szCs w:val="20"/>
        </w:rPr>
        <w:t>.</w:t>
      </w:r>
    </w:p>
    <w:p w14:paraId="56047CE8" w14:textId="77777777" w:rsidR="00BE2D71" w:rsidRPr="007C5A6E" w:rsidRDefault="00BE2D71" w:rsidP="00BE2D71">
      <w:pPr>
        <w:spacing w:after="0" w:line="240" w:lineRule="auto"/>
        <w:jc w:val="both"/>
        <w:rPr>
          <w:rFonts w:ascii="Times New Roman" w:hAnsi="Times New Roman"/>
          <w:bCs/>
          <w:sz w:val="20"/>
          <w:szCs w:val="20"/>
        </w:rPr>
      </w:pPr>
    </w:p>
    <w:p w14:paraId="0538C04E"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 xml:space="preserve">DAYAMA </w:t>
      </w:r>
      <w:proofErr w:type="spellStart"/>
      <w:r w:rsidRPr="007C5A6E">
        <w:rPr>
          <w:rFonts w:ascii="Times New Roman" w:hAnsi="Times New Roman"/>
          <w:bCs/>
          <w:sz w:val="20"/>
          <w:szCs w:val="20"/>
        </w:rPr>
        <w:t>Wendata</w:t>
      </w:r>
      <w:proofErr w:type="spellEnd"/>
      <w:r w:rsidRPr="007C5A6E">
        <w:rPr>
          <w:rFonts w:ascii="Times New Roman" w:hAnsi="Times New Roman"/>
          <w:bCs/>
          <w:sz w:val="20"/>
          <w:szCs w:val="20"/>
        </w:rPr>
        <w:t xml:space="preserve"> Francis (2020) ; Abondance, distribution et croyances populaires sur les lézards urbains : cas des geckos de la ville de Ouagadougou (Burkina Faso) ; mémoire de Master de biodiversité animale et écosystèmes tropicaux ; Université Joseph KI-ZERBO ; 88p.</w:t>
      </w:r>
    </w:p>
    <w:p w14:paraId="6D3612A7" w14:textId="77777777" w:rsidR="00BE2D71" w:rsidRPr="007C5A6E" w:rsidRDefault="00BE2D71" w:rsidP="00BE2D71">
      <w:pPr>
        <w:spacing w:after="0" w:line="240" w:lineRule="auto"/>
        <w:jc w:val="both"/>
        <w:rPr>
          <w:rFonts w:ascii="Times New Roman" w:hAnsi="Times New Roman"/>
          <w:sz w:val="20"/>
          <w:szCs w:val="20"/>
        </w:rPr>
      </w:pPr>
    </w:p>
    <w:p w14:paraId="4E7671D9"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DFRC, 2018. Rapport bilan de la campagne d’exploitation faunique (saison 2017-2018), 23 pages ;</w:t>
      </w:r>
    </w:p>
    <w:p w14:paraId="30FA824D" w14:textId="77777777" w:rsidR="00BE2D71" w:rsidRPr="007C5A6E" w:rsidRDefault="00BE2D71" w:rsidP="00BE2D71">
      <w:pPr>
        <w:spacing w:after="0" w:line="240" w:lineRule="auto"/>
        <w:jc w:val="both"/>
        <w:rPr>
          <w:rFonts w:ascii="Times New Roman" w:hAnsi="Times New Roman"/>
          <w:sz w:val="20"/>
          <w:szCs w:val="20"/>
        </w:rPr>
      </w:pPr>
    </w:p>
    <w:p w14:paraId="1565901A"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DGEAP, 2013. Guide méthodologique pour l’aménagement, la sécurisation et la valorisation des espaces pastoraux et des pistes à bétail, 108 pages ;</w:t>
      </w:r>
    </w:p>
    <w:p w14:paraId="7455FDE6" w14:textId="77777777" w:rsidR="00BE2D71" w:rsidRPr="007C5A6E" w:rsidRDefault="00BE2D71" w:rsidP="00BE2D71">
      <w:pPr>
        <w:spacing w:after="0" w:line="240" w:lineRule="auto"/>
        <w:jc w:val="both"/>
        <w:rPr>
          <w:rFonts w:ascii="Times New Roman" w:hAnsi="Times New Roman"/>
          <w:sz w:val="20"/>
          <w:szCs w:val="20"/>
        </w:rPr>
      </w:pPr>
    </w:p>
    <w:p w14:paraId="21FA5332"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MEEA, 2022 ; Annuaires statistiques des PFNL</w:t>
      </w:r>
    </w:p>
    <w:p w14:paraId="1B567BB5" w14:textId="77777777" w:rsidR="00BE2D71" w:rsidRPr="007C5A6E" w:rsidRDefault="00BE2D71" w:rsidP="00BE2D71">
      <w:pPr>
        <w:spacing w:after="0" w:line="240" w:lineRule="auto"/>
        <w:jc w:val="both"/>
        <w:rPr>
          <w:rFonts w:ascii="Times New Roman" w:hAnsi="Times New Roman"/>
          <w:bCs/>
          <w:sz w:val="20"/>
          <w:szCs w:val="20"/>
        </w:rPr>
      </w:pPr>
    </w:p>
    <w:p w14:paraId="5FD4A0B9"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MEEA, 2023 ; annuaire statistique environnement</w:t>
      </w:r>
    </w:p>
    <w:p w14:paraId="7B26CE77" w14:textId="77777777" w:rsidR="00BE2D71" w:rsidRPr="007C5A6E" w:rsidRDefault="00BE2D71" w:rsidP="00BE2D71">
      <w:pPr>
        <w:spacing w:after="0" w:line="240" w:lineRule="auto"/>
        <w:jc w:val="both"/>
        <w:rPr>
          <w:rFonts w:ascii="Times New Roman" w:hAnsi="Times New Roman"/>
          <w:sz w:val="20"/>
          <w:szCs w:val="20"/>
        </w:rPr>
      </w:pPr>
    </w:p>
    <w:p w14:paraId="1ACBB5B3" w14:textId="77777777" w:rsidR="00BE2D71" w:rsidRPr="007C5A6E" w:rsidRDefault="00BE2D71" w:rsidP="00BE2D71">
      <w:pPr>
        <w:spacing w:after="0" w:line="240" w:lineRule="auto"/>
        <w:jc w:val="both"/>
        <w:rPr>
          <w:rFonts w:ascii="Times New Roman" w:hAnsi="Times New Roman"/>
          <w:sz w:val="20"/>
          <w:szCs w:val="20"/>
        </w:rPr>
      </w:pPr>
      <w:r w:rsidRPr="007C5A6E">
        <w:rPr>
          <w:rFonts w:ascii="Times New Roman" w:hAnsi="Times New Roman"/>
          <w:bCs/>
          <w:sz w:val="20"/>
          <w:szCs w:val="20"/>
        </w:rPr>
        <w:t>DGEVCC, 2018. Stratégie nationale de développement de l’accès des produits forestiers non ligneux (PFNL) aux marchés, 33 pages ;</w:t>
      </w:r>
    </w:p>
    <w:p w14:paraId="14066148" w14:textId="77777777" w:rsidR="00BE2D71" w:rsidRPr="007C5A6E" w:rsidRDefault="00BE2D71" w:rsidP="00BE2D71">
      <w:pPr>
        <w:spacing w:after="0" w:line="240" w:lineRule="auto"/>
        <w:jc w:val="both"/>
        <w:rPr>
          <w:rFonts w:ascii="Times New Roman" w:hAnsi="Times New Roman"/>
          <w:sz w:val="20"/>
          <w:szCs w:val="20"/>
        </w:rPr>
      </w:pPr>
    </w:p>
    <w:p w14:paraId="53CEC50C" w14:textId="77777777" w:rsidR="00BE2D71" w:rsidRPr="007C5A6E" w:rsidRDefault="00BE2D71" w:rsidP="00BE2D71">
      <w:pPr>
        <w:spacing w:after="0" w:line="240" w:lineRule="auto"/>
        <w:jc w:val="both"/>
        <w:rPr>
          <w:rFonts w:ascii="Times New Roman" w:hAnsi="Times New Roman"/>
          <w:sz w:val="20"/>
          <w:szCs w:val="20"/>
        </w:rPr>
      </w:pPr>
      <w:r w:rsidRPr="007C5A6E">
        <w:rPr>
          <w:rFonts w:ascii="Times New Roman" w:hAnsi="Times New Roman"/>
          <w:bCs/>
          <w:sz w:val="20"/>
          <w:szCs w:val="20"/>
        </w:rPr>
        <w:t>DOHINNON Y. A. F. (2023). Diversité et écologie des crabes d’eau douce en zone sahélienne, Burkina Faso. Mémoire de Master, Université Joseph KI-ZERBO, 67p.</w:t>
      </w:r>
    </w:p>
    <w:p w14:paraId="3E6A388C" w14:textId="77777777" w:rsidR="00BE2D71" w:rsidRPr="007C5A6E" w:rsidRDefault="00BE2D71" w:rsidP="00BE2D71">
      <w:pPr>
        <w:spacing w:after="0" w:line="240" w:lineRule="auto"/>
        <w:jc w:val="both"/>
        <w:rPr>
          <w:rFonts w:ascii="Times New Roman" w:hAnsi="Times New Roman"/>
          <w:sz w:val="20"/>
          <w:szCs w:val="20"/>
        </w:rPr>
      </w:pPr>
    </w:p>
    <w:p w14:paraId="0C082EE0" w14:textId="77777777" w:rsidR="00BE2D71" w:rsidRPr="007C5A6E" w:rsidRDefault="00BE2D71" w:rsidP="00BE2D71">
      <w:pPr>
        <w:spacing w:after="0" w:line="240" w:lineRule="auto"/>
        <w:jc w:val="both"/>
        <w:rPr>
          <w:rFonts w:ascii="Times New Roman" w:hAnsi="Times New Roman"/>
          <w:sz w:val="20"/>
          <w:szCs w:val="20"/>
        </w:rPr>
      </w:pPr>
      <w:r w:rsidRPr="007C5A6E">
        <w:rPr>
          <w:rFonts w:ascii="Times New Roman" w:hAnsi="Times New Roman"/>
          <w:sz w:val="20"/>
          <w:szCs w:val="20"/>
        </w:rPr>
        <w:t>FAOSTAT. (2021). Agri-</w:t>
      </w:r>
      <w:proofErr w:type="spellStart"/>
      <w:r w:rsidRPr="007C5A6E">
        <w:rPr>
          <w:rFonts w:ascii="Times New Roman" w:hAnsi="Times New Roman"/>
          <w:sz w:val="20"/>
          <w:szCs w:val="20"/>
        </w:rPr>
        <w:t>Environmental</w:t>
      </w:r>
      <w:proofErr w:type="spellEnd"/>
      <w:r w:rsidRPr="007C5A6E">
        <w:rPr>
          <w:rFonts w:ascii="Times New Roman" w:hAnsi="Times New Roman"/>
          <w:sz w:val="20"/>
          <w:szCs w:val="20"/>
        </w:rPr>
        <w:t xml:space="preserve"> </w:t>
      </w:r>
      <w:proofErr w:type="spellStart"/>
      <w:r w:rsidRPr="007C5A6E">
        <w:rPr>
          <w:rFonts w:ascii="Times New Roman" w:hAnsi="Times New Roman"/>
          <w:sz w:val="20"/>
          <w:szCs w:val="20"/>
        </w:rPr>
        <w:t>Indicators</w:t>
      </w:r>
      <w:proofErr w:type="spellEnd"/>
      <w:r w:rsidRPr="007C5A6E">
        <w:rPr>
          <w:rFonts w:ascii="Times New Roman" w:hAnsi="Times New Roman"/>
          <w:sz w:val="20"/>
          <w:szCs w:val="20"/>
        </w:rPr>
        <w:t xml:space="preserve"> - Land use </w:t>
      </w:r>
      <w:proofErr w:type="spellStart"/>
      <w:r w:rsidRPr="007C5A6E">
        <w:rPr>
          <w:rFonts w:ascii="Times New Roman" w:hAnsi="Times New Roman"/>
          <w:sz w:val="20"/>
          <w:szCs w:val="20"/>
        </w:rPr>
        <w:t>indicators</w:t>
      </w:r>
      <w:proofErr w:type="spellEnd"/>
      <w:r w:rsidRPr="007C5A6E">
        <w:rPr>
          <w:rFonts w:ascii="Times New Roman" w:hAnsi="Times New Roman"/>
          <w:sz w:val="20"/>
          <w:szCs w:val="20"/>
        </w:rPr>
        <w:t xml:space="preserve">. </w:t>
      </w:r>
      <w:hyperlink r:id="rId275" w:anchor="data/EL" w:history="1">
        <w:r w:rsidRPr="007C5A6E">
          <w:rPr>
            <w:rFonts w:ascii="Times New Roman" w:hAnsi="Times New Roman"/>
            <w:color w:val="0000FF"/>
            <w:sz w:val="20"/>
            <w:szCs w:val="20"/>
            <w:u w:val="single"/>
          </w:rPr>
          <w:t>http://www.fao.org/faostat/en/#data/EL</w:t>
        </w:r>
      </w:hyperlink>
    </w:p>
    <w:p w14:paraId="30FAFCF3" w14:textId="77777777" w:rsidR="00BE2D71" w:rsidRPr="007C5A6E" w:rsidRDefault="00BE2D71" w:rsidP="00BE2D71">
      <w:pPr>
        <w:spacing w:after="0" w:line="240" w:lineRule="auto"/>
        <w:jc w:val="both"/>
        <w:rPr>
          <w:rFonts w:ascii="Times New Roman" w:hAnsi="Times New Roman"/>
          <w:bCs/>
          <w:sz w:val="20"/>
          <w:szCs w:val="20"/>
        </w:rPr>
      </w:pPr>
    </w:p>
    <w:p w14:paraId="27C6CB3F"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FIE, 2021. Rapport d’activité 2020, 42 pages ;</w:t>
      </w:r>
    </w:p>
    <w:p w14:paraId="107008FB" w14:textId="77777777" w:rsidR="00BE2D71" w:rsidRPr="007C5A6E" w:rsidRDefault="00BE2D71" w:rsidP="00BE2D71">
      <w:pPr>
        <w:spacing w:after="0" w:line="240" w:lineRule="auto"/>
        <w:jc w:val="both"/>
        <w:rPr>
          <w:rFonts w:ascii="Times New Roman" w:hAnsi="Times New Roman"/>
          <w:bCs/>
          <w:sz w:val="20"/>
          <w:szCs w:val="20"/>
        </w:rPr>
      </w:pPr>
    </w:p>
    <w:p w14:paraId="35153789"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FIE, 2023. Rapport d’activité 2022, 60 pages ;</w:t>
      </w:r>
    </w:p>
    <w:p w14:paraId="0A005F03" w14:textId="77777777" w:rsidR="00BE2D71" w:rsidRPr="007C5A6E" w:rsidRDefault="00BE2D71" w:rsidP="00BE2D71">
      <w:pPr>
        <w:spacing w:after="0" w:line="240" w:lineRule="auto"/>
        <w:jc w:val="both"/>
        <w:rPr>
          <w:rFonts w:ascii="Times New Roman" w:hAnsi="Times New Roman"/>
          <w:sz w:val="20"/>
          <w:szCs w:val="20"/>
        </w:rPr>
      </w:pPr>
    </w:p>
    <w:p w14:paraId="4B499A34"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 xml:space="preserve">GREENOUGH K. M., ZAMPALIGRE N. 2017 ; Pastoralisme et Changements globaux au Burkina Faso : La question de pastoralisme dans les zones Soudanienne. </w:t>
      </w:r>
      <w:hyperlink r:id="rId276" w:history="1">
        <w:r w:rsidRPr="007C5A6E">
          <w:rPr>
            <w:rFonts w:ascii="Times New Roman" w:hAnsi="Times New Roman"/>
            <w:bCs/>
            <w:color w:val="0000FF"/>
            <w:sz w:val="20"/>
            <w:szCs w:val="20"/>
            <w:u w:val="single"/>
          </w:rPr>
          <w:t>https://www.researchgate.net/publication/322103148</w:t>
        </w:r>
      </w:hyperlink>
      <w:r w:rsidRPr="007C5A6E">
        <w:rPr>
          <w:rFonts w:ascii="Times New Roman" w:hAnsi="Times New Roman"/>
          <w:bCs/>
          <w:sz w:val="20"/>
          <w:szCs w:val="20"/>
        </w:rPr>
        <w:t xml:space="preserve"> </w:t>
      </w:r>
    </w:p>
    <w:p w14:paraId="61ADABDC" w14:textId="77777777" w:rsidR="00BE2D71" w:rsidRPr="007C5A6E" w:rsidRDefault="00BE2D71" w:rsidP="00BE2D71">
      <w:pPr>
        <w:spacing w:after="0" w:line="240" w:lineRule="auto"/>
        <w:jc w:val="both"/>
        <w:rPr>
          <w:rFonts w:ascii="Times New Roman" w:hAnsi="Times New Roman"/>
          <w:sz w:val="20"/>
          <w:szCs w:val="20"/>
        </w:rPr>
      </w:pPr>
    </w:p>
    <w:p w14:paraId="5EA6F122" w14:textId="77777777" w:rsidR="00BE2D71" w:rsidRPr="007C5A6E" w:rsidRDefault="00BE2D71" w:rsidP="00BE2D71">
      <w:pPr>
        <w:spacing w:after="0" w:line="240" w:lineRule="auto"/>
        <w:jc w:val="both"/>
        <w:rPr>
          <w:rFonts w:ascii="Times New Roman" w:hAnsi="Times New Roman"/>
          <w:sz w:val="20"/>
          <w:szCs w:val="20"/>
        </w:rPr>
      </w:pPr>
      <w:r w:rsidRPr="007C5A6E">
        <w:rPr>
          <w:rFonts w:ascii="Times New Roman" w:hAnsi="Times New Roman"/>
          <w:sz w:val="20"/>
          <w:szCs w:val="20"/>
        </w:rPr>
        <w:t>GUINKO S. 1984. La végétation de la Haute Volta. Tome 1-Thèse de doctorat ès. Université de Bordeaux III. 364p.</w:t>
      </w:r>
    </w:p>
    <w:p w14:paraId="457D99DD" w14:textId="77777777" w:rsidR="00BE2D71" w:rsidRPr="007C5A6E" w:rsidRDefault="00BE2D71" w:rsidP="00BE2D71">
      <w:pPr>
        <w:spacing w:after="0" w:line="240" w:lineRule="auto"/>
        <w:jc w:val="both"/>
        <w:rPr>
          <w:rFonts w:ascii="Times New Roman" w:hAnsi="Times New Roman"/>
          <w:b/>
          <w:bCs/>
          <w:sz w:val="20"/>
          <w:szCs w:val="20"/>
        </w:rPr>
      </w:pPr>
    </w:p>
    <w:p w14:paraId="7E849E6E" w14:textId="77777777" w:rsidR="00BE2D71" w:rsidRPr="007C5A6E" w:rsidRDefault="00BE2D71" w:rsidP="00BE2D71">
      <w:pPr>
        <w:spacing w:after="0" w:line="240" w:lineRule="auto"/>
        <w:jc w:val="both"/>
        <w:rPr>
          <w:rFonts w:ascii="Times New Roman" w:hAnsi="Times New Roman"/>
          <w:b/>
          <w:bCs/>
          <w:sz w:val="20"/>
          <w:szCs w:val="20"/>
        </w:rPr>
      </w:pPr>
      <w:r w:rsidRPr="007C5A6E">
        <w:rPr>
          <w:rFonts w:ascii="Times New Roman" w:hAnsi="Times New Roman"/>
          <w:b/>
          <w:bCs/>
          <w:sz w:val="20"/>
          <w:szCs w:val="20"/>
        </w:rPr>
        <w:t xml:space="preserve">HARO J., 2023. Pollution : le long cours d’eau du Burkina en danger ; </w:t>
      </w:r>
      <w:hyperlink r:id="rId277" w:history="1">
        <w:r w:rsidRPr="007C5A6E">
          <w:rPr>
            <w:rFonts w:ascii="Times New Roman" w:hAnsi="Times New Roman"/>
            <w:color w:val="0000FF"/>
            <w:sz w:val="20"/>
            <w:szCs w:val="20"/>
            <w:u w:val="single"/>
          </w:rPr>
          <w:t>https://cenozo.org/pollution-le-plus-long-cours-deau-du-burkina-en-danger/</w:t>
        </w:r>
      </w:hyperlink>
    </w:p>
    <w:p w14:paraId="40BED86C" w14:textId="77777777" w:rsidR="00BE2D71" w:rsidRPr="007C5A6E" w:rsidRDefault="00BE2D71" w:rsidP="00BE2D71">
      <w:pPr>
        <w:spacing w:after="0" w:line="240" w:lineRule="auto"/>
        <w:jc w:val="both"/>
        <w:rPr>
          <w:rFonts w:ascii="Times New Roman" w:hAnsi="Times New Roman"/>
          <w:bCs/>
          <w:sz w:val="20"/>
          <w:szCs w:val="20"/>
        </w:rPr>
      </w:pPr>
    </w:p>
    <w:p w14:paraId="748187D0"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HEMA M. E. 2018a ; Rapport d’évaluation des tendances évolutives des espèces fauniques sur la période de 2010 à 2017, dans la Forêt Classée et Ranch de Gibier de Nazinga (FC/RGN) ; Rapport technique ; PAPSA</w:t>
      </w:r>
    </w:p>
    <w:p w14:paraId="28443BF0" w14:textId="77777777" w:rsidR="00BE2D71" w:rsidRPr="007C5A6E" w:rsidRDefault="00BE2D71" w:rsidP="00BE2D71">
      <w:pPr>
        <w:spacing w:after="0" w:line="240" w:lineRule="auto"/>
        <w:jc w:val="both"/>
        <w:rPr>
          <w:rFonts w:ascii="Times New Roman" w:hAnsi="Times New Roman"/>
          <w:bCs/>
          <w:sz w:val="20"/>
          <w:szCs w:val="20"/>
        </w:rPr>
      </w:pPr>
    </w:p>
    <w:p w14:paraId="3908CB39"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HEMA M. E. 2018b ; Rapport d’évaluation des tendances évolutives des espèces fauniques sur la période de 2010 à 2018, dans la Forêt Classée et Reserve Partielle de Faune de la Comoé-Léraba ; rapport technique ; PAPSA</w:t>
      </w:r>
    </w:p>
    <w:p w14:paraId="21690B6C" w14:textId="77777777" w:rsidR="00BE2D71" w:rsidRPr="007C5A6E" w:rsidRDefault="00BE2D71" w:rsidP="00BE2D71">
      <w:pPr>
        <w:spacing w:after="0" w:line="240" w:lineRule="auto"/>
        <w:jc w:val="both"/>
        <w:rPr>
          <w:rFonts w:ascii="Times New Roman" w:hAnsi="Times New Roman"/>
          <w:sz w:val="20"/>
          <w:szCs w:val="20"/>
        </w:rPr>
      </w:pPr>
    </w:p>
    <w:p w14:paraId="55E7ED2C"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INSD, 2018. Annuaire statistique 2017, 383 pages ;</w:t>
      </w:r>
    </w:p>
    <w:p w14:paraId="3D82A101" w14:textId="77777777" w:rsidR="00BE2D71" w:rsidRPr="007C5A6E" w:rsidRDefault="00BE2D71" w:rsidP="00BE2D71">
      <w:pPr>
        <w:spacing w:after="0" w:line="240" w:lineRule="auto"/>
        <w:jc w:val="both"/>
        <w:rPr>
          <w:rFonts w:ascii="Times New Roman" w:hAnsi="Times New Roman"/>
          <w:sz w:val="20"/>
          <w:szCs w:val="20"/>
        </w:rPr>
      </w:pPr>
    </w:p>
    <w:p w14:paraId="57676C0B" w14:textId="77777777" w:rsidR="00BE2D71" w:rsidRPr="007C5A6E" w:rsidRDefault="00BE2D71" w:rsidP="00BE2D71">
      <w:pPr>
        <w:spacing w:after="0" w:line="240" w:lineRule="auto"/>
        <w:jc w:val="both"/>
        <w:rPr>
          <w:rFonts w:ascii="Times New Roman" w:hAnsi="Times New Roman"/>
          <w:sz w:val="20"/>
          <w:szCs w:val="20"/>
        </w:rPr>
      </w:pPr>
      <w:r w:rsidRPr="007C5A6E">
        <w:rPr>
          <w:rFonts w:ascii="Times New Roman" w:hAnsi="Times New Roman"/>
          <w:sz w:val="20"/>
          <w:szCs w:val="20"/>
        </w:rPr>
        <w:t>INSD, 2019 Recensement General de la Populations, Burkina Faso</w:t>
      </w:r>
    </w:p>
    <w:p w14:paraId="35A8C32E" w14:textId="77777777" w:rsidR="00BE2D71" w:rsidRPr="007C5A6E" w:rsidRDefault="00BE2D71" w:rsidP="00BE2D71">
      <w:pPr>
        <w:spacing w:after="0" w:line="240" w:lineRule="auto"/>
        <w:jc w:val="both"/>
        <w:rPr>
          <w:rFonts w:ascii="Times New Roman" w:hAnsi="Times New Roman"/>
          <w:bCs/>
          <w:sz w:val="20"/>
          <w:szCs w:val="20"/>
        </w:rPr>
      </w:pPr>
    </w:p>
    <w:p w14:paraId="265485BE"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INSD, 2021. Principaux résultats de l’étude sur la pauvreté et les conditions de vie des ménages en 2021</w:t>
      </w:r>
    </w:p>
    <w:p w14:paraId="139B8F2F" w14:textId="77777777" w:rsidR="00BE2D71" w:rsidRPr="007C5A6E" w:rsidRDefault="00BE2D71" w:rsidP="00BE2D71">
      <w:pPr>
        <w:spacing w:after="0" w:line="240" w:lineRule="auto"/>
        <w:jc w:val="both"/>
        <w:rPr>
          <w:rFonts w:ascii="Times New Roman" w:hAnsi="Times New Roman"/>
          <w:bCs/>
          <w:sz w:val="20"/>
          <w:szCs w:val="20"/>
        </w:rPr>
      </w:pPr>
    </w:p>
    <w:p w14:paraId="51D0CAA6"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INSD, 2022a. Principaux résultats de l’étude sur la pauvreté et les conditions de vie des ménages en 2021, 8 pages ;</w:t>
      </w:r>
    </w:p>
    <w:p w14:paraId="51FB3492" w14:textId="77777777" w:rsidR="00BE2D71" w:rsidRPr="007C5A6E" w:rsidRDefault="00BE2D71" w:rsidP="00BE2D71">
      <w:pPr>
        <w:spacing w:after="0" w:line="240" w:lineRule="auto"/>
        <w:jc w:val="both"/>
        <w:rPr>
          <w:rFonts w:ascii="Times New Roman" w:hAnsi="Times New Roman"/>
          <w:bCs/>
          <w:sz w:val="20"/>
          <w:szCs w:val="20"/>
        </w:rPr>
      </w:pPr>
    </w:p>
    <w:p w14:paraId="2D1C9EF4"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 xml:space="preserve">INSD, 2022b. Cinquième Recensement Général de la Population et de l’Habitation du Burkina Faso, Synthèse des résultats définitifs, 136 pages ; </w:t>
      </w:r>
    </w:p>
    <w:p w14:paraId="3E0ACF48" w14:textId="77777777" w:rsidR="00BE2D71" w:rsidRPr="007C5A6E" w:rsidRDefault="00BE2D71" w:rsidP="00BE2D71">
      <w:pPr>
        <w:spacing w:after="0" w:line="240" w:lineRule="auto"/>
        <w:jc w:val="both"/>
        <w:rPr>
          <w:rFonts w:ascii="Times New Roman" w:hAnsi="Times New Roman"/>
          <w:bCs/>
          <w:sz w:val="20"/>
          <w:szCs w:val="20"/>
        </w:rPr>
      </w:pPr>
    </w:p>
    <w:p w14:paraId="3FBED26D"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INSD, 2022c. Tableau de bord démographique, 56 pages</w:t>
      </w:r>
    </w:p>
    <w:p w14:paraId="169B6E33" w14:textId="77777777" w:rsidR="00BE2D71" w:rsidRPr="007C5A6E" w:rsidRDefault="00BE2D71" w:rsidP="00BE2D71">
      <w:pPr>
        <w:spacing w:after="0" w:line="240" w:lineRule="auto"/>
        <w:jc w:val="both"/>
        <w:rPr>
          <w:rFonts w:ascii="Times New Roman" w:hAnsi="Times New Roman"/>
          <w:bCs/>
          <w:sz w:val="20"/>
          <w:szCs w:val="20"/>
        </w:rPr>
      </w:pPr>
    </w:p>
    <w:p w14:paraId="63DF62C2"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 xml:space="preserve">INSD, 2023a. Annuaire statistique 2022, 374 pages ; </w:t>
      </w:r>
    </w:p>
    <w:p w14:paraId="0BDC8A37" w14:textId="77777777" w:rsidR="00BE2D71" w:rsidRPr="007C5A6E" w:rsidRDefault="00BE2D71" w:rsidP="00BE2D71">
      <w:pPr>
        <w:spacing w:after="0" w:line="240" w:lineRule="auto"/>
        <w:jc w:val="both"/>
        <w:rPr>
          <w:rFonts w:ascii="Times New Roman" w:hAnsi="Times New Roman"/>
          <w:bCs/>
          <w:sz w:val="20"/>
          <w:szCs w:val="20"/>
        </w:rPr>
      </w:pPr>
    </w:p>
    <w:p w14:paraId="26AF1C60"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INSD, 2023b. Projections démographiques 2020 – 2035, cinquième recensement général de la population et de l’habitation de 2019 (5e RGPH), édition 2, 520 pages ;</w:t>
      </w:r>
    </w:p>
    <w:p w14:paraId="26E051CA" w14:textId="77777777" w:rsidR="00BE2D71" w:rsidRPr="007C5A6E" w:rsidRDefault="00BE2D71" w:rsidP="00BE2D71">
      <w:pPr>
        <w:spacing w:after="0" w:line="240" w:lineRule="auto"/>
        <w:jc w:val="both"/>
        <w:rPr>
          <w:rFonts w:ascii="Times New Roman" w:hAnsi="Times New Roman"/>
          <w:sz w:val="20"/>
          <w:szCs w:val="20"/>
        </w:rPr>
      </w:pPr>
    </w:p>
    <w:p w14:paraId="06AE6DBB" w14:textId="77777777" w:rsidR="00BE2D71" w:rsidRPr="007C5A6E" w:rsidRDefault="00BE2D71" w:rsidP="00BE2D71">
      <w:pPr>
        <w:spacing w:after="0" w:line="240" w:lineRule="auto"/>
        <w:jc w:val="both"/>
        <w:rPr>
          <w:rFonts w:ascii="Times New Roman" w:hAnsi="Times New Roman"/>
          <w:bCs/>
          <w:sz w:val="20"/>
          <w:szCs w:val="20"/>
          <w:lang w:val="en-US"/>
        </w:rPr>
      </w:pPr>
      <w:r w:rsidRPr="007C5A6E">
        <w:rPr>
          <w:rFonts w:ascii="Times New Roman" w:hAnsi="Times New Roman"/>
          <w:bCs/>
          <w:sz w:val="20"/>
          <w:szCs w:val="20"/>
          <w:lang w:val="en-US"/>
        </w:rPr>
        <w:t xml:space="preserve">IPCC, Climate </w:t>
      </w:r>
      <w:proofErr w:type="gramStart"/>
      <w:r w:rsidRPr="007C5A6E">
        <w:rPr>
          <w:rFonts w:ascii="Times New Roman" w:hAnsi="Times New Roman"/>
          <w:bCs/>
          <w:sz w:val="20"/>
          <w:szCs w:val="20"/>
          <w:lang w:val="en-US"/>
        </w:rPr>
        <w:t>change :</w:t>
      </w:r>
      <w:proofErr w:type="gramEnd"/>
      <w:r w:rsidRPr="007C5A6E">
        <w:rPr>
          <w:rFonts w:ascii="Times New Roman" w:hAnsi="Times New Roman"/>
          <w:bCs/>
          <w:sz w:val="20"/>
          <w:szCs w:val="20"/>
          <w:lang w:val="en-US"/>
        </w:rPr>
        <w:t xml:space="preserve"> Synthesis report. summary for policymakers. Tech. rep., (2007), URL </w:t>
      </w:r>
      <w:hyperlink r:id="rId278" w:history="1">
        <w:r w:rsidRPr="007C5A6E">
          <w:rPr>
            <w:rFonts w:ascii="Times New Roman" w:hAnsi="Times New Roman"/>
            <w:bCs/>
            <w:color w:val="0000FF"/>
            <w:sz w:val="20"/>
            <w:szCs w:val="20"/>
            <w:u w:val="single"/>
            <w:lang w:val="en-US"/>
          </w:rPr>
          <w:t>http://www.ipcc.ch/ipccreports/ar4-syr.htm</w:t>
        </w:r>
      </w:hyperlink>
    </w:p>
    <w:p w14:paraId="6CB44D03" w14:textId="77777777" w:rsidR="00BE2D71" w:rsidRPr="007C5A6E" w:rsidRDefault="00BE2D71" w:rsidP="00BE2D71">
      <w:pPr>
        <w:spacing w:after="0" w:line="240" w:lineRule="auto"/>
        <w:jc w:val="both"/>
        <w:rPr>
          <w:rFonts w:ascii="Times New Roman" w:hAnsi="Times New Roman"/>
          <w:sz w:val="20"/>
          <w:szCs w:val="20"/>
          <w:lang w:val="en-US"/>
        </w:rPr>
      </w:pPr>
    </w:p>
    <w:p w14:paraId="5BFB6120" w14:textId="77777777" w:rsidR="00BE2D71" w:rsidRPr="007C5A6E" w:rsidRDefault="00BE2D71" w:rsidP="00BE2D71">
      <w:pPr>
        <w:spacing w:after="0" w:line="240" w:lineRule="auto"/>
        <w:jc w:val="both"/>
        <w:rPr>
          <w:rFonts w:ascii="Times New Roman" w:hAnsi="Times New Roman"/>
          <w:sz w:val="20"/>
          <w:szCs w:val="20"/>
        </w:rPr>
      </w:pPr>
      <w:r w:rsidRPr="007C5A6E">
        <w:rPr>
          <w:rFonts w:ascii="Times New Roman" w:hAnsi="Times New Roman"/>
          <w:sz w:val="20"/>
          <w:szCs w:val="20"/>
        </w:rPr>
        <w:t>Kabore P. N., Barbier B., </w:t>
      </w:r>
      <w:proofErr w:type="spellStart"/>
      <w:r w:rsidRPr="007C5A6E">
        <w:rPr>
          <w:rFonts w:ascii="Times New Roman" w:hAnsi="Times New Roman"/>
          <w:sz w:val="20"/>
          <w:szCs w:val="20"/>
        </w:rPr>
        <w:t>Ouoba</w:t>
      </w:r>
      <w:proofErr w:type="spellEnd"/>
      <w:r w:rsidRPr="007C5A6E">
        <w:rPr>
          <w:rFonts w:ascii="Times New Roman" w:hAnsi="Times New Roman"/>
          <w:sz w:val="20"/>
          <w:szCs w:val="20"/>
        </w:rPr>
        <w:t xml:space="preserve"> P., </w:t>
      </w:r>
      <w:proofErr w:type="spellStart"/>
      <w:r w:rsidRPr="007C5A6E">
        <w:rPr>
          <w:rFonts w:ascii="Times New Roman" w:hAnsi="Times New Roman"/>
          <w:sz w:val="20"/>
          <w:szCs w:val="20"/>
        </w:rPr>
        <w:t>Kiema</w:t>
      </w:r>
      <w:proofErr w:type="spellEnd"/>
      <w:r w:rsidRPr="007C5A6E">
        <w:rPr>
          <w:rFonts w:ascii="Times New Roman" w:hAnsi="Times New Roman"/>
          <w:sz w:val="20"/>
          <w:szCs w:val="20"/>
        </w:rPr>
        <w:t xml:space="preserve"> A., </w:t>
      </w:r>
      <w:proofErr w:type="spellStart"/>
      <w:r w:rsidRPr="007C5A6E">
        <w:rPr>
          <w:rFonts w:ascii="Times New Roman" w:hAnsi="Times New Roman"/>
          <w:sz w:val="20"/>
          <w:szCs w:val="20"/>
        </w:rPr>
        <w:t>Some</w:t>
      </w:r>
      <w:proofErr w:type="spellEnd"/>
      <w:r w:rsidRPr="007C5A6E">
        <w:rPr>
          <w:rFonts w:ascii="Times New Roman" w:hAnsi="Times New Roman"/>
          <w:sz w:val="20"/>
          <w:szCs w:val="20"/>
        </w:rPr>
        <w:t xml:space="preserve"> L. et Ouedraogo A. 2019. Perceptions du changement climatique, impacts environnementaux et stratégies endogènes d’adaptation par les producteurs du Centre-nord du Burkina Faso. </w:t>
      </w:r>
      <w:proofErr w:type="gramStart"/>
      <w:r w:rsidRPr="007C5A6E">
        <w:rPr>
          <w:rFonts w:ascii="Times New Roman" w:hAnsi="Times New Roman"/>
          <w:sz w:val="20"/>
          <w:szCs w:val="20"/>
        </w:rPr>
        <w:t>vertigo</w:t>
      </w:r>
      <w:proofErr w:type="gramEnd"/>
      <w:r w:rsidRPr="007C5A6E">
        <w:rPr>
          <w:rFonts w:ascii="Times New Roman" w:hAnsi="Times New Roman"/>
          <w:sz w:val="20"/>
          <w:szCs w:val="20"/>
        </w:rPr>
        <w:t xml:space="preserve">.24 ; </w:t>
      </w:r>
      <w:hyperlink r:id="rId279" w:history="1">
        <w:r w:rsidRPr="007C5A6E">
          <w:rPr>
            <w:rFonts w:ascii="Times New Roman" w:hAnsi="Times New Roman"/>
            <w:color w:val="0000FF"/>
            <w:sz w:val="20"/>
            <w:szCs w:val="20"/>
            <w:u w:val="single"/>
          </w:rPr>
          <w:t>https://doi.org/10.4000/vertigo.24637</w:t>
        </w:r>
      </w:hyperlink>
    </w:p>
    <w:p w14:paraId="55C9FE56" w14:textId="77777777" w:rsidR="00BE2D71" w:rsidRPr="007C5A6E" w:rsidRDefault="00BE2D71" w:rsidP="00BE2D71">
      <w:pPr>
        <w:spacing w:after="0" w:line="240" w:lineRule="auto"/>
        <w:jc w:val="both"/>
        <w:rPr>
          <w:rFonts w:ascii="Times New Roman" w:hAnsi="Times New Roman"/>
          <w:sz w:val="20"/>
          <w:szCs w:val="20"/>
        </w:rPr>
      </w:pPr>
    </w:p>
    <w:p w14:paraId="412F10CB" w14:textId="77777777" w:rsidR="00BE2D71" w:rsidRPr="007C5A6E" w:rsidRDefault="00BE2D71" w:rsidP="00BE2D71">
      <w:pPr>
        <w:spacing w:after="0" w:line="240" w:lineRule="auto"/>
        <w:jc w:val="both"/>
        <w:rPr>
          <w:rFonts w:ascii="Times New Roman" w:hAnsi="Times New Roman"/>
          <w:sz w:val="20"/>
          <w:szCs w:val="20"/>
          <w:lang w:val="en-US"/>
        </w:rPr>
      </w:pPr>
      <w:r w:rsidRPr="007C5A6E">
        <w:rPr>
          <w:rFonts w:ascii="Times New Roman" w:hAnsi="Times New Roman"/>
          <w:sz w:val="20"/>
          <w:szCs w:val="20"/>
          <w:lang w:val="fr-BF"/>
        </w:rPr>
        <w:t>KABORÉ I., KABORÉ B.L., BANCÉ V., SAWADOGO L. AND OUÉDA A.</w:t>
      </w:r>
      <w:r w:rsidRPr="007C5A6E">
        <w:rPr>
          <w:rFonts w:ascii="Times New Roman" w:hAnsi="Times New Roman"/>
          <w:sz w:val="20"/>
          <w:szCs w:val="20"/>
        </w:rPr>
        <w:t xml:space="preserve"> (2023). </w:t>
      </w:r>
      <w:proofErr w:type="spellStart"/>
      <w:r w:rsidRPr="007C5A6E">
        <w:rPr>
          <w:rFonts w:ascii="Times New Roman" w:hAnsi="Times New Roman"/>
          <w:i/>
          <w:iCs/>
          <w:sz w:val="20"/>
          <w:szCs w:val="20"/>
          <w:lang w:val="fr-BF"/>
        </w:rPr>
        <w:t>Knowledge</w:t>
      </w:r>
      <w:proofErr w:type="spellEnd"/>
      <w:r w:rsidRPr="007C5A6E">
        <w:rPr>
          <w:rFonts w:ascii="Times New Roman" w:hAnsi="Times New Roman"/>
          <w:i/>
          <w:iCs/>
          <w:sz w:val="20"/>
          <w:szCs w:val="20"/>
          <w:lang w:val="fr-BF"/>
        </w:rPr>
        <w:t xml:space="preserve"> of </w:t>
      </w:r>
      <w:proofErr w:type="spellStart"/>
      <w:r w:rsidRPr="007C5A6E">
        <w:rPr>
          <w:rFonts w:ascii="Times New Roman" w:hAnsi="Times New Roman"/>
          <w:i/>
          <w:iCs/>
          <w:sz w:val="20"/>
          <w:szCs w:val="20"/>
          <w:lang w:val="fr-BF"/>
        </w:rPr>
        <w:t>shrimps</w:t>
      </w:r>
      <w:proofErr w:type="spellEnd"/>
      <w:r w:rsidRPr="007C5A6E">
        <w:rPr>
          <w:rFonts w:ascii="Times New Roman" w:hAnsi="Times New Roman"/>
          <w:i/>
          <w:iCs/>
          <w:sz w:val="20"/>
          <w:szCs w:val="20"/>
          <w:lang w:val="fr-BF"/>
        </w:rPr>
        <w:t xml:space="preserve">’ composition and </w:t>
      </w:r>
      <w:proofErr w:type="spellStart"/>
      <w:r w:rsidRPr="007C5A6E">
        <w:rPr>
          <w:rFonts w:ascii="Times New Roman" w:hAnsi="Times New Roman"/>
          <w:i/>
          <w:iCs/>
          <w:sz w:val="20"/>
          <w:szCs w:val="20"/>
          <w:lang w:val="fr-BF"/>
        </w:rPr>
        <w:t>their</w:t>
      </w:r>
      <w:proofErr w:type="spellEnd"/>
      <w:r w:rsidRPr="007C5A6E">
        <w:rPr>
          <w:rFonts w:ascii="Times New Roman" w:hAnsi="Times New Roman"/>
          <w:i/>
          <w:iCs/>
          <w:sz w:val="20"/>
          <w:szCs w:val="20"/>
          <w:lang w:val="fr-BF"/>
        </w:rPr>
        <w:t xml:space="preserve"> implication in </w:t>
      </w:r>
      <w:proofErr w:type="spellStart"/>
      <w:r w:rsidRPr="007C5A6E">
        <w:rPr>
          <w:rFonts w:ascii="Times New Roman" w:hAnsi="Times New Roman"/>
          <w:i/>
          <w:iCs/>
          <w:sz w:val="20"/>
          <w:szCs w:val="20"/>
          <w:lang w:val="fr-BF"/>
        </w:rPr>
        <w:t>food</w:t>
      </w:r>
      <w:proofErr w:type="spellEnd"/>
      <w:r w:rsidRPr="007C5A6E">
        <w:rPr>
          <w:rFonts w:ascii="Times New Roman" w:hAnsi="Times New Roman"/>
          <w:i/>
          <w:iCs/>
          <w:sz w:val="20"/>
          <w:szCs w:val="20"/>
          <w:lang w:val="fr-BF"/>
        </w:rPr>
        <w:t xml:space="preserve"> </w:t>
      </w:r>
      <w:proofErr w:type="spellStart"/>
      <w:r w:rsidRPr="007C5A6E">
        <w:rPr>
          <w:rFonts w:ascii="Times New Roman" w:hAnsi="Times New Roman"/>
          <w:i/>
          <w:iCs/>
          <w:sz w:val="20"/>
          <w:szCs w:val="20"/>
          <w:lang w:val="fr-BF"/>
        </w:rPr>
        <w:t>security</w:t>
      </w:r>
      <w:proofErr w:type="spellEnd"/>
      <w:r w:rsidRPr="007C5A6E">
        <w:rPr>
          <w:rFonts w:ascii="Times New Roman" w:hAnsi="Times New Roman"/>
          <w:i/>
          <w:iCs/>
          <w:sz w:val="20"/>
          <w:szCs w:val="20"/>
          <w:lang w:val="fr-BF"/>
        </w:rPr>
        <w:t xml:space="preserve"> in </w:t>
      </w:r>
      <w:proofErr w:type="spellStart"/>
      <w:r w:rsidRPr="007C5A6E">
        <w:rPr>
          <w:rFonts w:ascii="Times New Roman" w:hAnsi="Times New Roman"/>
          <w:i/>
          <w:iCs/>
          <w:sz w:val="20"/>
          <w:szCs w:val="20"/>
          <w:lang w:val="fr-BF"/>
        </w:rPr>
        <w:t>dryland</w:t>
      </w:r>
      <w:proofErr w:type="spellEnd"/>
      <w:r w:rsidRPr="007C5A6E">
        <w:rPr>
          <w:rFonts w:ascii="Times New Roman" w:hAnsi="Times New Roman"/>
          <w:i/>
          <w:iCs/>
          <w:sz w:val="20"/>
          <w:szCs w:val="20"/>
          <w:lang w:val="fr-BF"/>
        </w:rPr>
        <w:t xml:space="preserve"> area in </w:t>
      </w:r>
      <w:proofErr w:type="spellStart"/>
      <w:r w:rsidRPr="007C5A6E">
        <w:rPr>
          <w:rFonts w:ascii="Times New Roman" w:hAnsi="Times New Roman"/>
          <w:i/>
          <w:iCs/>
          <w:sz w:val="20"/>
          <w:szCs w:val="20"/>
          <w:lang w:val="fr-BF"/>
        </w:rPr>
        <w:t>burkina</w:t>
      </w:r>
      <w:proofErr w:type="spellEnd"/>
      <w:r w:rsidRPr="007C5A6E">
        <w:rPr>
          <w:rFonts w:ascii="Times New Roman" w:hAnsi="Times New Roman"/>
          <w:i/>
          <w:iCs/>
          <w:sz w:val="20"/>
          <w:szCs w:val="20"/>
          <w:lang w:val="fr-BF"/>
        </w:rPr>
        <w:t xml:space="preserve"> </w:t>
      </w:r>
      <w:proofErr w:type="spellStart"/>
      <w:r w:rsidRPr="007C5A6E">
        <w:rPr>
          <w:rFonts w:ascii="Times New Roman" w:hAnsi="Times New Roman"/>
          <w:i/>
          <w:iCs/>
          <w:sz w:val="20"/>
          <w:szCs w:val="20"/>
          <w:lang w:val="fr-BF"/>
        </w:rPr>
        <w:t>faso</w:t>
      </w:r>
      <w:proofErr w:type="spellEnd"/>
      <w:r w:rsidRPr="007C5A6E">
        <w:rPr>
          <w:rFonts w:ascii="Times New Roman" w:hAnsi="Times New Roman"/>
          <w:i/>
          <w:iCs/>
          <w:sz w:val="20"/>
          <w:szCs w:val="20"/>
          <w:lang w:val="fr-BF"/>
        </w:rPr>
        <w:t xml:space="preserve"> (</w:t>
      </w:r>
      <w:proofErr w:type="spellStart"/>
      <w:r w:rsidRPr="007C5A6E">
        <w:rPr>
          <w:rFonts w:ascii="Times New Roman" w:hAnsi="Times New Roman"/>
          <w:i/>
          <w:iCs/>
          <w:sz w:val="20"/>
          <w:szCs w:val="20"/>
          <w:lang w:val="fr-BF"/>
        </w:rPr>
        <w:t>west</w:t>
      </w:r>
      <w:proofErr w:type="spellEnd"/>
      <w:r w:rsidRPr="007C5A6E">
        <w:rPr>
          <w:rFonts w:ascii="Times New Roman" w:hAnsi="Times New Roman"/>
          <w:i/>
          <w:iCs/>
          <w:sz w:val="20"/>
          <w:szCs w:val="20"/>
          <w:lang w:val="fr-BF"/>
        </w:rPr>
        <w:t xml:space="preserve"> </w:t>
      </w:r>
      <w:proofErr w:type="spellStart"/>
      <w:r w:rsidRPr="007C5A6E">
        <w:rPr>
          <w:rFonts w:ascii="Times New Roman" w:hAnsi="Times New Roman"/>
          <w:i/>
          <w:iCs/>
          <w:sz w:val="20"/>
          <w:szCs w:val="20"/>
          <w:lang w:val="fr-BF"/>
        </w:rPr>
        <w:t>africa</w:t>
      </w:r>
      <w:proofErr w:type="spellEnd"/>
      <w:r w:rsidRPr="007C5A6E">
        <w:rPr>
          <w:rFonts w:ascii="Times New Roman" w:hAnsi="Times New Roman"/>
          <w:i/>
          <w:iCs/>
          <w:sz w:val="20"/>
          <w:szCs w:val="20"/>
          <w:lang w:val="fr-BF"/>
        </w:rPr>
        <w:t>)</w:t>
      </w:r>
      <w:r w:rsidRPr="007C5A6E">
        <w:rPr>
          <w:rFonts w:ascii="Times New Roman" w:hAnsi="Times New Roman"/>
          <w:sz w:val="20"/>
          <w:szCs w:val="20"/>
          <w:lang w:val="fr-BF"/>
        </w:rPr>
        <w:t> </w:t>
      </w:r>
      <w:r w:rsidRPr="007C5A6E">
        <w:rPr>
          <w:rFonts w:ascii="Times New Roman" w:hAnsi="Times New Roman"/>
          <w:sz w:val="20"/>
          <w:szCs w:val="20"/>
          <w:lang w:val="en-US"/>
        </w:rPr>
        <w:t xml:space="preserve">; </w:t>
      </w:r>
      <w:proofErr w:type="spellStart"/>
      <w:r w:rsidRPr="007C5A6E">
        <w:rPr>
          <w:rFonts w:ascii="Times New Roman" w:hAnsi="Times New Roman"/>
          <w:sz w:val="20"/>
          <w:szCs w:val="20"/>
          <w:lang w:val="fr-BF"/>
        </w:rPr>
        <w:t>int</w:t>
      </w:r>
      <w:proofErr w:type="spellEnd"/>
      <w:r w:rsidRPr="007C5A6E">
        <w:rPr>
          <w:rFonts w:ascii="Times New Roman" w:hAnsi="Times New Roman"/>
          <w:sz w:val="20"/>
          <w:szCs w:val="20"/>
          <w:lang w:val="fr-BF"/>
        </w:rPr>
        <w:t xml:space="preserve">. J. Adv. </w:t>
      </w:r>
      <w:proofErr w:type="spellStart"/>
      <w:r w:rsidRPr="007C5A6E">
        <w:rPr>
          <w:rFonts w:ascii="Times New Roman" w:hAnsi="Times New Roman"/>
          <w:sz w:val="20"/>
          <w:szCs w:val="20"/>
          <w:lang w:val="fr-BF"/>
        </w:rPr>
        <w:t>Res</w:t>
      </w:r>
      <w:proofErr w:type="spellEnd"/>
      <w:r w:rsidRPr="007C5A6E">
        <w:rPr>
          <w:rFonts w:ascii="Times New Roman" w:hAnsi="Times New Roman"/>
          <w:sz w:val="20"/>
          <w:szCs w:val="20"/>
          <w:lang w:val="fr-BF"/>
        </w:rPr>
        <w:t>. 11(05), 628-639 </w:t>
      </w:r>
      <w:r w:rsidRPr="007C5A6E">
        <w:rPr>
          <w:rFonts w:ascii="Times New Roman" w:hAnsi="Times New Roman"/>
          <w:sz w:val="20"/>
          <w:szCs w:val="20"/>
          <w:lang w:val="en-US"/>
        </w:rPr>
        <w:t xml:space="preserve">; </w:t>
      </w:r>
      <w:hyperlink r:id="rId280" w:history="1">
        <w:r w:rsidRPr="007C5A6E">
          <w:rPr>
            <w:rFonts w:ascii="Times New Roman" w:hAnsi="Times New Roman"/>
            <w:color w:val="0000FF"/>
            <w:sz w:val="20"/>
            <w:szCs w:val="20"/>
            <w:u w:val="single"/>
            <w:lang w:val="fr-BF"/>
          </w:rPr>
          <w:t>http://dx.doi.org/10.21474/IJAR01/16915</w:t>
        </w:r>
      </w:hyperlink>
      <w:r w:rsidRPr="007C5A6E">
        <w:rPr>
          <w:rFonts w:ascii="Times New Roman" w:hAnsi="Times New Roman"/>
          <w:sz w:val="20"/>
          <w:szCs w:val="20"/>
          <w:lang w:val="en-US"/>
        </w:rPr>
        <w:t>;</w:t>
      </w:r>
    </w:p>
    <w:p w14:paraId="45A416A2" w14:textId="77777777" w:rsidR="00BE2D71" w:rsidRPr="007C5A6E" w:rsidRDefault="00BE2D71" w:rsidP="00BE2D71">
      <w:pPr>
        <w:spacing w:after="0" w:line="240" w:lineRule="auto"/>
        <w:jc w:val="both"/>
        <w:rPr>
          <w:rFonts w:ascii="Times New Roman" w:hAnsi="Times New Roman"/>
          <w:sz w:val="20"/>
          <w:szCs w:val="20"/>
          <w:lang w:val="en-US"/>
        </w:rPr>
      </w:pPr>
    </w:p>
    <w:p w14:paraId="43052B5B" w14:textId="77777777" w:rsidR="00BE2D71" w:rsidRPr="007C5A6E" w:rsidRDefault="00BE2D71" w:rsidP="00BE2D71">
      <w:pPr>
        <w:spacing w:after="0" w:line="240" w:lineRule="auto"/>
        <w:jc w:val="both"/>
        <w:rPr>
          <w:rFonts w:ascii="Times New Roman" w:hAnsi="Times New Roman"/>
          <w:sz w:val="20"/>
          <w:szCs w:val="20"/>
        </w:rPr>
      </w:pPr>
      <w:r w:rsidRPr="007C5A6E">
        <w:rPr>
          <w:rFonts w:ascii="Times New Roman" w:hAnsi="Times New Roman"/>
          <w:sz w:val="20"/>
          <w:szCs w:val="20"/>
          <w:lang w:val="en-US"/>
        </w:rPr>
        <w:t xml:space="preserve">Kabore, W. 2021. </w:t>
      </w:r>
      <w:r w:rsidRPr="007C5A6E">
        <w:rPr>
          <w:rFonts w:ascii="Times New Roman" w:hAnsi="Times New Roman"/>
          <w:sz w:val="20"/>
          <w:szCs w:val="20"/>
        </w:rPr>
        <w:t>Gestion des conflits Homme-faune au Burkina Faso : expérience de la mise en œuvre par le Fonds d’Intervention pour l’Environnement, du décret N° 2016- 111/PRES/PM/MEEVCC/MATDSI portant conditions et modalités de réparation des dommages causés par certaines espèces animales sauvages, dans la région des Cascades. Mémoire Fin de cycle Inspecteur ; ENEF Bobo-Dioulasso.</w:t>
      </w:r>
    </w:p>
    <w:p w14:paraId="385D081E" w14:textId="77777777" w:rsidR="00BE2D71" w:rsidRPr="007C5A6E" w:rsidRDefault="00BE2D71" w:rsidP="00BE2D71">
      <w:pPr>
        <w:spacing w:after="0" w:line="240" w:lineRule="auto"/>
        <w:jc w:val="both"/>
        <w:rPr>
          <w:rFonts w:ascii="Times New Roman" w:hAnsi="Times New Roman"/>
          <w:sz w:val="20"/>
          <w:szCs w:val="20"/>
        </w:rPr>
      </w:pPr>
    </w:p>
    <w:p w14:paraId="640D3A5E" w14:textId="77777777" w:rsidR="00BE2D71" w:rsidRPr="007C5A6E" w:rsidRDefault="00BE2D71" w:rsidP="00BE2D71">
      <w:pPr>
        <w:spacing w:after="0" w:line="240" w:lineRule="auto"/>
        <w:jc w:val="both"/>
        <w:rPr>
          <w:rFonts w:ascii="Times New Roman" w:hAnsi="Times New Roman"/>
          <w:sz w:val="20"/>
          <w:szCs w:val="20"/>
          <w:lang w:val="en-US"/>
        </w:rPr>
      </w:pPr>
      <w:r w:rsidRPr="007C5A6E">
        <w:rPr>
          <w:rFonts w:ascii="Times New Roman" w:hAnsi="Times New Roman"/>
          <w:sz w:val="20"/>
          <w:szCs w:val="20"/>
        </w:rPr>
        <w:t xml:space="preserve">KARAMA M., HEMA M.E., KABORE A., OUATTARA Y., MOHAMMED J.A., 2024 ; </w:t>
      </w:r>
      <w:r w:rsidRPr="007C5A6E">
        <w:rPr>
          <w:rFonts w:ascii="Times New Roman" w:hAnsi="Times New Roman"/>
          <w:i/>
          <w:sz w:val="20"/>
          <w:szCs w:val="20"/>
        </w:rPr>
        <w:t>Ressources naturelles et extrémisme violent dans le Sahel et sur la côte ouest-africaine : Cas du Burkina Faso</w:t>
      </w:r>
      <w:r w:rsidRPr="007C5A6E">
        <w:rPr>
          <w:rFonts w:ascii="Times New Roman" w:hAnsi="Times New Roman"/>
          <w:sz w:val="20"/>
          <w:szCs w:val="20"/>
        </w:rPr>
        <w:t xml:space="preserve">. </w:t>
      </w:r>
      <w:r w:rsidRPr="007C5A6E">
        <w:rPr>
          <w:rFonts w:ascii="Times New Roman" w:hAnsi="Times New Roman"/>
          <w:sz w:val="20"/>
          <w:szCs w:val="20"/>
          <w:lang w:val="en-US"/>
        </w:rPr>
        <w:t>WEST AFRICAN HIGH-LEVEL CONFERENCE ON INEQUALITIES AND NATURAL RESOURCES MANAGEMENT; Accra, 16-20 August 2022.</w:t>
      </w:r>
    </w:p>
    <w:p w14:paraId="6A850F53" w14:textId="77777777" w:rsidR="00BE2D71" w:rsidRPr="007C5A6E" w:rsidRDefault="00BE2D71" w:rsidP="00BE2D71">
      <w:pPr>
        <w:spacing w:after="0" w:line="240" w:lineRule="auto"/>
        <w:jc w:val="both"/>
        <w:rPr>
          <w:rFonts w:ascii="Times New Roman" w:hAnsi="Times New Roman"/>
          <w:sz w:val="20"/>
          <w:szCs w:val="20"/>
          <w:lang w:val="en-US"/>
        </w:rPr>
      </w:pPr>
    </w:p>
    <w:p w14:paraId="0DA9C191" w14:textId="77777777" w:rsidR="00BE2D71" w:rsidRPr="007C5A6E" w:rsidRDefault="00BE2D71" w:rsidP="00BE2D71">
      <w:pPr>
        <w:spacing w:after="0" w:line="240" w:lineRule="auto"/>
        <w:jc w:val="both"/>
        <w:rPr>
          <w:rFonts w:ascii="Times New Roman" w:hAnsi="Times New Roman"/>
          <w:sz w:val="20"/>
          <w:szCs w:val="20"/>
        </w:rPr>
      </w:pPr>
      <w:r w:rsidRPr="007C5A6E">
        <w:rPr>
          <w:rFonts w:ascii="Times New Roman" w:hAnsi="Times New Roman"/>
          <w:bCs/>
          <w:sz w:val="20"/>
          <w:szCs w:val="20"/>
        </w:rPr>
        <w:t>LANKOANDE A.,</w:t>
      </w:r>
      <w:r w:rsidRPr="007C5A6E">
        <w:rPr>
          <w:rFonts w:ascii="Times New Roman" w:hAnsi="Times New Roman"/>
          <w:sz w:val="20"/>
          <w:szCs w:val="20"/>
        </w:rPr>
        <w:t xml:space="preserve"> 2023. </w:t>
      </w:r>
      <w:r w:rsidRPr="007C5A6E">
        <w:rPr>
          <w:rFonts w:ascii="Times New Roman" w:hAnsi="Times New Roman"/>
          <w:i/>
          <w:sz w:val="20"/>
          <w:szCs w:val="20"/>
        </w:rPr>
        <w:t>Structure et distribution des populations de chéloniens dans les milieux urbains et péri-urbains au Burkina Faso</w:t>
      </w:r>
      <w:r w:rsidRPr="007C5A6E">
        <w:rPr>
          <w:rFonts w:ascii="Times New Roman" w:hAnsi="Times New Roman"/>
          <w:sz w:val="20"/>
          <w:szCs w:val="20"/>
        </w:rPr>
        <w:t xml:space="preserve">. Thèse de doctorat unique, Université Joseph KI-ZERBO, Ouagadougou, Burkina Faso. 127 </w:t>
      </w:r>
      <w:proofErr w:type="gramStart"/>
      <w:r w:rsidRPr="007C5A6E">
        <w:rPr>
          <w:rFonts w:ascii="Times New Roman" w:hAnsi="Times New Roman"/>
          <w:sz w:val="20"/>
          <w:szCs w:val="20"/>
        </w:rPr>
        <w:t>pages;</w:t>
      </w:r>
      <w:proofErr w:type="gramEnd"/>
      <w:r w:rsidRPr="007C5A6E">
        <w:rPr>
          <w:rFonts w:ascii="Times New Roman" w:hAnsi="Times New Roman"/>
          <w:sz w:val="20"/>
          <w:szCs w:val="20"/>
        </w:rPr>
        <w:t xml:space="preserve"> </w:t>
      </w:r>
    </w:p>
    <w:p w14:paraId="4473860E" w14:textId="77777777" w:rsidR="00BE2D71" w:rsidRPr="007C5A6E" w:rsidRDefault="00BE2D71" w:rsidP="00BE2D71">
      <w:pPr>
        <w:spacing w:after="0" w:line="240" w:lineRule="auto"/>
        <w:jc w:val="both"/>
        <w:rPr>
          <w:rFonts w:ascii="Times New Roman" w:hAnsi="Times New Roman"/>
          <w:sz w:val="20"/>
          <w:szCs w:val="20"/>
        </w:rPr>
      </w:pPr>
    </w:p>
    <w:p w14:paraId="1EEAB1A3"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LEBRUN, J. P., B. TOUTAIN, A. GASTON &amp; G. BOUDET (1991). Catalogue des plantes vasculaires du Burkina Faso. IEMVT, Maisons Alfort</w:t>
      </w:r>
    </w:p>
    <w:p w14:paraId="2CAD78EE" w14:textId="77777777" w:rsidR="00BE2D71" w:rsidRPr="007C5A6E" w:rsidRDefault="00BE2D71" w:rsidP="00BE2D71">
      <w:pPr>
        <w:spacing w:after="0" w:line="240" w:lineRule="auto"/>
        <w:jc w:val="both"/>
        <w:rPr>
          <w:rFonts w:ascii="Times New Roman" w:hAnsi="Times New Roman"/>
          <w:sz w:val="20"/>
          <w:szCs w:val="20"/>
        </w:rPr>
      </w:pPr>
    </w:p>
    <w:p w14:paraId="16051D94" w14:textId="77777777" w:rsidR="00BE2D71" w:rsidRPr="007C5A6E" w:rsidRDefault="00BE2D71" w:rsidP="00BE2D71">
      <w:pPr>
        <w:spacing w:after="0" w:line="240" w:lineRule="auto"/>
        <w:jc w:val="both"/>
        <w:rPr>
          <w:rFonts w:ascii="Times New Roman" w:hAnsi="Times New Roman"/>
          <w:bCs/>
          <w:sz w:val="20"/>
          <w:szCs w:val="20"/>
          <w:lang w:val="en-US"/>
        </w:rPr>
      </w:pPr>
      <w:r w:rsidRPr="007C5A6E">
        <w:rPr>
          <w:rFonts w:ascii="Times New Roman" w:hAnsi="Times New Roman"/>
          <w:bCs/>
          <w:sz w:val="20"/>
          <w:szCs w:val="20"/>
        </w:rPr>
        <w:t xml:space="preserve">LOMPO O., DIMOBE </w:t>
      </w:r>
      <w:proofErr w:type="gramStart"/>
      <w:r w:rsidRPr="007C5A6E">
        <w:rPr>
          <w:rFonts w:ascii="Times New Roman" w:hAnsi="Times New Roman"/>
          <w:bCs/>
          <w:sz w:val="20"/>
          <w:szCs w:val="20"/>
        </w:rPr>
        <w:t>K. ,</w:t>
      </w:r>
      <w:proofErr w:type="gramEnd"/>
      <w:r w:rsidRPr="007C5A6E">
        <w:rPr>
          <w:rFonts w:ascii="Times New Roman" w:hAnsi="Times New Roman"/>
          <w:bCs/>
          <w:sz w:val="20"/>
          <w:szCs w:val="20"/>
        </w:rPr>
        <w:t xml:space="preserve"> MBAYNGONE E. , SAVADOGO S. , SAMBARE O. , THIOMBIANO A. , OUEDRAOGO A., 2021. </w:t>
      </w:r>
      <w:r w:rsidRPr="007C5A6E">
        <w:rPr>
          <w:rFonts w:ascii="Times New Roman" w:hAnsi="Times New Roman"/>
          <w:bCs/>
          <w:sz w:val="20"/>
          <w:szCs w:val="20"/>
          <w:lang w:val="en-US"/>
        </w:rPr>
        <w:t xml:space="preserve">Climate influence on the distribution of the yellow plum (Ximenia Americana L.) in Burkina Faso. </w:t>
      </w:r>
      <w:r w:rsidRPr="007C5A6E">
        <w:rPr>
          <w:rFonts w:ascii="Times New Roman" w:hAnsi="Times New Roman"/>
          <w:bCs/>
          <w:i/>
          <w:iCs/>
          <w:sz w:val="20"/>
          <w:szCs w:val="20"/>
          <w:lang w:val="en-US"/>
        </w:rPr>
        <w:t xml:space="preserve">Trees, Forests and People 4 (2021) </w:t>
      </w:r>
      <w:proofErr w:type="gramStart"/>
      <w:r w:rsidRPr="007C5A6E">
        <w:rPr>
          <w:rFonts w:ascii="Times New Roman" w:hAnsi="Times New Roman"/>
          <w:bCs/>
          <w:i/>
          <w:iCs/>
          <w:sz w:val="20"/>
          <w:szCs w:val="20"/>
          <w:lang w:val="en-US"/>
        </w:rPr>
        <w:t>100072</w:t>
      </w:r>
      <w:r w:rsidRPr="007C5A6E">
        <w:rPr>
          <w:rFonts w:ascii="Times New Roman" w:hAnsi="Times New Roman"/>
          <w:bCs/>
          <w:sz w:val="20"/>
          <w:szCs w:val="20"/>
          <w:lang w:val="en-US"/>
        </w:rPr>
        <w:t> ;</w:t>
      </w:r>
      <w:proofErr w:type="gramEnd"/>
      <w:r w:rsidRPr="007C5A6E">
        <w:rPr>
          <w:rFonts w:ascii="Times New Roman" w:hAnsi="Times New Roman"/>
          <w:bCs/>
          <w:sz w:val="20"/>
          <w:szCs w:val="20"/>
          <w:lang w:val="en-US"/>
        </w:rPr>
        <w:t xml:space="preserve"> </w:t>
      </w:r>
      <w:hyperlink r:id="rId281" w:history="1">
        <w:r w:rsidRPr="007C5A6E">
          <w:rPr>
            <w:rFonts w:ascii="Times New Roman" w:hAnsi="Times New Roman"/>
            <w:bCs/>
            <w:color w:val="0000FF"/>
            <w:sz w:val="20"/>
            <w:szCs w:val="20"/>
            <w:u w:val="single"/>
            <w:lang w:val="en-US"/>
          </w:rPr>
          <w:t>https://doi.org/10.1016/j.tfp.2021.100072</w:t>
        </w:r>
      </w:hyperlink>
      <w:r w:rsidRPr="007C5A6E">
        <w:rPr>
          <w:rFonts w:ascii="Times New Roman" w:hAnsi="Times New Roman"/>
          <w:bCs/>
          <w:sz w:val="20"/>
          <w:szCs w:val="20"/>
          <w:lang w:val="en-US"/>
        </w:rPr>
        <w:t xml:space="preserve"> </w:t>
      </w:r>
    </w:p>
    <w:p w14:paraId="5D4C6572" w14:textId="77777777" w:rsidR="00BE2D71" w:rsidRPr="007C5A6E" w:rsidRDefault="00BE2D71" w:rsidP="00BE2D71">
      <w:pPr>
        <w:spacing w:after="0" w:line="240" w:lineRule="auto"/>
        <w:jc w:val="both"/>
        <w:rPr>
          <w:rFonts w:ascii="Times New Roman" w:hAnsi="Times New Roman"/>
          <w:sz w:val="20"/>
          <w:szCs w:val="20"/>
          <w:lang w:val="en-US"/>
        </w:rPr>
      </w:pPr>
    </w:p>
    <w:p w14:paraId="56DCA679"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lang w:val="en-US"/>
        </w:rPr>
        <w:t xml:space="preserve">MARAH, 2021. </w:t>
      </w:r>
      <w:r w:rsidRPr="007C5A6E">
        <w:rPr>
          <w:rFonts w:ascii="Times New Roman" w:hAnsi="Times New Roman"/>
          <w:bCs/>
          <w:sz w:val="20"/>
          <w:szCs w:val="20"/>
        </w:rPr>
        <w:t>Annuaire des statistiques agricoles 2020. Version définitive, 437 pages</w:t>
      </w:r>
    </w:p>
    <w:p w14:paraId="69EB448D" w14:textId="77777777" w:rsidR="00BE2D71" w:rsidRPr="007C5A6E" w:rsidRDefault="00BE2D71" w:rsidP="00BE2D71">
      <w:pPr>
        <w:spacing w:after="0" w:line="240" w:lineRule="auto"/>
        <w:jc w:val="both"/>
        <w:rPr>
          <w:rFonts w:ascii="Times New Roman" w:hAnsi="Times New Roman"/>
          <w:bCs/>
          <w:sz w:val="20"/>
          <w:szCs w:val="20"/>
        </w:rPr>
      </w:pPr>
    </w:p>
    <w:p w14:paraId="01B1B1D7"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MARAH, 2022. Annuaire des statistiques agro-</w:t>
      </w:r>
      <w:proofErr w:type="spellStart"/>
      <w:r w:rsidRPr="007C5A6E">
        <w:rPr>
          <w:rFonts w:ascii="Times New Roman" w:hAnsi="Times New Roman"/>
          <w:bCs/>
          <w:sz w:val="20"/>
          <w:szCs w:val="20"/>
        </w:rPr>
        <w:t>sylvo</w:t>
      </w:r>
      <w:proofErr w:type="spellEnd"/>
      <w:r w:rsidRPr="007C5A6E">
        <w:rPr>
          <w:rFonts w:ascii="Times New Roman" w:hAnsi="Times New Roman"/>
          <w:bCs/>
          <w:sz w:val="20"/>
          <w:szCs w:val="20"/>
        </w:rPr>
        <w:t>-pastorales 2021, 573 pages ;</w:t>
      </w:r>
    </w:p>
    <w:p w14:paraId="190025B4" w14:textId="77777777" w:rsidR="00BE2D71" w:rsidRPr="007C5A6E" w:rsidRDefault="00BE2D71" w:rsidP="00BE2D71">
      <w:pPr>
        <w:spacing w:after="0" w:line="240" w:lineRule="auto"/>
        <w:jc w:val="both"/>
        <w:rPr>
          <w:rFonts w:ascii="Times New Roman" w:hAnsi="Times New Roman"/>
          <w:b/>
          <w:sz w:val="20"/>
          <w:szCs w:val="20"/>
        </w:rPr>
      </w:pPr>
    </w:p>
    <w:p w14:paraId="35B31E65"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sz w:val="20"/>
          <w:szCs w:val="20"/>
        </w:rPr>
        <w:t xml:space="preserve">MEDD, 2012 : </w:t>
      </w:r>
      <w:r w:rsidRPr="007C5A6E">
        <w:rPr>
          <w:rFonts w:ascii="Times New Roman" w:hAnsi="Times New Roman"/>
          <w:bCs/>
          <w:sz w:val="20"/>
          <w:szCs w:val="20"/>
        </w:rPr>
        <w:t xml:space="preserve">Stratégie et plan d’actions de l’initiative grande muraille verte au Burkina Faso ; </w:t>
      </w:r>
    </w:p>
    <w:p w14:paraId="33A1D56B" w14:textId="77777777" w:rsidR="00BE2D71" w:rsidRPr="007C5A6E" w:rsidRDefault="00BE2D71" w:rsidP="00BE2D71">
      <w:pPr>
        <w:spacing w:after="0" w:line="240" w:lineRule="auto"/>
        <w:jc w:val="both"/>
        <w:rPr>
          <w:rFonts w:ascii="Times New Roman" w:hAnsi="Times New Roman"/>
          <w:bCs/>
          <w:sz w:val="20"/>
          <w:szCs w:val="20"/>
        </w:rPr>
      </w:pPr>
    </w:p>
    <w:p w14:paraId="628543B5"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MEEA, 2023. Annuaire des statistiques de l’environnement 2022, 246 pages ;</w:t>
      </w:r>
    </w:p>
    <w:p w14:paraId="2D836ECA" w14:textId="77777777" w:rsidR="00BE2D71" w:rsidRPr="007C5A6E" w:rsidRDefault="00BE2D71" w:rsidP="00BE2D71">
      <w:pPr>
        <w:spacing w:after="0" w:line="240" w:lineRule="auto"/>
        <w:jc w:val="both"/>
        <w:rPr>
          <w:rFonts w:ascii="Times New Roman" w:hAnsi="Times New Roman"/>
          <w:bCs/>
          <w:sz w:val="20"/>
          <w:szCs w:val="20"/>
        </w:rPr>
      </w:pPr>
    </w:p>
    <w:p w14:paraId="263E14C6"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MEEVCC, 2020a. Monographie nationale sur la diversité biologique du Burkina Faso. Ministère de l’Environnement, de l’Economie Verte et du Changement Climatique (MEEVCC). Ouagadougou, Burkina Faso</w:t>
      </w:r>
    </w:p>
    <w:p w14:paraId="36AFBE28" w14:textId="77777777" w:rsidR="00BE2D71" w:rsidRPr="007C5A6E" w:rsidRDefault="00BE2D71" w:rsidP="00BE2D71">
      <w:pPr>
        <w:spacing w:after="0" w:line="240" w:lineRule="auto"/>
        <w:jc w:val="both"/>
        <w:rPr>
          <w:rFonts w:ascii="Times New Roman" w:hAnsi="Times New Roman"/>
          <w:bCs/>
          <w:sz w:val="20"/>
          <w:szCs w:val="20"/>
        </w:rPr>
      </w:pPr>
    </w:p>
    <w:p w14:paraId="0F1ED049" w14:textId="77777777" w:rsidR="00BE2D71" w:rsidRPr="007C5A6E" w:rsidRDefault="00BE2D71" w:rsidP="00BE2D71">
      <w:pPr>
        <w:spacing w:after="0" w:line="240" w:lineRule="auto"/>
        <w:jc w:val="both"/>
        <w:rPr>
          <w:rFonts w:ascii="Times New Roman" w:hAnsi="Times New Roman"/>
          <w:bCs/>
          <w:sz w:val="20"/>
          <w:szCs w:val="20"/>
          <w:shd w:val="clear" w:color="auto" w:fill="FFFF00"/>
        </w:rPr>
      </w:pPr>
      <w:r w:rsidRPr="007C5A6E">
        <w:rPr>
          <w:rFonts w:ascii="Times New Roman" w:hAnsi="Times New Roman"/>
          <w:bCs/>
          <w:sz w:val="20"/>
          <w:szCs w:val="20"/>
        </w:rPr>
        <w:t xml:space="preserve">MEEVCC, 2020b. Niveau d’Émissions de Référence pour les Forêts du Burkina Faso. 85 </w:t>
      </w:r>
      <w:proofErr w:type="gramStart"/>
      <w:r w:rsidRPr="007C5A6E">
        <w:rPr>
          <w:rFonts w:ascii="Times New Roman" w:hAnsi="Times New Roman"/>
          <w:bCs/>
          <w:sz w:val="20"/>
          <w:szCs w:val="20"/>
        </w:rPr>
        <w:t>pages;</w:t>
      </w:r>
      <w:proofErr w:type="gramEnd"/>
    </w:p>
    <w:p w14:paraId="2C294C80" w14:textId="77777777" w:rsidR="00BE2D71" w:rsidRPr="007C5A6E" w:rsidRDefault="00BE2D71" w:rsidP="00BE2D71">
      <w:pPr>
        <w:spacing w:after="0" w:line="240" w:lineRule="auto"/>
        <w:jc w:val="both"/>
        <w:rPr>
          <w:rFonts w:ascii="Times New Roman" w:hAnsi="Times New Roman"/>
          <w:bCs/>
          <w:sz w:val="20"/>
          <w:szCs w:val="20"/>
        </w:rPr>
      </w:pPr>
    </w:p>
    <w:p w14:paraId="47688505" w14:textId="77777777" w:rsidR="00BE2D71" w:rsidRPr="007C5A6E" w:rsidRDefault="00BE2D71" w:rsidP="00BE2D71">
      <w:pPr>
        <w:spacing w:after="0" w:line="240" w:lineRule="auto"/>
        <w:jc w:val="both"/>
        <w:rPr>
          <w:rFonts w:ascii="Times New Roman" w:hAnsi="Times New Roman"/>
          <w:bCs/>
          <w:sz w:val="20"/>
          <w:szCs w:val="20"/>
          <w:lang w:val="de-DE"/>
        </w:rPr>
      </w:pPr>
      <w:r w:rsidRPr="007C5A6E">
        <w:rPr>
          <w:rFonts w:ascii="Times New Roman" w:hAnsi="Times New Roman"/>
          <w:bCs/>
          <w:sz w:val="20"/>
          <w:szCs w:val="20"/>
        </w:rPr>
        <w:t>NACOULMA B.M.I., SCHMIDT M., HAHN K., THIOMBIANO A. (2018). Liste des plantes vasculaires du Parc national du W au Burkina Faso, y compris les zones de chasse adjacentes de Tapoa-</w:t>
      </w:r>
      <w:proofErr w:type="spellStart"/>
      <w:r w:rsidRPr="007C5A6E">
        <w:rPr>
          <w:rFonts w:ascii="Times New Roman" w:hAnsi="Times New Roman"/>
          <w:bCs/>
          <w:sz w:val="20"/>
          <w:szCs w:val="20"/>
        </w:rPr>
        <w:t>Djerma</w:t>
      </w:r>
      <w:proofErr w:type="spellEnd"/>
      <w:r w:rsidRPr="007C5A6E">
        <w:rPr>
          <w:rFonts w:ascii="Times New Roman" w:hAnsi="Times New Roman"/>
          <w:bCs/>
          <w:sz w:val="20"/>
          <w:szCs w:val="20"/>
        </w:rPr>
        <w:t xml:space="preserve"> et </w:t>
      </w:r>
      <w:proofErr w:type="spellStart"/>
      <w:r w:rsidRPr="007C5A6E">
        <w:rPr>
          <w:rFonts w:ascii="Times New Roman" w:hAnsi="Times New Roman"/>
          <w:bCs/>
          <w:sz w:val="20"/>
          <w:szCs w:val="20"/>
        </w:rPr>
        <w:t>Kondio</w:t>
      </w:r>
      <w:proofErr w:type="spellEnd"/>
      <w:r w:rsidRPr="007C5A6E">
        <w:rPr>
          <w:rFonts w:ascii="Times New Roman" w:hAnsi="Times New Roman"/>
          <w:bCs/>
          <w:sz w:val="20"/>
          <w:szCs w:val="20"/>
        </w:rPr>
        <w:t xml:space="preserve"> </w:t>
      </w:r>
      <w:proofErr w:type="spellStart"/>
      <w:r w:rsidRPr="007C5A6E">
        <w:rPr>
          <w:rFonts w:ascii="Times New Roman" w:hAnsi="Times New Roman"/>
          <w:bCs/>
          <w:sz w:val="20"/>
          <w:szCs w:val="20"/>
        </w:rPr>
        <w:t>Biodivers</w:t>
      </w:r>
      <w:proofErr w:type="spellEnd"/>
      <w:r w:rsidRPr="007C5A6E">
        <w:rPr>
          <w:rFonts w:ascii="Times New Roman" w:hAnsi="Times New Roman"/>
          <w:bCs/>
          <w:sz w:val="20"/>
          <w:szCs w:val="20"/>
        </w:rPr>
        <w:t xml:space="preserve">. </w:t>
      </w:r>
      <w:r w:rsidRPr="007C5A6E">
        <w:rPr>
          <w:rFonts w:ascii="Times New Roman" w:hAnsi="Times New Roman"/>
          <w:bCs/>
          <w:sz w:val="20"/>
          <w:szCs w:val="20"/>
          <w:lang w:val="de-DE"/>
        </w:rPr>
        <w:t xml:space="preserve">Data J., </w:t>
      </w:r>
      <w:proofErr w:type="gramStart"/>
      <w:r w:rsidRPr="007C5A6E">
        <w:rPr>
          <w:rFonts w:ascii="Times New Roman" w:hAnsi="Times New Roman"/>
          <w:bCs/>
          <w:sz w:val="20"/>
          <w:szCs w:val="20"/>
          <w:lang w:val="de-DE"/>
        </w:rPr>
        <w:t>8  10.3897</w:t>
      </w:r>
      <w:proofErr w:type="gramEnd"/>
      <w:r w:rsidRPr="007C5A6E">
        <w:rPr>
          <w:rFonts w:ascii="Times New Roman" w:hAnsi="Times New Roman"/>
          <w:bCs/>
          <w:sz w:val="20"/>
          <w:szCs w:val="20"/>
          <w:lang w:val="de-DE"/>
        </w:rPr>
        <w:t>/BDJ.8.e54205.</w:t>
      </w:r>
    </w:p>
    <w:p w14:paraId="0FC3E557" w14:textId="77777777" w:rsidR="00BE2D71" w:rsidRPr="007C5A6E" w:rsidRDefault="00BE2D71" w:rsidP="00BE2D71">
      <w:pPr>
        <w:spacing w:after="0" w:line="240" w:lineRule="auto"/>
        <w:jc w:val="both"/>
        <w:rPr>
          <w:rFonts w:ascii="Times New Roman" w:hAnsi="Times New Roman"/>
          <w:bCs/>
          <w:sz w:val="20"/>
          <w:szCs w:val="20"/>
          <w:lang w:val="de-DE"/>
        </w:rPr>
      </w:pPr>
    </w:p>
    <w:p w14:paraId="6941E9E2" w14:textId="77777777" w:rsidR="00BE2D71" w:rsidRPr="007C5A6E" w:rsidRDefault="00BE2D71" w:rsidP="00BE2D71">
      <w:pPr>
        <w:spacing w:after="0" w:line="240" w:lineRule="auto"/>
        <w:jc w:val="both"/>
        <w:rPr>
          <w:rFonts w:ascii="Times New Roman" w:hAnsi="Times New Roman"/>
          <w:bCs/>
          <w:sz w:val="20"/>
          <w:szCs w:val="20"/>
          <w:lang w:val="en-US"/>
        </w:rPr>
      </w:pPr>
      <w:r w:rsidRPr="007C5A6E">
        <w:rPr>
          <w:rFonts w:ascii="Times New Roman" w:hAnsi="Times New Roman"/>
          <w:bCs/>
          <w:sz w:val="20"/>
          <w:szCs w:val="20"/>
          <w:lang w:val="de-DE"/>
        </w:rPr>
        <w:t xml:space="preserve">NIKIEMA W. O., KAFANDO F., YANOGO P. I., 2023.  </w:t>
      </w:r>
      <w:r w:rsidRPr="007C5A6E">
        <w:rPr>
          <w:rFonts w:ascii="Times New Roman" w:hAnsi="Times New Roman"/>
          <w:bCs/>
          <w:sz w:val="20"/>
          <w:szCs w:val="20"/>
          <w:lang w:val="en-US"/>
        </w:rPr>
        <w:t xml:space="preserve">The challenges of local development in a context of climate change and security crisis in the rural commune of Bani, </w:t>
      </w:r>
      <w:proofErr w:type="spellStart"/>
      <w:r w:rsidRPr="007C5A6E">
        <w:rPr>
          <w:rFonts w:ascii="Times New Roman" w:hAnsi="Times New Roman"/>
          <w:bCs/>
          <w:sz w:val="20"/>
          <w:szCs w:val="20"/>
          <w:lang w:val="en-US"/>
        </w:rPr>
        <w:t>sahel</w:t>
      </w:r>
      <w:proofErr w:type="spellEnd"/>
      <w:r w:rsidRPr="007C5A6E">
        <w:rPr>
          <w:rFonts w:ascii="Times New Roman" w:hAnsi="Times New Roman"/>
          <w:bCs/>
          <w:sz w:val="20"/>
          <w:szCs w:val="20"/>
          <w:lang w:val="en-US"/>
        </w:rPr>
        <w:t xml:space="preserve"> region (Burkina Faso</w:t>
      </w:r>
      <w:proofErr w:type="gramStart"/>
      <w:r w:rsidRPr="007C5A6E">
        <w:rPr>
          <w:rFonts w:ascii="Times New Roman" w:hAnsi="Times New Roman"/>
          <w:bCs/>
          <w:sz w:val="20"/>
          <w:szCs w:val="20"/>
          <w:lang w:val="en-US"/>
        </w:rPr>
        <w:t>) ;</w:t>
      </w:r>
      <w:proofErr w:type="gramEnd"/>
      <w:r w:rsidRPr="007C5A6E">
        <w:rPr>
          <w:rFonts w:ascii="Times New Roman" w:hAnsi="Times New Roman"/>
          <w:bCs/>
          <w:sz w:val="20"/>
          <w:szCs w:val="20"/>
          <w:lang w:val="en-US"/>
        </w:rPr>
        <w:t xml:space="preserve"> COLLECTION PLURAXES/MONDE (</w:t>
      </w:r>
      <w:hyperlink r:id="rId282" w:history="1">
        <w:r w:rsidRPr="007C5A6E">
          <w:rPr>
            <w:rFonts w:ascii="Times New Roman" w:hAnsi="Times New Roman"/>
            <w:bCs/>
            <w:color w:val="0000FF"/>
            <w:sz w:val="20"/>
            <w:szCs w:val="20"/>
            <w:u w:val="single"/>
            <w:lang w:val="en-US"/>
          </w:rPr>
          <w:t>https://www.researchgate.net/publication/375801044</w:t>
        </w:r>
      </w:hyperlink>
      <w:r w:rsidRPr="007C5A6E">
        <w:rPr>
          <w:rFonts w:ascii="Times New Roman" w:hAnsi="Times New Roman"/>
          <w:bCs/>
          <w:sz w:val="20"/>
          <w:szCs w:val="20"/>
          <w:lang w:val="en-US"/>
        </w:rPr>
        <w:t>)</w:t>
      </w:r>
    </w:p>
    <w:p w14:paraId="20B6748C" w14:textId="77777777" w:rsidR="00BE2D71" w:rsidRPr="007C5A6E" w:rsidRDefault="00BE2D71" w:rsidP="00BE2D71">
      <w:pPr>
        <w:spacing w:after="0" w:line="240" w:lineRule="auto"/>
        <w:jc w:val="both"/>
        <w:rPr>
          <w:rFonts w:ascii="Times New Roman" w:hAnsi="Times New Roman"/>
          <w:bCs/>
          <w:sz w:val="20"/>
          <w:szCs w:val="20"/>
          <w:lang w:val="en-US"/>
        </w:rPr>
      </w:pPr>
    </w:p>
    <w:p w14:paraId="12A1D27D"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OCHA, 2023. Burkina Faso, Aperçu des personnes déplacées internes au 31 mars 2023, 2 pages </w:t>
      </w:r>
      <w:hyperlink r:id="rId283" w:history="1">
        <w:r w:rsidRPr="007C5A6E">
          <w:rPr>
            <w:rFonts w:ascii="Times New Roman" w:hAnsi="Times New Roman"/>
            <w:bCs/>
            <w:color w:val="0000FF"/>
            <w:sz w:val="20"/>
            <w:szCs w:val="20"/>
            <w:u w:val="single"/>
          </w:rPr>
          <w:t>(unocha.org)</w:t>
        </w:r>
      </w:hyperlink>
      <w:r w:rsidRPr="007C5A6E">
        <w:rPr>
          <w:rFonts w:ascii="Times New Roman" w:hAnsi="Times New Roman"/>
          <w:bCs/>
          <w:sz w:val="20"/>
          <w:szCs w:val="20"/>
        </w:rPr>
        <w:t>;</w:t>
      </w:r>
    </w:p>
    <w:p w14:paraId="6514BEA7" w14:textId="77777777" w:rsidR="00BE2D71" w:rsidRPr="007C5A6E" w:rsidRDefault="00BE2D71" w:rsidP="00BE2D71">
      <w:pPr>
        <w:spacing w:after="0" w:line="240" w:lineRule="auto"/>
        <w:jc w:val="both"/>
        <w:rPr>
          <w:rFonts w:ascii="Times New Roman" w:hAnsi="Times New Roman"/>
          <w:bCs/>
          <w:sz w:val="20"/>
          <w:szCs w:val="20"/>
        </w:rPr>
      </w:pPr>
    </w:p>
    <w:p w14:paraId="67E3042D"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OMS-Burkina Faso, 2022. Réponse sanitaire à la crise humanitaire au Burkina Faso, Rapport de situation N° 20. 5 pages ;</w:t>
      </w:r>
    </w:p>
    <w:p w14:paraId="0B2427B0" w14:textId="77777777" w:rsidR="00BE2D71" w:rsidRPr="007C5A6E" w:rsidRDefault="00BE2D71" w:rsidP="00BE2D71">
      <w:pPr>
        <w:spacing w:after="0" w:line="240" w:lineRule="auto"/>
        <w:jc w:val="both"/>
        <w:rPr>
          <w:rFonts w:ascii="Times New Roman" w:hAnsi="Times New Roman"/>
          <w:bCs/>
          <w:sz w:val="20"/>
          <w:szCs w:val="20"/>
        </w:rPr>
      </w:pPr>
    </w:p>
    <w:p w14:paraId="05134FA7"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OUEDA A., DIBLONI O. T., OUDRAOGO R. (2021) Evaluation nationale des menaces sur la biodiversité au Burkina Faso : Hiérarchisation des principales menaces impactant la biodiversité.</w:t>
      </w:r>
    </w:p>
    <w:p w14:paraId="50E35C6F" w14:textId="77777777" w:rsidR="00BE2D71" w:rsidRPr="007C5A6E" w:rsidRDefault="00BE2D71" w:rsidP="00BE2D71">
      <w:pPr>
        <w:spacing w:after="0" w:line="240" w:lineRule="auto"/>
        <w:jc w:val="both"/>
        <w:rPr>
          <w:rFonts w:ascii="Times New Roman" w:hAnsi="Times New Roman"/>
          <w:sz w:val="20"/>
          <w:szCs w:val="20"/>
        </w:rPr>
      </w:pPr>
    </w:p>
    <w:p w14:paraId="3D5DF2F4" w14:textId="77777777" w:rsidR="00BE2D71" w:rsidRPr="007C5A6E" w:rsidRDefault="00BE2D71" w:rsidP="00BE2D71">
      <w:pPr>
        <w:spacing w:after="0" w:line="240" w:lineRule="auto"/>
        <w:jc w:val="both"/>
        <w:rPr>
          <w:rFonts w:ascii="Times New Roman" w:hAnsi="Times New Roman"/>
          <w:sz w:val="20"/>
          <w:szCs w:val="20"/>
        </w:rPr>
      </w:pPr>
      <w:r w:rsidRPr="007C5A6E">
        <w:rPr>
          <w:rFonts w:ascii="Times New Roman" w:hAnsi="Times New Roman"/>
          <w:sz w:val="20"/>
          <w:szCs w:val="20"/>
        </w:rPr>
        <w:t xml:space="preserve">Ouédraogo B. ; Ouedraogo L., Kaboré O. (2015). Fragmentation de l’espace et conflits d’usage au sahel : cas du bassin versant de </w:t>
      </w:r>
      <w:proofErr w:type="spellStart"/>
      <w:r w:rsidRPr="007C5A6E">
        <w:rPr>
          <w:rFonts w:ascii="Times New Roman" w:hAnsi="Times New Roman"/>
          <w:sz w:val="20"/>
          <w:szCs w:val="20"/>
        </w:rPr>
        <w:t>Yakouta</w:t>
      </w:r>
      <w:proofErr w:type="spellEnd"/>
      <w:r w:rsidRPr="007C5A6E">
        <w:rPr>
          <w:rFonts w:ascii="Times New Roman" w:hAnsi="Times New Roman"/>
          <w:sz w:val="20"/>
          <w:szCs w:val="20"/>
        </w:rPr>
        <w:t xml:space="preserve"> (Burkina Faso) ; Int. J. Biol. </w:t>
      </w:r>
      <w:proofErr w:type="spellStart"/>
      <w:r w:rsidRPr="007C5A6E">
        <w:rPr>
          <w:rFonts w:ascii="Times New Roman" w:hAnsi="Times New Roman"/>
          <w:sz w:val="20"/>
          <w:szCs w:val="20"/>
        </w:rPr>
        <w:t>Chem</w:t>
      </w:r>
      <w:proofErr w:type="spellEnd"/>
      <w:r w:rsidRPr="007C5A6E">
        <w:rPr>
          <w:rFonts w:ascii="Times New Roman" w:hAnsi="Times New Roman"/>
          <w:sz w:val="20"/>
          <w:szCs w:val="20"/>
        </w:rPr>
        <w:t xml:space="preserve">. </w:t>
      </w:r>
      <w:proofErr w:type="spellStart"/>
      <w:r w:rsidRPr="007C5A6E">
        <w:rPr>
          <w:rFonts w:ascii="Times New Roman" w:hAnsi="Times New Roman"/>
          <w:sz w:val="20"/>
          <w:szCs w:val="20"/>
        </w:rPr>
        <w:t>Sci</w:t>
      </w:r>
      <w:proofErr w:type="spellEnd"/>
      <w:r w:rsidRPr="007C5A6E">
        <w:rPr>
          <w:rFonts w:ascii="Times New Roman" w:hAnsi="Times New Roman"/>
          <w:sz w:val="20"/>
          <w:szCs w:val="20"/>
        </w:rPr>
        <w:t>. 9(6</w:t>
      </w:r>
      <w:proofErr w:type="gramStart"/>
      <w:r w:rsidRPr="007C5A6E">
        <w:rPr>
          <w:rFonts w:ascii="Times New Roman" w:hAnsi="Times New Roman"/>
          <w:sz w:val="20"/>
          <w:szCs w:val="20"/>
        </w:rPr>
        <w:t>):</w:t>
      </w:r>
      <w:proofErr w:type="gramEnd"/>
      <w:r w:rsidRPr="007C5A6E">
        <w:rPr>
          <w:rFonts w:ascii="Times New Roman" w:hAnsi="Times New Roman"/>
          <w:sz w:val="20"/>
          <w:szCs w:val="20"/>
        </w:rPr>
        <w:t xml:space="preserve"> 2727-2739;</w:t>
      </w:r>
    </w:p>
    <w:p w14:paraId="583E524E" w14:textId="77777777" w:rsidR="00BE2D71" w:rsidRPr="007C5A6E" w:rsidRDefault="00BE2D71" w:rsidP="00BE2D71">
      <w:pPr>
        <w:spacing w:after="0" w:line="240" w:lineRule="auto"/>
        <w:jc w:val="both"/>
        <w:rPr>
          <w:rFonts w:ascii="Times New Roman" w:hAnsi="Times New Roman"/>
          <w:sz w:val="20"/>
          <w:szCs w:val="20"/>
        </w:rPr>
      </w:pPr>
    </w:p>
    <w:p w14:paraId="69E8681B" w14:textId="77777777" w:rsidR="00BE2D71" w:rsidRPr="007C5A6E" w:rsidRDefault="00BE2D71" w:rsidP="00BE2D71">
      <w:pPr>
        <w:spacing w:after="0" w:line="240" w:lineRule="auto"/>
        <w:jc w:val="both"/>
        <w:rPr>
          <w:rFonts w:ascii="Times New Roman" w:hAnsi="Times New Roman"/>
          <w:sz w:val="20"/>
          <w:szCs w:val="20"/>
          <w:lang w:val="en-US"/>
        </w:rPr>
      </w:pPr>
      <w:r w:rsidRPr="007C5A6E">
        <w:rPr>
          <w:rFonts w:ascii="Times New Roman" w:hAnsi="Times New Roman"/>
          <w:sz w:val="20"/>
          <w:szCs w:val="20"/>
        </w:rPr>
        <w:t xml:space="preserve">Ouedraogo, I., 2020. Les crocodiles du Burkina Faso : Diversité, abondance, distribution et relations Homme – crocodile. </w:t>
      </w:r>
      <w:r w:rsidRPr="007C5A6E">
        <w:rPr>
          <w:rFonts w:ascii="Times New Roman" w:hAnsi="Times New Roman"/>
          <w:sz w:val="20"/>
          <w:szCs w:val="20"/>
          <w:lang w:val="en-US"/>
        </w:rPr>
        <w:t xml:space="preserve">These de </w:t>
      </w:r>
      <w:proofErr w:type="spellStart"/>
      <w:r w:rsidRPr="007C5A6E">
        <w:rPr>
          <w:rFonts w:ascii="Times New Roman" w:hAnsi="Times New Roman"/>
          <w:sz w:val="20"/>
          <w:szCs w:val="20"/>
          <w:lang w:val="en-US"/>
        </w:rPr>
        <w:t>doctorat</w:t>
      </w:r>
      <w:proofErr w:type="spellEnd"/>
      <w:r w:rsidRPr="007C5A6E">
        <w:rPr>
          <w:rFonts w:ascii="Times New Roman" w:hAnsi="Times New Roman"/>
          <w:sz w:val="20"/>
          <w:szCs w:val="20"/>
          <w:lang w:val="en-US"/>
        </w:rPr>
        <w:t xml:space="preserve"> unique, Université Joseph Ki-Zerbo.</w:t>
      </w:r>
    </w:p>
    <w:p w14:paraId="13EEB19F" w14:textId="77777777" w:rsidR="00BE2D71" w:rsidRPr="007C5A6E" w:rsidRDefault="00BE2D71" w:rsidP="00BE2D71">
      <w:pPr>
        <w:spacing w:after="0" w:line="240" w:lineRule="auto"/>
        <w:jc w:val="both"/>
        <w:rPr>
          <w:rFonts w:ascii="Times New Roman" w:hAnsi="Times New Roman"/>
          <w:bCs/>
          <w:sz w:val="20"/>
          <w:szCs w:val="20"/>
          <w:lang w:val="en-US"/>
        </w:rPr>
      </w:pPr>
    </w:p>
    <w:p w14:paraId="4720E41F"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lang w:val="en-US"/>
        </w:rPr>
        <w:t xml:space="preserve">Schmidt M (2018) New species records for the flora of Burkina Faso. </w:t>
      </w:r>
      <w:r w:rsidRPr="007C5A6E">
        <w:rPr>
          <w:rFonts w:ascii="Times New Roman" w:hAnsi="Times New Roman"/>
          <w:bCs/>
          <w:sz w:val="20"/>
          <w:szCs w:val="20"/>
        </w:rPr>
        <w:t xml:space="preserve">Flora et </w:t>
      </w:r>
      <w:proofErr w:type="spellStart"/>
      <w:r w:rsidRPr="007C5A6E">
        <w:rPr>
          <w:rFonts w:ascii="Times New Roman" w:hAnsi="Times New Roman"/>
          <w:bCs/>
          <w:sz w:val="20"/>
          <w:szCs w:val="20"/>
        </w:rPr>
        <w:t>Vegetatio</w:t>
      </w:r>
      <w:proofErr w:type="spellEnd"/>
      <w:r w:rsidRPr="007C5A6E">
        <w:rPr>
          <w:rFonts w:ascii="Times New Roman" w:hAnsi="Times New Roman"/>
          <w:bCs/>
          <w:sz w:val="20"/>
          <w:szCs w:val="20"/>
        </w:rPr>
        <w:t xml:space="preserve"> </w:t>
      </w:r>
      <w:proofErr w:type="spellStart"/>
      <w:r w:rsidRPr="007C5A6E">
        <w:rPr>
          <w:rFonts w:ascii="Times New Roman" w:hAnsi="Times New Roman"/>
          <w:bCs/>
          <w:sz w:val="20"/>
          <w:szCs w:val="20"/>
        </w:rPr>
        <w:t>Sudano-Sambesica</w:t>
      </w:r>
      <w:proofErr w:type="spellEnd"/>
      <w:r w:rsidRPr="007C5A6E">
        <w:rPr>
          <w:rFonts w:ascii="Times New Roman" w:hAnsi="Times New Roman"/>
          <w:bCs/>
          <w:sz w:val="20"/>
          <w:szCs w:val="20"/>
        </w:rPr>
        <w:t xml:space="preserve"> </w:t>
      </w:r>
      <w:proofErr w:type="gramStart"/>
      <w:r w:rsidRPr="007C5A6E">
        <w:rPr>
          <w:rFonts w:ascii="Times New Roman" w:hAnsi="Times New Roman"/>
          <w:bCs/>
          <w:sz w:val="20"/>
          <w:szCs w:val="20"/>
        </w:rPr>
        <w:t>21:</w:t>
      </w:r>
      <w:proofErr w:type="gramEnd"/>
      <w:r w:rsidRPr="007C5A6E">
        <w:rPr>
          <w:rFonts w:ascii="Times New Roman" w:hAnsi="Times New Roman"/>
          <w:bCs/>
          <w:sz w:val="20"/>
          <w:szCs w:val="20"/>
        </w:rPr>
        <w:t xml:space="preserve"> 3</w:t>
      </w:r>
      <w:r w:rsidRPr="007C5A6E">
        <w:rPr>
          <w:rFonts w:ascii="Times New Roman" w:hAnsi="Times New Roman"/>
          <w:bCs/>
          <w:sz w:val="20"/>
          <w:szCs w:val="20"/>
        </w:rPr>
        <w:noBreakHyphen/>
        <w:t>6. https://doi.org/10.21248/fvss.21.55</w:t>
      </w:r>
    </w:p>
    <w:p w14:paraId="53DC5E6A" w14:textId="77777777" w:rsidR="00BE2D71" w:rsidRPr="007C5A6E" w:rsidRDefault="00BE2D71" w:rsidP="00BE2D71">
      <w:pPr>
        <w:spacing w:after="0" w:line="240" w:lineRule="auto"/>
        <w:jc w:val="both"/>
        <w:rPr>
          <w:rFonts w:ascii="Times New Roman" w:hAnsi="Times New Roman"/>
          <w:bCs/>
          <w:sz w:val="20"/>
          <w:szCs w:val="20"/>
        </w:rPr>
      </w:pPr>
    </w:p>
    <w:p w14:paraId="481EEA97"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 xml:space="preserve">SILGA R. P. (2021). </w:t>
      </w:r>
      <w:r w:rsidRPr="007C5A6E">
        <w:rPr>
          <w:rFonts w:ascii="Times New Roman" w:hAnsi="Times New Roman"/>
          <w:bCs/>
          <w:sz w:val="20"/>
          <w:szCs w:val="20"/>
          <w:lang w:val="fr-BF"/>
        </w:rPr>
        <w:t>Effets des pressions anthropiques et climatiques et perceptions locales sur la distribution des poissons au Burkina Faso </w:t>
      </w:r>
      <w:r w:rsidRPr="007C5A6E">
        <w:rPr>
          <w:rFonts w:ascii="Times New Roman" w:hAnsi="Times New Roman"/>
          <w:bCs/>
          <w:sz w:val="20"/>
          <w:szCs w:val="20"/>
        </w:rPr>
        <w:t>; Université Joseph KI-ZERBO, Mémoire de thèse de doctorat unique ; 211P.</w:t>
      </w:r>
    </w:p>
    <w:p w14:paraId="651A73C7" w14:textId="77777777" w:rsidR="00BE2D71" w:rsidRPr="007C5A6E" w:rsidRDefault="00BE2D71" w:rsidP="00BE2D71">
      <w:pPr>
        <w:spacing w:after="0" w:line="240" w:lineRule="auto"/>
        <w:jc w:val="both"/>
        <w:rPr>
          <w:rFonts w:ascii="Times New Roman" w:hAnsi="Times New Roman"/>
          <w:sz w:val="20"/>
          <w:szCs w:val="20"/>
        </w:rPr>
      </w:pPr>
    </w:p>
    <w:p w14:paraId="42D879BA"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 xml:space="preserve">SP/REDD+ BF, 2019. Les facteurs de déforestation et de dégradation des forêts au Burkina Faso, volume </w:t>
      </w:r>
      <w:proofErr w:type="gramStart"/>
      <w:r w:rsidRPr="007C5A6E">
        <w:rPr>
          <w:rFonts w:ascii="Times New Roman" w:hAnsi="Times New Roman"/>
          <w:bCs/>
          <w:sz w:val="20"/>
          <w:szCs w:val="20"/>
        </w:rPr>
        <w:t>1:</w:t>
      </w:r>
      <w:proofErr w:type="gramEnd"/>
      <w:r w:rsidRPr="007C5A6E">
        <w:rPr>
          <w:rFonts w:ascii="Times New Roman" w:hAnsi="Times New Roman"/>
          <w:bCs/>
          <w:sz w:val="20"/>
          <w:szCs w:val="20"/>
        </w:rPr>
        <w:t xml:space="preserve"> tendances actuelles, 177 pages ;</w:t>
      </w:r>
    </w:p>
    <w:p w14:paraId="05C2A5A6" w14:textId="77777777" w:rsidR="00BE2D71" w:rsidRPr="007C5A6E" w:rsidRDefault="00BE2D71" w:rsidP="00BE2D71">
      <w:pPr>
        <w:spacing w:after="0" w:line="240" w:lineRule="auto"/>
        <w:jc w:val="both"/>
        <w:rPr>
          <w:rFonts w:ascii="Times New Roman" w:hAnsi="Times New Roman"/>
          <w:bCs/>
          <w:sz w:val="20"/>
          <w:szCs w:val="20"/>
        </w:rPr>
      </w:pPr>
    </w:p>
    <w:p w14:paraId="175972F3" w14:textId="77777777" w:rsidR="00BE2D71" w:rsidRPr="007C5A6E" w:rsidRDefault="00BE2D71" w:rsidP="00BE2D71">
      <w:pPr>
        <w:spacing w:after="0" w:line="240" w:lineRule="auto"/>
        <w:jc w:val="both"/>
        <w:rPr>
          <w:rFonts w:ascii="Times New Roman" w:hAnsi="Times New Roman"/>
          <w:bCs/>
          <w:iCs/>
          <w:sz w:val="20"/>
          <w:szCs w:val="20"/>
          <w:lang w:val="fr-SN"/>
        </w:rPr>
      </w:pPr>
      <w:r w:rsidRPr="007C5A6E">
        <w:rPr>
          <w:rFonts w:ascii="Times New Roman" w:hAnsi="Times New Roman"/>
          <w:bCs/>
          <w:sz w:val="20"/>
          <w:szCs w:val="20"/>
        </w:rPr>
        <w:t xml:space="preserve">SP/REDD+ BF, 2023. </w:t>
      </w:r>
      <w:r w:rsidRPr="007C5A6E">
        <w:rPr>
          <w:rFonts w:ascii="Times New Roman" w:hAnsi="Times New Roman"/>
          <w:bCs/>
          <w:iCs/>
          <w:sz w:val="20"/>
          <w:szCs w:val="20"/>
          <w:lang w:val="fr-SN"/>
        </w:rPr>
        <w:t xml:space="preserve">Utilisation de l’outil </w:t>
      </w:r>
      <w:proofErr w:type="spellStart"/>
      <w:r w:rsidRPr="007C5A6E">
        <w:rPr>
          <w:rFonts w:ascii="Times New Roman" w:hAnsi="Times New Roman"/>
          <w:bCs/>
          <w:iCs/>
          <w:sz w:val="20"/>
          <w:szCs w:val="20"/>
          <w:lang w:val="fr-SN"/>
        </w:rPr>
        <w:t>collect</w:t>
      </w:r>
      <w:proofErr w:type="spellEnd"/>
      <w:r w:rsidRPr="007C5A6E">
        <w:rPr>
          <w:rFonts w:ascii="Times New Roman" w:hAnsi="Times New Roman"/>
          <w:bCs/>
          <w:iCs/>
          <w:sz w:val="20"/>
          <w:szCs w:val="20"/>
          <w:lang w:val="fr-SN"/>
        </w:rPr>
        <w:t xml:space="preserve"> </w:t>
      </w:r>
      <w:proofErr w:type="spellStart"/>
      <w:r w:rsidRPr="007C5A6E">
        <w:rPr>
          <w:rFonts w:ascii="Times New Roman" w:hAnsi="Times New Roman"/>
          <w:bCs/>
          <w:iCs/>
          <w:sz w:val="20"/>
          <w:szCs w:val="20"/>
          <w:lang w:val="fr-SN"/>
        </w:rPr>
        <w:t>earth</w:t>
      </w:r>
      <w:proofErr w:type="spellEnd"/>
      <w:r w:rsidRPr="007C5A6E">
        <w:rPr>
          <w:rFonts w:ascii="Times New Roman" w:hAnsi="Times New Roman"/>
          <w:bCs/>
          <w:iCs/>
          <w:sz w:val="20"/>
          <w:szCs w:val="20"/>
          <w:lang w:val="fr-SN"/>
        </w:rPr>
        <w:t xml:space="preserve"> pour la production des statistiques de l’occupation /l’utilisation des terres au Burkina Faso, Rapport d’étude, Rapport provisoire, 44 pages ;</w:t>
      </w:r>
    </w:p>
    <w:p w14:paraId="5D9B9D1B" w14:textId="77777777" w:rsidR="00BE2D71" w:rsidRPr="007C5A6E" w:rsidRDefault="00BE2D71" w:rsidP="00BE2D71">
      <w:pPr>
        <w:spacing w:after="0" w:line="240" w:lineRule="auto"/>
        <w:jc w:val="both"/>
        <w:rPr>
          <w:rFonts w:ascii="Times New Roman" w:hAnsi="Times New Roman"/>
          <w:sz w:val="20"/>
          <w:szCs w:val="20"/>
        </w:rPr>
      </w:pPr>
    </w:p>
    <w:p w14:paraId="35E703EE"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sz w:val="20"/>
          <w:szCs w:val="20"/>
        </w:rPr>
        <w:t>SP-CNDD</w:t>
      </w:r>
      <w:r w:rsidRPr="007C5A6E">
        <w:rPr>
          <w:rFonts w:ascii="Times New Roman" w:hAnsi="Times New Roman"/>
          <w:bCs/>
          <w:sz w:val="20"/>
          <w:szCs w:val="20"/>
        </w:rPr>
        <w:t>, 2024. Stratégie et plan d’actions nationaux sur la diversité biologique 2025-2029, Version provisoire, 72 pages ;</w:t>
      </w:r>
    </w:p>
    <w:p w14:paraId="7A8E833F" w14:textId="77777777" w:rsidR="00BE2D71" w:rsidRPr="007C5A6E" w:rsidRDefault="00BE2D71" w:rsidP="00BE2D71">
      <w:pPr>
        <w:spacing w:after="0" w:line="240" w:lineRule="auto"/>
        <w:jc w:val="both"/>
        <w:rPr>
          <w:rFonts w:ascii="Times New Roman" w:hAnsi="Times New Roman"/>
          <w:bCs/>
          <w:sz w:val="20"/>
          <w:szCs w:val="20"/>
        </w:rPr>
      </w:pPr>
    </w:p>
    <w:p w14:paraId="484DF428" w14:textId="77777777" w:rsidR="00BE2D71" w:rsidRPr="007C5A6E" w:rsidRDefault="00BE2D71" w:rsidP="00BE2D71">
      <w:pPr>
        <w:spacing w:after="0" w:line="240" w:lineRule="auto"/>
        <w:jc w:val="both"/>
        <w:rPr>
          <w:rFonts w:ascii="Times New Roman" w:hAnsi="Times New Roman"/>
          <w:bCs/>
          <w:sz w:val="20"/>
          <w:szCs w:val="20"/>
          <w:lang w:val="en-US"/>
        </w:rPr>
      </w:pPr>
      <w:r w:rsidRPr="007C5A6E">
        <w:rPr>
          <w:rFonts w:ascii="Times New Roman" w:hAnsi="Times New Roman"/>
          <w:bCs/>
          <w:sz w:val="20"/>
          <w:szCs w:val="20"/>
        </w:rPr>
        <w:t xml:space="preserve">TAONDA A., ZERBO I., N’GUESSAN A. E., TRAORE I.C.E., N.’DJA KASSI J., THIOMBIANO A., 2024. </w:t>
      </w:r>
      <w:r w:rsidRPr="007C5A6E">
        <w:rPr>
          <w:rFonts w:ascii="Times New Roman" w:hAnsi="Times New Roman"/>
          <w:bCs/>
          <w:sz w:val="20"/>
          <w:szCs w:val="20"/>
          <w:lang w:val="en-US"/>
        </w:rPr>
        <w:t xml:space="preserve">Effects of land use and climate on the diversity and population structure in natural stands of </w:t>
      </w:r>
      <w:proofErr w:type="spellStart"/>
      <w:r w:rsidRPr="007C5A6E">
        <w:rPr>
          <w:rFonts w:ascii="Times New Roman" w:hAnsi="Times New Roman"/>
          <w:bCs/>
          <w:sz w:val="20"/>
          <w:szCs w:val="20"/>
          <w:lang w:val="en-US"/>
        </w:rPr>
        <w:t>Detarium</w:t>
      </w:r>
      <w:proofErr w:type="spellEnd"/>
      <w:r w:rsidRPr="007C5A6E">
        <w:rPr>
          <w:rFonts w:ascii="Times New Roman" w:hAnsi="Times New Roman"/>
          <w:bCs/>
          <w:sz w:val="20"/>
          <w:szCs w:val="20"/>
          <w:lang w:val="en-US"/>
        </w:rPr>
        <w:t xml:space="preserve"> </w:t>
      </w:r>
      <w:proofErr w:type="spellStart"/>
      <w:r w:rsidRPr="007C5A6E">
        <w:rPr>
          <w:rFonts w:ascii="Times New Roman" w:hAnsi="Times New Roman"/>
          <w:bCs/>
          <w:sz w:val="20"/>
          <w:szCs w:val="20"/>
          <w:lang w:val="en-US"/>
        </w:rPr>
        <w:t>microcarpum</w:t>
      </w:r>
      <w:proofErr w:type="spellEnd"/>
      <w:r w:rsidRPr="007C5A6E">
        <w:rPr>
          <w:rFonts w:ascii="Times New Roman" w:hAnsi="Times New Roman"/>
          <w:bCs/>
          <w:sz w:val="20"/>
          <w:szCs w:val="20"/>
          <w:lang w:val="en-US"/>
        </w:rPr>
        <w:t xml:space="preserve"> Guill. &amp; Perr. (Fabaceae) in Burkina Faso (West Africa). </w:t>
      </w:r>
      <w:r w:rsidRPr="007C5A6E">
        <w:rPr>
          <w:rFonts w:ascii="Times New Roman" w:hAnsi="Times New Roman"/>
          <w:bCs/>
          <w:i/>
          <w:iCs/>
          <w:sz w:val="20"/>
          <w:szCs w:val="20"/>
          <w:lang w:val="en-US"/>
        </w:rPr>
        <w:t xml:space="preserve">Global Ecology and </w:t>
      </w:r>
      <w:proofErr w:type="gramStart"/>
      <w:r w:rsidRPr="007C5A6E">
        <w:rPr>
          <w:rFonts w:ascii="Times New Roman" w:hAnsi="Times New Roman"/>
          <w:bCs/>
          <w:i/>
          <w:iCs/>
          <w:sz w:val="20"/>
          <w:szCs w:val="20"/>
          <w:lang w:val="en-US"/>
        </w:rPr>
        <w:t>Conservation </w:t>
      </w:r>
      <w:r w:rsidRPr="007C5A6E">
        <w:rPr>
          <w:rFonts w:ascii="Times New Roman" w:hAnsi="Times New Roman"/>
          <w:bCs/>
          <w:sz w:val="20"/>
          <w:szCs w:val="20"/>
          <w:lang w:val="en-US"/>
        </w:rPr>
        <w:t>:</w:t>
      </w:r>
      <w:proofErr w:type="gramEnd"/>
      <w:r w:rsidRPr="007C5A6E">
        <w:rPr>
          <w:rFonts w:ascii="Times New Roman" w:hAnsi="Times New Roman"/>
          <w:bCs/>
          <w:sz w:val="20"/>
          <w:szCs w:val="20"/>
          <w:lang w:val="en-US"/>
        </w:rPr>
        <w:t xml:space="preserve"> 51. https://doi.org/10.1016/j.gecco.2024.e02909.</w:t>
      </w:r>
    </w:p>
    <w:p w14:paraId="719C8E80" w14:textId="77777777" w:rsidR="00BE2D71" w:rsidRPr="007C5A6E" w:rsidRDefault="00BE2D71" w:rsidP="00BE2D71">
      <w:pPr>
        <w:spacing w:after="0" w:line="240" w:lineRule="auto"/>
        <w:jc w:val="both"/>
        <w:rPr>
          <w:rFonts w:ascii="Times New Roman" w:hAnsi="Times New Roman"/>
          <w:bCs/>
          <w:sz w:val="20"/>
          <w:szCs w:val="20"/>
          <w:lang w:val="en-US"/>
        </w:rPr>
      </w:pPr>
    </w:p>
    <w:p w14:paraId="1E13BAE4"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 xml:space="preserve">THIOMBIANO A, SCHMIDT M, DRESSLER S, OUEDRAOGO A, HAHN K, ZIZKA G (2012) Catalogue des plantes vasculaires du Burkina Faso. </w:t>
      </w:r>
      <w:proofErr w:type="spellStart"/>
      <w:r w:rsidRPr="007C5A6E">
        <w:rPr>
          <w:rFonts w:ascii="Times New Roman" w:hAnsi="Times New Roman"/>
          <w:bCs/>
          <w:sz w:val="20"/>
          <w:szCs w:val="20"/>
        </w:rPr>
        <w:t>Boissiera</w:t>
      </w:r>
      <w:proofErr w:type="spellEnd"/>
      <w:r w:rsidRPr="007C5A6E">
        <w:rPr>
          <w:rFonts w:ascii="Times New Roman" w:hAnsi="Times New Roman"/>
          <w:bCs/>
          <w:sz w:val="20"/>
          <w:szCs w:val="20"/>
        </w:rPr>
        <w:t xml:space="preserve">, 65. Conservatoire et Jardin Botanique, </w:t>
      </w:r>
      <w:proofErr w:type="spellStart"/>
      <w:r w:rsidRPr="007C5A6E">
        <w:rPr>
          <w:rFonts w:ascii="Times New Roman" w:hAnsi="Times New Roman"/>
          <w:bCs/>
          <w:sz w:val="20"/>
          <w:szCs w:val="20"/>
        </w:rPr>
        <w:t>Génève</w:t>
      </w:r>
      <w:proofErr w:type="spellEnd"/>
      <w:r w:rsidRPr="007C5A6E">
        <w:rPr>
          <w:rFonts w:ascii="Times New Roman" w:hAnsi="Times New Roman"/>
          <w:bCs/>
          <w:sz w:val="20"/>
          <w:szCs w:val="20"/>
        </w:rPr>
        <w:t xml:space="preserve">, 391 pp. </w:t>
      </w:r>
      <w:hyperlink r:id="rId284" w:history="1">
        <w:r w:rsidRPr="007C5A6E">
          <w:rPr>
            <w:rFonts w:ascii="Times New Roman" w:hAnsi="Times New Roman"/>
            <w:bCs/>
            <w:color w:val="0000FF"/>
            <w:sz w:val="20"/>
            <w:szCs w:val="20"/>
            <w:u w:val="single"/>
          </w:rPr>
          <w:t>https://doi.org/10.13140/RG.2.1.4734.1521</w:t>
        </w:r>
      </w:hyperlink>
    </w:p>
    <w:p w14:paraId="75F57000" w14:textId="77777777" w:rsidR="00BE2D71" w:rsidRPr="007C5A6E" w:rsidRDefault="00BE2D71" w:rsidP="00BE2D71">
      <w:pPr>
        <w:spacing w:after="0" w:line="240" w:lineRule="auto"/>
        <w:jc w:val="both"/>
        <w:rPr>
          <w:rFonts w:ascii="Times New Roman" w:hAnsi="Times New Roman"/>
          <w:sz w:val="20"/>
          <w:szCs w:val="20"/>
          <w:lang w:val="fr-BF"/>
        </w:rPr>
      </w:pPr>
    </w:p>
    <w:p w14:paraId="63D6B286" w14:textId="77777777" w:rsidR="00BE2D71" w:rsidRPr="007C5A6E" w:rsidRDefault="00BE2D71" w:rsidP="00BE2D71">
      <w:pPr>
        <w:spacing w:after="0" w:line="240" w:lineRule="auto"/>
        <w:jc w:val="both"/>
        <w:rPr>
          <w:rFonts w:ascii="Times New Roman" w:hAnsi="Times New Roman"/>
          <w:sz w:val="20"/>
          <w:szCs w:val="20"/>
          <w:lang w:val="en-US"/>
        </w:rPr>
      </w:pPr>
      <w:r w:rsidRPr="007C5A6E">
        <w:rPr>
          <w:rFonts w:ascii="Times New Roman" w:hAnsi="Times New Roman"/>
          <w:sz w:val="20"/>
          <w:szCs w:val="20"/>
          <w:lang w:val="fr-BF"/>
        </w:rPr>
        <w:t xml:space="preserve">THIOMBIANO N.G., BOUNGOU M., KANGOYÉ N.M., KALEME P.K., SINARE Y., SOUBEIGA P., SAWADOGO J. DE D., OUÉDA A. AND KABRE B.G. 2021. Bats </w:t>
      </w:r>
      <w:proofErr w:type="spellStart"/>
      <w:r w:rsidRPr="007C5A6E">
        <w:rPr>
          <w:rFonts w:ascii="Times New Roman" w:hAnsi="Times New Roman"/>
          <w:sz w:val="20"/>
          <w:szCs w:val="20"/>
          <w:lang w:val="fr-BF"/>
        </w:rPr>
        <w:t>diversity</w:t>
      </w:r>
      <w:proofErr w:type="spellEnd"/>
      <w:r w:rsidRPr="007C5A6E">
        <w:rPr>
          <w:rFonts w:ascii="Times New Roman" w:hAnsi="Times New Roman"/>
          <w:sz w:val="20"/>
          <w:szCs w:val="20"/>
          <w:lang w:val="fr-BF"/>
        </w:rPr>
        <w:t xml:space="preserve"> and </w:t>
      </w:r>
      <w:proofErr w:type="spellStart"/>
      <w:r w:rsidRPr="007C5A6E">
        <w:rPr>
          <w:rFonts w:ascii="Times New Roman" w:hAnsi="Times New Roman"/>
          <w:sz w:val="20"/>
          <w:szCs w:val="20"/>
          <w:lang w:val="fr-BF"/>
        </w:rPr>
        <w:t>abundance</w:t>
      </w:r>
      <w:proofErr w:type="spellEnd"/>
      <w:r w:rsidRPr="007C5A6E">
        <w:rPr>
          <w:rFonts w:ascii="Times New Roman" w:hAnsi="Times New Roman"/>
          <w:sz w:val="20"/>
          <w:szCs w:val="20"/>
          <w:lang w:val="fr-BF"/>
        </w:rPr>
        <w:t xml:space="preserve">, record of </w:t>
      </w:r>
      <w:proofErr w:type="spellStart"/>
      <w:r w:rsidRPr="007C5A6E">
        <w:rPr>
          <w:rFonts w:ascii="Times New Roman" w:hAnsi="Times New Roman"/>
          <w:sz w:val="20"/>
          <w:szCs w:val="20"/>
          <w:lang w:val="fr-BF"/>
        </w:rPr>
        <w:t>Taphozous</w:t>
      </w:r>
      <w:proofErr w:type="spellEnd"/>
      <w:r w:rsidRPr="007C5A6E">
        <w:rPr>
          <w:rFonts w:ascii="Times New Roman" w:hAnsi="Times New Roman"/>
          <w:sz w:val="20"/>
          <w:szCs w:val="20"/>
          <w:lang w:val="fr-BF"/>
        </w:rPr>
        <w:t xml:space="preserve"> </w:t>
      </w:r>
      <w:proofErr w:type="spellStart"/>
      <w:r w:rsidRPr="007C5A6E">
        <w:rPr>
          <w:rFonts w:ascii="Times New Roman" w:hAnsi="Times New Roman"/>
          <w:sz w:val="20"/>
          <w:szCs w:val="20"/>
          <w:lang w:val="fr-BF"/>
        </w:rPr>
        <w:t>mauritianus</w:t>
      </w:r>
      <w:proofErr w:type="spellEnd"/>
      <w:r w:rsidRPr="007C5A6E">
        <w:rPr>
          <w:rFonts w:ascii="Times New Roman" w:hAnsi="Times New Roman"/>
          <w:sz w:val="20"/>
          <w:szCs w:val="20"/>
          <w:lang w:val="fr-BF"/>
        </w:rPr>
        <w:t xml:space="preserve"> E. Geoffroy St.-Hilaire, 1818 for the first time in Burkina Faso </w:t>
      </w:r>
      <w:r w:rsidRPr="007C5A6E">
        <w:rPr>
          <w:rFonts w:ascii="Times New Roman" w:hAnsi="Times New Roman"/>
          <w:sz w:val="20"/>
          <w:szCs w:val="20"/>
          <w:lang w:val="en-US"/>
        </w:rPr>
        <w:t xml:space="preserve">; </w:t>
      </w:r>
      <w:r w:rsidRPr="007C5A6E">
        <w:rPr>
          <w:rFonts w:ascii="Times New Roman" w:hAnsi="Times New Roman"/>
          <w:sz w:val="20"/>
          <w:szCs w:val="20"/>
          <w:lang w:val="fr-BF"/>
        </w:rPr>
        <w:t xml:space="preserve">Journal of </w:t>
      </w:r>
      <w:proofErr w:type="spellStart"/>
      <w:r w:rsidRPr="007C5A6E">
        <w:rPr>
          <w:rFonts w:ascii="Times New Roman" w:hAnsi="Times New Roman"/>
          <w:sz w:val="20"/>
          <w:szCs w:val="20"/>
          <w:lang w:val="fr-BF"/>
        </w:rPr>
        <w:t>Entomology</w:t>
      </w:r>
      <w:proofErr w:type="spellEnd"/>
      <w:r w:rsidRPr="007C5A6E">
        <w:rPr>
          <w:rFonts w:ascii="Times New Roman" w:hAnsi="Times New Roman"/>
          <w:sz w:val="20"/>
          <w:szCs w:val="20"/>
          <w:lang w:val="fr-BF"/>
        </w:rPr>
        <w:t xml:space="preserve"> and </w:t>
      </w:r>
      <w:proofErr w:type="spellStart"/>
      <w:r w:rsidRPr="007C5A6E">
        <w:rPr>
          <w:rFonts w:ascii="Times New Roman" w:hAnsi="Times New Roman"/>
          <w:sz w:val="20"/>
          <w:szCs w:val="20"/>
          <w:lang w:val="fr-BF"/>
        </w:rPr>
        <w:t>Zoology</w:t>
      </w:r>
      <w:proofErr w:type="spellEnd"/>
      <w:r w:rsidRPr="007C5A6E">
        <w:rPr>
          <w:rFonts w:ascii="Times New Roman" w:hAnsi="Times New Roman"/>
          <w:sz w:val="20"/>
          <w:szCs w:val="20"/>
          <w:lang w:val="fr-BF"/>
        </w:rPr>
        <w:t xml:space="preserve"> </w:t>
      </w:r>
      <w:proofErr w:type="spellStart"/>
      <w:r w:rsidRPr="007C5A6E">
        <w:rPr>
          <w:rFonts w:ascii="Times New Roman" w:hAnsi="Times New Roman"/>
          <w:sz w:val="20"/>
          <w:szCs w:val="20"/>
          <w:lang w:val="fr-BF"/>
        </w:rPr>
        <w:t>Studies</w:t>
      </w:r>
      <w:proofErr w:type="spellEnd"/>
      <w:r w:rsidRPr="007C5A6E">
        <w:rPr>
          <w:rFonts w:ascii="Times New Roman" w:hAnsi="Times New Roman"/>
          <w:sz w:val="20"/>
          <w:szCs w:val="20"/>
          <w:lang w:val="fr-BF"/>
        </w:rPr>
        <w:t xml:space="preserve"> </w:t>
      </w:r>
      <w:proofErr w:type="gramStart"/>
      <w:r w:rsidRPr="007C5A6E">
        <w:rPr>
          <w:rFonts w:ascii="Times New Roman" w:hAnsi="Times New Roman"/>
          <w:sz w:val="20"/>
          <w:szCs w:val="20"/>
          <w:lang w:val="fr-BF"/>
        </w:rPr>
        <w:t>2021;</w:t>
      </w:r>
      <w:proofErr w:type="gramEnd"/>
      <w:r w:rsidRPr="007C5A6E">
        <w:rPr>
          <w:rFonts w:ascii="Times New Roman" w:hAnsi="Times New Roman"/>
          <w:sz w:val="20"/>
          <w:szCs w:val="20"/>
          <w:lang w:val="fr-BF"/>
        </w:rPr>
        <w:t xml:space="preserve"> 9(3): 26-31</w:t>
      </w:r>
      <w:r w:rsidRPr="007C5A6E">
        <w:rPr>
          <w:rFonts w:ascii="Times New Roman" w:hAnsi="Times New Roman"/>
          <w:sz w:val="20"/>
          <w:szCs w:val="20"/>
          <w:lang w:val="en-US"/>
        </w:rPr>
        <w:t>.</w:t>
      </w:r>
    </w:p>
    <w:p w14:paraId="3E8BA8B4" w14:textId="77777777" w:rsidR="00BE2D71" w:rsidRPr="007C5A6E" w:rsidRDefault="00BE2D71" w:rsidP="00BE2D71">
      <w:pPr>
        <w:spacing w:after="0" w:line="240" w:lineRule="auto"/>
        <w:jc w:val="both"/>
        <w:rPr>
          <w:rFonts w:ascii="Times New Roman" w:hAnsi="Times New Roman"/>
          <w:sz w:val="20"/>
          <w:szCs w:val="20"/>
          <w:lang w:val="en-US"/>
        </w:rPr>
      </w:pPr>
    </w:p>
    <w:p w14:paraId="0ED3DC0F" w14:textId="77777777" w:rsidR="00BE2D71" w:rsidRPr="007C5A6E" w:rsidRDefault="00BE2D71" w:rsidP="00BE2D71">
      <w:pPr>
        <w:spacing w:after="0" w:line="240" w:lineRule="auto"/>
        <w:jc w:val="both"/>
        <w:rPr>
          <w:rFonts w:ascii="Times New Roman" w:hAnsi="Times New Roman"/>
          <w:sz w:val="20"/>
          <w:szCs w:val="20"/>
          <w:lang w:val="en-US"/>
        </w:rPr>
      </w:pPr>
      <w:hyperlink r:id="rId285" w:anchor="bib86" w:history="1">
        <w:r w:rsidRPr="007C5A6E">
          <w:rPr>
            <w:rFonts w:ascii="Times New Roman" w:hAnsi="Times New Roman"/>
            <w:color w:val="0000FF"/>
            <w:sz w:val="20"/>
            <w:szCs w:val="20"/>
            <w:u w:val="single"/>
          </w:rPr>
          <w:t xml:space="preserve">TINDANO A., </w:t>
        </w:r>
        <w:r w:rsidRPr="007C5A6E">
          <w:rPr>
            <w:rFonts w:ascii="Times New Roman" w:hAnsi="Times New Roman"/>
            <w:sz w:val="20"/>
            <w:szCs w:val="20"/>
          </w:rPr>
          <w:t>TRAORE E, ZERBO I.</w:t>
        </w:r>
        <w:proofErr w:type="gramStart"/>
        <w:r w:rsidRPr="007C5A6E">
          <w:rPr>
            <w:rFonts w:ascii="Times New Roman" w:hAnsi="Times New Roman"/>
            <w:sz w:val="20"/>
            <w:szCs w:val="20"/>
          </w:rPr>
          <w:t>,  N’GUESSAN</w:t>
        </w:r>
        <w:proofErr w:type="gramEnd"/>
        <w:r w:rsidRPr="007C5A6E">
          <w:rPr>
            <w:rFonts w:ascii="Times New Roman" w:hAnsi="Times New Roman"/>
            <w:sz w:val="20"/>
            <w:szCs w:val="20"/>
          </w:rPr>
          <w:t xml:space="preserve"> A. E.</w:t>
        </w:r>
        <w:r w:rsidRPr="007C5A6E">
          <w:rPr>
            <w:rFonts w:ascii="Times New Roman" w:hAnsi="Times New Roman"/>
            <w:color w:val="0000FF"/>
            <w:sz w:val="20"/>
            <w:szCs w:val="20"/>
            <w:u w:val="single"/>
          </w:rPr>
          <w:t xml:space="preserve">, </w:t>
        </w:r>
        <w:r w:rsidRPr="007C5A6E">
          <w:rPr>
            <w:rFonts w:ascii="Times New Roman" w:hAnsi="Times New Roman"/>
            <w:sz w:val="20"/>
            <w:szCs w:val="20"/>
          </w:rPr>
          <w:t>N.’DJA KASSI</w:t>
        </w:r>
        <w:r w:rsidRPr="007C5A6E">
          <w:rPr>
            <w:rFonts w:ascii="Times New Roman" w:hAnsi="Times New Roman"/>
            <w:color w:val="0000FF"/>
            <w:sz w:val="20"/>
            <w:szCs w:val="20"/>
            <w:u w:val="single"/>
          </w:rPr>
          <w:t xml:space="preserve"> J., </w:t>
        </w:r>
        <w:r w:rsidRPr="007C5A6E">
          <w:rPr>
            <w:rFonts w:ascii="Times New Roman" w:hAnsi="Times New Roman"/>
            <w:sz w:val="20"/>
            <w:szCs w:val="20"/>
          </w:rPr>
          <w:t>CHARLES I.</w:t>
        </w:r>
        <w:r w:rsidRPr="007C5A6E">
          <w:rPr>
            <w:rFonts w:ascii="Times New Roman" w:hAnsi="Times New Roman"/>
            <w:color w:val="0000FF"/>
            <w:sz w:val="20"/>
            <w:szCs w:val="20"/>
            <w:u w:val="single"/>
          </w:rPr>
          <w:t xml:space="preserve">, </w:t>
        </w:r>
        <w:r w:rsidRPr="007C5A6E">
          <w:rPr>
            <w:rFonts w:ascii="Times New Roman" w:hAnsi="Times New Roman"/>
            <w:sz w:val="20"/>
            <w:szCs w:val="20"/>
          </w:rPr>
          <w:t>THIOMBIANO</w:t>
        </w:r>
        <w:r w:rsidRPr="007C5A6E">
          <w:rPr>
            <w:rFonts w:ascii="Times New Roman" w:hAnsi="Times New Roman"/>
            <w:color w:val="0000FF"/>
            <w:sz w:val="20"/>
            <w:szCs w:val="20"/>
            <w:u w:val="single"/>
          </w:rPr>
          <w:t xml:space="preserve"> A., 2015</w:t>
        </w:r>
      </w:hyperlink>
      <w:r w:rsidRPr="007C5A6E">
        <w:rPr>
          <w:rFonts w:ascii="Times New Roman" w:hAnsi="Times New Roman"/>
          <w:sz w:val="20"/>
          <w:szCs w:val="20"/>
        </w:rPr>
        <w:t xml:space="preserve">. </w:t>
      </w:r>
      <w:r w:rsidRPr="007C5A6E">
        <w:rPr>
          <w:rFonts w:ascii="Times New Roman" w:hAnsi="Times New Roman"/>
          <w:i/>
          <w:iCs/>
          <w:sz w:val="20"/>
          <w:szCs w:val="20"/>
          <w:lang w:val="en-US"/>
        </w:rPr>
        <w:t xml:space="preserve">Effects of land use and climate on the diversity and population structure in natural stands of </w:t>
      </w:r>
      <w:proofErr w:type="spellStart"/>
      <w:r w:rsidRPr="007C5A6E">
        <w:rPr>
          <w:rFonts w:ascii="Times New Roman" w:hAnsi="Times New Roman"/>
          <w:i/>
          <w:iCs/>
          <w:sz w:val="20"/>
          <w:szCs w:val="20"/>
          <w:lang w:val="en-US"/>
        </w:rPr>
        <w:t>Detarium</w:t>
      </w:r>
      <w:proofErr w:type="spellEnd"/>
      <w:r w:rsidRPr="007C5A6E">
        <w:rPr>
          <w:rFonts w:ascii="Times New Roman" w:hAnsi="Times New Roman"/>
          <w:i/>
          <w:iCs/>
          <w:sz w:val="20"/>
          <w:szCs w:val="20"/>
          <w:lang w:val="en-US"/>
        </w:rPr>
        <w:t xml:space="preserve"> </w:t>
      </w:r>
      <w:proofErr w:type="spellStart"/>
      <w:r w:rsidRPr="007C5A6E">
        <w:rPr>
          <w:rFonts w:ascii="Times New Roman" w:hAnsi="Times New Roman"/>
          <w:i/>
          <w:iCs/>
          <w:sz w:val="20"/>
          <w:szCs w:val="20"/>
          <w:lang w:val="en-US"/>
        </w:rPr>
        <w:t>microcarpum</w:t>
      </w:r>
      <w:proofErr w:type="spellEnd"/>
      <w:r w:rsidRPr="007C5A6E">
        <w:rPr>
          <w:rFonts w:ascii="Times New Roman" w:hAnsi="Times New Roman"/>
          <w:i/>
          <w:iCs/>
          <w:sz w:val="20"/>
          <w:szCs w:val="20"/>
          <w:lang w:val="en-US"/>
        </w:rPr>
        <w:t xml:space="preserve"> Guill. &amp; Perr. (Fabaceae) in Burkina Faso (West Africa</w:t>
      </w:r>
      <w:proofErr w:type="gramStart"/>
      <w:r w:rsidRPr="007C5A6E">
        <w:rPr>
          <w:rFonts w:ascii="Times New Roman" w:hAnsi="Times New Roman"/>
          <w:i/>
          <w:iCs/>
          <w:sz w:val="20"/>
          <w:szCs w:val="20"/>
          <w:lang w:val="en-US"/>
        </w:rPr>
        <w:t>)</w:t>
      </w:r>
      <w:r w:rsidRPr="007C5A6E">
        <w:rPr>
          <w:rFonts w:ascii="Times New Roman" w:hAnsi="Times New Roman"/>
          <w:sz w:val="20"/>
          <w:szCs w:val="20"/>
          <w:lang w:val="en-US"/>
        </w:rPr>
        <w:t> ;</w:t>
      </w:r>
      <w:proofErr w:type="gramEnd"/>
      <w:r w:rsidRPr="007C5A6E">
        <w:rPr>
          <w:rFonts w:ascii="Times New Roman" w:hAnsi="Times New Roman"/>
          <w:sz w:val="20"/>
          <w:szCs w:val="20"/>
          <w:lang w:val="en-US"/>
        </w:rPr>
        <w:t xml:space="preserve"> Global Ecology and Conservation 51 (2024) e02909. </w:t>
      </w:r>
    </w:p>
    <w:p w14:paraId="70ADD6AE" w14:textId="77777777" w:rsidR="00BE2D71" w:rsidRPr="007C5A6E" w:rsidRDefault="00BE2D71" w:rsidP="00BE2D71">
      <w:pPr>
        <w:spacing w:after="0" w:line="240" w:lineRule="auto"/>
        <w:jc w:val="both"/>
        <w:rPr>
          <w:rFonts w:ascii="Times New Roman" w:hAnsi="Times New Roman"/>
          <w:sz w:val="20"/>
          <w:szCs w:val="20"/>
          <w:lang w:val="fr-BF"/>
        </w:rPr>
      </w:pPr>
    </w:p>
    <w:p w14:paraId="5811C9FF" w14:textId="77777777" w:rsidR="00BE2D71" w:rsidRPr="007C5A6E" w:rsidRDefault="00BE2D71" w:rsidP="00BE2D71">
      <w:pPr>
        <w:spacing w:after="0" w:line="240" w:lineRule="auto"/>
        <w:jc w:val="both"/>
        <w:rPr>
          <w:rFonts w:ascii="Times New Roman" w:hAnsi="Times New Roman"/>
          <w:sz w:val="20"/>
          <w:szCs w:val="20"/>
        </w:rPr>
      </w:pPr>
      <w:r w:rsidRPr="007C5A6E">
        <w:rPr>
          <w:rFonts w:ascii="Times New Roman" w:hAnsi="Times New Roman"/>
          <w:sz w:val="20"/>
          <w:szCs w:val="20"/>
          <w:lang w:val="fr-BF"/>
        </w:rPr>
        <w:t>TRISOS, C. H., ADELEKAN, I. O., TOTIN, E., AYANLADE, A., EFITRE, J., &amp; GEMEDA, A. (2022). Afrique. </w:t>
      </w:r>
      <w:r w:rsidRPr="007C5A6E">
        <w:rPr>
          <w:rFonts w:ascii="Times New Roman" w:hAnsi="Times New Roman"/>
          <w:i/>
          <w:iCs/>
          <w:sz w:val="20"/>
          <w:szCs w:val="20"/>
          <w:lang w:val="fr-BF"/>
        </w:rPr>
        <w:t>Changement climatique</w:t>
      </w:r>
      <w:r w:rsidRPr="007C5A6E">
        <w:rPr>
          <w:rFonts w:ascii="Times New Roman" w:hAnsi="Times New Roman"/>
          <w:sz w:val="20"/>
          <w:szCs w:val="20"/>
          <w:lang w:val="fr-BF"/>
        </w:rPr>
        <w:t>.</w:t>
      </w:r>
    </w:p>
    <w:p w14:paraId="3D7F0DFC"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 xml:space="preserve">TUBIANA J. 2019 ; </w:t>
      </w:r>
      <w:r w:rsidRPr="007C5A6E">
        <w:rPr>
          <w:rFonts w:ascii="Times New Roman" w:hAnsi="Times New Roman"/>
          <w:bCs/>
          <w:i/>
          <w:iCs/>
          <w:sz w:val="20"/>
          <w:szCs w:val="20"/>
        </w:rPr>
        <w:t>Aires protégées, conflits et insécurité : comprendre la situation et définir des règles</w:t>
      </w:r>
    </w:p>
    <w:p w14:paraId="4E4847ED" w14:textId="77777777" w:rsidR="00BE2D71" w:rsidRPr="007C5A6E" w:rsidRDefault="00BE2D71" w:rsidP="00BE2D71">
      <w:pPr>
        <w:spacing w:after="0" w:line="240" w:lineRule="auto"/>
        <w:jc w:val="both"/>
        <w:rPr>
          <w:rFonts w:ascii="Times New Roman" w:hAnsi="Times New Roman"/>
          <w:bCs/>
          <w:sz w:val="20"/>
          <w:szCs w:val="20"/>
        </w:rPr>
      </w:pPr>
    </w:p>
    <w:p w14:paraId="45FC1E99"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 xml:space="preserve">UICN (2020). Standard mondial de l’UICN pour les solutions fondées sur la nature. Cadre accessible pour la vérification, la conception et la mise à l’échelle des </w:t>
      </w:r>
      <w:proofErr w:type="spellStart"/>
      <w:r w:rsidRPr="007C5A6E">
        <w:rPr>
          <w:rFonts w:ascii="Times New Roman" w:hAnsi="Times New Roman"/>
          <w:bCs/>
          <w:sz w:val="20"/>
          <w:szCs w:val="20"/>
        </w:rPr>
        <w:t>SfN</w:t>
      </w:r>
      <w:proofErr w:type="spellEnd"/>
      <w:r w:rsidRPr="007C5A6E">
        <w:rPr>
          <w:rFonts w:ascii="Times New Roman" w:hAnsi="Times New Roman"/>
          <w:bCs/>
          <w:sz w:val="20"/>
          <w:szCs w:val="20"/>
        </w:rPr>
        <w:t>. Première édition. Gland, Suisse : UICN ;</w:t>
      </w:r>
    </w:p>
    <w:p w14:paraId="742EA2B4" w14:textId="77777777" w:rsidR="00BE2D71" w:rsidRPr="007C5A6E" w:rsidRDefault="00BE2D71" w:rsidP="00BE2D71">
      <w:pPr>
        <w:spacing w:after="0" w:line="240" w:lineRule="auto"/>
        <w:jc w:val="both"/>
        <w:rPr>
          <w:rFonts w:ascii="Times New Roman" w:hAnsi="Times New Roman"/>
          <w:sz w:val="20"/>
          <w:szCs w:val="20"/>
        </w:rPr>
      </w:pPr>
    </w:p>
    <w:p w14:paraId="3C24CC66"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UICN, 2022. Stratégie d’engagement des acteurs des secteurs agricoles (coton et élevage) et miniers (or) dans la conservation de la biodiversité au Burkina Faso, Rapport final, 124 pages ;</w:t>
      </w:r>
    </w:p>
    <w:p w14:paraId="6AC24C61" w14:textId="77777777" w:rsidR="00BE2D71" w:rsidRPr="007C5A6E" w:rsidRDefault="00BE2D71" w:rsidP="00BE2D71">
      <w:pPr>
        <w:spacing w:after="0" w:line="240" w:lineRule="auto"/>
        <w:jc w:val="both"/>
        <w:rPr>
          <w:rFonts w:ascii="Times New Roman" w:hAnsi="Times New Roman"/>
          <w:sz w:val="20"/>
          <w:szCs w:val="20"/>
        </w:rPr>
      </w:pPr>
    </w:p>
    <w:p w14:paraId="3AF91196" w14:textId="77777777" w:rsidR="00BE2D71" w:rsidRPr="007C5A6E" w:rsidRDefault="00BE2D71" w:rsidP="00BE2D71">
      <w:pPr>
        <w:spacing w:after="0" w:line="240" w:lineRule="auto"/>
        <w:jc w:val="both"/>
        <w:rPr>
          <w:rFonts w:ascii="Times New Roman" w:hAnsi="Times New Roman"/>
          <w:bCs/>
          <w:sz w:val="20"/>
          <w:szCs w:val="20"/>
          <w:lang w:val="en-US"/>
        </w:rPr>
      </w:pPr>
      <w:r w:rsidRPr="007C5A6E">
        <w:rPr>
          <w:rFonts w:ascii="Times New Roman" w:hAnsi="Times New Roman"/>
          <w:bCs/>
          <w:sz w:val="20"/>
          <w:szCs w:val="20"/>
          <w:lang w:val="en-US"/>
        </w:rPr>
        <w:t xml:space="preserve">UNFCCC, 2021. COP21. The Paris Agreement to the United Nations Framework Convention on </w:t>
      </w:r>
      <w:proofErr w:type="spellStart"/>
      <w:r w:rsidRPr="007C5A6E">
        <w:rPr>
          <w:rFonts w:ascii="Times New Roman" w:hAnsi="Times New Roman"/>
          <w:bCs/>
          <w:sz w:val="20"/>
          <w:szCs w:val="20"/>
          <w:lang w:val="en-US"/>
        </w:rPr>
        <w:t>ClimateChange</w:t>
      </w:r>
      <w:proofErr w:type="spellEnd"/>
      <w:r w:rsidRPr="007C5A6E">
        <w:rPr>
          <w:rFonts w:ascii="Times New Roman" w:hAnsi="Times New Roman"/>
          <w:bCs/>
          <w:sz w:val="20"/>
          <w:szCs w:val="20"/>
          <w:lang w:val="en-US"/>
        </w:rPr>
        <w:t xml:space="preserve"> (COP21). Available </w:t>
      </w:r>
      <w:proofErr w:type="gramStart"/>
      <w:r w:rsidRPr="007C5A6E">
        <w:rPr>
          <w:rFonts w:ascii="Times New Roman" w:hAnsi="Times New Roman"/>
          <w:bCs/>
          <w:sz w:val="20"/>
          <w:szCs w:val="20"/>
          <w:lang w:val="en-US"/>
        </w:rPr>
        <w:t>online :</w:t>
      </w:r>
      <w:proofErr w:type="gramEnd"/>
      <w:r w:rsidRPr="007C5A6E">
        <w:rPr>
          <w:rFonts w:ascii="Times New Roman" w:hAnsi="Times New Roman"/>
          <w:bCs/>
          <w:sz w:val="20"/>
          <w:szCs w:val="20"/>
          <w:lang w:val="en-US"/>
        </w:rPr>
        <w:t xml:space="preserve"> https://unfccc.int/process-and meetings/conferences/</w:t>
      </w:r>
      <w:proofErr w:type="spellStart"/>
      <w:r w:rsidRPr="007C5A6E">
        <w:rPr>
          <w:rFonts w:ascii="Times New Roman" w:hAnsi="Times New Roman"/>
          <w:bCs/>
          <w:sz w:val="20"/>
          <w:szCs w:val="20"/>
          <w:lang w:val="en-US"/>
        </w:rPr>
        <w:t>pastconferences</w:t>
      </w:r>
      <w:proofErr w:type="spellEnd"/>
      <w:r w:rsidRPr="007C5A6E">
        <w:rPr>
          <w:rFonts w:ascii="Times New Roman" w:hAnsi="Times New Roman"/>
          <w:bCs/>
          <w:sz w:val="20"/>
          <w:szCs w:val="20"/>
          <w:lang w:val="en-US"/>
        </w:rPr>
        <w:t>/</w:t>
      </w:r>
      <w:proofErr w:type="spellStart"/>
      <w:r w:rsidRPr="007C5A6E">
        <w:rPr>
          <w:rFonts w:ascii="Times New Roman" w:hAnsi="Times New Roman"/>
          <w:bCs/>
          <w:sz w:val="20"/>
          <w:szCs w:val="20"/>
          <w:lang w:val="en-US"/>
        </w:rPr>
        <w:t>parisclimate</w:t>
      </w:r>
      <w:proofErr w:type="spellEnd"/>
      <w:r w:rsidRPr="007C5A6E">
        <w:rPr>
          <w:rFonts w:ascii="Times New Roman" w:hAnsi="Times New Roman"/>
          <w:bCs/>
          <w:sz w:val="20"/>
          <w:szCs w:val="20"/>
          <w:lang w:val="en-US"/>
        </w:rPr>
        <w:t>- change-conference-november-2015/cop 21 (accessed on 3 March 2020);</w:t>
      </w:r>
    </w:p>
    <w:p w14:paraId="00247400" w14:textId="77777777" w:rsidR="00BE2D71" w:rsidRPr="007C5A6E" w:rsidRDefault="00BE2D71" w:rsidP="00BE2D71">
      <w:pPr>
        <w:spacing w:after="0" w:line="240" w:lineRule="auto"/>
        <w:jc w:val="both"/>
        <w:rPr>
          <w:rFonts w:ascii="Times New Roman" w:hAnsi="Times New Roman"/>
          <w:sz w:val="20"/>
          <w:szCs w:val="20"/>
          <w:lang w:val="en-US"/>
        </w:rPr>
      </w:pPr>
    </w:p>
    <w:p w14:paraId="1182C293" w14:textId="77777777" w:rsidR="00BE2D71" w:rsidRPr="007C5A6E" w:rsidRDefault="00BE2D71" w:rsidP="00BE2D71">
      <w:pPr>
        <w:spacing w:after="0" w:line="240" w:lineRule="auto"/>
        <w:jc w:val="both"/>
        <w:rPr>
          <w:rFonts w:ascii="Times New Roman" w:hAnsi="Times New Roman"/>
          <w:bCs/>
          <w:sz w:val="20"/>
          <w:szCs w:val="20"/>
        </w:rPr>
      </w:pPr>
      <w:r w:rsidRPr="007C5A6E">
        <w:rPr>
          <w:rFonts w:ascii="Times New Roman" w:hAnsi="Times New Roman"/>
          <w:bCs/>
          <w:sz w:val="20"/>
          <w:szCs w:val="20"/>
        </w:rPr>
        <w:t>ZOMA V., TARAMA W. J. I., 2022. Perceptions et adaptation des populations de la commune de Seytenga au Burkina Faso face au changement climatique. (</w:t>
      </w:r>
      <w:hyperlink r:id="rId286" w:history="1">
        <w:r w:rsidRPr="007C5A6E">
          <w:rPr>
            <w:rFonts w:ascii="Times New Roman" w:hAnsi="Times New Roman"/>
            <w:bCs/>
            <w:color w:val="0000FF"/>
            <w:sz w:val="20"/>
            <w:szCs w:val="20"/>
            <w:u w:val="single"/>
          </w:rPr>
          <w:t>https://www.researchgate.net/publication/358522661</w:t>
        </w:r>
      </w:hyperlink>
      <w:r w:rsidRPr="007C5A6E">
        <w:rPr>
          <w:rFonts w:ascii="Times New Roman" w:hAnsi="Times New Roman"/>
          <w:bCs/>
          <w:sz w:val="20"/>
          <w:szCs w:val="20"/>
        </w:rPr>
        <w:t>).</w:t>
      </w:r>
    </w:p>
    <w:p w14:paraId="4A2F2E5D" w14:textId="77777777" w:rsidR="004C055F" w:rsidRPr="007C5A6E" w:rsidRDefault="004C055F" w:rsidP="004C055F">
      <w:pPr>
        <w:spacing w:after="0"/>
        <w:jc w:val="both"/>
        <w:rPr>
          <w:rFonts w:ascii="Times New Roman" w:hAnsi="Times New Roman"/>
          <w:b/>
          <w:sz w:val="24"/>
          <w:szCs w:val="24"/>
        </w:rPr>
      </w:pPr>
    </w:p>
    <w:p w14:paraId="000EFF72" w14:textId="516D0865" w:rsidR="006F6024" w:rsidRPr="007C5A6E" w:rsidRDefault="006F6024" w:rsidP="006F6024">
      <w:pPr>
        <w:numPr>
          <w:ilvl w:val="0"/>
          <w:numId w:val="84"/>
        </w:numPr>
        <w:spacing w:after="0"/>
        <w:ind w:left="357" w:hanging="357"/>
        <w:jc w:val="both"/>
        <w:rPr>
          <w:rFonts w:ascii="Times New Roman" w:hAnsi="Times New Roman"/>
          <w:b/>
          <w:sz w:val="24"/>
          <w:szCs w:val="24"/>
        </w:rPr>
      </w:pPr>
      <w:r w:rsidRPr="007C5A6E">
        <w:rPr>
          <w:rFonts w:ascii="Times New Roman" w:hAnsi="Times New Roman"/>
          <w:b/>
          <w:sz w:val="24"/>
          <w:szCs w:val="24"/>
        </w:rPr>
        <w:t xml:space="preserve">URBANISATION, PAUVRETE ET ENVIRONNEMENT   </w:t>
      </w:r>
    </w:p>
    <w:p w14:paraId="53C54E26" w14:textId="77777777" w:rsidR="004C055F" w:rsidRPr="007C5A6E" w:rsidRDefault="004C055F" w:rsidP="004C055F">
      <w:pPr>
        <w:spacing w:after="0"/>
        <w:jc w:val="both"/>
        <w:rPr>
          <w:rFonts w:ascii="Times New Roman" w:hAnsi="Times New Roman"/>
          <w:b/>
          <w:sz w:val="24"/>
          <w:szCs w:val="24"/>
        </w:rPr>
      </w:pPr>
    </w:p>
    <w:sdt>
      <w:sdtPr>
        <w:rPr>
          <w:rFonts w:ascii="Times New Roman" w:eastAsia="Aptos" w:hAnsi="Times New Roman"/>
          <w:kern w:val="2"/>
          <w:sz w:val="24"/>
          <w:szCs w:val="24"/>
          <w:lang w:eastAsia="en-US"/>
          <w14:ligatures w14:val="standardContextual"/>
        </w:rPr>
        <w:id w:val="-573587230"/>
        <w:bibliography/>
      </w:sdtPr>
      <w:sdtContent>
        <w:p w14:paraId="2CAD9DD1" w14:textId="77777777" w:rsidR="00BE2D71" w:rsidRPr="007C5A6E" w:rsidRDefault="00BE2D71" w:rsidP="00BE2D71">
          <w:pPr>
            <w:spacing w:after="0" w:line="259" w:lineRule="auto"/>
            <w:ind w:left="720" w:hanging="720"/>
            <w:rPr>
              <w:rFonts w:ascii="Times New Roman" w:eastAsia="Aptos" w:hAnsi="Times New Roman"/>
              <w:noProof/>
              <w:lang w:eastAsia="en-US"/>
            </w:rPr>
          </w:pPr>
          <w:r w:rsidRPr="007C5A6E">
            <w:rPr>
              <w:rFonts w:ascii="Times New Roman" w:eastAsia="Aptos" w:hAnsi="Times New Roman"/>
              <w:kern w:val="2"/>
              <w:lang w:eastAsia="en-US"/>
              <w14:ligatures w14:val="standardContextual"/>
            </w:rPr>
            <w:fldChar w:fldCharType="begin"/>
          </w:r>
          <w:r w:rsidRPr="007C5A6E">
            <w:rPr>
              <w:rFonts w:ascii="Times New Roman" w:eastAsia="Aptos" w:hAnsi="Times New Roman"/>
              <w:kern w:val="2"/>
              <w:lang w:val="en-US" w:eastAsia="en-US"/>
              <w14:ligatures w14:val="standardContextual"/>
            </w:rPr>
            <w:instrText>BIBLIOGRAPHY</w:instrText>
          </w:r>
          <w:r w:rsidRPr="007C5A6E">
            <w:rPr>
              <w:rFonts w:ascii="Times New Roman" w:eastAsia="Aptos" w:hAnsi="Times New Roman"/>
              <w:kern w:val="2"/>
              <w:lang w:eastAsia="en-US"/>
              <w14:ligatures w14:val="standardContextual"/>
            </w:rPr>
            <w:fldChar w:fldCharType="separate"/>
          </w:r>
          <w:r w:rsidRPr="007C5A6E">
            <w:rPr>
              <w:rFonts w:ascii="Times New Roman" w:eastAsia="Aptos" w:hAnsi="Times New Roman"/>
              <w:noProof/>
              <w:kern w:val="2"/>
              <w:lang w:val="en-US" w:eastAsia="en-US"/>
              <w14:ligatures w14:val="standardContextual"/>
            </w:rPr>
            <w:t xml:space="preserve">Alen, W. (2022, 10 25). Extending the DPSIR (Driving forces, Pressures, States, Impacts, Responses) framework. </w:t>
          </w:r>
          <w:r w:rsidRPr="007C5A6E">
            <w:rPr>
              <w:rFonts w:ascii="Times New Roman" w:eastAsia="Aptos" w:hAnsi="Times New Roman"/>
              <w:noProof/>
              <w:kern w:val="2"/>
              <w:lang w:eastAsia="en-US"/>
              <w14:ligatures w14:val="standardContextual"/>
            </w:rPr>
            <w:t>Consulté le 10 25, 2022, sur https://i2insights.org/2022/10/25/extending-dpsir-framework/</w:t>
          </w:r>
        </w:p>
        <w:p w14:paraId="1B8C2136"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AMMA. (2017). </w:t>
          </w:r>
          <w:r w:rsidRPr="007C5A6E">
            <w:rPr>
              <w:rFonts w:ascii="Times New Roman" w:eastAsia="Aptos" w:hAnsi="Times New Roman"/>
              <w:i/>
              <w:iCs/>
              <w:noProof/>
              <w:kern w:val="2"/>
              <w:lang w:eastAsia="en-US"/>
              <w14:ligatures w14:val="standardContextual"/>
            </w:rPr>
            <w:t>Résultats de l’enquête socio-économique auprès des habitants des zones inondables du "Grand Ouaga" - Rapport définitif.</w:t>
          </w:r>
          <w:r w:rsidRPr="007C5A6E">
            <w:rPr>
              <w:rFonts w:ascii="Times New Roman" w:eastAsia="Aptos" w:hAnsi="Times New Roman"/>
              <w:noProof/>
              <w:kern w:val="2"/>
              <w:lang w:eastAsia="en-US"/>
              <w14:ligatures w14:val="standardContextual"/>
            </w:rPr>
            <w:t xml:space="preserve"> Ouagadougou: AMMA. Consulté le 09 17, 2024, sur https://www.ceh.ac.uk/sites/default/files/2023-05/AMMA-2050-technical-support-Rapport-aspects-socio-%C3%A9conomiques-des-inondations.pdf</w:t>
          </w:r>
        </w:p>
        <w:p w14:paraId="69E2D6A0"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val="en-US" w:eastAsia="en-US"/>
              <w14:ligatures w14:val="standardContextual"/>
            </w:rPr>
            <w:t xml:space="preserve">Bajpai, A., Stratton-Short, S., &amp; Adelekan, I. (2022). </w:t>
          </w:r>
          <w:r w:rsidRPr="007C5A6E">
            <w:rPr>
              <w:rFonts w:ascii="Times New Roman" w:eastAsia="Aptos" w:hAnsi="Times New Roman"/>
              <w:i/>
              <w:iCs/>
              <w:noProof/>
              <w:kern w:val="2"/>
              <w:lang w:eastAsia="en-US"/>
              <w14:ligatures w14:val="standardContextual"/>
            </w:rPr>
            <w:t>Renforcer les services essentiels dans les villes africaines.</w:t>
          </w:r>
          <w:r w:rsidRPr="007C5A6E">
            <w:rPr>
              <w:rFonts w:ascii="Times New Roman" w:eastAsia="Aptos" w:hAnsi="Times New Roman"/>
              <w:noProof/>
              <w:kern w:val="2"/>
              <w:lang w:eastAsia="en-US"/>
              <w14:ligatures w14:val="standardContextual"/>
            </w:rPr>
            <w:t xml:space="preserve"> BAfD, Cities Alliance/UNOPS. Consulté le 09 04, 2024, sur https://www.citiesalliance.org/sites/default/files/2022-09/services_essentiels_dans_les_villes_africaines_-_citiesalliance_unops_afdb-_umdf_2022_french.pdf</w:t>
          </w:r>
        </w:p>
        <w:p w14:paraId="3E50B94D"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Bamas, S., &amp; Marie, M. (2003). </w:t>
          </w:r>
          <w:r w:rsidRPr="007C5A6E">
            <w:rPr>
              <w:rFonts w:ascii="Times New Roman" w:eastAsia="Aptos" w:hAnsi="Times New Roman"/>
              <w:i/>
              <w:iCs/>
              <w:noProof/>
              <w:kern w:val="2"/>
              <w:lang w:eastAsia="en-US"/>
              <w14:ligatures w14:val="standardContextual"/>
            </w:rPr>
            <w:t>Les transports urbains à Ouagadougou : diagnostic et perspectives. In: Études urbaines à.</w:t>
          </w:r>
          <w:r w:rsidRPr="007C5A6E">
            <w:rPr>
              <w:rFonts w:ascii="Times New Roman" w:eastAsia="Aptos" w:hAnsi="Times New Roman"/>
              <w:noProof/>
              <w:kern w:val="2"/>
              <w:lang w:eastAsia="en-US"/>
              <w14:ligatures w14:val="standardContextual"/>
            </w:rPr>
            <w:t xml:space="preserve"> Talence : Centre de recherche sur les espaces tropicaux, 2003. Consulté le 09 18, 2024, sur https://www.persee.fr/doc/payen_0989-6007_2003_ant_11_1_935</w:t>
          </w:r>
        </w:p>
        <w:p w14:paraId="39E19E82"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Banque Mondiale. (2023, 04 03). </w:t>
          </w:r>
          <w:r w:rsidRPr="007C5A6E">
            <w:rPr>
              <w:rFonts w:ascii="Times New Roman" w:eastAsia="Aptos" w:hAnsi="Times New Roman"/>
              <w:i/>
              <w:iCs/>
              <w:noProof/>
              <w:kern w:val="2"/>
              <w:lang w:eastAsia="en-US"/>
              <w14:ligatures w14:val="standardContextual"/>
            </w:rPr>
            <w:t>Développement urbain</w:t>
          </w:r>
          <w:r w:rsidRPr="007C5A6E">
            <w:rPr>
              <w:rFonts w:ascii="Times New Roman" w:eastAsia="Aptos" w:hAnsi="Times New Roman"/>
              <w:noProof/>
              <w:kern w:val="2"/>
              <w:lang w:eastAsia="en-US"/>
              <w14:ligatures w14:val="standardContextual"/>
            </w:rPr>
            <w:t>. Consulté le 09 04, 2024, sur Groupe de la Banque Mondiale: https://www.banquemondiale.org/fr/topic/urbandevelopment/overview#:~:text=Vue%20d'ensemble,-Contexte&amp;text=Aujourd'hui%2C%2056%20%25%20de,monde%20vivront%20en%20milieu%20urbain.</w:t>
          </w:r>
        </w:p>
        <w:p w14:paraId="1F8AAB68"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Boly, D. (2017). Inégalités scolaires au primaire à Ouagadougou dans les années 2000. </w:t>
          </w:r>
          <w:r w:rsidRPr="007C5A6E">
            <w:rPr>
              <w:rFonts w:ascii="Times New Roman" w:eastAsia="Aptos" w:hAnsi="Times New Roman"/>
              <w:i/>
              <w:iCs/>
              <w:noProof/>
              <w:kern w:val="2"/>
              <w:lang w:eastAsia="en-US"/>
              <w14:ligatures w14:val="standardContextual"/>
            </w:rPr>
            <w:t>Démographie</w:t>
          </w:r>
          <w:r w:rsidRPr="007C5A6E">
            <w:rPr>
              <w:rFonts w:ascii="Times New Roman" w:eastAsia="Aptos" w:hAnsi="Times New Roman"/>
              <w:noProof/>
              <w:kern w:val="2"/>
              <w:lang w:eastAsia="en-US"/>
              <w14:ligatures w14:val="standardContextual"/>
            </w:rPr>
            <w:t>. Paris, France: Université Sorbonne Paris. Consulté le 09 17, 2024, sur https://theses.hal.science/tel-02185223/file/va_Boly_Dramane.pdf</w:t>
          </w:r>
        </w:p>
        <w:p w14:paraId="25DE87E1"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Boyer, F., &amp; Delaunay, D. (2017). Se déplacer dans Ouagadougou au quotidien, moyens, contraintes et pratiques de la mobilité. </w:t>
          </w:r>
          <w:r w:rsidRPr="007C5A6E">
            <w:rPr>
              <w:rFonts w:ascii="Times New Roman" w:eastAsia="Aptos" w:hAnsi="Times New Roman"/>
              <w:i/>
              <w:iCs/>
              <w:noProof/>
              <w:kern w:val="2"/>
              <w:lang w:eastAsia="en-US"/>
              <w14:ligatures w14:val="standardContextual"/>
            </w:rPr>
            <w:t>Monographies Sud-Nord</w:t>
          </w:r>
          <w:r w:rsidRPr="007C5A6E">
            <w:rPr>
              <w:rFonts w:ascii="Times New Roman" w:eastAsia="Aptos" w:hAnsi="Times New Roman"/>
              <w:noProof/>
              <w:kern w:val="2"/>
              <w:lang w:eastAsia="en-US"/>
              <w14:ligatures w14:val="standardContextual"/>
            </w:rPr>
            <w:t>(6), p. 76. Consulté le 09 18, 2024, sur http://iedespubli.hypotheses.org/monographies-sud-nord</w:t>
          </w:r>
        </w:p>
        <w:p w14:paraId="650F8712"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Cadot, E., &amp; Harang, M. (2009, juillet 31). Offre de soins et expansion urbaine, conséquences pour l’accès aux soins. L’exemple de Ouagadougou (Burkina Faso). </w:t>
          </w:r>
          <w:r w:rsidRPr="007C5A6E">
            <w:rPr>
              <w:rFonts w:ascii="Times New Roman" w:eastAsia="Aptos" w:hAnsi="Times New Roman"/>
              <w:i/>
              <w:iCs/>
              <w:noProof/>
              <w:kern w:val="2"/>
              <w:lang w:eastAsia="en-US"/>
              <w14:ligatures w14:val="standardContextual"/>
            </w:rPr>
            <w:t>Espace populations sociétés</w:t>
          </w:r>
          <w:r w:rsidRPr="007C5A6E">
            <w:rPr>
              <w:rFonts w:ascii="Times New Roman" w:eastAsia="Aptos" w:hAnsi="Times New Roman"/>
              <w:noProof/>
              <w:kern w:val="2"/>
              <w:lang w:eastAsia="en-US"/>
              <w14:ligatures w14:val="standardContextual"/>
            </w:rPr>
            <w:t>. doi:DOI: 10.4000/eps.1739</w:t>
          </w:r>
        </w:p>
        <w:p w14:paraId="1FBDB08E"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CGLU. (2008). </w:t>
          </w:r>
          <w:r w:rsidRPr="007C5A6E">
            <w:rPr>
              <w:rFonts w:ascii="Times New Roman" w:eastAsia="Aptos" w:hAnsi="Times New Roman"/>
              <w:i/>
              <w:iCs/>
              <w:noProof/>
              <w:kern w:val="2"/>
              <w:lang w:eastAsia="en-US"/>
              <w14:ligatures w14:val="standardContextual"/>
            </w:rPr>
            <w:t>La décentralisation et la démocratie locale dans le monde : premier rapport mondial.</w:t>
          </w:r>
          <w:r w:rsidRPr="007C5A6E">
            <w:rPr>
              <w:rFonts w:ascii="Times New Roman" w:eastAsia="Aptos" w:hAnsi="Times New Roman"/>
              <w:noProof/>
              <w:kern w:val="2"/>
              <w:lang w:eastAsia="en-US"/>
              <w14:ligatures w14:val="standardContextual"/>
            </w:rPr>
            <w:t xml:space="preserve"> Barcelona: CGLU. Consulté le 09 13, 2024, sur https://www.gold.uclg.org/sites/default/files/GOLDI_%20FR.pdf</w:t>
          </w:r>
        </w:p>
        <w:p w14:paraId="4B2B0A75"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Chaumier, H., &amp; Guigma, L. (2015). Urbanisme et mobilité à Ouaga : à pied, à vélo, en auto ou à moto, quels enjeux pour la ville ? </w:t>
          </w:r>
          <w:r w:rsidRPr="007C5A6E">
            <w:rPr>
              <w:rFonts w:ascii="Times New Roman" w:eastAsia="Aptos" w:hAnsi="Times New Roman"/>
              <w:i/>
              <w:iCs/>
              <w:noProof/>
              <w:kern w:val="2"/>
              <w:lang w:eastAsia="en-US"/>
              <w14:ligatures w14:val="standardContextual"/>
            </w:rPr>
            <w:t>Rencontres de jeunes professionnels de Ouagadougou.</w:t>
          </w:r>
          <w:r w:rsidRPr="007C5A6E">
            <w:rPr>
              <w:rFonts w:ascii="Times New Roman" w:eastAsia="Aptos" w:hAnsi="Times New Roman"/>
              <w:noProof/>
              <w:kern w:val="2"/>
              <w:lang w:eastAsia="en-US"/>
              <w14:ligatures w14:val="standardContextual"/>
            </w:rPr>
            <w:t xml:space="preserve"> Ouagadougou: Projection. Consulté le 09 18, 2024, sur https://www.reseauprojection.org/wiki/images/8/8e/CR_RM_Urban_Ouaga_17-11-15.pdf</w:t>
          </w:r>
        </w:p>
        <w:p w14:paraId="4D3D004C"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CNSS. (2023, juin 23). Consulté le 06 27, 2024, sur Caisse nationale de sécurité sociale - Burkina Faso: https://cnssbf.org/?p=8337</w:t>
          </w:r>
        </w:p>
        <w:p w14:paraId="38413CA0" w14:textId="77777777" w:rsidR="00BE2D71" w:rsidRPr="007C5A6E" w:rsidRDefault="00BE2D71" w:rsidP="00BE2D71">
          <w:pPr>
            <w:spacing w:after="0" w:line="259" w:lineRule="auto"/>
            <w:ind w:left="720" w:hanging="720"/>
            <w:rPr>
              <w:rFonts w:ascii="Times New Roman" w:eastAsia="Aptos" w:hAnsi="Times New Roman"/>
              <w:noProof/>
              <w:kern w:val="2"/>
              <w:lang w:val="en-US" w:eastAsia="en-US"/>
              <w14:ligatures w14:val="standardContextual"/>
            </w:rPr>
          </w:pPr>
          <w:r w:rsidRPr="007C5A6E">
            <w:rPr>
              <w:rFonts w:ascii="Times New Roman" w:eastAsia="Aptos" w:hAnsi="Times New Roman"/>
              <w:noProof/>
              <w:kern w:val="2"/>
              <w:lang w:val="en-US" w:eastAsia="en-US"/>
              <w14:ligatures w14:val="standardContextual"/>
            </w:rPr>
            <w:t xml:space="preserve">Deshpande, A. (2022). </w:t>
          </w:r>
          <w:r w:rsidRPr="007C5A6E">
            <w:rPr>
              <w:rFonts w:ascii="Times New Roman" w:eastAsia="Aptos" w:hAnsi="Times New Roman"/>
              <w:i/>
              <w:iCs/>
              <w:noProof/>
              <w:kern w:val="2"/>
              <w:lang w:val="en-US" w:eastAsia="en-US"/>
              <w14:ligatures w14:val="standardContextual"/>
            </w:rPr>
            <w:t>"The Covid-19 Pandemic and Lockdown: First Effects on Gender Gaps in Employment and Domestic Work in India.</w:t>
          </w:r>
          <w:r w:rsidRPr="007C5A6E">
            <w:rPr>
              <w:rFonts w:ascii="Times New Roman" w:eastAsia="Aptos" w:hAnsi="Times New Roman"/>
              <w:noProof/>
              <w:kern w:val="2"/>
              <w:lang w:val="en-US" w:eastAsia="en-US"/>
              <w14:ligatures w14:val="standardContextual"/>
            </w:rPr>
            <w:t xml:space="preserve"> Working Papers 30, Ashoka University, Department of Economics. Consulté le Juillet 19, 2023, sur https://ideas.repec.org/p/ash/wpaper/30.html</w:t>
          </w:r>
        </w:p>
        <w:p w14:paraId="39BF97DF"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Fournet, F., Meunier-Nikiema, A., &amp; Salem, G. (2008). </w:t>
          </w:r>
          <w:r w:rsidRPr="007C5A6E">
            <w:rPr>
              <w:rFonts w:ascii="Times New Roman" w:eastAsia="Aptos" w:hAnsi="Times New Roman"/>
              <w:i/>
              <w:iCs/>
              <w:noProof/>
              <w:kern w:val="2"/>
              <w:lang w:eastAsia="en-US"/>
              <w14:ligatures w14:val="standardContextual"/>
            </w:rPr>
            <w:t>Ouagadougou (1850-2004) : Une urbanisation différenciée.</w:t>
          </w:r>
          <w:r w:rsidRPr="007C5A6E">
            <w:rPr>
              <w:rFonts w:ascii="Times New Roman" w:eastAsia="Aptos" w:hAnsi="Times New Roman"/>
              <w:noProof/>
              <w:kern w:val="2"/>
              <w:lang w:eastAsia="en-US"/>
              <w14:ligatures w14:val="standardContextual"/>
            </w:rPr>
            <w:t xml:space="preserve"> Marseille: IRD Editions. Consulté le 09 14, 2024, sur https://horizon.documentation.ird.fr/exl-doc/pleins_textes/divers10-05/010048783.pdf</w:t>
          </w:r>
        </w:p>
        <w:p w14:paraId="06322660"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Géoinfluences. (2010, juin). </w:t>
          </w:r>
          <w:r w:rsidRPr="007C5A6E">
            <w:rPr>
              <w:rFonts w:ascii="Times New Roman" w:eastAsia="Aptos" w:hAnsi="Times New Roman"/>
              <w:i/>
              <w:iCs/>
              <w:noProof/>
              <w:kern w:val="2"/>
              <w:lang w:eastAsia="en-US"/>
              <w14:ligatures w14:val="standardContextual"/>
            </w:rPr>
            <w:t>Urbanisation</w:t>
          </w:r>
          <w:r w:rsidRPr="007C5A6E">
            <w:rPr>
              <w:rFonts w:ascii="Times New Roman" w:eastAsia="Aptos" w:hAnsi="Times New Roman"/>
              <w:noProof/>
              <w:kern w:val="2"/>
              <w:lang w:eastAsia="en-US"/>
              <w14:ligatures w14:val="standardContextual"/>
            </w:rPr>
            <w:t>. Consulté le 09 04, 2024, sur Géoinfluences: https://geoconfluences.ens-lyon.fr/glossaire/urbanisation-1</w:t>
          </w:r>
        </w:p>
        <w:p w14:paraId="4CF6D49E"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GRAAD. (2022). </w:t>
          </w:r>
          <w:r w:rsidRPr="007C5A6E">
            <w:rPr>
              <w:rFonts w:ascii="Times New Roman" w:eastAsia="Aptos" w:hAnsi="Times New Roman"/>
              <w:i/>
              <w:iCs/>
              <w:noProof/>
              <w:kern w:val="2"/>
              <w:lang w:eastAsia="en-US"/>
              <w14:ligatures w14:val="standardContextual"/>
            </w:rPr>
            <w:t>Résilience des jeunes à l'extrémisme violent au Burkina Faso : liens et poids relatif des opportunités économiques.</w:t>
          </w:r>
          <w:r w:rsidRPr="007C5A6E">
            <w:rPr>
              <w:rFonts w:ascii="Times New Roman" w:eastAsia="Aptos" w:hAnsi="Times New Roman"/>
              <w:noProof/>
              <w:kern w:val="2"/>
              <w:lang w:eastAsia="en-US"/>
              <w14:ligatures w14:val="standardContextual"/>
            </w:rPr>
            <w:t xml:space="preserve"> Ouagadougou, Burkina Faso: GRAAD Think Tank.</w:t>
          </w:r>
        </w:p>
        <w:p w14:paraId="34477D87"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INSD. (2003). </w:t>
          </w:r>
          <w:r w:rsidRPr="007C5A6E">
            <w:rPr>
              <w:rFonts w:ascii="Times New Roman" w:eastAsia="Aptos" w:hAnsi="Times New Roman"/>
              <w:i/>
              <w:iCs/>
              <w:noProof/>
              <w:kern w:val="2"/>
              <w:lang w:eastAsia="en-US"/>
              <w14:ligatures w14:val="standardContextual"/>
            </w:rPr>
            <w:t>Le secteur informel dans l'agglomération de Ouagadougou : performances, insertion, perspectives.</w:t>
          </w:r>
          <w:r w:rsidRPr="007C5A6E">
            <w:rPr>
              <w:rFonts w:ascii="Times New Roman" w:eastAsia="Aptos" w:hAnsi="Times New Roman"/>
              <w:noProof/>
              <w:kern w:val="2"/>
              <w:lang w:eastAsia="en-US"/>
              <w14:ligatures w14:val="standardContextual"/>
            </w:rPr>
            <w:t xml:space="preserve"> Ouagadougou: INSD. Consulté le 09 14, 2024, sur http://www.cns.bf/IMG/pdf/secteur_informel_ouagadougou_2003-2.pdf</w:t>
          </w:r>
        </w:p>
        <w:p w14:paraId="35A76C80"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INSD. (2006). </w:t>
          </w:r>
          <w:r w:rsidRPr="007C5A6E">
            <w:rPr>
              <w:rFonts w:ascii="Times New Roman" w:eastAsia="Aptos" w:hAnsi="Times New Roman"/>
              <w:i/>
              <w:iCs/>
              <w:noProof/>
              <w:kern w:val="2"/>
              <w:lang w:eastAsia="en-US"/>
              <w14:ligatures w14:val="standardContextual"/>
            </w:rPr>
            <w:t>Recemment général de la population et de l'habitat de 2006.</w:t>
          </w:r>
          <w:r w:rsidRPr="007C5A6E">
            <w:rPr>
              <w:rFonts w:ascii="Times New Roman" w:eastAsia="Aptos" w:hAnsi="Times New Roman"/>
              <w:noProof/>
              <w:kern w:val="2"/>
              <w:lang w:eastAsia="en-US"/>
              <w14:ligatures w14:val="standardContextual"/>
            </w:rPr>
            <w:t xml:space="preserve"> Ouagadougou: INSD. Consulté le 09 25, 2024, sur http://www.cns.bf/IMG/pdf/RGPH_2006.pdf</w:t>
          </w:r>
        </w:p>
        <w:p w14:paraId="72FA36C6"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INSD. (2009). </w:t>
          </w:r>
          <w:r w:rsidRPr="007C5A6E">
            <w:rPr>
              <w:rFonts w:ascii="Times New Roman" w:eastAsia="Aptos" w:hAnsi="Times New Roman"/>
              <w:i/>
              <w:iCs/>
              <w:noProof/>
              <w:kern w:val="2"/>
              <w:lang w:eastAsia="en-US"/>
              <w14:ligatures w14:val="standardContextual"/>
            </w:rPr>
            <w:t>Projections démographiques 2007-2050.</w:t>
          </w:r>
          <w:r w:rsidRPr="007C5A6E">
            <w:rPr>
              <w:rFonts w:ascii="Times New Roman" w:eastAsia="Aptos" w:hAnsi="Times New Roman"/>
              <w:noProof/>
              <w:kern w:val="2"/>
              <w:lang w:eastAsia="en-US"/>
              <w14:ligatures w14:val="standardContextual"/>
            </w:rPr>
            <w:t xml:space="preserve"> Ouagadougou: INSD. Consulté le 09 13, 2024, sur https://www.insd.bf/sites/default/files/2021-12/Theme16-Projections_demographiques.pdf</w:t>
          </w:r>
        </w:p>
        <w:p w14:paraId="041446B0"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INSD. (2019). </w:t>
          </w:r>
          <w:r w:rsidRPr="007C5A6E">
            <w:rPr>
              <w:rFonts w:ascii="Times New Roman" w:eastAsia="Aptos" w:hAnsi="Times New Roman"/>
              <w:i/>
              <w:iCs/>
              <w:noProof/>
              <w:kern w:val="2"/>
              <w:lang w:eastAsia="en-US"/>
              <w14:ligatures w14:val="standardContextual"/>
            </w:rPr>
            <w:t>Enquête régionale intégrée sur l’emploi et le secteur informel (ERI-ESI) : Burkina Faso, 2018.</w:t>
          </w:r>
          <w:r w:rsidRPr="007C5A6E">
            <w:rPr>
              <w:rFonts w:ascii="Times New Roman" w:eastAsia="Aptos" w:hAnsi="Times New Roman"/>
              <w:noProof/>
              <w:kern w:val="2"/>
              <w:lang w:eastAsia="en-US"/>
              <w14:ligatures w14:val="standardContextual"/>
            </w:rPr>
            <w:t xml:space="preserve"> Ouagadougou: INSD. Consulté le 09 14, 2024, sur https://www.insd.bf/sites/default/files/2021-12/Burkina%20%20%20%20Faso_ERI-ESI_SyntheseVF.pdf</w:t>
          </w:r>
        </w:p>
        <w:p w14:paraId="18E8920D"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INSD. (2020). </w:t>
          </w:r>
          <w:r w:rsidRPr="007C5A6E">
            <w:rPr>
              <w:rFonts w:ascii="Times New Roman" w:eastAsia="Aptos" w:hAnsi="Times New Roman"/>
              <w:i/>
              <w:iCs/>
              <w:noProof/>
              <w:kern w:val="2"/>
              <w:lang w:eastAsia="en-US"/>
              <w14:ligatures w14:val="standardContextual"/>
            </w:rPr>
            <w:t>Tableau de bord social 2020.</w:t>
          </w:r>
          <w:r w:rsidRPr="007C5A6E">
            <w:rPr>
              <w:rFonts w:ascii="Times New Roman" w:eastAsia="Aptos" w:hAnsi="Times New Roman"/>
              <w:noProof/>
              <w:kern w:val="2"/>
              <w:lang w:eastAsia="en-US"/>
              <w14:ligatures w14:val="standardContextual"/>
            </w:rPr>
            <w:t xml:space="preserve"> Ouagadougou: INSD. Consulté le 09 13, 2024, sur https://www.insd.bf/sites/default/files/2021-12/Tableau%20de%20Bord_Social_2020.pdf</w:t>
          </w:r>
        </w:p>
        <w:p w14:paraId="2D37B479"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INSD. (2022a). </w:t>
          </w:r>
          <w:r w:rsidRPr="007C5A6E">
            <w:rPr>
              <w:rFonts w:ascii="Times New Roman" w:eastAsia="Aptos" w:hAnsi="Times New Roman"/>
              <w:i/>
              <w:iCs/>
              <w:noProof/>
              <w:kern w:val="2"/>
              <w:lang w:eastAsia="en-US"/>
              <w14:ligatures w14:val="standardContextual"/>
            </w:rPr>
            <w:t>5em recencement général de la population et de l'habitation de 2019 : monographie de la commune de Ouagadougou.</w:t>
          </w:r>
          <w:r w:rsidRPr="007C5A6E">
            <w:rPr>
              <w:rFonts w:ascii="Times New Roman" w:eastAsia="Aptos" w:hAnsi="Times New Roman"/>
              <w:noProof/>
              <w:kern w:val="2"/>
              <w:lang w:eastAsia="en-US"/>
              <w14:ligatures w14:val="standardContextual"/>
            </w:rPr>
            <w:t xml:space="preserve"> Ouagadougou: INSD. Consulté le 09 17, 2024, sur https://www.insd.bf/sites/default/files/2023-02/MONOGRAPHIE%20DE%20OUAGADOUGOU_5E%20RGPH_0.pdf</w:t>
          </w:r>
        </w:p>
        <w:p w14:paraId="4D133ED4"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INSD. (2022b). </w:t>
          </w:r>
          <w:r w:rsidRPr="007C5A6E">
            <w:rPr>
              <w:rFonts w:ascii="Times New Roman" w:eastAsia="Aptos" w:hAnsi="Times New Roman"/>
              <w:i/>
              <w:iCs/>
              <w:noProof/>
              <w:kern w:val="2"/>
              <w:lang w:eastAsia="en-US"/>
              <w14:ligatures w14:val="standardContextual"/>
            </w:rPr>
            <w:t>5ème recensement général de la population et de l'habitation du Burkina Faso-Volume 3 : mesure et cartographie de la pauvreté.</w:t>
          </w:r>
          <w:r w:rsidRPr="007C5A6E">
            <w:rPr>
              <w:rFonts w:ascii="Times New Roman" w:eastAsia="Aptos" w:hAnsi="Times New Roman"/>
              <w:noProof/>
              <w:kern w:val="2"/>
              <w:lang w:eastAsia="en-US"/>
              <w14:ligatures w14:val="standardContextual"/>
            </w:rPr>
            <w:t xml:space="preserve"> Ouagadougou: INSD. Consulté le Février 1, 2024, sur https://www.insd.bf/sites/default/files/2023-07/VOLUME%203%20-CARTOGRAPHIE%20DE%20LA%</w:t>
          </w:r>
          <w:r w:rsidRPr="007C5A6E">
            <w:rPr>
              <w:rFonts w:ascii="Times New Roman" w:eastAsia="Aptos" w:hAnsi="Times New Roman"/>
              <w:noProof/>
              <w:kern w:val="2"/>
              <w:sz w:val="20"/>
              <w:szCs w:val="20"/>
              <w:lang w:eastAsia="en-US"/>
              <w14:ligatures w14:val="standardContextual"/>
            </w:rPr>
            <w:t>20PAUVRETE</w:t>
          </w:r>
          <w:r w:rsidRPr="007C5A6E">
            <w:rPr>
              <w:rFonts w:ascii="Times New Roman" w:eastAsia="Aptos" w:hAnsi="Times New Roman"/>
              <w:noProof/>
              <w:kern w:val="2"/>
              <w:lang w:eastAsia="en-US"/>
              <w14:ligatures w14:val="standardContextual"/>
            </w:rPr>
            <w:t>.pdf</w:t>
          </w:r>
        </w:p>
        <w:p w14:paraId="765E1FAE"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INSD. (2022c). </w:t>
          </w:r>
          <w:r w:rsidRPr="007C5A6E">
            <w:rPr>
              <w:rFonts w:ascii="Times New Roman" w:eastAsia="Aptos" w:hAnsi="Times New Roman"/>
              <w:i/>
              <w:iCs/>
              <w:noProof/>
              <w:kern w:val="2"/>
              <w:lang w:eastAsia="en-US"/>
              <w14:ligatures w14:val="standardContextual"/>
            </w:rPr>
            <w:t>Principaux résultats de l’études sur la pauvreté et les conditions de vie des ménages en 2021.</w:t>
          </w:r>
          <w:r w:rsidRPr="007C5A6E">
            <w:rPr>
              <w:rFonts w:ascii="Times New Roman" w:eastAsia="Aptos" w:hAnsi="Times New Roman"/>
              <w:noProof/>
              <w:kern w:val="2"/>
              <w:lang w:eastAsia="en-US"/>
              <w14:ligatures w14:val="standardContextual"/>
            </w:rPr>
            <w:t xml:space="preserve"> Ouagadougou: INSD. Consulté le 09 17, 2024, sur https://www.insd.bf/sites/default/files/2024-01/Principaux%20r%C3%A9sultats%20EHCVM-2021.pdf</w:t>
          </w:r>
        </w:p>
        <w:p w14:paraId="13F26028"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INSD. (2023a). </w:t>
          </w:r>
          <w:r w:rsidRPr="007C5A6E">
            <w:rPr>
              <w:rFonts w:ascii="Times New Roman" w:eastAsia="Aptos" w:hAnsi="Times New Roman"/>
              <w:i/>
              <w:iCs/>
              <w:noProof/>
              <w:kern w:val="2"/>
              <w:lang w:eastAsia="en-US"/>
              <w14:ligatures w14:val="standardContextual"/>
            </w:rPr>
            <w:t>Analyse approfondie : Disparités spatiales de la qualité des logements au Burkina Faso.</w:t>
          </w:r>
          <w:r w:rsidRPr="007C5A6E">
            <w:rPr>
              <w:rFonts w:ascii="Times New Roman" w:eastAsia="Aptos" w:hAnsi="Times New Roman"/>
              <w:noProof/>
              <w:kern w:val="2"/>
              <w:lang w:eastAsia="en-US"/>
              <w14:ligatures w14:val="standardContextual"/>
            </w:rPr>
            <w:t xml:space="preserve"> Ouagadougou: INSD. Consulté le 09 12, 2024, sur file:///C:/Users/LGDamien/OneDrive/Documents/Dossiers_Etude/Ann%C3%A9e%202024/Etude%20REEB%20V_Mars%2024/Rapport%20VF00/Biblio_sept24/Les%20disparit%C3%A9s%20spatiales%20de%20la%20qualit%C3%A9%20des%20logements%20au%20Burkina%20Faso_LOGEMENTS.pdf</w:t>
          </w:r>
        </w:p>
        <w:p w14:paraId="545FA171"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INSD. (2023b). </w:t>
          </w:r>
          <w:r w:rsidRPr="007C5A6E">
            <w:rPr>
              <w:rFonts w:ascii="Times New Roman" w:eastAsia="Aptos" w:hAnsi="Times New Roman"/>
              <w:i/>
              <w:iCs/>
              <w:noProof/>
              <w:kern w:val="2"/>
              <w:lang w:eastAsia="en-US"/>
              <w14:ligatures w14:val="standardContextual"/>
            </w:rPr>
            <w:t>Analyse approfondie : migration de la main d'oeuvre au Burkina Faso.</w:t>
          </w:r>
          <w:r w:rsidRPr="007C5A6E">
            <w:rPr>
              <w:rFonts w:ascii="Times New Roman" w:eastAsia="Aptos" w:hAnsi="Times New Roman"/>
              <w:noProof/>
              <w:kern w:val="2"/>
              <w:lang w:eastAsia="en-US"/>
              <w14:ligatures w14:val="standardContextual"/>
            </w:rPr>
            <w:t xml:space="preserve"> Ouagadougou: INSD. Consulté le 09 09, 2024, sur file:///C:/Users/LGDamien/OneDrive/Documents/Dossiers_Etude/Ann%C3%A9e%202024/Etude%20REEB%20V_Mars%2024/Rapport%20VF00/Documents_TAF_09sept24/INSD/Donnees_INSD/Migration%20de%20la%20main%20d%20oeuvre%20au%20Burkina%20Faso%20VF.pdf</w:t>
          </w:r>
        </w:p>
        <w:p w14:paraId="73C14DC1"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INSD-RGPH. (2022). </w:t>
          </w:r>
          <w:r w:rsidRPr="007C5A6E">
            <w:rPr>
              <w:rFonts w:ascii="Times New Roman" w:eastAsia="Aptos" w:hAnsi="Times New Roman"/>
              <w:i/>
              <w:iCs/>
              <w:noProof/>
              <w:kern w:val="2"/>
              <w:lang w:eastAsia="en-US"/>
              <w14:ligatures w14:val="standardContextual"/>
            </w:rPr>
            <w:t>Cinquième Recensement Général de la Population et de l’Habitation du Burkina Faso.</w:t>
          </w:r>
          <w:r w:rsidRPr="007C5A6E">
            <w:rPr>
              <w:rFonts w:ascii="Times New Roman" w:eastAsia="Aptos" w:hAnsi="Times New Roman"/>
              <w:noProof/>
              <w:kern w:val="2"/>
              <w:lang w:eastAsia="en-US"/>
              <w14:ligatures w14:val="standardContextual"/>
            </w:rPr>
            <w:t xml:space="preserve"> Ouagadougou: INSD. Consulté le 09 04, 2024, sur http://cns.bf/IMG/pdf/plaquette_resultats_definitifs_rgph_2019_-_revu_30-12-2022.pdf</w:t>
          </w:r>
        </w:p>
        <w:p w14:paraId="59D0DFEB"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IOE. (2023). </w:t>
          </w:r>
          <w:r w:rsidRPr="007C5A6E">
            <w:rPr>
              <w:rFonts w:ascii="Times New Roman" w:eastAsia="Aptos" w:hAnsi="Times New Roman"/>
              <w:i/>
              <w:iCs/>
              <w:noProof/>
              <w:kern w:val="2"/>
              <w:lang w:eastAsia="en-US"/>
              <w14:ligatures w14:val="standardContextual"/>
            </w:rPr>
            <w:t>Analyse du climat des affaires dans les PMA : Burkina Faso.</w:t>
          </w:r>
          <w:r w:rsidRPr="007C5A6E">
            <w:rPr>
              <w:rFonts w:ascii="Times New Roman" w:eastAsia="Aptos" w:hAnsi="Times New Roman"/>
              <w:noProof/>
              <w:kern w:val="2"/>
              <w:lang w:eastAsia="en-US"/>
              <w14:ligatures w14:val="standardContextual"/>
            </w:rPr>
            <w:t xml:space="preserve"> Genève: IOE. Consulté le 09 14, 2024, sur https://www.ioe-emp.org/index.php?eID=dumpFile&amp;t=f&amp;f=157980&amp;token=8d278dfece0547747dea1c2d010f38a0846419b6#:~:text=L'informalit%C3%A9%20%2D%20L'%C3%A9conomie,5%2C70%20%25%20en%202019.</w:t>
          </w:r>
        </w:p>
        <w:p w14:paraId="3D2B2F7C"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IRD. (2009). </w:t>
          </w:r>
          <w:r w:rsidRPr="007C5A6E">
            <w:rPr>
              <w:rFonts w:ascii="Times New Roman" w:eastAsia="Aptos" w:hAnsi="Times New Roman"/>
              <w:i/>
              <w:iCs/>
              <w:noProof/>
              <w:kern w:val="2"/>
              <w:lang w:eastAsia="en-US"/>
              <w14:ligatures w14:val="standardContextual"/>
            </w:rPr>
            <w:t>Peuplement de Ouagadougou et Développement urbain.</w:t>
          </w:r>
          <w:r w:rsidRPr="007C5A6E">
            <w:rPr>
              <w:rFonts w:ascii="Times New Roman" w:eastAsia="Aptos" w:hAnsi="Times New Roman"/>
              <w:noProof/>
              <w:kern w:val="2"/>
              <w:lang w:eastAsia="en-US"/>
              <w14:ligatures w14:val="standardContextual"/>
            </w:rPr>
            <w:t xml:space="preserve"> Ouagadougou: IRD. Consulté le 09 14, 2024, sur https://horizon.documentation.ird.fr/exl-doc/pleins_textes/divers11-03/010046843.pdf</w:t>
          </w:r>
        </w:p>
        <w:p w14:paraId="3CC97E37"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IRD. (2017). </w:t>
          </w:r>
          <w:r w:rsidRPr="007C5A6E">
            <w:rPr>
              <w:rFonts w:ascii="Times New Roman" w:eastAsia="Aptos" w:hAnsi="Times New Roman"/>
              <w:i/>
              <w:iCs/>
              <w:noProof/>
              <w:kern w:val="2"/>
              <w:lang w:eastAsia="en-US"/>
              <w14:ligatures w14:val="standardContextual"/>
            </w:rPr>
            <w:t>Ouagadougou (1950-2004) : urbanisation différenciée.</w:t>
          </w:r>
          <w:r w:rsidRPr="007C5A6E">
            <w:rPr>
              <w:rFonts w:ascii="Times New Roman" w:eastAsia="Aptos" w:hAnsi="Times New Roman"/>
              <w:noProof/>
              <w:kern w:val="2"/>
              <w:lang w:eastAsia="en-US"/>
              <w14:ligatures w14:val="standardContextual"/>
            </w:rPr>
            <w:t xml:space="preserve"> Ouagadougou: IRD. Consulté le 09 05, 2024, sur https://horizon.documentation.ird.fr/exl-doc/pleins_textes/divers10-05/010048783.pdf</w:t>
          </w:r>
        </w:p>
        <w:p w14:paraId="18FBD97A"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KONRAD ADENAUER STIFTUNG. (2023). </w:t>
          </w:r>
          <w:r w:rsidRPr="007C5A6E">
            <w:rPr>
              <w:rFonts w:ascii="Times New Roman" w:eastAsia="Aptos" w:hAnsi="Times New Roman"/>
              <w:i/>
              <w:iCs/>
              <w:noProof/>
              <w:kern w:val="2"/>
              <w:lang w:eastAsia="en-US"/>
              <w14:ligatures w14:val="standardContextual"/>
            </w:rPr>
            <w:t>Etude sur la migration au Burkina Faso - Rapport final.</w:t>
          </w:r>
          <w:r w:rsidRPr="007C5A6E">
            <w:rPr>
              <w:rFonts w:ascii="Times New Roman" w:eastAsia="Aptos" w:hAnsi="Times New Roman"/>
              <w:noProof/>
              <w:kern w:val="2"/>
              <w:lang w:eastAsia="en-US"/>
              <w14:ligatures w14:val="standardContextual"/>
            </w:rPr>
            <w:t xml:space="preserve"> Ouagadougou: KONRAD ADENAUER STIFTUNG. Consulté le 09 09, 2024, sur https://www.kas.de/documents/265798/23405107/Etude+migration+Burkina+Fasol.pdf/b9f283d0-1ad1-085c-1c6c-5f680b26d3dc?version=1.0&amp;t=1699453867423#:~:text=Types%20de%20migrations%2C%20profils%20des,que%20des%20mouvements%20de%20r%C3%A9fugi%C3%A9s.</w:t>
          </w:r>
        </w:p>
        <w:p w14:paraId="10D2DA77"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Larousse. (2024, 09 04). </w:t>
          </w:r>
          <w:r w:rsidRPr="007C5A6E">
            <w:rPr>
              <w:rFonts w:ascii="Times New Roman" w:eastAsia="Aptos" w:hAnsi="Times New Roman"/>
              <w:i/>
              <w:iCs/>
              <w:noProof/>
              <w:kern w:val="2"/>
              <w:lang w:eastAsia="en-US"/>
              <w14:ligatures w14:val="standardContextual"/>
            </w:rPr>
            <w:t>Urbanisation</w:t>
          </w:r>
          <w:r w:rsidRPr="007C5A6E">
            <w:rPr>
              <w:rFonts w:ascii="Times New Roman" w:eastAsia="Aptos" w:hAnsi="Times New Roman"/>
              <w:noProof/>
              <w:kern w:val="2"/>
              <w:lang w:eastAsia="en-US"/>
              <w14:ligatures w14:val="standardContextual"/>
            </w:rPr>
            <w:t>. Récupéré sur Larousse: https://www.larousse.fr/encyclopedie/divers/urbanisation/100334</w:t>
          </w:r>
        </w:p>
        <w:p w14:paraId="0413C31A" w14:textId="77777777" w:rsidR="00BE2D71" w:rsidRPr="007C5A6E" w:rsidRDefault="00BE2D71" w:rsidP="00BE2D71">
          <w:pPr>
            <w:spacing w:after="0" w:line="259" w:lineRule="auto"/>
            <w:ind w:left="720" w:hanging="720"/>
            <w:rPr>
              <w:rFonts w:ascii="Times New Roman" w:eastAsia="Aptos" w:hAnsi="Times New Roman"/>
              <w:noProof/>
              <w:kern w:val="2"/>
              <w:lang w:val="en-US" w:eastAsia="en-US"/>
              <w14:ligatures w14:val="standardContextual"/>
            </w:rPr>
          </w:pPr>
          <w:r w:rsidRPr="007C5A6E">
            <w:rPr>
              <w:rFonts w:ascii="Times New Roman" w:eastAsia="Aptos" w:hAnsi="Times New Roman"/>
              <w:noProof/>
              <w:kern w:val="2"/>
              <w:lang w:val="en-US" w:eastAsia="en-US"/>
              <w14:ligatures w14:val="standardContextual"/>
            </w:rPr>
            <w:t xml:space="preserve">Learning for Sustainability. (2022, 03 10). </w:t>
          </w:r>
          <w:r w:rsidRPr="007C5A6E">
            <w:rPr>
              <w:rFonts w:ascii="Times New Roman" w:eastAsia="Aptos" w:hAnsi="Times New Roman"/>
              <w:i/>
              <w:iCs/>
              <w:noProof/>
              <w:kern w:val="2"/>
              <w:lang w:val="en-US" w:eastAsia="en-US"/>
              <w14:ligatures w14:val="standardContextual"/>
            </w:rPr>
            <w:t>Using a DPSIR framework to support good natural resource management and policy</w:t>
          </w:r>
          <w:r w:rsidRPr="007C5A6E">
            <w:rPr>
              <w:rFonts w:ascii="Times New Roman" w:eastAsia="Aptos" w:hAnsi="Times New Roman"/>
              <w:noProof/>
              <w:kern w:val="2"/>
              <w:lang w:val="en-US" w:eastAsia="en-US"/>
              <w14:ligatures w14:val="standardContextual"/>
            </w:rPr>
            <w:t>. Récupéré sur Learning for Sustainability: https://learningforsustainability.net/post/extended-dpsir/</w:t>
          </w:r>
        </w:p>
        <w:p w14:paraId="053074F2"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LibreFaso. (2024). </w:t>
          </w:r>
          <w:r w:rsidRPr="007C5A6E">
            <w:rPr>
              <w:rFonts w:ascii="Times New Roman" w:eastAsia="Aptos" w:hAnsi="Times New Roman"/>
              <w:i/>
              <w:iCs/>
              <w:noProof/>
              <w:kern w:val="2"/>
              <w:lang w:eastAsia="en-US"/>
              <w14:ligatures w14:val="standardContextual"/>
            </w:rPr>
            <w:t>La situation éducative au Burkina Faso</w:t>
          </w:r>
          <w:r w:rsidRPr="007C5A6E">
            <w:rPr>
              <w:rFonts w:ascii="Times New Roman" w:eastAsia="Aptos" w:hAnsi="Times New Roman"/>
              <w:noProof/>
              <w:kern w:val="2"/>
              <w:lang w:eastAsia="en-US"/>
              <w14:ligatures w14:val="standardContextual"/>
            </w:rPr>
            <w:t>. Consulté le 09 18, 2024, sur LibreFaso: https://librefaso.pollux.casa/situationeducative.gmi</w:t>
          </w:r>
        </w:p>
        <w:p w14:paraId="2F0319BE"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Mathonnat, J., Audibert, M., &amp; Nossek, V. (2021). </w:t>
          </w:r>
          <w:r w:rsidRPr="007C5A6E">
            <w:rPr>
              <w:rFonts w:ascii="Times New Roman" w:eastAsia="Aptos" w:hAnsi="Times New Roman"/>
              <w:i/>
              <w:iCs/>
              <w:noProof/>
              <w:kern w:val="2"/>
              <w:lang w:eastAsia="en-US"/>
              <w14:ligatures w14:val="standardContextual"/>
            </w:rPr>
            <w:t>Perception de la Covid et comportement des ménages au Burkina Faso : une analyse sur données d’enquête.</w:t>
          </w:r>
          <w:r w:rsidRPr="007C5A6E">
            <w:rPr>
              <w:rFonts w:ascii="Times New Roman" w:eastAsia="Aptos" w:hAnsi="Times New Roman"/>
              <w:noProof/>
              <w:kern w:val="2"/>
              <w:lang w:eastAsia="en-US"/>
              <w14:ligatures w14:val="standardContextual"/>
            </w:rPr>
            <w:t xml:space="preserve"> Politique de Développement, Document de travail.</w:t>
          </w:r>
        </w:p>
        <w:p w14:paraId="24FF5FD9"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MECV. (2010). </w:t>
          </w:r>
          <w:r w:rsidRPr="007C5A6E">
            <w:rPr>
              <w:rFonts w:ascii="Times New Roman" w:eastAsia="Aptos" w:hAnsi="Times New Roman"/>
              <w:i/>
              <w:iCs/>
              <w:noProof/>
              <w:kern w:val="2"/>
              <w:lang w:eastAsia="en-US"/>
              <w14:ligatures w14:val="standardContextual"/>
            </w:rPr>
            <w:t>Analyse économique de l'environnement et des ressources naturelles au Burkina Faso.</w:t>
          </w:r>
          <w:r w:rsidRPr="007C5A6E">
            <w:rPr>
              <w:rFonts w:ascii="Times New Roman" w:eastAsia="Aptos" w:hAnsi="Times New Roman"/>
              <w:noProof/>
              <w:kern w:val="2"/>
              <w:lang w:eastAsia="en-US"/>
              <w14:ligatures w14:val="standardContextual"/>
            </w:rPr>
            <w:t xml:space="preserve"> Ouagadougou: IPE. Consulté le Mars 22, 2023, sur https://wedocs.unep.org/bitstream/handle/20.500.11822/27401/Evaluation_Economique.pdf?sequence=1&amp;isAllowed=y</w:t>
          </w:r>
        </w:p>
        <w:p w14:paraId="740CC8CB"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MEEA. (2023). </w:t>
          </w:r>
          <w:r w:rsidRPr="007C5A6E">
            <w:rPr>
              <w:rFonts w:ascii="Times New Roman" w:eastAsia="Aptos" w:hAnsi="Times New Roman"/>
              <w:i/>
              <w:iCs/>
              <w:noProof/>
              <w:kern w:val="2"/>
              <w:lang w:eastAsia="en-US"/>
              <w14:ligatures w14:val="standardContextual"/>
            </w:rPr>
            <w:t>Tableau de bord de l'environnement 2021.</w:t>
          </w:r>
          <w:r w:rsidRPr="007C5A6E">
            <w:rPr>
              <w:rFonts w:ascii="Times New Roman" w:eastAsia="Aptos" w:hAnsi="Times New Roman"/>
              <w:noProof/>
              <w:kern w:val="2"/>
              <w:lang w:eastAsia="en-US"/>
              <w14:ligatures w14:val="standardContextual"/>
            </w:rPr>
            <w:t xml:space="preserve"> Ouagadougou: MEEA. Consulté le 11 15, 2024, sur http://cns.bf/IMG/pdf/tbe2021vf_aout2023.pdf</w:t>
          </w:r>
        </w:p>
        <w:p w14:paraId="29800018"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MERH. (2015). </w:t>
          </w:r>
          <w:r w:rsidRPr="007C5A6E">
            <w:rPr>
              <w:rFonts w:ascii="Times New Roman" w:eastAsia="Aptos" w:hAnsi="Times New Roman"/>
              <w:i/>
              <w:iCs/>
              <w:noProof/>
              <w:kern w:val="2"/>
              <w:lang w:eastAsia="en-US"/>
              <w14:ligatures w14:val="standardContextual"/>
            </w:rPr>
            <w:t>Plan national d'adaptation aux changements climatiques.</w:t>
          </w:r>
          <w:r w:rsidRPr="007C5A6E">
            <w:rPr>
              <w:rFonts w:ascii="Times New Roman" w:eastAsia="Aptos" w:hAnsi="Times New Roman"/>
              <w:noProof/>
              <w:kern w:val="2"/>
              <w:lang w:eastAsia="en-US"/>
              <w14:ligatures w14:val="standardContextual"/>
            </w:rPr>
            <w:t xml:space="preserve"> Ouagadougou: MERH. Consulté le 09 05, 2024, sur https://www4.unfccc.int/sites/NAPC/Documents/Parties/PNA_Version_version%20francaise%20finale%20BF.pdf</w:t>
          </w:r>
        </w:p>
        <w:p w14:paraId="2E90655F"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MID. (2023). </w:t>
          </w:r>
          <w:r w:rsidRPr="007C5A6E">
            <w:rPr>
              <w:rFonts w:ascii="Times New Roman" w:eastAsia="Aptos" w:hAnsi="Times New Roman"/>
              <w:i/>
              <w:iCs/>
              <w:noProof/>
              <w:kern w:val="2"/>
              <w:lang w:eastAsia="en-US"/>
              <w14:ligatures w14:val="standardContextual"/>
            </w:rPr>
            <w:t>Tableau de bord statistique 2022 des infrastructures de transport.</w:t>
          </w:r>
          <w:r w:rsidRPr="007C5A6E">
            <w:rPr>
              <w:rFonts w:ascii="Times New Roman" w:eastAsia="Aptos" w:hAnsi="Times New Roman"/>
              <w:noProof/>
              <w:kern w:val="2"/>
              <w:lang w:eastAsia="en-US"/>
              <w14:ligatures w14:val="standardContextual"/>
            </w:rPr>
            <w:t xml:space="preserve"> Ouagadougou: MID. Consulté le 09 13, 2024, sur http://cns.bf/IMG/pdf/mid_tableau_de_bord_statistique_2022_version_def.pdf</w:t>
          </w:r>
        </w:p>
        <w:p w14:paraId="748DC061"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Nations Unies. (2022, Juin 28). </w:t>
          </w:r>
          <w:r w:rsidRPr="007C5A6E">
            <w:rPr>
              <w:rFonts w:ascii="Times New Roman" w:eastAsia="Aptos" w:hAnsi="Times New Roman"/>
              <w:i/>
              <w:iCs/>
              <w:noProof/>
              <w:kern w:val="2"/>
              <w:lang w:eastAsia="en-US"/>
              <w14:ligatures w14:val="standardContextual"/>
            </w:rPr>
            <w:t>Sahel : une grave insécurité alimentaire menace 12 millions de personnes (PAM).</w:t>
          </w:r>
          <w:r w:rsidRPr="007C5A6E">
            <w:rPr>
              <w:rFonts w:ascii="Times New Roman" w:eastAsia="Aptos" w:hAnsi="Times New Roman"/>
              <w:noProof/>
              <w:kern w:val="2"/>
              <w:lang w:eastAsia="en-US"/>
              <w14:ligatures w14:val="standardContextual"/>
            </w:rPr>
            <w:t xml:space="preserve"> Récupéré sur ONU Info: https://news.un.org/fr/story/2022/06/1122672#:~:text=Dans%20ces%20conditions%2C%20au%20moins,fois%20plus%20qu'en%202019.</w:t>
          </w:r>
        </w:p>
        <w:p w14:paraId="7D1A4564" w14:textId="77777777" w:rsidR="00BE2D71" w:rsidRPr="007C5A6E" w:rsidRDefault="00BE2D71" w:rsidP="00BE2D71">
          <w:pPr>
            <w:spacing w:after="0" w:line="259" w:lineRule="auto"/>
            <w:ind w:left="720" w:hanging="720"/>
            <w:rPr>
              <w:rFonts w:ascii="Times New Roman" w:eastAsia="Aptos" w:hAnsi="Times New Roman"/>
              <w:noProof/>
              <w:kern w:val="2"/>
              <w:lang w:val="en-US" w:eastAsia="en-US"/>
              <w14:ligatures w14:val="standardContextual"/>
            </w:rPr>
          </w:pPr>
          <w:r w:rsidRPr="007C5A6E">
            <w:rPr>
              <w:rFonts w:ascii="Times New Roman" w:eastAsia="Aptos" w:hAnsi="Times New Roman"/>
              <w:noProof/>
              <w:kern w:val="2"/>
              <w:lang w:val="en-US" w:eastAsia="en-US"/>
              <w14:ligatures w14:val="standardContextual"/>
            </w:rPr>
            <w:t xml:space="preserve">NU. (2018). </w:t>
          </w:r>
          <w:r w:rsidRPr="007C5A6E">
            <w:rPr>
              <w:rFonts w:ascii="Times New Roman" w:eastAsia="Aptos" w:hAnsi="Times New Roman"/>
              <w:i/>
              <w:iCs/>
              <w:noProof/>
              <w:kern w:val="2"/>
              <w:lang w:val="en-US" w:eastAsia="en-US"/>
              <w14:ligatures w14:val="standardContextual"/>
            </w:rPr>
            <w:t>World Urbanization Prospects 2018.</w:t>
          </w:r>
          <w:r w:rsidRPr="007C5A6E">
            <w:rPr>
              <w:rFonts w:ascii="Times New Roman" w:eastAsia="Aptos" w:hAnsi="Times New Roman"/>
              <w:noProof/>
              <w:kern w:val="2"/>
              <w:lang w:val="en-US" w:eastAsia="en-US"/>
              <w14:ligatures w14:val="standardContextual"/>
            </w:rPr>
            <w:t xml:space="preserve"> Consulté le 09 03, 2024, sur United Nations : Department of Economic and Social Affairs Population Dynamics: https://population.un.org/wup/Publications/Files/WUP2018-KeyFacts.pdf</w:t>
          </w:r>
        </w:p>
        <w:p w14:paraId="73E50CC7"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NU-Habitat. (2007). </w:t>
          </w:r>
          <w:r w:rsidRPr="007C5A6E">
            <w:rPr>
              <w:rFonts w:ascii="Times New Roman" w:eastAsia="Aptos" w:hAnsi="Times New Roman"/>
              <w:i/>
              <w:iCs/>
              <w:noProof/>
              <w:kern w:val="2"/>
              <w:lang w:eastAsia="en-US"/>
              <w14:ligatures w14:val="standardContextual"/>
            </w:rPr>
            <w:t>Profil urbain de Ouagadougou.</w:t>
          </w:r>
          <w:r w:rsidRPr="007C5A6E">
            <w:rPr>
              <w:rFonts w:ascii="Times New Roman" w:eastAsia="Aptos" w:hAnsi="Times New Roman"/>
              <w:noProof/>
              <w:kern w:val="2"/>
              <w:lang w:eastAsia="en-US"/>
              <w14:ligatures w14:val="standardContextual"/>
            </w:rPr>
            <w:t xml:space="preserve"> Nairobi : NU-Habitat. Consulté le 09 17, 2024, sur https://unhabitat.org/sites/default/files/download-manager-files/Burkina%20Faso_Ouagadougou.pdf</w:t>
          </w:r>
        </w:p>
        <w:p w14:paraId="35282D73"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OCDE/NU. (2022). </w:t>
          </w:r>
          <w:r w:rsidRPr="007C5A6E">
            <w:rPr>
              <w:rFonts w:ascii="Times New Roman" w:eastAsia="Aptos" w:hAnsi="Times New Roman"/>
              <w:i/>
              <w:iCs/>
              <w:noProof/>
              <w:kern w:val="2"/>
              <w:lang w:eastAsia="en-US"/>
              <w14:ligatures w14:val="standardContextual"/>
            </w:rPr>
            <w:t>Dynamiques de l’urbanisation africaine 2022 : le rayonnement économique des villes africaines.</w:t>
          </w:r>
          <w:r w:rsidRPr="007C5A6E">
            <w:rPr>
              <w:rFonts w:ascii="Times New Roman" w:eastAsia="Aptos" w:hAnsi="Times New Roman"/>
              <w:noProof/>
              <w:kern w:val="2"/>
              <w:lang w:eastAsia="en-US"/>
              <w14:ligatures w14:val="standardContextual"/>
            </w:rPr>
            <w:t xml:space="preserve"> OCDE/NU. Consulté le 09 04, 2024, sur https://www.afdb.org/sites/default/files/documents/publications/fr_updated_dynamiques_de_lurbanisation_africaine_2022_le_rayonnement_economique_des_villes_africaines.pdf</w:t>
          </w:r>
        </w:p>
        <w:p w14:paraId="616451B1"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val="en-US" w:eastAsia="en-US"/>
              <w14:ligatures w14:val="standardContextual"/>
            </w:rPr>
            <w:t xml:space="preserve">OECD. (1993). OECD core set of indicators for environmental performance reviews : a synthesis report by the Group on the State of the Environment. </w:t>
          </w:r>
          <w:r w:rsidRPr="007C5A6E">
            <w:rPr>
              <w:rFonts w:ascii="Times New Roman" w:eastAsia="Aptos" w:hAnsi="Times New Roman"/>
              <w:noProof/>
              <w:kern w:val="2"/>
              <w:lang w:eastAsia="en-US"/>
              <w14:ligatures w14:val="standardContextual"/>
            </w:rPr>
            <w:t>(OECD, Éd.) Paris. Consulté le 09 04, 2024, sur https://one.oecd.org/document/OCDE/GD(93)179/en/pdf#:~:text=The%20PSR%20framework%20(Figure%201a,the%20%22societal%20response%22).</w:t>
          </w:r>
        </w:p>
        <w:p w14:paraId="609EE6FD"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ONUDI. (2015). </w:t>
          </w:r>
          <w:r w:rsidRPr="007C5A6E">
            <w:rPr>
              <w:rFonts w:ascii="Times New Roman" w:eastAsia="Aptos" w:hAnsi="Times New Roman"/>
              <w:i/>
              <w:iCs/>
              <w:noProof/>
              <w:kern w:val="2"/>
              <w:lang w:eastAsia="en-US"/>
              <w14:ligatures w14:val="standardContextual"/>
            </w:rPr>
            <w:t>L’industrie verte au Burkina Faso : Évaluation et perspectives.</w:t>
          </w:r>
          <w:r w:rsidRPr="007C5A6E">
            <w:rPr>
              <w:rFonts w:ascii="Times New Roman" w:eastAsia="Aptos" w:hAnsi="Times New Roman"/>
              <w:noProof/>
              <w:kern w:val="2"/>
              <w:lang w:eastAsia="en-US"/>
              <w14:ligatures w14:val="standardContextual"/>
            </w:rPr>
            <w:t xml:space="preserve"> Ouagadougou: ONUDI. Consulté le Septembre 25, 2023, sur https://www.unido.org/sites/default/files/2016-02/REPORT-BURKINA_FASO_0.pdf</w:t>
          </w:r>
        </w:p>
        <w:p w14:paraId="4B106322" w14:textId="77777777" w:rsidR="00BE2D71" w:rsidRPr="007C5A6E" w:rsidRDefault="00BE2D71" w:rsidP="00BE2D71">
          <w:pPr>
            <w:spacing w:after="0" w:line="259" w:lineRule="auto"/>
            <w:ind w:left="720" w:hanging="720"/>
            <w:rPr>
              <w:rFonts w:ascii="Times New Roman" w:eastAsia="Aptos" w:hAnsi="Times New Roman"/>
              <w:noProof/>
              <w:kern w:val="2"/>
              <w:lang w:val="en-US" w:eastAsia="en-US"/>
              <w14:ligatures w14:val="standardContextual"/>
            </w:rPr>
          </w:pPr>
          <w:r w:rsidRPr="007C5A6E">
            <w:rPr>
              <w:rFonts w:ascii="Times New Roman" w:eastAsia="Aptos" w:hAnsi="Times New Roman"/>
              <w:noProof/>
              <w:kern w:val="2"/>
              <w:lang w:val="en-US" w:eastAsia="en-US"/>
              <w14:ligatures w14:val="standardContextual"/>
            </w:rPr>
            <w:t xml:space="preserve">ONU-Habitat. (2003). </w:t>
          </w:r>
          <w:r w:rsidRPr="007C5A6E">
            <w:rPr>
              <w:rFonts w:ascii="Times New Roman" w:eastAsia="Aptos" w:hAnsi="Times New Roman"/>
              <w:i/>
              <w:iCs/>
              <w:noProof/>
              <w:kern w:val="2"/>
              <w:lang w:val="en-US" w:eastAsia="en-US"/>
              <w14:ligatures w14:val="standardContextual"/>
            </w:rPr>
            <w:t>The challenges of slums : : global report on human settlements 2003.</w:t>
          </w:r>
          <w:r w:rsidRPr="007C5A6E">
            <w:rPr>
              <w:rFonts w:ascii="Times New Roman" w:eastAsia="Aptos" w:hAnsi="Times New Roman"/>
              <w:noProof/>
              <w:kern w:val="2"/>
              <w:lang w:val="en-US" w:eastAsia="en-US"/>
              <w14:ligatures w14:val="standardContextual"/>
            </w:rPr>
            <w:t xml:space="preserve"> London: Earthscan Publications Ltd, London and Sterling, VA. Consulté le 09 04, 2024, sur https://unhabitat.org/sites/default/files/download-manager-files/The%20Challenge%20of%20Slums%20-%20Global%20Report%20on%20Human%20Settlements%202003.pdf</w:t>
          </w:r>
        </w:p>
        <w:p w14:paraId="4EB7E66B"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ONU-Habitat. (2007). </w:t>
          </w:r>
          <w:r w:rsidRPr="007C5A6E">
            <w:rPr>
              <w:rFonts w:ascii="Times New Roman" w:eastAsia="Aptos" w:hAnsi="Times New Roman"/>
              <w:i/>
              <w:iCs/>
              <w:noProof/>
              <w:kern w:val="2"/>
              <w:lang w:eastAsia="en-US"/>
              <w14:ligatures w14:val="standardContextual"/>
            </w:rPr>
            <w:t>Profil urbain de Ouagadougou.</w:t>
          </w:r>
          <w:r w:rsidRPr="007C5A6E">
            <w:rPr>
              <w:rFonts w:ascii="Times New Roman" w:eastAsia="Aptos" w:hAnsi="Times New Roman"/>
              <w:noProof/>
              <w:kern w:val="2"/>
              <w:lang w:eastAsia="en-US"/>
              <w14:ligatures w14:val="standardContextual"/>
            </w:rPr>
            <w:t xml:space="preserve"> Nairobi: ONU-Habitat. Consulté le 09 17, 2024, sur file:///C:/Users/LGDamien/OneDrive/Documents/Dossiers_Etude/Ann%C3%A9e%202024/Etude%20REEB%20V_Mars%2024/Rapport%20VF00/Biblio_sept24/Burkina%20Faso_Ouagadougou.pdf</w:t>
          </w:r>
        </w:p>
        <w:p w14:paraId="000F7343"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ONU-Habitat. (2010). </w:t>
          </w:r>
          <w:r w:rsidRPr="007C5A6E">
            <w:rPr>
              <w:rFonts w:ascii="Times New Roman" w:eastAsia="Aptos" w:hAnsi="Times New Roman"/>
              <w:i/>
              <w:iCs/>
              <w:noProof/>
              <w:kern w:val="2"/>
              <w:lang w:eastAsia="en-US"/>
              <w14:ligatures w14:val="standardContextual"/>
            </w:rPr>
            <w:t>L'état des villes africaines 2010 : Gouvernance, inégalités et marchés fonciers urbains.</w:t>
          </w:r>
          <w:r w:rsidRPr="007C5A6E">
            <w:rPr>
              <w:rFonts w:ascii="Times New Roman" w:eastAsia="Aptos" w:hAnsi="Times New Roman"/>
              <w:noProof/>
              <w:kern w:val="2"/>
              <w:lang w:eastAsia="en-US"/>
              <w14:ligatures w14:val="standardContextual"/>
            </w:rPr>
            <w:t xml:space="preserve"> Nairobi: ONU-Habitat. Consulté le 09 03, 2024, sur https://unhabitat.org/sites/default/files/download-manager-files/State%20of%20African%20Cities%202010%20%28L%E2%80%99%C3%A9tat%20des%20Villes%20Africaines%202010%29%20%2C%20Gouvernance%2C%20in%C3%A9galit%C3%A9%20et%20march%C3%A9s%20fonciers%20urbains.pdf</w:t>
          </w:r>
        </w:p>
        <w:p w14:paraId="6BC58364"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val="en-US" w:eastAsia="en-US"/>
              <w14:ligatures w14:val="standardContextual"/>
            </w:rPr>
            <w:t xml:space="preserve">ONU-Habitat. (2023). </w:t>
          </w:r>
          <w:r w:rsidRPr="007C5A6E">
            <w:rPr>
              <w:rFonts w:ascii="Times New Roman" w:eastAsia="Aptos" w:hAnsi="Times New Roman"/>
              <w:i/>
              <w:iCs/>
              <w:noProof/>
              <w:kern w:val="2"/>
              <w:lang w:val="en-US" w:eastAsia="en-US"/>
              <w14:ligatures w14:val="standardContextual"/>
            </w:rPr>
            <w:t>Note briefing Burkina Faso 2023.</w:t>
          </w:r>
          <w:r w:rsidRPr="007C5A6E">
            <w:rPr>
              <w:rFonts w:ascii="Times New Roman" w:eastAsia="Aptos" w:hAnsi="Times New Roman"/>
              <w:noProof/>
              <w:kern w:val="2"/>
              <w:lang w:val="en-US" w:eastAsia="en-US"/>
              <w14:ligatures w14:val="standardContextual"/>
            </w:rPr>
            <w:t xml:space="preserve"> </w:t>
          </w:r>
          <w:r w:rsidRPr="007C5A6E">
            <w:rPr>
              <w:rFonts w:ascii="Times New Roman" w:eastAsia="Aptos" w:hAnsi="Times New Roman"/>
              <w:noProof/>
              <w:kern w:val="2"/>
              <w:lang w:eastAsia="en-US"/>
              <w14:ligatures w14:val="standardContextual"/>
            </w:rPr>
            <w:t>Récupéré sur ONU-Habitat: https://unhabitat.org/sites/default/files/2023/07/note_de_briefing_burkina_faso_fr.pdf</w:t>
          </w:r>
        </w:p>
        <w:p w14:paraId="134E7A0F" w14:textId="77777777" w:rsidR="00BE2D71" w:rsidRPr="007C5A6E" w:rsidRDefault="00BE2D71" w:rsidP="00BE2D71">
          <w:pPr>
            <w:spacing w:after="0" w:line="259" w:lineRule="auto"/>
            <w:ind w:left="720" w:hanging="720"/>
            <w:rPr>
              <w:rFonts w:ascii="Times New Roman" w:eastAsia="Aptos" w:hAnsi="Times New Roman"/>
              <w:noProof/>
              <w:kern w:val="2"/>
              <w:lang w:val="en-US" w:eastAsia="en-US"/>
              <w14:ligatures w14:val="standardContextual"/>
            </w:rPr>
          </w:pPr>
          <w:r w:rsidRPr="007C5A6E">
            <w:rPr>
              <w:rFonts w:ascii="Times New Roman" w:eastAsia="Aptos" w:hAnsi="Times New Roman"/>
              <w:noProof/>
              <w:kern w:val="2"/>
              <w:lang w:eastAsia="en-US"/>
              <w14:ligatures w14:val="standardContextual"/>
            </w:rPr>
            <w:t xml:space="preserve">OPENDATA. (2024, 09 12). </w:t>
          </w:r>
          <w:r w:rsidRPr="007C5A6E">
            <w:rPr>
              <w:rFonts w:ascii="Times New Roman" w:eastAsia="Aptos" w:hAnsi="Times New Roman"/>
              <w:i/>
              <w:iCs/>
              <w:noProof/>
              <w:kern w:val="2"/>
              <w:lang w:eastAsia="en-US"/>
              <w14:ligatures w14:val="standardContextual"/>
            </w:rPr>
            <w:t>Burkina Faso - Portail de données</w:t>
          </w:r>
          <w:r w:rsidRPr="007C5A6E">
            <w:rPr>
              <w:rFonts w:ascii="Times New Roman" w:eastAsia="Aptos" w:hAnsi="Times New Roman"/>
              <w:noProof/>
              <w:kern w:val="2"/>
              <w:lang w:eastAsia="en-US"/>
              <w14:ligatures w14:val="standardContextual"/>
            </w:rPr>
            <w:t xml:space="preserve">. </w:t>
          </w:r>
          <w:r w:rsidRPr="007C5A6E">
            <w:rPr>
              <w:rFonts w:ascii="Times New Roman" w:eastAsia="Aptos" w:hAnsi="Times New Roman"/>
              <w:noProof/>
              <w:kern w:val="2"/>
              <w:lang w:val="en-US" w:eastAsia="en-US"/>
              <w14:ligatures w14:val="standardContextual"/>
            </w:rPr>
            <w:t>Récupéré sur Open data for Africa : https://burkinafaso.opendataforafrica.org/</w:t>
          </w:r>
        </w:p>
        <w:p w14:paraId="44AD53C3"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Ouattara, A. (2002). Dynamiques périurbaines : population, habitat et environnement dans les périphéries des grandes métropoles - Les enjeux de la dynamique des extensions périurbaines à Ouagadougou (Burkina Faso). Consulté le 09 17, 2024, sur https://archives.ceped.org/dynamiques_periurbaines/html/ouagadougou.htm</w:t>
          </w:r>
        </w:p>
        <w:p w14:paraId="4873302A"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OUB. (2023, Octobre 20). </w:t>
          </w:r>
          <w:r w:rsidRPr="007C5A6E">
            <w:rPr>
              <w:rFonts w:ascii="Times New Roman" w:eastAsia="Aptos" w:hAnsi="Times New Roman"/>
              <w:i/>
              <w:iCs/>
              <w:noProof/>
              <w:kern w:val="2"/>
              <w:lang w:eastAsia="en-US"/>
              <w14:ligatures w14:val="standardContextual"/>
            </w:rPr>
            <w:t>Urbanisation au Burkina : Près de 3000 hectares de non-lotis dans la ville de Ouagadougou, selon Dahouda Ouédraogo</w:t>
          </w:r>
          <w:r w:rsidRPr="007C5A6E">
            <w:rPr>
              <w:rFonts w:ascii="Times New Roman" w:eastAsia="Aptos" w:hAnsi="Times New Roman"/>
              <w:noProof/>
              <w:kern w:val="2"/>
              <w:lang w:eastAsia="en-US"/>
              <w14:ligatures w14:val="standardContextual"/>
            </w:rPr>
            <w:t>. Consulté le 17 09, 2024, sur Matin Libre - Burkina Faos: https://matinlibre.bf/urbanisation-au-burkina-pres-de-3000-hectares-de-non-lotis-dans-la-ville-de-ouagadougou-selon-dahouda-ouedraogo/</w:t>
          </w:r>
        </w:p>
        <w:p w14:paraId="060B8A50"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Périssol, P. A., Lepoittevin, C., &amp; Valenzuelle, V. (2019). </w:t>
          </w:r>
          <w:r w:rsidRPr="007C5A6E">
            <w:rPr>
              <w:rFonts w:ascii="Times New Roman" w:eastAsia="Aptos" w:hAnsi="Times New Roman"/>
              <w:i/>
              <w:iCs/>
              <w:noProof/>
              <w:kern w:val="2"/>
              <w:lang w:eastAsia="en-US"/>
              <w14:ligatures w14:val="standardContextual"/>
            </w:rPr>
            <w:t>Ouagadougou 2050 : Vivre le quotidien à l’échelle du grand territoire.</w:t>
          </w:r>
          <w:r w:rsidRPr="007C5A6E">
            <w:rPr>
              <w:rFonts w:ascii="Times New Roman" w:eastAsia="Aptos" w:hAnsi="Times New Roman"/>
              <w:noProof/>
              <w:kern w:val="2"/>
              <w:lang w:eastAsia="en-US"/>
              <w14:ligatures w14:val="standardContextual"/>
            </w:rPr>
            <w:t xml:space="preserve"> Cergy: Les Ateliers de maîtrise d’oeuvre urbaine de Cergy Pontoise. Consulté le 09 17, 2024, sur https://ateliers.org/media/workshop/documents/190403_CAHIER_DE_SESSION_VF_2_web.pdf</w:t>
          </w:r>
        </w:p>
        <w:p w14:paraId="03C5C461"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PNPS. (2012). </w:t>
          </w:r>
          <w:r w:rsidRPr="007C5A6E">
            <w:rPr>
              <w:rFonts w:ascii="Times New Roman" w:eastAsia="Aptos" w:hAnsi="Times New Roman"/>
              <w:i/>
              <w:iCs/>
              <w:noProof/>
              <w:kern w:val="2"/>
              <w:lang w:eastAsia="en-US"/>
              <w14:ligatures w14:val="standardContextual"/>
            </w:rPr>
            <w:t>Burkina Faso : Politique nationale de protection sociale.</w:t>
          </w:r>
          <w:r w:rsidRPr="007C5A6E">
            <w:rPr>
              <w:rFonts w:ascii="Times New Roman" w:eastAsia="Aptos" w:hAnsi="Times New Roman"/>
              <w:noProof/>
              <w:kern w:val="2"/>
              <w:lang w:eastAsia="en-US"/>
              <w14:ligatures w14:val="standardContextual"/>
            </w:rPr>
            <w:t xml:space="preserve"> Ouagadougou: Gouvernement du Burkina Faso. Consulté le 09 17, 2024, sur https://www.social-protection.org/gimi/Media.action;jsessionid=HJf_RuaDj48MfXHsnD0sr7ljcVHOKBRxwUbP5ZZcHeD4-2x0CMyG!-511164124?id=16999</w:t>
          </w:r>
        </w:p>
        <w:p w14:paraId="550B823F"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PNUD. (2014). </w:t>
          </w:r>
          <w:r w:rsidRPr="007C5A6E">
            <w:rPr>
              <w:rFonts w:ascii="Times New Roman" w:eastAsia="Aptos" w:hAnsi="Times New Roman"/>
              <w:i/>
              <w:iCs/>
              <w:noProof/>
              <w:kern w:val="2"/>
              <w:lang w:eastAsia="en-US"/>
              <w14:ligatures w14:val="standardContextual"/>
            </w:rPr>
            <w:t>Carthographie de la pauvreté et des inégalités au Burkina Faso.</w:t>
          </w:r>
          <w:r w:rsidRPr="007C5A6E">
            <w:rPr>
              <w:rFonts w:ascii="Times New Roman" w:eastAsia="Aptos" w:hAnsi="Times New Roman"/>
              <w:noProof/>
              <w:kern w:val="2"/>
              <w:lang w:eastAsia="en-US"/>
              <w14:ligatures w14:val="standardContextual"/>
            </w:rPr>
            <w:t xml:space="preserve"> Ouagadougou: PNUD. Consulté le Février 2, 2024, sur https://www.undp.org/sites/g/files/zskgke326/files/migration/bf/UNDP_bf_cartopauv_2014.pdf</w:t>
          </w:r>
        </w:p>
        <w:p w14:paraId="35908FE4"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PRB. (2004, 04 14). </w:t>
          </w:r>
          <w:r w:rsidRPr="007C5A6E">
            <w:rPr>
              <w:rFonts w:ascii="Times New Roman" w:eastAsia="Aptos" w:hAnsi="Times New Roman"/>
              <w:i/>
              <w:iCs/>
              <w:noProof/>
              <w:kern w:val="2"/>
              <w:lang w:eastAsia="en-US"/>
              <w14:ligatures w14:val="standardContextual"/>
            </w:rPr>
            <w:t>L'urbanisation : une force environnementale incontournable.</w:t>
          </w:r>
          <w:r w:rsidRPr="007C5A6E">
            <w:rPr>
              <w:rFonts w:ascii="Times New Roman" w:eastAsia="Aptos" w:hAnsi="Times New Roman"/>
              <w:noProof/>
              <w:kern w:val="2"/>
              <w:lang w:eastAsia="en-US"/>
              <w14:ligatures w14:val="standardContextual"/>
            </w:rPr>
            <w:t xml:space="preserve"> Consulté le 09 03, 2024, sur PRB: https://www.prb.org/resources/lurbanisation-une-force-environnementale-incontournable/</w:t>
          </w:r>
        </w:p>
        <w:p w14:paraId="05ECF1FA"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Ravallion, M. (2007). La pauvreté urbaine. Consulté le 09 3, 2024, sur https://www.imf.org/external/pubs/ft/fandd/fre/2007/09/pdf/ravalli.pdf</w:t>
          </w:r>
        </w:p>
        <w:p w14:paraId="6E0BB69F"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Rossier, C. (2011, Novembre 22). Les quartiers d’habitation informels sont-ils des villages urbains ? Le cas de la périphérie de Ouagadougou. Paris, France. Consulté le 09 17, 2024, sur https://uaps2011.popconf.org/papers/110907</w:t>
          </w:r>
        </w:p>
        <w:p w14:paraId="5269D172"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SAG. (2019). </w:t>
          </w:r>
          <w:r w:rsidRPr="007C5A6E">
            <w:rPr>
              <w:rFonts w:ascii="Times New Roman" w:eastAsia="Aptos" w:hAnsi="Times New Roman"/>
              <w:i/>
              <w:iCs/>
              <w:noProof/>
              <w:kern w:val="2"/>
              <w:lang w:eastAsia="en-US"/>
              <w14:ligatures w14:val="standardContextual"/>
            </w:rPr>
            <w:t>Diagnostic sur la gestion intégrée des déchets au Burkina Faso - Rapport provisoire.</w:t>
          </w:r>
          <w:r w:rsidRPr="007C5A6E">
            <w:rPr>
              <w:rFonts w:ascii="Times New Roman" w:eastAsia="Aptos" w:hAnsi="Times New Roman"/>
              <w:noProof/>
              <w:kern w:val="2"/>
              <w:lang w:eastAsia="en-US"/>
              <w14:ligatures w14:val="standardContextual"/>
            </w:rPr>
            <w:t xml:space="preserve"> Ouagadougou: SAG-Burkina Faso.</w:t>
          </w:r>
        </w:p>
        <w:p w14:paraId="4094DA9B"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Salyer, P., &amp; Bloom, D. (2007, 09). L'urbanisation. </w:t>
          </w:r>
          <w:r w:rsidRPr="007C5A6E">
            <w:rPr>
              <w:rFonts w:ascii="Times New Roman" w:eastAsia="Aptos" w:hAnsi="Times New Roman"/>
              <w:i/>
              <w:iCs/>
              <w:noProof/>
              <w:kern w:val="2"/>
              <w:lang w:eastAsia="en-US"/>
              <w14:ligatures w14:val="standardContextual"/>
            </w:rPr>
            <w:t>Finance et Développement</w:t>
          </w:r>
          <w:r w:rsidRPr="007C5A6E">
            <w:rPr>
              <w:rFonts w:ascii="Times New Roman" w:eastAsia="Aptos" w:hAnsi="Times New Roman"/>
              <w:noProof/>
              <w:kern w:val="2"/>
              <w:lang w:eastAsia="en-US"/>
              <w14:ligatures w14:val="standardContextual"/>
            </w:rPr>
            <w:t>. Consulté le 09 03, 2024, sur https://www.imf.org/external/pubs/ft/fandd/fre/2007/09/pdf/picture.pdf</w:t>
          </w:r>
        </w:p>
        <w:p w14:paraId="29933E22" w14:textId="77777777" w:rsidR="00BE2D71" w:rsidRPr="007C5A6E" w:rsidRDefault="00BE2D71" w:rsidP="00BE2D71">
          <w:pPr>
            <w:spacing w:after="0" w:line="259" w:lineRule="auto"/>
            <w:ind w:left="720" w:hanging="720"/>
            <w:rPr>
              <w:rFonts w:ascii="Times New Roman" w:eastAsia="Aptos" w:hAnsi="Times New Roman"/>
              <w:noProof/>
              <w:kern w:val="2"/>
              <w:lang w:val="en-US" w:eastAsia="en-US"/>
              <w14:ligatures w14:val="standardContextual"/>
            </w:rPr>
          </w:pPr>
          <w:r w:rsidRPr="007C5A6E">
            <w:rPr>
              <w:rFonts w:ascii="Times New Roman" w:eastAsia="Aptos" w:hAnsi="Times New Roman"/>
              <w:noProof/>
              <w:kern w:val="2"/>
              <w:lang w:val="en-US" w:eastAsia="en-US"/>
              <w14:ligatures w14:val="standardContextual"/>
            </w:rPr>
            <w:t xml:space="preserve">Sorgho, R., Maxilliam, J., Souares, A., Danquah, I., &amp; Rainer, S. (2021). Climate Change, Health Risks, and Vulnerabilities in Burkina Faso: A Qualitative Study on the Perceptions of National Policymakers. </w:t>
          </w:r>
          <w:r w:rsidRPr="007C5A6E">
            <w:rPr>
              <w:rFonts w:ascii="Times New Roman" w:eastAsia="Aptos" w:hAnsi="Times New Roman"/>
              <w:i/>
              <w:iCs/>
              <w:noProof/>
              <w:kern w:val="2"/>
              <w:lang w:val="en-US" w:eastAsia="en-US"/>
              <w14:ligatures w14:val="standardContextual"/>
            </w:rPr>
            <w:t>International Journal of Environmental Research and Public Health, 18</w:t>
          </w:r>
          <w:r w:rsidRPr="007C5A6E">
            <w:rPr>
              <w:rFonts w:ascii="Times New Roman" w:eastAsia="Aptos" w:hAnsi="Times New Roman"/>
              <w:noProof/>
              <w:kern w:val="2"/>
              <w:lang w:val="en-US" w:eastAsia="en-US"/>
              <w14:ligatures w14:val="standardContextual"/>
            </w:rPr>
            <w:t>(9, 4972). Consulté le 09 04, 2024, sur https://doi.org/10.3390/ijerph18094972</w:t>
          </w:r>
        </w:p>
        <w:p w14:paraId="10C35F51"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SPCNDD. (2016). </w:t>
          </w:r>
          <w:r w:rsidRPr="007C5A6E">
            <w:rPr>
              <w:rFonts w:ascii="Times New Roman" w:eastAsia="Aptos" w:hAnsi="Times New Roman"/>
              <w:i/>
              <w:iCs/>
              <w:noProof/>
              <w:kern w:val="2"/>
              <w:lang w:eastAsia="en-US"/>
              <w14:ligatures w14:val="standardContextual"/>
            </w:rPr>
            <w:t>Quatrième rapport sur l'état de l'environnement au Burkina Faso.</w:t>
          </w:r>
          <w:r w:rsidRPr="007C5A6E">
            <w:rPr>
              <w:rFonts w:ascii="Times New Roman" w:eastAsia="Aptos" w:hAnsi="Times New Roman"/>
              <w:noProof/>
              <w:kern w:val="2"/>
              <w:lang w:eastAsia="en-US"/>
              <w14:ligatures w14:val="standardContextual"/>
            </w:rPr>
            <w:t xml:space="preserve"> Ouagadougou: SPCNDD. Consulté le 09 04, 2024, sur http://cns.bf/IMG/pdf/rapport_sur_l_etat_de_l_environnement_au_burkina_faso2.pdf</w:t>
          </w:r>
        </w:p>
        <w:p w14:paraId="322C6C69"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SPCNDD. (2023). </w:t>
          </w:r>
          <w:r w:rsidRPr="007C5A6E">
            <w:rPr>
              <w:rFonts w:ascii="Times New Roman" w:eastAsia="Aptos" w:hAnsi="Times New Roman"/>
              <w:i/>
              <w:iCs/>
              <w:noProof/>
              <w:kern w:val="2"/>
              <w:lang w:eastAsia="en-US"/>
              <w14:ligatures w14:val="standardContextual"/>
            </w:rPr>
            <w:t>Vulnérabilité des secteurs de développement et des populations locales au changement climatique dans la région du Plateau Central.</w:t>
          </w:r>
          <w:r w:rsidRPr="007C5A6E">
            <w:rPr>
              <w:rFonts w:ascii="Times New Roman" w:eastAsia="Aptos" w:hAnsi="Times New Roman"/>
              <w:noProof/>
              <w:kern w:val="2"/>
              <w:lang w:eastAsia="en-US"/>
              <w14:ligatures w14:val="standardContextual"/>
            </w:rPr>
            <w:t xml:space="preserve"> Ouagadougou: SPCNDD. Consulté le 09 03, 2024, sur https://napglobalnetwork.org/wp-content/uploads/2023/08/napgn-fr-2023-vulnerabilite-des-secteurs-de-developpement-et-des-populations-locales-au-changement-climatique-dans-la-region-du-plateau-central.pdf</w:t>
          </w:r>
        </w:p>
        <w:p w14:paraId="6D47C4A5"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SSATP. (2021). </w:t>
          </w:r>
          <w:r w:rsidRPr="007C5A6E">
            <w:rPr>
              <w:rFonts w:ascii="Times New Roman" w:eastAsia="Aptos" w:hAnsi="Times New Roman"/>
              <w:i/>
              <w:iCs/>
              <w:noProof/>
              <w:kern w:val="2"/>
              <w:lang w:eastAsia="en-US"/>
              <w14:ligatures w14:val="standardContextual"/>
            </w:rPr>
            <w:t>Les villes africaines face à la crise de la mobilité urbaine : Défis des politiques nationales face à la prolifération des deux-roues au Bénin, Burkina Faso, Mali et Togo.</w:t>
          </w:r>
          <w:r w:rsidRPr="007C5A6E">
            <w:rPr>
              <w:rFonts w:ascii="Times New Roman" w:eastAsia="Aptos" w:hAnsi="Times New Roman"/>
              <w:noProof/>
              <w:kern w:val="2"/>
              <w:lang w:eastAsia="en-US"/>
              <w14:ligatures w14:val="standardContextual"/>
            </w:rPr>
            <w:t xml:space="preserve"> Washington DC: Banque Mondiale. Consulté le 09 17, 2024, sur https://www.ssatp.org/sites/ssatp/files/publication/SSATP_Transnational-Report_FR_DIGITAL.pdf</w:t>
          </w:r>
        </w:p>
        <w:p w14:paraId="754FD93C"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Statista. (2024, 07 11). </w:t>
          </w:r>
          <w:r w:rsidRPr="007C5A6E">
            <w:rPr>
              <w:rFonts w:ascii="Times New Roman" w:eastAsia="Aptos" w:hAnsi="Times New Roman"/>
              <w:i/>
              <w:iCs/>
              <w:noProof/>
              <w:kern w:val="2"/>
              <w:lang w:eastAsia="en-US"/>
              <w14:ligatures w14:val="standardContextual"/>
            </w:rPr>
            <w:t>Afrique subsaharienne : urbanisation de 2013 à 2023</w:t>
          </w:r>
          <w:r w:rsidRPr="007C5A6E">
            <w:rPr>
              <w:rFonts w:ascii="Times New Roman" w:eastAsia="Aptos" w:hAnsi="Times New Roman"/>
              <w:noProof/>
              <w:kern w:val="2"/>
              <w:lang w:eastAsia="en-US"/>
              <w14:ligatures w14:val="standardContextual"/>
            </w:rPr>
            <w:t>. Consulté le 09 03, 2024, sur Statista: https://www.statista.com/statistics/805657/urbanization-in-sub-saharan-africa/</w:t>
          </w:r>
        </w:p>
        <w:p w14:paraId="134DD733" w14:textId="77777777" w:rsidR="00BE2D71" w:rsidRPr="007C5A6E" w:rsidRDefault="00BE2D71" w:rsidP="00BE2D71">
          <w:pPr>
            <w:spacing w:after="0" w:line="259" w:lineRule="auto"/>
            <w:ind w:left="720" w:hanging="720"/>
            <w:rPr>
              <w:rFonts w:ascii="Times New Roman" w:eastAsia="Aptos" w:hAnsi="Times New Roman"/>
              <w:noProof/>
              <w:kern w:val="2"/>
              <w:lang w:val="en-US" w:eastAsia="en-US"/>
              <w14:ligatures w14:val="standardContextual"/>
            </w:rPr>
          </w:pPr>
          <w:r w:rsidRPr="007C5A6E">
            <w:rPr>
              <w:rFonts w:ascii="Times New Roman" w:eastAsia="Aptos" w:hAnsi="Times New Roman"/>
              <w:noProof/>
              <w:kern w:val="2"/>
              <w:lang w:val="en-US" w:eastAsia="en-US"/>
              <w14:ligatures w14:val="standardContextual"/>
            </w:rPr>
            <w:t xml:space="preserve">Susi-Wolff, K. (2010). Understanding changing city culture; PSR-method as a discourse analysis tool for historic urban green heritage. </w:t>
          </w:r>
          <w:r w:rsidRPr="007C5A6E">
            <w:rPr>
              <w:rFonts w:ascii="Times New Roman" w:eastAsia="Aptos" w:hAnsi="Times New Roman"/>
              <w:i/>
              <w:iCs/>
              <w:noProof/>
              <w:kern w:val="2"/>
              <w:lang w:val="en-US" w:eastAsia="en-US"/>
              <w14:ligatures w14:val="standardContextual"/>
            </w:rPr>
            <w:t>A|Z ITU Journal of the faculty of achitecture, 7(02)</w:t>
          </w:r>
          <w:r w:rsidRPr="007C5A6E">
            <w:rPr>
              <w:rFonts w:ascii="Times New Roman" w:eastAsia="Aptos" w:hAnsi="Times New Roman"/>
              <w:noProof/>
              <w:kern w:val="2"/>
              <w:lang w:val="en-US" w:eastAsia="en-US"/>
              <w14:ligatures w14:val="standardContextual"/>
            </w:rPr>
            <w:t>, 51 - 57. Consulté le 09 06, 2024, sur https://www.az.itu.edu.tr/index.php/jfa/article/view/621</w:t>
          </w:r>
        </w:p>
        <w:p w14:paraId="2C457182"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Taroux, J. (1989). </w:t>
          </w:r>
          <w:r w:rsidRPr="007C5A6E">
            <w:rPr>
              <w:rFonts w:ascii="Times New Roman" w:eastAsia="Aptos" w:hAnsi="Times New Roman"/>
              <w:i/>
              <w:iCs/>
              <w:noProof/>
              <w:kern w:val="2"/>
              <w:lang w:eastAsia="en-US"/>
              <w14:ligatures w14:val="standardContextual"/>
            </w:rPr>
            <w:t>Rapport de mission sur la RNTC X9.</w:t>
          </w:r>
          <w:r w:rsidRPr="007C5A6E">
            <w:rPr>
              <w:rFonts w:ascii="Times New Roman" w:eastAsia="Aptos" w:hAnsi="Times New Roman"/>
              <w:noProof/>
              <w:kern w:val="2"/>
              <w:lang w:eastAsia="en-US"/>
              <w14:ligatures w14:val="standardContextual"/>
            </w:rPr>
            <w:t xml:space="preserve"> Ouagadougou.</w:t>
          </w:r>
        </w:p>
        <w:p w14:paraId="7F20419E" w14:textId="77777777" w:rsidR="00BE2D71" w:rsidRPr="007C5A6E" w:rsidRDefault="00BE2D71" w:rsidP="00BE2D71">
          <w:pPr>
            <w:spacing w:after="0" w:line="259" w:lineRule="auto"/>
            <w:ind w:left="720" w:hanging="720"/>
            <w:rPr>
              <w:rFonts w:ascii="Times New Roman" w:eastAsia="Aptos" w:hAnsi="Times New Roman"/>
              <w:noProof/>
              <w:kern w:val="2"/>
              <w:lang w:val="en-US" w:eastAsia="en-US"/>
              <w14:ligatures w14:val="standardContextual"/>
            </w:rPr>
          </w:pPr>
          <w:r w:rsidRPr="007C5A6E">
            <w:rPr>
              <w:rFonts w:ascii="Times New Roman" w:eastAsia="Aptos" w:hAnsi="Times New Roman"/>
              <w:noProof/>
              <w:kern w:val="2"/>
              <w:lang w:eastAsia="en-US"/>
              <w14:ligatures w14:val="standardContextual"/>
            </w:rPr>
            <w:t xml:space="preserve">UNCTAD. (2009). </w:t>
          </w:r>
          <w:r w:rsidRPr="007C5A6E">
            <w:rPr>
              <w:rFonts w:ascii="Times New Roman" w:eastAsia="Aptos" w:hAnsi="Times New Roman"/>
              <w:i/>
              <w:iCs/>
              <w:noProof/>
              <w:kern w:val="2"/>
              <w:lang w:eastAsia="en-US"/>
              <w14:ligatures w14:val="standardContextual"/>
            </w:rPr>
            <w:t>Examen de la politique d'investissement : Burkina Faso.</w:t>
          </w:r>
          <w:r w:rsidRPr="007C5A6E">
            <w:rPr>
              <w:rFonts w:ascii="Times New Roman" w:eastAsia="Aptos" w:hAnsi="Times New Roman"/>
              <w:noProof/>
              <w:kern w:val="2"/>
              <w:lang w:eastAsia="en-US"/>
              <w14:ligatures w14:val="standardContextual"/>
            </w:rPr>
            <w:t xml:space="preserve"> </w:t>
          </w:r>
          <w:r w:rsidRPr="007C5A6E">
            <w:rPr>
              <w:rFonts w:ascii="Times New Roman" w:eastAsia="Aptos" w:hAnsi="Times New Roman"/>
              <w:noProof/>
              <w:kern w:val="2"/>
              <w:lang w:val="en-US" w:eastAsia="en-US"/>
              <w14:ligatures w14:val="standardContextual"/>
            </w:rPr>
            <w:t>New York: UNCTAD. Consulté le 09 13, 2029, sur https://unctad.org/system/files/official-document/diaepcb20094_fr.pdf</w:t>
          </w:r>
        </w:p>
        <w:p w14:paraId="13824FD9"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val="en-US" w:eastAsia="en-US"/>
              <w14:ligatures w14:val="standardContextual"/>
            </w:rPr>
            <w:t xml:space="preserve">UNECA. (2017). </w:t>
          </w:r>
          <w:r w:rsidRPr="007C5A6E">
            <w:rPr>
              <w:rFonts w:ascii="Times New Roman" w:eastAsia="Aptos" w:hAnsi="Times New Roman"/>
              <w:i/>
              <w:iCs/>
              <w:noProof/>
              <w:kern w:val="2"/>
              <w:lang w:val="en-US" w:eastAsia="en-US"/>
              <w14:ligatures w14:val="standardContextual"/>
            </w:rPr>
            <w:t>Urbanization and industrialization for Africa's transformation.</w:t>
          </w:r>
          <w:r w:rsidRPr="007C5A6E">
            <w:rPr>
              <w:rFonts w:ascii="Times New Roman" w:eastAsia="Aptos" w:hAnsi="Times New Roman"/>
              <w:noProof/>
              <w:kern w:val="2"/>
              <w:lang w:val="en-US" w:eastAsia="en-US"/>
              <w14:ligatures w14:val="standardContextual"/>
            </w:rPr>
            <w:t xml:space="preserve"> </w:t>
          </w:r>
          <w:r w:rsidRPr="007C5A6E">
            <w:rPr>
              <w:rFonts w:ascii="Times New Roman" w:eastAsia="Aptos" w:hAnsi="Times New Roman"/>
              <w:noProof/>
              <w:kern w:val="2"/>
              <w:lang w:eastAsia="en-US"/>
              <w14:ligatures w14:val="standardContextual"/>
            </w:rPr>
            <w:t>Addis Ababa: UNECA. Consulté le 09 03, 2024, sur https://archive.uneca.org/sites/default/files/uploaded-documents/ERA/ERA2017/era-2017_en_fin_jun2017.pdf</w:t>
          </w:r>
        </w:p>
        <w:p w14:paraId="093DFEA5" w14:textId="77777777" w:rsidR="00BE2D71" w:rsidRPr="007C5A6E" w:rsidRDefault="00BE2D71" w:rsidP="00BE2D71">
          <w:pPr>
            <w:spacing w:after="0" w:line="259" w:lineRule="auto"/>
            <w:ind w:left="720" w:hanging="720"/>
            <w:rPr>
              <w:rFonts w:ascii="Times New Roman" w:eastAsia="Aptos" w:hAnsi="Times New Roman"/>
              <w:noProof/>
              <w:kern w:val="2"/>
              <w:lang w:eastAsia="en-US"/>
              <w14:ligatures w14:val="standardContextual"/>
            </w:rPr>
          </w:pPr>
          <w:r w:rsidRPr="007C5A6E">
            <w:rPr>
              <w:rFonts w:ascii="Times New Roman" w:eastAsia="Aptos" w:hAnsi="Times New Roman"/>
              <w:noProof/>
              <w:kern w:val="2"/>
              <w:lang w:eastAsia="en-US"/>
              <w14:ligatures w14:val="standardContextual"/>
            </w:rPr>
            <w:t xml:space="preserve">Zida/Bangré, H. (2009). </w:t>
          </w:r>
          <w:r w:rsidRPr="007C5A6E">
            <w:rPr>
              <w:rFonts w:ascii="Times New Roman" w:eastAsia="Aptos" w:hAnsi="Times New Roman"/>
              <w:i/>
              <w:iCs/>
              <w:noProof/>
              <w:kern w:val="2"/>
              <w:lang w:eastAsia="en-US"/>
              <w14:ligatures w14:val="standardContextual"/>
            </w:rPr>
            <w:t>Recensement général de la population et de l'habitation de 2006 : Monographie de la commune urbaine de Bobo Dioulasso.</w:t>
          </w:r>
          <w:r w:rsidRPr="007C5A6E">
            <w:rPr>
              <w:rFonts w:ascii="Times New Roman" w:eastAsia="Aptos" w:hAnsi="Times New Roman"/>
              <w:noProof/>
              <w:kern w:val="2"/>
              <w:lang w:eastAsia="en-US"/>
              <w14:ligatures w14:val="standardContextual"/>
            </w:rPr>
            <w:t xml:space="preserve"> Ouagadougou: INSD. Consulté le 09 17, 2024, sur https://www.insd.bf/sites/default/files/2021-12/monographie_bobo.pdf</w:t>
          </w:r>
        </w:p>
        <w:p w14:paraId="2A5EA602" w14:textId="77777777" w:rsidR="00BE2D71" w:rsidRPr="007C5A6E" w:rsidRDefault="00BE2D71" w:rsidP="00BE2D71">
          <w:pPr>
            <w:spacing w:after="0" w:line="259" w:lineRule="auto"/>
            <w:rPr>
              <w:rFonts w:ascii="Times New Roman" w:eastAsia="Aptos" w:hAnsi="Times New Roman"/>
              <w:kern w:val="2"/>
              <w:sz w:val="24"/>
              <w:szCs w:val="24"/>
              <w:lang w:eastAsia="en-US"/>
              <w14:ligatures w14:val="standardContextual"/>
            </w:rPr>
          </w:pPr>
          <w:r w:rsidRPr="007C5A6E">
            <w:rPr>
              <w:rFonts w:ascii="Times New Roman" w:eastAsia="Aptos" w:hAnsi="Times New Roman"/>
              <w:b/>
              <w:bCs/>
              <w:kern w:val="2"/>
              <w:lang w:eastAsia="en-US"/>
              <w14:ligatures w14:val="standardContextual"/>
            </w:rPr>
            <w:fldChar w:fldCharType="end"/>
          </w:r>
        </w:p>
      </w:sdtContent>
    </w:sdt>
    <w:p w14:paraId="295D7CB6" w14:textId="27874F4A" w:rsidR="006F6024" w:rsidRPr="007C5A6E" w:rsidRDefault="006F6024" w:rsidP="006F6024">
      <w:pPr>
        <w:numPr>
          <w:ilvl w:val="0"/>
          <w:numId w:val="84"/>
        </w:numPr>
        <w:spacing w:after="0"/>
        <w:ind w:left="357" w:hanging="357"/>
        <w:jc w:val="both"/>
        <w:rPr>
          <w:rFonts w:ascii="Times New Roman" w:hAnsi="Times New Roman"/>
          <w:b/>
          <w:sz w:val="24"/>
          <w:szCs w:val="24"/>
        </w:rPr>
      </w:pPr>
      <w:r w:rsidRPr="007C5A6E">
        <w:rPr>
          <w:rFonts w:ascii="Times New Roman" w:hAnsi="Times New Roman"/>
          <w:b/>
          <w:sz w:val="24"/>
          <w:szCs w:val="24"/>
        </w:rPr>
        <w:t xml:space="preserve">ENVIRONNEMENT ET SANTE   </w:t>
      </w:r>
    </w:p>
    <w:p w14:paraId="0D2FD045" w14:textId="77777777" w:rsidR="004C055F" w:rsidRPr="007C5A6E" w:rsidRDefault="004C055F" w:rsidP="000E4359">
      <w:pPr>
        <w:spacing w:after="0" w:line="240" w:lineRule="auto"/>
        <w:rPr>
          <w:rFonts w:ascii="Times New Roman" w:hAnsi="Times New Roman"/>
          <w:sz w:val="24"/>
          <w:szCs w:val="24"/>
          <w:lang w:val="fr-BF"/>
        </w:rPr>
      </w:pPr>
    </w:p>
    <w:p w14:paraId="04AD4A97"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World Health Organization (2023). Non communicable diseases. </w:t>
      </w:r>
      <w:hyperlink r:id="rId287" w:history="1">
        <w:r w:rsidRPr="007C5A6E">
          <w:rPr>
            <w:rFonts w:ascii="Times New Roman" w:eastAsiaTheme="minorHAnsi" w:hAnsi="Times New Roman"/>
            <w:color w:val="0000FF"/>
            <w:kern w:val="2"/>
            <w:sz w:val="20"/>
            <w:szCs w:val="20"/>
            <w:u w:val="single"/>
            <w:lang w:eastAsia="en-US"/>
            <w14:ligatures w14:val="standardContextual"/>
          </w:rPr>
          <w:t>https://www.who.int/news-room/fact-sheets/detail/noncommunicable-diseases</w:t>
        </w:r>
      </w:hyperlink>
      <w:r w:rsidRPr="007C5A6E">
        <w:rPr>
          <w:rFonts w:ascii="Times New Roman" w:eastAsiaTheme="minorHAnsi" w:hAnsi="Times New Roman"/>
          <w:kern w:val="2"/>
          <w:sz w:val="20"/>
          <w:szCs w:val="20"/>
          <w:lang w:eastAsia="en-US"/>
          <w14:ligatures w14:val="standardContextual"/>
        </w:rPr>
        <w:t>. Consulté le 16/09/2024</w:t>
      </w:r>
    </w:p>
    <w:p w14:paraId="07133536"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eastAsia="en-US"/>
          <w14:ligatures w14:val="standardContextual"/>
        </w:rPr>
        <w:t xml:space="preserve">Gouda HN, </w:t>
      </w:r>
      <w:proofErr w:type="spellStart"/>
      <w:r w:rsidRPr="007C5A6E">
        <w:rPr>
          <w:rFonts w:ascii="Times New Roman" w:eastAsiaTheme="minorHAnsi" w:hAnsi="Times New Roman"/>
          <w:kern w:val="2"/>
          <w:sz w:val="20"/>
          <w:szCs w:val="20"/>
          <w:lang w:eastAsia="en-US"/>
          <w14:ligatures w14:val="standardContextual"/>
        </w:rPr>
        <w:t>Charlson</w:t>
      </w:r>
      <w:proofErr w:type="spellEnd"/>
      <w:r w:rsidRPr="007C5A6E">
        <w:rPr>
          <w:rFonts w:ascii="Times New Roman" w:eastAsiaTheme="minorHAnsi" w:hAnsi="Times New Roman"/>
          <w:kern w:val="2"/>
          <w:sz w:val="20"/>
          <w:szCs w:val="20"/>
          <w:lang w:eastAsia="en-US"/>
          <w14:ligatures w14:val="standardContextual"/>
        </w:rPr>
        <w:t xml:space="preserve"> F, </w:t>
      </w:r>
      <w:proofErr w:type="spellStart"/>
      <w:r w:rsidRPr="007C5A6E">
        <w:rPr>
          <w:rFonts w:ascii="Times New Roman" w:eastAsiaTheme="minorHAnsi" w:hAnsi="Times New Roman"/>
          <w:kern w:val="2"/>
          <w:sz w:val="20"/>
          <w:szCs w:val="20"/>
          <w:lang w:eastAsia="en-US"/>
          <w14:ligatures w14:val="standardContextual"/>
        </w:rPr>
        <w:t>Sorsdahl</w:t>
      </w:r>
      <w:proofErr w:type="spellEnd"/>
      <w:r w:rsidRPr="007C5A6E">
        <w:rPr>
          <w:rFonts w:ascii="Times New Roman" w:eastAsiaTheme="minorHAnsi" w:hAnsi="Times New Roman"/>
          <w:kern w:val="2"/>
          <w:sz w:val="20"/>
          <w:szCs w:val="20"/>
          <w:lang w:eastAsia="en-US"/>
          <w14:ligatures w14:val="standardContextual"/>
        </w:rPr>
        <w:t xml:space="preserve"> K, </w:t>
      </w:r>
      <w:proofErr w:type="spellStart"/>
      <w:r w:rsidRPr="007C5A6E">
        <w:rPr>
          <w:rFonts w:ascii="Times New Roman" w:eastAsiaTheme="minorHAnsi" w:hAnsi="Times New Roman"/>
          <w:kern w:val="2"/>
          <w:sz w:val="20"/>
          <w:szCs w:val="20"/>
          <w:lang w:eastAsia="en-US"/>
          <w14:ligatures w14:val="standardContextual"/>
        </w:rPr>
        <w:t>Ahmadzada</w:t>
      </w:r>
      <w:proofErr w:type="spellEnd"/>
      <w:r w:rsidRPr="007C5A6E">
        <w:rPr>
          <w:rFonts w:ascii="Times New Roman" w:eastAsiaTheme="minorHAnsi" w:hAnsi="Times New Roman"/>
          <w:kern w:val="2"/>
          <w:sz w:val="20"/>
          <w:szCs w:val="20"/>
          <w:lang w:eastAsia="en-US"/>
          <w14:ligatures w14:val="standardContextual"/>
        </w:rPr>
        <w:t xml:space="preserve"> S, Ferrari AJ, Erskine H, et al. </w:t>
      </w:r>
      <w:r w:rsidRPr="007C5A6E">
        <w:rPr>
          <w:rFonts w:ascii="Times New Roman" w:eastAsiaTheme="minorHAnsi" w:hAnsi="Times New Roman"/>
          <w:kern w:val="2"/>
          <w:sz w:val="20"/>
          <w:szCs w:val="20"/>
          <w:lang w:val="en-US" w:eastAsia="en-US"/>
          <w14:ligatures w14:val="standardContextual"/>
        </w:rPr>
        <w:t>Burden of non-communicable diseases in sub-Saharan Africa, 1990–2017: results from the Global Burden of Disease Study 2017. Lancet Glob Health. 2019 ;</w:t>
      </w:r>
      <w:proofErr w:type="gramStart"/>
      <w:r w:rsidRPr="007C5A6E">
        <w:rPr>
          <w:rFonts w:ascii="Times New Roman" w:eastAsiaTheme="minorHAnsi" w:hAnsi="Times New Roman"/>
          <w:kern w:val="2"/>
          <w:sz w:val="20"/>
          <w:szCs w:val="20"/>
          <w:lang w:val="en-US" w:eastAsia="en-US"/>
          <w14:ligatures w14:val="standardContextual"/>
        </w:rPr>
        <w:t>7:e</w:t>
      </w:r>
      <w:proofErr w:type="gramEnd"/>
      <w:r w:rsidRPr="007C5A6E">
        <w:rPr>
          <w:rFonts w:ascii="Times New Roman" w:eastAsiaTheme="minorHAnsi" w:hAnsi="Times New Roman"/>
          <w:kern w:val="2"/>
          <w:sz w:val="20"/>
          <w:szCs w:val="20"/>
          <w:lang w:val="en-US" w:eastAsia="en-US"/>
          <w14:ligatures w14:val="standardContextual"/>
        </w:rPr>
        <w:t>1375 87. Medline:31537368 doi:10.1016/S2214-109</w:t>
      </w:r>
      <w:proofErr w:type="gramStart"/>
      <w:r w:rsidRPr="007C5A6E">
        <w:rPr>
          <w:rFonts w:ascii="Times New Roman" w:eastAsiaTheme="minorHAnsi" w:hAnsi="Times New Roman"/>
          <w:kern w:val="2"/>
          <w:sz w:val="20"/>
          <w:szCs w:val="20"/>
          <w:lang w:val="en-US" w:eastAsia="en-US"/>
          <w14:ligatures w14:val="standardContextual"/>
        </w:rPr>
        <w:t>X(</w:t>
      </w:r>
      <w:proofErr w:type="gramEnd"/>
      <w:r w:rsidRPr="007C5A6E">
        <w:rPr>
          <w:rFonts w:ascii="Times New Roman" w:eastAsiaTheme="minorHAnsi" w:hAnsi="Times New Roman"/>
          <w:kern w:val="2"/>
          <w:sz w:val="20"/>
          <w:szCs w:val="20"/>
          <w:lang w:val="en-US" w:eastAsia="en-US"/>
          <w14:ligatures w14:val="standardContextual"/>
        </w:rPr>
        <w:t>19)30374-2</w:t>
      </w:r>
    </w:p>
    <w:p w14:paraId="06ED0E7F"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Holmes MD, Dalal S, Volmink J, </w:t>
      </w:r>
      <w:proofErr w:type="spellStart"/>
      <w:r w:rsidRPr="007C5A6E">
        <w:rPr>
          <w:rFonts w:ascii="Times New Roman" w:eastAsiaTheme="minorHAnsi" w:hAnsi="Times New Roman"/>
          <w:kern w:val="2"/>
          <w:sz w:val="20"/>
          <w:szCs w:val="20"/>
          <w:lang w:val="en-US" w:eastAsia="en-US"/>
          <w14:ligatures w14:val="standardContextual"/>
        </w:rPr>
        <w:t>Adebamowo</w:t>
      </w:r>
      <w:proofErr w:type="spellEnd"/>
      <w:r w:rsidRPr="007C5A6E">
        <w:rPr>
          <w:rFonts w:ascii="Times New Roman" w:eastAsiaTheme="minorHAnsi" w:hAnsi="Times New Roman"/>
          <w:kern w:val="2"/>
          <w:sz w:val="20"/>
          <w:szCs w:val="20"/>
          <w:lang w:val="en-US" w:eastAsia="en-US"/>
          <w14:ligatures w14:val="standardContextual"/>
        </w:rPr>
        <w:t xml:space="preserve"> CA, </w:t>
      </w:r>
      <w:proofErr w:type="spellStart"/>
      <w:r w:rsidRPr="007C5A6E">
        <w:rPr>
          <w:rFonts w:ascii="Times New Roman" w:eastAsiaTheme="minorHAnsi" w:hAnsi="Times New Roman"/>
          <w:kern w:val="2"/>
          <w:sz w:val="20"/>
          <w:szCs w:val="20"/>
          <w:lang w:val="en-US" w:eastAsia="en-US"/>
          <w14:ligatures w14:val="standardContextual"/>
        </w:rPr>
        <w:t>Njelekela</w:t>
      </w:r>
      <w:proofErr w:type="spellEnd"/>
      <w:r w:rsidRPr="007C5A6E">
        <w:rPr>
          <w:rFonts w:ascii="Times New Roman" w:eastAsiaTheme="minorHAnsi" w:hAnsi="Times New Roman"/>
          <w:kern w:val="2"/>
          <w:sz w:val="20"/>
          <w:szCs w:val="20"/>
          <w:lang w:val="en-US" w:eastAsia="en-US"/>
          <w14:ligatures w14:val="standardContextual"/>
        </w:rPr>
        <w:t xml:space="preserve"> M, Fawzi WW, et al. Non-communicable diseases in sub-Saha ran </w:t>
      </w:r>
      <w:proofErr w:type="gramStart"/>
      <w:r w:rsidRPr="007C5A6E">
        <w:rPr>
          <w:rFonts w:ascii="Times New Roman" w:eastAsiaTheme="minorHAnsi" w:hAnsi="Times New Roman"/>
          <w:kern w:val="2"/>
          <w:sz w:val="20"/>
          <w:szCs w:val="20"/>
          <w:lang w:val="en-US" w:eastAsia="en-US"/>
          <w14:ligatures w14:val="standardContextual"/>
        </w:rPr>
        <w:t>Africa :</w:t>
      </w:r>
      <w:proofErr w:type="gramEnd"/>
      <w:r w:rsidRPr="007C5A6E">
        <w:rPr>
          <w:rFonts w:ascii="Times New Roman" w:eastAsiaTheme="minorHAnsi" w:hAnsi="Times New Roman"/>
          <w:kern w:val="2"/>
          <w:sz w:val="20"/>
          <w:szCs w:val="20"/>
          <w:lang w:val="en-US" w:eastAsia="en-US"/>
          <w14:ligatures w14:val="standardContextual"/>
        </w:rPr>
        <w:t xml:space="preserve"> the case for cohort studies. </w:t>
      </w:r>
      <w:proofErr w:type="spellStart"/>
      <w:r w:rsidRPr="007C5A6E">
        <w:rPr>
          <w:rFonts w:ascii="Times New Roman" w:eastAsiaTheme="minorHAnsi" w:hAnsi="Times New Roman"/>
          <w:kern w:val="2"/>
          <w:sz w:val="20"/>
          <w:szCs w:val="20"/>
          <w:lang w:val="en-US" w:eastAsia="en-US"/>
          <w14:ligatures w14:val="standardContextual"/>
        </w:rPr>
        <w:t>PLoS</w:t>
      </w:r>
      <w:proofErr w:type="spellEnd"/>
      <w:r w:rsidRPr="007C5A6E">
        <w:rPr>
          <w:rFonts w:ascii="Times New Roman" w:eastAsiaTheme="minorHAnsi" w:hAnsi="Times New Roman"/>
          <w:kern w:val="2"/>
          <w:sz w:val="20"/>
          <w:szCs w:val="20"/>
          <w:lang w:val="en-US" w:eastAsia="en-US"/>
          <w14:ligatures w14:val="standardContextual"/>
        </w:rPr>
        <w:t xml:space="preserve"> Med. 2010 ;</w:t>
      </w:r>
      <w:proofErr w:type="gramStart"/>
      <w:r w:rsidRPr="007C5A6E">
        <w:rPr>
          <w:rFonts w:ascii="Times New Roman" w:eastAsiaTheme="minorHAnsi" w:hAnsi="Times New Roman"/>
          <w:kern w:val="2"/>
          <w:sz w:val="20"/>
          <w:szCs w:val="20"/>
          <w:lang w:val="en-US" w:eastAsia="en-US"/>
          <w14:ligatures w14:val="standardContextual"/>
        </w:rPr>
        <w:t>7 :</w:t>
      </w:r>
      <w:proofErr w:type="gramEnd"/>
      <w:r w:rsidRPr="007C5A6E">
        <w:rPr>
          <w:rFonts w:ascii="Times New Roman" w:eastAsiaTheme="minorHAnsi" w:hAnsi="Times New Roman"/>
          <w:kern w:val="2"/>
          <w:sz w:val="20"/>
          <w:szCs w:val="20"/>
          <w:lang w:val="en-US" w:eastAsia="en-US"/>
          <w14:ligatures w14:val="standardContextual"/>
        </w:rPr>
        <w:t xml:space="preserve"> e1000244. Medline :20485489 </w:t>
      </w:r>
      <w:proofErr w:type="spellStart"/>
      <w:proofErr w:type="gramStart"/>
      <w:r w:rsidRPr="007C5A6E">
        <w:rPr>
          <w:rFonts w:ascii="Times New Roman" w:eastAsiaTheme="minorHAnsi" w:hAnsi="Times New Roman"/>
          <w:kern w:val="2"/>
          <w:sz w:val="20"/>
          <w:szCs w:val="20"/>
          <w:lang w:val="en-US" w:eastAsia="en-US"/>
          <w14:ligatures w14:val="standardContextual"/>
        </w:rPr>
        <w:t>doi</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gramEnd"/>
      <w:r w:rsidRPr="007C5A6E">
        <w:rPr>
          <w:rFonts w:ascii="Times New Roman" w:eastAsiaTheme="minorHAnsi" w:hAnsi="Times New Roman"/>
          <w:kern w:val="2"/>
          <w:sz w:val="20"/>
          <w:szCs w:val="20"/>
          <w:lang w:val="en-US" w:eastAsia="en-US"/>
          <w14:ligatures w14:val="standardContextual"/>
        </w:rPr>
        <w:t xml:space="preserve"> 10.1371/journal.pmed.1000244</w:t>
      </w:r>
    </w:p>
    <w:p w14:paraId="4F51C240"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proofErr w:type="spellStart"/>
      <w:r w:rsidRPr="007C5A6E">
        <w:rPr>
          <w:rFonts w:ascii="Times New Roman" w:eastAsiaTheme="minorHAnsi" w:hAnsi="Times New Roman"/>
          <w:kern w:val="2"/>
          <w:sz w:val="20"/>
          <w:szCs w:val="20"/>
          <w:lang w:val="en-US" w:eastAsia="en-US"/>
          <w14:ligatures w14:val="standardContextual"/>
        </w:rPr>
        <w:t>Rodopoulou</w:t>
      </w:r>
      <w:proofErr w:type="spellEnd"/>
      <w:r w:rsidRPr="007C5A6E">
        <w:rPr>
          <w:rFonts w:ascii="Times New Roman" w:eastAsiaTheme="minorHAnsi" w:hAnsi="Times New Roman"/>
          <w:kern w:val="2"/>
          <w:sz w:val="20"/>
          <w:szCs w:val="20"/>
          <w:lang w:val="en-US" w:eastAsia="en-US"/>
          <w14:ligatures w14:val="standardContextual"/>
        </w:rPr>
        <w:t xml:space="preserve"> S, </w:t>
      </w:r>
      <w:proofErr w:type="spellStart"/>
      <w:r w:rsidRPr="007C5A6E">
        <w:rPr>
          <w:rFonts w:ascii="Times New Roman" w:eastAsiaTheme="minorHAnsi" w:hAnsi="Times New Roman"/>
          <w:kern w:val="2"/>
          <w:sz w:val="20"/>
          <w:szCs w:val="20"/>
          <w:lang w:val="en-US" w:eastAsia="en-US"/>
          <w14:ligatures w14:val="standardContextual"/>
        </w:rPr>
        <w:t>Samoli</w:t>
      </w:r>
      <w:proofErr w:type="spellEnd"/>
      <w:r w:rsidRPr="007C5A6E">
        <w:rPr>
          <w:rFonts w:ascii="Times New Roman" w:eastAsiaTheme="minorHAnsi" w:hAnsi="Times New Roman"/>
          <w:kern w:val="2"/>
          <w:sz w:val="20"/>
          <w:szCs w:val="20"/>
          <w:lang w:val="en-US" w:eastAsia="en-US"/>
          <w14:ligatures w14:val="standardContextual"/>
        </w:rPr>
        <w:t xml:space="preserve"> E, </w:t>
      </w:r>
      <w:proofErr w:type="spellStart"/>
      <w:r w:rsidRPr="007C5A6E">
        <w:rPr>
          <w:rFonts w:ascii="Times New Roman" w:eastAsiaTheme="minorHAnsi" w:hAnsi="Times New Roman"/>
          <w:kern w:val="2"/>
          <w:sz w:val="20"/>
          <w:szCs w:val="20"/>
          <w:lang w:val="en-US" w:eastAsia="en-US"/>
          <w14:ligatures w14:val="standardContextual"/>
        </w:rPr>
        <w:t>Chalbot</w:t>
      </w:r>
      <w:proofErr w:type="spellEnd"/>
      <w:r w:rsidRPr="007C5A6E">
        <w:rPr>
          <w:rFonts w:ascii="Times New Roman" w:eastAsiaTheme="minorHAnsi" w:hAnsi="Times New Roman"/>
          <w:kern w:val="2"/>
          <w:sz w:val="20"/>
          <w:szCs w:val="20"/>
          <w:lang w:val="en-US" w:eastAsia="en-US"/>
          <w14:ligatures w14:val="standardContextual"/>
        </w:rPr>
        <w:t xml:space="preserve"> MG, Kavouras IG. Air pollution and cardiovascular and respiratory emergency visits in Central Arkansas: A time-series analysis. Sci Total Environ. </w:t>
      </w:r>
      <w:proofErr w:type="gramStart"/>
      <w:r w:rsidRPr="007C5A6E">
        <w:rPr>
          <w:rFonts w:ascii="Times New Roman" w:eastAsiaTheme="minorHAnsi" w:hAnsi="Times New Roman"/>
          <w:kern w:val="2"/>
          <w:sz w:val="20"/>
          <w:szCs w:val="20"/>
          <w:lang w:val="en-US" w:eastAsia="en-US"/>
          <w14:ligatures w14:val="standardContextual"/>
        </w:rPr>
        <w:t>2015;536:872</w:t>
      </w:r>
      <w:proofErr w:type="gramEnd"/>
      <w:r w:rsidRPr="007C5A6E">
        <w:rPr>
          <w:rFonts w:ascii="Times New Roman" w:eastAsiaTheme="minorHAnsi" w:hAnsi="Times New Roman"/>
          <w:kern w:val="2"/>
          <w:sz w:val="20"/>
          <w:szCs w:val="20"/>
          <w:lang w:val="en-US" w:eastAsia="en-US"/>
          <w14:ligatures w14:val="standardContextual"/>
        </w:rPr>
        <w:t xml:space="preserve">-9. Medline:26232212 </w:t>
      </w:r>
      <w:proofErr w:type="gramStart"/>
      <w:r w:rsidRPr="007C5A6E">
        <w:rPr>
          <w:rFonts w:ascii="Times New Roman" w:eastAsiaTheme="minorHAnsi" w:hAnsi="Times New Roman"/>
          <w:kern w:val="2"/>
          <w:sz w:val="20"/>
          <w:szCs w:val="20"/>
          <w:lang w:val="en-US" w:eastAsia="en-US"/>
          <w14:ligatures w14:val="standardContextual"/>
        </w:rPr>
        <w:t>doi:10.1016/</w:t>
      </w:r>
      <w:proofErr w:type="spellStart"/>
      <w:r w:rsidRPr="007C5A6E">
        <w:rPr>
          <w:rFonts w:ascii="Times New Roman" w:eastAsiaTheme="minorHAnsi" w:hAnsi="Times New Roman"/>
          <w:kern w:val="2"/>
          <w:sz w:val="20"/>
          <w:szCs w:val="20"/>
          <w:lang w:val="en-US" w:eastAsia="en-US"/>
          <w14:ligatures w14:val="standardContextual"/>
        </w:rPr>
        <w:t>j.scito</w:t>
      </w:r>
      <w:proofErr w:type="spellEnd"/>
      <w:proofErr w:type="gramEnd"/>
      <w:r w:rsidRPr="007C5A6E">
        <w:rPr>
          <w:rFonts w:ascii="Times New Roman" w:eastAsiaTheme="minorHAnsi" w:hAnsi="Times New Roman"/>
          <w:kern w:val="2"/>
          <w:sz w:val="20"/>
          <w:szCs w:val="20"/>
          <w:lang w:val="en-US" w:eastAsia="en-US"/>
          <w14:ligatures w14:val="standardContextual"/>
        </w:rPr>
        <w:t xml:space="preserve"> tenv.2015.06.056</w:t>
      </w:r>
    </w:p>
    <w:p w14:paraId="0E960039"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Coleman NC, Burnett RT, Higbee JD, Lefler JS, Merrill RM, Ezzati M, et al. Cancer mortality risk, fine particulate air </w:t>
      </w:r>
      <w:proofErr w:type="spellStart"/>
      <w:r w:rsidRPr="007C5A6E">
        <w:rPr>
          <w:rFonts w:ascii="Times New Roman" w:eastAsiaTheme="minorHAnsi" w:hAnsi="Times New Roman"/>
          <w:kern w:val="2"/>
          <w:sz w:val="20"/>
          <w:szCs w:val="20"/>
          <w:lang w:val="en-US" w:eastAsia="en-US"/>
          <w14:ligatures w14:val="standardContextual"/>
        </w:rPr>
        <w:t>pollu</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spellStart"/>
      <w:r w:rsidRPr="007C5A6E">
        <w:rPr>
          <w:rFonts w:ascii="Times New Roman" w:eastAsiaTheme="minorHAnsi" w:hAnsi="Times New Roman"/>
          <w:kern w:val="2"/>
          <w:sz w:val="20"/>
          <w:szCs w:val="20"/>
          <w:lang w:val="en-US" w:eastAsia="en-US"/>
          <w14:ligatures w14:val="standardContextual"/>
        </w:rPr>
        <w:t>tion</w:t>
      </w:r>
      <w:proofErr w:type="spellEnd"/>
      <w:r w:rsidRPr="007C5A6E">
        <w:rPr>
          <w:rFonts w:ascii="Times New Roman" w:eastAsiaTheme="minorHAnsi" w:hAnsi="Times New Roman"/>
          <w:kern w:val="2"/>
          <w:sz w:val="20"/>
          <w:szCs w:val="20"/>
          <w:lang w:val="en-US" w:eastAsia="en-US"/>
          <w14:ligatures w14:val="standardContextual"/>
        </w:rPr>
        <w:t xml:space="preserve">, and smoking in a large, representative cohort of US adults. Cancer Causes Control. </w:t>
      </w:r>
      <w:proofErr w:type="gramStart"/>
      <w:r w:rsidRPr="007C5A6E">
        <w:rPr>
          <w:rFonts w:ascii="Times New Roman" w:eastAsiaTheme="minorHAnsi" w:hAnsi="Times New Roman"/>
          <w:kern w:val="2"/>
          <w:sz w:val="20"/>
          <w:szCs w:val="20"/>
          <w:lang w:val="en-US" w:eastAsia="en-US"/>
          <w14:ligatures w14:val="standardContextual"/>
        </w:rPr>
        <w:t>2020;31:767</w:t>
      </w:r>
      <w:proofErr w:type="gramEnd"/>
      <w:r w:rsidRPr="007C5A6E">
        <w:rPr>
          <w:rFonts w:ascii="Times New Roman" w:eastAsiaTheme="minorHAnsi" w:hAnsi="Times New Roman"/>
          <w:kern w:val="2"/>
          <w:sz w:val="20"/>
          <w:szCs w:val="20"/>
          <w:lang w:val="en-US" w:eastAsia="en-US"/>
          <w14:ligatures w14:val="standardContextual"/>
        </w:rPr>
        <w:t>–76. doi:10.1007/s10552-020-01317-w</w:t>
      </w:r>
    </w:p>
    <w:p w14:paraId="2B933E8F"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Adebayo-Ojo TC, Wichmann J, </w:t>
      </w:r>
      <w:proofErr w:type="spellStart"/>
      <w:r w:rsidRPr="007C5A6E">
        <w:rPr>
          <w:rFonts w:ascii="Times New Roman" w:eastAsiaTheme="minorHAnsi" w:hAnsi="Times New Roman"/>
          <w:kern w:val="2"/>
          <w:sz w:val="20"/>
          <w:szCs w:val="20"/>
          <w:lang w:val="en-US" w:eastAsia="en-US"/>
          <w14:ligatures w14:val="standardContextual"/>
        </w:rPr>
        <w:t>Arowosegbe</w:t>
      </w:r>
      <w:proofErr w:type="spellEnd"/>
      <w:r w:rsidRPr="007C5A6E">
        <w:rPr>
          <w:rFonts w:ascii="Times New Roman" w:eastAsiaTheme="minorHAnsi" w:hAnsi="Times New Roman"/>
          <w:kern w:val="2"/>
          <w:sz w:val="20"/>
          <w:szCs w:val="20"/>
          <w:lang w:val="en-US" w:eastAsia="en-US"/>
          <w14:ligatures w14:val="standardContextual"/>
        </w:rPr>
        <w:t xml:space="preserve"> OO, Probst-Hensch N, Schindler C, </w:t>
      </w:r>
      <w:proofErr w:type="spellStart"/>
      <w:r w:rsidRPr="007C5A6E">
        <w:rPr>
          <w:rFonts w:ascii="Times New Roman" w:eastAsiaTheme="minorHAnsi" w:hAnsi="Times New Roman"/>
          <w:kern w:val="2"/>
          <w:sz w:val="20"/>
          <w:szCs w:val="20"/>
          <w:lang w:val="en-US" w:eastAsia="en-US"/>
          <w14:ligatures w14:val="standardContextual"/>
        </w:rPr>
        <w:t>Kunzli</w:t>
      </w:r>
      <w:proofErr w:type="spellEnd"/>
      <w:r w:rsidRPr="007C5A6E">
        <w:rPr>
          <w:rFonts w:ascii="Times New Roman" w:eastAsiaTheme="minorHAnsi" w:hAnsi="Times New Roman"/>
          <w:kern w:val="2"/>
          <w:sz w:val="20"/>
          <w:szCs w:val="20"/>
          <w:lang w:val="en-US" w:eastAsia="en-US"/>
          <w14:ligatures w14:val="standardContextual"/>
        </w:rPr>
        <w:t xml:space="preserve"> N. Short-Term Joint Effects of PM10, NO2 and SO2 on Cardio-Respiratory Disease Hospital Admissions in Cape Town, South Africa. </w:t>
      </w:r>
      <w:r w:rsidRPr="007C5A6E">
        <w:rPr>
          <w:rFonts w:ascii="Times New Roman" w:eastAsiaTheme="minorHAnsi" w:hAnsi="Times New Roman"/>
          <w:kern w:val="2"/>
          <w:sz w:val="20"/>
          <w:szCs w:val="20"/>
          <w:lang w:eastAsia="en-US"/>
          <w14:ligatures w14:val="standardContextual"/>
        </w:rPr>
        <w:t xml:space="preserve">Int J Environ </w:t>
      </w:r>
      <w:proofErr w:type="spellStart"/>
      <w:r w:rsidRPr="007C5A6E">
        <w:rPr>
          <w:rFonts w:ascii="Times New Roman" w:eastAsiaTheme="minorHAnsi" w:hAnsi="Times New Roman"/>
          <w:kern w:val="2"/>
          <w:sz w:val="20"/>
          <w:szCs w:val="20"/>
          <w:lang w:eastAsia="en-US"/>
          <w14:ligatures w14:val="standardContextual"/>
        </w:rPr>
        <w:t>Res</w:t>
      </w:r>
      <w:proofErr w:type="spellEnd"/>
      <w:r w:rsidRPr="007C5A6E">
        <w:rPr>
          <w:rFonts w:ascii="Times New Roman" w:eastAsiaTheme="minorHAnsi" w:hAnsi="Times New Roman"/>
          <w:kern w:val="2"/>
          <w:sz w:val="20"/>
          <w:szCs w:val="20"/>
          <w:lang w:eastAsia="en-US"/>
          <w14:ligatures w14:val="standardContextual"/>
        </w:rPr>
        <w:t xml:space="preserve"> Public </w:t>
      </w:r>
      <w:proofErr w:type="spellStart"/>
      <w:r w:rsidRPr="007C5A6E">
        <w:rPr>
          <w:rFonts w:ascii="Times New Roman" w:eastAsiaTheme="minorHAnsi" w:hAnsi="Times New Roman"/>
          <w:kern w:val="2"/>
          <w:sz w:val="20"/>
          <w:szCs w:val="20"/>
          <w:lang w:eastAsia="en-US"/>
          <w14:ligatures w14:val="standardContextual"/>
        </w:rPr>
        <w:t>Health</w:t>
      </w:r>
      <w:proofErr w:type="spellEnd"/>
      <w:r w:rsidRPr="007C5A6E">
        <w:rPr>
          <w:rFonts w:ascii="Times New Roman" w:eastAsiaTheme="minorHAnsi" w:hAnsi="Times New Roman"/>
          <w:kern w:val="2"/>
          <w:sz w:val="20"/>
          <w:szCs w:val="20"/>
          <w:lang w:eastAsia="en-US"/>
          <w14:ligatures w14:val="standardContextual"/>
        </w:rPr>
        <w:t xml:space="preserve">. </w:t>
      </w:r>
      <w:proofErr w:type="gramStart"/>
      <w:r w:rsidRPr="007C5A6E">
        <w:rPr>
          <w:rFonts w:ascii="Times New Roman" w:eastAsiaTheme="minorHAnsi" w:hAnsi="Times New Roman"/>
          <w:kern w:val="2"/>
          <w:sz w:val="20"/>
          <w:szCs w:val="20"/>
          <w:lang w:eastAsia="en-US"/>
          <w14:ligatures w14:val="standardContextual"/>
        </w:rPr>
        <w:t>2022;</w:t>
      </w:r>
      <w:proofErr w:type="gramEnd"/>
      <w:r w:rsidRPr="007C5A6E">
        <w:rPr>
          <w:rFonts w:ascii="Times New Roman" w:eastAsiaTheme="minorHAnsi" w:hAnsi="Times New Roman"/>
          <w:kern w:val="2"/>
          <w:sz w:val="20"/>
          <w:szCs w:val="20"/>
          <w:lang w:eastAsia="en-US"/>
          <w14:ligatures w14:val="standardContextual"/>
        </w:rPr>
        <w:t xml:space="preserve">19:495. </w:t>
      </w:r>
      <w:proofErr w:type="gramStart"/>
      <w:r w:rsidRPr="007C5A6E">
        <w:rPr>
          <w:rFonts w:ascii="Times New Roman" w:eastAsiaTheme="minorHAnsi" w:hAnsi="Times New Roman"/>
          <w:kern w:val="2"/>
          <w:sz w:val="20"/>
          <w:szCs w:val="20"/>
          <w:lang w:eastAsia="en-US"/>
          <w14:ligatures w14:val="standardContextual"/>
        </w:rPr>
        <w:t>Medline:</w:t>
      </w:r>
      <w:proofErr w:type="gramEnd"/>
      <w:r w:rsidRPr="007C5A6E">
        <w:rPr>
          <w:rFonts w:ascii="Times New Roman" w:eastAsiaTheme="minorHAnsi" w:hAnsi="Times New Roman"/>
          <w:kern w:val="2"/>
          <w:sz w:val="20"/>
          <w:szCs w:val="20"/>
          <w:lang w:eastAsia="en-US"/>
          <w14:ligatures w14:val="standardContextual"/>
        </w:rPr>
        <w:t>35010755 doi:10.3390/ijerph19010495</w:t>
      </w:r>
    </w:p>
    <w:p w14:paraId="4AD3C219"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eastAsia="en-US"/>
          <w14:ligatures w14:val="standardContextual"/>
        </w:rPr>
        <w:t xml:space="preserve">Organisation Mondiale de la Santé (2016). L’insalubrité de l’environnement provoque 12,6 millions de décès par an. </w:t>
      </w:r>
      <w:hyperlink r:id="rId288" w:anchor=":~:text=Les%20facteurs%20de%20risque%20environnementaux,de%20100%20maladies%20ou%20traumatismes" w:history="1">
        <w:r w:rsidRPr="007C5A6E">
          <w:rPr>
            <w:rFonts w:ascii="Times New Roman" w:eastAsiaTheme="minorHAnsi" w:hAnsi="Times New Roman"/>
            <w:color w:val="0000FF"/>
            <w:kern w:val="2"/>
            <w:sz w:val="20"/>
            <w:szCs w:val="20"/>
            <w:u w:val="single"/>
            <w:lang w:eastAsia="en-US"/>
            <w14:ligatures w14:val="standardContextual"/>
          </w:rPr>
          <w:t>https://www.who.int/fr/news/item/15-03-2016-an-estimated-12-6-million-deaths-each-year-are-attributable-to unhealthyenvironments#:~:text=Les%20facteurs%20de%20risque%20environnementaux,de%20100%20maladies%20ou%20traumatismes</w:t>
        </w:r>
      </w:hyperlink>
      <w:r w:rsidRPr="007C5A6E">
        <w:rPr>
          <w:rFonts w:ascii="Times New Roman" w:eastAsiaTheme="minorHAnsi" w:hAnsi="Times New Roman"/>
          <w:kern w:val="2"/>
          <w:sz w:val="20"/>
          <w:szCs w:val="20"/>
          <w:lang w:eastAsia="en-US"/>
          <w14:ligatures w14:val="standardContextual"/>
        </w:rPr>
        <w:t xml:space="preserve">. </w:t>
      </w:r>
      <w:proofErr w:type="spellStart"/>
      <w:r w:rsidRPr="007C5A6E">
        <w:rPr>
          <w:rFonts w:ascii="Times New Roman" w:eastAsiaTheme="minorHAnsi" w:hAnsi="Times New Roman"/>
          <w:kern w:val="2"/>
          <w:sz w:val="20"/>
          <w:szCs w:val="20"/>
          <w:lang w:val="en-US" w:eastAsia="en-US"/>
          <w14:ligatures w14:val="standardContextual"/>
        </w:rPr>
        <w:t>Consulté</w:t>
      </w:r>
      <w:proofErr w:type="spellEnd"/>
      <w:r w:rsidRPr="007C5A6E">
        <w:rPr>
          <w:rFonts w:ascii="Times New Roman" w:eastAsiaTheme="minorHAnsi" w:hAnsi="Times New Roman"/>
          <w:kern w:val="2"/>
          <w:sz w:val="20"/>
          <w:szCs w:val="20"/>
          <w:lang w:val="en-US" w:eastAsia="en-US"/>
          <w14:ligatures w14:val="standardContextual"/>
        </w:rPr>
        <w:t xml:space="preserve"> le 16/09/2024</w:t>
      </w:r>
    </w:p>
    <w:p w14:paraId="38CA243B"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McCormack, M.C.; </w:t>
      </w:r>
      <w:proofErr w:type="spellStart"/>
      <w:r w:rsidRPr="007C5A6E">
        <w:rPr>
          <w:rFonts w:ascii="Times New Roman" w:eastAsiaTheme="minorHAnsi" w:hAnsi="Times New Roman"/>
          <w:kern w:val="2"/>
          <w:sz w:val="20"/>
          <w:szCs w:val="20"/>
          <w:lang w:val="en-US" w:eastAsia="en-US"/>
          <w14:ligatures w14:val="standardContextual"/>
        </w:rPr>
        <w:t>Breysse</w:t>
      </w:r>
      <w:proofErr w:type="spellEnd"/>
      <w:r w:rsidRPr="007C5A6E">
        <w:rPr>
          <w:rFonts w:ascii="Times New Roman" w:eastAsiaTheme="minorHAnsi" w:hAnsi="Times New Roman"/>
          <w:kern w:val="2"/>
          <w:sz w:val="20"/>
          <w:szCs w:val="20"/>
          <w:lang w:val="en-US" w:eastAsia="en-US"/>
          <w14:ligatures w14:val="standardContextual"/>
        </w:rPr>
        <w:t xml:space="preserve">, P.N.; Hansel, N.N.; Matsui, E.C.; </w:t>
      </w:r>
      <w:proofErr w:type="spellStart"/>
      <w:r w:rsidRPr="007C5A6E">
        <w:rPr>
          <w:rFonts w:ascii="Times New Roman" w:eastAsiaTheme="minorHAnsi" w:hAnsi="Times New Roman"/>
          <w:kern w:val="2"/>
          <w:sz w:val="20"/>
          <w:szCs w:val="20"/>
          <w:lang w:val="en-US" w:eastAsia="en-US"/>
          <w14:ligatures w14:val="standardContextual"/>
        </w:rPr>
        <w:t>Tonorezos</w:t>
      </w:r>
      <w:proofErr w:type="spellEnd"/>
      <w:r w:rsidRPr="007C5A6E">
        <w:rPr>
          <w:rFonts w:ascii="Times New Roman" w:eastAsiaTheme="minorHAnsi" w:hAnsi="Times New Roman"/>
          <w:kern w:val="2"/>
          <w:sz w:val="20"/>
          <w:szCs w:val="20"/>
          <w:lang w:val="en-US" w:eastAsia="en-US"/>
          <w14:ligatures w14:val="standardContextual"/>
        </w:rPr>
        <w:t>, E.S.; Curtin-Brosnan, J.; Williams, D.L.; Buckley, T.J.; Eggleston, P.A.; Diette, G.B. Common household activities are associated with elevated particulate matter concentrations in bedrooms of inner-city Baltimore preschool children. Environ. Res. 2008, 106, 148–155. [</w:t>
      </w:r>
      <w:proofErr w:type="spellStart"/>
      <w:r w:rsidRPr="007C5A6E">
        <w:rPr>
          <w:rFonts w:ascii="Times New Roman" w:eastAsiaTheme="minorHAnsi" w:hAnsi="Times New Roman"/>
          <w:kern w:val="2"/>
          <w:sz w:val="20"/>
          <w:szCs w:val="20"/>
          <w:lang w:val="en-US" w:eastAsia="en-US"/>
          <w14:ligatures w14:val="standardContextual"/>
        </w:rPr>
        <w:t>CrossRef</w:t>
      </w:r>
      <w:proofErr w:type="spellEnd"/>
      <w:r w:rsidRPr="007C5A6E">
        <w:rPr>
          <w:rFonts w:ascii="Times New Roman" w:eastAsiaTheme="minorHAnsi" w:hAnsi="Times New Roman"/>
          <w:kern w:val="2"/>
          <w:sz w:val="20"/>
          <w:szCs w:val="20"/>
          <w:lang w:val="en-US" w:eastAsia="en-US"/>
          <w14:ligatures w14:val="standardContextual"/>
        </w:rPr>
        <w:t>]</w:t>
      </w:r>
    </w:p>
    <w:p w14:paraId="3DDCBB88"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Di Filippo, P.; </w:t>
      </w:r>
      <w:proofErr w:type="spellStart"/>
      <w:r w:rsidRPr="007C5A6E">
        <w:rPr>
          <w:rFonts w:ascii="Times New Roman" w:eastAsiaTheme="minorHAnsi" w:hAnsi="Times New Roman"/>
          <w:kern w:val="2"/>
          <w:sz w:val="20"/>
          <w:szCs w:val="20"/>
          <w:lang w:val="en-US" w:eastAsia="en-US"/>
          <w14:ligatures w14:val="standardContextual"/>
        </w:rPr>
        <w:t>Pomata</w:t>
      </w:r>
      <w:proofErr w:type="spellEnd"/>
      <w:r w:rsidRPr="007C5A6E">
        <w:rPr>
          <w:rFonts w:ascii="Times New Roman" w:eastAsiaTheme="minorHAnsi" w:hAnsi="Times New Roman"/>
          <w:kern w:val="2"/>
          <w:sz w:val="20"/>
          <w:szCs w:val="20"/>
          <w:lang w:val="en-US" w:eastAsia="en-US"/>
          <w14:ligatures w14:val="standardContextual"/>
        </w:rPr>
        <w:t xml:space="preserve">, D.; Riccardi, C.; </w:t>
      </w:r>
      <w:proofErr w:type="spellStart"/>
      <w:r w:rsidRPr="007C5A6E">
        <w:rPr>
          <w:rFonts w:ascii="Times New Roman" w:eastAsiaTheme="minorHAnsi" w:hAnsi="Times New Roman"/>
          <w:kern w:val="2"/>
          <w:sz w:val="20"/>
          <w:szCs w:val="20"/>
          <w:lang w:val="en-US" w:eastAsia="en-US"/>
          <w14:ligatures w14:val="standardContextual"/>
        </w:rPr>
        <w:t>Buiarelli</w:t>
      </w:r>
      <w:proofErr w:type="spellEnd"/>
      <w:r w:rsidRPr="007C5A6E">
        <w:rPr>
          <w:rFonts w:ascii="Times New Roman" w:eastAsiaTheme="minorHAnsi" w:hAnsi="Times New Roman"/>
          <w:kern w:val="2"/>
          <w:sz w:val="20"/>
          <w:szCs w:val="20"/>
          <w:lang w:val="en-US" w:eastAsia="en-US"/>
          <w14:ligatures w14:val="standardContextual"/>
        </w:rPr>
        <w:t xml:space="preserve">, F.; Castellani, F.; Calitri, G.; Simonetti, G.; </w:t>
      </w:r>
      <w:proofErr w:type="spellStart"/>
      <w:r w:rsidRPr="007C5A6E">
        <w:rPr>
          <w:rFonts w:ascii="Times New Roman" w:eastAsiaTheme="minorHAnsi" w:hAnsi="Times New Roman"/>
          <w:kern w:val="2"/>
          <w:sz w:val="20"/>
          <w:szCs w:val="20"/>
          <w:lang w:val="en-US" w:eastAsia="en-US"/>
          <w14:ligatures w14:val="standardContextual"/>
        </w:rPr>
        <w:t>Sonego</w:t>
      </w:r>
      <w:proofErr w:type="spellEnd"/>
      <w:r w:rsidRPr="007C5A6E">
        <w:rPr>
          <w:rFonts w:ascii="Times New Roman" w:eastAsiaTheme="minorHAnsi" w:hAnsi="Times New Roman"/>
          <w:kern w:val="2"/>
          <w:sz w:val="20"/>
          <w:szCs w:val="20"/>
          <w:lang w:val="en-US" w:eastAsia="en-US"/>
          <w14:ligatures w14:val="standardContextual"/>
        </w:rPr>
        <w:t xml:space="preserve">, E.; Bruni, E.; </w:t>
      </w:r>
      <w:proofErr w:type="spellStart"/>
      <w:r w:rsidRPr="007C5A6E">
        <w:rPr>
          <w:rFonts w:ascii="Times New Roman" w:eastAsiaTheme="minorHAnsi" w:hAnsi="Times New Roman"/>
          <w:kern w:val="2"/>
          <w:sz w:val="20"/>
          <w:szCs w:val="20"/>
          <w:lang w:val="en-US" w:eastAsia="en-US"/>
          <w14:ligatures w14:val="standardContextual"/>
        </w:rPr>
        <w:t>Uccelletti</w:t>
      </w:r>
      <w:proofErr w:type="spellEnd"/>
      <w:r w:rsidRPr="007C5A6E">
        <w:rPr>
          <w:rFonts w:ascii="Times New Roman" w:eastAsiaTheme="minorHAnsi" w:hAnsi="Times New Roman"/>
          <w:kern w:val="2"/>
          <w:sz w:val="20"/>
          <w:szCs w:val="20"/>
          <w:lang w:val="en-US" w:eastAsia="en-US"/>
          <w14:ligatures w14:val="standardContextual"/>
        </w:rPr>
        <w:t>, D. Concentrations of bacteria and bacterial and fungal spores calculated from chemical tracers associated with size-segregated aerosol in a composting plant. Air Qual. Atmos. Health 2020, 13, 469–476. [</w:t>
      </w:r>
      <w:proofErr w:type="spellStart"/>
      <w:r w:rsidRPr="007C5A6E">
        <w:rPr>
          <w:rFonts w:ascii="Times New Roman" w:eastAsiaTheme="minorHAnsi" w:hAnsi="Times New Roman"/>
          <w:kern w:val="2"/>
          <w:sz w:val="20"/>
          <w:szCs w:val="20"/>
          <w:lang w:val="en-US" w:eastAsia="en-US"/>
          <w14:ligatures w14:val="standardContextual"/>
        </w:rPr>
        <w:t>CrossRef</w:t>
      </w:r>
      <w:proofErr w:type="spellEnd"/>
      <w:r w:rsidRPr="007C5A6E">
        <w:rPr>
          <w:rFonts w:ascii="Times New Roman" w:eastAsiaTheme="minorHAnsi" w:hAnsi="Times New Roman"/>
          <w:kern w:val="2"/>
          <w:sz w:val="20"/>
          <w:szCs w:val="20"/>
          <w:lang w:val="en-US" w:eastAsia="en-US"/>
          <w14:ligatures w14:val="standardContextual"/>
        </w:rPr>
        <w:t>]</w:t>
      </w:r>
    </w:p>
    <w:p w14:paraId="581330EA"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Douglas, P.; Robertson, S.; Gay, R.; Hansell, A.L.; Gant, T.W. A systematic review of the public health risks of bioaerosols from intensive farming. Int. J. </w:t>
      </w:r>
      <w:proofErr w:type="spellStart"/>
      <w:r w:rsidRPr="007C5A6E">
        <w:rPr>
          <w:rFonts w:ascii="Times New Roman" w:eastAsiaTheme="minorHAnsi" w:hAnsi="Times New Roman"/>
          <w:kern w:val="2"/>
          <w:sz w:val="20"/>
          <w:szCs w:val="20"/>
          <w:lang w:val="en-US" w:eastAsia="en-US"/>
          <w14:ligatures w14:val="standardContextual"/>
        </w:rPr>
        <w:t>Hyg</w:t>
      </w:r>
      <w:proofErr w:type="spellEnd"/>
      <w:r w:rsidRPr="007C5A6E">
        <w:rPr>
          <w:rFonts w:ascii="Times New Roman" w:eastAsiaTheme="minorHAnsi" w:hAnsi="Times New Roman"/>
          <w:kern w:val="2"/>
          <w:sz w:val="20"/>
          <w:szCs w:val="20"/>
          <w:lang w:val="en-US" w:eastAsia="en-US"/>
          <w14:ligatures w14:val="standardContextual"/>
        </w:rPr>
        <w:t>. Environ. Health 2018, 221, 134–173. [</w:t>
      </w:r>
      <w:proofErr w:type="spellStart"/>
      <w:r w:rsidRPr="007C5A6E">
        <w:rPr>
          <w:rFonts w:ascii="Times New Roman" w:eastAsiaTheme="minorHAnsi" w:hAnsi="Times New Roman"/>
          <w:kern w:val="2"/>
          <w:sz w:val="20"/>
          <w:szCs w:val="20"/>
          <w:lang w:val="en-US" w:eastAsia="en-US"/>
          <w14:ligatures w14:val="standardContextual"/>
        </w:rPr>
        <w:t>CrossRef</w:t>
      </w:r>
      <w:proofErr w:type="spellEnd"/>
      <w:r w:rsidRPr="007C5A6E">
        <w:rPr>
          <w:rFonts w:ascii="Times New Roman" w:eastAsiaTheme="minorHAnsi" w:hAnsi="Times New Roman"/>
          <w:kern w:val="2"/>
          <w:sz w:val="20"/>
          <w:szCs w:val="20"/>
          <w:lang w:val="en-US" w:eastAsia="en-US"/>
          <w14:ligatures w14:val="standardContextual"/>
        </w:rPr>
        <w:t>] [PubMed]</w:t>
      </w:r>
    </w:p>
    <w:p w14:paraId="7348590C"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proofErr w:type="spellStart"/>
      <w:r w:rsidRPr="007C5A6E">
        <w:rPr>
          <w:rFonts w:ascii="Times New Roman" w:eastAsiaTheme="minorHAnsi" w:hAnsi="Times New Roman"/>
          <w:kern w:val="2"/>
          <w:sz w:val="20"/>
          <w:szCs w:val="20"/>
          <w:lang w:val="en-US" w:eastAsia="en-US"/>
          <w14:ligatures w14:val="standardContextual"/>
        </w:rPr>
        <w:t>Humbal</w:t>
      </w:r>
      <w:proofErr w:type="spellEnd"/>
      <w:r w:rsidRPr="007C5A6E">
        <w:rPr>
          <w:rFonts w:ascii="Times New Roman" w:eastAsiaTheme="minorHAnsi" w:hAnsi="Times New Roman"/>
          <w:kern w:val="2"/>
          <w:sz w:val="20"/>
          <w:szCs w:val="20"/>
          <w:lang w:val="en-US" w:eastAsia="en-US"/>
          <w14:ligatures w14:val="standardContextual"/>
        </w:rPr>
        <w:t xml:space="preserve">, C.; Gautam, S.; Trivedi, U. A review on recent progress in observations, and health effects of bioaerosols. </w:t>
      </w:r>
      <w:r w:rsidRPr="007C5A6E">
        <w:rPr>
          <w:rFonts w:ascii="Times New Roman" w:eastAsiaTheme="minorHAnsi" w:hAnsi="Times New Roman"/>
          <w:kern w:val="2"/>
          <w:sz w:val="20"/>
          <w:szCs w:val="20"/>
          <w:lang w:eastAsia="en-US"/>
          <w14:ligatures w14:val="standardContextual"/>
        </w:rPr>
        <w:t>Environ. Int. 2018, 18, 189–193. [</w:t>
      </w:r>
      <w:proofErr w:type="spellStart"/>
      <w:r w:rsidRPr="007C5A6E">
        <w:rPr>
          <w:rFonts w:ascii="Times New Roman" w:eastAsiaTheme="minorHAnsi" w:hAnsi="Times New Roman"/>
          <w:kern w:val="2"/>
          <w:sz w:val="20"/>
          <w:szCs w:val="20"/>
          <w:lang w:eastAsia="en-US"/>
          <w14:ligatures w14:val="standardContextual"/>
        </w:rPr>
        <w:t>CrossRef</w:t>
      </w:r>
      <w:proofErr w:type="spellEnd"/>
      <w:r w:rsidRPr="007C5A6E">
        <w:rPr>
          <w:rFonts w:ascii="Times New Roman" w:eastAsiaTheme="minorHAnsi" w:hAnsi="Times New Roman"/>
          <w:kern w:val="2"/>
          <w:sz w:val="20"/>
          <w:szCs w:val="20"/>
          <w:lang w:eastAsia="en-US"/>
          <w14:ligatures w14:val="standardContextual"/>
        </w:rPr>
        <w:t>] [PubMed]</w:t>
      </w:r>
    </w:p>
    <w:p w14:paraId="398D0B9C"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eastAsia="en-US"/>
          <w14:ligatures w14:val="standardContextual"/>
        </w:rPr>
        <w:t xml:space="preserve">INSPQ (Institut National de Santé Publique du </w:t>
      </w:r>
      <w:proofErr w:type="spellStart"/>
      <w:r w:rsidRPr="007C5A6E">
        <w:rPr>
          <w:rFonts w:ascii="Times New Roman" w:eastAsiaTheme="minorHAnsi" w:hAnsi="Times New Roman"/>
          <w:kern w:val="2"/>
          <w:sz w:val="20"/>
          <w:szCs w:val="20"/>
          <w:lang w:eastAsia="en-US"/>
          <w14:ligatures w14:val="standardContextual"/>
        </w:rPr>
        <w:t>Quebec</w:t>
      </w:r>
      <w:proofErr w:type="spellEnd"/>
      <w:r w:rsidRPr="007C5A6E">
        <w:rPr>
          <w:rFonts w:ascii="Times New Roman" w:eastAsiaTheme="minorHAnsi" w:hAnsi="Times New Roman"/>
          <w:kern w:val="2"/>
          <w:sz w:val="20"/>
          <w:szCs w:val="20"/>
          <w:lang w:eastAsia="en-US"/>
          <w14:ligatures w14:val="standardContextual"/>
        </w:rPr>
        <w:t xml:space="preserve">). (2021). Les changements climatiques abrégé à l’intention des professionnels de la santé. </w:t>
      </w:r>
      <w:proofErr w:type="gramStart"/>
      <w:r w:rsidRPr="007C5A6E">
        <w:rPr>
          <w:rFonts w:ascii="Times New Roman" w:eastAsiaTheme="minorHAnsi" w:hAnsi="Times New Roman"/>
          <w:kern w:val="2"/>
          <w:sz w:val="20"/>
          <w:szCs w:val="20"/>
          <w:lang w:val="en-US" w:eastAsia="en-US"/>
          <w14:ligatures w14:val="standardContextual"/>
        </w:rPr>
        <w:t>ISBN :</w:t>
      </w:r>
      <w:proofErr w:type="gramEnd"/>
      <w:r w:rsidRPr="007C5A6E">
        <w:rPr>
          <w:rFonts w:ascii="Times New Roman" w:eastAsiaTheme="minorHAnsi" w:hAnsi="Times New Roman"/>
          <w:kern w:val="2"/>
          <w:sz w:val="20"/>
          <w:szCs w:val="20"/>
          <w:lang w:val="en-US" w:eastAsia="en-US"/>
          <w14:ligatures w14:val="standardContextual"/>
        </w:rPr>
        <w:t xml:space="preserve"> 978-2-550-89265-6.</w:t>
      </w:r>
    </w:p>
    <w:p w14:paraId="73032906"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proofErr w:type="spellStart"/>
      <w:r w:rsidRPr="007C5A6E">
        <w:rPr>
          <w:rFonts w:ascii="Times New Roman" w:eastAsiaTheme="minorHAnsi" w:hAnsi="Times New Roman"/>
          <w:kern w:val="2"/>
          <w:sz w:val="20"/>
          <w:szCs w:val="20"/>
          <w:lang w:val="en-US" w:eastAsia="en-US"/>
          <w14:ligatures w14:val="standardContextual"/>
        </w:rPr>
        <w:t>Manisalidis</w:t>
      </w:r>
      <w:proofErr w:type="spellEnd"/>
      <w:r w:rsidRPr="007C5A6E">
        <w:rPr>
          <w:rFonts w:ascii="Times New Roman" w:eastAsiaTheme="minorHAnsi" w:hAnsi="Times New Roman"/>
          <w:kern w:val="2"/>
          <w:sz w:val="20"/>
          <w:szCs w:val="20"/>
          <w:lang w:val="en-US" w:eastAsia="en-US"/>
          <w14:ligatures w14:val="standardContextual"/>
        </w:rPr>
        <w:t xml:space="preserve"> I, Stavropoulou E, Stavropoulos A, </w:t>
      </w:r>
      <w:proofErr w:type="spellStart"/>
      <w:r w:rsidRPr="007C5A6E">
        <w:rPr>
          <w:rFonts w:ascii="Times New Roman" w:eastAsiaTheme="minorHAnsi" w:hAnsi="Times New Roman"/>
          <w:kern w:val="2"/>
          <w:sz w:val="20"/>
          <w:szCs w:val="20"/>
          <w:lang w:val="en-US" w:eastAsia="en-US"/>
          <w14:ligatures w14:val="standardContextual"/>
        </w:rPr>
        <w:t>Bezirtzoglou</w:t>
      </w:r>
      <w:proofErr w:type="spellEnd"/>
      <w:r w:rsidRPr="007C5A6E">
        <w:rPr>
          <w:rFonts w:ascii="Times New Roman" w:eastAsiaTheme="minorHAnsi" w:hAnsi="Times New Roman"/>
          <w:kern w:val="2"/>
          <w:sz w:val="20"/>
          <w:szCs w:val="20"/>
          <w:lang w:val="en-US" w:eastAsia="en-US"/>
          <w14:ligatures w14:val="standardContextual"/>
        </w:rPr>
        <w:t xml:space="preserve"> E. Environmental and Health Impacts of Air </w:t>
      </w:r>
      <w:proofErr w:type="gramStart"/>
      <w:r w:rsidRPr="007C5A6E">
        <w:rPr>
          <w:rFonts w:ascii="Times New Roman" w:eastAsiaTheme="minorHAnsi" w:hAnsi="Times New Roman"/>
          <w:kern w:val="2"/>
          <w:sz w:val="20"/>
          <w:szCs w:val="20"/>
          <w:lang w:val="en-US" w:eastAsia="en-US"/>
          <w14:ligatures w14:val="standardContextual"/>
        </w:rPr>
        <w:t>Pollution :</w:t>
      </w:r>
      <w:proofErr w:type="gramEnd"/>
      <w:r w:rsidRPr="007C5A6E">
        <w:rPr>
          <w:rFonts w:ascii="Times New Roman" w:eastAsiaTheme="minorHAnsi" w:hAnsi="Times New Roman"/>
          <w:kern w:val="2"/>
          <w:sz w:val="20"/>
          <w:szCs w:val="20"/>
          <w:lang w:val="en-US" w:eastAsia="en-US"/>
          <w14:ligatures w14:val="standardContextual"/>
        </w:rPr>
        <w:t xml:space="preserve"> A Review. Front Public Health. </w:t>
      </w:r>
      <w:proofErr w:type="gramStart"/>
      <w:r w:rsidRPr="007C5A6E">
        <w:rPr>
          <w:rFonts w:ascii="Times New Roman" w:eastAsiaTheme="minorHAnsi" w:hAnsi="Times New Roman"/>
          <w:kern w:val="2"/>
          <w:sz w:val="20"/>
          <w:szCs w:val="20"/>
          <w:lang w:val="en-US" w:eastAsia="en-US"/>
          <w14:ligatures w14:val="standardContextual"/>
        </w:rPr>
        <w:t>2020;8:14</w:t>
      </w:r>
      <w:proofErr w:type="gramEnd"/>
      <w:r w:rsidRPr="007C5A6E">
        <w:rPr>
          <w:rFonts w:ascii="Times New Roman" w:eastAsiaTheme="minorHAnsi" w:hAnsi="Times New Roman"/>
          <w:kern w:val="2"/>
          <w:sz w:val="20"/>
          <w:szCs w:val="20"/>
          <w:lang w:val="en-US" w:eastAsia="en-US"/>
          <w14:ligatures w14:val="standardContextual"/>
        </w:rPr>
        <w:t>.</w:t>
      </w:r>
    </w:p>
    <w:p w14:paraId="5B49C4B6"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Schraufnagel DE, Balmes JR, Cowl CT, De Matteis S, Jung SH, Mortimer K, et al. Air Pollution and Noncommunicable Diseases: A Review by the Forum of International Respiratory Societies’ Environmental Committee, Part 2: Air Pollution and Organ Systems. Chest. </w:t>
      </w:r>
      <w:proofErr w:type="spellStart"/>
      <w:r w:rsidRPr="007C5A6E">
        <w:rPr>
          <w:rFonts w:ascii="Times New Roman" w:eastAsiaTheme="minorHAnsi" w:hAnsi="Times New Roman"/>
          <w:kern w:val="2"/>
          <w:sz w:val="20"/>
          <w:szCs w:val="20"/>
          <w:lang w:val="en-US" w:eastAsia="en-US"/>
          <w14:ligatures w14:val="standardContextual"/>
        </w:rPr>
        <w:t>févr</w:t>
      </w:r>
      <w:proofErr w:type="spellEnd"/>
      <w:r w:rsidRPr="007C5A6E">
        <w:rPr>
          <w:rFonts w:ascii="Times New Roman" w:eastAsiaTheme="minorHAnsi" w:hAnsi="Times New Roman"/>
          <w:kern w:val="2"/>
          <w:sz w:val="20"/>
          <w:szCs w:val="20"/>
          <w:lang w:val="en-US" w:eastAsia="en-US"/>
          <w14:ligatures w14:val="standardContextual"/>
        </w:rPr>
        <w:t xml:space="preserve"> 2019;155(2):417</w:t>
      </w:r>
      <w:r w:rsidRPr="007C5A6E">
        <w:rPr>
          <w:rFonts w:ascii="Times New Roman" w:eastAsiaTheme="minorHAnsi" w:hAnsi="Times New Roman"/>
          <w:kern w:val="2"/>
          <w:sz w:val="20"/>
          <w:szCs w:val="20"/>
          <w:lang w:val="en-US" w:eastAsia="en-US"/>
          <w14:ligatures w14:val="standardContextual"/>
        </w:rPr>
        <w:noBreakHyphen/>
        <w:t>26.</w:t>
      </w:r>
    </w:p>
    <w:p w14:paraId="380C6BEF"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Brauer M, Casadei B, Harrington RA, Kovacs R, Sliwa K, WHF Air Pollution Expert Group. Taking a Stand Against Air Pollution-The Impact on Cardiovascular Disease: A Joint Opinion from the World Heart Federation, American College of Cardiology, American Heart Association, and the European Society of Cardiology. J Am Coll </w:t>
      </w:r>
      <w:proofErr w:type="spellStart"/>
      <w:r w:rsidRPr="007C5A6E">
        <w:rPr>
          <w:rFonts w:ascii="Times New Roman" w:eastAsiaTheme="minorHAnsi" w:hAnsi="Times New Roman"/>
          <w:kern w:val="2"/>
          <w:sz w:val="20"/>
          <w:szCs w:val="20"/>
          <w:lang w:val="en-US" w:eastAsia="en-US"/>
          <w14:ligatures w14:val="standardContextual"/>
        </w:rPr>
        <w:t>Cardiol</w:t>
      </w:r>
      <w:proofErr w:type="spellEnd"/>
      <w:r w:rsidRPr="007C5A6E">
        <w:rPr>
          <w:rFonts w:ascii="Times New Roman" w:eastAsiaTheme="minorHAnsi" w:hAnsi="Times New Roman"/>
          <w:kern w:val="2"/>
          <w:sz w:val="20"/>
          <w:szCs w:val="20"/>
          <w:lang w:val="en-US" w:eastAsia="en-US"/>
          <w14:ligatures w14:val="standardContextual"/>
        </w:rPr>
        <w:t xml:space="preserve">. 6 </w:t>
      </w:r>
      <w:proofErr w:type="spellStart"/>
      <w:r w:rsidRPr="007C5A6E">
        <w:rPr>
          <w:rFonts w:ascii="Times New Roman" w:eastAsiaTheme="minorHAnsi" w:hAnsi="Times New Roman"/>
          <w:kern w:val="2"/>
          <w:sz w:val="20"/>
          <w:szCs w:val="20"/>
          <w:lang w:val="en-US" w:eastAsia="en-US"/>
          <w14:ligatures w14:val="standardContextual"/>
        </w:rPr>
        <w:t>avr</w:t>
      </w:r>
      <w:proofErr w:type="spellEnd"/>
      <w:r w:rsidRPr="007C5A6E">
        <w:rPr>
          <w:rFonts w:ascii="Times New Roman" w:eastAsiaTheme="minorHAnsi" w:hAnsi="Times New Roman"/>
          <w:kern w:val="2"/>
          <w:sz w:val="20"/>
          <w:szCs w:val="20"/>
          <w:lang w:val="en-US" w:eastAsia="en-US"/>
          <w14:ligatures w14:val="standardContextual"/>
        </w:rPr>
        <w:t xml:space="preserve"> 2021;77(13):1684</w:t>
      </w:r>
      <w:r w:rsidRPr="007C5A6E">
        <w:rPr>
          <w:rFonts w:ascii="Times New Roman" w:eastAsiaTheme="minorHAnsi" w:hAnsi="Times New Roman"/>
          <w:kern w:val="2"/>
          <w:sz w:val="20"/>
          <w:szCs w:val="20"/>
          <w:lang w:val="en-US" w:eastAsia="en-US"/>
          <w14:ligatures w14:val="standardContextual"/>
        </w:rPr>
        <w:noBreakHyphen/>
        <w:t>8.</w:t>
      </w:r>
    </w:p>
    <w:p w14:paraId="4F95864A"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Filleul L, Rondeau V, </w:t>
      </w:r>
      <w:proofErr w:type="spellStart"/>
      <w:r w:rsidRPr="007C5A6E">
        <w:rPr>
          <w:rFonts w:ascii="Times New Roman" w:eastAsiaTheme="minorHAnsi" w:hAnsi="Times New Roman"/>
          <w:kern w:val="2"/>
          <w:sz w:val="20"/>
          <w:szCs w:val="20"/>
          <w:lang w:val="en-US" w:eastAsia="en-US"/>
          <w14:ligatures w14:val="standardContextual"/>
        </w:rPr>
        <w:t>Vandentorren</w:t>
      </w:r>
      <w:proofErr w:type="spellEnd"/>
      <w:r w:rsidRPr="007C5A6E">
        <w:rPr>
          <w:rFonts w:ascii="Times New Roman" w:eastAsiaTheme="minorHAnsi" w:hAnsi="Times New Roman"/>
          <w:kern w:val="2"/>
          <w:sz w:val="20"/>
          <w:szCs w:val="20"/>
          <w:lang w:val="en-US" w:eastAsia="en-US"/>
          <w14:ligatures w14:val="standardContextual"/>
        </w:rPr>
        <w:t xml:space="preserve"> S, Le Moual N, </w:t>
      </w:r>
      <w:proofErr w:type="spellStart"/>
      <w:r w:rsidRPr="007C5A6E">
        <w:rPr>
          <w:rFonts w:ascii="Times New Roman" w:eastAsiaTheme="minorHAnsi" w:hAnsi="Times New Roman"/>
          <w:kern w:val="2"/>
          <w:sz w:val="20"/>
          <w:szCs w:val="20"/>
          <w:lang w:val="en-US" w:eastAsia="en-US"/>
          <w14:ligatures w14:val="standardContextual"/>
        </w:rPr>
        <w:t>Cantagrel</w:t>
      </w:r>
      <w:proofErr w:type="spellEnd"/>
      <w:r w:rsidRPr="007C5A6E">
        <w:rPr>
          <w:rFonts w:ascii="Times New Roman" w:eastAsiaTheme="minorHAnsi" w:hAnsi="Times New Roman"/>
          <w:kern w:val="2"/>
          <w:sz w:val="20"/>
          <w:szCs w:val="20"/>
          <w:lang w:val="en-US" w:eastAsia="en-US"/>
          <w14:ligatures w14:val="standardContextual"/>
        </w:rPr>
        <w:t xml:space="preserve"> A, Annesi-</w:t>
      </w:r>
      <w:proofErr w:type="spellStart"/>
      <w:r w:rsidRPr="007C5A6E">
        <w:rPr>
          <w:rFonts w:ascii="Times New Roman" w:eastAsiaTheme="minorHAnsi" w:hAnsi="Times New Roman"/>
          <w:kern w:val="2"/>
          <w:sz w:val="20"/>
          <w:szCs w:val="20"/>
          <w:lang w:val="en-US" w:eastAsia="en-US"/>
          <w14:ligatures w14:val="standardContextual"/>
        </w:rPr>
        <w:t>Maesano</w:t>
      </w:r>
      <w:proofErr w:type="spellEnd"/>
      <w:r w:rsidRPr="007C5A6E">
        <w:rPr>
          <w:rFonts w:ascii="Times New Roman" w:eastAsiaTheme="minorHAnsi" w:hAnsi="Times New Roman"/>
          <w:kern w:val="2"/>
          <w:sz w:val="20"/>
          <w:szCs w:val="20"/>
          <w:lang w:val="en-US" w:eastAsia="en-US"/>
          <w14:ligatures w14:val="standardContextual"/>
        </w:rPr>
        <w:t xml:space="preserve"> I, et al. </w:t>
      </w:r>
      <w:proofErr w:type="gramStart"/>
      <w:r w:rsidRPr="007C5A6E">
        <w:rPr>
          <w:rFonts w:ascii="Times New Roman" w:eastAsiaTheme="minorHAnsi" w:hAnsi="Times New Roman"/>
          <w:kern w:val="2"/>
          <w:sz w:val="20"/>
          <w:szCs w:val="20"/>
          <w:lang w:val="en-US" w:eastAsia="en-US"/>
          <w14:ligatures w14:val="standardContextual"/>
        </w:rPr>
        <w:t>Twenty five year</w:t>
      </w:r>
      <w:proofErr w:type="gramEnd"/>
      <w:r w:rsidRPr="007C5A6E">
        <w:rPr>
          <w:rFonts w:ascii="Times New Roman" w:eastAsiaTheme="minorHAnsi" w:hAnsi="Times New Roman"/>
          <w:kern w:val="2"/>
          <w:sz w:val="20"/>
          <w:szCs w:val="20"/>
          <w:lang w:val="en-US" w:eastAsia="en-US"/>
          <w14:ligatures w14:val="standardContextual"/>
        </w:rPr>
        <w:t xml:space="preserve"> mortality and air pollution: results from the French PAARC survey. </w:t>
      </w:r>
      <w:proofErr w:type="spellStart"/>
      <w:r w:rsidRPr="007C5A6E">
        <w:rPr>
          <w:rFonts w:ascii="Times New Roman" w:eastAsiaTheme="minorHAnsi" w:hAnsi="Times New Roman"/>
          <w:kern w:val="2"/>
          <w:sz w:val="20"/>
          <w:szCs w:val="20"/>
          <w:lang w:eastAsia="en-US"/>
          <w14:ligatures w14:val="standardContextual"/>
        </w:rPr>
        <w:t>Occup</w:t>
      </w:r>
      <w:proofErr w:type="spellEnd"/>
      <w:r w:rsidRPr="007C5A6E">
        <w:rPr>
          <w:rFonts w:ascii="Times New Roman" w:eastAsiaTheme="minorHAnsi" w:hAnsi="Times New Roman"/>
          <w:kern w:val="2"/>
          <w:sz w:val="20"/>
          <w:szCs w:val="20"/>
          <w:lang w:eastAsia="en-US"/>
          <w14:ligatures w14:val="standardContextual"/>
        </w:rPr>
        <w:t xml:space="preserve"> Environ Med. </w:t>
      </w:r>
      <w:proofErr w:type="spellStart"/>
      <w:proofErr w:type="gramStart"/>
      <w:r w:rsidRPr="007C5A6E">
        <w:rPr>
          <w:rFonts w:ascii="Times New Roman" w:eastAsiaTheme="minorHAnsi" w:hAnsi="Times New Roman"/>
          <w:kern w:val="2"/>
          <w:sz w:val="20"/>
          <w:szCs w:val="20"/>
          <w:lang w:eastAsia="en-US"/>
          <w14:ligatures w14:val="standardContextual"/>
        </w:rPr>
        <w:t>juill</w:t>
      </w:r>
      <w:proofErr w:type="spellEnd"/>
      <w:proofErr w:type="gramEnd"/>
      <w:r w:rsidRPr="007C5A6E">
        <w:rPr>
          <w:rFonts w:ascii="Times New Roman" w:eastAsiaTheme="minorHAnsi" w:hAnsi="Times New Roman"/>
          <w:kern w:val="2"/>
          <w:sz w:val="20"/>
          <w:szCs w:val="20"/>
          <w:lang w:eastAsia="en-US"/>
          <w14:ligatures w14:val="standardContextual"/>
        </w:rPr>
        <w:t xml:space="preserve"> 2005;62(7):453</w:t>
      </w:r>
      <w:r w:rsidRPr="007C5A6E">
        <w:rPr>
          <w:rFonts w:ascii="Times New Roman" w:eastAsiaTheme="minorHAnsi" w:hAnsi="Times New Roman"/>
          <w:kern w:val="2"/>
          <w:sz w:val="20"/>
          <w:szCs w:val="20"/>
          <w:lang w:eastAsia="en-US"/>
          <w14:ligatures w14:val="standardContextual"/>
        </w:rPr>
        <w:noBreakHyphen/>
        <w:t>60.</w:t>
      </w:r>
    </w:p>
    <w:p w14:paraId="364DB640"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eastAsia="en-US"/>
          <w14:ligatures w14:val="standardContextual"/>
        </w:rPr>
        <w:t xml:space="preserve">Chen H, Liu X, Gao X, </w:t>
      </w:r>
      <w:proofErr w:type="spellStart"/>
      <w:r w:rsidRPr="007C5A6E">
        <w:rPr>
          <w:rFonts w:ascii="Times New Roman" w:eastAsiaTheme="minorHAnsi" w:hAnsi="Times New Roman"/>
          <w:kern w:val="2"/>
          <w:sz w:val="20"/>
          <w:szCs w:val="20"/>
          <w:lang w:eastAsia="en-US"/>
          <w14:ligatures w14:val="standardContextual"/>
        </w:rPr>
        <w:t>Lv</w:t>
      </w:r>
      <w:proofErr w:type="spellEnd"/>
      <w:r w:rsidRPr="007C5A6E">
        <w:rPr>
          <w:rFonts w:ascii="Times New Roman" w:eastAsiaTheme="minorHAnsi" w:hAnsi="Times New Roman"/>
          <w:kern w:val="2"/>
          <w:sz w:val="20"/>
          <w:szCs w:val="20"/>
          <w:lang w:eastAsia="en-US"/>
          <w14:ligatures w14:val="standardContextual"/>
        </w:rPr>
        <w:t xml:space="preserve"> Y, Zhou L, Shi J, et al. </w:t>
      </w:r>
      <w:r w:rsidRPr="007C5A6E">
        <w:rPr>
          <w:rFonts w:ascii="Times New Roman" w:eastAsiaTheme="minorHAnsi" w:hAnsi="Times New Roman"/>
          <w:kern w:val="2"/>
          <w:sz w:val="20"/>
          <w:szCs w:val="20"/>
          <w:lang w:val="en-US" w:eastAsia="en-US"/>
          <w14:ligatures w14:val="standardContextual"/>
        </w:rPr>
        <w:t xml:space="preserve">Epidemiological evidence relating risk factors to chronic obstructive pulmonary disease in China: A systematic review and meta-analysis. </w:t>
      </w:r>
      <w:proofErr w:type="spellStart"/>
      <w:r w:rsidRPr="007C5A6E">
        <w:rPr>
          <w:rFonts w:ascii="Times New Roman" w:eastAsiaTheme="minorHAnsi" w:hAnsi="Times New Roman"/>
          <w:kern w:val="2"/>
          <w:sz w:val="20"/>
          <w:szCs w:val="20"/>
          <w:lang w:eastAsia="en-US"/>
          <w14:ligatures w14:val="standardContextual"/>
        </w:rPr>
        <w:t>PLoS</w:t>
      </w:r>
      <w:proofErr w:type="spellEnd"/>
      <w:r w:rsidRPr="007C5A6E">
        <w:rPr>
          <w:rFonts w:ascii="Times New Roman" w:eastAsiaTheme="minorHAnsi" w:hAnsi="Times New Roman"/>
          <w:kern w:val="2"/>
          <w:sz w:val="20"/>
          <w:szCs w:val="20"/>
          <w:lang w:eastAsia="en-US"/>
          <w14:ligatures w14:val="standardContextual"/>
        </w:rPr>
        <w:t xml:space="preserve"> One. </w:t>
      </w:r>
      <w:proofErr w:type="gramStart"/>
      <w:r w:rsidRPr="007C5A6E">
        <w:rPr>
          <w:rFonts w:ascii="Times New Roman" w:eastAsiaTheme="minorHAnsi" w:hAnsi="Times New Roman"/>
          <w:kern w:val="2"/>
          <w:sz w:val="20"/>
          <w:szCs w:val="20"/>
          <w:lang w:eastAsia="en-US"/>
          <w14:ligatures w14:val="standardContextual"/>
        </w:rPr>
        <w:t>2021;</w:t>
      </w:r>
      <w:proofErr w:type="gramEnd"/>
      <w:r w:rsidRPr="007C5A6E">
        <w:rPr>
          <w:rFonts w:ascii="Times New Roman" w:eastAsiaTheme="minorHAnsi" w:hAnsi="Times New Roman"/>
          <w:kern w:val="2"/>
          <w:sz w:val="20"/>
          <w:szCs w:val="20"/>
          <w:lang w:eastAsia="en-US"/>
          <w14:ligatures w14:val="standardContextual"/>
        </w:rPr>
        <w:t>16(12):e0261692.</w:t>
      </w:r>
    </w:p>
    <w:p w14:paraId="5E558845"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eastAsia="en-US"/>
          <w14:ligatures w14:val="standardContextual"/>
        </w:rPr>
        <w:t xml:space="preserve">Renzi M, </w:t>
      </w:r>
      <w:proofErr w:type="spellStart"/>
      <w:r w:rsidRPr="007C5A6E">
        <w:rPr>
          <w:rFonts w:ascii="Times New Roman" w:eastAsiaTheme="minorHAnsi" w:hAnsi="Times New Roman"/>
          <w:kern w:val="2"/>
          <w:sz w:val="20"/>
          <w:szCs w:val="20"/>
          <w:lang w:eastAsia="en-US"/>
          <w14:ligatures w14:val="standardContextual"/>
        </w:rPr>
        <w:t>Scortichini</w:t>
      </w:r>
      <w:proofErr w:type="spellEnd"/>
      <w:r w:rsidRPr="007C5A6E">
        <w:rPr>
          <w:rFonts w:ascii="Times New Roman" w:eastAsiaTheme="minorHAnsi" w:hAnsi="Times New Roman"/>
          <w:kern w:val="2"/>
          <w:sz w:val="20"/>
          <w:szCs w:val="20"/>
          <w:lang w:eastAsia="en-US"/>
          <w14:ligatures w14:val="standardContextual"/>
        </w:rPr>
        <w:t xml:space="preserve"> M, </w:t>
      </w:r>
      <w:proofErr w:type="spellStart"/>
      <w:r w:rsidRPr="007C5A6E">
        <w:rPr>
          <w:rFonts w:ascii="Times New Roman" w:eastAsiaTheme="minorHAnsi" w:hAnsi="Times New Roman"/>
          <w:kern w:val="2"/>
          <w:sz w:val="20"/>
          <w:szCs w:val="20"/>
          <w:lang w:eastAsia="en-US"/>
          <w14:ligatures w14:val="standardContextual"/>
        </w:rPr>
        <w:t>Forastiere</w:t>
      </w:r>
      <w:proofErr w:type="spellEnd"/>
      <w:r w:rsidRPr="007C5A6E">
        <w:rPr>
          <w:rFonts w:ascii="Times New Roman" w:eastAsiaTheme="minorHAnsi" w:hAnsi="Times New Roman"/>
          <w:kern w:val="2"/>
          <w:sz w:val="20"/>
          <w:szCs w:val="20"/>
          <w:lang w:eastAsia="en-US"/>
          <w14:ligatures w14:val="standardContextual"/>
        </w:rPr>
        <w:t xml:space="preserve"> F, De’ Donato F, </w:t>
      </w:r>
      <w:proofErr w:type="spellStart"/>
      <w:r w:rsidRPr="007C5A6E">
        <w:rPr>
          <w:rFonts w:ascii="Times New Roman" w:eastAsiaTheme="minorHAnsi" w:hAnsi="Times New Roman"/>
          <w:kern w:val="2"/>
          <w:sz w:val="20"/>
          <w:szCs w:val="20"/>
          <w:lang w:eastAsia="en-US"/>
          <w14:ligatures w14:val="standardContextual"/>
        </w:rPr>
        <w:t>Michelozzi</w:t>
      </w:r>
      <w:proofErr w:type="spellEnd"/>
      <w:r w:rsidRPr="007C5A6E">
        <w:rPr>
          <w:rFonts w:ascii="Times New Roman" w:eastAsiaTheme="minorHAnsi" w:hAnsi="Times New Roman"/>
          <w:kern w:val="2"/>
          <w:sz w:val="20"/>
          <w:szCs w:val="20"/>
          <w:lang w:eastAsia="en-US"/>
          <w14:ligatures w14:val="standardContextual"/>
        </w:rPr>
        <w:t xml:space="preserve"> P, </w:t>
      </w:r>
      <w:proofErr w:type="spellStart"/>
      <w:r w:rsidRPr="007C5A6E">
        <w:rPr>
          <w:rFonts w:ascii="Times New Roman" w:eastAsiaTheme="minorHAnsi" w:hAnsi="Times New Roman"/>
          <w:kern w:val="2"/>
          <w:sz w:val="20"/>
          <w:szCs w:val="20"/>
          <w:lang w:eastAsia="en-US"/>
          <w14:ligatures w14:val="standardContextual"/>
        </w:rPr>
        <w:t>Davoli</w:t>
      </w:r>
      <w:proofErr w:type="spellEnd"/>
      <w:r w:rsidRPr="007C5A6E">
        <w:rPr>
          <w:rFonts w:ascii="Times New Roman" w:eastAsiaTheme="minorHAnsi" w:hAnsi="Times New Roman"/>
          <w:kern w:val="2"/>
          <w:sz w:val="20"/>
          <w:szCs w:val="20"/>
          <w:lang w:eastAsia="en-US"/>
          <w14:ligatures w14:val="standardContextual"/>
        </w:rPr>
        <w:t xml:space="preserve"> M, et al. </w:t>
      </w:r>
      <w:r w:rsidRPr="007C5A6E">
        <w:rPr>
          <w:rFonts w:ascii="Times New Roman" w:eastAsiaTheme="minorHAnsi" w:hAnsi="Times New Roman"/>
          <w:kern w:val="2"/>
          <w:sz w:val="20"/>
          <w:szCs w:val="20"/>
          <w:lang w:val="en-US" w:eastAsia="en-US"/>
          <w14:ligatures w14:val="standardContextual"/>
        </w:rPr>
        <w:t xml:space="preserve">A nationwide study of air pollution from particulate matter and daily hospitalizations for respiratory diseases in Italy. </w:t>
      </w:r>
      <w:proofErr w:type="spellStart"/>
      <w:r w:rsidRPr="007C5A6E">
        <w:rPr>
          <w:rFonts w:ascii="Times New Roman" w:eastAsiaTheme="minorHAnsi" w:hAnsi="Times New Roman"/>
          <w:kern w:val="2"/>
          <w:sz w:val="20"/>
          <w:szCs w:val="20"/>
          <w:lang w:eastAsia="en-US"/>
          <w14:ligatures w14:val="standardContextual"/>
        </w:rPr>
        <w:t>Sci</w:t>
      </w:r>
      <w:proofErr w:type="spellEnd"/>
      <w:r w:rsidRPr="007C5A6E">
        <w:rPr>
          <w:rFonts w:ascii="Times New Roman" w:eastAsiaTheme="minorHAnsi" w:hAnsi="Times New Roman"/>
          <w:kern w:val="2"/>
          <w:sz w:val="20"/>
          <w:szCs w:val="20"/>
          <w:lang w:eastAsia="en-US"/>
          <w14:ligatures w14:val="standardContextual"/>
        </w:rPr>
        <w:t xml:space="preserve"> Total Environ. 10 </w:t>
      </w:r>
      <w:proofErr w:type="spellStart"/>
      <w:r w:rsidRPr="007C5A6E">
        <w:rPr>
          <w:rFonts w:ascii="Times New Roman" w:eastAsiaTheme="minorHAnsi" w:hAnsi="Times New Roman"/>
          <w:kern w:val="2"/>
          <w:sz w:val="20"/>
          <w:szCs w:val="20"/>
          <w:lang w:eastAsia="en-US"/>
          <w14:ligatures w14:val="standardContextual"/>
        </w:rPr>
        <w:t>févr</w:t>
      </w:r>
      <w:proofErr w:type="spellEnd"/>
      <w:r w:rsidRPr="007C5A6E">
        <w:rPr>
          <w:rFonts w:ascii="Times New Roman" w:eastAsiaTheme="minorHAnsi" w:hAnsi="Times New Roman"/>
          <w:kern w:val="2"/>
          <w:sz w:val="20"/>
          <w:szCs w:val="20"/>
          <w:lang w:eastAsia="en-US"/>
          <w14:ligatures w14:val="standardContextual"/>
        </w:rPr>
        <w:t xml:space="preserve"> </w:t>
      </w:r>
      <w:proofErr w:type="gramStart"/>
      <w:r w:rsidRPr="007C5A6E">
        <w:rPr>
          <w:rFonts w:ascii="Times New Roman" w:eastAsiaTheme="minorHAnsi" w:hAnsi="Times New Roman"/>
          <w:kern w:val="2"/>
          <w:sz w:val="20"/>
          <w:szCs w:val="20"/>
          <w:lang w:eastAsia="en-US"/>
          <w14:ligatures w14:val="standardContextual"/>
        </w:rPr>
        <w:t>2022;</w:t>
      </w:r>
      <w:proofErr w:type="gramEnd"/>
      <w:r w:rsidRPr="007C5A6E">
        <w:rPr>
          <w:rFonts w:ascii="Times New Roman" w:eastAsiaTheme="minorHAnsi" w:hAnsi="Times New Roman"/>
          <w:kern w:val="2"/>
          <w:sz w:val="20"/>
          <w:szCs w:val="20"/>
          <w:lang w:eastAsia="en-US"/>
          <w14:ligatures w14:val="standardContextual"/>
        </w:rPr>
        <w:t>807(Pt 3):151034.</w:t>
      </w:r>
    </w:p>
    <w:p w14:paraId="1259A2CD"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eastAsia="en-US"/>
          <w14:ligatures w14:val="standardContextual"/>
        </w:rPr>
        <w:t xml:space="preserve">OMS. (2014). 7 millions de décès prématurés sont liés à la pollution de l’air chaque année. </w:t>
      </w:r>
      <w:hyperlink r:id="rId289" w:history="1">
        <w:r w:rsidRPr="007C5A6E">
          <w:rPr>
            <w:rFonts w:ascii="Times New Roman" w:eastAsiaTheme="minorHAnsi" w:hAnsi="Times New Roman"/>
            <w:color w:val="0000FF"/>
            <w:kern w:val="2"/>
            <w:sz w:val="20"/>
            <w:szCs w:val="20"/>
            <w:u w:val="single"/>
            <w:lang w:eastAsia="en-US"/>
            <w14:ligatures w14:val="standardContextual"/>
          </w:rPr>
          <w:t>https://www.who.int/fr/news/item/25-03-2014-7-million-premature-deaths-annually-linked-to-air-pollution</w:t>
        </w:r>
      </w:hyperlink>
      <w:r w:rsidRPr="007C5A6E">
        <w:rPr>
          <w:rFonts w:ascii="Times New Roman" w:eastAsiaTheme="minorHAnsi" w:hAnsi="Times New Roman"/>
          <w:kern w:val="2"/>
          <w:sz w:val="20"/>
          <w:szCs w:val="20"/>
          <w:lang w:eastAsia="en-US"/>
          <w14:ligatures w14:val="standardContextual"/>
        </w:rPr>
        <w:t>. Consulte le 17/09/2024</w:t>
      </w:r>
    </w:p>
    <w:p w14:paraId="13C73CE3"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eastAsia="en-US"/>
          <w14:ligatures w14:val="standardContextual"/>
        </w:rPr>
        <w:t xml:space="preserve">OMS (2022). Des milliards de personnes respirent toujours un air pollué : nouvelles données de l’OMS. </w:t>
      </w:r>
      <w:hyperlink r:id="rId290" w:history="1">
        <w:r w:rsidRPr="007C5A6E">
          <w:rPr>
            <w:rFonts w:ascii="Times New Roman" w:eastAsiaTheme="minorHAnsi" w:hAnsi="Times New Roman"/>
            <w:color w:val="0000FF"/>
            <w:kern w:val="2"/>
            <w:sz w:val="20"/>
            <w:szCs w:val="20"/>
            <w:u w:val="single"/>
            <w:lang w:eastAsia="en-US"/>
            <w14:ligatures w14:val="standardContextual"/>
          </w:rPr>
          <w:t>https://www.who.int/fr/news/item/04-04-2022-billions-of-people-still-breathe-unhealthy-air-new-who-data</w:t>
        </w:r>
      </w:hyperlink>
      <w:r w:rsidRPr="007C5A6E">
        <w:rPr>
          <w:rFonts w:ascii="Times New Roman" w:eastAsiaTheme="minorHAnsi" w:hAnsi="Times New Roman"/>
          <w:color w:val="0000FF"/>
          <w:kern w:val="2"/>
          <w:sz w:val="20"/>
          <w:szCs w:val="20"/>
          <w:u w:val="single"/>
          <w:lang w:eastAsia="en-US"/>
          <w14:ligatures w14:val="standardContextual"/>
        </w:rPr>
        <w:t xml:space="preserve">. </w:t>
      </w:r>
      <w:r w:rsidRPr="007C5A6E">
        <w:rPr>
          <w:rFonts w:ascii="Times New Roman" w:eastAsiaTheme="minorHAnsi" w:hAnsi="Times New Roman"/>
          <w:kern w:val="2"/>
          <w:sz w:val="20"/>
          <w:szCs w:val="20"/>
          <w:lang w:eastAsia="en-US"/>
          <w14:ligatures w14:val="standardContextual"/>
        </w:rPr>
        <w:t>Consulté le 17/09/2024</w:t>
      </w:r>
    </w:p>
    <w:p w14:paraId="5D777C99"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eastAsia="en-US"/>
          <w14:ligatures w14:val="standardContextual"/>
        </w:rPr>
        <w:t>WHO (2024). Ambient (</w:t>
      </w:r>
      <w:proofErr w:type="spellStart"/>
      <w:r w:rsidRPr="007C5A6E">
        <w:rPr>
          <w:rFonts w:ascii="Times New Roman" w:eastAsiaTheme="minorHAnsi" w:hAnsi="Times New Roman"/>
          <w:kern w:val="2"/>
          <w:sz w:val="20"/>
          <w:szCs w:val="20"/>
          <w:lang w:eastAsia="en-US"/>
          <w14:ligatures w14:val="standardContextual"/>
        </w:rPr>
        <w:t>outdoor</w:t>
      </w:r>
      <w:proofErr w:type="spellEnd"/>
      <w:r w:rsidRPr="007C5A6E">
        <w:rPr>
          <w:rFonts w:ascii="Times New Roman" w:eastAsiaTheme="minorHAnsi" w:hAnsi="Times New Roman"/>
          <w:kern w:val="2"/>
          <w:sz w:val="20"/>
          <w:szCs w:val="20"/>
          <w:lang w:eastAsia="en-US"/>
          <w14:ligatures w14:val="standardContextual"/>
        </w:rPr>
        <w:t xml:space="preserve">) air pollution. </w:t>
      </w:r>
      <w:hyperlink r:id="rId291" w:history="1">
        <w:r w:rsidRPr="007C5A6E">
          <w:rPr>
            <w:rFonts w:ascii="Times New Roman" w:eastAsiaTheme="minorHAnsi" w:hAnsi="Times New Roman"/>
            <w:color w:val="0000FF"/>
            <w:kern w:val="2"/>
            <w:sz w:val="20"/>
            <w:szCs w:val="20"/>
            <w:u w:val="single"/>
            <w:lang w:eastAsia="en-US"/>
            <w14:ligatures w14:val="standardContextual"/>
          </w:rPr>
          <w:t>https://www.who.int/news-room/fact-sheets/detail/ambient-(outdoor)-air-quality-and-health</w:t>
        </w:r>
      </w:hyperlink>
      <w:r w:rsidRPr="007C5A6E">
        <w:rPr>
          <w:rFonts w:ascii="Times New Roman" w:eastAsiaTheme="minorHAnsi" w:hAnsi="Times New Roman"/>
          <w:kern w:val="2"/>
          <w:sz w:val="20"/>
          <w:szCs w:val="20"/>
          <w:lang w:eastAsia="en-US"/>
          <w14:ligatures w14:val="standardContextual"/>
        </w:rPr>
        <w:t>. Consulté le 17/09/2024</w:t>
      </w:r>
    </w:p>
    <w:p w14:paraId="4BF3D2E5"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proofErr w:type="spellStart"/>
      <w:r w:rsidRPr="007C5A6E">
        <w:rPr>
          <w:rFonts w:ascii="Times New Roman" w:eastAsiaTheme="minorHAnsi" w:hAnsi="Times New Roman"/>
          <w:kern w:val="2"/>
          <w:sz w:val="20"/>
          <w:szCs w:val="20"/>
          <w:lang w:eastAsia="en-US"/>
          <w14:ligatures w14:val="standardContextual"/>
        </w:rPr>
        <w:t>Ebi</w:t>
      </w:r>
      <w:proofErr w:type="spellEnd"/>
      <w:r w:rsidRPr="007C5A6E">
        <w:rPr>
          <w:rFonts w:ascii="Times New Roman" w:eastAsiaTheme="minorHAnsi" w:hAnsi="Times New Roman"/>
          <w:kern w:val="2"/>
          <w:sz w:val="20"/>
          <w:szCs w:val="20"/>
          <w:lang w:eastAsia="en-US"/>
          <w14:ligatures w14:val="standardContextual"/>
        </w:rPr>
        <w:t xml:space="preserve"> KL, </w:t>
      </w:r>
      <w:proofErr w:type="spellStart"/>
      <w:r w:rsidRPr="007C5A6E">
        <w:rPr>
          <w:rFonts w:ascii="Times New Roman" w:eastAsiaTheme="minorHAnsi" w:hAnsi="Times New Roman"/>
          <w:kern w:val="2"/>
          <w:sz w:val="20"/>
          <w:szCs w:val="20"/>
          <w:lang w:eastAsia="en-US"/>
          <w14:ligatures w14:val="standardContextual"/>
        </w:rPr>
        <w:t>Hasegawa</w:t>
      </w:r>
      <w:proofErr w:type="spellEnd"/>
      <w:r w:rsidRPr="007C5A6E">
        <w:rPr>
          <w:rFonts w:ascii="Times New Roman" w:eastAsiaTheme="minorHAnsi" w:hAnsi="Times New Roman"/>
          <w:kern w:val="2"/>
          <w:sz w:val="20"/>
          <w:szCs w:val="20"/>
          <w:lang w:eastAsia="en-US"/>
          <w14:ligatures w14:val="standardContextual"/>
        </w:rPr>
        <w:t xml:space="preserve"> T, Hayes K, et al. </w:t>
      </w:r>
      <w:r w:rsidRPr="007C5A6E">
        <w:rPr>
          <w:rFonts w:ascii="Times New Roman" w:eastAsiaTheme="minorHAnsi" w:hAnsi="Times New Roman"/>
          <w:kern w:val="2"/>
          <w:sz w:val="20"/>
          <w:szCs w:val="20"/>
          <w:lang w:val="en-US" w:eastAsia="en-US"/>
          <w14:ligatures w14:val="standardContextual"/>
        </w:rPr>
        <w:t>Health risks of warming of 1.5°C, 2°C, and higher, above pre-industrial temperatures. Environ Res Lett 2018; 13: 063007.</w:t>
      </w:r>
    </w:p>
    <w:p w14:paraId="63EE88CF"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Haines A, Ebi K. The imperative for climate action to protect health. N Engl J Med 2019; 380: 263–273.</w:t>
      </w:r>
    </w:p>
    <w:p w14:paraId="5103636F"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Bernstein AS, Rice MB. Lungs in a warming world: climate change and respiratory health. Chest 2013; 143: 1455–1459.</w:t>
      </w:r>
    </w:p>
    <w:p w14:paraId="0A0A8B4B"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Hayes D, Collins PB, Khosravi M, et al. Bronchoconstriction triggered by breathing hot humid air in patients with asthma: role of cholinergic reflex. Am J Respir Crit Care Med 2012; 185: 1190–1196.</w:t>
      </w:r>
    </w:p>
    <w:p w14:paraId="518E7A49"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Khosravi M, Collins PB, Lin R-L, et al. Breathing hot humid air induces airway irritation and cough in patients with allergic rhinitis. Respir </w:t>
      </w:r>
      <w:proofErr w:type="spellStart"/>
      <w:r w:rsidRPr="007C5A6E">
        <w:rPr>
          <w:rFonts w:ascii="Times New Roman" w:eastAsiaTheme="minorHAnsi" w:hAnsi="Times New Roman"/>
          <w:kern w:val="2"/>
          <w:sz w:val="20"/>
          <w:szCs w:val="20"/>
          <w:lang w:val="en-US" w:eastAsia="en-US"/>
          <w14:ligatures w14:val="standardContextual"/>
        </w:rPr>
        <w:t>Physiol</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spellStart"/>
      <w:r w:rsidRPr="007C5A6E">
        <w:rPr>
          <w:rFonts w:ascii="Times New Roman" w:eastAsiaTheme="minorHAnsi" w:hAnsi="Times New Roman"/>
          <w:kern w:val="2"/>
          <w:sz w:val="20"/>
          <w:szCs w:val="20"/>
          <w:lang w:val="en-US" w:eastAsia="en-US"/>
          <w14:ligatures w14:val="standardContextual"/>
        </w:rPr>
        <w:t>Neurobiol</w:t>
      </w:r>
      <w:proofErr w:type="spellEnd"/>
      <w:r w:rsidRPr="007C5A6E">
        <w:rPr>
          <w:rFonts w:ascii="Times New Roman" w:eastAsiaTheme="minorHAnsi" w:hAnsi="Times New Roman"/>
          <w:kern w:val="2"/>
          <w:sz w:val="20"/>
          <w:szCs w:val="20"/>
          <w:lang w:val="en-US" w:eastAsia="en-US"/>
          <w14:ligatures w14:val="standardContextual"/>
        </w:rPr>
        <w:t xml:space="preserve"> 2014; 198: 13–19.</w:t>
      </w:r>
    </w:p>
    <w:p w14:paraId="61F62BA4"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Tong M, </w:t>
      </w:r>
      <w:proofErr w:type="spellStart"/>
      <w:r w:rsidRPr="007C5A6E">
        <w:rPr>
          <w:rFonts w:ascii="Times New Roman" w:eastAsiaTheme="minorHAnsi" w:hAnsi="Times New Roman"/>
          <w:kern w:val="2"/>
          <w:sz w:val="20"/>
          <w:szCs w:val="20"/>
          <w:lang w:val="en-US" w:eastAsia="en-US"/>
          <w14:ligatures w14:val="standardContextual"/>
        </w:rPr>
        <w:t>Wondmagegn</w:t>
      </w:r>
      <w:proofErr w:type="spellEnd"/>
      <w:r w:rsidRPr="007C5A6E">
        <w:rPr>
          <w:rFonts w:ascii="Times New Roman" w:eastAsiaTheme="minorHAnsi" w:hAnsi="Times New Roman"/>
          <w:kern w:val="2"/>
          <w:sz w:val="20"/>
          <w:szCs w:val="20"/>
          <w:lang w:val="en-US" w:eastAsia="en-US"/>
          <w14:ligatures w14:val="standardContextual"/>
        </w:rPr>
        <w:t xml:space="preserve"> B, Xiang J, et al. Hospitalization costs of respiratory diseases attributable to temperature in Australia and projections for future costs in the 2030s and 2050s under climate change. Int J Environ Res Public Health 2022; 19: 9706.</w:t>
      </w:r>
    </w:p>
    <w:p w14:paraId="3BF52CB6"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proofErr w:type="spellStart"/>
      <w:r w:rsidRPr="007C5A6E">
        <w:rPr>
          <w:rFonts w:ascii="Times New Roman" w:eastAsiaTheme="minorHAnsi" w:hAnsi="Times New Roman"/>
          <w:kern w:val="2"/>
          <w:sz w:val="20"/>
          <w:szCs w:val="20"/>
          <w:lang w:val="en-US" w:eastAsia="en-US"/>
          <w14:ligatures w14:val="standardContextual"/>
        </w:rPr>
        <w:t>Lakhoo</w:t>
      </w:r>
      <w:proofErr w:type="spellEnd"/>
      <w:r w:rsidRPr="007C5A6E">
        <w:rPr>
          <w:rFonts w:ascii="Times New Roman" w:eastAsiaTheme="minorHAnsi" w:hAnsi="Times New Roman"/>
          <w:kern w:val="2"/>
          <w:sz w:val="20"/>
          <w:szCs w:val="20"/>
          <w:lang w:val="en-US" w:eastAsia="en-US"/>
          <w14:ligatures w14:val="standardContextual"/>
        </w:rPr>
        <w:t xml:space="preserve"> DP, Blake HA, </w:t>
      </w:r>
      <w:proofErr w:type="spellStart"/>
      <w:r w:rsidRPr="007C5A6E">
        <w:rPr>
          <w:rFonts w:ascii="Times New Roman" w:eastAsiaTheme="minorHAnsi" w:hAnsi="Times New Roman"/>
          <w:kern w:val="2"/>
          <w:sz w:val="20"/>
          <w:szCs w:val="20"/>
          <w:lang w:val="en-US" w:eastAsia="en-US"/>
          <w14:ligatures w14:val="standardContextual"/>
        </w:rPr>
        <w:t>Chersich</w:t>
      </w:r>
      <w:proofErr w:type="spellEnd"/>
      <w:r w:rsidRPr="007C5A6E">
        <w:rPr>
          <w:rFonts w:ascii="Times New Roman" w:eastAsiaTheme="minorHAnsi" w:hAnsi="Times New Roman"/>
          <w:kern w:val="2"/>
          <w:sz w:val="20"/>
          <w:szCs w:val="20"/>
          <w:lang w:val="en-US" w:eastAsia="en-US"/>
          <w14:ligatures w14:val="standardContextual"/>
        </w:rPr>
        <w:t xml:space="preserve"> MF, et al. The effect of high and low ambient temperature on infant health: a systematic review. Int J Environ Res Public Health 2022; 19: 9109.</w:t>
      </w:r>
    </w:p>
    <w:p w14:paraId="47C11ECE"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Hu Y, Cheng J, Liu S, et al. Evaluation of climate change adaptation measures for childhood asthma: a systematic review of epidemiological evidence. Sci Total Environ 2022; 839: 156291.</w:t>
      </w:r>
    </w:p>
    <w:p w14:paraId="56C792C3"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De Sario M, </w:t>
      </w:r>
      <w:proofErr w:type="spellStart"/>
      <w:r w:rsidRPr="007C5A6E">
        <w:rPr>
          <w:rFonts w:ascii="Times New Roman" w:eastAsiaTheme="minorHAnsi" w:hAnsi="Times New Roman"/>
          <w:kern w:val="2"/>
          <w:sz w:val="20"/>
          <w:szCs w:val="20"/>
          <w:lang w:val="en-US" w:eastAsia="en-US"/>
          <w14:ligatures w14:val="standardContextual"/>
        </w:rPr>
        <w:t>Katsouyanni</w:t>
      </w:r>
      <w:proofErr w:type="spellEnd"/>
      <w:r w:rsidRPr="007C5A6E">
        <w:rPr>
          <w:rFonts w:ascii="Times New Roman" w:eastAsiaTheme="minorHAnsi" w:hAnsi="Times New Roman"/>
          <w:kern w:val="2"/>
          <w:sz w:val="20"/>
          <w:szCs w:val="20"/>
          <w:lang w:val="en-US" w:eastAsia="en-US"/>
          <w14:ligatures w14:val="standardContextual"/>
        </w:rPr>
        <w:t xml:space="preserve"> K, </w:t>
      </w:r>
      <w:proofErr w:type="spellStart"/>
      <w:r w:rsidRPr="007C5A6E">
        <w:rPr>
          <w:rFonts w:ascii="Times New Roman" w:eastAsiaTheme="minorHAnsi" w:hAnsi="Times New Roman"/>
          <w:kern w:val="2"/>
          <w:sz w:val="20"/>
          <w:szCs w:val="20"/>
          <w:lang w:val="en-US" w:eastAsia="en-US"/>
          <w14:ligatures w14:val="standardContextual"/>
        </w:rPr>
        <w:t>Michelozzi</w:t>
      </w:r>
      <w:proofErr w:type="spellEnd"/>
      <w:r w:rsidRPr="007C5A6E">
        <w:rPr>
          <w:rFonts w:ascii="Times New Roman" w:eastAsiaTheme="minorHAnsi" w:hAnsi="Times New Roman"/>
          <w:kern w:val="2"/>
          <w:sz w:val="20"/>
          <w:szCs w:val="20"/>
          <w:lang w:val="en-US" w:eastAsia="en-US"/>
          <w14:ligatures w14:val="standardContextual"/>
        </w:rPr>
        <w:t xml:space="preserve"> P. Climate change, extreme weather events, air pollution and respiratory health in Europe. </w:t>
      </w:r>
      <w:proofErr w:type="spellStart"/>
      <w:r w:rsidRPr="007C5A6E">
        <w:rPr>
          <w:rFonts w:ascii="Times New Roman" w:eastAsiaTheme="minorHAnsi" w:hAnsi="Times New Roman"/>
          <w:kern w:val="2"/>
          <w:sz w:val="20"/>
          <w:szCs w:val="20"/>
          <w:lang w:val="en-US" w:eastAsia="en-US"/>
          <w14:ligatures w14:val="standardContextual"/>
        </w:rPr>
        <w:t>Eur</w:t>
      </w:r>
      <w:proofErr w:type="spellEnd"/>
      <w:r w:rsidRPr="007C5A6E">
        <w:rPr>
          <w:rFonts w:ascii="Times New Roman" w:eastAsiaTheme="minorHAnsi" w:hAnsi="Times New Roman"/>
          <w:kern w:val="2"/>
          <w:sz w:val="20"/>
          <w:szCs w:val="20"/>
          <w:lang w:val="en-US" w:eastAsia="en-US"/>
          <w14:ligatures w14:val="standardContextual"/>
        </w:rPr>
        <w:t xml:space="preserve"> Respir J 2013; 42: 826–843.</w:t>
      </w:r>
    </w:p>
    <w:p w14:paraId="41561915"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proofErr w:type="spellStart"/>
      <w:r w:rsidRPr="007C5A6E">
        <w:rPr>
          <w:rFonts w:ascii="Times New Roman" w:eastAsiaTheme="minorHAnsi" w:hAnsi="Times New Roman"/>
          <w:kern w:val="2"/>
          <w:sz w:val="20"/>
          <w:szCs w:val="20"/>
          <w:lang w:val="en-US" w:eastAsia="en-US"/>
          <w14:ligatures w14:val="standardContextual"/>
        </w:rPr>
        <w:t>Curriero</w:t>
      </w:r>
      <w:proofErr w:type="spellEnd"/>
      <w:r w:rsidRPr="007C5A6E">
        <w:rPr>
          <w:rFonts w:ascii="Times New Roman" w:eastAsiaTheme="minorHAnsi" w:hAnsi="Times New Roman"/>
          <w:kern w:val="2"/>
          <w:sz w:val="20"/>
          <w:szCs w:val="20"/>
          <w:lang w:val="en-US" w:eastAsia="en-US"/>
          <w14:ligatures w14:val="standardContextual"/>
        </w:rPr>
        <w:t>, F. et al. The association between extreme precipitation and waterborne disease outbreaks in the United States, 1948–1994. American Journal of Public Health 91(8): 1194–1199 (2001).</w:t>
      </w:r>
    </w:p>
    <w:p w14:paraId="1F0D1718"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Lisle, J.T. &amp; Rose, J.B. Cryptosporidium contamination of water in the USA and UK: a mini-review. Aqua 44(3): 103–117 (1995).</w:t>
      </w:r>
    </w:p>
    <w:p w14:paraId="543BACBD"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Rose, J.B. et al. Climate and waterborne outbreaks in the US. Journal of the American Water Works Association 2000.</w:t>
      </w:r>
    </w:p>
    <w:p w14:paraId="105EB145"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eastAsia="en-US"/>
          <w14:ligatures w14:val="standardContextual"/>
        </w:rPr>
        <w:t xml:space="preserve">Rose, J.B. et al. </w:t>
      </w:r>
      <w:r w:rsidRPr="007C5A6E">
        <w:rPr>
          <w:rFonts w:ascii="Times New Roman" w:eastAsiaTheme="minorHAnsi" w:hAnsi="Times New Roman"/>
          <w:kern w:val="2"/>
          <w:sz w:val="20"/>
          <w:szCs w:val="20"/>
          <w:lang w:val="en-US" w:eastAsia="en-US"/>
          <w14:ligatures w14:val="standardContextual"/>
        </w:rPr>
        <w:t>Climate variability and change in the United States: potential impacts on water- and food-borne diseases caused by microbiologic agents. Environmental Health Perspectives 109 Supplement 2: 211–221 (2001).</w:t>
      </w:r>
    </w:p>
    <w:p w14:paraId="1BC3590B"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World Health Organization. (2016). Climate change and health. </w:t>
      </w:r>
      <w:hyperlink r:id="rId292" w:history="1">
        <w:r w:rsidRPr="007C5A6E">
          <w:rPr>
            <w:rFonts w:ascii="Times New Roman" w:eastAsiaTheme="minorHAnsi" w:hAnsi="Times New Roman"/>
            <w:color w:val="0000FF"/>
            <w:kern w:val="2"/>
            <w:sz w:val="20"/>
            <w:szCs w:val="20"/>
            <w:u w:val="single"/>
            <w:lang w:eastAsia="en-US"/>
            <w14:ligatures w14:val="standardContextual"/>
          </w:rPr>
          <w:t>https://www.who.int/news-room/fact-sheets/detail/climate-change-and-health</w:t>
        </w:r>
      </w:hyperlink>
      <w:r w:rsidRPr="007C5A6E">
        <w:rPr>
          <w:rFonts w:ascii="Times New Roman" w:eastAsiaTheme="minorHAnsi" w:hAnsi="Times New Roman"/>
          <w:kern w:val="2"/>
          <w:sz w:val="20"/>
          <w:szCs w:val="20"/>
          <w:lang w:eastAsia="en-US"/>
          <w14:ligatures w14:val="standardContextual"/>
        </w:rPr>
        <w:t xml:space="preserve"> </w:t>
      </w:r>
    </w:p>
    <w:p w14:paraId="303BBE95"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Sterk, A., </w:t>
      </w:r>
      <w:proofErr w:type="spellStart"/>
      <w:r w:rsidRPr="007C5A6E">
        <w:rPr>
          <w:rFonts w:ascii="Times New Roman" w:eastAsiaTheme="minorHAnsi" w:hAnsi="Times New Roman"/>
          <w:kern w:val="2"/>
          <w:sz w:val="20"/>
          <w:szCs w:val="20"/>
          <w:lang w:val="en-US" w:eastAsia="en-US"/>
          <w14:ligatures w14:val="standardContextual"/>
        </w:rPr>
        <w:t>Schijven</w:t>
      </w:r>
      <w:proofErr w:type="spellEnd"/>
      <w:r w:rsidRPr="007C5A6E">
        <w:rPr>
          <w:rFonts w:ascii="Times New Roman" w:eastAsiaTheme="minorHAnsi" w:hAnsi="Times New Roman"/>
          <w:kern w:val="2"/>
          <w:sz w:val="20"/>
          <w:szCs w:val="20"/>
          <w:lang w:val="en-US" w:eastAsia="en-US"/>
          <w14:ligatures w14:val="standardContextual"/>
        </w:rPr>
        <w:t>, J., de Nijs, T. et de Roda Husman, A.M. (2013). Direct and indirect effects of climate change on the risk of infection by water transmitted pathogens. Environmental Science of Technology, 47(22), 12648-12660. 10.1021/es403549s</w:t>
      </w:r>
    </w:p>
    <w:p w14:paraId="7F0B2DD2"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Caribbean Public Health Agency, Pan American Health Organization, Caribbean Institute for Meteorology and Hydrology. (2019). Caribbean Health Climatic Bulletin, 3(1). </w:t>
      </w:r>
      <w:hyperlink r:id="rId293" w:history="1">
        <w:r w:rsidRPr="007C5A6E">
          <w:rPr>
            <w:rFonts w:ascii="Times New Roman" w:eastAsiaTheme="minorHAnsi" w:hAnsi="Times New Roman"/>
            <w:color w:val="0000FF"/>
            <w:kern w:val="2"/>
            <w:sz w:val="20"/>
            <w:szCs w:val="20"/>
            <w:u w:val="single"/>
            <w:lang w:val="en-US" w:eastAsia="en-US"/>
            <w14:ligatures w14:val="standardContextual"/>
          </w:rPr>
          <w:t>http://rcc.cimh.edu.bb/caribbean-health-climatic-bulletin-vol-3 issue-1-march-2019/</w:t>
        </w:r>
      </w:hyperlink>
    </w:p>
    <w:p w14:paraId="6AE9CD5E"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Nurse, L.A., McLean, R.F., Agard, J., Briguglio, L.P., </w:t>
      </w:r>
      <w:proofErr w:type="spellStart"/>
      <w:r w:rsidRPr="007C5A6E">
        <w:rPr>
          <w:rFonts w:ascii="Times New Roman" w:eastAsiaTheme="minorHAnsi" w:hAnsi="Times New Roman"/>
          <w:kern w:val="2"/>
          <w:sz w:val="20"/>
          <w:szCs w:val="20"/>
          <w:lang w:val="en-US" w:eastAsia="en-US"/>
          <w14:ligatures w14:val="standardContextual"/>
        </w:rPr>
        <w:t>Duvat</w:t>
      </w:r>
      <w:proofErr w:type="spellEnd"/>
      <w:r w:rsidRPr="007C5A6E">
        <w:rPr>
          <w:rFonts w:ascii="Times New Roman" w:eastAsiaTheme="minorHAnsi" w:hAnsi="Times New Roman"/>
          <w:kern w:val="2"/>
          <w:sz w:val="20"/>
          <w:szCs w:val="20"/>
          <w:lang w:val="en-US" w:eastAsia="en-US"/>
          <w14:ligatures w14:val="standardContextual"/>
        </w:rPr>
        <w:t xml:space="preserve">-Magnan, V., </w:t>
      </w:r>
      <w:proofErr w:type="spellStart"/>
      <w:r w:rsidRPr="007C5A6E">
        <w:rPr>
          <w:rFonts w:ascii="Times New Roman" w:eastAsiaTheme="minorHAnsi" w:hAnsi="Times New Roman"/>
          <w:kern w:val="2"/>
          <w:sz w:val="20"/>
          <w:szCs w:val="20"/>
          <w:lang w:val="en-US" w:eastAsia="en-US"/>
          <w14:ligatures w14:val="standardContextual"/>
        </w:rPr>
        <w:t>Pelesikoti</w:t>
      </w:r>
      <w:proofErr w:type="spellEnd"/>
      <w:r w:rsidRPr="007C5A6E">
        <w:rPr>
          <w:rFonts w:ascii="Times New Roman" w:eastAsiaTheme="minorHAnsi" w:hAnsi="Times New Roman"/>
          <w:kern w:val="2"/>
          <w:sz w:val="20"/>
          <w:szCs w:val="20"/>
          <w:lang w:val="en-US" w:eastAsia="en-US"/>
          <w14:ligatures w14:val="standardContextual"/>
        </w:rPr>
        <w:t xml:space="preserve">, N., et al. (2014). Small Islands. Dans V.R. Barros, C.B. Field, D.J. Dokken, M.D. Mastrandrea, K.J. Mach, T.E. Bilir, M. Chatterjee, K.L. Ebi, Y.O. Estrada, </w:t>
      </w:r>
    </w:p>
    <w:p w14:paraId="2678878F"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Delcour, I., </w:t>
      </w:r>
      <w:proofErr w:type="spellStart"/>
      <w:r w:rsidRPr="007C5A6E">
        <w:rPr>
          <w:rFonts w:ascii="Times New Roman" w:eastAsiaTheme="minorHAnsi" w:hAnsi="Times New Roman"/>
          <w:kern w:val="2"/>
          <w:sz w:val="20"/>
          <w:szCs w:val="20"/>
          <w:lang w:val="en-US" w:eastAsia="en-US"/>
          <w14:ligatures w14:val="standardContextual"/>
        </w:rPr>
        <w:t>Spanoghe</w:t>
      </w:r>
      <w:proofErr w:type="spellEnd"/>
      <w:r w:rsidRPr="007C5A6E">
        <w:rPr>
          <w:rFonts w:ascii="Times New Roman" w:eastAsiaTheme="minorHAnsi" w:hAnsi="Times New Roman"/>
          <w:kern w:val="2"/>
          <w:sz w:val="20"/>
          <w:szCs w:val="20"/>
          <w:lang w:val="en-US" w:eastAsia="en-US"/>
          <w14:ligatures w14:val="standardContextual"/>
        </w:rPr>
        <w:t xml:space="preserve">, P. et </w:t>
      </w:r>
      <w:proofErr w:type="spellStart"/>
      <w:r w:rsidRPr="007C5A6E">
        <w:rPr>
          <w:rFonts w:ascii="Times New Roman" w:eastAsiaTheme="minorHAnsi" w:hAnsi="Times New Roman"/>
          <w:kern w:val="2"/>
          <w:sz w:val="20"/>
          <w:szCs w:val="20"/>
          <w:lang w:val="en-US" w:eastAsia="en-US"/>
          <w14:ligatures w14:val="standardContextual"/>
        </w:rPr>
        <w:t>Uyttendaeleb</w:t>
      </w:r>
      <w:proofErr w:type="spellEnd"/>
      <w:r w:rsidRPr="007C5A6E">
        <w:rPr>
          <w:rFonts w:ascii="Times New Roman" w:eastAsiaTheme="minorHAnsi" w:hAnsi="Times New Roman"/>
          <w:kern w:val="2"/>
          <w:sz w:val="20"/>
          <w:szCs w:val="20"/>
          <w:lang w:val="en-US" w:eastAsia="en-US"/>
          <w14:ligatures w14:val="standardContextual"/>
        </w:rPr>
        <w:t>, M. (2015). Literature review: Impact of climate change on pesticide use. Food Research International, 68, 7-15.</w:t>
      </w:r>
    </w:p>
    <w:p w14:paraId="78F54EE4"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Gatto, M.P., Cabella, R. et Gherardi, M. (2016). Climate </w:t>
      </w:r>
      <w:proofErr w:type="gramStart"/>
      <w:r w:rsidRPr="007C5A6E">
        <w:rPr>
          <w:rFonts w:ascii="Times New Roman" w:eastAsiaTheme="minorHAnsi" w:hAnsi="Times New Roman"/>
          <w:kern w:val="2"/>
          <w:sz w:val="20"/>
          <w:szCs w:val="20"/>
          <w:lang w:val="en-US" w:eastAsia="en-US"/>
          <w14:ligatures w14:val="standardContextual"/>
        </w:rPr>
        <w:t>change :</w:t>
      </w:r>
      <w:proofErr w:type="gramEnd"/>
      <w:r w:rsidRPr="007C5A6E">
        <w:rPr>
          <w:rFonts w:ascii="Times New Roman" w:eastAsiaTheme="minorHAnsi" w:hAnsi="Times New Roman"/>
          <w:kern w:val="2"/>
          <w:sz w:val="20"/>
          <w:szCs w:val="20"/>
          <w:lang w:val="en-US" w:eastAsia="en-US"/>
          <w14:ligatures w14:val="standardContextual"/>
        </w:rPr>
        <w:t xml:space="preserve"> the potential impact on occupational exposure to pesticides. </w:t>
      </w:r>
      <w:r w:rsidRPr="007C5A6E">
        <w:rPr>
          <w:rFonts w:ascii="Times New Roman" w:eastAsiaTheme="minorHAnsi" w:hAnsi="Times New Roman"/>
          <w:kern w:val="2"/>
          <w:sz w:val="20"/>
          <w:szCs w:val="20"/>
          <w:lang w:eastAsia="en-US"/>
          <w14:ligatures w14:val="standardContextual"/>
        </w:rPr>
        <w:t xml:space="preserve">Ann </w:t>
      </w:r>
      <w:proofErr w:type="spellStart"/>
      <w:r w:rsidRPr="007C5A6E">
        <w:rPr>
          <w:rFonts w:ascii="Times New Roman" w:eastAsiaTheme="minorHAnsi" w:hAnsi="Times New Roman"/>
          <w:kern w:val="2"/>
          <w:sz w:val="20"/>
          <w:szCs w:val="20"/>
          <w:lang w:eastAsia="en-US"/>
          <w14:ligatures w14:val="standardContextual"/>
        </w:rPr>
        <w:t>Ist</w:t>
      </w:r>
      <w:proofErr w:type="spellEnd"/>
      <w:r w:rsidRPr="007C5A6E">
        <w:rPr>
          <w:rFonts w:ascii="Times New Roman" w:eastAsiaTheme="minorHAnsi" w:hAnsi="Times New Roman"/>
          <w:kern w:val="2"/>
          <w:sz w:val="20"/>
          <w:szCs w:val="20"/>
          <w:lang w:eastAsia="en-US"/>
          <w14:ligatures w14:val="standardContextual"/>
        </w:rPr>
        <w:t xml:space="preserve"> Super </w:t>
      </w:r>
      <w:proofErr w:type="spellStart"/>
      <w:r w:rsidRPr="007C5A6E">
        <w:rPr>
          <w:rFonts w:ascii="Times New Roman" w:eastAsiaTheme="minorHAnsi" w:hAnsi="Times New Roman"/>
          <w:kern w:val="2"/>
          <w:sz w:val="20"/>
          <w:szCs w:val="20"/>
          <w:lang w:eastAsia="en-US"/>
          <w14:ligatures w14:val="standardContextual"/>
        </w:rPr>
        <w:t>Sanit</w:t>
      </w:r>
      <w:proofErr w:type="spellEnd"/>
      <w:r w:rsidRPr="007C5A6E">
        <w:rPr>
          <w:rFonts w:ascii="Times New Roman" w:eastAsiaTheme="minorHAnsi" w:hAnsi="Times New Roman"/>
          <w:kern w:val="2"/>
          <w:sz w:val="20"/>
          <w:szCs w:val="20"/>
          <w:lang w:eastAsia="en-US"/>
          <w14:ligatures w14:val="standardContextual"/>
        </w:rPr>
        <w:t>, 52(3), 374-385. 10.4415/ANN_16_03_09</w:t>
      </w:r>
    </w:p>
    <w:p w14:paraId="75E067C7"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eastAsia="en-US"/>
          <w14:ligatures w14:val="standardContextual"/>
        </w:rPr>
        <w:t xml:space="preserve">Organisation Mondiale de la Santé (2023). Eau potable. </w:t>
      </w:r>
      <w:hyperlink r:id="rId294" w:history="1">
        <w:r w:rsidRPr="007C5A6E">
          <w:rPr>
            <w:rFonts w:ascii="Times New Roman" w:eastAsiaTheme="minorHAnsi" w:hAnsi="Times New Roman"/>
            <w:color w:val="0000FF"/>
            <w:kern w:val="2"/>
            <w:sz w:val="20"/>
            <w:szCs w:val="20"/>
            <w:u w:val="single"/>
            <w:lang w:eastAsia="en-US"/>
            <w14:ligatures w14:val="standardContextual"/>
          </w:rPr>
          <w:t>https://www.who.int/fr/news-room/fact-sheets/detail/drinking-water</w:t>
        </w:r>
      </w:hyperlink>
      <w:r w:rsidRPr="007C5A6E">
        <w:rPr>
          <w:rFonts w:ascii="Times New Roman" w:eastAsiaTheme="minorHAnsi" w:hAnsi="Times New Roman"/>
          <w:kern w:val="2"/>
          <w:sz w:val="20"/>
          <w:szCs w:val="20"/>
          <w:lang w:eastAsia="en-US"/>
          <w14:ligatures w14:val="standardContextual"/>
        </w:rPr>
        <w:t>. Consulté le 18/09/2024</w:t>
      </w:r>
    </w:p>
    <w:p w14:paraId="3CFA2D50"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proofErr w:type="spellStart"/>
      <w:r w:rsidRPr="007C5A6E">
        <w:rPr>
          <w:rFonts w:ascii="Times New Roman" w:eastAsiaTheme="minorHAnsi" w:hAnsi="Times New Roman"/>
          <w:kern w:val="2"/>
          <w:sz w:val="20"/>
          <w:szCs w:val="20"/>
          <w:lang w:eastAsia="en-US"/>
          <w14:ligatures w14:val="standardContextual"/>
        </w:rPr>
        <w:t>Toumi</w:t>
      </w:r>
      <w:proofErr w:type="spellEnd"/>
      <w:r w:rsidRPr="007C5A6E">
        <w:rPr>
          <w:rFonts w:ascii="Times New Roman" w:eastAsiaTheme="minorHAnsi" w:hAnsi="Times New Roman"/>
          <w:kern w:val="2"/>
          <w:sz w:val="20"/>
          <w:szCs w:val="20"/>
          <w:lang w:eastAsia="en-US"/>
          <w14:ligatures w14:val="standardContextual"/>
        </w:rPr>
        <w:t xml:space="preserve">, A., </w:t>
      </w:r>
      <w:proofErr w:type="spellStart"/>
      <w:r w:rsidRPr="007C5A6E">
        <w:rPr>
          <w:rFonts w:ascii="Times New Roman" w:eastAsiaTheme="minorHAnsi" w:hAnsi="Times New Roman"/>
          <w:kern w:val="2"/>
          <w:sz w:val="20"/>
          <w:szCs w:val="20"/>
          <w:lang w:eastAsia="en-US"/>
          <w14:ligatures w14:val="standardContextual"/>
        </w:rPr>
        <w:t>Chlif</w:t>
      </w:r>
      <w:proofErr w:type="spellEnd"/>
      <w:r w:rsidRPr="007C5A6E">
        <w:rPr>
          <w:rFonts w:ascii="Times New Roman" w:eastAsiaTheme="minorHAnsi" w:hAnsi="Times New Roman"/>
          <w:kern w:val="2"/>
          <w:sz w:val="20"/>
          <w:szCs w:val="20"/>
          <w:lang w:eastAsia="en-US"/>
          <w14:ligatures w14:val="standardContextual"/>
        </w:rPr>
        <w:t xml:space="preserve">, S., </w:t>
      </w:r>
      <w:proofErr w:type="spellStart"/>
      <w:r w:rsidRPr="007C5A6E">
        <w:rPr>
          <w:rFonts w:ascii="Times New Roman" w:eastAsiaTheme="minorHAnsi" w:hAnsi="Times New Roman"/>
          <w:kern w:val="2"/>
          <w:sz w:val="20"/>
          <w:szCs w:val="20"/>
          <w:lang w:eastAsia="en-US"/>
          <w14:ligatures w14:val="standardContextual"/>
        </w:rPr>
        <w:t>Bettaieb</w:t>
      </w:r>
      <w:proofErr w:type="spellEnd"/>
      <w:r w:rsidRPr="007C5A6E">
        <w:rPr>
          <w:rFonts w:ascii="Times New Roman" w:eastAsiaTheme="minorHAnsi" w:hAnsi="Times New Roman"/>
          <w:kern w:val="2"/>
          <w:sz w:val="20"/>
          <w:szCs w:val="20"/>
          <w:lang w:eastAsia="en-US"/>
          <w14:ligatures w14:val="standardContextual"/>
        </w:rPr>
        <w:t xml:space="preserve">, J., Ben </w:t>
      </w:r>
      <w:proofErr w:type="spellStart"/>
      <w:r w:rsidRPr="007C5A6E">
        <w:rPr>
          <w:rFonts w:ascii="Times New Roman" w:eastAsiaTheme="minorHAnsi" w:hAnsi="Times New Roman"/>
          <w:kern w:val="2"/>
          <w:sz w:val="20"/>
          <w:szCs w:val="20"/>
          <w:lang w:eastAsia="en-US"/>
          <w14:ligatures w14:val="standardContextual"/>
        </w:rPr>
        <w:t>Alaya</w:t>
      </w:r>
      <w:proofErr w:type="spellEnd"/>
      <w:r w:rsidRPr="007C5A6E">
        <w:rPr>
          <w:rFonts w:ascii="Times New Roman" w:eastAsiaTheme="minorHAnsi" w:hAnsi="Times New Roman"/>
          <w:kern w:val="2"/>
          <w:sz w:val="20"/>
          <w:szCs w:val="20"/>
          <w:lang w:eastAsia="en-US"/>
          <w14:ligatures w14:val="standardContextual"/>
        </w:rPr>
        <w:t xml:space="preserve">, N., </w:t>
      </w:r>
      <w:proofErr w:type="spellStart"/>
      <w:r w:rsidRPr="007C5A6E">
        <w:rPr>
          <w:rFonts w:ascii="Times New Roman" w:eastAsiaTheme="minorHAnsi" w:hAnsi="Times New Roman"/>
          <w:kern w:val="2"/>
          <w:sz w:val="20"/>
          <w:szCs w:val="20"/>
          <w:lang w:eastAsia="en-US"/>
          <w14:ligatures w14:val="standardContextual"/>
        </w:rPr>
        <w:t>Boukthir</w:t>
      </w:r>
      <w:proofErr w:type="spellEnd"/>
      <w:r w:rsidRPr="007C5A6E">
        <w:rPr>
          <w:rFonts w:ascii="Times New Roman" w:eastAsiaTheme="minorHAnsi" w:hAnsi="Times New Roman"/>
          <w:kern w:val="2"/>
          <w:sz w:val="20"/>
          <w:szCs w:val="20"/>
          <w:lang w:eastAsia="en-US"/>
          <w14:ligatures w14:val="standardContextual"/>
        </w:rPr>
        <w:t xml:space="preserve">, A., Ahmadi, Z.E. et Salah, A.B. (2012). </w:t>
      </w:r>
      <w:r w:rsidRPr="007C5A6E">
        <w:rPr>
          <w:rFonts w:ascii="Times New Roman" w:eastAsiaTheme="minorHAnsi" w:hAnsi="Times New Roman"/>
          <w:kern w:val="2"/>
          <w:sz w:val="20"/>
          <w:szCs w:val="20"/>
          <w:lang w:val="en-US" w:eastAsia="en-US"/>
          <w14:ligatures w14:val="standardContextual"/>
        </w:rPr>
        <w:t xml:space="preserve">Temporal dynamics and impact of climate factors on the incidence of zoonotic cutaneous leishmaniasis in central Tunisia. </w:t>
      </w:r>
      <w:proofErr w:type="spellStart"/>
      <w:r w:rsidRPr="007C5A6E">
        <w:rPr>
          <w:rFonts w:ascii="Times New Roman" w:eastAsiaTheme="minorHAnsi" w:hAnsi="Times New Roman"/>
          <w:kern w:val="2"/>
          <w:sz w:val="20"/>
          <w:szCs w:val="20"/>
          <w:lang w:eastAsia="en-US"/>
          <w14:ligatures w14:val="standardContextual"/>
        </w:rPr>
        <w:t>PLoS</w:t>
      </w:r>
      <w:proofErr w:type="spellEnd"/>
      <w:r w:rsidRPr="007C5A6E">
        <w:rPr>
          <w:rFonts w:ascii="Times New Roman" w:eastAsiaTheme="minorHAnsi" w:hAnsi="Times New Roman"/>
          <w:kern w:val="2"/>
          <w:sz w:val="20"/>
          <w:szCs w:val="20"/>
          <w:lang w:eastAsia="en-US"/>
          <w14:ligatures w14:val="standardContextual"/>
        </w:rPr>
        <w:t xml:space="preserve"> </w:t>
      </w:r>
      <w:proofErr w:type="spellStart"/>
      <w:r w:rsidRPr="007C5A6E">
        <w:rPr>
          <w:rFonts w:ascii="Times New Roman" w:eastAsiaTheme="minorHAnsi" w:hAnsi="Times New Roman"/>
          <w:kern w:val="2"/>
          <w:sz w:val="20"/>
          <w:szCs w:val="20"/>
          <w:lang w:eastAsia="en-US"/>
          <w14:ligatures w14:val="standardContextual"/>
        </w:rPr>
        <w:t>Negl</w:t>
      </w:r>
      <w:proofErr w:type="spellEnd"/>
      <w:r w:rsidRPr="007C5A6E">
        <w:rPr>
          <w:rFonts w:ascii="Times New Roman" w:eastAsiaTheme="minorHAnsi" w:hAnsi="Times New Roman"/>
          <w:kern w:val="2"/>
          <w:sz w:val="20"/>
          <w:szCs w:val="20"/>
          <w:lang w:eastAsia="en-US"/>
          <w14:ligatures w14:val="standardContextual"/>
        </w:rPr>
        <w:t xml:space="preserve"> T Trop Dis, 6(5), e1633. 10.1371/journal.pntd.0001633</w:t>
      </w:r>
    </w:p>
    <w:p w14:paraId="64A91ED1"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eastAsia="en-US"/>
          <w14:ligatures w14:val="standardContextual"/>
        </w:rPr>
        <w:t xml:space="preserve">N’Dao, C.T., N'Diaye, J.L., Gaye, A. et Le </w:t>
      </w:r>
      <w:proofErr w:type="spellStart"/>
      <w:r w:rsidRPr="007C5A6E">
        <w:rPr>
          <w:rFonts w:ascii="Times New Roman" w:eastAsiaTheme="minorHAnsi" w:hAnsi="Times New Roman"/>
          <w:kern w:val="2"/>
          <w:sz w:val="20"/>
          <w:szCs w:val="20"/>
          <w:lang w:eastAsia="en-US"/>
          <w14:ligatures w14:val="standardContextual"/>
        </w:rPr>
        <w:t>Hesran</w:t>
      </w:r>
      <w:proofErr w:type="spellEnd"/>
      <w:r w:rsidRPr="007C5A6E">
        <w:rPr>
          <w:rFonts w:ascii="Times New Roman" w:eastAsiaTheme="minorHAnsi" w:hAnsi="Times New Roman"/>
          <w:kern w:val="2"/>
          <w:sz w:val="20"/>
          <w:szCs w:val="20"/>
          <w:lang w:eastAsia="en-US"/>
          <w14:ligatures w14:val="standardContextual"/>
        </w:rPr>
        <w:t xml:space="preserve">, J.Y. (2006). </w:t>
      </w:r>
      <w:r w:rsidRPr="007C5A6E">
        <w:rPr>
          <w:rFonts w:ascii="Times New Roman" w:eastAsiaTheme="minorHAnsi" w:hAnsi="Times New Roman"/>
          <w:kern w:val="2"/>
          <w:sz w:val="20"/>
          <w:szCs w:val="20"/>
          <w:lang w:val="en-US" w:eastAsia="en-US"/>
          <w14:ligatures w14:val="standardContextual"/>
        </w:rPr>
        <w:t xml:space="preserve">Placental malaria and pregnancy outcome in a peri urban area in Senegal. </w:t>
      </w:r>
      <w:r w:rsidRPr="007C5A6E">
        <w:rPr>
          <w:rFonts w:ascii="Times New Roman" w:eastAsiaTheme="minorHAnsi" w:hAnsi="Times New Roman"/>
          <w:kern w:val="2"/>
          <w:sz w:val="20"/>
          <w:szCs w:val="20"/>
          <w:lang w:eastAsia="en-US"/>
          <w14:ligatures w14:val="standardContextual"/>
        </w:rPr>
        <w:t>Revue d’épidémiologie et de santé publique, 54(2), 149-156.</w:t>
      </w:r>
    </w:p>
    <w:p w14:paraId="47102013"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eastAsia="en-US"/>
          <w14:ligatures w14:val="standardContextual"/>
        </w:rPr>
        <w:t xml:space="preserve">Organisation panaméricaine de la santé. </w:t>
      </w:r>
      <w:r w:rsidRPr="007C5A6E">
        <w:rPr>
          <w:rFonts w:ascii="Times New Roman" w:eastAsiaTheme="minorHAnsi" w:hAnsi="Times New Roman"/>
          <w:kern w:val="2"/>
          <w:sz w:val="20"/>
          <w:szCs w:val="20"/>
          <w:lang w:val="en-US" w:eastAsia="en-US"/>
          <w14:ligatures w14:val="standardContextual"/>
        </w:rPr>
        <w:t xml:space="preserve">(2000). Natural disasters and health protection. </w:t>
      </w:r>
      <w:r w:rsidRPr="007C5A6E">
        <w:rPr>
          <w:rFonts w:ascii="Times New Roman" w:eastAsiaTheme="minorHAnsi" w:hAnsi="Times New Roman"/>
          <w:kern w:val="2"/>
          <w:sz w:val="20"/>
          <w:szCs w:val="20"/>
          <w:lang w:eastAsia="en-US"/>
          <w14:ligatures w14:val="standardContextual"/>
        </w:rPr>
        <w:t xml:space="preserve">Washington, D.C. : Organisation panaméricaine de la </w:t>
      </w:r>
      <w:proofErr w:type="spellStart"/>
      <w:proofErr w:type="gramStart"/>
      <w:r w:rsidRPr="007C5A6E">
        <w:rPr>
          <w:rFonts w:ascii="Times New Roman" w:eastAsiaTheme="minorHAnsi" w:hAnsi="Times New Roman"/>
          <w:kern w:val="2"/>
          <w:sz w:val="20"/>
          <w:szCs w:val="20"/>
          <w:lang w:eastAsia="en-US"/>
          <w14:ligatures w14:val="standardContextual"/>
        </w:rPr>
        <w:t>santé.Brauer</w:t>
      </w:r>
      <w:proofErr w:type="spellEnd"/>
      <w:proofErr w:type="gramEnd"/>
      <w:r w:rsidRPr="007C5A6E">
        <w:rPr>
          <w:rFonts w:ascii="Times New Roman" w:eastAsiaTheme="minorHAnsi" w:hAnsi="Times New Roman"/>
          <w:kern w:val="2"/>
          <w:sz w:val="20"/>
          <w:szCs w:val="20"/>
          <w:lang w:eastAsia="en-US"/>
          <w14:ligatures w14:val="standardContextual"/>
        </w:rPr>
        <w:t xml:space="preserve"> M, Casadei B, Harrington RA, Kovacs R, </w:t>
      </w:r>
      <w:proofErr w:type="spellStart"/>
      <w:r w:rsidRPr="007C5A6E">
        <w:rPr>
          <w:rFonts w:ascii="Times New Roman" w:eastAsiaTheme="minorHAnsi" w:hAnsi="Times New Roman"/>
          <w:kern w:val="2"/>
          <w:sz w:val="20"/>
          <w:szCs w:val="20"/>
          <w:lang w:eastAsia="en-US"/>
          <w14:ligatures w14:val="standardContextual"/>
        </w:rPr>
        <w:t>Sliwa</w:t>
      </w:r>
      <w:proofErr w:type="spellEnd"/>
      <w:r w:rsidRPr="007C5A6E">
        <w:rPr>
          <w:rFonts w:ascii="Times New Roman" w:eastAsiaTheme="minorHAnsi" w:hAnsi="Times New Roman"/>
          <w:kern w:val="2"/>
          <w:sz w:val="20"/>
          <w:szCs w:val="20"/>
          <w:lang w:eastAsia="en-US"/>
          <w14:ligatures w14:val="standardContextual"/>
        </w:rPr>
        <w:t xml:space="preserve"> K, WHF Air Pollution Expert Group. </w:t>
      </w:r>
      <w:r w:rsidRPr="007C5A6E">
        <w:rPr>
          <w:rFonts w:ascii="Times New Roman" w:eastAsiaTheme="minorHAnsi" w:hAnsi="Times New Roman"/>
          <w:kern w:val="2"/>
          <w:sz w:val="20"/>
          <w:szCs w:val="20"/>
          <w:lang w:val="en-US" w:eastAsia="en-US"/>
          <w14:ligatures w14:val="standardContextual"/>
        </w:rPr>
        <w:t xml:space="preserve">Taking a Stand Against Air Pollution-The Impact on Cardiovascular Disease: A Joint Opinion from the World Heart Federation, American College of Cardiology, American Heart Association, and the European Society of Cardiology. J Am Coll </w:t>
      </w:r>
      <w:proofErr w:type="spellStart"/>
      <w:r w:rsidRPr="007C5A6E">
        <w:rPr>
          <w:rFonts w:ascii="Times New Roman" w:eastAsiaTheme="minorHAnsi" w:hAnsi="Times New Roman"/>
          <w:kern w:val="2"/>
          <w:sz w:val="20"/>
          <w:szCs w:val="20"/>
          <w:lang w:val="en-US" w:eastAsia="en-US"/>
          <w14:ligatures w14:val="standardContextual"/>
        </w:rPr>
        <w:t>Cardiol</w:t>
      </w:r>
      <w:proofErr w:type="spellEnd"/>
      <w:r w:rsidRPr="007C5A6E">
        <w:rPr>
          <w:rFonts w:ascii="Times New Roman" w:eastAsiaTheme="minorHAnsi" w:hAnsi="Times New Roman"/>
          <w:kern w:val="2"/>
          <w:sz w:val="20"/>
          <w:szCs w:val="20"/>
          <w:lang w:val="en-US" w:eastAsia="en-US"/>
          <w14:ligatures w14:val="standardContextual"/>
        </w:rPr>
        <w:t xml:space="preserve">. 6 </w:t>
      </w:r>
      <w:proofErr w:type="spellStart"/>
      <w:r w:rsidRPr="007C5A6E">
        <w:rPr>
          <w:rFonts w:ascii="Times New Roman" w:eastAsiaTheme="minorHAnsi" w:hAnsi="Times New Roman"/>
          <w:kern w:val="2"/>
          <w:sz w:val="20"/>
          <w:szCs w:val="20"/>
          <w:lang w:val="en-US" w:eastAsia="en-US"/>
          <w14:ligatures w14:val="standardContextual"/>
        </w:rPr>
        <w:t>avr</w:t>
      </w:r>
      <w:proofErr w:type="spellEnd"/>
      <w:r w:rsidRPr="007C5A6E">
        <w:rPr>
          <w:rFonts w:ascii="Times New Roman" w:eastAsiaTheme="minorHAnsi" w:hAnsi="Times New Roman"/>
          <w:kern w:val="2"/>
          <w:sz w:val="20"/>
          <w:szCs w:val="20"/>
          <w:lang w:val="en-US" w:eastAsia="en-US"/>
          <w14:ligatures w14:val="standardContextual"/>
        </w:rPr>
        <w:t xml:space="preserve"> 2021;77(13):1684</w:t>
      </w:r>
      <w:r w:rsidRPr="007C5A6E">
        <w:rPr>
          <w:rFonts w:ascii="Times New Roman" w:eastAsiaTheme="minorHAnsi" w:hAnsi="Times New Roman"/>
          <w:kern w:val="2"/>
          <w:sz w:val="20"/>
          <w:szCs w:val="20"/>
          <w:lang w:val="en-US" w:eastAsia="en-US"/>
          <w14:ligatures w14:val="standardContextual"/>
        </w:rPr>
        <w:noBreakHyphen/>
        <w:t>8.</w:t>
      </w:r>
    </w:p>
    <w:p w14:paraId="50AB652C"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Habeeb E, Aldosari S, Saghir SA, Cheema M, </w:t>
      </w:r>
      <w:proofErr w:type="spellStart"/>
      <w:r w:rsidRPr="007C5A6E">
        <w:rPr>
          <w:rFonts w:ascii="Times New Roman" w:eastAsiaTheme="minorHAnsi" w:hAnsi="Times New Roman"/>
          <w:kern w:val="2"/>
          <w:sz w:val="20"/>
          <w:szCs w:val="20"/>
          <w:lang w:val="en-US" w:eastAsia="en-US"/>
          <w14:ligatures w14:val="standardContextual"/>
        </w:rPr>
        <w:t>Momenah</w:t>
      </w:r>
      <w:proofErr w:type="spellEnd"/>
      <w:r w:rsidRPr="007C5A6E">
        <w:rPr>
          <w:rFonts w:ascii="Times New Roman" w:eastAsiaTheme="minorHAnsi" w:hAnsi="Times New Roman"/>
          <w:kern w:val="2"/>
          <w:sz w:val="20"/>
          <w:szCs w:val="20"/>
          <w:lang w:val="en-US" w:eastAsia="en-US"/>
          <w14:ligatures w14:val="standardContextual"/>
        </w:rPr>
        <w:t xml:space="preserve"> T, Husain K, et al. Role of environmental toxicants in the development of hypertensive and cardiovascular diseases. </w:t>
      </w:r>
      <w:proofErr w:type="spellStart"/>
      <w:r w:rsidRPr="007C5A6E">
        <w:rPr>
          <w:rFonts w:ascii="Times New Roman" w:eastAsiaTheme="minorHAnsi" w:hAnsi="Times New Roman"/>
          <w:kern w:val="2"/>
          <w:sz w:val="20"/>
          <w:szCs w:val="20"/>
          <w:lang w:val="en-US" w:eastAsia="en-US"/>
          <w14:ligatures w14:val="standardContextual"/>
        </w:rPr>
        <w:t>Toxicol</w:t>
      </w:r>
      <w:proofErr w:type="spellEnd"/>
      <w:r w:rsidRPr="007C5A6E">
        <w:rPr>
          <w:rFonts w:ascii="Times New Roman" w:eastAsiaTheme="minorHAnsi" w:hAnsi="Times New Roman"/>
          <w:kern w:val="2"/>
          <w:sz w:val="20"/>
          <w:szCs w:val="20"/>
          <w:lang w:val="en-US" w:eastAsia="en-US"/>
          <w14:ligatures w14:val="standardContextual"/>
        </w:rPr>
        <w:t xml:space="preserve"> Rep. </w:t>
      </w:r>
      <w:proofErr w:type="gramStart"/>
      <w:r w:rsidRPr="007C5A6E">
        <w:rPr>
          <w:rFonts w:ascii="Times New Roman" w:eastAsiaTheme="minorHAnsi" w:hAnsi="Times New Roman"/>
          <w:kern w:val="2"/>
          <w:sz w:val="20"/>
          <w:szCs w:val="20"/>
          <w:lang w:val="en-US" w:eastAsia="en-US"/>
          <w14:ligatures w14:val="standardContextual"/>
        </w:rPr>
        <w:t>2022;9:521</w:t>
      </w:r>
      <w:proofErr w:type="gramEnd"/>
      <w:r w:rsidRPr="007C5A6E">
        <w:rPr>
          <w:rFonts w:ascii="Times New Roman" w:eastAsiaTheme="minorHAnsi" w:hAnsi="Times New Roman"/>
          <w:kern w:val="2"/>
          <w:sz w:val="20"/>
          <w:szCs w:val="20"/>
          <w:lang w:val="en-US" w:eastAsia="en-US"/>
          <w14:ligatures w14:val="standardContextual"/>
        </w:rPr>
        <w:noBreakHyphen/>
        <w:t>33.</w:t>
      </w:r>
    </w:p>
    <w:p w14:paraId="5A5534E1"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Mirzaei A, Rashedi S, Akbari MR, Khatami F, </w:t>
      </w:r>
      <w:proofErr w:type="spellStart"/>
      <w:r w:rsidRPr="007C5A6E">
        <w:rPr>
          <w:rFonts w:ascii="Times New Roman" w:eastAsiaTheme="minorHAnsi" w:hAnsi="Times New Roman"/>
          <w:kern w:val="2"/>
          <w:sz w:val="20"/>
          <w:szCs w:val="20"/>
          <w:lang w:val="en-US" w:eastAsia="en-US"/>
          <w14:ligatures w14:val="standardContextual"/>
        </w:rPr>
        <w:t>Aghamir</w:t>
      </w:r>
      <w:proofErr w:type="spellEnd"/>
      <w:r w:rsidRPr="007C5A6E">
        <w:rPr>
          <w:rFonts w:ascii="Times New Roman" w:eastAsiaTheme="minorHAnsi" w:hAnsi="Times New Roman"/>
          <w:kern w:val="2"/>
          <w:sz w:val="20"/>
          <w:szCs w:val="20"/>
          <w:lang w:val="en-US" w:eastAsia="en-US"/>
          <w14:ligatures w14:val="standardContextual"/>
        </w:rPr>
        <w:t xml:space="preserve"> SMK. Combined anticancer effects of simvastatin and arsenic trioxide on prostate cancer cell lines via downregulation of the VEGF and OPN isoforms genes. J Cell Mol Med. </w:t>
      </w:r>
      <w:proofErr w:type="spellStart"/>
      <w:r w:rsidRPr="007C5A6E">
        <w:rPr>
          <w:rFonts w:ascii="Times New Roman" w:eastAsiaTheme="minorHAnsi" w:hAnsi="Times New Roman"/>
          <w:kern w:val="2"/>
          <w:sz w:val="20"/>
          <w:szCs w:val="20"/>
          <w:lang w:val="en-US" w:eastAsia="en-US"/>
          <w14:ligatures w14:val="standardContextual"/>
        </w:rPr>
        <w:t>mai</w:t>
      </w:r>
      <w:proofErr w:type="spellEnd"/>
      <w:r w:rsidRPr="007C5A6E">
        <w:rPr>
          <w:rFonts w:ascii="Times New Roman" w:eastAsiaTheme="minorHAnsi" w:hAnsi="Times New Roman"/>
          <w:kern w:val="2"/>
          <w:sz w:val="20"/>
          <w:szCs w:val="20"/>
          <w:lang w:val="en-US" w:eastAsia="en-US"/>
          <w14:ligatures w14:val="standardContextual"/>
        </w:rPr>
        <w:t xml:space="preserve"> 2022;26(9):2728</w:t>
      </w:r>
      <w:r w:rsidRPr="007C5A6E">
        <w:rPr>
          <w:rFonts w:ascii="Times New Roman" w:eastAsiaTheme="minorHAnsi" w:hAnsi="Times New Roman"/>
          <w:kern w:val="2"/>
          <w:sz w:val="20"/>
          <w:szCs w:val="20"/>
          <w:lang w:val="en-US" w:eastAsia="en-US"/>
          <w14:ligatures w14:val="standardContextual"/>
        </w:rPr>
        <w:noBreakHyphen/>
        <w:t>40.</w:t>
      </w:r>
    </w:p>
    <w:p w14:paraId="11DA8B29"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Núñez O, Fernández-Navarro P, Martín-Méndez I, Bel-Lan A, </w:t>
      </w:r>
      <w:proofErr w:type="spellStart"/>
      <w:r w:rsidRPr="007C5A6E">
        <w:rPr>
          <w:rFonts w:ascii="Times New Roman" w:eastAsiaTheme="minorHAnsi" w:hAnsi="Times New Roman"/>
          <w:kern w:val="2"/>
          <w:sz w:val="20"/>
          <w:szCs w:val="20"/>
          <w:lang w:val="en-US" w:eastAsia="en-US"/>
          <w14:ligatures w14:val="standardContextual"/>
        </w:rPr>
        <w:t>Locutura</w:t>
      </w:r>
      <w:proofErr w:type="spellEnd"/>
      <w:r w:rsidRPr="007C5A6E">
        <w:rPr>
          <w:rFonts w:ascii="Times New Roman" w:eastAsiaTheme="minorHAnsi" w:hAnsi="Times New Roman"/>
          <w:kern w:val="2"/>
          <w:sz w:val="20"/>
          <w:szCs w:val="20"/>
          <w:lang w:val="en-US" w:eastAsia="en-US"/>
          <w14:ligatures w14:val="standardContextual"/>
        </w:rPr>
        <w:t xml:space="preserve"> JF, López-</w:t>
      </w:r>
      <w:proofErr w:type="spellStart"/>
      <w:r w:rsidRPr="007C5A6E">
        <w:rPr>
          <w:rFonts w:ascii="Times New Roman" w:eastAsiaTheme="minorHAnsi" w:hAnsi="Times New Roman"/>
          <w:kern w:val="2"/>
          <w:sz w:val="20"/>
          <w:szCs w:val="20"/>
          <w:lang w:val="en-US" w:eastAsia="en-US"/>
          <w14:ligatures w14:val="standardContextual"/>
        </w:rPr>
        <w:t>Abente</w:t>
      </w:r>
      <w:proofErr w:type="spellEnd"/>
      <w:r w:rsidRPr="007C5A6E">
        <w:rPr>
          <w:rFonts w:ascii="Times New Roman" w:eastAsiaTheme="minorHAnsi" w:hAnsi="Times New Roman"/>
          <w:kern w:val="2"/>
          <w:sz w:val="20"/>
          <w:szCs w:val="20"/>
          <w:lang w:val="en-US" w:eastAsia="en-US"/>
          <w14:ligatures w14:val="standardContextual"/>
        </w:rPr>
        <w:t xml:space="preserve"> G. Arsenic and chromium topsoil levels and cancer mortality in Spain. Environ Sci </w:t>
      </w:r>
      <w:proofErr w:type="spellStart"/>
      <w:r w:rsidRPr="007C5A6E">
        <w:rPr>
          <w:rFonts w:ascii="Times New Roman" w:eastAsiaTheme="minorHAnsi" w:hAnsi="Times New Roman"/>
          <w:kern w:val="2"/>
          <w:sz w:val="20"/>
          <w:szCs w:val="20"/>
          <w:lang w:val="en-US" w:eastAsia="en-US"/>
          <w14:ligatures w14:val="standardContextual"/>
        </w:rPr>
        <w:t>Pollut</w:t>
      </w:r>
      <w:proofErr w:type="spellEnd"/>
      <w:r w:rsidRPr="007C5A6E">
        <w:rPr>
          <w:rFonts w:ascii="Times New Roman" w:eastAsiaTheme="minorHAnsi" w:hAnsi="Times New Roman"/>
          <w:kern w:val="2"/>
          <w:sz w:val="20"/>
          <w:szCs w:val="20"/>
          <w:lang w:val="en-US" w:eastAsia="en-US"/>
          <w14:ligatures w14:val="standardContextual"/>
        </w:rPr>
        <w:t xml:space="preserve"> Res Int. sept 2016;23(17):17664</w:t>
      </w:r>
      <w:r w:rsidRPr="007C5A6E">
        <w:rPr>
          <w:rFonts w:ascii="Times New Roman" w:eastAsiaTheme="minorHAnsi" w:hAnsi="Times New Roman"/>
          <w:kern w:val="2"/>
          <w:sz w:val="20"/>
          <w:szCs w:val="20"/>
          <w:lang w:val="en-US" w:eastAsia="en-US"/>
          <w14:ligatures w14:val="standardContextual"/>
        </w:rPr>
        <w:noBreakHyphen/>
        <w:t>75.</w:t>
      </w:r>
    </w:p>
    <w:p w14:paraId="08195B32"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Chowdhury R, Ramond A, O’Keeffe LM, Shahzad S, </w:t>
      </w:r>
      <w:proofErr w:type="spellStart"/>
      <w:r w:rsidRPr="007C5A6E">
        <w:rPr>
          <w:rFonts w:ascii="Times New Roman" w:eastAsiaTheme="minorHAnsi" w:hAnsi="Times New Roman"/>
          <w:kern w:val="2"/>
          <w:sz w:val="20"/>
          <w:szCs w:val="20"/>
          <w:lang w:val="en-US" w:eastAsia="en-US"/>
          <w14:ligatures w14:val="standardContextual"/>
        </w:rPr>
        <w:t>Kunutsor</w:t>
      </w:r>
      <w:proofErr w:type="spellEnd"/>
      <w:r w:rsidRPr="007C5A6E">
        <w:rPr>
          <w:rFonts w:ascii="Times New Roman" w:eastAsiaTheme="minorHAnsi" w:hAnsi="Times New Roman"/>
          <w:kern w:val="2"/>
          <w:sz w:val="20"/>
          <w:szCs w:val="20"/>
          <w:lang w:val="en-US" w:eastAsia="en-US"/>
          <w14:ligatures w14:val="standardContextual"/>
        </w:rPr>
        <w:t xml:space="preserve"> SK, Muka T, et al. Environmental toxic metal contaminants and risk of cardiovascular disease: systematic review and meta-analysis. BMJ. 29 </w:t>
      </w:r>
      <w:proofErr w:type="spellStart"/>
      <w:r w:rsidRPr="007C5A6E">
        <w:rPr>
          <w:rFonts w:ascii="Times New Roman" w:eastAsiaTheme="minorHAnsi" w:hAnsi="Times New Roman"/>
          <w:kern w:val="2"/>
          <w:sz w:val="20"/>
          <w:szCs w:val="20"/>
          <w:lang w:val="en-US" w:eastAsia="en-US"/>
          <w14:ligatures w14:val="standardContextual"/>
        </w:rPr>
        <w:t>août</w:t>
      </w:r>
      <w:proofErr w:type="spellEnd"/>
      <w:r w:rsidRPr="007C5A6E">
        <w:rPr>
          <w:rFonts w:ascii="Times New Roman" w:eastAsiaTheme="minorHAnsi" w:hAnsi="Times New Roman"/>
          <w:kern w:val="2"/>
          <w:sz w:val="20"/>
          <w:szCs w:val="20"/>
          <w:lang w:val="en-US" w:eastAsia="en-US"/>
          <w14:ligatures w14:val="standardContextual"/>
        </w:rPr>
        <w:t xml:space="preserve"> 2018;</w:t>
      </w:r>
      <w:proofErr w:type="gramStart"/>
      <w:r w:rsidRPr="007C5A6E">
        <w:rPr>
          <w:rFonts w:ascii="Times New Roman" w:eastAsiaTheme="minorHAnsi" w:hAnsi="Times New Roman"/>
          <w:kern w:val="2"/>
          <w:sz w:val="20"/>
          <w:szCs w:val="20"/>
          <w:lang w:val="en-US" w:eastAsia="en-US"/>
          <w14:ligatures w14:val="standardContextual"/>
        </w:rPr>
        <w:t>362:k</w:t>
      </w:r>
      <w:proofErr w:type="gramEnd"/>
      <w:r w:rsidRPr="007C5A6E">
        <w:rPr>
          <w:rFonts w:ascii="Times New Roman" w:eastAsiaTheme="minorHAnsi" w:hAnsi="Times New Roman"/>
          <w:kern w:val="2"/>
          <w:sz w:val="20"/>
          <w:szCs w:val="20"/>
          <w:lang w:val="en-US" w:eastAsia="en-US"/>
          <w14:ligatures w14:val="standardContextual"/>
        </w:rPr>
        <w:t>3310.</w:t>
      </w:r>
    </w:p>
    <w:p w14:paraId="4FCC4296"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proofErr w:type="spellStart"/>
      <w:r w:rsidRPr="007C5A6E">
        <w:rPr>
          <w:rFonts w:ascii="Times New Roman" w:eastAsiaTheme="minorHAnsi" w:hAnsi="Times New Roman"/>
          <w:kern w:val="2"/>
          <w:sz w:val="20"/>
          <w:szCs w:val="20"/>
          <w:lang w:val="en-US" w:eastAsia="en-US"/>
          <w14:ligatures w14:val="standardContextual"/>
        </w:rPr>
        <w:t>Raissy</w:t>
      </w:r>
      <w:proofErr w:type="spellEnd"/>
      <w:r w:rsidRPr="007C5A6E">
        <w:rPr>
          <w:rFonts w:ascii="Times New Roman" w:eastAsiaTheme="minorHAnsi" w:hAnsi="Times New Roman"/>
          <w:kern w:val="2"/>
          <w:sz w:val="20"/>
          <w:szCs w:val="20"/>
          <w:lang w:val="en-US" w:eastAsia="en-US"/>
          <w14:ligatures w14:val="standardContextual"/>
        </w:rPr>
        <w:t xml:space="preserve"> M, Ansari M, </w:t>
      </w:r>
      <w:proofErr w:type="spellStart"/>
      <w:r w:rsidRPr="007C5A6E">
        <w:rPr>
          <w:rFonts w:ascii="Times New Roman" w:eastAsiaTheme="minorHAnsi" w:hAnsi="Times New Roman"/>
          <w:kern w:val="2"/>
          <w:sz w:val="20"/>
          <w:szCs w:val="20"/>
          <w:lang w:val="en-US" w:eastAsia="en-US"/>
          <w14:ligatures w14:val="standardContextual"/>
        </w:rPr>
        <w:t>Chaleshtori</w:t>
      </w:r>
      <w:proofErr w:type="spellEnd"/>
      <w:r w:rsidRPr="007C5A6E">
        <w:rPr>
          <w:rFonts w:ascii="Times New Roman" w:eastAsiaTheme="minorHAnsi" w:hAnsi="Times New Roman"/>
          <w:kern w:val="2"/>
          <w:sz w:val="20"/>
          <w:szCs w:val="20"/>
          <w:lang w:val="en-US" w:eastAsia="en-US"/>
          <w14:ligatures w14:val="standardContextual"/>
        </w:rPr>
        <w:t xml:space="preserve"> RS, Mahdavi V, Hadian Z, Lorenzo JM, et al. A systematic review of the concentration of potentially toxic elements in fish from the Persian Gulf: A health risk assessment study. Food Chem </w:t>
      </w:r>
      <w:proofErr w:type="spellStart"/>
      <w:r w:rsidRPr="007C5A6E">
        <w:rPr>
          <w:rFonts w:ascii="Times New Roman" w:eastAsiaTheme="minorHAnsi" w:hAnsi="Times New Roman"/>
          <w:kern w:val="2"/>
          <w:sz w:val="20"/>
          <w:szCs w:val="20"/>
          <w:lang w:val="en-US" w:eastAsia="en-US"/>
          <w14:ligatures w14:val="standardContextual"/>
        </w:rPr>
        <w:t>Toxicol</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spellStart"/>
      <w:r w:rsidRPr="007C5A6E">
        <w:rPr>
          <w:rFonts w:ascii="Times New Roman" w:eastAsiaTheme="minorHAnsi" w:hAnsi="Times New Roman"/>
          <w:kern w:val="2"/>
          <w:sz w:val="20"/>
          <w:szCs w:val="20"/>
          <w:lang w:val="en-US" w:eastAsia="en-US"/>
          <w14:ligatures w14:val="standardContextual"/>
        </w:rPr>
        <w:t>mai</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gramStart"/>
      <w:r w:rsidRPr="007C5A6E">
        <w:rPr>
          <w:rFonts w:ascii="Times New Roman" w:eastAsiaTheme="minorHAnsi" w:hAnsi="Times New Roman"/>
          <w:kern w:val="2"/>
          <w:sz w:val="20"/>
          <w:szCs w:val="20"/>
          <w:lang w:val="en-US" w:eastAsia="en-US"/>
          <w14:ligatures w14:val="standardContextual"/>
        </w:rPr>
        <w:t>2022;163:112968</w:t>
      </w:r>
      <w:proofErr w:type="gramEnd"/>
      <w:r w:rsidRPr="007C5A6E">
        <w:rPr>
          <w:rFonts w:ascii="Times New Roman" w:eastAsiaTheme="minorHAnsi" w:hAnsi="Times New Roman"/>
          <w:kern w:val="2"/>
          <w:sz w:val="20"/>
          <w:szCs w:val="20"/>
          <w:lang w:val="en-US" w:eastAsia="en-US"/>
          <w14:ligatures w14:val="standardContextual"/>
        </w:rPr>
        <w:t>.</w:t>
      </w:r>
    </w:p>
    <w:p w14:paraId="6A2361E3"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Frumkin H, Haines A. Global Environmental Change and Noncommunicable Disease Risks. Annu Rev Public Health. 1 </w:t>
      </w:r>
      <w:proofErr w:type="spellStart"/>
      <w:r w:rsidRPr="007C5A6E">
        <w:rPr>
          <w:rFonts w:ascii="Times New Roman" w:eastAsiaTheme="minorHAnsi" w:hAnsi="Times New Roman"/>
          <w:kern w:val="2"/>
          <w:sz w:val="20"/>
          <w:szCs w:val="20"/>
          <w:lang w:val="en-US" w:eastAsia="en-US"/>
          <w14:ligatures w14:val="standardContextual"/>
        </w:rPr>
        <w:t>avr</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gramStart"/>
      <w:r w:rsidRPr="007C5A6E">
        <w:rPr>
          <w:rFonts w:ascii="Times New Roman" w:eastAsiaTheme="minorHAnsi" w:hAnsi="Times New Roman"/>
          <w:kern w:val="2"/>
          <w:sz w:val="20"/>
          <w:szCs w:val="20"/>
          <w:lang w:val="en-US" w:eastAsia="en-US"/>
          <w14:ligatures w14:val="standardContextual"/>
        </w:rPr>
        <w:t>2019;40:261</w:t>
      </w:r>
      <w:proofErr w:type="gramEnd"/>
      <w:r w:rsidRPr="007C5A6E">
        <w:rPr>
          <w:rFonts w:ascii="Times New Roman" w:eastAsiaTheme="minorHAnsi" w:hAnsi="Times New Roman"/>
          <w:kern w:val="2"/>
          <w:sz w:val="20"/>
          <w:szCs w:val="20"/>
          <w:lang w:val="en-US" w:eastAsia="en-US"/>
          <w14:ligatures w14:val="standardContextual"/>
        </w:rPr>
        <w:noBreakHyphen/>
        <w:t>82.</w:t>
      </w:r>
    </w:p>
    <w:p w14:paraId="6A6F22CB"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Yang AM, Lo K, Zheng TZ, Yang JL, Bai YN, Feng YQ, et al. Environmental heavy metals and cardiovascular diseases: Status and future direction. Chronic Dis </w:t>
      </w:r>
      <w:proofErr w:type="spellStart"/>
      <w:r w:rsidRPr="007C5A6E">
        <w:rPr>
          <w:rFonts w:ascii="Times New Roman" w:eastAsiaTheme="minorHAnsi" w:hAnsi="Times New Roman"/>
          <w:kern w:val="2"/>
          <w:sz w:val="20"/>
          <w:szCs w:val="20"/>
          <w:lang w:val="en-US" w:eastAsia="en-US"/>
          <w14:ligatures w14:val="standardContextual"/>
        </w:rPr>
        <w:t>Transl</w:t>
      </w:r>
      <w:proofErr w:type="spellEnd"/>
      <w:r w:rsidRPr="007C5A6E">
        <w:rPr>
          <w:rFonts w:ascii="Times New Roman" w:eastAsiaTheme="minorHAnsi" w:hAnsi="Times New Roman"/>
          <w:kern w:val="2"/>
          <w:sz w:val="20"/>
          <w:szCs w:val="20"/>
          <w:lang w:val="en-US" w:eastAsia="en-US"/>
          <w14:ligatures w14:val="standardContextual"/>
        </w:rPr>
        <w:t xml:space="preserve"> Med. </w:t>
      </w:r>
      <w:proofErr w:type="spellStart"/>
      <w:r w:rsidRPr="007C5A6E">
        <w:rPr>
          <w:rFonts w:ascii="Times New Roman" w:eastAsiaTheme="minorHAnsi" w:hAnsi="Times New Roman"/>
          <w:kern w:val="2"/>
          <w:sz w:val="20"/>
          <w:szCs w:val="20"/>
          <w:lang w:val="en-US" w:eastAsia="en-US"/>
          <w14:ligatures w14:val="standardContextual"/>
        </w:rPr>
        <w:t>déc</w:t>
      </w:r>
      <w:proofErr w:type="spellEnd"/>
      <w:r w:rsidRPr="007C5A6E">
        <w:rPr>
          <w:rFonts w:ascii="Times New Roman" w:eastAsiaTheme="minorHAnsi" w:hAnsi="Times New Roman"/>
          <w:kern w:val="2"/>
          <w:sz w:val="20"/>
          <w:szCs w:val="20"/>
          <w:lang w:val="en-US" w:eastAsia="en-US"/>
          <w14:ligatures w14:val="standardContextual"/>
        </w:rPr>
        <w:t xml:space="preserve"> 2020;6(4):251</w:t>
      </w:r>
      <w:r w:rsidRPr="007C5A6E">
        <w:rPr>
          <w:rFonts w:ascii="Times New Roman" w:eastAsiaTheme="minorHAnsi" w:hAnsi="Times New Roman"/>
          <w:kern w:val="2"/>
          <w:sz w:val="20"/>
          <w:szCs w:val="20"/>
          <w:lang w:val="en-US" w:eastAsia="en-US"/>
          <w14:ligatures w14:val="standardContextual"/>
        </w:rPr>
        <w:noBreakHyphen/>
        <w:t xml:space="preserve">9. </w:t>
      </w:r>
    </w:p>
    <w:p w14:paraId="4496C413"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Lamas GA, Navas-</w:t>
      </w:r>
      <w:proofErr w:type="spellStart"/>
      <w:r w:rsidRPr="007C5A6E">
        <w:rPr>
          <w:rFonts w:ascii="Times New Roman" w:eastAsiaTheme="minorHAnsi" w:hAnsi="Times New Roman"/>
          <w:kern w:val="2"/>
          <w:sz w:val="20"/>
          <w:szCs w:val="20"/>
          <w:lang w:val="en-US" w:eastAsia="en-US"/>
          <w14:ligatures w14:val="standardContextual"/>
        </w:rPr>
        <w:t>Acien</w:t>
      </w:r>
      <w:proofErr w:type="spellEnd"/>
      <w:r w:rsidRPr="007C5A6E">
        <w:rPr>
          <w:rFonts w:ascii="Times New Roman" w:eastAsiaTheme="minorHAnsi" w:hAnsi="Times New Roman"/>
          <w:kern w:val="2"/>
          <w:sz w:val="20"/>
          <w:szCs w:val="20"/>
          <w:lang w:val="en-US" w:eastAsia="en-US"/>
          <w14:ligatures w14:val="standardContextual"/>
        </w:rPr>
        <w:t xml:space="preserve"> A, Mark DB, Lee KL. Heavy Metals, Cardiovascular Disease, and the Unexpected Benefits of Chelation Therapy. J Am Coll </w:t>
      </w:r>
      <w:proofErr w:type="spellStart"/>
      <w:r w:rsidRPr="007C5A6E">
        <w:rPr>
          <w:rFonts w:ascii="Times New Roman" w:eastAsiaTheme="minorHAnsi" w:hAnsi="Times New Roman"/>
          <w:kern w:val="2"/>
          <w:sz w:val="20"/>
          <w:szCs w:val="20"/>
          <w:lang w:val="en-US" w:eastAsia="en-US"/>
          <w14:ligatures w14:val="standardContextual"/>
        </w:rPr>
        <w:t>Cardiol</w:t>
      </w:r>
      <w:proofErr w:type="spellEnd"/>
      <w:r w:rsidRPr="007C5A6E">
        <w:rPr>
          <w:rFonts w:ascii="Times New Roman" w:eastAsiaTheme="minorHAnsi" w:hAnsi="Times New Roman"/>
          <w:kern w:val="2"/>
          <w:sz w:val="20"/>
          <w:szCs w:val="20"/>
          <w:lang w:val="en-US" w:eastAsia="en-US"/>
          <w14:ligatures w14:val="standardContextual"/>
        </w:rPr>
        <w:t xml:space="preserve">. 24 </w:t>
      </w:r>
      <w:proofErr w:type="spellStart"/>
      <w:r w:rsidRPr="007C5A6E">
        <w:rPr>
          <w:rFonts w:ascii="Times New Roman" w:eastAsiaTheme="minorHAnsi" w:hAnsi="Times New Roman"/>
          <w:kern w:val="2"/>
          <w:sz w:val="20"/>
          <w:szCs w:val="20"/>
          <w:lang w:val="en-US" w:eastAsia="en-US"/>
          <w14:ligatures w14:val="standardContextual"/>
        </w:rPr>
        <w:t>mai</w:t>
      </w:r>
      <w:proofErr w:type="spellEnd"/>
      <w:r w:rsidRPr="007C5A6E">
        <w:rPr>
          <w:rFonts w:ascii="Times New Roman" w:eastAsiaTheme="minorHAnsi" w:hAnsi="Times New Roman"/>
          <w:kern w:val="2"/>
          <w:sz w:val="20"/>
          <w:szCs w:val="20"/>
          <w:lang w:val="en-US" w:eastAsia="en-US"/>
          <w14:ligatures w14:val="standardContextual"/>
        </w:rPr>
        <w:t xml:space="preserve"> 2016;67(20):2411</w:t>
      </w:r>
      <w:r w:rsidRPr="007C5A6E">
        <w:rPr>
          <w:rFonts w:ascii="Times New Roman" w:eastAsiaTheme="minorHAnsi" w:hAnsi="Times New Roman"/>
          <w:kern w:val="2"/>
          <w:sz w:val="20"/>
          <w:szCs w:val="20"/>
          <w:lang w:val="en-US" w:eastAsia="en-US"/>
          <w14:ligatures w14:val="standardContextual"/>
        </w:rPr>
        <w:noBreakHyphen/>
        <w:t>8.</w:t>
      </w:r>
    </w:p>
    <w:p w14:paraId="66ECF02E"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Nigra AE, Ruiz-Hernandez A, Redon J, Navas-</w:t>
      </w:r>
      <w:proofErr w:type="spellStart"/>
      <w:r w:rsidRPr="007C5A6E">
        <w:rPr>
          <w:rFonts w:ascii="Times New Roman" w:eastAsiaTheme="minorHAnsi" w:hAnsi="Times New Roman"/>
          <w:kern w:val="2"/>
          <w:sz w:val="20"/>
          <w:szCs w:val="20"/>
          <w:lang w:val="en-US" w:eastAsia="en-US"/>
          <w14:ligatures w14:val="standardContextual"/>
        </w:rPr>
        <w:t>Acien</w:t>
      </w:r>
      <w:proofErr w:type="spellEnd"/>
      <w:r w:rsidRPr="007C5A6E">
        <w:rPr>
          <w:rFonts w:ascii="Times New Roman" w:eastAsiaTheme="minorHAnsi" w:hAnsi="Times New Roman"/>
          <w:kern w:val="2"/>
          <w:sz w:val="20"/>
          <w:szCs w:val="20"/>
          <w:lang w:val="en-US" w:eastAsia="en-US"/>
          <w14:ligatures w14:val="standardContextual"/>
        </w:rPr>
        <w:t xml:space="preserve"> A, Tellez-Plaza M. Environmental Metals and Cardiovascular Disease in Adults: A Systematic Review Beyond Lead and Cadmium. Curr Environ Health Rep. </w:t>
      </w:r>
      <w:proofErr w:type="spellStart"/>
      <w:r w:rsidRPr="007C5A6E">
        <w:rPr>
          <w:rFonts w:ascii="Times New Roman" w:eastAsiaTheme="minorHAnsi" w:hAnsi="Times New Roman"/>
          <w:kern w:val="2"/>
          <w:sz w:val="20"/>
          <w:szCs w:val="20"/>
          <w:lang w:val="en-US" w:eastAsia="en-US"/>
          <w14:ligatures w14:val="standardContextual"/>
        </w:rPr>
        <w:t>déc</w:t>
      </w:r>
      <w:proofErr w:type="spellEnd"/>
      <w:r w:rsidRPr="007C5A6E">
        <w:rPr>
          <w:rFonts w:ascii="Times New Roman" w:eastAsiaTheme="minorHAnsi" w:hAnsi="Times New Roman"/>
          <w:kern w:val="2"/>
          <w:sz w:val="20"/>
          <w:szCs w:val="20"/>
          <w:lang w:val="en-US" w:eastAsia="en-US"/>
          <w14:ligatures w14:val="standardContextual"/>
        </w:rPr>
        <w:t xml:space="preserve"> 2016;3(4):416</w:t>
      </w:r>
      <w:r w:rsidRPr="007C5A6E">
        <w:rPr>
          <w:rFonts w:ascii="Times New Roman" w:eastAsiaTheme="minorHAnsi" w:hAnsi="Times New Roman"/>
          <w:kern w:val="2"/>
          <w:sz w:val="20"/>
          <w:szCs w:val="20"/>
          <w:lang w:val="en-US" w:eastAsia="en-US"/>
          <w14:ligatures w14:val="standardContextual"/>
        </w:rPr>
        <w:noBreakHyphen/>
        <w:t>33.</w:t>
      </w:r>
    </w:p>
    <w:p w14:paraId="2AC70867"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Sun Y, Liu B, Rong S, Zhang J, Du Y, Xu G, et al. Association of Seafood Consumption and Mercury Exposure </w:t>
      </w:r>
      <w:proofErr w:type="gramStart"/>
      <w:r w:rsidRPr="007C5A6E">
        <w:rPr>
          <w:rFonts w:ascii="Times New Roman" w:eastAsiaTheme="minorHAnsi" w:hAnsi="Times New Roman"/>
          <w:kern w:val="2"/>
          <w:sz w:val="20"/>
          <w:szCs w:val="20"/>
          <w:lang w:val="en-US" w:eastAsia="en-US"/>
          <w14:ligatures w14:val="standardContextual"/>
        </w:rPr>
        <w:t>With</w:t>
      </w:r>
      <w:proofErr w:type="gramEnd"/>
      <w:r w:rsidRPr="007C5A6E">
        <w:rPr>
          <w:rFonts w:ascii="Times New Roman" w:eastAsiaTheme="minorHAnsi" w:hAnsi="Times New Roman"/>
          <w:kern w:val="2"/>
          <w:sz w:val="20"/>
          <w:szCs w:val="20"/>
          <w:lang w:val="en-US" w:eastAsia="en-US"/>
          <w14:ligatures w14:val="standardContextual"/>
        </w:rPr>
        <w:t xml:space="preserve"> Cardiovascular and </w:t>
      </w:r>
      <w:proofErr w:type="spellStart"/>
      <w:r w:rsidRPr="007C5A6E">
        <w:rPr>
          <w:rFonts w:ascii="Times New Roman" w:eastAsiaTheme="minorHAnsi" w:hAnsi="Times New Roman"/>
          <w:kern w:val="2"/>
          <w:sz w:val="20"/>
          <w:szCs w:val="20"/>
          <w:lang w:val="en-US" w:eastAsia="en-US"/>
          <w14:ligatures w14:val="standardContextual"/>
        </w:rPr>
        <w:t>All Cause</w:t>
      </w:r>
      <w:proofErr w:type="spellEnd"/>
      <w:r w:rsidRPr="007C5A6E">
        <w:rPr>
          <w:rFonts w:ascii="Times New Roman" w:eastAsiaTheme="minorHAnsi" w:hAnsi="Times New Roman"/>
          <w:kern w:val="2"/>
          <w:sz w:val="20"/>
          <w:szCs w:val="20"/>
          <w:lang w:val="en-US" w:eastAsia="en-US"/>
          <w14:ligatures w14:val="standardContextual"/>
        </w:rPr>
        <w:t xml:space="preserve"> Mortality Among US Adults. JAMA </w:t>
      </w:r>
      <w:proofErr w:type="spellStart"/>
      <w:r w:rsidRPr="007C5A6E">
        <w:rPr>
          <w:rFonts w:ascii="Times New Roman" w:eastAsiaTheme="minorHAnsi" w:hAnsi="Times New Roman"/>
          <w:kern w:val="2"/>
          <w:sz w:val="20"/>
          <w:szCs w:val="20"/>
          <w:lang w:val="en-US" w:eastAsia="en-US"/>
          <w14:ligatures w14:val="standardContextual"/>
        </w:rPr>
        <w:t>Netw</w:t>
      </w:r>
      <w:proofErr w:type="spellEnd"/>
      <w:r w:rsidRPr="007C5A6E">
        <w:rPr>
          <w:rFonts w:ascii="Times New Roman" w:eastAsiaTheme="minorHAnsi" w:hAnsi="Times New Roman"/>
          <w:kern w:val="2"/>
          <w:sz w:val="20"/>
          <w:szCs w:val="20"/>
          <w:lang w:val="en-US" w:eastAsia="en-US"/>
          <w14:ligatures w14:val="standardContextual"/>
        </w:rPr>
        <w:t xml:space="preserve"> Open. 1 </w:t>
      </w:r>
      <w:proofErr w:type="spellStart"/>
      <w:r w:rsidRPr="007C5A6E">
        <w:rPr>
          <w:rFonts w:ascii="Times New Roman" w:eastAsiaTheme="minorHAnsi" w:hAnsi="Times New Roman"/>
          <w:kern w:val="2"/>
          <w:sz w:val="20"/>
          <w:szCs w:val="20"/>
          <w:lang w:val="en-US" w:eastAsia="en-US"/>
          <w14:ligatures w14:val="standardContextual"/>
        </w:rPr>
        <w:t>nov</w:t>
      </w:r>
      <w:proofErr w:type="spellEnd"/>
      <w:r w:rsidRPr="007C5A6E">
        <w:rPr>
          <w:rFonts w:ascii="Times New Roman" w:eastAsiaTheme="minorHAnsi" w:hAnsi="Times New Roman"/>
          <w:kern w:val="2"/>
          <w:sz w:val="20"/>
          <w:szCs w:val="20"/>
          <w:lang w:val="en-US" w:eastAsia="en-US"/>
          <w14:ligatures w14:val="standardContextual"/>
        </w:rPr>
        <w:t xml:space="preserve"> 2021;4(11</w:t>
      </w:r>
      <w:proofErr w:type="gramStart"/>
      <w:r w:rsidRPr="007C5A6E">
        <w:rPr>
          <w:rFonts w:ascii="Times New Roman" w:eastAsiaTheme="minorHAnsi" w:hAnsi="Times New Roman"/>
          <w:kern w:val="2"/>
          <w:sz w:val="20"/>
          <w:szCs w:val="20"/>
          <w:lang w:val="en-US" w:eastAsia="en-US"/>
          <w14:ligatures w14:val="standardContextual"/>
        </w:rPr>
        <w:t>):e</w:t>
      </w:r>
      <w:proofErr w:type="gramEnd"/>
      <w:r w:rsidRPr="007C5A6E">
        <w:rPr>
          <w:rFonts w:ascii="Times New Roman" w:eastAsiaTheme="minorHAnsi" w:hAnsi="Times New Roman"/>
          <w:kern w:val="2"/>
          <w:sz w:val="20"/>
          <w:szCs w:val="20"/>
          <w:lang w:val="en-US" w:eastAsia="en-US"/>
          <w14:ligatures w14:val="standardContextual"/>
        </w:rPr>
        <w:t>2136367.</w:t>
      </w:r>
    </w:p>
    <w:p w14:paraId="309A1C47"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Fawell J, </w:t>
      </w:r>
      <w:proofErr w:type="spellStart"/>
      <w:r w:rsidRPr="007C5A6E">
        <w:rPr>
          <w:rFonts w:ascii="Times New Roman" w:eastAsiaTheme="minorHAnsi" w:hAnsi="Times New Roman"/>
          <w:kern w:val="2"/>
          <w:sz w:val="20"/>
          <w:szCs w:val="20"/>
          <w:lang w:val="en-US" w:eastAsia="en-US"/>
          <w14:ligatures w14:val="standardContextual"/>
        </w:rPr>
        <w:t>Nieuwenhuijsen</w:t>
      </w:r>
      <w:proofErr w:type="spellEnd"/>
      <w:r w:rsidRPr="007C5A6E">
        <w:rPr>
          <w:rFonts w:ascii="Times New Roman" w:eastAsiaTheme="minorHAnsi" w:hAnsi="Times New Roman"/>
          <w:kern w:val="2"/>
          <w:sz w:val="20"/>
          <w:szCs w:val="20"/>
          <w:lang w:val="en-US" w:eastAsia="en-US"/>
          <w14:ligatures w14:val="standardContextual"/>
        </w:rPr>
        <w:t xml:space="preserve"> MJ. Contaminants in drinking water: Environmental pollution and health. British Medical Bulletin. 1 </w:t>
      </w:r>
      <w:proofErr w:type="spellStart"/>
      <w:r w:rsidRPr="007C5A6E">
        <w:rPr>
          <w:rFonts w:ascii="Times New Roman" w:eastAsiaTheme="minorHAnsi" w:hAnsi="Times New Roman"/>
          <w:kern w:val="2"/>
          <w:sz w:val="20"/>
          <w:szCs w:val="20"/>
          <w:lang w:val="en-US" w:eastAsia="en-US"/>
          <w14:ligatures w14:val="standardContextual"/>
        </w:rPr>
        <w:t>déc</w:t>
      </w:r>
      <w:proofErr w:type="spellEnd"/>
      <w:r w:rsidRPr="007C5A6E">
        <w:rPr>
          <w:rFonts w:ascii="Times New Roman" w:eastAsiaTheme="minorHAnsi" w:hAnsi="Times New Roman"/>
          <w:kern w:val="2"/>
          <w:sz w:val="20"/>
          <w:szCs w:val="20"/>
          <w:lang w:val="en-US" w:eastAsia="en-US"/>
          <w14:ligatures w14:val="standardContextual"/>
        </w:rPr>
        <w:t xml:space="preserve"> 2003;68(1):199</w:t>
      </w:r>
      <w:r w:rsidRPr="007C5A6E">
        <w:rPr>
          <w:rFonts w:ascii="Times New Roman" w:eastAsiaTheme="minorHAnsi" w:hAnsi="Times New Roman"/>
          <w:kern w:val="2"/>
          <w:sz w:val="20"/>
          <w:szCs w:val="20"/>
          <w:lang w:val="en-US" w:eastAsia="en-US"/>
          <w14:ligatures w14:val="standardContextual"/>
        </w:rPr>
        <w:noBreakHyphen/>
        <w:t>208.</w:t>
      </w:r>
    </w:p>
    <w:p w14:paraId="233BA6DD"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Goines L, Hagler L. Noise pollution: a modem plague. South Med J. mars 2007;100(3):287</w:t>
      </w:r>
      <w:r w:rsidRPr="007C5A6E">
        <w:rPr>
          <w:rFonts w:ascii="Times New Roman" w:eastAsiaTheme="minorHAnsi" w:hAnsi="Times New Roman"/>
          <w:kern w:val="2"/>
          <w:sz w:val="20"/>
          <w:szCs w:val="20"/>
          <w:lang w:val="en-US" w:eastAsia="en-US"/>
          <w14:ligatures w14:val="standardContextual"/>
        </w:rPr>
        <w:noBreakHyphen/>
        <w:t>94.</w:t>
      </w:r>
    </w:p>
    <w:p w14:paraId="427D224F" w14:textId="77777777" w:rsidR="00702D07" w:rsidRPr="007C5A6E" w:rsidRDefault="00702D07" w:rsidP="00702D07">
      <w:pPr>
        <w:spacing w:after="160" w:line="259" w:lineRule="auto"/>
        <w:jc w:val="both"/>
        <w:rPr>
          <w:rFonts w:ascii="Times New Roman" w:eastAsiaTheme="minorHAnsi" w:hAnsi="Times New Roman"/>
          <w:kern w:val="2"/>
          <w:sz w:val="20"/>
          <w:szCs w:val="20"/>
          <w:lang w:val="de-DE" w:eastAsia="en-US"/>
          <w14:ligatures w14:val="standardContextual"/>
        </w:rPr>
      </w:pPr>
      <w:proofErr w:type="spellStart"/>
      <w:r w:rsidRPr="007C5A6E">
        <w:rPr>
          <w:rFonts w:ascii="Times New Roman" w:eastAsiaTheme="minorHAnsi" w:hAnsi="Times New Roman"/>
          <w:kern w:val="2"/>
          <w:sz w:val="20"/>
          <w:szCs w:val="20"/>
          <w:lang w:val="en-US" w:eastAsia="en-US"/>
          <w14:ligatures w14:val="standardContextual"/>
        </w:rPr>
        <w:t>Slabbekoorn</w:t>
      </w:r>
      <w:proofErr w:type="spellEnd"/>
      <w:r w:rsidRPr="007C5A6E">
        <w:rPr>
          <w:rFonts w:ascii="Times New Roman" w:eastAsiaTheme="minorHAnsi" w:hAnsi="Times New Roman"/>
          <w:kern w:val="2"/>
          <w:sz w:val="20"/>
          <w:szCs w:val="20"/>
          <w:lang w:val="en-US" w:eastAsia="en-US"/>
          <w14:ligatures w14:val="standardContextual"/>
        </w:rPr>
        <w:t xml:space="preserve"> H. Noise pollution. </w:t>
      </w:r>
      <w:proofErr w:type="spellStart"/>
      <w:r w:rsidRPr="007C5A6E">
        <w:rPr>
          <w:rFonts w:ascii="Times New Roman" w:eastAsiaTheme="minorHAnsi" w:hAnsi="Times New Roman"/>
          <w:kern w:val="2"/>
          <w:sz w:val="20"/>
          <w:szCs w:val="20"/>
          <w:lang w:val="de-DE" w:eastAsia="en-US"/>
          <w14:ligatures w14:val="standardContextual"/>
        </w:rPr>
        <w:t>Curr</w:t>
      </w:r>
      <w:proofErr w:type="spellEnd"/>
      <w:r w:rsidRPr="007C5A6E">
        <w:rPr>
          <w:rFonts w:ascii="Times New Roman" w:eastAsiaTheme="minorHAnsi" w:hAnsi="Times New Roman"/>
          <w:kern w:val="2"/>
          <w:sz w:val="20"/>
          <w:szCs w:val="20"/>
          <w:lang w:val="de-DE" w:eastAsia="en-US"/>
          <w14:ligatures w14:val="standardContextual"/>
        </w:rPr>
        <w:t xml:space="preserve"> </w:t>
      </w:r>
      <w:proofErr w:type="spellStart"/>
      <w:r w:rsidRPr="007C5A6E">
        <w:rPr>
          <w:rFonts w:ascii="Times New Roman" w:eastAsiaTheme="minorHAnsi" w:hAnsi="Times New Roman"/>
          <w:kern w:val="2"/>
          <w:sz w:val="20"/>
          <w:szCs w:val="20"/>
          <w:lang w:val="de-DE" w:eastAsia="en-US"/>
          <w14:ligatures w14:val="standardContextual"/>
        </w:rPr>
        <w:t>Biol</w:t>
      </w:r>
      <w:proofErr w:type="spellEnd"/>
      <w:r w:rsidRPr="007C5A6E">
        <w:rPr>
          <w:rFonts w:ascii="Times New Roman" w:eastAsiaTheme="minorHAnsi" w:hAnsi="Times New Roman"/>
          <w:kern w:val="2"/>
          <w:sz w:val="20"/>
          <w:szCs w:val="20"/>
          <w:lang w:val="de-DE" w:eastAsia="en-US"/>
          <w14:ligatures w14:val="standardContextual"/>
        </w:rPr>
        <w:t xml:space="preserve">. 7 </w:t>
      </w:r>
      <w:proofErr w:type="spellStart"/>
      <w:r w:rsidRPr="007C5A6E">
        <w:rPr>
          <w:rFonts w:ascii="Times New Roman" w:eastAsiaTheme="minorHAnsi" w:hAnsi="Times New Roman"/>
          <w:kern w:val="2"/>
          <w:sz w:val="20"/>
          <w:szCs w:val="20"/>
          <w:lang w:val="de-DE" w:eastAsia="en-US"/>
          <w14:ligatures w14:val="standardContextual"/>
        </w:rPr>
        <w:t>oct</w:t>
      </w:r>
      <w:proofErr w:type="spellEnd"/>
      <w:r w:rsidRPr="007C5A6E">
        <w:rPr>
          <w:rFonts w:ascii="Times New Roman" w:eastAsiaTheme="minorHAnsi" w:hAnsi="Times New Roman"/>
          <w:kern w:val="2"/>
          <w:sz w:val="20"/>
          <w:szCs w:val="20"/>
          <w:lang w:val="de-DE" w:eastAsia="en-US"/>
          <w14:ligatures w14:val="standardContextual"/>
        </w:rPr>
        <w:t xml:space="preserve"> 2019;29(19</w:t>
      </w:r>
      <w:proofErr w:type="gramStart"/>
      <w:r w:rsidRPr="007C5A6E">
        <w:rPr>
          <w:rFonts w:ascii="Times New Roman" w:eastAsiaTheme="minorHAnsi" w:hAnsi="Times New Roman"/>
          <w:kern w:val="2"/>
          <w:sz w:val="20"/>
          <w:szCs w:val="20"/>
          <w:lang w:val="de-DE" w:eastAsia="en-US"/>
          <w14:ligatures w14:val="standardContextual"/>
        </w:rPr>
        <w:t>):R</w:t>
      </w:r>
      <w:proofErr w:type="gramEnd"/>
      <w:r w:rsidRPr="007C5A6E">
        <w:rPr>
          <w:rFonts w:ascii="Times New Roman" w:eastAsiaTheme="minorHAnsi" w:hAnsi="Times New Roman"/>
          <w:kern w:val="2"/>
          <w:sz w:val="20"/>
          <w:szCs w:val="20"/>
          <w:lang w:val="de-DE" w:eastAsia="en-US"/>
          <w14:ligatures w14:val="standardContextual"/>
        </w:rPr>
        <w:t>957</w:t>
      </w:r>
      <w:r w:rsidRPr="007C5A6E">
        <w:rPr>
          <w:rFonts w:ascii="Times New Roman" w:eastAsiaTheme="minorHAnsi" w:hAnsi="Times New Roman"/>
          <w:kern w:val="2"/>
          <w:sz w:val="20"/>
          <w:szCs w:val="20"/>
          <w:lang w:val="de-DE" w:eastAsia="en-US"/>
          <w14:ligatures w14:val="standardContextual"/>
        </w:rPr>
        <w:noBreakHyphen/>
        <w:t>60.</w:t>
      </w:r>
    </w:p>
    <w:p w14:paraId="559A091D"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proofErr w:type="spellStart"/>
      <w:r w:rsidRPr="007C5A6E">
        <w:rPr>
          <w:rFonts w:ascii="Times New Roman" w:eastAsiaTheme="minorHAnsi" w:hAnsi="Times New Roman"/>
          <w:kern w:val="2"/>
          <w:sz w:val="20"/>
          <w:szCs w:val="20"/>
          <w:lang w:val="de-DE" w:eastAsia="en-US"/>
          <w14:ligatures w14:val="standardContextual"/>
        </w:rPr>
        <w:t>Theakston</w:t>
      </w:r>
      <w:proofErr w:type="spellEnd"/>
      <w:r w:rsidRPr="007C5A6E">
        <w:rPr>
          <w:rFonts w:ascii="Times New Roman" w:eastAsiaTheme="minorHAnsi" w:hAnsi="Times New Roman"/>
          <w:kern w:val="2"/>
          <w:sz w:val="20"/>
          <w:szCs w:val="20"/>
          <w:lang w:val="de-DE" w:eastAsia="en-US"/>
          <w14:ligatures w14:val="standardContextual"/>
        </w:rPr>
        <w:t xml:space="preserve"> F, Weltgesundheitsorganisation, </w:t>
      </w:r>
      <w:proofErr w:type="spellStart"/>
      <w:r w:rsidRPr="007C5A6E">
        <w:rPr>
          <w:rFonts w:ascii="Times New Roman" w:eastAsiaTheme="minorHAnsi" w:hAnsi="Times New Roman"/>
          <w:kern w:val="2"/>
          <w:sz w:val="20"/>
          <w:szCs w:val="20"/>
          <w:lang w:val="de-DE" w:eastAsia="en-US"/>
          <w14:ligatures w14:val="standardContextual"/>
        </w:rPr>
        <w:t>éditeurs</w:t>
      </w:r>
      <w:proofErr w:type="spellEnd"/>
      <w:r w:rsidRPr="007C5A6E">
        <w:rPr>
          <w:rFonts w:ascii="Times New Roman" w:eastAsiaTheme="minorHAnsi" w:hAnsi="Times New Roman"/>
          <w:kern w:val="2"/>
          <w:sz w:val="20"/>
          <w:szCs w:val="20"/>
          <w:lang w:val="de-DE" w:eastAsia="en-US"/>
          <w14:ligatures w14:val="standardContextual"/>
        </w:rPr>
        <w:t xml:space="preserve">. </w:t>
      </w:r>
      <w:r w:rsidRPr="007C5A6E">
        <w:rPr>
          <w:rFonts w:ascii="Times New Roman" w:eastAsiaTheme="minorHAnsi" w:hAnsi="Times New Roman"/>
          <w:kern w:val="2"/>
          <w:sz w:val="20"/>
          <w:szCs w:val="20"/>
          <w:lang w:val="en-US" w:eastAsia="en-US"/>
          <w14:ligatures w14:val="standardContextual"/>
        </w:rPr>
        <w:t>Burden of disease from environmental noise: quantification of healthy life years lost in Europe. Copenhagen: World Health Organization, Regional Office for Europe; 2011. 106 p.</w:t>
      </w:r>
    </w:p>
    <w:p w14:paraId="115C8444" w14:textId="77777777" w:rsidR="00702D07" w:rsidRPr="007C5A6E" w:rsidRDefault="00702D07" w:rsidP="00702D07">
      <w:pPr>
        <w:spacing w:after="160" w:line="259" w:lineRule="auto"/>
        <w:jc w:val="both"/>
        <w:rPr>
          <w:rFonts w:ascii="Times New Roman" w:eastAsiaTheme="minorHAnsi" w:hAnsi="Times New Roman"/>
          <w:kern w:val="2"/>
          <w:sz w:val="20"/>
          <w:szCs w:val="20"/>
          <w:lang w:val="de-DE"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European Environment Agency Environmental noise in Europe 2020. </w:t>
      </w:r>
      <w:hyperlink r:id="rId295" w:history="1">
        <w:r w:rsidRPr="007C5A6E">
          <w:rPr>
            <w:rFonts w:ascii="Times New Roman" w:eastAsiaTheme="minorHAnsi" w:hAnsi="Times New Roman"/>
            <w:color w:val="0000FF"/>
            <w:kern w:val="2"/>
            <w:sz w:val="20"/>
            <w:szCs w:val="20"/>
            <w:u w:val="single"/>
            <w:lang w:val="de-DE" w:eastAsia="en-US"/>
            <w14:ligatures w14:val="standardContextual"/>
          </w:rPr>
          <w:t>https://www.eea.europa.eu/publications/environmental-noise-in-europe</w:t>
        </w:r>
      </w:hyperlink>
      <w:r w:rsidRPr="007C5A6E">
        <w:rPr>
          <w:rFonts w:ascii="Times New Roman" w:eastAsiaTheme="minorHAnsi" w:hAnsi="Times New Roman"/>
          <w:kern w:val="2"/>
          <w:sz w:val="20"/>
          <w:szCs w:val="20"/>
          <w:lang w:val="de-DE" w:eastAsia="en-US"/>
          <w14:ligatures w14:val="standardContextual"/>
        </w:rPr>
        <w:t xml:space="preserve"> </w:t>
      </w:r>
    </w:p>
    <w:p w14:paraId="254AD94E"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val="de-DE" w:eastAsia="en-US"/>
          <w14:ligatures w14:val="standardContextual"/>
        </w:rPr>
        <w:t xml:space="preserve">Münzel T, Sørensen M, Schmidt F, Schmidt E, Steven S, Kröller-Schön S, et al. </w:t>
      </w:r>
      <w:r w:rsidRPr="007C5A6E">
        <w:rPr>
          <w:rFonts w:ascii="Times New Roman" w:eastAsiaTheme="minorHAnsi" w:hAnsi="Times New Roman"/>
          <w:kern w:val="2"/>
          <w:sz w:val="20"/>
          <w:szCs w:val="20"/>
          <w:lang w:val="en-US" w:eastAsia="en-US"/>
          <w14:ligatures w14:val="standardContextual"/>
        </w:rPr>
        <w:t xml:space="preserve">The Adverse Effects of Environmental Noise Exposure on Oxidative Stress and Cardiovascular Risk. </w:t>
      </w:r>
      <w:proofErr w:type="spellStart"/>
      <w:r w:rsidRPr="007C5A6E">
        <w:rPr>
          <w:rFonts w:ascii="Times New Roman" w:eastAsiaTheme="minorHAnsi" w:hAnsi="Times New Roman"/>
          <w:kern w:val="2"/>
          <w:sz w:val="20"/>
          <w:szCs w:val="20"/>
          <w:lang w:eastAsia="en-US"/>
          <w14:ligatures w14:val="standardContextual"/>
        </w:rPr>
        <w:t>Antioxid</w:t>
      </w:r>
      <w:proofErr w:type="spellEnd"/>
      <w:r w:rsidRPr="007C5A6E">
        <w:rPr>
          <w:rFonts w:ascii="Times New Roman" w:eastAsiaTheme="minorHAnsi" w:hAnsi="Times New Roman"/>
          <w:kern w:val="2"/>
          <w:sz w:val="20"/>
          <w:szCs w:val="20"/>
          <w:lang w:eastAsia="en-US"/>
          <w14:ligatures w14:val="standardContextual"/>
        </w:rPr>
        <w:t xml:space="preserve"> Redox Signal. 20 mars </w:t>
      </w:r>
      <w:proofErr w:type="gramStart"/>
      <w:r w:rsidRPr="007C5A6E">
        <w:rPr>
          <w:rFonts w:ascii="Times New Roman" w:eastAsiaTheme="minorHAnsi" w:hAnsi="Times New Roman"/>
          <w:kern w:val="2"/>
          <w:sz w:val="20"/>
          <w:szCs w:val="20"/>
          <w:lang w:eastAsia="en-US"/>
          <w14:ligatures w14:val="standardContextual"/>
        </w:rPr>
        <w:t>2018;</w:t>
      </w:r>
      <w:proofErr w:type="gramEnd"/>
      <w:r w:rsidRPr="007C5A6E">
        <w:rPr>
          <w:rFonts w:ascii="Times New Roman" w:eastAsiaTheme="minorHAnsi" w:hAnsi="Times New Roman"/>
          <w:kern w:val="2"/>
          <w:sz w:val="20"/>
          <w:szCs w:val="20"/>
          <w:lang w:eastAsia="en-US"/>
          <w14:ligatures w14:val="standardContextual"/>
        </w:rPr>
        <w:t>28(9):873</w:t>
      </w:r>
      <w:r w:rsidRPr="007C5A6E">
        <w:rPr>
          <w:rFonts w:ascii="Times New Roman" w:eastAsiaTheme="minorHAnsi" w:hAnsi="Times New Roman"/>
          <w:kern w:val="2"/>
          <w:sz w:val="20"/>
          <w:szCs w:val="20"/>
          <w:lang w:eastAsia="en-US"/>
          <w14:ligatures w14:val="standardContextual"/>
        </w:rPr>
        <w:noBreakHyphen/>
        <w:t>908.</w:t>
      </w:r>
    </w:p>
    <w:p w14:paraId="437F4C71"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proofErr w:type="spellStart"/>
      <w:r w:rsidRPr="007C5A6E">
        <w:rPr>
          <w:rFonts w:ascii="Times New Roman" w:eastAsiaTheme="minorHAnsi" w:hAnsi="Times New Roman"/>
          <w:kern w:val="2"/>
          <w:sz w:val="20"/>
          <w:szCs w:val="20"/>
          <w:lang w:eastAsia="en-US"/>
          <w14:ligatures w14:val="standardContextual"/>
        </w:rPr>
        <w:t>Münzel</w:t>
      </w:r>
      <w:proofErr w:type="spellEnd"/>
      <w:r w:rsidRPr="007C5A6E">
        <w:rPr>
          <w:rFonts w:ascii="Times New Roman" w:eastAsiaTheme="minorHAnsi" w:hAnsi="Times New Roman"/>
          <w:kern w:val="2"/>
          <w:sz w:val="20"/>
          <w:szCs w:val="20"/>
          <w:lang w:eastAsia="en-US"/>
          <w14:ligatures w14:val="standardContextual"/>
        </w:rPr>
        <w:t xml:space="preserve"> T, </w:t>
      </w:r>
      <w:proofErr w:type="spellStart"/>
      <w:r w:rsidRPr="007C5A6E">
        <w:rPr>
          <w:rFonts w:ascii="Times New Roman" w:eastAsiaTheme="minorHAnsi" w:hAnsi="Times New Roman"/>
          <w:kern w:val="2"/>
          <w:sz w:val="20"/>
          <w:szCs w:val="20"/>
          <w:lang w:eastAsia="en-US"/>
          <w14:ligatures w14:val="standardContextual"/>
        </w:rPr>
        <w:t>Sørensen</w:t>
      </w:r>
      <w:proofErr w:type="spellEnd"/>
      <w:r w:rsidRPr="007C5A6E">
        <w:rPr>
          <w:rFonts w:ascii="Times New Roman" w:eastAsiaTheme="minorHAnsi" w:hAnsi="Times New Roman"/>
          <w:kern w:val="2"/>
          <w:sz w:val="20"/>
          <w:szCs w:val="20"/>
          <w:lang w:eastAsia="en-US"/>
          <w14:ligatures w14:val="standardContextual"/>
        </w:rPr>
        <w:t xml:space="preserve"> M. Noise Pollution and </w:t>
      </w:r>
      <w:proofErr w:type="spellStart"/>
      <w:r w:rsidRPr="007C5A6E">
        <w:rPr>
          <w:rFonts w:ascii="Times New Roman" w:eastAsiaTheme="minorHAnsi" w:hAnsi="Times New Roman"/>
          <w:kern w:val="2"/>
          <w:sz w:val="20"/>
          <w:szCs w:val="20"/>
          <w:lang w:eastAsia="en-US"/>
          <w14:ligatures w14:val="standardContextual"/>
        </w:rPr>
        <w:t>Arterial</w:t>
      </w:r>
      <w:proofErr w:type="spellEnd"/>
      <w:r w:rsidRPr="007C5A6E">
        <w:rPr>
          <w:rFonts w:ascii="Times New Roman" w:eastAsiaTheme="minorHAnsi" w:hAnsi="Times New Roman"/>
          <w:kern w:val="2"/>
          <w:sz w:val="20"/>
          <w:szCs w:val="20"/>
          <w:lang w:eastAsia="en-US"/>
          <w14:ligatures w14:val="standardContextual"/>
        </w:rPr>
        <w:t xml:space="preserve"> Hypertension. </w:t>
      </w:r>
      <w:proofErr w:type="spellStart"/>
      <w:r w:rsidRPr="007C5A6E">
        <w:rPr>
          <w:rFonts w:ascii="Times New Roman" w:eastAsiaTheme="minorHAnsi" w:hAnsi="Times New Roman"/>
          <w:kern w:val="2"/>
          <w:sz w:val="20"/>
          <w:szCs w:val="20"/>
          <w:lang w:val="en-US" w:eastAsia="en-US"/>
          <w14:ligatures w14:val="standardContextual"/>
        </w:rPr>
        <w:t>Eur</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spellStart"/>
      <w:r w:rsidRPr="007C5A6E">
        <w:rPr>
          <w:rFonts w:ascii="Times New Roman" w:eastAsiaTheme="minorHAnsi" w:hAnsi="Times New Roman"/>
          <w:kern w:val="2"/>
          <w:sz w:val="20"/>
          <w:szCs w:val="20"/>
          <w:lang w:val="en-US" w:eastAsia="en-US"/>
          <w14:ligatures w14:val="standardContextual"/>
        </w:rPr>
        <w:t>Cardiol</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spellStart"/>
      <w:r w:rsidRPr="007C5A6E">
        <w:rPr>
          <w:rFonts w:ascii="Times New Roman" w:eastAsiaTheme="minorHAnsi" w:hAnsi="Times New Roman"/>
          <w:kern w:val="2"/>
          <w:sz w:val="20"/>
          <w:szCs w:val="20"/>
          <w:lang w:val="en-US" w:eastAsia="en-US"/>
          <w14:ligatures w14:val="standardContextual"/>
        </w:rPr>
        <w:t>août</w:t>
      </w:r>
      <w:proofErr w:type="spellEnd"/>
      <w:r w:rsidRPr="007C5A6E">
        <w:rPr>
          <w:rFonts w:ascii="Times New Roman" w:eastAsiaTheme="minorHAnsi" w:hAnsi="Times New Roman"/>
          <w:kern w:val="2"/>
          <w:sz w:val="20"/>
          <w:szCs w:val="20"/>
          <w:lang w:val="en-US" w:eastAsia="en-US"/>
          <w14:ligatures w14:val="standardContextual"/>
        </w:rPr>
        <w:t xml:space="preserve"> 2017;12(1):26</w:t>
      </w:r>
      <w:r w:rsidRPr="007C5A6E">
        <w:rPr>
          <w:rFonts w:ascii="Times New Roman" w:eastAsiaTheme="minorHAnsi" w:hAnsi="Times New Roman"/>
          <w:kern w:val="2"/>
          <w:sz w:val="20"/>
          <w:szCs w:val="20"/>
          <w:lang w:val="en-US" w:eastAsia="en-US"/>
          <w14:ligatures w14:val="standardContextual"/>
        </w:rPr>
        <w:noBreakHyphen/>
        <w:t>9.</w:t>
      </w:r>
    </w:p>
    <w:p w14:paraId="05A4735B"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proofErr w:type="spellStart"/>
      <w:r w:rsidRPr="007C5A6E">
        <w:rPr>
          <w:rFonts w:ascii="Times New Roman" w:eastAsiaTheme="minorHAnsi" w:hAnsi="Times New Roman"/>
          <w:kern w:val="2"/>
          <w:sz w:val="20"/>
          <w:szCs w:val="20"/>
          <w:lang w:val="en-US" w:eastAsia="en-US"/>
          <w14:ligatures w14:val="standardContextual"/>
        </w:rPr>
        <w:t>Brahem</w:t>
      </w:r>
      <w:proofErr w:type="spellEnd"/>
      <w:r w:rsidRPr="007C5A6E">
        <w:rPr>
          <w:rFonts w:ascii="Times New Roman" w:eastAsiaTheme="minorHAnsi" w:hAnsi="Times New Roman"/>
          <w:kern w:val="2"/>
          <w:sz w:val="20"/>
          <w:szCs w:val="20"/>
          <w:lang w:val="en-US" w:eastAsia="en-US"/>
          <w14:ligatures w14:val="standardContextual"/>
        </w:rPr>
        <w:t xml:space="preserve"> A, Riahi S, </w:t>
      </w:r>
      <w:proofErr w:type="spellStart"/>
      <w:r w:rsidRPr="007C5A6E">
        <w:rPr>
          <w:rFonts w:ascii="Times New Roman" w:eastAsiaTheme="minorHAnsi" w:hAnsi="Times New Roman"/>
          <w:kern w:val="2"/>
          <w:sz w:val="20"/>
          <w:szCs w:val="20"/>
          <w:lang w:val="en-US" w:eastAsia="en-US"/>
          <w14:ligatures w14:val="standardContextual"/>
        </w:rPr>
        <w:t>Chouchane</w:t>
      </w:r>
      <w:proofErr w:type="spellEnd"/>
      <w:r w:rsidRPr="007C5A6E">
        <w:rPr>
          <w:rFonts w:ascii="Times New Roman" w:eastAsiaTheme="minorHAnsi" w:hAnsi="Times New Roman"/>
          <w:kern w:val="2"/>
          <w:sz w:val="20"/>
          <w:szCs w:val="20"/>
          <w:lang w:val="en-US" w:eastAsia="en-US"/>
          <w14:ligatures w14:val="standardContextual"/>
        </w:rPr>
        <w:t xml:space="preserve"> A, Kacem I, </w:t>
      </w:r>
      <w:proofErr w:type="spellStart"/>
      <w:r w:rsidRPr="007C5A6E">
        <w:rPr>
          <w:rFonts w:ascii="Times New Roman" w:eastAsiaTheme="minorHAnsi" w:hAnsi="Times New Roman"/>
          <w:kern w:val="2"/>
          <w:sz w:val="20"/>
          <w:szCs w:val="20"/>
          <w:lang w:val="en-US" w:eastAsia="en-US"/>
          <w14:ligatures w14:val="standardContextual"/>
        </w:rPr>
        <w:t>Maalel</w:t>
      </w:r>
      <w:proofErr w:type="spellEnd"/>
      <w:r w:rsidRPr="007C5A6E">
        <w:rPr>
          <w:rFonts w:ascii="Times New Roman" w:eastAsiaTheme="minorHAnsi" w:hAnsi="Times New Roman"/>
          <w:kern w:val="2"/>
          <w:sz w:val="20"/>
          <w:szCs w:val="20"/>
          <w:lang w:val="en-US" w:eastAsia="en-US"/>
          <w14:ligatures w14:val="standardContextual"/>
        </w:rPr>
        <w:t xml:space="preserve"> OE, </w:t>
      </w:r>
      <w:proofErr w:type="spellStart"/>
      <w:r w:rsidRPr="007C5A6E">
        <w:rPr>
          <w:rFonts w:ascii="Times New Roman" w:eastAsiaTheme="minorHAnsi" w:hAnsi="Times New Roman"/>
          <w:kern w:val="2"/>
          <w:sz w:val="20"/>
          <w:szCs w:val="20"/>
          <w:lang w:val="en-US" w:eastAsia="en-US"/>
          <w14:ligatures w14:val="standardContextual"/>
        </w:rPr>
        <w:t>Maoua</w:t>
      </w:r>
      <w:proofErr w:type="spellEnd"/>
      <w:r w:rsidRPr="007C5A6E">
        <w:rPr>
          <w:rFonts w:ascii="Times New Roman" w:eastAsiaTheme="minorHAnsi" w:hAnsi="Times New Roman"/>
          <w:kern w:val="2"/>
          <w:sz w:val="20"/>
          <w:szCs w:val="20"/>
          <w:lang w:val="en-US" w:eastAsia="en-US"/>
          <w14:ligatures w14:val="standardContextual"/>
        </w:rPr>
        <w:t xml:space="preserve"> M, et al. [Impact of occupational noise in the development of arterial hypertension: A survey carried out in a company of electricity production]. </w:t>
      </w:r>
      <w:r w:rsidRPr="007C5A6E">
        <w:rPr>
          <w:rFonts w:ascii="Times New Roman" w:eastAsiaTheme="minorHAnsi" w:hAnsi="Times New Roman"/>
          <w:kern w:val="2"/>
          <w:sz w:val="20"/>
          <w:szCs w:val="20"/>
          <w:lang w:eastAsia="en-US"/>
          <w14:ligatures w14:val="standardContextual"/>
        </w:rPr>
        <w:t xml:space="preserve">Ann </w:t>
      </w:r>
      <w:proofErr w:type="spellStart"/>
      <w:r w:rsidRPr="007C5A6E">
        <w:rPr>
          <w:rFonts w:ascii="Times New Roman" w:eastAsiaTheme="minorHAnsi" w:hAnsi="Times New Roman"/>
          <w:kern w:val="2"/>
          <w:sz w:val="20"/>
          <w:szCs w:val="20"/>
          <w:lang w:eastAsia="en-US"/>
          <w14:ligatures w14:val="standardContextual"/>
        </w:rPr>
        <w:t>Cardiol</w:t>
      </w:r>
      <w:proofErr w:type="spellEnd"/>
      <w:r w:rsidRPr="007C5A6E">
        <w:rPr>
          <w:rFonts w:ascii="Times New Roman" w:eastAsiaTheme="minorHAnsi" w:hAnsi="Times New Roman"/>
          <w:kern w:val="2"/>
          <w:sz w:val="20"/>
          <w:szCs w:val="20"/>
          <w:lang w:eastAsia="en-US"/>
          <w14:ligatures w14:val="standardContextual"/>
        </w:rPr>
        <w:t xml:space="preserve"> </w:t>
      </w:r>
      <w:proofErr w:type="spellStart"/>
      <w:r w:rsidRPr="007C5A6E">
        <w:rPr>
          <w:rFonts w:ascii="Times New Roman" w:eastAsiaTheme="minorHAnsi" w:hAnsi="Times New Roman"/>
          <w:kern w:val="2"/>
          <w:sz w:val="20"/>
          <w:szCs w:val="20"/>
          <w:lang w:eastAsia="en-US"/>
          <w14:ligatures w14:val="standardContextual"/>
        </w:rPr>
        <w:t>Angeiol</w:t>
      </w:r>
      <w:proofErr w:type="spellEnd"/>
      <w:r w:rsidRPr="007C5A6E">
        <w:rPr>
          <w:rFonts w:ascii="Times New Roman" w:eastAsiaTheme="minorHAnsi" w:hAnsi="Times New Roman"/>
          <w:kern w:val="2"/>
          <w:sz w:val="20"/>
          <w:szCs w:val="20"/>
          <w:lang w:eastAsia="en-US"/>
          <w14:ligatures w14:val="standardContextual"/>
        </w:rPr>
        <w:t xml:space="preserve"> (Paris). </w:t>
      </w:r>
      <w:proofErr w:type="gramStart"/>
      <w:r w:rsidRPr="007C5A6E">
        <w:rPr>
          <w:rFonts w:ascii="Times New Roman" w:eastAsiaTheme="minorHAnsi" w:hAnsi="Times New Roman"/>
          <w:kern w:val="2"/>
          <w:sz w:val="20"/>
          <w:szCs w:val="20"/>
          <w:lang w:eastAsia="en-US"/>
          <w14:ligatures w14:val="standardContextual"/>
        </w:rPr>
        <w:t>juin</w:t>
      </w:r>
      <w:proofErr w:type="gramEnd"/>
      <w:r w:rsidRPr="007C5A6E">
        <w:rPr>
          <w:rFonts w:ascii="Times New Roman" w:eastAsiaTheme="minorHAnsi" w:hAnsi="Times New Roman"/>
          <w:kern w:val="2"/>
          <w:sz w:val="20"/>
          <w:szCs w:val="20"/>
          <w:lang w:eastAsia="en-US"/>
          <w14:ligatures w14:val="standardContextual"/>
        </w:rPr>
        <w:t xml:space="preserve"> 2019;68(3):168</w:t>
      </w:r>
      <w:r w:rsidRPr="007C5A6E">
        <w:rPr>
          <w:rFonts w:ascii="Times New Roman" w:eastAsiaTheme="minorHAnsi" w:hAnsi="Times New Roman"/>
          <w:kern w:val="2"/>
          <w:sz w:val="20"/>
          <w:szCs w:val="20"/>
          <w:lang w:eastAsia="en-US"/>
          <w14:ligatures w14:val="standardContextual"/>
        </w:rPr>
        <w:noBreakHyphen/>
        <w:t>74.</w:t>
      </w:r>
    </w:p>
    <w:p w14:paraId="10EA178B"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eastAsia="en-US"/>
          <w14:ligatures w14:val="standardContextual"/>
        </w:rPr>
        <w:t xml:space="preserve">Sun, Z., Chen, C., Xu, D. et Li, T. (2018). </w:t>
      </w:r>
      <w:r w:rsidRPr="007C5A6E">
        <w:rPr>
          <w:rFonts w:ascii="Times New Roman" w:eastAsiaTheme="minorHAnsi" w:hAnsi="Times New Roman"/>
          <w:kern w:val="2"/>
          <w:sz w:val="20"/>
          <w:szCs w:val="20"/>
          <w:lang w:val="en-US" w:eastAsia="en-US"/>
          <w14:ligatures w14:val="standardContextual"/>
        </w:rPr>
        <w:t xml:space="preserve">Effects of ambient temperature on myocardial infarction: A systematic review and meta-analysis. </w:t>
      </w:r>
      <w:proofErr w:type="spellStart"/>
      <w:r w:rsidRPr="007C5A6E">
        <w:rPr>
          <w:rFonts w:ascii="Times New Roman" w:eastAsiaTheme="minorHAnsi" w:hAnsi="Times New Roman"/>
          <w:kern w:val="2"/>
          <w:sz w:val="20"/>
          <w:szCs w:val="20"/>
          <w:lang w:eastAsia="en-US"/>
          <w14:ligatures w14:val="standardContextual"/>
        </w:rPr>
        <w:t>Environmental</w:t>
      </w:r>
      <w:proofErr w:type="spellEnd"/>
      <w:r w:rsidRPr="007C5A6E">
        <w:rPr>
          <w:rFonts w:ascii="Times New Roman" w:eastAsiaTheme="minorHAnsi" w:hAnsi="Times New Roman"/>
          <w:kern w:val="2"/>
          <w:sz w:val="20"/>
          <w:szCs w:val="20"/>
          <w:lang w:eastAsia="en-US"/>
          <w14:ligatures w14:val="standardContextual"/>
        </w:rPr>
        <w:t xml:space="preserve"> Pollution, 241, 1106-1114. 10.1016/j.envpol.2018.06.045</w:t>
      </w:r>
    </w:p>
    <w:p w14:paraId="7F95ECC9"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eastAsia="en-US"/>
          <w14:ligatures w14:val="standardContextual"/>
        </w:rPr>
        <w:t xml:space="preserve">Liu, C., </w:t>
      </w:r>
      <w:proofErr w:type="spellStart"/>
      <w:r w:rsidRPr="007C5A6E">
        <w:rPr>
          <w:rFonts w:ascii="Times New Roman" w:eastAsiaTheme="minorHAnsi" w:hAnsi="Times New Roman"/>
          <w:kern w:val="2"/>
          <w:sz w:val="20"/>
          <w:szCs w:val="20"/>
          <w:lang w:eastAsia="en-US"/>
          <w14:ligatures w14:val="standardContextual"/>
        </w:rPr>
        <w:t>Yavar</w:t>
      </w:r>
      <w:proofErr w:type="spellEnd"/>
      <w:r w:rsidRPr="007C5A6E">
        <w:rPr>
          <w:rFonts w:ascii="Times New Roman" w:eastAsiaTheme="minorHAnsi" w:hAnsi="Times New Roman"/>
          <w:kern w:val="2"/>
          <w:sz w:val="20"/>
          <w:szCs w:val="20"/>
          <w:lang w:eastAsia="en-US"/>
          <w14:ligatures w14:val="standardContextual"/>
        </w:rPr>
        <w:t xml:space="preserve">, Z. et Sun, Q. (2015). </w:t>
      </w:r>
      <w:r w:rsidRPr="007C5A6E">
        <w:rPr>
          <w:rFonts w:ascii="Times New Roman" w:eastAsiaTheme="minorHAnsi" w:hAnsi="Times New Roman"/>
          <w:kern w:val="2"/>
          <w:sz w:val="20"/>
          <w:szCs w:val="20"/>
          <w:lang w:val="en-US" w:eastAsia="en-US"/>
          <w14:ligatures w14:val="standardContextual"/>
        </w:rPr>
        <w:t>Cardiovascular response to thermoregulatory challenges. American Journal of Physiology – Heart and Circulatory Physiology, 309(11), H1793-H1812. 10.1152/ajpheart.00199.2015</w:t>
      </w:r>
    </w:p>
    <w:p w14:paraId="35A9CB30"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Mimish, L. (2012). Electrocardiographic findings in heat stroke and </w:t>
      </w:r>
      <w:proofErr w:type="gramStart"/>
      <w:r w:rsidRPr="007C5A6E">
        <w:rPr>
          <w:rFonts w:ascii="Times New Roman" w:eastAsiaTheme="minorHAnsi" w:hAnsi="Times New Roman"/>
          <w:kern w:val="2"/>
          <w:sz w:val="20"/>
          <w:szCs w:val="20"/>
          <w:lang w:val="en-US" w:eastAsia="en-US"/>
          <w14:ligatures w14:val="standardContextual"/>
        </w:rPr>
        <w:t>exhaustion :</w:t>
      </w:r>
      <w:proofErr w:type="gramEnd"/>
      <w:r w:rsidRPr="007C5A6E">
        <w:rPr>
          <w:rFonts w:ascii="Times New Roman" w:eastAsiaTheme="minorHAnsi" w:hAnsi="Times New Roman"/>
          <w:kern w:val="2"/>
          <w:sz w:val="20"/>
          <w:szCs w:val="20"/>
          <w:lang w:val="en-US" w:eastAsia="en-US"/>
          <w14:ligatures w14:val="standardContextual"/>
        </w:rPr>
        <w:t xml:space="preserve"> A study on Makkah pilgrims. </w:t>
      </w:r>
      <w:r w:rsidRPr="007C5A6E">
        <w:rPr>
          <w:rFonts w:ascii="Times New Roman" w:eastAsiaTheme="minorHAnsi" w:hAnsi="Times New Roman"/>
          <w:kern w:val="2"/>
          <w:sz w:val="20"/>
          <w:szCs w:val="20"/>
          <w:lang w:eastAsia="en-US"/>
          <w14:ligatures w14:val="standardContextual"/>
        </w:rPr>
        <w:t xml:space="preserve">Journal of the </w:t>
      </w:r>
      <w:proofErr w:type="spellStart"/>
      <w:r w:rsidRPr="007C5A6E">
        <w:rPr>
          <w:rFonts w:ascii="Times New Roman" w:eastAsiaTheme="minorHAnsi" w:hAnsi="Times New Roman"/>
          <w:kern w:val="2"/>
          <w:sz w:val="20"/>
          <w:szCs w:val="20"/>
          <w:lang w:eastAsia="en-US"/>
          <w14:ligatures w14:val="standardContextual"/>
        </w:rPr>
        <w:t>Saudi</w:t>
      </w:r>
      <w:proofErr w:type="spellEnd"/>
      <w:r w:rsidRPr="007C5A6E">
        <w:rPr>
          <w:rFonts w:ascii="Times New Roman" w:eastAsiaTheme="minorHAnsi" w:hAnsi="Times New Roman"/>
          <w:kern w:val="2"/>
          <w:sz w:val="20"/>
          <w:szCs w:val="20"/>
          <w:lang w:eastAsia="en-US"/>
          <w14:ligatures w14:val="standardContextual"/>
        </w:rPr>
        <w:t xml:space="preserve"> </w:t>
      </w:r>
      <w:proofErr w:type="spellStart"/>
      <w:r w:rsidRPr="007C5A6E">
        <w:rPr>
          <w:rFonts w:ascii="Times New Roman" w:eastAsiaTheme="minorHAnsi" w:hAnsi="Times New Roman"/>
          <w:kern w:val="2"/>
          <w:sz w:val="20"/>
          <w:szCs w:val="20"/>
          <w:lang w:eastAsia="en-US"/>
          <w14:ligatures w14:val="standardContextual"/>
        </w:rPr>
        <w:t>Heart</w:t>
      </w:r>
      <w:proofErr w:type="spellEnd"/>
      <w:r w:rsidRPr="007C5A6E">
        <w:rPr>
          <w:rFonts w:ascii="Times New Roman" w:eastAsiaTheme="minorHAnsi" w:hAnsi="Times New Roman"/>
          <w:kern w:val="2"/>
          <w:sz w:val="20"/>
          <w:szCs w:val="20"/>
          <w:lang w:eastAsia="en-US"/>
          <w14:ligatures w14:val="standardContextual"/>
        </w:rPr>
        <w:t xml:space="preserve"> Association, 24(1), 35-39. 10.1016/j.jsha.2011.08.003</w:t>
      </w:r>
    </w:p>
    <w:p w14:paraId="4DE4C721"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eastAsia="en-US"/>
          <w14:ligatures w14:val="standardContextual"/>
        </w:rPr>
        <w:t>UNICEF. (2021). Des environnements sains pour des enfants sains.</w:t>
      </w:r>
    </w:p>
    <w:p w14:paraId="5CB81CE5"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eastAsia="en-US"/>
          <w14:ligatures w14:val="standardContextual"/>
        </w:rPr>
        <w:t xml:space="preserve">Rice, M.E., </w:t>
      </w:r>
      <w:proofErr w:type="spellStart"/>
      <w:r w:rsidRPr="007C5A6E">
        <w:rPr>
          <w:rFonts w:ascii="Times New Roman" w:eastAsiaTheme="minorHAnsi" w:hAnsi="Times New Roman"/>
          <w:kern w:val="2"/>
          <w:sz w:val="20"/>
          <w:szCs w:val="20"/>
          <w:lang w:eastAsia="en-US"/>
          <w14:ligatures w14:val="standardContextual"/>
        </w:rPr>
        <w:t>Galang</w:t>
      </w:r>
      <w:proofErr w:type="spellEnd"/>
      <w:r w:rsidRPr="007C5A6E">
        <w:rPr>
          <w:rFonts w:ascii="Times New Roman" w:eastAsiaTheme="minorHAnsi" w:hAnsi="Times New Roman"/>
          <w:kern w:val="2"/>
          <w:sz w:val="20"/>
          <w:szCs w:val="20"/>
          <w:lang w:eastAsia="en-US"/>
          <w14:ligatures w14:val="standardContextual"/>
        </w:rPr>
        <w:t xml:space="preserve">, R.R., Roth, N.M., Ellington, S.R., Moore, C.A., Valencia-Prado, M., et al. </w:t>
      </w:r>
      <w:r w:rsidRPr="007C5A6E">
        <w:rPr>
          <w:rFonts w:ascii="Times New Roman" w:eastAsiaTheme="minorHAnsi" w:hAnsi="Times New Roman"/>
          <w:kern w:val="2"/>
          <w:sz w:val="20"/>
          <w:szCs w:val="20"/>
          <w:lang w:val="en-US" w:eastAsia="en-US"/>
          <w14:ligatures w14:val="standardContextual"/>
        </w:rPr>
        <w:t xml:space="preserve">(2018). Vital </w:t>
      </w:r>
      <w:proofErr w:type="gramStart"/>
      <w:r w:rsidRPr="007C5A6E">
        <w:rPr>
          <w:rFonts w:ascii="Times New Roman" w:eastAsiaTheme="minorHAnsi" w:hAnsi="Times New Roman"/>
          <w:kern w:val="2"/>
          <w:sz w:val="20"/>
          <w:szCs w:val="20"/>
          <w:lang w:val="en-US" w:eastAsia="en-US"/>
          <w14:ligatures w14:val="standardContextual"/>
        </w:rPr>
        <w:t>signs :</w:t>
      </w:r>
      <w:proofErr w:type="gramEnd"/>
      <w:r w:rsidRPr="007C5A6E">
        <w:rPr>
          <w:rFonts w:ascii="Times New Roman" w:eastAsiaTheme="minorHAnsi" w:hAnsi="Times New Roman"/>
          <w:kern w:val="2"/>
          <w:sz w:val="20"/>
          <w:szCs w:val="20"/>
          <w:lang w:val="en-US" w:eastAsia="en-US"/>
          <w14:ligatures w14:val="standardContextual"/>
        </w:rPr>
        <w:t xml:space="preserve"> Zika-associated birth defects and neurodevelopmental abnormalities possibly associated with congenital Zika virus infection – U.S. territories and freely associated states, 2018. MMWR </w:t>
      </w:r>
      <w:proofErr w:type="spellStart"/>
      <w:r w:rsidRPr="007C5A6E">
        <w:rPr>
          <w:rFonts w:ascii="Times New Roman" w:eastAsiaTheme="minorHAnsi" w:hAnsi="Times New Roman"/>
          <w:kern w:val="2"/>
          <w:sz w:val="20"/>
          <w:szCs w:val="20"/>
          <w:lang w:val="en-US" w:eastAsia="en-US"/>
          <w14:ligatures w14:val="standardContextual"/>
        </w:rPr>
        <w:t>Morb</w:t>
      </w:r>
      <w:proofErr w:type="spellEnd"/>
      <w:r w:rsidRPr="007C5A6E">
        <w:rPr>
          <w:rFonts w:ascii="Times New Roman" w:eastAsiaTheme="minorHAnsi" w:hAnsi="Times New Roman"/>
          <w:kern w:val="2"/>
          <w:sz w:val="20"/>
          <w:szCs w:val="20"/>
          <w:lang w:val="en-US" w:eastAsia="en-US"/>
          <w14:ligatures w14:val="standardContextual"/>
        </w:rPr>
        <w:t xml:space="preserve"> Mortal </w:t>
      </w:r>
      <w:proofErr w:type="spellStart"/>
      <w:r w:rsidRPr="007C5A6E">
        <w:rPr>
          <w:rFonts w:ascii="Times New Roman" w:eastAsiaTheme="minorHAnsi" w:hAnsi="Times New Roman"/>
          <w:kern w:val="2"/>
          <w:sz w:val="20"/>
          <w:szCs w:val="20"/>
          <w:lang w:val="en-US" w:eastAsia="en-US"/>
          <w14:ligatures w14:val="standardContextual"/>
        </w:rPr>
        <w:t>Wkly</w:t>
      </w:r>
      <w:proofErr w:type="spellEnd"/>
      <w:r w:rsidRPr="007C5A6E">
        <w:rPr>
          <w:rFonts w:ascii="Times New Roman" w:eastAsiaTheme="minorHAnsi" w:hAnsi="Times New Roman"/>
          <w:kern w:val="2"/>
          <w:sz w:val="20"/>
          <w:szCs w:val="20"/>
          <w:lang w:val="en-US" w:eastAsia="en-US"/>
          <w14:ligatures w14:val="standardContextual"/>
        </w:rPr>
        <w:t xml:space="preserve"> Rep, 67(31), 858-867. 10.15585/mmwr.mm6731e1 </w:t>
      </w:r>
    </w:p>
    <w:p w14:paraId="1E396A37" w14:textId="77777777" w:rsidR="00702D07" w:rsidRPr="007C5A6E" w:rsidRDefault="00702D07" w:rsidP="00702D07">
      <w:pPr>
        <w:spacing w:before="120" w:after="120" w:line="240"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Jennifer </w:t>
      </w:r>
      <w:proofErr w:type="spellStart"/>
      <w:r w:rsidRPr="007C5A6E">
        <w:rPr>
          <w:rFonts w:ascii="Times New Roman" w:eastAsiaTheme="minorHAnsi" w:hAnsi="Times New Roman"/>
          <w:kern w:val="2"/>
          <w:sz w:val="20"/>
          <w:szCs w:val="20"/>
          <w:lang w:val="en-US" w:eastAsia="en-US"/>
          <w14:ligatures w14:val="standardContextual"/>
        </w:rPr>
        <w:t>Houot</w:t>
      </w:r>
      <w:proofErr w:type="spellEnd"/>
      <w:r w:rsidRPr="007C5A6E">
        <w:rPr>
          <w:rFonts w:ascii="Times New Roman" w:eastAsiaTheme="minorHAnsi" w:hAnsi="Times New Roman"/>
          <w:kern w:val="2"/>
          <w:sz w:val="20"/>
          <w:szCs w:val="20"/>
          <w:lang w:val="en-US" w:eastAsia="en-US"/>
          <w14:ligatures w14:val="standardContextual"/>
        </w:rPr>
        <w:t xml:space="preserve">, Fabienne </w:t>
      </w:r>
      <w:proofErr w:type="spellStart"/>
      <w:r w:rsidRPr="007C5A6E">
        <w:rPr>
          <w:rFonts w:ascii="Times New Roman" w:eastAsiaTheme="minorHAnsi" w:hAnsi="Times New Roman"/>
          <w:kern w:val="2"/>
          <w:sz w:val="20"/>
          <w:szCs w:val="20"/>
          <w:lang w:val="en-US" w:eastAsia="en-US"/>
          <w14:ligatures w14:val="standardContextual"/>
        </w:rPr>
        <w:t>Marquant</w:t>
      </w:r>
      <w:proofErr w:type="spellEnd"/>
      <w:r w:rsidRPr="007C5A6E">
        <w:rPr>
          <w:rFonts w:ascii="Times New Roman" w:eastAsiaTheme="minorHAnsi" w:hAnsi="Times New Roman"/>
          <w:kern w:val="2"/>
          <w:sz w:val="20"/>
          <w:szCs w:val="20"/>
          <w:lang w:val="en-US" w:eastAsia="en-US"/>
          <w14:ligatures w14:val="standardContextual"/>
        </w:rPr>
        <w:t xml:space="preserve">, Stéphanie Goujon, Laure Faure, Cécile Honoré, Marie-Hélène Roth, Denis </w:t>
      </w:r>
      <w:proofErr w:type="spellStart"/>
      <w:r w:rsidRPr="007C5A6E">
        <w:rPr>
          <w:rFonts w:ascii="Times New Roman" w:eastAsiaTheme="minorHAnsi" w:hAnsi="Times New Roman"/>
          <w:kern w:val="2"/>
          <w:sz w:val="20"/>
          <w:szCs w:val="20"/>
          <w:lang w:val="en-US" w:eastAsia="en-US"/>
          <w14:ligatures w14:val="standardContextual"/>
        </w:rPr>
        <w:t>Hémon</w:t>
      </w:r>
      <w:proofErr w:type="spellEnd"/>
      <w:r w:rsidRPr="007C5A6E">
        <w:rPr>
          <w:rFonts w:ascii="Times New Roman" w:eastAsiaTheme="minorHAnsi" w:hAnsi="Times New Roman"/>
          <w:kern w:val="2"/>
          <w:sz w:val="20"/>
          <w:szCs w:val="20"/>
          <w:lang w:val="en-US" w:eastAsia="en-US"/>
          <w14:ligatures w14:val="standardContextual"/>
        </w:rPr>
        <w:t>, and Jacqueline Clavel. Residential Proximity to Heavy-Traffic Roads, Benzene Exposure, and Childhood Leukemia—The GEOCAP Study, 2002–2007. Vol. 182, No. 8 DOI: 10.1093/</w:t>
      </w:r>
      <w:proofErr w:type="spellStart"/>
      <w:r w:rsidRPr="007C5A6E">
        <w:rPr>
          <w:rFonts w:ascii="Times New Roman" w:eastAsiaTheme="minorHAnsi" w:hAnsi="Times New Roman"/>
          <w:kern w:val="2"/>
          <w:sz w:val="20"/>
          <w:szCs w:val="20"/>
          <w:lang w:val="en-US" w:eastAsia="en-US"/>
          <w14:ligatures w14:val="standardContextual"/>
        </w:rPr>
        <w:t>aje</w:t>
      </w:r>
      <w:proofErr w:type="spellEnd"/>
      <w:r w:rsidRPr="007C5A6E">
        <w:rPr>
          <w:rFonts w:ascii="Times New Roman" w:eastAsiaTheme="minorHAnsi" w:hAnsi="Times New Roman"/>
          <w:kern w:val="2"/>
          <w:sz w:val="20"/>
          <w:szCs w:val="20"/>
          <w:lang w:val="en-US" w:eastAsia="en-US"/>
          <w14:ligatures w14:val="standardContextual"/>
        </w:rPr>
        <w:t>/kwv111 Advance Access publication: September 15, 2015</w:t>
      </w:r>
    </w:p>
    <w:p w14:paraId="1BAC7E79"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proofErr w:type="spellStart"/>
      <w:r w:rsidRPr="007C5A6E">
        <w:rPr>
          <w:rFonts w:ascii="Times New Roman" w:eastAsiaTheme="minorHAnsi" w:hAnsi="Times New Roman"/>
          <w:kern w:val="2"/>
          <w:sz w:val="20"/>
          <w:szCs w:val="20"/>
          <w:lang w:val="en-US" w:eastAsia="en-US"/>
          <w14:ligatures w14:val="standardContextual"/>
        </w:rPr>
        <w:t>Inserm</w:t>
      </w:r>
      <w:proofErr w:type="spellEnd"/>
      <w:r w:rsidRPr="007C5A6E">
        <w:rPr>
          <w:rFonts w:ascii="Times New Roman" w:eastAsiaTheme="minorHAnsi" w:hAnsi="Times New Roman"/>
          <w:kern w:val="2"/>
          <w:sz w:val="20"/>
          <w:szCs w:val="20"/>
          <w:lang w:val="en-US" w:eastAsia="en-US"/>
          <w14:ligatures w14:val="standardContextual"/>
        </w:rPr>
        <w:t xml:space="preserve">. </w:t>
      </w:r>
      <w:r w:rsidRPr="007C5A6E">
        <w:rPr>
          <w:rFonts w:ascii="Times New Roman" w:eastAsiaTheme="minorHAnsi" w:hAnsi="Times New Roman"/>
          <w:kern w:val="2"/>
          <w:sz w:val="20"/>
          <w:szCs w:val="20"/>
          <w:lang w:eastAsia="en-US"/>
          <w14:ligatures w14:val="standardContextual"/>
        </w:rPr>
        <w:t xml:space="preserve">L’exposition à la pollution atmosphérique augmente le risque de donner naissance à des bébés de petit poids. Communiqués et dossiers de presse. 2013. </w:t>
      </w:r>
      <w:hyperlink r:id="rId296" w:history="1">
        <w:r w:rsidRPr="007C5A6E">
          <w:rPr>
            <w:rFonts w:ascii="Times New Roman" w:eastAsiaTheme="minorHAnsi" w:hAnsi="Times New Roman"/>
            <w:color w:val="0000FF"/>
            <w:kern w:val="2"/>
            <w:sz w:val="20"/>
            <w:szCs w:val="20"/>
            <w:u w:val="single"/>
            <w:lang w:eastAsia="en-US"/>
            <w14:ligatures w14:val="standardContextual"/>
          </w:rPr>
          <w:t>https://presse.inserm.fr/lexposition-a-la-pollution-atmospherique-augmente-le-risque-de-donner-naissance-a-des-bebes-de-petit poids/9819/</w:t>
        </w:r>
      </w:hyperlink>
    </w:p>
    <w:p w14:paraId="437CAE2A"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proofErr w:type="spellStart"/>
      <w:r w:rsidRPr="007C5A6E">
        <w:rPr>
          <w:rFonts w:ascii="Times New Roman" w:eastAsiaTheme="minorHAnsi" w:hAnsi="Times New Roman"/>
          <w:kern w:val="2"/>
          <w:sz w:val="20"/>
          <w:szCs w:val="20"/>
          <w:lang w:val="en-US" w:eastAsia="en-US"/>
          <w14:ligatures w14:val="standardContextual"/>
        </w:rPr>
        <w:t>Glinianaia</w:t>
      </w:r>
      <w:proofErr w:type="spellEnd"/>
      <w:r w:rsidRPr="007C5A6E">
        <w:rPr>
          <w:rFonts w:ascii="Times New Roman" w:eastAsiaTheme="minorHAnsi" w:hAnsi="Times New Roman"/>
          <w:kern w:val="2"/>
          <w:sz w:val="20"/>
          <w:szCs w:val="20"/>
          <w:lang w:val="en-US" w:eastAsia="en-US"/>
          <w14:ligatures w14:val="standardContextual"/>
        </w:rPr>
        <w:t xml:space="preserve"> SV, Rankin J, Bell R, Pless-</w:t>
      </w:r>
      <w:proofErr w:type="spellStart"/>
      <w:r w:rsidRPr="007C5A6E">
        <w:rPr>
          <w:rFonts w:ascii="Times New Roman" w:eastAsiaTheme="minorHAnsi" w:hAnsi="Times New Roman"/>
          <w:kern w:val="2"/>
          <w:sz w:val="20"/>
          <w:szCs w:val="20"/>
          <w:lang w:val="en-US" w:eastAsia="en-US"/>
          <w14:ligatures w14:val="standardContextual"/>
        </w:rPr>
        <w:t>Mulloli</w:t>
      </w:r>
      <w:proofErr w:type="spellEnd"/>
      <w:r w:rsidRPr="007C5A6E">
        <w:rPr>
          <w:rFonts w:ascii="Times New Roman" w:eastAsiaTheme="minorHAnsi" w:hAnsi="Times New Roman"/>
          <w:kern w:val="2"/>
          <w:sz w:val="20"/>
          <w:szCs w:val="20"/>
          <w:lang w:val="en-US" w:eastAsia="en-US"/>
          <w14:ligatures w14:val="standardContextual"/>
        </w:rPr>
        <w:t xml:space="preserve"> T, Howel D. Par </w:t>
      </w:r>
      <w:proofErr w:type="spellStart"/>
      <w:r w:rsidRPr="007C5A6E">
        <w:rPr>
          <w:rFonts w:ascii="Times New Roman" w:eastAsiaTheme="minorHAnsi" w:hAnsi="Times New Roman"/>
          <w:kern w:val="2"/>
          <w:sz w:val="20"/>
          <w:szCs w:val="20"/>
          <w:lang w:val="en-US" w:eastAsia="en-US"/>
          <w14:ligatures w14:val="standardContextual"/>
        </w:rPr>
        <w:t>ticulate</w:t>
      </w:r>
      <w:proofErr w:type="spellEnd"/>
      <w:r w:rsidRPr="007C5A6E">
        <w:rPr>
          <w:rFonts w:ascii="Times New Roman" w:eastAsiaTheme="minorHAnsi" w:hAnsi="Times New Roman"/>
          <w:kern w:val="2"/>
          <w:sz w:val="20"/>
          <w:szCs w:val="20"/>
          <w:lang w:val="en-US" w:eastAsia="en-US"/>
          <w14:ligatures w14:val="standardContextual"/>
        </w:rPr>
        <w:t xml:space="preserve"> air pollution and fetal health: a systematic review of the epidemiologic evidence. Epidemiology </w:t>
      </w:r>
      <w:proofErr w:type="gramStart"/>
      <w:r w:rsidRPr="007C5A6E">
        <w:rPr>
          <w:rFonts w:ascii="Times New Roman" w:eastAsiaTheme="minorHAnsi" w:hAnsi="Times New Roman"/>
          <w:kern w:val="2"/>
          <w:sz w:val="20"/>
          <w:szCs w:val="20"/>
          <w:lang w:val="en-US" w:eastAsia="en-US"/>
          <w14:ligatures w14:val="standardContextual"/>
        </w:rPr>
        <w:t>2004;15:36</w:t>
      </w:r>
      <w:proofErr w:type="gramEnd"/>
      <w:r w:rsidRPr="007C5A6E">
        <w:rPr>
          <w:rFonts w:ascii="Times New Roman" w:eastAsiaTheme="minorHAnsi" w:hAnsi="Times New Roman"/>
          <w:kern w:val="2"/>
          <w:sz w:val="20"/>
          <w:szCs w:val="20"/>
          <w:lang w:val="en-US" w:eastAsia="en-US"/>
          <w14:ligatures w14:val="standardContextual"/>
        </w:rPr>
        <w:t>—45.</w:t>
      </w:r>
    </w:p>
    <w:p w14:paraId="213262AB"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Ritz B, Wilhelm M. Ambient air pollution and adverse birth outcomes: methodologic issues in an emerging field. Basic Clin </w:t>
      </w:r>
      <w:proofErr w:type="spellStart"/>
      <w:r w:rsidRPr="007C5A6E">
        <w:rPr>
          <w:rFonts w:ascii="Times New Roman" w:eastAsiaTheme="minorHAnsi" w:hAnsi="Times New Roman"/>
          <w:kern w:val="2"/>
          <w:sz w:val="20"/>
          <w:szCs w:val="20"/>
          <w:lang w:val="en-US" w:eastAsia="en-US"/>
          <w14:ligatures w14:val="standardContextual"/>
        </w:rPr>
        <w:t>Pharmacol</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spellStart"/>
      <w:r w:rsidRPr="007C5A6E">
        <w:rPr>
          <w:rFonts w:ascii="Times New Roman" w:eastAsiaTheme="minorHAnsi" w:hAnsi="Times New Roman"/>
          <w:kern w:val="2"/>
          <w:sz w:val="20"/>
          <w:szCs w:val="20"/>
          <w:lang w:val="en-US" w:eastAsia="en-US"/>
          <w14:ligatures w14:val="standardContextual"/>
        </w:rPr>
        <w:t>Toxicol</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gramStart"/>
      <w:r w:rsidRPr="007C5A6E">
        <w:rPr>
          <w:rFonts w:ascii="Times New Roman" w:eastAsiaTheme="minorHAnsi" w:hAnsi="Times New Roman"/>
          <w:kern w:val="2"/>
          <w:sz w:val="20"/>
          <w:szCs w:val="20"/>
          <w:lang w:val="en-US" w:eastAsia="en-US"/>
          <w14:ligatures w14:val="standardContextual"/>
        </w:rPr>
        <w:t>2008;102:182</w:t>
      </w:r>
      <w:proofErr w:type="gramEnd"/>
      <w:r w:rsidRPr="007C5A6E">
        <w:rPr>
          <w:rFonts w:ascii="Times New Roman" w:eastAsiaTheme="minorHAnsi" w:hAnsi="Times New Roman"/>
          <w:kern w:val="2"/>
          <w:sz w:val="20"/>
          <w:szCs w:val="20"/>
          <w:lang w:val="en-US" w:eastAsia="en-US"/>
          <w14:ligatures w14:val="standardContextual"/>
        </w:rPr>
        <w:t>—90.</w:t>
      </w:r>
    </w:p>
    <w:p w14:paraId="24FFF2B2"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Slama R, Darrow LA, Parker JD, Woodruff TJ, Strickland M, </w:t>
      </w:r>
      <w:proofErr w:type="spellStart"/>
      <w:r w:rsidRPr="007C5A6E">
        <w:rPr>
          <w:rFonts w:ascii="Times New Roman" w:eastAsiaTheme="minorHAnsi" w:hAnsi="Times New Roman"/>
          <w:kern w:val="2"/>
          <w:sz w:val="20"/>
          <w:szCs w:val="20"/>
          <w:lang w:val="en-US" w:eastAsia="en-US"/>
          <w14:ligatures w14:val="standardContextual"/>
        </w:rPr>
        <w:t>Nieuwenhuijsen</w:t>
      </w:r>
      <w:proofErr w:type="spellEnd"/>
      <w:r w:rsidRPr="007C5A6E">
        <w:rPr>
          <w:rFonts w:ascii="Times New Roman" w:eastAsiaTheme="minorHAnsi" w:hAnsi="Times New Roman"/>
          <w:kern w:val="2"/>
          <w:sz w:val="20"/>
          <w:szCs w:val="20"/>
          <w:lang w:val="en-US" w:eastAsia="en-US"/>
          <w14:ligatures w14:val="standardContextual"/>
        </w:rPr>
        <w:t xml:space="preserve"> M, et al. Atmospheric pollution and human reproduction: report of the Munich International Workshop. Environ Health </w:t>
      </w:r>
      <w:proofErr w:type="spellStart"/>
      <w:r w:rsidRPr="007C5A6E">
        <w:rPr>
          <w:rFonts w:ascii="Times New Roman" w:eastAsiaTheme="minorHAnsi" w:hAnsi="Times New Roman"/>
          <w:kern w:val="2"/>
          <w:sz w:val="20"/>
          <w:szCs w:val="20"/>
          <w:lang w:val="en-US" w:eastAsia="en-US"/>
          <w14:ligatures w14:val="standardContextual"/>
        </w:rPr>
        <w:t>Perspect</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gramStart"/>
      <w:r w:rsidRPr="007C5A6E">
        <w:rPr>
          <w:rFonts w:ascii="Times New Roman" w:eastAsiaTheme="minorHAnsi" w:hAnsi="Times New Roman"/>
          <w:kern w:val="2"/>
          <w:sz w:val="20"/>
          <w:szCs w:val="20"/>
          <w:lang w:val="en-US" w:eastAsia="en-US"/>
          <w14:ligatures w14:val="standardContextual"/>
        </w:rPr>
        <w:t>2008;116:791</w:t>
      </w:r>
      <w:proofErr w:type="gramEnd"/>
      <w:r w:rsidRPr="007C5A6E">
        <w:rPr>
          <w:rFonts w:ascii="Times New Roman" w:eastAsiaTheme="minorHAnsi" w:hAnsi="Times New Roman"/>
          <w:kern w:val="2"/>
          <w:sz w:val="20"/>
          <w:szCs w:val="20"/>
          <w:lang w:val="en-US" w:eastAsia="en-US"/>
          <w14:ligatures w14:val="standardContextual"/>
        </w:rPr>
        <w:t>—8.</w:t>
      </w:r>
    </w:p>
    <w:p w14:paraId="0A0E4F77"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Shah PS, </w:t>
      </w:r>
      <w:proofErr w:type="spellStart"/>
      <w:r w:rsidRPr="007C5A6E">
        <w:rPr>
          <w:rFonts w:ascii="Times New Roman" w:eastAsiaTheme="minorHAnsi" w:hAnsi="Times New Roman"/>
          <w:kern w:val="2"/>
          <w:sz w:val="20"/>
          <w:szCs w:val="20"/>
          <w:lang w:val="en-US" w:eastAsia="en-US"/>
          <w14:ligatures w14:val="standardContextual"/>
        </w:rPr>
        <w:t>Balkhair</w:t>
      </w:r>
      <w:proofErr w:type="spellEnd"/>
      <w:r w:rsidRPr="007C5A6E">
        <w:rPr>
          <w:rFonts w:ascii="Times New Roman" w:eastAsiaTheme="minorHAnsi" w:hAnsi="Times New Roman"/>
          <w:kern w:val="2"/>
          <w:sz w:val="20"/>
          <w:szCs w:val="20"/>
          <w:lang w:val="en-US" w:eastAsia="en-US"/>
          <w14:ligatures w14:val="standardContextual"/>
        </w:rPr>
        <w:t xml:space="preserve"> T. Air pollution and birth outcomes: a sys </w:t>
      </w:r>
      <w:proofErr w:type="spellStart"/>
      <w:r w:rsidRPr="007C5A6E">
        <w:rPr>
          <w:rFonts w:ascii="Times New Roman" w:eastAsiaTheme="minorHAnsi" w:hAnsi="Times New Roman"/>
          <w:kern w:val="2"/>
          <w:sz w:val="20"/>
          <w:szCs w:val="20"/>
          <w:lang w:val="en-US" w:eastAsia="en-US"/>
          <w14:ligatures w14:val="standardContextual"/>
        </w:rPr>
        <w:t>tematic</w:t>
      </w:r>
      <w:proofErr w:type="spellEnd"/>
      <w:r w:rsidRPr="007C5A6E">
        <w:rPr>
          <w:rFonts w:ascii="Times New Roman" w:eastAsiaTheme="minorHAnsi" w:hAnsi="Times New Roman"/>
          <w:kern w:val="2"/>
          <w:sz w:val="20"/>
          <w:szCs w:val="20"/>
          <w:lang w:val="en-US" w:eastAsia="en-US"/>
          <w14:ligatures w14:val="standardContextual"/>
        </w:rPr>
        <w:t xml:space="preserve"> review. Environ Int </w:t>
      </w:r>
      <w:proofErr w:type="gramStart"/>
      <w:r w:rsidRPr="007C5A6E">
        <w:rPr>
          <w:rFonts w:ascii="Times New Roman" w:eastAsiaTheme="minorHAnsi" w:hAnsi="Times New Roman"/>
          <w:kern w:val="2"/>
          <w:sz w:val="20"/>
          <w:szCs w:val="20"/>
          <w:lang w:val="en-US" w:eastAsia="en-US"/>
          <w14:ligatures w14:val="standardContextual"/>
        </w:rPr>
        <w:t>2011;37:498</w:t>
      </w:r>
      <w:proofErr w:type="gramEnd"/>
      <w:r w:rsidRPr="007C5A6E">
        <w:rPr>
          <w:rFonts w:ascii="Times New Roman" w:eastAsiaTheme="minorHAnsi" w:hAnsi="Times New Roman"/>
          <w:kern w:val="2"/>
          <w:sz w:val="20"/>
          <w:szCs w:val="20"/>
          <w:lang w:val="en-US" w:eastAsia="en-US"/>
          <w14:ligatures w14:val="standardContextual"/>
        </w:rPr>
        <w:t>—516.</w:t>
      </w:r>
    </w:p>
    <w:p w14:paraId="620B2F91"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proofErr w:type="spellStart"/>
      <w:r w:rsidRPr="007C5A6E">
        <w:rPr>
          <w:rFonts w:ascii="Times New Roman" w:eastAsiaTheme="minorHAnsi" w:hAnsi="Times New Roman"/>
          <w:kern w:val="2"/>
          <w:sz w:val="20"/>
          <w:szCs w:val="20"/>
          <w:lang w:val="en-US" w:eastAsia="en-US"/>
          <w14:ligatures w14:val="standardContextual"/>
        </w:rPr>
        <w:t>Vrijheid</w:t>
      </w:r>
      <w:proofErr w:type="spellEnd"/>
      <w:r w:rsidRPr="007C5A6E">
        <w:rPr>
          <w:rFonts w:ascii="Times New Roman" w:eastAsiaTheme="minorHAnsi" w:hAnsi="Times New Roman"/>
          <w:kern w:val="2"/>
          <w:sz w:val="20"/>
          <w:szCs w:val="20"/>
          <w:lang w:val="en-US" w:eastAsia="en-US"/>
          <w14:ligatures w14:val="standardContextual"/>
        </w:rPr>
        <w:t xml:space="preserve"> M, Martinez D, Manzanares S, </w:t>
      </w:r>
      <w:proofErr w:type="spellStart"/>
      <w:r w:rsidRPr="007C5A6E">
        <w:rPr>
          <w:rFonts w:ascii="Times New Roman" w:eastAsiaTheme="minorHAnsi" w:hAnsi="Times New Roman"/>
          <w:kern w:val="2"/>
          <w:sz w:val="20"/>
          <w:szCs w:val="20"/>
          <w:lang w:val="en-US" w:eastAsia="en-US"/>
          <w14:ligatures w14:val="standardContextual"/>
        </w:rPr>
        <w:t>Dadvand</w:t>
      </w:r>
      <w:proofErr w:type="spellEnd"/>
      <w:r w:rsidRPr="007C5A6E">
        <w:rPr>
          <w:rFonts w:ascii="Times New Roman" w:eastAsiaTheme="minorHAnsi" w:hAnsi="Times New Roman"/>
          <w:kern w:val="2"/>
          <w:sz w:val="20"/>
          <w:szCs w:val="20"/>
          <w:lang w:val="en-US" w:eastAsia="en-US"/>
          <w14:ligatures w14:val="standardContextual"/>
        </w:rPr>
        <w:t xml:space="preserve"> P, Schembari A, Rankin J, et al. Ambient air pollution and risk of congenital anomalies: a systematic review and meta-analysis. Environ Health </w:t>
      </w:r>
      <w:proofErr w:type="spellStart"/>
      <w:r w:rsidRPr="007C5A6E">
        <w:rPr>
          <w:rFonts w:ascii="Times New Roman" w:eastAsiaTheme="minorHAnsi" w:hAnsi="Times New Roman"/>
          <w:kern w:val="2"/>
          <w:sz w:val="20"/>
          <w:szCs w:val="20"/>
          <w:lang w:val="en-US" w:eastAsia="en-US"/>
          <w14:ligatures w14:val="standardContextual"/>
        </w:rPr>
        <w:t>Perspect</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gramStart"/>
      <w:r w:rsidRPr="007C5A6E">
        <w:rPr>
          <w:rFonts w:ascii="Times New Roman" w:eastAsiaTheme="minorHAnsi" w:hAnsi="Times New Roman"/>
          <w:kern w:val="2"/>
          <w:sz w:val="20"/>
          <w:szCs w:val="20"/>
          <w:lang w:val="en-US" w:eastAsia="en-US"/>
          <w14:ligatures w14:val="standardContextual"/>
        </w:rPr>
        <w:t>2011;119:598</w:t>
      </w:r>
      <w:proofErr w:type="gramEnd"/>
      <w:r w:rsidRPr="007C5A6E">
        <w:rPr>
          <w:rFonts w:ascii="Times New Roman" w:eastAsiaTheme="minorHAnsi" w:hAnsi="Times New Roman"/>
          <w:kern w:val="2"/>
          <w:sz w:val="20"/>
          <w:szCs w:val="20"/>
          <w:lang w:val="en-US" w:eastAsia="en-US"/>
          <w14:ligatures w14:val="standardContextual"/>
        </w:rPr>
        <w:t>—606.</w:t>
      </w:r>
    </w:p>
    <w:p w14:paraId="622CB560"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Marsh DO, Clarkson TW, Cox C, Myers GJ, Amin-Zaki L, Al-</w:t>
      </w:r>
      <w:proofErr w:type="spellStart"/>
      <w:r w:rsidRPr="007C5A6E">
        <w:rPr>
          <w:rFonts w:ascii="Times New Roman" w:eastAsiaTheme="minorHAnsi" w:hAnsi="Times New Roman"/>
          <w:kern w:val="2"/>
          <w:sz w:val="20"/>
          <w:szCs w:val="20"/>
          <w:lang w:val="en-US" w:eastAsia="en-US"/>
          <w14:ligatures w14:val="standardContextual"/>
        </w:rPr>
        <w:t>Tikriti</w:t>
      </w:r>
      <w:proofErr w:type="spellEnd"/>
      <w:r w:rsidRPr="007C5A6E">
        <w:rPr>
          <w:rFonts w:ascii="Times New Roman" w:eastAsiaTheme="minorHAnsi" w:hAnsi="Times New Roman"/>
          <w:kern w:val="2"/>
          <w:sz w:val="20"/>
          <w:szCs w:val="20"/>
          <w:lang w:val="en-US" w:eastAsia="en-US"/>
          <w14:ligatures w14:val="standardContextual"/>
        </w:rPr>
        <w:t xml:space="preserve"> S. Fetal methylmercury poisoning. Relationship bet ween concentration in single strands of maternal hair and child effects. Arch Neurol </w:t>
      </w:r>
      <w:proofErr w:type="gramStart"/>
      <w:r w:rsidRPr="007C5A6E">
        <w:rPr>
          <w:rFonts w:ascii="Times New Roman" w:eastAsiaTheme="minorHAnsi" w:hAnsi="Times New Roman"/>
          <w:kern w:val="2"/>
          <w:sz w:val="20"/>
          <w:szCs w:val="20"/>
          <w:lang w:val="en-US" w:eastAsia="en-US"/>
          <w14:ligatures w14:val="standardContextual"/>
        </w:rPr>
        <w:t>1987;44:1017</w:t>
      </w:r>
      <w:proofErr w:type="gramEnd"/>
      <w:r w:rsidRPr="007C5A6E">
        <w:rPr>
          <w:rFonts w:ascii="Times New Roman" w:eastAsiaTheme="minorHAnsi" w:hAnsi="Times New Roman"/>
          <w:kern w:val="2"/>
          <w:sz w:val="20"/>
          <w:szCs w:val="20"/>
          <w:lang w:val="en-US" w:eastAsia="en-US"/>
          <w14:ligatures w14:val="standardContextual"/>
        </w:rPr>
        <w:t>—22.</w:t>
      </w:r>
    </w:p>
    <w:p w14:paraId="68370CB3"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Rahman A, Persson LA, </w:t>
      </w:r>
      <w:proofErr w:type="spellStart"/>
      <w:r w:rsidRPr="007C5A6E">
        <w:rPr>
          <w:rFonts w:ascii="Times New Roman" w:eastAsiaTheme="minorHAnsi" w:hAnsi="Times New Roman"/>
          <w:kern w:val="2"/>
          <w:sz w:val="20"/>
          <w:szCs w:val="20"/>
          <w:lang w:val="en-US" w:eastAsia="en-US"/>
          <w14:ligatures w14:val="standardContextual"/>
        </w:rPr>
        <w:t>Nermell</w:t>
      </w:r>
      <w:proofErr w:type="spellEnd"/>
      <w:r w:rsidRPr="007C5A6E">
        <w:rPr>
          <w:rFonts w:ascii="Times New Roman" w:eastAsiaTheme="minorHAnsi" w:hAnsi="Times New Roman"/>
          <w:kern w:val="2"/>
          <w:sz w:val="20"/>
          <w:szCs w:val="20"/>
          <w:lang w:val="en-US" w:eastAsia="en-US"/>
          <w14:ligatures w14:val="standardContextual"/>
        </w:rPr>
        <w:t xml:space="preserve"> B, El Arifeen S, Ekstrom EC, Smith AH, et al. Arsenic exposure and risk of </w:t>
      </w:r>
      <w:proofErr w:type="spellStart"/>
      <w:r w:rsidRPr="007C5A6E">
        <w:rPr>
          <w:rFonts w:ascii="Times New Roman" w:eastAsiaTheme="minorHAnsi" w:hAnsi="Times New Roman"/>
          <w:kern w:val="2"/>
          <w:sz w:val="20"/>
          <w:szCs w:val="20"/>
          <w:lang w:val="en-US" w:eastAsia="en-US"/>
          <w14:ligatures w14:val="standardContextual"/>
        </w:rPr>
        <w:t>sponta</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spellStart"/>
      <w:r w:rsidRPr="007C5A6E">
        <w:rPr>
          <w:rFonts w:ascii="Times New Roman" w:eastAsiaTheme="minorHAnsi" w:hAnsi="Times New Roman"/>
          <w:kern w:val="2"/>
          <w:sz w:val="20"/>
          <w:szCs w:val="20"/>
          <w:lang w:val="en-US" w:eastAsia="en-US"/>
          <w14:ligatures w14:val="standardContextual"/>
        </w:rPr>
        <w:t>neous</w:t>
      </w:r>
      <w:proofErr w:type="spellEnd"/>
      <w:r w:rsidRPr="007C5A6E">
        <w:rPr>
          <w:rFonts w:ascii="Times New Roman" w:eastAsiaTheme="minorHAnsi" w:hAnsi="Times New Roman"/>
          <w:kern w:val="2"/>
          <w:sz w:val="20"/>
          <w:szCs w:val="20"/>
          <w:lang w:val="en-US" w:eastAsia="en-US"/>
          <w14:ligatures w14:val="standardContextual"/>
        </w:rPr>
        <w:t xml:space="preserve"> abortion, stillbirth, and infant mortality. Epidemiology </w:t>
      </w:r>
      <w:proofErr w:type="gramStart"/>
      <w:r w:rsidRPr="007C5A6E">
        <w:rPr>
          <w:rFonts w:ascii="Times New Roman" w:eastAsiaTheme="minorHAnsi" w:hAnsi="Times New Roman"/>
          <w:kern w:val="2"/>
          <w:sz w:val="20"/>
          <w:szCs w:val="20"/>
          <w:lang w:val="en-US" w:eastAsia="en-US"/>
          <w14:ligatures w14:val="standardContextual"/>
        </w:rPr>
        <w:t>2010;21:797</w:t>
      </w:r>
      <w:proofErr w:type="gramEnd"/>
      <w:r w:rsidRPr="007C5A6E">
        <w:rPr>
          <w:rFonts w:ascii="Times New Roman" w:eastAsiaTheme="minorHAnsi" w:hAnsi="Times New Roman"/>
          <w:kern w:val="2"/>
          <w:sz w:val="20"/>
          <w:szCs w:val="20"/>
          <w:lang w:val="en-US" w:eastAsia="en-US"/>
          <w14:ligatures w14:val="standardContextual"/>
        </w:rPr>
        <w:t>—804.</w:t>
      </w:r>
    </w:p>
    <w:p w14:paraId="22EF0D4A"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Rahman A, </w:t>
      </w:r>
      <w:proofErr w:type="spellStart"/>
      <w:r w:rsidRPr="007C5A6E">
        <w:rPr>
          <w:rFonts w:ascii="Times New Roman" w:eastAsiaTheme="minorHAnsi" w:hAnsi="Times New Roman"/>
          <w:kern w:val="2"/>
          <w:sz w:val="20"/>
          <w:szCs w:val="20"/>
          <w:lang w:val="en-US" w:eastAsia="en-US"/>
          <w14:ligatures w14:val="standardContextual"/>
        </w:rPr>
        <w:t>Vahter</w:t>
      </w:r>
      <w:proofErr w:type="spellEnd"/>
      <w:r w:rsidRPr="007C5A6E">
        <w:rPr>
          <w:rFonts w:ascii="Times New Roman" w:eastAsiaTheme="minorHAnsi" w:hAnsi="Times New Roman"/>
          <w:kern w:val="2"/>
          <w:sz w:val="20"/>
          <w:szCs w:val="20"/>
          <w:lang w:val="en-US" w:eastAsia="en-US"/>
          <w14:ligatures w14:val="standardContextual"/>
        </w:rPr>
        <w:t xml:space="preserve"> M, Smith AH, </w:t>
      </w:r>
      <w:proofErr w:type="spellStart"/>
      <w:r w:rsidRPr="007C5A6E">
        <w:rPr>
          <w:rFonts w:ascii="Times New Roman" w:eastAsiaTheme="minorHAnsi" w:hAnsi="Times New Roman"/>
          <w:kern w:val="2"/>
          <w:sz w:val="20"/>
          <w:szCs w:val="20"/>
          <w:lang w:val="en-US" w:eastAsia="en-US"/>
          <w14:ligatures w14:val="standardContextual"/>
        </w:rPr>
        <w:t>Nermell</w:t>
      </w:r>
      <w:proofErr w:type="spellEnd"/>
      <w:r w:rsidRPr="007C5A6E">
        <w:rPr>
          <w:rFonts w:ascii="Times New Roman" w:eastAsiaTheme="minorHAnsi" w:hAnsi="Times New Roman"/>
          <w:kern w:val="2"/>
          <w:sz w:val="20"/>
          <w:szCs w:val="20"/>
          <w:lang w:val="en-US" w:eastAsia="en-US"/>
          <w14:ligatures w14:val="standardContextual"/>
        </w:rPr>
        <w:t xml:space="preserve"> B, Yunus M, El Arifeen S, et al. Arsenic exposure during pregnancy and size at birth: a prospective cohort study in Bangladesh. </w:t>
      </w:r>
      <w:r w:rsidRPr="007C5A6E">
        <w:rPr>
          <w:rFonts w:ascii="Times New Roman" w:eastAsiaTheme="minorHAnsi" w:hAnsi="Times New Roman"/>
          <w:kern w:val="2"/>
          <w:sz w:val="20"/>
          <w:szCs w:val="20"/>
          <w:lang w:eastAsia="en-US"/>
          <w14:ligatures w14:val="standardContextual"/>
        </w:rPr>
        <w:t xml:space="preserve">Am J </w:t>
      </w:r>
      <w:proofErr w:type="spellStart"/>
      <w:r w:rsidRPr="007C5A6E">
        <w:rPr>
          <w:rFonts w:ascii="Times New Roman" w:eastAsiaTheme="minorHAnsi" w:hAnsi="Times New Roman"/>
          <w:kern w:val="2"/>
          <w:sz w:val="20"/>
          <w:szCs w:val="20"/>
          <w:lang w:eastAsia="en-US"/>
          <w14:ligatures w14:val="standardContextual"/>
        </w:rPr>
        <w:t>Epidemiol</w:t>
      </w:r>
      <w:proofErr w:type="spellEnd"/>
      <w:r w:rsidRPr="007C5A6E">
        <w:rPr>
          <w:rFonts w:ascii="Times New Roman" w:eastAsiaTheme="minorHAnsi" w:hAnsi="Times New Roman"/>
          <w:kern w:val="2"/>
          <w:sz w:val="20"/>
          <w:szCs w:val="20"/>
          <w:lang w:eastAsia="en-US"/>
          <w14:ligatures w14:val="standardContextual"/>
        </w:rPr>
        <w:t xml:space="preserve"> </w:t>
      </w:r>
      <w:proofErr w:type="gramStart"/>
      <w:r w:rsidRPr="007C5A6E">
        <w:rPr>
          <w:rFonts w:ascii="Times New Roman" w:eastAsiaTheme="minorHAnsi" w:hAnsi="Times New Roman"/>
          <w:kern w:val="2"/>
          <w:sz w:val="20"/>
          <w:szCs w:val="20"/>
          <w:lang w:eastAsia="en-US"/>
          <w14:ligatures w14:val="standardContextual"/>
        </w:rPr>
        <w:t>2009;</w:t>
      </w:r>
      <w:proofErr w:type="gramEnd"/>
      <w:r w:rsidRPr="007C5A6E">
        <w:rPr>
          <w:rFonts w:ascii="Times New Roman" w:eastAsiaTheme="minorHAnsi" w:hAnsi="Times New Roman"/>
          <w:kern w:val="2"/>
          <w:sz w:val="20"/>
          <w:szCs w:val="20"/>
          <w:lang w:eastAsia="en-US"/>
          <w14:ligatures w14:val="standardContextual"/>
        </w:rPr>
        <w:t>169:304—12.</w:t>
      </w:r>
    </w:p>
    <w:p w14:paraId="47DD96B1"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proofErr w:type="spellStart"/>
      <w:r w:rsidRPr="007C5A6E">
        <w:rPr>
          <w:rFonts w:ascii="Times New Roman" w:eastAsiaTheme="minorHAnsi" w:hAnsi="Times New Roman"/>
          <w:kern w:val="2"/>
          <w:sz w:val="20"/>
          <w:szCs w:val="20"/>
          <w:lang w:eastAsia="en-US"/>
          <w14:ligatures w14:val="standardContextual"/>
        </w:rPr>
        <w:t>Kippler</w:t>
      </w:r>
      <w:proofErr w:type="spellEnd"/>
      <w:r w:rsidRPr="007C5A6E">
        <w:rPr>
          <w:rFonts w:ascii="Times New Roman" w:eastAsiaTheme="minorHAnsi" w:hAnsi="Times New Roman"/>
          <w:kern w:val="2"/>
          <w:sz w:val="20"/>
          <w:szCs w:val="20"/>
          <w:lang w:eastAsia="en-US"/>
          <w14:ligatures w14:val="standardContextual"/>
        </w:rPr>
        <w:t xml:space="preserve"> M, </w:t>
      </w:r>
      <w:proofErr w:type="spellStart"/>
      <w:r w:rsidRPr="007C5A6E">
        <w:rPr>
          <w:rFonts w:ascii="Times New Roman" w:eastAsiaTheme="minorHAnsi" w:hAnsi="Times New Roman"/>
          <w:kern w:val="2"/>
          <w:sz w:val="20"/>
          <w:szCs w:val="20"/>
          <w:lang w:eastAsia="en-US"/>
          <w14:ligatures w14:val="standardContextual"/>
        </w:rPr>
        <w:t>Wagatsuma</w:t>
      </w:r>
      <w:proofErr w:type="spellEnd"/>
      <w:r w:rsidRPr="007C5A6E">
        <w:rPr>
          <w:rFonts w:ascii="Times New Roman" w:eastAsiaTheme="minorHAnsi" w:hAnsi="Times New Roman"/>
          <w:kern w:val="2"/>
          <w:sz w:val="20"/>
          <w:szCs w:val="20"/>
          <w:lang w:eastAsia="en-US"/>
          <w14:ligatures w14:val="standardContextual"/>
        </w:rPr>
        <w:t xml:space="preserve"> Y, Rahman A, </w:t>
      </w:r>
      <w:proofErr w:type="spellStart"/>
      <w:r w:rsidRPr="007C5A6E">
        <w:rPr>
          <w:rFonts w:ascii="Times New Roman" w:eastAsiaTheme="minorHAnsi" w:hAnsi="Times New Roman"/>
          <w:kern w:val="2"/>
          <w:sz w:val="20"/>
          <w:szCs w:val="20"/>
          <w:lang w:eastAsia="en-US"/>
          <w14:ligatures w14:val="standardContextual"/>
        </w:rPr>
        <w:t>Nermell</w:t>
      </w:r>
      <w:proofErr w:type="spellEnd"/>
      <w:r w:rsidRPr="007C5A6E">
        <w:rPr>
          <w:rFonts w:ascii="Times New Roman" w:eastAsiaTheme="minorHAnsi" w:hAnsi="Times New Roman"/>
          <w:kern w:val="2"/>
          <w:sz w:val="20"/>
          <w:szCs w:val="20"/>
          <w:lang w:eastAsia="en-US"/>
          <w14:ligatures w14:val="standardContextual"/>
        </w:rPr>
        <w:t xml:space="preserve"> B, Persson LA, </w:t>
      </w:r>
      <w:proofErr w:type="spellStart"/>
      <w:r w:rsidRPr="007C5A6E">
        <w:rPr>
          <w:rFonts w:ascii="Times New Roman" w:eastAsiaTheme="minorHAnsi" w:hAnsi="Times New Roman"/>
          <w:kern w:val="2"/>
          <w:sz w:val="20"/>
          <w:szCs w:val="20"/>
          <w:lang w:eastAsia="en-US"/>
          <w14:ligatures w14:val="standardContextual"/>
        </w:rPr>
        <w:t>Raqib</w:t>
      </w:r>
      <w:proofErr w:type="spellEnd"/>
      <w:r w:rsidRPr="007C5A6E">
        <w:rPr>
          <w:rFonts w:ascii="Times New Roman" w:eastAsiaTheme="minorHAnsi" w:hAnsi="Times New Roman"/>
          <w:kern w:val="2"/>
          <w:sz w:val="20"/>
          <w:szCs w:val="20"/>
          <w:lang w:eastAsia="en-US"/>
          <w14:ligatures w14:val="standardContextual"/>
        </w:rPr>
        <w:t xml:space="preserve"> R, et al. </w:t>
      </w:r>
      <w:r w:rsidRPr="007C5A6E">
        <w:rPr>
          <w:rFonts w:ascii="Times New Roman" w:eastAsiaTheme="minorHAnsi" w:hAnsi="Times New Roman"/>
          <w:kern w:val="2"/>
          <w:sz w:val="20"/>
          <w:szCs w:val="20"/>
          <w:lang w:val="en-US" w:eastAsia="en-US"/>
          <w14:ligatures w14:val="standardContextual"/>
        </w:rPr>
        <w:t xml:space="preserve">Environmental exposure to arsenic and cad </w:t>
      </w:r>
      <w:proofErr w:type="spellStart"/>
      <w:r w:rsidRPr="007C5A6E">
        <w:rPr>
          <w:rFonts w:ascii="Times New Roman" w:eastAsiaTheme="minorHAnsi" w:hAnsi="Times New Roman"/>
          <w:kern w:val="2"/>
          <w:sz w:val="20"/>
          <w:szCs w:val="20"/>
          <w:lang w:val="en-US" w:eastAsia="en-US"/>
          <w14:ligatures w14:val="standardContextual"/>
        </w:rPr>
        <w:t>mium</w:t>
      </w:r>
      <w:proofErr w:type="spellEnd"/>
      <w:r w:rsidRPr="007C5A6E">
        <w:rPr>
          <w:rFonts w:ascii="Times New Roman" w:eastAsiaTheme="minorHAnsi" w:hAnsi="Times New Roman"/>
          <w:kern w:val="2"/>
          <w:sz w:val="20"/>
          <w:szCs w:val="20"/>
          <w:lang w:val="en-US" w:eastAsia="en-US"/>
          <w14:ligatures w14:val="standardContextual"/>
        </w:rPr>
        <w:t xml:space="preserve"> during pregnancy and fetal size: a longitudinal study in rural Bangladesh. </w:t>
      </w:r>
      <w:proofErr w:type="spellStart"/>
      <w:r w:rsidRPr="007C5A6E">
        <w:rPr>
          <w:rFonts w:ascii="Times New Roman" w:eastAsiaTheme="minorHAnsi" w:hAnsi="Times New Roman"/>
          <w:kern w:val="2"/>
          <w:sz w:val="20"/>
          <w:szCs w:val="20"/>
          <w:lang w:val="en-US" w:eastAsia="en-US"/>
          <w14:ligatures w14:val="standardContextual"/>
        </w:rPr>
        <w:t>Reprod</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spellStart"/>
      <w:r w:rsidRPr="007C5A6E">
        <w:rPr>
          <w:rFonts w:ascii="Times New Roman" w:eastAsiaTheme="minorHAnsi" w:hAnsi="Times New Roman"/>
          <w:kern w:val="2"/>
          <w:sz w:val="20"/>
          <w:szCs w:val="20"/>
          <w:lang w:val="en-US" w:eastAsia="en-US"/>
          <w14:ligatures w14:val="standardContextual"/>
        </w:rPr>
        <w:t>Toxicol</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gramStart"/>
      <w:r w:rsidRPr="007C5A6E">
        <w:rPr>
          <w:rFonts w:ascii="Times New Roman" w:eastAsiaTheme="minorHAnsi" w:hAnsi="Times New Roman"/>
          <w:kern w:val="2"/>
          <w:sz w:val="20"/>
          <w:szCs w:val="20"/>
          <w:lang w:val="en-US" w:eastAsia="en-US"/>
          <w14:ligatures w14:val="standardContextual"/>
        </w:rPr>
        <w:t>2012;34:504</w:t>
      </w:r>
      <w:proofErr w:type="gramEnd"/>
      <w:r w:rsidRPr="007C5A6E">
        <w:rPr>
          <w:rFonts w:ascii="Times New Roman" w:eastAsiaTheme="minorHAnsi" w:hAnsi="Times New Roman"/>
          <w:kern w:val="2"/>
          <w:sz w:val="20"/>
          <w:szCs w:val="20"/>
          <w:lang w:val="en-US" w:eastAsia="en-US"/>
          <w14:ligatures w14:val="standardContextual"/>
        </w:rPr>
        <w:t>—11.</w:t>
      </w:r>
    </w:p>
    <w:p w14:paraId="1AEAD0BB"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Kile ML, </w:t>
      </w:r>
      <w:proofErr w:type="spellStart"/>
      <w:r w:rsidRPr="007C5A6E">
        <w:rPr>
          <w:rFonts w:ascii="Times New Roman" w:eastAsiaTheme="minorHAnsi" w:hAnsi="Times New Roman"/>
          <w:kern w:val="2"/>
          <w:sz w:val="20"/>
          <w:szCs w:val="20"/>
          <w:lang w:val="en-US" w:eastAsia="en-US"/>
          <w14:ligatures w14:val="standardContextual"/>
        </w:rPr>
        <w:t>Baccarelli</w:t>
      </w:r>
      <w:proofErr w:type="spellEnd"/>
      <w:r w:rsidRPr="007C5A6E">
        <w:rPr>
          <w:rFonts w:ascii="Times New Roman" w:eastAsiaTheme="minorHAnsi" w:hAnsi="Times New Roman"/>
          <w:kern w:val="2"/>
          <w:sz w:val="20"/>
          <w:szCs w:val="20"/>
          <w:lang w:val="en-US" w:eastAsia="en-US"/>
          <w14:ligatures w14:val="standardContextual"/>
        </w:rPr>
        <w:t xml:space="preserve"> A, Hoffman E, Tarantini L, </w:t>
      </w:r>
      <w:proofErr w:type="spellStart"/>
      <w:r w:rsidRPr="007C5A6E">
        <w:rPr>
          <w:rFonts w:ascii="Times New Roman" w:eastAsiaTheme="minorHAnsi" w:hAnsi="Times New Roman"/>
          <w:kern w:val="2"/>
          <w:sz w:val="20"/>
          <w:szCs w:val="20"/>
          <w:lang w:val="en-US" w:eastAsia="en-US"/>
          <w14:ligatures w14:val="standardContextual"/>
        </w:rPr>
        <w:t>Quamruzza</w:t>
      </w:r>
      <w:proofErr w:type="spellEnd"/>
      <w:r w:rsidRPr="007C5A6E">
        <w:rPr>
          <w:rFonts w:ascii="Times New Roman" w:eastAsiaTheme="minorHAnsi" w:hAnsi="Times New Roman"/>
          <w:kern w:val="2"/>
          <w:sz w:val="20"/>
          <w:szCs w:val="20"/>
          <w:lang w:val="en-US" w:eastAsia="en-US"/>
          <w14:ligatures w14:val="standardContextual"/>
        </w:rPr>
        <w:t xml:space="preserve"> man Q, Rahman M, et al. Prenatal arsenic exposure and DNA methylation in maternal and umbilical cord blood leukocytes. Environ Health </w:t>
      </w:r>
      <w:proofErr w:type="spellStart"/>
      <w:r w:rsidRPr="007C5A6E">
        <w:rPr>
          <w:rFonts w:ascii="Times New Roman" w:eastAsiaTheme="minorHAnsi" w:hAnsi="Times New Roman"/>
          <w:kern w:val="2"/>
          <w:sz w:val="20"/>
          <w:szCs w:val="20"/>
          <w:lang w:val="en-US" w:eastAsia="en-US"/>
          <w14:ligatures w14:val="standardContextual"/>
        </w:rPr>
        <w:t>Perspect</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gramStart"/>
      <w:r w:rsidRPr="007C5A6E">
        <w:rPr>
          <w:rFonts w:ascii="Times New Roman" w:eastAsiaTheme="minorHAnsi" w:hAnsi="Times New Roman"/>
          <w:kern w:val="2"/>
          <w:sz w:val="20"/>
          <w:szCs w:val="20"/>
          <w:lang w:val="en-US" w:eastAsia="en-US"/>
          <w14:ligatures w14:val="standardContextual"/>
        </w:rPr>
        <w:t>2012;120:1061</w:t>
      </w:r>
      <w:proofErr w:type="gramEnd"/>
      <w:r w:rsidRPr="007C5A6E">
        <w:rPr>
          <w:rFonts w:ascii="Times New Roman" w:eastAsiaTheme="minorHAnsi" w:hAnsi="Times New Roman"/>
          <w:kern w:val="2"/>
          <w:sz w:val="20"/>
          <w:szCs w:val="20"/>
          <w:lang w:val="en-US" w:eastAsia="en-US"/>
          <w14:ligatures w14:val="standardContextual"/>
        </w:rPr>
        <w:t>—6.</w:t>
      </w:r>
    </w:p>
    <w:p w14:paraId="3D5653E6"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Fernandez MF, Olmos B, Granada A, Lopez-Espinosa MJ, Molina-Molina JM, Fernandez JM, et al. Human exposure to endocrine-disrupting chemicals and prenatal risk factors for cryptorchidism and hypospadias: a nested case-control study. Environ Health </w:t>
      </w:r>
      <w:proofErr w:type="spellStart"/>
      <w:r w:rsidRPr="007C5A6E">
        <w:rPr>
          <w:rFonts w:ascii="Times New Roman" w:eastAsiaTheme="minorHAnsi" w:hAnsi="Times New Roman"/>
          <w:kern w:val="2"/>
          <w:sz w:val="20"/>
          <w:szCs w:val="20"/>
          <w:lang w:val="en-US" w:eastAsia="en-US"/>
          <w14:ligatures w14:val="standardContextual"/>
        </w:rPr>
        <w:t>Perspect</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gramStart"/>
      <w:r w:rsidRPr="007C5A6E">
        <w:rPr>
          <w:rFonts w:ascii="Times New Roman" w:eastAsiaTheme="minorHAnsi" w:hAnsi="Times New Roman"/>
          <w:kern w:val="2"/>
          <w:sz w:val="20"/>
          <w:szCs w:val="20"/>
          <w:lang w:val="en-US" w:eastAsia="en-US"/>
          <w14:ligatures w14:val="standardContextual"/>
        </w:rPr>
        <w:t>2007;115:8</w:t>
      </w:r>
      <w:proofErr w:type="gramEnd"/>
      <w:r w:rsidRPr="007C5A6E">
        <w:rPr>
          <w:rFonts w:ascii="Times New Roman" w:eastAsiaTheme="minorHAnsi" w:hAnsi="Times New Roman"/>
          <w:kern w:val="2"/>
          <w:sz w:val="20"/>
          <w:szCs w:val="20"/>
          <w:lang w:val="en-US" w:eastAsia="en-US"/>
          <w14:ligatures w14:val="standardContextual"/>
        </w:rPr>
        <w:t>—14.</w:t>
      </w:r>
    </w:p>
    <w:p w14:paraId="33DD80B6"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Brucker-Davis F, Wagner-Mahler K, Delattre I, Ducot B, Fer </w:t>
      </w:r>
      <w:proofErr w:type="spellStart"/>
      <w:r w:rsidRPr="007C5A6E">
        <w:rPr>
          <w:rFonts w:ascii="Times New Roman" w:eastAsiaTheme="minorHAnsi" w:hAnsi="Times New Roman"/>
          <w:kern w:val="2"/>
          <w:sz w:val="20"/>
          <w:szCs w:val="20"/>
          <w:lang w:val="en-US" w:eastAsia="en-US"/>
          <w14:ligatures w14:val="standardContextual"/>
        </w:rPr>
        <w:t>rari</w:t>
      </w:r>
      <w:proofErr w:type="spellEnd"/>
      <w:r w:rsidRPr="007C5A6E">
        <w:rPr>
          <w:rFonts w:ascii="Times New Roman" w:eastAsiaTheme="minorHAnsi" w:hAnsi="Times New Roman"/>
          <w:kern w:val="2"/>
          <w:sz w:val="20"/>
          <w:szCs w:val="20"/>
          <w:lang w:val="en-US" w:eastAsia="en-US"/>
          <w14:ligatures w14:val="standardContextual"/>
        </w:rPr>
        <w:t xml:space="preserve"> P, </w:t>
      </w:r>
      <w:proofErr w:type="spellStart"/>
      <w:r w:rsidRPr="007C5A6E">
        <w:rPr>
          <w:rFonts w:ascii="Times New Roman" w:eastAsiaTheme="minorHAnsi" w:hAnsi="Times New Roman"/>
          <w:kern w:val="2"/>
          <w:sz w:val="20"/>
          <w:szCs w:val="20"/>
          <w:lang w:val="en-US" w:eastAsia="en-US"/>
          <w14:ligatures w14:val="standardContextual"/>
        </w:rPr>
        <w:t>Bongain</w:t>
      </w:r>
      <w:proofErr w:type="spellEnd"/>
      <w:r w:rsidRPr="007C5A6E">
        <w:rPr>
          <w:rFonts w:ascii="Times New Roman" w:eastAsiaTheme="minorHAnsi" w:hAnsi="Times New Roman"/>
          <w:kern w:val="2"/>
          <w:sz w:val="20"/>
          <w:szCs w:val="20"/>
          <w:lang w:val="en-US" w:eastAsia="en-US"/>
          <w14:ligatures w14:val="standardContextual"/>
        </w:rPr>
        <w:t xml:space="preserve"> A, et al. Cryptorchidism at birth in </w:t>
      </w:r>
      <w:proofErr w:type="gramStart"/>
      <w:r w:rsidRPr="007C5A6E">
        <w:rPr>
          <w:rFonts w:ascii="Times New Roman" w:eastAsiaTheme="minorHAnsi" w:hAnsi="Times New Roman"/>
          <w:kern w:val="2"/>
          <w:sz w:val="20"/>
          <w:szCs w:val="20"/>
          <w:lang w:val="en-US" w:eastAsia="en-US"/>
          <w14:ligatures w14:val="standardContextual"/>
        </w:rPr>
        <w:t>Nice</w:t>
      </w:r>
      <w:proofErr w:type="gramEnd"/>
      <w:r w:rsidRPr="007C5A6E">
        <w:rPr>
          <w:rFonts w:ascii="Times New Roman" w:eastAsiaTheme="minorHAnsi" w:hAnsi="Times New Roman"/>
          <w:kern w:val="2"/>
          <w:sz w:val="20"/>
          <w:szCs w:val="20"/>
          <w:lang w:val="en-US" w:eastAsia="en-US"/>
          <w14:ligatures w14:val="standardContextual"/>
        </w:rPr>
        <w:t xml:space="preserve"> area (France) is associated with higher prenatal exposure to PCBs and DDE, as assessed by colostrum concentrations. Hum </w:t>
      </w:r>
      <w:proofErr w:type="spellStart"/>
      <w:r w:rsidRPr="007C5A6E">
        <w:rPr>
          <w:rFonts w:ascii="Times New Roman" w:eastAsiaTheme="minorHAnsi" w:hAnsi="Times New Roman"/>
          <w:kern w:val="2"/>
          <w:sz w:val="20"/>
          <w:szCs w:val="20"/>
          <w:lang w:val="en-US" w:eastAsia="en-US"/>
          <w14:ligatures w14:val="standardContextual"/>
        </w:rPr>
        <w:t>Reprod</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gramStart"/>
      <w:r w:rsidRPr="007C5A6E">
        <w:rPr>
          <w:rFonts w:ascii="Times New Roman" w:eastAsiaTheme="minorHAnsi" w:hAnsi="Times New Roman"/>
          <w:kern w:val="2"/>
          <w:sz w:val="20"/>
          <w:szCs w:val="20"/>
          <w:lang w:val="en-US" w:eastAsia="en-US"/>
          <w14:ligatures w14:val="standardContextual"/>
        </w:rPr>
        <w:t>2008;23:1708</w:t>
      </w:r>
      <w:proofErr w:type="gramEnd"/>
      <w:r w:rsidRPr="007C5A6E">
        <w:rPr>
          <w:rFonts w:ascii="Times New Roman" w:eastAsiaTheme="minorHAnsi" w:hAnsi="Times New Roman"/>
          <w:kern w:val="2"/>
          <w:sz w:val="20"/>
          <w:szCs w:val="20"/>
          <w:lang w:val="en-US" w:eastAsia="en-US"/>
          <w14:ligatures w14:val="standardContextual"/>
        </w:rPr>
        <w:t>—18.</w:t>
      </w:r>
    </w:p>
    <w:p w14:paraId="539F9E02"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Damgaard IN, </w:t>
      </w:r>
      <w:proofErr w:type="spellStart"/>
      <w:r w:rsidRPr="007C5A6E">
        <w:rPr>
          <w:rFonts w:ascii="Times New Roman" w:eastAsiaTheme="minorHAnsi" w:hAnsi="Times New Roman"/>
          <w:kern w:val="2"/>
          <w:sz w:val="20"/>
          <w:szCs w:val="20"/>
          <w:lang w:val="en-US" w:eastAsia="en-US"/>
          <w14:ligatures w14:val="standardContextual"/>
        </w:rPr>
        <w:t>Skakkebaek</w:t>
      </w:r>
      <w:proofErr w:type="spellEnd"/>
      <w:r w:rsidRPr="007C5A6E">
        <w:rPr>
          <w:rFonts w:ascii="Times New Roman" w:eastAsiaTheme="minorHAnsi" w:hAnsi="Times New Roman"/>
          <w:kern w:val="2"/>
          <w:sz w:val="20"/>
          <w:szCs w:val="20"/>
          <w:lang w:val="en-US" w:eastAsia="en-US"/>
          <w14:ligatures w14:val="standardContextual"/>
        </w:rPr>
        <w:t xml:space="preserve"> NE, </w:t>
      </w:r>
      <w:proofErr w:type="spellStart"/>
      <w:r w:rsidRPr="007C5A6E">
        <w:rPr>
          <w:rFonts w:ascii="Times New Roman" w:eastAsiaTheme="minorHAnsi" w:hAnsi="Times New Roman"/>
          <w:kern w:val="2"/>
          <w:sz w:val="20"/>
          <w:szCs w:val="20"/>
          <w:lang w:val="en-US" w:eastAsia="en-US"/>
          <w14:ligatures w14:val="standardContextual"/>
        </w:rPr>
        <w:t>Toppari</w:t>
      </w:r>
      <w:proofErr w:type="spellEnd"/>
      <w:r w:rsidRPr="007C5A6E">
        <w:rPr>
          <w:rFonts w:ascii="Times New Roman" w:eastAsiaTheme="minorHAnsi" w:hAnsi="Times New Roman"/>
          <w:kern w:val="2"/>
          <w:sz w:val="20"/>
          <w:szCs w:val="20"/>
          <w:lang w:val="en-US" w:eastAsia="en-US"/>
          <w14:ligatures w14:val="standardContextual"/>
        </w:rPr>
        <w:t xml:space="preserve"> J, Virtanen HE, Shen H, Schramm KW, et al. Persistent pesticides in human breast milk and cryptorchidism. Environ Health </w:t>
      </w:r>
      <w:proofErr w:type="spellStart"/>
      <w:r w:rsidRPr="007C5A6E">
        <w:rPr>
          <w:rFonts w:ascii="Times New Roman" w:eastAsiaTheme="minorHAnsi" w:hAnsi="Times New Roman"/>
          <w:kern w:val="2"/>
          <w:sz w:val="20"/>
          <w:szCs w:val="20"/>
          <w:lang w:val="en-US" w:eastAsia="en-US"/>
          <w14:ligatures w14:val="standardContextual"/>
        </w:rPr>
        <w:t>Perspect</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gramStart"/>
      <w:r w:rsidRPr="007C5A6E">
        <w:rPr>
          <w:rFonts w:ascii="Times New Roman" w:eastAsiaTheme="minorHAnsi" w:hAnsi="Times New Roman"/>
          <w:kern w:val="2"/>
          <w:sz w:val="20"/>
          <w:szCs w:val="20"/>
          <w:lang w:val="en-US" w:eastAsia="en-US"/>
          <w14:ligatures w14:val="standardContextual"/>
        </w:rPr>
        <w:t>2006;114:1133</w:t>
      </w:r>
      <w:proofErr w:type="gramEnd"/>
      <w:r w:rsidRPr="007C5A6E">
        <w:rPr>
          <w:rFonts w:ascii="Times New Roman" w:eastAsiaTheme="minorHAnsi" w:hAnsi="Times New Roman"/>
          <w:kern w:val="2"/>
          <w:sz w:val="20"/>
          <w:szCs w:val="20"/>
          <w:lang w:val="en-US" w:eastAsia="en-US"/>
          <w14:ligatures w14:val="standardContextual"/>
        </w:rPr>
        <w:t>—8.</w:t>
      </w:r>
    </w:p>
    <w:p w14:paraId="2D7D8F0A"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Giordano F, </w:t>
      </w:r>
      <w:proofErr w:type="spellStart"/>
      <w:r w:rsidRPr="007C5A6E">
        <w:rPr>
          <w:rFonts w:ascii="Times New Roman" w:eastAsiaTheme="minorHAnsi" w:hAnsi="Times New Roman"/>
          <w:kern w:val="2"/>
          <w:sz w:val="20"/>
          <w:szCs w:val="20"/>
          <w:lang w:val="en-US" w:eastAsia="en-US"/>
          <w14:ligatures w14:val="standardContextual"/>
        </w:rPr>
        <w:t>Abballe</w:t>
      </w:r>
      <w:proofErr w:type="spellEnd"/>
      <w:r w:rsidRPr="007C5A6E">
        <w:rPr>
          <w:rFonts w:ascii="Times New Roman" w:eastAsiaTheme="minorHAnsi" w:hAnsi="Times New Roman"/>
          <w:kern w:val="2"/>
          <w:sz w:val="20"/>
          <w:szCs w:val="20"/>
          <w:lang w:val="en-US" w:eastAsia="en-US"/>
          <w14:ligatures w14:val="standardContextual"/>
        </w:rPr>
        <w:t xml:space="preserve"> A, De Felip E, di Domenico A, Ferro F, Grammatico P, et al. Maternal exposures to endocrine </w:t>
      </w:r>
      <w:proofErr w:type="spellStart"/>
      <w:r w:rsidRPr="007C5A6E">
        <w:rPr>
          <w:rFonts w:ascii="Times New Roman" w:eastAsiaTheme="minorHAnsi" w:hAnsi="Times New Roman"/>
          <w:kern w:val="2"/>
          <w:sz w:val="20"/>
          <w:szCs w:val="20"/>
          <w:lang w:val="en-US" w:eastAsia="en-US"/>
          <w14:ligatures w14:val="standardContextual"/>
        </w:rPr>
        <w:t>disrup</w:t>
      </w:r>
      <w:proofErr w:type="spellEnd"/>
      <w:r w:rsidRPr="007C5A6E">
        <w:rPr>
          <w:rFonts w:ascii="Times New Roman" w:eastAsiaTheme="minorHAnsi" w:hAnsi="Times New Roman"/>
          <w:kern w:val="2"/>
          <w:sz w:val="20"/>
          <w:szCs w:val="20"/>
          <w:lang w:val="en-US" w:eastAsia="en-US"/>
          <w14:ligatures w14:val="standardContextual"/>
        </w:rPr>
        <w:t xml:space="preserve"> ting chemicals and hypospadias in offspring. Birth Defects Res A Clin Mol </w:t>
      </w:r>
      <w:proofErr w:type="spellStart"/>
      <w:r w:rsidRPr="007C5A6E">
        <w:rPr>
          <w:rFonts w:ascii="Times New Roman" w:eastAsiaTheme="minorHAnsi" w:hAnsi="Times New Roman"/>
          <w:kern w:val="2"/>
          <w:sz w:val="20"/>
          <w:szCs w:val="20"/>
          <w:lang w:val="en-US" w:eastAsia="en-US"/>
          <w14:ligatures w14:val="standardContextual"/>
        </w:rPr>
        <w:t>Teratol</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gramStart"/>
      <w:r w:rsidRPr="007C5A6E">
        <w:rPr>
          <w:rFonts w:ascii="Times New Roman" w:eastAsiaTheme="minorHAnsi" w:hAnsi="Times New Roman"/>
          <w:kern w:val="2"/>
          <w:sz w:val="20"/>
          <w:szCs w:val="20"/>
          <w:lang w:val="en-US" w:eastAsia="en-US"/>
          <w14:ligatures w14:val="standardContextual"/>
        </w:rPr>
        <w:t>2010;88:241</w:t>
      </w:r>
      <w:proofErr w:type="gramEnd"/>
      <w:r w:rsidRPr="007C5A6E">
        <w:rPr>
          <w:rFonts w:ascii="Times New Roman" w:eastAsiaTheme="minorHAnsi" w:hAnsi="Times New Roman"/>
          <w:kern w:val="2"/>
          <w:sz w:val="20"/>
          <w:szCs w:val="20"/>
          <w:lang w:val="en-US" w:eastAsia="en-US"/>
          <w14:ligatures w14:val="standardContextual"/>
        </w:rPr>
        <w:t>—50.</w:t>
      </w:r>
    </w:p>
    <w:p w14:paraId="44E54414"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Ren A, Qiu X, Jin L, Ma J, Li Z, Zhang L, et al. Association of selected persistent organic pollutants in the placenta with the risk of neural tube defects. </w:t>
      </w:r>
      <w:r w:rsidRPr="007C5A6E">
        <w:rPr>
          <w:rFonts w:ascii="Times New Roman" w:eastAsiaTheme="minorHAnsi" w:hAnsi="Times New Roman"/>
          <w:kern w:val="2"/>
          <w:sz w:val="20"/>
          <w:szCs w:val="20"/>
          <w:lang w:eastAsia="en-US"/>
          <w14:ligatures w14:val="standardContextual"/>
        </w:rPr>
        <w:t xml:space="preserve">Proc </w:t>
      </w:r>
      <w:proofErr w:type="spellStart"/>
      <w:r w:rsidRPr="007C5A6E">
        <w:rPr>
          <w:rFonts w:ascii="Times New Roman" w:eastAsiaTheme="minorHAnsi" w:hAnsi="Times New Roman"/>
          <w:kern w:val="2"/>
          <w:sz w:val="20"/>
          <w:szCs w:val="20"/>
          <w:lang w:eastAsia="en-US"/>
          <w14:ligatures w14:val="standardContextual"/>
        </w:rPr>
        <w:t>Natl</w:t>
      </w:r>
      <w:proofErr w:type="spellEnd"/>
      <w:r w:rsidRPr="007C5A6E">
        <w:rPr>
          <w:rFonts w:ascii="Times New Roman" w:eastAsiaTheme="minorHAnsi" w:hAnsi="Times New Roman"/>
          <w:kern w:val="2"/>
          <w:sz w:val="20"/>
          <w:szCs w:val="20"/>
          <w:lang w:eastAsia="en-US"/>
          <w14:ligatures w14:val="standardContextual"/>
        </w:rPr>
        <w:t xml:space="preserve"> </w:t>
      </w:r>
      <w:proofErr w:type="spellStart"/>
      <w:r w:rsidRPr="007C5A6E">
        <w:rPr>
          <w:rFonts w:ascii="Times New Roman" w:eastAsiaTheme="minorHAnsi" w:hAnsi="Times New Roman"/>
          <w:kern w:val="2"/>
          <w:sz w:val="20"/>
          <w:szCs w:val="20"/>
          <w:lang w:eastAsia="en-US"/>
          <w14:ligatures w14:val="standardContextual"/>
        </w:rPr>
        <w:t>Acad</w:t>
      </w:r>
      <w:proofErr w:type="spellEnd"/>
      <w:r w:rsidRPr="007C5A6E">
        <w:rPr>
          <w:rFonts w:ascii="Times New Roman" w:eastAsiaTheme="minorHAnsi" w:hAnsi="Times New Roman"/>
          <w:kern w:val="2"/>
          <w:sz w:val="20"/>
          <w:szCs w:val="20"/>
          <w:lang w:eastAsia="en-US"/>
          <w14:ligatures w14:val="standardContextual"/>
        </w:rPr>
        <w:t xml:space="preserve"> </w:t>
      </w:r>
      <w:proofErr w:type="spellStart"/>
      <w:r w:rsidRPr="007C5A6E">
        <w:rPr>
          <w:rFonts w:ascii="Times New Roman" w:eastAsiaTheme="minorHAnsi" w:hAnsi="Times New Roman"/>
          <w:kern w:val="2"/>
          <w:sz w:val="20"/>
          <w:szCs w:val="20"/>
          <w:lang w:eastAsia="en-US"/>
          <w14:ligatures w14:val="standardContextual"/>
        </w:rPr>
        <w:t>Sci</w:t>
      </w:r>
      <w:proofErr w:type="spellEnd"/>
      <w:r w:rsidRPr="007C5A6E">
        <w:rPr>
          <w:rFonts w:ascii="Times New Roman" w:eastAsiaTheme="minorHAnsi" w:hAnsi="Times New Roman"/>
          <w:kern w:val="2"/>
          <w:sz w:val="20"/>
          <w:szCs w:val="20"/>
          <w:lang w:eastAsia="en-US"/>
          <w14:ligatures w14:val="standardContextual"/>
        </w:rPr>
        <w:t xml:space="preserve"> U S A </w:t>
      </w:r>
      <w:proofErr w:type="gramStart"/>
      <w:r w:rsidRPr="007C5A6E">
        <w:rPr>
          <w:rFonts w:ascii="Times New Roman" w:eastAsiaTheme="minorHAnsi" w:hAnsi="Times New Roman"/>
          <w:kern w:val="2"/>
          <w:sz w:val="20"/>
          <w:szCs w:val="20"/>
          <w:lang w:eastAsia="en-US"/>
          <w14:ligatures w14:val="standardContextual"/>
        </w:rPr>
        <w:t>2011;</w:t>
      </w:r>
      <w:proofErr w:type="gramEnd"/>
      <w:r w:rsidRPr="007C5A6E">
        <w:rPr>
          <w:rFonts w:ascii="Times New Roman" w:eastAsiaTheme="minorHAnsi" w:hAnsi="Times New Roman"/>
          <w:kern w:val="2"/>
          <w:sz w:val="20"/>
          <w:szCs w:val="20"/>
          <w:lang w:eastAsia="en-US"/>
          <w14:ligatures w14:val="standardContextual"/>
        </w:rPr>
        <w:t>108:12770—5.</w:t>
      </w:r>
    </w:p>
    <w:p w14:paraId="2A719E1D"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eastAsia="en-US"/>
          <w14:ligatures w14:val="standardContextual"/>
        </w:rPr>
        <w:t xml:space="preserve">OMS. (2018). La pollution atmosphérique une des premières causes environnementales de décès par cancer, selon le CIRC. </w:t>
      </w:r>
      <w:hyperlink r:id="rId297" w:history="1">
        <w:r w:rsidRPr="007C5A6E">
          <w:rPr>
            <w:rFonts w:ascii="Times New Roman" w:eastAsiaTheme="minorHAnsi" w:hAnsi="Times New Roman"/>
            <w:color w:val="0000FF"/>
            <w:kern w:val="2"/>
            <w:sz w:val="20"/>
            <w:szCs w:val="20"/>
            <w:u w:val="single"/>
            <w:lang w:eastAsia="en-US"/>
            <w14:ligatures w14:val="standardContextual"/>
          </w:rPr>
          <w:t>https://www.iarc.who.int/wp-content/uploads/2018/07/pr221_F.pdf</w:t>
        </w:r>
      </w:hyperlink>
      <w:r w:rsidRPr="007C5A6E">
        <w:rPr>
          <w:rFonts w:ascii="Times New Roman" w:eastAsiaTheme="minorHAnsi" w:hAnsi="Times New Roman"/>
          <w:color w:val="0000FF"/>
          <w:kern w:val="2"/>
          <w:sz w:val="20"/>
          <w:szCs w:val="20"/>
          <w:u w:val="single"/>
          <w:lang w:eastAsia="en-US"/>
          <w14:ligatures w14:val="standardContextual"/>
        </w:rPr>
        <w:t xml:space="preserve">. </w:t>
      </w:r>
      <w:r w:rsidRPr="007C5A6E">
        <w:rPr>
          <w:rFonts w:ascii="Times New Roman" w:eastAsiaTheme="minorHAnsi" w:hAnsi="Times New Roman"/>
          <w:kern w:val="2"/>
          <w:sz w:val="20"/>
          <w:szCs w:val="20"/>
          <w:lang w:eastAsia="en-US"/>
          <w14:ligatures w14:val="standardContextual"/>
        </w:rPr>
        <w:t>Consulté le 18/09/2024</w:t>
      </w:r>
    </w:p>
    <w:p w14:paraId="63CB991F"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eastAsia="en-US"/>
          <w14:ligatures w14:val="standardContextual"/>
        </w:rPr>
        <w:t xml:space="preserve">Institut Pasteur de Lille. Pollution de l’air et santé : quels liens et quels effets ? </w:t>
      </w:r>
      <w:hyperlink r:id="rId298" w:history="1">
        <w:r w:rsidRPr="007C5A6E">
          <w:rPr>
            <w:rFonts w:ascii="Times New Roman" w:eastAsiaTheme="minorHAnsi" w:hAnsi="Times New Roman"/>
            <w:color w:val="0000FF"/>
            <w:kern w:val="2"/>
            <w:sz w:val="20"/>
            <w:szCs w:val="20"/>
            <w:u w:val="single"/>
            <w:lang w:eastAsia="en-US"/>
            <w14:ligatures w14:val="standardContextual"/>
          </w:rPr>
          <w:t>https://pasteur-lille.fr/actualites/dossiers/pollution-atmospherique-sante/</w:t>
        </w:r>
      </w:hyperlink>
      <w:r w:rsidRPr="007C5A6E">
        <w:rPr>
          <w:rFonts w:ascii="Times New Roman" w:eastAsiaTheme="minorHAnsi" w:hAnsi="Times New Roman"/>
          <w:kern w:val="2"/>
          <w:sz w:val="20"/>
          <w:szCs w:val="20"/>
          <w:lang w:eastAsia="en-US"/>
          <w14:ligatures w14:val="standardContextual"/>
        </w:rPr>
        <w:t xml:space="preserve"> </w:t>
      </w:r>
    </w:p>
    <w:p w14:paraId="14BE2B42"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eastAsia="en-US"/>
          <w14:ligatures w14:val="standardContextual"/>
        </w:rPr>
        <w:t xml:space="preserve">Filleul L, Rondeau V, </w:t>
      </w:r>
      <w:proofErr w:type="spellStart"/>
      <w:r w:rsidRPr="007C5A6E">
        <w:rPr>
          <w:rFonts w:ascii="Times New Roman" w:eastAsiaTheme="minorHAnsi" w:hAnsi="Times New Roman"/>
          <w:kern w:val="2"/>
          <w:sz w:val="20"/>
          <w:szCs w:val="20"/>
          <w:lang w:eastAsia="en-US"/>
          <w14:ligatures w14:val="standardContextual"/>
        </w:rPr>
        <w:t>Vandentorren</w:t>
      </w:r>
      <w:proofErr w:type="spellEnd"/>
      <w:r w:rsidRPr="007C5A6E">
        <w:rPr>
          <w:rFonts w:ascii="Times New Roman" w:eastAsiaTheme="minorHAnsi" w:hAnsi="Times New Roman"/>
          <w:kern w:val="2"/>
          <w:sz w:val="20"/>
          <w:szCs w:val="20"/>
          <w:lang w:eastAsia="en-US"/>
          <w14:ligatures w14:val="standardContextual"/>
        </w:rPr>
        <w:t xml:space="preserve"> S, Le </w:t>
      </w:r>
      <w:proofErr w:type="spellStart"/>
      <w:r w:rsidRPr="007C5A6E">
        <w:rPr>
          <w:rFonts w:ascii="Times New Roman" w:eastAsiaTheme="minorHAnsi" w:hAnsi="Times New Roman"/>
          <w:kern w:val="2"/>
          <w:sz w:val="20"/>
          <w:szCs w:val="20"/>
          <w:lang w:eastAsia="en-US"/>
          <w14:ligatures w14:val="standardContextual"/>
        </w:rPr>
        <w:t>Moual</w:t>
      </w:r>
      <w:proofErr w:type="spellEnd"/>
      <w:r w:rsidRPr="007C5A6E">
        <w:rPr>
          <w:rFonts w:ascii="Times New Roman" w:eastAsiaTheme="minorHAnsi" w:hAnsi="Times New Roman"/>
          <w:kern w:val="2"/>
          <w:sz w:val="20"/>
          <w:szCs w:val="20"/>
          <w:lang w:eastAsia="en-US"/>
          <w14:ligatures w14:val="standardContextual"/>
        </w:rPr>
        <w:t xml:space="preserve"> N, Cantagrel A, </w:t>
      </w:r>
      <w:proofErr w:type="spellStart"/>
      <w:r w:rsidRPr="007C5A6E">
        <w:rPr>
          <w:rFonts w:ascii="Times New Roman" w:eastAsiaTheme="minorHAnsi" w:hAnsi="Times New Roman"/>
          <w:kern w:val="2"/>
          <w:sz w:val="20"/>
          <w:szCs w:val="20"/>
          <w:lang w:eastAsia="en-US"/>
          <w14:ligatures w14:val="standardContextual"/>
        </w:rPr>
        <w:t>Annesi-Maesano</w:t>
      </w:r>
      <w:proofErr w:type="spellEnd"/>
      <w:r w:rsidRPr="007C5A6E">
        <w:rPr>
          <w:rFonts w:ascii="Times New Roman" w:eastAsiaTheme="minorHAnsi" w:hAnsi="Times New Roman"/>
          <w:kern w:val="2"/>
          <w:sz w:val="20"/>
          <w:szCs w:val="20"/>
          <w:lang w:eastAsia="en-US"/>
          <w14:ligatures w14:val="standardContextual"/>
        </w:rPr>
        <w:t xml:space="preserve"> I, et al. </w:t>
      </w:r>
      <w:proofErr w:type="gramStart"/>
      <w:r w:rsidRPr="007C5A6E">
        <w:rPr>
          <w:rFonts w:ascii="Times New Roman" w:eastAsiaTheme="minorHAnsi" w:hAnsi="Times New Roman"/>
          <w:kern w:val="2"/>
          <w:sz w:val="20"/>
          <w:szCs w:val="20"/>
          <w:lang w:val="en-US" w:eastAsia="en-US"/>
          <w14:ligatures w14:val="standardContextual"/>
        </w:rPr>
        <w:t>Twenty five year</w:t>
      </w:r>
      <w:proofErr w:type="gramEnd"/>
      <w:r w:rsidRPr="007C5A6E">
        <w:rPr>
          <w:rFonts w:ascii="Times New Roman" w:eastAsiaTheme="minorHAnsi" w:hAnsi="Times New Roman"/>
          <w:kern w:val="2"/>
          <w:sz w:val="20"/>
          <w:szCs w:val="20"/>
          <w:lang w:val="en-US" w:eastAsia="en-US"/>
          <w14:ligatures w14:val="standardContextual"/>
        </w:rPr>
        <w:t xml:space="preserve"> mortality and air pollution: results from the French PAARC survey. </w:t>
      </w:r>
      <w:proofErr w:type="spellStart"/>
      <w:r w:rsidRPr="007C5A6E">
        <w:rPr>
          <w:rFonts w:ascii="Times New Roman" w:eastAsiaTheme="minorHAnsi" w:hAnsi="Times New Roman"/>
          <w:kern w:val="2"/>
          <w:sz w:val="20"/>
          <w:szCs w:val="20"/>
          <w:lang w:val="en-US" w:eastAsia="en-US"/>
          <w14:ligatures w14:val="standardContextual"/>
        </w:rPr>
        <w:t>Occup</w:t>
      </w:r>
      <w:proofErr w:type="spellEnd"/>
      <w:r w:rsidRPr="007C5A6E">
        <w:rPr>
          <w:rFonts w:ascii="Times New Roman" w:eastAsiaTheme="minorHAnsi" w:hAnsi="Times New Roman"/>
          <w:kern w:val="2"/>
          <w:sz w:val="20"/>
          <w:szCs w:val="20"/>
          <w:lang w:val="en-US" w:eastAsia="en-US"/>
          <w14:ligatures w14:val="standardContextual"/>
        </w:rPr>
        <w:t xml:space="preserve"> Environ Med. </w:t>
      </w:r>
      <w:proofErr w:type="spellStart"/>
      <w:r w:rsidRPr="007C5A6E">
        <w:rPr>
          <w:rFonts w:ascii="Times New Roman" w:eastAsiaTheme="minorHAnsi" w:hAnsi="Times New Roman"/>
          <w:kern w:val="2"/>
          <w:sz w:val="20"/>
          <w:szCs w:val="20"/>
          <w:lang w:val="en-US" w:eastAsia="en-US"/>
          <w14:ligatures w14:val="standardContextual"/>
        </w:rPr>
        <w:t>juill</w:t>
      </w:r>
      <w:proofErr w:type="spellEnd"/>
      <w:r w:rsidRPr="007C5A6E">
        <w:rPr>
          <w:rFonts w:ascii="Times New Roman" w:eastAsiaTheme="minorHAnsi" w:hAnsi="Times New Roman"/>
          <w:kern w:val="2"/>
          <w:sz w:val="20"/>
          <w:szCs w:val="20"/>
          <w:lang w:val="en-US" w:eastAsia="en-US"/>
          <w14:ligatures w14:val="standardContextual"/>
        </w:rPr>
        <w:t xml:space="preserve"> 2005;62(7):453‑60.  </w:t>
      </w:r>
    </w:p>
    <w:p w14:paraId="5E8E3327"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Dockery DW, Pope CA, Xu X, Spengler JD, Ware JH, Fay ME, et al. An association between air pollution and mortality in six U.S. cities. N Engl J Med. 9 </w:t>
      </w:r>
      <w:proofErr w:type="spellStart"/>
      <w:r w:rsidRPr="007C5A6E">
        <w:rPr>
          <w:rFonts w:ascii="Times New Roman" w:eastAsiaTheme="minorHAnsi" w:hAnsi="Times New Roman"/>
          <w:kern w:val="2"/>
          <w:sz w:val="20"/>
          <w:szCs w:val="20"/>
          <w:lang w:val="en-US" w:eastAsia="en-US"/>
          <w14:ligatures w14:val="standardContextual"/>
        </w:rPr>
        <w:t>déc</w:t>
      </w:r>
      <w:proofErr w:type="spellEnd"/>
      <w:r w:rsidRPr="007C5A6E">
        <w:rPr>
          <w:rFonts w:ascii="Times New Roman" w:eastAsiaTheme="minorHAnsi" w:hAnsi="Times New Roman"/>
          <w:kern w:val="2"/>
          <w:sz w:val="20"/>
          <w:szCs w:val="20"/>
          <w:lang w:val="en-US" w:eastAsia="en-US"/>
          <w14:ligatures w14:val="standardContextual"/>
        </w:rPr>
        <w:t xml:space="preserve"> 1993;329(24):1753</w:t>
      </w:r>
      <w:r w:rsidRPr="007C5A6E">
        <w:rPr>
          <w:rFonts w:ascii="Times New Roman" w:eastAsiaTheme="minorHAnsi" w:hAnsi="Times New Roman"/>
          <w:kern w:val="2"/>
          <w:sz w:val="20"/>
          <w:szCs w:val="20"/>
          <w:lang w:val="en-US" w:eastAsia="en-US"/>
          <w14:ligatures w14:val="standardContextual"/>
        </w:rPr>
        <w:noBreakHyphen/>
        <w:t>9.</w:t>
      </w:r>
    </w:p>
    <w:p w14:paraId="104D5782"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Pope CA, Burnett RT, Thun MJ, Calle EE, </w:t>
      </w:r>
      <w:proofErr w:type="spellStart"/>
      <w:r w:rsidRPr="007C5A6E">
        <w:rPr>
          <w:rFonts w:ascii="Times New Roman" w:eastAsiaTheme="minorHAnsi" w:hAnsi="Times New Roman"/>
          <w:kern w:val="2"/>
          <w:sz w:val="20"/>
          <w:szCs w:val="20"/>
          <w:lang w:val="en-US" w:eastAsia="en-US"/>
          <w14:ligatures w14:val="standardContextual"/>
        </w:rPr>
        <w:t>Krewski</w:t>
      </w:r>
      <w:proofErr w:type="spellEnd"/>
      <w:r w:rsidRPr="007C5A6E">
        <w:rPr>
          <w:rFonts w:ascii="Times New Roman" w:eastAsiaTheme="minorHAnsi" w:hAnsi="Times New Roman"/>
          <w:kern w:val="2"/>
          <w:sz w:val="20"/>
          <w:szCs w:val="20"/>
          <w:lang w:val="en-US" w:eastAsia="en-US"/>
          <w14:ligatures w14:val="standardContextual"/>
        </w:rPr>
        <w:t xml:space="preserve"> D, Ito K, et al. Lung cancer, cardiopulmonary mortality, and long-term exposure to fine particulate air pollution. JAMA. 6 mars 2002;287(9):1132</w:t>
      </w:r>
      <w:r w:rsidRPr="007C5A6E">
        <w:rPr>
          <w:rFonts w:ascii="Times New Roman" w:eastAsiaTheme="minorHAnsi" w:hAnsi="Times New Roman"/>
          <w:kern w:val="2"/>
          <w:sz w:val="20"/>
          <w:szCs w:val="20"/>
          <w:lang w:val="en-US" w:eastAsia="en-US"/>
          <w14:ligatures w14:val="standardContextual"/>
        </w:rPr>
        <w:noBreakHyphen/>
        <w:t>41.</w:t>
      </w:r>
    </w:p>
    <w:p w14:paraId="0222BEC4"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Attfield MD, Schleiff PL, Lubin JH, Blair A, Stewart PA, Vermeulen R, et al. The Diesel Exhaust in Miners study: a cohort mortality study with emphasis on lung cancer. J Natl Cancer Inst. 6 </w:t>
      </w:r>
      <w:proofErr w:type="spellStart"/>
      <w:r w:rsidRPr="007C5A6E">
        <w:rPr>
          <w:rFonts w:ascii="Times New Roman" w:eastAsiaTheme="minorHAnsi" w:hAnsi="Times New Roman"/>
          <w:kern w:val="2"/>
          <w:sz w:val="20"/>
          <w:szCs w:val="20"/>
          <w:lang w:val="en-US" w:eastAsia="en-US"/>
          <w14:ligatures w14:val="standardContextual"/>
        </w:rPr>
        <w:t>juin</w:t>
      </w:r>
      <w:proofErr w:type="spellEnd"/>
      <w:r w:rsidRPr="007C5A6E">
        <w:rPr>
          <w:rFonts w:ascii="Times New Roman" w:eastAsiaTheme="minorHAnsi" w:hAnsi="Times New Roman"/>
          <w:kern w:val="2"/>
          <w:sz w:val="20"/>
          <w:szCs w:val="20"/>
          <w:lang w:val="en-US" w:eastAsia="en-US"/>
          <w14:ligatures w14:val="standardContextual"/>
        </w:rPr>
        <w:t xml:space="preserve"> 2012;104(11):869</w:t>
      </w:r>
      <w:r w:rsidRPr="007C5A6E">
        <w:rPr>
          <w:rFonts w:ascii="Times New Roman" w:eastAsiaTheme="minorHAnsi" w:hAnsi="Times New Roman"/>
          <w:kern w:val="2"/>
          <w:sz w:val="20"/>
          <w:szCs w:val="20"/>
          <w:lang w:val="en-US" w:eastAsia="en-US"/>
          <w14:ligatures w14:val="standardContextual"/>
        </w:rPr>
        <w:noBreakHyphen/>
        <w:t>83.</w:t>
      </w:r>
    </w:p>
    <w:p w14:paraId="09FD22F3"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proofErr w:type="spellStart"/>
      <w:r w:rsidRPr="007C5A6E">
        <w:rPr>
          <w:rFonts w:ascii="Times New Roman" w:eastAsiaTheme="minorHAnsi" w:hAnsi="Times New Roman"/>
          <w:kern w:val="2"/>
          <w:sz w:val="20"/>
          <w:szCs w:val="20"/>
          <w:lang w:val="en-US" w:eastAsia="en-US"/>
          <w14:ligatures w14:val="standardContextual"/>
        </w:rPr>
        <w:t>Garshick</w:t>
      </w:r>
      <w:proofErr w:type="spellEnd"/>
      <w:r w:rsidRPr="007C5A6E">
        <w:rPr>
          <w:rFonts w:ascii="Times New Roman" w:eastAsiaTheme="minorHAnsi" w:hAnsi="Times New Roman"/>
          <w:kern w:val="2"/>
          <w:sz w:val="20"/>
          <w:szCs w:val="20"/>
          <w:lang w:val="en-US" w:eastAsia="en-US"/>
          <w14:ligatures w14:val="standardContextual"/>
        </w:rPr>
        <w:t xml:space="preserve"> E, Laden F, Hart JE, Rosner B, Davis ME, Eisen EA, et al. Lung cancer and vehicle exhaust in trucking industry workers. Environ Health </w:t>
      </w:r>
      <w:proofErr w:type="spellStart"/>
      <w:r w:rsidRPr="007C5A6E">
        <w:rPr>
          <w:rFonts w:ascii="Times New Roman" w:eastAsiaTheme="minorHAnsi" w:hAnsi="Times New Roman"/>
          <w:kern w:val="2"/>
          <w:sz w:val="20"/>
          <w:szCs w:val="20"/>
          <w:lang w:val="en-US" w:eastAsia="en-US"/>
          <w14:ligatures w14:val="standardContextual"/>
        </w:rPr>
        <w:t>Perspect</w:t>
      </w:r>
      <w:proofErr w:type="spellEnd"/>
      <w:r w:rsidRPr="007C5A6E">
        <w:rPr>
          <w:rFonts w:ascii="Times New Roman" w:eastAsiaTheme="minorHAnsi" w:hAnsi="Times New Roman"/>
          <w:kern w:val="2"/>
          <w:sz w:val="20"/>
          <w:szCs w:val="20"/>
          <w:lang w:val="en-US" w:eastAsia="en-US"/>
          <w14:ligatures w14:val="standardContextual"/>
        </w:rPr>
        <w:t>. oct 2008;116(10):1327</w:t>
      </w:r>
      <w:r w:rsidRPr="007C5A6E">
        <w:rPr>
          <w:rFonts w:ascii="Times New Roman" w:eastAsiaTheme="minorHAnsi" w:hAnsi="Times New Roman"/>
          <w:kern w:val="2"/>
          <w:sz w:val="20"/>
          <w:szCs w:val="20"/>
          <w:lang w:val="en-US" w:eastAsia="en-US"/>
          <w14:ligatures w14:val="standardContextual"/>
        </w:rPr>
        <w:noBreakHyphen/>
        <w:t>32.</w:t>
      </w:r>
    </w:p>
    <w:p w14:paraId="4F326B2B"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Laden F, Hart JE, </w:t>
      </w:r>
      <w:proofErr w:type="spellStart"/>
      <w:r w:rsidRPr="007C5A6E">
        <w:rPr>
          <w:rFonts w:ascii="Times New Roman" w:eastAsiaTheme="minorHAnsi" w:hAnsi="Times New Roman"/>
          <w:kern w:val="2"/>
          <w:sz w:val="20"/>
          <w:szCs w:val="20"/>
          <w:lang w:val="en-US" w:eastAsia="en-US"/>
          <w14:ligatures w14:val="standardContextual"/>
        </w:rPr>
        <w:t>Eschenroeder</w:t>
      </w:r>
      <w:proofErr w:type="spellEnd"/>
      <w:r w:rsidRPr="007C5A6E">
        <w:rPr>
          <w:rFonts w:ascii="Times New Roman" w:eastAsiaTheme="minorHAnsi" w:hAnsi="Times New Roman"/>
          <w:kern w:val="2"/>
          <w:sz w:val="20"/>
          <w:szCs w:val="20"/>
          <w:lang w:val="en-US" w:eastAsia="en-US"/>
          <w14:ligatures w14:val="standardContextual"/>
        </w:rPr>
        <w:t xml:space="preserve"> A, Smith TJ, </w:t>
      </w:r>
      <w:proofErr w:type="spellStart"/>
      <w:r w:rsidRPr="007C5A6E">
        <w:rPr>
          <w:rFonts w:ascii="Times New Roman" w:eastAsiaTheme="minorHAnsi" w:hAnsi="Times New Roman"/>
          <w:kern w:val="2"/>
          <w:sz w:val="20"/>
          <w:szCs w:val="20"/>
          <w:lang w:val="en-US" w:eastAsia="en-US"/>
          <w14:ligatures w14:val="standardContextual"/>
        </w:rPr>
        <w:t>Garshick</w:t>
      </w:r>
      <w:proofErr w:type="spellEnd"/>
      <w:r w:rsidRPr="007C5A6E">
        <w:rPr>
          <w:rFonts w:ascii="Times New Roman" w:eastAsiaTheme="minorHAnsi" w:hAnsi="Times New Roman"/>
          <w:kern w:val="2"/>
          <w:sz w:val="20"/>
          <w:szCs w:val="20"/>
          <w:lang w:val="en-US" w:eastAsia="en-US"/>
          <w14:ligatures w14:val="standardContextual"/>
        </w:rPr>
        <w:t xml:space="preserve"> E. Historical estimation of diesel exhaust exposure in a cohort study of U.S. railroad workers and lung cancer. Cancer Causes Control. sept 2006;17(7):911</w:t>
      </w:r>
      <w:r w:rsidRPr="007C5A6E">
        <w:rPr>
          <w:rFonts w:ascii="Times New Roman" w:eastAsiaTheme="minorHAnsi" w:hAnsi="Times New Roman"/>
          <w:kern w:val="2"/>
          <w:sz w:val="20"/>
          <w:szCs w:val="20"/>
          <w:lang w:val="en-US" w:eastAsia="en-US"/>
          <w14:ligatures w14:val="standardContextual"/>
        </w:rPr>
        <w:noBreakHyphen/>
        <w:t>9.</w:t>
      </w:r>
    </w:p>
    <w:p w14:paraId="5C462581"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Guo J, Kauppinen T, </w:t>
      </w:r>
      <w:proofErr w:type="spellStart"/>
      <w:r w:rsidRPr="007C5A6E">
        <w:rPr>
          <w:rFonts w:ascii="Times New Roman" w:eastAsiaTheme="minorHAnsi" w:hAnsi="Times New Roman"/>
          <w:kern w:val="2"/>
          <w:sz w:val="20"/>
          <w:szCs w:val="20"/>
          <w:lang w:val="en-US" w:eastAsia="en-US"/>
          <w14:ligatures w14:val="standardContextual"/>
        </w:rPr>
        <w:t>Kyyrönen</w:t>
      </w:r>
      <w:proofErr w:type="spellEnd"/>
      <w:r w:rsidRPr="007C5A6E">
        <w:rPr>
          <w:rFonts w:ascii="Times New Roman" w:eastAsiaTheme="minorHAnsi" w:hAnsi="Times New Roman"/>
          <w:kern w:val="2"/>
          <w:sz w:val="20"/>
          <w:szCs w:val="20"/>
          <w:lang w:val="en-US" w:eastAsia="en-US"/>
          <w14:ligatures w14:val="standardContextual"/>
        </w:rPr>
        <w:t xml:space="preserve"> P, Heikkilä P, </w:t>
      </w:r>
      <w:proofErr w:type="spellStart"/>
      <w:r w:rsidRPr="007C5A6E">
        <w:rPr>
          <w:rFonts w:ascii="Times New Roman" w:eastAsiaTheme="minorHAnsi" w:hAnsi="Times New Roman"/>
          <w:kern w:val="2"/>
          <w:sz w:val="20"/>
          <w:szCs w:val="20"/>
          <w:lang w:val="en-US" w:eastAsia="en-US"/>
          <w14:ligatures w14:val="standardContextual"/>
        </w:rPr>
        <w:t>Lindbohm</w:t>
      </w:r>
      <w:proofErr w:type="spellEnd"/>
      <w:r w:rsidRPr="007C5A6E">
        <w:rPr>
          <w:rFonts w:ascii="Times New Roman" w:eastAsiaTheme="minorHAnsi" w:hAnsi="Times New Roman"/>
          <w:kern w:val="2"/>
          <w:sz w:val="20"/>
          <w:szCs w:val="20"/>
          <w:lang w:val="en-US" w:eastAsia="en-US"/>
          <w14:ligatures w14:val="standardContextual"/>
        </w:rPr>
        <w:t xml:space="preserve"> ML, </w:t>
      </w:r>
      <w:proofErr w:type="spellStart"/>
      <w:r w:rsidRPr="007C5A6E">
        <w:rPr>
          <w:rFonts w:ascii="Times New Roman" w:eastAsiaTheme="minorHAnsi" w:hAnsi="Times New Roman"/>
          <w:kern w:val="2"/>
          <w:sz w:val="20"/>
          <w:szCs w:val="20"/>
          <w:lang w:val="en-US" w:eastAsia="en-US"/>
          <w14:ligatures w14:val="standardContextual"/>
        </w:rPr>
        <w:t>Pukkala</w:t>
      </w:r>
      <w:proofErr w:type="spellEnd"/>
      <w:r w:rsidRPr="007C5A6E">
        <w:rPr>
          <w:rFonts w:ascii="Times New Roman" w:eastAsiaTheme="minorHAnsi" w:hAnsi="Times New Roman"/>
          <w:kern w:val="2"/>
          <w:sz w:val="20"/>
          <w:szCs w:val="20"/>
          <w:lang w:val="en-US" w:eastAsia="en-US"/>
          <w14:ligatures w14:val="standardContextual"/>
        </w:rPr>
        <w:t xml:space="preserve"> E. Risk of esophageal, ovarian, testicular, kidney and bladder cancers and leukemia among </w:t>
      </w:r>
      <w:proofErr w:type="spellStart"/>
      <w:r w:rsidRPr="007C5A6E">
        <w:rPr>
          <w:rFonts w:ascii="Times New Roman" w:eastAsiaTheme="minorHAnsi" w:hAnsi="Times New Roman"/>
          <w:kern w:val="2"/>
          <w:sz w:val="20"/>
          <w:szCs w:val="20"/>
          <w:lang w:val="en-US" w:eastAsia="en-US"/>
          <w14:ligatures w14:val="standardContextual"/>
        </w:rPr>
        <w:t>finnish</w:t>
      </w:r>
      <w:proofErr w:type="spellEnd"/>
      <w:r w:rsidRPr="007C5A6E">
        <w:rPr>
          <w:rFonts w:ascii="Times New Roman" w:eastAsiaTheme="minorHAnsi" w:hAnsi="Times New Roman"/>
          <w:kern w:val="2"/>
          <w:sz w:val="20"/>
          <w:szCs w:val="20"/>
          <w:lang w:val="en-US" w:eastAsia="en-US"/>
          <w14:ligatures w14:val="standardContextual"/>
        </w:rPr>
        <w:t xml:space="preserve"> workers exposed to diesel or gasoline engine exhaust. </w:t>
      </w:r>
      <w:r w:rsidRPr="007C5A6E">
        <w:rPr>
          <w:rFonts w:ascii="Times New Roman" w:eastAsiaTheme="minorHAnsi" w:hAnsi="Times New Roman"/>
          <w:kern w:val="2"/>
          <w:sz w:val="20"/>
          <w:szCs w:val="20"/>
          <w:lang w:eastAsia="en-US"/>
          <w14:ligatures w14:val="standardContextual"/>
        </w:rPr>
        <w:t xml:space="preserve">Int J Cancer. 20 août </w:t>
      </w:r>
      <w:proofErr w:type="gramStart"/>
      <w:r w:rsidRPr="007C5A6E">
        <w:rPr>
          <w:rFonts w:ascii="Times New Roman" w:eastAsiaTheme="minorHAnsi" w:hAnsi="Times New Roman"/>
          <w:kern w:val="2"/>
          <w:sz w:val="20"/>
          <w:szCs w:val="20"/>
          <w:lang w:eastAsia="en-US"/>
          <w14:ligatures w14:val="standardContextual"/>
        </w:rPr>
        <w:t>2004;</w:t>
      </w:r>
      <w:proofErr w:type="gramEnd"/>
      <w:r w:rsidRPr="007C5A6E">
        <w:rPr>
          <w:rFonts w:ascii="Times New Roman" w:eastAsiaTheme="minorHAnsi" w:hAnsi="Times New Roman"/>
          <w:kern w:val="2"/>
          <w:sz w:val="20"/>
          <w:szCs w:val="20"/>
          <w:lang w:eastAsia="en-US"/>
          <w14:ligatures w14:val="standardContextual"/>
        </w:rPr>
        <w:t>111(2):286</w:t>
      </w:r>
      <w:r w:rsidRPr="007C5A6E">
        <w:rPr>
          <w:rFonts w:ascii="Times New Roman" w:eastAsiaTheme="minorHAnsi" w:hAnsi="Times New Roman"/>
          <w:kern w:val="2"/>
          <w:sz w:val="20"/>
          <w:szCs w:val="20"/>
          <w:lang w:eastAsia="en-US"/>
          <w14:ligatures w14:val="standardContextual"/>
        </w:rPr>
        <w:noBreakHyphen/>
        <w:t>92.</w:t>
      </w:r>
    </w:p>
    <w:p w14:paraId="0A19AF11"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proofErr w:type="spellStart"/>
      <w:r w:rsidRPr="007C5A6E">
        <w:rPr>
          <w:rFonts w:ascii="Times New Roman" w:eastAsiaTheme="minorHAnsi" w:hAnsi="Times New Roman"/>
          <w:kern w:val="2"/>
          <w:sz w:val="20"/>
          <w:szCs w:val="20"/>
          <w:lang w:eastAsia="en-US"/>
          <w14:ligatures w14:val="standardContextual"/>
        </w:rPr>
        <w:t>Kogevinas</w:t>
      </w:r>
      <w:proofErr w:type="spellEnd"/>
      <w:r w:rsidRPr="007C5A6E">
        <w:rPr>
          <w:rFonts w:ascii="Times New Roman" w:eastAsiaTheme="minorHAnsi" w:hAnsi="Times New Roman"/>
          <w:kern w:val="2"/>
          <w:sz w:val="20"/>
          <w:szCs w:val="20"/>
          <w:lang w:eastAsia="en-US"/>
          <w14:ligatures w14:val="standardContextual"/>
        </w:rPr>
        <w:t xml:space="preserve"> M, ’t </w:t>
      </w:r>
      <w:proofErr w:type="spellStart"/>
      <w:r w:rsidRPr="007C5A6E">
        <w:rPr>
          <w:rFonts w:ascii="Times New Roman" w:eastAsiaTheme="minorHAnsi" w:hAnsi="Times New Roman"/>
          <w:kern w:val="2"/>
          <w:sz w:val="20"/>
          <w:szCs w:val="20"/>
          <w:lang w:eastAsia="en-US"/>
          <w14:ligatures w14:val="standardContextual"/>
        </w:rPr>
        <w:t>Mannetje</w:t>
      </w:r>
      <w:proofErr w:type="spellEnd"/>
      <w:r w:rsidRPr="007C5A6E">
        <w:rPr>
          <w:rFonts w:ascii="Times New Roman" w:eastAsiaTheme="minorHAnsi" w:hAnsi="Times New Roman"/>
          <w:kern w:val="2"/>
          <w:sz w:val="20"/>
          <w:szCs w:val="20"/>
          <w:lang w:eastAsia="en-US"/>
          <w14:ligatures w14:val="standardContextual"/>
        </w:rPr>
        <w:t xml:space="preserve"> A, Cordier S, </w:t>
      </w:r>
      <w:proofErr w:type="spellStart"/>
      <w:r w:rsidRPr="007C5A6E">
        <w:rPr>
          <w:rFonts w:ascii="Times New Roman" w:eastAsiaTheme="minorHAnsi" w:hAnsi="Times New Roman"/>
          <w:kern w:val="2"/>
          <w:sz w:val="20"/>
          <w:szCs w:val="20"/>
          <w:lang w:eastAsia="en-US"/>
          <w14:ligatures w14:val="standardContextual"/>
        </w:rPr>
        <w:t>Ranft</w:t>
      </w:r>
      <w:proofErr w:type="spellEnd"/>
      <w:r w:rsidRPr="007C5A6E">
        <w:rPr>
          <w:rFonts w:ascii="Times New Roman" w:eastAsiaTheme="minorHAnsi" w:hAnsi="Times New Roman"/>
          <w:kern w:val="2"/>
          <w:sz w:val="20"/>
          <w:szCs w:val="20"/>
          <w:lang w:eastAsia="en-US"/>
          <w14:ligatures w14:val="standardContextual"/>
        </w:rPr>
        <w:t xml:space="preserve"> U, González CA, </w:t>
      </w:r>
      <w:proofErr w:type="spellStart"/>
      <w:r w:rsidRPr="007C5A6E">
        <w:rPr>
          <w:rFonts w:ascii="Times New Roman" w:eastAsiaTheme="minorHAnsi" w:hAnsi="Times New Roman"/>
          <w:kern w:val="2"/>
          <w:sz w:val="20"/>
          <w:szCs w:val="20"/>
          <w:lang w:eastAsia="en-US"/>
          <w14:ligatures w14:val="standardContextual"/>
        </w:rPr>
        <w:t>Vineis</w:t>
      </w:r>
      <w:proofErr w:type="spellEnd"/>
      <w:r w:rsidRPr="007C5A6E">
        <w:rPr>
          <w:rFonts w:ascii="Times New Roman" w:eastAsiaTheme="minorHAnsi" w:hAnsi="Times New Roman"/>
          <w:kern w:val="2"/>
          <w:sz w:val="20"/>
          <w:szCs w:val="20"/>
          <w:lang w:eastAsia="en-US"/>
          <w14:ligatures w14:val="standardContextual"/>
        </w:rPr>
        <w:t xml:space="preserve"> P, et al. </w:t>
      </w:r>
      <w:r w:rsidRPr="007C5A6E">
        <w:rPr>
          <w:rFonts w:ascii="Times New Roman" w:eastAsiaTheme="minorHAnsi" w:hAnsi="Times New Roman"/>
          <w:kern w:val="2"/>
          <w:sz w:val="20"/>
          <w:szCs w:val="20"/>
          <w:lang w:val="en-US" w:eastAsia="en-US"/>
          <w14:ligatures w14:val="standardContextual"/>
        </w:rPr>
        <w:t xml:space="preserve">Occupation and bladder cancer among men in Western Europe. Cancer Causes Control. </w:t>
      </w:r>
      <w:proofErr w:type="spellStart"/>
      <w:r w:rsidRPr="007C5A6E">
        <w:rPr>
          <w:rFonts w:ascii="Times New Roman" w:eastAsiaTheme="minorHAnsi" w:hAnsi="Times New Roman"/>
          <w:kern w:val="2"/>
          <w:sz w:val="20"/>
          <w:szCs w:val="20"/>
          <w:lang w:val="en-US" w:eastAsia="en-US"/>
          <w14:ligatures w14:val="standardContextual"/>
        </w:rPr>
        <w:t>déc</w:t>
      </w:r>
      <w:proofErr w:type="spellEnd"/>
      <w:r w:rsidRPr="007C5A6E">
        <w:rPr>
          <w:rFonts w:ascii="Times New Roman" w:eastAsiaTheme="minorHAnsi" w:hAnsi="Times New Roman"/>
          <w:kern w:val="2"/>
          <w:sz w:val="20"/>
          <w:szCs w:val="20"/>
          <w:lang w:val="en-US" w:eastAsia="en-US"/>
          <w14:ligatures w14:val="standardContextual"/>
        </w:rPr>
        <w:t xml:space="preserve"> 2003;14(10):907</w:t>
      </w:r>
      <w:r w:rsidRPr="007C5A6E">
        <w:rPr>
          <w:rFonts w:ascii="Times New Roman" w:eastAsiaTheme="minorHAnsi" w:hAnsi="Times New Roman"/>
          <w:kern w:val="2"/>
          <w:sz w:val="20"/>
          <w:szCs w:val="20"/>
          <w:lang w:val="en-US" w:eastAsia="en-US"/>
          <w14:ligatures w14:val="standardContextual"/>
        </w:rPr>
        <w:noBreakHyphen/>
        <w:t>14.</w:t>
      </w:r>
    </w:p>
    <w:p w14:paraId="165DD38E"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proofErr w:type="spellStart"/>
      <w:r w:rsidRPr="007C5A6E">
        <w:rPr>
          <w:rFonts w:ascii="Times New Roman" w:eastAsiaTheme="minorHAnsi" w:hAnsi="Times New Roman"/>
          <w:kern w:val="2"/>
          <w:sz w:val="20"/>
          <w:szCs w:val="20"/>
          <w:lang w:val="en-US" w:eastAsia="en-US"/>
          <w14:ligatures w14:val="standardContextual"/>
        </w:rPr>
        <w:t>Sjödahl</w:t>
      </w:r>
      <w:proofErr w:type="spellEnd"/>
      <w:r w:rsidRPr="007C5A6E">
        <w:rPr>
          <w:rFonts w:ascii="Times New Roman" w:eastAsiaTheme="minorHAnsi" w:hAnsi="Times New Roman"/>
          <w:kern w:val="2"/>
          <w:sz w:val="20"/>
          <w:szCs w:val="20"/>
          <w:lang w:val="en-US" w:eastAsia="en-US"/>
          <w14:ligatures w14:val="standardContextual"/>
        </w:rPr>
        <w:t xml:space="preserve"> K, Jansson C, Bergdahl IA, Adami J, </w:t>
      </w:r>
      <w:proofErr w:type="spellStart"/>
      <w:r w:rsidRPr="007C5A6E">
        <w:rPr>
          <w:rFonts w:ascii="Times New Roman" w:eastAsiaTheme="minorHAnsi" w:hAnsi="Times New Roman"/>
          <w:kern w:val="2"/>
          <w:sz w:val="20"/>
          <w:szCs w:val="20"/>
          <w:lang w:val="en-US" w:eastAsia="en-US"/>
          <w14:ligatures w14:val="standardContextual"/>
        </w:rPr>
        <w:t>Boffetta</w:t>
      </w:r>
      <w:proofErr w:type="spellEnd"/>
      <w:r w:rsidRPr="007C5A6E">
        <w:rPr>
          <w:rFonts w:ascii="Times New Roman" w:eastAsiaTheme="minorHAnsi" w:hAnsi="Times New Roman"/>
          <w:kern w:val="2"/>
          <w:sz w:val="20"/>
          <w:szCs w:val="20"/>
          <w:lang w:val="en-US" w:eastAsia="en-US"/>
          <w14:ligatures w14:val="standardContextual"/>
        </w:rPr>
        <w:t xml:space="preserve"> P, Lagergren J. Airborne exposures and risk of gastric cancer: a prospective cohort study. Int J Cancer. 1 </w:t>
      </w:r>
      <w:proofErr w:type="spellStart"/>
      <w:r w:rsidRPr="007C5A6E">
        <w:rPr>
          <w:rFonts w:ascii="Times New Roman" w:eastAsiaTheme="minorHAnsi" w:hAnsi="Times New Roman"/>
          <w:kern w:val="2"/>
          <w:sz w:val="20"/>
          <w:szCs w:val="20"/>
          <w:lang w:val="en-US" w:eastAsia="en-US"/>
          <w14:ligatures w14:val="standardContextual"/>
        </w:rPr>
        <w:t>mai</w:t>
      </w:r>
      <w:proofErr w:type="spellEnd"/>
      <w:r w:rsidRPr="007C5A6E">
        <w:rPr>
          <w:rFonts w:ascii="Times New Roman" w:eastAsiaTheme="minorHAnsi" w:hAnsi="Times New Roman"/>
          <w:kern w:val="2"/>
          <w:sz w:val="20"/>
          <w:szCs w:val="20"/>
          <w:lang w:val="en-US" w:eastAsia="en-US"/>
          <w14:ligatures w14:val="standardContextual"/>
        </w:rPr>
        <w:t xml:space="preserve"> 2007;120(9):2013</w:t>
      </w:r>
      <w:r w:rsidRPr="007C5A6E">
        <w:rPr>
          <w:rFonts w:ascii="Times New Roman" w:eastAsiaTheme="minorHAnsi" w:hAnsi="Times New Roman"/>
          <w:kern w:val="2"/>
          <w:sz w:val="20"/>
          <w:szCs w:val="20"/>
          <w:lang w:val="en-US" w:eastAsia="en-US"/>
          <w14:ligatures w14:val="standardContextual"/>
        </w:rPr>
        <w:noBreakHyphen/>
        <w:t>8.</w:t>
      </w:r>
    </w:p>
    <w:p w14:paraId="2889A0CA"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Ji J, </w:t>
      </w:r>
      <w:proofErr w:type="spellStart"/>
      <w:r w:rsidRPr="007C5A6E">
        <w:rPr>
          <w:rFonts w:ascii="Times New Roman" w:eastAsiaTheme="minorHAnsi" w:hAnsi="Times New Roman"/>
          <w:kern w:val="2"/>
          <w:sz w:val="20"/>
          <w:szCs w:val="20"/>
          <w:lang w:val="en-US" w:eastAsia="en-US"/>
          <w14:ligatures w14:val="standardContextual"/>
        </w:rPr>
        <w:t>Granström</w:t>
      </w:r>
      <w:proofErr w:type="spellEnd"/>
      <w:r w:rsidRPr="007C5A6E">
        <w:rPr>
          <w:rFonts w:ascii="Times New Roman" w:eastAsiaTheme="minorHAnsi" w:hAnsi="Times New Roman"/>
          <w:kern w:val="2"/>
          <w:sz w:val="20"/>
          <w:szCs w:val="20"/>
          <w:lang w:val="en-US" w:eastAsia="en-US"/>
          <w14:ligatures w14:val="standardContextual"/>
        </w:rPr>
        <w:t xml:space="preserve"> C, Hemminki K. Occupational risk factors for kidney cancer: a cohort study in Sweden. World J Urol. sept 2005;23(4):271</w:t>
      </w:r>
      <w:r w:rsidRPr="007C5A6E">
        <w:rPr>
          <w:rFonts w:ascii="Times New Roman" w:eastAsiaTheme="minorHAnsi" w:hAnsi="Times New Roman"/>
          <w:kern w:val="2"/>
          <w:sz w:val="20"/>
          <w:szCs w:val="20"/>
          <w:lang w:val="en-US" w:eastAsia="en-US"/>
          <w14:ligatures w14:val="standardContextual"/>
        </w:rPr>
        <w:noBreakHyphen/>
        <w:t>8.</w:t>
      </w:r>
    </w:p>
    <w:p w14:paraId="42EA33AF"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Van Gerwen M, Alerte E, Alsen M, Little C, Sinclair C, Genden E. The role of heavy metals in thyroid cancer: A meta-analysis. J Trace Elem Med Biol. </w:t>
      </w:r>
      <w:proofErr w:type="spellStart"/>
      <w:r w:rsidRPr="007C5A6E">
        <w:rPr>
          <w:rFonts w:ascii="Times New Roman" w:eastAsiaTheme="minorHAnsi" w:hAnsi="Times New Roman"/>
          <w:kern w:val="2"/>
          <w:sz w:val="20"/>
          <w:szCs w:val="20"/>
          <w:lang w:val="en-US" w:eastAsia="en-US"/>
          <w14:ligatures w14:val="standardContextual"/>
        </w:rPr>
        <w:t>janv</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gramStart"/>
      <w:r w:rsidRPr="007C5A6E">
        <w:rPr>
          <w:rFonts w:ascii="Times New Roman" w:eastAsiaTheme="minorHAnsi" w:hAnsi="Times New Roman"/>
          <w:kern w:val="2"/>
          <w:sz w:val="20"/>
          <w:szCs w:val="20"/>
          <w:lang w:val="en-US" w:eastAsia="en-US"/>
          <w14:ligatures w14:val="standardContextual"/>
        </w:rPr>
        <w:t>2022;69:126900</w:t>
      </w:r>
      <w:proofErr w:type="gramEnd"/>
      <w:r w:rsidRPr="007C5A6E">
        <w:rPr>
          <w:rFonts w:ascii="Times New Roman" w:eastAsiaTheme="minorHAnsi" w:hAnsi="Times New Roman"/>
          <w:kern w:val="2"/>
          <w:sz w:val="20"/>
          <w:szCs w:val="20"/>
          <w:lang w:val="en-US" w:eastAsia="en-US"/>
          <w14:ligatures w14:val="standardContextual"/>
        </w:rPr>
        <w:t>.</w:t>
      </w:r>
    </w:p>
    <w:p w14:paraId="2DCD934C"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Mirzaei A, Rashedi S, Akbari MR, Khatami F, </w:t>
      </w:r>
      <w:proofErr w:type="spellStart"/>
      <w:r w:rsidRPr="007C5A6E">
        <w:rPr>
          <w:rFonts w:ascii="Times New Roman" w:eastAsiaTheme="minorHAnsi" w:hAnsi="Times New Roman"/>
          <w:kern w:val="2"/>
          <w:sz w:val="20"/>
          <w:szCs w:val="20"/>
          <w:lang w:val="en-US" w:eastAsia="en-US"/>
          <w14:ligatures w14:val="standardContextual"/>
        </w:rPr>
        <w:t>Aghamir</w:t>
      </w:r>
      <w:proofErr w:type="spellEnd"/>
      <w:r w:rsidRPr="007C5A6E">
        <w:rPr>
          <w:rFonts w:ascii="Times New Roman" w:eastAsiaTheme="minorHAnsi" w:hAnsi="Times New Roman"/>
          <w:kern w:val="2"/>
          <w:sz w:val="20"/>
          <w:szCs w:val="20"/>
          <w:lang w:val="en-US" w:eastAsia="en-US"/>
          <w14:ligatures w14:val="standardContextual"/>
        </w:rPr>
        <w:t xml:space="preserve"> SMK. Combined anticancer effects of simvastatin and arsenic trioxide on prostate cancer cell lines via downregulation of the VEGF and OPN isoforms genes. J Cell Mol Med. </w:t>
      </w:r>
      <w:proofErr w:type="spellStart"/>
      <w:r w:rsidRPr="007C5A6E">
        <w:rPr>
          <w:rFonts w:ascii="Times New Roman" w:eastAsiaTheme="minorHAnsi" w:hAnsi="Times New Roman"/>
          <w:kern w:val="2"/>
          <w:sz w:val="20"/>
          <w:szCs w:val="20"/>
          <w:lang w:val="en-US" w:eastAsia="en-US"/>
          <w14:ligatures w14:val="standardContextual"/>
        </w:rPr>
        <w:t>mai</w:t>
      </w:r>
      <w:proofErr w:type="spellEnd"/>
      <w:r w:rsidRPr="007C5A6E">
        <w:rPr>
          <w:rFonts w:ascii="Times New Roman" w:eastAsiaTheme="minorHAnsi" w:hAnsi="Times New Roman"/>
          <w:kern w:val="2"/>
          <w:sz w:val="20"/>
          <w:szCs w:val="20"/>
          <w:lang w:val="en-US" w:eastAsia="en-US"/>
          <w14:ligatures w14:val="standardContextual"/>
        </w:rPr>
        <w:t xml:space="preserve"> 2022;26(9):2728</w:t>
      </w:r>
      <w:r w:rsidRPr="007C5A6E">
        <w:rPr>
          <w:rFonts w:ascii="Times New Roman" w:eastAsiaTheme="minorHAnsi" w:hAnsi="Times New Roman"/>
          <w:kern w:val="2"/>
          <w:sz w:val="20"/>
          <w:szCs w:val="20"/>
          <w:lang w:val="en-US" w:eastAsia="en-US"/>
          <w14:ligatures w14:val="standardContextual"/>
        </w:rPr>
        <w:noBreakHyphen/>
        <w:t xml:space="preserve">40. </w:t>
      </w:r>
    </w:p>
    <w:p w14:paraId="42989277"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Núñez O, Fernández-Navarro P, Martín-Méndez I, Bel-Lan A, </w:t>
      </w:r>
      <w:proofErr w:type="spellStart"/>
      <w:r w:rsidRPr="007C5A6E">
        <w:rPr>
          <w:rFonts w:ascii="Times New Roman" w:eastAsiaTheme="minorHAnsi" w:hAnsi="Times New Roman"/>
          <w:kern w:val="2"/>
          <w:sz w:val="20"/>
          <w:szCs w:val="20"/>
          <w:lang w:val="en-US" w:eastAsia="en-US"/>
          <w14:ligatures w14:val="standardContextual"/>
        </w:rPr>
        <w:t>Locutura</w:t>
      </w:r>
      <w:proofErr w:type="spellEnd"/>
      <w:r w:rsidRPr="007C5A6E">
        <w:rPr>
          <w:rFonts w:ascii="Times New Roman" w:eastAsiaTheme="minorHAnsi" w:hAnsi="Times New Roman"/>
          <w:kern w:val="2"/>
          <w:sz w:val="20"/>
          <w:szCs w:val="20"/>
          <w:lang w:val="en-US" w:eastAsia="en-US"/>
          <w14:ligatures w14:val="standardContextual"/>
        </w:rPr>
        <w:t xml:space="preserve"> JF, López-</w:t>
      </w:r>
      <w:proofErr w:type="spellStart"/>
      <w:r w:rsidRPr="007C5A6E">
        <w:rPr>
          <w:rFonts w:ascii="Times New Roman" w:eastAsiaTheme="minorHAnsi" w:hAnsi="Times New Roman"/>
          <w:kern w:val="2"/>
          <w:sz w:val="20"/>
          <w:szCs w:val="20"/>
          <w:lang w:val="en-US" w:eastAsia="en-US"/>
          <w14:ligatures w14:val="standardContextual"/>
        </w:rPr>
        <w:t>Abente</w:t>
      </w:r>
      <w:proofErr w:type="spellEnd"/>
      <w:r w:rsidRPr="007C5A6E">
        <w:rPr>
          <w:rFonts w:ascii="Times New Roman" w:eastAsiaTheme="minorHAnsi" w:hAnsi="Times New Roman"/>
          <w:kern w:val="2"/>
          <w:sz w:val="20"/>
          <w:szCs w:val="20"/>
          <w:lang w:val="en-US" w:eastAsia="en-US"/>
          <w14:ligatures w14:val="standardContextual"/>
        </w:rPr>
        <w:t xml:space="preserve"> G. Arsenic and chromium topsoil levels and cancer mortality in Spain. Environ Sci </w:t>
      </w:r>
      <w:proofErr w:type="spellStart"/>
      <w:r w:rsidRPr="007C5A6E">
        <w:rPr>
          <w:rFonts w:ascii="Times New Roman" w:eastAsiaTheme="minorHAnsi" w:hAnsi="Times New Roman"/>
          <w:kern w:val="2"/>
          <w:sz w:val="20"/>
          <w:szCs w:val="20"/>
          <w:lang w:val="en-US" w:eastAsia="en-US"/>
          <w14:ligatures w14:val="standardContextual"/>
        </w:rPr>
        <w:t>Pollut</w:t>
      </w:r>
      <w:proofErr w:type="spellEnd"/>
      <w:r w:rsidRPr="007C5A6E">
        <w:rPr>
          <w:rFonts w:ascii="Times New Roman" w:eastAsiaTheme="minorHAnsi" w:hAnsi="Times New Roman"/>
          <w:kern w:val="2"/>
          <w:sz w:val="20"/>
          <w:szCs w:val="20"/>
          <w:lang w:val="en-US" w:eastAsia="en-US"/>
          <w14:ligatures w14:val="standardContextual"/>
        </w:rPr>
        <w:t xml:space="preserve"> Res Int. sept 2016;23(17):17664</w:t>
      </w:r>
      <w:r w:rsidRPr="007C5A6E">
        <w:rPr>
          <w:rFonts w:ascii="Times New Roman" w:eastAsiaTheme="minorHAnsi" w:hAnsi="Times New Roman"/>
          <w:kern w:val="2"/>
          <w:sz w:val="20"/>
          <w:szCs w:val="20"/>
          <w:lang w:val="en-US" w:eastAsia="en-US"/>
          <w14:ligatures w14:val="standardContextual"/>
        </w:rPr>
        <w:noBreakHyphen/>
        <w:t>75.</w:t>
      </w:r>
    </w:p>
    <w:p w14:paraId="7237C07C"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Fei X, Lou Z, Christakos G, Ren Z, Liu Q, </w:t>
      </w:r>
      <w:proofErr w:type="spellStart"/>
      <w:r w:rsidRPr="007C5A6E">
        <w:rPr>
          <w:rFonts w:ascii="Times New Roman" w:eastAsiaTheme="minorHAnsi" w:hAnsi="Times New Roman"/>
          <w:kern w:val="2"/>
          <w:sz w:val="20"/>
          <w:szCs w:val="20"/>
          <w:lang w:val="en-US" w:eastAsia="en-US"/>
          <w14:ligatures w14:val="standardContextual"/>
        </w:rPr>
        <w:t>Lv</w:t>
      </w:r>
      <w:proofErr w:type="spellEnd"/>
      <w:r w:rsidRPr="007C5A6E">
        <w:rPr>
          <w:rFonts w:ascii="Times New Roman" w:eastAsiaTheme="minorHAnsi" w:hAnsi="Times New Roman"/>
          <w:kern w:val="2"/>
          <w:sz w:val="20"/>
          <w:szCs w:val="20"/>
          <w:lang w:val="en-US" w:eastAsia="en-US"/>
          <w14:ligatures w14:val="standardContextual"/>
        </w:rPr>
        <w:t xml:space="preserve"> X. The association between heavy metal soil pollution and stomach cancer: a case study in Hangzhou City, China. Environ Geochem Health. </w:t>
      </w:r>
      <w:proofErr w:type="spellStart"/>
      <w:r w:rsidRPr="007C5A6E">
        <w:rPr>
          <w:rFonts w:ascii="Times New Roman" w:eastAsiaTheme="minorHAnsi" w:hAnsi="Times New Roman"/>
          <w:kern w:val="2"/>
          <w:sz w:val="20"/>
          <w:szCs w:val="20"/>
          <w:lang w:val="en-US" w:eastAsia="en-US"/>
          <w14:ligatures w14:val="standardContextual"/>
        </w:rPr>
        <w:t>déc</w:t>
      </w:r>
      <w:proofErr w:type="spellEnd"/>
      <w:r w:rsidRPr="007C5A6E">
        <w:rPr>
          <w:rFonts w:ascii="Times New Roman" w:eastAsiaTheme="minorHAnsi" w:hAnsi="Times New Roman"/>
          <w:kern w:val="2"/>
          <w:sz w:val="20"/>
          <w:szCs w:val="20"/>
          <w:lang w:val="en-US" w:eastAsia="en-US"/>
          <w14:ligatures w14:val="standardContextual"/>
        </w:rPr>
        <w:t xml:space="preserve"> 2018;40(6):2481</w:t>
      </w:r>
      <w:r w:rsidRPr="007C5A6E">
        <w:rPr>
          <w:rFonts w:ascii="Times New Roman" w:eastAsiaTheme="minorHAnsi" w:hAnsi="Times New Roman"/>
          <w:kern w:val="2"/>
          <w:sz w:val="20"/>
          <w:szCs w:val="20"/>
          <w:lang w:val="en-US" w:eastAsia="en-US"/>
          <w14:ligatures w14:val="standardContextual"/>
        </w:rPr>
        <w:noBreakHyphen/>
        <w:t>90.</w:t>
      </w:r>
    </w:p>
    <w:p w14:paraId="5FE04C68"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Mohajer R, Salehi MH, Mohammadi J, Emami MH, Azarm T. The status of lead and cadmium in soils of high </w:t>
      </w:r>
      <w:proofErr w:type="spellStart"/>
      <w:r w:rsidRPr="007C5A6E">
        <w:rPr>
          <w:rFonts w:ascii="Times New Roman" w:eastAsiaTheme="minorHAnsi" w:hAnsi="Times New Roman"/>
          <w:kern w:val="2"/>
          <w:sz w:val="20"/>
          <w:szCs w:val="20"/>
          <w:lang w:val="en-US" w:eastAsia="en-US"/>
          <w14:ligatures w14:val="standardContextual"/>
        </w:rPr>
        <w:t>prevalenct</w:t>
      </w:r>
      <w:proofErr w:type="spellEnd"/>
      <w:r w:rsidRPr="007C5A6E">
        <w:rPr>
          <w:rFonts w:ascii="Times New Roman" w:eastAsiaTheme="minorHAnsi" w:hAnsi="Times New Roman"/>
          <w:kern w:val="2"/>
          <w:sz w:val="20"/>
          <w:szCs w:val="20"/>
          <w:lang w:val="en-US" w:eastAsia="en-US"/>
          <w14:ligatures w14:val="standardContextual"/>
        </w:rPr>
        <w:t xml:space="preserve"> gastrointestinal cancer region of Isfahan. J Res Med Sci. mars 2013;18(3):210</w:t>
      </w:r>
      <w:r w:rsidRPr="007C5A6E">
        <w:rPr>
          <w:rFonts w:ascii="Times New Roman" w:eastAsiaTheme="minorHAnsi" w:hAnsi="Times New Roman"/>
          <w:kern w:val="2"/>
          <w:sz w:val="20"/>
          <w:szCs w:val="20"/>
          <w:lang w:val="en-US" w:eastAsia="en-US"/>
          <w14:ligatures w14:val="standardContextual"/>
        </w:rPr>
        <w:noBreakHyphen/>
        <w:t>4.</w:t>
      </w:r>
    </w:p>
    <w:p w14:paraId="3AE01942"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proofErr w:type="spellStart"/>
      <w:r w:rsidRPr="007C5A6E">
        <w:rPr>
          <w:rFonts w:ascii="Times New Roman" w:eastAsiaTheme="minorHAnsi" w:hAnsi="Times New Roman"/>
          <w:kern w:val="2"/>
          <w:sz w:val="20"/>
          <w:szCs w:val="20"/>
          <w:lang w:val="en-US" w:eastAsia="en-US"/>
          <w14:ligatures w14:val="standardContextual"/>
        </w:rPr>
        <w:t>Tarhonska</w:t>
      </w:r>
      <w:proofErr w:type="spellEnd"/>
      <w:r w:rsidRPr="007C5A6E">
        <w:rPr>
          <w:rFonts w:ascii="Times New Roman" w:eastAsiaTheme="minorHAnsi" w:hAnsi="Times New Roman"/>
          <w:kern w:val="2"/>
          <w:sz w:val="20"/>
          <w:szCs w:val="20"/>
          <w:lang w:val="en-US" w:eastAsia="en-US"/>
          <w14:ligatures w14:val="standardContextual"/>
        </w:rPr>
        <w:t xml:space="preserve"> K, </w:t>
      </w:r>
      <w:proofErr w:type="spellStart"/>
      <w:r w:rsidRPr="007C5A6E">
        <w:rPr>
          <w:rFonts w:ascii="Times New Roman" w:eastAsiaTheme="minorHAnsi" w:hAnsi="Times New Roman"/>
          <w:kern w:val="2"/>
          <w:sz w:val="20"/>
          <w:szCs w:val="20"/>
          <w:lang w:val="en-US" w:eastAsia="en-US"/>
          <w14:ligatures w14:val="standardContextual"/>
        </w:rPr>
        <w:t>Lesicka</w:t>
      </w:r>
      <w:proofErr w:type="spellEnd"/>
      <w:r w:rsidRPr="007C5A6E">
        <w:rPr>
          <w:rFonts w:ascii="Times New Roman" w:eastAsiaTheme="minorHAnsi" w:hAnsi="Times New Roman"/>
          <w:kern w:val="2"/>
          <w:sz w:val="20"/>
          <w:szCs w:val="20"/>
          <w:lang w:val="en-US" w:eastAsia="en-US"/>
          <w14:ligatures w14:val="standardContextual"/>
        </w:rPr>
        <w:t xml:space="preserve"> M, Janasik B, Roszak J, Reszka E, Braun M, et al. Cadmium and breast cancer - Current state and research gaps in the underlying mechanisms. </w:t>
      </w:r>
      <w:proofErr w:type="spellStart"/>
      <w:r w:rsidRPr="007C5A6E">
        <w:rPr>
          <w:rFonts w:ascii="Times New Roman" w:eastAsiaTheme="minorHAnsi" w:hAnsi="Times New Roman"/>
          <w:kern w:val="2"/>
          <w:sz w:val="20"/>
          <w:szCs w:val="20"/>
          <w:lang w:val="en-US" w:eastAsia="en-US"/>
          <w14:ligatures w14:val="standardContextual"/>
        </w:rPr>
        <w:t>Toxicol</w:t>
      </w:r>
      <w:proofErr w:type="spellEnd"/>
      <w:r w:rsidRPr="007C5A6E">
        <w:rPr>
          <w:rFonts w:ascii="Times New Roman" w:eastAsiaTheme="minorHAnsi" w:hAnsi="Times New Roman"/>
          <w:kern w:val="2"/>
          <w:sz w:val="20"/>
          <w:szCs w:val="20"/>
          <w:lang w:val="en-US" w:eastAsia="en-US"/>
          <w14:ligatures w14:val="standardContextual"/>
        </w:rPr>
        <w:t xml:space="preserve"> Lett. 15 </w:t>
      </w:r>
      <w:proofErr w:type="spellStart"/>
      <w:r w:rsidRPr="007C5A6E">
        <w:rPr>
          <w:rFonts w:ascii="Times New Roman" w:eastAsiaTheme="minorHAnsi" w:hAnsi="Times New Roman"/>
          <w:kern w:val="2"/>
          <w:sz w:val="20"/>
          <w:szCs w:val="20"/>
          <w:lang w:val="en-US" w:eastAsia="en-US"/>
          <w14:ligatures w14:val="standardContextual"/>
        </w:rPr>
        <w:t>mai</w:t>
      </w:r>
      <w:proofErr w:type="spellEnd"/>
      <w:r w:rsidRPr="007C5A6E">
        <w:rPr>
          <w:rFonts w:ascii="Times New Roman" w:eastAsiaTheme="minorHAnsi" w:hAnsi="Times New Roman"/>
          <w:kern w:val="2"/>
          <w:sz w:val="20"/>
          <w:szCs w:val="20"/>
          <w:lang w:val="en-US" w:eastAsia="en-US"/>
          <w14:ligatures w14:val="standardContextual"/>
        </w:rPr>
        <w:t xml:space="preserve"> 2022 ;361 :29</w:t>
      </w:r>
      <w:r w:rsidRPr="007C5A6E">
        <w:rPr>
          <w:rFonts w:ascii="Times New Roman" w:eastAsiaTheme="minorHAnsi" w:hAnsi="Times New Roman"/>
          <w:kern w:val="2"/>
          <w:sz w:val="20"/>
          <w:szCs w:val="20"/>
          <w:lang w:val="en-US" w:eastAsia="en-US"/>
          <w14:ligatures w14:val="standardContextual"/>
        </w:rPr>
        <w:noBreakHyphen/>
        <w:t>42.</w:t>
      </w:r>
    </w:p>
    <w:p w14:paraId="4235CCE5"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Holy CE, Zhang S, Perkins LE, </w:t>
      </w:r>
      <w:proofErr w:type="spellStart"/>
      <w:r w:rsidRPr="007C5A6E">
        <w:rPr>
          <w:rFonts w:ascii="Times New Roman" w:eastAsiaTheme="minorHAnsi" w:hAnsi="Times New Roman"/>
          <w:kern w:val="2"/>
          <w:sz w:val="20"/>
          <w:szCs w:val="20"/>
          <w:lang w:val="en-US" w:eastAsia="en-US"/>
          <w14:ligatures w14:val="standardContextual"/>
        </w:rPr>
        <w:t>Hasgall</w:t>
      </w:r>
      <w:proofErr w:type="spellEnd"/>
      <w:r w:rsidRPr="007C5A6E">
        <w:rPr>
          <w:rFonts w:ascii="Times New Roman" w:eastAsiaTheme="minorHAnsi" w:hAnsi="Times New Roman"/>
          <w:kern w:val="2"/>
          <w:sz w:val="20"/>
          <w:szCs w:val="20"/>
          <w:lang w:val="en-US" w:eastAsia="en-US"/>
          <w14:ligatures w14:val="standardContextual"/>
        </w:rPr>
        <w:t xml:space="preserve"> P, Katz LB, Brown JR, et al. Site-specific cancer risk following cobalt exposure via orthopedic implants or in occupational settings: A systematic review and meta-analysis. </w:t>
      </w:r>
      <w:proofErr w:type="spellStart"/>
      <w:r w:rsidRPr="007C5A6E">
        <w:rPr>
          <w:rFonts w:ascii="Times New Roman" w:eastAsiaTheme="minorHAnsi" w:hAnsi="Times New Roman"/>
          <w:kern w:val="2"/>
          <w:sz w:val="20"/>
          <w:szCs w:val="20"/>
          <w:lang w:val="en-US" w:eastAsia="en-US"/>
          <w14:ligatures w14:val="standardContextual"/>
        </w:rPr>
        <w:t>Regul</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spellStart"/>
      <w:r w:rsidRPr="007C5A6E">
        <w:rPr>
          <w:rFonts w:ascii="Times New Roman" w:eastAsiaTheme="minorHAnsi" w:hAnsi="Times New Roman"/>
          <w:kern w:val="2"/>
          <w:sz w:val="20"/>
          <w:szCs w:val="20"/>
          <w:lang w:val="en-US" w:eastAsia="en-US"/>
          <w14:ligatures w14:val="standardContextual"/>
        </w:rPr>
        <w:t>Toxicol</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spellStart"/>
      <w:r w:rsidRPr="007C5A6E">
        <w:rPr>
          <w:rFonts w:ascii="Times New Roman" w:eastAsiaTheme="minorHAnsi" w:hAnsi="Times New Roman"/>
          <w:kern w:val="2"/>
          <w:sz w:val="20"/>
          <w:szCs w:val="20"/>
          <w:lang w:val="en-US" w:eastAsia="en-US"/>
          <w14:ligatures w14:val="standardContextual"/>
        </w:rPr>
        <w:t>Pharmacol</w:t>
      </w:r>
      <w:proofErr w:type="spellEnd"/>
      <w:r w:rsidRPr="007C5A6E">
        <w:rPr>
          <w:rFonts w:ascii="Times New Roman" w:eastAsiaTheme="minorHAnsi" w:hAnsi="Times New Roman"/>
          <w:kern w:val="2"/>
          <w:sz w:val="20"/>
          <w:szCs w:val="20"/>
          <w:lang w:val="en-US" w:eastAsia="en-US"/>
          <w14:ligatures w14:val="standardContextual"/>
        </w:rPr>
        <w:t xml:space="preserve">. mars </w:t>
      </w:r>
      <w:proofErr w:type="gramStart"/>
      <w:r w:rsidRPr="007C5A6E">
        <w:rPr>
          <w:rFonts w:ascii="Times New Roman" w:eastAsiaTheme="minorHAnsi" w:hAnsi="Times New Roman"/>
          <w:kern w:val="2"/>
          <w:sz w:val="20"/>
          <w:szCs w:val="20"/>
          <w:lang w:val="en-US" w:eastAsia="en-US"/>
          <w14:ligatures w14:val="standardContextual"/>
        </w:rPr>
        <w:t>2022;129:105096</w:t>
      </w:r>
      <w:proofErr w:type="gramEnd"/>
      <w:r w:rsidRPr="007C5A6E">
        <w:rPr>
          <w:rFonts w:ascii="Times New Roman" w:eastAsiaTheme="minorHAnsi" w:hAnsi="Times New Roman"/>
          <w:kern w:val="2"/>
          <w:sz w:val="20"/>
          <w:szCs w:val="20"/>
          <w:lang w:val="en-US" w:eastAsia="en-US"/>
          <w14:ligatures w14:val="standardContextual"/>
        </w:rPr>
        <w:t>.</w:t>
      </w:r>
    </w:p>
    <w:p w14:paraId="250257D1"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Greenwood-Van </w:t>
      </w:r>
      <w:proofErr w:type="spellStart"/>
      <w:r w:rsidRPr="007C5A6E">
        <w:rPr>
          <w:rFonts w:ascii="Times New Roman" w:eastAsiaTheme="minorHAnsi" w:hAnsi="Times New Roman"/>
          <w:kern w:val="2"/>
          <w:sz w:val="20"/>
          <w:szCs w:val="20"/>
          <w:lang w:val="en-US" w:eastAsia="en-US"/>
          <w14:ligatures w14:val="standardContextual"/>
        </w:rPr>
        <w:t>Meerveld</w:t>
      </w:r>
      <w:proofErr w:type="spellEnd"/>
      <w:r w:rsidRPr="007C5A6E">
        <w:rPr>
          <w:rFonts w:ascii="Times New Roman" w:eastAsiaTheme="minorHAnsi" w:hAnsi="Times New Roman"/>
          <w:kern w:val="2"/>
          <w:sz w:val="20"/>
          <w:szCs w:val="20"/>
          <w:lang w:val="en-US" w:eastAsia="en-US"/>
          <w14:ligatures w14:val="standardContextual"/>
        </w:rPr>
        <w:t xml:space="preserve"> B, Johnson AC, Grundy D. Gastrointestinal Physiology and Function. </w:t>
      </w:r>
      <w:proofErr w:type="spellStart"/>
      <w:r w:rsidRPr="007C5A6E">
        <w:rPr>
          <w:rFonts w:ascii="Times New Roman" w:eastAsiaTheme="minorHAnsi" w:hAnsi="Times New Roman"/>
          <w:kern w:val="2"/>
          <w:sz w:val="20"/>
          <w:szCs w:val="20"/>
          <w:lang w:val="en-US" w:eastAsia="en-US"/>
          <w14:ligatures w14:val="standardContextual"/>
        </w:rPr>
        <w:t>Handb</w:t>
      </w:r>
      <w:proofErr w:type="spellEnd"/>
      <w:r w:rsidRPr="007C5A6E">
        <w:rPr>
          <w:rFonts w:ascii="Times New Roman" w:eastAsiaTheme="minorHAnsi" w:hAnsi="Times New Roman"/>
          <w:kern w:val="2"/>
          <w:sz w:val="20"/>
          <w:szCs w:val="20"/>
          <w:lang w:val="en-US" w:eastAsia="en-US"/>
          <w14:ligatures w14:val="standardContextual"/>
        </w:rPr>
        <w:t xml:space="preserve"> Exp </w:t>
      </w:r>
      <w:proofErr w:type="spellStart"/>
      <w:r w:rsidRPr="007C5A6E">
        <w:rPr>
          <w:rFonts w:ascii="Times New Roman" w:eastAsiaTheme="minorHAnsi" w:hAnsi="Times New Roman"/>
          <w:kern w:val="2"/>
          <w:sz w:val="20"/>
          <w:szCs w:val="20"/>
          <w:lang w:val="en-US" w:eastAsia="en-US"/>
          <w14:ligatures w14:val="standardContextual"/>
        </w:rPr>
        <w:t>Pharmacol</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gramStart"/>
      <w:r w:rsidRPr="007C5A6E">
        <w:rPr>
          <w:rFonts w:ascii="Times New Roman" w:eastAsiaTheme="minorHAnsi" w:hAnsi="Times New Roman"/>
          <w:kern w:val="2"/>
          <w:sz w:val="20"/>
          <w:szCs w:val="20"/>
          <w:lang w:val="en-US" w:eastAsia="en-US"/>
          <w14:ligatures w14:val="standardContextual"/>
        </w:rPr>
        <w:t>2017 ;</w:t>
      </w:r>
      <w:proofErr w:type="gramEnd"/>
      <w:r w:rsidRPr="007C5A6E">
        <w:rPr>
          <w:rFonts w:ascii="Times New Roman" w:eastAsiaTheme="minorHAnsi" w:hAnsi="Times New Roman"/>
          <w:kern w:val="2"/>
          <w:sz w:val="20"/>
          <w:szCs w:val="20"/>
          <w:lang w:val="en-US" w:eastAsia="en-US"/>
          <w14:ligatures w14:val="standardContextual"/>
        </w:rPr>
        <w:t>239:1</w:t>
      </w:r>
      <w:r w:rsidRPr="007C5A6E">
        <w:rPr>
          <w:rFonts w:ascii="Times New Roman" w:eastAsiaTheme="minorHAnsi" w:hAnsi="Times New Roman"/>
          <w:kern w:val="2"/>
          <w:sz w:val="20"/>
          <w:szCs w:val="20"/>
          <w:lang w:val="en-US" w:eastAsia="en-US"/>
          <w14:ligatures w14:val="standardContextual"/>
        </w:rPr>
        <w:noBreakHyphen/>
        <w:t>16.</w:t>
      </w:r>
    </w:p>
    <w:p w14:paraId="65EFB29B"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proofErr w:type="spellStart"/>
      <w:r w:rsidRPr="007C5A6E">
        <w:rPr>
          <w:rFonts w:ascii="Times New Roman" w:eastAsiaTheme="minorHAnsi" w:hAnsi="Times New Roman"/>
          <w:kern w:val="2"/>
          <w:sz w:val="20"/>
          <w:szCs w:val="20"/>
          <w:lang w:val="en-US" w:eastAsia="en-US"/>
          <w14:ligatures w14:val="standardContextual"/>
        </w:rPr>
        <w:t>Farré</w:t>
      </w:r>
      <w:proofErr w:type="spellEnd"/>
      <w:r w:rsidRPr="007C5A6E">
        <w:rPr>
          <w:rFonts w:ascii="Times New Roman" w:eastAsiaTheme="minorHAnsi" w:hAnsi="Times New Roman"/>
          <w:kern w:val="2"/>
          <w:sz w:val="20"/>
          <w:szCs w:val="20"/>
          <w:lang w:val="en-US" w:eastAsia="en-US"/>
          <w14:ligatures w14:val="standardContextual"/>
        </w:rPr>
        <w:t xml:space="preserve"> R, Fiorani M, Abdu </w:t>
      </w:r>
      <w:proofErr w:type="spellStart"/>
      <w:r w:rsidRPr="007C5A6E">
        <w:rPr>
          <w:rFonts w:ascii="Times New Roman" w:eastAsiaTheme="minorHAnsi" w:hAnsi="Times New Roman"/>
          <w:kern w:val="2"/>
          <w:sz w:val="20"/>
          <w:szCs w:val="20"/>
          <w:lang w:val="en-US" w:eastAsia="en-US"/>
          <w14:ligatures w14:val="standardContextual"/>
        </w:rPr>
        <w:t>Rahiman</w:t>
      </w:r>
      <w:proofErr w:type="spellEnd"/>
      <w:r w:rsidRPr="007C5A6E">
        <w:rPr>
          <w:rFonts w:ascii="Times New Roman" w:eastAsiaTheme="minorHAnsi" w:hAnsi="Times New Roman"/>
          <w:kern w:val="2"/>
          <w:sz w:val="20"/>
          <w:szCs w:val="20"/>
          <w:lang w:val="en-US" w:eastAsia="en-US"/>
          <w14:ligatures w14:val="standardContextual"/>
        </w:rPr>
        <w:t xml:space="preserve"> S, Matteoli G. Intestinal Permeability, Inflammation and the Role of Nutrients. Nutrients. 23 </w:t>
      </w:r>
      <w:proofErr w:type="spellStart"/>
      <w:r w:rsidRPr="007C5A6E">
        <w:rPr>
          <w:rFonts w:ascii="Times New Roman" w:eastAsiaTheme="minorHAnsi" w:hAnsi="Times New Roman"/>
          <w:kern w:val="2"/>
          <w:sz w:val="20"/>
          <w:szCs w:val="20"/>
          <w:lang w:val="en-US" w:eastAsia="en-US"/>
          <w14:ligatures w14:val="standardContextual"/>
        </w:rPr>
        <w:t>avr</w:t>
      </w:r>
      <w:proofErr w:type="spellEnd"/>
      <w:r w:rsidRPr="007C5A6E">
        <w:rPr>
          <w:rFonts w:ascii="Times New Roman" w:eastAsiaTheme="minorHAnsi" w:hAnsi="Times New Roman"/>
          <w:kern w:val="2"/>
          <w:sz w:val="20"/>
          <w:szCs w:val="20"/>
          <w:lang w:val="en-US" w:eastAsia="en-US"/>
          <w14:ligatures w14:val="standardContextual"/>
        </w:rPr>
        <w:t xml:space="preserve"> 2020;12(4</w:t>
      </w:r>
      <w:proofErr w:type="gramStart"/>
      <w:r w:rsidRPr="007C5A6E">
        <w:rPr>
          <w:rFonts w:ascii="Times New Roman" w:eastAsiaTheme="minorHAnsi" w:hAnsi="Times New Roman"/>
          <w:kern w:val="2"/>
          <w:sz w:val="20"/>
          <w:szCs w:val="20"/>
          <w:lang w:val="en-US" w:eastAsia="en-US"/>
          <w14:ligatures w14:val="standardContextual"/>
        </w:rPr>
        <w:t>):E</w:t>
      </w:r>
      <w:proofErr w:type="gramEnd"/>
      <w:r w:rsidRPr="007C5A6E">
        <w:rPr>
          <w:rFonts w:ascii="Times New Roman" w:eastAsiaTheme="minorHAnsi" w:hAnsi="Times New Roman"/>
          <w:kern w:val="2"/>
          <w:sz w:val="20"/>
          <w:szCs w:val="20"/>
          <w:lang w:val="en-US" w:eastAsia="en-US"/>
          <w14:ligatures w14:val="standardContextual"/>
        </w:rPr>
        <w:t>1185.</w:t>
      </w:r>
    </w:p>
    <w:p w14:paraId="37A3E1AA"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Andersen ZJ, Jørgensen JT, Elsborg L, Lophaven SN, </w:t>
      </w:r>
      <w:proofErr w:type="spellStart"/>
      <w:r w:rsidRPr="007C5A6E">
        <w:rPr>
          <w:rFonts w:ascii="Times New Roman" w:eastAsiaTheme="minorHAnsi" w:hAnsi="Times New Roman"/>
          <w:kern w:val="2"/>
          <w:sz w:val="20"/>
          <w:szCs w:val="20"/>
          <w:lang w:val="en-US" w:eastAsia="en-US"/>
          <w14:ligatures w14:val="standardContextual"/>
        </w:rPr>
        <w:t>Backalarz</w:t>
      </w:r>
      <w:proofErr w:type="spellEnd"/>
      <w:r w:rsidRPr="007C5A6E">
        <w:rPr>
          <w:rFonts w:ascii="Times New Roman" w:eastAsiaTheme="minorHAnsi" w:hAnsi="Times New Roman"/>
          <w:kern w:val="2"/>
          <w:sz w:val="20"/>
          <w:szCs w:val="20"/>
          <w:lang w:val="en-US" w:eastAsia="en-US"/>
          <w14:ligatures w14:val="standardContextual"/>
        </w:rPr>
        <w:t xml:space="preserve"> C, Laursen JE, et al. Long-term exposure to road traffic noise and incidence of breast cancer: a cohort study. Breast Cancer Res. 5 oct 2018;20(1):119.</w:t>
      </w:r>
    </w:p>
    <w:p w14:paraId="25150C2E"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Sørensen M, Poulsen AH, Kroman N, Hvidtfeldt UA, Thacher JD, Roswall N, et al. Road and railway noise and risk for breast cancer: A nationwide study covering Denmark. Environ Res. </w:t>
      </w:r>
      <w:proofErr w:type="spellStart"/>
      <w:r w:rsidRPr="007C5A6E">
        <w:rPr>
          <w:rFonts w:ascii="Times New Roman" w:eastAsiaTheme="minorHAnsi" w:hAnsi="Times New Roman"/>
          <w:kern w:val="2"/>
          <w:sz w:val="20"/>
          <w:szCs w:val="20"/>
          <w:lang w:val="en-US" w:eastAsia="en-US"/>
          <w14:ligatures w14:val="standardContextual"/>
        </w:rPr>
        <w:t>avr</w:t>
      </w:r>
      <w:proofErr w:type="spellEnd"/>
      <w:r w:rsidRPr="007C5A6E">
        <w:rPr>
          <w:rFonts w:ascii="Times New Roman" w:eastAsiaTheme="minorHAnsi" w:hAnsi="Times New Roman"/>
          <w:kern w:val="2"/>
          <w:sz w:val="20"/>
          <w:szCs w:val="20"/>
          <w:lang w:val="en-US" w:eastAsia="en-US"/>
          <w14:ligatures w14:val="standardContextual"/>
        </w:rPr>
        <w:t xml:space="preserve"> </w:t>
      </w:r>
      <w:proofErr w:type="gramStart"/>
      <w:r w:rsidRPr="007C5A6E">
        <w:rPr>
          <w:rFonts w:ascii="Times New Roman" w:eastAsiaTheme="minorHAnsi" w:hAnsi="Times New Roman"/>
          <w:kern w:val="2"/>
          <w:sz w:val="20"/>
          <w:szCs w:val="20"/>
          <w:lang w:val="en-US" w:eastAsia="en-US"/>
          <w14:ligatures w14:val="standardContextual"/>
        </w:rPr>
        <w:t>2021;195:110739</w:t>
      </w:r>
      <w:proofErr w:type="gramEnd"/>
      <w:r w:rsidRPr="007C5A6E">
        <w:rPr>
          <w:rFonts w:ascii="Times New Roman" w:eastAsiaTheme="minorHAnsi" w:hAnsi="Times New Roman"/>
          <w:kern w:val="2"/>
          <w:sz w:val="20"/>
          <w:szCs w:val="20"/>
          <w:lang w:val="en-US" w:eastAsia="en-US"/>
          <w14:ligatures w14:val="standardContextual"/>
        </w:rPr>
        <w:t>.</w:t>
      </w:r>
    </w:p>
    <w:p w14:paraId="3380F6E3"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Clark C, Crumpler C, Notley AH. Evidence for Environmental Noise Effects on Health for the United Kingdom Policy Context: A Systematic Review of the Effects of Environmental Noise on Mental Health, Wellbeing, Quality of Life, Cancer, Dementia, Birth, Reproductive Outcomes, and Cognition. Int J Environ Res Public Health. 7 </w:t>
      </w:r>
      <w:proofErr w:type="spellStart"/>
      <w:r w:rsidRPr="007C5A6E">
        <w:rPr>
          <w:rFonts w:ascii="Times New Roman" w:eastAsiaTheme="minorHAnsi" w:hAnsi="Times New Roman"/>
          <w:kern w:val="2"/>
          <w:sz w:val="20"/>
          <w:szCs w:val="20"/>
          <w:lang w:val="en-US" w:eastAsia="en-US"/>
          <w14:ligatures w14:val="standardContextual"/>
        </w:rPr>
        <w:t>janv</w:t>
      </w:r>
      <w:proofErr w:type="spellEnd"/>
      <w:r w:rsidRPr="007C5A6E">
        <w:rPr>
          <w:rFonts w:ascii="Times New Roman" w:eastAsiaTheme="minorHAnsi" w:hAnsi="Times New Roman"/>
          <w:kern w:val="2"/>
          <w:sz w:val="20"/>
          <w:szCs w:val="20"/>
          <w:lang w:val="en-US" w:eastAsia="en-US"/>
          <w14:ligatures w14:val="standardContextual"/>
        </w:rPr>
        <w:t xml:space="preserve"> 2020;17(2</w:t>
      </w:r>
      <w:proofErr w:type="gramStart"/>
      <w:r w:rsidRPr="007C5A6E">
        <w:rPr>
          <w:rFonts w:ascii="Times New Roman" w:eastAsiaTheme="minorHAnsi" w:hAnsi="Times New Roman"/>
          <w:kern w:val="2"/>
          <w:sz w:val="20"/>
          <w:szCs w:val="20"/>
          <w:lang w:val="en-US" w:eastAsia="en-US"/>
          <w14:ligatures w14:val="standardContextual"/>
        </w:rPr>
        <w:t>):E</w:t>
      </w:r>
      <w:proofErr w:type="gramEnd"/>
      <w:r w:rsidRPr="007C5A6E">
        <w:rPr>
          <w:rFonts w:ascii="Times New Roman" w:eastAsiaTheme="minorHAnsi" w:hAnsi="Times New Roman"/>
          <w:kern w:val="2"/>
          <w:sz w:val="20"/>
          <w:szCs w:val="20"/>
          <w:lang w:val="en-US" w:eastAsia="en-US"/>
          <w14:ligatures w14:val="standardContextual"/>
        </w:rPr>
        <w:t>393</w:t>
      </w:r>
    </w:p>
    <w:p w14:paraId="758C2273"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Schmidt FP, Basner M, Kröger G, Weck S, Schnorbus B, </w:t>
      </w:r>
      <w:proofErr w:type="spellStart"/>
      <w:r w:rsidRPr="007C5A6E">
        <w:rPr>
          <w:rFonts w:ascii="Times New Roman" w:eastAsiaTheme="minorHAnsi" w:hAnsi="Times New Roman"/>
          <w:kern w:val="2"/>
          <w:sz w:val="20"/>
          <w:szCs w:val="20"/>
          <w:lang w:val="en-US" w:eastAsia="en-US"/>
          <w14:ligatures w14:val="standardContextual"/>
        </w:rPr>
        <w:t>Muttray</w:t>
      </w:r>
      <w:proofErr w:type="spellEnd"/>
      <w:r w:rsidRPr="007C5A6E">
        <w:rPr>
          <w:rFonts w:ascii="Times New Roman" w:eastAsiaTheme="minorHAnsi" w:hAnsi="Times New Roman"/>
          <w:kern w:val="2"/>
          <w:sz w:val="20"/>
          <w:szCs w:val="20"/>
          <w:lang w:val="en-US" w:eastAsia="en-US"/>
          <w14:ligatures w14:val="standardContextual"/>
        </w:rPr>
        <w:t xml:space="preserve"> A, et al. Effect of nighttime aircraft noise exposure on endothelial function and stress hormone release in healthy adults. </w:t>
      </w:r>
      <w:proofErr w:type="spellStart"/>
      <w:r w:rsidRPr="007C5A6E">
        <w:rPr>
          <w:rFonts w:ascii="Times New Roman" w:eastAsiaTheme="minorHAnsi" w:hAnsi="Times New Roman"/>
          <w:kern w:val="2"/>
          <w:sz w:val="20"/>
          <w:szCs w:val="20"/>
          <w:lang w:val="en-US" w:eastAsia="en-US"/>
          <w14:ligatures w14:val="standardContextual"/>
        </w:rPr>
        <w:t>Eur</w:t>
      </w:r>
      <w:proofErr w:type="spellEnd"/>
      <w:r w:rsidRPr="007C5A6E">
        <w:rPr>
          <w:rFonts w:ascii="Times New Roman" w:eastAsiaTheme="minorHAnsi" w:hAnsi="Times New Roman"/>
          <w:kern w:val="2"/>
          <w:sz w:val="20"/>
          <w:szCs w:val="20"/>
          <w:lang w:val="en-US" w:eastAsia="en-US"/>
          <w14:ligatures w14:val="standardContextual"/>
        </w:rPr>
        <w:t xml:space="preserve"> Heart J. </w:t>
      </w:r>
      <w:proofErr w:type="spellStart"/>
      <w:r w:rsidRPr="007C5A6E">
        <w:rPr>
          <w:rFonts w:ascii="Times New Roman" w:eastAsiaTheme="minorHAnsi" w:hAnsi="Times New Roman"/>
          <w:kern w:val="2"/>
          <w:sz w:val="20"/>
          <w:szCs w:val="20"/>
          <w:lang w:val="en-US" w:eastAsia="en-US"/>
          <w14:ligatures w14:val="standardContextual"/>
        </w:rPr>
        <w:t>déc</w:t>
      </w:r>
      <w:proofErr w:type="spellEnd"/>
      <w:r w:rsidRPr="007C5A6E">
        <w:rPr>
          <w:rFonts w:ascii="Times New Roman" w:eastAsiaTheme="minorHAnsi" w:hAnsi="Times New Roman"/>
          <w:kern w:val="2"/>
          <w:sz w:val="20"/>
          <w:szCs w:val="20"/>
          <w:lang w:val="en-US" w:eastAsia="en-US"/>
          <w14:ligatures w14:val="standardContextual"/>
        </w:rPr>
        <w:t xml:space="preserve"> 2013;34(45):3508</w:t>
      </w:r>
      <w:r w:rsidRPr="007C5A6E">
        <w:rPr>
          <w:rFonts w:ascii="Times New Roman" w:eastAsiaTheme="minorHAnsi" w:hAnsi="Times New Roman"/>
          <w:kern w:val="2"/>
          <w:sz w:val="20"/>
          <w:szCs w:val="20"/>
          <w:lang w:val="en-US" w:eastAsia="en-US"/>
          <w14:ligatures w14:val="standardContextual"/>
        </w:rPr>
        <w:noBreakHyphen/>
        <w:t>3514a.</w:t>
      </w:r>
    </w:p>
    <w:p w14:paraId="1C129AA1"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Roswall N, Eriksen KT, Hjortebjerg D, Jensen SS, Overvad K, </w:t>
      </w:r>
      <w:proofErr w:type="spellStart"/>
      <w:r w:rsidRPr="007C5A6E">
        <w:rPr>
          <w:rFonts w:ascii="Times New Roman" w:eastAsiaTheme="minorHAnsi" w:hAnsi="Times New Roman"/>
          <w:kern w:val="2"/>
          <w:sz w:val="20"/>
          <w:szCs w:val="20"/>
          <w:lang w:val="en-US" w:eastAsia="en-US"/>
          <w14:ligatures w14:val="standardContextual"/>
        </w:rPr>
        <w:t>Tjønneland</w:t>
      </w:r>
      <w:proofErr w:type="spellEnd"/>
      <w:r w:rsidRPr="007C5A6E">
        <w:rPr>
          <w:rFonts w:ascii="Times New Roman" w:eastAsiaTheme="minorHAnsi" w:hAnsi="Times New Roman"/>
          <w:kern w:val="2"/>
          <w:sz w:val="20"/>
          <w:szCs w:val="20"/>
          <w:lang w:val="en-US" w:eastAsia="en-US"/>
          <w14:ligatures w14:val="standardContextual"/>
        </w:rPr>
        <w:t xml:space="preserve"> A, et al. Residential Exposure to Road and Railway Noise and Risk of Prostate Cancer: A Prospective Cohort Study. </w:t>
      </w:r>
      <w:proofErr w:type="spellStart"/>
      <w:r w:rsidRPr="007C5A6E">
        <w:rPr>
          <w:rFonts w:ascii="Times New Roman" w:eastAsiaTheme="minorHAnsi" w:hAnsi="Times New Roman"/>
          <w:kern w:val="2"/>
          <w:sz w:val="20"/>
          <w:szCs w:val="20"/>
          <w:lang w:val="en-US" w:eastAsia="en-US"/>
          <w14:ligatures w14:val="standardContextual"/>
        </w:rPr>
        <w:t>PLoS</w:t>
      </w:r>
      <w:proofErr w:type="spellEnd"/>
      <w:r w:rsidRPr="007C5A6E">
        <w:rPr>
          <w:rFonts w:ascii="Times New Roman" w:eastAsiaTheme="minorHAnsi" w:hAnsi="Times New Roman"/>
          <w:kern w:val="2"/>
          <w:sz w:val="20"/>
          <w:szCs w:val="20"/>
          <w:lang w:val="en-US" w:eastAsia="en-US"/>
          <w14:ligatures w14:val="standardContextual"/>
        </w:rPr>
        <w:t xml:space="preserve"> One. 2015;10(8</w:t>
      </w:r>
      <w:proofErr w:type="gramStart"/>
      <w:r w:rsidRPr="007C5A6E">
        <w:rPr>
          <w:rFonts w:ascii="Times New Roman" w:eastAsiaTheme="minorHAnsi" w:hAnsi="Times New Roman"/>
          <w:kern w:val="2"/>
          <w:sz w:val="20"/>
          <w:szCs w:val="20"/>
          <w:lang w:val="en-US" w:eastAsia="en-US"/>
          <w14:ligatures w14:val="standardContextual"/>
        </w:rPr>
        <w:t>):e</w:t>
      </w:r>
      <w:proofErr w:type="gramEnd"/>
      <w:r w:rsidRPr="007C5A6E">
        <w:rPr>
          <w:rFonts w:ascii="Times New Roman" w:eastAsiaTheme="minorHAnsi" w:hAnsi="Times New Roman"/>
          <w:kern w:val="2"/>
          <w:sz w:val="20"/>
          <w:szCs w:val="20"/>
          <w:lang w:val="en-US" w:eastAsia="en-US"/>
          <w14:ligatures w14:val="standardContextual"/>
        </w:rPr>
        <w:t>0135407.</w:t>
      </w:r>
    </w:p>
    <w:p w14:paraId="10C2C7EA"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Roswall N, Raaschou-Nielsen O, Ketzel M, Overvad K, Halkjær J, Sørensen M. Modeled traffic noise at the residence and colorectal cancer incidence: a cohort study. Cancer Causes Control. </w:t>
      </w:r>
      <w:proofErr w:type="spellStart"/>
      <w:r w:rsidRPr="007C5A6E">
        <w:rPr>
          <w:rFonts w:ascii="Times New Roman" w:eastAsiaTheme="minorHAnsi" w:hAnsi="Times New Roman"/>
          <w:kern w:val="2"/>
          <w:sz w:val="20"/>
          <w:szCs w:val="20"/>
          <w:lang w:val="en-US" w:eastAsia="en-US"/>
          <w14:ligatures w14:val="standardContextual"/>
        </w:rPr>
        <w:t>juill</w:t>
      </w:r>
      <w:proofErr w:type="spellEnd"/>
      <w:r w:rsidRPr="007C5A6E">
        <w:rPr>
          <w:rFonts w:ascii="Times New Roman" w:eastAsiaTheme="minorHAnsi" w:hAnsi="Times New Roman"/>
          <w:kern w:val="2"/>
          <w:sz w:val="20"/>
          <w:szCs w:val="20"/>
          <w:lang w:val="en-US" w:eastAsia="en-US"/>
          <w14:ligatures w14:val="standardContextual"/>
        </w:rPr>
        <w:t xml:space="preserve"> 2017;28(7):745</w:t>
      </w:r>
      <w:r w:rsidRPr="007C5A6E">
        <w:rPr>
          <w:rFonts w:ascii="Times New Roman" w:eastAsiaTheme="minorHAnsi" w:hAnsi="Times New Roman"/>
          <w:kern w:val="2"/>
          <w:sz w:val="20"/>
          <w:szCs w:val="20"/>
          <w:lang w:val="en-US" w:eastAsia="en-US"/>
          <w14:ligatures w14:val="standardContextual"/>
        </w:rPr>
        <w:noBreakHyphen/>
        <w:t>53.</w:t>
      </w:r>
    </w:p>
    <w:p w14:paraId="1B7C230B"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Hegewald J, Schubert M, Wagner M, </w:t>
      </w:r>
      <w:proofErr w:type="spellStart"/>
      <w:r w:rsidRPr="007C5A6E">
        <w:rPr>
          <w:rFonts w:ascii="Times New Roman" w:eastAsiaTheme="minorHAnsi" w:hAnsi="Times New Roman"/>
          <w:kern w:val="2"/>
          <w:sz w:val="20"/>
          <w:szCs w:val="20"/>
          <w:lang w:val="en-US" w:eastAsia="en-US"/>
          <w14:ligatures w14:val="standardContextual"/>
        </w:rPr>
        <w:t>Dröge</w:t>
      </w:r>
      <w:proofErr w:type="spellEnd"/>
      <w:r w:rsidRPr="007C5A6E">
        <w:rPr>
          <w:rFonts w:ascii="Times New Roman" w:eastAsiaTheme="minorHAnsi" w:hAnsi="Times New Roman"/>
          <w:kern w:val="2"/>
          <w:sz w:val="20"/>
          <w:szCs w:val="20"/>
          <w:lang w:val="en-US" w:eastAsia="en-US"/>
          <w14:ligatures w14:val="standardContextual"/>
        </w:rPr>
        <w:t xml:space="preserve"> P, </w:t>
      </w:r>
      <w:proofErr w:type="spellStart"/>
      <w:r w:rsidRPr="007C5A6E">
        <w:rPr>
          <w:rFonts w:ascii="Times New Roman" w:eastAsiaTheme="minorHAnsi" w:hAnsi="Times New Roman"/>
          <w:kern w:val="2"/>
          <w:sz w:val="20"/>
          <w:szCs w:val="20"/>
          <w:lang w:val="en-US" w:eastAsia="en-US"/>
          <w14:ligatures w14:val="standardContextual"/>
        </w:rPr>
        <w:t>Prote</w:t>
      </w:r>
      <w:proofErr w:type="spellEnd"/>
      <w:r w:rsidRPr="007C5A6E">
        <w:rPr>
          <w:rFonts w:ascii="Times New Roman" w:eastAsiaTheme="minorHAnsi" w:hAnsi="Times New Roman"/>
          <w:kern w:val="2"/>
          <w:sz w:val="20"/>
          <w:szCs w:val="20"/>
          <w:lang w:val="en-US" w:eastAsia="en-US"/>
          <w14:ligatures w14:val="standardContextual"/>
        </w:rPr>
        <w:t xml:space="preserve"> U, Swart E, et al. Breast cancer and exposure to aircraft, road, and railway-noise: a case-control study based on health insurance records. Scand J Work Environ Health. 1 </w:t>
      </w:r>
      <w:proofErr w:type="spellStart"/>
      <w:r w:rsidRPr="007C5A6E">
        <w:rPr>
          <w:rFonts w:ascii="Times New Roman" w:eastAsiaTheme="minorHAnsi" w:hAnsi="Times New Roman"/>
          <w:kern w:val="2"/>
          <w:sz w:val="20"/>
          <w:szCs w:val="20"/>
          <w:lang w:val="en-US" w:eastAsia="en-US"/>
          <w14:ligatures w14:val="standardContextual"/>
        </w:rPr>
        <w:t>nov</w:t>
      </w:r>
      <w:proofErr w:type="spellEnd"/>
      <w:r w:rsidRPr="007C5A6E">
        <w:rPr>
          <w:rFonts w:ascii="Times New Roman" w:eastAsiaTheme="minorHAnsi" w:hAnsi="Times New Roman"/>
          <w:kern w:val="2"/>
          <w:sz w:val="20"/>
          <w:szCs w:val="20"/>
          <w:lang w:val="en-US" w:eastAsia="en-US"/>
          <w14:ligatures w14:val="standardContextual"/>
        </w:rPr>
        <w:t xml:space="preserve"> 2017;43(6):509</w:t>
      </w:r>
      <w:r w:rsidRPr="007C5A6E">
        <w:rPr>
          <w:rFonts w:ascii="Times New Roman" w:eastAsiaTheme="minorHAnsi" w:hAnsi="Times New Roman"/>
          <w:kern w:val="2"/>
          <w:sz w:val="20"/>
          <w:szCs w:val="20"/>
          <w:lang w:val="en-US" w:eastAsia="en-US"/>
          <w14:ligatures w14:val="standardContextual"/>
        </w:rPr>
        <w:noBreakHyphen/>
        <w:t>18.</w:t>
      </w:r>
    </w:p>
    <w:p w14:paraId="045917F8"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Carpenter DO. Human disease resulting from exposure to electromagnetic fields. Rev Environ Health. 2013;28(4):159‑72.</w:t>
      </w:r>
    </w:p>
    <w:p w14:paraId="68F936B2"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Del Fiore P, Russo I, Dal Monico A, Tartaglia J, Ferrazzi B, Mazza M, et al. Altitude Effect on Cutaneous Melanoma Epidemiology in the Veneto Region (Northern Italy): A Pilot Study. Life (Basel). 17 </w:t>
      </w:r>
      <w:proofErr w:type="spellStart"/>
      <w:r w:rsidRPr="007C5A6E">
        <w:rPr>
          <w:rFonts w:ascii="Times New Roman" w:eastAsiaTheme="minorHAnsi" w:hAnsi="Times New Roman"/>
          <w:kern w:val="2"/>
          <w:sz w:val="20"/>
          <w:szCs w:val="20"/>
          <w:lang w:val="en-US" w:eastAsia="en-US"/>
          <w14:ligatures w14:val="standardContextual"/>
        </w:rPr>
        <w:t>mai</w:t>
      </w:r>
      <w:proofErr w:type="spellEnd"/>
      <w:r w:rsidRPr="007C5A6E">
        <w:rPr>
          <w:rFonts w:ascii="Times New Roman" w:eastAsiaTheme="minorHAnsi" w:hAnsi="Times New Roman"/>
          <w:kern w:val="2"/>
          <w:sz w:val="20"/>
          <w:szCs w:val="20"/>
          <w:lang w:val="en-US" w:eastAsia="en-US"/>
          <w14:ligatures w14:val="standardContextual"/>
        </w:rPr>
        <w:t xml:space="preserve"> 2022;12(5):745.</w:t>
      </w:r>
    </w:p>
    <w:p w14:paraId="3BB42DF2"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Rattan S, Flaws JA. The epigenetic impacts of endocrine disruptors on female </w:t>
      </w:r>
      <w:proofErr w:type="spellStart"/>
      <w:r w:rsidRPr="007C5A6E">
        <w:rPr>
          <w:rFonts w:ascii="Times New Roman" w:eastAsiaTheme="minorHAnsi" w:hAnsi="Times New Roman"/>
          <w:kern w:val="2"/>
          <w:sz w:val="20"/>
          <w:szCs w:val="20"/>
          <w:lang w:val="en-US" w:eastAsia="en-US"/>
          <w14:ligatures w14:val="standardContextual"/>
        </w:rPr>
        <w:t>reproduc</w:t>
      </w:r>
      <w:proofErr w:type="spellEnd"/>
      <w:r w:rsidRPr="007C5A6E">
        <w:rPr>
          <w:rFonts w:ascii="Times New Roman" w:eastAsiaTheme="minorHAnsi" w:hAnsi="Times New Roman"/>
          <w:kern w:val="2"/>
          <w:sz w:val="20"/>
          <w:szCs w:val="20"/>
          <w:lang w:val="en-US" w:eastAsia="en-US"/>
          <w14:ligatures w14:val="standardContextual"/>
        </w:rPr>
        <w:t xml:space="preserve"> on across genera </w:t>
      </w:r>
      <w:proofErr w:type="spellStart"/>
      <w:r w:rsidRPr="007C5A6E">
        <w:rPr>
          <w:rFonts w:ascii="Times New Roman" w:eastAsiaTheme="minorHAnsi" w:hAnsi="Times New Roman"/>
          <w:kern w:val="2"/>
          <w:sz w:val="20"/>
          <w:szCs w:val="20"/>
          <w:lang w:val="en-US" w:eastAsia="en-US"/>
          <w14:ligatures w14:val="standardContextual"/>
        </w:rPr>
        <w:t>ons</w:t>
      </w:r>
      <w:proofErr w:type="spellEnd"/>
      <w:r w:rsidRPr="007C5A6E">
        <w:rPr>
          <w:rFonts w:ascii="Times New Roman" w:eastAsiaTheme="minorHAnsi" w:hAnsi="Times New Roman"/>
          <w:kern w:val="2"/>
          <w:sz w:val="20"/>
          <w:szCs w:val="20"/>
          <w:lang w:val="en-US" w:eastAsia="en-US"/>
          <w14:ligatures w14:val="standardContextual"/>
        </w:rPr>
        <w:t xml:space="preserve">†. Biol </w:t>
      </w:r>
      <w:proofErr w:type="spellStart"/>
      <w:r w:rsidRPr="007C5A6E">
        <w:rPr>
          <w:rFonts w:ascii="Times New Roman" w:eastAsiaTheme="minorHAnsi" w:hAnsi="Times New Roman"/>
          <w:kern w:val="2"/>
          <w:sz w:val="20"/>
          <w:szCs w:val="20"/>
          <w:lang w:val="en-US" w:eastAsia="en-US"/>
          <w14:ligatures w14:val="standardContextual"/>
        </w:rPr>
        <w:t>Reprod</w:t>
      </w:r>
      <w:proofErr w:type="spellEnd"/>
      <w:r w:rsidRPr="007C5A6E">
        <w:rPr>
          <w:rFonts w:ascii="Times New Roman" w:eastAsiaTheme="minorHAnsi" w:hAnsi="Times New Roman"/>
          <w:kern w:val="2"/>
          <w:sz w:val="20"/>
          <w:szCs w:val="20"/>
          <w:lang w:val="en-US" w:eastAsia="en-US"/>
          <w14:ligatures w14:val="standardContextual"/>
        </w:rPr>
        <w:t>. 1 sept 2019;101(3):635</w:t>
      </w:r>
      <w:r w:rsidRPr="007C5A6E">
        <w:rPr>
          <w:rFonts w:ascii="Times New Roman" w:eastAsiaTheme="minorHAnsi" w:hAnsi="Times New Roman"/>
          <w:kern w:val="2"/>
          <w:sz w:val="20"/>
          <w:szCs w:val="20"/>
          <w:lang w:val="en-US" w:eastAsia="en-US"/>
          <w14:ligatures w14:val="standardContextual"/>
        </w:rPr>
        <w:noBreakHyphen/>
        <w:t>44.</w:t>
      </w:r>
    </w:p>
    <w:p w14:paraId="0A536A3E"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International Agency for Research on Cancer. (1992). Monographs on the evaluation of carcinogenic risks to humans. Solar and ultraviolet radiation (no 55).</w:t>
      </w:r>
    </w:p>
    <w:p w14:paraId="3D1F9162"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Schmitt, J., Seidler, A., </w:t>
      </w:r>
      <w:proofErr w:type="spellStart"/>
      <w:r w:rsidRPr="007C5A6E">
        <w:rPr>
          <w:rFonts w:ascii="Times New Roman" w:eastAsiaTheme="minorHAnsi" w:hAnsi="Times New Roman"/>
          <w:kern w:val="2"/>
          <w:sz w:val="20"/>
          <w:szCs w:val="20"/>
          <w:lang w:val="en-US" w:eastAsia="en-US"/>
          <w14:ligatures w14:val="standardContextual"/>
        </w:rPr>
        <w:t>Diepgen</w:t>
      </w:r>
      <w:proofErr w:type="spellEnd"/>
      <w:r w:rsidRPr="007C5A6E">
        <w:rPr>
          <w:rFonts w:ascii="Times New Roman" w:eastAsiaTheme="minorHAnsi" w:hAnsi="Times New Roman"/>
          <w:kern w:val="2"/>
          <w:sz w:val="20"/>
          <w:szCs w:val="20"/>
          <w:lang w:val="en-US" w:eastAsia="en-US"/>
          <w14:ligatures w14:val="standardContextual"/>
        </w:rPr>
        <w:t>, T. l. et Bauer, A. (2011). Occupational ultraviolet light exposure increases the risk for the development of cutaneous squamous cell carcinoma: a systematic review and meta-analysis. British Journal of Dermatology, 164(2), 291‐307. 10.1111/j.1365 2133.2010.10118.x</w:t>
      </w:r>
    </w:p>
    <w:p w14:paraId="7F1933AA"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Watson, M., Holman, D. M. et Maguire-Eisen, M. (2016). Ultraviolet radiation exposure and its impact on skin cancer risk. Seminars in Oncology Nursing, 32(3), 241‐254. 10.1016/j.soncn.2016.05.005</w:t>
      </w:r>
    </w:p>
    <w:p w14:paraId="04E00383"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Xiang, F., Lucas, R., Hales, S. et Neale, R. (2014). Incidence of nonmelanoma skin cancer in relation to ambient UV radiation in white populations, 1978-2012: empirical relationships. JAMA dermatology, 150(10), 1063‐1071.</w:t>
      </w:r>
    </w:p>
    <w:p w14:paraId="20F36AB8"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Pinault, L., Bushnik, T., </w:t>
      </w:r>
      <w:proofErr w:type="spellStart"/>
      <w:r w:rsidRPr="007C5A6E">
        <w:rPr>
          <w:rFonts w:ascii="Times New Roman" w:eastAsiaTheme="minorHAnsi" w:hAnsi="Times New Roman"/>
          <w:kern w:val="2"/>
          <w:sz w:val="20"/>
          <w:szCs w:val="20"/>
          <w:lang w:val="en-US" w:eastAsia="en-US"/>
          <w14:ligatures w14:val="standardContextual"/>
        </w:rPr>
        <w:t>Fioletov</w:t>
      </w:r>
      <w:proofErr w:type="spellEnd"/>
      <w:r w:rsidRPr="007C5A6E">
        <w:rPr>
          <w:rFonts w:ascii="Times New Roman" w:eastAsiaTheme="minorHAnsi" w:hAnsi="Times New Roman"/>
          <w:kern w:val="2"/>
          <w:sz w:val="20"/>
          <w:szCs w:val="20"/>
          <w:lang w:val="en-US" w:eastAsia="en-US"/>
          <w14:ligatures w14:val="standardContextual"/>
        </w:rPr>
        <w:t>, V., Peters, C. E., King, W. D. et Tjepkema, M. (2017). The risk of melanoma associated with ambient summer ultraviolet radiation. Statistics Canada.</w:t>
      </w:r>
    </w:p>
    <w:p w14:paraId="3551DC2D"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Freedman, D. M., Kitahara, C. M., Linet, M. S., Alexander, B. H., Neta, G., Little, M. P. et Cahoon, E. K. (2015). Ambient temperature and risk of first primary basal cell carcinoma: A nationwide United States cohort study. Journal of Photochemistry and Photobiology B: Biology, 148, 284‐289. 10.1016/j.jphotobiol.2015.04.025</w:t>
      </w:r>
    </w:p>
    <w:p w14:paraId="20788131"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Kaffenberger, B. H., Shetlar, D., Norton, S. A. et Rosenbach, M. (2017). The effect of climate change on skin disease in North America. Journal of the American Academy of Dermatology, 76(1), 140‐147. 10.1016/j.jaad.2016.08.014</w:t>
      </w:r>
    </w:p>
    <w:p w14:paraId="4A00FC48"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proofErr w:type="spellStart"/>
      <w:r w:rsidRPr="007C5A6E">
        <w:rPr>
          <w:rFonts w:ascii="Times New Roman" w:eastAsiaTheme="minorHAnsi" w:hAnsi="Times New Roman"/>
          <w:kern w:val="2"/>
          <w:sz w:val="20"/>
          <w:szCs w:val="20"/>
          <w:lang w:val="en-US" w:eastAsia="en-US"/>
          <w14:ligatures w14:val="standardContextual"/>
        </w:rPr>
        <w:t>Kimeswenger</w:t>
      </w:r>
      <w:proofErr w:type="spellEnd"/>
      <w:r w:rsidRPr="007C5A6E">
        <w:rPr>
          <w:rFonts w:ascii="Times New Roman" w:eastAsiaTheme="minorHAnsi" w:hAnsi="Times New Roman"/>
          <w:kern w:val="2"/>
          <w:sz w:val="20"/>
          <w:szCs w:val="20"/>
          <w:lang w:val="en-US" w:eastAsia="en-US"/>
          <w14:ligatures w14:val="standardContextual"/>
        </w:rPr>
        <w:t xml:space="preserve">, S., Schwarz, A., </w:t>
      </w:r>
      <w:proofErr w:type="spellStart"/>
      <w:r w:rsidRPr="007C5A6E">
        <w:rPr>
          <w:rFonts w:ascii="Times New Roman" w:eastAsiaTheme="minorHAnsi" w:hAnsi="Times New Roman"/>
          <w:kern w:val="2"/>
          <w:sz w:val="20"/>
          <w:szCs w:val="20"/>
          <w:lang w:val="en-US" w:eastAsia="en-US"/>
          <w14:ligatures w14:val="standardContextual"/>
        </w:rPr>
        <w:t>Födinger</w:t>
      </w:r>
      <w:proofErr w:type="spellEnd"/>
      <w:r w:rsidRPr="007C5A6E">
        <w:rPr>
          <w:rFonts w:ascii="Times New Roman" w:eastAsiaTheme="minorHAnsi" w:hAnsi="Times New Roman"/>
          <w:kern w:val="2"/>
          <w:sz w:val="20"/>
          <w:szCs w:val="20"/>
          <w:lang w:val="en-US" w:eastAsia="en-US"/>
          <w14:ligatures w14:val="standardContextual"/>
        </w:rPr>
        <w:t xml:space="preserve">, D., Müller, S., </w:t>
      </w:r>
      <w:proofErr w:type="spellStart"/>
      <w:r w:rsidRPr="007C5A6E">
        <w:rPr>
          <w:rFonts w:ascii="Times New Roman" w:eastAsiaTheme="minorHAnsi" w:hAnsi="Times New Roman"/>
          <w:kern w:val="2"/>
          <w:sz w:val="20"/>
          <w:szCs w:val="20"/>
          <w:lang w:val="en-US" w:eastAsia="en-US"/>
          <w14:ligatures w14:val="standardContextual"/>
        </w:rPr>
        <w:t>Pehamberger</w:t>
      </w:r>
      <w:proofErr w:type="spellEnd"/>
      <w:r w:rsidRPr="007C5A6E">
        <w:rPr>
          <w:rFonts w:ascii="Times New Roman" w:eastAsiaTheme="minorHAnsi" w:hAnsi="Times New Roman"/>
          <w:kern w:val="2"/>
          <w:sz w:val="20"/>
          <w:szCs w:val="20"/>
          <w:lang w:val="en-US" w:eastAsia="en-US"/>
          <w14:ligatures w14:val="standardContextual"/>
        </w:rPr>
        <w:t xml:space="preserve">, H., Schwarz, T. et </w:t>
      </w:r>
      <w:proofErr w:type="spellStart"/>
      <w:r w:rsidRPr="007C5A6E">
        <w:rPr>
          <w:rFonts w:ascii="Times New Roman" w:eastAsiaTheme="minorHAnsi" w:hAnsi="Times New Roman"/>
          <w:kern w:val="2"/>
          <w:sz w:val="20"/>
          <w:szCs w:val="20"/>
          <w:lang w:val="en-US" w:eastAsia="en-US"/>
          <w14:ligatures w14:val="standardContextual"/>
        </w:rPr>
        <w:t>Jantschitsch</w:t>
      </w:r>
      <w:proofErr w:type="spellEnd"/>
      <w:r w:rsidRPr="007C5A6E">
        <w:rPr>
          <w:rFonts w:ascii="Times New Roman" w:eastAsiaTheme="minorHAnsi" w:hAnsi="Times New Roman"/>
          <w:kern w:val="2"/>
          <w:sz w:val="20"/>
          <w:szCs w:val="20"/>
          <w:lang w:val="en-US" w:eastAsia="en-US"/>
          <w14:ligatures w14:val="standardContextual"/>
        </w:rPr>
        <w:t xml:space="preserve">, C. (2016). Infrared A radiation promotes survival of human melanocytes carrying ultraviolet radiation-induced DNA damage. </w:t>
      </w:r>
      <w:proofErr w:type="spellStart"/>
      <w:r w:rsidRPr="007C5A6E">
        <w:rPr>
          <w:rFonts w:ascii="Times New Roman" w:eastAsiaTheme="minorHAnsi" w:hAnsi="Times New Roman"/>
          <w:kern w:val="2"/>
          <w:sz w:val="20"/>
          <w:szCs w:val="20"/>
          <w:lang w:eastAsia="en-US"/>
          <w14:ligatures w14:val="standardContextual"/>
        </w:rPr>
        <w:t>Experimental</w:t>
      </w:r>
      <w:proofErr w:type="spellEnd"/>
      <w:r w:rsidRPr="007C5A6E">
        <w:rPr>
          <w:rFonts w:ascii="Times New Roman" w:eastAsiaTheme="minorHAnsi" w:hAnsi="Times New Roman"/>
          <w:kern w:val="2"/>
          <w:sz w:val="20"/>
          <w:szCs w:val="20"/>
          <w:lang w:eastAsia="en-US"/>
          <w14:ligatures w14:val="standardContextual"/>
        </w:rPr>
        <w:t xml:space="preserve"> </w:t>
      </w:r>
      <w:proofErr w:type="spellStart"/>
      <w:r w:rsidRPr="007C5A6E">
        <w:rPr>
          <w:rFonts w:ascii="Times New Roman" w:eastAsiaTheme="minorHAnsi" w:hAnsi="Times New Roman"/>
          <w:kern w:val="2"/>
          <w:sz w:val="20"/>
          <w:szCs w:val="20"/>
          <w:lang w:eastAsia="en-US"/>
          <w14:ligatures w14:val="standardContextual"/>
        </w:rPr>
        <w:t>Dermatology</w:t>
      </w:r>
      <w:proofErr w:type="spellEnd"/>
      <w:r w:rsidRPr="007C5A6E">
        <w:rPr>
          <w:rFonts w:ascii="Times New Roman" w:eastAsiaTheme="minorHAnsi" w:hAnsi="Times New Roman"/>
          <w:kern w:val="2"/>
          <w:sz w:val="20"/>
          <w:szCs w:val="20"/>
          <w:lang w:eastAsia="en-US"/>
          <w14:ligatures w14:val="standardContextual"/>
        </w:rPr>
        <w:t>, 25(6), 447‐452. 10.1111/exd.12968</w:t>
      </w:r>
    </w:p>
    <w:p w14:paraId="22DB3AF0"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eastAsia="en-US"/>
          <w14:ligatures w14:val="standardContextual"/>
        </w:rPr>
        <w:t xml:space="preserve">Van der </w:t>
      </w:r>
      <w:proofErr w:type="spellStart"/>
      <w:r w:rsidRPr="007C5A6E">
        <w:rPr>
          <w:rFonts w:ascii="Times New Roman" w:eastAsiaTheme="minorHAnsi" w:hAnsi="Times New Roman"/>
          <w:kern w:val="2"/>
          <w:sz w:val="20"/>
          <w:szCs w:val="20"/>
          <w:lang w:eastAsia="en-US"/>
          <w14:ligatures w14:val="standardContextual"/>
        </w:rPr>
        <w:t>Leun</w:t>
      </w:r>
      <w:proofErr w:type="spellEnd"/>
      <w:r w:rsidRPr="007C5A6E">
        <w:rPr>
          <w:rFonts w:ascii="Times New Roman" w:eastAsiaTheme="minorHAnsi" w:hAnsi="Times New Roman"/>
          <w:kern w:val="2"/>
          <w:sz w:val="20"/>
          <w:szCs w:val="20"/>
          <w:lang w:eastAsia="en-US"/>
          <w14:ligatures w14:val="standardContextual"/>
        </w:rPr>
        <w:t xml:space="preserve">, J. C., </w:t>
      </w:r>
      <w:proofErr w:type="spellStart"/>
      <w:r w:rsidRPr="007C5A6E">
        <w:rPr>
          <w:rFonts w:ascii="Times New Roman" w:eastAsiaTheme="minorHAnsi" w:hAnsi="Times New Roman"/>
          <w:kern w:val="2"/>
          <w:sz w:val="20"/>
          <w:szCs w:val="20"/>
          <w:lang w:eastAsia="en-US"/>
          <w14:ligatures w14:val="standardContextual"/>
        </w:rPr>
        <w:t>Piacentini</w:t>
      </w:r>
      <w:proofErr w:type="spellEnd"/>
      <w:r w:rsidRPr="007C5A6E">
        <w:rPr>
          <w:rFonts w:ascii="Times New Roman" w:eastAsiaTheme="minorHAnsi" w:hAnsi="Times New Roman"/>
          <w:kern w:val="2"/>
          <w:sz w:val="20"/>
          <w:szCs w:val="20"/>
          <w:lang w:eastAsia="en-US"/>
          <w14:ligatures w14:val="standardContextual"/>
        </w:rPr>
        <w:t xml:space="preserve">, R. D. et </w:t>
      </w:r>
      <w:proofErr w:type="spellStart"/>
      <w:r w:rsidRPr="007C5A6E">
        <w:rPr>
          <w:rFonts w:ascii="Times New Roman" w:eastAsiaTheme="minorHAnsi" w:hAnsi="Times New Roman"/>
          <w:kern w:val="2"/>
          <w:sz w:val="20"/>
          <w:szCs w:val="20"/>
          <w:lang w:eastAsia="en-US"/>
          <w14:ligatures w14:val="standardContextual"/>
        </w:rPr>
        <w:t>Gruijl</w:t>
      </w:r>
      <w:proofErr w:type="spellEnd"/>
      <w:r w:rsidRPr="007C5A6E">
        <w:rPr>
          <w:rFonts w:ascii="Times New Roman" w:eastAsiaTheme="minorHAnsi" w:hAnsi="Times New Roman"/>
          <w:kern w:val="2"/>
          <w:sz w:val="20"/>
          <w:szCs w:val="20"/>
          <w:lang w:eastAsia="en-US"/>
          <w14:ligatures w14:val="standardContextual"/>
        </w:rPr>
        <w:t xml:space="preserve">, F. R. de. </w:t>
      </w:r>
      <w:r w:rsidRPr="007C5A6E">
        <w:rPr>
          <w:rFonts w:ascii="Times New Roman" w:eastAsiaTheme="minorHAnsi" w:hAnsi="Times New Roman"/>
          <w:kern w:val="2"/>
          <w:sz w:val="20"/>
          <w:szCs w:val="20"/>
          <w:lang w:val="en-US" w:eastAsia="en-US"/>
          <w14:ligatures w14:val="standardContextual"/>
        </w:rPr>
        <w:t>(2008). Climate change and human skin cancer. Photochemical &amp; Photobiological Sciences, 7(6), 730‐733. 10.1039/B719302E</w:t>
      </w:r>
    </w:p>
    <w:p w14:paraId="4F70C86D" w14:textId="77777777" w:rsidR="00702D07" w:rsidRPr="007C5A6E" w:rsidRDefault="00702D07" w:rsidP="00702D07">
      <w:pPr>
        <w:spacing w:after="160" w:line="259" w:lineRule="auto"/>
        <w:jc w:val="both"/>
        <w:rPr>
          <w:rFonts w:ascii="Times New Roman" w:eastAsiaTheme="minorHAnsi" w:hAnsi="Times New Roman"/>
          <w:kern w:val="2"/>
          <w:sz w:val="20"/>
          <w:szCs w:val="20"/>
          <w:lang w:val="en-US"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Zhang S, </w:t>
      </w:r>
      <w:proofErr w:type="spellStart"/>
      <w:r w:rsidRPr="007C5A6E">
        <w:rPr>
          <w:rFonts w:ascii="Times New Roman" w:eastAsiaTheme="minorHAnsi" w:hAnsi="Times New Roman"/>
          <w:kern w:val="2"/>
          <w:sz w:val="20"/>
          <w:szCs w:val="20"/>
          <w:lang w:val="en-US" w:eastAsia="en-US"/>
          <w14:ligatures w14:val="standardContextual"/>
        </w:rPr>
        <w:t>Mwiberi</w:t>
      </w:r>
      <w:proofErr w:type="spellEnd"/>
      <w:r w:rsidRPr="007C5A6E">
        <w:rPr>
          <w:rFonts w:ascii="Times New Roman" w:eastAsiaTheme="minorHAnsi" w:hAnsi="Times New Roman"/>
          <w:kern w:val="2"/>
          <w:sz w:val="20"/>
          <w:szCs w:val="20"/>
          <w:lang w:val="en-US" w:eastAsia="en-US"/>
          <w14:ligatures w14:val="standardContextual"/>
        </w:rPr>
        <w:t xml:space="preserve"> S, Pickford R, Breitner S, Huth C, Koenig W, et al. Longitudinal associations between ambient air pollution and insulin sensitivity: results from the KORA cohort study. Lancet Planet Health. </w:t>
      </w:r>
      <w:proofErr w:type="spellStart"/>
      <w:r w:rsidRPr="007C5A6E">
        <w:rPr>
          <w:rFonts w:ascii="Times New Roman" w:eastAsiaTheme="minorHAnsi" w:hAnsi="Times New Roman"/>
          <w:kern w:val="2"/>
          <w:sz w:val="20"/>
          <w:szCs w:val="20"/>
          <w:lang w:val="en-US" w:eastAsia="en-US"/>
          <w14:ligatures w14:val="standardContextual"/>
        </w:rPr>
        <w:t>janv</w:t>
      </w:r>
      <w:proofErr w:type="spellEnd"/>
      <w:r w:rsidRPr="007C5A6E">
        <w:rPr>
          <w:rFonts w:ascii="Times New Roman" w:eastAsiaTheme="minorHAnsi" w:hAnsi="Times New Roman"/>
          <w:kern w:val="2"/>
          <w:sz w:val="20"/>
          <w:szCs w:val="20"/>
          <w:lang w:val="en-US" w:eastAsia="en-US"/>
          <w14:ligatures w14:val="standardContextual"/>
        </w:rPr>
        <w:t xml:space="preserve"> 2021;5(1</w:t>
      </w:r>
      <w:proofErr w:type="gramStart"/>
      <w:r w:rsidRPr="007C5A6E">
        <w:rPr>
          <w:rFonts w:ascii="Times New Roman" w:eastAsiaTheme="minorHAnsi" w:hAnsi="Times New Roman"/>
          <w:kern w:val="2"/>
          <w:sz w:val="20"/>
          <w:szCs w:val="20"/>
          <w:lang w:val="en-US" w:eastAsia="en-US"/>
          <w14:ligatures w14:val="standardContextual"/>
        </w:rPr>
        <w:t>):e</w:t>
      </w:r>
      <w:proofErr w:type="gramEnd"/>
      <w:r w:rsidRPr="007C5A6E">
        <w:rPr>
          <w:rFonts w:ascii="Times New Roman" w:eastAsiaTheme="minorHAnsi" w:hAnsi="Times New Roman"/>
          <w:kern w:val="2"/>
          <w:sz w:val="20"/>
          <w:szCs w:val="20"/>
          <w:lang w:val="en-US" w:eastAsia="en-US"/>
          <w14:ligatures w14:val="standardContextual"/>
        </w:rPr>
        <w:t>39</w:t>
      </w:r>
      <w:r w:rsidRPr="007C5A6E">
        <w:rPr>
          <w:rFonts w:ascii="Times New Roman" w:eastAsiaTheme="minorHAnsi" w:hAnsi="Times New Roman"/>
          <w:kern w:val="2"/>
          <w:sz w:val="20"/>
          <w:szCs w:val="20"/>
          <w:lang w:val="en-US" w:eastAsia="en-US"/>
          <w14:ligatures w14:val="standardContextual"/>
        </w:rPr>
        <w:noBreakHyphen/>
        <w:t>49.</w:t>
      </w:r>
    </w:p>
    <w:p w14:paraId="34C5E320" w14:textId="77777777" w:rsidR="00702D07" w:rsidRPr="007C5A6E" w:rsidRDefault="00702D07" w:rsidP="00702D07">
      <w:pPr>
        <w:spacing w:after="160" w:line="259" w:lineRule="auto"/>
        <w:jc w:val="both"/>
        <w:rPr>
          <w:rFonts w:ascii="Times New Roman" w:eastAsiaTheme="minorHAnsi" w:hAnsi="Times New Roman"/>
          <w:kern w:val="2"/>
          <w:sz w:val="20"/>
          <w:szCs w:val="20"/>
          <w:lang w:eastAsia="en-US"/>
          <w14:ligatures w14:val="standardContextual"/>
        </w:rPr>
      </w:pPr>
      <w:r w:rsidRPr="007C5A6E">
        <w:rPr>
          <w:rFonts w:ascii="Times New Roman" w:eastAsiaTheme="minorHAnsi" w:hAnsi="Times New Roman"/>
          <w:kern w:val="2"/>
          <w:sz w:val="20"/>
          <w:szCs w:val="20"/>
          <w:lang w:val="en-US" w:eastAsia="en-US"/>
          <w14:ligatures w14:val="standardContextual"/>
        </w:rPr>
        <w:t xml:space="preserve">Pedersen M, Halldorsson TI, Ketzel M, </w:t>
      </w:r>
      <w:proofErr w:type="spellStart"/>
      <w:r w:rsidRPr="007C5A6E">
        <w:rPr>
          <w:rFonts w:ascii="Times New Roman" w:eastAsiaTheme="minorHAnsi" w:hAnsi="Times New Roman"/>
          <w:kern w:val="2"/>
          <w:sz w:val="20"/>
          <w:szCs w:val="20"/>
          <w:lang w:val="en-US" w:eastAsia="en-US"/>
          <w14:ligatures w14:val="standardContextual"/>
        </w:rPr>
        <w:t>Grandström</w:t>
      </w:r>
      <w:proofErr w:type="spellEnd"/>
      <w:r w:rsidRPr="007C5A6E">
        <w:rPr>
          <w:rFonts w:ascii="Times New Roman" w:eastAsiaTheme="minorHAnsi" w:hAnsi="Times New Roman"/>
          <w:kern w:val="2"/>
          <w:sz w:val="20"/>
          <w:szCs w:val="20"/>
          <w:lang w:val="en-US" w:eastAsia="en-US"/>
          <w14:ligatures w14:val="standardContextual"/>
        </w:rPr>
        <w:t xml:space="preserve"> C, Raaschou-Nielsen O, Jensen SS, et al. Associations between ambient air pollution and noise from road traffic with blood pressure and insulin resistance in children from Denmark. </w:t>
      </w:r>
      <w:r w:rsidRPr="007C5A6E">
        <w:rPr>
          <w:rFonts w:ascii="Times New Roman" w:eastAsiaTheme="minorHAnsi" w:hAnsi="Times New Roman"/>
          <w:kern w:val="2"/>
          <w:sz w:val="20"/>
          <w:szCs w:val="20"/>
          <w:lang w:eastAsia="en-US"/>
          <w14:ligatures w14:val="standardContextual"/>
        </w:rPr>
        <w:t xml:space="preserve">Environ </w:t>
      </w:r>
      <w:proofErr w:type="spellStart"/>
      <w:r w:rsidRPr="007C5A6E">
        <w:rPr>
          <w:rFonts w:ascii="Times New Roman" w:eastAsiaTheme="minorHAnsi" w:hAnsi="Times New Roman"/>
          <w:kern w:val="2"/>
          <w:sz w:val="20"/>
          <w:szCs w:val="20"/>
          <w:lang w:eastAsia="en-US"/>
          <w14:ligatures w14:val="standardContextual"/>
        </w:rPr>
        <w:t>Epidemiol</w:t>
      </w:r>
      <w:proofErr w:type="spellEnd"/>
      <w:r w:rsidRPr="007C5A6E">
        <w:rPr>
          <w:rFonts w:ascii="Times New Roman" w:eastAsiaTheme="minorHAnsi" w:hAnsi="Times New Roman"/>
          <w:kern w:val="2"/>
          <w:sz w:val="20"/>
          <w:szCs w:val="20"/>
          <w:lang w:eastAsia="en-US"/>
          <w14:ligatures w14:val="standardContextual"/>
        </w:rPr>
        <w:t xml:space="preserve">. </w:t>
      </w:r>
      <w:proofErr w:type="spellStart"/>
      <w:proofErr w:type="gramStart"/>
      <w:r w:rsidRPr="007C5A6E">
        <w:rPr>
          <w:rFonts w:ascii="Times New Roman" w:eastAsiaTheme="minorHAnsi" w:hAnsi="Times New Roman"/>
          <w:kern w:val="2"/>
          <w:sz w:val="20"/>
          <w:szCs w:val="20"/>
          <w:lang w:eastAsia="en-US"/>
          <w14:ligatures w14:val="standardContextual"/>
        </w:rPr>
        <w:t>oct</w:t>
      </w:r>
      <w:proofErr w:type="spellEnd"/>
      <w:proofErr w:type="gramEnd"/>
      <w:r w:rsidRPr="007C5A6E">
        <w:rPr>
          <w:rFonts w:ascii="Times New Roman" w:eastAsiaTheme="minorHAnsi" w:hAnsi="Times New Roman"/>
          <w:kern w:val="2"/>
          <w:sz w:val="20"/>
          <w:szCs w:val="20"/>
          <w:lang w:eastAsia="en-US"/>
          <w14:ligatures w14:val="standardContextual"/>
        </w:rPr>
        <w:t xml:space="preserve"> 2019;3(5):e069.</w:t>
      </w:r>
    </w:p>
    <w:p w14:paraId="26A72130" w14:textId="77777777" w:rsidR="00702D07" w:rsidRPr="007C5A6E" w:rsidRDefault="00702D07" w:rsidP="00702D07">
      <w:pPr>
        <w:spacing w:after="120" w:line="240" w:lineRule="auto"/>
        <w:rPr>
          <w:rFonts w:ascii="Times New Roman" w:eastAsiaTheme="minorHAnsi" w:hAnsi="Times New Roman"/>
          <w:b/>
          <w:bCs/>
          <w:kern w:val="2"/>
          <w:sz w:val="24"/>
          <w:szCs w:val="24"/>
          <w:lang w:eastAsia="en-US"/>
          <w14:ligatures w14:val="standardContextual"/>
        </w:rPr>
      </w:pPr>
    </w:p>
    <w:p w14:paraId="5C3F2D97" w14:textId="77777777" w:rsidR="006F6024" w:rsidRPr="007C5A6E" w:rsidRDefault="006F6024" w:rsidP="00580307">
      <w:pPr>
        <w:spacing w:after="0" w:line="240" w:lineRule="auto"/>
        <w:rPr>
          <w:rFonts w:ascii="Times New Roman" w:hAnsi="Times New Roman"/>
          <w:sz w:val="24"/>
          <w:szCs w:val="24"/>
          <w:lang w:val="fr-BF"/>
        </w:rPr>
      </w:pPr>
    </w:p>
    <w:p w14:paraId="61AF11AD" w14:textId="77777777" w:rsidR="006F6024" w:rsidRPr="007C5A6E" w:rsidRDefault="006F6024" w:rsidP="00580307">
      <w:pPr>
        <w:spacing w:after="0" w:line="240" w:lineRule="auto"/>
        <w:rPr>
          <w:rFonts w:ascii="Times New Roman" w:hAnsi="Times New Roman"/>
          <w:sz w:val="24"/>
          <w:szCs w:val="24"/>
          <w:lang w:val="fr-BF"/>
        </w:rPr>
      </w:pPr>
    </w:p>
    <w:p w14:paraId="35C8D027" w14:textId="77777777" w:rsidR="004C055F" w:rsidRPr="007C5A6E" w:rsidRDefault="004C055F" w:rsidP="00580307">
      <w:pPr>
        <w:spacing w:after="0" w:line="240" w:lineRule="auto"/>
        <w:rPr>
          <w:rFonts w:ascii="Times New Roman" w:hAnsi="Times New Roman"/>
          <w:sz w:val="24"/>
          <w:szCs w:val="24"/>
          <w:lang w:val="fr-BF"/>
        </w:rPr>
      </w:pPr>
    </w:p>
    <w:p w14:paraId="5FA244E3" w14:textId="77777777" w:rsidR="004C055F" w:rsidRPr="007C5A6E" w:rsidRDefault="004C055F" w:rsidP="00580307">
      <w:pPr>
        <w:spacing w:after="0" w:line="240" w:lineRule="auto"/>
        <w:rPr>
          <w:rFonts w:ascii="Times New Roman" w:hAnsi="Times New Roman"/>
          <w:sz w:val="24"/>
          <w:szCs w:val="24"/>
          <w:lang w:val="fr-BF"/>
        </w:rPr>
      </w:pPr>
    </w:p>
    <w:p w14:paraId="24E8C1AD" w14:textId="77777777" w:rsidR="00230377" w:rsidRPr="007C5A6E" w:rsidRDefault="00230377" w:rsidP="00580307">
      <w:pPr>
        <w:spacing w:after="0" w:line="240" w:lineRule="auto"/>
        <w:rPr>
          <w:rFonts w:ascii="Times New Roman" w:hAnsi="Times New Roman"/>
          <w:sz w:val="24"/>
          <w:szCs w:val="24"/>
        </w:rPr>
        <w:sectPr w:rsidR="00230377" w:rsidRPr="007C5A6E" w:rsidSect="006514BA">
          <w:pgSz w:w="11907" w:h="16840" w:code="9"/>
          <w:pgMar w:top="1191" w:right="1361" w:bottom="1191" w:left="1361" w:header="709" w:footer="709" w:gutter="0"/>
          <w:cols w:space="708"/>
          <w:docGrid w:linePitch="360"/>
        </w:sectPr>
      </w:pPr>
    </w:p>
    <w:p w14:paraId="36159812" w14:textId="7EA7EA50" w:rsidR="00800F57" w:rsidRPr="007C5A6E" w:rsidRDefault="00230377" w:rsidP="00230377">
      <w:pPr>
        <w:pStyle w:val="Titre1"/>
        <w:numPr>
          <w:ilvl w:val="0"/>
          <w:numId w:val="0"/>
        </w:numPr>
        <w:spacing w:before="0"/>
        <w:ind w:left="432" w:hanging="432"/>
      </w:pPr>
      <w:bookmarkStart w:id="1664" w:name="_Toc183340379"/>
      <w:r w:rsidRPr="007C5A6E">
        <w:t>ANNEXES</w:t>
      </w:r>
      <w:bookmarkEnd w:id="1664"/>
      <w:r w:rsidRPr="007C5A6E">
        <w:t xml:space="preserve"> </w:t>
      </w:r>
    </w:p>
    <w:p w14:paraId="28C78013" w14:textId="77777777" w:rsidR="00230377" w:rsidRPr="007C5A6E" w:rsidRDefault="00230377" w:rsidP="00580307">
      <w:pPr>
        <w:spacing w:after="0" w:line="240" w:lineRule="auto"/>
        <w:rPr>
          <w:rFonts w:ascii="Times New Roman" w:hAnsi="Times New Roman"/>
          <w:sz w:val="24"/>
          <w:szCs w:val="24"/>
        </w:rPr>
      </w:pPr>
    </w:p>
    <w:p w14:paraId="663BE78E" w14:textId="44AEB9D0" w:rsidR="00987E27" w:rsidRPr="007C5A6E" w:rsidRDefault="00987E27" w:rsidP="00987E27">
      <w:pPr>
        <w:spacing w:after="0" w:line="259" w:lineRule="auto"/>
        <w:rPr>
          <w:rFonts w:ascii="Times New Roman" w:eastAsia="Aptos" w:hAnsi="Times New Roman"/>
          <w:kern w:val="2"/>
          <w14:ligatures w14:val="standardContextual"/>
        </w:rPr>
      </w:pPr>
      <w:r w:rsidRPr="007C5A6E">
        <w:rPr>
          <w:rFonts w:ascii="Times New Roman" w:eastAsia="Aptos" w:hAnsi="Times New Roman"/>
          <w:b/>
          <w:bCs/>
          <w:kern w:val="2"/>
          <w:u w:val="single"/>
          <w14:ligatures w14:val="standardContextual"/>
        </w:rPr>
        <w:t>Annexe 1</w:t>
      </w:r>
      <w:r w:rsidRPr="007C5A6E">
        <w:rPr>
          <w:rFonts w:ascii="Times New Roman" w:eastAsia="Aptos" w:hAnsi="Times New Roman"/>
          <w:kern w:val="2"/>
          <w14:ligatures w14:val="standardContextual"/>
        </w:rPr>
        <w:t>. Urbanisation, pauvreté et environnement : proposition de plan d’action de mise en œuvre des recommandations</w:t>
      </w:r>
    </w:p>
    <w:p w14:paraId="232F2501" w14:textId="77777777" w:rsidR="00987E27" w:rsidRPr="007C5A6E" w:rsidRDefault="00987E27" w:rsidP="00987E27">
      <w:pPr>
        <w:spacing w:after="0" w:line="240" w:lineRule="auto"/>
        <w:jc w:val="both"/>
        <w:rPr>
          <w:rFonts w:ascii="Times New Roman" w:eastAsia="Aptos" w:hAnsi="Times New Roman"/>
          <w:kern w:val="2"/>
          <w:sz w:val="24"/>
          <w:szCs w:val="24"/>
          <w14:ligatures w14:val="standardContextual"/>
        </w:rPr>
      </w:pPr>
    </w:p>
    <w:tbl>
      <w:tblPr>
        <w:tblStyle w:val="TableauGrille41"/>
        <w:tblW w:w="5000" w:type="pct"/>
        <w:tblLook w:val="04A0" w:firstRow="1" w:lastRow="0" w:firstColumn="1" w:lastColumn="0" w:noHBand="0" w:noVBand="1"/>
      </w:tblPr>
      <w:tblGrid>
        <w:gridCol w:w="327"/>
        <w:gridCol w:w="4502"/>
        <w:gridCol w:w="1751"/>
        <w:gridCol w:w="3658"/>
        <w:gridCol w:w="1907"/>
        <w:gridCol w:w="2303"/>
      </w:tblGrid>
      <w:tr w:rsidR="00987E27" w:rsidRPr="007C5A6E" w14:paraId="7D08FAA9" w14:textId="77777777" w:rsidTr="00987E27">
        <w:trPr>
          <w:cnfStyle w:val="100000000000" w:firstRow="1" w:lastRow="0" w:firstColumn="0" w:lastColumn="0" w:oddVBand="0" w:evenVBand="0" w:oddHBand="0" w:evenHBand="0" w:firstRowFirstColumn="0" w:firstRowLastColumn="0" w:lastRowFirstColumn="0" w:lastRowLastColumn="0"/>
          <w:trHeight w:val="245"/>
          <w:tblHeader/>
        </w:trPr>
        <w:tc>
          <w:tcPr>
            <w:cnfStyle w:val="001000000000" w:firstRow="0" w:lastRow="0" w:firstColumn="1" w:lastColumn="0" w:oddVBand="0" w:evenVBand="0" w:oddHBand="0" w:evenHBand="0" w:firstRowFirstColumn="0" w:firstRowLastColumn="0" w:lastRowFirstColumn="0" w:lastRowLastColumn="0"/>
            <w:tcW w:w="113" w:type="pct"/>
            <w:tcBorders>
              <w:right w:val="single" w:sz="4" w:space="0" w:color="auto"/>
            </w:tcBorders>
            <w:shd w:val="clear" w:color="auto" w:fill="BFBFBF"/>
          </w:tcPr>
          <w:p w14:paraId="62AB58D9" w14:textId="77777777" w:rsidR="00987E27" w:rsidRPr="007C5A6E" w:rsidRDefault="00987E27" w:rsidP="00987E27">
            <w:pPr>
              <w:spacing w:after="0" w:line="240" w:lineRule="auto"/>
              <w:rPr>
                <w:rFonts w:ascii="Times New Roman" w:eastAsia="Aptos" w:hAnsi="Times New Roman"/>
                <w:kern w:val="2"/>
                <w14:ligatures w14:val="standardContextual"/>
              </w:rPr>
            </w:pPr>
          </w:p>
        </w:tc>
        <w:tc>
          <w:tcPr>
            <w:tcW w:w="1558"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627C7397" w14:textId="77777777" w:rsidR="00987E27" w:rsidRPr="007C5A6E" w:rsidRDefault="00987E27" w:rsidP="00987E2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Recommandation</w:t>
            </w:r>
          </w:p>
        </w:tc>
        <w:tc>
          <w:tcPr>
            <w:tcW w:w="606"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5B6B643C" w14:textId="77777777" w:rsidR="00987E27" w:rsidRPr="007C5A6E" w:rsidRDefault="00987E27" w:rsidP="00987E2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 xml:space="preserve">Horizon </w:t>
            </w:r>
          </w:p>
          <w:p w14:paraId="41F13FB8" w14:textId="77777777" w:rsidR="00987E27" w:rsidRPr="007C5A6E" w:rsidRDefault="00987E27" w:rsidP="00987E2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proofErr w:type="gramStart"/>
            <w:r w:rsidRPr="007C5A6E">
              <w:rPr>
                <w:rFonts w:ascii="Times New Roman" w:eastAsia="Aptos" w:hAnsi="Times New Roman"/>
                <w:kern w:val="2"/>
                <w14:ligatures w14:val="standardContextual"/>
              </w:rPr>
              <w:t>d’action</w:t>
            </w:r>
            <w:proofErr w:type="gramEnd"/>
            <w:r w:rsidRPr="007C5A6E">
              <w:rPr>
                <w:rFonts w:ascii="Times New Roman" w:eastAsia="Aptos" w:hAnsi="Times New Roman"/>
                <w:kern w:val="2"/>
                <w14:ligatures w14:val="standardContextual"/>
              </w:rPr>
              <w:t xml:space="preserve"> suggéré</w:t>
            </w:r>
          </w:p>
        </w:tc>
        <w:tc>
          <w:tcPr>
            <w:tcW w:w="1266"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5F263B3A" w14:textId="77777777" w:rsidR="00987E27" w:rsidRPr="007C5A6E" w:rsidRDefault="00987E27" w:rsidP="00987E2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Acteurs indiqués</w:t>
            </w:r>
          </w:p>
        </w:tc>
        <w:tc>
          <w:tcPr>
            <w:tcW w:w="660"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58BB018D" w14:textId="77777777" w:rsidR="00987E27" w:rsidRPr="007C5A6E" w:rsidRDefault="00987E27" w:rsidP="00987E2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Hypothèses de succès</w:t>
            </w:r>
          </w:p>
        </w:tc>
        <w:tc>
          <w:tcPr>
            <w:tcW w:w="798"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19376421" w14:textId="77777777" w:rsidR="00987E27" w:rsidRPr="007C5A6E" w:rsidRDefault="00987E27" w:rsidP="00987E2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Facteurs de risques</w:t>
            </w:r>
          </w:p>
        </w:tc>
      </w:tr>
      <w:tr w:rsidR="00987E27" w:rsidRPr="007C5A6E" w14:paraId="301ED5E9" w14:textId="77777777" w:rsidTr="00987E27">
        <w:tc>
          <w:tcPr>
            <w:cnfStyle w:val="001000000000" w:firstRow="0" w:lastRow="0" w:firstColumn="1" w:lastColumn="0" w:oddVBand="0" w:evenVBand="0" w:oddHBand="0" w:evenHBand="0" w:firstRowFirstColumn="0" w:firstRowLastColumn="0" w:lastRowFirstColumn="0" w:lastRowLastColumn="0"/>
            <w:tcW w:w="113" w:type="pct"/>
            <w:vMerge w:val="restart"/>
          </w:tcPr>
          <w:p w14:paraId="5C8519D5" w14:textId="77777777" w:rsidR="00987E27" w:rsidRPr="007C5A6E" w:rsidRDefault="00987E27" w:rsidP="00987E27">
            <w:pPr>
              <w:spacing w:after="0" w:line="240" w:lineRule="auto"/>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1</w:t>
            </w:r>
          </w:p>
        </w:tc>
        <w:tc>
          <w:tcPr>
            <w:tcW w:w="4887" w:type="pct"/>
            <w:gridSpan w:val="5"/>
            <w:tcBorders>
              <w:top w:val="single" w:sz="4" w:space="0" w:color="auto"/>
            </w:tcBorders>
            <w:shd w:val="clear" w:color="auto" w:fill="D9D9D9"/>
            <w:hideMark/>
          </w:tcPr>
          <w:p w14:paraId="793CE4B4"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b/>
                <w:bCs/>
                <w:kern w:val="2"/>
                <w14:ligatures w14:val="standardContextual"/>
              </w:rPr>
              <w:t>Protection sociale</w:t>
            </w:r>
          </w:p>
        </w:tc>
      </w:tr>
      <w:tr w:rsidR="00987E27" w:rsidRPr="007C5A6E" w14:paraId="73E14D84" w14:textId="77777777" w:rsidTr="00CC1E9C">
        <w:tc>
          <w:tcPr>
            <w:cnfStyle w:val="001000000000" w:firstRow="0" w:lastRow="0" w:firstColumn="1" w:lastColumn="0" w:oddVBand="0" w:evenVBand="0" w:oddHBand="0" w:evenHBand="0" w:firstRowFirstColumn="0" w:firstRowLastColumn="0" w:lastRowFirstColumn="0" w:lastRowLastColumn="0"/>
            <w:tcW w:w="113" w:type="pct"/>
            <w:vMerge/>
          </w:tcPr>
          <w:p w14:paraId="2A0123B0" w14:textId="77777777" w:rsidR="00987E27" w:rsidRPr="007C5A6E" w:rsidRDefault="00987E27" w:rsidP="00987E27">
            <w:pPr>
              <w:spacing w:after="0" w:line="240" w:lineRule="auto"/>
              <w:rPr>
                <w:rFonts w:ascii="Times New Roman" w:eastAsia="Aptos" w:hAnsi="Times New Roman"/>
                <w:kern w:val="2"/>
                <w14:ligatures w14:val="standardContextual"/>
              </w:rPr>
            </w:pPr>
          </w:p>
        </w:tc>
        <w:tc>
          <w:tcPr>
            <w:tcW w:w="1558" w:type="pct"/>
            <w:hideMark/>
          </w:tcPr>
          <w:p w14:paraId="08C2DAD4" w14:textId="77777777" w:rsidR="00987E27" w:rsidRPr="007C5A6E" w:rsidRDefault="00987E27" w:rsidP="00987E27">
            <w:pPr>
              <w:numPr>
                <w:ilvl w:val="0"/>
                <w:numId w:val="86"/>
              </w:numPr>
              <w:spacing w:after="0" w:line="240" w:lineRule="auto"/>
              <w:ind w:left="145" w:hanging="145"/>
              <w:contextualSpacing/>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Renforcer les programmes existants de protection et de sécurité sociale pour offrir un filet de sécurité plus inclusif et adapté aux populations vulnérables, en veillant à ce que les aides soient proportionnées aux besoins spécifiques des bénéficiaires</w:t>
            </w:r>
          </w:p>
        </w:tc>
        <w:tc>
          <w:tcPr>
            <w:tcW w:w="606" w:type="pct"/>
            <w:hideMark/>
          </w:tcPr>
          <w:p w14:paraId="365199DC"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Court et moyen termes</w:t>
            </w:r>
          </w:p>
        </w:tc>
        <w:tc>
          <w:tcPr>
            <w:tcW w:w="1266" w:type="pct"/>
            <w:hideMark/>
          </w:tcPr>
          <w:p w14:paraId="73885227"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Ministère en charge de l’action sociale, Partenaires Techniques et Financiers (PTF), collectivités territoriales</w:t>
            </w:r>
          </w:p>
        </w:tc>
        <w:tc>
          <w:tcPr>
            <w:tcW w:w="660" w:type="pct"/>
            <w:hideMark/>
          </w:tcPr>
          <w:p w14:paraId="4FC49C13"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Engagement des PTF, disponibilité des données sur les besoins locaux</w:t>
            </w:r>
          </w:p>
        </w:tc>
        <w:tc>
          <w:tcPr>
            <w:tcW w:w="798" w:type="pct"/>
            <w:hideMark/>
          </w:tcPr>
          <w:p w14:paraId="44A4731F"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Manque de financement, Lourdeur institutionnelle aux réformes</w:t>
            </w:r>
          </w:p>
        </w:tc>
      </w:tr>
      <w:tr w:rsidR="00987E27" w:rsidRPr="007C5A6E" w14:paraId="668315D5" w14:textId="77777777" w:rsidTr="00CC1E9C">
        <w:tc>
          <w:tcPr>
            <w:cnfStyle w:val="001000000000" w:firstRow="0" w:lastRow="0" w:firstColumn="1" w:lastColumn="0" w:oddVBand="0" w:evenVBand="0" w:oddHBand="0" w:evenHBand="0" w:firstRowFirstColumn="0" w:firstRowLastColumn="0" w:lastRowFirstColumn="0" w:lastRowLastColumn="0"/>
            <w:tcW w:w="113" w:type="pct"/>
            <w:vMerge/>
          </w:tcPr>
          <w:p w14:paraId="2567B851" w14:textId="77777777" w:rsidR="00987E27" w:rsidRPr="007C5A6E" w:rsidRDefault="00987E27" w:rsidP="00987E27">
            <w:pPr>
              <w:spacing w:after="0" w:line="240" w:lineRule="auto"/>
              <w:rPr>
                <w:rFonts w:ascii="Times New Roman" w:eastAsia="Aptos" w:hAnsi="Times New Roman"/>
                <w:kern w:val="2"/>
                <w14:ligatures w14:val="standardContextual"/>
              </w:rPr>
            </w:pPr>
          </w:p>
        </w:tc>
        <w:tc>
          <w:tcPr>
            <w:tcW w:w="1558" w:type="pct"/>
            <w:hideMark/>
          </w:tcPr>
          <w:p w14:paraId="1716BC8B" w14:textId="77777777" w:rsidR="00987E27" w:rsidRPr="007C5A6E" w:rsidRDefault="00987E27" w:rsidP="00987E27">
            <w:pPr>
              <w:numPr>
                <w:ilvl w:val="0"/>
                <w:numId w:val="86"/>
              </w:numPr>
              <w:spacing w:after="0" w:line="240" w:lineRule="auto"/>
              <w:ind w:left="145" w:hanging="145"/>
              <w:contextualSpacing/>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Mieux intégrer la planification du développement urbain dans les stratégies de réduction des risques liés aux catastrophes naturelles</w:t>
            </w:r>
          </w:p>
        </w:tc>
        <w:tc>
          <w:tcPr>
            <w:tcW w:w="606" w:type="pct"/>
            <w:hideMark/>
          </w:tcPr>
          <w:p w14:paraId="5E4BCE0D"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Moyen terme</w:t>
            </w:r>
          </w:p>
        </w:tc>
        <w:tc>
          <w:tcPr>
            <w:tcW w:w="1266" w:type="pct"/>
            <w:hideMark/>
          </w:tcPr>
          <w:p w14:paraId="1D2CB359"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Ministères de l’Urbanisme et des Transports et de l’Environnement, ONG, Experts en gestion des risques</w:t>
            </w:r>
          </w:p>
        </w:tc>
        <w:tc>
          <w:tcPr>
            <w:tcW w:w="660" w:type="pct"/>
            <w:hideMark/>
          </w:tcPr>
          <w:p w14:paraId="56E92304"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Coordination intersectorielle efficace</w:t>
            </w:r>
          </w:p>
        </w:tc>
        <w:tc>
          <w:tcPr>
            <w:tcW w:w="798" w:type="pct"/>
            <w:hideMark/>
          </w:tcPr>
          <w:p w14:paraId="48F12772"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Faible mobilisation des acteurs locaux</w:t>
            </w:r>
          </w:p>
        </w:tc>
      </w:tr>
      <w:tr w:rsidR="00987E27" w:rsidRPr="007C5A6E" w14:paraId="303C0AE8" w14:textId="77777777" w:rsidTr="00987E27">
        <w:tc>
          <w:tcPr>
            <w:cnfStyle w:val="001000000000" w:firstRow="0" w:lastRow="0" w:firstColumn="1" w:lastColumn="0" w:oddVBand="0" w:evenVBand="0" w:oddHBand="0" w:evenHBand="0" w:firstRowFirstColumn="0" w:firstRowLastColumn="0" w:lastRowFirstColumn="0" w:lastRowLastColumn="0"/>
            <w:tcW w:w="113" w:type="pct"/>
            <w:vMerge w:val="restart"/>
          </w:tcPr>
          <w:p w14:paraId="4DE968EA" w14:textId="77777777" w:rsidR="00987E27" w:rsidRPr="007C5A6E" w:rsidRDefault="00987E27" w:rsidP="00987E27">
            <w:pPr>
              <w:spacing w:after="0" w:line="240" w:lineRule="auto"/>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2</w:t>
            </w:r>
          </w:p>
        </w:tc>
        <w:tc>
          <w:tcPr>
            <w:tcW w:w="4887" w:type="pct"/>
            <w:gridSpan w:val="5"/>
            <w:shd w:val="clear" w:color="auto" w:fill="D9D9D9"/>
            <w:hideMark/>
          </w:tcPr>
          <w:p w14:paraId="0E6ABF5D"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b/>
                <w:bCs/>
                <w:kern w:val="2"/>
                <w14:ligatures w14:val="standardContextual"/>
              </w:rPr>
              <w:t>Intégration des réalités locales dans les politiques d’urbanisation</w:t>
            </w:r>
          </w:p>
        </w:tc>
      </w:tr>
      <w:tr w:rsidR="00987E27" w:rsidRPr="007C5A6E" w14:paraId="5F173F22" w14:textId="77777777" w:rsidTr="00CC1E9C">
        <w:tc>
          <w:tcPr>
            <w:cnfStyle w:val="001000000000" w:firstRow="0" w:lastRow="0" w:firstColumn="1" w:lastColumn="0" w:oddVBand="0" w:evenVBand="0" w:oddHBand="0" w:evenHBand="0" w:firstRowFirstColumn="0" w:firstRowLastColumn="0" w:lastRowFirstColumn="0" w:lastRowLastColumn="0"/>
            <w:tcW w:w="113" w:type="pct"/>
            <w:vMerge/>
          </w:tcPr>
          <w:p w14:paraId="0A7B41FF" w14:textId="77777777" w:rsidR="00987E27" w:rsidRPr="007C5A6E" w:rsidRDefault="00987E27" w:rsidP="00987E27">
            <w:pPr>
              <w:spacing w:after="0" w:line="240" w:lineRule="auto"/>
              <w:rPr>
                <w:rFonts w:ascii="Times New Roman" w:eastAsia="Aptos" w:hAnsi="Times New Roman"/>
                <w:kern w:val="2"/>
                <w14:ligatures w14:val="standardContextual"/>
              </w:rPr>
            </w:pPr>
          </w:p>
        </w:tc>
        <w:tc>
          <w:tcPr>
            <w:tcW w:w="1558" w:type="pct"/>
            <w:hideMark/>
          </w:tcPr>
          <w:p w14:paraId="359F93B4" w14:textId="77777777" w:rsidR="00987E27" w:rsidRPr="007C5A6E" w:rsidRDefault="00987E27" w:rsidP="00987E27">
            <w:pPr>
              <w:numPr>
                <w:ilvl w:val="0"/>
                <w:numId w:val="86"/>
              </w:numPr>
              <w:spacing w:after="0" w:line="240" w:lineRule="auto"/>
              <w:ind w:left="145" w:hanging="145"/>
              <w:contextualSpacing/>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Adopter des politiques d'urbanisation intégrant les spécificités locales en matière foncière et de transport, tout en respectant les standards actuels</w:t>
            </w:r>
          </w:p>
        </w:tc>
        <w:tc>
          <w:tcPr>
            <w:tcW w:w="606" w:type="pct"/>
            <w:hideMark/>
          </w:tcPr>
          <w:p w14:paraId="45F21F7B"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Court et moyen termes</w:t>
            </w:r>
          </w:p>
        </w:tc>
        <w:tc>
          <w:tcPr>
            <w:tcW w:w="1266" w:type="pct"/>
            <w:hideMark/>
          </w:tcPr>
          <w:p w14:paraId="74AE8946"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Ministère en charge de l’Urbanisme, Collectivités territoriales, Acteurs locaux</w:t>
            </w:r>
          </w:p>
        </w:tc>
        <w:tc>
          <w:tcPr>
            <w:tcW w:w="660" w:type="pct"/>
            <w:hideMark/>
          </w:tcPr>
          <w:p w14:paraId="66D5293B"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Acceptation des modèles par les communautés</w:t>
            </w:r>
          </w:p>
        </w:tc>
        <w:tc>
          <w:tcPr>
            <w:tcW w:w="798" w:type="pct"/>
            <w:hideMark/>
          </w:tcPr>
          <w:p w14:paraId="1A9B9E5E"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Défi d’harmonisation avec les bonnes pratiques internationales</w:t>
            </w:r>
          </w:p>
        </w:tc>
      </w:tr>
      <w:tr w:rsidR="00987E27" w:rsidRPr="007C5A6E" w14:paraId="74303F83" w14:textId="77777777" w:rsidTr="00CC1E9C">
        <w:tc>
          <w:tcPr>
            <w:cnfStyle w:val="001000000000" w:firstRow="0" w:lastRow="0" w:firstColumn="1" w:lastColumn="0" w:oddVBand="0" w:evenVBand="0" w:oddHBand="0" w:evenHBand="0" w:firstRowFirstColumn="0" w:firstRowLastColumn="0" w:lastRowFirstColumn="0" w:lastRowLastColumn="0"/>
            <w:tcW w:w="113" w:type="pct"/>
            <w:vMerge/>
          </w:tcPr>
          <w:p w14:paraId="19DDE407" w14:textId="77777777" w:rsidR="00987E27" w:rsidRPr="007C5A6E" w:rsidRDefault="00987E27" w:rsidP="00987E27">
            <w:pPr>
              <w:spacing w:after="0" w:line="240" w:lineRule="auto"/>
              <w:rPr>
                <w:rFonts w:ascii="Times New Roman" w:eastAsia="Aptos" w:hAnsi="Times New Roman"/>
                <w:kern w:val="2"/>
                <w14:ligatures w14:val="standardContextual"/>
              </w:rPr>
            </w:pPr>
          </w:p>
        </w:tc>
        <w:tc>
          <w:tcPr>
            <w:tcW w:w="1558" w:type="pct"/>
            <w:hideMark/>
          </w:tcPr>
          <w:p w14:paraId="7081B0DD" w14:textId="77777777" w:rsidR="00987E27" w:rsidRPr="007C5A6E" w:rsidRDefault="00987E27" w:rsidP="00987E27">
            <w:pPr>
              <w:numPr>
                <w:ilvl w:val="0"/>
                <w:numId w:val="86"/>
              </w:numPr>
              <w:spacing w:after="0" w:line="240" w:lineRule="auto"/>
              <w:ind w:left="145" w:hanging="145"/>
              <w:contextualSpacing/>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Promouvoir auprès des générations futures, la culture du transport en commun et la propriété collective</w:t>
            </w:r>
          </w:p>
          <w:p w14:paraId="3A6B03B3"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p>
        </w:tc>
        <w:tc>
          <w:tcPr>
            <w:tcW w:w="606" w:type="pct"/>
            <w:hideMark/>
          </w:tcPr>
          <w:p w14:paraId="3679B5C8"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Long terme</w:t>
            </w:r>
          </w:p>
        </w:tc>
        <w:tc>
          <w:tcPr>
            <w:tcW w:w="1266" w:type="pct"/>
            <w:hideMark/>
          </w:tcPr>
          <w:p w14:paraId="763F85A1"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Ministères en charge de l’Éducation et des Transports, Établissements scolaires, Médias</w:t>
            </w:r>
          </w:p>
        </w:tc>
        <w:tc>
          <w:tcPr>
            <w:tcW w:w="660" w:type="pct"/>
            <w:hideMark/>
          </w:tcPr>
          <w:p w14:paraId="7DF678BB"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Intégration dans les programmes scolaires (Éducation civique)</w:t>
            </w:r>
          </w:p>
        </w:tc>
        <w:tc>
          <w:tcPr>
            <w:tcW w:w="798" w:type="pct"/>
            <w:hideMark/>
          </w:tcPr>
          <w:p w14:paraId="738298E3"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Ruptures dans les stratégies éducatives</w:t>
            </w:r>
          </w:p>
        </w:tc>
      </w:tr>
      <w:tr w:rsidR="00987E27" w:rsidRPr="007C5A6E" w14:paraId="3B12347B" w14:textId="77777777" w:rsidTr="00987E27">
        <w:tc>
          <w:tcPr>
            <w:cnfStyle w:val="001000000000" w:firstRow="0" w:lastRow="0" w:firstColumn="1" w:lastColumn="0" w:oddVBand="0" w:evenVBand="0" w:oddHBand="0" w:evenHBand="0" w:firstRowFirstColumn="0" w:firstRowLastColumn="0" w:lastRowFirstColumn="0" w:lastRowLastColumn="0"/>
            <w:tcW w:w="113" w:type="pct"/>
            <w:vMerge w:val="restart"/>
          </w:tcPr>
          <w:p w14:paraId="7A0178F3" w14:textId="77777777" w:rsidR="00987E27" w:rsidRPr="007C5A6E" w:rsidRDefault="00987E27" w:rsidP="00987E27">
            <w:pPr>
              <w:spacing w:after="0" w:line="240" w:lineRule="auto"/>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3</w:t>
            </w:r>
          </w:p>
        </w:tc>
        <w:tc>
          <w:tcPr>
            <w:tcW w:w="4887" w:type="pct"/>
            <w:gridSpan w:val="5"/>
            <w:shd w:val="clear" w:color="auto" w:fill="D9D9D9"/>
            <w:hideMark/>
          </w:tcPr>
          <w:p w14:paraId="258A05EE"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b/>
                <w:bCs/>
                <w:kern w:val="2"/>
                <w14:ligatures w14:val="standardContextual"/>
              </w:rPr>
              <w:t>Gestion foncière</w:t>
            </w:r>
          </w:p>
        </w:tc>
      </w:tr>
      <w:tr w:rsidR="00987E27" w:rsidRPr="007C5A6E" w14:paraId="69721367" w14:textId="77777777" w:rsidTr="00CC1E9C">
        <w:tc>
          <w:tcPr>
            <w:cnfStyle w:val="001000000000" w:firstRow="0" w:lastRow="0" w:firstColumn="1" w:lastColumn="0" w:oddVBand="0" w:evenVBand="0" w:oddHBand="0" w:evenHBand="0" w:firstRowFirstColumn="0" w:firstRowLastColumn="0" w:lastRowFirstColumn="0" w:lastRowLastColumn="0"/>
            <w:tcW w:w="113" w:type="pct"/>
            <w:vMerge/>
          </w:tcPr>
          <w:p w14:paraId="4474354A" w14:textId="77777777" w:rsidR="00987E27" w:rsidRPr="007C5A6E" w:rsidRDefault="00987E27" w:rsidP="00987E27">
            <w:pPr>
              <w:spacing w:after="0" w:line="240" w:lineRule="auto"/>
              <w:rPr>
                <w:rFonts w:ascii="Times New Roman" w:eastAsia="Aptos" w:hAnsi="Times New Roman"/>
                <w:kern w:val="2"/>
                <w14:ligatures w14:val="standardContextual"/>
              </w:rPr>
            </w:pPr>
          </w:p>
        </w:tc>
        <w:tc>
          <w:tcPr>
            <w:tcW w:w="1558" w:type="pct"/>
            <w:hideMark/>
          </w:tcPr>
          <w:p w14:paraId="392D3339" w14:textId="77777777" w:rsidR="00987E27" w:rsidRPr="007C5A6E" w:rsidRDefault="00987E27" w:rsidP="00987E27">
            <w:pPr>
              <w:numPr>
                <w:ilvl w:val="0"/>
                <w:numId w:val="86"/>
              </w:numPr>
              <w:spacing w:after="0" w:line="240" w:lineRule="auto"/>
              <w:ind w:left="145" w:hanging="145"/>
              <w:contextualSpacing/>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Mettre en place un cadastre national moderne pour clarifier les droits fonciers et sécuriser la propriété, tout en régulant mieux les transactions foncières pour prévenir l’accaparement des terres</w:t>
            </w:r>
          </w:p>
        </w:tc>
        <w:tc>
          <w:tcPr>
            <w:tcW w:w="606" w:type="pct"/>
            <w:hideMark/>
          </w:tcPr>
          <w:p w14:paraId="1612D54C"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Moyen terme</w:t>
            </w:r>
          </w:p>
        </w:tc>
        <w:tc>
          <w:tcPr>
            <w:tcW w:w="1266" w:type="pct"/>
            <w:hideMark/>
          </w:tcPr>
          <w:p w14:paraId="6B8D71F0"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Ministères en charge de l’Urbanisme et de l’Économie, Experts en digitalisation, Secteur privé (FinTech)</w:t>
            </w:r>
          </w:p>
        </w:tc>
        <w:tc>
          <w:tcPr>
            <w:tcW w:w="660" w:type="pct"/>
            <w:hideMark/>
          </w:tcPr>
          <w:p w14:paraId="2C590045"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Disponibilité des ressources pour la digitalisation</w:t>
            </w:r>
          </w:p>
        </w:tc>
        <w:tc>
          <w:tcPr>
            <w:tcW w:w="798" w:type="pct"/>
            <w:hideMark/>
          </w:tcPr>
          <w:p w14:paraId="6D6C291C"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Corruption, lourdeurs administratives</w:t>
            </w:r>
          </w:p>
        </w:tc>
      </w:tr>
      <w:tr w:rsidR="00987E27" w:rsidRPr="007C5A6E" w14:paraId="316D6BAB" w14:textId="77777777" w:rsidTr="00CC1E9C">
        <w:tc>
          <w:tcPr>
            <w:cnfStyle w:val="001000000000" w:firstRow="0" w:lastRow="0" w:firstColumn="1" w:lastColumn="0" w:oddVBand="0" w:evenVBand="0" w:oddHBand="0" w:evenHBand="0" w:firstRowFirstColumn="0" w:firstRowLastColumn="0" w:lastRowFirstColumn="0" w:lastRowLastColumn="0"/>
            <w:tcW w:w="113" w:type="pct"/>
            <w:vMerge/>
          </w:tcPr>
          <w:p w14:paraId="585F368D" w14:textId="77777777" w:rsidR="00987E27" w:rsidRPr="007C5A6E" w:rsidRDefault="00987E27" w:rsidP="00987E27">
            <w:pPr>
              <w:spacing w:after="0" w:line="240" w:lineRule="auto"/>
              <w:rPr>
                <w:rFonts w:ascii="Times New Roman" w:eastAsia="Aptos" w:hAnsi="Times New Roman"/>
                <w:kern w:val="2"/>
                <w14:ligatures w14:val="standardContextual"/>
              </w:rPr>
            </w:pPr>
          </w:p>
        </w:tc>
        <w:tc>
          <w:tcPr>
            <w:tcW w:w="1558" w:type="pct"/>
            <w:hideMark/>
          </w:tcPr>
          <w:p w14:paraId="57BC9AC9" w14:textId="77777777" w:rsidR="00987E27" w:rsidRPr="007C5A6E" w:rsidRDefault="00987E27" w:rsidP="00987E27">
            <w:pPr>
              <w:numPr>
                <w:ilvl w:val="0"/>
                <w:numId w:val="86"/>
              </w:numPr>
              <w:spacing w:after="0" w:line="240" w:lineRule="auto"/>
              <w:ind w:left="145" w:hanging="145"/>
              <w:contextualSpacing/>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 xml:space="preserve">Établir des mécanismes transparents de gestion foncière, notamment par la digitalisation des processus administratifs et </w:t>
            </w:r>
            <w:proofErr w:type="gramStart"/>
            <w:r w:rsidRPr="007C5A6E">
              <w:rPr>
                <w:rFonts w:ascii="Times New Roman" w:eastAsia="Aptos" w:hAnsi="Times New Roman"/>
                <w:kern w:val="2"/>
                <w14:ligatures w14:val="standardContextual"/>
              </w:rPr>
              <w:t>la</w:t>
            </w:r>
            <w:proofErr w:type="gramEnd"/>
            <w:r w:rsidRPr="007C5A6E">
              <w:rPr>
                <w:rFonts w:ascii="Times New Roman" w:eastAsia="Aptos" w:hAnsi="Times New Roman"/>
                <w:kern w:val="2"/>
                <w14:ligatures w14:val="standardContextual"/>
              </w:rPr>
              <w:t xml:space="preserve"> formation/sensibilisation des acteurs locaux.</w:t>
            </w:r>
          </w:p>
        </w:tc>
        <w:tc>
          <w:tcPr>
            <w:tcW w:w="606" w:type="pct"/>
            <w:hideMark/>
          </w:tcPr>
          <w:p w14:paraId="798AE982"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Moyen terme</w:t>
            </w:r>
          </w:p>
        </w:tc>
        <w:tc>
          <w:tcPr>
            <w:tcW w:w="1266" w:type="pct"/>
            <w:hideMark/>
          </w:tcPr>
          <w:p w14:paraId="612D0DEB"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Ministères en charge de l’Administration territoriale et de l’Urbanisme, Collectivités locales, Secteur privé, associations de propriétaires fonciers</w:t>
            </w:r>
          </w:p>
        </w:tc>
        <w:tc>
          <w:tcPr>
            <w:tcW w:w="660" w:type="pct"/>
            <w:hideMark/>
          </w:tcPr>
          <w:p w14:paraId="187BED94"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Adhésion des parties prenantes</w:t>
            </w:r>
          </w:p>
        </w:tc>
        <w:tc>
          <w:tcPr>
            <w:tcW w:w="798" w:type="pct"/>
            <w:hideMark/>
          </w:tcPr>
          <w:p w14:paraId="65560E3F"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Résistance au changement</w:t>
            </w:r>
          </w:p>
        </w:tc>
      </w:tr>
      <w:tr w:rsidR="00987E27" w:rsidRPr="007C5A6E" w14:paraId="13B52CD7" w14:textId="77777777" w:rsidTr="00987E27">
        <w:tc>
          <w:tcPr>
            <w:cnfStyle w:val="001000000000" w:firstRow="0" w:lastRow="0" w:firstColumn="1" w:lastColumn="0" w:oddVBand="0" w:evenVBand="0" w:oddHBand="0" w:evenHBand="0" w:firstRowFirstColumn="0" w:firstRowLastColumn="0" w:lastRowFirstColumn="0" w:lastRowLastColumn="0"/>
            <w:tcW w:w="113" w:type="pct"/>
            <w:vMerge w:val="restart"/>
          </w:tcPr>
          <w:p w14:paraId="4DC83E5C" w14:textId="77777777" w:rsidR="00987E27" w:rsidRPr="007C5A6E" w:rsidRDefault="00987E27" w:rsidP="00987E27">
            <w:pPr>
              <w:spacing w:after="0" w:line="240" w:lineRule="auto"/>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4</w:t>
            </w:r>
          </w:p>
        </w:tc>
        <w:tc>
          <w:tcPr>
            <w:tcW w:w="4887" w:type="pct"/>
            <w:gridSpan w:val="5"/>
            <w:shd w:val="clear" w:color="auto" w:fill="D9D9D9"/>
            <w:hideMark/>
          </w:tcPr>
          <w:p w14:paraId="160D34F4"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b/>
                <w:bCs/>
                <w:kern w:val="2"/>
                <w14:ligatures w14:val="standardContextual"/>
              </w:rPr>
              <w:t>Infrastructure de drainage des eaux de pluie</w:t>
            </w:r>
          </w:p>
        </w:tc>
      </w:tr>
      <w:tr w:rsidR="00987E27" w:rsidRPr="007C5A6E" w14:paraId="35094806" w14:textId="77777777" w:rsidTr="00CC1E9C">
        <w:tc>
          <w:tcPr>
            <w:cnfStyle w:val="001000000000" w:firstRow="0" w:lastRow="0" w:firstColumn="1" w:lastColumn="0" w:oddVBand="0" w:evenVBand="0" w:oddHBand="0" w:evenHBand="0" w:firstRowFirstColumn="0" w:firstRowLastColumn="0" w:lastRowFirstColumn="0" w:lastRowLastColumn="0"/>
            <w:tcW w:w="113" w:type="pct"/>
            <w:vMerge/>
          </w:tcPr>
          <w:p w14:paraId="2885F06D" w14:textId="77777777" w:rsidR="00987E27" w:rsidRPr="007C5A6E" w:rsidRDefault="00987E27" w:rsidP="00987E27">
            <w:pPr>
              <w:spacing w:after="0" w:line="240" w:lineRule="auto"/>
              <w:rPr>
                <w:rFonts w:ascii="Times New Roman" w:eastAsia="Aptos" w:hAnsi="Times New Roman"/>
                <w:kern w:val="2"/>
                <w14:ligatures w14:val="standardContextual"/>
              </w:rPr>
            </w:pPr>
          </w:p>
        </w:tc>
        <w:tc>
          <w:tcPr>
            <w:tcW w:w="1558" w:type="pct"/>
            <w:hideMark/>
          </w:tcPr>
          <w:p w14:paraId="3565418B" w14:textId="77777777" w:rsidR="00987E27" w:rsidRPr="007C5A6E" w:rsidRDefault="00987E27" w:rsidP="00987E27">
            <w:pPr>
              <w:numPr>
                <w:ilvl w:val="0"/>
                <w:numId w:val="86"/>
              </w:numPr>
              <w:spacing w:after="0" w:line="240" w:lineRule="auto"/>
              <w:ind w:left="145" w:hanging="145"/>
              <w:contextualSpacing/>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Développer et rénover les infrastructures de drainage des eaux de pluie en mettant l’accent sur des solutions durables et adaptées aux conditions locales</w:t>
            </w:r>
          </w:p>
        </w:tc>
        <w:tc>
          <w:tcPr>
            <w:tcW w:w="606" w:type="pct"/>
            <w:hideMark/>
          </w:tcPr>
          <w:p w14:paraId="089030F7"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Moyen et long termes</w:t>
            </w:r>
          </w:p>
        </w:tc>
        <w:tc>
          <w:tcPr>
            <w:tcW w:w="1266" w:type="pct"/>
            <w:hideMark/>
          </w:tcPr>
          <w:p w14:paraId="1EB32170"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Ministères en charge de l’environnement l’Eau et de l’Assainissement, PTF</w:t>
            </w:r>
          </w:p>
        </w:tc>
        <w:tc>
          <w:tcPr>
            <w:tcW w:w="660" w:type="pct"/>
            <w:hideMark/>
          </w:tcPr>
          <w:p w14:paraId="591697E2"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Financement durable, expertise technique</w:t>
            </w:r>
          </w:p>
        </w:tc>
        <w:tc>
          <w:tcPr>
            <w:tcW w:w="798" w:type="pct"/>
            <w:hideMark/>
          </w:tcPr>
          <w:p w14:paraId="52CD9CE8"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Dégradation rapide des infrastructures faute d’entretien</w:t>
            </w:r>
          </w:p>
        </w:tc>
      </w:tr>
      <w:tr w:rsidR="00987E27" w:rsidRPr="007C5A6E" w14:paraId="50782087" w14:textId="77777777" w:rsidTr="00987E27">
        <w:tc>
          <w:tcPr>
            <w:cnfStyle w:val="001000000000" w:firstRow="0" w:lastRow="0" w:firstColumn="1" w:lastColumn="0" w:oddVBand="0" w:evenVBand="0" w:oddHBand="0" w:evenHBand="0" w:firstRowFirstColumn="0" w:firstRowLastColumn="0" w:lastRowFirstColumn="0" w:lastRowLastColumn="0"/>
            <w:tcW w:w="113" w:type="pct"/>
            <w:vMerge w:val="restart"/>
          </w:tcPr>
          <w:p w14:paraId="401CDC8E" w14:textId="77777777" w:rsidR="00987E27" w:rsidRPr="007C5A6E" w:rsidRDefault="00987E27" w:rsidP="00987E27">
            <w:pPr>
              <w:spacing w:after="0" w:line="240" w:lineRule="auto"/>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5</w:t>
            </w:r>
          </w:p>
        </w:tc>
        <w:tc>
          <w:tcPr>
            <w:tcW w:w="4887" w:type="pct"/>
            <w:gridSpan w:val="5"/>
            <w:shd w:val="clear" w:color="auto" w:fill="D9D9D9"/>
            <w:hideMark/>
          </w:tcPr>
          <w:p w14:paraId="2E460D47"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b/>
                <w:bCs/>
                <w:kern w:val="2"/>
                <w14:ligatures w14:val="standardContextual"/>
              </w:rPr>
              <w:t>Infrastructure d’assainissement</w:t>
            </w:r>
          </w:p>
        </w:tc>
      </w:tr>
      <w:tr w:rsidR="00987E27" w:rsidRPr="007C5A6E" w14:paraId="50986287" w14:textId="77777777" w:rsidTr="00CC1E9C">
        <w:tc>
          <w:tcPr>
            <w:cnfStyle w:val="001000000000" w:firstRow="0" w:lastRow="0" w:firstColumn="1" w:lastColumn="0" w:oddVBand="0" w:evenVBand="0" w:oddHBand="0" w:evenHBand="0" w:firstRowFirstColumn="0" w:firstRowLastColumn="0" w:lastRowFirstColumn="0" w:lastRowLastColumn="0"/>
            <w:tcW w:w="113" w:type="pct"/>
            <w:vMerge/>
          </w:tcPr>
          <w:p w14:paraId="2B84BCAD" w14:textId="77777777" w:rsidR="00987E27" w:rsidRPr="007C5A6E" w:rsidRDefault="00987E27" w:rsidP="00987E27">
            <w:pPr>
              <w:spacing w:after="0" w:line="240" w:lineRule="auto"/>
              <w:rPr>
                <w:rFonts w:ascii="Times New Roman" w:eastAsia="Aptos" w:hAnsi="Times New Roman"/>
                <w:kern w:val="2"/>
                <w14:ligatures w14:val="standardContextual"/>
              </w:rPr>
            </w:pPr>
          </w:p>
        </w:tc>
        <w:tc>
          <w:tcPr>
            <w:tcW w:w="1558" w:type="pct"/>
            <w:hideMark/>
          </w:tcPr>
          <w:p w14:paraId="1E470653" w14:textId="77777777" w:rsidR="00987E27" w:rsidRPr="007C5A6E" w:rsidRDefault="00987E27" w:rsidP="00987E27">
            <w:pPr>
              <w:numPr>
                <w:ilvl w:val="0"/>
                <w:numId w:val="86"/>
              </w:numPr>
              <w:spacing w:after="0" w:line="240" w:lineRule="auto"/>
              <w:ind w:left="145" w:hanging="145"/>
              <w:contextualSpacing/>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Investir dans des infrastructures d’assainissement modernes, telles que les réseaux d'égouts et les stations d'épuration, pour améliorer les conditions sanitaires et réduire les risques pour la santé publique</w:t>
            </w:r>
          </w:p>
        </w:tc>
        <w:tc>
          <w:tcPr>
            <w:tcW w:w="606" w:type="pct"/>
            <w:hideMark/>
          </w:tcPr>
          <w:p w14:paraId="25CA70F3"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Moyen terme</w:t>
            </w:r>
          </w:p>
        </w:tc>
        <w:tc>
          <w:tcPr>
            <w:tcW w:w="1266" w:type="pct"/>
            <w:hideMark/>
          </w:tcPr>
          <w:p w14:paraId="625BE91A"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Ministères en charge de l’environnement l’Eau et de l’Assainissement, collectivités locales, Secteur privé</w:t>
            </w:r>
          </w:p>
        </w:tc>
        <w:tc>
          <w:tcPr>
            <w:tcW w:w="660" w:type="pct"/>
            <w:hideMark/>
          </w:tcPr>
          <w:p w14:paraId="7B0A6794"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Adoption de solutions innovantes</w:t>
            </w:r>
          </w:p>
        </w:tc>
        <w:tc>
          <w:tcPr>
            <w:tcW w:w="798" w:type="pct"/>
            <w:hideMark/>
          </w:tcPr>
          <w:p w14:paraId="59349080"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Manque de sensibilisation des communautés</w:t>
            </w:r>
          </w:p>
        </w:tc>
      </w:tr>
      <w:tr w:rsidR="00987E27" w:rsidRPr="007C5A6E" w14:paraId="6D221241" w14:textId="77777777" w:rsidTr="00CC1E9C">
        <w:tc>
          <w:tcPr>
            <w:cnfStyle w:val="001000000000" w:firstRow="0" w:lastRow="0" w:firstColumn="1" w:lastColumn="0" w:oddVBand="0" w:evenVBand="0" w:oddHBand="0" w:evenHBand="0" w:firstRowFirstColumn="0" w:firstRowLastColumn="0" w:lastRowFirstColumn="0" w:lastRowLastColumn="0"/>
            <w:tcW w:w="113" w:type="pct"/>
            <w:vMerge/>
          </w:tcPr>
          <w:p w14:paraId="0108C1B1" w14:textId="77777777" w:rsidR="00987E27" w:rsidRPr="007C5A6E" w:rsidRDefault="00987E27" w:rsidP="00987E27">
            <w:pPr>
              <w:spacing w:after="0" w:line="240" w:lineRule="auto"/>
              <w:rPr>
                <w:rFonts w:ascii="Times New Roman" w:eastAsia="Aptos" w:hAnsi="Times New Roman"/>
                <w:kern w:val="2"/>
                <w14:ligatures w14:val="standardContextual"/>
              </w:rPr>
            </w:pPr>
          </w:p>
        </w:tc>
        <w:tc>
          <w:tcPr>
            <w:tcW w:w="1558" w:type="pct"/>
            <w:hideMark/>
          </w:tcPr>
          <w:p w14:paraId="47FB6550" w14:textId="77777777" w:rsidR="00987E27" w:rsidRPr="007C5A6E" w:rsidRDefault="00987E27" w:rsidP="00987E27">
            <w:pPr>
              <w:numPr>
                <w:ilvl w:val="0"/>
                <w:numId w:val="86"/>
              </w:numPr>
              <w:spacing w:after="0" w:line="240" w:lineRule="auto"/>
              <w:ind w:left="145" w:hanging="145"/>
              <w:contextualSpacing/>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Mettre en place des programmes de sensibilisation et de formation pour encourager les bonnes pratiques d’assainissement et la maintenance des infrastructures par les communautés locales</w:t>
            </w:r>
          </w:p>
        </w:tc>
        <w:tc>
          <w:tcPr>
            <w:tcW w:w="606" w:type="pct"/>
            <w:hideMark/>
          </w:tcPr>
          <w:p w14:paraId="126A88E1"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Court terme</w:t>
            </w:r>
          </w:p>
        </w:tc>
        <w:tc>
          <w:tcPr>
            <w:tcW w:w="1266" w:type="pct"/>
            <w:hideMark/>
          </w:tcPr>
          <w:p w14:paraId="1C11E460"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Ministères en charge de l’environnement l’Eau et de l’Assainissement, PTF, ONG, OSC</w:t>
            </w:r>
          </w:p>
        </w:tc>
        <w:tc>
          <w:tcPr>
            <w:tcW w:w="660" w:type="pct"/>
            <w:hideMark/>
          </w:tcPr>
          <w:p w14:paraId="7572F909"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Implication active des populations</w:t>
            </w:r>
          </w:p>
        </w:tc>
        <w:tc>
          <w:tcPr>
            <w:tcW w:w="798" w:type="pct"/>
            <w:hideMark/>
          </w:tcPr>
          <w:p w14:paraId="56C8B705"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Faible participation des communautés</w:t>
            </w:r>
          </w:p>
        </w:tc>
      </w:tr>
      <w:tr w:rsidR="00987E27" w:rsidRPr="007C5A6E" w14:paraId="14EE9C23" w14:textId="77777777" w:rsidTr="00987E27">
        <w:tc>
          <w:tcPr>
            <w:cnfStyle w:val="001000000000" w:firstRow="0" w:lastRow="0" w:firstColumn="1" w:lastColumn="0" w:oddVBand="0" w:evenVBand="0" w:oddHBand="0" w:evenHBand="0" w:firstRowFirstColumn="0" w:firstRowLastColumn="0" w:lastRowFirstColumn="0" w:lastRowLastColumn="0"/>
            <w:tcW w:w="113" w:type="pct"/>
            <w:vMerge w:val="restart"/>
          </w:tcPr>
          <w:p w14:paraId="4F2346D7" w14:textId="77777777" w:rsidR="00987E27" w:rsidRPr="007C5A6E" w:rsidRDefault="00987E27" w:rsidP="00987E27">
            <w:pPr>
              <w:spacing w:after="0" w:line="240" w:lineRule="auto"/>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6</w:t>
            </w:r>
          </w:p>
        </w:tc>
        <w:tc>
          <w:tcPr>
            <w:tcW w:w="4887" w:type="pct"/>
            <w:gridSpan w:val="5"/>
            <w:shd w:val="clear" w:color="auto" w:fill="D9D9D9"/>
            <w:hideMark/>
          </w:tcPr>
          <w:p w14:paraId="1761906E"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b/>
                <w:bCs/>
                <w:kern w:val="2"/>
                <w14:ligatures w14:val="standardContextual"/>
              </w:rPr>
              <w:t>Accès aux services sociaux de base</w:t>
            </w:r>
          </w:p>
        </w:tc>
      </w:tr>
      <w:tr w:rsidR="00987E27" w:rsidRPr="007C5A6E" w14:paraId="1F47E725" w14:textId="77777777" w:rsidTr="00CC1E9C">
        <w:tc>
          <w:tcPr>
            <w:cnfStyle w:val="001000000000" w:firstRow="0" w:lastRow="0" w:firstColumn="1" w:lastColumn="0" w:oddVBand="0" w:evenVBand="0" w:oddHBand="0" w:evenHBand="0" w:firstRowFirstColumn="0" w:firstRowLastColumn="0" w:lastRowFirstColumn="0" w:lastRowLastColumn="0"/>
            <w:tcW w:w="113" w:type="pct"/>
            <w:vMerge/>
          </w:tcPr>
          <w:p w14:paraId="20E8ABD4" w14:textId="77777777" w:rsidR="00987E27" w:rsidRPr="007C5A6E" w:rsidRDefault="00987E27" w:rsidP="00987E27">
            <w:pPr>
              <w:spacing w:after="0" w:line="240" w:lineRule="auto"/>
              <w:rPr>
                <w:rFonts w:ascii="Times New Roman" w:eastAsia="Aptos" w:hAnsi="Times New Roman"/>
                <w:kern w:val="2"/>
                <w14:ligatures w14:val="standardContextual"/>
              </w:rPr>
            </w:pPr>
          </w:p>
        </w:tc>
        <w:tc>
          <w:tcPr>
            <w:tcW w:w="1558" w:type="pct"/>
            <w:hideMark/>
          </w:tcPr>
          <w:p w14:paraId="1914B7F0" w14:textId="77777777" w:rsidR="00987E27" w:rsidRPr="007C5A6E" w:rsidRDefault="00987E27" w:rsidP="00987E27">
            <w:pPr>
              <w:numPr>
                <w:ilvl w:val="0"/>
                <w:numId w:val="86"/>
              </w:numPr>
              <w:spacing w:after="0" w:line="240" w:lineRule="auto"/>
              <w:ind w:left="145" w:hanging="145"/>
              <w:contextualSpacing/>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Élargir l’accès aux services sociaux de base tels que l’éducation, la santé et l’eau potable en construisant de nouvelles infrastructures et en améliorant celles existantes</w:t>
            </w:r>
          </w:p>
        </w:tc>
        <w:tc>
          <w:tcPr>
            <w:tcW w:w="606" w:type="pct"/>
            <w:hideMark/>
          </w:tcPr>
          <w:p w14:paraId="4AE13672"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Moyen terme</w:t>
            </w:r>
          </w:p>
        </w:tc>
        <w:tc>
          <w:tcPr>
            <w:tcW w:w="1266" w:type="pct"/>
            <w:hideMark/>
          </w:tcPr>
          <w:p w14:paraId="3CF29F76"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Ministères en charge de la Santé, de l’Éducation et de l’Eau, de l’Assainissement, Partenaires privés et publics</w:t>
            </w:r>
          </w:p>
        </w:tc>
        <w:tc>
          <w:tcPr>
            <w:tcW w:w="660" w:type="pct"/>
            <w:hideMark/>
          </w:tcPr>
          <w:p w14:paraId="42DC48DC"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Partenariats public-privé efficaces</w:t>
            </w:r>
          </w:p>
        </w:tc>
        <w:tc>
          <w:tcPr>
            <w:tcW w:w="798" w:type="pct"/>
            <w:hideMark/>
          </w:tcPr>
          <w:p w14:paraId="17E3F558"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Manque de ressources financières</w:t>
            </w:r>
          </w:p>
        </w:tc>
      </w:tr>
      <w:tr w:rsidR="00987E27" w:rsidRPr="007C5A6E" w14:paraId="238F29BC" w14:textId="77777777" w:rsidTr="00CC1E9C">
        <w:tc>
          <w:tcPr>
            <w:cnfStyle w:val="001000000000" w:firstRow="0" w:lastRow="0" w:firstColumn="1" w:lastColumn="0" w:oddVBand="0" w:evenVBand="0" w:oddHBand="0" w:evenHBand="0" w:firstRowFirstColumn="0" w:firstRowLastColumn="0" w:lastRowFirstColumn="0" w:lastRowLastColumn="0"/>
            <w:tcW w:w="113" w:type="pct"/>
            <w:vMerge/>
          </w:tcPr>
          <w:p w14:paraId="247B366F" w14:textId="77777777" w:rsidR="00987E27" w:rsidRPr="007C5A6E" w:rsidRDefault="00987E27" w:rsidP="00987E27">
            <w:pPr>
              <w:spacing w:after="0" w:line="240" w:lineRule="auto"/>
              <w:rPr>
                <w:rFonts w:ascii="Times New Roman" w:eastAsia="Aptos" w:hAnsi="Times New Roman"/>
                <w:kern w:val="2"/>
                <w14:ligatures w14:val="standardContextual"/>
              </w:rPr>
            </w:pPr>
          </w:p>
        </w:tc>
        <w:tc>
          <w:tcPr>
            <w:tcW w:w="1558" w:type="pct"/>
            <w:hideMark/>
          </w:tcPr>
          <w:p w14:paraId="25E3F873" w14:textId="77777777" w:rsidR="00987E27" w:rsidRPr="007C5A6E" w:rsidRDefault="00987E27" w:rsidP="00987E27">
            <w:pPr>
              <w:numPr>
                <w:ilvl w:val="0"/>
                <w:numId w:val="86"/>
              </w:numPr>
              <w:spacing w:after="0" w:line="240" w:lineRule="auto"/>
              <w:ind w:left="145" w:hanging="145"/>
              <w:contextualSpacing/>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Offrir des subventions et des aides financières pour rendre les services de base plus accessibles aux populations à faibles revenus, et établir des partenariats public-privé pour soutenir ces efforts</w:t>
            </w:r>
          </w:p>
        </w:tc>
        <w:tc>
          <w:tcPr>
            <w:tcW w:w="606" w:type="pct"/>
            <w:hideMark/>
          </w:tcPr>
          <w:p w14:paraId="35BF0921"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Court terme</w:t>
            </w:r>
          </w:p>
        </w:tc>
        <w:tc>
          <w:tcPr>
            <w:tcW w:w="1266" w:type="pct"/>
            <w:hideMark/>
          </w:tcPr>
          <w:p w14:paraId="7CCDF70C"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Ministère en charge de l’Économie, ONG, PTF</w:t>
            </w:r>
          </w:p>
        </w:tc>
        <w:tc>
          <w:tcPr>
            <w:tcW w:w="660" w:type="pct"/>
            <w:hideMark/>
          </w:tcPr>
          <w:p w14:paraId="048B932E"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Disponibilité des fonds</w:t>
            </w:r>
          </w:p>
        </w:tc>
        <w:tc>
          <w:tcPr>
            <w:tcW w:w="798" w:type="pct"/>
            <w:hideMark/>
          </w:tcPr>
          <w:p w14:paraId="7999FD16"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Mauvaise stratégie de ciblage des bénéficiaires</w:t>
            </w:r>
          </w:p>
        </w:tc>
      </w:tr>
      <w:tr w:rsidR="00987E27" w:rsidRPr="007C5A6E" w14:paraId="7DAF3A55" w14:textId="77777777" w:rsidTr="00987E27">
        <w:tc>
          <w:tcPr>
            <w:cnfStyle w:val="001000000000" w:firstRow="0" w:lastRow="0" w:firstColumn="1" w:lastColumn="0" w:oddVBand="0" w:evenVBand="0" w:oddHBand="0" w:evenHBand="0" w:firstRowFirstColumn="0" w:firstRowLastColumn="0" w:lastRowFirstColumn="0" w:lastRowLastColumn="0"/>
            <w:tcW w:w="113" w:type="pct"/>
            <w:vMerge w:val="restart"/>
          </w:tcPr>
          <w:p w14:paraId="4640C4C6" w14:textId="77777777" w:rsidR="00987E27" w:rsidRPr="007C5A6E" w:rsidRDefault="00987E27" w:rsidP="00987E27">
            <w:pPr>
              <w:spacing w:after="0" w:line="240" w:lineRule="auto"/>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7</w:t>
            </w:r>
          </w:p>
        </w:tc>
        <w:tc>
          <w:tcPr>
            <w:tcW w:w="4887" w:type="pct"/>
            <w:gridSpan w:val="5"/>
            <w:shd w:val="clear" w:color="auto" w:fill="D9D9D9"/>
            <w:hideMark/>
          </w:tcPr>
          <w:p w14:paraId="3DC9B19A"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b/>
                <w:bCs/>
                <w:kern w:val="2"/>
                <w14:ligatures w14:val="standardContextual"/>
              </w:rPr>
              <w:t>Urbanisation informelle</w:t>
            </w:r>
          </w:p>
        </w:tc>
      </w:tr>
      <w:tr w:rsidR="00987E27" w:rsidRPr="007C5A6E" w14:paraId="7DDC633E" w14:textId="77777777" w:rsidTr="00CC1E9C">
        <w:tc>
          <w:tcPr>
            <w:cnfStyle w:val="001000000000" w:firstRow="0" w:lastRow="0" w:firstColumn="1" w:lastColumn="0" w:oddVBand="0" w:evenVBand="0" w:oddHBand="0" w:evenHBand="0" w:firstRowFirstColumn="0" w:firstRowLastColumn="0" w:lastRowFirstColumn="0" w:lastRowLastColumn="0"/>
            <w:tcW w:w="113" w:type="pct"/>
            <w:vMerge/>
          </w:tcPr>
          <w:p w14:paraId="465DC378" w14:textId="77777777" w:rsidR="00987E27" w:rsidRPr="007C5A6E" w:rsidRDefault="00987E27" w:rsidP="00987E27">
            <w:pPr>
              <w:spacing w:after="0" w:line="240" w:lineRule="auto"/>
              <w:rPr>
                <w:rFonts w:ascii="Times New Roman" w:eastAsia="Aptos" w:hAnsi="Times New Roman"/>
                <w:kern w:val="2"/>
                <w14:ligatures w14:val="standardContextual"/>
              </w:rPr>
            </w:pPr>
          </w:p>
        </w:tc>
        <w:tc>
          <w:tcPr>
            <w:tcW w:w="1558" w:type="pct"/>
            <w:hideMark/>
          </w:tcPr>
          <w:p w14:paraId="16209E59" w14:textId="77777777" w:rsidR="00987E27" w:rsidRPr="007C5A6E" w:rsidRDefault="00987E27" w:rsidP="00987E27">
            <w:pPr>
              <w:numPr>
                <w:ilvl w:val="0"/>
                <w:numId w:val="86"/>
              </w:numPr>
              <w:spacing w:after="0" w:line="240" w:lineRule="auto"/>
              <w:ind w:left="145" w:hanging="145"/>
              <w:contextualSpacing/>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Mettre en place des politiques de régularisation réalistes pour intégrer les zones d’urbanisation informelle dans le tissu urbain officiel, en fournissant des services de base et en améliorant les conditions de vie dans ces zones</w:t>
            </w:r>
          </w:p>
        </w:tc>
        <w:tc>
          <w:tcPr>
            <w:tcW w:w="606" w:type="pct"/>
            <w:hideMark/>
          </w:tcPr>
          <w:p w14:paraId="7C67884E"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Moyen et long termes</w:t>
            </w:r>
          </w:p>
        </w:tc>
        <w:tc>
          <w:tcPr>
            <w:tcW w:w="1266" w:type="pct"/>
            <w:hideMark/>
          </w:tcPr>
          <w:p w14:paraId="2AE51F95"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Ministère de l’Urbanisme, collectivités territoriales</w:t>
            </w:r>
          </w:p>
        </w:tc>
        <w:tc>
          <w:tcPr>
            <w:tcW w:w="660" w:type="pct"/>
            <w:hideMark/>
          </w:tcPr>
          <w:p w14:paraId="32F96BB9"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Acceptation des politiques par les habitants</w:t>
            </w:r>
          </w:p>
        </w:tc>
        <w:tc>
          <w:tcPr>
            <w:tcW w:w="798" w:type="pct"/>
            <w:hideMark/>
          </w:tcPr>
          <w:p w14:paraId="25A674D2"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Résistance sociale</w:t>
            </w:r>
          </w:p>
        </w:tc>
      </w:tr>
      <w:tr w:rsidR="00987E27" w:rsidRPr="007C5A6E" w14:paraId="31DF1EE4" w14:textId="77777777" w:rsidTr="00987E27">
        <w:tc>
          <w:tcPr>
            <w:cnfStyle w:val="001000000000" w:firstRow="0" w:lastRow="0" w:firstColumn="1" w:lastColumn="0" w:oddVBand="0" w:evenVBand="0" w:oddHBand="0" w:evenHBand="0" w:firstRowFirstColumn="0" w:firstRowLastColumn="0" w:lastRowFirstColumn="0" w:lastRowLastColumn="0"/>
            <w:tcW w:w="113" w:type="pct"/>
            <w:vMerge w:val="restart"/>
          </w:tcPr>
          <w:p w14:paraId="0AD84241" w14:textId="77777777" w:rsidR="00987E27" w:rsidRPr="007C5A6E" w:rsidRDefault="00987E27" w:rsidP="00987E27">
            <w:pPr>
              <w:spacing w:after="0" w:line="240" w:lineRule="auto"/>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8</w:t>
            </w:r>
          </w:p>
        </w:tc>
        <w:tc>
          <w:tcPr>
            <w:tcW w:w="4887" w:type="pct"/>
            <w:gridSpan w:val="5"/>
            <w:shd w:val="clear" w:color="auto" w:fill="D9D9D9"/>
            <w:hideMark/>
          </w:tcPr>
          <w:p w14:paraId="25726D7D"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b/>
                <w:bCs/>
                <w:kern w:val="2"/>
                <w14:ligatures w14:val="standardContextual"/>
              </w:rPr>
              <w:t>Intégration des populations vulnérables</w:t>
            </w:r>
          </w:p>
        </w:tc>
      </w:tr>
      <w:tr w:rsidR="00987E27" w:rsidRPr="007C5A6E" w14:paraId="14F73F6C" w14:textId="77777777" w:rsidTr="00CC1E9C">
        <w:tc>
          <w:tcPr>
            <w:cnfStyle w:val="001000000000" w:firstRow="0" w:lastRow="0" w:firstColumn="1" w:lastColumn="0" w:oddVBand="0" w:evenVBand="0" w:oddHBand="0" w:evenHBand="0" w:firstRowFirstColumn="0" w:firstRowLastColumn="0" w:lastRowFirstColumn="0" w:lastRowLastColumn="0"/>
            <w:tcW w:w="113" w:type="pct"/>
            <w:vMerge/>
          </w:tcPr>
          <w:p w14:paraId="57B0D96F" w14:textId="77777777" w:rsidR="00987E27" w:rsidRPr="007C5A6E" w:rsidRDefault="00987E27" w:rsidP="00987E27">
            <w:pPr>
              <w:spacing w:after="0" w:line="240" w:lineRule="auto"/>
              <w:rPr>
                <w:rFonts w:ascii="Times New Roman" w:eastAsia="Aptos" w:hAnsi="Times New Roman"/>
                <w:kern w:val="2"/>
                <w14:ligatures w14:val="standardContextual"/>
              </w:rPr>
            </w:pPr>
          </w:p>
        </w:tc>
        <w:tc>
          <w:tcPr>
            <w:tcW w:w="1558" w:type="pct"/>
            <w:hideMark/>
          </w:tcPr>
          <w:p w14:paraId="3692518A" w14:textId="77777777" w:rsidR="00987E27" w:rsidRPr="007C5A6E" w:rsidRDefault="00987E27" w:rsidP="00987E27">
            <w:pPr>
              <w:numPr>
                <w:ilvl w:val="0"/>
                <w:numId w:val="86"/>
              </w:numPr>
              <w:spacing w:after="0" w:line="240" w:lineRule="auto"/>
              <w:ind w:left="145" w:hanging="145"/>
              <w:contextualSpacing/>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Créer des programmes ciblés pour soutenir l’intégration des populations vulnérables, tels que des formations professionnelles, des aides au logement et des services sociaux dédiés</w:t>
            </w:r>
          </w:p>
        </w:tc>
        <w:tc>
          <w:tcPr>
            <w:tcW w:w="606" w:type="pct"/>
            <w:hideMark/>
          </w:tcPr>
          <w:p w14:paraId="264EE949"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Court et moyen termes</w:t>
            </w:r>
          </w:p>
        </w:tc>
        <w:tc>
          <w:tcPr>
            <w:tcW w:w="1266" w:type="pct"/>
            <w:hideMark/>
          </w:tcPr>
          <w:p w14:paraId="3C585A4E"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Ministères en charge de l’action sociale ONG</w:t>
            </w:r>
          </w:p>
        </w:tc>
        <w:tc>
          <w:tcPr>
            <w:tcW w:w="660" w:type="pct"/>
            <w:hideMark/>
          </w:tcPr>
          <w:p w14:paraId="248D3270"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Collaboration intersectorielle efficace</w:t>
            </w:r>
          </w:p>
        </w:tc>
        <w:tc>
          <w:tcPr>
            <w:tcW w:w="798" w:type="pct"/>
            <w:hideMark/>
          </w:tcPr>
          <w:p w14:paraId="57D4ACD5"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Faible coordination entre acteurs</w:t>
            </w:r>
          </w:p>
        </w:tc>
      </w:tr>
      <w:tr w:rsidR="00987E27" w:rsidRPr="007C5A6E" w14:paraId="7BF5BCE6" w14:textId="77777777" w:rsidTr="00987E27">
        <w:tc>
          <w:tcPr>
            <w:cnfStyle w:val="001000000000" w:firstRow="0" w:lastRow="0" w:firstColumn="1" w:lastColumn="0" w:oddVBand="0" w:evenVBand="0" w:oddHBand="0" w:evenHBand="0" w:firstRowFirstColumn="0" w:firstRowLastColumn="0" w:lastRowFirstColumn="0" w:lastRowLastColumn="0"/>
            <w:tcW w:w="113" w:type="pct"/>
            <w:vMerge w:val="restart"/>
          </w:tcPr>
          <w:p w14:paraId="6C48D61E" w14:textId="77777777" w:rsidR="00987E27" w:rsidRPr="007C5A6E" w:rsidRDefault="00987E27" w:rsidP="00987E27">
            <w:pPr>
              <w:spacing w:after="0" w:line="240" w:lineRule="auto"/>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9</w:t>
            </w:r>
          </w:p>
        </w:tc>
        <w:tc>
          <w:tcPr>
            <w:tcW w:w="4887" w:type="pct"/>
            <w:gridSpan w:val="5"/>
            <w:shd w:val="clear" w:color="auto" w:fill="D9D9D9"/>
            <w:hideMark/>
          </w:tcPr>
          <w:p w14:paraId="414B2C78"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b/>
                <w:bCs/>
                <w:kern w:val="2"/>
                <w14:ligatures w14:val="standardContextual"/>
              </w:rPr>
              <w:t>Coût élevé de la vie</w:t>
            </w:r>
          </w:p>
        </w:tc>
      </w:tr>
      <w:tr w:rsidR="00987E27" w:rsidRPr="00987E27" w14:paraId="08748796" w14:textId="77777777" w:rsidTr="00CC1E9C">
        <w:tc>
          <w:tcPr>
            <w:cnfStyle w:val="001000000000" w:firstRow="0" w:lastRow="0" w:firstColumn="1" w:lastColumn="0" w:oddVBand="0" w:evenVBand="0" w:oddHBand="0" w:evenHBand="0" w:firstRowFirstColumn="0" w:firstRowLastColumn="0" w:lastRowFirstColumn="0" w:lastRowLastColumn="0"/>
            <w:tcW w:w="113" w:type="pct"/>
            <w:vMerge/>
          </w:tcPr>
          <w:p w14:paraId="1D5CC46F" w14:textId="77777777" w:rsidR="00987E27" w:rsidRPr="007C5A6E" w:rsidRDefault="00987E27" w:rsidP="00987E27">
            <w:pPr>
              <w:spacing w:after="0" w:line="240" w:lineRule="auto"/>
              <w:rPr>
                <w:rFonts w:ascii="Times New Roman" w:eastAsia="Aptos" w:hAnsi="Times New Roman"/>
                <w:kern w:val="2"/>
                <w14:ligatures w14:val="standardContextual"/>
              </w:rPr>
            </w:pPr>
          </w:p>
        </w:tc>
        <w:tc>
          <w:tcPr>
            <w:tcW w:w="1558" w:type="pct"/>
            <w:hideMark/>
          </w:tcPr>
          <w:p w14:paraId="0AE899FD" w14:textId="77777777" w:rsidR="00987E27" w:rsidRPr="007C5A6E" w:rsidRDefault="00987E27" w:rsidP="00987E27">
            <w:pPr>
              <w:numPr>
                <w:ilvl w:val="0"/>
                <w:numId w:val="86"/>
              </w:numPr>
              <w:spacing w:after="0" w:line="240" w:lineRule="auto"/>
              <w:ind w:left="145" w:hanging="145"/>
              <w:contextualSpacing/>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Promouvoir les alternatives économiques, comme les coopératives de logement et les solutions de transport collectif, pour réduire le coût de la vie et améliorer l’accessibilité</w:t>
            </w:r>
          </w:p>
        </w:tc>
        <w:tc>
          <w:tcPr>
            <w:tcW w:w="606" w:type="pct"/>
            <w:hideMark/>
          </w:tcPr>
          <w:p w14:paraId="18683336"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Moyen terme</w:t>
            </w:r>
          </w:p>
        </w:tc>
        <w:tc>
          <w:tcPr>
            <w:tcW w:w="1266" w:type="pct"/>
            <w:hideMark/>
          </w:tcPr>
          <w:p w14:paraId="70817036"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Ministères en charge des Transports et de l’Économie, Communautés locales</w:t>
            </w:r>
          </w:p>
        </w:tc>
        <w:tc>
          <w:tcPr>
            <w:tcW w:w="660" w:type="pct"/>
            <w:hideMark/>
          </w:tcPr>
          <w:p w14:paraId="30BAC067" w14:textId="77777777" w:rsidR="00987E27" w:rsidRPr="007C5A6E"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Adhésion des communautés</w:t>
            </w:r>
          </w:p>
        </w:tc>
        <w:tc>
          <w:tcPr>
            <w:tcW w:w="798" w:type="pct"/>
            <w:hideMark/>
          </w:tcPr>
          <w:p w14:paraId="077401C5" w14:textId="77777777" w:rsidR="00987E27" w:rsidRPr="00987E27" w:rsidRDefault="00987E27" w:rsidP="00987E2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Aptos" w:hAnsi="Times New Roman"/>
                <w:kern w:val="2"/>
                <w14:ligatures w14:val="standardContextual"/>
              </w:rPr>
            </w:pPr>
            <w:r w:rsidRPr="007C5A6E">
              <w:rPr>
                <w:rFonts w:ascii="Times New Roman" w:eastAsia="Aptos" w:hAnsi="Times New Roman"/>
                <w:kern w:val="2"/>
                <w14:ligatures w14:val="standardContextual"/>
              </w:rPr>
              <w:t>Faible attractivité des solutions proposées</w:t>
            </w:r>
          </w:p>
        </w:tc>
      </w:tr>
    </w:tbl>
    <w:p w14:paraId="79822EA0" w14:textId="77777777" w:rsidR="00987E27" w:rsidRPr="00987E27" w:rsidRDefault="00987E27" w:rsidP="00987E27">
      <w:pPr>
        <w:spacing w:after="0" w:line="240" w:lineRule="auto"/>
        <w:jc w:val="both"/>
        <w:rPr>
          <w:rFonts w:ascii="Times New Roman" w:eastAsia="Aptos" w:hAnsi="Times New Roman"/>
          <w:kern w:val="2"/>
          <w:sz w:val="24"/>
          <w:szCs w:val="24"/>
          <w14:ligatures w14:val="standardContextual"/>
        </w:rPr>
      </w:pPr>
    </w:p>
    <w:p w14:paraId="7A5548B5" w14:textId="77777777" w:rsidR="00800F57" w:rsidRPr="00800F57" w:rsidRDefault="00800F57" w:rsidP="00580307">
      <w:pPr>
        <w:spacing w:after="0" w:line="240" w:lineRule="auto"/>
        <w:rPr>
          <w:rFonts w:ascii="Times New Roman" w:hAnsi="Times New Roman"/>
          <w:sz w:val="24"/>
          <w:szCs w:val="24"/>
        </w:rPr>
      </w:pPr>
    </w:p>
    <w:p w14:paraId="44543A76" w14:textId="77777777" w:rsidR="00800F57" w:rsidRDefault="00800F57" w:rsidP="00800F57">
      <w:pPr>
        <w:spacing w:after="0" w:line="240" w:lineRule="auto"/>
        <w:rPr>
          <w:rFonts w:ascii="Times New Roman" w:hAnsi="Times New Roman"/>
          <w:sz w:val="24"/>
          <w:szCs w:val="24"/>
        </w:rPr>
      </w:pPr>
    </w:p>
    <w:p w14:paraId="069C0542" w14:textId="77777777" w:rsidR="00800F57" w:rsidRDefault="00800F57" w:rsidP="00800F57">
      <w:pPr>
        <w:spacing w:after="0" w:line="240" w:lineRule="auto"/>
        <w:rPr>
          <w:rFonts w:ascii="Times New Roman" w:hAnsi="Times New Roman"/>
          <w:sz w:val="24"/>
          <w:szCs w:val="24"/>
        </w:rPr>
      </w:pPr>
    </w:p>
    <w:p w14:paraId="67A05F4D" w14:textId="77777777" w:rsidR="00800F57" w:rsidRDefault="00800F57" w:rsidP="00800F57">
      <w:pPr>
        <w:spacing w:after="0" w:line="240" w:lineRule="auto"/>
        <w:rPr>
          <w:rFonts w:ascii="Times New Roman" w:hAnsi="Times New Roman"/>
          <w:sz w:val="24"/>
          <w:szCs w:val="24"/>
        </w:rPr>
      </w:pPr>
    </w:p>
    <w:p w14:paraId="3AE37064" w14:textId="77777777" w:rsidR="00800F57" w:rsidRDefault="00800F57" w:rsidP="00800F57">
      <w:pPr>
        <w:spacing w:after="0" w:line="240" w:lineRule="auto"/>
        <w:rPr>
          <w:rFonts w:ascii="Times New Roman" w:hAnsi="Times New Roman"/>
          <w:sz w:val="24"/>
          <w:szCs w:val="24"/>
        </w:rPr>
      </w:pPr>
    </w:p>
    <w:p w14:paraId="4CDAC9EC" w14:textId="77777777" w:rsidR="00800F57" w:rsidRDefault="00800F57" w:rsidP="00800F57">
      <w:pPr>
        <w:spacing w:after="0" w:line="240" w:lineRule="auto"/>
        <w:rPr>
          <w:rFonts w:ascii="Times New Roman" w:hAnsi="Times New Roman"/>
          <w:sz w:val="24"/>
          <w:szCs w:val="24"/>
        </w:rPr>
      </w:pPr>
    </w:p>
    <w:p w14:paraId="78374DFF" w14:textId="77777777" w:rsidR="00800F57" w:rsidRDefault="00800F57" w:rsidP="00800F57">
      <w:pPr>
        <w:spacing w:after="0" w:line="240" w:lineRule="auto"/>
        <w:rPr>
          <w:rFonts w:ascii="Times New Roman" w:hAnsi="Times New Roman"/>
          <w:sz w:val="24"/>
          <w:szCs w:val="24"/>
        </w:rPr>
      </w:pPr>
    </w:p>
    <w:p w14:paraId="3D9DB005" w14:textId="77777777" w:rsidR="00800F57" w:rsidRDefault="00800F57" w:rsidP="00800F57">
      <w:pPr>
        <w:spacing w:after="0" w:line="240" w:lineRule="auto"/>
        <w:rPr>
          <w:rFonts w:ascii="Times New Roman" w:hAnsi="Times New Roman"/>
          <w:sz w:val="24"/>
          <w:szCs w:val="24"/>
        </w:rPr>
      </w:pPr>
    </w:p>
    <w:p w14:paraId="0F358796" w14:textId="77777777" w:rsidR="00800F57" w:rsidRDefault="00800F57" w:rsidP="00800F57">
      <w:pPr>
        <w:spacing w:after="0" w:line="240" w:lineRule="auto"/>
        <w:rPr>
          <w:rFonts w:ascii="Times New Roman" w:hAnsi="Times New Roman"/>
          <w:sz w:val="24"/>
          <w:szCs w:val="24"/>
        </w:rPr>
      </w:pPr>
    </w:p>
    <w:p w14:paraId="5F8FC5CC" w14:textId="77777777" w:rsidR="00800F57" w:rsidRDefault="00800F57" w:rsidP="00800F57">
      <w:pPr>
        <w:spacing w:after="0" w:line="240" w:lineRule="auto"/>
        <w:rPr>
          <w:rFonts w:ascii="Times New Roman" w:hAnsi="Times New Roman"/>
          <w:sz w:val="24"/>
          <w:szCs w:val="24"/>
        </w:rPr>
      </w:pPr>
    </w:p>
    <w:p w14:paraId="1564EE58" w14:textId="77777777" w:rsidR="00800F57" w:rsidRDefault="00800F57" w:rsidP="00800F57">
      <w:pPr>
        <w:spacing w:after="0" w:line="240" w:lineRule="auto"/>
        <w:rPr>
          <w:rFonts w:ascii="Times New Roman" w:hAnsi="Times New Roman"/>
          <w:sz w:val="24"/>
          <w:szCs w:val="24"/>
        </w:rPr>
      </w:pPr>
    </w:p>
    <w:p w14:paraId="314E0C7F" w14:textId="77777777" w:rsidR="00800F57" w:rsidRDefault="00800F57" w:rsidP="00800F57">
      <w:pPr>
        <w:spacing w:after="0" w:line="240" w:lineRule="auto"/>
        <w:rPr>
          <w:rFonts w:ascii="Times New Roman" w:hAnsi="Times New Roman"/>
          <w:sz w:val="24"/>
          <w:szCs w:val="24"/>
        </w:rPr>
      </w:pPr>
    </w:p>
    <w:p w14:paraId="77315571" w14:textId="77777777" w:rsidR="00800F57" w:rsidRDefault="00800F57" w:rsidP="00800F57">
      <w:pPr>
        <w:spacing w:after="0" w:line="240" w:lineRule="auto"/>
        <w:rPr>
          <w:rFonts w:ascii="Times New Roman" w:hAnsi="Times New Roman"/>
          <w:sz w:val="24"/>
          <w:szCs w:val="24"/>
        </w:rPr>
      </w:pPr>
    </w:p>
    <w:p w14:paraId="5212A930" w14:textId="77777777" w:rsidR="00800F57" w:rsidRDefault="00800F57" w:rsidP="0093589E">
      <w:pPr>
        <w:spacing w:after="0" w:line="240" w:lineRule="auto"/>
        <w:rPr>
          <w:rFonts w:ascii="Times New Roman" w:hAnsi="Times New Roman"/>
          <w:sz w:val="24"/>
          <w:szCs w:val="24"/>
        </w:rPr>
      </w:pPr>
    </w:p>
    <w:p w14:paraId="4B15256E" w14:textId="2AEE4FB7" w:rsidR="00800F57" w:rsidRPr="00B11BAF" w:rsidRDefault="00800F57" w:rsidP="0093589E">
      <w:pPr>
        <w:spacing w:after="0" w:line="240" w:lineRule="auto"/>
        <w:rPr>
          <w:rFonts w:ascii="Times New Roman" w:hAnsi="Times New Roman"/>
          <w:sz w:val="24"/>
          <w:szCs w:val="24"/>
        </w:rPr>
      </w:pPr>
    </w:p>
    <w:sectPr w:rsidR="00800F57" w:rsidRPr="00B11BAF" w:rsidSect="00987E27">
      <w:pgSz w:w="16840" w:h="11907" w:orient="landscape" w:code="9"/>
      <w:pgMar w:top="1361" w:right="1191" w:bottom="1361" w:left="119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BDA364C" w14:textId="77777777" w:rsidR="00495F88" w:rsidRDefault="00495F88" w:rsidP="006C0155">
      <w:pPr>
        <w:spacing w:after="0" w:line="240" w:lineRule="auto"/>
      </w:pPr>
      <w:r>
        <w:separator/>
      </w:r>
    </w:p>
  </w:endnote>
  <w:endnote w:type="continuationSeparator" w:id="0">
    <w:p w14:paraId="6B2A3F1B" w14:textId="77777777" w:rsidR="00495F88" w:rsidRDefault="00495F88" w:rsidP="006C01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Bodoni MT Black">
    <w:panose1 w:val="02070A03080606020203"/>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Noto Sans">
    <w:charset w:val="00"/>
    <w:family w:val="swiss"/>
    <w:pitch w:val="variable"/>
    <w:sig w:usb0="E00082FF" w:usb1="400078FF" w:usb2="00000021"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Roboto">
    <w:altName w:val="Segoe Print"/>
    <w:charset w:val="00"/>
    <w:family w:val="auto"/>
    <w:pitch w:val="variable"/>
    <w:sig w:usb0="E0000AFF" w:usb1="5000217F" w:usb2="00000021" w:usb3="00000000" w:csb0="0000019F" w:csb1="00000000"/>
  </w:font>
  <w:font w:name="Roboto-Medium">
    <w:altName w:val="Segoe Print"/>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230D97" w14:textId="0AAC44E3" w:rsidR="00A340F1" w:rsidRPr="00A340F1" w:rsidRDefault="00A340F1" w:rsidP="00A340F1">
    <w:pPr>
      <w:pStyle w:val="Pieddepage"/>
      <w:pBdr>
        <w:top w:val="thinThickSmallGap" w:sz="24" w:space="1" w:color="622423"/>
      </w:pBdr>
      <w:tabs>
        <w:tab w:val="right" w:pos="9782"/>
      </w:tabs>
      <w:rPr>
        <w:rFonts w:ascii="Cambria" w:hAnsi="Cambria"/>
        <w:lang w:val="en-US"/>
      </w:rPr>
    </w:pPr>
    <w:r w:rsidRPr="00A340F1">
      <w:rPr>
        <w:rFonts w:ascii="Cambria" w:hAnsi="Cambria"/>
        <w:lang w:val="en-US"/>
      </w:rPr>
      <w:t xml:space="preserve">REEB V, version </w:t>
    </w:r>
    <w:r>
      <w:rPr>
        <w:rFonts w:ascii="Cambria" w:hAnsi="Cambria"/>
      </w:rPr>
      <w:t>p</w:t>
    </w:r>
    <w:r w:rsidRPr="00A340F1">
      <w:rPr>
        <w:rFonts w:ascii="Cambria" w:hAnsi="Cambria"/>
      </w:rPr>
      <w:t>ro</w:t>
    </w:r>
    <w:r>
      <w:rPr>
        <w:rFonts w:ascii="Cambria" w:hAnsi="Cambria"/>
      </w:rPr>
      <w:t>visoire</w:t>
    </w:r>
    <w:r w:rsidRPr="00A340F1">
      <w:rPr>
        <w:rFonts w:ascii="Cambria" w:hAnsi="Cambria"/>
        <w:lang w:val="en-US"/>
      </w:rPr>
      <w:tab/>
    </w:r>
    <w:r>
      <w:rPr>
        <w:rFonts w:ascii="Cambria" w:hAnsi="Cambria"/>
      </w:rPr>
      <w:tab/>
    </w:r>
    <w:r w:rsidRPr="00A340F1">
      <w:rPr>
        <w:rFonts w:ascii="Cambria" w:hAnsi="Cambria"/>
        <w:lang w:val="en-US"/>
      </w:rPr>
      <w:t xml:space="preserve">Page </w:t>
    </w:r>
    <w:r w:rsidRPr="00F3712B">
      <w:fldChar w:fldCharType="begin"/>
    </w:r>
    <w:r w:rsidRPr="00A340F1">
      <w:rPr>
        <w:lang w:val="en-US"/>
      </w:rPr>
      <w:instrText>PAGE   \* MERGEFORMAT</w:instrText>
    </w:r>
    <w:r w:rsidRPr="00F3712B">
      <w:fldChar w:fldCharType="separate"/>
    </w:r>
    <w:r w:rsidRPr="00A340F1">
      <w:rPr>
        <w:lang w:val="en-US"/>
      </w:rPr>
      <w:t>xxv</w:t>
    </w:r>
    <w:proofErr w:type="spellStart"/>
    <w:r w:rsidRPr="00A340F1">
      <w:rPr>
        <w:lang w:val="en-US"/>
      </w:rPr>
      <w:t>i</w:t>
    </w:r>
    <w:proofErr w:type="spellEnd"/>
    <w:r w:rsidRPr="00F3712B">
      <w:rPr>
        <w:rFonts w:ascii="Cambria" w:hAnsi="Cambria"/>
      </w:rPr>
      <w:fldChar w:fldCharType="end"/>
    </w:r>
  </w:p>
  <w:p w14:paraId="0947E3DC" w14:textId="77777777" w:rsidR="00A340F1" w:rsidRPr="00A340F1" w:rsidRDefault="00A340F1">
    <w:pPr>
      <w:pStyle w:val="Pieddepage"/>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7D1223" w14:textId="77777777" w:rsidR="0005734D" w:rsidRPr="0005734D" w:rsidRDefault="0005734D" w:rsidP="0005734D">
    <w:pPr>
      <w:pStyle w:val="Pieddepage"/>
      <w:pBdr>
        <w:top w:val="thinThickSmallGap" w:sz="24" w:space="1" w:color="622423"/>
      </w:pBdr>
      <w:tabs>
        <w:tab w:val="right" w:pos="9782"/>
      </w:tabs>
      <w:rPr>
        <w:rFonts w:ascii="Cambria" w:hAnsi="Cambria"/>
      </w:rPr>
    </w:pPr>
    <w:r w:rsidRPr="0005734D">
      <w:rPr>
        <w:rFonts w:ascii="Cambria" w:hAnsi="Cambria"/>
      </w:rPr>
      <w:t xml:space="preserve">REEB V, version </w:t>
    </w:r>
    <w:r>
      <w:rPr>
        <w:rFonts w:ascii="Cambria" w:hAnsi="Cambria"/>
      </w:rPr>
      <w:t>p</w:t>
    </w:r>
    <w:r w:rsidRPr="00A340F1">
      <w:rPr>
        <w:rFonts w:ascii="Cambria" w:hAnsi="Cambria"/>
      </w:rPr>
      <w:t>ro</w:t>
    </w:r>
    <w:r>
      <w:rPr>
        <w:rFonts w:ascii="Cambria" w:hAnsi="Cambria"/>
      </w:rPr>
      <w:t>visoire</w:t>
    </w:r>
    <w:r w:rsidRPr="0005734D">
      <w:rPr>
        <w:rFonts w:ascii="Cambria" w:hAnsi="Cambria"/>
      </w:rPr>
      <w:tab/>
    </w:r>
    <w:r>
      <w:rPr>
        <w:rFonts w:ascii="Cambria" w:hAnsi="Cambria"/>
      </w:rPr>
      <w:tab/>
    </w:r>
    <w:r w:rsidRPr="0005734D">
      <w:rPr>
        <w:rFonts w:ascii="Cambria" w:hAnsi="Cambria"/>
      </w:rPr>
      <w:t xml:space="preserve">Page </w:t>
    </w:r>
    <w:r w:rsidRPr="00F3712B">
      <w:fldChar w:fldCharType="begin"/>
    </w:r>
    <w:r w:rsidRPr="0005734D">
      <w:instrText>PAGE   \* MERGEFORMAT</w:instrText>
    </w:r>
    <w:r w:rsidRPr="00F3712B">
      <w:fldChar w:fldCharType="separate"/>
    </w:r>
    <w:r>
      <w:t>30</w:t>
    </w:r>
    <w:r w:rsidRPr="00F3712B">
      <w:rPr>
        <w:rFonts w:ascii="Cambria" w:hAnsi="Cambria"/>
      </w:rPr>
      <w:fldChar w:fldCharType="end"/>
    </w:r>
  </w:p>
  <w:p w14:paraId="3BBA3DD7" w14:textId="77777777" w:rsidR="0005734D" w:rsidRDefault="0005734D">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592D37" w14:textId="77777777" w:rsidR="0005734D" w:rsidRPr="0005734D" w:rsidRDefault="0005734D" w:rsidP="0005734D">
    <w:pPr>
      <w:pStyle w:val="Pieddepage"/>
      <w:pBdr>
        <w:top w:val="thinThickSmallGap" w:sz="24" w:space="1" w:color="622423"/>
      </w:pBdr>
      <w:tabs>
        <w:tab w:val="right" w:pos="9782"/>
      </w:tabs>
      <w:rPr>
        <w:rFonts w:ascii="Cambria" w:hAnsi="Cambria"/>
      </w:rPr>
    </w:pPr>
    <w:r w:rsidRPr="0005734D">
      <w:rPr>
        <w:rFonts w:ascii="Cambria" w:hAnsi="Cambria"/>
      </w:rPr>
      <w:t xml:space="preserve">REEB V, version </w:t>
    </w:r>
    <w:r>
      <w:rPr>
        <w:rFonts w:ascii="Cambria" w:hAnsi="Cambria"/>
      </w:rPr>
      <w:t>p</w:t>
    </w:r>
    <w:r w:rsidRPr="00A340F1">
      <w:rPr>
        <w:rFonts w:ascii="Cambria" w:hAnsi="Cambria"/>
      </w:rPr>
      <w:t>ro</w:t>
    </w:r>
    <w:r>
      <w:rPr>
        <w:rFonts w:ascii="Cambria" w:hAnsi="Cambria"/>
      </w:rPr>
      <w:t>visoire</w:t>
    </w:r>
    <w:r w:rsidRPr="0005734D">
      <w:rPr>
        <w:rFonts w:ascii="Cambria" w:hAnsi="Cambria"/>
      </w:rPr>
      <w:tab/>
    </w:r>
    <w:r>
      <w:rPr>
        <w:rFonts w:ascii="Cambria" w:hAnsi="Cambria"/>
      </w:rPr>
      <w:tab/>
    </w:r>
    <w:r w:rsidRPr="0005734D">
      <w:rPr>
        <w:rFonts w:ascii="Cambria" w:hAnsi="Cambria"/>
      </w:rPr>
      <w:t xml:space="preserve">Page </w:t>
    </w:r>
    <w:r w:rsidRPr="00F3712B">
      <w:fldChar w:fldCharType="begin"/>
    </w:r>
    <w:r w:rsidRPr="0005734D">
      <w:instrText>PAGE   \* MERGEFORMAT</w:instrText>
    </w:r>
    <w:r w:rsidRPr="00F3712B">
      <w:fldChar w:fldCharType="separate"/>
    </w:r>
    <w:r>
      <w:t>2</w:t>
    </w:r>
    <w:r w:rsidRPr="00F3712B">
      <w:rPr>
        <w:rFonts w:ascii="Cambria" w:hAnsi="Cambria"/>
      </w:rPr>
      <w:fldChar w:fldCharType="end"/>
    </w:r>
  </w:p>
  <w:p w14:paraId="28EF0394" w14:textId="77777777" w:rsidR="0073535A" w:rsidRDefault="0073535A">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4D4F0D" w14:textId="77777777" w:rsidR="0005734D" w:rsidRPr="0005734D" w:rsidRDefault="0005734D" w:rsidP="0005734D">
    <w:pPr>
      <w:pStyle w:val="Pieddepage"/>
      <w:pBdr>
        <w:top w:val="thinThickSmallGap" w:sz="24" w:space="1" w:color="622423"/>
      </w:pBdr>
      <w:tabs>
        <w:tab w:val="right" w:pos="9782"/>
      </w:tabs>
      <w:rPr>
        <w:rFonts w:ascii="Cambria" w:hAnsi="Cambria"/>
      </w:rPr>
    </w:pPr>
    <w:r w:rsidRPr="0005734D">
      <w:rPr>
        <w:rFonts w:ascii="Cambria" w:hAnsi="Cambria"/>
      </w:rPr>
      <w:t xml:space="preserve">REEB V, version </w:t>
    </w:r>
    <w:r>
      <w:rPr>
        <w:rFonts w:ascii="Cambria" w:hAnsi="Cambria"/>
      </w:rPr>
      <w:t>p</w:t>
    </w:r>
    <w:r w:rsidRPr="00A340F1">
      <w:rPr>
        <w:rFonts w:ascii="Cambria" w:hAnsi="Cambria"/>
      </w:rPr>
      <w:t>ro</w:t>
    </w:r>
    <w:r>
      <w:rPr>
        <w:rFonts w:ascii="Cambria" w:hAnsi="Cambria"/>
      </w:rPr>
      <w:t>visoire</w:t>
    </w:r>
    <w:r w:rsidRPr="0005734D">
      <w:rPr>
        <w:rFonts w:ascii="Cambria" w:hAnsi="Cambria"/>
      </w:rPr>
      <w:tab/>
    </w:r>
    <w:r>
      <w:rPr>
        <w:rFonts w:ascii="Cambria" w:hAnsi="Cambria"/>
      </w:rPr>
      <w:tab/>
    </w:r>
    <w:r w:rsidRPr="0005734D">
      <w:rPr>
        <w:rFonts w:ascii="Cambria" w:hAnsi="Cambria"/>
      </w:rPr>
      <w:t xml:space="preserve">Page </w:t>
    </w:r>
    <w:r w:rsidRPr="00F3712B">
      <w:fldChar w:fldCharType="begin"/>
    </w:r>
    <w:r w:rsidRPr="0005734D">
      <w:instrText>PAGE   \* MERGEFORMAT</w:instrText>
    </w:r>
    <w:r w:rsidRPr="00F3712B">
      <w:fldChar w:fldCharType="separate"/>
    </w:r>
    <w:r>
      <w:t>30</w:t>
    </w:r>
    <w:r w:rsidRPr="00F3712B">
      <w:rPr>
        <w:rFonts w:ascii="Cambria" w:hAnsi="Cambria"/>
      </w:rPr>
      <w:fldChar w:fldCharType="end"/>
    </w:r>
  </w:p>
  <w:p w14:paraId="44EB93C9" w14:textId="2CE66889" w:rsidR="006F72B3" w:rsidRDefault="006F72B3">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56CEC4" w14:textId="77777777" w:rsidR="00560DDE" w:rsidRPr="0005734D" w:rsidRDefault="00560DDE" w:rsidP="00560DDE">
    <w:pPr>
      <w:pStyle w:val="Pieddepage"/>
      <w:pBdr>
        <w:top w:val="thinThickSmallGap" w:sz="24" w:space="1" w:color="622423"/>
      </w:pBdr>
      <w:tabs>
        <w:tab w:val="right" w:pos="9782"/>
      </w:tabs>
      <w:rPr>
        <w:rFonts w:ascii="Cambria" w:hAnsi="Cambria"/>
      </w:rPr>
    </w:pPr>
    <w:r w:rsidRPr="0005734D">
      <w:rPr>
        <w:rFonts w:ascii="Cambria" w:hAnsi="Cambria"/>
      </w:rPr>
      <w:t xml:space="preserve">REEB V, version </w:t>
    </w:r>
    <w:r>
      <w:rPr>
        <w:rFonts w:ascii="Cambria" w:hAnsi="Cambria"/>
      </w:rPr>
      <w:t>p</w:t>
    </w:r>
    <w:r w:rsidRPr="00A340F1">
      <w:rPr>
        <w:rFonts w:ascii="Cambria" w:hAnsi="Cambria"/>
      </w:rPr>
      <w:t>ro</w:t>
    </w:r>
    <w:r>
      <w:rPr>
        <w:rFonts w:ascii="Cambria" w:hAnsi="Cambria"/>
      </w:rPr>
      <w:t>visoire</w:t>
    </w:r>
    <w:r w:rsidRPr="0005734D">
      <w:rPr>
        <w:rFonts w:ascii="Cambria" w:hAnsi="Cambria"/>
      </w:rPr>
      <w:tab/>
    </w:r>
    <w:r>
      <w:rPr>
        <w:rFonts w:ascii="Cambria" w:hAnsi="Cambria"/>
      </w:rPr>
      <w:tab/>
    </w:r>
    <w:r w:rsidRPr="0005734D">
      <w:rPr>
        <w:rFonts w:ascii="Cambria" w:hAnsi="Cambria"/>
      </w:rPr>
      <w:t xml:space="preserve">Page </w:t>
    </w:r>
    <w:r w:rsidRPr="00F3712B">
      <w:fldChar w:fldCharType="begin"/>
    </w:r>
    <w:r w:rsidRPr="0005734D">
      <w:instrText>PAGE   \* MERGEFORMAT</w:instrText>
    </w:r>
    <w:r w:rsidRPr="00F3712B">
      <w:fldChar w:fldCharType="separate"/>
    </w:r>
    <w:r>
      <w:t>132</w:t>
    </w:r>
    <w:r w:rsidRPr="00F3712B">
      <w:rPr>
        <w:rFonts w:ascii="Cambria" w:hAnsi="Cambria"/>
      </w:rPr>
      <w:fldChar w:fldCharType="end"/>
    </w:r>
  </w:p>
  <w:p w14:paraId="6F19083F" w14:textId="20119A69" w:rsidR="008811D7" w:rsidRDefault="008811D7">
    <w:pPr>
      <w:pStyle w:val="Pieddepage"/>
      <w:jc w:val="right"/>
    </w:pPr>
  </w:p>
  <w:p w14:paraId="2E5E5E6A" w14:textId="77777777" w:rsidR="008811D7" w:rsidRDefault="008811D7">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CA62629" w14:textId="77777777" w:rsidR="00495F88" w:rsidRDefault="00495F88" w:rsidP="006C0155">
      <w:pPr>
        <w:spacing w:after="0" w:line="240" w:lineRule="auto"/>
      </w:pPr>
      <w:r>
        <w:separator/>
      </w:r>
    </w:p>
  </w:footnote>
  <w:footnote w:type="continuationSeparator" w:id="0">
    <w:p w14:paraId="55E332DB" w14:textId="77777777" w:rsidR="00495F88" w:rsidRDefault="00495F88" w:rsidP="006C0155">
      <w:pPr>
        <w:spacing w:after="0" w:line="240" w:lineRule="auto"/>
      </w:pPr>
      <w:r>
        <w:continuationSeparator/>
      </w:r>
    </w:p>
  </w:footnote>
  <w:footnote w:id="1">
    <w:p w14:paraId="029118D9" w14:textId="3D486BE4" w:rsidR="0010438E" w:rsidRPr="00AF5C7B" w:rsidRDefault="0010438E" w:rsidP="00AF5C7B">
      <w:pPr>
        <w:pStyle w:val="Notedebasdepage"/>
        <w:spacing w:before="0"/>
        <w:rPr>
          <w:rFonts w:ascii="Times New Roman" w:hAnsi="Times New Roman" w:cs="Times New Roman"/>
        </w:rPr>
      </w:pPr>
      <w:r w:rsidRPr="00AF5C7B">
        <w:rPr>
          <w:rStyle w:val="Appelnotedebasdep"/>
          <w:rFonts w:ascii="Times New Roman" w:eastAsia="Times New Roman" w:hAnsi="Times New Roman" w:cs="Times New Roman"/>
        </w:rPr>
        <w:footnoteRef/>
      </w:r>
      <w:r w:rsidRPr="00AF5C7B">
        <w:rPr>
          <w:rFonts w:ascii="Times New Roman" w:hAnsi="Times New Roman" w:cs="Times New Roman"/>
        </w:rPr>
        <w:t xml:space="preserve"> </w:t>
      </w:r>
      <w:r w:rsidR="00AF5C7B" w:rsidRPr="00AF5C7B">
        <w:rPr>
          <w:rFonts w:ascii="Times New Roman" w:hAnsi="Times New Roman" w:cs="Times New Roman"/>
        </w:rPr>
        <w:t>C’est</w:t>
      </w:r>
      <w:r w:rsidRPr="00AF5C7B">
        <w:rPr>
          <w:rFonts w:ascii="Times New Roman" w:hAnsi="Times New Roman" w:cs="Times New Roman"/>
        </w:rPr>
        <w:t xml:space="preserve"> l’autorité morale de la communauté et de ses membres qui confère la légitimité à ces accords</w:t>
      </w:r>
    </w:p>
  </w:footnote>
  <w:footnote w:id="2">
    <w:p w14:paraId="1372F70E" w14:textId="77777777" w:rsidR="0010438E" w:rsidRPr="00BB0BA4" w:rsidRDefault="0010438E" w:rsidP="00BB0BA4">
      <w:pPr>
        <w:pStyle w:val="Notedebasdepage"/>
        <w:spacing w:before="0"/>
        <w:rPr>
          <w:rFonts w:ascii="Times New Roman" w:hAnsi="Times New Roman" w:cs="Times New Roman"/>
        </w:rPr>
      </w:pPr>
      <w:r w:rsidRPr="00BB0BA4">
        <w:rPr>
          <w:rStyle w:val="Appelnotedebasdep"/>
          <w:rFonts w:ascii="Times New Roman" w:eastAsia="Times New Roman" w:hAnsi="Times New Roman" w:cs="Times New Roman"/>
        </w:rPr>
        <w:footnoteRef/>
      </w:r>
      <w:r w:rsidRPr="00BB0BA4">
        <w:rPr>
          <w:rFonts w:ascii="Times New Roman" w:hAnsi="Times New Roman" w:cs="Times New Roman"/>
        </w:rPr>
        <w:t xml:space="preserve"> Les attaques terroristes que subit le Burkina Faso depuis plus 7 ans ont occasionné la destruction de nombreux villages, avec le déplacement de dizaines de milliers de personnes déplacées internes. Ces attaques terroristes ont déconstruit l’État dont les agents ont été contraints d’abandonner leurs postes pour échapper aux menaces (Burkina Faso, 2023).</w:t>
      </w:r>
    </w:p>
  </w:footnote>
  <w:footnote w:id="3">
    <w:p w14:paraId="7637CE3B" w14:textId="77777777" w:rsidR="00CB4C35" w:rsidRPr="00CB4C35" w:rsidRDefault="00CB4C35" w:rsidP="00CB4C35">
      <w:pPr>
        <w:pStyle w:val="Notedebasdepage"/>
        <w:spacing w:before="0"/>
        <w:rPr>
          <w:rFonts w:ascii="Times New Roman" w:hAnsi="Times New Roman" w:cs="Times New Roman"/>
        </w:rPr>
      </w:pPr>
      <w:r w:rsidRPr="00CB4C35">
        <w:rPr>
          <w:rStyle w:val="Appelnotedebasdep"/>
          <w:rFonts w:eastAsia="Times New Roman"/>
        </w:rPr>
        <w:footnoteRef/>
      </w:r>
      <w:r>
        <w:t xml:space="preserve"> </w:t>
      </w:r>
      <w:r w:rsidRPr="00CB4C35">
        <w:rPr>
          <w:rFonts w:ascii="Times New Roman" w:hAnsi="Times New Roman" w:cs="Times New Roman"/>
        </w:rPr>
        <w:t>L’exploitation du bois de service et du bois d’œuvre à des fins artisanales est pratiquée à des degrés variables</w:t>
      </w:r>
    </w:p>
  </w:footnote>
  <w:footnote w:id="4">
    <w:p w14:paraId="2B82CED8" w14:textId="77777777" w:rsidR="00CB4C35" w:rsidRPr="004B0D7B" w:rsidRDefault="00CB4C35" w:rsidP="00CB4C35">
      <w:pPr>
        <w:pStyle w:val="Notedebasdepage"/>
        <w:rPr>
          <w:rFonts w:ascii="Times New Roman" w:hAnsi="Times New Roman"/>
        </w:rPr>
      </w:pPr>
      <w:r w:rsidRPr="00CB4C35">
        <w:rPr>
          <w:rStyle w:val="Appelnotedebasdep"/>
          <w:rFonts w:eastAsia="Times New Roman"/>
        </w:rPr>
        <w:footnoteRef/>
      </w:r>
      <w:r>
        <w:t xml:space="preserve"> </w:t>
      </w:r>
      <w:r w:rsidRPr="004B0D7B">
        <w:rPr>
          <w:rFonts w:ascii="Times New Roman" w:hAnsi="Times New Roman"/>
        </w:rPr>
        <w:t xml:space="preserve">Quelques instruments domestiques comme les mortiers et pilons, les instruments aratoires ou des activités de certains métiers (forge, tissage) sont construits à partir du bois prélevé directement dans les forêts. Les essences sont choisies en fonction des caractéristiques recherchées : dureté, résistance aux termites, flexibilité, souplesse…. Les manches de l’hiler par exemple demandent du bois flexible, le bois de tam-tam doit être léger, la poulie du tisserand est taillée dans l’amende des fruits de </w:t>
      </w:r>
      <w:r w:rsidRPr="004B0D7B">
        <w:rPr>
          <w:rFonts w:ascii="Times New Roman" w:hAnsi="Times New Roman"/>
          <w:i/>
          <w:iCs/>
        </w:rPr>
        <w:t>Hyphaene thébaica</w:t>
      </w:r>
      <w:r w:rsidRPr="004B0D7B">
        <w:rPr>
          <w:rFonts w:ascii="Times New Roman" w:hAnsi="Times New Roman"/>
        </w:rPr>
        <w:t>. De nombreux outils aratoires et de chasse, des meubles, et des ustensiles de ménage sont donc fabriqués. Les plantes utilisées pour la fabrication de chaque produit varient en fonction de la présence ou de l’abondance de la plante considérée mais aussi des considérations socioculturelles propres à chaque groupe ethnique (Source : MEEVCC, 2020)</w:t>
      </w:r>
    </w:p>
  </w:footnote>
  <w:footnote w:id="5">
    <w:p w14:paraId="2A4ADF9F" w14:textId="77777777" w:rsidR="007C3497" w:rsidRPr="009F25CF" w:rsidRDefault="007C3497" w:rsidP="007C3497">
      <w:pPr>
        <w:pStyle w:val="Notedebasdepage"/>
        <w:spacing w:before="0"/>
        <w:rPr>
          <w:rFonts w:ascii="Times New Roman" w:hAnsi="Times New Roman" w:cs="Times New Roman"/>
          <w:sz w:val="19"/>
          <w:szCs w:val="19"/>
        </w:rPr>
      </w:pPr>
      <w:r w:rsidRPr="009F25CF">
        <w:rPr>
          <w:rStyle w:val="Appelnotedebasdep"/>
          <w:rFonts w:ascii="Times New Roman" w:hAnsi="Times New Roman" w:cs="Times New Roman"/>
          <w:sz w:val="19"/>
          <w:szCs w:val="19"/>
        </w:rPr>
        <w:footnoteRef/>
      </w:r>
      <w:r w:rsidRPr="009F25CF">
        <w:rPr>
          <w:rFonts w:ascii="Times New Roman" w:hAnsi="Times New Roman" w:cs="Times New Roman"/>
          <w:sz w:val="19"/>
          <w:szCs w:val="19"/>
        </w:rPr>
        <w:t xml:space="preserve"> Dans le domaine Bacteria, les bactéries sont subdivisées en plusieurs types : les bactéries Gram positif, les bactéries Gram négatif, les cyanobactéries, les mycoplasmes, les rickettsies etc. ;</w:t>
      </w:r>
    </w:p>
  </w:footnote>
  <w:footnote w:id="6">
    <w:p w14:paraId="1571A870" w14:textId="77777777" w:rsidR="007C3497" w:rsidRPr="009F25CF" w:rsidRDefault="007C3497" w:rsidP="007C3497">
      <w:pPr>
        <w:pStyle w:val="Notedebasdepage"/>
        <w:spacing w:before="0"/>
        <w:rPr>
          <w:rFonts w:ascii="Times New Roman" w:hAnsi="Times New Roman" w:cs="Times New Roman"/>
          <w:sz w:val="19"/>
          <w:szCs w:val="19"/>
        </w:rPr>
      </w:pPr>
      <w:r w:rsidRPr="009F25CF">
        <w:rPr>
          <w:rStyle w:val="Appelnotedebasdep"/>
          <w:rFonts w:ascii="Times New Roman" w:hAnsi="Times New Roman" w:cs="Times New Roman"/>
          <w:sz w:val="19"/>
          <w:szCs w:val="19"/>
        </w:rPr>
        <w:footnoteRef/>
      </w:r>
      <w:r w:rsidRPr="009F25CF">
        <w:rPr>
          <w:rFonts w:ascii="Times New Roman" w:hAnsi="Times New Roman" w:cs="Times New Roman"/>
          <w:sz w:val="19"/>
          <w:szCs w:val="19"/>
        </w:rPr>
        <w:t xml:space="preserve"> Les procaryotes regroupent les organismes unicellulaires principalement, qui ne présentent pas de noyau </w:t>
      </w:r>
    </w:p>
    <w:p w14:paraId="445783B7" w14:textId="77777777" w:rsidR="007C3497" w:rsidRPr="009F25CF" w:rsidRDefault="007C3497" w:rsidP="007C3497">
      <w:pPr>
        <w:pStyle w:val="Notedebasdepage"/>
        <w:spacing w:before="0"/>
        <w:rPr>
          <w:rFonts w:ascii="Times New Roman" w:hAnsi="Times New Roman" w:cs="Times New Roman"/>
          <w:sz w:val="19"/>
          <w:szCs w:val="19"/>
        </w:rPr>
      </w:pPr>
      <w:r w:rsidRPr="009F25CF">
        <w:rPr>
          <w:rFonts w:ascii="Times New Roman" w:hAnsi="Times New Roman" w:cs="Times New Roman"/>
          <w:sz w:val="19"/>
          <w:szCs w:val="19"/>
        </w:rPr>
        <w:t>Individualisé ;</w:t>
      </w:r>
    </w:p>
  </w:footnote>
  <w:footnote w:id="7">
    <w:p w14:paraId="6C64D1B4" w14:textId="77777777" w:rsidR="007C3497" w:rsidRPr="009F25CF" w:rsidRDefault="007C3497" w:rsidP="007C3497">
      <w:pPr>
        <w:pStyle w:val="Notedebasdepage"/>
        <w:spacing w:before="0"/>
        <w:rPr>
          <w:rFonts w:ascii="Times New Roman" w:hAnsi="Times New Roman" w:cs="Times New Roman"/>
          <w:sz w:val="19"/>
          <w:szCs w:val="19"/>
        </w:rPr>
      </w:pPr>
      <w:r w:rsidRPr="009F25CF">
        <w:rPr>
          <w:rStyle w:val="Appelnotedebasdep"/>
          <w:rFonts w:ascii="Times New Roman" w:hAnsi="Times New Roman" w:cs="Times New Roman"/>
          <w:sz w:val="19"/>
          <w:szCs w:val="19"/>
        </w:rPr>
        <w:footnoteRef/>
      </w:r>
      <w:r w:rsidRPr="009F25CF">
        <w:rPr>
          <w:rFonts w:ascii="Times New Roman" w:hAnsi="Times New Roman" w:cs="Times New Roman"/>
          <w:sz w:val="19"/>
          <w:szCs w:val="19"/>
        </w:rPr>
        <w:t xml:space="preserve"> </w:t>
      </w:r>
      <w:r w:rsidRPr="009F25CF">
        <w:rPr>
          <w:rFonts w:ascii="Times New Roman" w:hAnsi="Times New Roman" w:cs="Times New Roman"/>
          <w:i/>
          <w:iCs/>
          <w:sz w:val="19"/>
          <w:szCs w:val="19"/>
        </w:rPr>
        <w:t>Pandanus brevifrugalis</w:t>
      </w:r>
      <w:r w:rsidRPr="009F25CF">
        <w:rPr>
          <w:rFonts w:ascii="Times New Roman" w:hAnsi="Times New Roman" w:cs="Times New Roman"/>
          <w:sz w:val="19"/>
          <w:szCs w:val="19"/>
        </w:rPr>
        <w:t xml:space="preserve"> Huynh précédemment considérée comme la deuxième espèce endémique du Burkina Faso a été récemment identifiée comme étant </w:t>
      </w:r>
      <w:r w:rsidRPr="009F25CF">
        <w:rPr>
          <w:rFonts w:ascii="Times New Roman" w:hAnsi="Times New Roman" w:cs="Times New Roman"/>
          <w:i/>
          <w:iCs/>
          <w:sz w:val="19"/>
          <w:szCs w:val="19"/>
        </w:rPr>
        <w:t xml:space="preserve">P. senegalensis </w:t>
      </w:r>
      <w:r w:rsidRPr="009F25CF">
        <w:rPr>
          <w:rFonts w:ascii="Times New Roman" w:hAnsi="Times New Roman" w:cs="Times New Roman"/>
          <w:sz w:val="19"/>
          <w:szCs w:val="19"/>
        </w:rPr>
        <w:t>Huynh (MEEVCC, 2020)</w:t>
      </w:r>
    </w:p>
  </w:footnote>
  <w:footnote w:id="8">
    <w:p w14:paraId="72CDD881" w14:textId="77777777" w:rsidR="007C3497" w:rsidRPr="009F25CF" w:rsidRDefault="007C3497" w:rsidP="007C3497">
      <w:pPr>
        <w:pStyle w:val="Notedebasdepage"/>
        <w:spacing w:before="0"/>
        <w:rPr>
          <w:rFonts w:ascii="Times New Roman" w:hAnsi="Times New Roman"/>
          <w:sz w:val="19"/>
          <w:szCs w:val="19"/>
        </w:rPr>
      </w:pPr>
      <w:r w:rsidRPr="009F25CF">
        <w:rPr>
          <w:rStyle w:val="Appelnotedebasdep"/>
          <w:rFonts w:ascii="Times New Roman" w:hAnsi="Times New Roman"/>
          <w:sz w:val="19"/>
          <w:szCs w:val="19"/>
        </w:rPr>
        <w:footnoteRef/>
      </w:r>
      <w:r w:rsidRPr="009F25CF">
        <w:rPr>
          <w:rFonts w:ascii="Times New Roman" w:hAnsi="Times New Roman"/>
          <w:sz w:val="19"/>
          <w:szCs w:val="19"/>
        </w:rPr>
        <w:t xml:space="preserve">  Les espèces de Gymnosperme existantes au Burkina Faso sont toutes introduites et utilisées comme plantes ornementales (MEEVCC, 2020)</w:t>
      </w:r>
    </w:p>
  </w:footnote>
  <w:footnote w:id="9">
    <w:p w14:paraId="5DF7BF47" w14:textId="77777777" w:rsidR="007C3497" w:rsidRPr="009F25CF" w:rsidRDefault="007C3497" w:rsidP="007C3497">
      <w:pPr>
        <w:pStyle w:val="Notedebasdepage"/>
        <w:spacing w:before="0"/>
        <w:rPr>
          <w:rFonts w:ascii="Times New Roman" w:hAnsi="Times New Roman"/>
          <w:sz w:val="19"/>
          <w:szCs w:val="19"/>
        </w:rPr>
      </w:pPr>
      <w:r w:rsidRPr="009F25CF">
        <w:rPr>
          <w:rStyle w:val="Appelnotedebasdep"/>
          <w:rFonts w:ascii="Times New Roman" w:hAnsi="Times New Roman"/>
          <w:sz w:val="19"/>
          <w:szCs w:val="19"/>
        </w:rPr>
        <w:footnoteRef/>
      </w:r>
      <w:r w:rsidRPr="009F25CF">
        <w:rPr>
          <w:rFonts w:ascii="Times New Roman" w:hAnsi="Times New Roman"/>
          <w:sz w:val="19"/>
          <w:szCs w:val="19"/>
        </w:rPr>
        <w:t xml:space="preserve"> Le sous-embranchement des Angiospermes qui comporte les classes des Monocotylédones et des Dicotylédones est le groupe taxonomique qui domine la flore du Burkina Faso, aussi bien dans sa diversité que sa richesse spécifique</w:t>
      </w:r>
    </w:p>
  </w:footnote>
  <w:footnote w:id="10">
    <w:p w14:paraId="0471EEB9" w14:textId="77777777" w:rsidR="007C3497" w:rsidRPr="009F25CF" w:rsidRDefault="007C3497" w:rsidP="007C3497">
      <w:pPr>
        <w:pStyle w:val="Notedebasdepage"/>
        <w:spacing w:before="0"/>
        <w:rPr>
          <w:rFonts w:ascii="Times New Roman" w:hAnsi="Times New Roman"/>
          <w:sz w:val="19"/>
          <w:szCs w:val="19"/>
        </w:rPr>
      </w:pPr>
      <w:r w:rsidRPr="009F25CF">
        <w:rPr>
          <w:rStyle w:val="Appelnotedebasdep"/>
          <w:rFonts w:ascii="Times New Roman" w:hAnsi="Times New Roman"/>
          <w:sz w:val="19"/>
          <w:szCs w:val="19"/>
        </w:rPr>
        <w:footnoteRef/>
      </w:r>
      <w:r w:rsidRPr="009F25CF">
        <w:rPr>
          <w:rFonts w:ascii="Times New Roman" w:hAnsi="Times New Roman"/>
          <w:sz w:val="19"/>
          <w:szCs w:val="19"/>
        </w:rPr>
        <w:t xml:space="preserve"> Les cnidaires constituent un groupe d’espèces animales relativement simples, spécifiques du milieu aquatique, regroupant notamment les anémones de mer, les méduses et les coraux.</w:t>
      </w:r>
    </w:p>
  </w:footnote>
  <w:footnote w:id="11">
    <w:p w14:paraId="21DFE036" w14:textId="77777777" w:rsidR="007C3497" w:rsidRPr="009F25CF" w:rsidRDefault="007C3497" w:rsidP="007C3497">
      <w:pPr>
        <w:pStyle w:val="Notedebasdepage"/>
        <w:spacing w:before="0"/>
        <w:rPr>
          <w:rFonts w:ascii="Times New Roman" w:hAnsi="Times New Roman"/>
          <w:sz w:val="19"/>
          <w:szCs w:val="19"/>
        </w:rPr>
      </w:pPr>
      <w:r w:rsidRPr="009F25CF">
        <w:rPr>
          <w:rStyle w:val="Appelnotedebasdep"/>
          <w:rFonts w:ascii="Times New Roman" w:hAnsi="Times New Roman"/>
          <w:sz w:val="19"/>
          <w:szCs w:val="19"/>
        </w:rPr>
        <w:footnoteRef/>
      </w:r>
      <w:r w:rsidRPr="009F25CF">
        <w:rPr>
          <w:rFonts w:ascii="Times New Roman" w:hAnsi="Times New Roman"/>
          <w:sz w:val="19"/>
          <w:szCs w:val="19"/>
        </w:rPr>
        <w:t xml:space="preserve"> Les Trématodes comprennent des vers plats parasites, non segmentés, en forme de feuille, connus sous le nom de douves.</w:t>
      </w:r>
    </w:p>
  </w:footnote>
  <w:footnote w:id="12">
    <w:p w14:paraId="24A94984" w14:textId="77777777" w:rsidR="007C3497" w:rsidRPr="009F25CF" w:rsidRDefault="007C3497" w:rsidP="007C3497">
      <w:pPr>
        <w:pStyle w:val="Notedebasdepage"/>
        <w:spacing w:before="0"/>
        <w:rPr>
          <w:rFonts w:ascii="Times New Roman" w:hAnsi="Times New Roman"/>
          <w:sz w:val="19"/>
          <w:szCs w:val="19"/>
        </w:rPr>
      </w:pPr>
      <w:r w:rsidRPr="009F25CF">
        <w:rPr>
          <w:rStyle w:val="Appelnotedebasdep"/>
          <w:rFonts w:ascii="Times New Roman" w:hAnsi="Times New Roman"/>
          <w:sz w:val="19"/>
          <w:szCs w:val="19"/>
        </w:rPr>
        <w:footnoteRef/>
      </w:r>
      <w:r w:rsidRPr="009F25CF">
        <w:rPr>
          <w:rFonts w:ascii="Times New Roman" w:hAnsi="Times New Roman"/>
          <w:sz w:val="19"/>
          <w:szCs w:val="19"/>
        </w:rPr>
        <w:t xml:space="preserve"> Les Cestodes sont des vers segmentés. Ce sont tous des parasites internes qui absorbent leur nourriture à travers la paroi de leur corps</w:t>
      </w:r>
    </w:p>
  </w:footnote>
  <w:footnote w:id="13">
    <w:p w14:paraId="0D7614E3" w14:textId="77777777" w:rsidR="007C3497" w:rsidRPr="009F25CF" w:rsidRDefault="007C3497" w:rsidP="007C3497">
      <w:pPr>
        <w:pStyle w:val="Notedebasdepage"/>
        <w:spacing w:before="0"/>
        <w:rPr>
          <w:rFonts w:ascii="Times New Roman" w:hAnsi="Times New Roman"/>
          <w:sz w:val="19"/>
          <w:szCs w:val="19"/>
        </w:rPr>
      </w:pPr>
      <w:r w:rsidRPr="009F25CF">
        <w:rPr>
          <w:rStyle w:val="Appelnotedebasdep"/>
          <w:rFonts w:ascii="Times New Roman" w:hAnsi="Times New Roman"/>
          <w:sz w:val="19"/>
          <w:szCs w:val="19"/>
        </w:rPr>
        <w:footnoteRef/>
      </w:r>
      <w:r w:rsidRPr="009F25CF">
        <w:rPr>
          <w:rFonts w:ascii="Times New Roman" w:hAnsi="Times New Roman"/>
          <w:sz w:val="19"/>
          <w:szCs w:val="19"/>
        </w:rPr>
        <w:t xml:space="preserve"> Les Monogènes ont un corps non métamérisé, aplati dorso-ventralement. Leur taille est comprise entre 0,3 et 6 mm mais ils peuvent atteindre exceptionnellement 30 mm (Baer et Euzet, 1961). Les Monogènes sont généralement des ectoparasites de poissons</w:t>
      </w:r>
    </w:p>
  </w:footnote>
  <w:footnote w:id="14">
    <w:p w14:paraId="060C0A55" w14:textId="77777777" w:rsidR="007C3497" w:rsidRPr="009F25CF" w:rsidRDefault="007C3497" w:rsidP="007C3497">
      <w:pPr>
        <w:pStyle w:val="Notedebasdepage"/>
        <w:spacing w:before="0"/>
        <w:rPr>
          <w:rFonts w:ascii="Times New Roman" w:hAnsi="Times New Roman"/>
          <w:sz w:val="19"/>
          <w:szCs w:val="19"/>
        </w:rPr>
      </w:pPr>
      <w:r w:rsidRPr="009F25CF">
        <w:rPr>
          <w:rStyle w:val="Appelnotedebasdep"/>
          <w:rFonts w:ascii="Times New Roman" w:hAnsi="Times New Roman"/>
          <w:sz w:val="19"/>
          <w:szCs w:val="19"/>
        </w:rPr>
        <w:footnoteRef/>
      </w:r>
      <w:r w:rsidRPr="009F25CF">
        <w:rPr>
          <w:rFonts w:ascii="Times New Roman" w:hAnsi="Times New Roman"/>
          <w:sz w:val="19"/>
          <w:szCs w:val="19"/>
        </w:rPr>
        <w:t xml:space="preserve"> Les Rotifères sont des animaux en grande partie aquatiques. Ils sont microscopiques dont le corps a le plus souvent la forme d’une trompette, cylindrique ou sphérique.</w:t>
      </w:r>
    </w:p>
  </w:footnote>
  <w:footnote w:id="15">
    <w:p w14:paraId="16F50565" w14:textId="77777777" w:rsidR="007C3497" w:rsidRPr="009F25CF" w:rsidRDefault="007C3497" w:rsidP="007C3497">
      <w:pPr>
        <w:pStyle w:val="Notedebasdepage"/>
        <w:spacing w:before="0"/>
        <w:rPr>
          <w:rFonts w:ascii="Times New Roman" w:hAnsi="Times New Roman"/>
          <w:sz w:val="19"/>
          <w:szCs w:val="19"/>
        </w:rPr>
      </w:pPr>
      <w:r w:rsidRPr="009F25CF">
        <w:rPr>
          <w:rStyle w:val="Appelnotedebasdep"/>
          <w:rFonts w:ascii="Times New Roman" w:hAnsi="Times New Roman"/>
          <w:sz w:val="19"/>
          <w:szCs w:val="19"/>
        </w:rPr>
        <w:footnoteRef/>
      </w:r>
      <w:r w:rsidRPr="009F25CF">
        <w:rPr>
          <w:rFonts w:ascii="Times New Roman" w:hAnsi="Times New Roman"/>
          <w:sz w:val="19"/>
          <w:szCs w:val="19"/>
        </w:rPr>
        <w:t xml:space="preserve"> Les nématodes encore appelé vers ronds, ont un corps cylindrique et effilé à ses extrémités.</w:t>
      </w:r>
    </w:p>
  </w:footnote>
  <w:footnote w:id="16">
    <w:p w14:paraId="50DCB51A" w14:textId="77777777" w:rsidR="007C3497" w:rsidRPr="009F25CF" w:rsidRDefault="007C3497" w:rsidP="007C3497">
      <w:pPr>
        <w:pStyle w:val="Notedebasdepage"/>
        <w:spacing w:before="0"/>
        <w:rPr>
          <w:rFonts w:ascii="Times New Roman" w:hAnsi="Times New Roman"/>
          <w:sz w:val="19"/>
          <w:szCs w:val="19"/>
        </w:rPr>
      </w:pPr>
      <w:r w:rsidRPr="009F25CF">
        <w:rPr>
          <w:rStyle w:val="Appelnotedebasdep"/>
          <w:rFonts w:ascii="Times New Roman" w:hAnsi="Times New Roman"/>
          <w:sz w:val="19"/>
          <w:szCs w:val="19"/>
        </w:rPr>
        <w:footnoteRef/>
      </w:r>
      <w:r w:rsidRPr="009F25CF">
        <w:rPr>
          <w:rFonts w:ascii="Times New Roman" w:hAnsi="Times New Roman"/>
          <w:sz w:val="19"/>
          <w:szCs w:val="19"/>
        </w:rPr>
        <w:t xml:space="preserve"> Les Mollusques sont des animaux à corps mou, non segmenté. Le corps est composé d’un pied musculeux, une tête, une masse viscérale contenant la plupart des organes et un manteau charnu qui secrète une coquille calcaire. Celle-ci est constituée d’une seule pièce chez les Gastéropodes et de deux pièces articulées chez les Bivalves (encore appelées Pélécypodes ou Lamellibranches) selon Durand et Lévèque (1980).</w:t>
      </w:r>
    </w:p>
  </w:footnote>
  <w:footnote w:id="17">
    <w:p w14:paraId="3E1C963D" w14:textId="77777777" w:rsidR="007C3497" w:rsidRPr="009F25CF" w:rsidRDefault="007C3497" w:rsidP="007C3497">
      <w:pPr>
        <w:pStyle w:val="Notedebasdepage"/>
        <w:spacing w:before="0"/>
        <w:rPr>
          <w:rFonts w:ascii="Times New Roman" w:hAnsi="Times New Roman"/>
          <w:sz w:val="19"/>
          <w:szCs w:val="19"/>
        </w:rPr>
      </w:pPr>
      <w:r w:rsidRPr="009F25CF">
        <w:rPr>
          <w:rStyle w:val="Appelnotedebasdep"/>
          <w:rFonts w:ascii="Times New Roman" w:hAnsi="Times New Roman"/>
          <w:sz w:val="19"/>
          <w:szCs w:val="19"/>
        </w:rPr>
        <w:footnoteRef/>
      </w:r>
      <w:r w:rsidRPr="009F25CF">
        <w:rPr>
          <w:rFonts w:ascii="Times New Roman" w:hAnsi="Times New Roman"/>
          <w:sz w:val="19"/>
          <w:szCs w:val="19"/>
        </w:rPr>
        <w:t xml:space="preserve"> Les Annélides sont des vers métamérisés vivant essentiellement dans l’eau même si certaines espèces comme les lombrics vivent dans le sol humide.</w:t>
      </w:r>
    </w:p>
  </w:footnote>
  <w:footnote w:id="18">
    <w:p w14:paraId="69BC7C4C" w14:textId="77777777" w:rsidR="007C3497" w:rsidRPr="009F25CF" w:rsidRDefault="007C3497" w:rsidP="007C3497">
      <w:pPr>
        <w:pStyle w:val="Notedebasdepage"/>
        <w:spacing w:before="0"/>
        <w:rPr>
          <w:sz w:val="19"/>
          <w:szCs w:val="19"/>
        </w:rPr>
      </w:pPr>
      <w:r w:rsidRPr="009F25CF">
        <w:rPr>
          <w:rStyle w:val="Appelnotedebasdep"/>
          <w:rFonts w:ascii="Times New Roman" w:hAnsi="Times New Roman"/>
          <w:sz w:val="19"/>
          <w:szCs w:val="19"/>
        </w:rPr>
        <w:footnoteRef/>
      </w:r>
      <w:r w:rsidRPr="009F25CF">
        <w:rPr>
          <w:rFonts w:ascii="Times New Roman" w:hAnsi="Times New Roman"/>
          <w:sz w:val="19"/>
          <w:szCs w:val="19"/>
        </w:rPr>
        <w:t xml:space="preserve"> Les crustacés sont des Arthropodes aquatiques pouvant être microscopiques ou macroscopiques.</w:t>
      </w:r>
    </w:p>
  </w:footnote>
  <w:footnote w:id="19">
    <w:p w14:paraId="7EF95D27" w14:textId="77777777" w:rsidR="007C3497" w:rsidRPr="0066705C" w:rsidRDefault="007C3497" w:rsidP="0066705C">
      <w:pPr>
        <w:pStyle w:val="Notedebasdepage"/>
        <w:spacing w:before="0"/>
        <w:rPr>
          <w:rFonts w:ascii="Times New Roman" w:hAnsi="Times New Roman" w:cs="Times New Roman"/>
        </w:rPr>
      </w:pPr>
      <w:r w:rsidRPr="0066705C">
        <w:rPr>
          <w:rStyle w:val="Appelnotedebasdep"/>
          <w:rFonts w:ascii="Times New Roman" w:hAnsi="Times New Roman" w:cs="Times New Roman"/>
        </w:rPr>
        <w:footnoteRef/>
      </w:r>
      <w:r w:rsidRPr="0066705C">
        <w:rPr>
          <w:rFonts w:ascii="Times New Roman" w:hAnsi="Times New Roman" w:cs="Times New Roman"/>
        </w:rPr>
        <w:t xml:space="preserve"> Ces formations sont présentes sous formes de reliques et rencontrées généralement dans les régions de la Boucle du Mouhoun, des Cascades, du Centre–Sud, de l’Est, des Hauts–Bassins et du Sud–Ouest. Dans les aires protégées de la région de l’Est, des cordons de forêts claires longent les drains, les vallées au niveau des bassins des cours d’eau (MEEVCC, 2020).</w:t>
      </w:r>
    </w:p>
  </w:footnote>
  <w:footnote w:id="20">
    <w:p w14:paraId="3F779070" w14:textId="77777777" w:rsidR="007C3497" w:rsidRPr="0066705C" w:rsidRDefault="007C3497" w:rsidP="0066705C">
      <w:pPr>
        <w:pStyle w:val="Notedebasdepage"/>
        <w:spacing w:before="0"/>
        <w:rPr>
          <w:rFonts w:ascii="Times New Roman" w:hAnsi="Times New Roman" w:cs="Times New Roman"/>
        </w:rPr>
      </w:pPr>
      <w:r w:rsidRPr="0066705C">
        <w:rPr>
          <w:rStyle w:val="Appelnotedebasdep"/>
          <w:rFonts w:ascii="Times New Roman" w:hAnsi="Times New Roman" w:cs="Times New Roman"/>
        </w:rPr>
        <w:footnoteRef/>
      </w:r>
      <w:r w:rsidRPr="0066705C">
        <w:rPr>
          <w:rFonts w:ascii="Times New Roman" w:hAnsi="Times New Roman" w:cs="Times New Roman"/>
        </w:rPr>
        <w:t xml:space="preserve"> Se rencontrent surtout le long des cours d’eau permanents et semi-permanents du domaine soudanien comme le Mouhoun, le Nazinon, la Comoé et la Pendjari.</w:t>
      </w:r>
    </w:p>
  </w:footnote>
  <w:footnote w:id="21">
    <w:p w14:paraId="68ECE87C" w14:textId="77777777" w:rsidR="007C3497" w:rsidRPr="0066705C" w:rsidRDefault="007C3497" w:rsidP="0066705C">
      <w:pPr>
        <w:pStyle w:val="Notedebasdepage"/>
        <w:spacing w:before="0"/>
        <w:rPr>
          <w:rFonts w:ascii="Times New Roman" w:hAnsi="Times New Roman" w:cs="Times New Roman"/>
        </w:rPr>
      </w:pPr>
      <w:r w:rsidRPr="0066705C">
        <w:rPr>
          <w:rStyle w:val="Appelnotedebasdep"/>
          <w:rFonts w:ascii="Times New Roman" w:hAnsi="Times New Roman" w:cs="Times New Roman"/>
        </w:rPr>
        <w:footnoteRef/>
      </w:r>
      <w:r w:rsidRPr="0066705C">
        <w:rPr>
          <w:rFonts w:ascii="Times New Roman" w:hAnsi="Times New Roman" w:cs="Times New Roman"/>
        </w:rPr>
        <w:t xml:space="preserve"> Ils se rencontrent le long des cours d’eau permanents et semi permanents du domaine sahélien comme la Sirba et le Gourol.</w:t>
      </w:r>
    </w:p>
  </w:footnote>
  <w:footnote w:id="22">
    <w:p w14:paraId="639FC80B" w14:textId="77777777" w:rsidR="007C3497" w:rsidRPr="00BB0BA4" w:rsidRDefault="007C3497" w:rsidP="00BB0BA4">
      <w:pPr>
        <w:pStyle w:val="Notedebasdepage"/>
        <w:spacing w:before="0"/>
        <w:rPr>
          <w:rFonts w:ascii="Times New Roman" w:hAnsi="Times New Roman"/>
        </w:rPr>
      </w:pPr>
      <w:r w:rsidRPr="00BB0BA4">
        <w:rPr>
          <w:rStyle w:val="Appelnotedebasdep"/>
          <w:rFonts w:ascii="Times New Roman" w:hAnsi="Times New Roman"/>
        </w:rPr>
        <w:footnoteRef/>
      </w:r>
      <w:r w:rsidRPr="00BB0BA4">
        <w:rPr>
          <w:rFonts w:ascii="Times New Roman" w:hAnsi="Times New Roman"/>
        </w:rPr>
        <w:t xml:space="preserve"> espèce aquatique envahissante bien visible dans certains réservoirs comme ceux de la ville de Ouagadougou</w:t>
      </w:r>
    </w:p>
  </w:footnote>
  <w:footnote w:id="23">
    <w:p w14:paraId="03CA3686" w14:textId="77777777" w:rsidR="007C3497" w:rsidRPr="00BB0BA4" w:rsidRDefault="007C3497" w:rsidP="00BB0BA4">
      <w:pPr>
        <w:pStyle w:val="Notedebasdepage"/>
        <w:spacing w:before="0"/>
        <w:rPr>
          <w:rFonts w:ascii="Times New Roman" w:hAnsi="Times New Roman"/>
        </w:rPr>
      </w:pPr>
      <w:r w:rsidRPr="00BB0BA4">
        <w:rPr>
          <w:rStyle w:val="Appelnotedebasdep"/>
          <w:rFonts w:ascii="Times New Roman" w:hAnsi="Times New Roman"/>
        </w:rPr>
        <w:footnoteRef/>
      </w:r>
      <w:r w:rsidRPr="00BB0BA4">
        <w:rPr>
          <w:rFonts w:ascii="Times New Roman" w:hAnsi="Times New Roman"/>
        </w:rPr>
        <w:t xml:space="preserve"> observée dans la mare de la forêt classée de la mare aux hippopotames</w:t>
      </w:r>
    </w:p>
  </w:footnote>
  <w:footnote w:id="24">
    <w:p w14:paraId="2F7B1A08" w14:textId="163860DF" w:rsidR="008811D7" w:rsidRPr="008811D7" w:rsidRDefault="008811D7" w:rsidP="008811D7">
      <w:pPr>
        <w:pStyle w:val="Notedebasdepage"/>
        <w:spacing w:before="0"/>
        <w:rPr>
          <w:rFonts w:ascii="Times New Roman" w:hAnsi="Times New Roman" w:cs="Times New Roman"/>
        </w:rPr>
      </w:pPr>
      <w:r w:rsidRPr="008811D7">
        <w:rPr>
          <w:rStyle w:val="Appelnotedebasdep"/>
          <w:rFonts w:ascii="Times New Roman" w:hAnsi="Times New Roman" w:cs="Times New Roman"/>
        </w:rPr>
        <w:footnoteRef/>
      </w:r>
      <w:r w:rsidRPr="008811D7">
        <w:rPr>
          <w:rFonts w:ascii="Times New Roman" w:hAnsi="Times New Roman" w:cs="Times New Roman"/>
        </w:rPr>
        <w:t xml:space="preserve"> Cette situation est remarquable autour des collines de Timba ou la végétation naturelle a été emblavées et remplacées par de vastes plantations d’anacardier (</w:t>
      </w:r>
      <w:r w:rsidRPr="008811D7">
        <w:rPr>
          <w:rFonts w:ascii="Times New Roman" w:hAnsi="Times New Roman" w:cs="Times New Roman"/>
          <w:i/>
          <w:iCs/>
        </w:rPr>
        <w:t>Anacardium occidentale</w:t>
      </w:r>
      <w:r w:rsidRPr="008811D7">
        <w:rPr>
          <w:rFonts w:ascii="Times New Roman" w:hAnsi="Times New Roman" w:cs="Times New Roman"/>
        </w:rPr>
        <w:t>) à l’Ouest du Burkina Faso (MEEVCC, 2020).</w:t>
      </w:r>
    </w:p>
  </w:footnote>
  <w:footnote w:id="25">
    <w:p w14:paraId="20A26280" w14:textId="77777777" w:rsidR="008811D7" w:rsidRPr="00D94D28" w:rsidRDefault="008811D7" w:rsidP="00D94D28">
      <w:pPr>
        <w:pStyle w:val="Notedebasdepage"/>
        <w:spacing w:before="0"/>
        <w:rPr>
          <w:rFonts w:ascii="Times New Roman" w:hAnsi="Times New Roman" w:cs="Times New Roman"/>
        </w:rPr>
      </w:pPr>
      <w:r w:rsidRPr="00D94D28">
        <w:rPr>
          <w:rStyle w:val="Appelnotedebasdep"/>
          <w:rFonts w:ascii="Times New Roman" w:hAnsi="Times New Roman" w:cs="Times New Roman"/>
        </w:rPr>
        <w:footnoteRef/>
      </w:r>
      <w:r w:rsidRPr="00D94D28">
        <w:rPr>
          <w:rFonts w:ascii="Times New Roman" w:hAnsi="Times New Roman" w:cs="Times New Roman"/>
        </w:rPr>
        <w:t xml:space="preserve"> Parmi ces 18%, 117 espèces relèvent de la flore ligneuse et sous-ligneuse (CR = 06 espèces, EN = 42 espèces, VU = 32 et NT = 37)</w:t>
      </w:r>
    </w:p>
  </w:footnote>
  <w:footnote w:id="26">
    <w:p w14:paraId="10A987D1" w14:textId="2B2DB2BF" w:rsidR="008811D7" w:rsidRPr="00D94D28" w:rsidRDefault="008811D7" w:rsidP="00D94D28">
      <w:pPr>
        <w:pStyle w:val="Notedebasdepage"/>
        <w:spacing w:before="0"/>
        <w:rPr>
          <w:rFonts w:ascii="Times New Roman" w:hAnsi="Times New Roman" w:cs="Times New Roman"/>
        </w:rPr>
      </w:pPr>
      <w:r w:rsidRPr="00D94D28">
        <w:rPr>
          <w:rStyle w:val="Appelnotedebasdep"/>
          <w:rFonts w:ascii="Times New Roman" w:hAnsi="Times New Roman" w:cs="Times New Roman"/>
        </w:rPr>
        <w:footnoteRef/>
      </w:r>
      <w:r w:rsidRPr="00D94D28">
        <w:rPr>
          <w:rFonts w:ascii="Times New Roman" w:hAnsi="Times New Roman" w:cs="Times New Roman"/>
        </w:rPr>
        <w:t xml:space="preserve"> Thiombi</w:t>
      </w:r>
      <w:r w:rsidR="00BB0BA4">
        <w:rPr>
          <w:rFonts w:ascii="Times New Roman" w:hAnsi="Times New Roman" w:cs="Times New Roman"/>
        </w:rPr>
        <w:t>a</w:t>
      </w:r>
      <w:r w:rsidRPr="00D94D28">
        <w:rPr>
          <w:rFonts w:ascii="Times New Roman" w:hAnsi="Times New Roman" w:cs="Times New Roman"/>
        </w:rPr>
        <w:t>no et Kampmann (2010) ont ainsi identifié 20 espèces menacées dans la zone sahélienne, 32 en zone nord-soudanienne et 31 en zone sud-soudanienne</w:t>
      </w:r>
    </w:p>
  </w:footnote>
  <w:footnote w:id="27">
    <w:p w14:paraId="7C173C2F" w14:textId="77777777" w:rsidR="007E6534" w:rsidRPr="0066705C" w:rsidRDefault="007E6534" w:rsidP="0066705C">
      <w:pPr>
        <w:pStyle w:val="Notedebasdepage"/>
        <w:spacing w:before="0"/>
        <w:rPr>
          <w:rFonts w:ascii="Times New Roman" w:hAnsi="Times New Roman" w:cs="Times New Roman"/>
        </w:rPr>
      </w:pPr>
      <w:r w:rsidRPr="0066705C">
        <w:rPr>
          <w:rStyle w:val="Appelnotedebasdep"/>
          <w:rFonts w:ascii="Times New Roman" w:hAnsi="Times New Roman" w:cs="Times New Roman"/>
        </w:rPr>
        <w:footnoteRef/>
      </w:r>
      <w:r w:rsidRPr="0066705C">
        <w:rPr>
          <w:rFonts w:ascii="Times New Roman" w:hAnsi="Times New Roman" w:cs="Times New Roman"/>
        </w:rPr>
        <w:t xml:space="preserve"> Relatives à l’air, le vivant, la dégradation des sols et protection des écosystèmes, les déchets et substances dangereuses.</w:t>
      </w:r>
    </w:p>
  </w:footnote>
  <w:footnote w:id="28">
    <w:p w14:paraId="226CE271" w14:textId="77777777" w:rsidR="007E6534" w:rsidRPr="00733409" w:rsidRDefault="007E6534" w:rsidP="00637FDC">
      <w:pPr>
        <w:pStyle w:val="Notedebasdepage"/>
        <w:spacing w:before="0"/>
        <w:rPr>
          <w:rFonts w:ascii="Times New Roman" w:hAnsi="Times New Roman" w:cs="Times New Roman"/>
          <w:sz w:val="18"/>
          <w:szCs w:val="18"/>
        </w:rPr>
      </w:pPr>
      <w:r w:rsidRPr="00733409">
        <w:rPr>
          <w:rStyle w:val="Appelnotedebasdep"/>
          <w:rFonts w:ascii="Times New Roman" w:hAnsi="Times New Roman" w:cs="Times New Roman"/>
          <w:sz w:val="18"/>
          <w:szCs w:val="18"/>
        </w:rPr>
        <w:footnoteRef/>
      </w:r>
      <w:r w:rsidRPr="00733409">
        <w:rPr>
          <w:rFonts w:ascii="Times New Roman" w:hAnsi="Times New Roman" w:cs="Times New Roman"/>
          <w:sz w:val="18"/>
          <w:szCs w:val="18"/>
        </w:rPr>
        <w:t xml:space="preserve"> Le CCUC regroupe en son sein : - le Secrétaire Général du Ministère en charge de l’Environnement ; - les premiers responsables des structures techniques des départements ministériels, chargées du suivi des conventions environnementales ; - les points focaux nationaux des conventions environnementales et accords y relatifs ; - les chefs de programmes et de projets de mise en œuvre des conventions et accords y relatifs ; - les chargés des dossiers de négociations de conventions et accords en matière d’Environnement ; - des représentants des partenaires techniques et financiers qui soutiennent l’application des conventions et accords en matière d’environnement ; - les points focaux des conventions suivies par les organismes sous-régionaux ; - les points focaux opérationnel et politique du Fonds pour l’Environnement Mondial.</w:t>
      </w:r>
    </w:p>
  </w:footnote>
  <w:footnote w:id="29">
    <w:p w14:paraId="4637DD32" w14:textId="6040FC32" w:rsidR="007E6534" w:rsidRPr="00733409" w:rsidRDefault="007E6534" w:rsidP="00637FDC">
      <w:pPr>
        <w:pStyle w:val="Notedebasdepage"/>
        <w:spacing w:before="0"/>
        <w:rPr>
          <w:rFonts w:ascii="Times New Roman" w:hAnsi="Times New Roman" w:cs="Times New Roman"/>
          <w:sz w:val="18"/>
          <w:szCs w:val="18"/>
        </w:rPr>
      </w:pPr>
      <w:r w:rsidRPr="00733409">
        <w:rPr>
          <w:rStyle w:val="Appelnotedebasdep"/>
          <w:rFonts w:ascii="Times New Roman" w:hAnsi="Times New Roman" w:cs="Times New Roman"/>
          <w:sz w:val="18"/>
          <w:szCs w:val="18"/>
        </w:rPr>
        <w:footnoteRef/>
      </w:r>
      <w:r w:rsidRPr="00733409">
        <w:rPr>
          <w:rFonts w:ascii="Times New Roman" w:hAnsi="Times New Roman" w:cs="Times New Roman"/>
          <w:sz w:val="18"/>
          <w:szCs w:val="18"/>
        </w:rPr>
        <w:t xml:space="preserve"> </w:t>
      </w:r>
      <w:r w:rsidR="00637FDC" w:rsidRPr="00733409">
        <w:rPr>
          <w:rFonts w:ascii="Times New Roman" w:hAnsi="Times New Roman" w:cs="Times New Roman"/>
          <w:sz w:val="18"/>
          <w:szCs w:val="18"/>
        </w:rPr>
        <w:t>Décret</w:t>
      </w:r>
      <w:r w:rsidRPr="00733409">
        <w:rPr>
          <w:rFonts w:ascii="Times New Roman" w:hAnsi="Times New Roman" w:cs="Times New Roman"/>
          <w:sz w:val="18"/>
          <w:szCs w:val="18"/>
        </w:rPr>
        <w:t xml:space="preserve"> N° 2008- 125/PRES/PM/MECV du 7 mars 2008 ; Article 1 : « Il est créé au sein de chaque département ministériel une Cellule Environnementale Ministérielle (CEM), dans chacune des régions administratives du Burkina Faso, une cellule environnementale régionale (CER) et une cellule environnementale de l’entreprise dans chaque entreprise publique ou privée, etc. ». Leur mission globale est de contribuer à la prise en compte des préoccupations environnementales lors de la conception et de la mise en œuvre des politiques, programmes et projets de développement.</w:t>
      </w:r>
    </w:p>
  </w:footnote>
  <w:footnote w:id="30">
    <w:p w14:paraId="682DA054" w14:textId="77777777" w:rsidR="007E6534" w:rsidRPr="00733409" w:rsidRDefault="007E6534" w:rsidP="00637FDC">
      <w:pPr>
        <w:pStyle w:val="Notedebasdepage"/>
        <w:spacing w:before="0"/>
        <w:rPr>
          <w:rFonts w:ascii="Times New Roman" w:hAnsi="Times New Roman" w:cs="Times New Roman"/>
          <w:sz w:val="18"/>
          <w:szCs w:val="18"/>
        </w:rPr>
      </w:pPr>
      <w:r w:rsidRPr="00733409">
        <w:rPr>
          <w:rStyle w:val="Appelnotedebasdep"/>
          <w:rFonts w:ascii="Times New Roman" w:hAnsi="Times New Roman" w:cs="Times New Roman"/>
          <w:sz w:val="18"/>
          <w:szCs w:val="18"/>
        </w:rPr>
        <w:footnoteRef/>
      </w:r>
      <w:r w:rsidRPr="00733409">
        <w:rPr>
          <w:rFonts w:ascii="Times New Roman" w:hAnsi="Times New Roman" w:cs="Times New Roman"/>
          <w:sz w:val="18"/>
          <w:szCs w:val="18"/>
        </w:rPr>
        <w:t xml:space="preserve"> Arrêté N° 2014 - 167 /MEDD/CAB du 10 septembre 2014</w:t>
      </w:r>
    </w:p>
  </w:footnote>
  <w:footnote w:id="31">
    <w:p w14:paraId="396C9633" w14:textId="076D6DB8" w:rsidR="007E6534" w:rsidRPr="00733409" w:rsidRDefault="007E6534" w:rsidP="00637FDC">
      <w:pPr>
        <w:pStyle w:val="Notedebasdepage"/>
        <w:spacing w:before="0"/>
        <w:rPr>
          <w:rFonts w:ascii="Times New Roman" w:hAnsi="Times New Roman" w:cs="Times New Roman"/>
          <w:sz w:val="18"/>
          <w:szCs w:val="18"/>
        </w:rPr>
      </w:pPr>
      <w:r w:rsidRPr="00733409">
        <w:rPr>
          <w:rStyle w:val="Appelnotedebasdep"/>
          <w:rFonts w:ascii="Times New Roman" w:hAnsi="Times New Roman" w:cs="Times New Roman"/>
          <w:sz w:val="18"/>
          <w:szCs w:val="18"/>
        </w:rPr>
        <w:footnoteRef/>
      </w:r>
      <w:r w:rsidRPr="00733409">
        <w:rPr>
          <w:rFonts w:ascii="Times New Roman" w:hAnsi="Times New Roman" w:cs="Times New Roman"/>
          <w:sz w:val="18"/>
          <w:szCs w:val="18"/>
        </w:rPr>
        <w:t xml:space="preserve"> Le groupe est constitué des acteurs des services techniques de l’Etat, des universités et instituts de recherche, de la société civile, </w:t>
      </w:r>
      <w:r w:rsidR="00637FDC" w:rsidRPr="00733409">
        <w:rPr>
          <w:rFonts w:ascii="Times New Roman" w:hAnsi="Times New Roman" w:cs="Times New Roman"/>
          <w:sz w:val="18"/>
          <w:szCs w:val="18"/>
        </w:rPr>
        <w:t>du secteur privé</w:t>
      </w:r>
      <w:r w:rsidRPr="00733409">
        <w:rPr>
          <w:rFonts w:ascii="Times New Roman" w:hAnsi="Times New Roman" w:cs="Times New Roman"/>
          <w:sz w:val="18"/>
          <w:szCs w:val="18"/>
        </w:rPr>
        <w:t>, des élus nationaux, de la presse nationale et des partenaires techniques et financier.</w:t>
      </w:r>
    </w:p>
  </w:footnote>
  <w:footnote w:id="32">
    <w:p w14:paraId="15CAFAA5" w14:textId="77777777" w:rsidR="007E6534" w:rsidRPr="00733409" w:rsidRDefault="007E6534" w:rsidP="00637FDC">
      <w:pPr>
        <w:pStyle w:val="Notedebasdepage"/>
        <w:spacing w:before="0"/>
        <w:rPr>
          <w:rFonts w:ascii="Times New Roman" w:hAnsi="Times New Roman" w:cs="Times New Roman"/>
          <w:sz w:val="18"/>
          <w:szCs w:val="18"/>
        </w:rPr>
      </w:pPr>
      <w:r w:rsidRPr="00733409">
        <w:rPr>
          <w:rStyle w:val="Appelnotedebasdep"/>
          <w:rFonts w:ascii="Times New Roman" w:hAnsi="Times New Roman" w:cs="Times New Roman"/>
          <w:sz w:val="18"/>
          <w:szCs w:val="18"/>
        </w:rPr>
        <w:footnoteRef/>
      </w:r>
      <w:r w:rsidRPr="00733409">
        <w:rPr>
          <w:rFonts w:ascii="Times New Roman" w:hAnsi="Times New Roman" w:cs="Times New Roman"/>
          <w:sz w:val="18"/>
          <w:szCs w:val="18"/>
        </w:rPr>
        <w:t xml:space="preserve"> Un site Ramsar est une zone humide reconnue comme telle par la Convention de Ramsar officiellement appelée Convention relative aux zones humides d’importance internationale particulièrement comme habitat des oiseaux d’eau. Laquelle reconnaissance est fondée sur son importance du point de vue écologique, botanique, zoologique ou hydrologique.</w:t>
      </w:r>
    </w:p>
  </w:footnote>
  <w:footnote w:id="33">
    <w:p w14:paraId="26FE56CC" w14:textId="77777777" w:rsidR="007E6534" w:rsidRPr="00733409" w:rsidRDefault="007E6534" w:rsidP="00637FDC">
      <w:pPr>
        <w:pStyle w:val="Notedebasdepage"/>
        <w:spacing w:before="0"/>
        <w:rPr>
          <w:rFonts w:ascii="Times New Roman" w:hAnsi="Times New Roman" w:cs="Times New Roman"/>
          <w:sz w:val="18"/>
          <w:szCs w:val="18"/>
        </w:rPr>
      </w:pPr>
      <w:r w:rsidRPr="00733409">
        <w:rPr>
          <w:rStyle w:val="Appelnotedebasdep"/>
          <w:rFonts w:ascii="Times New Roman" w:hAnsi="Times New Roman" w:cs="Times New Roman"/>
          <w:sz w:val="18"/>
          <w:szCs w:val="18"/>
        </w:rPr>
        <w:footnoteRef/>
      </w:r>
      <w:r w:rsidRPr="00733409">
        <w:rPr>
          <w:rFonts w:ascii="Times New Roman" w:hAnsi="Times New Roman" w:cs="Times New Roman"/>
          <w:sz w:val="18"/>
          <w:szCs w:val="18"/>
        </w:rPr>
        <w:t xml:space="preserve"> Les ZICO du Burkina Faso abritent 77 espèces migratrices du Paléarctique, 28 espèces migratrices africaines et 01 seule espèce migratrice à la fois africaine et du Paléarctique (MEEVCC, 2020)</w:t>
      </w:r>
    </w:p>
  </w:footnote>
  <w:footnote w:id="34">
    <w:p w14:paraId="06549532" w14:textId="77777777" w:rsidR="007E6534" w:rsidRPr="00733409" w:rsidRDefault="007E6534" w:rsidP="00226AD4">
      <w:pPr>
        <w:pStyle w:val="Notedebasdepage"/>
        <w:spacing w:before="0"/>
        <w:rPr>
          <w:rFonts w:ascii="Times New Roman" w:hAnsi="Times New Roman" w:cs="Times New Roman"/>
          <w:sz w:val="18"/>
          <w:szCs w:val="18"/>
        </w:rPr>
      </w:pPr>
      <w:r w:rsidRPr="00733409">
        <w:rPr>
          <w:rStyle w:val="Appelnotedebasdep"/>
          <w:rFonts w:ascii="Times New Roman" w:hAnsi="Times New Roman" w:cs="Times New Roman"/>
          <w:sz w:val="18"/>
          <w:szCs w:val="18"/>
        </w:rPr>
        <w:footnoteRef/>
      </w:r>
      <w:r w:rsidRPr="00733409">
        <w:rPr>
          <w:rFonts w:ascii="Times New Roman" w:hAnsi="Times New Roman" w:cs="Times New Roman"/>
          <w:sz w:val="18"/>
          <w:szCs w:val="18"/>
        </w:rPr>
        <w:t xml:space="preserve"> Les espèces locales mises dans les dispositifs expérimentaux sont au nombre de quinze (15). Les sites de recherche expérimentale sont au nombre de trois (3). Au total, onze (11) espèces exotiques ont été introduites dans les dispositifs expérimentaux</w:t>
      </w:r>
    </w:p>
  </w:footnote>
  <w:footnote w:id="35">
    <w:p w14:paraId="75EC64C5" w14:textId="77777777" w:rsidR="007E6534" w:rsidRPr="00733409" w:rsidRDefault="007E6534" w:rsidP="00226AD4">
      <w:pPr>
        <w:pStyle w:val="Notedebasdepage"/>
        <w:spacing w:before="0"/>
        <w:rPr>
          <w:rFonts w:ascii="Times New Roman" w:hAnsi="Times New Roman" w:cs="Times New Roman"/>
          <w:sz w:val="18"/>
          <w:szCs w:val="18"/>
        </w:rPr>
      </w:pPr>
      <w:r w:rsidRPr="00733409">
        <w:rPr>
          <w:rStyle w:val="Appelnotedebasdep"/>
          <w:rFonts w:ascii="Times New Roman" w:hAnsi="Times New Roman" w:cs="Times New Roman"/>
          <w:sz w:val="18"/>
          <w:szCs w:val="18"/>
        </w:rPr>
        <w:footnoteRef/>
      </w:r>
      <w:r w:rsidRPr="00733409">
        <w:rPr>
          <w:rFonts w:ascii="Times New Roman" w:hAnsi="Times New Roman" w:cs="Times New Roman"/>
          <w:sz w:val="18"/>
          <w:szCs w:val="18"/>
        </w:rPr>
        <w:t xml:space="preserve"> Ces zoos sont relativement pauvres en nombre d’espèces (moins de 20 espèces en moyenne) à l’exception de celui de Wedbila qui compte environ 50 espèces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FDE0FB" w14:textId="1D3B3D30" w:rsidR="00A340F1" w:rsidRPr="00A340F1" w:rsidRDefault="00A340F1" w:rsidP="00A340F1">
    <w:pPr>
      <w:pStyle w:val="En-tte"/>
      <w:pBdr>
        <w:bottom w:val="thickThinSmallGap" w:sz="24" w:space="1" w:color="622423"/>
      </w:pBdr>
      <w:jc w:val="center"/>
      <w:rPr>
        <w:rFonts w:ascii="Times New Roman" w:hAnsi="Times New Roman"/>
        <w:sz w:val="26"/>
        <w:szCs w:val="26"/>
      </w:rPr>
    </w:pPr>
    <w:r w:rsidRPr="00A340F1">
      <w:rPr>
        <w:rFonts w:ascii="Times New Roman" w:hAnsi="Times New Roman"/>
        <w:sz w:val="26"/>
        <w:szCs w:val="26"/>
      </w:rPr>
      <w:t>V</w:t>
    </w:r>
    <w:r w:rsidRPr="0005734D">
      <w:rPr>
        <w:rFonts w:ascii="Times New Roman" w:hAnsi="Times New Roman"/>
        <w:sz w:val="26"/>
        <w:szCs w:val="26"/>
        <w:vertAlign w:val="superscript"/>
      </w:rPr>
      <w:t>e</w:t>
    </w:r>
    <w:r w:rsidRPr="00A340F1">
      <w:rPr>
        <w:rFonts w:ascii="Times New Roman" w:hAnsi="Times New Roman"/>
        <w:sz w:val="26"/>
        <w:szCs w:val="26"/>
      </w:rPr>
      <w:t xml:space="preserve"> Rapport sur l’Etat de l’Environnement au Burkina Faso</w:t>
    </w:r>
  </w:p>
  <w:p w14:paraId="648B2FE3" w14:textId="77777777" w:rsidR="00A340F1" w:rsidRPr="00A340F1" w:rsidRDefault="00A340F1">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9F19F5" w14:textId="77777777" w:rsidR="00560DDE" w:rsidRPr="00A340F1" w:rsidRDefault="00560DDE" w:rsidP="00560DDE">
    <w:pPr>
      <w:pStyle w:val="En-tte"/>
      <w:pBdr>
        <w:bottom w:val="thickThinSmallGap" w:sz="24" w:space="1" w:color="622423"/>
      </w:pBdr>
      <w:jc w:val="center"/>
      <w:rPr>
        <w:rFonts w:ascii="Times New Roman" w:hAnsi="Times New Roman"/>
        <w:sz w:val="26"/>
        <w:szCs w:val="26"/>
      </w:rPr>
    </w:pPr>
    <w:r w:rsidRPr="00A340F1">
      <w:rPr>
        <w:rFonts w:ascii="Times New Roman" w:hAnsi="Times New Roman"/>
        <w:sz w:val="26"/>
        <w:szCs w:val="26"/>
      </w:rPr>
      <w:t>V</w:t>
    </w:r>
    <w:r w:rsidRPr="0005734D">
      <w:rPr>
        <w:rFonts w:ascii="Times New Roman" w:hAnsi="Times New Roman"/>
        <w:sz w:val="26"/>
        <w:szCs w:val="26"/>
        <w:vertAlign w:val="superscript"/>
      </w:rPr>
      <w:t>e</w:t>
    </w:r>
    <w:r w:rsidRPr="00A340F1">
      <w:rPr>
        <w:rFonts w:ascii="Times New Roman" w:hAnsi="Times New Roman"/>
        <w:sz w:val="26"/>
        <w:szCs w:val="26"/>
      </w:rPr>
      <w:t xml:space="preserve"> Rapport sur l’Etat de l’Environnement au Burkina Faso</w:t>
    </w:r>
  </w:p>
  <w:p w14:paraId="23AFF523" w14:textId="77777777" w:rsidR="00560DDE" w:rsidRDefault="00560DDE">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CC230F" w14:textId="77777777" w:rsidR="008811D7" w:rsidRDefault="008811D7">
    <w:pPr>
      <w:pStyle w:val="En-tte"/>
      <w:jc w:val="right"/>
    </w:pPr>
  </w:p>
  <w:p w14:paraId="73BC0146" w14:textId="77777777" w:rsidR="00560DDE" w:rsidRPr="00A340F1" w:rsidRDefault="00560DDE" w:rsidP="00560DDE">
    <w:pPr>
      <w:pStyle w:val="En-tte"/>
      <w:pBdr>
        <w:bottom w:val="thickThinSmallGap" w:sz="24" w:space="1" w:color="622423"/>
      </w:pBdr>
      <w:jc w:val="center"/>
      <w:rPr>
        <w:rFonts w:ascii="Times New Roman" w:hAnsi="Times New Roman"/>
        <w:sz w:val="26"/>
        <w:szCs w:val="26"/>
      </w:rPr>
    </w:pPr>
    <w:r w:rsidRPr="00A340F1">
      <w:rPr>
        <w:rFonts w:ascii="Times New Roman" w:hAnsi="Times New Roman"/>
        <w:sz w:val="26"/>
        <w:szCs w:val="26"/>
      </w:rPr>
      <w:t>V</w:t>
    </w:r>
    <w:r w:rsidRPr="0005734D">
      <w:rPr>
        <w:rFonts w:ascii="Times New Roman" w:hAnsi="Times New Roman"/>
        <w:sz w:val="26"/>
        <w:szCs w:val="26"/>
        <w:vertAlign w:val="superscript"/>
      </w:rPr>
      <w:t>e</w:t>
    </w:r>
    <w:r w:rsidRPr="00A340F1">
      <w:rPr>
        <w:rFonts w:ascii="Times New Roman" w:hAnsi="Times New Roman"/>
        <w:sz w:val="26"/>
        <w:szCs w:val="26"/>
      </w:rPr>
      <w:t xml:space="preserve"> Rapport sur l’Etat de l’Environnement au Burkina Faso</w:t>
    </w:r>
  </w:p>
  <w:p w14:paraId="7C69D0E2" w14:textId="77777777" w:rsidR="008811D7" w:rsidRDefault="008811D7">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11.25pt;height:11.25pt" o:bullet="t">
        <v:imagedata r:id="rId1" o:title="mso4DA2"/>
      </v:shape>
    </w:pict>
  </w:numPicBullet>
  <w:abstractNum w:abstractNumId="0" w15:restartNumberingAfterBreak="0">
    <w:nsid w:val="B91BE246"/>
    <w:multiLevelType w:val="singleLevel"/>
    <w:tmpl w:val="B91BE246"/>
    <w:lvl w:ilvl="0">
      <w:start w:val="1"/>
      <w:numFmt w:val="decimal"/>
      <w:lvlText w:val="%1."/>
      <w:lvlJc w:val="left"/>
      <w:pPr>
        <w:tabs>
          <w:tab w:val="left" w:pos="425"/>
        </w:tabs>
        <w:ind w:left="425" w:hanging="425"/>
      </w:pPr>
      <w:rPr>
        <w:rFonts w:hint="default"/>
      </w:rPr>
    </w:lvl>
  </w:abstractNum>
  <w:abstractNum w:abstractNumId="1" w15:restartNumberingAfterBreak="0">
    <w:nsid w:val="00223D6C"/>
    <w:multiLevelType w:val="hybridMultilevel"/>
    <w:tmpl w:val="B4C6C774"/>
    <w:lvl w:ilvl="0" w:tplc="FFFFFFFF">
      <w:start w:val="1"/>
      <w:numFmt w:val="lowerRoman"/>
      <w:lvlText w:val="(%1)"/>
      <w:lvlJc w:val="left"/>
      <w:pPr>
        <w:ind w:left="1080" w:hanging="720"/>
      </w:pPr>
      <w:rPr>
        <w:rFonts w:hint="default"/>
      </w:rPr>
    </w:lvl>
    <w:lvl w:ilvl="1" w:tplc="2000000D">
      <w:start w:val="1"/>
      <w:numFmt w:val="bullet"/>
      <w:lvlText w:val=""/>
      <w:lvlJc w:val="left"/>
      <w:pPr>
        <w:ind w:left="1440" w:hanging="360"/>
      </w:pPr>
      <w:rPr>
        <w:rFonts w:ascii="Wingdings" w:hAnsi="Wingding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A31A04"/>
    <w:multiLevelType w:val="hybridMultilevel"/>
    <w:tmpl w:val="77E8935C"/>
    <w:lvl w:ilvl="0" w:tplc="040C0003">
      <w:start w:val="1"/>
      <w:numFmt w:val="bullet"/>
      <w:lvlText w:val="o"/>
      <w:lvlJc w:val="left"/>
      <w:pPr>
        <w:ind w:left="777" w:hanging="360"/>
      </w:pPr>
      <w:rPr>
        <w:rFonts w:ascii="Courier New" w:hAnsi="Courier New" w:cs="Courier New" w:hint="default"/>
      </w:rPr>
    </w:lvl>
    <w:lvl w:ilvl="1" w:tplc="040C0003" w:tentative="1">
      <w:start w:val="1"/>
      <w:numFmt w:val="bullet"/>
      <w:lvlText w:val="o"/>
      <w:lvlJc w:val="left"/>
      <w:pPr>
        <w:ind w:left="1497" w:hanging="360"/>
      </w:pPr>
      <w:rPr>
        <w:rFonts w:ascii="Courier New" w:hAnsi="Courier New" w:cs="Courier New" w:hint="default"/>
      </w:rPr>
    </w:lvl>
    <w:lvl w:ilvl="2" w:tplc="040C0005" w:tentative="1">
      <w:start w:val="1"/>
      <w:numFmt w:val="bullet"/>
      <w:lvlText w:val=""/>
      <w:lvlJc w:val="left"/>
      <w:pPr>
        <w:ind w:left="2217" w:hanging="360"/>
      </w:pPr>
      <w:rPr>
        <w:rFonts w:ascii="Wingdings" w:hAnsi="Wingdings" w:hint="default"/>
      </w:rPr>
    </w:lvl>
    <w:lvl w:ilvl="3" w:tplc="040C0001" w:tentative="1">
      <w:start w:val="1"/>
      <w:numFmt w:val="bullet"/>
      <w:lvlText w:val=""/>
      <w:lvlJc w:val="left"/>
      <w:pPr>
        <w:ind w:left="2937" w:hanging="360"/>
      </w:pPr>
      <w:rPr>
        <w:rFonts w:ascii="Symbol" w:hAnsi="Symbol" w:hint="default"/>
      </w:rPr>
    </w:lvl>
    <w:lvl w:ilvl="4" w:tplc="040C0003" w:tentative="1">
      <w:start w:val="1"/>
      <w:numFmt w:val="bullet"/>
      <w:lvlText w:val="o"/>
      <w:lvlJc w:val="left"/>
      <w:pPr>
        <w:ind w:left="3657" w:hanging="360"/>
      </w:pPr>
      <w:rPr>
        <w:rFonts w:ascii="Courier New" w:hAnsi="Courier New" w:cs="Courier New" w:hint="default"/>
      </w:rPr>
    </w:lvl>
    <w:lvl w:ilvl="5" w:tplc="040C0005" w:tentative="1">
      <w:start w:val="1"/>
      <w:numFmt w:val="bullet"/>
      <w:lvlText w:val=""/>
      <w:lvlJc w:val="left"/>
      <w:pPr>
        <w:ind w:left="4377" w:hanging="360"/>
      </w:pPr>
      <w:rPr>
        <w:rFonts w:ascii="Wingdings" w:hAnsi="Wingdings" w:hint="default"/>
      </w:rPr>
    </w:lvl>
    <w:lvl w:ilvl="6" w:tplc="040C0001" w:tentative="1">
      <w:start w:val="1"/>
      <w:numFmt w:val="bullet"/>
      <w:lvlText w:val=""/>
      <w:lvlJc w:val="left"/>
      <w:pPr>
        <w:ind w:left="5097" w:hanging="360"/>
      </w:pPr>
      <w:rPr>
        <w:rFonts w:ascii="Symbol" w:hAnsi="Symbol" w:hint="default"/>
      </w:rPr>
    </w:lvl>
    <w:lvl w:ilvl="7" w:tplc="040C0003" w:tentative="1">
      <w:start w:val="1"/>
      <w:numFmt w:val="bullet"/>
      <w:lvlText w:val="o"/>
      <w:lvlJc w:val="left"/>
      <w:pPr>
        <w:ind w:left="5817" w:hanging="360"/>
      </w:pPr>
      <w:rPr>
        <w:rFonts w:ascii="Courier New" w:hAnsi="Courier New" w:cs="Courier New" w:hint="default"/>
      </w:rPr>
    </w:lvl>
    <w:lvl w:ilvl="8" w:tplc="040C0005" w:tentative="1">
      <w:start w:val="1"/>
      <w:numFmt w:val="bullet"/>
      <w:lvlText w:val=""/>
      <w:lvlJc w:val="left"/>
      <w:pPr>
        <w:ind w:left="6537" w:hanging="360"/>
      </w:pPr>
      <w:rPr>
        <w:rFonts w:ascii="Wingdings" w:hAnsi="Wingdings" w:hint="default"/>
      </w:rPr>
    </w:lvl>
  </w:abstractNum>
  <w:abstractNum w:abstractNumId="3" w15:restartNumberingAfterBreak="0">
    <w:nsid w:val="01345F68"/>
    <w:multiLevelType w:val="multilevel"/>
    <w:tmpl w:val="01345F6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4222C1E"/>
    <w:multiLevelType w:val="hybridMultilevel"/>
    <w:tmpl w:val="904C32D2"/>
    <w:lvl w:ilvl="0" w:tplc="25D6F5F6">
      <w:start w:val="1"/>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043108D3"/>
    <w:multiLevelType w:val="hybridMultilevel"/>
    <w:tmpl w:val="64E40B7C"/>
    <w:lvl w:ilvl="0" w:tplc="88F2104C">
      <w:numFmt w:val="bullet"/>
      <w:lvlText w:val="-"/>
      <w:lvlJc w:val="left"/>
      <w:pPr>
        <w:tabs>
          <w:tab w:val="num" w:pos="417"/>
        </w:tabs>
        <w:ind w:left="417" w:hanging="360"/>
      </w:pPr>
      <w:rPr>
        <w:rFonts w:ascii="Times New Roman" w:eastAsia="Times New Roman" w:hAnsi="Times New Roman" w:cs="Times New Roman" w:hint="default"/>
        <w:color w:val="auto"/>
      </w:rPr>
    </w:lvl>
    <w:lvl w:ilvl="1" w:tplc="F29C036A">
      <w:start w:val="2"/>
      <w:numFmt w:val="bullet"/>
      <w:lvlText w:val="-"/>
      <w:lvlJc w:val="left"/>
      <w:pPr>
        <w:tabs>
          <w:tab w:val="num" w:pos="1440"/>
        </w:tabs>
        <w:ind w:left="1440" w:hanging="360"/>
      </w:pPr>
      <w:rPr>
        <w:rFonts w:ascii="Times New Roman" w:eastAsia="Times New Roman" w:hAnsi="Times New Roman" w:cs="Times New Roman"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5E609E8"/>
    <w:multiLevelType w:val="hybridMultilevel"/>
    <w:tmpl w:val="F012641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3">
      <w:start w:val="1"/>
      <w:numFmt w:val="bullet"/>
      <w:lvlText w:val="o"/>
      <w:lvlJc w:val="left"/>
      <w:pPr>
        <w:ind w:left="1068" w:hanging="360"/>
      </w:pPr>
      <w:rPr>
        <w:rFonts w:ascii="Courier New" w:hAnsi="Courier New" w:cs="Courier New"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78B1A72"/>
    <w:multiLevelType w:val="hybridMultilevel"/>
    <w:tmpl w:val="5FF22F10"/>
    <w:lvl w:ilvl="0" w:tplc="25D6F5F6">
      <w:start w:val="1"/>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 w15:restartNumberingAfterBreak="0">
    <w:nsid w:val="0DF77CB8"/>
    <w:multiLevelType w:val="hybridMultilevel"/>
    <w:tmpl w:val="B1AEDB70"/>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1CF6C73"/>
    <w:multiLevelType w:val="multilevel"/>
    <w:tmpl w:val="80E206C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20504DA"/>
    <w:multiLevelType w:val="hybridMultilevel"/>
    <w:tmpl w:val="95B27068"/>
    <w:lvl w:ilvl="0" w:tplc="040C0003">
      <w:start w:val="1"/>
      <w:numFmt w:val="bullet"/>
      <w:lvlText w:val="o"/>
      <w:lvlJc w:val="left"/>
      <w:pPr>
        <w:ind w:left="1068" w:hanging="360"/>
      </w:pPr>
      <w:rPr>
        <w:rFonts w:ascii="Courier New" w:hAnsi="Courier New" w:cs="Courier New"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1" w15:restartNumberingAfterBreak="0">
    <w:nsid w:val="136F2CF5"/>
    <w:multiLevelType w:val="hybridMultilevel"/>
    <w:tmpl w:val="43021D1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3CA71AD"/>
    <w:multiLevelType w:val="hybridMultilevel"/>
    <w:tmpl w:val="E0A0DE96"/>
    <w:lvl w:ilvl="0" w:tplc="8D5EDC64">
      <w:start w:val="1"/>
      <w:numFmt w:val="bullet"/>
      <w:lvlText w:val=""/>
      <w:lvlJc w:val="left"/>
      <w:pPr>
        <w:ind w:left="720" w:hanging="360"/>
      </w:pPr>
      <w:rPr>
        <w:rFonts w:ascii="Wingdings" w:hAnsi="Wingdings" w:hint="default"/>
        <w:sz w:val="20"/>
      </w:rPr>
    </w:lvl>
    <w:lvl w:ilvl="1" w:tplc="040C0003">
      <w:start w:val="1"/>
      <w:numFmt w:val="bullet"/>
      <w:lvlText w:val="o"/>
      <w:lvlJc w:val="left"/>
      <w:pPr>
        <w:ind w:left="1068"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4B05EBC"/>
    <w:multiLevelType w:val="multilevel"/>
    <w:tmpl w:val="14B05EB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16DE6AA5"/>
    <w:multiLevelType w:val="hybridMultilevel"/>
    <w:tmpl w:val="2318C1A6"/>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15:restartNumberingAfterBreak="0">
    <w:nsid w:val="17CD4B16"/>
    <w:multiLevelType w:val="hybridMultilevel"/>
    <w:tmpl w:val="948C2EE2"/>
    <w:lvl w:ilvl="0" w:tplc="040C0003">
      <w:start w:val="1"/>
      <w:numFmt w:val="bullet"/>
      <w:lvlText w:val="o"/>
      <w:lvlJc w:val="left"/>
      <w:pPr>
        <w:ind w:left="777" w:hanging="360"/>
      </w:pPr>
      <w:rPr>
        <w:rFonts w:ascii="Courier New" w:hAnsi="Courier New" w:cs="Courier New" w:hint="default"/>
      </w:rPr>
    </w:lvl>
    <w:lvl w:ilvl="1" w:tplc="040C0003" w:tentative="1">
      <w:start w:val="1"/>
      <w:numFmt w:val="bullet"/>
      <w:lvlText w:val="o"/>
      <w:lvlJc w:val="left"/>
      <w:pPr>
        <w:ind w:left="1497" w:hanging="360"/>
      </w:pPr>
      <w:rPr>
        <w:rFonts w:ascii="Courier New" w:hAnsi="Courier New" w:cs="Courier New" w:hint="default"/>
      </w:rPr>
    </w:lvl>
    <w:lvl w:ilvl="2" w:tplc="040C0005" w:tentative="1">
      <w:start w:val="1"/>
      <w:numFmt w:val="bullet"/>
      <w:lvlText w:val=""/>
      <w:lvlJc w:val="left"/>
      <w:pPr>
        <w:ind w:left="2217" w:hanging="360"/>
      </w:pPr>
      <w:rPr>
        <w:rFonts w:ascii="Wingdings" w:hAnsi="Wingdings" w:hint="default"/>
      </w:rPr>
    </w:lvl>
    <w:lvl w:ilvl="3" w:tplc="040C0001" w:tentative="1">
      <w:start w:val="1"/>
      <w:numFmt w:val="bullet"/>
      <w:lvlText w:val=""/>
      <w:lvlJc w:val="left"/>
      <w:pPr>
        <w:ind w:left="2937" w:hanging="360"/>
      </w:pPr>
      <w:rPr>
        <w:rFonts w:ascii="Symbol" w:hAnsi="Symbol" w:hint="default"/>
      </w:rPr>
    </w:lvl>
    <w:lvl w:ilvl="4" w:tplc="040C0003" w:tentative="1">
      <w:start w:val="1"/>
      <w:numFmt w:val="bullet"/>
      <w:lvlText w:val="o"/>
      <w:lvlJc w:val="left"/>
      <w:pPr>
        <w:ind w:left="3657" w:hanging="360"/>
      </w:pPr>
      <w:rPr>
        <w:rFonts w:ascii="Courier New" w:hAnsi="Courier New" w:cs="Courier New" w:hint="default"/>
      </w:rPr>
    </w:lvl>
    <w:lvl w:ilvl="5" w:tplc="040C0005" w:tentative="1">
      <w:start w:val="1"/>
      <w:numFmt w:val="bullet"/>
      <w:lvlText w:val=""/>
      <w:lvlJc w:val="left"/>
      <w:pPr>
        <w:ind w:left="4377" w:hanging="360"/>
      </w:pPr>
      <w:rPr>
        <w:rFonts w:ascii="Wingdings" w:hAnsi="Wingdings" w:hint="default"/>
      </w:rPr>
    </w:lvl>
    <w:lvl w:ilvl="6" w:tplc="040C0001" w:tentative="1">
      <w:start w:val="1"/>
      <w:numFmt w:val="bullet"/>
      <w:lvlText w:val=""/>
      <w:lvlJc w:val="left"/>
      <w:pPr>
        <w:ind w:left="5097" w:hanging="360"/>
      </w:pPr>
      <w:rPr>
        <w:rFonts w:ascii="Symbol" w:hAnsi="Symbol" w:hint="default"/>
      </w:rPr>
    </w:lvl>
    <w:lvl w:ilvl="7" w:tplc="040C0003" w:tentative="1">
      <w:start w:val="1"/>
      <w:numFmt w:val="bullet"/>
      <w:lvlText w:val="o"/>
      <w:lvlJc w:val="left"/>
      <w:pPr>
        <w:ind w:left="5817" w:hanging="360"/>
      </w:pPr>
      <w:rPr>
        <w:rFonts w:ascii="Courier New" w:hAnsi="Courier New" w:cs="Courier New" w:hint="default"/>
      </w:rPr>
    </w:lvl>
    <w:lvl w:ilvl="8" w:tplc="040C0005" w:tentative="1">
      <w:start w:val="1"/>
      <w:numFmt w:val="bullet"/>
      <w:lvlText w:val=""/>
      <w:lvlJc w:val="left"/>
      <w:pPr>
        <w:ind w:left="6537" w:hanging="360"/>
      </w:pPr>
      <w:rPr>
        <w:rFonts w:ascii="Wingdings" w:hAnsi="Wingdings" w:hint="default"/>
      </w:rPr>
    </w:lvl>
  </w:abstractNum>
  <w:abstractNum w:abstractNumId="16" w15:restartNumberingAfterBreak="0">
    <w:nsid w:val="199639B4"/>
    <w:multiLevelType w:val="hybridMultilevel"/>
    <w:tmpl w:val="F87C45AC"/>
    <w:lvl w:ilvl="0" w:tplc="68E202C8">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7" w15:restartNumberingAfterBreak="0">
    <w:nsid w:val="1A6D6F63"/>
    <w:multiLevelType w:val="hybridMultilevel"/>
    <w:tmpl w:val="13D2BB8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ABA11EF"/>
    <w:multiLevelType w:val="multilevel"/>
    <w:tmpl w:val="1ABA11E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1B51391A"/>
    <w:multiLevelType w:val="hybridMultilevel"/>
    <w:tmpl w:val="9CBA0ACE"/>
    <w:lvl w:ilvl="0" w:tplc="BEB016F4">
      <w:start w:val="1"/>
      <w:numFmt w:val="upperRoman"/>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1B9A09BE"/>
    <w:multiLevelType w:val="hybridMultilevel"/>
    <w:tmpl w:val="D1FE8FB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D8E0C54"/>
    <w:multiLevelType w:val="hybridMultilevel"/>
    <w:tmpl w:val="627A7A78"/>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E13796A"/>
    <w:multiLevelType w:val="hybridMultilevel"/>
    <w:tmpl w:val="54EC4516"/>
    <w:lvl w:ilvl="0" w:tplc="20000007">
      <w:start w:val="1"/>
      <w:numFmt w:val="bullet"/>
      <w:lvlText w:val=""/>
      <w:lvlPicBulletId w:val="0"/>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 w15:restartNumberingAfterBreak="0">
    <w:nsid w:val="202A2A50"/>
    <w:multiLevelType w:val="multilevel"/>
    <w:tmpl w:val="30DCBF58"/>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2037284E"/>
    <w:multiLevelType w:val="hybridMultilevel"/>
    <w:tmpl w:val="BFD260A2"/>
    <w:lvl w:ilvl="0" w:tplc="2000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20C43B0E"/>
    <w:multiLevelType w:val="hybridMultilevel"/>
    <w:tmpl w:val="8476281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20D534D1"/>
    <w:multiLevelType w:val="multilevel"/>
    <w:tmpl w:val="DF0A2BD0"/>
    <w:lvl w:ilvl="0">
      <w:start w:val="1"/>
      <w:numFmt w:val="upperRoman"/>
      <w:pStyle w:val="Titre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27" w15:restartNumberingAfterBreak="0">
    <w:nsid w:val="21E620DE"/>
    <w:multiLevelType w:val="hybridMultilevel"/>
    <w:tmpl w:val="16B8038C"/>
    <w:lvl w:ilvl="0" w:tplc="20000007">
      <w:start w:val="1"/>
      <w:numFmt w:val="bullet"/>
      <w:lvlText w:val=""/>
      <w:lvlPicBulletId w:val="0"/>
      <w:lvlJc w:val="left"/>
      <w:pPr>
        <w:ind w:left="780" w:hanging="360"/>
      </w:pPr>
      <w:rPr>
        <w:rFonts w:ascii="Symbol" w:hAnsi="Symbol" w:hint="default"/>
      </w:rPr>
    </w:lvl>
    <w:lvl w:ilvl="1" w:tplc="20000003" w:tentative="1">
      <w:start w:val="1"/>
      <w:numFmt w:val="bullet"/>
      <w:lvlText w:val="o"/>
      <w:lvlJc w:val="left"/>
      <w:pPr>
        <w:ind w:left="1500" w:hanging="360"/>
      </w:pPr>
      <w:rPr>
        <w:rFonts w:ascii="Courier New" w:hAnsi="Courier New" w:cs="Courier New" w:hint="default"/>
      </w:rPr>
    </w:lvl>
    <w:lvl w:ilvl="2" w:tplc="20000005" w:tentative="1">
      <w:start w:val="1"/>
      <w:numFmt w:val="bullet"/>
      <w:lvlText w:val=""/>
      <w:lvlJc w:val="left"/>
      <w:pPr>
        <w:ind w:left="2220" w:hanging="360"/>
      </w:pPr>
      <w:rPr>
        <w:rFonts w:ascii="Wingdings" w:hAnsi="Wingdings" w:hint="default"/>
      </w:rPr>
    </w:lvl>
    <w:lvl w:ilvl="3" w:tplc="20000001" w:tentative="1">
      <w:start w:val="1"/>
      <w:numFmt w:val="bullet"/>
      <w:lvlText w:val=""/>
      <w:lvlJc w:val="left"/>
      <w:pPr>
        <w:ind w:left="2940" w:hanging="360"/>
      </w:pPr>
      <w:rPr>
        <w:rFonts w:ascii="Symbol" w:hAnsi="Symbol" w:hint="default"/>
      </w:rPr>
    </w:lvl>
    <w:lvl w:ilvl="4" w:tplc="20000003" w:tentative="1">
      <w:start w:val="1"/>
      <w:numFmt w:val="bullet"/>
      <w:lvlText w:val="o"/>
      <w:lvlJc w:val="left"/>
      <w:pPr>
        <w:ind w:left="3660" w:hanging="360"/>
      </w:pPr>
      <w:rPr>
        <w:rFonts w:ascii="Courier New" w:hAnsi="Courier New" w:cs="Courier New" w:hint="default"/>
      </w:rPr>
    </w:lvl>
    <w:lvl w:ilvl="5" w:tplc="20000005" w:tentative="1">
      <w:start w:val="1"/>
      <w:numFmt w:val="bullet"/>
      <w:lvlText w:val=""/>
      <w:lvlJc w:val="left"/>
      <w:pPr>
        <w:ind w:left="4380" w:hanging="360"/>
      </w:pPr>
      <w:rPr>
        <w:rFonts w:ascii="Wingdings" w:hAnsi="Wingdings" w:hint="default"/>
      </w:rPr>
    </w:lvl>
    <w:lvl w:ilvl="6" w:tplc="20000001" w:tentative="1">
      <w:start w:val="1"/>
      <w:numFmt w:val="bullet"/>
      <w:lvlText w:val=""/>
      <w:lvlJc w:val="left"/>
      <w:pPr>
        <w:ind w:left="5100" w:hanging="360"/>
      </w:pPr>
      <w:rPr>
        <w:rFonts w:ascii="Symbol" w:hAnsi="Symbol" w:hint="default"/>
      </w:rPr>
    </w:lvl>
    <w:lvl w:ilvl="7" w:tplc="20000003" w:tentative="1">
      <w:start w:val="1"/>
      <w:numFmt w:val="bullet"/>
      <w:lvlText w:val="o"/>
      <w:lvlJc w:val="left"/>
      <w:pPr>
        <w:ind w:left="5820" w:hanging="360"/>
      </w:pPr>
      <w:rPr>
        <w:rFonts w:ascii="Courier New" w:hAnsi="Courier New" w:cs="Courier New" w:hint="default"/>
      </w:rPr>
    </w:lvl>
    <w:lvl w:ilvl="8" w:tplc="20000005" w:tentative="1">
      <w:start w:val="1"/>
      <w:numFmt w:val="bullet"/>
      <w:lvlText w:val=""/>
      <w:lvlJc w:val="left"/>
      <w:pPr>
        <w:ind w:left="6540" w:hanging="360"/>
      </w:pPr>
      <w:rPr>
        <w:rFonts w:ascii="Wingdings" w:hAnsi="Wingdings" w:hint="default"/>
      </w:rPr>
    </w:lvl>
  </w:abstractNum>
  <w:abstractNum w:abstractNumId="28" w15:restartNumberingAfterBreak="0">
    <w:nsid w:val="23164B40"/>
    <w:multiLevelType w:val="hybridMultilevel"/>
    <w:tmpl w:val="B00E7A2E"/>
    <w:lvl w:ilvl="0" w:tplc="040C0009">
      <w:start w:val="1"/>
      <w:numFmt w:val="bullet"/>
      <w:lvlText w:val=""/>
      <w:lvlJc w:val="left"/>
      <w:pPr>
        <w:ind w:left="720" w:hanging="360"/>
      </w:pPr>
      <w:rPr>
        <w:rFonts w:ascii="Wingdings" w:hAnsi="Wingdings" w:hint="default"/>
        <w:color w:val="auto"/>
        <w:sz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27E416F4"/>
    <w:multiLevelType w:val="multilevel"/>
    <w:tmpl w:val="FD460448"/>
    <w:lvl w:ilvl="0">
      <w:start w:val="1"/>
      <w:numFmt w:val="decimal"/>
      <w:lvlText w:val="%1"/>
      <w:lvlJc w:val="left"/>
      <w:pPr>
        <w:ind w:left="390" w:hanging="390"/>
      </w:pPr>
      <w:rPr>
        <w:rFonts w:hint="default"/>
      </w:rPr>
    </w:lvl>
    <w:lvl w:ilvl="1">
      <w:start w:val="1"/>
      <w:numFmt w:val="decimal"/>
      <w:lvlText w:val="%1.%2"/>
      <w:lvlJc w:val="left"/>
      <w:pPr>
        <w:ind w:left="957" w:hanging="39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0" w15:restartNumberingAfterBreak="0">
    <w:nsid w:val="281F58C2"/>
    <w:multiLevelType w:val="hybridMultilevel"/>
    <w:tmpl w:val="CAACC272"/>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1" w15:restartNumberingAfterBreak="0">
    <w:nsid w:val="28534474"/>
    <w:multiLevelType w:val="hybridMultilevel"/>
    <w:tmpl w:val="B15EE4F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292D5028"/>
    <w:multiLevelType w:val="hybridMultilevel"/>
    <w:tmpl w:val="8E582E76"/>
    <w:lvl w:ilvl="0" w:tplc="2000000B">
      <w:start w:val="1"/>
      <w:numFmt w:val="bullet"/>
      <w:lvlText w:val=""/>
      <w:lvlJc w:val="left"/>
      <w:pPr>
        <w:ind w:left="780" w:hanging="360"/>
      </w:pPr>
      <w:rPr>
        <w:rFonts w:ascii="Wingdings" w:hAnsi="Wingdings" w:hint="default"/>
      </w:rPr>
    </w:lvl>
    <w:lvl w:ilvl="1" w:tplc="20000003" w:tentative="1">
      <w:start w:val="1"/>
      <w:numFmt w:val="bullet"/>
      <w:lvlText w:val="o"/>
      <w:lvlJc w:val="left"/>
      <w:pPr>
        <w:ind w:left="1500" w:hanging="360"/>
      </w:pPr>
      <w:rPr>
        <w:rFonts w:ascii="Courier New" w:hAnsi="Courier New" w:cs="Courier New" w:hint="default"/>
      </w:rPr>
    </w:lvl>
    <w:lvl w:ilvl="2" w:tplc="20000005" w:tentative="1">
      <w:start w:val="1"/>
      <w:numFmt w:val="bullet"/>
      <w:lvlText w:val=""/>
      <w:lvlJc w:val="left"/>
      <w:pPr>
        <w:ind w:left="2220" w:hanging="360"/>
      </w:pPr>
      <w:rPr>
        <w:rFonts w:ascii="Wingdings" w:hAnsi="Wingdings" w:hint="default"/>
      </w:rPr>
    </w:lvl>
    <w:lvl w:ilvl="3" w:tplc="20000001" w:tentative="1">
      <w:start w:val="1"/>
      <w:numFmt w:val="bullet"/>
      <w:lvlText w:val=""/>
      <w:lvlJc w:val="left"/>
      <w:pPr>
        <w:ind w:left="2940" w:hanging="360"/>
      </w:pPr>
      <w:rPr>
        <w:rFonts w:ascii="Symbol" w:hAnsi="Symbol" w:hint="default"/>
      </w:rPr>
    </w:lvl>
    <w:lvl w:ilvl="4" w:tplc="20000003" w:tentative="1">
      <w:start w:val="1"/>
      <w:numFmt w:val="bullet"/>
      <w:lvlText w:val="o"/>
      <w:lvlJc w:val="left"/>
      <w:pPr>
        <w:ind w:left="3660" w:hanging="360"/>
      </w:pPr>
      <w:rPr>
        <w:rFonts w:ascii="Courier New" w:hAnsi="Courier New" w:cs="Courier New" w:hint="default"/>
      </w:rPr>
    </w:lvl>
    <w:lvl w:ilvl="5" w:tplc="20000005" w:tentative="1">
      <w:start w:val="1"/>
      <w:numFmt w:val="bullet"/>
      <w:lvlText w:val=""/>
      <w:lvlJc w:val="left"/>
      <w:pPr>
        <w:ind w:left="4380" w:hanging="360"/>
      </w:pPr>
      <w:rPr>
        <w:rFonts w:ascii="Wingdings" w:hAnsi="Wingdings" w:hint="default"/>
      </w:rPr>
    </w:lvl>
    <w:lvl w:ilvl="6" w:tplc="20000001" w:tentative="1">
      <w:start w:val="1"/>
      <w:numFmt w:val="bullet"/>
      <w:lvlText w:val=""/>
      <w:lvlJc w:val="left"/>
      <w:pPr>
        <w:ind w:left="5100" w:hanging="360"/>
      </w:pPr>
      <w:rPr>
        <w:rFonts w:ascii="Symbol" w:hAnsi="Symbol" w:hint="default"/>
      </w:rPr>
    </w:lvl>
    <w:lvl w:ilvl="7" w:tplc="20000003" w:tentative="1">
      <w:start w:val="1"/>
      <w:numFmt w:val="bullet"/>
      <w:lvlText w:val="o"/>
      <w:lvlJc w:val="left"/>
      <w:pPr>
        <w:ind w:left="5820" w:hanging="360"/>
      </w:pPr>
      <w:rPr>
        <w:rFonts w:ascii="Courier New" w:hAnsi="Courier New" w:cs="Courier New" w:hint="default"/>
      </w:rPr>
    </w:lvl>
    <w:lvl w:ilvl="8" w:tplc="20000005" w:tentative="1">
      <w:start w:val="1"/>
      <w:numFmt w:val="bullet"/>
      <w:lvlText w:val=""/>
      <w:lvlJc w:val="left"/>
      <w:pPr>
        <w:ind w:left="6540" w:hanging="360"/>
      </w:pPr>
      <w:rPr>
        <w:rFonts w:ascii="Wingdings" w:hAnsi="Wingdings" w:hint="default"/>
      </w:rPr>
    </w:lvl>
  </w:abstractNum>
  <w:abstractNum w:abstractNumId="33" w15:restartNumberingAfterBreak="0">
    <w:nsid w:val="2BA50DDB"/>
    <w:multiLevelType w:val="hybridMultilevel"/>
    <w:tmpl w:val="F2C409A2"/>
    <w:lvl w:ilvl="0" w:tplc="FFFFFFFF">
      <w:start w:val="2"/>
      <w:numFmt w:val="bullet"/>
      <w:lvlText w:val="-"/>
      <w:lvlJc w:val="left"/>
      <w:pPr>
        <w:ind w:left="720" w:hanging="360"/>
      </w:pPr>
      <w:rPr>
        <w:rFonts w:ascii="Calibri" w:eastAsia="Times New Roman" w:hAnsi="Calibri" w:cs="Calibri" w:hint="default"/>
      </w:rPr>
    </w:lvl>
    <w:lvl w:ilvl="1" w:tplc="20000005">
      <w:start w:val="1"/>
      <w:numFmt w:val="bullet"/>
      <w:lvlText w:val=""/>
      <w:lvlJc w:val="left"/>
      <w:pPr>
        <w:ind w:left="72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2FC97B2F"/>
    <w:multiLevelType w:val="hybridMultilevel"/>
    <w:tmpl w:val="F5BAA00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335A51C6"/>
    <w:multiLevelType w:val="multilevel"/>
    <w:tmpl w:val="335A51C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36CA26A8"/>
    <w:multiLevelType w:val="hybridMultilevel"/>
    <w:tmpl w:val="8F3422C4"/>
    <w:lvl w:ilvl="0" w:tplc="040C0015">
      <w:start w:val="1"/>
      <w:numFmt w:val="upperLetter"/>
      <w:lvlText w:val="%1."/>
      <w:lvlJc w:val="left"/>
      <w:pPr>
        <w:ind w:left="405" w:hanging="360"/>
      </w:pPr>
      <w:rPr>
        <w:rFonts w:hint="default"/>
      </w:rPr>
    </w:lvl>
    <w:lvl w:ilvl="1" w:tplc="FFFFFFFF" w:tentative="1">
      <w:start w:val="1"/>
      <w:numFmt w:val="lowerLetter"/>
      <w:lvlText w:val="%2."/>
      <w:lvlJc w:val="left"/>
      <w:pPr>
        <w:ind w:left="1125" w:hanging="360"/>
      </w:pPr>
    </w:lvl>
    <w:lvl w:ilvl="2" w:tplc="FFFFFFFF" w:tentative="1">
      <w:start w:val="1"/>
      <w:numFmt w:val="lowerRoman"/>
      <w:lvlText w:val="%3."/>
      <w:lvlJc w:val="right"/>
      <w:pPr>
        <w:ind w:left="1845" w:hanging="180"/>
      </w:pPr>
    </w:lvl>
    <w:lvl w:ilvl="3" w:tplc="FFFFFFFF" w:tentative="1">
      <w:start w:val="1"/>
      <w:numFmt w:val="decimal"/>
      <w:lvlText w:val="%4."/>
      <w:lvlJc w:val="left"/>
      <w:pPr>
        <w:ind w:left="2565" w:hanging="360"/>
      </w:pPr>
    </w:lvl>
    <w:lvl w:ilvl="4" w:tplc="FFFFFFFF" w:tentative="1">
      <w:start w:val="1"/>
      <w:numFmt w:val="lowerLetter"/>
      <w:lvlText w:val="%5."/>
      <w:lvlJc w:val="left"/>
      <w:pPr>
        <w:ind w:left="3285" w:hanging="360"/>
      </w:pPr>
    </w:lvl>
    <w:lvl w:ilvl="5" w:tplc="FFFFFFFF" w:tentative="1">
      <w:start w:val="1"/>
      <w:numFmt w:val="lowerRoman"/>
      <w:lvlText w:val="%6."/>
      <w:lvlJc w:val="right"/>
      <w:pPr>
        <w:ind w:left="4005" w:hanging="180"/>
      </w:pPr>
    </w:lvl>
    <w:lvl w:ilvl="6" w:tplc="FFFFFFFF" w:tentative="1">
      <w:start w:val="1"/>
      <w:numFmt w:val="decimal"/>
      <w:lvlText w:val="%7."/>
      <w:lvlJc w:val="left"/>
      <w:pPr>
        <w:ind w:left="4725" w:hanging="360"/>
      </w:pPr>
    </w:lvl>
    <w:lvl w:ilvl="7" w:tplc="FFFFFFFF" w:tentative="1">
      <w:start w:val="1"/>
      <w:numFmt w:val="lowerLetter"/>
      <w:lvlText w:val="%8."/>
      <w:lvlJc w:val="left"/>
      <w:pPr>
        <w:ind w:left="5445" w:hanging="360"/>
      </w:pPr>
    </w:lvl>
    <w:lvl w:ilvl="8" w:tplc="FFFFFFFF" w:tentative="1">
      <w:start w:val="1"/>
      <w:numFmt w:val="lowerRoman"/>
      <w:lvlText w:val="%9."/>
      <w:lvlJc w:val="right"/>
      <w:pPr>
        <w:ind w:left="6165" w:hanging="180"/>
      </w:pPr>
    </w:lvl>
  </w:abstractNum>
  <w:abstractNum w:abstractNumId="37" w15:restartNumberingAfterBreak="0">
    <w:nsid w:val="37921E54"/>
    <w:multiLevelType w:val="multilevel"/>
    <w:tmpl w:val="E5741374"/>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39C16519"/>
    <w:multiLevelType w:val="hybridMultilevel"/>
    <w:tmpl w:val="D37031CE"/>
    <w:lvl w:ilvl="0" w:tplc="72CA35C0">
      <w:start w:val="1"/>
      <w:numFmt w:val="bullet"/>
      <w:lvlText w:val=""/>
      <w:lvlJc w:val="left"/>
      <w:pPr>
        <w:ind w:left="720" w:hanging="360"/>
      </w:pPr>
      <w:rPr>
        <w:rFonts w:ascii="Wingdings" w:hAnsi="Wingdings" w:hint="default"/>
        <w:b w:val="0"/>
        <w:i w:val="0"/>
        <w:sz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3A132B52"/>
    <w:multiLevelType w:val="hybridMultilevel"/>
    <w:tmpl w:val="21504782"/>
    <w:lvl w:ilvl="0" w:tplc="20000007">
      <w:start w:val="1"/>
      <w:numFmt w:val="bullet"/>
      <w:lvlText w:val=""/>
      <w:lvlPicBulletId w:val="0"/>
      <w:lvlJc w:val="left"/>
      <w:pPr>
        <w:ind w:left="360" w:hanging="360"/>
      </w:pPr>
      <w:rPr>
        <w:rFonts w:ascii="Symbol" w:hAnsi="Symbol" w:hint="default"/>
      </w:rPr>
    </w:lvl>
    <w:lvl w:ilvl="1" w:tplc="2000000F">
      <w:start w:val="1"/>
      <w:numFmt w:val="decimal"/>
      <w:lvlText w:val="%2."/>
      <w:lvlJc w:val="left"/>
      <w:pPr>
        <w:ind w:left="720" w:hanging="360"/>
      </w:p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0" w15:restartNumberingAfterBreak="0">
    <w:nsid w:val="3C9D2623"/>
    <w:multiLevelType w:val="hybridMultilevel"/>
    <w:tmpl w:val="54E6764E"/>
    <w:lvl w:ilvl="0" w:tplc="F5E29FA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430B30E1"/>
    <w:multiLevelType w:val="hybridMultilevel"/>
    <w:tmpl w:val="89B8B9BC"/>
    <w:lvl w:ilvl="0" w:tplc="20000015">
      <w:start w:val="1"/>
      <w:numFmt w:val="upperLetter"/>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467F296F"/>
    <w:multiLevelType w:val="hybridMultilevel"/>
    <w:tmpl w:val="69BCDFD6"/>
    <w:lvl w:ilvl="0" w:tplc="72CA35C0">
      <w:start w:val="1"/>
      <w:numFmt w:val="bullet"/>
      <w:lvlText w:val=""/>
      <w:lvlJc w:val="left"/>
      <w:pPr>
        <w:ind w:left="720" w:hanging="360"/>
      </w:pPr>
      <w:rPr>
        <w:rFonts w:ascii="Wingdings" w:hAnsi="Wingdings" w:hint="default"/>
        <w:b w:val="0"/>
        <w:i w:val="0"/>
        <w:sz w:val="24"/>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3" w15:restartNumberingAfterBreak="0">
    <w:nsid w:val="46E178EC"/>
    <w:multiLevelType w:val="hybridMultilevel"/>
    <w:tmpl w:val="BD08704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477F2644"/>
    <w:multiLevelType w:val="hybridMultilevel"/>
    <w:tmpl w:val="98DCB704"/>
    <w:lvl w:ilvl="0" w:tplc="20000007">
      <w:start w:val="1"/>
      <w:numFmt w:val="bullet"/>
      <w:lvlText w:val=""/>
      <w:lvlPicBulletId w:val="0"/>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5" w15:restartNumberingAfterBreak="0">
    <w:nsid w:val="492F5EFE"/>
    <w:multiLevelType w:val="hybridMultilevel"/>
    <w:tmpl w:val="78805914"/>
    <w:lvl w:ilvl="0" w:tplc="8D5EDC64">
      <w:start w:val="1"/>
      <w:numFmt w:val="bullet"/>
      <w:lvlText w:val=""/>
      <w:lvlJc w:val="left"/>
      <w:pPr>
        <w:ind w:left="720" w:hanging="360"/>
      </w:pPr>
      <w:rPr>
        <w:rFonts w:ascii="Wingdings" w:hAnsi="Wingdings" w:hint="default"/>
        <w:sz w:val="20"/>
      </w:rPr>
    </w:lvl>
    <w:lvl w:ilvl="1" w:tplc="72CA35C0">
      <w:start w:val="1"/>
      <w:numFmt w:val="bullet"/>
      <w:lvlText w:val=""/>
      <w:lvlJc w:val="left"/>
      <w:pPr>
        <w:ind w:left="720" w:hanging="360"/>
      </w:pPr>
      <w:rPr>
        <w:rFonts w:ascii="Wingdings" w:hAnsi="Wingdings" w:hint="default"/>
        <w:b w:val="0"/>
        <w:i w:val="0"/>
        <w:sz w:val="24"/>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6" w15:restartNumberingAfterBreak="0">
    <w:nsid w:val="49D946D0"/>
    <w:multiLevelType w:val="hybridMultilevel"/>
    <w:tmpl w:val="D7C080CE"/>
    <w:lvl w:ilvl="0" w:tplc="25D6F5F6">
      <w:start w:val="1"/>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7" w15:restartNumberingAfterBreak="0">
    <w:nsid w:val="4C4369D6"/>
    <w:multiLevelType w:val="multilevel"/>
    <w:tmpl w:val="475E3C84"/>
    <w:lvl w:ilvl="0">
      <w:start w:val="2"/>
      <w:numFmt w:val="decimal"/>
      <w:lvlText w:val="%1"/>
      <w:lvlJc w:val="left"/>
      <w:pPr>
        <w:ind w:left="525" w:hanging="525"/>
      </w:pPr>
      <w:rPr>
        <w:rFonts w:hint="default"/>
      </w:rPr>
    </w:lvl>
    <w:lvl w:ilvl="1">
      <w:start w:val="1"/>
      <w:numFmt w:val="decimal"/>
      <w:pStyle w:val="Titre2"/>
      <w:lvlText w:val="%1.%2"/>
      <w:lvlJc w:val="left"/>
      <w:pPr>
        <w:ind w:left="525" w:hanging="525"/>
      </w:pPr>
      <w:rPr>
        <w:rFonts w:hint="default"/>
      </w:rPr>
    </w:lvl>
    <w:lvl w:ilvl="2">
      <w:start w:val="1"/>
      <w:numFmt w:val="decimal"/>
      <w:pStyle w:val="Titre3"/>
      <w:lvlText w:val="%1.%2.%3"/>
      <w:lvlJc w:val="left"/>
      <w:pPr>
        <w:ind w:left="720" w:hanging="720"/>
      </w:pPr>
      <w:rPr>
        <w:rFonts w:hint="default"/>
      </w:rPr>
    </w:lvl>
    <w:lvl w:ilvl="3">
      <w:start w:val="1"/>
      <w:numFmt w:val="decimal"/>
      <w:pStyle w:val="Titre4"/>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4C7F7504"/>
    <w:multiLevelType w:val="hybridMultilevel"/>
    <w:tmpl w:val="B95EFEA4"/>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4D9E5FF3"/>
    <w:multiLevelType w:val="hybridMultilevel"/>
    <w:tmpl w:val="BB2E6B8E"/>
    <w:lvl w:ilvl="0" w:tplc="040C0003">
      <w:start w:val="1"/>
      <w:numFmt w:val="bullet"/>
      <w:lvlText w:val="o"/>
      <w:lvlJc w:val="left"/>
      <w:pPr>
        <w:ind w:left="720" w:hanging="360"/>
      </w:pPr>
      <w:rPr>
        <w:rFonts w:ascii="Courier New" w:hAnsi="Courier New" w:cs="Courier New" w:hint="default"/>
      </w:rPr>
    </w:lvl>
    <w:lvl w:ilvl="1" w:tplc="993E4B30">
      <w:numFmt w:val="bullet"/>
      <w:lvlText w:val="•"/>
      <w:lvlJc w:val="left"/>
      <w:pPr>
        <w:ind w:left="1440" w:hanging="360"/>
      </w:pPr>
      <w:rPr>
        <w:rFonts w:ascii="Times New Roman" w:eastAsia="Times New Roman" w:hAnsi="Times New Roman"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506C12A7"/>
    <w:multiLevelType w:val="hybridMultilevel"/>
    <w:tmpl w:val="9EE08FF8"/>
    <w:lvl w:ilvl="0" w:tplc="2000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1" w15:restartNumberingAfterBreak="0">
    <w:nsid w:val="52FB3B49"/>
    <w:multiLevelType w:val="hybridMultilevel"/>
    <w:tmpl w:val="B1AEDB70"/>
    <w:lvl w:ilvl="0" w:tplc="2000000F">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2" w15:restartNumberingAfterBreak="0">
    <w:nsid w:val="53093B61"/>
    <w:multiLevelType w:val="hybridMultilevel"/>
    <w:tmpl w:val="5C42C26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3" w15:restartNumberingAfterBreak="0">
    <w:nsid w:val="540A45BF"/>
    <w:multiLevelType w:val="hybridMultilevel"/>
    <w:tmpl w:val="211A6E2A"/>
    <w:lvl w:ilvl="0" w:tplc="040C0005">
      <w:start w:val="1"/>
      <w:numFmt w:val="bullet"/>
      <w:lvlText w:val=""/>
      <w:lvlJc w:val="left"/>
      <w:pPr>
        <w:ind w:left="360" w:hanging="360"/>
      </w:pPr>
      <w:rPr>
        <w:rFonts w:ascii="Wingdings" w:hAnsi="Wingdings" w:hint="default"/>
        <w:b w:val="0"/>
        <w:i w:val="0"/>
        <w:sz w:val="24"/>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4" w15:restartNumberingAfterBreak="0">
    <w:nsid w:val="554B77E0"/>
    <w:multiLevelType w:val="hybridMultilevel"/>
    <w:tmpl w:val="73E23314"/>
    <w:lvl w:ilvl="0" w:tplc="040C0011">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55" w15:restartNumberingAfterBreak="0">
    <w:nsid w:val="55806081"/>
    <w:multiLevelType w:val="hybridMultilevel"/>
    <w:tmpl w:val="B18CD3AC"/>
    <w:lvl w:ilvl="0" w:tplc="2000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568B5162"/>
    <w:multiLevelType w:val="hybridMultilevel"/>
    <w:tmpl w:val="C706ED1C"/>
    <w:lvl w:ilvl="0" w:tplc="52608F60">
      <w:start w:val="1"/>
      <w:numFmt w:val="bullet"/>
      <w:lvlText w:val="o"/>
      <w:lvlJc w:val="left"/>
      <w:pPr>
        <w:ind w:left="720" w:hanging="360"/>
      </w:pPr>
      <w:rPr>
        <w:rFonts w:ascii="Courier New" w:hAnsi="Courier New" w:cs="Courier New"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 w15:restartNumberingAfterBreak="0">
    <w:nsid w:val="5701066B"/>
    <w:multiLevelType w:val="hybridMultilevel"/>
    <w:tmpl w:val="D550D714"/>
    <w:lvl w:ilvl="0" w:tplc="25D6F5F6">
      <w:start w:val="1"/>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8" w15:restartNumberingAfterBreak="0">
    <w:nsid w:val="57797FE6"/>
    <w:multiLevelType w:val="hybridMultilevel"/>
    <w:tmpl w:val="48428608"/>
    <w:lvl w:ilvl="0" w:tplc="20000007">
      <w:start w:val="1"/>
      <w:numFmt w:val="bullet"/>
      <w:lvlText w:val=""/>
      <w:lvlPicBulletId w:val="0"/>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9" w15:restartNumberingAfterBreak="0">
    <w:nsid w:val="57966865"/>
    <w:multiLevelType w:val="hybridMultilevel"/>
    <w:tmpl w:val="52E458F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5E861835"/>
    <w:multiLevelType w:val="multilevel"/>
    <w:tmpl w:val="5E86183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1" w15:restartNumberingAfterBreak="0">
    <w:nsid w:val="5FA3436F"/>
    <w:multiLevelType w:val="hybridMultilevel"/>
    <w:tmpl w:val="61E276D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6008669A"/>
    <w:multiLevelType w:val="hybridMultilevel"/>
    <w:tmpl w:val="51D23656"/>
    <w:lvl w:ilvl="0" w:tplc="2000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6193014B"/>
    <w:multiLevelType w:val="hybridMultilevel"/>
    <w:tmpl w:val="6BF4EB88"/>
    <w:lvl w:ilvl="0" w:tplc="2000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4" w15:restartNumberingAfterBreak="0">
    <w:nsid w:val="63D77C98"/>
    <w:multiLevelType w:val="hybridMultilevel"/>
    <w:tmpl w:val="678AA080"/>
    <w:lvl w:ilvl="0" w:tplc="72CA35C0">
      <w:start w:val="1"/>
      <w:numFmt w:val="bullet"/>
      <w:lvlText w:val=""/>
      <w:lvlJc w:val="left"/>
      <w:pPr>
        <w:ind w:left="720" w:hanging="360"/>
      </w:pPr>
      <w:rPr>
        <w:rFonts w:ascii="Wingdings" w:hAnsi="Wingdings" w:hint="default"/>
        <w:b w:val="0"/>
        <w:i w:val="0"/>
        <w:sz w:val="24"/>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5" w15:restartNumberingAfterBreak="0">
    <w:nsid w:val="645967A3"/>
    <w:multiLevelType w:val="hybridMultilevel"/>
    <w:tmpl w:val="81646FB6"/>
    <w:lvl w:ilvl="0" w:tplc="040C0003">
      <w:start w:val="1"/>
      <w:numFmt w:val="bullet"/>
      <w:lvlText w:val="o"/>
      <w:lvlJc w:val="left"/>
      <w:pPr>
        <w:ind w:left="360" w:hanging="360"/>
      </w:pPr>
      <w:rPr>
        <w:rFonts w:ascii="Courier New" w:hAnsi="Courier New" w:cs="Courier New" w:hint="default"/>
      </w:rPr>
    </w:lvl>
    <w:lvl w:ilvl="1" w:tplc="040C000D">
      <w:start w:val="1"/>
      <w:numFmt w:val="bullet"/>
      <w:lvlText w:val=""/>
      <w:lvlJc w:val="left"/>
      <w:pPr>
        <w:ind w:left="1080" w:hanging="360"/>
      </w:pPr>
      <w:rPr>
        <w:rFonts w:ascii="Wingdings" w:hAnsi="Wingdings" w:hint="default"/>
      </w:rPr>
    </w:lvl>
    <w:lvl w:ilvl="2" w:tplc="3CCE05DE">
      <w:numFmt w:val="bullet"/>
      <w:lvlText w:val=""/>
      <w:lvlJc w:val="left"/>
      <w:pPr>
        <w:ind w:left="1800" w:hanging="360"/>
      </w:pPr>
      <w:rPr>
        <w:rFonts w:ascii="Symbol" w:eastAsia="Calibri" w:hAnsi="Symbol" w:cs="Times New Roman"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6" w15:restartNumberingAfterBreak="0">
    <w:nsid w:val="67852191"/>
    <w:multiLevelType w:val="hybridMultilevel"/>
    <w:tmpl w:val="F7087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79467AE"/>
    <w:multiLevelType w:val="multilevel"/>
    <w:tmpl w:val="FD460448"/>
    <w:lvl w:ilvl="0">
      <w:start w:val="1"/>
      <w:numFmt w:val="decimal"/>
      <w:lvlText w:val="%1"/>
      <w:lvlJc w:val="left"/>
      <w:pPr>
        <w:ind w:left="390" w:hanging="390"/>
      </w:pPr>
      <w:rPr>
        <w:rFonts w:hint="default"/>
      </w:rPr>
    </w:lvl>
    <w:lvl w:ilvl="1">
      <w:start w:val="1"/>
      <w:numFmt w:val="decimal"/>
      <w:lvlText w:val="%1.%2"/>
      <w:lvlJc w:val="left"/>
      <w:pPr>
        <w:ind w:left="1383" w:hanging="39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68" w15:restartNumberingAfterBreak="0">
    <w:nsid w:val="6917714E"/>
    <w:multiLevelType w:val="hybridMultilevel"/>
    <w:tmpl w:val="1688C5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6A3C4899"/>
    <w:multiLevelType w:val="hybridMultilevel"/>
    <w:tmpl w:val="CCFA401C"/>
    <w:lvl w:ilvl="0" w:tplc="2000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70" w15:restartNumberingAfterBreak="0">
    <w:nsid w:val="6AFD3529"/>
    <w:multiLevelType w:val="hybridMultilevel"/>
    <w:tmpl w:val="651A2B32"/>
    <w:lvl w:ilvl="0" w:tplc="2000000F">
      <w:start w:val="1"/>
      <w:numFmt w:val="decimal"/>
      <w:lvlText w:val="%1."/>
      <w:lvlJc w:val="left"/>
      <w:pPr>
        <w:tabs>
          <w:tab w:val="num" w:pos="720"/>
        </w:tabs>
        <w:ind w:left="720" w:hanging="360"/>
      </w:pPr>
      <w:rPr>
        <w:rFont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6B197143"/>
    <w:multiLevelType w:val="hybridMultilevel"/>
    <w:tmpl w:val="FAB455F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6BDC37A5"/>
    <w:multiLevelType w:val="hybridMultilevel"/>
    <w:tmpl w:val="EF6CB2F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6D4419A7"/>
    <w:multiLevelType w:val="hybridMultilevel"/>
    <w:tmpl w:val="BD7CB7F2"/>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4" w15:restartNumberingAfterBreak="0">
    <w:nsid w:val="6EA74208"/>
    <w:multiLevelType w:val="hybridMultilevel"/>
    <w:tmpl w:val="D26C1FDE"/>
    <w:lvl w:ilvl="0" w:tplc="E1E6EC26">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5" w15:restartNumberingAfterBreak="0">
    <w:nsid w:val="7006731C"/>
    <w:multiLevelType w:val="hybridMultilevel"/>
    <w:tmpl w:val="89A02FC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6" w15:restartNumberingAfterBreak="0">
    <w:nsid w:val="70F946AB"/>
    <w:multiLevelType w:val="hybridMultilevel"/>
    <w:tmpl w:val="F7C27A4C"/>
    <w:lvl w:ilvl="0" w:tplc="52608F60">
      <w:start w:val="1"/>
      <w:numFmt w:val="bullet"/>
      <w:lvlText w:val="o"/>
      <w:lvlJc w:val="left"/>
      <w:pPr>
        <w:ind w:left="720" w:hanging="360"/>
      </w:pPr>
      <w:rPr>
        <w:rFonts w:ascii="Courier New" w:hAnsi="Courier New" w:cs="Courier New" w:hint="default"/>
        <w:color w:val="auto"/>
      </w:rPr>
    </w:lvl>
    <w:lvl w:ilvl="1" w:tplc="040C000D">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767943BD"/>
    <w:multiLevelType w:val="hybridMultilevel"/>
    <w:tmpl w:val="DCCADD3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8" w15:restartNumberingAfterBreak="0">
    <w:nsid w:val="7768102B"/>
    <w:multiLevelType w:val="hybridMultilevel"/>
    <w:tmpl w:val="4D146F06"/>
    <w:lvl w:ilvl="0" w:tplc="040C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 w15:restartNumberingAfterBreak="0">
    <w:nsid w:val="78900046"/>
    <w:multiLevelType w:val="hybridMultilevel"/>
    <w:tmpl w:val="6870185E"/>
    <w:lvl w:ilvl="0" w:tplc="25D6F5F6">
      <w:start w:val="1"/>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0" w15:restartNumberingAfterBreak="0">
    <w:nsid w:val="7961406F"/>
    <w:multiLevelType w:val="hybridMultilevel"/>
    <w:tmpl w:val="5BF4FA5C"/>
    <w:lvl w:ilvl="0" w:tplc="2000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1" w15:restartNumberingAfterBreak="0">
    <w:nsid w:val="7AA97B08"/>
    <w:multiLevelType w:val="hybridMultilevel"/>
    <w:tmpl w:val="55C2584A"/>
    <w:lvl w:ilvl="0" w:tplc="296EE78A">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2" w15:restartNumberingAfterBreak="0">
    <w:nsid w:val="7ECB1286"/>
    <w:multiLevelType w:val="multilevel"/>
    <w:tmpl w:val="FD460448"/>
    <w:lvl w:ilvl="0">
      <w:start w:val="1"/>
      <w:numFmt w:val="decimal"/>
      <w:lvlText w:val="%1"/>
      <w:lvlJc w:val="left"/>
      <w:pPr>
        <w:ind w:left="390" w:hanging="390"/>
      </w:pPr>
      <w:rPr>
        <w:rFonts w:hint="default"/>
      </w:rPr>
    </w:lvl>
    <w:lvl w:ilvl="1">
      <w:start w:val="1"/>
      <w:numFmt w:val="decimal"/>
      <w:lvlText w:val="%1.%2"/>
      <w:lvlJc w:val="left"/>
      <w:pPr>
        <w:ind w:left="957" w:hanging="39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83" w15:restartNumberingAfterBreak="0">
    <w:nsid w:val="7EFE2B11"/>
    <w:multiLevelType w:val="hybridMultilevel"/>
    <w:tmpl w:val="7DAA77F8"/>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49574920">
    <w:abstractNumId w:val="26"/>
  </w:num>
  <w:num w:numId="2" w16cid:durableId="214434125">
    <w:abstractNumId w:val="9"/>
  </w:num>
  <w:num w:numId="3" w16cid:durableId="1104610980">
    <w:abstractNumId w:val="24"/>
  </w:num>
  <w:num w:numId="4" w16cid:durableId="1900172188">
    <w:abstractNumId w:val="47"/>
  </w:num>
  <w:num w:numId="5" w16cid:durableId="125509856">
    <w:abstractNumId w:val="65"/>
  </w:num>
  <w:num w:numId="6" w16cid:durableId="2015453384">
    <w:abstractNumId w:val="37"/>
  </w:num>
  <w:num w:numId="7" w16cid:durableId="1556157829">
    <w:abstractNumId w:val="82"/>
  </w:num>
  <w:num w:numId="8" w16cid:durableId="1078092625">
    <w:abstractNumId w:val="29"/>
  </w:num>
  <w:num w:numId="9" w16cid:durableId="185950102">
    <w:abstractNumId w:val="49"/>
  </w:num>
  <w:num w:numId="10" w16cid:durableId="304118171">
    <w:abstractNumId w:val="76"/>
  </w:num>
  <w:num w:numId="11" w16cid:durableId="313802593">
    <w:abstractNumId w:val="31"/>
  </w:num>
  <w:num w:numId="12" w16cid:durableId="1257055127">
    <w:abstractNumId w:val="20"/>
  </w:num>
  <w:num w:numId="13" w16cid:durableId="791362500">
    <w:abstractNumId w:val="81"/>
  </w:num>
  <w:num w:numId="14" w16cid:durableId="1643459947">
    <w:abstractNumId w:val="10"/>
  </w:num>
  <w:num w:numId="15" w16cid:durableId="1340038632">
    <w:abstractNumId w:val="5"/>
  </w:num>
  <w:num w:numId="16" w16cid:durableId="793672828">
    <w:abstractNumId w:val="6"/>
  </w:num>
  <w:num w:numId="17" w16cid:durableId="1542742996">
    <w:abstractNumId w:val="67"/>
  </w:num>
  <w:num w:numId="18" w16cid:durableId="344871016">
    <w:abstractNumId w:val="68"/>
  </w:num>
  <w:num w:numId="19" w16cid:durableId="1893925634">
    <w:abstractNumId w:val="12"/>
  </w:num>
  <w:num w:numId="20" w16cid:durableId="1175802041">
    <w:abstractNumId w:val="15"/>
  </w:num>
  <w:num w:numId="21" w16cid:durableId="1020427414">
    <w:abstractNumId w:val="48"/>
  </w:num>
  <w:num w:numId="22" w16cid:durableId="38627155">
    <w:abstractNumId w:val="21"/>
  </w:num>
  <w:num w:numId="23" w16cid:durableId="16664999">
    <w:abstractNumId w:val="16"/>
  </w:num>
  <w:num w:numId="24" w16cid:durableId="940383130">
    <w:abstractNumId w:val="51"/>
  </w:num>
  <w:num w:numId="25" w16cid:durableId="1816098113">
    <w:abstractNumId w:val="2"/>
  </w:num>
  <w:num w:numId="26" w16cid:durableId="1922174253">
    <w:abstractNumId w:val="58"/>
  </w:num>
  <w:num w:numId="27" w16cid:durableId="1677539589">
    <w:abstractNumId w:val="41"/>
  </w:num>
  <w:num w:numId="28" w16cid:durableId="1751273693">
    <w:abstractNumId w:val="66"/>
  </w:num>
  <w:num w:numId="29" w16cid:durableId="63115387">
    <w:abstractNumId w:val="63"/>
  </w:num>
  <w:num w:numId="30" w16cid:durableId="1463573974">
    <w:abstractNumId w:val="9"/>
    <w:lvlOverride w:ilvl="0">
      <w:startOverride w:val="4"/>
    </w:lvlOverride>
    <w:lvlOverride w:ilvl="1">
      <w:startOverride w:val="2"/>
    </w:lvlOverride>
    <w:lvlOverride w:ilvl="2">
      <w:startOverride w:val="1"/>
    </w:lvlOverride>
  </w:num>
  <w:num w:numId="31" w16cid:durableId="802772419">
    <w:abstractNumId w:val="73"/>
  </w:num>
  <w:num w:numId="32" w16cid:durableId="847714314">
    <w:abstractNumId w:val="80"/>
  </w:num>
  <w:num w:numId="33" w16cid:durableId="1718551519">
    <w:abstractNumId w:val="27"/>
  </w:num>
  <w:num w:numId="34" w16cid:durableId="495194966">
    <w:abstractNumId w:val="62"/>
  </w:num>
  <w:num w:numId="35" w16cid:durableId="1459028835">
    <w:abstractNumId w:val="40"/>
  </w:num>
  <w:num w:numId="36" w16cid:durableId="1724795314">
    <w:abstractNumId w:val="83"/>
  </w:num>
  <w:num w:numId="37" w16cid:durableId="852111126">
    <w:abstractNumId w:val="69"/>
  </w:num>
  <w:num w:numId="38" w16cid:durableId="1143082921">
    <w:abstractNumId w:val="33"/>
  </w:num>
  <w:num w:numId="39" w16cid:durableId="1375235151">
    <w:abstractNumId w:val="28"/>
  </w:num>
  <w:num w:numId="40" w16cid:durableId="1966428723">
    <w:abstractNumId w:val="71"/>
  </w:num>
  <w:num w:numId="41" w16cid:durableId="466170104">
    <w:abstractNumId w:val="43"/>
  </w:num>
  <w:num w:numId="42" w16cid:durableId="1324360875">
    <w:abstractNumId w:val="30"/>
  </w:num>
  <w:num w:numId="43" w16cid:durableId="417017377">
    <w:abstractNumId w:val="55"/>
  </w:num>
  <w:num w:numId="44" w16cid:durableId="454258340">
    <w:abstractNumId w:val="75"/>
  </w:num>
  <w:num w:numId="45" w16cid:durableId="158423501">
    <w:abstractNumId w:val="54"/>
  </w:num>
  <w:num w:numId="46" w16cid:durableId="2008170160">
    <w:abstractNumId w:val="78"/>
  </w:num>
  <w:num w:numId="47" w16cid:durableId="279337714">
    <w:abstractNumId w:val="42"/>
  </w:num>
  <w:num w:numId="48" w16cid:durableId="846673195">
    <w:abstractNumId w:val="38"/>
  </w:num>
  <w:num w:numId="49" w16cid:durableId="1666131957">
    <w:abstractNumId w:val="13"/>
  </w:num>
  <w:num w:numId="50" w16cid:durableId="507715411">
    <w:abstractNumId w:val="35"/>
  </w:num>
  <w:num w:numId="51" w16cid:durableId="1004750035">
    <w:abstractNumId w:val="60"/>
  </w:num>
  <w:num w:numId="52" w16cid:durableId="1984188662">
    <w:abstractNumId w:val="0"/>
  </w:num>
  <w:num w:numId="53" w16cid:durableId="1493373317">
    <w:abstractNumId w:val="3"/>
  </w:num>
  <w:num w:numId="54" w16cid:durableId="1425608113">
    <w:abstractNumId w:val="72"/>
  </w:num>
  <w:num w:numId="55" w16cid:durableId="1915316711">
    <w:abstractNumId w:val="53"/>
  </w:num>
  <w:num w:numId="56" w16cid:durableId="8456279">
    <w:abstractNumId w:val="23"/>
  </w:num>
  <w:num w:numId="57" w16cid:durableId="1316446234">
    <w:abstractNumId w:val="14"/>
  </w:num>
  <w:num w:numId="58" w16cid:durableId="1785033228">
    <w:abstractNumId w:val="79"/>
  </w:num>
  <w:num w:numId="59" w16cid:durableId="1003707733">
    <w:abstractNumId w:val="57"/>
  </w:num>
  <w:num w:numId="60" w16cid:durableId="1575971111">
    <w:abstractNumId w:val="46"/>
  </w:num>
  <w:num w:numId="61" w16cid:durableId="1157652983">
    <w:abstractNumId w:val="7"/>
  </w:num>
  <w:num w:numId="62" w16cid:durableId="1983850217">
    <w:abstractNumId w:val="4"/>
  </w:num>
  <w:num w:numId="63" w16cid:durableId="208304637">
    <w:abstractNumId w:val="32"/>
  </w:num>
  <w:num w:numId="64" w16cid:durableId="864176679">
    <w:abstractNumId w:val="22"/>
  </w:num>
  <w:num w:numId="65" w16cid:durableId="1057627440">
    <w:abstractNumId w:val="36"/>
  </w:num>
  <w:num w:numId="66" w16cid:durableId="1140028008">
    <w:abstractNumId w:val="44"/>
  </w:num>
  <w:num w:numId="67" w16cid:durableId="1316838607">
    <w:abstractNumId w:val="45"/>
  </w:num>
  <w:num w:numId="68" w16cid:durableId="1856917167">
    <w:abstractNumId w:val="56"/>
  </w:num>
  <w:num w:numId="69" w16cid:durableId="418676228">
    <w:abstractNumId w:val="70"/>
  </w:num>
  <w:num w:numId="70" w16cid:durableId="1234581860">
    <w:abstractNumId w:val="26"/>
  </w:num>
  <w:num w:numId="71" w16cid:durableId="2092192527">
    <w:abstractNumId w:val="47"/>
  </w:num>
  <w:num w:numId="72" w16cid:durableId="932857662">
    <w:abstractNumId w:val="74"/>
  </w:num>
  <w:num w:numId="73" w16cid:durableId="885264320">
    <w:abstractNumId w:val="39"/>
  </w:num>
  <w:num w:numId="74" w16cid:durableId="950166556">
    <w:abstractNumId w:val="9"/>
  </w:num>
  <w:num w:numId="75" w16cid:durableId="1773621004">
    <w:abstractNumId w:val="47"/>
  </w:num>
  <w:num w:numId="76" w16cid:durableId="180556907">
    <w:abstractNumId w:val="11"/>
  </w:num>
  <w:num w:numId="77" w16cid:durableId="59524339">
    <w:abstractNumId w:val="59"/>
  </w:num>
  <w:num w:numId="78" w16cid:durableId="827787866">
    <w:abstractNumId w:val="34"/>
  </w:num>
  <w:num w:numId="79" w16cid:durableId="378824467">
    <w:abstractNumId w:val="17"/>
  </w:num>
  <w:num w:numId="80" w16cid:durableId="1992559703">
    <w:abstractNumId w:val="61"/>
  </w:num>
  <w:num w:numId="81" w16cid:durableId="1272398778">
    <w:abstractNumId w:val="25"/>
  </w:num>
  <w:num w:numId="82" w16cid:durableId="1884244955">
    <w:abstractNumId w:val="52"/>
  </w:num>
  <w:num w:numId="83" w16cid:durableId="742025749">
    <w:abstractNumId w:val="18"/>
  </w:num>
  <w:num w:numId="84" w16cid:durableId="1932815200">
    <w:abstractNumId w:val="19"/>
  </w:num>
  <w:num w:numId="85" w16cid:durableId="15160335">
    <w:abstractNumId w:val="26"/>
  </w:num>
  <w:num w:numId="86" w16cid:durableId="1183789528">
    <w:abstractNumId w:val="77"/>
  </w:num>
  <w:num w:numId="87" w16cid:durableId="1566992309">
    <w:abstractNumId w:val="64"/>
  </w:num>
  <w:num w:numId="88" w16cid:durableId="3213644">
    <w:abstractNumId w:val="50"/>
  </w:num>
  <w:num w:numId="89" w16cid:durableId="458955715">
    <w:abstractNumId w:val="1"/>
  </w:num>
  <w:num w:numId="90" w16cid:durableId="2028754048">
    <w:abstractNumId w:val="8"/>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7B17"/>
    <w:rsid w:val="0000104C"/>
    <w:rsid w:val="00003A5C"/>
    <w:rsid w:val="00006463"/>
    <w:rsid w:val="000068AD"/>
    <w:rsid w:val="00012D26"/>
    <w:rsid w:val="000356F8"/>
    <w:rsid w:val="0004347D"/>
    <w:rsid w:val="00046F6B"/>
    <w:rsid w:val="0005266E"/>
    <w:rsid w:val="00054103"/>
    <w:rsid w:val="0005734D"/>
    <w:rsid w:val="00063019"/>
    <w:rsid w:val="000633B7"/>
    <w:rsid w:val="00063A0C"/>
    <w:rsid w:val="00070E9D"/>
    <w:rsid w:val="0007503D"/>
    <w:rsid w:val="0007536B"/>
    <w:rsid w:val="00083C37"/>
    <w:rsid w:val="00090691"/>
    <w:rsid w:val="000930B6"/>
    <w:rsid w:val="000938D1"/>
    <w:rsid w:val="000A259A"/>
    <w:rsid w:val="000A2C06"/>
    <w:rsid w:val="000B0DAF"/>
    <w:rsid w:val="000B4700"/>
    <w:rsid w:val="000C39EA"/>
    <w:rsid w:val="000C4F1D"/>
    <w:rsid w:val="000C5987"/>
    <w:rsid w:val="000D60EA"/>
    <w:rsid w:val="000E1BA6"/>
    <w:rsid w:val="000E4359"/>
    <w:rsid w:val="000E58F3"/>
    <w:rsid w:val="000E628E"/>
    <w:rsid w:val="000F1385"/>
    <w:rsid w:val="000F46B3"/>
    <w:rsid w:val="00102B40"/>
    <w:rsid w:val="0010322F"/>
    <w:rsid w:val="0010438E"/>
    <w:rsid w:val="001103D4"/>
    <w:rsid w:val="00110D28"/>
    <w:rsid w:val="001151E3"/>
    <w:rsid w:val="001165D5"/>
    <w:rsid w:val="001174C3"/>
    <w:rsid w:val="00120FBD"/>
    <w:rsid w:val="0012454A"/>
    <w:rsid w:val="00133E87"/>
    <w:rsid w:val="00135F54"/>
    <w:rsid w:val="00142593"/>
    <w:rsid w:val="00143BDB"/>
    <w:rsid w:val="00144EDA"/>
    <w:rsid w:val="00144F45"/>
    <w:rsid w:val="00161E9C"/>
    <w:rsid w:val="00170041"/>
    <w:rsid w:val="00173386"/>
    <w:rsid w:val="001835AA"/>
    <w:rsid w:val="00193DE6"/>
    <w:rsid w:val="001A38F5"/>
    <w:rsid w:val="001A4040"/>
    <w:rsid w:val="001A5A1B"/>
    <w:rsid w:val="001A7FE8"/>
    <w:rsid w:val="001B05F5"/>
    <w:rsid w:val="001E1106"/>
    <w:rsid w:val="001F18F0"/>
    <w:rsid w:val="001F2297"/>
    <w:rsid w:val="001F5311"/>
    <w:rsid w:val="001F79CB"/>
    <w:rsid w:val="001F7AA6"/>
    <w:rsid w:val="00202C79"/>
    <w:rsid w:val="00205661"/>
    <w:rsid w:val="00207DA0"/>
    <w:rsid w:val="0021088B"/>
    <w:rsid w:val="00216C3B"/>
    <w:rsid w:val="00224952"/>
    <w:rsid w:val="00224FF0"/>
    <w:rsid w:val="00226AD4"/>
    <w:rsid w:val="00230377"/>
    <w:rsid w:val="002314C4"/>
    <w:rsid w:val="002328C4"/>
    <w:rsid w:val="00232E29"/>
    <w:rsid w:val="00235203"/>
    <w:rsid w:val="0024123C"/>
    <w:rsid w:val="00262E1B"/>
    <w:rsid w:val="00264F40"/>
    <w:rsid w:val="00267C34"/>
    <w:rsid w:val="00270E3B"/>
    <w:rsid w:val="00275392"/>
    <w:rsid w:val="002765E8"/>
    <w:rsid w:val="00277135"/>
    <w:rsid w:val="002777D8"/>
    <w:rsid w:val="00285688"/>
    <w:rsid w:val="00290FD1"/>
    <w:rsid w:val="002914FC"/>
    <w:rsid w:val="0029161D"/>
    <w:rsid w:val="00296283"/>
    <w:rsid w:val="002A7E31"/>
    <w:rsid w:val="002B2AA3"/>
    <w:rsid w:val="002C4773"/>
    <w:rsid w:val="002C5057"/>
    <w:rsid w:val="002C5D46"/>
    <w:rsid w:val="002D1A73"/>
    <w:rsid w:val="002D61D5"/>
    <w:rsid w:val="002E04B0"/>
    <w:rsid w:val="002E36A9"/>
    <w:rsid w:val="002F7A30"/>
    <w:rsid w:val="00302033"/>
    <w:rsid w:val="00310F25"/>
    <w:rsid w:val="00312AD0"/>
    <w:rsid w:val="003133D7"/>
    <w:rsid w:val="00314978"/>
    <w:rsid w:val="00315704"/>
    <w:rsid w:val="003162F8"/>
    <w:rsid w:val="003170BD"/>
    <w:rsid w:val="00317B63"/>
    <w:rsid w:val="003236C5"/>
    <w:rsid w:val="0032597F"/>
    <w:rsid w:val="003343E2"/>
    <w:rsid w:val="003370DC"/>
    <w:rsid w:val="0034026C"/>
    <w:rsid w:val="003415DF"/>
    <w:rsid w:val="00351710"/>
    <w:rsid w:val="00352055"/>
    <w:rsid w:val="003657FF"/>
    <w:rsid w:val="00373254"/>
    <w:rsid w:val="003843BC"/>
    <w:rsid w:val="00386C13"/>
    <w:rsid w:val="00391460"/>
    <w:rsid w:val="00392DB7"/>
    <w:rsid w:val="003A0C2E"/>
    <w:rsid w:val="003A2EAF"/>
    <w:rsid w:val="003A4ED3"/>
    <w:rsid w:val="003B3F85"/>
    <w:rsid w:val="003B4387"/>
    <w:rsid w:val="003B581D"/>
    <w:rsid w:val="003B59DF"/>
    <w:rsid w:val="003C07DE"/>
    <w:rsid w:val="003D646F"/>
    <w:rsid w:val="003E2FFC"/>
    <w:rsid w:val="003E3B64"/>
    <w:rsid w:val="003E3C3C"/>
    <w:rsid w:val="003E48C8"/>
    <w:rsid w:val="003E77AE"/>
    <w:rsid w:val="003F0255"/>
    <w:rsid w:val="003F3821"/>
    <w:rsid w:val="003F6954"/>
    <w:rsid w:val="003F6C90"/>
    <w:rsid w:val="003F74AF"/>
    <w:rsid w:val="0040219B"/>
    <w:rsid w:val="0041104B"/>
    <w:rsid w:val="004122D6"/>
    <w:rsid w:val="00414237"/>
    <w:rsid w:val="00422EFF"/>
    <w:rsid w:val="00427C1E"/>
    <w:rsid w:val="00431FF2"/>
    <w:rsid w:val="00432BA7"/>
    <w:rsid w:val="00432CC9"/>
    <w:rsid w:val="00435011"/>
    <w:rsid w:val="00443A73"/>
    <w:rsid w:val="004444EF"/>
    <w:rsid w:val="0044787D"/>
    <w:rsid w:val="00450AB2"/>
    <w:rsid w:val="004523E6"/>
    <w:rsid w:val="00454F80"/>
    <w:rsid w:val="00457B49"/>
    <w:rsid w:val="00463760"/>
    <w:rsid w:val="00465F33"/>
    <w:rsid w:val="00470BAE"/>
    <w:rsid w:val="00480380"/>
    <w:rsid w:val="00485EC3"/>
    <w:rsid w:val="0049284E"/>
    <w:rsid w:val="00495F88"/>
    <w:rsid w:val="004A0AA5"/>
    <w:rsid w:val="004A11BD"/>
    <w:rsid w:val="004A1313"/>
    <w:rsid w:val="004A2152"/>
    <w:rsid w:val="004A22AB"/>
    <w:rsid w:val="004A62FD"/>
    <w:rsid w:val="004B0D7B"/>
    <w:rsid w:val="004B5E36"/>
    <w:rsid w:val="004C055F"/>
    <w:rsid w:val="004C1547"/>
    <w:rsid w:val="004C1D09"/>
    <w:rsid w:val="004C345A"/>
    <w:rsid w:val="004D600A"/>
    <w:rsid w:val="004D6D9B"/>
    <w:rsid w:val="004E2422"/>
    <w:rsid w:val="004E3291"/>
    <w:rsid w:val="004E6105"/>
    <w:rsid w:val="004F2A81"/>
    <w:rsid w:val="004F44AB"/>
    <w:rsid w:val="00500C48"/>
    <w:rsid w:val="00505B98"/>
    <w:rsid w:val="0050608A"/>
    <w:rsid w:val="0051481C"/>
    <w:rsid w:val="00515149"/>
    <w:rsid w:val="005163AB"/>
    <w:rsid w:val="00523EA8"/>
    <w:rsid w:val="00530107"/>
    <w:rsid w:val="00530291"/>
    <w:rsid w:val="00537BE0"/>
    <w:rsid w:val="00540B43"/>
    <w:rsid w:val="00544858"/>
    <w:rsid w:val="00545436"/>
    <w:rsid w:val="0054556C"/>
    <w:rsid w:val="00545FF3"/>
    <w:rsid w:val="00552335"/>
    <w:rsid w:val="005540F4"/>
    <w:rsid w:val="00555BCC"/>
    <w:rsid w:val="00560DDE"/>
    <w:rsid w:val="00564649"/>
    <w:rsid w:val="005652EF"/>
    <w:rsid w:val="0057132F"/>
    <w:rsid w:val="005726AF"/>
    <w:rsid w:val="00580307"/>
    <w:rsid w:val="005826F8"/>
    <w:rsid w:val="00582A1F"/>
    <w:rsid w:val="0059209F"/>
    <w:rsid w:val="00593390"/>
    <w:rsid w:val="00593F64"/>
    <w:rsid w:val="005A0B48"/>
    <w:rsid w:val="005A4084"/>
    <w:rsid w:val="005A4A90"/>
    <w:rsid w:val="005A686D"/>
    <w:rsid w:val="005B10AC"/>
    <w:rsid w:val="005B301B"/>
    <w:rsid w:val="005B4329"/>
    <w:rsid w:val="005C3DFD"/>
    <w:rsid w:val="005D25FB"/>
    <w:rsid w:val="005D3FF4"/>
    <w:rsid w:val="005D66C0"/>
    <w:rsid w:val="005E061D"/>
    <w:rsid w:val="005E3176"/>
    <w:rsid w:val="005E6545"/>
    <w:rsid w:val="005E7B17"/>
    <w:rsid w:val="005F025D"/>
    <w:rsid w:val="005F0E2A"/>
    <w:rsid w:val="005F5575"/>
    <w:rsid w:val="0060322F"/>
    <w:rsid w:val="00605840"/>
    <w:rsid w:val="00606C71"/>
    <w:rsid w:val="006106FE"/>
    <w:rsid w:val="006118F2"/>
    <w:rsid w:val="00612A7C"/>
    <w:rsid w:val="006133AA"/>
    <w:rsid w:val="006224F4"/>
    <w:rsid w:val="00624C7C"/>
    <w:rsid w:val="00625C12"/>
    <w:rsid w:val="0062702B"/>
    <w:rsid w:val="00632DE9"/>
    <w:rsid w:val="006346D0"/>
    <w:rsid w:val="0063780A"/>
    <w:rsid w:val="00637FDC"/>
    <w:rsid w:val="00643AF0"/>
    <w:rsid w:val="0064424E"/>
    <w:rsid w:val="006514BA"/>
    <w:rsid w:val="0065735C"/>
    <w:rsid w:val="00664B54"/>
    <w:rsid w:val="0066705C"/>
    <w:rsid w:val="00667DAA"/>
    <w:rsid w:val="00671826"/>
    <w:rsid w:val="00672FAF"/>
    <w:rsid w:val="00673F8B"/>
    <w:rsid w:val="0067669D"/>
    <w:rsid w:val="0068141E"/>
    <w:rsid w:val="00684647"/>
    <w:rsid w:val="00684FF8"/>
    <w:rsid w:val="00690243"/>
    <w:rsid w:val="00690F2D"/>
    <w:rsid w:val="006926C2"/>
    <w:rsid w:val="00694720"/>
    <w:rsid w:val="00694E92"/>
    <w:rsid w:val="006959C1"/>
    <w:rsid w:val="006A3D85"/>
    <w:rsid w:val="006A59B6"/>
    <w:rsid w:val="006A677A"/>
    <w:rsid w:val="006B56C7"/>
    <w:rsid w:val="006C0155"/>
    <w:rsid w:val="006C0938"/>
    <w:rsid w:val="006C3F9D"/>
    <w:rsid w:val="006C73AB"/>
    <w:rsid w:val="006D0702"/>
    <w:rsid w:val="006D070A"/>
    <w:rsid w:val="006D3024"/>
    <w:rsid w:val="006D3F9A"/>
    <w:rsid w:val="006E2E01"/>
    <w:rsid w:val="006E506E"/>
    <w:rsid w:val="006E6EE3"/>
    <w:rsid w:val="006F23B8"/>
    <w:rsid w:val="006F3D69"/>
    <w:rsid w:val="006F6024"/>
    <w:rsid w:val="006F72B3"/>
    <w:rsid w:val="00700AF5"/>
    <w:rsid w:val="00702002"/>
    <w:rsid w:val="00702D07"/>
    <w:rsid w:val="00704956"/>
    <w:rsid w:val="00705AF5"/>
    <w:rsid w:val="00707C11"/>
    <w:rsid w:val="00712C43"/>
    <w:rsid w:val="00713F33"/>
    <w:rsid w:val="007148B2"/>
    <w:rsid w:val="007206F7"/>
    <w:rsid w:val="00723C99"/>
    <w:rsid w:val="00723D09"/>
    <w:rsid w:val="00727088"/>
    <w:rsid w:val="00733409"/>
    <w:rsid w:val="00733428"/>
    <w:rsid w:val="0073535A"/>
    <w:rsid w:val="007379D5"/>
    <w:rsid w:val="00744449"/>
    <w:rsid w:val="00747801"/>
    <w:rsid w:val="00755568"/>
    <w:rsid w:val="007556E9"/>
    <w:rsid w:val="00755C94"/>
    <w:rsid w:val="00760B4D"/>
    <w:rsid w:val="007622FA"/>
    <w:rsid w:val="007646E2"/>
    <w:rsid w:val="00766C04"/>
    <w:rsid w:val="00767A66"/>
    <w:rsid w:val="00773466"/>
    <w:rsid w:val="00784461"/>
    <w:rsid w:val="00790B28"/>
    <w:rsid w:val="007930C4"/>
    <w:rsid w:val="0079347E"/>
    <w:rsid w:val="0079778E"/>
    <w:rsid w:val="007A09E5"/>
    <w:rsid w:val="007A27F7"/>
    <w:rsid w:val="007A4766"/>
    <w:rsid w:val="007A5982"/>
    <w:rsid w:val="007A6F6C"/>
    <w:rsid w:val="007A7001"/>
    <w:rsid w:val="007B1FA5"/>
    <w:rsid w:val="007B48BF"/>
    <w:rsid w:val="007B73C3"/>
    <w:rsid w:val="007B7953"/>
    <w:rsid w:val="007C03EF"/>
    <w:rsid w:val="007C3497"/>
    <w:rsid w:val="007C5A6E"/>
    <w:rsid w:val="007C5F5C"/>
    <w:rsid w:val="007C6735"/>
    <w:rsid w:val="007D06CA"/>
    <w:rsid w:val="007D29F5"/>
    <w:rsid w:val="007D4D0D"/>
    <w:rsid w:val="007D765E"/>
    <w:rsid w:val="007D77A3"/>
    <w:rsid w:val="007E26B1"/>
    <w:rsid w:val="007E6534"/>
    <w:rsid w:val="007E67D5"/>
    <w:rsid w:val="00800F57"/>
    <w:rsid w:val="00806C60"/>
    <w:rsid w:val="00807DEF"/>
    <w:rsid w:val="0081172C"/>
    <w:rsid w:val="00811AC8"/>
    <w:rsid w:val="0082039F"/>
    <w:rsid w:val="008239E3"/>
    <w:rsid w:val="00824DDE"/>
    <w:rsid w:val="00833072"/>
    <w:rsid w:val="00837522"/>
    <w:rsid w:val="00840134"/>
    <w:rsid w:val="00841EF0"/>
    <w:rsid w:val="008476FD"/>
    <w:rsid w:val="0085045A"/>
    <w:rsid w:val="00857104"/>
    <w:rsid w:val="00857E11"/>
    <w:rsid w:val="00861CEA"/>
    <w:rsid w:val="00863377"/>
    <w:rsid w:val="008811D7"/>
    <w:rsid w:val="008853AC"/>
    <w:rsid w:val="00890899"/>
    <w:rsid w:val="00892AAD"/>
    <w:rsid w:val="008938A3"/>
    <w:rsid w:val="008943A7"/>
    <w:rsid w:val="008969A7"/>
    <w:rsid w:val="00896FDE"/>
    <w:rsid w:val="008970CD"/>
    <w:rsid w:val="008A3590"/>
    <w:rsid w:val="008A410C"/>
    <w:rsid w:val="008A662D"/>
    <w:rsid w:val="008A6B37"/>
    <w:rsid w:val="008B2C51"/>
    <w:rsid w:val="008B382E"/>
    <w:rsid w:val="008B409F"/>
    <w:rsid w:val="008B503A"/>
    <w:rsid w:val="008B6FB4"/>
    <w:rsid w:val="008C6E71"/>
    <w:rsid w:val="008D1FFC"/>
    <w:rsid w:val="008D2F16"/>
    <w:rsid w:val="008E0D9B"/>
    <w:rsid w:val="008E1A8C"/>
    <w:rsid w:val="008E65D3"/>
    <w:rsid w:val="008E7EDC"/>
    <w:rsid w:val="008F01A8"/>
    <w:rsid w:val="008F2CC1"/>
    <w:rsid w:val="008F4A36"/>
    <w:rsid w:val="008F4DEF"/>
    <w:rsid w:val="009054DD"/>
    <w:rsid w:val="00905928"/>
    <w:rsid w:val="00910C96"/>
    <w:rsid w:val="00911714"/>
    <w:rsid w:val="0091442F"/>
    <w:rsid w:val="009153C8"/>
    <w:rsid w:val="00924F63"/>
    <w:rsid w:val="009255ED"/>
    <w:rsid w:val="00926EE9"/>
    <w:rsid w:val="0092754F"/>
    <w:rsid w:val="0093137D"/>
    <w:rsid w:val="00931A75"/>
    <w:rsid w:val="009320D7"/>
    <w:rsid w:val="00932EA6"/>
    <w:rsid w:val="0093589E"/>
    <w:rsid w:val="00936CB4"/>
    <w:rsid w:val="00937AE2"/>
    <w:rsid w:val="00940B1A"/>
    <w:rsid w:val="0094210B"/>
    <w:rsid w:val="00942170"/>
    <w:rsid w:val="009423B4"/>
    <w:rsid w:val="00943BA4"/>
    <w:rsid w:val="00950B14"/>
    <w:rsid w:val="009513D0"/>
    <w:rsid w:val="00960B12"/>
    <w:rsid w:val="0097141F"/>
    <w:rsid w:val="0097382E"/>
    <w:rsid w:val="00975D9A"/>
    <w:rsid w:val="00977EB9"/>
    <w:rsid w:val="00977FB8"/>
    <w:rsid w:val="00980209"/>
    <w:rsid w:val="009813B7"/>
    <w:rsid w:val="00982F6E"/>
    <w:rsid w:val="00987E27"/>
    <w:rsid w:val="009918C1"/>
    <w:rsid w:val="00993177"/>
    <w:rsid w:val="00995549"/>
    <w:rsid w:val="00995FCF"/>
    <w:rsid w:val="009969E0"/>
    <w:rsid w:val="009A00B6"/>
    <w:rsid w:val="009A08D5"/>
    <w:rsid w:val="009A2EA6"/>
    <w:rsid w:val="009A3BE1"/>
    <w:rsid w:val="009A60DE"/>
    <w:rsid w:val="009B18A4"/>
    <w:rsid w:val="009B4A01"/>
    <w:rsid w:val="009C280D"/>
    <w:rsid w:val="009C4C26"/>
    <w:rsid w:val="009D0765"/>
    <w:rsid w:val="009D1011"/>
    <w:rsid w:val="009D1E01"/>
    <w:rsid w:val="009E4122"/>
    <w:rsid w:val="009F25CF"/>
    <w:rsid w:val="009F4196"/>
    <w:rsid w:val="009F5D5F"/>
    <w:rsid w:val="00A0578B"/>
    <w:rsid w:val="00A10FE4"/>
    <w:rsid w:val="00A142BA"/>
    <w:rsid w:val="00A157D6"/>
    <w:rsid w:val="00A22DA3"/>
    <w:rsid w:val="00A27A11"/>
    <w:rsid w:val="00A340F1"/>
    <w:rsid w:val="00A360D0"/>
    <w:rsid w:val="00A36369"/>
    <w:rsid w:val="00A47C17"/>
    <w:rsid w:val="00A54DE0"/>
    <w:rsid w:val="00A55A6D"/>
    <w:rsid w:val="00A57493"/>
    <w:rsid w:val="00A663CB"/>
    <w:rsid w:val="00A72492"/>
    <w:rsid w:val="00A7395E"/>
    <w:rsid w:val="00A7432C"/>
    <w:rsid w:val="00A75EAA"/>
    <w:rsid w:val="00A763B8"/>
    <w:rsid w:val="00A90B84"/>
    <w:rsid w:val="00AA1E63"/>
    <w:rsid w:val="00AA4452"/>
    <w:rsid w:val="00AA69F1"/>
    <w:rsid w:val="00AB31A5"/>
    <w:rsid w:val="00AB3B1D"/>
    <w:rsid w:val="00AB51CC"/>
    <w:rsid w:val="00AC199D"/>
    <w:rsid w:val="00AC6A2B"/>
    <w:rsid w:val="00AC732A"/>
    <w:rsid w:val="00AE0C9D"/>
    <w:rsid w:val="00AE6059"/>
    <w:rsid w:val="00AE756D"/>
    <w:rsid w:val="00AE7A4D"/>
    <w:rsid w:val="00AF436D"/>
    <w:rsid w:val="00AF4900"/>
    <w:rsid w:val="00AF5C7B"/>
    <w:rsid w:val="00B11BAF"/>
    <w:rsid w:val="00B12BE1"/>
    <w:rsid w:val="00B12DA8"/>
    <w:rsid w:val="00B13A59"/>
    <w:rsid w:val="00B15B8A"/>
    <w:rsid w:val="00B215E4"/>
    <w:rsid w:val="00B2407A"/>
    <w:rsid w:val="00B27AFB"/>
    <w:rsid w:val="00B36E27"/>
    <w:rsid w:val="00B434E1"/>
    <w:rsid w:val="00B444FB"/>
    <w:rsid w:val="00B5528D"/>
    <w:rsid w:val="00B571CB"/>
    <w:rsid w:val="00B63458"/>
    <w:rsid w:val="00B63F25"/>
    <w:rsid w:val="00B640D3"/>
    <w:rsid w:val="00B7322F"/>
    <w:rsid w:val="00B75ABF"/>
    <w:rsid w:val="00B819A2"/>
    <w:rsid w:val="00B919F9"/>
    <w:rsid w:val="00B94F95"/>
    <w:rsid w:val="00B9562E"/>
    <w:rsid w:val="00BA076A"/>
    <w:rsid w:val="00BA0E03"/>
    <w:rsid w:val="00BA530C"/>
    <w:rsid w:val="00BA5B98"/>
    <w:rsid w:val="00BB0BA4"/>
    <w:rsid w:val="00BC270B"/>
    <w:rsid w:val="00BC2C84"/>
    <w:rsid w:val="00BC4843"/>
    <w:rsid w:val="00BD11BA"/>
    <w:rsid w:val="00BD1963"/>
    <w:rsid w:val="00BD237F"/>
    <w:rsid w:val="00BD267E"/>
    <w:rsid w:val="00BD2F4B"/>
    <w:rsid w:val="00BE2D71"/>
    <w:rsid w:val="00BE3AD8"/>
    <w:rsid w:val="00BE5862"/>
    <w:rsid w:val="00BF2EC3"/>
    <w:rsid w:val="00BF3932"/>
    <w:rsid w:val="00BF70FF"/>
    <w:rsid w:val="00C0188A"/>
    <w:rsid w:val="00C0614E"/>
    <w:rsid w:val="00C0617E"/>
    <w:rsid w:val="00C115D5"/>
    <w:rsid w:val="00C14ADD"/>
    <w:rsid w:val="00C164E5"/>
    <w:rsid w:val="00C16EAB"/>
    <w:rsid w:val="00C1776D"/>
    <w:rsid w:val="00C25291"/>
    <w:rsid w:val="00C2725C"/>
    <w:rsid w:val="00C27CBE"/>
    <w:rsid w:val="00C32C05"/>
    <w:rsid w:val="00C37140"/>
    <w:rsid w:val="00C46E7A"/>
    <w:rsid w:val="00C50C3E"/>
    <w:rsid w:val="00C50EA1"/>
    <w:rsid w:val="00C6238F"/>
    <w:rsid w:val="00C7112C"/>
    <w:rsid w:val="00C738E1"/>
    <w:rsid w:val="00C77440"/>
    <w:rsid w:val="00C82DE6"/>
    <w:rsid w:val="00C97F0E"/>
    <w:rsid w:val="00CA1582"/>
    <w:rsid w:val="00CA39AD"/>
    <w:rsid w:val="00CA49C5"/>
    <w:rsid w:val="00CA576F"/>
    <w:rsid w:val="00CB4311"/>
    <w:rsid w:val="00CB4C35"/>
    <w:rsid w:val="00CB7CB8"/>
    <w:rsid w:val="00CC5D3A"/>
    <w:rsid w:val="00CC796F"/>
    <w:rsid w:val="00CE12FB"/>
    <w:rsid w:val="00CE1A06"/>
    <w:rsid w:val="00CF00B2"/>
    <w:rsid w:val="00CF0199"/>
    <w:rsid w:val="00CF3A5D"/>
    <w:rsid w:val="00CF587C"/>
    <w:rsid w:val="00CF71D2"/>
    <w:rsid w:val="00D012F3"/>
    <w:rsid w:val="00D11594"/>
    <w:rsid w:val="00D140C9"/>
    <w:rsid w:val="00D22E50"/>
    <w:rsid w:val="00D25CF3"/>
    <w:rsid w:val="00D34652"/>
    <w:rsid w:val="00D36755"/>
    <w:rsid w:val="00D43B15"/>
    <w:rsid w:val="00D63F90"/>
    <w:rsid w:val="00D64C8F"/>
    <w:rsid w:val="00D66AC6"/>
    <w:rsid w:val="00D71FFF"/>
    <w:rsid w:val="00D72437"/>
    <w:rsid w:val="00D73B93"/>
    <w:rsid w:val="00D75D18"/>
    <w:rsid w:val="00D75F79"/>
    <w:rsid w:val="00D8246F"/>
    <w:rsid w:val="00D82C73"/>
    <w:rsid w:val="00D84E5B"/>
    <w:rsid w:val="00D904C4"/>
    <w:rsid w:val="00D93EC5"/>
    <w:rsid w:val="00D93EE0"/>
    <w:rsid w:val="00D94AD6"/>
    <w:rsid w:val="00D94D28"/>
    <w:rsid w:val="00DA01B2"/>
    <w:rsid w:val="00DA1BD7"/>
    <w:rsid w:val="00DA4CEA"/>
    <w:rsid w:val="00DB4F65"/>
    <w:rsid w:val="00DB613A"/>
    <w:rsid w:val="00DC0E0F"/>
    <w:rsid w:val="00DC12DA"/>
    <w:rsid w:val="00DC2209"/>
    <w:rsid w:val="00DC48EF"/>
    <w:rsid w:val="00DD1FDC"/>
    <w:rsid w:val="00DD3101"/>
    <w:rsid w:val="00DE49A8"/>
    <w:rsid w:val="00DE5680"/>
    <w:rsid w:val="00DE6A43"/>
    <w:rsid w:val="00DE7B22"/>
    <w:rsid w:val="00DF13AC"/>
    <w:rsid w:val="00E0027E"/>
    <w:rsid w:val="00E17E61"/>
    <w:rsid w:val="00E300F3"/>
    <w:rsid w:val="00E330A7"/>
    <w:rsid w:val="00E46253"/>
    <w:rsid w:val="00E47058"/>
    <w:rsid w:val="00E53E4E"/>
    <w:rsid w:val="00E61736"/>
    <w:rsid w:val="00E6541B"/>
    <w:rsid w:val="00E7332D"/>
    <w:rsid w:val="00E80842"/>
    <w:rsid w:val="00E853CC"/>
    <w:rsid w:val="00E91E3A"/>
    <w:rsid w:val="00E94E92"/>
    <w:rsid w:val="00E966B6"/>
    <w:rsid w:val="00E972DD"/>
    <w:rsid w:val="00EA7449"/>
    <w:rsid w:val="00EC0A9D"/>
    <w:rsid w:val="00ED06B6"/>
    <w:rsid w:val="00ED5192"/>
    <w:rsid w:val="00ED51D5"/>
    <w:rsid w:val="00ED7CDA"/>
    <w:rsid w:val="00EE09B5"/>
    <w:rsid w:val="00EE2372"/>
    <w:rsid w:val="00EE5E3B"/>
    <w:rsid w:val="00EF0411"/>
    <w:rsid w:val="00EF307E"/>
    <w:rsid w:val="00F05C74"/>
    <w:rsid w:val="00F1020C"/>
    <w:rsid w:val="00F17618"/>
    <w:rsid w:val="00F25164"/>
    <w:rsid w:val="00F278C1"/>
    <w:rsid w:val="00F303A2"/>
    <w:rsid w:val="00F311B5"/>
    <w:rsid w:val="00F3198F"/>
    <w:rsid w:val="00F34CA1"/>
    <w:rsid w:val="00F35210"/>
    <w:rsid w:val="00F37E83"/>
    <w:rsid w:val="00F50D20"/>
    <w:rsid w:val="00F5417A"/>
    <w:rsid w:val="00F5426E"/>
    <w:rsid w:val="00F54298"/>
    <w:rsid w:val="00F55559"/>
    <w:rsid w:val="00F564FE"/>
    <w:rsid w:val="00F57A5C"/>
    <w:rsid w:val="00F64FD7"/>
    <w:rsid w:val="00F7203D"/>
    <w:rsid w:val="00F7309E"/>
    <w:rsid w:val="00F75103"/>
    <w:rsid w:val="00F82090"/>
    <w:rsid w:val="00FA5C38"/>
    <w:rsid w:val="00FA6890"/>
    <w:rsid w:val="00FA6B50"/>
    <w:rsid w:val="00FC24AF"/>
    <w:rsid w:val="00FC51BF"/>
    <w:rsid w:val="00FC7AB8"/>
    <w:rsid w:val="00FD2897"/>
    <w:rsid w:val="00FD33F7"/>
    <w:rsid w:val="00FD62E2"/>
    <w:rsid w:val="00FE3624"/>
    <w:rsid w:val="00FF05A5"/>
    <w:rsid w:val="00FF4A30"/>
    <w:rsid w:val="00FF4C8B"/>
    <w:rsid w:val="00FF58B5"/>
    <w:rsid w:val="00FF66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994F83"/>
  <w15:chartTrackingRefBased/>
  <w15:docId w15:val="{8BFEE8CE-7865-4DBD-8C8F-E19069AE5A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6024"/>
    <w:pPr>
      <w:spacing w:after="200" w:line="276" w:lineRule="auto"/>
    </w:pPr>
    <w:rPr>
      <w:rFonts w:ascii="Calibri" w:eastAsia="Times New Roman" w:hAnsi="Calibri" w:cs="Times New Roman"/>
      <w:kern w:val="0"/>
      <w:lang w:val="fr-FR" w:eastAsia="fr-FR"/>
      <w14:ligatures w14:val="none"/>
    </w:rPr>
  </w:style>
  <w:style w:type="paragraph" w:styleId="Titre1">
    <w:name w:val="heading 1"/>
    <w:basedOn w:val="Normal"/>
    <w:next w:val="Normal"/>
    <w:link w:val="Titre1Car"/>
    <w:uiPriority w:val="9"/>
    <w:qFormat/>
    <w:rsid w:val="00006463"/>
    <w:pPr>
      <w:keepNext/>
      <w:keepLines/>
      <w:numPr>
        <w:numId w:val="1"/>
      </w:numPr>
      <w:spacing w:before="240" w:after="0" w:line="240" w:lineRule="auto"/>
      <w:outlineLvl w:val="0"/>
    </w:pPr>
    <w:rPr>
      <w:rFonts w:ascii="Times New Roman" w:eastAsiaTheme="majorEastAsia" w:hAnsi="Times New Roman" w:cstheme="majorBidi"/>
      <w:b/>
      <w:sz w:val="30"/>
      <w:szCs w:val="32"/>
    </w:rPr>
  </w:style>
  <w:style w:type="paragraph" w:styleId="Titre2">
    <w:name w:val="heading 2"/>
    <w:aliases w:val="Chapitre 2,1"/>
    <w:basedOn w:val="Paragraphedeliste"/>
    <w:next w:val="Normal"/>
    <w:link w:val="Titre2Car"/>
    <w:autoRedefine/>
    <w:uiPriority w:val="9"/>
    <w:unhideWhenUsed/>
    <w:qFormat/>
    <w:rsid w:val="00712C43"/>
    <w:pPr>
      <w:numPr>
        <w:ilvl w:val="1"/>
        <w:numId w:val="4"/>
      </w:numPr>
      <w:spacing w:after="0" w:line="240" w:lineRule="auto"/>
      <w:ind w:left="340" w:hanging="340"/>
      <w:contextualSpacing w:val="0"/>
      <w:outlineLvl w:val="1"/>
    </w:pPr>
    <w:rPr>
      <w:rFonts w:ascii="Times New Roman" w:hAnsi="Times New Roman"/>
      <w:b/>
      <w:bCs/>
      <w:sz w:val="28"/>
      <w:szCs w:val="28"/>
    </w:rPr>
  </w:style>
  <w:style w:type="paragraph" w:styleId="Titre3">
    <w:name w:val="heading 3"/>
    <w:aliases w:val="Chapitre 3"/>
    <w:basedOn w:val="Normal"/>
    <w:next w:val="Normal"/>
    <w:link w:val="Titre3Car"/>
    <w:autoRedefine/>
    <w:uiPriority w:val="9"/>
    <w:unhideWhenUsed/>
    <w:qFormat/>
    <w:rsid w:val="00704956"/>
    <w:pPr>
      <w:keepNext/>
      <w:keepLines/>
      <w:numPr>
        <w:ilvl w:val="2"/>
        <w:numId w:val="4"/>
      </w:numPr>
      <w:spacing w:after="0" w:line="240" w:lineRule="auto"/>
      <w:outlineLvl w:val="2"/>
    </w:pPr>
    <w:rPr>
      <w:rFonts w:ascii="Times New Roman" w:eastAsiaTheme="minorHAnsi" w:hAnsi="Times New Roman" w:cstheme="majorBidi"/>
      <w:b/>
      <w:sz w:val="26"/>
      <w:szCs w:val="24"/>
      <w:lang w:eastAsia="en-US"/>
    </w:rPr>
  </w:style>
  <w:style w:type="paragraph" w:styleId="Titre4">
    <w:name w:val="heading 4"/>
    <w:basedOn w:val="Normal"/>
    <w:next w:val="Normal"/>
    <w:link w:val="Titre4Car"/>
    <w:autoRedefine/>
    <w:uiPriority w:val="9"/>
    <w:unhideWhenUsed/>
    <w:qFormat/>
    <w:rsid w:val="00684FF8"/>
    <w:pPr>
      <w:numPr>
        <w:ilvl w:val="3"/>
        <w:numId w:val="4"/>
      </w:numPr>
      <w:spacing w:after="0" w:line="240" w:lineRule="auto"/>
      <w:ind w:left="794" w:hanging="794"/>
      <w:jc w:val="both"/>
      <w:outlineLvl w:val="3"/>
    </w:pPr>
    <w:rPr>
      <w:rFonts w:ascii="Times New Roman" w:eastAsiaTheme="majorEastAsia" w:hAnsi="Times New Roman" w:cstheme="majorBidi"/>
      <w:b/>
      <w:bCs/>
      <w:i/>
      <w:sz w:val="26"/>
      <w:szCs w:val="26"/>
    </w:rPr>
  </w:style>
  <w:style w:type="paragraph" w:styleId="Titre5">
    <w:name w:val="heading 5"/>
    <w:basedOn w:val="Normal"/>
    <w:next w:val="Normal"/>
    <w:link w:val="Titre5Car"/>
    <w:uiPriority w:val="9"/>
    <w:unhideWhenUsed/>
    <w:qFormat/>
    <w:rsid w:val="00006463"/>
    <w:pPr>
      <w:keepNext/>
      <w:keepLines/>
      <w:numPr>
        <w:ilvl w:val="4"/>
        <w:numId w:val="1"/>
      </w:numPr>
      <w:spacing w:before="40" w:after="0" w:line="240" w:lineRule="auto"/>
      <w:outlineLvl w:val="4"/>
    </w:pPr>
    <w:rPr>
      <w:rFonts w:asciiTheme="majorHAnsi" w:eastAsiaTheme="majorEastAsia" w:hAnsiTheme="majorHAnsi" w:cstheme="majorBidi"/>
      <w:color w:val="2F5496" w:themeColor="accent1" w:themeShade="BF"/>
      <w:sz w:val="24"/>
    </w:rPr>
  </w:style>
  <w:style w:type="paragraph" w:styleId="Titre6">
    <w:name w:val="heading 6"/>
    <w:basedOn w:val="Normal"/>
    <w:next w:val="Normal"/>
    <w:link w:val="Titre6Car"/>
    <w:uiPriority w:val="9"/>
    <w:semiHidden/>
    <w:unhideWhenUsed/>
    <w:qFormat/>
    <w:rsid w:val="00006463"/>
    <w:pPr>
      <w:keepNext/>
      <w:keepLines/>
      <w:numPr>
        <w:ilvl w:val="5"/>
        <w:numId w:val="1"/>
      </w:numPr>
      <w:spacing w:before="40" w:after="0" w:line="240" w:lineRule="auto"/>
      <w:outlineLvl w:val="5"/>
    </w:pPr>
    <w:rPr>
      <w:rFonts w:asciiTheme="majorHAnsi" w:eastAsiaTheme="majorEastAsia" w:hAnsiTheme="majorHAnsi" w:cstheme="majorBidi"/>
      <w:color w:val="1F3763" w:themeColor="accent1" w:themeShade="7F"/>
      <w:sz w:val="24"/>
    </w:rPr>
  </w:style>
  <w:style w:type="paragraph" w:styleId="Titre7">
    <w:name w:val="heading 7"/>
    <w:basedOn w:val="Normal"/>
    <w:next w:val="Normal"/>
    <w:link w:val="Titre7Car"/>
    <w:uiPriority w:val="9"/>
    <w:semiHidden/>
    <w:unhideWhenUsed/>
    <w:qFormat/>
    <w:rsid w:val="00006463"/>
    <w:pPr>
      <w:keepNext/>
      <w:keepLines/>
      <w:numPr>
        <w:ilvl w:val="6"/>
        <w:numId w:val="1"/>
      </w:numPr>
      <w:spacing w:before="40" w:after="0" w:line="240" w:lineRule="auto"/>
      <w:outlineLvl w:val="6"/>
    </w:pPr>
    <w:rPr>
      <w:rFonts w:asciiTheme="majorHAnsi" w:eastAsiaTheme="majorEastAsia" w:hAnsiTheme="majorHAnsi" w:cstheme="majorBidi"/>
      <w:i/>
      <w:iCs/>
      <w:color w:val="1F3763" w:themeColor="accent1" w:themeShade="7F"/>
      <w:sz w:val="24"/>
    </w:rPr>
  </w:style>
  <w:style w:type="paragraph" w:styleId="Titre8">
    <w:name w:val="heading 8"/>
    <w:basedOn w:val="Normal"/>
    <w:next w:val="Normal"/>
    <w:link w:val="Titre8Car"/>
    <w:uiPriority w:val="9"/>
    <w:semiHidden/>
    <w:unhideWhenUsed/>
    <w:qFormat/>
    <w:rsid w:val="00006463"/>
    <w:pPr>
      <w:keepNext/>
      <w:keepLines/>
      <w:numPr>
        <w:ilvl w:val="7"/>
        <w:numId w:val="1"/>
      </w:numPr>
      <w:spacing w:before="40" w:after="0" w:line="240" w:lineRule="auto"/>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006463"/>
    <w:pPr>
      <w:keepNext/>
      <w:keepLines/>
      <w:numPr>
        <w:ilvl w:val="8"/>
        <w:numId w:val="1"/>
      </w:numPr>
      <w:spacing w:before="40" w:after="0" w:line="240" w:lineRule="auto"/>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aliases w:val="L_4,Paragraphe de liste4,List Paragraph1,- List tir,References,texte,figure,Glossaire,liste de tableaux,Titre1,Liste 1,Numbered List Paragraph,ReferencesCxSpLast,List Paragraph (numbered (a)),Medium Grid 1 - Accent 21,Yalgo corps,U 5"/>
    <w:basedOn w:val="Normal"/>
    <w:link w:val="ParagraphedelisteCar"/>
    <w:uiPriority w:val="34"/>
    <w:qFormat/>
    <w:rsid w:val="005E7B17"/>
    <w:pPr>
      <w:ind w:left="720"/>
      <w:contextualSpacing/>
    </w:pPr>
  </w:style>
  <w:style w:type="character" w:customStyle="1" w:styleId="Titre1Car">
    <w:name w:val="Titre 1 Car"/>
    <w:basedOn w:val="Policepardfaut"/>
    <w:link w:val="Titre1"/>
    <w:uiPriority w:val="9"/>
    <w:qFormat/>
    <w:rsid w:val="00006463"/>
    <w:rPr>
      <w:rFonts w:ascii="Times New Roman" w:eastAsiaTheme="majorEastAsia" w:hAnsi="Times New Roman" w:cstheme="majorBidi"/>
      <w:b/>
      <w:kern w:val="0"/>
      <w:sz w:val="30"/>
      <w:szCs w:val="32"/>
      <w:lang w:val="fr-FR" w:eastAsia="fr-FR"/>
      <w14:ligatures w14:val="none"/>
    </w:rPr>
  </w:style>
  <w:style w:type="character" w:customStyle="1" w:styleId="Titre2Car">
    <w:name w:val="Titre 2 Car"/>
    <w:aliases w:val="Chapitre 2 Car,1 Car"/>
    <w:basedOn w:val="Policepardfaut"/>
    <w:link w:val="Titre2"/>
    <w:uiPriority w:val="9"/>
    <w:qFormat/>
    <w:rsid w:val="00712C43"/>
    <w:rPr>
      <w:rFonts w:ascii="Times New Roman" w:eastAsia="Times New Roman" w:hAnsi="Times New Roman" w:cs="Times New Roman"/>
      <w:b/>
      <w:bCs/>
      <w:kern w:val="0"/>
      <w:sz w:val="28"/>
      <w:szCs w:val="28"/>
      <w:lang w:val="fr-FR" w:eastAsia="fr-FR"/>
      <w14:ligatures w14:val="none"/>
    </w:rPr>
  </w:style>
  <w:style w:type="character" w:customStyle="1" w:styleId="Titre3Car">
    <w:name w:val="Titre 3 Car"/>
    <w:aliases w:val="Chapitre 3 Car"/>
    <w:basedOn w:val="Policepardfaut"/>
    <w:link w:val="Titre3"/>
    <w:uiPriority w:val="9"/>
    <w:qFormat/>
    <w:rsid w:val="00704956"/>
    <w:rPr>
      <w:rFonts w:ascii="Times New Roman" w:hAnsi="Times New Roman" w:cstheme="majorBidi"/>
      <w:b/>
      <w:kern w:val="0"/>
      <w:sz w:val="26"/>
      <w:szCs w:val="24"/>
      <w:lang w:val="fr-FR"/>
      <w14:ligatures w14:val="none"/>
    </w:rPr>
  </w:style>
  <w:style w:type="character" w:customStyle="1" w:styleId="Titre4Car">
    <w:name w:val="Titre 4 Car"/>
    <w:basedOn w:val="Policepardfaut"/>
    <w:link w:val="Titre4"/>
    <w:uiPriority w:val="9"/>
    <w:qFormat/>
    <w:rsid w:val="00684FF8"/>
    <w:rPr>
      <w:rFonts w:ascii="Times New Roman" w:eastAsiaTheme="majorEastAsia" w:hAnsi="Times New Roman" w:cstheme="majorBidi"/>
      <w:b/>
      <w:bCs/>
      <w:i/>
      <w:kern w:val="0"/>
      <w:sz w:val="26"/>
      <w:szCs w:val="26"/>
      <w:lang w:val="fr-FR" w:eastAsia="fr-FR"/>
      <w14:ligatures w14:val="none"/>
    </w:rPr>
  </w:style>
  <w:style w:type="character" w:customStyle="1" w:styleId="Titre5Car">
    <w:name w:val="Titre 5 Car"/>
    <w:basedOn w:val="Policepardfaut"/>
    <w:link w:val="Titre5"/>
    <w:uiPriority w:val="9"/>
    <w:qFormat/>
    <w:rsid w:val="00006463"/>
    <w:rPr>
      <w:rFonts w:asciiTheme="majorHAnsi" w:eastAsiaTheme="majorEastAsia" w:hAnsiTheme="majorHAnsi" w:cstheme="majorBidi"/>
      <w:color w:val="2F5496" w:themeColor="accent1" w:themeShade="BF"/>
      <w:kern w:val="0"/>
      <w:sz w:val="24"/>
      <w:lang w:val="fr-FR" w:eastAsia="fr-FR"/>
      <w14:ligatures w14:val="none"/>
    </w:rPr>
  </w:style>
  <w:style w:type="character" w:customStyle="1" w:styleId="Titre6Car">
    <w:name w:val="Titre 6 Car"/>
    <w:basedOn w:val="Policepardfaut"/>
    <w:link w:val="Titre6"/>
    <w:uiPriority w:val="9"/>
    <w:semiHidden/>
    <w:qFormat/>
    <w:rsid w:val="00006463"/>
    <w:rPr>
      <w:rFonts w:asciiTheme="majorHAnsi" w:eastAsiaTheme="majorEastAsia" w:hAnsiTheme="majorHAnsi" w:cstheme="majorBidi"/>
      <w:color w:val="1F3763" w:themeColor="accent1" w:themeShade="7F"/>
      <w:kern w:val="0"/>
      <w:sz w:val="24"/>
      <w:lang w:val="fr-FR" w:eastAsia="fr-FR"/>
      <w14:ligatures w14:val="none"/>
    </w:rPr>
  </w:style>
  <w:style w:type="character" w:customStyle="1" w:styleId="Titre7Car">
    <w:name w:val="Titre 7 Car"/>
    <w:basedOn w:val="Policepardfaut"/>
    <w:link w:val="Titre7"/>
    <w:uiPriority w:val="9"/>
    <w:semiHidden/>
    <w:qFormat/>
    <w:rsid w:val="00006463"/>
    <w:rPr>
      <w:rFonts w:asciiTheme="majorHAnsi" w:eastAsiaTheme="majorEastAsia" w:hAnsiTheme="majorHAnsi" w:cstheme="majorBidi"/>
      <w:i/>
      <w:iCs/>
      <w:color w:val="1F3763" w:themeColor="accent1" w:themeShade="7F"/>
      <w:kern w:val="0"/>
      <w:sz w:val="24"/>
      <w:lang w:val="fr-FR" w:eastAsia="fr-FR"/>
      <w14:ligatures w14:val="none"/>
    </w:rPr>
  </w:style>
  <w:style w:type="character" w:customStyle="1" w:styleId="Titre8Car">
    <w:name w:val="Titre 8 Car"/>
    <w:basedOn w:val="Policepardfaut"/>
    <w:link w:val="Titre8"/>
    <w:uiPriority w:val="9"/>
    <w:semiHidden/>
    <w:qFormat/>
    <w:rsid w:val="00006463"/>
    <w:rPr>
      <w:rFonts w:asciiTheme="majorHAnsi" w:eastAsiaTheme="majorEastAsia" w:hAnsiTheme="majorHAnsi" w:cstheme="majorBidi"/>
      <w:color w:val="272727" w:themeColor="text1" w:themeTint="D8"/>
      <w:kern w:val="0"/>
      <w:sz w:val="21"/>
      <w:szCs w:val="21"/>
      <w:lang w:val="fr-FR" w:eastAsia="fr-FR"/>
      <w14:ligatures w14:val="none"/>
    </w:rPr>
  </w:style>
  <w:style w:type="character" w:customStyle="1" w:styleId="Titre9Car">
    <w:name w:val="Titre 9 Car"/>
    <w:basedOn w:val="Policepardfaut"/>
    <w:link w:val="Titre9"/>
    <w:uiPriority w:val="9"/>
    <w:semiHidden/>
    <w:qFormat/>
    <w:rsid w:val="00006463"/>
    <w:rPr>
      <w:rFonts w:asciiTheme="majorHAnsi" w:eastAsiaTheme="majorEastAsia" w:hAnsiTheme="majorHAnsi" w:cstheme="majorBidi"/>
      <w:i/>
      <w:iCs/>
      <w:color w:val="272727" w:themeColor="text1" w:themeTint="D8"/>
      <w:kern w:val="0"/>
      <w:sz w:val="21"/>
      <w:szCs w:val="21"/>
      <w:lang w:val="fr-FR" w:eastAsia="fr-FR"/>
      <w14:ligatures w14:val="none"/>
    </w:rPr>
  </w:style>
  <w:style w:type="paragraph" w:styleId="En-tte">
    <w:name w:val="header"/>
    <w:basedOn w:val="Normal"/>
    <w:link w:val="En-tteCar"/>
    <w:uiPriority w:val="99"/>
    <w:unhideWhenUsed/>
    <w:qFormat/>
    <w:rsid w:val="006C0155"/>
    <w:pPr>
      <w:tabs>
        <w:tab w:val="center" w:pos="4703"/>
        <w:tab w:val="right" w:pos="9406"/>
      </w:tabs>
      <w:spacing w:after="0" w:line="240" w:lineRule="auto"/>
    </w:pPr>
  </w:style>
  <w:style w:type="character" w:customStyle="1" w:styleId="En-tteCar">
    <w:name w:val="En-tête Car"/>
    <w:basedOn w:val="Policepardfaut"/>
    <w:link w:val="En-tte"/>
    <w:uiPriority w:val="99"/>
    <w:qFormat/>
    <w:rsid w:val="006C0155"/>
  </w:style>
  <w:style w:type="paragraph" w:styleId="Pieddepage">
    <w:name w:val="footer"/>
    <w:basedOn w:val="Normal"/>
    <w:link w:val="PieddepageCar"/>
    <w:uiPriority w:val="99"/>
    <w:unhideWhenUsed/>
    <w:qFormat/>
    <w:rsid w:val="006C0155"/>
    <w:pPr>
      <w:tabs>
        <w:tab w:val="center" w:pos="4703"/>
        <w:tab w:val="right" w:pos="9406"/>
      </w:tabs>
      <w:spacing w:after="0" w:line="240" w:lineRule="auto"/>
    </w:pPr>
  </w:style>
  <w:style w:type="character" w:customStyle="1" w:styleId="PieddepageCar">
    <w:name w:val="Pied de page Car"/>
    <w:basedOn w:val="Policepardfaut"/>
    <w:link w:val="Pieddepage"/>
    <w:uiPriority w:val="99"/>
    <w:qFormat/>
    <w:rsid w:val="006C0155"/>
  </w:style>
  <w:style w:type="table" w:styleId="Grilledutableau">
    <w:name w:val="Table Grid"/>
    <w:basedOn w:val="TableauNormal"/>
    <w:uiPriority w:val="59"/>
    <w:qFormat/>
    <w:rsid w:val="00857104"/>
    <w:pPr>
      <w:spacing w:after="0" w:line="240" w:lineRule="auto"/>
    </w:pPr>
    <w:rPr>
      <w:kern w:val="0"/>
      <w:lang w:val="fr-F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sdetexte3">
    <w:name w:val="Body Text 3"/>
    <w:basedOn w:val="Normal"/>
    <w:link w:val="Corpsdetexte3Car"/>
    <w:rsid w:val="00857104"/>
    <w:pPr>
      <w:pBdr>
        <w:top w:val="double" w:sz="4" w:space="1" w:color="auto" w:shadow="1"/>
        <w:left w:val="double" w:sz="4" w:space="4" w:color="auto" w:shadow="1"/>
        <w:bottom w:val="double" w:sz="4" w:space="1" w:color="auto" w:shadow="1"/>
        <w:right w:val="double" w:sz="4" w:space="4" w:color="auto" w:shadow="1"/>
      </w:pBdr>
      <w:spacing w:after="0" w:line="240" w:lineRule="auto"/>
      <w:jc w:val="center"/>
    </w:pPr>
    <w:rPr>
      <w:rFonts w:ascii="Times New Roman" w:hAnsi="Times New Roman"/>
      <w:b/>
      <w:bCs/>
      <w:sz w:val="24"/>
      <w:szCs w:val="24"/>
    </w:rPr>
  </w:style>
  <w:style w:type="character" w:customStyle="1" w:styleId="Corpsdetexte3Car">
    <w:name w:val="Corps de texte 3 Car"/>
    <w:basedOn w:val="Policepardfaut"/>
    <w:link w:val="Corpsdetexte3"/>
    <w:rsid w:val="00857104"/>
    <w:rPr>
      <w:rFonts w:ascii="Times New Roman" w:eastAsia="Times New Roman" w:hAnsi="Times New Roman" w:cs="Times New Roman"/>
      <w:b/>
      <w:bCs/>
      <w:kern w:val="0"/>
      <w:sz w:val="24"/>
      <w:szCs w:val="24"/>
      <w:lang w:val="fr-FR" w:eastAsia="fr-FR"/>
      <w14:ligatures w14:val="none"/>
    </w:rPr>
  </w:style>
  <w:style w:type="paragraph" w:styleId="Lgende">
    <w:name w:val="caption"/>
    <w:aliases w:val="Caption Char2,Caption Char Char1,Caption Char1 Char Char,Caption Char Char Char Char,Caption Char1 Char1,Caption Char Char Char1,таблица Char,Caption Char2 Char,Caption Char1 Char Char Char Char Char,Car Car Car,Caption Char1,Caption Char Char,C"/>
    <w:basedOn w:val="Normal"/>
    <w:next w:val="Normal"/>
    <w:link w:val="LgendeCar"/>
    <w:uiPriority w:val="35"/>
    <w:unhideWhenUsed/>
    <w:qFormat/>
    <w:rsid w:val="00392DB7"/>
    <w:pPr>
      <w:spacing w:line="240" w:lineRule="auto"/>
    </w:pPr>
    <w:rPr>
      <w:i/>
      <w:iCs/>
      <w:color w:val="44546A" w:themeColor="text2"/>
      <w:sz w:val="18"/>
      <w:szCs w:val="18"/>
    </w:rPr>
  </w:style>
  <w:style w:type="paragraph" w:styleId="Rvision">
    <w:name w:val="Revision"/>
    <w:hidden/>
    <w:uiPriority w:val="99"/>
    <w:rsid w:val="002D1A73"/>
    <w:pPr>
      <w:spacing w:after="0" w:line="240" w:lineRule="auto"/>
    </w:pPr>
    <w:rPr>
      <w:rFonts w:ascii="Calibri" w:eastAsia="Times New Roman" w:hAnsi="Calibri" w:cs="Times New Roman"/>
      <w:kern w:val="0"/>
      <w:lang w:val="fr-FR" w:eastAsia="fr-FR"/>
      <w14:ligatures w14:val="none"/>
    </w:rPr>
  </w:style>
  <w:style w:type="numbering" w:customStyle="1" w:styleId="Aucuneliste1">
    <w:name w:val="Aucune liste1"/>
    <w:next w:val="Aucuneliste"/>
    <w:uiPriority w:val="99"/>
    <w:semiHidden/>
    <w:unhideWhenUsed/>
    <w:rsid w:val="0073535A"/>
  </w:style>
  <w:style w:type="character" w:customStyle="1" w:styleId="ParagraphedelisteCar">
    <w:name w:val="Paragraphe de liste Car"/>
    <w:aliases w:val="L_4 Car,Paragraphe de liste4 Car,List Paragraph1 Car,- List tir Car,References Car,texte Car,figure Car,Glossaire Car,liste de tableaux Car,Titre1 Car,Liste 1 Car,Numbered List Paragraph Car,ReferencesCxSpLast Car,Yalgo corps Car"/>
    <w:link w:val="Paragraphedeliste"/>
    <w:uiPriority w:val="34"/>
    <w:qFormat/>
    <w:locked/>
    <w:rsid w:val="0073535A"/>
    <w:rPr>
      <w:rFonts w:ascii="Calibri" w:eastAsia="Times New Roman" w:hAnsi="Calibri" w:cs="Times New Roman"/>
      <w:kern w:val="0"/>
      <w:lang w:val="fr-FR" w:eastAsia="fr-FR"/>
      <w14:ligatures w14:val="none"/>
    </w:rPr>
  </w:style>
  <w:style w:type="character" w:styleId="Lienhypertexte">
    <w:name w:val="Hyperlink"/>
    <w:basedOn w:val="Policepardfaut"/>
    <w:uiPriority w:val="99"/>
    <w:qFormat/>
    <w:rsid w:val="0073535A"/>
    <w:rPr>
      <w:color w:val="0000FF"/>
      <w:u w:val="single"/>
    </w:rPr>
  </w:style>
  <w:style w:type="paragraph" w:customStyle="1" w:styleId="Lgendetab">
    <w:name w:val="Légende tab"/>
    <w:basedOn w:val="Lgende"/>
    <w:qFormat/>
    <w:rsid w:val="0073535A"/>
    <w:pPr>
      <w:spacing w:after="120"/>
      <w:jc w:val="both"/>
    </w:pPr>
    <w:rPr>
      <w:rFonts w:asciiTheme="minorHAnsi" w:eastAsiaTheme="minorHAnsi" w:hAnsiTheme="minorHAnsi" w:cstheme="minorBidi"/>
      <w:b/>
      <w:bCs/>
      <w:i w:val="0"/>
      <w:iCs w:val="0"/>
      <w:color w:val="auto"/>
      <w:sz w:val="20"/>
      <w:szCs w:val="20"/>
      <w:lang w:eastAsia="en-US"/>
    </w:rPr>
  </w:style>
  <w:style w:type="paragraph" w:customStyle="1" w:styleId="Tableau">
    <w:name w:val="Tableau"/>
    <w:basedOn w:val="Tabledesillustrations"/>
    <w:link w:val="TableauCar"/>
    <w:autoRedefine/>
    <w:qFormat/>
    <w:rsid w:val="0073535A"/>
    <w:rPr>
      <w:rFonts w:asciiTheme="minorHAnsi" w:eastAsia="Times New Roman" w:hAnsiTheme="minorHAnsi" w:cs="Times New Roman"/>
      <w:kern w:val="0"/>
      <w:sz w:val="20"/>
      <w:lang w:val="fr-FR" w:eastAsia="fr-FR"/>
      <w14:ligatures w14:val="none"/>
    </w:rPr>
  </w:style>
  <w:style w:type="character" w:customStyle="1" w:styleId="googqs-tidbit1">
    <w:name w:val="goog_qs-tidbit1"/>
    <w:basedOn w:val="Policepardfaut"/>
    <w:rsid w:val="0073535A"/>
    <w:rPr>
      <w:vanish w:val="0"/>
      <w:webHidden w:val="0"/>
      <w:specVanish w:val="0"/>
    </w:rPr>
  </w:style>
  <w:style w:type="paragraph" w:styleId="Tabledesillustrations">
    <w:name w:val="table of figures"/>
    <w:basedOn w:val="Normal"/>
    <w:next w:val="Normal"/>
    <w:uiPriority w:val="99"/>
    <w:unhideWhenUsed/>
    <w:qFormat/>
    <w:rsid w:val="0073535A"/>
    <w:pPr>
      <w:spacing w:after="0" w:line="240" w:lineRule="auto"/>
    </w:pPr>
    <w:rPr>
      <w:rFonts w:ascii="Times New Roman" w:eastAsiaTheme="minorHAnsi" w:hAnsi="Times New Roman" w:cstheme="minorBidi"/>
      <w:kern w:val="2"/>
      <w:sz w:val="24"/>
      <w:lang w:val="en-US" w:eastAsia="en-US"/>
      <w14:ligatures w14:val="standardContextual"/>
    </w:rPr>
  </w:style>
  <w:style w:type="paragraph" w:styleId="Notedebasdepage">
    <w:name w:val="footnote text"/>
    <w:basedOn w:val="Normal"/>
    <w:link w:val="NotedebasdepageCar"/>
    <w:uiPriority w:val="99"/>
    <w:rsid w:val="0073535A"/>
    <w:pPr>
      <w:spacing w:before="120" w:after="0" w:line="240" w:lineRule="auto"/>
      <w:jc w:val="both"/>
    </w:pPr>
    <w:rPr>
      <w:rFonts w:ascii="Trebuchet MS" w:eastAsiaTheme="minorHAnsi" w:hAnsi="Trebuchet MS" w:cstheme="minorBidi"/>
      <w:sz w:val="20"/>
      <w:szCs w:val="20"/>
      <w:lang w:eastAsia="en-US"/>
    </w:rPr>
  </w:style>
  <w:style w:type="character" w:customStyle="1" w:styleId="NotedebasdepageCar">
    <w:name w:val="Note de bas de page Car"/>
    <w:basedOn w:val="Policepardfaut"/>
    <w:link w:val="Notedebasdepage"/>
    <w:uiPriority w:val="99"/>
    <w:rsid w:val="0073535A"/>
    <w:rPr>
      <w:rFonts w:ascii="Trebuchet MS" w:hAnsi="Trebuchet MS"/>
      <w:kern w:val="0"/>
      <w:sz w:val="20"/>
      <w:szCs w:val="20"/>
      <w:lang w:val="fr-FR"/>
      <w14:ligatures w14:val="none"/>
    </w:rPr>
  </w:style>
  <w:style w:type="paragraph" w:styleId="NormalWeb">
    <w:name w:val="Normal (Web)"/>
    <w:basedOn w:val="Normal"/>
    <w:uiPriority w:val="99"/>
    <w:unhideWhenUsed/>
    <w:rsid w:val="0073535A"/>
    <w:pPr>
      <w:spacing w:after="0" w:line="240" w:lineRule="auto"/>
    </w:pPr>
    <w:rPr>
      <w:rFonts w:ascii="Times New Roman" w:eastAsiaTheme="minorHAnsi" w:hAnsi="Times New Roman"/>
      <w:kern w:val="2"/>
      <w:sz w:val="24"/>
      <w:szCs w:val="24"/>
      <w:lang w:val="en-US" w:eastAsia="en-US"/>
      <w14:ligatures w14:val="standardContextual"/>
    </w:rPr>
  </w:style>
  <w:style w:type="paragraph" w:customStyle="1" w:styleId="Default">
    <w:name w:val="Default"/>
    <w:rsid w:val="0073535A"/>
    <w:pPr>
      <w:autoSpaceDE w:val="0"/>
      <w:autoSpaceDN w:val="0"/>
      <w:adjustRightInd w:val="0"/>
      <w:spacing w:after="0" w:line="240" w:lineRule="auto"/>
    </w:pPr>
    <w:rPr>
      <w:rFonts w:ascii="Times New Roman" w:hAnsi="Times New Roman" w:cs="Times New Roman"/>
      <w:color w:val="000000"/>
      <w:kern w:val="0"/>
      <w:sz w:val="24"/>
      <w:szCs w:val="24"/>
      <w:lang w:val="fr-FR"/>
    </w:rPr>
  </w:style>
  <w:style w:type="character" w:styleId="Marquedecommentaire">
    <w:name w:val="annotation reference"/>
    <w:basedOn w:val="Policepardfaut"/>
    <w:uiPriority w:val="99"/>
    <w:semiHidden/>
    <w:unhideWhenUsed/>
    <w:qFormat/>
    <w:rsid w:val="0073535A"/>
    <w:rPr>
      <w:sz w:val="16"/>
      <w:szCs w:val="16"/>
    </w:rPr>
  </w:style>
  <w:style w:type="paragraph" w:styleId="Commentaire">
    <w:name w:val="annotation text"/>
    <w:basedOn w:val="Normal"/>
    <w:link w:val="CommentaireCar"/>
    <w:uiPriority w:val="99"/>
    <w:unhideWhenUsed/>
    <w:rsid w:val="0073535A"/>
    <w:pPr>
      <w:spacing w:after="0" w:line="240" w:lineRule="auto"/>
    </w:pPr>
    <w:rPr>
      <w:rFonts w:ascii="Times New Roman" w:eastAsiaTheme="minorHAnsi" w:hAnsi="Times New Roman" w:cstheme="minorBidi"/>
      <w:kern w:val="2"/>
      <w:sz w:val="20"/>
      <w:szCs w:val="20"/>
      <w:lang w:val="en-US" w:eastAsia="en-US"/>
      <w14:ligatures w14:val="standardContextual"/>
    </w:rPr>
  </w:style>
  <w:style w:type="character" w:customStyle="1" w:styleId="CommentaireCar">
    <w:name w:val="Commentaire Car"/>
    <w:basedOn w:val="Policepardfaut"/>
    <w:link w:val="Commentaire"/>
    <w:uiPriority w:val="99"/>
    <w:qFormat/>
    <w:rsid w:val="0073535A"/>
    <w:rPr>
      <w:rFonts w:ascii="Times New Roman" w:hAnsi="Times New Roman"/>
      <w:sz w:val="20"/>
      <w:szCs w:val="20"/>
    </w:rPr>
  </w:style>
  <w:style w:type="paragraph" w:styleId="Objetducommentaire">
    <w:name w:val="annotation subject"/>
    <w:basedOn w:val="Commentaire"/>
    <w:next w:val="Commentaire"/>
    <w:link w:val="ObjetducommentaireCar"/>
    <w:uiPriority w:val="99"/>
    <w:semiHidden/>
    <w:unhideWhenUsed/>
    <w:rsid w:val="0073535A"/>
    <w:rPr>
      <w:b/>
      <w:bCs/>
    </w:rPr>
  </w:style>
  <w:style w:type="character" w:customStyle="1" w:styleId="ObjetducommentaireCar">
    <w:name w:val="Objet du commentaire Car"/>
    <w:basedOn w:val="CommentaireCar"/>
    <w:link w:val="Objetducommentaire"/>
    <w:uiPriority w:val="99"/>
    <w:semiHidden/>
    <w:qFormat/>
    <w:rsid w:val="0073535A"/>
    <w:rPr>
      <w:rFonts w:ascii="Times New Roman" w:hAnsi="Times New Roman"/>
      <w:b/>
      <w:bCs/>
      <w:sz w:val="20"/>
      <w:szCs w:val="20"/>
    </w:rPr>
  </w:style>
  <w:style w:type="paragraph" w:styleId="Titre">
    <w:name w:val="Title"/>
    <w:basedOn w:val="Normal"/>
    <w:next w:val="Normal"/>
    <w:link w:val="TitreCar"/>
    <w:uiPriority w:val="10"/>
    <w:qFormat/>
    <w:rsid w:val="0073535A"/>
    <w:pPr>
      <w:spacing w:after="0" w:line="240" w:lineRule="auto"/>
      <w:contextualSpacing/>
    </w:pPr>
    <w:rPr>
      <w:rFonts w:asciiTheme="majorHAnsi" w:eastAsiaTheme="majorEastAsia" w:hAnsiTheme="majorHAnsi" w:cstheme="majorBidi"/>
      <w:spacing w:val="-10"/>
      <w:kern w:val="28"/>
      <w:sz w:val="56"/>
      <w:szCs w:val="56"/>
      <w:lang w:val="en-US" w:eastAsia="en-US"/>
      <w14:ligatures w14:val="standardContextual"/>
    </w:rPr>
  </w:style>
  <w:style w:type="character" w:customStyle="1" w:styleId="TitreCar">
    <w:name w:val="Titre Car"/>
    <w:basedOn w:val="Policepardfaut"/>
    <w:link w:val="Titre"/>
    <w:uiPriority w:val="10"/>
    <w:qFormat/>
    <w:rsid w:val="0073535A"/>
    <w:rPr>
      <w:rFonts w:asciiTheme="majorHAnsi" w:eastAsiaTheme="majorEastAsia" w:hAnsiTheme="majorHAnsi" w:cstheme="majorBidi"/>
      <w:spacing w:val="-10"/>
      <w:kern w:val="28"/>
      <w:sz w:val="56"/>
      <w:szCs w:val="56"/>
    </w:rPr>
  </w:style>
  <w:style w:type="character" w:styleId="Mentionnonrsolue">
    <w:name w:val="Unresolved Mention"/>
    <w:basedOn w:val="Policepardfaut"/>
    <w:uiPriority w:val="99"/>
    <w:semiHidden/>
    <w:unhideWhenUsed/>
    <w:rsid w:val="0073535A"/>
    <w:rPr>
      <w:color w:val="605E5C"/>
      <w:shd w:val="clear" w:color="auto" w:fill="E1DFDD"/>
    </w:rPr>
  </w:style>
  <w:style w:type="paragraph" w:styleId="TM1">
    <w:name w:val="toc 1"/>
    <w:basedOn w:val="Normal"/>
    <w:next w:val="Normal"/>
    <w:autoRedefine/>
    <w:uiPriority w:val="39"/>
    <w:unhideWhenUsed/>
    <w:qFormat/>
    <w:rsid w:val="0073535A"/>
    <w:pPr>
      <w:spacing w:before="120" w:after="120"/>
    </w:pPr>
    <w:rPr>
      <w:rFonts w:asciiTheme="minorHAnsi" w:hAnsiTheme="minorHAnsi" w:cstheme="minorHAnsi"/>
      <w:b/>
      <w:bCs/>
      <w:caps/>
      <w:sz w:val="20"/>
      <w:szCs w:val="20"/>
    </w:rPr>
  </w:style>
  <w:style w:type="paragraph" w:styleId="TM2">
    <w:name w:val="toc 2"/>
    <w:basedOn w:val="Normal"/>
    <w:next w:val="Normal"/>
    <w:autoRedefine/>
    <w:uiPriority w:val="39"/>
    <w:unhideWhenUsed/>
    <w:qFormat/>
    <w:rsid w:val="0073535A"/>
    <w:pPr>
      <w:spacing w:after="0"/>
      <w:ind w:left="220"/>
    </w:pPr>
    <w:rPr>
      <w:rFonts w:asciiTheme="minorHAnsi" w:hAnsiTheme="minorHAnsi" w:cstheme="minorHAnsi"/>
      <w:smallCaps/>
      <w:sz w:val="20"/>
      <w:szCs w:val="20"/>
    </w:rPr>
  </w:style>
  <w:style w:type="paragraph" w:styleId="TM3">
    <w:name w:val="toc 3"/>
    <w:basedOn w:val="Normal"/>
    <w:next w:val="Normal"/>
    <w:autoRedefine/>
    <w:uiPriority w:val="39"/>
    <w:unhideWhenUsed/>
    <w:qFormat/>
    <w:rsid w:val="0073535A"/>
    <w:pPr>
      <w:spacing w:after="0"/>
      <w:ind w:left="440"/>
    </w:pPr>
    <w:rPr>
      <w:rFonts w:asciiTheme="minorHAnsi" w:hAnsiTheme="minorHAnsi" w:cstheme="minorHAnsi"/>
      <w:i/>
      <w:iCs/>
      <w:sz w:val="20"/>
      <w:szCs w:val="20"/>
    </w:rPr>
  </w:style>
  <w:style w:type="paragraph" w:styleId="Corpsdetexte">
    <w:name w:val="Body Text"/>
    <w:basedOn w:val="Normal"/>
    <w:link w:val="CorpsdetexteCar"/>
    <w:unhideWhenUsed/>
    <w:rsid w:val="00ED7CDA"/>
    <w:pPr>
      <w:spacing w:after="120"/>
    </w:pPr>
  </w:style>
  <w:style w:type="character" w:customStyle="1" w:styleId="CorpsdetexteCar">
    <w:name w:val="Corps de texte Car"/>
    <w:basedOn w:val="Policepardfaut"/>
    <w:link w:val="Corpsdetexte"/>
    <w:rsid w:val="00ED7CDA"/>
    <w:rPr>
      <w:rFonts w:ascii="Calibri" w:eastAsia="Times New Roman" w:hAnsi="Calibri" w:cs="Times New Roman"/>
      <w:kern w:val="0"/>
      <w:lang w:val="fr-FR" w:eastAsia="fr-FR"/>
      <w14:ligatures w14:val="none"/>
    </w:rPr>
  </w:style>
  <w:style w:type="table" w:customStyle="1" w:styleId="Grilledutableau1">
    <w:name w:val="Grille du tableau1"/>
    <w:basedOn w:val="TableauNormal"/>
    <w:next w:val="Grilledutableau"/>
    <w:uiPriority w:val="59"/>
    <w:qFormat/>
    <w:rsid w:val="00ED7CDA"/>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ppelnotedebasdep">
    <w:name w:val="footnote reference"/>
    <w:basedOn w:val="Policepardfaut"/>
    <w:uiPriority w:val="99"/>
    <w:semiHidden/>
    <w:unhideWhenUsed/>
    <w:rsid w:val="004122D6"/>
    <w:rPr>
      <w:vertAlign w:val="superscript"/>
    </w:rPr>
  </w:style>
  <w:style w:type="paragraph" w:customStyle="1" w:styleId="Table">
    <w:name w:val="Table"/>
    <w:basedOn w:val="Normal"/>
    <w:rsid w:val="006F72B3"/>
    <w:pPr>
      <w:spacing w:before="60" w:after="60" w:line="220" w:lineRule="atLeast"/>
    </w:pPr>
    <w:rPr>
      <w:rFonts w:ascii="Times New Roman" w:hAnsi="Times New Roman"/>
      <w:sz w:val="20"/>
      <w:szCs w:val="20"/>
      <w:lang w:val="fr-CA" w:eastAsia="da-DK"/>
    </w:rPr>
  </w:style>
  <w:style w:type="numbering" w:customStyle="1" w:styleId="Aucuneliste2">
    <w:name w:val="Aucune liste2"/>
    <w:next w:val="Aucuneliste"/>
    <w:uiPriority w:val="99"/>
    <w:semiHidden/>
    <w:unhideWhenUsed/>
    <w:rsid w:val="0005266E"/>
  </w:style>
  <w:style w:type="paragraph" w:customStyle="1" w:styleId="Car">
    <w:name w:val="Car"/>
    <w:basedOn w:val="Normal"/>
    <w:semiHidden/>
    <w:rsid w:val="0005266E"/>
    <w:pPr>
      <w:spacing w:after="160" w:line="240" w:lineRule="exact"/>
    </w:pPr>
    <w:rPr>
      <w:rFonts w:ascii="Arial" w:hAnsi="Arial" w:cs="Arial"/>
      <w:b/>
      <w:bCs/>
      <w:sz w:val="20"/>
      <w:szCs w:val="20"/>
      <w:lang w:val="en-US" w:eastAsia="en-US"/>
    </w:rPr>
  </w:style>
  <w:style w:type="paragraph" w:customStyle="1" w:styleId="En-ttedetabledesmatires1">
    <w:name w:val="En-tête de table des matières1"/>
    <w:basedOn w:val="Titre1"/>
    <w:next w:val="Normal"/>
    <w:uiPriority w:val="39"/>
    <w:unhideWhenUsed/>
    <w:qFormat/>
    <w:rsid w:val="0005266E"/>
    <w:pPr>
      <w:numPr>
        <w:numId w:val="0"/>
      </w:numPr>
      <w:spacing w:line="259" w:lineRule="auto"/>
      <w:outlineLvl w:val="9"/>
    </w:pPr>
    <w:rPr>
      <w:rFonts w:ascii="Calibri Light" w:hAnsi="Calibri Light"/>
      <w:b w:val="0"/>
      <w:color w:val="2F5496"/>
      <w:sz w:val="32"/>
    </w:rPr>
  </w:style>
  <w:style w:type="character" w:customStyle="1" w:styleId="LgendeCar">
    <w:name w:val="Légende Car"/>
    <w:aliases w:val="Caption Char2 Car,Caption Char Char1 Car,Caption Char1 Char Char Car,Caption Char Char Char Char Car,Caption Char1 Char1 Car,Caption Char Char Char1 Car,таблица Char Car,Caption Char2 Char Car,Caption Char1 Char Char Char Char Char Car,C Car"/>
    <w:link w:val="Lgende"/>
    <w:uiPriority w:val="35"/>
    <w:rsid w:val="0005266E"/>
    <w:rPr>
      <w:rFonts w:ascii="Calibri" w:eastAsia="Times New Roman" w:hAnsi="Calibri" w:cs="Times New Roman"/>
      <w:i/>
      <w:iCs/>
      <w:color w:val="44546A" w:themeColor="text2"/>
      <w:kern w:val="0"/>
      <w:sz w:val="18"/>
      <w:szCs w:val="18"/>
      <w:lang w:val="fr-FR" w:eastAsia="fr-FR"/>
      <w14:ligatures w14:val="none"/>
    </w:rPr>
  </w:style>
  <w:style w:type="table" w:customStyle="1" w:styleId="TableauGrille4-Accentuation11">
    <w:name w:val="Tableau Grille 4 - Accentuation 11"/>
    <w:basedOn w:val="TableauNormal"/>
    <w:next w:val="TableauGrille4-Accentuation1"/>
    <w:uiPriority w:val="49"/>
    <w:rsid w:val="0005266E"/>
    <w:pPr>
      <w:spacing w:after="0" w:line="240" w:lineRule="auto"/>
    </w:pPr>
    <w:rPr>
      <w:lang w:val="fr-FR"/>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eauGrille1Clair1">
    <w:name w:val="Tableau Grille 1 Clair1"/>
    <w:basedOn w:val="TableauNormal"/>
    <w:next w:val="TableauGrille1Clair"/>
    <w:uiPriority w:val="46"/>
    <w:rsid w:val="0005266E"/>
    <w:pPr>
      <w:spacing w:after="0" w:line="240" w:lineRule="auto"/>
    </w:pPr>
    <w:rPr>
      <w:rFonts w:eastAsia="Times New Roman"/>
      <w:kern w:val="0"/>
      <w:lang w:val="fr-FR"/>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lledutableau2">
    <w:name w:val="Grille du tableau2"/>
    <w:basedOn w:val="TableauNormal"/>
    <w:next w:val="Grilledutableau"/>
    <w:uiPriority w:val="59"/>
    <w:rsid w:val="0005266E"/>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simple31">
    <w:name w:val="Tableau simple 31"/>
    <w:basedOn w:val="TableauNormal"/>
    <w:uiPriority w:val="43"/>
    <w:rsid w:val="0005266E"/>
    <w:pPr>
      <w:spacing w:after="0" w:line="240" w:lineRule="auto"/>
    </w:pPr>
    <w:rPr>
      <w:kern w:val="0"/>
      <w:lang w:val="fr-BE"/>
      <w14:ligatures w14:val="none"/>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customStyle="1" w:styleId="CorpsdetexteCar2">
    <w:name w:val="Corps de texte Car2"/>
    <w:aliases w:val="Corps de texte Car Car,Corps de texte Car1 Car Car,Corps de texte Car Car Car Car,Body Text Char Car Car Car Car,Body Text Char3 Char Car Car Car Car,Body Text Char Char3 Char Car Car Car Car,Corps de texte Car1 Car1,Body Car,b Car"/>
    <w:basedOn w:val="Policepardfaut"/>
    <w:locked/>
    <w:rsid w:val="0005266E"/>
    <w:rPr>
      <w:sz w:val="23"/>
      <w:lang w:val="fr-FR" w:eastAsia="da-DK" w:bidi="ar-SA"/>
    </w:rPr>
  </w:style>
  <w:style w:type="table" w:styleId="TableauGrille4-Accentuation1">
    <w:name w:val="Grid Table 4 Accent 1"/>
    <w:basedOn w:val="TableauNormal"/>
    <w:uiPriority w:val="49"/>
    <w:rsid w:val="0005266E"/>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eauGrille1Clair">
    <w:name w:val="Grid Table 1 Light"/>
    <w:basedOn w:val="TableauNormal"/>
    <w:uiPriority w:val="46"/>
    <w:rsid w:val="0005266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lledutableau3">
    <w:name w:val="Grille du tableau3"/>
    <w:basedOn w:val="TableauNormal"/>
    <w:next w:val="Grilledutableau"/>
    <w:uiPriority w:val="59"/>
    <w:rsid w:val="00F57A5C"/>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3">
    <w:name w:val="Aucune liste3"/>
    <w:next w:val="Aucuneliste"/>
    <w:uiPriority w:val="99"/>
    <w:semiHidden/>
    <w:unhideWhenUsed/>
    <w:rsid w:val="00D82C73"/>
  </w:style>
  <w:style w:type="character" w:customStyle="1" w:styleId="hgkelc">
    <w:name w:val="hgkelc"/>
    <w:basedOn w:val="Policepardfaut"/>
    <w:rsid w:val="00D82C73"/>
  </w:style>
  <w:style w:type="character" w:customStyle="1" w:styleId="kx21rb">
    <w:name w:val="kx21rb"/>
    <w:basedOn w:val="Policepardfaut"/>
    <w:rsid w:val="00D82C73"/>
  </w:style>
  <w:style w:type="table" w:customStyle="1" w:styleId="Grilledutableau4">
    <w:name w:val="Grille du tableau4"/>
    <w:basedOn w:val="TableauNormal"/>
    <w:next w:val="Grilledutableau"/>
    <w:uiPriority w:val="39"/>
    <w:rsid w:val="00D82C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simple21">
    <w:name w:val="Tableau simple 21"/>
    <w:basedOn w:val="TableauNormal"/>
    <w:next w:val="Tableausimple2"/>
    <w:uiPriority w:val="42"/>
    <w:rsid w:val="00D82C73"/>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Sansinterligne1">
    <w:name w:val="Sans interligne1"/>
    <w:next w:val="Sansinterligne"/>
    <w:uiPriority w:val="1"/>
    <w:qFormat/>
    <w:rsid w:val="00D82C73"/>
    <w:pPr>
      <w:spacing w:after="0" w:line="240" w:lineRule="auto"/>
    </w:pPr>
  </w:style>
  <w:style w:type="character" w:styleId="lev">
    <w:name w:val="Strong"/>
    <w:basedOn w:val="Policepardfaut"/>
    <w:uiPriority w:val="22"/>
    <w:qFormat/>
    <w:rsid w:val="00D82C73"/>
    <w:rPr>
      <w:b/>
      <w:bCs/>
    </w:rPr>
  </w:style>
  <w:style w:type="character" w:styleId="Accentuation">
    <w:name w:val="Emphasis"/>
    <w:basedOn w:val="Policepardfaut"/>
    <w:uiPriority w:val="20"/>
    <w:qFormat/>
    <w:rsid w:val="00D82C73"/>
    <w:rPr>
      <w:i/>
      <w:iCs/>
    </w:rPr>
  </w:style>
  <w:style w:type="paragraph" w:customStyle="1" w:styleId="En-ttedetabledesmatires2">
    <w:name w:val="En-tête de table des matières2"/>
    <w:basedOn w:val="Titre1"/>
    <w:next w:val="Normal"/>
    <w:uiPriority w:val="39"/>
    <w:unhideWhenUsed/>
    <w:qFormat/>
    <w:rsid w:val="00D82C73"/>
    <w:pPr>
      <w:numPr>
        <w:numId w:val="0"/>
      </w:numPr>
      <w:spacing w:before="480" w:line="276" w:lineRule="auto"/>
      <w:outlineLvl w:val="9"/>
    </w:pPr>
    <w:rPr>
      <w:rFonts w:eastAsia="Calibri" w:cs="Times New Roman"/>
      <w:b w:val="0"/>
      <w:noProof/>
      <w:sz w:val="28"/>
      <w:szCs w:val="28"/>
    </w:rPr>
  </w:style>
  <w:style w:type="table" w:customStyle="1" w:styleId="Tableausimple41">
    <w:name w:val="Tableau simple 41"/>
    <w:basedOn w:val="TableauNormal"/>
    <w:next w:val="Tableausimple4"/>
    <w:uiPriority w:val="44"/>
    <w:rsid w:val="00D82C73"/>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Ombrageclair1">
    <w:name w:val="Ombrage clair1"/>
    <w:basedOn w:val="TableauNormal"/>
    <w:uiPriority w:val="60"/>
    <w:rsid w:val="00D82C73"/>
    <w:pPr>
      <w:spacing w:after="0" w:line="240" w:lineRule="auto"/>
    </w:pPr>
    <w:rPr>
      <w:rFonts w:eastAsia="Times New Roman"/>
      <w:color w:val="000000"/>
      <w:kern w:val="0"/>
      <w:sz w:val="21"/>
      <w:szCs w:val="21"/>
      <w:lang w:val="fr-FR"/>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auGrille1Clair-Accentuation61">
    <w:name w:val="Tableau Grille 1 Clair - Accentuation 61"/>
    <w:basedOn w:val="TableauNormal"/>
    <w:next w:val="TableauGrille1Clair-Accentuation6"/>
    <w:uiPriority w:val="46"/>
    <w:rsid w:val="00D82C73"/>
    <w:pPr>
      <w:spacing w:after="0" w:line="240" w:lineRule="auto"/>
    </w:p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TableauGrille2-Accentuation41">
    <w:name w:val="Tableau Grille 2 - Accentuation 41"/>
    <w:basedOn w:val="TableauNormal"/>
    <w:next w:val="TableauGrille2-Accentuation4"/>
    <w:uiPriority w:val="47"/>
    <w:rsid w:val="00D82C73"/>
    <w:pPr>
      <w:spacing w:after="0" w:line="240" w:lineRule="auto"/>
    </w:pPr>
    <w:tblPr>
      <w:tblStyleRowBandSize w:val="1"/>
      <w:tblStyleColBandSize w:val="1"/>
      <w:tblBorders>
        <w:top w:val="single" w:sz="2" w:space="0" w:color="FFD966"/>
        <w:bottom w:val="single" w:sz="2" w:space="0" w:color="FFD966"/>
        <w:insideH w:val="single" w:sz="2" w:space="0" w:color="FFD966"/>
        <w:insideV w:val="single" w:sz="2" w:space="0" w:color="FFD966"/>
      </w:tblBorders>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TableauGrille1Clair-Accentuation31">
    <w:name w:val="Tableau Grille 1 Clair - Accentuation 31"/>
    <w:basedOn w:val="TableauNormal"/>
    <w:next w:val="TableauGrille1Clair-Accentuation3"/>
    <w:uiPriority w:val="46"/>
    <w:rsid w:val="00D82C73"/>
    <w:pPr>
      <w:spacing w:after="0" w:line="240" w:lineRule="auto"/>
    </w:p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paragraph" w:customStyle="1" w:styleId="Photo">
    <w:name w:val="Photo"/>
    <w:basedOn w:val="Tableau"/>
    <w:link w:val="PhotoCar"/>
    <w:qFormat/>
    <w:rsid w:val="00D82C73"/>
    <w:pPr>
      <w:spacing w:line="360" w:lineRule="auto"/>
      <w:jc w:val="both"/>
    </w:pPr>
    <w:rPr>
      <w:rFonts w:eastAsia="Calibri"/>
      <w:shd w:val="clear" w:color="auto" w:fill="FFFFFF"/>
    </w:rPr>
  </w:style>
  <w:style w:type="character" w:customStyle="1" w:styleId="TableauCar">
    <w:name w:val="Tableau Car"/>
    <w:basedOn w:val="Policepardfaut"/>
    <w:link w:val="Tableau"/>
    <w:rsid w:val="00D82C73"/>
    <w:rPr>
      <w:rFonts w:eastAsia="Times New Roman" w:cs="Times New Roman"/>
      <w:kern w:val="0"/>
      <w:sz w:val="20"/>
      <w:lang w:val="fr-FR" w:eastAsia="fr-FR"/>
      <w14:ligatures w14:val="none"/>
    </w:rPr>
  </w:style>
  <w:style w:type="paragraph" w:customStyle="1" w:styleId="Figure">
    <w:name w:val="Figure"/>
    <w:basedOn w:val="Photo"/>
    <w:link w:val="FigureCar"/>
    <w:qFormat/>
    <w:rsid w:val="00D82C73"/>
    <w:rPr>
      <w:rFonts w:ascii="Times New Roman" w:hAnsi="Times New Roman"/>
      <w:sz w:val="24"/>
      <w:szCs w:val="24"/>
    </w:rPr>
  </w:style>
  <w:style w:type="character" w:customStyle="1" w:styleId="PhotoCar">
    <w:name w:val="Photo Car"/>
    <w:basedOn w:val="TableauCar"/>
    <w:link w:val="Photo"/>
    <w:rsid w:val="00D82C73"/>
    <w:rPr>
      <w:rFonts w:eastAsia="Calibri" w:cs="Times New Roman"/>
      <w:kern w:val="0"/>
      <w:sz w:val="20"/>
      <w:lang w:val="fr-FR" w:eastAsia="fr-FR"/>
      <w14:ligatures w14:val="none"/>
    </w:rPr>
  </w:style>
  <w:style w:type="paragraph" w:customStyle="1" w:styleId="StyleTableau">
    <w:name w:val="Style Tableau"/>
    <w:basedOn w:val="Tableau"/>
    <w:next w:val="Tableau"/>
    <w:rsid w:val="00D82C73"/>
    <w:pPr>
      <w:spacing w:line="360" w:lineRule="auto"/>
      <w:jc w:val="both"/>
    </w:pPr>
    <w:rPr>
      <w:rFonts w:ascii="Times New Roman" w:eastAsia="Calibri" w:hAnsi="Times New Roman"/>
      <w:bCs/>
      <w:kern w:val="2"/>
      <w:sz w:val="24"/>
      <w:szCs w:val="24"/>
      <w:shd w:val="clear" w:color="auto" w:fill="FFFFFF"/>
      <w:lang w:eastAsia="en-US"/>
      <w14:ligatures w14:val="standardContextual"/>
    </w:rPr>
  </w:style>
  <w:style w:type="character" w:customStyle="1" w:styleId="FigureCar">
    <w:name w:val="Figure Car"/>
    <w:basedOn w:val="PhotoCar"/>
    <w:link w:val="Figure"/>
    <w:rsid w:val="00D82C73"/>
    <w:rPr>
      <w:rFonts w:ascii="Times New Roman" w:eastAsia="Calibri" w:hAnsi="Times New Roman" w:cs="Times New Roman"/>
      <w:kern w:val="0"/>
      <w:sz w:val="24"/>
      <w:szCs w:val="24"/>
      <w:lang w:val="fr-FR" w:eastAsia="fr-FR"/>
      <w14:ligatures w14:val="none"/>
    </w:rPr>
  </w:style>
  <w:style w:type="table" w:customStyle="1" w:styleId="Grilledutableau11">
    <w:name w:val="Grille du tableau11"/>
    <w:basedOn w:val="TableauNormal"/>
    <w:next w:val="Grilledutableau"/>
    <w:uiPriority w:val="59"/>
    <w:rsid w:val="00D82C73"/>
    <w:pPr>
      <w:spacing w:after="0" w:line="240" w:lineRule="auto"/>
    </w:pPr>
    <w:rPr>
      <w:kern w:val="0"/>
      <w:lang w:val="fr-F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M41">
    <w:name w:val="TM 41"/>
    <w:basedOn w:val="Normal"/>
    <w:next w:val="Normal"/>
    <w:autoRedefine/>
    <w:uiPriority w:val="39"/>
    <w:unhideWhenUsed/>
    <w:rsid w:val="00D82C73"/>
    <w:pPr>
      <w:spacing w:after="100" w:line="259" w:lineRule="auto"/>
      <w:ind w:left="660"/>
    </w:pPr>
    <w:rPr>
      <w:rFonts w:eastAsia="Calibri"/>
      <w:kern w:val="2"/>
      <w:lang w:val="en-US" w:eastAsia="en-US"/>
      <w14:ligatures w14:val="standardContextual"/>
    </w:rPr>
  </w:style>
  <w:style w:type="table" w:styleId="Tableausimple2">
    <w:name w:val="Plain Table 2"/>
    <w:basedOn w:val="TableauNormal"/>
    <w:uiPriority w:val="42"/>
    <w:rsid w:val="00D82C7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Sansinterligne">
    <w:name w:val="No Spacing"/>
    <w:link w:val="SansinterligneCar"/>
    <w:uiPriority w:val="1"/>
    <w:qFormat/>
    <w:rsid w:val="00D82C73"/>
    <w:pPr>
      <w:spacing w:after="0" w:line="240" w:lineRule="auto"/>
    </w:pPr>
    <w:rPr>
      <w:rFonts w:ascii="Calibri" w:eastAsia="Times New Roman" w:hAnsi="Calibri" w:cs="Times New Roman"/>
      <w:kern w:val="0"/>
      <w:lang w:val="fr-FR" w:eastAsia="fr-FR"/>
      <w14:ligatures w14:val="none"/>
    </w:rPr>
  </w:style>
  <w:style w:type="table" w:styleId="Tableausimple4">
    <w:name w:val="Plain Table 4"/>
    <w:basedOn w:val="TableauNormal"/>
    <w:uiPriority w:val="44"/>
    <w:rsid w:val="00D82C73"/>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auGrille1Clair-Accentuation6">
    <w:name w:val="Grid Table 1 Light Accent 6"/>
    <w:basedOn w:val="TableauNormal"/>
    <w:uiPriority w:val="46"/>
    <w:rsid w:val="00D82C73"/>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leauGrille2-Accentuation4">
    <w:name w:val="Grid Table 2 Accent 4"/>
    <w:basedOn w:val="TableauNormal"/>
    <w:uiPriority w:val="47"/>
    <w:rsid w:val="00D82C73"/>
    <w:pPr>
      <w:spacing w:after="0"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eauGrille1Clair-Accentuation3">
    <w:name w:val="Grid Table 1 Light Accent 3"/>
    <w:basedOn w:val="TableauNormal"/>
    <w:uiPriority w:val="46"/>
    <w:rsid w:val="00D82C73"/>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lledutableau5">
    <w:name w:val="Grille du tableau5"/>
    <w:basedOn w:val="TableauNormal"/>
    <w:next w:val="Grilledutableau"/>
    <w:uiPriority w:val="59"/>
    <w:qFormat/>
    <w:rsid w:val="0010438E"/>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
    <w:name w:val="Grille du tableau6"/>
    <w:basedOn w:val="TableauNormal"/>
    <w:next w:val="Grilledutableau"/>
    <w:uiPriority w:val="59"/>
    <w:qFormat/>
    <w:rsid w:val="00CB4C35"/>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CB4C35"/>
    <w:pPr>
      <w:spacing w:after="0" w:line="240" w:lineRule="auto"/>
    </w:pPr>
    <w:rPr>
      <w:rFonts w:eastAsia="Times New Roman"/>
      <w:kern w:val="0"/>
      <w:lang w:val="fr-FR" w:eastAsia="fr-FR"/>
      <w14:ligatures w14:val="none"/>
    </w:rPr>
    <w:tblPr>
      <w:tblCellMar>
        <w:top w:w="0" w:type="dxa"/>
        <w:left w:w="0" w:type="dxa"/>
        <w:bottom w:w="0" w:type="dxa"/>
        <w:right w:w="0" w:type="dxa"/>
      </w:tblCellMar>
    </w:tblPr>
  </w:style>
  <w:style w:type="table" w:customStyle="1" w:styleId="Grilledutableau7">
    <w:name w:val="Grille du tableau7"/>
    <w:basedOn w:val="TableauNormal"/>
    <w:next w:val="Grilledutableau"/>
    <w:uiPriority w:val="59"/>
    <w:qFormat/>
    <w:rsid w:val="007C3497"/>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7C3497"/>
    <w:pPr>
      <w:spacing w:after="0" w:line="240" w:lineRule="auto"/>
    </w:pPr>
    <w:rPr>
      <w:rFonts w:eastAsia="Times New Roman"/>
      <w:kern w:val="0"/>
      <w:lang w:val="fr-FR" w:eastAsia="fr-FR"/>
      <w14:ligatures w14:val="none"/>
    </w:rPr>
    <w:tblPr>
      <w:tblCellMar>
        <w:top w:w="0" w:type="dxa"/>
        <w:left w:w="0" w:type="dxa"/>
        <w:bottom w:w="0" w:type="dxa"/>
        <w:right w:w="0" w:type="dxa"/>
      </w:tblCellMar>
    </w:tblPr>
  </w:style>
  <w:style w:type="table" w:customStyle="1" w:styleId="Grilledutableau8">
    <w:name w:val="Grille du tableau8"/>
    <w:basedOn w:val="TableauNormal"/>
    <w:next w:val="Grilledutableau"/>
    <w:uiPriority w:val="59"/>
    <w:qFormat/>
    <w:rsid w:val="008811D7"/>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4-Accentuation31">
    <w:name w:val="Tableau Grille 4 - Accentuation 31"/>
    <w:basedOn w:val="TableauNormal"/>
    <w:next w:val="TableauGrille4-Accentuation3"/>
    <w:uiPriority w:val="49"/>
    <w:rsid w:val="008811D7"/>
    <w:pPr>
      <w:spacing w:after="0" w:line="240" w:lineRule="auto"/>
    </w:pPr>
    <w:rPr>
      <w:kern w:val="0"/>
      <w:lang w:val="fr-FR"/>
      <w14:ligatures w14:val="none"/>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TableauGrille4-Accentuation3">
    <w:name w:val="Grid Table 4 Accent 3"/>
    <w:basedOn w:val="TableauNormal"/>
    <w:uiPriority w:val="49"/>
    <w:rsid w:val="008811D7"/>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lledutableau9">
    <w:name w:val="Grille du tableau9"/>
    <w:basedOn w:val="TableauNormal"/>
    <w:next w:val="Grilledutableau"/>
    <w:uiPriority w:val="59"/>
    <w:qFormat/>
    <w:rsid w:val="007E6534"/>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0">
    <w:name w:val="Grille du tableau10"/>
    <w:basedOn w:val="TableauNormal"/>
    <w:next w:val="Grilledutableau"/>
    <w:uiPriority w:val="59"/>
    <w:qFormat/>
    <w:rsid w:val="00302033"/>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ansinterligneCar">
    <w:name w:val="Sans interligne Car"/>
    <w:basedOn w:val="Policepardfaut"/>
    <w:link w:val="Sansinterligne"/>
    <w:uiPriority w:val="1"/>
    <w:qFormat/>
    <w:rsid w:val="00DE49A8"/>
    <w:rPr>
      <w:rFonts w:ascii="Calibri" w:eastAsia="Times New Roman" w:hAnsi="Calibri" w:cs="Times New Roman"/>
      <w:kern w:val="0"/>
      <w:lang w:val="fr-FR" w:eastAsia="fr-FR"/>
      <w14:ligatures w14:val="none"/>
    </w:rPr>
  </w:style>
  <w:style w:type="numbering" w:customStyle="1" w:styleId="Aucuneliste4">
    <w:name w:val="Aucune liste4"/>
    <w:next w:val="Aucuneliste"/>
    <w:uiPriority w:val="99"/>
    <w:semiHidden/>
    <w:unhideWhenUsed/>
    <w:rsid w:val="00606C71"/>
  </w:style>
  <w:style w:type="character" w:customStyle="1" w:styleId="Style3">
    <w:name w:val="Style3"/>
    <w:uiPriority w:val="1"/>
    <w:qFormat/>
    <w:rsid w:val="00606C71"/>
    <w:rPr>
      <w:rFonts w:ascii="Times New Roman" w:eastAsia="Times New Roman" w:hAnsi="Times New Roman" w:cs="Times New Roman"/>
      <w:b/>
      <w:bCs/>
      <w:color w:val="002060"/>
      <w:kern w:val="0"/>
      <w:sz w:val="24"/>
      <w:szCs w:val="24"/>
      <w:lang w:eastAsia="fr-FR"/>
      <w14:ligatures w14:val="none"/>
    </w:rPr>
  </w:style>
  <w:style w:type="table" w:customStyle="1" w:styleId="TableauGrille41">
    <w:name w:val="Tableau Grille 41"/>
    <w:basedOn w:val="TableauNormal"/>
    <w:uiPriority w:val="49"/>
    <w:qFormat/>
    <w:rsid w:val="00606C71"/>
    <w:pPr>
      <w:spacing w:after="0" w:line="240" w:lineRule="auto"/>
    </w:pPr>
    <w:rPr>
      <w:rFonts w:ascii="Times New Roman" w:eastAsia="SimSun" w:hAnsi="Times New Roman" w:cs="Times New Roman"/>
      <w:kern w:val="0"/>
      <w:sz w:val="20"/>
      <w:szCs w:val="20"/>
      <w:lang w:val="fr-FR" w:eastAsia="fr-FR"/>
      <w14:ligatures w14:val="none"/>
    </w:rPr>
    <w:tblPr>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Lienhypertextesuivivisit">
    <w:name w:val="FollowedHyperlink"/>
    <w:basedOn w:val="Policepardfaut"/>
    <w:uiPriority w:val="99"/>
    <w:semiHidden/>
    <w:unhideWhenUsed/>
    <w:qFormat/>
    <w:rsid w:val="00606C71"/>
    <w:rPr>
      <w:color w:val="954F72" w:themeColor="followedHyperlink"/>
      <w:u w:val="single"/>
    </w:rPr>
  </w:style>
  <w:style w:type="paragraph" w:styleId="Sous-titre">
    <w:name w:val="Subtitle"/>
    <w:basedOn w:val="Normal"/>
    <w:next w:val="Normal"/>
    <w:link w:val="Sous-titreCar"/>
    <w:uiPriority w:val="11"/>
    <w:qFormat/>
    <w:rsid w:val="00606C71"/>
    <w:pPr>
      <w:spacing w:after="160" w:line="259" w:lineRule="auto"/>
    </w:pPr>
    <w:rPr>
      <w:rFonts w:asciiTheme="minorHAnsi" w:eastAsiaTheme="majorEastAsia" w:hAnsiTheme="minorHAnsi" w:cstheme="majorBidi"/>
      <w:color w:val="595959" w:themeColor="text1" w:themeTint="A6"/>
      <w:spacing w:val="15"/>
      <w:kern w:val="2"/>
      <w:sz w:val="28"/>
      <w:szCs w:val="28"/>
      <w:lang w:eastAsia="en-US"/>
      <w14:ligatures w14:val="standardContextual"/>
    </w:rPr>
  </w:style>
  <w:style w:type="character" w:customStyle="1" w:styleId="Sous-titreCar">
    <w:name w:val="Sous-titre Car"/>
    <w:basedOn w:val="Policepardfaut"/>
    <w:link w:val="Sous-titre"/>
    <w:uiPriority w:val="11"/>
    <w:qFormat/>
    <w:rsid w:val="00606C71"/>
    <w:rPr>
      <w:rFonts w:eastAsiaTheme="majorEastAsia" w:cstheme="majorBidi"/>
      <w:color w:val="595959" w:themeColor="text1" w:themeTint="A6"/>
      <w:spacing w:val="15"/>
      <w:sz w:val="28"/>
      <w:szCs w:val="28"/>
      <w:lang w:val="fr-FR"/>
    </w:rPr>
  </w:style>
  <w:style w:type="paragraph" w:styleId="Citation">
    <w:name w:val="Quote"/>
    <w:basedOn w:val="Normal"/>
    <w:next w:val="Normal"/>
    <w:link w:val="CitationCar"/>
    <w:uiPriority w:val="29"/>
    <w:qFormat/>
    <w:rsid w:val="00606C71"/>
    <w:pPr>
      <w:spacing w:before="160" w:after="160" w:line="259" w:lineRule="auto"/>
      <w:jc w:val="center"/>
    </w:pPr>
    <w:rPr>
      <w:rFonts w:asciiTheme="minorHAnsi" w:eastAsiaTheme="minorHAnsi" w:hAnsiTheme="minorHAnsi" w:cstheme="minorBidi"/>
      <w:i/>
      <w:iCs/>
      <w:color w:val="404040" w:themeColor="text1" w:themeTint="BF"/>
      <w:kern w:val="2"/>
      <w:lang w:eastAsia="en-US"/>
      <w14:ligatures w14:val="standardContextual"/>
    </w:rPr>
  </w:style>
  <w:style w:type="character" w:customStyle="1" w:styleId="CitationCar">
    <w:name w:val="Citation Car"/>
    <w:basedOn w:val="Policepardfaut"/>
    <w:link w:val="Citation"/>
    <w:uiPriority w:val="29"/>
    <w:qFormat/>
    <w:rsid w:val="00606C71"/>
    <w:rPr>
      <w:i/>
      <w:iCs/>
      <w:color w:val="404040" w:themeColor="text1" w:themeTint="BF"/>
      <w:lang w:val="fr-FR"/>
    </w:rPr>
  </w:style>
  <w:style w:type="character" w:customStyle="1" w:styleId="Accentuationintense1">
    <w:name w:val="Accentuation intense1"/>
    <w:basedOn w:val="Policepardfaut"/>
    <w:uiPriority w:val="21"/>
    <w:qFormat/>
    <w:rsid w:val="00606C71"/>
    <w:rPr>
      <w:i/>
      <w:iCs/>
      <w:color w:val="2F5496" w:themeColor="accent1" w:themeShade="BF"/>
    </w:rPr>
  </w:style>
  <w:style w:type="paragraph" w:styleId="Citationintense">
    <w:name w:val="Intense Quote"/>
    <w:basedOn w:val="Normal"/>
    <w:next w:val="Normal"/>
    <w:link w:val="CitationintenseCar"/>
    <w:uiPriority w:val="30"/>
    <w:qFormat/>
    <w:rsid w:val="00606C71"/>
    <w:pPr>
      <w:pBdr>
        <w:top w:val="single" w:sz="4" w:space="10" w:color="2F5496" w:themeColor="accent1" w:themeShade="BF"/>
        <w:bottom w:val="single" w:sz="4" w:space="10" w:color="2F5496" w:themeColor="accent1" w:themeShade="BF"/>
      </w:pBdr>
      <w:spacing w:before="360" w:after="360" w:line="259" w:lineRule="auto"/>
      <w:ind w:left="864" w:right="864"/>
      <w:jc w:val="center"/>
    </w:pPr>
    <w:rPr>
      <w:rFonts w:asciiTheme="minorHAnsi" w:eastAsiaTheme="minorHAnsi" w:hAnsiTheme="minorHAnsi" w:cstheme="minorBidi"/>
      <w:i/>
      <w:iCs/>
      <w:color w:val="2F5496" w:themeColor="accent1" w:themeShade="BF"/>
      <w:kern w:val="2"/>
      <w:lang w:eastAsia="en-US"/>
      <w14:ligatures w14:val="standardContextual"/>
    </w:rPr>
  </w:style>
  <w:style w:type="character" w:customStyle="1" w:styleId="CitationintenseCar">
    <w:name w:val="Citation intense Car"/>
    <w:basedOn w:val="Policepardfaut"/>
    <w:link w:val="Citationintense"/>
    <w:uiPriority w:val="30"/>
    <w:qFormat/>
    <w:rsid w:val="00606C71"/>
    <w:rPr>
      <w:i/>
      <w:iCs/>
      <w:color w:val="2F5496" w:themeColor="accent1" w:themeShade="BF"/>
      <w:lang w:val="fr-FR"/>
    </w:rPr>
  </w:style>
  <w:style w:type="character" w:customStyle="1" w:styleId="Rfrenceintense1">
    <w:name w:val="Référence intense1"/>
    <w:basedOn w:val="Policepardfaut"/>
    <w:uiPriority w:val="32"/>
    <w:qFormat/>
    <w:rsid w:val="00606C71"/>
    <w:rPr>
      <w:b/>
      <w:bCs/>
      <w:smallCaps/>
      <w:color w:val="2F5496" w:themeColor="accent1" w:themeShade="BF"/>
      <w:spacing w:val="5"/>
    </w:rPr>
  </w:style>
  <w:style w:type="paragraph" w:customStyle="1" w:styleId="Rvision1">
    <w:name w:val="Révision1"/>
    <w:hidden/>
    <w:uiPriority w:val="99"/>
    <w:semiHidden/>
    <w:qFormat/>
    <w:rsid w:val="00606C71"/>
    <w:pPr>
      <w:spacing w:after="0" w:line="240" w:lineRule="auto"/>
    </w:pPr>
    <w:rPr>
      <w:lang w:val="fr-FR"/>
    </w:rPr>
  </w:style>
  <w:style w:type="paragraph" w:customStyle="1" w:styleId="Bibliographie1">
    <w:name w:val="Bibliographie1"/>
    <w:basedOn w:val="Normal"/>
    <w:next w:val="Normal"/>
    <w:uiPriority w:val="37"/>
    <w:unhideWhenUsed/>
    <w:qFormat/>
    <w:rsid w:val="00606C71"/>
    <w:pPr>
      <w:spacing w:after="160" w:line="259" w:lineRule="auto"/>
    </w:pPr>
    <w:rPr>
      <w:rFonts w:asciiTheme="minorHAnsi" w:eastAsiaTheme="minorHAnsi" w:hAnsiTheme="minorHAnsi" w:cstheme="minorBidi"/>
      <w:kern w:val="2"/>
      <w:lang w:eastAsia="en-US"/>
      <w14:ligatures w14:val="standardContextual"/>
    </w:rPr>
  </w:style>
  <w:style w:type="character" w:customStyle="1" w:styleId="Mentionnonrsolue1">
    <w:name w:val="Mention non résolue1"/>
    <w:basedOn w:val="Policepardfaut"/>
    <w:uiPriority w:val="99"/>
    <w:semiHidden/>
    <w:unhideWhenUsed/>
    <w:qFormat/>
    <w:rsid w:val="00606C71"/>
    <w:rPr>
      <w:color w:val="605E5C"/>
      <w:shd w:val="clear" w:color="auto" w:fill="E1DFDD"/>
    </w:rPr>
  </w:style>
  <w:style w:type="table" w:customStyle="1" w:styleId="Grilledutableau12">
    <w:name w:val="Grille du tableau12"/>
    <w:basedOn w:val="TableauNormal"/>
    <w:next w:val="Grilledutableau"/>
    <w:uiPriority w:val="59"/>
    <w:qFormat/>
    <w:rsid w:val="00606C71"/>
    <w:pPr>
      <w:spacing w:after="0" w:line="240" w:lineRule="auto"/>
    </w:pPr>
    <w:rPr>
      <w:rFonts w:ascii="Times New Roman" w:eastAsia="SimSun" w:hAnsi="Times New Roman" w:cs="Times New Roman"/>
      <w:kern w:val="0"/>
      <w:sz w:val="20"/>
      <w:szCs w:val="20"/>
      <w:lang w:val="fr-FR" w:eastAsia="fr-F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ie">
    <w:name w:val="Bibliography"/>
    <w:basedOn w:val="Normal"/>
    <w:next w:val="Normal"/>
    <w:uiPriority w:val="37"/>
    <w:unhideWhenUsed/>
    <w:rsid w:val="00606C71"/>
    <w:pPr>
      <w:spacing w:after="160" w:line="259" w:lineRule="auto"/>
    </w:pPr>
    <w:rPr>
      <w:rFonts w:asciiTheme="minorHAnsi" w:eastAsiaTheme="minorHAnsi" w:hAnsiTheme="minorHAnsi" w:cstheme="minorBidi"/>
      <w:kern w:val="2"/>
      <w:lang w:eastAsia="en-US"/>
      <w14:ligatures w14:val="standardContextual"/>
    </w:rPr>
  </w:style>
  <w:style w:type="paragraph" w:styleId="Textedebulles">
    <w:name w:val="Balloon Text"/>
    <w:basedOn w:val="Normal"/>
    <w:link w:val="TextedebullesCar"/>
    <w:uiPriority w:val="99"/>
    <w:semiHidden/>
    <w:unhideWhenUsed/>
    <w:rsid w:val="00606C71"/>
    <w:pPr>
      <w:spacing w:after="0" w:line="240" w:lineRule="auto"/>
    </w:pPr>
    <w:rPr>
      <w:rFonts w:ascii="Segoe UI" w:eastAsiaTheme="minorHAnsi" w:hAnsi="Segoe UI" w:cs="Segoe UI"/>
      <w:kern w:val="2"/>
      <w:sz w:val="18"/>
      <w:szCs w:val="18"/>
      <w:lang w:eastAsia="en-US"/>
      <w14:ligatures w14:val="standardContextual"/>
    </w:rPr>
  </w:style>
  <w:style w:type="character" w:customStyle="1" w:styleId="TextedebullesCar">
    <w:name w:val="Texte de bulles Car"/>
    <w:basedOn w:val="Policepardfaut"/>
    <w:link w:val="Textedebulles"/>
    <w:uiPriority w:val="99"/>
    <w:semiHidden/>
    <w:rsid w:val="00606C71"/>
    <w:rPr>
      <w:rFonts w:ascii="Segoe UI" w:hAnsi="Segoe UI" w:cs="Segoe UI"/>
      <w:sz w:val="18"/>
      <w:szCs w:val="18"/>
      <w:lang w:val="fr-FR"/>
    </w:rPr>
  </w:style>
  <w:style w:type="table" w:styleId="TableauGrille4">
    <w:name w:val="Grid Table 4"/>
    <w:basedOn w:val="TableauNormal"/>
    <w:uiPriority w:val="49"/>
    <w:rsid w:val="00606C71"/>
    <w:pPr>
      <w:spacing w:after="0" w:line="240" w:lineRule="auto"/>
    </w:pPr>
    <w:rPr>
      <w:rFonts w:ascii="Times New Roman" w:eastAsia="SimSun" w:hAnsi="Times New Roman" w:cs="Times New Roman"/>
      <w:kern w:val="0"/>
      <w:sz w:val="20"/>
      <w:szCs w:val="20"/>
      <w:lang w:val="fr-FR" w:eastAsia="fr-FR"/>
      <w14:ligatures w14:val="non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lledetableauclaire">
    <w:name w:val="Grid Table Light"/>
    <w:basedOn w:val="TableauNormal"/>
    <w:uiPriority w:val="40"/>
    <w:rsid w:val="00606C71"/>
    <w:pPr>
      <w:spacing w:after="0" w:line="240" w:lineRule="auto"/>
    </w:pPr>
    <w:rPr>
      <w:rFonts w:ascii="Times New Roman" w:eastAsia="SimSun" w:hAnsi="Times New Roman" w:cs="Times New Roman"/>
      <w:kern w:val="0"/>
      <w:sz w:val="20"/>
      <w:szCs w:val="20"/>
      <w:lang w:val="fr-FR" w:eastAsia="fr-FR"/>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ausimple1">
    <w:name w:val="Plain Table 1"/>
    <w:basedOn w:val="TableauNormal"/>
    <w:uiPriority w:val="41"/>
    <w:rsid w:val="00606C71"/>
    <w:pPr>
      <w:spacing w:after="0" w:line="240" w:lineRule="auto"/>
    </w:pPr>
    <w:rPr>
      <w:rFonts w:ascii="Times New Roman" w:eastAsia="SimSun" w:hAnsi="Times New Roman" w:cs="Times New Roman"/>
      <w:kern w:val="0"/>
      <w:sz w:val="20"/>
      <w:szCs w:val="20"/>
      <w:lang w:val="fr-FR" w:eastAsia="fr-FR"/>
      <w14:ligatures w14:val="non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lledutableau13">
    <w:name w:val="Grille du tableau13"/>
    <w:basedOn w:val="TableauNormal"/>
    <w:next w:val="Grilledutableau"/>
    <w:uiPriority w:val="59"/>
    <w:qFormat/>
    <w:rsid w:val="00606C71"/>
    <w:pPr>
      <w:spacing w:after="0" w:line="240" w:lineRule="auto"/>
    </w:pPr>
    <w:rPr>
      <w:kern w:val="0"/>
      <w:lang w:val="fr-F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1">
    <w:name w:val="Grille du tableau21"/>
    <w:basedOn w:val="TableauNormal"/>
    <w:next w:val="Grilledutableau"/>
    <w:uiPriority w:val="59"/>
    <w:qFormat/>
    <w:rsid w:val="00606C71"/>
    <w:pPr>
      <w:spacing w:after="0" w:line="240" w:lineRule="auto"/>
    </w:pPr>
    <w:rPr>
      <w:kern w:val="0"/>
      <w:lang w:val="fr-F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2">
    <w:name w:val="Grille du tableau22"/>
    <w:basedOn w:val="TableauNormal"/>
    <w:next w:val="Grilledutableau"/>
    <w:uiPriority w:val="59"/>
    <w:qFormat/>
    <w:rsid w:val="001F7AA6"/>
    <w:pPr>
      <w:spacing w:after="0" w:line="240" w:lineRule="auto"/>
    </w:pPr>
    <w:rPr>
      <w:kern w:val="0"/>
      <w:lang w:val="fr-F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M4">
    <w:name w:val="toc 4"/>
    <w:basedOn w:val="Normal"/>
    <w:next w:val="Normal"/>
    <w:autoRedefine/>
    <w:uiPriority w:val="39"/>
    <w:unhideWhenUsed/>
    <w:rsid w:val="00DA1BD7"/>
    <w:pPr>
      <w:spacing w:after="0"/>
      <w:ind w:left="660"/>
    </w:pPr>
    <w:rPr>
      <w:rFonts w:asciiTheme="minorHAnsi" w:hAnsiTheme="minorHAnsi" w:cstheme="minorHAnsi"/>
      <w:sz w:val="18"/>
      <w:szCs w:val="18"/>
    </w:rPr>
  </w:style>
  <w:style w:type="paragraph" w:styleId="TM5">
    <w:name w:val="toc 5"/>
    <w:basedOn w:val="Normal"/>
    <w:next w:val="Normal"/>
    <w:autoRedefine/>
    <w:uiPriority w:val="39"/>
    <w:unhideWhenUsed/>
    <w:rsid w:val="00DA1BD7"/>
    <w:pPr>
      <w:spacing w:after="0"/>
      <w:ind w:left="880"/>
    </w:pPr>
    <w:rPr>
      <w:rFonts w:asciiTheme="minorHAnsi" w:hAnsiTheme="minorHAnsi" w:cstheme="minorHAnsi"/>
      <w:sz w:val="18"/>
      <w:szCs w:val="18"/>
    </w:rPr>
  </w:style>
  <w:style w:type="paragraph" w:styleId="TM6">
    <w:name w:val="toc 6"/>
    <w:basedOn w:val="Normal"/>
    <w:next w:val="Normal"/>
    <w:autoRedefine/>
    <w:uiPriority w:val="39"/>
    <w:unhideWhenUsed/>
    <w:rsid w:val="00DA1BD7"/>
    <w:pPr>
      <w:spacing w:after="0"/>
      <w:ind w:left="1100"/>
    </w:pPr>
    <w:rPr>
      <w:rFonts w:asciiTheme="minorHAnsi" w:hAnsiTheme="minorHAnsi" w:cstheme="minorHAnsi"/>
      <w:sz w:val="18"/>
      <w:szCs w:val="18"/>
    </w:rPr>
  </w:style>
  <w:style w:type="paragraph" w:styleId="TM7">
    <w:name w:val="toc 7"/>
    <w:basedOn w:val="Normal"/>
    <w:next w:val="Normal"/>
    <w:autoRedefine/>
    <w:uiPriority w:val="39"/>
    <w:unhideWhenUsed/>
    <w:rsid w:val="00DA1BD7"/>
    <w:pPr>
      <w:spacing w:after="0"/>
      <w:ind w:left="1320"/>
    </w:pPr>
    <w:rPr>
      <w:rFonts w:asciiTheme="minorHAnsi" w:hAnsiTheme="minorHAnsi" w:cstheme="minorHAnsi"/>
      <w:sz w:val="18"/>
      <w:szCs w:val="18"/>
    </w:rPr>
  </w:style>
  <w:style w:type="paragraph" w:styleId="TM8">
    <w:name w:val="toc 8"/>
    <w:basedOn w:val="Normal"/>
    <w:next w:val="Normal"/>
    <w:autoRedefine/>
    <w:uiPriority w:val="39"/>
    <w:unhideWhenUsed/>
    <w:rsid w:val="00DA1BD7"/>
    <w:pPr>
      <w:spacing w:after="0"/>
      <w:ind w:left="1540"/>
    </w:pPr>
    <w:rPr>
      <w:rFonts w:asciiTheme="minorHAnsi" w:hAnsiTheme="minorHAnsi" w:cstheme="minorHAnsi"/>
      <w:sz w:val="18"/>
      <w:szCs w:val="18"/>
    </w:rPr>
  </w:style>
  <w:style w:type="paragraph" w:styleId="TM9">
    <w:name w:val="toc 9"/>
    <w:basedOn w:val="Normal"/>
    <w:next w:val="Normal"/>
    <w:autoRedefine/>
    <w:uiPriority w:val="39"/>
    <w:unhideWhenUsed/>
    <w:rsid w:val="00DA1BD7"/>
    <w:pPr>
      <w:spacing w:after="0"/>
      <w:ind w:left="1760"/>
    </w:pPr>
    <w:rPr>
      <w:rFonts w:asciiTheme="minorHAnsi" w:hAnsiTheme="minorHAnsi" w:cs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67067756">
      <w:bodyDiv w:val="1"/>
      <w:marLeft w:val="0"/>
      <w:marRight w:val="0"/>
      <w:marTop w:val="0"/>
      <w:marBottom w:val="0"/>
      <w:divBdr>
        <w:top w:val="none" w:sz="0" w:space="0" w:color="auto"/>
        <w:left w:val="none" w:sz="0" w:space="0" w:color="auto"/>
        <w:bottom w:val="none" w:sz="0" w:space="0" w:color="auto"/>
        <w:right w:val="none" w:sz="0" w:space="0" w:color="auto"/>
      </w:divBdr>
    </w:div>
    <w:div w:id="1723602586">
      <w:bodyDiv w:val="1"/>
      <w:marLeft w:val="0"/>
      <w:marRight w:val="0"/>
      <w:marTop w:val="0"/>
      <w:marBottom w:val="0"/>
      <w:divBdr>
        <w:top w:val="none" w:sz="0" w:space="0" w:color="auto"/>
        <w:left w:val="none" w:sz="0" w:space="0" w:color="auto"/>
        <w:bottom w:val="none" w:sz="0" w:space="0" w:color="auto"/>
        <w:right w:val="none" w:sz="0" w:space="0" w:color="auto"/>
      </w:divBdr>
    </w:div>
    <w:div w:id="2095855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emf"/><Relationship Id="rId299" Type="http://schemas.openxmlformats.org/officeDocument/2006/relationships/fontTable" Target="fontTable.xml"/><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9.png"/><Relationship Id="rId84" Type="http://schemas.microsoft.com/office/2007/relationships/hdphoto" Target="media/hdphoto1.wdp"/><Relationship Id="rId138" Type="http://schemas.openxmlformats.org/officeDocument/2006/relationships/image" Target="media/image110.jpeg"/><Relationship Id="rId159" Type="http://schemas.openxmlformats.org/officeDocument/2006/relationships/footer" Target="footer5.xml"/><Relationship Id="rId170" Type="http://schemas.openxmlformats.org/officeDocument/2006/relationships/chart" Target="charts/chart17.xml"/><Relationship Id="rId191" Type="http://schemas.openxmlformats.org/officeDocument/2006/relationships/chart" Target="charts/chart35.xml"/><Relationship Id="rId205" Type="http://schemas.openxmlformats.org/officeDocument/2006/relationships/chart" Target="charts/chart49.xml"/><Relationship Id="rId226" Type="http://schemas.openxmlformats.org/officeDocument/2006/relationships/image" Target="media/image147.png"/><Relationship Id="rId247" Type="http://schemas.microsoft.com/office/2007/relationships/hdphoto" Target="media/hdphoto12.wdp"/><Relationship Id="rId107" Type="http://schemas.openxmlformats.org/officeDocument/2006/relationships/image" Target="media/image91.png"/><Relationship Id="rId268" Type="http://schemas.openxmlformats.org/officeDocument/2006/relationships/hyperlink" Target="https://www.fao.org" TargetMode="External"/><Relationship Id="rId289" Type="http://schemas.openxmlformats.org/officeDocument/2006/relationships/hyperlink" Target="https://www.who.int/fr/news/item/25-03-2014-7-million-premature-deaths-annually-linked-to-air-pollution" TargetMode="External"/><Relationship Id="rId11" Type="http://schemas.openxmlformats.org/officeDocument/2006/relationships/header" Target="header1.xm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chart" Target="charts/chart9.xml"/><Relationship Id="rId149" Type="http://schemas.openxmlformats.org/officeDocument/2006/relationships/hyperlink" Target="https://www.sciencedirect.com/science/article/pii/S2351989424001136?via%3Dihub" TargetMode="External"/><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26.png"/><Relationship Id="rId181" Type="http://schemas.openxmlformats.org/officeDocument/2006/relationships/chart" Target="charts/chart25.xml"/><Relationship Id="rId216" Type="http://schemas.openxmlformats.org/officeDocument/2006/relationships/chart" Target="charts/chart52.xml"/><Relationship Id="rId237" Type="http://schemas.openxmlformats.org/officeDocument/2006/relationships/image" Target="media/image152.png"/><Relationship Id="rId258" Type="http://schemas.openxmlformats.org/officeDocument/2006/relationships/hyperlink" Target="https://www.sciencedirect.com/journal/weather-and-climate-extremes/vol/31/suppl/C" TargetMode="External"/><Relationship Id="rId279" Type="http://schemas.openxmlformats.org/officeDocument/2006/relationships/hyperlink" Target="https://doi.org/10.4000/vertigo.24637" TargetMode="External"/><Relationship Id="rId22" Type="http://schemas.openxmlformats.org/officeDocument/2006/relationships/image" Target="media/image8.png"/><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101.png"/><Relationship Id="rId139" Type="http://schemas.openxmlformats.org/officeDocument/2006/relationships/image" Target="media/image111.jpg"/><Relationship Id="rId290" Type="http://schemas.openxmlformats.org/officeDocument/2006/relationships/hyperlink" Target="https://www.who.int/fr/news/item/04-04-2022-billions-of-people-still-breathe-unhealthy-air-new-who-data" TargetMode="External"/><Relationship Id="rId85" Type="http://schemas.openxmlformats.org/officeDocument/2006/relationships/image" Target="media/image69.png"/><Relationship Id="rId150" Type="http://schemas.openxmlformats.org/officeDocument/2006/relationships/image" Target="media/image119.emf"/><Relationship Id="rId171" Type="http://schemas.openxmlformats.org/officeDocument/2006/relationships/image" Target="media/image131.png"/><Relationship Id="rId192" Type="http://schemas.openxmlformats.org/officeDocument/2006/relationships/chart" Target="charts/chart36.xml"/><Relationship Id="rId206" Type="http://schemas.openxmlformats.org/officeDocument/2006/relationships/chart" Target="charts/chart50.xml"/><Relationship Id="rId227" Type="http://schemas.microsoft.com/office/2007/relationships/hdphoto" Target="media/hdphoto5.wdp"/><Relationship Id="rId248" Type="http://schemas.openxmlformats.org/officeDocument/2006/relationships/chart" Target="charts/chart57.xml"/><Relationship Id="rId269" Type="http://schemas.openxmlformats.org/officeDocument/2006/relationships/hyperlink" Target="https://doi.org/10.1111/aje.13187" TargetMode="External"/><Relationship Id="rId12" Type="http://schemas.openxmlformats.org/officeDocument/2006/relationships/footer" Target="footer1.xml"/><Relationship Id="rId33" Type="http://schemas.openxmlformats.org/officeDocument/2006/relationships/image" Target="media/image19.png"/><Relationship Id="rId108" Type="http://schemas.openxmlformats.org/officeDocument/2006/relationships/image" Target="media/image92.png"/><Relationship Id="rId129" Type="http://schemas.openxmlformats.org/officeDocument/2006/relationships/image" Target="media/image103.emf"/><Relationship Id="rId280" Type="http://schemas.openxmlformats.org/officeDocument/2006/relationships/hyperlink" Target="http://dx.doi.org/10.21474/IJAR01/16915" TargetMode="External"/><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0.png"/><Relationship Id="rId140" Type="http://schemas.openxmlformats.org/officeDocument/2006/relationships/image" Target="media/image112.jpeg"/><Relationship Id="rId161" Type="http://schemas.openxmlformats.org/officeDocument/2006/relationships/image" Target="media/image127.png"/><Relationship Id="rId182" Type="http://schemas.openxmlformats.org/officeDocument/2006/relationships/chart" Target="charts/chart26.xml"/><Relationship Id="rId217" Type="http://schemas.openxmlformats.org/officeDocument/2006/relationships/image" Target="media/image141.png"/><Relationship Id="rId6" Type="http://schemas.openxmlformats.org/officeDocument/2006/relationships/footnotes" Target="footnotes.xml"/><Relationship Id="rId238" Type="http://schemas.microsoft.com/office/2007/relationships/hdphoto" Target="media/hdphoto8.wdp"/><Relationship Id="rId259" Type="http://schemas.openxmlformats.org/officeDocument/2006/relationships/hyperlink" Target="http://www.conasur.gov.bf/images/dialloimage/decretconasur.pdf" TargetMode="External"/><Relationship Id="rId23" Type="http://schemas.openxmlformats.org/officeDocument/2006/relationships/image" Target="media/image9.png"/><Relationship Id="rId119" Type="http://schemas.openxmlformats.org/officeDocument/2006/relationships/image" Target="media/image102.png"/><Relationship Id="rId270" Type="http://schemas.openxmlformats.org/officeDocument/2006/relationships/hyperlink" Target="https://lefaso.net/spip.php?article104910" TargetMode="External"/><Relationship Id="rId291" Type="http://schemas.openxmlformats.org/officeDocument/2006/relationships/hyperlink" Target="https://www.who.int/news-room/fact-sheets/detail/ambient-(outdoor)-air-quality-and-health" TargetMode="External"/><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0.png"/><Relationship Id="rId130" Type="http://schemas.openxmlformats.org/officeDocument/2006/relationships/chart" Target="charts/chart10.xml"/><Relationship Id="rId151" Type="http://schemas.openxmlformats.org/officeDocument/2006/relationships/image" Target="media/image120.jpeg"/><Relationship Id="rId172" Type="http://schemas.openxmlformats.org/officeDocument/2006/relationships/chart" Target="charts/chart18.xml"/><Relationship Id="rId193" Type="http://schemas.openxmlformats.org/officeDocument/2006/relationships/chart" Target="charts/chart37.xml"/><Relationship Id="rId207" Type="http://schemas.openxmlformats.org/officeDocument/2006/relationships/image" Target="media/image134.png"/><Relationship Id="rId228" Type="http://schemas.openxmlformats.org/officeDocument/2006/relationships/image" Target="media/image148.png"/><Relationship Id="rId249" Type="http://schemas.openxmlformats.org/officeDocument/2006/relationships/hyperlink" Target="https://www.afdb.org/fr/documents/document/burkina-faso-electrification-of-the-semi-urban-areas-of-ouagadougou-and-bobo-dioulasso-pepu-esmp-summary-90061" TargetMode="External"/><Relationship Id="rId13" Type="http://schemas.openxmlformats.org/officeDocument/2006/relationships/header" Target="header2.xml"/><Relationship Id="rId109" Type="http://schemas.openxmlformats.org/officeDocument/2006/relationships/image" Target="media/image93.png"/><Relationship Id="rId260" Type="http://schemas.openxmlformats.org/officeDocument/2006/relationships/hyperlink" Target="http://www.conasur.gov.bf/images/dialloimage/arretespconasur.pdf" TargetMode="External"/><Relationship Id="rId281" Type="http://schemas.openxmlformats.org/officeDocument/2006/relationships/hyperlink" Target="https://doi.org/10.1016/j.tfp.2021.100072" TargetMode="External"/><Relationship Id="rId34" Type="http://schemas.openxmlformats.org/officeDocument/2006/relationships/image" Target="media/image20.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1.png"/><Relationship Id="rId120" Type="http://schemas.openxmlformats.org/officeDocument/2006/relationships/chart" Target="charts/chart1.xml"/><Relationship Id="rId141" Type="http://schemas.openxmlformats.org/officeDocument/2006/relationships/image" Target="media/image113.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6.png"/><Relationship Id="rId162" Type="http://schemas.openxmlformats.org/officeDocument/2006/relationships/chart" Target="charts/chart14.xml"/><Relationship Id="rId183" Type="http://schemas.openxmlformats.org/officeDocument/2006/relationships/chart" Target="charts/chart27.xml"/><Relationship Id="rId213" Type="http://schemas.openxmlformats.org/officeDocument/2006/relationships/image" Target="media/image139.png"/><Relationship Id="rId218" Type="http://schemas.openxmlformats.org/officeDocument/2006/relationships/image" Target="media/image142.png"/><Relationship Id="rId234" Type="http://schemas.openxmlformats.org/officeDocument/2006/relationships/chart" Target="charts/chart55.xml"/><Relationship Id="rId239" Type="http://schemas.openxmlformats.org/officeDocument/2006/relationships/image" Target="media/image153.png"/><Relationship Id="rId2" Type="http://schemas.openxmlformats.org/officeDocument/2006/relationships/numbering" Target="numbering.xml"/><Relationship Id="rId29" Type="http://schemas.openxmlformats.org/officeDocument/2006/relationships/image" Target="media/image15.png"/><Relationship Id="rId250" Type="http://schemas.openxmlformats.org/officeDocument/2006/relationships/hyperlink" Target="https://pubmed.ncbi.nlm.nih.gov/?term=Yamamoto+SS&amp;cauthor_id=24197962" TargetMode="External"/><Relationship Id="rId255" Type="http://schemas.openxmlformats.org/officeDocument/2006/relationships/image" Target="media/image159.png"/><Relationship Id="rId271" Type="http://schemas.openxmlformats.org/officeDocument/2006/relationships/hyperlink" Target="http://zoosystema.com/44/2" TargetMode="External"/><Relationship Id="rId276" Type="http://schemas.openxmlformats.org/officeDocument/2006/relationships/hyperlink" Target="https://www.researchgate.net/publication/322103148" TargetMode="External"/><Relationship Id="rId292" Type="http://schemas.openxmlformats.org/officeDocument/2006/relationships/hyperlink" Target="https://www.who.int/news-room/fact-sheets/detail/climate-change-and-health" TargetMode="External"/><Relationship Id="rId297" Type="http://schemas.openxmlformats.org/officeDocument/2006/relationships/hyperlink" Target="https://www.iarc.who.int/wp-content/uploads/2018/07/pr221_F.pdf" TargetMode="External"/><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footer" Target="footer4.xml"/><Relationship Id="rId115" Type="http://schemas.openxmlformats.org/officeDocument/2006/relationships/image" Target="media/image98.png"/><Relationship Id="rId131" Type="http://schemas.openxmlformats.org/officeDocument/2006/relationships/chart" Target="charts/chart11.xml"/><Relationship Id="rId136" Type="http://schemas.openxmlformats.org/officeDocument/2006/relationships/image" Target="media/image108.jpeg"/><Relationship Id="rId157" Type="http://schemas.openxmlformats.org/officeDocument/2006/relationships/chart" Target="charts/chart13.xml"/><Relationship Id="rId178" Type="http://schemas.openxmlformats.org/officeDocument/2006/relationships/chart" Target="charts/chart22.xml"/><Relationship Id="rId61" Type="http://schemas.openxmlformats.org/officeDocument/2006/relationships/image" Target="media/image47.png"/><Relationship Id="rId82" Type="http://schemas.openxmlformats.org/officeDocument/2006/relationships/footer" Target="footer3.xml"/><Relationship Id="rId152" Type="http://schemas.openxmlformats.org/officeDocument/2006/relationships/image" Target="media/image121.png"/><Relationship Id="rId173" Type="http://schemas.openxmlformats.org/officeDocument/2006/relationships/image" Target="media/image132.png"/><Relationship Id="rId194" Type="http://schemas.openxmlformats.org/officeDocument/2006/relationships/chart" Target="charts/chart38.xml"/><Relationship Id="rId199" Type="http://schemas.openxmlformats.org/officeDocument/2006/relationships/chart" Target="charts/chart43.xml"/><Relationship Id="rId203" Type="http://schemas.openxmlformats.org/officeDocument/2006/relationships/chart" Target="charts/chart47.xml"/><Relationship Id="rId208" Type="http://schemas.openxmlformats.org/officeDocument/2006/relationships/hyperlink" Target="https://www.iucnredlist.org" TargetMode="External"/><Relationship Id="rId229" Type="http://schemas.microsoft.com/office/2007/relationships/hdphoto" Target="media/hdphoto6.wdp"/><Relationship Id="rId19" Type="http://schemas.openxmlformats.org/officeDocument/2006/relationships/hyperlink" Target="http://www.fao.org" TargetMode="External"/><Relationship Id="rId224" Type="http://schemas.microsoft.com/office/2007/relationships/hdphoto" Target="media/hdphoto4.wdp"/><Relationship Id="rId240" Type="http://schemas.microsoft.com/office/2007/relationships/hdphoto" Target="media/hdphoto9.wdp"/><Relationship Id="rId245" Type="http://schemas.openxmlformats.org/officeDocument/2006/relationships/chart" Target="charts/chart56.xml"/><Relationship Id="rId261" Type="http://schemas.openxmlformats.org/officeDocument/2006/relationships/hyperlink" Target="https://scenarios-climatiques.canada.ca" TargetMode="External"/><Relationship Id="rId266" Type="http://schemas.openxmlformats.org/officeDocument/2006/relationships/hyperlink" Target="https://www.meteoburkina.bf/" TargetMode="External"/><Relationship Id="rId287" Type="http://schemas.openxmlformats.org/officeDocument/2006/relationships/hyperlink" Target="https://www.who.int/news-room/fact-sheets/detail/noncommunicable-diseases" TargetMode="External"/><Relationship Id="rId14" Type="http://schemas.openxmlformats.org/officeDocument/2006/relationships/footer" Target="footer2.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chart" Target="charts/chart7.xml"/><Relationship Id="rId147" Type="http://schemas.openxmlformats.org/officeDocument/2006/relationships/image" Target="media/image117.emf"/><Relationship Id="rId168" Type="http://schemas.openxmlformats.org/officeDocument/2006/relationships/chart" Target="charts/chart15.xml"/><Relationship Id="rId282" Type="http://schemas.openxmlformats.org/officeDocument/2006/relationships/hyperlink" Target="https://www.researchgate.net/publication/375801044" TargetMode="External"/><Relationship Id="rId8" Type="http://schemas.openxmlformats.org/officeDocument/2006/relationships/image" Target="media/image2.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chart" Target="charts/chart2.xml"/><Relationship Id="rId142" Type="http://schemas.openxmlformats.org/officeDocument/2006/relationships/image" Target="media/image114.jpeg"/><Relationship Id="rId163" Type="http://schemas.openxmlformats.org/officeDocument/2006/relationships/image" Target="media/image128.jpeg"/><Relationship Id="rId184" Type="http://schemas.openxmlformats.org/officeDocument/2006/relationships/chart" Target="charts/chart28.xml"/><Relationship Id="rId189" Type="http://schemas.openxmlformats.org/officeDocument/2006/relationships/chart" Target="charts/chart33.xml"/><Relationship Id="rId219" Type="http://schemas.microsoft.com/office/2007/relationships/hdphoto" Target="media/hdphoto2.wdp"/><Relationship Id="rId3" Type="http://schemas.openxmlformats.org/officeDocument/2006/relationships/styles" Target="styles.xml"/><Relationship Id="rId214" Type="http://schemas.openxmlformats.org/officeDocument/2006/relationships/image" Target="media/image140.png"/><Relationship Id="rId230" Type="http://schemas.openxmlformats.org/officeDocument/2006/relationships/chart" Target="charts/chart53.xml"/><Relationship Id="rId235" Type="http://schemas.openxmlformats.org/officeDocument/2006/relationships/image" Target="media/image151.png"/><Relationship Id="rId251" Type="http://schemas.openxmlformats.org/officeDocument/2006/relationships/hyperlink" Target="https://www.inderscienceonline.com/doi/abs/10.1504/IJBHR.2018.091258" TargetMode="External"/><Relationship Id="rId256" Type="http://schemas.microsoft.com/office/2007/relationships/hdphoto" Target="media/hdphoto14.wdp"/><Relationship Id="rId277" Type="http://schemas.openxmlformats.org/officeDocument/2006/relationships/hyperlink" Target="https://cenozo.org/pollution-le-plus-long-cours-deau-du-burkina-en-danger/" TargetMode="External"/><Relationship Id="rId298" Type="http://schemas.openxmlformats.org/officeDocument/2006/relationships/hyperlink" Target="https://pasteur-lille.fr/actualites/dossiers/pollution-atmospherique-sante/" TargetMode="Externa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99.png"/><Relationship Id="rId137" Type="http://schemas.openxmlformats.org/officeDocument/2006/relationships/image" Target="media/image109.jpeg"/><Relationship Id="rId158" Type="http://schemas.openxmlformats.org/officeDocument/2006/relationships/header" Target="header3.xml"/><Relationship Id="rId272" Type="http://schemas.openxmlformats.org/officeDocument/2006/relationships/hyperlink" Target="http://asrjetsjournal.org/" TargetMode="External"/><Relationship Id="rId293" Type="http://schemas.openxmlformats.org/officeDocument/2006/relationships/hyperlink" Target="http://rcc.cimh.edu.bb/caribbean-health-climatic-bulletin-vol-3%20issue-1-march-2019/" TargetMode="External"/><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94.png"/><Relationship Id="rId132" Type="http://schemas.openxmlformats.org/officeDocument/2006/relationships/image" Target="media/image104.png"/><Relationship Id="rId153" Type="http://schemas.openxmlformats.org/officeDocument/2006/relationships/image" Target="media/image122.emf"/><Relationship Id="rId174" Type="http://schemas.openxmlformats.org/officeDocument/2006/relationships/chart" Target="charts/chart19.xml"/><Relationship Id="rId179" Type="http://schemas.openxmlformats.org/officeDocument/2006/relationships/chart" Target="charts/chart23.xml"/><Relationship Id="rId195" Type="http://schemas.openxmlformats.org/officeDocument/2006/relationships/chart" Target="charts/chart39.xml"/><Relationship Id="rId209" Type="http://schemas.openxmlformats.org/officeDocument/2006/relationships/image" Target="media/image135.png"/><Relationship Id="rId190" Type="http://schemas.openxmlformats.org/officeDocument/2006/relationships/chart" Target="charts/chart34.xml"/><Relationship Id="rId204" Type="http://schemas.openxmlformats.org/officeDocument/2006/relationships/chart" Target="charts/chart48.xml"/><Relationship Id="rId220" Type="http://schemas.openxmlformats.org/officeDocument/2006/relationships/image" Target="media/image143.png"/><Relationship Id="rId225" Type="http://schemas.openxmlformats.org/officeDocument/2006/relationships/image" Target="media/image146.png"/><Relationship Id="rId241" Type="http://schemas.openxmlformats.org/officeDocument/2006/relationships/image" Target="media/image154.png"/><Relationship Id="rId246" Type="http://schemas.openxmlformats.org/officeDocument/2006/relationships/image" Target="media/image156.png"/><Relationship Id="rId267" Type="http://schemas.openxmlformats.org/officeDocument/2006/relationships/hyperlink" Target="http://www.conasur.gov.bf/" TargetMode="External"/><Relationship Id="rId288" Type="http://schemas.openxmlformats.org/officeDocument/2006/relationships/hyperlink" Target="https://www.who.int/fr/news/item/15-03-2016-an-estimated-12-6-million-deaths-each-year-are-attributable-to%20unhealthyenvironments" TargetMode="External"/><Relationship Id="rId15" Type="http://schemas.openxmlformats.org/officeDocument/2006/relationships/hyperlink" Target="http://www.fao.org" TargetMode="External"/><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chart" Target="charts/chart8.xml"/><Relationship Id="rId262" Type="http://schemas.openxmlformats.org/officeDocument/2006/relationships/hyperlink" Target="https://www.drias-climat.fr/" TargetMode="External"/><Relationship Id="rId283" Type="http://schemas.openxmlformats.org/officeDocument/2006/relationships/hyperlink" Target="https://www.unocha.org/publications/report/burkina-faso/burkina-faso-apercu-des-personnes-deplacees-internes-31-mars-2023" TargetMode="External"/><Relationship Id="rId10" Type="http://schemas.openxmlformats.org/officeDocument/2006/relationships/image" Target="media/image4.png"/><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chart" Target="charts/chart3.xml"/><Relationship Id="rId143" Type="http://schemas.openxmlformats.org/officeDocument/2006/relationships/chart" Target="charts/chart12.xml"/><Relationship Id="rId148" Type="http://schemas.openxmlformats.org/officeDocument/2006/relationships/image" Target="media/image118.emf"/><Relationship Id="rId164" Type="http://schemas.openxmlformats.org/officeDocument/2006/relationships/hyperlink" Target="https://lcviewer.vito.be/2019/Burkina%20Faso" TargetMode="External"/><Relationship Id="rId169" Type="http://schemas.openxmlformats.org/officeDocument/2006/relationships/chart" Target="charts/chart16.xml"/><Relationship Id="rId185" Type="http://schemas.openxmlformats.org/officeDocument/2006/relationships/chart" Target="charts/chart29.xml"/><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chart" Target="charts/chart24.xml"/><Relationship Id="rId210" Type="http://schemas.openxmlformats.org/officeDocument/2006/relationships/image" Target="media/image136.png"/><Relationship Id="rId215" Type="http://schemas.openxmlformats.org/officeDocument/2006/relationships/chart" Target="charts/chart51.xml"/><Relationship Id="rId236" Type="http://schemas.microsoft.com/office/2007/relationships/hdphoto" Target="media/hdphoto7.wdp"/><Relationship Id="rId257" Type="http://schemas.openxmlformats.org/officeDocument/2006/relationships/hyperlink" Target="https://www.sciencedirect.com/journal/weather-and-climate-extremes" TargetMode="External"/><Relationship Id="rId278" Type="http://schemas.openxmlformats.org/officeDocument/2006/relationships/hyperlink" Target="http://www.ipcc.ch/ipccreports/ar4-syr.htm" TargetMode="External"/><Relationship Id="rId26" Type="http://schemas.openxmlformats.org/officeDocument/2006/relationships/image" Target="media/image12.png"/><Relationship Id="rId231" Type="http://schemas.openxmlformats.org/officeDocument/2006/relationships/image" Target="media/image149.png"/><Relationship Id="rId252" Type="http://schemas.openxmlformats.org/officeDocument/2006/relationships/image" Target="media/image157.png"/><Relationship Id="rId273" Type="http://schemas.openxmlformats.org/officeDocument/2006/relationships/hyperlink" Target="https://doi.org/10.1111/aje.12517" TargetMode="External"/><Relationship Id="rId294" Type="http://schemas.openxmlformats.org/officeDocument/2006/relationships/hyperlink" Target="https://www.who.int/fr/news-room/fact-sheets/detail/drinking-water" TargetMode="External"/><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image" Target="media/image95.png"/><Relationship Id="rId133" Type="http://schemas.openxmlformats.org/officeDocument/2006/relationships/image" Target="media/image105.png"/><Relationship Id="rId154" Type="http://schemas.openxmlformats.org/officeDocument/2006/relationships/image" Target="media/image123.emf"/><Relationship Id="rId175" Type="http://schemas.openxmlformats.org/officeDocument/2006/relationships/image" Target="media/image133.png"/><Relationship Id="rId196" Type="http://schemas.openxmlformats.org/officeDocument/2006/relationships/chart" Target="charts/chart40.xml"/><Relationship Id="rId200" Type="http://schemas.openxmlformats.org/officeDocument/2006/relationships/chart" Target="charts/chart44.xml"/><Relationship Id="rId16" Type="http://schemas.openxmlformats.org/officeDocument/2006/relationships/image" Target="media/image5.emf"/><Relationship Id="rId221" Type="http://schemas.microsoft.com/office/2007/relationships/hdphoto" Target="media/hdphoto3.wdp"/><Relationship Id="rId242" Type="http://schemas.microsoft.com/office/2007/relationships/hdphoto" Target="media/hdphoto10.wdp"/><Relationship Id="rId263" Type="http://schemas.openxmlformats.org/officeDocument/2006/relationships/hyperlink" Target="https://cds.climate.copernicus.eu/datasets/projections-cmip6?tab=download" TargetMode="External"/><Relationship Id="rId284" Type="http://schemas.openxmlformats.org/officeDocument/2006/relationships/hyperlink" Target="https://doi.org/10.13140/RG.2.1.4734.1521" TargetMode="Externa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6.png"/><Relationship Id="rId123" Type="http://schemas.openxmlformats.org/officeDocument/2006/relationships/chart" Target="charts/chart4.xml"/><Relationship Id="rId144" Type="http://schemas.openxmlformats.org/officeDocument/2006/relationships/image" Target="media/image115.png"/><Relationship Id="rId90" Type="http://schemas.openxmlformats.org/officeDocument/2006/relationships/image" Target="media/image74.png"/><Relationship Id="rId165" Type="http://schemas.openxmlformats.org/officeDocument/2006/relationships/hyperlink" Target="https://lcviewer.vito.be/2019/Burkina%20Faso" TargetMode="External"/><Relationship Id="rId186" Type="http://schemas.openxmlformats.org/officeDocument/2006/relationships/chart" Target="charts/chart30.xml"/><Relationship Id="rId211" Type="http://schemas.openxmlformats.org/officeDocument/2006/relationships/image" Target="media/image137.png"/><Relationship Id="rId232" Type="http://schemas.openxmlformats.org/officeDocument/2006/relationships/image" Target="media/image150.png"/><Relationship Id="rId253" Type="http://schemas.microsoft.com/office/2007/relationships/hdphoto" Target="media/hdphoto13.wdp"/><Relationship Id="rId274" Type="http://schemas.openxmlformats.org/officeDocument/2006/relationships/hyperlink" Target="https://doi.org/10.2989/00306525.2018.1544175" TargetMode="External"/><Relationship Id="rId295" Type="http://schemas.openxmlformats.org/officeDocument/2006/relationships/hyperlink" Target="https://www.eea.europa.eu/publications/environmental-noise-in-europe" TargetMode="External"/><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6.png"/><Relationship Id="rId134" Type="http://schemas.openxmlformats.org/officeDocument/2006/relationships/image" Target="media/image106.png"/><Relationship Id="rId80" Type="http://schemas.openxmlformats.org/officeDocument/2006/relationships/image" Target="media/image66.png"/><Relationship Id="rId155" Type="http://schemas.openxmlformats.org/officeDocument/2006/relationships/image" Target="media/image124.emf"/><Relationship Id="rId176" Type="http://schemas.openxmlformats.org/officeDocument/2006/relationships/chart" Target="charts/chart20.xml"/><Relationship Id="rId197" Type="http://schemas.openxmlformats.org/officeDocument/2006/relationships/chart" Target="charts/chart41.xml"/><Relationship Id="rId201" Type="http://schemas.openxmlformats.org/officeDocument/2006/relationships/chart" Target="charts/chart45.xml"/><Relationship Id="rId222" Type="http://schemas.openxmlformats.org/officeDocument/2006/relationships/image" Target="media/image144.png"/><Relationship Id="rId243" Type="http://schemas.openxmlformats.org/officeDocument/2006/relationships/image" Target="media/image155.png"/><Relationship Id="rId264" Type="http://schemas.openxmlformats.org/officeDocument/2006/relationships/hyperlink" Target="https://cds.climate.copernicus.eu/user-guide" TargetMode="External"/><Relationship Id="rId285" Type="http://schemas.openxmlformats.org/officeDocument/2006/relationships/hyperlink" Target="https://www.sciencedirect.com/science/article/pii/S2351989424001136?via%3Dihub" TargetMode="External"/><Relationship Id="rId17" Type="http://schemas.openxmlformats.org/officeDocument/2006/relationships/image" Target="media/image6.emf"/><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24" Type="http://schemas.openxmlformats.org/officeDocument/2006/relationships/chart" Target="charts/chart5.xml"/><Relationship Id="rId70" Type="http://schemas.openxmlformats.org/officeDocument/2006/relationships/image" Target="media/image56.png"/><Relationship Id="rId91" Type="http://schemas.openxmlformats.org/officeDocument/2006/relationships/image" Target="media/image75.png"/><Relationship Id="rId145" Type="http://schemas.openxmlformats.org/officeDocument/2006/relationships/hyperlink" Target="https://www.sciencedirect.com/science/article/pii/S2351989424001136?via%3Dihub" TargetMode="External"/><Relationship Id="rId166" Type="http://schemas.openxmlformats.org/officeDocument/2006/relationships/image" Target="media/image129.png"/><Relationship Id="rId187" Type="http://schemas.openxmlformats.org/officeDocument/2006/relationships/chart" Target="charts/chart31.xml"/><Relationship Id="rId1" Type="http://schemas.openxmlformats.org/officeDocument/2006/relationships/customXml" Target="../customXml/item1.xml"/><Relationship Id="rId212" Type="http://schemas.openxmlformats.org/officeDocument/2006/relationships/image" Target="media/image138.png"/><Relationship Id="rId233" Type="http://schemas.openxmlformats.org/officeDocument/2006/relationships/chart" Target="charts/chart54.xml"/><Relationship Id="rId254" Type="http://schemas.openxmlformats.org/officeDocument/2006/relationships/image" Target="media/image158.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97.png"/><Relationship Id="rId275" Type="http://schemas.openxmlformats.org/officeDocument/2006/relationships/hyperlink" Target="http://www.fao.org/faostat/en/" TargetMode="External"/><Relationship Id="rId296" Type="http://schemas.openxmlformats.org/officeDocument/2006/relationships/hyperlink" Target="https://presse.inserm.fr/lexposition-a-la-pollution-atmospherique-augmente-le-risque-de-donner-naissance-a-des-bebes-de-petit%20poids/9819/" TargetMode="External"/><Relationship Id="rId300" Type="http://schemas.openxmlformats.org/officeDocument/2006/relationships/theme" Target="theme/theme1.xml"/><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07.jpeg"/><Relationship Id="rId156" Type="http://schemas.openxmlformats.org/officeDocument/2006/relationships/image" Target="media/image125.emf"/><Relationship Id="rId177" Type="http://schemas.openxmlformats.org/officeDocument/2006/relationships/chart" Target="charts/chart21.xml"/><Relationship Id="rId198" Type="http://schemas.openxmlformats.org/officeDocument/2006/relationships/chart" Target="charts/chart42.xml"/><Relationship Id="rId202" Type="http://schemas.openxmlformats.org/officeDocument/2006/relationships/chart" Target="charts/chart46.xml"/><Relationship Id="rId223" Type="http://schemas.openxmlformats.org/officeDocument/2006/relationships/image" Target="media/image145.png"/><Relationship Id="rId244" Type="http://schemas.microsoft.com/office/2007/relationships/hdphoto" Target="media/hdphoto11.wdp"/><Relationship Id="rId18" Type="http://schemas.openxmlformats.org/officeDocument/2006/relationships/hyperlink" Target="http://www.fao.org" TargetMode="External"/><Relationship Id="rId39" Type="http://schemas.openxmlformats.org/officeDocument/2006/relationships/image" Target="media/image25.png"/><Relationship Id="rId265" Type="http://schemas.openxmlformats.org/officeDocument/2006/relationships/hyperlink" Target="https://m.facebook.com/p/Observatoire-National-du-D%C3%A9veloppement-Durable-ONDD-100068840530906/" TargetMode="External"/><Relationship Id="rId286" Type="http://schemas.openxmlformats.org/officeDocument/2006/relationships/hyperlink" Target="https://www.researchgate.net/publication/358522661" TargetMode="External"/><Relationship Id="rId50" Type="http://schemas.openxmlformats.org/officeDocument/2006/relationships/image" Target="media/image36.png"/><Relationship Id="rId104" Type="http://schemas.openxmlformats.org/officeDocument/2006/relationships/image" Target="media/image88.png"/><Relationship Id="rId125" Type="http://schemas.openxmlformats.org/officeDocument/2006/relationships/chart" Target="charts/chart6.xml"/><Relationship Id="rId146" Type="http://schemas.openxmlformats.org/officeDocument/2006/relationships/image" Target="media/image116.emf"/><Relationship Id="rId167" Type="http://schemas.openxmlformats.org/officeDocument/2006/relationships/image" Target="media/image130.png"/><Relationship Id="rId188" Type="http://schemas.openxmlformats.org/officeDocument/2006/relationships/chart" Target="charts/chart32.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oleObject" Target="file:///D:\001-2024-%20REEB%205\Documents\R&#233;sultats%20INO_2023%20Version%20finale%20.xlsb"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Users\Roger%20KISSOU\Desktop\DATA\Documentation%20REEB%205\Courbe_feu.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C:\Users\Roger%20KISSOU\Desktop\DATA\Documentation%20REEB%205\Courbe_superficie_cereale1.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user\Desktop\REEB%205.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C:\Users\user\Desktop\REEB%205.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C:\Users\user\Desktop\REEB%205.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C:\Users\user\Desktop\REEB%205.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C:\Users\user\Desktop\REEB%205.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C:\Users\user\Desktop\REEB%205.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F:\SANOU\2018\Divers\Perso\Consultations\RGN\Donnees%20Nazinga\Statistiques\Stat_de_base.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2.xml"/><Relationship Id="rId4" Type="http://schemas.openxmlformats.org/officeDocument/2006/relationships/oleObject" Target="file:///D:\001-2024-%20REEB%205\Documents\R&#233;sultats%20INO_2023%20Version%20finale%20.xlsb"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F:\SANOU\2018\Divers\Perso\Consultations\RGN\Donnees%20Nazinga\Statistiques\Stat_de_base.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F:\SANOU\2018\Divers\Perso\Consultations\RGN\Donnees%20Nazinga\Statistiques\Stat_de_base.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F:\SANOU\2018\Divers\Perso\Consultations\RGN\Donnees%20Nazinga\Statistiques\Stat_de_base.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file:///F:\SANOU\2018\Divers\Perso\Consultations\RGN\Donnees%20Nazinga\Statistiques\Stat_de_base.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file:///F:\SANOU\2018\Divers\Perso\Consultations\RGN\Donnees%20Nazinga\Statistiques\Stat_de_base.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file:///F:\SANOU\2018\Divers\Perso\Consultations\RGN\Donnees%20Nazinga\Statistiques\Stat_de_base.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file:///F:\SANOU\2018\Divers\Perso\Consultations\RGN\Donnees%20Nazinga\Statistiques\Stat_de_base.xlsx"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file:///F:\SANOU\2018\Divers\Perso\Consultations\RGN\Donnees%20Nazinga\Statistiques\Stat_de_base.xlsx"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file:///F:\SANOU\2018\Divers\Perso\Consultations\RGN\Donnees%20Nazinga\Statistiques\Stat_de_base.xlsx" TargetMode="Externa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file:///F:\SANOU\2018\Divers\Perso\Consultations\RGN\Donnees%20Nazinga\Statistiques\Stat_de_base.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D:\001-2024-%20REEB%205\Documents\R&#233;sultats%20INO_2023%20Version%20finale%20.xlsb" TargetMode="Externa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oleObject" Target="file:///F:\SANOU\2018\Divers\Perso\Consultations\RGN\Donnees%20Nazinga\Statistiques\Stat_de_base.xlsx" TargetMode="Externa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oleObject" Target="file:///F:\SANOU\2018\Divers\Perso\Consultations\RGN\Donnees%20Nazinga\Statistiques\Stat_de_base.xlsx" TargetMode="Externa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oleObject" Target="file:///F:\SANOU\2018\Divers\Perso\Consultations\RGN\Donnees%20Nazinga\Statistiques\Stat_de_base.xlsx" TargetMode="Externa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oleObject" Target="file:///F:\SANOU\2018\Divers\Perso\Consultations\RGN\Donnees%20Nazinga\Statistiques\Stat_de_base.xlsx" TargetMode="External"/></Relationships>
</file>

<file path=word/charts/_rels/chart34.xml.rels><?xml version="1.0" encoding="UTF-8" standalone="yes"?>
<Relationships xmlns="http://schemas.openxmlformats.org/package/2006/relationships"><Relationship Id="rId2" Type="http://schemas.openxmlformats.org/officeDocument/2006/relationships/oleObject" Target="file:///C:\Users\TOU\Documents\TOU%20Docs\Docs%20TOU_Gombo\2018\PAPSA_Rapports%20Inventaires%20CL\Synth&#232;se%2013%20Sept%202018.xlsx" TargetMode="External"/><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oleObject" Target="file:///C:\Users\TOU\Documents\TOU%20Docs\Docs%20TOU_Gombo\2018\PAPSA_Rapports%20Inventaires%20CL\Synth&#232;se%2013%20Sept%202018.xlsx" TargetMode="External"/><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oleObject" Target="file:///C:\Users\TOU\Documents\TOU%20Docs\Docs%20TOU_Gombo\2018\PAPSA_Rapports%20Inventaires%20CL\Synth&#232;se%2013%20Sept%202018.xlsx" TargetMode="External"/><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oleObject" Target="file:///C:\Users\TOU\Documents\TOU%20Docs\Docs%20TOU_Gombo\2018\PAPSA_Rapports%20Inventaires%20CL\Synth&#232;se%2013%20Sept%202018.xlsx" TargetMode="External"/><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oleObject" Target="file:///C:\Users\TOU\Documents\TOU%20Docs\Docs%20TOU_Gombo\2018\PAPSA_Rapports%20Inventaires%20CL\Synth&#232;se%2013%20Sept%202018.xlsx" TargetMode="External"/><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oleObject" Target="file:///C:\Users\TOU\Documents\TOU%20Docs\Docs%20TOU_Gombo\2018\PAPSA_Rapports%20Inventaires%20CL\Synth&#232;se%2013%20Sept%202018.xlsx" TargetMode="External"/><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D:\001-2024-%20REEB%205\Documents\R&#233;sultats%20INO_2023%20Version%20finale%20.xlsb" TargetMode="External"/></Relationships>
</file>

<file path=word/charts/_rels/chart40.xml.rels><?xml version="1.0" encoding="UTF-8" standalone="yes"?>
<Relationships xmlns="http://schemas.openxmlformats.org/package/2006/relationships"><Relationship Id="rId2" Type="http://schemas.openxmlformats.org/officeDocument/2006/relationships/oleObject" Target="file:///C:\Users\TOU\Documents\TOU%20Docs\Docs%20TOU_Gombo\2018\PAPSA_Rapports%20Inventaires%20CL\Synth&#232;se%2013%20Sept%202018.xlsx" TargetMode="External"/><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2" Type="http://schemas.openxmlformats.org/officeDocument/2006/relationships/oleObject" Target="file:///C:\Users\TOU\Documents\TOU%20Docs\Docs%20TOU_Gombo\2018\PAPSA_Rapports%20Inventaires%20CL\Synth&#232;se%2013%20Sept%202018.xlsx" TargetMode="External"/><Relationship Id="rId1" Type="http://schemas.openxmlformats.org/officeDocument/2006/relationships/themeOverride" Target="../theme/themeOverride41.xml"/></Relationships>
</file>

<file path=word/charts/_rels/chart42.xml.rels><?xml version="1.0" encoding="UTF-8" standalone="yes"?>
<Relationships xmlns="http://schemas.openxmlformats.org/package/2006/relationships"><Relationship Id="rId2" Type="http://schemas.openxmlformats.org/officeDocument/2006/relationships/oleObject" Target="file:///C:\Users\TOU\Documents\TOU%20Docs\Docs%20TOU_Gombo\2018\PAPSA_Rapports%20Inventaires%20CL\Synth&#232;se%2013%20Sept%202018.xlsx" TargetMode="External"/><Relationship Id="rId1" Type="http://schemas.openxmlformats.org/officeDocument/2006/relationships/themeOverride" Target="../theme/themeOverride42.xml"/></Relationships>
</file>

<file path=word/charts/_rels/chart43.xml.rels><?xml version="1.0" encoding="UTF-8" standalone="yes"?>
<Relationships xmlns="http://schemas.openxmlformats.org/package/2006/relationships"><Relationship Id="rId2" Type="http://schemas.openxmlformats.org/officeDocument/2006/relationships/oleObject" Target="file:///C:\Users\TOU\Documents\TOU%20Docs\Docs%20TOU_Gombo\2018\PAPSA_Rapports%20Inventaires%20CL\Synth&#232;se%2013%20Sept%202018.xlsx" TargetMode="External"/><Relationship Id="rId1" Type="http://schemas.openxmlformats.org/officeDocument/2006/relationships/themeOverride" Target="../theme/themeOverride43.xml"/></Relationships>
</file>

<file path=word/charts/_rels/chart44.xml.rels><?xml version="1.0" encoding="UTF-8" standalone="yes"?>
<Relationships xmlns="http://schemas.openxmlformats.org/package/2006/relationships"><Relationship Id="rId2" Type="http://schemas.openxmlformats.org/officeDocument/2006/relationships/oleObject" Target="file:///C:\Users\TOU\Documents\TOU%20Docs\Docs%20TOU_Gombo\2018\PAPSA_Rapports%20Inventaires%20CL\Synth&#232;se%2013%20Sept%202018.xlsx" TargetMode="External"/><Relationship Id="rId1" Type="http://schemas.openxmlformats.org/officeDocument/2006/relationships/themeOverride" Target="../theme/themeOverride44.xml"/></Relationships>
</file>

<file path=word/charts/_rels/chart45.xml.rels><?xml version="1.0" encoding="UTF-8" standalone="yes"?>
<Relationships xmlns="http://schemas.openxmlformats.org/package/2006/relationships"><Relationship Id="rId2" Type="http://schemas.openxmlformats.org/officeDocument/2006/relationships/oleObject" Target="file:///C:\Users\TOU\Documents\TOU%20Docs\Docs%20TOU_Gombo\2018\PAPSA_Rapports%20Inventaires%20CL\Synth&#232;se%2013%20Sept%202018.xlsx" TargetMode="External"/><Relationship Id="rId1" Type="http://schemas.openxmlformats.org/officeDocument/2006/relationships/themeOverride" Target="../theme/themeOverride45.xml"/></Relationships>
</file>

<file path=word/charts/_rels/chart46.xml.rels><?xml version="1.0" encoding="UTF-8" standalone="yes"?>
<Relationships xmlns="http://schemas.openxmlformats.org/package/2006/relationships"><Relationship Id="rId2" Type="http://schemas.openxmlformats.org/officeDocument/2006/relationships/oleObject" Target="file:///C:\Users\TOU\Documents\TOU%20Docs\Docs%20TOU_Gombo\2018\PAPSA_Rapports%20Inventaires%20CL\Synth&#232;se%2013%20Sept%202018.xlsx" TargetMode="External"/><Relationship Id="rId1" Type="http://schemas.openxmlformats.org/officeDocument/2006/relationships/themeOverride" Target="../theme/themeOverride46.xml"/></Relationships>
</file>

<file path=word/charts/_rels/chart47.xml.rels><?xml version="1.0" encoding="UTF-8" standalone="yes"?>
<Relationships xmlns="http://schemas.openxmlformats.org/package/2006/relationships"><Relationship Id="rId2" Type="http://schemas.openxmlformats.org/officeDocument/2006/relationships/oleObject" Target="file:///C:\Users\TOU\Documents\TOU%20Docs\Docs%20TOU_Gombo\2018\PAPSA_Rapports%20Inventaires%20CL\Synth&#232;se%2013%20Sept%202018.xlsx" TargetMode="External"/><Relationship Id="rId1" Type="http://schemas.openxmlformats.org/officeDocument/2006/relationships/themeOverride" Target="../theme/themeOverride47.xml"/></Relationships>
</file>

<file path=word/charts/_rels/chart48.xml.rels><?xml version="1.0" encoding="UTF-8" standalone="yes"?>
<Relationships xmlns="http://schemas.openxmlformats.org/package/2006/relationships"><Relationship Id="rId2" Type="http://schemas.openxmlformats.org/officeDocument/2006/relationships/oleObject" Target="file:///C:\Users\TOU\Documents\TOU%20Docs\Docs%20TOU_Gombo\2018\PAPSA_Rapports%20Inventaires%20CL\Synth&#232;se%2013%20Sept%202018.xlsx" TargetMode="External"/><Relationship Id="rId1" Type="http://schemas.openxmlformats.org/officeDocument/2006/relationships/themeOverride" Target="../theme/themeOverride48.xml"/></Relationships>
</file>

<file path=word/charts/_rels/chart49.xml.rels><?xml version="1.0" encoding="UTF-8" standalone="yes"?>
<Relationships xmlns="http://schemas.openxmlformats.org/package/2006/relationships"><Relationship Id="rId2" Type="http://schemas.openxmlformats.org/officeDocument/2006/relationships/oleObject" Target="file:///C:\Users\TOU\Documents\TOU%20Docs\Docs%20TOU_Gombo\2018\PAPSA_Rapports%20Inventaires%20CL\Synth&#232;se%2013%20Sept%202018.xlsx" TargetMode="External"/><Relationship Id="rId1" Type="http://schemas.openxmlformats.org/officeDocument/2006/relationships/themeOverride" Target="../theme/themeOverride49.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D:\001-2024-%20REEB%205\Documents\R&#233;sultats%20INO_2023%20Version%20finale%20.xlsb" TargetMode="External"/></Relationships>
</file>

<file path=word/charts/_rels/chart50.xml.rels><?xml version="1.0" encoding="UTF-8" standalone="yes"?>
<Relationships xmlns="http://schemas.openxmlformats.org/package/2006/relationships"><Relationship Id="rId2" Type="http://schemas.openxmlformats.org/officeDocument/2006/relationships/oleObject" Target="file:///C:\Users\TOU\Documents\TOU%20Docs\Docs%20TOU_Gombo\2018\PAPSA_Rapports%20Inventaires%20CL\Synth&#232;se%2013%20Sept%202018.xlsx" TargetMode="External"/><Relationship Id="rId1" Type="http://schemas.openxmlformats.org/officeDocument/2006/relationships/themeOverride" Target="../theme/themeOverride50.xml"/></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oleObject" Target="https://d.docs.live.net/894b30d884b19592/Documents/Dossiers_Etude/Ann&#233;e%202024/Etude%20REEB%20V_Mars%2024/Rapport%20VF00/REEB5_TAF_Calc%20et%20Graphes_090924.xlsx" TargetMode="Externa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https://d.docs.live.net/894b30d884b19592/Documents/Dossiers_Etude/Ann&#233;e%202023/Contrat%20UNIDO_01Nov23/Rapport%20Provisoire_Ao&#251;t24/Documentation/Collecte_de_donn&#233;es_ONUDI-Eliakim_(1)/TAF_Calcul%20GRAPHES_Nombre%20d'arriv&#233;es%20dans%20les%20ETH%20par%20motif%20de%20voyageTAF.xlsx" TargetMode="External"/></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https://d.docs.live.net/894b30d884b19592/Documents/Dossiers_Etude/Ann&#233;e%202024/Etude%20REEB%20V_Mars%2024/Rapport%20VF00/Acc&#232;s%20&#224;%20une%20source%20d'eau%20am&#233;lior&#233;e_Bobo_INSD_2019.xlsx" TargetMode="External"/></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https://d.docs.live.net/894b30d884b19592/Documents/Dossiers_Etude/Ann&#233;e%202024/Etude%20REEB%20V_Mars%2024/Rapport%20VF00/Acc&#232;s%20&#224;%20une%20source%20d'eau%20am&#233;lior&#233;e_Bobo_INSD_2019.xlsx" TargetMode="External"/></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https://d.docs.live.net/894b30d884b19592/Documents/Dossiers_Etude/Ann&#233;e%202024/Etude%20REEB%20V_Mars%2024/Rapport%20VF00/Acc&#232;s%20&#224;%20une%20source%20d'eau%20am&#233;lior&#233;e_Bobo_INSD_2019.xlsx" TargetMode="Externa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https://d.docs.live.net/894b30d884b19592/Documents/Dossiers_Etude/Ann&#233;e%202024/Etude%20REEB%20V_Mars%2024/Rapport%20VF00/Acc&#232;s%20&#224;%20une%20source%20d'eau%20am&#233;lior&#233;e_Bobo_INSD_2019.xlsx" TargetMode="External"/></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https://d.docs.live.net/894b30d884b19592/Documents/Dossiers_Etude/Ann&#233;e%202023/Contrat%20UNIDO_01Nov23/Rapport%20Provisoire_Ao&#251;t24/Documentation/Collecte_de_donn&#233;es_ONUDI-Eliakim_(1)/TAF_Calcul%20GRAPHES_Nombre%20d'arriv&#233;es%20dans%20les%20ETH%20par%20motif%20de%20voyageTAF.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D:\001-2024-%20REEB%205\Documents\R&#233;sultats%20INO_2023%20Version%20finale%20.xlsb"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HP\Desktop\DGA\DGA%202018\RAPPORTS%20BILAN\CNP%202018\CNP%202018\Brouillon%20calcul%202017%20-2018.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HP\Desktop\DGA\DGA%202018\RAPPORTS%20BILAN\CNP%202018\CNP%202018\Brouillon%20calcul%202017%20-2018.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HP\Desktop\DGA\DGA%202018\RAPPORTS%20BILAN\CNP%202018\CNP%202018\Brouillon%20calcul%202017%20-201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tx>
            <c:strRef>
              <c:f>'3_Réalisation 2016_2023'!$C$99:$H$99</c:f>
              <c:strCache>
                <c:ptCount val="6"/>
                <c:pt idx="0">
                  <c:v>Taux d'accès à l'eau potable - en milieu rural (en %)</c:v>
                </c:pt>
              </c:strCache>
            </c:strRef>
          </c:tx>
          <c:spPr>
            <a:solidFill>
              <a:srgbClr val="00B0F0"/>
            </a:solidFill>
            <a:ln>
              <a:noFill/>
            </a:ln>
            <a:effectLst/>
            <a:scene3d>
              <a:camera prst="orthographicFront"/>
              <a:lightRig rig="threePt" dir="t"/>
            </a:scene3d>
            <a:sp3d>
              <a:bevelT w="190500" h="38100"/>
            </a:sp3d>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fr-BF"/>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'3_Réalisation 2016_2023'!$D$101:$K$101</c:f>
              <c:numCache>
                <c:formatCode>General</c:formatCode>
                <c:ptCount val="8"/>
                <c:pt idx="0">
                  <c:v>2016</c:v>
                </c:pt>
                <c:pt idx="1">
                  <c:v>2017</c:v>
                </c:pt>
                <c:pt idx="2">
                  <c:v>2018</c:v>
                </c:pt>
                <c:pt idx="3">
                  <c:v>2019</c:v>
                </c:pt>
                <c:pt idx="4">
                  <c:v>2020</c:v>
                </c:pt>
                <c:pt idx="5">
                  <c:v>2021</c:v>
                </c:pt>
                <c:pt idx="6">
                  <c:v>2022</c:v>
                </c:pt>
                <c:pt idx="7">
                  <c:v>2023</c:v>
                </c:pt>
              </c:numCache>
            </c:numRef>
          </c:cat>
          <c:val>
            <c:numRef>
              <c:f>'3_Réalisation 2016_2023'!$D$115:$K$115</c:f>
              <c:numCache>
                <c:formatCode>_-* #\ ##0.0\ _€_-;\-* #\ ##0.0\ _€_-;_-* "-"??\ _€_-;_-@_-</c:formatCode>
                <c:ptCount val="8"/>
                <c:pt idx="0">
                  <c:v>65.3</c:v>
                </c:pt>
                <c:pt idx="1">
                  <c:v>66.2</c:v>
                </c:pt>
                <c:pt idx="2">
                  <c:v>67.3</c:v>
                </c:pt>
                <c:pt idx="3">
                  <c:v>68.400000000000006</c:v>
                </c:pt>
                <c:pt idx="4">
                  <c:v>69.5</c:v>
                </c:pt>
                <c:pt idx="5">
                  <c:v>69.5</c:v>
                </c:pt>
                <c:pt idx="6">
                  <c:v>69.599999999999994</c:v>
                </c:pt>
                <c:pt idx="7">
                  <c:v>71.3</c:v>
                </c:pt>
              </c:numCache>
            </c:numRef>
          </c:val>
          <c:extLst>
            <c:ext xmlns:c16="http://schemas.microsoft.com/office/drawing/2014/chart" uri="{C3380CC4-5D6E-409C-BE32-E72D297353CC}">
              <c16:uniqueId val="{00000000-3BE9-45FB-9E59-FFA388A3798F}"/>
            </c:ext>
          </c:extLst>
        </c:ser>
        <c:dLbls>
          <c:showLegendKey val="0"/>
          <c:showVal val="0"/>
          <c:showCatName val="0"/>
          <c:showSerName val="0"/>
          <c:showPercent val="0"/>
          <c:showBubbleSize val="0"/>
        </c:dLbls>
        <c:gapWidth val="219"/>
        <c:axId val="675289064"/>
        <c:axId val="675294104"/>
      </c:barChart>
      <c:catAx>
        <c:axId val="675289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BF"/>
          </a:p>
        </c:txPr>
        <c:crossAx val="675294104"/>
        <c:crosses val="autoZero"/>
        <c:auto val="1"/>
        <c:lblAlgn val="ctr"/>
        <c:lblOffset val="100"/>
        <c:noMultiLvlLbl val="0"/>
      </c:catAx>
      <c:valAx>
        <c:axId val="675294104"/>
        <c:scaling>
          <c:orientation val="minMax"/>
        </c:scaling>
        <c:delete val="0"/>
        <c:axPos val="l"/>
        <c:majorGridlines>
          <c:spPr>
            <a:ln w="9525" cap="flat" cmpd="sng" algn="ctr">
              <a:solidFill>
                <a:schemeClr val="tx1">
                  <a:lumMod val="15000"/>
                  <a:lumOff val="85000"/>
                </a:schemeClr>
              </a:solidFill>
              <a:round/>
            </a:ln>
            <a:effectLst/>
          </c:spPr>
        </c:majorGridlines>
        <c:numFmt formatCode="_-* #\ ##0.0\ _€_-;\-* #\ ##0.0\ _€_-;_-* &quot;-&quot;??\ _€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BF"/>
          </a:p>
        </c:txPr>
        <c:crossAx val="675289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userShapes r:id="rId5"/>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580002218032605"/>
          <c:y val="0.12913974276347132"/>
          <c:w val="0.85219685039370074"/>
          <c:h val="0.62797685431669792"/>
        </c:manualLayout>
      </c:layout>
      <c:lineChart>
        <c:grouping val="standard"/>
        <c:varyColors val="0"/>
        <c:ser>
          <c:idx val="0"/>
          <c:order val="0"/>
          <c:tx>
            <c:strRef>
              <c:f>Feuil1!$A$3</c:f>
              <c:strCache>
                <c:ptCount val="1"/>
                <c:pt idx="0">
                  <c:v>Total NORD-SOUDANIEN</c:v>
                </c:pt>
              </c:strCache>
            </c:strRef>
          </c:tx>
          <c:spPr>
            <a:ln w="28575" cap="rnd">
              <a:solidFill>
                <a:schemeClr val="accent1"/>
              </a:solidFill>
              <a:round/>
            </a:ln>
            <a:effectLst/>
          </c:spPr>
          <c:marker>
            <c:symbol val="none"/>
          </c:marker>
          <c:trendline>
            <c:spPr>
              <a:ln w="31750" cap="rnd">
                <a:solidFill>
                  <a:schemeClr val="accent1"/>
                </a:solidFill>
                <a:prstDash val="dash"/>
              </a:ln>
              <a:effectLst/>
            </c:spPr>
            <c:trendlineType val="linear"/>
            <c:dispRSqr val="0"/>
            <c:dispEq val="0"/>
          </c:trendline>
          <c:cat>
            <c:strRef>
              <c:f>Feuil1!$B$2:$E$2</c:f>
              <c:strCache>
                <c:ptCount val="4"/>
                <c:pt idx="0">
                  <c:v>2019-2020</c:v>
                </c:pt>
                <c:pt idx="1">
                  <c:v>2020-2021</c:v>
                </c:pt>
                <c:pt idx="2">
                  <c:v>2021-2022</c:v>
                </c:pt>
                <c:pt idx="3">
                  <c:v>2022-2023</c:v>
                </c:pt>
              </c:strCache>
            </c:strRef>
          </c:cat>
          <c:val>
            <c:numRef>
              <c:f>Feuil1!$B$3:$E$3</c:f>
              <c:numCache>
                <c:formatCode>General</c:formatCode>
                <c:ptCount val="4"/>
                <c:pt idx="0">
                  <c:v>52191.560058674768</c:v>
                </c:pt>
                <c:pt idx="1">
                  <c:v>82213.168849770213</c:v>
                </c:pt>
                <c:pt idx="2">
                  <c:v>74212.202823808111</c:v>
                </c:pt>
                <c:pt idx="3">
                  <c:v>49534.904917780157</c:v>
                </c:pt>
              </c:numCache>
            </c:numRef>
          </c:val>
          <c:smooth val="0"/>
          <c:extLst>
            <c:ext xmlns:c16="http://schemas.microsoft.com/office/drawing/2014/chart" uri="{C3380CC4-5D6E-409C-BE32-E72D297353CC}">
              <c16:uniqueId val="{00000001-F5AB-4505-90C6-D9C170DF3B79}"/>
            </c:ext>
          </c:extLst>
        </c:ser>
        <c:ser>
          <c:idx val="1"/>
          <c:order val="1"/>
          <c:tx>
            <c:strRef>
              <c:f>Feuil1!$A$4</c:f>
              <c:strCache>
                <c:ptCount val="1"/>
                <c:pt idx="0">
                  <c:v>Total SAHELIEN STRICT</c:v>
                </c:pt>
              </c:strCache>
            </c:strRef>
          </c:tx>
          <c:spPr>
            <a:ln w="28575" cap="rnd">
              <a:solidFill>
                <a:schemeClr val="accent2"/>
              </a:solidFill>
              <a:round/>
            </a:ln>
            <a:effectLst/>
          </c:spPr>
          <c:marker>
            <c:symbol val="none"/>
          </c:marker>
          <c:trendline>
            <c:spPr>
              <a:ln w="31750" cap="rnd">
                <a:solidFill>
                  <a:schemeClr val="accent2"/>
                </a:solidFill>
                <a:prstDash val="dash"/>
              </a:ln>
              <a:effectLst/>
            </c:spPr>
            <c:trendlineType val="linear"/>
            <c:dispRSqr val="0"/>
            <c:dispEq val="0"/>
          </c:trendline>
          <c:cat>
            <c:strRef>
              <c:f>Feuil1!$B$2:$E$2</c:f>
              <c:strCache>
                <c:ptCount val="4"/>
                <c:pt idx="0">
                  <c:v>2019-2020</c:v>
                </c:pt>
                <c:pt idx="1">
                  <c:v>2020-2021</c:v>
                </c:pt>
                <c:pt idx="2">
                  <c:v>2021-2022</c:v>
                </c:pt>
                <c:pt idx="3">
                  <c:v>2022-2023</c:v>
                </c:pt>
              </c:strCache>
            </c:strRef>
          </c:cat>
          <c:val>
            <c:numRef>
              <c:f>Feuil1!$B$4:$E$4</c:f>
              <c:numCache>
                <c:formatCode>General</c:formatCode>
                <c:ptCount val="4"/>
                <c:pt idx="0">
                  <c:v>15255.979561608523</c:v>
                </c:pt>
                <c:pt idx="1">
                  <c:v>33785.751230775881</c:v>
                </c:pt>
                <c:pt idx="2">
                  <c:v>25603.953003730676</c:v>
                </c:pt>
                <c:pt idx="3">
                  <c:v>55220.15728443952</c:v>
                </c:pt>
              </c:numCache>
            </c:numRef>
          </c:val>
          <c:smooth val="0"/>
          <c:extLst>
            <c:ext xmlns:c16="http://schemas.microsoft.com/office/drawing/2014/chart" uri="{C3380CC4-5D6E-409C-BE32-E72D297353CC}">
              <c16:uniqueId val="{00000003-F5AB-4505-90C6-D9C170DF3B79}"/>
            </c:ext>
          </c:extLst>
        </c:ser>
        <c:ser>
          <c:idx val="2"/>
          <c:order val="2"/>
          <c:tx>
            <c:strRef>
              <c:f>Feuil1!$A$5</c:f>
              <c:strCache>
                <c:ptCount val="1"/>
                <c:pt idx="0">
                  <c:v>Total SUB-SAHELIEN</c:v>
                </c:pt>
              </c:strCache>
            </c:strRef>
          </c:tx>
          <c:spPr>
            <a:ln w="28575" cap="rnd">
              <a:solidFill>
                <a:schemeClr val="accent3"/>
              </a:solidFill>
              <a:round/>
            </a:ln>
            <a:effectLst/>
          </c:spPr>
          <c:marker>
            <c:symbol val="none"/>
          </c:marker>
          <c:trendline>
            <c:spPr>
              <a:ln w="31750" cap="rnd">
                <a:solidFill>
                  <a:schemeClr val="accent6"/>
                </a:solidFill>
                <a:prstDash val="dash"/>
              </a:ln>
              <a:effectLst/>
            </c:spPr>
            <c:trendlineType val="linear"/>
            <c:dispRSqr val="0"/>
            <c:dispEq val="0"/>
          </c:trendline>
          <c:cat>
            <c:strRef>
              <c:f>Feuil1!$B$2:$E$2</c:f>
              <c:strCache>
                <c:ptCount val="4"/>
                <c:pt idx="0">
                  <c:v>2019-2020</c:v>
                </c:pt>
                <c:pt idx="1">
                  <c:v>2020-2021</c:v>
                </c:pt>
                <c:pt idx="2">
                  <c:v>2021-2022</c:v>
                </c:pt>
                <c:pt idx="3">
                  <c:v>2022-2023</c:v>
                </c:pt>
              </c:strCache>
            </c:strRef>
          </c:cat>
          <c:val>
            <c:numRef>
              <c:f>Feuil1!$B$5:$E$5</c:f>
              <c:numCache>
                <c:formatCode>General</c:formatCode>
                <c:ptCount val="4"/>
                <c:pt idx="0">
                  <c:v>10163.445995162234</c:v>
                </c:pt>
                <c:pt idx="1">
                  <c:v>33919.350661105382</c:v>
                </c:pt>
                <c:pt idx="2">
                  <c:v>20840.771848987053</c:v>
                </c:pt>
                <c:pt idx="3">
                  <c:v>153934.88005670664</c:v>
                </c:pt>
              </c:numCache>
            </c:numRef>
          </c:val>
          <c:smooth val="0"/>
          <c:extLst>
            <c:ext xmlns:c16="http://schemas.microsoft.com/office/drawing/2014/chart" uri="{C3380CC4-5D6E-409C-BE32-E72D297353CC}">
              <c16:uniqueId val="{00000005-F5AB-4505-90C6-D9C170DF3B79}"/>
            </c:ext>
          </c:extLst>
        </c:ser>
        <c:ser>
          <c:idx val="3"/>
          <c:order val="3"/>
          <c:tx>
            <c:strRef>
              <c:f>Feuil1!$A$6</c:f>
              <c:strCache>
                <c:ptCount val="1"/>
                <c:pt idx="0">
                  <c:v>Total SUD-SOUDANIEN</c:v>
                </c:pt>
              </c:strCache>
            </c:strRef>
          </c:tx>
          <c:spPr>
            <a:ln w="28575" cap="rnd">
              <a:solidFill>
                <a:schemeClr val="tx1"/>
              </a:solidFill>
              <a:round/>
            </a:ln>
            <a:effectLst/>
          </c:spPr>
          <c:marker>
            <c:symbol val="none"/>
          </c:marker>
          <c:trendline>
            <c:spPr>
              <a:ln w="31750" cap="rnd">
                <a:solidFill>
                  <a:schemeClr val="tx1"/>
                </a:solidFill>
                <a:prstDash val="dash"/>
              </a:ln>
              <a:effectLst/>
            </c:spPr>
            <c:trendlineType val="linear"/>
            <c:dispRSqr val="0"/>
            <c:dispEq val="0"/>
          </c:trendline>
          <c:cat>
            <c:strRef>
              <c:f>Feuil1!$B$2:$E$2</c:f>
              <c:strCache>
                <c:ptCount val="4"/>
                <c:pt idx="0">
                  <c:v>2019-2020</c:v>
                </c:pt>
                <c:pt idx="1">
                  <c:v>2020-2021</c:v>
                </c:pt>
                <c:pt idx="2">
                  <c:v>2021-2022</c:v>
                </c:pt>
                <c:pt idx="3">
                  <c:v>2022-2023</c:v>
                </c:pt>
              </c:strCache>
            </c:strRef>
          </c:cat>
          <c:val>
            <c:numRef>
              <c:f>Feuil1!$B$6:$E$6</c:f>
              <c:numCache>
                <c:formatCode>General</c:formatCode>
                <c:ptCount val="4"/>
                <c:pt idx="0">
                  <c:v>238045.2736707383</c:v>
                </c:pt>
                <c:pt idx="1">
                  <c:v>244553.4000578514</c:v>
                </c:pt>
                <c:pt idx="2">
                  <c:v>203596.01898117183</c:v>
                </c:pt>
                <c:pt idx="3">
                  <c:v>238687.04530249847</c:v>
                </c:pt>
              </c:numCache>
            </c:numRef>
          </c:val>
          <c:smooth val="0"/>
          <c:extLst>
            <c:ext xmlns:c16="http://schemas.microsoft.com/office/drawing/2014/chart" uri="{C3380CC4-5D6E-409C-BE32-E72D297353CC}">
              <c16:uniqueId val="{00000007-F5AB-4505-90C6-D9C170DF3B79}"/>
            </c:ext>
          </c:extLst>
        </c:ser>
        <c:dLbls>
          <c:showLegendKey val="0"/>
          <c:showVal val="0"/>
          <c:showCatName val="0"/>
          <c:showSerName val="0"/>
          <c:showPercent val="0"/>
          <c:showBubbleSize val="0"/>
        </c:dLbls>
        <c:smooth val="0"/>
        <c:axId val="668211656"/>
        <c:axId val="668217416"/>
      </c:lineChart>
      <c:catAx>
        <c:axId val="668211656"/>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668217416"/>
        <c:crosses val="autoZero"/>
        <c:auto val="1"/>
        <c:lblAlgn val="ctr"/>
        <c:lblOffset val="100"/>
        <c:noMultiLvlLbl val="0"/>
      </c:catAx>
      <c:valAx>
        <c:axId val="66821741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a:solidFill>
              <a:schemeClr val="tx1"/>
            </a:solidFill>
            <a:prstDash val="soli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668211656"/>
        <c:crosses val="autoZero"/>
        <c:crossBetween val="between"/>
      </c:valAx>
      <c:spPr>
        <a:noFill/>
        <a:ln>
          <a:noFill/>
        </a:ln>
        <a:effectLst/>
      </c:spPr>
    </c:plotArea>
    <c:legend>
      <c:legendPos val="b"/>
      <c:legendEntry>
        <c:idx val="4"/>
        <c:delete val="1"/>
      </c:legendEntry>
      <c:legendEntry>
        <c:idx val="5"/>
        <c:delete val="1"/>
      </c:legendEntry>
      <c:legendEntry>
        <c:idx val="6"/>
        <c:delete val="1"/>
      </c:legendEntry>
      <c:legendEntry>
        <c:idx val="7"/>
        <c:delete val="1"/>
      </c:legendEntry>
      <c:layout>
        <c:manualLayout>
          <c:xMode val="edge"/>
          <c:yMode val="edge"/>
          <c:x val="8.8657957191970727E-2"/>
          <c:y val="0.83516154341917226"/>
          <c:w val="0.84280927384076987"/>
          <c:h val="0.1416905315661165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fr-BF"/>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807726796190136"/>
          <c:y val="0.16169596690796278"/>
          <c:w val="0.842460975664161"/>
          <c:h val="0.65599426752111001"/>
        </c:manualLayout>
      </c:layout>
      <c:lineChart>
        <c:grouping val="standard"/>
        <c:varyColors val="0"/>
        <c:ser>
          <c:idx val="0"/>
          <c:order val="0"/>
          <c:tx>
            <c:strRef>
              <c:f>Feuil1!$A$2</c:f>
              <c:strCache>
                <c:ptCount val="1"/>
                <c:pt idx="0">
                  <c:v>Superficie de céreale en ha</c:v>
                </c:pt>
              </c:strCache>
            </c:strRef>
          </c:tx>
          <c:spPr>
            <a:ln w="28575" cap="rnd">
              <a:solidFill>
                <a:schemeClr val="accent1"/>
              </a:solidFill>
              <a:round/>
            </a:ln>
            <a:effectLst/>
          </c:spPr>
          <c:marker>
            <c:symbol val="none"/>
          </c:marker>
          <c:trendline>
            <c:spPr>
              <a:ln w="31750" cap="rnd">
                <a:solidFill>
                  <a:schemeClr val="accent1"/>
                </a:solidFill>
                <a:prstDash val="dash"/>
              </a:ln>
              <a:effectLst/>
            </c:spPr>
            <c:trendlineType val="linear"/>
            <c:dispRSqr val="0"/>
            <c:dispEq val="0"/>
          </c:trendline>
          <c:cat>
            <c:strRef>
              <c:f>Feuil1!$B$1:$H$1</c:f>
              <c:strCache>
                <c:ptCount val="7"/>
                <c:pt idx="0">
                  <c:v>2016/2017</c:v>
                </c:pt>
                <c:pt idx="1">
                  <c:v>2017/2018</c:v>
                </c:pt>
                <c:pt idx="2">
                  <c:v>2018/2019</c:v>
                </c:pt>
                <c:pt idx="3">
                  <c:v>2019/2020</c:v>
                </c:pt>
                <c:pt idx="4">
                  <c:v>2020/2021</c:v>
                </c:pt>
                <c:pt idx="5">
                  <c:v>2021/2022</c:v>
                </c:pt>
                <c:pt idx="6">
                  <c:v>2022/2023</c:v>
                </c:pt>
              </c:strCache>
            </c:strRef>
          </c:cat>
          <c:val>
            <c:numRef>
              <c:f>Feuil1!$B$2:$H$2</c:f>
              <c:numCache>
                <c:formatCode>_-* #,##0\ _€_-;\-* #,##0\ _€_-;_-* "-"??\ _€_-;_-@_-</c:formatCode>
                <c:ptCount val="7"/>
                <c:pt idx="0">
                  <c:v>4017585.8147527999</c:v>
                </c:pt>
                <c:pt idx="1">
                  <c:v>4026919.0297276257</c:v>
                </c:pt>
                <c:pt idx="2">
                  <c:v>4495791.9888291806</c:v>
                </c:pt>
                <c:pt idx="3">
                  <c:v>4272785.8192224288</c:v>
                </c:pt>
                <c:pt idx="4">
                  <c:v>4104826.7206773129</c:v>
                </c:pt>
                <c:pt idx="5">
                  <c:v>4254016.8060618751</c:v>
                </c:pt>
                <c:pt idx="6">
                  <c:v>4301062.513127734</c:v>
                </c:pt>
              </c:numCache>
            </c:numRef>
          </c:val>
          <c:smooth val="0"/>
          <c:extLst>
            <c:ext xmlns:c16="http://schemas.microsoft.com/office/drawing/2014/chart" uri="{C3380CC4-5D6E-409C-BE32-E72D297353CC}">
              <c16:uniqueId val="{00000001-4624-4410-B026-BC090F0C5A4E}"/>
            </c:ext>
          </c:extLst>
        </c:ser>
        <c:ser>
          <c:idx val="1"/>
          <c:order val="1"/>
          <c:tx>
            <c:strRef>
              <c:f>Feuil1!$A$3</c:f>
              <c:strCache>
                <c:ptCount val="1"/>
                <c:pt idx="0">
                  <c:v>Superficie de Cuture de rente en ha</c:v>
                </c:pt>
              </c:strCache>
            </c:strRef>
          </c:tx>
          <c:spPr>
            <a:ln w="28575" cap="rnd">
              <a:solidFill>
                <a:schemeClr val="accent2"/>
              </a:solidFill>
              <a:round/>
            </a:ln>
            <a:effectLst/>
          </c:spPr>
          <c:marker>
            <c:symbol val="none"/>
          </c:marker>
          <c:trendline>
            <c:spPr>
              <a:ln w="31750" cap="rnd">
                <a:solidFill>
                  <a:schemeClr val="accent2"/>
                </a:solidFill>
                <a:prstDash val="dash"/>
              </a:ln>
              <a:effectLst/>
            </c:spPr>
            <c:trendlineType val="linear"/>
            <c:dispRSqr val="0"/>
            <c:dispEq val="0"/>
          </c:trendline>
          <c:cat>
            <c:strRef>
              <c:f>Feuil1!$B$1:$H$1</c:f>
              <c:strCache>
                <c:ptCount val="7"/>
                <c:pt idx="0">
                  <c:v>2016/2017</c:v>
                </c:pt>
                <c:pt idx="1">
                  <c:v>2017/2018</c:v>
                </c:pt>
                <c:pt idx="2">
                  <c:v>2018/2019</c:v>
                </c:pt>
                <c:pt idx="3">
                  <c:v>2019/2020</c:v>
                </c:pt>
                <c:pt idx="4">
                  <c:v>2020/2021</c:v>
                </c:pt>
                <c:pt idx="5">
                  <c:v>2021/2022</c:v>
                </c:pt>
                <c:pt idx="6">
                  <c:v>2022/2023</c:v>
                </c:pt>
              </c:strCache>
            </c:strRef>
          </c:cat>
          <c:val>
            <c:numRef>
              <c:f>Feuil1!$B$3:$H$3</c:f>
              <c:numCache>
                <c:formatCode>_-* #,##0\ _€_-;\-* #,##0\ _€_-;_-* "-"??\ _€_-;_-@_-</c:formatCode>
                <c:ptCount val="7"/>
                <c:pt idx="0">
                  <c:v>1552465.0479193395</c:v>
                </c:pt>
                <c:pt idx="1">
                  <c:v>1708333.44542254</c:v>
                </c:pt>
                <c:pt idx="2">
                  <c:v>1334553.435308753</c:v>
                </c:pt>
                <c:pt idx="3">
                  <c:v>1739149.803959639</c:v>
                </c:pt>
                <c:pt idx="4">
                  <c:v>1965693.6915717612</c:v>
                </c:pt>
                <c:pt idx="5">
                  <c:v>1744748.58808983</c:v>
                </c:pt>
                <c:pt idx="6">
                  <c:v>1844483.7680077911</c:v>
                </c:pt>
              </c:numCache>
            </c:numRef>
          </c:val>
          <c:smooth val="0"/>
          <c:extLst>
            <c:ext xmlns:c16="http://schemas.microsoft.com/office/drawing/2014/chart" uri="{C3380CC4-5D6E-409C-BE32-E72D297353CC}">
              <c16:uniqueId val="{00000003-4624-4410-B026-BC090F0C5A4E}"/>
            </c:ext>
          </c:extLst>
        </c:ser>
        <c:dLbls>
          <c:showLegendKey val="0"/>
          <c:showVal val="0"/>
          <c:showCatName val="0"/>
          <c:showSerName val="0"/>
          <c:showPercent val="0"/>
          <c:showBubbleSize val="0"/>
        </c:dLbls>
        <c:smooth val="0"/>
        <c:axId val="713683760"/>
        <c:axId val="713676920"/>
      </c:lineChart>
      <c:catAx>
        <c:axId val="713683760"/>
        <c:scaling>
          <c:orientation val="minMax"/>
        </c:scaling>
        <c:delete val="0"/>
        <c:axPos val="b"/>
        <c:numFmt formatCode="General" sourceLinked="1"/>
        <c:majorTickMark val="out"/>
        <c:minorTickMark val="none"/>
        <c:tickLblPos val="nextTo"/>
        <c:spPr>
          <a:noFill/>
          <a:ln w="63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713676920"/>
        <c:crosses val="autoZero"/>
        <c:auto val="1"/>
        <c:lblAlgn val="ctr"/>
        <c:lblOffset val="100"/>
        <c:noMultiLvlLbl val="0"/>
      </c:catAx>
      <c:valAx>
        <c:axId val="713676920"/>
        <c:scaling>
          <c:orientation val="minMax"/>
        </c:scaling>
        <c:delete val="0"/>
        <c:axPos val="l"/>
        <c:majorGridlines>
          <c:spPr>
            <a:ln w="9525" cap="flat" cmpd="sng" algn="ctr">
              <a:solidFill>
                <a:schemeClr val="tx1">
                  <a:lumMod val="15000"/>
                  <a:lumOff val="85000"/>
                </a:schemeClr>
              </a:solidFill>
              <a:round/>
            </a:ln>
            <a:effectLst/>
          </c:spPr>
        </c:majorGridlines>
        <c:numFmt formatCode="_-* #,##0\ _€_-;\-* #,##0\ _€_-;_-* &quot;-&quot;??\ _€_-;_-@_-" sourceLinked="1"/>
        <c:majorTickMark val="out"/>
        <c:minorTickMark val="none"/>
        <c:tickLblPos val="nextTo"/>
        <c:spPr>
          <a:noFill/>
          <a:ln w="6350">
            <a:solidFill>
              <a:schemeClr val="tx1">
                <a:alpha val="94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713683760"/>
        <c:crosses val="autoZero"/>
        <c:crossBetween val="between"/>
      </c:valAx>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Feuil3!$B$1</c:f>
              <c:strCache>
                <c:ptCount val="1"/>
                <c:pt idx="0">
                  <c:v>Population</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numRef>
              <c:f>Feuil3!$A$2:$A$11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Feuil3!$B$2:$B$11</c:f>
              <c:numCache>
                <c:formatCode>#,##0</c:formatCode>
                <c:ptCount val="10"/>
                <c:pt idx="0">
                  <c:v>17322796</c:v>
                </c:pt>
                <c:pt idx="1">
                  <c:v>17880386</c:v>
                </c:pt>
                <c:pt idx="2">
                  <c:v>18450494</c:v>
                </c:pt>
                <c:pt idx="3">
                  <c:v>19034397</c:v>
                </c:pt>
                <c:pt idx="4">
                  <c:v>19632147</c:v>
                </c:pt>
                <c:pt idx="5">
                  <c:v>20244080</c:v>
                </c:pt>
                <c:pt idx="6">
                  <c:v>20505155</c:v>
                </c:pt>
                <c:pt idx="7">
                  <c:v>20818036</c:v>
                </c:pt>
                <c:pt idx="8">
                  <c:v>21455644</c:v>
                </c:pt>
                <c:pt idx="9">
                  <c:v>22100874</c:v>
                </c:pt>
              </c:numCache>
            </c:numRef>
          </c:val>
          <c:extLst>
            <c:ext xmlns:c16="http://schemas.microsoft.com/office/drawing/2014/chart" uri="{C3380CC4-5D6E-409C-BE32-E72D297353CC}">
              <c16:uniqueId val="{00000000-E309-44BC-AA2A-480804D6A508}"/>
            </c:ext>
          </c:extLst>
        </c:ser>
        <c:dLbls>
          <c:showLegendKey val="0"/>
          <c:showVal val="0"/>
          <c:showCatName val="0"/>
          <c:showSerName val="0"/>
          <c:showPercent val="0"/>
          <c:showBubbleSize val="0"/>
        </c:dLbls>
        <c:gapWidth val="219"/>
        <c:overlap val="-27"/>
        <c:axId val="492873320"/>
        <c:axId val="492873712"/>
      </c:barChart>
      <c:lineChart>
        <c:grouping val="standard"/>
        <c:varyColors val="0"/>
        <c:ser>
          <c:idx val="1"/>
          <c:order val="1"/>
          <c:tx>
            <c:strRef>
              <c:f>Feuil3!$C$1</c:f>
              <c:strCache>
                <c:ptCount val="1"/>
                <c:pt idx="0">
                  <c:v>Couverture Forestière</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numRef>
              <c:f>Feuil3!$A$2:$A$11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Feuil3!$C$2:$C$11</c:f>
              <c:numCache>
                <c:formatCode>General</c:formatCode>
                <c:ptCount val="10"/>
                <c:pt idx="0">
                  <c:v>8210419</c:v>
                </c:pt>
                <c:pt idx="1">
                  <c:v>8099419</c:v>
                </c:pt>
                <c:pt idx="2">
                  <c:v>7988419</c:v>
                </c:pt>
                <c:pt idx="3">
                  <c:v>7877419</c:v>
                </c:pt>
                <c:pt idx="4">
                  <c:v>7766419</c:v>
                </c:pt>
                <c:pt idx="5">
                  <c:v>7655419</c:v>
                </c:pt>
                <c:pt idx="6">
                  <c:v>7544419</c:v>
                </c:pt>
                <c:pt idx="7">
                  <c:v>7433419</c:v>
                </c:pt>
                <c:pt idx="8">
                  <c:v>7322419</c:v>
                </c:pt>
                <c:pt idx="9">
                  <c:v>7211419</c:v>
                </c:pt>
              </c:numCache>
            </c:numRef>
          </c:val>
          <c:smooth val="0"/>
          <c:extLst>
            <c:ext xmlns:c16="http://schemas.microsoft.com/office/drawing/2014/chart" uri="{C3380CC4-5D6E-409C-BE32-E72D297353CC}">
              <c16:uniqueId val="{00000001-E309-44BC-AA2A-480804D6A508}"/>
            </c:ext>
          </c:extLst>
        </c:ser>
        <c:dLbls>
          <c:showLegendKey val="0"/>
          <c:showVal val="0"/>
          <c:showCatName val="0"/>
          <c:showSerName val="0"/>
          <c:showPercent val="0"/>
          <c:showBubbleSize val="0"/>
        </c:dLbls>
        <c:marker val="1"/>
        <c:smooth val="0"/>
        <c:axId val="492877240"/>
        <c:axId val="492876456"/>
      </c:lineChart>
      <c:catAx>
        <c:axId val="4928733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fr-BF"/>
          </a:p>
        </c:txPr>
        <c:crossAx val="492873712"/>
        <c:crosses val="autoZero"/>
        <c:auto val="1"/>
        <c:lblAlgn val="ctr"/>
        <c:lblOffset val="100"/>
        <c:noMultiLvlLbl val="0"/>
      </c:catAx>
      <c:valAx>
        <c:axId val="4928737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dk1"/>
                    </a:solidFill>
                    <a:latin typeface="+mn-lt"/>
                    <a:ea typeface="+mn-ea"/>
                    <a:cs typeface="+mn-cs"/>
                  </a:defRPr>
                </a:pPr>
                <a:r>
                  <a:rPr lang="fr-FR"/>
                  <a:t>Effectif de la population</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fr-BF"/>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fr-BF"/>
          </a:p>
        </c:txPr>
        <c:crossAx val="492873320"/>
        <c:crosses val="autoZero"/>
        <c:crossBetween val="between"/>
      </c:valAx>
      <c:valAx>
        <c:axId val="492876456"/>
        <c:scaling>
          <c:orientation val="minMax"/>
        </c:scaling>
        <c:delete val="0"/>
        <c:axPos val="r"/>
        <c:title>
          <c:tx>
            <c:rich>
              <a:bodyPr rot="-5400000" spcFirstLastPara="1" vertOverflow="ellipsis" vert="horz" wrap="square" anchor="ctr" anchorCtr="1"/>
              <a:lstStyle/>
              <a:p>
                <a:pPr>
                  <a:defRPr sz="900" b="0" i="0" u="none" strike="noStrike" kern="1200" baseline="0">
                    <a:solidFill>
                      <a:schemeClr val="dk1"/>
                    </a:solidFill>
                    <a:latin typeface="+mn-lt"/>
                    <a:ea typeface="+mn-ea"/>
                    <a:cs typeface="+mn-cs"/>
                  </a:defRPr>
                </a:pPr>
                <a:r>
                  <a:rPr lang="fr-FR"/>
                  <a:t>Superficie couverture forestière</a:t>
                </a:r>
              </a:p>
            </c:rich>
          </c:tx>
          <c:layout>
            <c:manualLayout>
              <c:xMode val="edge"/>
              <c:yMode val="edge"/>
              <c:x val="0.9383193350831146"/>
              <c:y val="0.10689814814814817"/>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fr-BF"/>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fr-BF"/>
          </a:p>
        </c:txPr>
        <c:crossAx val="492877240"/>
        <c:crosses val="max"/>
        <c:crossBetween val="between"/>
      </c:valAx>
      <c:catAx>
        <c:axId val="492877240"/>
        <c:scaling>
          <c:orientation val="minMax"/>
        </c:scaling>
        <c:delete val="1"/>
        <c:axPos val="b"/>
        <c:numFmt formatCode="General" sourceLinked="1"/>
        <c:majorTickMark val="none"/>
        <c:minorTickMark val="none"/>
        <c:tickLblPos val="nextTo"/>
        <c:crossAx val="49287645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fr-BF"/>
        </a:p>
      </c:txPr>
    </c:legend>
    <c:plotVisOnly val="1"/>
    <c:dispBlanksAs val="gap"/>
    <c:showDLblsOverMax val="0"/>
  </c:chart>
  <c:spPr>
    <a:solidFill>
      <a:schemeClr val="lt1"/>
    </a:solidFill>
    <a:ln w="19050" cap="flat" cmpd="sng" algn="ctr">
      <a:solidFill>
        <a:schemeClr val="tx1"/>
      </a:solidFill>
      <a:prstDash val="solid"/>
      <a:miter lim="800000"/>
    </a:ln>
    <a:effectLst/>
  </c:spPr>
  <c:txPr>
    <a:bodyPr/>
    <a:lstStyle/>
    <a:p>
      <a:pPr>
        <a:defRPr>
          <a:solidFill>
            <a:schemeClr val="dk1"/>
          </a:solidFill>
          <a:latin typeface="+mn-lt"/>
          <a:ea typeface="+mn-ea"/>
          <a:cs typeface="+mn-cs"/>
        </a:defRPr>
      </a:pPr>
      <a:endParaRPr lang="fr-BF"/>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Feuil2!$A$2</c:f>
              <c:strCache>
                <c:ptCount val="1"/>
                <c:pt idx="0">
                  <c:v>Nombre de PV</c:v>
                </c:pt>
              </c:strCache>
            </c:strRef>
          </c:tx>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BF"/>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Feuil2!$B$1:$I$1</c:f>
              <c:numCache>
                <c:formatCode>General</c:formatCode>
                <c:ptCount val="8"/>
                <c:pt idx="0">
                  <c:v>2016</c:v>
                </c:pt>
                <c:pt idx="1">
                  <c:v>2017</c:v>
                </c:pt>
                <c:pt idx="2">
                  <c:v>2018</c:v>
                </c:pt>
                <c:pt idx="3">
                  <c:v>2019</c:v>
                </c:pt>
                <c:pt idx="4">
                  <c:v>2020</c:v>
                </c:pt>
                <c:pt idx="5">
                  <c:v>2021</c:v>
                </c:pt>
                <c:pt idx="6">
                  <c:v>2022</c:v>
                </c:pt>
                <c:pt idx="7">
                  <c:v>2023</c:v>
                </c:pt>
              </c:numCache>
            </c:numRef>
          </c:cat>
          <c:val>
            <c:numRef>
              <c:f>Feuil2!$B$2:$I$2</c:f>
              <c:numCache>
                <c:formatCode>General</c:formatCode>
                <c:ptCount val="8"/>
                <c:pt idx="0">
                  <c:v>76</c:v>
                </c:pt>
                <c:pt idx="1">
                  <c:v>139</c:v>
                </c:pt>
                <c:pt idx="2">
                  <c:v>170</c:v>
                </c:pt>
                <c:pt idx="3">
                  <c:v>209</c:v>
                </c:pt>
                <c:pt idx="4">
                  <c:v>137</c:v>
                </c:pt>
                <c:pt idx="5">
                  <c:v>112</c:v>
                </c:pt>
                <c:pt idx="6">
                  <c:v>156</c:v>
                </c:pt>
                <c:pt idx="7">
                  <c:v>98</c:v>
                </c:pt>
              </c:numCache>
            </c:numRef>
          </c:val>
          <c:smooth val="0"/>
          <c:extLst>
            <c:ext xmlns:c16="http://schemas.microsoft.com/office/drawing/2014/chart" uri="{C3380CC4-5D6E-409C-BE32-E72D297353CC}">
              <c16:uniqueId val="{00000000-EA7A-4105-AD84-2C71DA36219B}"/>
            </c:ext>
          </c:extLst>
        </c:ser>
        <c:dLbls>
          <c:dLblPos val="ctr"/>
          <c:showLegendKey val="0"/>
          <c:showVal val="1"/>
          <c:showCatName val="0"/>
          <c:showSerName val="0"/>
          <c:showPercent val="0"/>
          <c:showBubbleSize val="0"/>
        </c:dLbls>
        <c:marker val="1"/>
        <c:smooth val="0"/>
        <c:axId val="492879200"/>
        <c:axId val="492876848"/>
      </c:lineChart>
      <c:catAx>
        <c:axId val="49287920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fr-BF"/>
          </a:p>
        </c:txPr>
        <c:crossAx val="492876848"/>
        <c:crosses val="autoZero"/>
        <c:auto val="1"/>
        <c:lblAlgn val="ctr"/>
        <c:lblOffset val="100"/>
        <c:noMultiLvlLbl val="0"/>
      </c:catAx>
      <c:valAx>
        <c:axId val="49287684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9287920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BF"/>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Categorie_TF_secteur_Phyto!$B$25</c:f>
              <c:strCache>
                <c:ptCount val="1"/>
                <c:pt idx="0">
                  <c:v>Terres forestières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BF"/>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Categorie_TF_secteur_Phyto!$A$26:$A$29</c:f>
              <c:strCache>
                <c:ptCount val="4"/>
                <c:pt idx="0">
                  <c:v>Secteur Sud Soudanien</c:v>
                </c:pt>
                <c:pt idx="1">
                  <c:v>Secteur Nord Soudanien</c:v>
                </c:pt>
                <c:pt idx="2">
                  <c:v>Secteur Sud Sahelien</c:v>
                </c:pt>
                <c:pt idx="3">
                  <c:v>Secteur Nord Sahelien</c:v>
                </c:pt>
              </c:strCache>
            </c:strRef>
          </c:cat>
          <c:val>
            <c:numRef>
              <c:f>Categorie_TF_secteur_Phyto!$B$26:$B$29</c:f>
              <c:numCache>
                <c:formatCode>#,##0.00</c:formatCode>
                <c:ptCount val="4"/>
                <c:pt idx="0">
                  <c:v>3688391.4357142462</c:v>
                </c:pt>
                <c:pt idx="1">
                  <c:v>2594536.7828529351</c:v>
                </c:pt>
                <c:pt idx="2">
                  <c:v>713817.18429447315</c:v>
                </c:pt>
                <c:pt idx="3">
                  <c:v>214702.43275903229</c:v>
                </c:pt>
              </c:numCache>
            </c:numRef>
          </c:val>
          <c:extLst>
            <c:ext xmlns:c16="http://schemas.microsoft.com/office/drawing/2014/chart" uri="{C3380CC4-5D6E-409C-BE32-E72D297353CC}">
              <c16:uniqueId val="{00000000-9A28-4746-ABCF-98321B1D841B}"/>
            </c:ext>
          </c:extLst>
        </c:ser>
        <c:dLbls>
          <c:showLegendKey val="0"/>
          <c:showVal val="0"/>
          <c:showCatName val="0"/>
          <c:showSerName val="0"/>
          <c:showPercent val="0"/>
          <c:showBubbleSize val="0"/>
        </c:dLbls>
        <c:gapWidth val="219"/>
        <c:overlap val="-27"/>
        <c:axId val="492879592"/>
        <c:axId val="492868224"/>
      </c:barChart>
      <c:catAx>
        <c:axId val="492879592"/>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Zone</a:t>
                </a:r>
                <a:r>
                  <a:rPr lang="en-US" b="1" baseline="0">
                    <a:solidFill>
                      <a:sysClr val="windowText" lastClr="000000"/>
                    </a:solidFill>
                  </a:rPr>
                  <a:t> Phytogéographique</a:t>
                </a:r>
                <a:endParaRPr lang="en-US" b="1">
                  <a:solidFill>
                    <a:sysClr val="windowText" lastClr="000000"/>
                  </a:solidFill>
                </a:endParaRP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fr-BF"/>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BF"/>
          </a:p>
        </c:txPr>
        <c:crossAx val="492868224"/>
        <c:crosses val="autoZero"/>
        <c:auto val="1"/>
        <c:lblAlgn val="ctr"/>
        <c:lblOffset val="100"/>
        <c:noMultiLvlLbl val="0"/>
      </c:catAx>
      <c:valAx>
        <c:axId val="492868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Superficie</a:t>
                </a:r>
                <a:r>
                  <a:rPr lang="en-US" b="1" baseline="0">
                    <a:solidFill>
                      <a:sysClr val="windowText" lastClr="000000"/>
                    </a:solidFill>
                  </a:rPr>
                  <a:t> (ha)</a:t>
                </a:r>
                <a:endParaRPr lang="en-US" b="1">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fr-BF"/>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BF"/>
          </a:p>
        </c:txPr>
        <c:crossAx val="4928795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BF"/>
        </a:p>
      </c:txPr>
    </c:title>
    <c:autoTitleDeleted val="0"/>
    <c:plotArea>
      <c:layout/>
      <c:lineChart>
        <c:grouping val="standard"/>
        <c:varyColors val="0"/>
        <c:ser>
          <c:idx val="0"/>
          <c:order val="0"/>
          <c:tx>
            <c:strRef>
              <c:f>Feuil4!$A$4</c:f>
              <c:strCache>
                <c:ptCount val="1"/>
                <c:pt idx="0">
                  <c:v>Forêt claire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Feuil4!$B$1:$X$1</c:f>
              <c:numCache>
                <c:formatCode>General</c:formatCode>
                <c:ptCount val="2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numCache>
            </c:numRef>
          </c:cat>
          <c:val>
            <c:numRef>
              <c:f>Feuil4!$B$4:$X$4</c:f>
              <c:numCache>
                <c:formatCode>#,##0.00</c:formatCode>
                <c:ptCount val="23"/>
                <c:pt idx="0">
                  <c:v>135944.32000000001</c:v>
                </c:pt>
                <c:pt idx="1">
                  <c:v>135944.32000000001</c:v>
                </c:pt>
                <c:pt idx="2">
                  <c:v>135944.32000000001</c:v>
                </c:pt>
                <c:pt idx="3">
                  <c:v>135944.32000000001</c:v>
                </c:pt>
                <c:pt idx="4">
                  <c:v>135944.32000000001</c:v>
                </c:pt>
                <c:pt idx="5">
                  <c:v>135944.32000000001</c:v>
                </c:pt>
                <c:pt idx="6">
                  <c:v>135944.32000000001</c:v>
                </c:pt>
                <c:pt idx="7">
                  <c:v>135944.32000000001</c:v>
                </c:pt>
                <c:pt idx="8">
                  <c:v>135944.32000000001</c:v>
                </c:pt>
                <c:pt idx="9">
                  <c:v>135944.32000000001</c:v>
                </c:pt>
                <c:pt idx="10">
                  <c:v>135944.32000000001</c:v>
                </c:pt>
                <c:pt idx="11">
                  <c:v>135944.32000000001</c:v>
                </c:pt>
                <c:pt idx="12">
                  <c:v>126589.03</c:v>
                </c:pt>
                <c:pt idx="13">
                  <c:v>123455.74</c:v>
                </c:pt>
                <c:pt idx="14">
                  <c:v>121895.48</c:v>
                </c:pt>
                <c:pt idx="15">
                  <c:v>120316.84</c:v>
                </c:pt>
                <c:pt idx="16">
                  <c:v>120323.23</c:v>
                </c:pt>
                <c:pt idx="17">
                  <c:v>118756.58</c:v>
                </c:pt>
                <c:pt idx="18">
                  <c:v>118756.58</c:v>
                </c:pt>
                <c:pt idx="19">
                  <c:v>115646.39</c:v>
                </c:pt>
                <c:pt idx="20">
                  <c:v>115640.14</c:v>
                </c:pt>
                <c:pt idx="21">
                  <c:v>115640.14</c:v>
                </c:pt>
                <c:pt idx="22">
                  <c:v>115640.14</c:v>
                </c:pt>
              </c:numCache>
            </c:numRef>
          </c:val>
          <c:smooth val="0"/>
          <c:extLst>
            <c:ext xmlns:c16="http://schemas.microsoft.com/office/drawing/2014/chart" uri="{C3380CC4-5D6E-409C-BE32-E72D297353CC}">
              <c16:uniqueId val="{00000000-4D97-412A-95D0-7159DD285FB2}"/>
            </c:ext>
          </c:extLst>
        </c:ser>
        <c:dLbls>
          <c:showLegendKey val="0"/>
          <c:showVal val="0"/>
          <c:showCatName val="0"/>
          <c:showSerName val="0"/>
          <c:showPercent val="0"/>
          <c:showBubbleSize val="0"/>
        </c:dLbls>
        <c:marker val="1"/>
        <c:smooth val="0"/>
        <c:axId val="492869792"/>
        <c:axId val="492881552"/>
      </c:lineChart>
      <c:catAx>
        <c:axId val="492869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492881552"/>
        <c:crosses val="autoZero"/>
        <c:auto val="1"/>
        <c:lblAlgn val="ctr"/>
        <c:lblOffset val="100"/>
        <c:noMultiLvlLbl val="0"/>
      </c:catAx>
      <c:valAx>
        <c:axId val="4928815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4928697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Feuil4!$A$6</c:f>
              <c:strCache>
                <c:ptCount val="1"/>
                <c:pt idx="0">
                  <c:v>Savane arborée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Feuil4!$B$1:$X$1</c:f>
              <c:numCache>
                <c:formatCode>General</c:formatCode>
                <c:ptCount val="2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numCache>
            </c:numRef>
          </c:cat>
          <c:val>
            <c:numRef>
              <c:f>Feuil4!$B$6:$X$6</c:f>
              <c:numCache>
                <c:formatCode>#,##0.00</c:formatCode>
                <c:ptCount val="23"/>
                <c:pt idx="0">
                  <c:v>5616994.6100000003</c:v>
                </c:pt>
                <c:pt idx="1">
                  <c:v>5601425.4400000004</c:v>
                </c:pt>
                <c:pt idx="2">
                  <c:v>5557788.6699999999</c:v>
                </c:pt>
                <c:pt idx="3">
                  <c:v>5471869.8899999997</c:v>
                </c:pt>
                <c:pt idx="4">
                  <c:v>5404690.1500000004</c:v>
                </c:pt>
                <c:pt idx="5">
                  <c:v>5331257.95</c:v>
                </c:pt>
                <c:pt idx="6">
                  <c:v>5281352.8499999996</c:v>
                </c:pt>
                <c:pt idx="7">
                  <c:v>5203360.9400000004</c:v>
                </c:pt>
                <c:pt idx="8">
                  <c:v>5150381.34</c:v>
                </c:pt>
                <c:pt idx="9">
                  <c:v>5066285.25</c:v>
                </c:pt>
                <c:pt idx="10">
                  <c:v>4966487.96</c:v>
                </c:pt>
                <c:pt idx="11">
                  <c:v>4889998.7</c:v>
                </c:pt>
                <c:pt idx="12">
                  <c:v>4777674.32</c:v>
                </c:pt>
                <c:pt idx="13">
                  <c:v>4599855.3</c:v>
                </c:pt>
                <c:pt idx="14">
                  <c:v>4509181.28</c:v>
                </c:pt>
                <c:pt idx="15">
                  <c:v>4440424.49</c:v>
                </c:pt>
                <c:pt idx="16">
                  <c:v>4326390.3099999996</c:v>
                </c:pt>
                <c:pt idx="17">
                  <c:v>4237447.04</c:v>
                </c:pt>
                <c:pt idx="18">
                  <c:v>4207833.3600000003</c:v>
                </c:pt>
                <c:pt idx="19">
                  <c:v>4123630.5</c:v>
                </c:pt>
                <c:pt idx="20">
                  <c:v>4039292.87</c:v>
                </c:pt>
                <c:pt idx="21">
                  <c:v>3984671.31</c:v>
                </c:pt>
                <c:pt idx="22">
                  <c:v>3961316.64</c:v>
                </c:pt>
              </c:numCache>
            </c:numRef>
          </c:val>
          <c:smooth val="0"/>
          <c:extLst>
            <c:ext xmlns:c16="http://schemas.microsoft.com/office/drawing/2014/chart" uri="{C3380CC4-5D6E-409C-BE32-E72D297353CC}">
              <c16:uniqueId val="{00000000-53F0-45FB-872B-4E6F0D26740C}"/>
            </c:ext>
          </c:extLst>
        </c:ser>
        <c:dLbls>
          <c:showLegendKey val="0"/>
          <c:showVal val="0"/>
          <c:showCatName val="0"/>
          <c:showSerName val="0"/>
          <c:showPercent val="0"/>
          <c:showBubbleSize val="0"/>
        </c:dLbls>
        <c:marker val="1"/>
        <c:smooth val="0"/>
        <c:axId val="543952016"/>
        <c:axId val="543949664"/>
      </c:lineChart>
      <c:catAx>
        <c:axId val="54395201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fr-FR"/>
                  <a:t>Année</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BF"/>
          </a:p>
        </c:txPr>
        <c:crossAx val="543949664"/>
        <c:crosses val="autoZero"/>
        <c:auto val="1"/>
        <c:lblAlgn val="ctr"/>
        <c:lblOffset val="100"/>
        <c:noMultiLvlLbl val="0"/>
      </c:catAx>
      <c:valAx>
        <c:axId val="5439496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fr-FR"/>
                  <a:t>Superficie en ha</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BF"/>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BF"/>
          </a:p>
        </c:txPr>
        <c:crossAx val="5439520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1"/>
      </a:pPr>
      <a:endParaRPr lang="fr-BF"/>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Feuil4!$A$5</c:f>
              <c:strCache>
                <c:ptCount val="1"/>
                <c:pt idx="0">
                  <c:v>Steppe arborée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Feuil4!$B$1:$X$1</c:f>
              <c:numCache>
                <c:formatCode>General</c:formatCode>
                <c:ptCount val="2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numCache>
            </c:numRef>
          </c:cat>
          <c:val>
            <c:numRef>
              <c:f>Feuil4!$B$5:$X$5</c:f>
              <c:numCache>
                <c:formatCode>#,##0.00</c:formatCode>
                <c:ptCount val="23"/>
                <c:pt idx="0">
                  <c:v>1040077.73</c:v>
                </c:pt>
                <c:pt idx="1">
                  <c:v>1036971.43</c:v>
                </c:pt>
                <c:pt idx="2">
                  <c:v>1033879.08</c:v>
                </c:pt>
                <c:pt idx="3">
                  <c:v>1026131.83</c:v>
                </c:pt>
                <c:pt idx="4">
                  <c:v>1026131.83</c:v>
                </c:pt>
                <c:pt idx="5">
                  <c:v>1026131.83</c:v>
                </c:pt>
                <c:pt idx="6">
                  <c:v>1023049.94</c:v>
                </c:pt>
                <c:pt idx="7">
                  <c:v>1019950.3</c:v>
                </c:pt>
                <c:pt idx="8">
                  <c:v>1007559.52</c:v>
                </c:pt>
                <c:pt idx="9">
                  <c:v>1002922.51</c:v>
                </c:pt>
                <c:pt idx="10">
                  <c:v>1001355.45</c:v>
                </c:pt>
                <c:pt idx="11">
                  <c:v>999802.3</c:v>
                </c:pt>
                <c:pt idx="12">
                  <c:v>987437.69</c:v>
                </c:pt>
                <c:pt idx="13">
                  <c:v>970383.49</c:v>
                </c:pt>
                <c:pt idx="14">
                  <c:v>965754.77</c:v>
                </c:pt>
                <c:pt idx="15">
                  <c:v>961114.59</c:v>
                </c:pt>
                <c:pt idx="16">
                  <c:v>958001.22</c:v>
                </c:pt>
                <c:pt idx="17">
                  <c:v>934765.67</c:v>
                </c:pt>
                <c:pt idx="18">
                  <c:v>927009.73</c:v>
                </c:pt>
                <c:pt idx="19">
                  <c:v>913071.02</c:v>
                </c:pt>
                <c:pt idx="20">
                  <c:v>909973.21</c:v>
                </c:pt>
                <c:pt idx="21">
                  <c:v>908422.02</c:v>
                </c:pt>
                <c:pt idx="22">
                  <c:v>905322.24</c:v>
                </c:pt>
              </c:numCache>
            </c:numRef>
          </c:val>
          <c:smooth val="0"/>
          <c:extLst>
            <c:ext xmlns:c16="http://schemas.microsoft.com/office/drawing/2014/chart" uri="{C3380CC4-5D6E-409C-BE32-E72D297353CC}">
              <c16:uniqueId val="{00000000-1656-4E75-B19F-6E08A143FB1E}"/>
            </c:ext>
          </c:extLst>
        </c:ser>
        <c:dLbls>
          <c:showLegendKey val="0"/>
          <c:showVal val="0"/>
          <c:showCatName val="0"/>
          <c:showSerName val="0"/>
          <c:showPercent val="0"/>
          <c:showBubbleSize val="0"/>
        </c:dLbls>
        <c:marker val="1"/>
        <c:smooth val="0"/>
        <c:axId val="543950840"/>
        <c:axId val="543950056"/>
      </c:lineChart>
      <c:catAx>
        <c:axId val="5439508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Ann</a:t>
                </a:r>
                <a:r>
                  <a:rPr lang="fr-FR" sz="1000" b="0" i="0" u="none" strike="noStrike" baseline="0">
                    <a:effectLst/>
                  </a:rPr>
                  <a:t>ée</a:t>
                </a:r>
                <a:endParaRPr lang="fr-F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543950056"/>
        <c:crosses val="autoZero"/>
        <c:auto val="1"/>
        <c:lblAlgn val="ctr"/>
        <c:lblOffset val="100"/>
        <c:noMultiLvlLbl val="0"/>
      </c:catAx>
      <c:valAx>
        <c:axId val="5439500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Superficie</a:t>
                </a:r>
                <a:r>
                  <a:rPr lang="fr-FR" baseline="0"/>
                  <a:t> en ha</a:t>
                </a:r>
                <a:endParaRPr lang="fr-F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5439508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Feuil4!$A$2</c:f>
              <c:strCache>
                <c:ptCount val="1"/>
                <c:pt idx="0">
                  <c:v>Forêt galerie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Feuil4!$B$1:$X$1</c:f>
              <c:numCache>
                <c:formatCode>General</c:formatCode>
                <c:ptCount val="2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numCache>
            </c:numRef>
          </c:cat>
          <c:val>
            <c:numRef>
              <c:f>Feuil4!$B$2:$X$2</c:f>
              <c:numCache>
                <c:formatCode>#,##0.00</c:formatCode>
                <c:ptCount val="23"/>
                <c:pt idx="0">
                  <c:v>157387.98000000001</c:v>
                </c:pt>
                <c:pt idx="1">
                  <c:v>157387.98000000001</c:v>
                </c:pt>
                <c:pt idx="2">
                  <c:v>157387.98000000001</c:v>
                </c:pt>
                <c:pt idx="3">
                  <c:v>155834.82999999999</c:v>
                </c:pt>
                <c:pt idx="4">
                  <c:v>152738.06</c:v>
                </c:pt>
                <c:pt idx="5">
                  <c:v>151177.79999999999</c:v>
                </c:pt>
                <c:pt idx="6">
                  <c:v>149624.65</c:v>
                </c:pt>
                <c:pt idx="7">
                  <c:v>148046</c:v>
                </c:pt>
                <c:pt idx="8">
                  <c:v>148046</c:v>
                </c:pt>
                <c:pt idx="9">
                  <c:v>144919.1</c:v>
                </c:pt>
                <c:pt idx="10">
                  <c:v>144908.72</c:v>
                </c:pt>
                <c:pt idx="11">
                  <c:v>143319.62</c:v>
                </c:pt>
                <c:pt idx="12">
                  <c:v>140197.85999999999</c:v>
                </c:pt>
                <c:pt idx="13">
                  <c:v>138612.98000000001</c:v>
                </c:pt>
                <c:pt idx="14">
                  <c:v>137041.59</c:v>
                </c:pt>
                <c:pt idx="15">
                  <c:v>135477.99</c:v>
                </c:pt>
                <c:pt idx="16">
                  <c:v>135477.99</c:v>
                </c:pt>
                <c:pt idx="17">
                  <c:v>132369.91</c:v>
                </c:pt>
                <c:pt idx="18">
                  <c:v>132369.91</c:v>
                </c:pt>
                <c:pt idx="19">
                  <c:v>130825.24</c:v>
                </c:pt>
                <c:pt idx="20">
                  <c:v>130825.24</c:v>
                </c:pt>
                <c:pt idx="21">
                  <c:v>130825.24</c:v>
                </c:pt>
                <c:pt idx="22">
                  <c:v>130825.24</c:v>
                </c:pt>
              </c:numCache>
            </c:numRef>
          </c:val>
          <c:smooth val="0"/>
          <c:extLst>
            <c:ext xmlns:c16="http://schemas.microsoft.com/office/drawing/2014/chart" uri="{C3380CC4-5D6E-409C-BE32-E72D297353CC}">
              <c16:uniqueId val="{00000000-6656-4B7D-AF35-97442739AC6E}"/>
            </c:ext>
          </c:extLst>
        </c:ser>
        <c:dLbls>
          <c:showLegendKey val="0"/>
          <c:showVal val="0"/>
          <c:showCatName val="0"/>
          <c:showSerName val="0"/>
          <c:showPercent val="0"/>
          <c:showBubbleSize val="0"/>
        </c:dLbls>
        <c:marker val="1"/>
        <c:smooth val="0"/>
        <c:axId val="543951624"/>
        <c:axId val="543952408"/>
      </c:lineChart>
      <c:catAx>
        <c:axId val="5439516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Ann</a:t>
                </a:r>
                <a:r>
                  <a:rPr lang="fr-FR" sz="1000" b="0" i="0" u="none" strike="noStrike" baseline="0">
                    <a:effectLst/>
                  </a:rPr>
                  <a:t>ée</a:t>
                </a:r>
                <a:endParaRPr lang="fr-F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543952408"/>
        <c:crosses val="autoZero"/>
        <c:auto val="1"/>
        <c:lblAlgn val="ctr"/>
        <c:lblOffset val="100"/>
        <c:noMultiLvlLbl val="0"/>
      </c:catAx>
      <c:valAx>
        <c:axId val="5439524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Superficie</a:t>
                </a:r>
                <a:r>
                  <a:rPr lang="fr-FR" baseline="0"/>
                  <a:t> en ha</a:t>
                </a:r>
                <a:endParaRPr lang="fr-F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543951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Toute_espece!$B$32</c:f>
              <c:strCache>
                <c:ptCount val="1"/>
                <c:pt idx="0">
                  <c:v>Nbr contact</c:v>
                </c:pt>
              </c:strCache>
            </c:strRef>
          </c:tx>
          <c:spPr>
            <a:ln w="28575" cap="rnd">
              <a:solidFill>
                <a:schemeClr val="accent1"/>
              </a:solidFill>
              <a:prstDash val="lgDash"/>
              <a:round/>
            </a:ln>
            <a:effectLst/>
          </c:spPr>
          <c:marker>
            <c:symbol val="square"/>
            <c:size val="5"/>
            <c:spPr>
              <a:solidFill>
                <a:schemeClr val="accent1"/>
              </a:solidFill>
              <a:ln w="9525">
                <a:solidFill>
                  <a:schemeClr val="accent1"/>
                </a:solidFill>
              </a:ln>
              <a:effectLst/>
            </c:spPr>
          </c:marker>
          <c:cat>
            <c:numRef>
              <c:f>Toute_espece!$A$33:$A$38</c:f>
              <c:numCache>
                <c:formatCode>General</c:formatCode>
                <c:ptCount val="6"/>
                <c:pt idx="0">
                  <c:v>2010</c:v>
                </c:pt>
                <c:pt idx="1">
                  <c:v>2011</c:v>
                </c:pt>
                <c:pt idx="2">
                  <c:v>2012</c:v>
                </c:pt>
                <c:pt idx="3">
                  <c:v>2013</c:v>
                </c:pt>
                <c:pt idx="4">
                  <c:v>2016</c:v>
                </c:pt>
                <c:pt idx="5">
                  <c:v>2017</c:v>
                </c:pt>
              </c:numCache>
            </c:numRef>
          </c:cat>
          <c:val>
            <c:numRef>
              <c:f>Toute_espece!$B$33:$B$38</c:f>
              <c:numCache>
                <c:formatCode>General</c:formatCode>
                <c:ptCount val="6"/>
                <c:pt idx="0">
                  <c:v>309</c:v>
                </c:pt>
                <c:pt idx="1">
                  <c:v>296</c:v>
                </c:pt>
                <c:pt idx="2">
                  <c:v>255</c:v>
                </c:pt>
                <c:pt idx="3">
                  <c:v>211</c:v>
                </c:pt>
                <c:pt idx="4">
                  <c:v>213</c:v>
                </c:pt>
                <c:pt idx="5">
                  <c:v>210</c:v>
                </c:pt>
              </c:numCache>
            </c:numRef>
          </c:val>
          <c:smooth val="1"/>
          <c:extLst>
            <c:ext xmlns:c16="http://schemas.microsoft.com/office/drawing/2014/chart" uri="{C3380CC4-5D6E-409C-BE32-E72D297353CC}">
              <c16:uniqueId val="{00000000-27EC-4BDB-A4BF-15C0508700BB}"/>
            </c:ext>
          </c:extLst>
        </c:ser>
        <c:ser>
          <c:idx val="1"/>
          <c:order val="1"/>
          <c:tx>
            <c:strRef>
              <c:f>Toute_espece!$C$32</c:f>
              <c:strCache>
                <c:ptCount val="1"/>
                <c:pt idx="0">
                  <c:v>Nbr d'individu</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Toute_espece!$A$33:$A$38</c:f>
              <c:numCache>
                <c:formatCode>General</c:formatCode>
                <c:ptCount val="6"/>
                <c:pt idx="0">
                  <c:v>2010</c:v>
                </c:pt>
                <c:pt idx="1">
                  <c:v>2011</c:v>
                </c:pt>
                <c:pt idx="2">
                  <c:v>2012</c:v>
                </c:pt>
                <c:pt idx="3">
                  <c:v>2013</c:v>
                </c:pt>
                <c:pt idx="4">
                  <c:v>2016</c:v>
                </c:pt>
                <c:pt idx="5">
                  <c:v>2017</c:v>
                </c:pt>
              </c:numCache>
            </c:numRef>
          </c:cat>
          <c:val>
            <c:numRef>
              <c:f>Toute_espece!$C$33:$C$38</c:f>
              <c:numCache>
                <c:formatCode>General</c:formatCode>
                <c:ptCount val="6"/>
                <c:pt idx="0">
                  <c:v>1718</c:v>
                </c:pt>
                <c:pt idx="1">
                  <c:v>1449</c:v>
                </c:pt>
                <c:pt idx="2">
                  <c:v>1111</c:v>
                </c:pt>
                <c:pt idx="3">
                  <c:v>1149</c:v>
                </c:pt>
                <c:pt idx="4">
                  <c:v>1274</c:v>
                </c:pt>
                <c:pt idx="5">
                  <c:v>944</c:v>
                </c:pt>
              </c:numCache>
            </c:numRef>
          </c:val>
          <c:smooth val="1"/>
          <c:extLst>
            <c:ext xmlns:c16="http://schemas.microsoft.com/office/drawing/2014/chart" uri="{C3380CC4-5D6E-409C-BE32-E72D297353CC}">
              <c16:uniqueId val="{00000001-27EC-4BDB-A4BF-15C0508700BB}"/>
            </c:ext>
          </c:extLst>
        </c:ser>
        <c:dLbls>
          <c:showLegendKey val="0"/>
          <c:showVal val="0"/>
          <c:showCatName val="0"/>
          <c:showSerName val="0"/>
          <c:showPercent val="0"/>
          <c:showBubbleSize val="0"/>
        </c:dLbls>
        <c:marker val="1"/>
        <c:smooth val="0"/>
        <c:axId val="541695784"/>
        <c:axId val="541698920"/>
      </c:lineChart>
      <c:lineChart>
        <c:grouping val="standard"/>
        <c:varyColors val="0"/>
        <c:ser>
          <c:idx val="2"/>
          <c:order val="2"/>
          <c:tx>
            <c:strRef>
              <c:f>Toute_espece!$D$32</c:f>
              <c:strCache>
                <c:ptCount val="1"/>
                <c:pt idx="0">
                  <c:v>TMG</c:v>
                </c:pt>
              </c:strCache>
            </c:strRef>
          </c:tx>
          <c:spPr>
            <a:ln w="28575" cap="rnd">
              <a:solidFill>
                <a:schemeClr val="accent3"/>
              </a:solidFill>
              <a:prstDash val="sysDot"/>
              <a:round/>
            </a:ln>
            <a:effectLst/>
          </c:spPr>
          <c:marker>
            <c:symbol val="diamond"/>
            <c:size val="5"/>
            <c:spPr>
              <a:solidFill>
                <a:schemeClr val="accent3"/>
              </a:solidFill>
              <a:ln w="9525">
                <a:solidFill>
                  <a:schemeClr val="accent3"/>
                </a:solidFill>
              </a:ln>
              <a:effectLst/>
            </c:spPr>
          </c:marker>
          <c:cat>
            <c:numRef>
              <c:f>Toute_espece!$A$33:$A$38</c:f>
              <c:numCache>
                <c:formatCode>General</c:formatCode>
                <c:ptCount val="6"/>
                <c:pt idx="0">
                  <c:v>2010</c:v>
                </c:pt>
                <c:pt idx="1">
                  <c:v>2011</c:v>
                </c:pt>
                <c:pt idx="2">
                  <c:v>2012</c:v>
                </c:pt>
                <c:pt idx="3">
                  <c:v>2013</c:v>
                </c:pt>
                <c:pt idx="4">
                  <c:v>2016</c:v>
                </c:pt>
                <c:pt idx="5">
                  <c:v>2017</c:v>
                </c:pt>
              </c:numCache>
            </c:numRef>
          </c:cat>
          <c:val>
            <c:numRef>
              <c:f>Toute_espece!$D$33:$D$38</c:f>
              <c:numCache>
                <c:formatCode>0.00</c:formatCode>
                <c:ptCount val="6"/>
                <c:pt idx="0">
                  <c:v>5.5598705501618122</c:v>
                </c:pt>
                <c:pt idx="1">
                  <c:v>4.8952702702702702</c:v>
                </c:pt>
                <c:pt idx="2">
                  <c:v>4.3568627450980388</c:v>
                </c:pt>
                <c:pt idx="3">
                  <c:v>5.4454976303317535</c:v>
                </c:pt>
                <c:pt idx="4">
                  <c:v>5.9812000000000003</c:v>
                </c:pt>
                <c:pt idx="5">
                  <c:v>4.4950000000000001</c:v>
                </c:pt>
              </c:numCache>
            </c:numRef>
          </c:val>
          <c:smooth val="0"/>
          <c:extLst>
            <c:ext xmlns:c16="http://schemas.microsoft.com/office/drawing/2014/chart" uri="{C3380CC4-5D6E-409C-BE32-E72D297353CC}">
              <c16:uniqueId val="{00000002-27EC-4BDB-A4BF-15C0508700BB}"/>
            </c:ext>
          </c:extLst>
        </c:ser>
        <c:dLbls>
          <c:showLegendKey val="0"/>
          <c:showVal val="0"/>
          <c:showCatName val="0"/>
          <c:showSerName val="0"/>
          <c:showPercent val="0"/>
          <c:showBubbleSize val="0"/>
        </c:dLbls>
        <c:marker val="1"/>
        <c:smooth val="0"/>
        <c:axId val="541697744"/>
        <c:axId val="541697352"/>
      </c:lineChart>
      <c:catAx>
        <c:axId val="541695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541698920"/>
        <c:crosses val="autoZero"/>
        <c:auto val="1"/>
        <c:lblAlgn val="ctr"/>
        <c:lblOffset val="100"/>
        <c:tickMarkSkip val="1"/>
        <c:noMultiLvlLbl val="0"/>
      </c:catAx>
      <c:valAx>
        <c:axId val="541698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Nombre de contact et nombre d'individu</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541695784"/>
        <c:crosses val="autoZero"/>
        <c:crossBetween val="between"/>
      </c:valAx>
      <c:valAx>
        <c:axId val="541697352"/>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TMG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541697744"/>
        <c:crosses val="max"/>
        <c:crossBetween val="between"/>
      </c:valAx>
      <c:catAx>
        <c:axId val="541697744"/>
        <c:scaling>
          <c:orientation val="minMax"/>
        </c:scaling>
        <c:delete val="1"/>
        <c:axPos val="b"/>
        <c:numFmt formatCode="General" sourceLinked="1"/>
        <c:majorTickMark val="out"/>
        <c:minorTickMark val="none"/>
        <c:tickLblPos val="nextTo"/>
        <c:crossAx val="5416973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'3_Réalisation 2016_2023'!$C$119:$H$119</c:f>
              <c:strCache>
                <c:ptCount val="6"/>
                <c:pt idx="0">
                  <c:v>Taux d'accès à l'eau potable - en milieu urbain (en %)</c:v>
                </c:pt>
              </c:strCache>
            </c:strRef>
          </c:tx>
          <c:spPr>
            <a:solidFill>
              <a:srgbClr val="00B0F0"/>
            </a:solidFill>
            <a:ln>
              <a:noFill/>
            </a:ln>
            <a:effectLst/>
            <a:scene3d>
              <a:camera prst="orthographicFront"/>
              <a:lightRig rig="threePt" dir="t"/>
            </a:scene3d>
            <a:sp3d>
              <a:bevelT w="190500" h="38100"/>
            </a:sp3d>
          </c:spPr>
          <c:invertIfNegative val="0"/>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fr-BF"/>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'3_Réalisation 2016_2023'!$D$121:$K$121</c:f>
              <c:numCache>
                <c:formatCode>General</c:formatCode>
                <c:ptCount val="8"/>
                <c:pt idx="0">
                  <c:v>2016</c:v>
                </c:pt>
                <c:pt idx="1">
                  <c:v>2017</c:v>
                </c:pt>
                <c:pt idx="2">
                  <c:v>2018</c:v>
                </c:pt>
                <c:pt idx="3">
                  <c:v>2019</c:v>
                </c:pt>
                <c:pt idx="4">
                  <c:v>2020</c:v>
                </c:pt>
                <c:pt idx="5">
                  <c:v>2021</c:v>
                </c:pt>
                <c:pt idx="6">
                  <c:v>2022</c:v>
                </c:pt>
                <c:pt idx="7">
                  <c:v>2023</c:v>
                </c:pt>
              </c:numCache>
            </c:numRef>
          </c:cat>
          <c:val>
            <c:numRef>
              <c:f>'3_Réalisation 2016_2023'!$D$135:$K$135</c:f>
              <c:numCache>
                <c:formatCode>_-* #\ ##0.0\ _€_-;\-* #\ ##0.0\ _€_-;_-* "-"??\ _€_-;_-@_-</c:formatCode>
                <c:ptCount val="8"/>
                <c:pt idx="0">
                  <c:v>91</c:v>
                </c:pt>
                <c:pt idx="1">
                  <c:v>91.7</c:v>
                </c:pt>
                <c:pt idx="2">
                  <c:v>91.1</c:v>
                </c:pt>
                <c:pt idx="3">
                  <c:v>92.9</c:v>
                </c:pt>
                <c:pt idx="4">
                  <c:v>93.3</c:v>
                </c:pt>
                <c:pt idx="5">
                  <c:v>92.192828045796134</c:v>
                </c:pt>
                <c:pt idx="6">
                  <c:v>92</c:v>
                </c:pt>
                <c:pt idx="7">
                  <c:v>92.2</c:v>
                </c:pt>
              </c:numCache>
            </c:numRef>
          </c:val>
          <c:extLst>
            <c:ext xmlns:c16="http://schemas.microsoft.com/office/drawing/2014/chart" uri="{C3380CC4-5D6E-409C-BE32-E72D297353CC}">
              <c16:uniqueId val="{00000000-3EDA-4896-9AC8-89674F37EB84}"/>
            </c:ext>
          </c:extLst>
        </c:ser>
        <c:dLbls>
          <c:showLegendKey val="0"/>
          <c:showVal val="0"/>
          <c:showCatName val="0"/>
          <c:showSerName val="0"/>
          <c:showPercent val="0"/>
          <c:showBubbleSize val="0"/>
        </c:dLbls>
        <c:gapWidth val="219"/>
        <c:axId val="675289064"/>
        <c:axId val="675294104"/>
      </c:barChart>
      <c:catAx>
        <c:axId val="675289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BF"/>
          </a:p>
        </c:txPr>
        <c:crossAx val="675294104"/>
        <c:crosses val="autoZero"/>
        <c:auto val="1"/>
        <c:lblAlgn val="ctr"/>
        <c:lblOffset val="100"/>
        <c:noMultiLvlLbl val="0"/>
      </c:catAx>
      <c:valAx>
        <c:axId val="675294104"/>
        <c:scaling>
          <c:orientation val="minMax"/>
        </c:scaling>
        <c:delete val="0"/>
        <c:axPos val="l"/>
        <c:majorGridlines>
          <c:spPr>
            <a:ln w="9525" cap="flat" cmpd="sng" algn="ctr">
              <a:solidFill>
                <a:schemeClr val="tx1">
                  <a:lumMod val="15000"/>
                  <a:lumOff val="85000"/>
                </a:schemeClr>
              </a:solidFill>
              <a:round/>
            </a:ln>
            <a:effectLst/>
          </c:spPr>
        </c:majorGridlines>
        <c:numFmt formatCode="_-* #\ ##0.0\ _€_-;\-* #\ ##0.0\ _€_-;_-* &quot;-&quot;??\ _€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BF"/>
          </a:p>
        </c:txPr>
        <c:crossAx val="675289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fr-BF"/>
    </a:p>
  </c:txPr>
  <c:externalData r:id="rId4">
    <c:autoUpdate val="0"/>
  </c:externalData>
  <c:userShapes r:id="rId5"/>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fr-FR" sz="1200"/>
              <a:t>Babouin</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fr-BF"/>
        </a:p>
      </c:txPr>
    </c:title>
    <c:autoTitleDeleted val="0"/>
    <c:plotArea>
      <c:layout/>
      <c:scatterChart>
        <c:scatterStyle val="smoothMarker"/>
        <c:varyColors val="0"/>
        <c:ser>
          <c:idx val="1"/>
          <c:order val="1"/>
          <c:tx>
            <c:strRef>
              <c:f>Babouin!$C$27</c:f>
              <c:strCache>
                <c:ptCount val="1"/>
                <c:pt idx="0">
                  <c:v>Nbr d'individu</c:v>
                </c:pt>
              </c:strCache>
            </c:strRef>
          </c:tx>
          <c:spPr>
            <a:ln w="28575" cap="rnd">
              <a:solidFill>
                <a:schemeClr val="accent2"/>
              </a:solidFill>
              <a:round/>
            </a:ln>
            <a:effectLst/>
          </c:spPr>
          <c:marker>
            <c:symbol val="circle"/>
            <c:size val="6"/>
            <c:spPr>
              <a:solidFill>
                <a:schemeClr val="accent2"/>
              </a:solidFill>
              <a:ln w="9525">
                <a:solidFill>
                  <a:schemeClr val="accent2"/>
                </a:solidFill>
              </a:ln>
              <a:effectLst/>
            </c:spPr>
          </c:marker>
          <c:xVal>
            <c:numRef>
              <c:f>Babouin!$A$28:$A$33</c:f>
              <c:numCache>
                <c:formatCode>General</c:formatCode>
                <c:ptCount val="6"/>
                <c:pt idx="0">
                  <c:v>2010</c:v>
                </c:pt>
                <c:pt idx="1">
                  <c:v>2011</c:v>
                </c:pt>
                <c:pt idx="2">
                  <c:v>2012</c:v>
                </c:pt>
                <c:pt idx="3">
                  <c:v>2013</c:v>
                </c:pt>
                <c:pt idx="4">
                  <c:v>2016</c:v>
                </c:pt>
                <c:pt idx="5">
                  <c:v>2017</c:v>
                </c:pt>
              </c:numCache>
            </c:numRef>
          </c:xVal>
          <c:yVal>
            <c:numRef>
              <c:f>Babouin!$C$28:$C$33</c:f>
              <c:numCache>
                <c:formatCode>General</c:formatCode>
                <c:ptCount val="6"/>
                <c:pt idx="0">
                  <c:v>149</c:v>
                </c:pt>
                <c:pt idx="1">
                  <c:v>62</c:v>
                </c:pt>
                <c:pt idx="2">
                  <c:v>60</c:v>
                </c:pt>
                <c:pt idx="3">
                  <c:v>240</c:v>
                </c:pt>
                <c:pt idx="4">
                  <c:v>290</c:v>
                </c:pt>
                <c:pt idx="5">
                  <c:v>105</c:v>
                </c:pt>
              </c:numCache>
            </c:numRef>
          </c:yVal>
          <c:smooth val="1"/>
          <c:extLst>
            <c:ext xmlns:c16="http://schemas.microsoft.com/office/drawing/2014/chart" uri="{C3380CC4-5D6E-409C-BE32-E72D297353CC}">
              <c16:uniqueId val="{00000000-2EA0-4D4B-874F-0B34F1992850}"/>
            </c:ext>
          </c:extLst>
        </c:ser>
        <c:dLbls>
          <c:showLegendKey val="0"/>
          <c:showVal val="0"/>
          <c:showCatName val="0"/>
          <c:showSerName val="0"/>
          <c:showPercent val="0"/>
          <c:showBubbleSize val="0"/>
        </c:dLbls>
        <c:axId val="541699312"/>
        <c:axId val="541696176"/>
      </c:scatterChart>
      <c:scatterChart>
        <c:scatterStyle val="smoothMarker"/>
        <c:varyColors val="0"/>
        <c:ser>
          <c:idx val="0"/>
          <c:order val="0"/>
          <c:tx>
            <c:strRef>
              <c:f>Babouin!$B$27</c:f>
              <c:strCache>
                <c:ptCount val="1"/>
                <c:pt idx="0">
                  <c:v>Nbr contact</c:v>
                </c:pt>
              </c:strCache>
            </c:strRef>
          </c:tx>
          <c:spPr>
            <a:ln w="28575" cap="rnd">
              <a:solidFill>
                <a:schemeClr val="accent1"/>
              </a:solidFill>
              <a:prstDash val="lgDashDotDot"/>
              <a:round/>
            </a:ln>
            <a:effectLst/>
          </c:spPr>
          <c:marker>
            <c:symbol val="square"/>
            <c:size val="5"/>
            <c:spPr>
              <a:solidFill>
                <a:schemeClr val="accent1"/>
              </a:solidFill>
              <a:ln w="9525">
                <a:solidFill>
                  <a:schemeClr val="accent1"/>
                </a:solidFill>
              </a:ln>
              <a:effectLst/>
            </c:spPr>
          </c:marker>
          <c:xVal>
            <c:numRef>
              <c:f>Babouin!$A$28:$A$33</c:f>
              <c:numCache>
                <c:formatCode>General</c:formatCode>
                <c:ptCount val="6"/>
                <c:pt idx="0">
                  <c:v>2010</c:v>
                </c:pt>
                <c:pt idx="1">
                  <c:v>2011</c:v>
                </c:pt>
                <c:pt idx="2">
                  <c:v>2012</c:v>
                </c:pt>
                <c:pt idx="3">
                  <c:v>2013</c:v>
                </c:pt>
                <c:pt idx="4">
                  <c:v>2016</c:v>
                </c:pt>
                <c:pt idx="5">
                  <c:v>2017</c:v>
                </c:pt>
              </c:numCache>
            </c:numRef>
          </c:xVal>
          <c:yVal>
            <c:numRef>
              <c:f>Babouin!$B$28:$B$33</c:f>
              <c:numCache>
                <c:formatCode>General</c:formatCode>
                <c:ptCount val="6"/>
                <c:pt idx="0">
                  <c:v>22</c:v>
                </c:pt>
                <c:pt idx="1">
                  <c:v>13</c:v>
                </c:pt>
                <c:pt idx="2">
                  <c:v>13</c:v>
                </c:pt>
                <c:pt idx="3">
                  <c:v>21</c:v>
                </c:pt>
                <c:pt idx="4">
                  <c:v>24</c:v>
                </c:pt>
                <c:pt idx="5">
                  <c:v>15</c:v>
                </c:pt>
              </c:numCache>
            </c:numRef>
          </c:yVal>
          <c:smooth val="1"/>
          <c:extLst>
            <c:ext xmlns:c16="http://schemas.microsoft.com/office/drawing/2014/chart" uri="{C3380CC4-5D6E-409C-BE32-E72D297353CC}">
              <c16:uniqueId val="{00000001-2EA0-4D4B-874F-0B34F1992850}"/>
            </c:ext>
          </c:extLst>
        </c:ser>
        <c:ser>
          <c:idx val="2"/>
          <c:order val="2"/>
          <c:tx>
            <c:strRef>
              <c:f>Babouin!$D$27</c:f>
              <c:strCache>
                <c:ptCount val="1"/>
                <c:pt idx="0">
                  <c:v>TMG</c:v>
                </c:pt>
              </c:strCache>
            </c:strRef>
          </c:tx>
          <c:spPr>
            <a:ln w="28575" cap="rnd">
              <a:solidFill>
                <a:schemeClr val="accent3"/>
              </a:solidFill>
              <a:prstDash val="sysDot"/>
              <a:round/>
            </a:ln>
            <a:effectLst/>
          </c:spPr>
          <c:marker>
            <c:symbol val="diamond"/>
            <c:size val="5"/>
            <c:spPr>
              <a:solidFill>
                <a:schemeClr val="accent3"/>
              </a:solidFill>
              <a:ln w="9525">
                <a:solidFill>
                  <a:schemeClr val="accent3"/>
                </a:solidFill>
              </a:ln>
              <a:effectLst/>
            </c:spPr>
          </c:marker>
          <c:xVal>
            <c:numRef>
              <c:f>Babouin!$A$28:$A$33</c:f>
              <c:numCache>
                <c:formatCode>General</c:formatCode>
                <c:ptCount val="6"/>
                <c:pt idx="0">
                  <c:v>2010</c:v>
                </c:pt>
                <c:pt idx="1">
                  <c:v>2011</c:v>
                </c:pt>
                <c:pt idx="2">
                  <c:v>2012</c:v>
                </c:pt>
                <c:pt idx="3">
                  <c:v>2013</c:v>
                </c:pt>
                <c:pt idx="4">
                  <c:v>2016</c:v>
                </c:pt>
                <c:pt idx="5">
                  <c:v>2017</c:v>
                </c:pt>
              </c:numCache>
            </c:numRef>
          </c:xVal>
          <c:yVal>
            <c:numRef>
              <c:f>Babouin!$D$28:$D$33</c:f>
              <c:numCache>
                <c:formatCode>0.00</c:formatCode>
                <c:ptCount val="6"/>
                <c:pt idx="0">
                  <c:v>6.7727272727272725</c:v>
                </c:pt>
                <c:pt idx="1">
                  <c:v>4.7692307692307692</c:v>
                </c:pt>
                <c:pt idx="2">
                  <c:v>4.615384615384615</c:v>
                </c:pt>
                <c:pt idx="3">
                  <c:v>11.428571428571429</c:v>
                </c:pt>
                <c:pt idx="4">
                  <c:v>12.083333333333334</c:v>
                </c:pt>
                <c:pt idx="5">
                  <c:v>7</c:v>
                </c:pt>
              </c:numCache>
            </c:numRef>
          </c:yVal>
          <c:smooth val="1"/>
          <c:extLst>
            <c:ext xmlns:c16="http://schemas.microsoft.com/office/drawing/2014/chart" uri="{C3380CC4-5D6E-409C-BE32-E72D297353CC}">
              <c16:uniqueId val="{00000002-2EA0-4D4B-874F-0B34F1992850}"/>
            </c:ext>
          </c:extLst>
        </c:ser>
        <c:dLbls>
          <c:showLegendKey val="0"/>
          <c:showVal val="0"/>
          <c:showCatName val="0"/>
          <c:showSerName val="0"/>
          <c:showPercent val="0"/>
          <c:showBubbleSize val="0"/>
        </c:dLbls>
        <c:axId val="541696960"/>
        <c:axId val="541696568"/>
      </c:scatterChart>
      <c:valAx>
        <c:axId val="541699312"/>
        <c:scaling>
          <c:orientation val="minMax"/>
          <c:max val="2017"/>
          <c:min val="2010"/>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541696176"/>
        <c:crosses val="autoZero"/>
        <c:crossBetween val="midCat"/>
      </c:valAx>
      <c:valAx>
        <c:axId val="541696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Nombre d'individu</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541699312"/>
        <c:crosses val="autoZero"/>
        <c:crossBetween val="midCat"/>
      </c:valAx>
      <c:valAx>
        <c:axId val="54169656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Nombre de contact et TMG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541696960"/>
        <c:crosses val="max"/>
        <c:crossBetween val="midCat"/>
      </c:valAx>
      <c:valAx>
        <c:axId val="541696960"/>
        <c:scaling>
          <c:orientation val="minMax"/>
        </c:scaling>
        <c:delete val="1"/>
        <c:axPos val="b"/>
        <c:numFmt formatCode="General" sourceLinked="1"/>
        <c:majorTickMark val="out"/>
        <c:minorTickMark val="none"/>
        <c:tickLblPos val="nextTo"/>
        <c:crossAx val="541696568"/>
        <c:crosses val="autoZero"/>
        <c:crossBetween val="midCat"/>
      </c:valAx>
      <c:spPr>
        <a:noFill/>
        <a:ln>
          <a:noFill/>
        </a:ln>
        <a:effectLst/>
      </c:spPr>
    </c:plotArea>
    <c:legend>
      <c:legendPos val="b"/>
      <c:layout>
        <c:manualLayout>
          <c:xMode val="edge"/>
          <c:yMode val="edge"/>
          <c:x val="0.1924825021872266"/>
          <c:y val="0.88483741615631384"/>
          <c:w val="0.80751744424450955"/>
          <c:h val="9.080967019556913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fr-FR" sz="1200"/>
              <a:t>Bubale</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fr-BF"/>
        </a:p>
      </c:txPr>
    </c:title>
    <c:autoTitleDeleted val="0"/>
    <c:plotArea>
      <c:layout/>
      <c:scatterChart>
        <c:scatterStyle val="smoothMarker"/>
        <c:varyColors val="0"/>
        <c:ser>
          <c:idx val="0"/>
          <c:order val="0"/>
          <c:tx>
            <c:strRef>
              <c:f>Bubale!$B$41</c:f>
              <c:strCache>
                <c:ptCount val="1"/>
                <c:pt idx="0">
                  <c:v>Nbr contact</c:v>
                </c:pt>
              </c:strCache>
            </c:strRef>
          </c:tx>
          <c:spPr>
            <a:ln w="28575" cap="rnd">
              <a:solidFill>
                <a:schemeClr val="accent1"/>
              </a:solidFill>
              <a:prstDash val="sysDash"/>
              <a:round/>
            </a:ln>
            <a:effectLst/>
          </c:spPr>
          <c:marker>
            <c:symbol val="circle"/>
            <c:size val="5"/>
            <c:spPr>
              <a:solidFill>
                <a:schemeClr val="accent1"/>
              </a:solidFill>
              <a:ln w="9525">
                <a:solidFill>
                  <a:schemeClr val="accent1"/>
                </a:solidFill>
              </a:ln>
              <a:effectLst/>
            </c:spPr>
          </c:marker>
          <c:xVal>
            <c:numRef>
              <c:f>Bubale!$A$42:$A$47</c:f>
              <c:numCache>
                <c:formatCode>General</c:formatCode>
                <c:ptCount val="6"/>
                <c:pt idx="0">
                  <c:v>2010</c:v>
                </c:pt>
                <c:pt idx="1">
                  <c:v>2011</c:v>
                </c:pt>
                <c:pt idx="2">
                  <c:v>2012</c:v>
                </c:pt>
                <c:pt idx="3">
                  <c:v>2013</c:v>
                </c:pt>
                <c:pt idx="4">
                  <c:v>2016</c:v>
                </c:pt>
                <c:pt idx="5">
                  <c:v>2017</c:v>
                </c:pt>
              </c:numCache>
            </c:numRef>
          </c:xVal>
          <c:yVal>
            <c:numRef>
              <c:f>Bubale!$B$42:$B$47</c:f>
              <c:numCache>
                <c:formatCode>General</c:formatCode>
                <c:ptCount val="6"/>
                <c:pt idx="0">
                  <c:v>54</c:v>
                </c:pt>
                <c:pt idx="1">
                  <c:v>34</c:v>
                </c:pt>
                <c:pt idx="2">
                  <c:v>31</c:v>
                </c:pt>
                <c:pt idx="3">
                  <c:v>34</c:v>
                </c:pt>
                <c:pt idx="4">
                  <c:v>36</c:v>
                </c:pt>
                <c:pt idx="5">
                  <c:v>37</c:v>
                </c:pt>
              </c:numCache>
            </c:numRef>
          </c:yVal>
          <c:smooth val="1"/>
          <c:extLst>
            <c:ext xmlns:c16="http://schemas.microsoft.com/office/drawing/2014/chart" uri="{C3380CC4-5D6E-409C-BE32-E72D297353CC}">
              <c16:uniqueId val="{00000000-5F73-4967-A9DE-6623E9BA0F86}"/>
            </c:ext>
          </c:extLst>
        </c:ser>
        <c:ser>
          <c:idx val="1"/>
          <c:order val="1"/>
          <c:tx>
            <c:strRef>
              <c:f>Bubale!$C$41</c:f>
              <c:strCache>
                <c:ptCount val="1"/>
                <c:pt idx="0">
                  <c:v>Nbr d'individu</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xVal>
            <c:numRef>
              <c:f>Bubale!$A$42:$A$47</c:f>
              <c:numCache>
                <c:formatCode>General</c:formatCode>
                <c:ptCount val="6"/>
                <c:pt idx="0">
                  <c:v>2010</c:v>
                </c:pt>
                <c:pt idx="1">
                  <c:v>2011</c:v>
                </c:pt>
                <c:pt idx="2">
                  <c:v>2012</c:v>
                </c:pt>
                <c:pt idx="3">
                  <c:v>2013</c:v>
                </c:pt>
                <c:pt idx="4">
                  <c:v>2016</c:v>
                </c:pt>
                <c:pt idx="5">
                  <c:v>2017</c:v>
                </c:pt>
              </c:numCache>
            </c:numRef>
          </c:xVal>
          <c:yVal>
            <c:numRef>
              <c:f>Bubale!$C$42:$C$47</c:f>
              <c:numCache>
                <c:formatCode>General</c:formatCode>
                <c:ptCount val="6"/>
                <c:pt idx="0">
                  <c:v>369</c:v>
                </c:pt>
                <c:pt idx="1">
                  <c:v>221</c:v>
                </c:pt>
                <c:pt idx="2">
                  <c:v>197</c:v>
                </c:pt>
                <c:pt idx="3">
                  <c:v>172</c:v>
                </c:pt>
                <c:pt idx="4">
                  <c:v>205</c:v>
                </c:pt>
                <c:pt idx="5">
                  <c:v>226</c:v>
                </c:pt>
              </c:numCache>
            </c:numRef>
          </c:yVal>
          <c:smooth val="1"/>
          <c:extLst>
            <c:ext xmlns:c16="http://schemas.microsoft.com/office/drawing/2014/chart" uri="{C3380CC4-5D6E-409C-BE32-E72D297353CC}">
              <c16:uniqueId val="{00000001-5F73-4967-A9DE-6623E9BA0F86}"/>
            </c:ext>
          </c:extLst>
        </c:ser>
        <c:dLbls>
          <c:showLegendKey val="0"/>
          <c:showVal val="0"/>
          <c:showCatName val="0"/>
          <c:showSerName val="0"/>
          <c:showPercent val="0"/>
          <c:showBubbleSize val="0"/>
        </c:dLbls>
        <c:axId val="692010784"/>
        <c:axId val="692008040"/>
      </c:scatterChart>
      <c:scatterChart>
        <c:scatterStyle val="smoothMarker"/>
        <c:varyColors val="0"/>
        <c:ser>
          <c:idx val="2"/>
          <c:order val="2"/>
          <c:tx>
            <c:strRef>
              <c:f>Bubale!$D$41</c:f>
              <c:strCache>
                <c:ptCount val="1"/>
                <c:pt idx="0">
                  <c:v>TMG</c:v>
                </c:pt>
              </c:strCache>
            </c:strRef>
          </c:tx>
          <c:spPr>
            <a:ln w="28575" cap="rnd">
              <a:solidFill>
                <a:schemeClr val="tx1"/>
              </a:solidFill>
              <a:prstDash val="sysDot"/>
              <a:round/>
            </a:ln>
            <a:effectLst/>
          </c:spPr>
          <c:marker>
            <c:symbol val="circle"/>
            <c:size val="5"/>
            <c:spPr>
              <a:solidFill>
                <a:schemeClr val="accent3"/>
              </a:solidFill>
              <a:ln w="9525">
                <a:solidFill>
                  <a:schemeClr val="accent3"/>
                </a:solidFill>
              </a:ln>
              <a:effectLst/>
            </c:spPr>
          </c:marker>
          <c:xVal>
            <c:numRef>
              <c:f>Bubale!$A$42:$A$47</c:f>
              <c:numCache>
                <c:formatCode>General</c:formatCode>
                <c:ptCount val="6"/>
                <c:pt idx="0">
                  <c:v>2010</c:v>
                </c:pt>
                <c:pt idx="1">
                  <c:v>2011</c:v>
                </c:pt>
                <c:pt idx="2">
                  <c:v>2012</c:v>
                </c:pt>
                <c:pt idx="3">
                  <c:v>2013</c:v>
                </c:pt>
                <c:pt idx="4">
                  <c:v>2016</c:v>
                </c:pt>
                <c:pt idx="5">
                  <c:v>2017</c:v>
                </c:pt>
              </c:numCache>
            </c:numRef>
          </c:xVal>
          <c:yVal>
            <c:numRef>
              <c:f>Bubale!$D$42:$D$47</c:f>
              <c:numCache>
                <c:formatCode>0.00</c:formatCode>
                <c:ptCount val="6"/>
                <c:pt idx="0">
                  <c:v>6.833333333333333</c:v>
                </c:pt>
                <c:pt idx="1">
                  <c:v>6.5</c:v>
                </c:pt>
                <c:pt idx="2">
                  <c:v>6.354838709677419</c:v>
                </c:pt>
                <c:pt idx="3">
                  <c:v>5.0588235294117645</c:v>
                </c:pt>
                <c:pt idx="4">
                  <c:v>5.6944444444444446</c:v>
                </c:pt>
                <c:pt idx="5">
                  <c:v>6.1081081081081079</c:v>
                </c:pt>
              </c:numCache>
            </c:numRef>
          </c:yVal>
          <c:smooth val="1"/>
          <c:extLst>
            <c:ext xmlns:c16="http://schemas.microsoft.com/office/drawing/2014/chart" uri="{C3380CC4-5D6E-409C-BE32-E72D297353CC}">
              <c16:uniqueId val="{00000002-5F73-4967-A9DE-6623E9BA0F86}"/>
            </c:ext>
          </c:extLst>
        </c:ser>
        <c:dLbls>
          <c:showLegendKey val="0"/>
          <c:showVal val="0"/>
          <c:showCatName val="0"/>
          <c:showSerName val="0"/>
          <c:showPercent val="0"/>
          <c:showBubbleSize val="0"/>
        </c:dLbls>
        <c:axId val="692010000"/>
        <c:axId val="692008824"/>
      </c:scatterChart>
      <c:valAx>
        <c:axId val="692010784"/>
        <c:scaling>
          <c:orientation val="minMax"/>
          <c:max val="2017"/>
          <c:min val="2010"/>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692008040"/>
        <c:crosses val="autoZero"/>
        <c:crossBetween val="midCat"/>
      </c:valAx>
      <c:valAx>
        <c:axId val="6920080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Nbr</a:t>
                </a:r>
                <a:r>
                  <a:rPr lang="fr-FR" baseline="0"/>
                  <a:t> de contact et Nbr d'individu</a:t>
                </a:r>
                <a:endParaRPr lang="fr-F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692010784"/>
        <c:crosses val="autoZero"/>
        <c:crossBetween val="midCat"/>
      </c:valAx>
      <c:valAx>
        <c:axId val="692008824"/>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TMG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692010000"/>
        <c:crosses val="max"/>
        <c:crossBetween val="midCat"/>
      </c:valAx>
      <c:valAx>
        <c:axId val="692010000"/>
        <c:scaling>
          <c:orientation val="minMax"/>
        </c:scaling>
        <c:delete val="1"/>
        <c:axPos val="b"/>
        <c:numFmt formatCode="General" sourceLinked="1"/>
        <c:majorTickMark val="out"/>
        <c:minorTickMark val="none"/>
        <c:tickLblPos val="nextTo"/>
        <c:crossAx val="69200882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r>
              <a:rPr lang="fr-FR" sz="1200">
                <a:solidFill>
                  <a:sysClr val="windowText" lastClr="000000"/>
                </a:solidFill>
              </a:rPr>
              <a:t>Buffle</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endParaRPr lang="fr-BF"/>
        </a:p>
      </c:txPr>
    </c:title>
    <c:autoTitleDeleted val="0"/>
    <c:plotArea>
      <c:layout/>
      <c:scatterChart>
        <c:scatterStyle val="smoothMarker"/>
        <c:varyColors val="0"/>
        <c:ser>
          <c:idx val="1"/>
          <c:order val="1"/>
          <c:tx>
            <c:strRef>
              <c:f>Buffle!$C$70</c:f>
              <c:strCache>
                <c:ptCount val="1"/>
                <c:pt idx="0">
                  <c:v>Nbr d'individu</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xVal>
            <c:numRef>
              <c:f>Buffle!$A$71:$A$76</c:f>
              <c:numCache>
                <c:formatCode>General</c:formatCode>
                <c:ptCount val="6"/>
                <c:pt idx="0">
                  <c:v>2010</c:v>
                </c:pt>
                <c:pt idx="1">
                  <c:v>2011</c:v>
                </c:pt>
                <c:pt idx="2">
                  <c:v>2012</c:v>
                </c:pt>
                <c:pt idx="3">
                  <c:v>2013</c:v>
                </c:pt>
                <c:pt idx="4">
                  <c:v>2016</c:v>
                </c:pt>
                <c:pt idx="5">
                  <c:v>2017</c:v>
                </c:pt>
              </c:numCache>
            </c:numRef>
          </c:xVal>
          <c:yVal>
            <c:numRef>
              <c:f>Buffle!$C$71:$C$76</c:f>
              <c:numCache>
                <c:formatCode>General</c:formatCode>
                <c:ptCount val="6"/>
                <c:pt idx="0">
                  <c:v>29</c:v>
                </c:pt>
                <c:pt idx="1">
                  <c:v>129</c:v>
                </c:pt>
                <c:pt idx="2">
                  <c:v>14</c:v>
                </c:pt>
                <c:pt idx="3">
                  <c:v>59</c:v>
                </c:pt>
                <c:pt idx="4">
                  <c:v>29</c:v>
                </c:pt>
                <c:pt idx="5">
                  <c:v>13</c:v>
                </c:pt>
              </c:numCache>
            </c:numRef>
          </c:yVal>
          <c:smooth val="1"/>
          <c:extLst>
            <c:ext xmlns:c16="http://schemas.microsoft.com/office/drawing/2014/chart" uri="{C3380CC4-5D6E-409C-BE32-E72D297353CC}">
              <c16:uniqueId val="{00000000-65EF-4DC1-BC23-F88C51BA2385}"/>
            </c:ext>
          </c:extLst>
        </c:ser>
        <c:dLbls>
          <c:showLegendKey val="0"/>
          <c:showVal val="0"/>
          <c:showCatName val="0"/>
          <c:showSerName val="0"/>
          <c:showPercent val="0"/>
          <c:showBubbleSize val="0"/>
        </c:dLbls>
        <c:axId val="692011568"/>
        <c:axId val="692011960"/>
      </c:scatterChart>
      <c:scatterChart>
        <c:scatterStyle val="smoothMarker"/>
        <c:varyColors val="0"/>
        <c:ser>
          <c:idx val="0"/>
          <c:order val="0"/>
          <c:tx>
            <c:strRef>
              <c:f>Buffle!$B$70</c:f>
              <c:strCache>
                <c:ptCount val="1"/>
                <c:pt idx="0">
                  <c:v>Nbr contact</c:v>
                </c:pt>
              </c:strCache>
            </c:strRef>
          </c:tx>
          <c:spPr>
            <a:ln w="28575" cap="rnd">
              <a:solidFill>
                <a:schemeClr val="accent1"/>
              </a:solidFill>
              <a:prstDash val="lgDash"/>
              <a:round/>
            </a:ln>
            <a:effectLst/>
          </c:spPr>
          <c:marker>
            <c:symbol val="circle"/>
            <c:size val="5"/>
            <c:spPr>
              <a:solidFill>
                <a:schemeClr val="accent1"/>
              </a:solidFill>
              <a:ln w="9525">
                <a:solidFill>
                  <a:schemeClr val="accent1"/>
                </a:solidFill>
              </a:ln>
              <a:effectLst/>
            </c:spPr>
          </c:marker>
          <c:xVal>
            <c:numRef>
              <c:f>Buffle!$A$71:$A$76</c:f>
              <c:numCache>
                <c:formatCode>General</c:formatCode>
                <c:ptCount val="6"/>
                <c:pt idx="0">
                  <c:v>2010</c:v>
                </c:pt>
                <c:pt idx="1">
                  <c:v>2011</c:v>
                </c:pt>
                <c:pt idx="2">
                  <c:v>2012</c:v>
                </c:pt>
                <c:pt idx="3">
                  <c:v>2013</c:v>
                </c:pt>
                <c:pt idx="4">
                  <c:v>2016</c:v>
                </c:pt>
                <c:pt idx="5">
                  <c:v>2017</c:v>
                </c:pt>
              </c:numCache>
            </c:numRef>
          </c:xVal>
          <c:yVal>
            <c:numRef>
              <c:f>Buffle!$B$71:$B$76</c:f>
              <c:numCache>
                <c:formatCode>General</c:formatCode>
                <c:ptCount val="6"/>
                <c:pt idx="0">
                  <c:v>1</c:v>
                </c:pt>
                <c:pt idx="1">
                  <c:v>9</c:v>
                </c:pt>
                <c:pt idx="2">
                  <c:v>3</c:v>
                </c:pt>
                <c:pt idx="3">
                  <c:v>4</c:v>
                </c:pt>
                <c:pt idx="4">
                  <c:v>2</c:v>
                </c:pt>
                <c:pt idx="5">
                  <c:v>2</c:v>
                </c:pt>
              </c:numCache>
            </c:numRef>
          </c:yVal>
          <c:smooth val="1"/>
          <c:extLst>
            <c:ext xmlns:c16="http://schemas.microsoft.com/office/drawing/2014/chart" uri="{C3380CC4-5D6E-409C-BE32-E72D297353CC}">
              <c16:uniqueId val="{00000001-65EF-4DC1-BC23-F88C51BA2385}"/>
            </c:ext>
          </c:extLst>
        </c:ser>
        <c:ser>
          <c:idx val="2"/>
          <c:order val="2"/>
          <c:tx>
            <c:strRef>
              <c:f>Buffle!$D$70</c:f>
              <c:strCache>
                <c:ptCount val="1"/>
                <c:pt idx="0">
                  <c:v>TMG</c:v>
                </c:pt>
              </c:strCache>
            </c:strRef>
          </c:tx>
          <c:spPr>
            <a:ln w="28575" cap="rnd">
              <a:solidFill>
                <a:schemeClr val="tx1"/>
              </a:solidFill>
              <a:prstDash val="sysDot"/>
              <a:round/>
            </a:ln>
            <a:effectLst/>
          </c:spPr>
          <c:marker>
            <c:symbol val="circle"/>
            <c:size val="5"/>
            <c:spPr>
              <a:solidFill>
                <a:schemeClr val="accent3"/>
              </a:solidFill>
              <a:ln w="9525">
                <a:solidFill>
                  <a:schemeClr val="accent3"/>
                </a:solidFill>
              </a:ln>
              <a:effectLst/>
            </c:spPr>
          </c:marker>
          <c:xVal>
            <c:numRef>
              <c:f>Buffle!$A$71:$A$76</c:f>
              <c:numCache>
                <c:formatCode>General</c:formatCode>
                <c:ptCount val="6"/>
                <c:pt idx="0">
                  <c:v>2010</c:v>
                </c:pt>
                <c:pt idx="1">
                  <c:v>2011</c:v>
                </c:pt>
                <c:pt idx="2">
                  <c:v>2012</c:v>
                </c:pt>
                <c:pt idx="3">
                  <c:v>2013</c:v>
                </c:pt>
                <c:pt idx="4">
                  <c:v>2016</c:v>
                </c:pt>
                <c:pt idx="5">
                  <c:v>2017</c:v>
                </c:pt>
              </c:numCache>
            </c:numRef>
          </c:xVal>
          <c:yVal>
            <c:numRef>
              <c:f>Buffle!$D$71:$D$76</c:f>
              <c:numCache>
                <c:formatCode>0.00</c:formatCode>
                <c:ptCount val="6"/>
                <c:pt idx="0">
                  <c:v>29</c:v>
                </c:pt>
                <c:pt idx="1">
                  <c:v>14.333333333333334</c:v>
                </c:pt>
                <c:pt idx="2">
                  <c:v>4.666666666666667</c:v>
                </c:pt>
                <c:pt idx="3">
                  <c:v>14.75</c:v>
                </c:pt>
                <c:pt idx="4">
                  <c:v>14.5</c:v>
                </c:pt>
                <c:pt idx="5">
                  <c:v>6.5</c:v>
                </c:pt>
              </c:numCache>
            </c:numRef>
          </c:yVal>
          <c:smooth val="1"/>
          <c:extLst>
            <c:ext xmlns:c16="http://schemas.microsoft.com/office/drawing/2014/chart" uri="{C3380CC4-5D6E-409C-BE32-E72D297353CC}">
              <c16:uniqueId val="{00000002-65EF-4DC1-BC23-F88C51BA2385}"/>
            </c:ext>
          </c:extLst>
        </c:ser>
        <c:dLbls>
          <c:showLegendKey val="0"/>
          <c:showVal val="0"/>
          <c:showCatName val="0"/>
          <c:showSerName val="0"/>
          <c:showPercent val="0"/>
          <c:showBubbleSize val="0"/>
        </c:dLbls>
        <c:axId val="231126456"/>
        <c:axId val="692012352"/>
      </c:scatterChart>
      <c:valAx>
        <c:axId val="692011568"/>
        <c:scaling>
          <c:orientation val="minMax"/>
          <c:max val="2017"/>
          <c:min val="2010"/>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692011960"/>
        <c:crosses val="autoZero"/>
        <c:crossBetween val="midCat"/>
        <c:minorUnit val="1"/>
      </c:valAx>
      <c:valAx>
        <c:axId val="6920119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Nombre d'individu</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692011568"/>
        <c:crosses val="autoZero"/>
        <c:crossBetween val="midCat"/>
      </c:valAx>
      <c:valAx>
        <c:axId val="692012352"/>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Nombre de contact et TMG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231126456"/>
        <c:crosses val="max"/>
        <c:crossBetween val="midCat"/>
      </c:valAx>
      <c:valAx>
        <c:axId val="231126456"/>
        <c:scaling>
          <c:orientation val="minMax"/>
        </c:scaling>
        <c:delete val="1"/>
        <c:axPos val="b"/>
        <c:numFmt formatCode="General" sourceLinked="1"/>
        <c:majorTickMark val="out"/>
        <c:minorTickMark val="none"/>
        <c:tickLblPos val="nextTo"/>
        <c:crossAx val="69201235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fr-FR" sz="1200"/>
              <a:t>Céphalophe de Grimm</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fr-BF"/>
        </a:p>
      </c:txPr>
    </c:title>
    <c:autoTitleDeleted val="0"/>
    <c:plotArea>
      <c:layout/>
      <c:scatterChart>
        <c:scatterStyle val="smoothMarker"/>
        <c:varyColors val="0"/>
        <c:ser>
          <c:idx val="0"/>
          <c:order val="0"/>
          <c:tx>
            <c:strRef>
              <c:f>Cephalophe_G!$B$54</c:f>
              <c:strCache>
                <c:ptCount val="1"/>
                <c:pt idx="0">
                  <c:v>Nbr contact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xVal>
            <c:numRef>
              <c:f>Cephalophe_G!$A$55:$A$60</c:f>
              <c:numCache>
                <c:formatCode>General</c:formatCode>
                <c:ptCount val="6"/>
                <c:pt idx="0">
                  <c:v>2010</c:v>
                </c:pt>
                <c:pt idx="1">
                  <c:v>2011</c:v>
                </c:pt>
                <c:pt idx="2">
                  <c:v>2012</c:v>
                </c:pt>
                <c:pt idx="3">
                  <c:v>2013</c:v>
                </c:pt>
                <c:pt idx="4">
                  <c:v>2016</c:v>
                </c:pt>
                <c:pt idx="5">
                  <c:v>2017</c:v>
                </c:pt>
              </c:numCache>
            </c:numRef>
          </c:xVal>
          <c:yVal>
            <c:numRef>
              <c:f>Cephalophe_G!$B$55:$B$60</c:f>
              <c:numCache>
                <c:formatCode>General</c:formatCode>
                <c:ptCount val="6"/>
                <c:pt idx="0">
                  <c:v>16</c:v>
                </c:pt>
                <c:pt idx="1">
                  <c:v>13</c:v>
                </c:pt>
                <c:pt idx="2">
                  <c:v>14</c:v>
                </c:pt>
                <c:pt idx="3">
                  <c:v>7</c:v>
                </c:pt>
                <c:pt idx="4">
                  <c:v>7</c:v>
                </c:pt>
                <c:pt idx="5">
                  <c:v>22</c:v>
                </c:pt>
              </c:numCache>
            </c:numRef>
          </c:yVal>
          <c:smooth val="1"/>
          <c:extLst>
            <c:ext xmlns:c16="http://schemas.microsoft.com/office/drawing/2014/chart" uri="{C3380CC4-5D6E-409C-BE32-E72D297353CC}">
              <c16:uniqueId val="{00000000-E3B3-4922-8716-2300B5EE0001}"/>
            </c:ext>
          </c:extLst>
        </c:ser>
        <c:ser>
          <c:idx val="1"/>
          <c:order val="1"/>
          <c:tx>
            <c:strRef>
              <c:f>Cephalophe_G!$C$54</c:f>
              <c:strCache>
                <c:ptCount val="1"/>
                <c:pt idx="0">
                  <c:v>Nbr d'individu</c:v>
                </c:pt>
              </c:strCache>
            </c:strRef>
          </c:tx>
          <c:spPr>
            <a:ln w="28575" cap="rnd">
              <a:solidFill>
                <a:schemeClr val="accent2"/>
              </a:solidFill>
              <a:prstDash val="sysDash"/>
              <a:round/>
            </a:ln>
            <a:effectLst/>
          </c:spPr>
          <c:marker>
            <c:symbol val="circle"/>
            <c:size val="5"/>
            <c:spPr>
              <a:solidFill>
                <a:schemeClr val="accent2"/>
              </a:solidFill>
              <a:ln w="9525">
                <a:solidFill>
                  <a:schemeClr val="accent2"/>
                </a:solidFill>
              </a:ln>
              <a:effectLst/>
            </c:spPr>
          </c:marker>
          <c:xVal>
            <c:numRef>
              <c:f>Cephalophe_G!$A$55:$A$60</c:f>
              <c:numCache>
                <c:formatCode>General</c:formatCode>
                <c:ptCount val="6"/>
                <c:pt idx="0">
                  <c:v>2010</c:v>
                </c:pt>
                <c:pt idx="1">
                  <c:v>2011</c:v>
                </c:pt>
                <c:pt idx="2">
                  <c:v>2012</c:v>
                </c:pt>
                <c:pt idx="3">
                  <c:v>2013</c:v>
                </c:pt>
                <c:pt idx="4">
                  <c:v>2016</c:v>
                </c:pt>
                <c:pt idx="5">
                  <c:v>2017</c:v>
                </c:pt>
              </c:numCache>
            </c:numRef>
          </c:xVal>
          <c:yVal>
            <c:numRef>
              <c:f>Cephalophe_G!$C$55:$C$60</c:f>
              <c:numCache>
                <c:formatCode>General</c:formatCode>
                <c:ptCount val="6"/>
                <c:pt idx="0">
                  <c:v>25</c:v>
                </c:pt>
                <c:pt idx="1">
                  <c:v>15</c:v>
                </c:pt>
                <c:pt idx="2">
                  <c:v>16</c:v>
                </c:pt>
                <c:pt idx="3">
                  <c:v>8</c:v>
                </c:pt>
                <c:pt idx="4">
                  <c:v>9</c:v>
                </c:pt>
                <c:pt idx="5">
                  <c:v>26</c:v>
                </c:pt>
              </c:numCache>
            </c:numRef>
          </c:yVal>
          <c:smooth val="1"/>
          <c:extLst>
            <c:ext xmlns:c16="http://schemas.microsoft.com/office/drawing/2014/chart" uri="{C3380CC4-5D6E-409C-BE32-E72D297353CC}">
              <c16:uniqueId val="{00000001-E3B3-4922-8716-2300B5EE0001}"/>
            </c:ext>
          </c:extLst>
        </c:ser>
        <c:dLbls>
          <c:showLegendKey val="0"/>
          <c:showVal val="0"/>
          <c:showCatName val="0"/>
          <c:showSerName val="0"/>
          <c:showPercent val="0"/>
          <c:showBubbleSize val="0"/>
        </c:dLbls>
        <c:axId val="231124104"/>
        <c:axId val="231124496"/>
      </c:scatterChart>
      <c:scatterChart>
        <c:scatterStyle val="smoothMarker"/>
        <c:varyColors val="0"/>
        <c:ser>
          <c:idx val="2"/>
          <c:order val="2"/>
          <c:tx>
            <c:strRef>
              <c:f>Cephalophe_G!$D$54</c:f>
              <c:strCache>
                <c:ptCount val="1"/>
                <c:pt idx="0">
                  <c:v>TMG</c:v>
                </c:pt>
              </c:strCache>
            </c:strRef>
          </c:tx>
          <c:spPr>
            <a:ln w="28575" cap="rnd">
              <a:solidFill>
                <a:schemeClr val="bg1">
                  <a:lumMod val="50000"/>
                </a:schemeClr>
              </a:solidFill>
              <a:prstDash val="sysDot"/>
              <a:round/>
            </a:ln>
            <a:effectLst/>
          </c:spPr>
          <c:marker>
            <c:symbol val="circle"/>
            <c:size val="5"/>
            <c:spPr>
              <a:solidFill>
                <a:schemeClr val="accent3"/>
              </a:solidFill>
              <a:ln w="9525">
                <a:solidFill>
                  <a:schemeClr val="accent3"/>
                </a:solidFill>
              </a:ln>
              <a:effectLst/>
            </c:spPr>
          </c:marker>
          <c:xVal>
            <c:numRef>
              <c:f>Cephalophe_G!$A$55:$A$60</c:f>
              <c:numCache>
                <c:formatCode>General</c:formatCode>
                <c:ptCount val="6"/>
                <c:pt idx="0">
                  <c:v>2010</c:v>
                </c:pt>
                <c:pt idx="1">
                  <c:v>2011</c:v>
                </c:pt>
                <c:pt idx="2">
                  <c:v>2012</c:v>
                </c:pt>
                <c:pt idx="3">
                  <c:v>2013</c:v>
                </c:pt>
                <c:pt idx="4">
                  <c:v>2016</c:v>
                </c:pt>
                <c:pt idx="5">
                  <c:v>2017</c:v>
                </c:pt>
              </c:numCache>
            </c:numRef>
          </c:xVal>
          <c:yVal>
            <c:numRef>
              <c:f>Cephalophe_G!$D$55:$D$60</c:f>
              <c:numCache>
                <c:formatCode>0.00</c:formatCode>
                <c:ptCount val="6"/>
                <c:pt idx="0">
                  <c:v>1.5625</c:v>
                </c:pt>
                <c:pt idx="1">
                  <c:v>1.1538461538461537</c:v>
                </c:pt>
                <c:pt idx="2">
                  <c:v>1.1428571428571428</c:v>
                </c:pt>
                <c:pt idx="3">
                  <c:v>1.1428571428571428</c:v>
                </c:pt>
                <c:pt idx="4">
                  <c:v>1.2857142857142858</c:v>
                </c:pt>
                <c:pt idx="5">
                  <c:v>1.1818181818181819</c:v>
                </c:pt>
              </c:numCache>
            </c:numRef>
          </c:yVal>
          <c:smooth val="1"/>
          <c:extLst>
            <c:ext xmlns:c16="http://schemas.microsoft.com/office/drawing/2014/chart" uri="{C3380CC4-5D6E-409C-BE32-E72D297353CC}">
              <c16:uniqueId val="{00000002-E3B3-4922-8716-2300B5EE0001}"/>
            </c:ext>
          </c:extLst>
        </c:ser>
        <c:dLbls>
          <c:showLegendKey val="0"/>
          <c:showVal val="0"/>
          <c:showCatName val="0"/>
          <c:showSerName val="0"/>
          <c:showPercent val="0"/>
          <c:showBubbleSize val="0"/>
        </c:dLbls>
        <c:axId val="231122928"/>
        <c:axId val="231124888"/>
      </c:scatterChart>
      <c:valAx>
        <c:axId val="231124104"/>
        <c:scaling>
          <c:orientation val="minMax"/>
          <c:max val="2017"/>
          <c:min val="2010"/>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231124496"/>
        <c:crosses val="autoZero"/>
        <c:crossBetween val="midCat"/>
      </c:valAx>
      <c:valAx>
        <c:axId val="2311244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Nbr de contact et Nbr d'individu</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231124104"/>
        <c:crosses val="autoZero"/>
        <c:crossBetween val="midCat"/>
      </c:valAx>
      <c:valAx>
        <c:axId val="23112488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TMG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0.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231122928"/>
        <c:crosses val="max"/>
        <c:crossBetween val="midCat"/>
      </c:valAx>
      <c:valAx>
        <c:axId val="231122928"/>
        <c:scaling>
          <c:orientation val="minMax"/>
        </c:scaling>
        <c:delete val="1"/>
        <c:axPos val="b"/>
        <c:numFmt formatCode="General" sourceLinked="1"/>
        <c:majorTickMark val="out"/>
        <c:minorTickMark val="none"/>
        <c:tickLblPos val="nextTo"/>
        <c:crossAx val="23112488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r>
              <a:rPr lang="fr-FR" sz="1200">
                <a:solidFill>
                  <a:sysClr val="windowText" lastClr="000000"/>
                </a:solidFill>
              </a:rPr>
              <a:t>Cob de Buffon</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endParaRPr lang="fr-BF"/>
        </a:p>
      </c:txPr>
    </c:title>
    <c:autoTitleDeleted val="0"/>
    <c:plotArea>
      <c:layout/>
      <c:scatterChart>
        <c:scatterStyle val="smoothMarker"/>
        <c:varyColors val="0"/>
        <c:ser>
          <c:idx val="1"/>
          <c:order val="1"/>
          <c:tx>
            <c:strRef>
              <c:f>'Cobe de buffon'!$C$27</c:f>
              <c:strCache>
                <c:ptCount val="1"/>
                <c:pt idx="0">
                  <c:v>Nbr d'individu</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xVal>
            <c:numRef>
              <c:f>'Cobe de buffon'!$A$28:$A$33</c:f>
              <c:numCache>
                <c:formatCode>General</c:formatCode>
                <c:ptCount val="6"/>
                <c:pt idx="0">
                  <c:v>2010</c:v>
                </c:pt>
                <c:pt idx="1">
                  <c:v>2011</c:v>
                </c:pt>
                <c:pt idx="2">
                  <c:v>2012</c:v>
                </c:pt>
                <c:pt idx="3">
                  <c:v>2013</c:v>
                </c:pt>
                <c:pt idx="4">
                  <c:v>2016</c:v>
                </c:pt>
                <c:pt idx="5">
                  <c:v>2017</c:v>
                </c:pt>
              </c:numCache>
            </c:numRef>
          </c:xVal>
          <c:yVal>
            <c:numRef>
              <c:f>'Cobe de buffon'!$C$28:$C$33</c:f>
              <c:numCache>
                <c:formatCode>General</c:formatCode>
                <c:ptCount val="6"/>
                <c:pt idx="0">
                  <c:v>28</c:v>
                </c:pt>
                <c:pt idx="1">
                  <c:v>11</c:v>
                </c:pt>
                <c:pt idx="2">
                  <c:v>22</c:v>
                </c:pt>
                <c:pt idx="3">
                  <c:v>4</c:v>
                </c:pt>
                <c:pt idx="4">
                  <c:v>0</c:v>
                </c:pt>
                <c:pt idx="5">
                  <c:v>4</c:v>
                </c:pt>
              </c:numCache>
            </c:numRef>
          </c:yVal>
          <c:smooth val="1"/>
          <c:extLst>
            <c:ext xmlns:c16="http://schemas.microsoft.com/office/drawing/2014/chart" uri="{C3380CC4-5D6E-409C-BE32-E72D297353CC}">
              <c16:uniqueId val="{00000000-51B1-4F3B-A681-D62CE9281234}"/>
            </c:ext>
          </c:extLst>
        </c:ser>
        <c:dLbls>
          <c:showLegendKey val="0"/>
          <c:showVal val="0"/>
          <c:showCatName val="0"/>
          <c:showSerName val="0"/>
          <c:showPercent val="0"/>
          <c:showBubbleSize val="0"/>
        </c:dLbls>
        <c:axId val="824829080"/>
        <c:axId val="824829864"/>
      </c:scatterChart>
      <c:scatterChart>
        <c:scatterStyle val="smoothMarker"/>
        <c:varyColors val="0"/>
        <c:ser>
          <c:idx val="0"/>
          <c:order val="0"/>
          <c:tx>
            <c:strRef>
              <c:f>'Cobe de buffon'!$B$27</c:f>
              <c:strCache>
                <c:ptCount val="1"/>
                <c:pt idx="0">
                  <c:v>Nbr contact</c:v>
                </c:pt>
              </c:strCache>
            </c:strRef>
          </c:tx>
          <c:spPr>
            <a:ln w="28575" cap="rnd">
              <a:solidFill>
                <a:schemeClr val="accent1"/>
              </a:solidFill>
              <a:prstDash val="dash"/>
              <a:round/>
            </a:ln>
            <a:effectLst/>
          </c:spPr>
          <c:marker>
            <c:symbol val="circle"/>
            <c:size val="5"/>
            <c:spPr>
              <a:solidFill>
                <a:schemeClr val="accent1"/>
              </a:solidFill>
              <a:ln w="9525">
                <a:solidFill>
                  <a:schemeClr val="accent1"/>
                </a:solidFill>
              </a:ln>
              <a:effectLst/>
            </c:spPr>
          </c:marker>
          <c:dPt>
            <c:idx val="2"/>
            <c:marker>
              <c:symbol val="circle"/>
              <c:size val="5"/>
              <c:spPr>
                <a:solidFill>
                  <a:schemeClr val="accent1"/>
                </a:solidFill>
                <a:ln w="9525">
                  <a:solidFill>
                    <a:schemeClr val="accent1"/>
                  </a:solidFill>
                </a:ln>
                <a:effectLst/>
              </c:spPr>
            </c:marker>
            <c:bubble3D val="0"/>
            <c:spPr>
              <a:ln w="28575" cap="rnd">
                <a:solidFill>
                  <a:schemeClr val="accent1"/>
                </a:solidFill>
                <a:prstDash val="dash"/>
                <a:round/>
              </a:ln>
              <a:effectLst/>
            </c:spPr>
            <c:extLst>
              <c:ext xmlns:c16="http://schemas.microsoft.com/office/drawing/2014/chart" uri="{C3380CC4-5D6E-409C-BE32-E72D297353CC}">
                <c16:uniqueId val="{00000002-51B1-4F3B-A681-D62CE9281234}"/>
              </c:ext>
            </c:extLst>
          </c:dPt>
          <c:xVal>
            <c:numRef>
              <c:f>'Cobe de buffon'!$A$28:$A$33</c:f>
              <c:numCache>
                <c:formatCode>General</c:formatCode>
                <c:ptCount val="6"/>
                <c:pt idx="0">
                  <c:v>2010</c:v>
                </c:pt>
                <c:pt idx="1">
                  <c:v>2011</c:v>
                </c:pt>
                <c:pt idx="2">
                  <c:v>2012</c:v>
                </c:pt>
                <c:pt idx="3">
                  <c:v>2013</c:v>
                </c:pt>
                <c:pt idx="4">
                  <c:v>2016</c:v>
                </c:pt>
                <c:pt idx="5">
                  <c:v>2017</c:v>
                </c:pt>
              </c:numCache>
            </c:numRef>
          </c:xVal>
          <c:yVal>
            <c:numRef>
              <c:f>'Cobe de buffon'!$B$28:$B$33</c:f>
              <c:numCache>
                <c:formatCode>General</c:formatCode>
                <c:ptCount val="6"/>
                <c:pt idx="0">
                  <c:v>8</c:v>
                </c:pt>
                <c:pt idx="1">
                  <c:v>2</c:v>
                </c:pt>
                <c:pt idx="2">
                  <c:v>6</c:v>
                </c:pt>
                <c:pt idx="3">
                  <c:v>2</c:v>
                </c:pt>
                <c:pt idx="4">
                  <c:v>0</c:v>
                </c:pt>
                <c:pt idx="5">
                  <c:v>1</c:v>
                </c:pt>
              </c:numCache>
            </c:numRef>
          </c:yVal>
          <c:smooth val="1"/>
          <c:extLst>
            <c:ext xmlns:c16="http://schemas.microsoft.com/office/drawing/2014/chart" uri="{C3380CC4-5D6E-409C-BE32-E72D297353CC}">
              <c16:uniqueId val="{00000003-51B1-4F3B-A681-D62CE9281234}"/>
            </c:ext>
          </c:extLst>
        </c:ser>
        <c:ser>
          <c:idx val="2"/>
          <c:order val="2"/>
          <c:tx>
            <c:strRef>
              <c:f>'Cobe de buffon'!$D$27</c:f>
              <c:strCache>
                <c:ptCount val="1"/>
                <c:pt idx="0">
                  <c:v>TMG</c:v>
                </c:pt>
              </c:strCache>
            </c:strRef>
          </c:tx>
          <c:spPr>
            <a:ln w="28575" cap="rnd">
              <a:solidFill>
                <a:schemeClr val="bg1">
                  <a:lumMod val="50000"/>
                </a:schemeClr>
              </a:solidFill>
              <a:prstDash val="sysDot"/>
              <a:round/>
            </a:ln>
            <a:effectLst/>
          </c:spPr>
          <c:marker>
            <c:symbol val="circle"/>
            <c:size val="5"/>
            <c:spPr>
              <a:solidFill>
                <a:schemeClr val="accent3"/>
              </a:solidFill>
              <a:ln w="9525">
                <a:solidFill>
                  <a:schemeClr val="accent3"/>
                </a:solidFill>
              </a:ln>
              <a:effectLst/>
            </c:spPr>
          </c:marker>
          <c:xVal>
            <c:numRef>
              <c:f>'Cobe de buffon'!$A$28:$A$33</c:f>
              <c:numCache>
                <c:formatCode>General</c:formatCode>
                <c:ptCount val="6"/>
                <c:pt idx="0">
                  <c:v>2010</c:v>
                </c:pt>
                <c:pt idx="1">
                  <c:v>2011</c:v>
                </c:pt>
                <c:pt idx="2">
                  <c:v>2012</c:v>
                </c:pt>
                <c:pt idx="3">
                  <c:v>2013</c:v>
                </c:pt>
                <c:pt idx="4">
                  <c:v>2016</c:v>
                </c:pt>
                <c:pt idx="5">
                  <c:v>2017</c:v>
                </c:pt>
              </c:numCache>
            </c:numRef>
          </c:xVal>
          <c:yVal>
            <c:numRef>
              <c:f>'Cobe de buffon'!$D$28:$D$33</c:f>
              <c:numCache>
                <c:formatCode>0.00</c:formatCode>
                <c:ptCount val="6"/>
                <c:pt idx="0">
                  <c:v>3.5</c:v>
                </c:pt>
                <c:pt idx="1">
                  <c:v>5.5</c:v>
                </c:pt>
                <c:pt idx="2">
                  <c:v>3.6666666666666665</c:v>
                </c:pt>
                <c:pt idx="3">
                  <c:v>2</c:v>
                </c:pt>
                <c:pt idx="4" formatCode="General">
                  <c:v>0</c:v>
                </c:pt>
                <c:pt idx="5">
                  <c:v>4</c:v>
                </c:pt>
              </c:numCache>
            </c:numRef>
          </c:yVal>
          <c:smooth val="1"/>
          <c:extLst>
            <c:ext xmlns:c16="http://schemas.microsoft.com/office/drawing/2014/chart" uri="{C3380CC4-5D6E-409C-BE32-E72D297353CC}">
              <c16:uniqueId val="{00000004-51B1-4F3B-A681-D62CE9281234}"/>
            </c:ext>
          </c:extLst>
        </c:ser>
        <c:dLbls>
          <c:showLegendKey val="0"/>
          <c:showVal val="0"/>
          <c:showCatName val="0"/>
          <c:showSerName val="0"/>
          <c:showPercent val="0"/>
          <c:showBubbleSize val="0"/>
        </c:dLbls>
        <c:axId val="824831824"/>
        <c:axId val="824830648"/>
      </c:scatterChart>
      <c:valAx>
        <c:axId val="824829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824829864"/>
        <c:crosses val="autoZero"/>
        <c:crossBetween val="midCat"/>
      </c:valAx>
      <c:valAx>
        <c:axId val="824829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Nbr d'individu</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824829080"/>
        <c:crosses val="autoZero"/>
        <c:crossBetween val="midCat"/>
      </c:valAx>
      <c:valAx>
        <c:axId val="82483064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Nbr de contact et TMG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824831824"/>
        <c:crosses val="max"/>
        <c:crossBetween val="midCat"/>
      </c:valAx>
      <c:valAx>
        <c:axId val="824831824"/>
        <c:scaling>
          <c:orientation val="minMax"/>
        </c:scaling>
        <c:delete val="1"/>
        <c:axPos val="b"/>
        <c:numFmt formatCode="General" sourceLinked="1"/>
        <c:majorTickMark val="out"/>
        <c:minorTickMark val="none"/>
        <c:tickLblPos val="nextTo"/>
        <c:crossAx val="82483064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fr-FR" sz="1200"/>
              <a:t>Redunca</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fr-BF"/>
        </a:p>
      </c:txPr>
    </c:title>
    <c:autoTitleDeleted val="0"/>
    <c:plotArea>
      <c:layout/>
      <c:scatterChart>
        <c:scatterStyle val="smoothMarker"/>
        <c:varyColors val="0"/>
        <c:ser>
          <c:idx val="0"/>
          <c:order val="0"/>
          <c:tx>
            <c:strRef>
              <c:f>Redunca!$B$26</c:f>
              <c:strCache>
                <c:ptCount val="1"/>
                <c:pt idx="0">
                  <c:v>Nbr contact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xVal>
            <c:numRef>
              <c:f>Redunca!$A$27:$A$32</c:f>
              <c:numCache>
                <c:formatCode>General</c:formatCode>
                <c:ptCount val="6"/>
                <c:pt idx="0">
                  <c:v>2010</c:v>
                </c:pt>
                <c:pt idx="1">
                  <c:v>2011</c:v>
                </c:pt>
                <c:pt idx="2">
                  <c:v>2012</c:v>
                </c:pt>
                <c:pt idx="3">
                  <c:v>2013</c:v>
                </c:pt>
                <c:pt idx="4">
                  <c:v>2016</c:v>
                </c:pt>
                <c:pt idx="5">
                  <c:v>2017</c:v>
                </c:pt>
              </c:numCache>
            </c:numRef>
          </c:xVal>
          <c:yVal>
            <c:numRef>
              <c:f>Redunca!$B$27:$B$32</c:f>
              <c:numCache>
                <c:formatCode>General</c:formatCode>
                <c:ptCount val="6"/>
                <c:pt idx="0">
                  <c:v>2</c:v>
                </c:pt>
                <c:pt idx="1">
                  <c:v>1</c:v>
                </c:pt>
                <c:pt idx="2">
                  <c:v>0</c:v>
                </c:pt>
                <c:pt idx="3">
                  <c:v>1</c:v>
                </c:pt>
                <c:pt idx="4">
                  <c:v>0</c:v>
                </c:pt>
                <c:pt idx="5">
                  <c:v>1</c:v>
                </c:pt>
              </c:numCache>
            </c:numRef>
          </c:yVal>
          <c:smooth val="1"/>
          <c:extLst>
            <c:ext xmlns:c16="http://schemas.microsoft.com/office/drawing/2014/chart" uri="{C3380CC4-5D6E-409C-BE32-E72D297353CC}">
              <c16:uniqueId val="{00000000-5FC6-4DB5-9EBC-FC924621A8BF}"/>
            </c:ext>
          </c:extLst>
        </c:ser>
        <c:ser>
          <c:idx val="1"/>
          <c:order val="1"/>
          <c:tx>
            <c:strRef>
              <c:f>Redunca!$C$26</c:f>
              <c:strCache>
                <c:ptCount val="1"/>
                <c:pt idx="0">
                  <c:v>Nbr d'individu</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xVal>
            <c:numRef>
              <c:f>Redunca!$A$27:$A$32</c:f>
              <c:numCache>
                <c:formatCode>General</c:formatCode>
                <c:ptCount val="6"/>
                <c:pt idx="0">
                  <c:v>2010</c:v>
                </c:pt>
                <c:pt idx="1">
                  <c:v>2011</c:v>
                </c:pt>
                <c:pt idx="2">
                  <c:v>2012</c:v>
                </c:pt>
                <c:pt idx="3">
                  <c:v>2013</c:v>
                </c:pt>
                <c:pt idx="4">
                  <c:v>2016</c:v>
                </c:pt>
                <c:pt idx="5">
                  <c:v>2017</c:v>
                </c:pt>
              </c:numCache>
            </c:numRef>
          </c:xVal>
          <c:yVal>
            <c:numRef>
              <c:f>Redunca!$C$27:$C$32</c:f>
              <c:numCache>
                <c:formatCode>General</c:formatCode>
                <c:ptCount val="6"/>
                <c:pt idx="0">
                  <c:v>3</c:v>
                </c:pt>
                <c:pt idx="1">
                  <c:v>2</c:v>
                </c:pt>
                <c:pt idx="2">
                  <c:v>0</c:v>
                </c:pt>
                <c:pt idx="3">
                  <c:v>2</c:v>
                </c:pt>
                <c:pt idx="4">
                  <c:v>0</c:v>
                </c:pt>
                <c:pt idx="5">
                  <c:v>1</c:v>
                </c:pt>
              </c:numCache>
            </c:numRef>
          </c:yVal>
          <c:smooth val="1"/>
          <c:extLst>
            <c:ext xmlns:c16="http://schemas.microsoft.com/office/drawing/2014/chart" uri="{C3380CC4-5D6E-409C-BE32-E72D297353CC}">
              <c16:uniqueId val="{00000001-5FC6-4DB5-9EBC-FC924621A8BF}"/>
            </c:ext>
          </c:extLst>
        </c:ser>
        <c:ser>
          <c:idx val="2"/>
          <c:order val="2"/>
          <c:tx>
            <c:strRef>
              <c:f>Redunca!$D$26</c:f>
              <c:strCache>
                <c:ptCount val="1"/>
                <c:pt idx="0">
                  <c:v>TMG</c:v>
                </c:pt>
              </c:strCache>
            </c:strRef>
          </c:tx>
          <c:spPr>
            <a:ln w="28575" cap="rnd">
              <a:solidFill>
                <a:schemeClr val="tx1">
                  <a:lumMod val="95000"/>
                  <a:lumOff val="5000"/>
                </a:schemeClr>
              </a:solidFill>
              <a:prstDash val="sysDot"/>
              <a:round/>
            </a:ln>
            <a:effectLst/>
          </c:spPr>
          <c:marker>
            <c:symbol val="circle"/>
            <c:size val="5"/>
            <c:spPr>
              <a:solidFill>
                <a:schemeClr val="accent3"/>
              </a:solidFill>
              <a:ln w="9525">
                <a:solidFill>
                  <a:schemeClr val="accent3"/>
                </a:solidFill>
              </a:ln>
              <a:effectLst/>
            </c:spPr>
          </c:marker>
          <c:xVal>
            <c:numRef>
              <c:f>Redunca!$A$27:$A$32</c:f>
              <c:numCache>
                <c:formatCode>General</c:formatCode>
                <c:ptCount val="6"/>
                <c:pt idx="0">
                  <c:v>2010</c:v>
                </c:pt>
                <c:pt idx="1">
                  <c:v>2011</c:v>
                </c:pt>
                <c:pt idx="2">
                  <c:v>2012</c:v>
                </c:pt>
                <c:pt idx="3">
                  <c:v>2013</c:v>
                </c:pt>
                <c:pt idx="4">
                  <c:v>2016</c:v>
                </c:pt>
                <c:pt idx="5">
                  <c:v>2017</c:v>
                </c:pt>
              </c:numCache>
            </c:numRef>
          </c:xVal>
          <c:yVal>
            <c:numRef>
              <c:f>Redunca!$D$27:$D$32</c:f>
              <c:numCache>
                <c:formatCode>0.00</c:formatCode>
                <c:ptCount val="6"/>
                <c:pt idx="0">
                  <c:v>1.5</c:v>
                </c:pt>
                <c:pt idx="1">
                  <c:v>2</c:v>
                </c:pt>
                <c:pt idx="2" formatCode="General">
                  <c:v>0</c:v>
                </c:pt>
                <c:pt idx="3">
                  <c:v>2</c:v>
                </c:pt>
                <c:pt idx="4" formatCode="General">
                  <c:v>0</c:v>
                </c:pt>
                <c:pt idx="5">
                  <c:v>1</c:v>
                </c:pt>
              </c:numCache>
            </c:numRef>
          </c:yVal>
          <c:smooth val="1"/>
          <c:extLst>
            <c:ext xmlns:c16="http://schemas.microsoft.com/office/drawing/2014/chart" uri="{C3380CC4-5D6E-409C-BE32-E72D297353CC}">
              <c16:uniqueId val="{00000002-5FC6-4DB5-9EBC-FC924621A8BF}"/>
            </c:ext>
          </c:extLst>
        </c:ser>
        <c:dLbls>
          <c:showLegendKey val="0"/>
          <c:showVal val="0"/>
          <c:showCatName val="0"/>
          <c:showSerName val="0"/>
          <c:showPercent val="0"/>
          <c:showBubbleSize val="0"/>
        </c:dLbls>
        <c:axId val="654703552"/>
        <c:axId val="654706296"/>
      </c:scatterChart>
      <c:valAx>
        <c:axId val="654703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654706296"/>
        <c:crosses val="autoZero"/>
        <c:crossBetween val="midCat"/>
      </c:valAx>
      <c:valAx>
        <c:axId val="654706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fr-FR" sz="900"/>
                  <a:t>Nbr de contact, Nbr d'individu et TMG</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65470355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fr-FR" sz="1200"/>
              <a:t>Hippotrague</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fr-BF"/>
        </a:p>
      </c:txPr>
    </c:title>
    <c:autoTitleDeleted val="0"/>
    <c:plotArea>
      <c:layout/>
      <c:scatterChart>
        <c:scatterStyle val="smoothMarker"/>
        <c:varyColors val="0"/>
        <c:ser>
          <c:idx val="1"/>
          <c:order val="1"/>
          <c:tx>
            <c:strRef>
              <c:f>Coba!$C$38</c:f>
              <c:strCache>
                <c:ptCount val="1"/>
                <c:pt idx="0">
                  <c:v>Nbr d'individu</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xVal>
            <c:numRef>
              <c:f>Coba!$A$39:$A$44</c:f>
              <c:numCache>
                <c:formatCode>General</c:formatCode>
                <c:ptCount val="6"/>
                <c:pt idx="0">
                  <c:v>2010</c:v>
                </c:pt>
                <c:pt idx="1">
                  <c:v>2011</c:v>
                </c:pt>
                <c:pt idx="2">
                  <c:v>2012</c:v>
                </c:pt>
                <c:pt idx="3">
                  <c:v>2013</c:v>
                </c:pt>
                <c:pt idx="4">
                  <c:v>2016</c:v>
                </c:pt>
                <c:pt idx="5">
                  <c:v>2017</c:v>
                </c:pt>
              </c:numCache>
            </c:numRef>
          </c:xVal>
          <c:yVal>
            <c:numRef>
              <c:f>Coba!$C$39:$C$44</c:f>
              <c:numCache>
                <c:formatCode>General</c:formatCode>
                <c:ptCount val="6"/>
                <c:pt idx="0">
                  <c:v>511</c:v>
                </c:pt>
                <c:pt idx="1">
                  <c:v>400</c:v>
                </c:pt>
                <c:pt idx="2">
                  <c:v>284</c:v>
                </c:pt>
                <c:pt idx="3">
                  <c:v>215</c:v>
                </c:pt>
                <c:pt idx="4">
                  <c:v>253</c:v>
                </c:pt>
                <c:pt idx="5">
                  <c:v>240</c:v>
                </c:pt>
              </c:numCache>
            </c:numRef>
          </c:yVal>
          <c:smooth val="1"/>
          <c:extLst>
            <c:ext xmlns:c16="http://schemas.microsoft.com/office/drawing/2014/chart" uri="{C3380CC4-5D6E-409C-BE32-E72D297353CC}">
              <c16:uniqueId val="{00000000-D98C-4322-8190-486E904D5160}"/>
            </c:ext>
          </c:extLst>
        </c:ser>
        <c:dLbls>
          <c:showLegendKey val="0"/>
          <c:showVal val="0"/>
          <c:showCatName val="0"/>
          <c:showSerName val="0"/>
          <c:showPercent val="0"/>
          <c:showBubbleSize val="0"/>
        </c:dLbls>
        <c:axId val="654705512"/>
        <c:axId val="654705904"/>
      </c:scatterChart>
      <c:scatterChart>
        <c:scatterStyle val="smoothMarker"/>
        <c:varyColors val="0"/>
        <c:ser>
          <c:idx val="0"/>
          <c:order val="0"/>
          <c:tx>
            <c:strRef>
              <c:f>Coba!$B$38</c:f>
              <c:strCache>
                <c:ptCount val="1"/>
                <c:pt idx="0">
                  <c:v>Nbr contact</c:v>
                </c:pt>
              </c:strCache>
            </c:strRef>
          </c:tx>
          <c:spPr>
            <a:ln w="28575" cap="rnd">
              <a:solidFill>
                <a:schemeClr val="accent1"/>
              </a:solidFill>
              <a:prstDash val="dash"/>
              <a:round/>
            </a:ln>
            <a:effectLst/>
          </c:spPr>
          <c:marker>
            <c:symbol val="circle"/>
            <c:size val="5"/>
            <c:spPr>
              <a:solidFill>
                <a:schemeClr val="accent1"/>
              </a:solidFill>
              <a:ln w="9525">
                <a:solidFill>
                  <a:schemeClr val="accent1"/>
                </a:solidFill>
              </a:ln>
              <a:effectLst/>
            </c:spPr>
          </c:marker>
          <c:xVal>
            <c:numRef>
              <c:f>Coba!$A$39:$A$44</c:f>
              <c:numCache>
                <c:formatCode>General</c:formatCode>
                <c:ptCount val="6"/>
                <c:pt idx="0">
                  <c:v>2010</c:v>
                </c:pt>
                <c:pt idx="1">
                  <c:v>2011</c:v>
                </c:pt>
                <c:pt idx="2">
                  <c:v>2012</c:v>
                </c:pt>
                <c:pt idx="3">
                  <c:v>2013</c:v>
                </c:pt>
                <c:pt idx="4">
                  <c:v>2016</c:v>
                </c:pt>
                <c:pt idx="5">
                  <c:v>2017</c:v>
                </c:pt>
              </c:numCache>
            </c:numRef>
          </c:xVal>
          <c:yVal>
            <c:numRef>
              <c:f>Coba!$B$39:$B$44</c:f>
              <c:numCache>
                <c:formatCode>General</c:formatCode>
                <c:ptCount val="6"/>
                <c:pt idx="0">
                  <c:v>57</c:v>
                </c:pt>
                <c:pt idx="1">
                  <c:v>58</c:v>
                </c:pt>
                <c:pt idx="2">
                  <c:v>59</c:v>
                </c:pt>
                <c:pt idx="3">
                  <c:v>40</c:v>
                </c:pt>
                <c:pt idx="4">
                  <c:v>31</c:v>
                </c:pt>
                <c:pt idx="5">
                  <c:v>39</c:v>
                </c:pt>
              </c:numCache>
            </c:numRef>
          </c:yVal>
          <c:smooth val="1"/>
          <c:extLst>
            <c:ext xmlns:c16="http://schemas.microsoft.com/office/drawing/2014/chart" uri="{C3380CC4-5D6E-409C-BE32-E72D297353CC}">
              <c16:uniqueId val="{00000001-D98C-4322-8190-486E904D5160}"/>
            </c:ext>
          </c:extLst>
        </c:ser>
        <c:ser>
          <c:idx val="2"/>
          <c:order val="2"/>
          <c:tx>
            <c:strRef>
              <c:f>Coba!$D$38</c:f>
              <c:strCache>
                <c:ptCount val="1"/>
                <c:pt idx="0">
                  <c:v>TMG</c:v>
                </c:pt>
              </c:strCache>
            </c:strRef>
          </c:tx>
          <c:spPr>
            <a:ln w="28575" cap="rnd">
              <a:solidFill>
                <a:schemeClr val="tx1">
                  <a:lumMod val="95000"/>
                  <a:lumOff val="5000"/>
                </a:schemeClr>
              </a:solidFill>
              <a:prstDash val="sysDot"/>
              <a:round/>
            </a:ln>
            <a:effectLst/>
          </c:spPr>
          <c:marker>
            <c:symbol val="circle"/>
            <c:size val="5"/>
            <c:spPr>
              <a:solidFill>
                <a:schemeClr val="accent3"/>
              </a:solidFill>
              <a:ln w="9525">
                <a:solidFill>
                  <a:schemeClr val="accent3"/>
                </a:solidFill>
              </a:ln>
              <a:effectLst/>
            </c:spPr>
          </c:marker>
          <c:xVal>
            <c:numRef>
              <c:f>Coba!$A$39:$A$44</c:f>
              <c:numCache>
                <c:formatCode>General</c:formatCode>
                <c:ptCount val="6"/>
                <c:pt idx="0">
                  <c:v>2010</c:v>
                </c:pt>
                <c:pt idx="1">
                  <c:v>2011</c:v>
                </c:pt>
                <c:pt idx="2">
                  <c:v>2012</c:v>
                </c:pt>
                <c:pt idx="3">
                  <c:v>2013</c:v>
                </c:pt>
                <c:pt idx="4">
                  <c:v>2016</c:v>
                </c:pt>
                <c:pt idx="5">
                  <c:v>2017</c:v>
                </c:pt>
              </c:numCache>
            </c:numRef>
          </c:xVal>
          <c:yVal>
            <c:numRef>
              <c:f>Coba!$D$39:$D$44</c:f>
              <c:numCache>
                <c:formatCode>0.00</c:formatCode>
                <c:ptCount val="6"/>
                <c:pt idx="0">
                  <c:v>8.9649122807017552</c:v>
                </c:pt>
                <c:pt idx="1">
                  <c:v>6.8965517241379306</c:v>
                </c:pt>
                <c:pt idx="2">
                  <c:v>4.8135593220338979</c:v>
                </c:pt>
                <c:pt idx="3">
                  <c:v>5.375</c:v>
                </c:pt>
                <c:pt idx="4">
                  <c:v>8.1612903225806459</c:v>
                </c:pt>
                <c:pt idx="5">
                  <c:v>6.1538461538461542</c:v>
                </c:pt>
              </c:numCache>
            </c:numRef>
          </c:yVal>
          <c:smooth val="1"/>
          <c:extLst>
            <c:ext xmlns:c16="http://schemas.microsoft.com/office/drawing/2014/chart" uri="{C3380CC4-5D6E-409C-BE32-E72D297353CC}">
              <c16:uniqueId val="{00000002-D98C-4322-8190-486E904D5160}"/>
            </c:ext>
          </c:extLst>
        </c:ser>
        <c:dLbls>
          <c:showLegendKey val="0"/>
          <c:showVal val="0"/>
          <c:showCatName val="0"/>
          <c:showSerName val="0"/>
          <c:showPercent val="0"/>
          <c:showBubbleSize val="0"/>
        </c:dLbls>
        <c:axId val="224764480"/>
        <c:axId val="654706688"/>
      </c:scatterChart>
      <c:valAx>
        <c:axId val="654705512"/>
        <c:scaling>
          <c:orientation val="minMax"/>
          <c:max val="2017"/>
          <c:min val="2010"/>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654705904"/>
        <c:crosses val="autoZero"/>
        <c:crossBetween val="midCat"/>
      </c:valAx>
      <c:valAx>
        <c:axId val="654705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Nombre d'individu</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654705512"/>
        <c:crosses val="autoZero"/>
        <c:crossBetween val="midCat"/>
      </c:valAx>
      <c:valAx>
        <c:axId val="65470668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Nbr de contact et TMG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224764480"/>
        <c:crosses val="max"/>
        <c:crossBetween val="midCat"/>
      </c:valAx>
      <c:valAx>
        <c:axId val="224764480"/>
        <c:scaling>
          <c:orientation val="minMax"/>
        </c:scaling>
        <c:delete val="1"/>
        <c:axPos val="b"/>
        <c:numFmt formatCode="General" sourceLinked="1"/>
        <c:majorTickMark val="out"/>
        <c:minorTickMark val="none"/>
        <c:tickLblPos val="nextTo"/>
        <c:crossAx val="65470668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fr-FR" sz="1200"/>
              <a:t>Eléphant</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fr-BF"/>
        </a:p>
      </c:txPr>
    </c:title>
    <c:autoTitleDeleted val="0"/>
    <c:plotArea>
      <c:layout/>
      <c:scatterChart>
        <c:scatterStyle val="smoothMarker"/>
        <c:varyColors val="0"/>
        <c:ser>
          <c:idx val="1"/>
          <c:order val="1"/>
          <c:tx>
            <c:strRef>
              <c:f>Elephant!$C$48</c:f>
              <c:strCache>
                <c:ptCount val="1"/>
                <c:pt idx="0">
                  <c:v>Nbr d'individu</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xVal>
            <c:numRef>
              <c:f>Elephant!$A$49:$A$54</c:f>
              <c:numCache>
                <c:formatCode>General</c:formatCode>
                <c:ptCount val="6"/>
                <c:pt idx="0">
                  <c:v>2010</c:v>
                </c:pt>
                <c:pt idx="1">
                  <c:v>2011</c:v>
                </c:pt>
                <c:pt idx="2">
                  <c:v>2012</c:v>
                </c:pt>
                <c:pt idx="3">
                  <c:v>2013</c:v>
                </c:pt>
                <c:pt idx="4">
                  <c:v>2016</c:v>
                </c:pt>
                <c:pt idx="5">
                  <c:v>2017</c:v>
                </c:pt>
              </c:numCache>
            </c:numRef>
          </c:xVal>
          <c:yVal>
            <c:numRef>
              <c:f>Elephant!$C$49:$C$54</c:f>
              <c:numCache>
                <c:formatCode>General</c:formatCode>
                <c:ptCount val="6"/>
                <c:pt idx="0">
                  <c:v>160</c:v>
                </c:pt>
                <c:pt idx="1">
                  <c:v>206</c:v>
                </c:pt>
                <c:pt idx="2">
                  <c:v>120</c:v>
                </c:pt>
                <c:pt idx="3">
                  <c:v>104</c:v>
                </c:pt>
                <c:pt idx="4">
                  <c:v>137</c:v>
                </c:pt>
                <c:pt idx="5">
                  <c:v>35</c:v>
                </c:pt>
              </c:numCache>
            </c:numRef>
          </c:yVal>
          <c:smooth val="1"/>
          <c:extLst>
            <c:ext xmlns:c16="http://schemas.microsoft.com/office/drawing/2014/chart" uri="{C3380CC4-5D6E-409C-BE32-E72D297353CC}">
              <c16:uniqueId val="{00000000-FAA4-4D62-AF6C-F1CABEDCFE46}"/>
            </c:ext>
          </c:extLst>
        </c:ser>
        <c:dLbls>
          <c:showLegendKey val="0"/>
          <c:showVal val="0"/>
          <c:showCatName val="0"/>
          <c:showSerName val="0"/>
          <c:showPercent val="0"/>
          <c:showBubbleSize val="0"/>
        </c:dLbls>
        <c:axId val="224766440"/>
        <c:axId val="502677344"/>
      </c:scatterChart>
      <c:scatterChart>
        <c:scatterStyle val="smoothMarker"/>
        <c:varyColors val="0"/>
        <c:ser>
          <c:idx val="0"/>
          <c:order val="0"/>
          <c:tx>
            <c:strRef>
              <c:f>Elephant!$B$48</c:f>
              <c:strCache>
                <c:ptCount val="1"/>
                <c:pt idx="0">
                  <c:v>Nbr contact</c:v>
                </c:pt>
              </c:strCache>
            </c:strRef>
          </c:tx>
          <c:spPr>
            <a:ln w="28575" cap="rnd">
              <a:solidFill>
                <a:schemeClr val="accent1"/>
              </a:solidFill>
              <a:prstDash val="dash"/>
              <a:round/>
            </a:ln>
            <a:effectLst/>
          </c:spPr>
          <c:marker>
            <c:symbol val="circle"/>
            <c:size val="5"/>
            <c:spPr>
              <a:solidFill>
                <a:schemeClr val="accent1"/>
              </a:solidFill>
              <a:ln w="9525">
                <a:solidFill>
                  <a:schemeClr val="accent1"/>
                </a:solidFill>
              </a:ln>
              <a:effectLst/>
            </c:spPr>
          </c:marker>
          <c:xVal>
            <c:numRef>
              <c:f>Elephant!$A$49:$A$54</c:f>
              <c:numCache>
                <c:formatCode>General</c:formatCode>
                <c:ptCount val="6"/>
                <c:pt idx="0">
                  <c:v>2010</c:v>
                </c:pt>
                <c:pt idx="1">
                  <c:v>2011</c:v>
                </c:pt>
                <c:pt idx="2">
                  <c:v>2012</c:v>
                </c:pt>
                <c:pt idx="3">
                  <c:v>2013</c:v>
                </c:pt>
                <c:pt idx="4">
                  <c:v>2016</c:v>
                </c:pt>
                <c:pt idx="5">
                  <c:v>2017</c:v>
                </c:pt>
              </c:numCache>
            </c:numRef>
          </c:xVal>
          <c:yVal>
            <c:numRef>
              <c:f>Elephant!$B$49:$B$54</c:f>
              <c:numCache>
                <c:formatCode>General</c:formatCode>
                <c:ptCount val="6"/>
                <c:pt idx="0">
                  <c:v>23</c:v>
                </c:pt>
                <c:pt idx="1">
                  <c:v>33</c:v>
                </c:pt>
                <c:pt idx="2">
                  <c:v>20</c:v>
                </c:pt>
                <c:pt idx="3">
                  <c:v>16</c:v>
                </c:pt>
                <c:pt idx="4">
                  <c:v>9</c:v>
                </c:pt>
                <c:pt idx="5">
                  <c:v>4</c:v>
                </c:pt>
              </c:numCache>
            </c:numRef>
          </c:yVal>
          <c:smooth val="1"/>
          <c:extLst>
            <c:ext xmlns:c16="http://schemas.microsoft.com/office/drawing/2014/chart" uri="{C3380CC4-5D6E-409C-BE32-E72D297353CC}">
              <c16:uniqueId val="{00000001-FAA4-4D62-AF6C-F1CABEDCFE46}"/>
            </c:ext>
          </c:extLst>
        </c:ser>
        <c:ser>
          <c:idx val="2"/>
          <c:order val="2"/>
          <c:tx>
            <c:strRef>
              <c:f>Elephant!$D$48</c:f>
              <c:strCache>
                <c:ptCount val="1"/>
                <c:pt idx="0">
                  <c:v>TMG</c:v>
                </c:pt>
              </c:strCache>
            </c:strRef>
          </c:tx>
          <c:spPr>
            <a:ln w="28575" cap="rnd">
              <a:solidFill>
                <a:schemeClr val="tx1"/>
              </a:solidFill>
              <a:prstDash val="sysDot"/>
              <a:round/>
            </a:ln>
            <a:effectLst/>
          </c:spPr>
          <c:marker>
            <c:symbol val="circle"/>
            <c:size val="5"/>
            <c:spPr>
              <a:solidFill>
                <a:schemeClr val="accent3"/>
              </a:solidFill>
              <a:ln w="9525">
                <a:solidFill>
                  <a:schemeClr val="accent3"/>
                </a:solidFill>
              </a:ln>
              <a:effectLst/>
            </c:spPr>
          </c:marker>
          <c:xVal>
            <c:numRef>
              <c:f>Elephant!$A$49:$A$54</c:f>
              <c:numCache>
                <c:formatCode>General</c:formatCode>
                <c:ptCount val="6"/>
                <c:pt idx="0">
                  <c:v>2010</c:v>
                </c:pt>
                <c:pt idx="1">
                  <c:v>2011</c:v>
                </c:pt>
                <c:pt idx="2">
                  <c:v>2012</c:v>
                </c:pt>
                <c:pt idx="3">
                  <c:v>2013</c:v>
                </c:pt>
                <c:pt idx="4">
                  <c:v>2016</c:v>
                </c:pt>
                <c:pt idx="5">
                  <c:v>2017</c:v>
                </c:pt>
              </c:numCache>
            </c:numRef>
          </c:xVal>
          <c:yVal>
            <c:numRef>
              <c:f>Elephant!$D$49:$D$54</c:f>
              <c:numCache>
                <c:formatCode>0.00</c:formatCode>
                <c:ptCount val="6"/>
                <c:pt idx="0">
                  <c:v>6.9565217391304346</c:v>
                </c:pt>
                <c:pt idx="1">
                  <c:v>6.2424242424242422</c:v>
                </c:pt>
                <c:pt idx="2">
                  <c:v>6</c:v>
                </c:pt>
                <c:pt idx="3">
                  <c:v>6.5</c:v>
                </c:pt>
                <c:pt idx="4">
                  <c:v>15.222222222222221</c:v>
                </c:pt>
                <c:pt idx="5">
                  <c:v>8.75</c:v>
                </c:pt>
              </c:numCache>
            </c:numRef>
          </c:yVal>
          <c:smooth val="1"/>
          <c:extLst>
            <c:ext xmlns:c16="http://schemas.microsoft.com/office/drawing/2014/chart" uri="{C3380CC4-5D6E-409C-BE32-E72D297353CC}">
              <c16:uniqueId val="{00000002-FAA4-4D62-AF6C-F1CABEDCFE46}"/>
            </c:ext>
          </c:extLst>
        </c:ser>
        <c:dLbls>
          <c:showLegendKey val="0"/>
          <c:showVal val="0"/>
          <c:showCatName val="0"/>
          <c:showSerName val="0"/>
          <c:showPercent val="0"/>
          <c:showBubbleSize val="0"/>
        </c:dLbls>
        <c:axId val="663288088"/>
        <c:axId val="502677736"/>
      </c:scatterChart>
      <c:valAx>
        <c:axId val="224766440"/>
        <c:scaling>
          <c:orientation val="minMax"/>
          <c:max val="2017"/>
          <c:min val="2010"/>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502677344"/>
        <c:crosses val="autoZero"/>
        <c:crossBetween val="midCat"/>
      </c:valAx>
      <c:valAx>
        <c:axId val="502677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Nombre d'individu</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224766440"/>
        <c:crosses val="autoZero"/>
        <c:crossBetween val="midCat"/>
      </c:valAx>
      <c:valAx>
        <c:axId val="50267773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Nbr de contact et TMG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663288088"/>
        <c:crosses val="max"/>
        <c:crossBetween val="midCat"/>
      </c:valAx>
      <c:valAx>
        <c:axId val="663288088"/>
        <c:scaling>
          <c:orientation val="minMax"/>
        </c:scaling>
        <c:delete val="1"/>
        <c:axPos val="b"/>
        <c:numFmt formatCode="General" sourceLinked="1"/>
        <c:majorTickMark val="out"/>
        <c:minorTickMark val="none"/>
        <c:tickLblPos val="nextTo"/>
        <c:crossAx val="50267773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fr-FR" sz="1200"/>
              <a:t>Guib harnaché</a:t>
            </a:r>
          </a:p>
        </c:rich>
      </c:tx>
      <c:layout>
        <c:manualLayout>
          <c:xMode val="edge"/>
          <c:yMode val="edge"/>
          <c:x val="0.3515067804024497"/>
          <c:y val="2.7777777777777776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fr-BF"/>
        </a:p>
      </c:txPr>
    </c:title>
    <c:autoTitleDeleted val="0"/>
    <c:plotArea>
      <c:layout/>
      <c:scatterChart>
        <c:scatterStyle val="smoothMarker"/>
        <c:varyColors val="0"/>
        <c:ser>
          <c:idx val="0"/>
          <c:order val="0"/>
          <c:tx>
            <c:strRef>
              <c:f>Guib!$B$37</c:f>
              <c:strCache>
                <c:ptCount val="1"/>
                <c:pt idx="0">
                  <c:v>Nbr contact</c:v>
                </c:pt>
              </c:strCache>
            </c:strRef>
          </c:tx>
          <c:spPr>
            <a:ln w="28575" cap="rnd">
              <a:solidFill>
                <a:schemeClr val="accent1"/>
              </a:solidFill>
              <a:prstDash val="dash"/>
              <a:round/>
            </a:ln>
            <a:effectLst/>
          </c:spPr>
          <c:marker>
            <c:symbol val="circle"/>
            <c:size val="5"/>
            <c:spPr>
              <a:solidFill>
                <a:schemeClr val="accent1"/>
              </a:solidFill>
              <a:ln w="9525">
                <a:solidFill>
                  <a:schemeClr val="accent1"/>
                </a:solidFill>
              </a:ln>
              <a:effectLst/>
            </c:spPr>
          </c:marker>
          <c:xVal>
            <c:numRef>
              <c:f>Guib!$A$38:$A$43</c:f>
              <c:numCache>
                <c:formatCode>General</c:formatCode>
                <c:ptCount val="6"/>
                <c:pt idx="0">
                  <c:v>2010</c:v>
                </c:pt>
                <c:pt idx="1">
                  <c:v>2011</c:v>
                </c:pt>
                <c:pt idx="2">
                  <c:v>2012</c:v>
                </c:pt>
                <c:pt idx="3">
                  <c:v>2013</c:v>
                </c:pt>
                <c:pt idx="4">
                  <c:v>2016</c:v>
                </c:pt>
                <c:pt idx="5">
                  <c:v>2017</c:v>
                </c:pt>
              </c:numCache>
            </c:numRef>
          </c:xVal>
          <c:yVal>
            <c:numRef>
              <c:f>Guib!$B$38:$B$43</c:f>
              <c:numCache>
                <c:formatCode>General</c:formatCode>
                <c:ptCount val="6"/>
                <c:pt idx="0">
                  <c:v>23</c:v>
                </c:pt>
                <c:pt idx="1">
                  <c:v>30</c:v>
                </c:pt>
                <c:pt idx="2">
                  <c:v>31</c:v>
                </c:pt>
                <c:pt idx="3">
                  <c:v>19</c:v>
                </c:pt>
                <c:pt idx="4">
                  <c:v>17</c:v>
                </c:pt>
                <c:pt idx="5">
                  <c:v>17</c:v>
                </c:pt>
              </c:numCache>
            </c:numRef>
          </c:yVal>
          <c:smooth val="1"/>
          <c:extLst>
            <c:ext xmlns:c16="http://schemas.microsoft.com/office/drawing/2014/chart" uri="{C3380CC4-5D6E-409C-BE32-E72D297353CC}">
              <c16:uniqueId val="{00000000-1264-45AF-8818-3D69BF2C423E}"/>
            </c:ext>
          </c:extLst>
        </c:ser>
        <c:ser>
          <c:idx val="1"/>
          <c:order val="1"/>
          <c:tx>
            <c:strRef>
              <c:f>Guib!$C$37</c:f>
              <c:strCache>
                <c:ptCount val="1"/>
                <c:pt idx="0">
                  <c:v>Nbr d'individu</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xVal>
            <c:numRef>
              <c:f>Guib!$A$38:$A$43</c:f>
              <c:numCache>
                <c:formatCode>General</c:formatCode>
                <c:ptCount val="6"/>
                <c:pt idx="0">
                  <c:v>2010</c:v>
                </c:pt>
                <c:pt idx="1">
                  <c:v>2011</c:v>
                </c:pt>
                <c:pt idx="2">
                  <c:v>2012</c:v>
                </c:pt>
                <c:pt idx="3">
                  <c:v>2013</c:v>
                </c:pt>
                <c:pt idx="4">
                  <c:v>2016</c:v>
                </c:pt>
                <c:pt idx="5">
                  <c:v>2017</c:v>
                </c:pt>
              </c:numCache>
            </c:numRef>
          </c:xVal>
          <c:yVal>
            <c:numRef>
              <c:f>Guib!$C$38:$C$43</c:f>
              <c:numCache>
                <c:formatCode>General</c:formatCode>
                <c:ptCount val="6"/>
                <c:pt idx="0">
                  <c:v>32</c:v>
                </c:pt>
                <c:pt idx="1">
                  <c:v>43</c:v>
                </c:pt>
                <c:pt idx="2">
                  <c:v>43</c:v>
                </c:pt>
                <c:pt idx="3">
                  <c:v>23</c:v>
                </c:pt>
                <c:pt idx="4">
                  <c:v>25</c:v>
                </c:pt>
                <c:pt idx="5">
                  <c:v>21</c:v>
                </c:pt>
              </c:numCache>
            </c:numRef>
          </c:yVal>
          <c:smooth val="1"/>
          <c:extLst>
            <c:ext xmlns:c16="http://schemas.microsoft.com/office/drawing/2014/chart" uri="{C3380CC4-5D6E-409C-BE32-E72D297353CC}">
              <c16:uniqueId val="{00000001-1264-45AF-8818-3D69BF2C423E}"/>
            </c:ext>
          </c:extLst>
        </c:ser>
        <c:dLbls>
          <c:showLegendKey val="0"/>
          <c:showVal val="0"/>
          <c:showCatName val="0"/>
          <c:showSerName val="0"/>
          <c:showPercent val="0"/>
          <c:showBubbleSize val="0"/>
        </c:dLbls>
        <c:axId val="793376152"/>
        <c:axId val="793376544"/>
      </c:scatterChart>
      <c:scatterChart>
        <c:scatterStyle val="smoothMarker"/>
        <c:varyColors val="0"/>
        <c:ser>
          <c:idx val="2"/>
          <c:order val="2"/>
          <c:tx>
            <c:strRef>
              <c:f>Guib!$D$37</c:f>
              <c:strCache>
                <c:ptCount val="1"/>
                <c:pt idx="0">
                  <c:v>TMG</c:v>
                </c:pt>
              </c:strCache>
            </c:strRef>
          </c:tx>
          <c:spPr>
            <a:ln w="28575" cap="rnd">
              <a:solidFill>
                <a:schemeClr val="tx1"/>
              </a:solidFill>
              <a:prstDash val="sysDot"/>
              <a:round/>
            </a:ln>
            <a:effectLst/>
          </c:spPr>
          <c:marker>
            <c:symbol val="circle"/>
            <c:size val="5"/>
            <c:spPr>
              <a:solidFill>
                <a:schemeClr val="accent3"/>
              </a:solidFill>
              <a:ln w="9525">
                <a:solidFill>
                  <a:schemeClr val="accent3"/>
                </a:solidFill>
              </a:ln>
              <a:effectLst/>
            </c:spPr>
          </c:marker>
          <c:xVal>
            <c:numRef>
              <c:f>Guib!$A$38:$A$43</c:f>
              <c:numCache>
                <c:formatCode>General</c:formatCode>
                <c:ptCount val="6"/>
                <c:pt idx="0">
                  <c:v>2010</c:v>
                </c:pt>
                <c:pt idx="1">
                  <c:v>2011</c:v>
                </c:pt>
                <c:pt idx="2">
                  <c:v>2012</c:v>
                </c:pt>
                <c:pt idx="3">
                  <c:v>2013</c:v>
                </c:pt>
                <c:pt idx="4">
                  <c:v>2016</c:v>
                </c:pt>
                <c:pt idx="5">
                  <c:v>2017</c:v>
                </c:pt>
              </c:numCache>
            </c:numRef>
          </c:xVal>
          <c:yVal>
            <c:numRef>
              <c:f>Guib!$D$38:$D$43</c:f>
              <c:numCache>
                <c:formatCode>0.00</c:formatCode>
                <c:ptCount val="6"/>
                <c:pt idx="0">
                  <c:v>1.3913043478260869</c:v>
                </c:pt>
                <c:pt idx="1">
                  <c:v>1.4333333333333333</c:v>
                </c:pt>
                <c:pt idx="2">
                  <c:v>1.3870967741935485</c:v>
                </c:pt>
                <c:pt idx="3">
                  <c:v>1.2105263157894737</c:v>
                </c:pt>
                <c:pt idx="4">
                  <c:v>1.4705882352941178</c:v>
                </c:pt>
                <c:pt idx="5">
                  <c:v>1.2352941176470589</c:v>
                </c:pt>
              </c:numCache>
            </c:numRef>
          </c:yVal>
          <c:smooth val="1"/>
          <c:extLst>
            <c:ext xmlns:c16="http://schemas.microsoft.com/office/drawing/2014/chart" uri="{C3380CC4-5D6E-409C-BE32-E72D297353CC}">
              <c16:uniqueId val="{00000002-1264-45AF-8818-3D69BF2C423E}"/>
            </c:ext>
          </c:extLst>
        </c:ser>
        <c:dLbls>
          <c:showLegendKey val="0"/>
          <c:showVal val="0"/>
          <c:showCatName val="0"/>
          <c:showSerName val="0"/>
          <c:showPercent val="0"/>
          <c:showBubbleSize val="0"/>
        </c:dLbls>
        <c:axId val="491432328"/>
        <c:axId val="491431544"/>
      </c:scatterChart>
      <c:valAx>
        <c:axId val="793376152"/>
        <c:scaling>
          <c:orientation val="minMax"/>
          <c:max val="2017"/>
          <c:min val="2010"/>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793376544"/>
        <c:crosses val="autoZero"/>
        <c:crossBetween val="midCat"/>
      </c:valAx>
      <c:valAx>
        <c:axId val="793376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Nbr de contact et Nbr d'individu</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793376152"/>
        <c:crosses val="autoZero"/>
        <c:crossBetween val="midCat"/>
      </c:valAx>
      <c:valAx>
        <c:axId val="491431544"/>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TMG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491432328"/>
        <c:crosses val="max"/>
        <c:crossBetween val="midCat"/>
      </c:valAx>
      <c:valAx>
        <c:axId val="491432328"/>
        <c:scaling>
          <c:orientation val="minMax"/>
        </c:scaling>
        <c:delete val="1"/>
        <c:axPos val="b"/>
        <c:numFmt formatCode="General" sourceLinked="1"/>
        <c:majorTickMark val="out"/>
        <c:minorTickMark val="none"/>
        <c:tickLblPos val="nextTo"/>
        <c:crossAx val="49143154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fr-FR" sz="1200"/>
              <a:t>Ourébi</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fr-BF"/>
        </a:p>
      </c:txPr>
    </c:title>
    <c:autoTitleDeleted val="0"/>
    <c:plotArea>
      <c:layout/>
      <c:scatterChart>
        <c:scatterStyle val="smoothMarker"/>
        <c:varyColors val="0"/>
        <c:ser>
          <c:idx val="0"/>
          <c:order val="0"/>
          <c:tx>
            <c:strRef>
              <c:f>Ourebi!$B$26</c:f>
              <c:strCache>
                <c:ptCount val="1"/>
                <c:pt idx="0">
                  <c:v>Nbr contact</c:v>
                </c:pt>
              </c:strCache>
            </c:strRef>
          </c:tx>
          <c:spPr>
            <a:ln w="28575" cap="rnd">
              <a:solidFill>
                <a:schemeClr val="accent1"/>
              </a:solidFill>
              <a:prstDash val="dash"/>
              <a:round/>
            </a:ln>
            <a:effectLst/>
          </c:spPr>
          <c:marker>
            <c:symbol val="circle"/>
            <c:size val="5"/>
            <c:spPr>
              <a:solidFill>
                <a:schemeClr val="accent1"/>
              </a:solidFill>
              <a:ln w="9525">
                <a:solidFill>
                  <a:schemeClr val="accent1"/>
                </a:solidFill>
              </a:ln>
              <a:effectLst/>
            </c:spPr>
          </c:marker>
          <c:xVal>
            <c:numRef>
              <c:f>Ourebi!$A$27:$A$32</c:f>
              <c:numCache>
                <c:formatCode>General</c:formatCode>
                <c:ptCount val="6"/>
                <c:pt idx="0">
                  <c:v>2010</c:v>
                </c:pt>
                <c:pt idx="1">
                  <c:v>2011</c:v>
                </c:pt>
                <c:pt idx="2">
                  <c:v>2012</c:v>
                </c:pt>
                <c:pt idx="3">
                  <c:v>2013</c:v>
                </c:pt>
                <c:pt idx="4">
                  <c:v>2016</c:v>
                </c:pt>
                <c:pt idx="5">
                  <c:v>2017</c:v>
                </c:pt>
              </c:numCache>
            </c:numRef>
          </c:xVal>
          <c:yVal>
            <c:numRef>
              <c:f>Ourebi!$B$27:$B$32</c:f>
              <c:numCache>
                <c:formatCode>General</c:formatCode>
                <c:ptCount val="6"/>
                <c:pt idx="0">
                  <c:v>13</c:v>
                </c:pt>
                <c:pt idx="1">
                  <c:v>21</c:v>
                </c:pt>
                <c:pt idx="2">
                  <c:v>10</c:v>
                </c:pt>
                <c:pt idx="3">
                  <c:v>4</c:v>
                </c:pt>
                <c:pt idx="4">
                  <c:v>10</c:v>
                </c:pt>
                <c:pt idx="5">
                  <c:v>6</c:v>
                </c:pt>
              </c:numCache>
            </c:numRef>
          </c:yVal>
          <c:smooth val="1"/>
          <c:extLst>
            <c:ext xmlns:c16="http://schemas.microsoft.com/office/drawing/2014/chart" uri="{C3380CC4-5D6E-409C-BE32-E72D297353CC}">
              <c16:uniqueId val="{00000000-87CA-4657-A313-17F4A591DC13}"/>
            </c:ext>
          </c:extLst>
        </c:ser>
        <c:ser>
          <c:idx val="1"/>
          <c:order val="1"/>
          <c:tx>
            <c:strRef>
              <c:f>Ourebi!$C$26</c:f>
              <c:strCache>
                <c:ptCount val="1"/>
                <c:pt idx="0">
                  <c:v>Nbr d'individu</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xVal>
            <c:numRef>
              <c:f>Ourebi!$A$27:$A$32</c:f>
              <c:numCache>
                <c:formatCode>General</c:formatCode>
                <c:ptCount val="6"/>
                <c:pt idx="0">
                  <c:v>2010</c:v>
                </c:pt>
                <c:pt idx="1">
                  <c:v>2011</c:v>
                </c:pt>
                <c:pt idx="2">
                  <c:v>2012</c:v>
                </c:pt>
                <c:pt idx="3">
                  <c:v>2013</c:v>
                </c:pt>
                <c:pt idx="4">
                  <c:v>2016</c:v>
                </c:pt>
                <c:pt idx="5">
                  <c:v>2017</c:v>
                </c:pt>
              </c:numCache>
            </c:numRef>
          </c:xVal>
          <c:yVal>
            <c:numRef>
              <c:f>Ourebi!$C$27:$C$32</c:f>
              <c:numCache>
                <c:formatCode>General</c:formatCode>
                <c:ptCount val="6"/>
                <c:pt idx="0">
                  <c:v>18</c:v>
                </c:pt>
                <c:pt idx="1">
                  <c:v>30</c:v>
                </c:pt>
                <c:pt idx="2">
                  <c:v>16</c:v>
                </c:pt>
                <c:pt idx="3">
                  <c:v>5</c:v>
                </c:pt>
                <c:pt idx="4">
                  <c:v>16</c:v>
                </c:pt>
                <c:pt idx="5">
                  <c:v>7</c:v>
                </c:pt>
              </c:numCache>
            </c:numRef>
          </c:yVal>
          <c:smooth val="1"/>
          <c:extLst>
            <c:ext xmlns:c16="http://schemas.microsoft.com/office/drawing/2014/chart" uri="{C3380CC4-5D6E-409C-BE32-E72D297353CC}">
              <c16:uniqueId val="{00000001-87CA-4657-A313-17F4A591DC13}"/>
            </c:ext>
          </c:extLst>
        </c:ser>
        <c:dLbls>
          <c:showLegendKey val="0"/>
          <c:showVal val="0"/>
          <c:showCatName val="0"/>
          <c:showSerName val="0"/>
          <c:showPercent val="0"/>
          <c:showBubbleSize val="0"/>
        </c:dLbls>
        <c:axId val="89942624"/>
        <c:axId val="89940664"/>
      </c:scatterChart>
      <c:scatterChart>
        <c:scatterStyle val="smoothMarker"/>
        <c:varyColors val="0"/>
        <c:ser>
          <c:idx val="2"/>
          <c:order val="2"/>
          <c:tx>
            <c:strRef>
              <c:f>Ourebi!$D$26</c:f>
              <c:strCache>
                <c:ptCount val="1"/>
                <c:pt idx="0">
                  <c:v>TMG</c:v>
                </c:pt>
              </c:strCache>
            </c:strRef>
          </c:tx>
          <c:spPr>
            <a:ln w="28575" cap="rnd">
              <a:solidFill>
                <a:schemeClr val="tx1"/>
              </a:solidFill>
              <a:prstDash val="sysDot"/>
              <a:round/>
            </a:ln>
            <a:effectLst/>
          </c:spPr>
          <c:marker>
            <c:symbol val="circle"/>
            <c:size val="5"/>
            <c:spPr>
              <a:solidFill>
                <a:schemeClr val="accent3"/>
              </a:solidFill>
              <a:ln w="9525">
                <a:solidFill>
                  <a:schemeClr val="accent3"/>
                </a:solidFill>
              </a:ln>
              <a:effectLst/>
            </c:spPr>
          </c:marker>
          <c:xVal>
            <c:numRef>
              <c:f>Ourebi!$A$27:$A$32</c:f>
              <c:numCache>
                <c:formatCode>General</c:formatCode>
                <c:ptCount val="6"/>
                <c:pt idx="0">
                  <c:v>2010</c:v>
                </c:pt>
                <c:pt idx="1">
                  <c:v>2011</c:v>
                </c:pt>
                <c:pt idx="2">
                  <c:v>2012</c:v>
                </c:pt>
                <c:pt idx="3">
                  <c:v>2013</c:v>
                </c:pt>
                <c:pt idx="4">
                  <c:v>2016</c:v>
                </c:pt>
                <c:pt idx="5">
                  <c:v>2017</c:v>
                </c:pt>
              </c:numCache>
            </c:numRef>
          </c:xVal>
          <c:yVal>
            <c:numRef>
              <c:f>Ourebi!$D$27:$D$32</c:f>
              <c:numCache>
                <c:formatCode>0.00</c:formatCode>
                <c:ptCount val="6"/>
                <c:pt idx="0">
                  <c:v>1.3846153846153846</c:v>
                </c:pt>
                <c:pt idx="1">
                  <c:v>1.4285714285714286</c:v>
                </c:pt>
                <c:pt idx="2">
                  <c:v>1.6</c:v>
                </c:pt>
                <c:pt idx="3">
                  <c:v>1.25</c:v>
                </c:pt>
                <c:pt idx="4">
                  <c:v>1.6</c:v>
                </c:pt>
                <c:pt idx="5">
                  <c:v>1.1666666666666667</c:v>
                </c:pt>
              </c:numCache>
            </c:numRef>
          </c:yVal>
          <c:smooth val="1"/>
          <c:extLst>
            <c:ext xmlns:c16="http://schemas.microsoft.com/office/drawing/2014/chart" uri="{C3380CC4-5D6E-409C-BE32-E72D297353CC}">
              <c16:uniqueId val="{00000002-87CA-4657-A313-17F4A591DC13}"/>
            </c:ext>
          </c:extLst>
        </c:ser>
        <c:dLbls>
          <c:showLegendKey val="0"/>
          <c:showVal val="0"/>
          <c:showCatName val="0"/>
          <c:showSerName val="0"/>
          <c:showPercent val="0"/>
          <c:showBubbleSize val="0"/>
        </c:dLbls>
        <c:axId val="89941448"/>
        <c:axId val="89941056"/>
      </c:scatterChart>
      <c:valAx>
        <c:axId val="89942624"/>
        <c:scaling>
          <c:orientation val="minMax"/>
          <c:max val="2017"/>
          <c:min val="2010"/>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89940664"/>
        <c:crosses val="autoZero"/>
        <c:crossBetween val="midCat"/>
      </c:valAx>
      <c:valAx>
        <c:axId val="899406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Nbr de contact et Nbr d'individu</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89942624"/>
        <c:crosses val="autoZero"/>
        <c:crossBetween val="midCat"/>
      </c:valAx>
      <c:valAx>
        <c:axId val="8994105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TMG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89941448"/>
        <c:crosses val="max"/>
        <c:crossBetween val="midCat"/>
      </c:valAx>
      <c:valAx>
        <c:axId val="89941448"/>
        <c:scaling>
          <c:orientation val="minMax"/>
        </c:scaling>
        <c:delete val="1"/>
        <c:axPos val="b"/>
        <c:numFmt formatCode="General" sourceLinked="1"/>
        <c:majorTickMark val="out"/>
        <c:minorTickMark val="none"/>
        <c:tickLblPos val="nextTo"/>
        <c:crossAx val="8994105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'3_Réalisation 2016_2023'!$C$160:$H$160</c:f>
              <c:strCache>
                <c:ptCount val="6"/>
                <c:pt idx="0">
                  <c:v>Nombre de communes à taux &lt; 65%</c:v>
                </c:pt>
              </c:strCache>
            </c:strRef>
          </c:tx>
          <c:spPr>
            <a:ln w="25400" cap="rnd">
              <a:noFill/>
              <a:round/>
            </a:ln>
            <a:effectLst/>
          </c:spPr>
          <c:marker>
            <c:symbol val="triangle"/>
            <c:size val="8"/>
            <c:spPr>
              <a:solidFill>
                <a:srgbClr val="C00000"/>
              </a:solidFill>
              <a:ln w="9525">
                <a:solidFill>
                  <a:schemeClr val="accent1"/>
                </a:solidFill>
              </a:ln>
              <a:effectLst/>
            </c:spPr>
          </c:marker>
          <c:dLbls>
            <c:numFmt formatCode="#,##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fr-BF"/>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'3_Réalisation 2016_2023'!$D$162:$K$162</c:f>
              <c:numCache>
                <c:formatCode>General</c:formatCode>
                <c:ptCount val="8"/>
                <c:pt idx="0">
                  <c:v>2016</c:v>
                </c:pt>
                <c:pt idx="1">
                  <c:v>2017</c:v>
                </c:pt>
                <c:pt idx="2">
                  <c:v>2018</c:v>
                </c:pt>
                <c:pt idx="3">
                  <c:v>2019</c:v>
                </c:pt>
                <c:pt idx="4">
                  <c:v>2020</c:v>
                </c:pt>
                <c:pt idx="5">
                  <c:v>2021</c:v>
                </c:pt>
                <c:pt idx="6">
                  <c:v>2022</c:v>
                </c:pt>
                <c:pt idx="7">
                  <c:v>2023</c:v>
                </c:pt>
              </c:numCache>
            </c:numRef>
          </c:xVal>
          <c:yVal>
            <c:numRef>
              <c:f>'3_Réalisation 2016_2023'!$D$176:$K$176</c:f>
              <c:numCache>
                <c:formatCode>_-* #\ ##0\ _€_-;\-* #\ ##0\ _€_-;_-* "-"??\ _€_-;_-@_-</c:formatCode>
                <c:ptCount val="8"/>
                <c:pt idx="0">
                  <c:v>140</c:v>
                </c:pt>
                <c:pt idx="1">
                  <c:v>137</c:v>
                </c:pt>
                <c:pt idx="2">
                  <c:v>113</c:v>
                </c:pt>
                <c:pt idx="3">
                  <c:v>107</c:v>
                </c:pt>
                <c:pt idx="4">
                  <c:v>101</c:v>
                </c:pt>
                <c:pt idx="5">
                  <c:v>98</c:v>
                </c:pt>
                <c:pt idx="6" formatCode="General">
                  <c:v>100</c:v>
                </c:pt>
                <c:pt idx="7" formatCode="General">
                  <c:v>100</c:v>
                </c:pt>
              </c:numCache>
            </c:numRef>
          </c:yVal>
          <c:smooth val="0"/>
          <c:extLst>
            <c:ext xmlns:c16="http://schemas.microsoft.com/office/drawing/2014/chart" uri="{C3380CC4-5D6E-409C-BE32-E72D297353CC}">
              <c16:uniqueId val="{00000000-3E10-4F79-8315-D60ABDD84124}"/>
            </c:ext>
          </c:extLst>
        </c:ser>
        <c:dLbls>
          <c:dLblPos val="t"/>
          <c:showLegendKey val="0"/>
          <c:showVal val="1"/>
          <c:showCatName val="0"/>
          <c:showSerName val="0"/>
          <c:showPercent val="0"/>
          <c:showBubbleSize val="0"/>
        </c:dLbls>
        <c:axId val="675289064"/>
        <c:axId val="675294104"/>
      </c:scatterChart>
      <c:valAx>
        <c:axId val="675289064"/>
        <c:scaling>
          <c:orientation val="minMax"/>
          <c:max val="2023"/>
          <c:min val="2016"/>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BF"/>
          </a:p>
        </c:txPr>
        <c:crossAx val="675294104"/>
        <c:crosses val="autoZero"/>
        <c:crossBetween val="midCat"/>
      </c:valAx>
      <c:valAx>
        <c:axId val="675294104"/>
        <c:scaling>
          <c:orientation val="minMax"/>
        </c:scaling>
        <c:delete val="0"/>
        <c:axPos val="l"/>
        <c:majorGridlines>
          <c:spPr>
            <a:ln w="9525" cap="flat" cmpd="sng" algn="ctr">
              <a:solidFill>
                <a:schemeClr val="tx1">
                  <a:lumMod val="15000"/>
                  <a:lumOff val="85000"/>
                </a:schemeClr>
              </a:solidFill>
              <a:round/>
            </a:ln>
            <a:effectLst/>
          </c:spPr>
        </c:majorGridlines>
        <c:numFmt formatCode="_-* #\ ##0\ _€_-;\-* #\ ##0\ _€_-;_-* &quot;-&quot;??\ _€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BF"/>
          </a:p>
        </c:txPr>
        <c:crossAx val="67528906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BF"/>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fr-BF"/>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fr-FR" sz="1200" b="0" i="0" u="none" strike="noStrike" kern="1200" spc="0" baseline="0">
                <a:solidFill>
                  <a:sysClr val="windowText" lastClr="000000">
                    <a:lumMod val="65000"/>
                    <a:lumOff val="35000"/>
                  </a:sysClr>
                </a:solidFill>
                <a:latin typeface="+mn-lt"/>
                <a:ea typeface="+mn-ea"/>
                <a:cs typeface="+mn-cs"/>
              </a:rPr>
              <a:t>Singe rouge</a:t>
            </a:r>
            <a:endParaRPr lang="fr-FR"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fr-BF"/>
        </a:p>
      </c:txPr>
    </c:title>
    <c:autoTitleDeleted val="0"/>
    <c:plotArea>
      <c:layout/>
      <c:scatterChart>
        <c:scatterStyle val="smoothMarker"/>
        <c:varyColors val="0"/>
        <c:ser>
          <c:idx val="1"/>
          <c:order val="1"/>
          <c:tx>
            <c:strRef>
              <c:f>Patas!$C$25</c:f>
              <c:strCache>
                <c:ptCount val="1"/>
                <c:pt idx="0">
                  <c:v>Nbr d'individu</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xVal>
            <c:numRef>
              <c:f>Patas!$A$26:$A$31</c:f>
              <c:numCache>
                <c:formatCode>General</c:formatCode>
                <c:ptCount val="6"/>
                <c:pt idx="0">
                  <c:v>2010</c:v>
                </c:pt>
                <c:pt idx="1">
                  <c:v>2011</c:v>
                </c:pt>
                <c:pt idx="2">
                  <c:v>2012</c:v>
                </c:pt>
                <c:pt idx="3">
                  <c:v>2013</c:v>
                </c:pt>
                <c:pt idx="4">
                  <c:v>2016</c:v>
                </c:pt>
                <c:pt idx="5">
                  <c:v>2017</c:v>
                </c:pt>
              </c:numCache>
            </c:numRef>
          </c:xVal>
          <c:yVal>
            <c:numRef>
              <c:f>Patas!$C$26:$C$31</c:f>
              <c:numCache>
                <c:formatCode>General</c:formatCode>
                <c:ptCount val="6"/>
                <c:pt idx="0">
                  <c:v>10</c:v>
                </c:pt>
                <c:pt idx="1">
                  <c:v>0</c:v>
                </c:pt>
                <c:pt idx="2">
                  <c:v>6</c:v>
                </c:pt>
                <c:pt idx="3">
                  <c:v>32</c:v>
                </c:pt>
                <c:pt idx="4">
                  <c:v>46</c:v>
                </c:pt>
                <c:pt idx="5">
                  <c:v>6</c:v>
                </c:pt>
              </c:numCache>
            </c:numRef>
          </c:yVal>
          <c:smooth val="1"/>
          <c:extLst>
            <c:ext xmlns:c16="http://schemas.microsoft.com/office/drawing/2014/chart" uri="{C3380CC4-5D6E-409C-BE32-E72D297353CC}">
              <c16:uniqueId val="{00000000-8EA5-4D4F-A730-7532CB611F03}"/>
            </c:ext>
          </c:extLst>
        </c:ser>
        <c:dLbls>
          <c:showLegendKey val="0"/>
          <c:showVal val="0"/>
          <c:showCatName val="0"/>
          <c:showSerName val="0"/>
          <c:showPercent val="0"/>
          <c:showBubbleSize val="0"/>
        </c:dLbls>
        <c:axId val="89940272"/>
        <c:axId val="89941840"/>
      </c:scatterChart>
      <c:scatterChart>
        <c:scatterStyle val="smoothMarker"/>
        <c:varyColors val="0"/>
        <c:ser>
          <c:idx val="0"/>
          <c:order val="0"/>
          <c:tx>
            <c:strRef>
              <c:f>Patas!$B$25</c:f>
              <c:strCache>
                <c:ptCount val="1"/>
                <c:pt idx="0">
                  <c:v>Nbr contact</c:v>
                </c:pt>
              </c:strCache>
            </c:strRef>
          </c:tx>
          <c:spPr>
            <a:ln w="28575" cap="rnd">
              <a:solidFill>
                <a:schemeClr val="accent1"/>
              </a:solidFill>
              <a:prstDash val="dash"/>
              <a:round/>
            </a:ln>
            <a:effectLst/>
          </c:spPr>
          <c:marker>
            <c:symbol val="circle"/>
            <c:size val="5"/>
            <c:spPr>
              <a:solidFill>
                <a:schemeClr val="accent1"/>
              </a:solidFill>
              <a:ln w="9525">
                <a:solidFill>
                  <a:schemeClr val="accent1"/>
                </a:solidFill>
              </a:ln>
              <a:effectLst/>
            </c:spPr>
          </c:marker>
          <c:xVal>
            <c:numRef>
              <c:f>Patas!$A$26:$A$31</c:f>
              <c:numCache>
                <c:formatCode>General</c:formatCode>
                <c:ptCount val="6"/>
                <c:pt idx="0">
                  <c:v>2010</c:v>
                </c:pt>
                <c:pt idx="1">
                  <c:v>2011</c:v>
                </c:pt>
                <c:pt idx="2">
                  <c:v>2012</c:v>
                </c:pt>
                <c:pt idx="3">
                  <c:v>2013</c:v>
                </c:pt>
                <c:pt idx="4">
                  <c:v>2016</c:v>
                </c:pt>
                <c:pt idx="5">
                  <c:v>2017</c:v>
                </c:pt>
              </c:numCache>
            </c:numRef>
          </c:xVal>
          <c:yVal>
            <c:numRef>
              <c:f>Patas!$B$26:$B$31</c:f>
              <c:numCache>
                <c:formatCode>General</c:formatCode>
                <c:ptCount val="6"/>
                <c:pt idx="0">
                  <c:v>6</c:v>
                </c:pt>
                <c:pt idx="1">
                  <c:v>0</c:v>
                </c:pt>
                <c:pt idx="2">
                  <c:v>4</c:v>
                </c:pt>
                <c:pt idx="3">
                  <c:v>5</c:v>
                </c:pt>
                <c:pt idx="4">
                  <c:v>10</c:v>
                </c:pt>
                <c:pt idx="5">
                  <c:v>4</c:v>
                </c:pt>
              </c:numCache>
            </c:numRef>
          </c:yVal>
          <c:smooth val="1"/>
          <c:extLst>
            <c:ext xmlns:c16="http://schemas.microsoft.com/office/drawing/2014/chart" uri="{C3380CC4-5D6E-409C-BE32-E72D297353CC}">
              <c16:uniqueId val="{00000001-8EA5-4D4F-A730-7532CB611F03}"/>
            </c:ext>
          </c:extLst>
        </c:ser>
        <c:ser>
          <c:idx val="2"/>
          <c:order val="2"/>
          <c:tx>
            <c:strRef>
              <c:f>Patas!$D$25</c:f>
              <c:strCache>
                <c:ptCount val="1"/>
                <c:pt idx="0">
                  <c:v>TMG</c:v>
                </c:pt>
              </c:strCache>
            </c:strRef>
          </c:tx>
          <c:spPr>
            <a:ln w="28575" cap="rnd">
              <a:solidFill>
                <a:schemeClr val="tx1"/>
              </a:solidFill>
              <a:prstDash val="sysDot"/>
              <a:round/>
            </a:ln>
            <a:effectLst/>
          </c:spPr>
          <c:marker>
            <c:symbol val="circle"/>
            <c:size val="5"/>
            <c:spPr>
              <a:solidFill>
                <a:schemeClr val="accent3"/>
              </a:solidFill>
              <a:ln w="9525">
                <a:solidFill>
                  <a:schemeClr val="accent3"/>
                </a:solidFill>
              </a:ln>
              <a:effectLst/>
            </c:spPr>
          </c:marker>
          <c:xVal>
            <c:numRef>
              <c:f>Patas!$A$26:$A$31</c:f>
              <c:numCache>
                <c:formatCode>General</c:formatCode>
                <c:ptCount val="6"/>
                <c:pt idx="0">
                  <c:v>2010</c:v>
                </c:pt>
                <c:pt idx="1">
                  <c:v>2011</c:v>
                </c:pt>
                <c:pt idx="2">
                  <c:v>2012</c:v>
                </c:pt>
                <c:pt idx="3">
                  <c:v>2013</c:v>
                </c:pt>
                <c:pt idx="4">
                  <c:v>2016</c:v>
                </c:pt>
                <c:pt idx="5">
                  <c:v>2017</c:v>
                </c:pt>
              </c:numCache>
            </c:numRef>
          </c:xVal>
          <c:yVal>
            <c:numRef>
              <c:f>Patas!$D$26:$D$31</c:f>
              <c:numCache>
                <c:formatCode>General</c:formatCode>
                <c:ptCount val="6"/>
                <c:pt idx="0" formatCode="0.00">
                  <c:v>1.6666666666666667</c:v>
                </c:pt>
                <c:pt idx="1">
                  <c:v>0</c:v>
                </c:pt>
                <c:pt idx="2" formatCode="0.00">
                  <c:v>1.5</c:v>
                </c:pt>
                <c:pt idx="3" formatCode="0.00">
                  <c:v>6.4</c:v>
                </c:pt>
                <c:pt idx="4" formatCode="0.00">
                  <c:v>4.5999999999999996</c:v>
                </c:pt>
                <c:pt idx="5" formatCode="0.00">
                  <c:v>1.5</c:v>
                </c:pt>
              </c:numCache>
            </c:numRef>
          </c:yVal>
          <c:smooth val="1"/>
          <c:extLst>
            <c:ext xmlns:c16="http://schemas.microsoft.com/office/drawing/2014/chart" uri="{C3380CC4-5D6E-409C-BE32-E72D297353CC}">
              <c16:uniqueId val="{00000002-8EA5-4D4F-A730-7532CB611F03}"/>
            </c:ext>
          </c:extLst>
        </c:ser>
        <c:dLbls>
          <c:showLegendKey val="0"/>
          <c:showVal val="0"/>
          <c:showCatName val="0"/>
          <c:showSerName val="0"/>
          <c:showPercent val="0"/>
          <c:showBubbleSize val="0"/>
        </c:dLbls>
        <c:axId val="89942232"/>
        <c:axId val="89943408"/>
      </c:scatterChart>
      <c:valAx>
        <c:axId val="89940272"/>
        <c:scaling>
          <c:orientation val="minMax"/>
          <c:max val="2017"/>
          <c:min val="2010"/>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89941840"/>
        <c:crosses val="autoZero"/>
        <c:crossBetween val="midCat"/>
      </c:valAx>
      <c:valAx>
        <c:axId val="89941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Nombre d'individu</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89940272"/>
        <c:crosses val="autoZero"/>
        <c:crossBetween val="midCat"/>
      </c:valAx>
      <c:valAx>
        <c:axId val="8994340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Nbr de contact et TMG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89942232"/>
        <c:crosses val="max"/>
        <c:crossBetween val="midCat"/>
      </c:valAx>
      <c:valAx>
        <c:axId val="89942232"/>
        <c:scaling>
          <c:orientation val="minMax"/>
        </c:scaling>
        <c:delete val="1"/>
        <c:axPos val="b"/>
        <c:numFmt formatCode="General" sourceLinked="1"/>
        <c:majorTickMark val="out"/>
        <c:minorTickMark val="none"/>
        <c:tickLblPos val="nextTo"/>
        <c:crossAx val="8994340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fr-FR" sz="1200"/>
              <a:t>Phacochère</a:t>
            </a:r>
          </a:p>
        </c:rich>
      </c:tx>
      <c:layout>
        <c:manualLayout>
          <c:xMode val="edge"/>
          <c:yMode val="edge"/>
          <c:x val="0.41539566929133864"/>
          <c:y val="2.3148148148148147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fr-BF"/>
        </a:p>
      </c:txPr>
    </c:title>
    <c:autoTitleDeleted val="0"/>
    <c:plotArea>
      <c:layout/>
      <c:scatterChart>
        <c:scatterStyle val="smoothMarker"/>
        <c:varyColors val="0"/>
        <c:ser>
          <c:idx val="0"/>
          <c:order val="0"/>
          <c:tx>
            <c:strRef>
              <c:f>Phacochere!$B$27</c:f>
              <c:strCache>
                <c:ptCount val="1"/>
                <c:pt idx="0">
                  <c:v>Nbr contact</c:v>
                </c:pt>
              </c:strCache>
            </c:strRef>
          </c:tx>
          <c:spPr>
            <a:ln w="28575" cap="rnd">
              <a:solidFill>
                <a:schemeClr val="accent1"/>
              </a:solidFill>
              <a:prstDash val="dash"/>
              <a:round/>
            </a:ln>
            <a:effectLst/>
          </c:spPr>
          <c:marker>
            <c:symbol val="circle"/>
            <c:size val="5"/>
            <c:spPr>
              <a:solidFill>
                <a:schemeClr val="accent1"/>
              </a:solidFill>
              <a:ln w="9525">
                <a:solidFill>
                  <a:schemeClr val="accent1"/>
                </a:solidFill>
              </a:ln>
              <a:effectLst/>
            </c:spPr>
          </c:marker>
          <c:xVal>
            <c:numRef>
              <c:f>Phacochere!$A$28:$A$33</c:f>
              <c:numCache>
                <c:formatCode>General</c:formatCode>
                <c:ptCount val="6"/>
                <c:pt idx="0">
                  <c:v>2010</c:v>
                </c:pt>
                <c:pt idx="1">
                  <c:v>2011</c:v>
                </c:pt>
                <c:pt idx="2">
                  <c:v>2012</c:v>
                </c:pt>
                <c:pt idx="3">
                  <c:v>2013</c:v>
                </c:pt>
                <c:pt idx="4">
                  <c:v>2016</c:v>
                </c:pt>
                <c:pt idx="5">
                  <c:v>2017</c:v>
                </c:pt>
              </c:numCache>
            </c:numRef>
          </c:xVal>
          <c:yVal>
            <c:numRef>
              <c:f>Phacochere!$B$28:$B$33</c:f>
              <c:numCache>
                <c:formatCode>General</c:formatCode>
                <c:ptCount val="6"/>
                <c:pt idx="0">
                  <c:v>41</c:v>
                </c:pt>
                <c:pt idx="1">
                  <c:v>38</c:v>
                </c:pt>
                <c:pt idx="2">
                  <c:v>32</c:v>
                </c:pt>
                <c:pt idx="3">
                  <c:v>25</c:v>
                </c:pt>
                <c:pt idx="4">
                  <c:v>27</c:v>
                </c:pt>
                <c:pt idx="5">
                  <c:v>18</c:v>
                </c:pt>
              </c:numCache>
            </c:numRef>
          </c:yVal>
          <c:smooth val="1"/>
          <c:extLst>
            <c:ext xmlns:c16="http://schemas.microsoft.com/office/drawing/2014/chart" uri="{C3380CC4-5D6E-409C-BE32-E72D297353CC}">
              <c16:uniqueId val="{00000000-46CB-46CE-88B1-B18444B68E4F}"/>
            </c:ext>
          </c:extLst>
        </c:ser>
        <c:ser>
          <c:idx val="1"/>
          <c:order val="1"/>
          <c:tx>
            <c:strRef>
              <c:f>Phacochere!$C$27</c:f>
              <c:strCache>
                <c:ptCount val="1"/>
                <c:pt idx="0">
                  <c:v>Nbr d'individu</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xVal>
            <c:numRef>
              <c:f>Phacochere!$A$28:$A$33</c:f>
              <c:numCache>
                <c:formatCode>General</c:formatCode>
                <c:ptCount val="6"/>
                <c:pt idx="0">
                  <c:v>2010</c:v>
                </c:pt>
                <c:pt idx="1">
                  <c:v>2011</c:v>
                </c:pt>
                <c:pt idx="2">
                  <c:v>2012</c:v>
                </c:pt>
                <c:pt idx="3">
                  <c:v>2013</c:v>
                </c:pt>
                <c:pt idx="4">
                  <c:v>2016</c:v>
                </c:pt>
                <c:pt idx="5">
                  <c:v>2017</c:v>
                </c:pt>
              </c:numCache>
            </c:numRef>
          </c:xVal>
          <c:yVal>
            <c:numRef>
              <c:f>Phacochere!$C$28:$C$33</c:f>
              <c:numCache>
                <c:formatCode>General</c:formatCode>
                <c:ptCount val="6"/>
                <c:pt idx="0">
                  <c:v>156</c:v>
                </c:pt>
                <c:pt idx="1">
                  <c:v>143</c:v>
                </c:pt>
                <c:pt idx="2">
                  <c:v>128</c:v>
                </c:pt>
                <c:pt idx="3">
                  <c:v>103</c:v>
                </c:pt>
                <c:pt idx="4">
                  <c:v>84</c:v>
                </c:pt>
                <c:pt idx="5">
                  <c:v>44</c:v>
                </c:pt>
              </c:numCache>
            </c:numRef>
          </c:yVal>
          <c:smooth val="1"/>
          <c:extLst>
            <c:ext xmlns:c16="http://schemas.microsoft.com/office/drawing/2014/chart" uri="{C3380CC4-5D6E-409C-BE32-E72D297353CC}">
              <c16:uniqueId val="{00000001-46CB-46CE-88B1-B18444B68E4F}"/>
            </c:ext>
          </c:extLst>
        </c:ser>
        <c:dLbls>
          <c:showLegendKey val="0"/>
          <c:showVal val="0"/>
          <c:showCatName val="0"/>
          <c:showSerName val="0"/>
          <c:showPercent val="0"/>
          <c:showBubbleSize val="0"/>
        </c:dLbls>
        <c:axId val="89937528"/>
        <c:axId val="89935176"/>
      </c:scatterChart>
      <c:scatterChart>
        <c:scatterStyle val="smoothMarker"/>
        <c:varyColors val="0"/>
        <c:ser>
          <c:idx val="2"/>
          <c:order val="2"/>
          <c:tx>
            <c:strRef>
              <c:f>Phacochere!$D$27</c:f>
              <c:strCache>
                <c:ptCount val="1"/>
                <c:pt idx="0">
                  <c:v>TMG</c:v>
                </c:pt>
              </c:strCache>
            </c:strRef>
          </c:tx>
          <c:spPr>
            <a:ln w="28575" cap="rnd">
              <a:solidFill>
                <a:schemeClr val="tx1"/>
              </a:solidFill>
              <a:prstDash val="sysDot"/>
              <a:round/>
            </a:ln>
            <a:effectLst/>
          </c:spPr>
          <c:marker>
            <c:symbol val="circle"/>
            <c:size val="5"/>
            <c:spPr>
              <a:solidFill>
                <a:schemeClr val="accent3"/>
              </a:solidFill>
              <a:ln w="9525">
                <a:solidFill>
                  <a:schemeClr val="accent3"/>
                </a:solidFill>
              </a:ln>
              <a:effectLst/>
            </c:spPr>
          </c:marker>
          <c:xVal>
            <c:numRef>
              <c:f>Phacochere!$A$28:$A$33</c:f>
              <c:numCache>
                <c:formatCode>General</c:formatCode>
                <c:ptCount val="6"/>
                <c:pt idx="0">
                  <c:v>2010</c:v>
                </c:pt>
                <c:pt idx="1">
                  <c:v>2011</c:v>
                </c:pt>
                <c:pt idx="2">
                  <c:v>2012</c:v>
                </c:pt>
                <c:pt idx="3">
                  <c:v>2013</c:v>
                </c:pt>
                <c:pt idx="4">
                  <c:v>2016</c:v>
                </c:pt>
                <c:pt idx="5">
                  <c:v>2017</c:v>
                </c:pt>
              </c:numCache>
            </c:numRef>
          </c:xVal>
          <c:yVal>
            <c:numRef>
              <c:f>Phacochere!$D$28:$D$33</c:f>
              <c:numCache>
                <c:formatCode>0.00</c:formatCode>
                <c:ptCount val="6"/>
                <c:pt idx="0">
                  <c:v>3.8048780487804876</c:v>
                </c:pt>
                <c:pt idx="1">
                  <c:v>3.763157894736842</c:v>
                </c:pt>
                <c:pt idx="2">
                  <c:v>4</c:v>
                </c:pt>
                <c:pt idx="3">
                  <c:v>4.12</c:v>
                </c:pt>
                <c:pt idx="4">
                  <c:v>3.1111111111111112</c:v>
                </c:pt>
                <c:pt idx="5">
                  <c:v>2.4444444444444446</c:v>
                </c:pt>
              </c:numCache>
            </c:numRef>
          </c:yVal>
          <c:smooth val="1"/>
          <c:extLst>
            <c:ext xmlns:c16="http://schemas.microsoft.com/office/drawing/2014/chart" uri="{C3380CC4-5D6E-409C-BE32-E72D297353CC}">
              <c16:uniqueId val="{00000002-46CB-46CE-88B1-B18444B68E4F}"/>
            </c:ext>
          </c:extLst>
        </c:ser>
        <c:dLbls>
          <c:showLegendKey val="0"/>
          <c:showVal val="0"/>
          <c:showCatName val="0"/>
          <c:showSerName val="0"/>
          <c:showPercent val="0"/>
          <c:showBubbleSize val="0"/>
        </c:dLbls>
        <c:axId val="89939880"/>
        <c:axId val="89927728"/>
      </c:scatterChart>
      <c:valAx>
        <c:axId val="89937528"/>
        <c:scaling>
          <c:orientation val="minMax"/>
          <c:max val="2017"/>
          <c:min val="2010"/>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89935176"/>
        <c:crosses val="autoZero"/>
        <c:crossBetween val="midCat"/>
      </c:valAx>
      <c:valAx>
        <c:axId val="89935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Nbr de contact et Nbr d'individu</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89937528"/>
        <c:crosses val="autoZero"/>
        <c:crossBetween val="midCat"/>
      </c:valAx>
      <c:valAx>
        <c:axId val="8992772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TMG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89939880"/>
        <c:crosses val="max"/>
        <c:crossBetween val="midCat"/>
      </c:valAx>
      <c:valAx>
        <c:axId val="89939880"/>
        <c:scaling>
          <c:orientation val="minMax"/>
        </c:scaling>
        <c:delete val="1"/>
        <c:axPos val="b"/>
        <c:numFmt formatCode="General" sourceLinked="1"/>
        <c:majorTickMark val="out"/>
        <c:minorTickMark val="none"/>
        <c:tickLblPos val="nextTo"/>
        <c:crossAx val="8992772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fr-FR" sz="1200"/>
              <a:t>Vervet</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fr-BF"/>
        </a:p>
      </c:txPr>
    </c:title>
    <c:autoTitleDeleted val="0"/>
    <c:plotArea>
      <c:layout/>
      <c:scatterChart>
        <c:scatterStyle val="smoothMarker"/>
        <c:varyColors val="0"/>
        <c:ser>
          <c:idx val="0"/>
          <c:order val="0"/>
          <c:tx>
            <c:strRef>
              <c:f>Vervet!$B$26</c:f>
              <c:strCache>
                <c:ptCount val="1"/>
                <c:pt idx="0">
                  <c:v>Nbr contact</c:v>
                </c:pt>
              </c:strCache>
            </c:strRef>
          </c:tx>
          <c:spPr>
            <a:ln w="28575" cap="rnd">
              <a:solidFill>
                <a:schemeClr val="accent1"/>
              </a:solidFill>
              <a:prstDash val="dash"/>
              <a:round/>
            </a:ln>
            <a:effectLst/>
          </c:spPr>
          <c:marker>
            <c:symbol val="circle"/>
            <c:size val="5"/>
            <c:spPr>
              <a:solidFill>
                <a:schemeClr val="accent1"/>
              </a:solidFill>
              <a:ln w="9525">
                <a:solidFill>
                  <a:schemeClr val="accent1"/>
                </a:solidFill>
              </a:ln>
              <a:effectLst/>
            </c:spPr>
          </c:marker>
          <c:xVal>
            <c:numRef>
              <c:f>Vervet!$A$27:$A$32</c:f>
              <c:numCache>
                <c:formatCode>General</c:formatCode>
                <c:ptCount val="6"/>
                <c:pt idx="0">
                  <c:v>2010</c:v>
                </c:pt>
                <c:pt idx="1">
                  <c:v>2011</c:v>
                </c:pt>
                <c:pt idx="2">
                  <c:v>2012</c:v>
                </c:pt>
                <c:pt idx="3">
                  <c:v>2013</c:v>
                </c:pt>
                <c:pt idx="4">
                  <c:v>2016</c:v>
                </c:pt>
                <c:pt idx="5">
                  <c:v>2017</c:v>
                </c:pt>
              </c:numCache>
            </c:numRef>
          </c:xVal>
          <c:yVal>
            <c:numRef>
              <c:f>Vervet!$B$27:$B$32</c:f>
              <c:numCache>
                <c:formatCode>General</c:formatCode>
                <c:ptCount val="6"/>
                <c:pt idx="0">
                  <c:v>1</c:v>
                </c:pt>
                <c:pt idx="1">
                  <c:v>0</c:v>
                </c:pt>
                <c:pt idx="2">
                  <c:v>4</c:v>
                </c:pt>
                <c:pt idx="3">
                  <c:v>4</c:v>
                </c:pt>
                <c:pt idx="4">
                  <c:v>4</c:v>
                </c:pt>
                <c:pt idx="5">
                  <c:v>1</c:v>
                </c:pt>
              </c:numCache>
            </c:numRef>
          </c:yVal>
          <c:smooth val="1"/>
          <c:extLst>
            <c:ext xmlns:c16="http://schemas.microsoft.com/office/drawing/2014/chart" uri="{C3380CC4-5D6E-409C-BE32-E72D297353CC}">
              <c16:uniqueId val="{00000000-2134-4C7E-A3A0-6A6440F0522E}"/>
            </c:ext>
          </c:extLst>
        </c:ser>
        <c:ser>
          <c:idx val="1"/>
          <c:order val="1"/>
          <c:tx>
            <c:strRef>
              <c:f>Vervet!$C$26</c:f>
              <c:strCache>
                <c:ptCount val="1"/>
                <c:pt idx="0">
                  <c:v>Nbr d'individu</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xVal>
            <c:numRef>
              <c:f>Vervet!$A$27:$A$32</c:f>
              <c:numCache>
                <c:formatCode>General</c:formatCode>
                <c:ptCount val="6"/>
                <c:pt idx="0">
                  <c:v>2010</c:v>
                </c:pt>
                <c:pt idx="1">
                  <c:v>2011</c:v>
                </c:pt>
                <c:pt idx="2">
                  <c:v>2012</c:v>
                </c:pt>
                <c:pt idx="3">
                  <c:v>2013</c:v>
                </c:pt>
                <c:pt idx="4">
                  <c:v>2016</c:v>
                </c:pt>
                <c:pt idx="5">
                  <c:v>2017</c:v>
                </c:pt>
              </c:numCache>
            </c:numRef>
          </c:xVal>
          <c:yVal>
            <c:numRef>
              <c:f>Vervet!$C$27:$C$32</c:f>
              <c:numCache>
                <c:formatCode>General</c:formatCode>
                <c:ptCount val="6"/>
                <c:pt idx="0">
                  <c:v>1</c:v>
                </c:pt>
                <c:pt idx="1">
                  <c:v>0</c:v>
                </c:pt>
                <c:pt idx="2">
                  <c:v>61</c:v>
                </c:pt>
                <c:pt idx="3">
                  <c:v>44</c:v>
                </c:pt>
                <c:pt idx="4">
                  <c:v>18</c:v>
                </c:pt>
                <c:pt idx="5">
                  <c:v>5</c:v>
                </c:pt>
              </c:numCache>
            </c:numRef>
          </c:yVal>
          <c:smooth val="1"/>
          <c:extLst>
            <c:ext xmlns:c16="http://schemas.microsoft.com/office/drawing/2014/chart" uri="{C3380CC4-5D6E-409C-BE32-E72D297353CC}">
              <c16:uniqueId val="{00000001-2134-4C7E-A3A0-6A6440F0522E}"/>
            </c:ext>
          </c:extLst>
        </c:ser>
        <c:ser>
          <c:idx val="2"/>
          <c:order val="2"/>
          <c:tx>
            <c:strRef>
              <c:f>Vervet!$D$26</c:f>
              <c:strCache>
                <c:ptCount val="1"/>
                <c:pt idx="0">
                  <c:v>TMG</c:v>
                </c:pt>
              </c:strCache>
            </c:strRef>
          </c:tx>
          <c:spPr>
            <a:ln w="28575" cap="rnd">
              <a:solidFill>
                <a:schemeClr val="tx1"/>
              </a:solidFill>
              <a:prstDash val="sysDot"/>
              <a:round/>
            </a:ln>
            <a:effectLst/>
          </c:spPr>
          <c:marker>
            <c:symbol val="circle"/>
            <c:size val="5"/>
            <c:spPr>
              <a:solidFill>
                <a:schemeClr val="accent3"/>
              </a:solidFill>
              <a:ln w="9525">
                <a:solidFill>
                  <a:schemeClr val="accent3"/>
                </a:solidFill>
              </a:ln>
              <a:effectLst/>
            </c:spPr>
          </c:marker>
          <c:xVal>
            <c:numRef>
              <c:f>Vervet!$A$27:$A$32</c:f>
              <c:numCache>
                <c:formatCode>General</c:formatCode>
                <c:ptCount val="6"/>
                <c:pt idx="0">
                  <c:v>2010</c:v>
                </c:pt>
                <c:pt idx="1">
                  <c:v>2011</c:v>
                </c:pt>
                <c:pt idx="2">
                  <c:v>2012</c:v>
                </c:pt>
                <c:pt idx="3">
                  <c:v>2013</c:v>
                </c:pt>
                <c:pt idx="4">
                  <c:v>2016</c:v>
                </c:pt>
                <c:pt idx="5">
                  <c:v>2017</c:v>
                </c:pt>
              </c:numCache>
            </c:numRef>
          </c:xVal>
          <c:yVal>
            <c:numRef>
              <c:f>Vervet!$D$27:$D$32</c:f>
              <c:numCache>
                <c:formatCode>General</c:formatCode>
                <c:ptCount val="6"/>
                <c:pt idx="0" formatCode="0.00">
                  <c:v>1</c:v>
                </c:pt>
                <c:pt idx="1">
                  <c:v>0</c:v>
                </c:pt>
                <c:pt idx="2" formatCode="0.00">
                  <c:v>15.25</c:v>
                </c:pt>
                <c:pt idx="3" formatCode="0.00">
                  <c:v>11</c:v>
                </c:pt>
                <c:pt idx="4" formatCode="0.00">
                  <c:v>4.5</c:v>
                </c:pt>
                <c:pt idx="5" formatCode="0.00">
                  <c:v>5</c:v>
                </c:pt>
              </c:numCache>
            </c:numRef>
          </c:yVal>
          <c:smooth val="1"/>
          <c:extLst>
            <c:ext xmlns:c16="http://schemas.microsoft.com/office/drawing/2014/chart" uri="{C3380CC4-5D6E-409C-BE32-E72D297353CC}">
              <c16:uniqueId val="{00000002-2134-4C7E-A3A0-6A6440F0522E}"/>
            </c:ext>
          </c:extLst>
        </c:ser>
        <c:dLbls>
          <c:showLegendKey val="0"/>
          <c:showVal val="0"/>
          <c:showCatName val="0"/>
          <c:showSerName val="0"/>
          <c:showPercent val="0"/>
          <c:showBubbleSize val="0"/>
        </c:dLbls>
        <c:axId val="89938312"/>
        <c:axId val="89929688"/>
      </c:scatterChart>
      <c:valAx>
        <c:axId val="89938312"/>
        <c:scaling>
          <c:orientation val="minMax"/>
          <c:max val="2017"/>
          <c:min val="2010"/>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89929688"/>
        <c:crosses val="autoZero"/>
        <c:crossBetween val="midCat"/>
      </c:valAx>
      <c:valAx>
        <c:axId val="89929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8993831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r>
              <a:rPr lang="fr-FR" sz="1200">
                <a:solidFill>
                  <a:sysClr val="windowText" lastClr="000000"/>
                </a:solidFill>
              </a:rPr>
              <a:t>Waterbuck</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endParaRPr lang="fr-BF"/>
        </a:p>
      </c:txPr>
    </c:title>
    <c:autoTitleDeleted val="0"/>
    <c:plotArea>
      <c:layout/>
      <c:scatterChart>
        <c:scatterStyle val="smoothMarker"/>
        <c:varyColors val="0"/>
        <c:ser>
          <c:idx val="0"/>
          <c:order val="0"/>
          <c:tx>
            <c:strRef>
              <c:f>Waterbuck!$B$39</c:f>
              <c:strCache>
                <c:ptCount val="1"/>
                <c:pt idx="0">
                  <c:v>Nbr contact</c:v>
                </c:pt>
              </c:strCache>
            </c:strRef>
          </c:tx>
          <c:spPr>
            <a:ln w="28575" cap="rnd">
              <a:solidFill>
                <a:schemeClr val="accent1"/>
              </a:solidFill>
              <a:prstDash val="dash"/>
              <a:round/>
            </a:ln>
            <a:effectLst/>
          </c:spPr>
          <c:marker>
            <c:symbol val="circle"/>
            <c:size val="5"/>
            <c:spPr>
              <a:solidFill>
                <a:schemeClr val="accent1"/>
              </a:solidFill>
              <a:ln w="9525">
                <a:solidFill>
                  <a:schemeClr val="accent1"/>
                </a:solidFill>
              </a:ln>
              <a:effectLst/>
            </c:spPr>
          </c:marker>
          <c:xVal>
            <c:numRef>
              <c:f>Waterbuck!$A$40:$A$45</c:f>
              <c:numCache>
                <c:formatCode>General</c:formatCode>
                <c:ptCount val="6"/>
                <c:pt idx="0">
                  <c:v>2010</c:v>
                </c:pt>
                <c:pt idx="1">
                  <c:v>2011</c:v>
                </c:pt>
                <c:pt idx="2">
                  <c:v>2012</c:v>
                </c:pt>
                <c:pt idx="3">
                  <c:v>2013</c:v>
                </c:pt>
                <c:pt idx="4">
                  <c:v>2016</c:v>
                </c:pt>
                <c:pt idx="5">
                  <c:v>2017</c:v>
                </c:pt>
              </c:numCache>
            </c:numRef>
          </c:xVal>
          <c:yVal>
            <c:numRef>
              <c:f>Waterbuck!$B$40:$B$45</c:f>
              <c:numCache>
                <c:formatCode>General</c:formatCode>
                <c:ptCount val="6"/>
                <c:pt idx="0">
                  <c:v>42</c:v>
                </c:pt>
                <c:pt idx="1">
                  <c:v>44</c:v>
                </c:pt>
                <c:pt idx="2">
                  <c:v>28</c:v>
                </c:pt>
                <c:pt idx="3">
                  <c:v>29</c:v>
                </c:pt>
                <c:pt idx="4">
                  <c:v>38</c:v>
                </c:pt>
                <c:pt idx="5">
                  <c:v>43</c:v>
                </c:pt>
              </c:numCache>
            </c:numRef>
          </c:yVal>
          <c:smooth val="1"/>
          <c:extLst>
            <c:ext xmlns:c16="http://schemas.microsoft.com/office/drawing/2014/chart" uri="{C3380CC4-5D6E-409C-BE32-E72D297353CC}">
              <c16:uniqueId val="{00000000-9C60-4E89-B3EA-FAF6A76ECA69}"/>
            </c:ext>
          </c:extLst>
        </c:ser>
        <c:ser>
          <c:idx val="1"/>
          <c:order val="1"/>
          <c:tx>
            <c:strRef>
              <c:f>Waterbuck!$C$39</c:f>
              <c:strCache>
                <c:ptCount val="1"/>
                <c:pt idx="0">
                  <c:v>Nbr d'individu</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xVal>
            <c:numRef>
              <c:f>Waterbuck!$A$40:$A$45</c:f>
              <c:numCache>
                <c:formatCode>General</c:formatCode>
                <c:ptCount val="6"/>
                <c:pt idx="0">
                  <c:v>2010</c:v>
                </c:pt>
                <c:pt idx="1">
                  <c:v>2011</c:v>
                </c:pt>
                <c:pt idx="2">
                  <c:v>2012</c:v>
                </c:pt>
                <c:pt idx="3">
                  <c:v>2013</c:v>
                </c:pt>
                <c:pt idx="4">
                  <c:v>2016</c:v>
                </c:pt>
                <c:pt idx="5">
                  <c:v>2017</c:v>
                </c:pt>
              </c:numCache>
            </c:numRef>
          </c:xVal>
          <c:yVal>
            <c:numRef>
              <c:f>Waterbuck!$C$40:$C$45</c:f>
              <c:numCache>
                <c:formatCode>General</c:formatCode>
                <c:ptCount val="6"/>
                <c:pt idx="0">
                  <c:v>227</c:v>
                </c:pt>
                <c:pt idx="1">
                  <c:v>187</c:v>
                </c:pt>
                <c:pt idx="2">
                  <c:v>144</c:v>
                </c:pt>
                <c:pt idx="3">
                  <c:v>138</c:v>
                </c:pt>
                <c:pt idx="4">
                  <c:v>162</c:v>
                </c:pt>
                <c:pt idx="5">
                  <c:v>208</c:v>
                </c:pt>
              </c:numCache>
            </c:numRef>
          </c:yVal>
          <c:smooth val="1"/>
          <c:extLst>
            <c:ext xmlns:c16="http://schemas.microsoft.com/office/drawing/2014/chart" uri="{C3380CC4-5D6E-409C-BE32-E72D297353CC}">
              <c16:uniqueId val="{00000001-9C60-4E89-B3EA-FAF6A76ECA69}"/>
            </c:ext>
          </c:extLst>
        </c:ser>
        <c:dLbls>
          <c:showLegendKey val="0"/>
          <c:showVal val="0"/>
          <c:showCatName val="0"/>
          <c:showSerName val="0"/>
          <c:showPercent val="0"/>
          <c:showBubbleSize val="0"/>
        </c:dLbls>
        <c:axId val="89933608"/>
        <c:axId val="89937920"/>
      </c:scatterChart>
      <c:scatterChart>
        <c:scatterStyle val="smoothMarker"/>
        <c:varyColors val="0"/>
        <c:ser>
          <c:idx val="2"/>
          <c:order val="2"/>
          <c:tx>
            <c:strRef>
              <c:f>Waterbuck!$D$39</c:f>
              <c:strCache>
                <c:ptCount val="1"/>
                <c:pt idx="0">
                  <c:v>TMG</c:v>
                </c:pt>
              </c:strCache>
            </c:strRef>
          </c:tx>
          <c:spPr>
            <a:ln w="28575" cap="rnd">
              <a:solidFill>
                <a:schemeClr val="tx1"/>
              </a:solidFill>
              <a:prstDash val="sysDot"/>
              <a:round/>
            </a:ln>
            <a:effectLst/>
          </c:spPr>
          <c:marker>
            <c:symbol val="circle"/>
            <c:size val="5"/>
            <c:spPr>
              <a:solidFill>
                <a:schemeClr val="accent3"/>
              </a:solidFill>
              <a:ln w="9525">
                <a:solidFill>
                  <a:schemeClr val="accent3"/>
                </a:solidFill>
              </a:ln>
              <a:effectLst/>
            </c:spPr>
          </c:marker>
          <c:xVal>
            <c:numRef>
              <c:f>Waterbuck!$A$40:$A$45</c:f>
              <c:numCache>
                <c:formatCode>General</c:formatCode>
                <c:ptCount val="6"/>
                <c:pt idx="0">
                  <c:v>2010</c:v>
                </c:pt>
                <c:pt idx="1">
                  <c:v>2011</c:v>
                </c:pt>
                <c:pt idx="2">
                  <c:v>2012</c:v>
                </c:pt>
                <c:pt idx="3">
                  <c:v>2013</c:v>
                </c:pt>
                <c:pt idx="4">
                  <c:v>2016</c:v>
                </c:pt>
                <c:pt idx="5">
                  <c:v>2017</c:v>
                </c:pt>
              </c:numCache>
            </c:numRef>
          </c:xVal>
          <c:yVal>
            <c:numRef>
              <c:f>Waterbuck!$D$40:$D$45</c:f>
              <c:numCache>
                <c:formatCode>0.00</c:formatCode>
                <c:ptCount val="6"/>
                <c:pt idx="0">
                  <c:v>5.4047619047619051</c:v>
                </c:pt>
                <c:pt idx="1">
                  <c:v>4.25</c:v>
                </c:pt>
                <c:pt idx="2">
                  <c:v>5.1428571428571432</c:v>
                </c:pt>
                <c:pt idx="3">
                  <c:v>4.7586206896551726</c:v>
                </c:pt>
                <c:pt idx="4">
                  <c:v>4.2631578947368425</c:v>
                </c:pt>
                <c:pt idx="5">
                  <c:v>4.6100000000000003</c:v>
                </c:pt>
              </c:numCache>
            </c:numRef>
          </c:yVal>
          <c:smooth val="1"/>
          <c:extLst>
            <c:ext xmlns:c16="http://schemas.microsoft.com/office/drawing/2014/chart" uri="{C3380CC4-5D6E-409C-BE32-E72D297353CC}">
              <c16:uniqueId val="{00000002-9C60-4E89-B3EA-FAF6A76ECA69}"/>
            </c:ext>
          </c:extLst>
        </c:ser>
        <c:dLbls>
          <c:showLegendKey val="0"/>
          <c:showVal val="0"/>
          <c:showCatName val="0"/>
          <c:showSerName val="0"/>
          <c:showPercent val="0"/>
          <c:showBubbleSize val="0"/>
        </c:dLbls>
        <c:axId val="89932040"/>
        <c:axId val="89934784"/>
      </c:scatterChart>
      <c:valAx>
        <c:axId val="89933608"/>
        <c:scaling>
          <c:orientation val="minMax"/>
          <c:max val="2017"/>
          <c:min val="2010"/>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89937920"/>
        <c:crosses val="autoZero"/>
        <c:crossBetween val="midCat"/>
      </c:valAx>
      <c:valAx>
        <c:axId val="89937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Nbr de contact et Nbr d'individu</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89933608"/>
        <c:crosses val="autoZero"/>
        <c:crossBetween val="midCat"/>
      </c:valAx>
      <c:valAx>
        <c:axId val="89934784"/>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TMG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89932040"/>
        <c:crosses val="max"/>
        <c:crossBetween val="midCat"/>
      </c:valAx>
      <c:valAx>
        <c:axId val="89932040"/>
        <c:scaling>
          <c:orientation val="minMax"/>
        </c:scaling>
        <c:delete val="1"/>
        <c:axPos val="b"/>
        <c:numFmt formatCode="General" sourceLinked="1"/>
        <c:majorTickMark val="out"/>
        <c:minorTickMark val="none"/>
        <c:tickLblPos val="nextTo"/>
        <c:crossAx val="8993478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Cynocephale</a:t>
            </a:r>
          </a:p>
        </c:rich>
      </c:tx>
      <c:layout>
        <c:manualLayout>
          <c:xMode val="edge"/>
          <c:yMode val="edge"/>
          <c:x val="5.4591295116772826E-2"/>
          <c:y val="0"/>
        </c:manualLayout>
      </c:layout>
      <c:overlay val="1"/>
      <c:spPr>
        <a:ln>
          <a:solidFill>
            <a:sysClr val="windowText" lastClr="000000"/>
          </a:solidFill>
        </a:ln>
      </c:spPr>
    </c:title>
    <c:autoTitleDeleted val="0"/>
    <c:plotArea>
      <c:layout>
        <c:manualLayout>
          <c:layoutTarget val="inner"/>
          <c:xMode val="edge"/>
          <c:yMode val="edge"/>
          <c:x val="0.11178573816807931"/>
          <c:y val="0.23910192120293908"/>
          <c:w val="0.84575141682130495"/>
          <c:h val="0.52394355177147567"/>
        </c:manualLayout>
      </c:layout>
      <c:lineChart>
        <c:grouping val="standard"/>
        <c:varyColors val="0"/>
        <c:ser>
          <c:idx val="0"/>
          <c:order val="0"/>
          <c:tx>
            <c:strRef>
              <c:f>Cynocephale!$B$2</c:f>
              <c:strCache>
                <c:ptCount val="1"/>
                <c:pt idx="0">
                  <c:v>Nombre de contact</c:v>
                </c:pt>
              </c:strCache>
            </c:strRef>
          </c:tx>
          <c:cat>
            <c:strRef>
              <c:f>Cynocephale!$A$3:$A$10</c:f>
              <c:strCache>
                <c:ptCount val="7"/>
                <c:pt idx="0">
                  <c:v>Mai 2010</c:v>
                </c:pt>
                <c:pt idx="1">
                  <c:v>Juin 2011</c:v>
                </c:pt>
                <c:pt idx="2">
                  <c:v>Avril 2012</c:v>
                </c:pt>
                <c:pt idx="3">
                  <c:v>Avril 2013</c:v>
                </c:pt>
                <c:pt idx="4">
                  <c:v>Mars 2016</c:v>
                </c:pt>
                <c:pt idx="5">
                  <c:v>Mai 2016</c:v>
                </c:pt>
                <c:pt idx="6">
                  <c:v>Mai 2018</c:v>
                </c:pt>
              </c:strCache>
            </c:strRef>
          </c:cat>
          <c:val>
            <c:numRef>
              <c:f>Cynocephale!$B$3:$B$10</c:f>
              <c:numCache>
                <c:formatCode>0</c:formatCode>
                <c:ptCount val="8"/>
                <c:pt idx="0">
                  <c:v>3</c:v>
                </c:pt>
                <c:pt idx="1">
                  <c:v>0</c:v>
                </c:pt>
                <c:pt idx="2">
                  <c:v>1</c:v>
                </c:pt>
                <c:pt idx="3">
                  <c:v>3</c:v>
                </c:pt>
                <c:pt idx="4">
                  <c:v>4</c:v>
                </c:pt>
                <c:pt idx="5">
                  <c:v>0</c:v>
                </c:pt>
                <c:pt idx="6">
                  <c:v>0</c:v>
                </c:pt>
              </c:numCache>
            </c:numRef>
          </c:val>
          <c:smooth val="0"/>
          <c:extLst>
            <c:ext xmlns:c16="http://schemas.microsoft.com/office/drawing/2014/chart" uri="{C3380CC4-5D6E-409C-BE32-E72D297353CC}">
              <c16:uniqueId val="{00000000-AE1C-4C8E-9F3E-837A7B3FE893}"/>
            </c:ext>
          </c:extLst>
        </c:ser>
        <c:ser>
          <c:idx val="1"/>
          <c:order val="1"/>
          <c:tx>
            <c:strRef>
              <c:f>Cynocephale!$C$2</c:f>
              <c:strCache>
                <c:ptCount val="1"/>
                <c:pt idx="0">
                  <c:v>Plus grand groupe observé</c:v>
                </c:pt>
              </c:strCache>
            </c:strRef>
          </c:tx>
          <c:cat>
            <c:strRef>
              <c:f>Cynocephale!$A$3:$A$10</c:f>
              <c:strCache>
                <c:ptCount val="7"/>
                <c:pt idx="0">
                  <c:v>Mai 2010</c:v>
                </c:pt>
                <c:pt idx="1">
                  <c:v>Juin 2011</c:v>
                </c:pt>
                <c:pt idx="2">
                  <c:v>Avril 2012</c:v>
                </c:pt>
                <c:pt idx="3">
                  <c:v>Avril 2013</c:v>
                </c:pt>
                <c:pt idx="4">
                  <c:v>Mars 2016</c:v>
                </c:pt>
                <c:pt idx="5">
                  <c:v>Mai 2016</c:v>
                </c:pt>
                <c:pt idx="6">
                  <c:v>Mai 2018</c:v>
                </c:pt>
              </c:strCache>
            </c:strRef>
          </c:cat>
          <c:val>
            <c:numRef>
              <c:f>Cynocephale!$C$3:$C$10</c:f>
              <c:numCache>
                <c:formatCode>General</c:formatCode>
                <c:ptCount val="8"/>
                <c:pt idx="0">
                  <c:v>5</c:v>
                </c:pt>
                <c:pt idx="1">
                  <c:v>0</c:v>
                </c:pt>
                <c:pt idx="2">
                  <c:v>14</c:v>
                </c:pt>
                <c:pt idx="3">
                  <c:v>15</c:v>
                </c:pt>
                <c:pt idx="4">
                  <c:v>8</c:v>
                </c:pt>
                <c:pt idx="5">
                  <c:v>0</c:v>
                </c:pt>
                <c:pt idx="6">
                  <c:v>0</c:v>
                </c:pt>
              </c:numCache>
            </c:numRef>
          </c:val>
          <c:smooth val="0"/>
          <c:extLst>
            <c:ext xmlns:c16="http://schemas.microsoft.com/office/drawing/2014/chart" uri="{C3380CC4-5D6E-409C-BE32-E72D297353CC}">
              <c16:uniqueId val="{00000001-AE1C-4C8E-9F3E-837A7B3FE893}"/>
            </c:ext>
          </c:extLst>
        </c:ser>
        <c:ser>
          <c:idx val="2"/>
          <c:order val="2"/>
          <c:tx>
            <c:strRef>
              <c:f>Cynocephale!$D$2</c:f>
              <c:strCache>
                <c:ptCount val="1"/>
                <c:pt idx="0">
                  <c:v>Nombre d'individus</c:v>
                </c:pt>
              </c:strCache>
            </c:strRef>
          </c:tx>
          <c:spPr>
            <a:ln>
              <a:solidFill>
                <a:srgbClr val="00B050"/>
              </a:solidFill>
            </a:ln>
          </c:spPr>
          <c:marker>
            <c:spPr>
              <a:solidFill>
                <a:srgbClr val="00B050"/>
              </a:solidFill>
              <a:ln>
                <a:solidFill>
                  <a:srgbClr val="00B050"/>
                </a:solidFill>
              </a:ln>
            </c:spPr>
          </c:marker>
          <c:cat>
            <c:strRef>
              <c:f>Cynocephale!$A$3:$A$10</c:f>
              <c:strCache>
                <c:ptCount val="7"/>
                <c:pt idx="0">
                  <c:v>Mai 2010</c:v>
                </c:pt>
                <c:pt idx="1">
                  <c:v>Juin 2011</c:v>
                </c:pt>
                <c:pt idx="2">
                  <c:v>Avril 2012</c:v>
                </c:pt>
                <c:pt idx="3">
                  <c:v>Avril 2013</c:v>
                </c:pt>
                <c:pt idx="4">
                  <c:v>Mars 2016</c:v>
                </c:pt>
                <c:pt idx="5">
                  <c:v>Mai 2016</c:v>
                </c:pt>
                <c:pt idx="6">
                  <c:v>Mai 2018</c:v>
                </c:pt>
              </c:strCache>
            </c:strRef>
          </c:cat>
          <c:val>
            <c:numRef>
              <c:f>Cynocephale!$D$3:$D$10</c:f>
              <c:numCache>
                <c:formatCode>0</c:formatCode>
                <c:ptCount val="8"/>
                <c:pt idx="0">
                  <c:v>10</c:v>
                </c:pt>
                <c:pt idx="1">
                  <c:v>0</c:v>
                </c:pt>
                <c:pt idx="2">
                  <c:v>14</c:v>
                </c:pt>
                <c:pt idx="3">
                  <c:v>30</c:v>
                </c:pt>
                <c:pt idx="4">
                  <c:v>22</c:v>
                </c:pt>
                <c:pt idx="5" formatCode="General">
                  <c:v>0</c:v>
                </c:pt>
                <c:pt idx="6">
                  <c:v>0</c:v>
                </c:pt>
              </c:numCache>
            </c:numRef>
          </c:val>
          <c:smooth val="0"/>
          <c:extLst>
            <c:ext xmlns:c16="http://schemas.microsoft.com/office/drawing/2014/chart" uri="{C3380CC4-5D6E-409C-BE32-E72D297353CC}">
              <c16:uniqueId val="{00000002-AE1C-4C8E-9F3E-837A7B3FE893}"/>
            </c:ext>
          </c:extLst>
        </c:ser>
        <c:ser>
          <c:idx val="3"/>
          <c:order val="3"/>
          <c:tx>
            <c:strRef>
              <c:f>Cynocephale!$E$2</c:f>
              <c:strCache>
                <c:ptCount val="1"/>
                <c:pt idx="0">
                  <c:v>Taille moyenne de groupe</c:v>
                </c:pt>
              </c:strCache>
            </c:strRef>
          </c:tx>
          <c:spPr>
            <a:ln>
              <a:solidFill>
                <a:schemeClr val="accent6"/>
              </a:solidFill>
            </a:ln>
          </c:spPr>
          <c:marker>
            <c:symbol val="circle"/>
            <c:size val="7"/>
            <c:spPr>
              <a:solidFill>
                <a:schemeClr val="accent6"/>
              </a:solidFill>
              <a:ln>
                <a:solidFill>
                  <a:schemeClr val="accent6"/>
                </a:solidFill>
              </a:ln>
            </c:spPr>
          </c:marker>
          <c:cat>
            <c:strRef>
              <c:f>Cynocephale!$A$3:$A$10</c:f>
              <c:strCache>
                <c:ptCount val="7"/>
                <c:pt idx="0">
                  <c:v>Mai 2010</c:v>
                </c:pt>
                <c:pt idx="1">
                  <c:v>Juin 2011</c:v>
                </c:pt>
                <c:pt idx="2">
                  <c:v>Avril 2012</c:v>
                </c:pt>
                <c:pt idx="3">
                  <c:v>Avril 2013</c:v>
                </c:pt>
                <c:pt idx="4">
                  <c:v>Mars 2016</c:v>
                </c:pt>
                <c:pt idx="5">
                  <c:v>Mai 2016</c:v>
                </c:pt>
                <c:pt idx="6">
                  <c:v>Mai 2018</c:v>
                </c:pt>
              </c:strCache>
            </c:strRef>
          </c:cat>
          <c:val>
            <c:numRef>
              <c:f>Cynocephale!$E$3:$E$10</c:f>
              <c:numCache>
                <c:formatCode>General</c:formatCode>
                <c:ptCount val="8"/>
                <c:pt idx="0">
                  <c:v>3.3333333333333335</c:v>
                </c:pt>
                <c:pt idx="1">
                  <c:v>0</c:v>
                </c:pt>
                <c:pt idx="2">
                  <c:v>14</c:v>
                </c:pt>
                <c:pt idx="3">
                  <c:v>10</c:v>
                </c:pt>
                <c:pt idx="4">
                  <c:v>5.5</c:v>
                </c:pt>
                <c:pt idx="5">
                  <c:v>0</c:v>
                </c:pt>
                <c:pt idx="6">
                  <c:v>0</c:v>
                </c:pt>
              </c:numCache>
            </c:numRef>
          </c:val>
          <c:smooth val="0"/>
          <c:extLst>
            <c:ext xmlns:c16="http://schemas.microsoft.com/office/drawing/2014/chart" uri="{C3380CC4-5D6E-409C-BE32-E72D297353CC}">
              <c16:uniqueId val="{00000003-AE1C-4C8E-9F3E-837A7B3FE893}"/>
            </c:ext>
          </c:extLst>
        </c:ser>
        <c:dLbls>
          <c:showLegendKey val="0"/>
          <c:showVal val="0"/>
          <c:showCatName val="0"/>
          <c:showSerName val="0"/>
          <c:showPercent val="0"/>
          <c:showBubbleSize val="0"/>
        </c:dLbls>
        <c:marker val="1"/>
        <c:smooth val="0"/>
        <c:axId val="89938704"/>
        <c:axId val="89930472"/>
      </c:lineChart>
      <c:catAx>
        <c:axId val="89938704"/>
        <c:scaling>
          <c:orientation val="minMax"/>
        </c:scaling>
        <c:delete val="0"/>
        <c:axPos val="b"/>
        <c:title>
          <c:tx>
            <c:rich>
              <a:bodyPr/>
              <a:lstStyle/>
              <a:p>
                <a:pPr>
                  <a:defRPr/>
                </a:pPr>
                <a:r>
                  <a:rPr lang="en-US"/>
                  <a:t>Année</a:t>
                </a:r>
              </a:p>
            </c:rich>
          </c:tx>
          <c:overlay val="0"/>
        </c:title>
        <c:numFmt formatCode="General" sourceLinked="0"/>
        <c:majorTickMark val="out"/>
        <c:minorTickMark val="none"/>
        <c:tickLblPos val="nextTo"/>
        <c:crossAx val="89930472"/>
        <c:crosses val="autoZero"/>
        <c:auto val="1"/>
        <c:lblAlgn val="ctr"/>
        <c:lblOffset val="100"/>
        <c:noMultiLvlLbl val="0"/>
      </c:catAx>
      <c:valAx>
        <c:axId val="89930472"/>
        <c:scaling>
          <c:orientation val="minMax"/>
        </c:scaling>
        <c:delete val="0"/>
        <c:axPos val="l"/>
        <c:majorGridlines>
          <c:spPr>
            <a:ln>
              <a:noFill/>
            </a:ln>
          </c:spPr>
        </c:majorGridlines>
        <c:title>
          <c:tx>
            <c:rich>
              <a:bodyPr rot="-5400000" vert="horz"/>
              <a:lstStyle/>
              <a:p>
                <a:pPr>
                  <a:defRPr/>
                </a:pPr>
                <a:r>
                  <a:rPr lang="en-US"/>
                  <a:t>Nombre</a:t>
                </a:r>
              </a:p>
            </c:rich>
          </c:tx>
          <c:layout>
            <c:manualLayout>
              <c:xMode val="edge"/>
              <c:yMode val="edge"/>
              <c:x val="1.8577494692144373E-2"/>
              <c:y val="0.40610965296004664"/>
            </c:manualLayout>
          </c:layout>
          <c:overlay val="0"/>
        </c:title>
        <c:numFmt formatCode="0" sourceLinked="1"/>
        <c:majorTickMark val="out"/>
        <c:minorTickMark val="none"/>
        <c:tickLblPos val="nextTo"/>
        <c:crossAx val="89938704"/>
        <c:crosses val="autoZero"/>
        <c:crossBetween val="between"/>
      </c:valAx>
    </c:plotArea>
    <c:legend>
      <c:legendPos val="t"/>
      <c:layout>
        <c:manualLayout>
          <c:xMode val="edge"/>
          <c:yMode val="edge"/>
          <c:x val="0.33217688951301472"/>
          <c:y val="4.5167118337850042E-3"/>
          <c:w val="0.66579275122456827"/>
          <c:h val="0.15469844724693965"/>
        </c:manualLayout>
      </c:layout>
      <c:overlay val="0"/>
      <c:txPr>
        <a:bodyPr/>
        <a:lstStyle/>
        <a:p>
          <a:pPr>
            <a:defRPr sz="800" b="1"/>
          </a:pPr>
          <a:endParaRPr lang="fr-BF"/>
        </a:p>
      </c:txPr>
    </c:legend>
    <c:plotVisOnly val="1"/>
    <c:dispBlanksAs val="gap"/>
    <c:showDLblsOverMax val="0"/>
  </c:chart>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Bubale</a:t>
            </a:r>
          </a:p>
        </c:rich>
      </c:tx>
      <c:layout>
        <c:manualLayout>
          <c:xMode val="edge"/>
          <c:yMode val="edge"/>
          <c:x val="0.16605626326963907"/>
          <c:y val="0"/>
        </c:manualLayout>
      </c:layout>
      <c:overlay val="1"/>
      <c:spPr>
        <a:ln>
          <a:solidFill>
            <a:sysClr val="windowText" lastClr="000000"/>
          </a:solidFill>
        </a:ln>
      </c:spPr>
    </c:title>
    <c:autoTitleDeleted val="0"/>
    <c:plotArea>
      <c:layout/>
      <c:lineChart>
        <c:grouping val="standard"/>
        <c:varyColors val="0"/>
        <c:ser>
          <c:idx val="0"/>
          <c:order val="0"/>
          <c:tx>
            <c:strRef>
              <c:f>bubale!$B$2</c:f>
              <c:strCache>
                <c:ptCount val="1"/>
                <c:pt idx="0">
                  <c:v>Nombre de contact</c:v>
                </c:pt>
              </c:strCache>
            </c:strRef>
          </c:tx>
          <c:cat>
            <c:strRef>
              <c:f>bubale!$A$3:$A$9</c:f>
              <c:strCache>
                <c:ptCount val="7"/>
                <c:pt idx="0">
                  <c:v>Mai 2010</c:v>
                </c:pt>
                <c:pt idx="1">
                  <c:v>Juin 2011</c:v>
                </c:pt>
                <c:pt idx="2">
                  <c:v>Avril 2012</c:v>
                </c:pt>
                <c:pt idx="3">
                  <c:v>Avril 2013</c:v>
                </c:pt>
                <c:pt idx="4">
                  <c:v>Mars 2016</c:v>
                </c:pt>
                <c:pt idx="5">
                  <c:v>Mai 2016</c:v>
                </c:pt>
                <c:pt idx="6">
                  <c:v>Mai 2018</c:v>
                </c:pt>
              </c:strCache>
            </c:strRef>
          </c:cat>
          <c:val>
            <c:numRef>
              <c:f>bubale!$B$3:$B$9</c:f>
              <c:numCache>
                <c:formatCode>0</c:formatCode>
                <c:ptCount val="7"/>
                <c:pt idx="0">
                  <c:v>12</c:v>
                </c:pt>
                <c:pt idx="1">
                  <c:v>11</c:v>
                </c:pt>
                <c:pt idx="2">
                  <c:v>9</c:v>
                </c:pt>
                <c:pt idx="3">
                  <c:v>6</c:v>
                </c:pt>
                <c:pt idx="4">
                  <c:v>10</c:v>
                </c:pt>
                <c:pt idx="5">
                  <c:v>8</c:v>
                </c:pt>
                <c:pt idx="6">
                  <c:v>3</c:v>
                </c:pt>
              </c:numCache>
            </c:numRef>
          </c:val>
          <c:smooth val="0"/>
          <c:extLst>
            <c:ext xmlns:c16="http://schemas.microsoft.com/office/drawing/2014/chart" uri="{C3380CC4-5D6E-409C-BE32-E72D297353CC}">
              <c16:uniqueId val="{00000000-03C0-4B62-8AD0-CC1257FEF3EA}"/>
            </c:ext>
          </c:extLst>
        </c:ser>
        <c:ser>
          <c:idx val="1"/>
          <c:order val="1"/>
          <c:tx>
            <c:strRef>
              <c:f>bubale!$C$2</c:f>
              <c:strCache>
                <c:ptCount val="1"/>
                <c:pt idx="0">
                  <c:v>Plus grand groupe observé</c:v>
                </c:pt>
              </c:strCache>
            </c:strRef>
          </c:tx>
          <c:cat>
            <c:strRef>
              <c:f>bubale!$A$3:$A$9</c:f>
              <c:strCache>
                <c:ptCount val="7"/>
                <c:pt idx="0">
                  <c:v>Mai 2010</c:v>
                </c:pt>
                <c:pt idx="1">
                  <c:v>Juin 2011</c:v>
                </c:pt>
                <c:pt idx="2">
                  <c:v>Avril 2012</c:v>
                </c:pt>
                <c:pt idx="3">
                  <c:v>Avril 2013</c:v>
                </c:pt>
                <c:pt idx="4">
                  <c:v>Mars 2016</c:v>
                </c:pt>
                <c:pt idx="5">
                  <c:v>Mai 2016</c:v>
                </c:pt>
                <c:pt idx="6">
                  <c:v>Mai 2018</c:v>
                </c:pt>
              </c:strCache>
            </c:strRef>
          </c:cat>
          <c:val>
            <c:numRef>
              <c:f>bubale!$C$3:$C$9</c:f>
              <c:numCache>
                <c:formatCode>General</c:formatCode>
                <c:ptCount val="7"/>
                <c:pt idx="0">
                  <c:v>14</c:v>
                </c:pt>
                <c:pt idx="1">
                  <c:v>22</c:v>
                </c:pt>
                <c:pt idx="2">
                  <c:v>16</c:v>
                </c:pt>
                <c:pt idx="3">
                  <c:v>11</c:v>
                </c:pt>
                <c:pt idx="4">
                  <c:v>10</c:v>
                </c:pt>
                <c:pt idx="5">
                  <c:v>11</c:v>
                </c:pt>
                <c:pt idx="6">
                  <c:v>5</c:v>
                </c:pt>
              </c:numCache>
            </c:numRef>
          </c:val>
          <c:smooth val="0"/>
          <c:extLst>
            <c:ext xmlns:c16="http://schemas.microsoft.com/office/drawing/2014/chart" uri="{C3380CC4-5D6E-409C-BE32-E72D297353CC}">
              <c16:uniqueId val="{00000001-03C0-4B62-8AD0-CC1257FEF3EA}"/>
            </c:ext>
          </c:extLst>
        </c:ser>
        <c:ser>
          <c:idx val="2"/>
          <c:order val="2"/>
          <c:tx>
            <c:strRef>
              <c:f>bubale!$D$2</c:f>
              <c:strCache>
                <c:ptCount val="1"/>
                <c:pt idx="0">
                  <c:v>Nombre d'individus</c:v>
                </c:pt>
              </c:strCache>
            </c:strRef>
          </c:tx>
          <c:spPr>
            <a:ln>
              <a:solidFill>
                <a:srgbClr val="00B050"/>
              </a:solidFill>
            </a:ln>
          </c:spPr>
          <c:marker>
            <c:spPr>
              <a:solidFill>
                <a:srgbClr val="00B050"/>
              </a:solidFill>
              <a:ln>
                <a:solidFill>
                  <a:srgbClr val="00B050"/>
                </a:solidFill>
              </a:ln>
            </c:spPr>
          </c:marker>
          <c:cat>
            <c:strRef>
              <c:f>bubale!$A$3:$A$9</c:f>
              <c:strCache>
                <c:ptCount val="7"/>
                <c:pt idx="0">
                  <c:v>Mai 2010</c:v>
                </c:pt>
                <c:pt idx="1">
                  <c:v>Juin 2011</c:v>
                </c:pt>
                <c:pt idx="2">
                  <c:v>Avril 2012</c:v>
                </c:pt>
                <c:pt idx="3">
                  <c:v>Avril 2013</c:v>
                </c:pt>
                <c:pt idx="4">
                  <c:v>Mars 2016</c:v>
                </c:pt>
                <c:pt idx="5">
                  <c:v>Mai 2016</c:v>
                </c:pt>
                <c:pt idx="6">
                  <c:v>Mai 2018</c:v>
                </c:pt>
              </c:strCache>
            </c:strRef>
          </c:cat>
          <c:val>
            <c:numRef>
              <c:f>bubale!$D$3:$D$9</c:f>
              <c:numCache>
                <c:formatCode>0</c:formatCode>
                <c:ptCount val="7"/>
                <c:pt idx="0">
                  <c:v>69</c:v>
                </c:pt>
                <c:pt idx="1">
                  <c:v>61</c:v>
                </c:pt>
                <c:pt idx="2">
                  <c:v>64</c:v>
                </c:pt>
                <c:pt idx="3">
                  <c:v>26</c:v>
                </c:pt>
                <c:pt idx="4">
                  <c:v>33</c:v>
                </c:pt>
                <c:pt idx="5" formatCode="General">
                  <c:v>49</c:v>
                </c:pt>
                <c:pt idx="6">
                  <c:v>9</c:v>
                </c:pt>
              </c:numCache>
            </c:numRef>
          </c:val>
          <c:smooth val="0"/>
          <c:extLst>
            <c:ext xmlns:c16="http://schemas.microsoft.com/office/drawing/2014/chart" uri="{C3380CC4-5D6E-409C-BE32-E72D297353CC}">
              <c16:uniqueId val="{00000002-03C0-4B62-8AD0-CC1257FEF3EA}"/>
            </c:ext>
          </c:extLst>
        </c:ser>
        <c:ser>
          <c:idx val="3"/>
          <c:order val="3"/>
          <c:tx>
            <c:strRef>
              <c:f>bubale!$E$2</c:f>
              <c:strCache>
                <c:ptCount val="1"/>
                <c:pt idx="0">
                  <c:v>Taille moyenne de groupe</c:v>
                </c:pt>
              </c:strCache>
            </c:strRef>
          </c:tx>
          <c:spPr>
            <a:ln>
              <a:solidFill>
                <a:schemeClr val="accent6"/>
              </a:solidFill>
            </a:ln>
          </c:spPr>
          <c:marker>
            <c:symbol val="circle"/>
            <c:size val="7"/>
            <c:spPr>
              <a:solidFill>
                <a:schemeClr val="accent6"/>
              </a:solidFill>
              <a:ln>
                <a:solidFill>
                  <a:schemeClr val="accent6"/>
                </a:solidFill>
              </a:ln>
            </c:spPr>
          </c:marker>
          <c:cat>
            <c:strRef>
              <c:f>bubale!$A$3:$A$9</c:f>
              <c:strCache>
                <c:ptCount val="7"/>
                <c:pt idx="0">
                  <c:v>Mai 2010</c:v>
                </c:pt>
                <c:pt idx="1">
                  <c:v>Juin 2011</c:v>
                </c:pt>
                <c:pt idx="2">
                  <c:v>Avril 2012</c:v>
                </c:pt>
                <c:pt idx="3">
                  <c:v>Avril 2013</c:v>
                </c:pt>
                <c:pt idx="4">
                  <c:v>Mars 2016</c:v>
                </c:pt>
                <c:pt idx="5">
                  <c:v>Mai 2016</c:v>
                </c:pt>
                <c:pt idx="6">
                  <c:v>Mai 2018</c:v>
                </c:pt>
              </c:strCache>
            </c:strRef>
          </c:cat>
          <c:val>
            <c:numRef>
              <c:f>bubale!$E$3:$E$9</c:f>
              <c:numCache>
                <c:formatCode>General</c:formatCode>
                <c:ptCount val="7"/>
                <c:pt idx="0">
                  <c:v>5.75</c:v>
                </c:pt>
                <c:pt idx="1">
                  <c:v>5.5454545454545459</c:v>
                </c:pt>
                <c:pt idx="2">
                  <c:v>7.1111111111111107</c:v>
                </c:pt>
                <c:pt idx="3">
                  <c:v>4.333333333333333</c:v>
                </c:pt>
                <c:pt idx="4">
                  <c:v>3.3</c:v>
                </c:pt>
                <c:pt idx="5">
                  <c:v>6.125</c:v>
                </c:pt>
                <c:pt idx="6">
                  <c:v>3</c:v>
                </c:pt>
              </c:numCache>
            </c:numRef>
          </c:val>
          <c:smooth val="0"/>
          <c:extLst>
            <c:ext xmlns:c16="http://schemas.microsoft.com/office/drawing/2014/chart" uri="{C3380CC4-5D6E-409C-BE32-E72D297353CC}">
              <c16:uniqueId val="{00000003-03C0-4B62-8AD0-CC1257FEF3EA}"/>
            </c:ext>
          </c:extLst>
        </c:ser>
        <c:dLbls>
          <c:showLegendKey val="0"/>
          <c:showVal val="0"/>
          <c:showCatName val="0"/>
          <c:showSerName val="0"/>
          <c:showPercent val="0"/>
          <c:showBubbleSize val="0"/>
        </c:dLbls>
        <c:marker val="1"/>
        <c:smooth val="0"/>
        <c:axId val="89939096"/>
        <c:axId val="89930080"/>
      </c:lineChart>
      <c:catAx>
        <c:axId val="89939096"/>
        <c:scaling>
          <c:orientation val="minMax"/>
        </c:scaling>
        <c:delete val="0"/>
        <c:axPos val="b"/>
        <c:title>
          <c:tx>
            <c:rich>
              <a:bodyPr/>
              <a:lstStyle/>
              <a:p>
                <a:pPr>
                  <a:defRPr/>
                </a:pPr>
                <a:r>
                  <a:rPr lang="en-US"/>
                  <a:t>Année</a:t>
                </a:r>
              </a:p>
            </c:rich>
          </c:tx>
          <c:overlay val="0"/>
        </c:title>
        <c:numFmt formatCode="General" sourceLinked="0"/>
        <c:majorTickMark val="out"/>
        <c:minorTickMark val="none"/>
        <c:tickLblPos val="nextTo"/>
        <c:crossAx val="89930080"/>
        <c:crosses val="autoZero"/>
        <c:auto val="1"/>
        <c:lblAlgn val="ctr"/>
        <c:lblOffset val="100"/>
        <c:noMultiLvlLbl val="0"/>
      </c:catAx>
      <c:valAx>
        <c:axId val="89930080"/>
        <c:scaling>
          <c:orientation val="minMax"/>
        </c:scaling>
        <c:delete val="0"/>
        <c:axPos val="l"/>
        <c:majorGridlines>
          <c:spPr>
            <a:ln>
              <a:noFill/>
            </a:ln>
          </c:spPr>
        </c:majorGridlines>
        <c:title>
          <c:tx>
            <c:rich>
              <a:bodyPr rot="-5400000" vert="horz"/>
              <a:lstStyle/>
              <a:p>
                <a:pPr>
                  <a:defRPr/>
                </a:pPr>
                <a:r>
                  <a:rPr lang="en-US"/>
                  <a:t>Nombre</a:t>
                </a:r>
              </a:p>
            </c:rich>
          </c:tx>
          <c:overlay val="0"/>
        </c:title>
        <c:numFmt formatCode="0" sourceLinked="1"/>
        <c:majorTickMark val="out"/>
        <c:minorTickMark val="none"/>
        <c:tickLblPos val="nextTo"/>
        <c:crossAx val="89939096"/>
        <c:crosses val="autoZero"/>
        <c:crossBetween val="between"/>
      </c:valAx>
    </c:plotArea>
    <c:legend>
      <c:legendPos val="t"/>
      <c:layout>
        <c:manualLayout>
          <c:xMode val="edge"/>
          <c:yMode val="edge"/>
          <c:x val="0.33217688951301472"/>
          <c:y val="4.5167118337850042E-3"/>
          <c:w val="0.66579275122456827"/>
          <c:h val="0.15469844724693965"/>
        </c:manualLayout>
      </c:layout>
      <c:overlay val="0"/>
      <c:txPr>
        <a:bodyPr/>
        <a:lstStyle/>
        <a:p>
          <a:pPr>
            <a:defRPr sz="800" b="1"/>
          </a:pPr>
          <a:endParaRPr lang="fr-BF"/>
        </a:p>
      </c:txPr>
    </c:legend>
    <c:plotVisOnly val="1"/>
    <c:dispBlanksAs val="gap"/>
    <c:showDLblsOverMax val="0"/>
  </c:chart>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Buffle</a:t>
            </a:r>
          </a:p>
        </c:rich>
      </c:tx>
      <c:layout>
        <c:manualLayout>
          <c:xMode val="edge"/>
          <c:yMode val="edge"/>
          <c:x val="0.18085009221820245"/>
          <c:y val="0"/>
        </c:manualLayout>
      </c:layout>
      <c:overlay val="1"/>
      <c:spPr>
        <a:ln>
          <a:solidFill>
            <a:sysClr val="windowText" lastClr="000000"/>
          </a:solidFill>
        </a:ln>
      </c:spPr>
    </c:title>
    <c:autoTitleDeleted val="0"/>
    <c:plotArea>
      <c:layout/>
      <c:lineChart>
        <c:grouping val="standard"/>
        <c:varyColors val="0"/>
        <c:ser>
          <c:idx val="0"/>
          <c:order val="0"/>
          <c:tx>
            <c:strRef>
              <c:f>buffle!$B$2</c:f>
              <c:strCache>
                <c:ptCount val="1"/>
                <c:pt idx="0">
                  <c:v>Nombre de contact</c:v>
                </c:pt>
              </c:strCache>
            </c:strRef>
          </c:tx>
          <c:cat>
            <c:strRef>
              <c:f>buffle!$A$3:$A$9</c:f>
              <c:strCache>
                <c:ptCount val="7"/>
                <c:pt idx="0">
                  <c:v>Mai 2010</c:v>
                </c:pt>
                <c:pt idx="1">
                  <c:v>Juin 2011</c:v>
                </c:pt>
                <c:pt idx="2">
                  <c:v>Avril 2012</c:v>
                </c:pt>
                <c:pt idx="3">
                  <c:v>Avril 2013</c:v>
                </c:pt>
                <c:pt idx="4">
                  <c:v>Mars 2016</c:v>
                </c:pt>
                <c:pt idx="5">
                  <c:v>Mai 2016</c:v>
                </c:pt>
                <c:pt idx="6">
                  <c:v>Mai 2018</c:v>
                </c:pt>
              </c:strCache>
            </c:strRef>
          </c:cat>
          <c:val>
            <c:numRef>
              <c:f>buffle!$B$3:$B$9</c:f>
              <c:numCache>
                <c:formatCode>0</c:formatCode>
                <c:ptCount val="7"/>
                <c:pt idx="0">
                  <c:v>1</c:v>
                </c:pt>
                <c:pt idx="1">
                  <c:v>3</c:v>
                </c:pt>
                <c:pt idx="2">
                  <c:v>1</c:v>
                </c:pt>
                <c:pt idx="3">
                  <c:v>1</c:v>
                </c:pt>
                <c:pt idx="4">
                  <c:v>0</c:v>
                </c:pt>
                <c:pt idx="5">
                  <c:v>0</c:v>
                </c:pt>
                <c:pt idx="6">
                  <c:v>2</c:v>
                </c:pt>
              </c:numCache>
            </c:numRef>
          </c:val>
          <c:smooth val="0"/>
          <c:extLst>
            <c:ext xmlns:c16="http://schemas.microsoft.com/office/drawing/2014/chart" uri="{C3380CC4-5D6E-409C-BE32-E72D297353CC}">
              <c16:uniqueId val="{00000000-1EA6-4EA0-A880-08ADBB3B00FD}"/>
            </c:ext>
          </c:extLst>
        </c:ser>
        <c:ser>
          <c:idx val="1"/>
          <c:order val="1"/>
          <c:tx>
            <c:strRef>
              <c:f>buffle!$C$2</c:f>
              <c:strCache>
                <c:ptCount val="1"/>
                <c:pt idx="0">
                  <c:v>Plus grand groupe observé</c:v>
                </c:pt>
              </c:strCache>
            </c:strRef>
          </c:tx>
          <c:cat>
            <c:strRef>
              <c:f>buffle!$A$3:$A$9</c:f>
              <c:strCache>
                <c:ptCount val="7"/>
                <c:pt idx="0">
                  <c:v>Mai 2010</c:v>
                </c:pt>
                <c:pt idx="1">
                  <c:v>Juin 2011</c:v>
                </c:pt>
                <c:pt idx="2">
                  <c:v>Avril 2012</c:v>
                </c:pt>
                <c:pt idx="3">
                  <c:v>Avril 2013</c:v>
                </c:pt>
                <c:pt idx="4">
                  <c:v>Mars 2016</c:v>
                </c:pt>
                <c:pt idx="5">
                  <c:v>Mai 2016</c:v>
                </c:pt>
                <c:pt idx="6">
                  <c:v>Mai 2018</c:v>
                </c:pt>
              </c:strCache>
            </c:strRef>
          </c:cat>
          <c:val>
            <c:numRef>
              <c:f>buffle!$C$3:$C$9</c:f>
              <c:numCache>
                <c:formatCode>General</c:formatCode>
                <c:ptCount val="7"/>
                <c:pt idx="0">
                  <c:v>24</c:v>
                </c:pt>
                <c:pt idx="1">
                  <c:v>4</c:v>
                </c:pt>
                <c:pt idx="2">
                  <c:v>10</c:v>
                </c:pt>
                <c:pt idx="3">
                  <c:v>2</c:v>
                </c:pt>
                <c:pt idx="4" formatCode="0">
                  <c:v>0</c:v>
                </c:pt>
                <c:pt idx="5" formatCode="0">
                  <c:v>0</c:v>
                </c:pt>
                <c:pt idx="6">
                  <c:v>6</c:v>
                </c:pt>
              </c:numCache>
            </c:numRef>
          </c:val>
          <c:smooth val="0"/>
          <c:extLst>
            <c:ext xmlns:c16="http://schemas.microsoft.com/office/drawing/2014/chart" uri="{C3380CC4-5D6E-409C-BE32-E72D297353CC}">
              <c16:uniqueId val="{00000001-1EA6-4EA0-A880-08ADBB3B00FD}"/>
            </c:ext>
          </c:extLst>
        </c:ser>
        <c:ser>
          <c:idx val="2"/>
          <c:order val="2"/>
          <c:tx>
            <c:strRef>
              <c:f>buffle!$D$2</c:f>
              <c:strCache>
                <c:ptCount val="1"/>
                <c:pt idx="0">
                  <c:v>Nombre d'individus</c:v>
                </c:pt>
              </c:strCache>
            </c:strRef>
          </c:tx>
          <c:spPr>
            <a:ln>
              <a:solidFill>
                <a:srgbClr val="00B050"/>
              </a:solidFill>
            </a:ln>
          </c:spPr>
          <c:marker>
            <c:spPr>
              <a:solidFill>
                <a:srgbClr val="00B050"/>
              </a:solidFill>
              <a:ln>
                <a:solidFill>
                  <a:srgbClr val="00B050"/>
                </a:solidFill>
              </a:ln>
            </c:spPr>
          </c:marker>
          <c:cat>
            <c:strRef>
              <c:f>buffle!$A$3:$A$9</c:f>
              <c:strCache>
                <c:ptCount val="7"/>
                <c:pt idx="0">
                  <c:v>Mai 2010</c:v>
                </c:pt>
                <c:pt idx="1">
                  <c:v>Juin 2011</c:v>
                </c:pt>
                <c:pt idx="2">
                  <c:v>Avril 2012</c:v>
                </c:pt>
                <c:pt idx="3">
                  <c:v>Avril 2013</c:v>
                </c:pt>
                <c:pt idx="4">
                  <c:v>Mars 2016</c:v>
                </c:pt>
                <c:pt idx="5">
                  <c:v>Mai 2016</c:v>
                </c:pt>
                <c:pt idx="6">
                  <c:v>Mai 2018</c:v>
                </c:pt>
              </c:strCache>
            </c:strRef>
          </c:cat>
          <c:val>
            <c:numRef>
              <c:f>buffle!$D$3:$D$9</c:f>
              <c:numCache>
                <c:formatCode>0</c:formatCode>
                <c:ptCount val="7"/>
                <c:pt idx="0">
                  <c:v>24</c:v>
                </c:pt>
                <c:pt idx="1">
                  <c:v>6</c:v>
                </c:pt>
                <c:pt idx="2">
                  <c:v>10</c:v>
                </c:pt>
                <c:pt idx="3">
                  <c:v>2</c:v>
                </c:pt>
                <c:pt idx="4">
                  <c:v>0</c:v>
                </c:pt>
                <c:pt idx="5">
                  <c:v>0</c:v>
                </c:pt>
                <c:pt idx="6">
                  <c:v>7</c:v>
                </c:pt>
              </c:numCache>
            </c:numRef>
          </c:val>
          <c:smooth val="0"/>
          <c:extLst>
            <c:ext xmlns:c16="http://schemas.microsoft.com/office/drawing/2014/chart" uri="{C3380CC4-5D6E-409C-BE32-E72D297353CC}">
              <c16:uniqueId val="{00000002-1EA6-4EA0-A880-08ADBB3B00FD}"/>
            </c:ext>
          </c:extLst>
        </c:ser>
        <c:ser>
          <c:idx val="3"/>
          <c:order val="3"/>
          <c:tx>
            <c:strRef>
              <c:f>buffle!$E$2</c:f>
              <c:strCache>
                <c:ptCount val="1"/>
                <c:pt idx="0">
                  <c:v>Taille moyenne de groupe</c:v>
                </c:pt>
              </c:strCache>
            </c:strRef>
          </c:tx>
          <c:spPr>
            <a:ln>
              <a:solidFill>
                <a:schemeClr val="accent6"/>
              </a:solidFill>
            </a:ln>
          </c:spPr>
          <c:marker>
            <c:symbol val="circle"/>
            <c:size val="7"/>
            <c:spPr>
              <a:solidFill>
                <a:schemeClr val="accent6"/>
              </a:solidFill>
              <a:ln>
                <a:solidFill>
                  <a:schemeClr val="accent6"/>
                </a:solidFill>
              </a:ln>
            </c:spPr>
          </c:marker>
          <c:cat>
            <c:strRef>
              <c:f>buffle!$A$3:$A$9</c:f>
              <c:strCache>
                <c:ptCount val="7"/>
                <c:pt idx="0">
                  <c:v>Mai 2010</c:v>
                </c:pt>
                <c:pt idx="1">
                  <c:v>Juin 2011</c:v>
                </c:pt>
                <c:pt idx="2">
                  <c:v>Avril 2012</c:v>
                </c:pt>
                <c:pt idx="3">
                  <c:v>Avril 2013</c:v>
                </c:pt>
                <c:pt idx="4">
                  <c:v>Mars 2016</c:v>
                </c:pt>
                <c:pt idx="5">
                  <c:v>Mai 2016</c:v>
                </c:pt>
                <c:pt idx="6">
                  <c:v>Mai 2018</c:v>
                </c:pt>
              </c:strCache>
            </c:strRef>
          </c:cat>
          <c:val>
            <c:numRef>
              <c:f>buffle!$E$3:$E$9</c:f>
              <c:numCache>
                <c:formatCode>General</c:formatCode>
                <c:ptCount val="7"/>
                <c:pt idx="0">
                  <c:v>24</c:v>
                </c:pt>
                <c:pt idx="1">
                  <c:v>2</c:v>
                </c:pt>
                <c:pt idx="2">
                  <c:v>10</c:v>
                </c:pt>
                <c:pt idx="3">
                  <c:v>2</c:v>
                </c:pt>
                <c:pt idx="4" formatCode="0">
                  <c:v>0</c:v>
                </c:pt>
                <c:pt idx="5" formatCode="0">
                  <c:v>0</c:v>
                </c:pt>
                <c:pt idx="6">
                  <c:v>3.5</c:v>
                </c:pt>
              </c:numCache>
            </c:numRef>
          </c:val>
          <c:smooth val="0"/>
          <c:extLst>
            <c:ext xmlns:c16="http://schemas.microsoft.com/office/drawing/2014/chart" uri="{C3380CC4-5D6E-409C-BE32-E72D297353CC}">
              <c16:uniqueId val="{00000003-1EA6-4EA0-A880-08ADBB3B00FD}"/>
            </c:ext>
          </c:extLst>
        </c:ser>
        <c:dLbls>
          <c:showLegendKey val="0"/>
          <c:showVal val="0"/>
          <c:showCatName val="0"/>
          <c:showSerName val="0"/>
          <c:showPercent val="0"/>
          <c:showBubbleSize val="0"/>
        </c:dLbls>
        <c:marker val="1"/>
        <c:smooth val="0"/>
        <c:axId val="89931648"/>
        <c:axId val="89934392"/>
      </c:lineChart>
      <c:catAx>
        <c:axId val="89931648"/>
        <c:scaling>
          <c:orientation val="minMax"/>
        </c:scaling>
        <c:delete val="0"/>
        <c:axPos val="b"/>
        <c:title>
          <c:tx>
            <c:rich>
              <a:bodyPr/>
              <a:lstStyle/>
              <a:p>
                <a:pPr>
                  <a:defRPr/>
                </a:pPr>
                <a:r>
                  <a:rPr lang="en-US"/>
                  <a:t>Année</a:t>
                </a:r>
              </a:p>
            </c:rich>
          </c:tx>
          <c:overlay val="0"/>
        </c:title>
        <c:numFmt formatCode="General" sourceLinked="0"/>
        <c:majorTickMark val="out"/>
        <c:minorTickMark val="none"/>
        <c:tickLblPos val="nextTo"/>
        <c:crossAx val="89934392"/>
        <c:crosses val="autoZero"/>
        <c:auto val="1"/>
        <c:lblAlgn val="ctr"/>
        <c:lblOffset val="100"/>
        <c:noMultiLvlLbl val="0"/>
      </c:catAx>
      <c:valAx>
        <c:axId val="89934392"/>
        <c:scaling>
          <c:orientation val="minMax"/>
        </c:scaling>
        <c:delete val="0"/>
        <c:axPos val="l"/>
        <c:majorGridlines>
          <c:spPr>
            <a:ln>
              <a:noFill/>
            </a:ln>
          </c:spPr>
        </c:majorGridlines>
        <c:title>
          <c:tx>
            <c:rich>
              <a:bodyPr rot="-5400000" vert="horz"/>
              <a:lstStyle/>
              <a:p>
                <a:pPr>
                  <a:defRPr/>
                </a:pPr>
                <a:r>
                  <a:rPr lang="en-US"/>
                  <a:t>Nombre</a:t>
                </a:r>
              </a:p>
            </c:rich>
          </c:tx>
          <c:overlay val="0"/>
        </c:title>
        <c:numFmt formatCode="0" sourceLinked="1"/>
        <c:majorTickMark val="out"/>
        <c:minorTickMark val="none"/>
        <c:tickLblPos val="nextTo"/>
        <c:crossAx val="89931648"/>
        <c:crosses val="autoZero"/>
        <c:crossBetween val="between"/>
      </c:valAx>
    </c:plotArea>
    <c:legend>
      <c:legendPos val="t"/>
      <c:layout>
        <c:manualLayout>
          <c:xMode val="edge"/>
          <c:yMode val="edge"/>
          <c:x val="0.33217688951301472"/>
          <c:y val="4.5167118337850042E-3"/>
          <c:w val="0.66579275122456827"/>
          <c:h val="0.15469844724693965"/>
        </c:manualLayout>
      </c:layout>
      <c:overlay val="0"/>
      <c:txPr>
        <a:bodyPr/>
        <a:lstStyle/>
        <a:p>
          <a:pPr>
            <a:defRPr sz="800" b="1"/>
          </a:pPr>
          <a:endParaRPr lang="fr-BF"/>
        </a:p>
      </c:txPr>
    </c:legend>
    <c:plotVisOnly val="1"/>
    <c:dispBlanksAs val="gap"/>
    <c:showDLblsOverMax val="0"/>
  </c:chart>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US" sz="1200"/>
              <a:t>Cephalophe flanc roux</a:t>
            </a:r>
          </a:p>
        </c:rich>
      </c:tx>
      <c:layout>
        <c:manualLayout>
          <c:xMode val="edge"/>
          <c:yMode val="edge"/>
          <c:x val="1.5127388535031855E-3"/>
          <c:y val="4.5167118337850042E-3"/>
        </c:manualLayout>
      </c:layout>
      <c:overlay val="1"/>
      <c:spPr>
        <a:ln>
          <a:solidFill>
            <a:sysClr val="windowText" lastClr="000000"/>
          </a:solidFill>
        </a:ln>
      </c:spPr>
    </c:title>
    <c:autoTitleDeleted val="0"/>
    <c:plotArea>
      <c:layout/>
      <c:lineChart>
        <c:grouping val="standard"/>
        <c:varyColors val="0"/>
        <c:ser>
          <c:idx val="0"/>
          <c:order val="0"/>
          <c:tx>
            <c:strRef>
              <c:f>'Cephalophe flanc roux'!$B$2</c:f>
              <c:strCache>
                <c:ptCount val="1"/>
                <c:pt idx="0">
                  <c:v>Nombre de contact</c:v>
                </c:pt>
              </c:strCache>
            </c:strRef>
          </c:tx>
          <c:cat>
            <c:strRef>
              <c:f>'Cephalophe flanc roux'!$A$3:$A$9</c:f>
              <c:strCache>
                <c:ptCount val="7"/>
                <c:pt idx="0">
                  <c:v>Mai 2010</c:v>
                </c:pt>
                <c:pt idx="1">
                  <c:v>Juin 2011</c:v>
                </c:pt>
                <c:pt idx="2">
                  <c:v>Avril 2012</c:v>
                </c:pt>
                <c:pt idx="3">
                  <c:v>Avril 2013</c:v>
                </c:pt>
                <c:pt idx="4">
                  <c:v>Mars 2016</c:v>
                </c:pt>
                <c:pt idx="5">
                  <c:v>Mai 2016</c:v>
                </c:pt>
                <c:pt idx="6">
                  <c:v>Mai 2018</c:v>
                </c:pt>
              </c:strCache>
            </c:strRef>
          </c:cat>
          <c:val>
            <c:numRef>
              <c:f>'Cephalophe flanc roux'!$B$3:$B$9</c:f>
              <c:numCache>
                <c:formatCode>0</c:formatCode>
                <c:ptCount val="7"/>
                <c:pt idx="0">
                  <c:v>0</c:v>
                </c:pt>
                <c:pt idx="1">
                  <c:v>3</c:v>
                </c:pt>
                <c:pt idx="2">
                  <c:v>5</c:v>
                </c:pt>
                <c:pt idx="3">
                  <c:v>0</c:v>
                </c:pt>
                <c:pt idx="4">
                  <c:v>0</c:v>
                </c:pt>
                <c:pt idx="5">
                  <c:v>2</c:v>
                </c:pt>
                <c:pt idx="6">
                  <c:v>2</c:v>
                </c:pt>
              </c:numCache>
            </c:numRef>
          </c:val>
          <c:smooth val="0"/>
          <c:extLst>
            <c:ext xmlns:c16="http://schemas.microsoft.com/office/drawing/2014/chart" uri="{C3380CC4-5D6E-409C-BE32-E72D297353CC}">
              <c16:uniqueId val="{00000000-1A4D-4241-B111-00BD417ADD0D}"/>
            </c:ext>
          </c:extLst>
        </c:ser>
        <c:ser>
          <c:idx val="1"/>
          <c:order val="1"/>
          <c:tx>
            <c:strRef>
              <c:f>'Cephalophe flanc roux'!$C$2</c:f>
              <c:strCache>
                <c:ptCount val="1"/>
                <c:pt idx="0">
                  <c:v>Plus grand groupe observé</c:v>
                </c:pt>
              </c:strCache>
            </c:strRef>
          </c:tx>
          <c:cat>
            <c:strRef>
              <c:f>'Cephalophe flanc roux'!$A$3:$A$9</c:f>
              <c:strCache>
                <c:ptCount val="7"/>
                <c:pt idx="0">
                  <c:v>Mai 2010</c:v>
                </c:pt>
                <c:pt idx="1">
                  <c:v>Juin 2011</c:v>
                </c:pt>
                <c:pt idx="2">
                  <c:v>Avril 2012</c:v>
                </c:pt>
                <c:pt idx="3">
                  <c:v>Avril 2013</c:v>
                </c:pt>
                <c:pt idx="4">
                  <c:v>Mars 2016</c:v>
                </c:pt>
                <c:pt idx="5">
                  <c:v>Mai 2016</c:v>
                </c:pt>
                <c:pt idx="6">
                  <c:v>Mai 2018</c:v>
                </c:pt>
              </c:strCache>
            </c:strRef>
          </c:cat>
          <c:val>
            <c:numRef>
              <c:f>'Cephalophe flanc roux'!$C$3:$C$9</c:f>
              <c:numCache>
                <c:formatCode>General</c:formatCode>
                <c:ptCount val="7"/>
                <c:pt idx="0">
                  <c:v>0</c:v>
                </c:pt>
                <c:pt idx="1">
                  <c:v>2</c:v>
                </c:pt>
                <c:pt idx="2">
                  <c:v>2</c:v>
                </c:pt>
                <c:pt idx="3">
                  <c:v>0</c:v>
                </c:pt>
                <c:pt idx="4" formatCode="0">
                  <c:v>0</c:v>
                </c:pt>
                <c:pt idx="5" formatCode="0">
                  <c:v>1</c:v>
                </c:pt>
                <c:pt idx="6">
                  <c:v>2</c:v>
                </c:pt>
              </c:numCache>
            </c:numRef>
          </c:val>
          <c:smooth val="0"/>
          <c:extLst>
            <c:ext xmlns:c16="http://schemas.microsoft.com/office/drawing/2014/chart" uri="{C3380CC4-5D6E-409C-BE32-E72D297353CC}">
              <c16:uniqueId val="{00000001-1A4D-4241-B111-00BD417ADD0D}"/>
            </c:ext>
          </c:extLst>
        </c:ser>
        <c:ser>
          <c:idx val="2"/>
          <c:order val="2"/>
          <c:tx>
            <c:strRef>
              <c:f>'Cephalophe flanc roux'!$D$2</c:f>
              <c:strCache>
                <c:ptCount val="1"/>
                <c:pt idx="0">
                  <c:v>Nombre d'individus</c:v>
                </c:pt>
              </c:strCache>
            </c:strRef>
          </c:tx>
          <c:spPr>
            <a:ln>
              <a:solidFill>
                <a:srgbClr val="00B050"/>
              </a:solidFill>
            </a:ln>
          </c:spPr>
          <c:marker>
            <c:spPr>
              <a:solidFill>
                <a:srgbClr val="00B050"/>
              </a:solidFill>
              <a:ln>
                <a:solidFill>
                  <a:srgbClr val="00B050"/>
                </a:solidFill>
              </a:ln>
            </c:spPr>
          </c:marker>
          <c:cat>
            <c:strRef>
              <c:f>'Cephalophe flanc roux'!$A$3:$A$9</c:f>
              <c:strCache>
                <c:ptCount val="7"/>
                <c:pt idx="0">
                  <c:v>Mai 2010</c:v>
                </c:pt>
                <c:pt idx="1">
                  <c:v>Juin 2011</c:v>
                </c:pt>
                <c:pt idx="2">
                  <c:v>Avril 2012</c:v>
                </c:pt>
                <c:pt idx="3">
                  <c:v>Avril 2013</c:v>
                </c:pt>
                <c:pt idx="4">
                  <c:v>Mars 2016</c:v>
                </c:pt>
                <c:pt idx="5">
                  <c:v>Mai 2016</c:v>
                </c:pt>
                <c:pt idx="6">
                  <c:v>Mai 2018</c:v>
                </c:pt>
              </c:strCache>
            </c:strRef>
          </c:cat>
          <c:val>
            <c:numRef>
              <c:f>'Cephalophe flanc roux'!$D$3:$D$9</c:f>
              <c:numCache>
                <c:formatCode>0</c:formatCode>
                <c:ptCount val="7"/>
                <c:pt idx="0">
                  <c:v>0</c:v>
                </c:pt>
                <c:pt idx="1">
                  <c:v>5</c:v>
                </c:pt>
                <c:pt idx="2">
                  <c:v>7</c:v>
                </c:pt>
                <c:pt idx="3">
                  <c:v>0</c:v>
                </c:pt>
                <c:pt idx="4">
                  <c:v>0</c:v>
                </c:pt>
                <c:pt idx="5">
                  <c:v>2</c:v>
                </c:pt>
                <c:pt idx="6">
                  <c:v>3</c:v>
                </c:pt>
              </c:numCache>
            </c:numRef>
          </c:val>
          <c:smooth val="0"/>
          <c:extLst>
            <c:ext xmlns:c16="http://schemas.microsoft.com/office/drawing/2014/chart" uri="{C3380CC4-5D6E-409C-BE32-E72D297353CC}">
              <c16:uniqueId val="{00000002-1A4D-4241-B111-00BD417ADD0D}"/>
            </c:ext>
          </c:extLst>
        </c:ser>
        <c:ser>
          <c:idx val="3"/>
          <c:order val="3"/>
          <c:tx>
            <c:strRef>
              <c:f>'Cephalophe flanc roux'!$E$2</c:f>
              <c:strCache>
                <c:ptCount val="1"/>
                <c:pt idx="0">
                  <c:v>Taille moyenne de groupe</c:v>
                </c:pt>
              </c:strCache>
            </c:strRef>
          </c:tx>
          <c:spPr>
            <a:ln>
              <a:solidFill>
                <a:schemeClr val="accent6"/>
              </a:solidFill>
            </a:ln>
          </c:spPr>
          <c:marker>
            <c:symbol val="circle"/>
            <c:size val="7"/>
            <c:spPr>
              <a:solidFill>
                <a:schemeClr val="accent6"/>
              </a:solidFill>
              <a:ln>
                <a:solidFill>
                  <a:schemeClr val="accent6"/>
                </a:solidFill>
              </a:ln>
            </c:spPr>
          </c:marker>
          <c:cat>
            <c:strRef>
              <c:f>'Cephalophe flanc roux'!$A$3:$A$9</c:f>
              <c:strCache>
                <c:ptCount val="7"/>
                <c:pt idx="0">
                  <c:v>Mai 2010</c:v>
                </c:pt>
                <c:pt idx="1">
                  <c:v>Juin 2011</c:v>
                </c:pt>
                <c:pt idx="2">
                  <c:v>Avril 2012</c:v>
                </c:pt>
                <c:pt idx="3">
                  <c:v>Avril 2013</c:v>
                </c:pt>
                <c:pt idx="4">
                  <c:v>Mars 2016</c:v>
                </c:pt>
                <c:pt idx="5">
                  <c:v>Mai 2016</c:v>
                </c:pt>
                <c:pt idx="6">
                  <c:v>Mai 2018</c:v>
                </c:pt>
              </c:strCache>
            </c:strRef>
          </c:cat>
          <c:val>
            <c:numRef>
              <c:f>'Cephalophe flanc roux'!$E$3:$E$9</c:f>
              <c:numCache>
                <c:formatCode>0.00</c:formatCode>
                <c:ptCount val="7"/>
                <c:pt idx="0" formatCode="General">
                  <c:v>0</c:v>
                </c:pt>
                <c:pt idx="1">
                  <c:v>1.6666666666666667</c:v>
                </c:pt>
                <c:pt idx="2" formatCode="General">
                  <c:v>1.4</c:v>
                </c:pt>
                <c:pt idx="3" formatCode="General">
                  <c:v>0</c:v>
                </c:pt>
                <c:pt idx="4" formatCode="General">
                  <c:v>0</c:v>
                </c:pt>
                <c:pt idx="5" formatCode="General">
                  <c:v>1</c:v>
                </c:pt>
                <c:pt idx="6" formatCode="General">
                  <c:v>1.5</c:v>
                </c:pt>
              </c:numCache>
            </c:numRef>
          </c:val>
          <c:smooth val="0"/>
          <c:extLst>
            <c:ext xmlns:c16="http://schemas.microsoft.com/office/drawing/2014/chart" uri="{C3380CC4-5D6E-409C-BE32-E72D297353CC}">
              <c16:uniqueId val="{00000003-1A4D-4241-B111-00BD417ADD0D}"/>
            </c:ext>
          </c:extLst>
        </c:ser>
        <c:dLbls>
          <c:showLegendKey val="0"/>
          <c:showVal val="0"/>
          <c:showCatName val="0"/>
          <c:showSerName val="0"/>
          <c:showPercent val="0"/>
          <c:showBubbleSize val="0"/>
        </c:dLbls>
        <c:marker val="1"/>
        <c:smooth val="0"/>
        <c:axId val="89935960"/>
        <c:axId val="89928904"/>
      </c:lineChart>
      <c:catAx>
        <c:axId val="89935960"/>
        <c:scaling>
          <c:orientation val="minMax"/>
        </c:scaling>
        <c:delete val="0"/>
        <c:axPos val="b"/>
        <c:title>
          <c:tx>
            <c:rich>
              <a:bodyPr/>
              <a:lstStyle/>
              <a:p>
                <a:pPr>
                  <a:defRPr/>
                </a:pPr>
                <a:r>
                  <a:rPr lang="en-US"/>
                  <a:t>Année</a:t>
                </a:r>
              </a:p>
            </c:rich>
          </c:tx>
          <c:overlay val="0"/>
        </c:title>
        <c:numFmt formatCode="General" sourceLinked="0"/>
        <c:majorTickMark val="out"/>
        <c:minorTickMark val="none"/>
        <c:tickLblPos val="nextTo"/>
        <c:crossAx val="89928904"/>
        <c:crosses val="autoZero"/>
        <c:auto val="1"/>
        <c:lblAlgn val="ctr"/>
        <c:lblOffset val="100"/>
        <c:noMultiLvlLbl val="0"/>
      </c:catAx>
      <c:valAx>
        <c:axId val="89928904"/>
        <c:scaling>
          <c:orientation val="minMax"/>
        </c:scaling>
        <c:delete val="0"/>
        <c:axPos val="l"/>
        <c:majorGridlines>
          <c:spPr>
            <a:ln>
              <a:noFill/>
            </a:ln>
          </c:spPr>
        </c:majorGridlines>
        <c:title>
          <c:tx>
            <c:rich>
              <a:bodyPr rot="-5400000" vert="horz"/>
              <a:lstStyle/>
              <a:p>
                <a:pPr>
                  <a:defRPr/>
                </a:pPr>
                <a:r>
                  <a:rPr lang="en-US"/>
                  <a:t>Nombre</a:t>
                </a:r>
              </a:p>
            </c:rich>
          </c:tx>
          <c:overlay val="0"/>
        </c:title>
        <c:numFmt formatCode="0" sourceLinked="1"/>
        <c:majorTickMark val="out"/>
        <c:minorTickMark val="none"/>
        <c:tickLblPos val="nextTo"/>
        <c:crossAx val="89935960"/>
        <c:crosses val="autoZero"/>
        <c:crossBetween val="between"/>
      </c:valAx>
    </c:plotArea>
    <c:legend>
      <c:legendPos val="t"/>
      <c:layout>
        <c:manualLayout>
          <c:xMode val="edge"/>
          <c:yMode val="edge"/>
          <c:x val="0.33217688951301472"/>
          <c:y val="4.5167118337850042E-3"/>
          <c:w val="0.66579275122456827"/>
          <c:h val="0.15469844724693965"/>
        </c:manualLayout>
      </c:layout>
      <c:overlay val="0"/>
      <c:txPr>
        <a:bodyPr/>
        <a:lstStyle/>
        <a:p>
          <a:pPr>
            <a:defRPr sz="800" b="1"/>
          </a:pPr>
          <a:endParaRPr lang="fr-BF"/>
        </a:p>
      </c:txPr>
    </c:legend>
    <c:plotVisOnly val="1"/>
    <c:dispBlanksAs val="gap"/>
    <c:showDLblsOverMax val="0"/>
  </c:chart>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US" sz="1200"/>
              <a:t>Cephalophe de Grimm</a:t>
            </a:r>
          </a:p>
        </c:rich>
      </c:tx>
      <c:layout>
        <c:manualLayout>
          <c:xMode val="edge"/>
          <c:yMode val="edge"/>
          <c:x val="1.5127388535031848E-3"/>
          <c:y val="0"/>
        </c:manualLayout>
      </c:layout>
      <c:overlay val="1"/>
      <c:spPr>
        <a:ln>
          <a:solidFill>
            <a:sysClr val="windowText" lastClr="000000"/>
          </a:solidFill>
        </a:ln>
      </c:spPr>
    </c:title>
    <c:autoTitleDeleted val="0"/>
    <c:plotArea>
      <c:layout/>
      <c:lineChart>
        <c:grouping val="standard"/>
        <c:varyColors val="0"/>
        <c:ser>
          <c:idx val="0"/>
          <c:order val="0"/>
          <c:tx>
            <c:strRef>
              <c:f>'Cephalophe de Grimm'!$B$2</c:f>
              <c:strCache>
                <c:ptCount val="1"/>
                <c:pt idx="0">
                  <c:v>Nombre de contact</c:v>
                </c:pt>
              </c:strCache>
            </c:strRef>
          </c:tx>
          <c:cat>
            <c:strRef>
              <c:f>'Cephalophe de Grimm'!$A$3:$A$9</c:f>
              <c:strCache>
                <c:ptCount val="7"/>
                <c:pt idx="0">
                  <c:v>Mai 2010</c:v>
                </c:pt>
                <c:pt idx="1">
                  <c:v>Juin 2011</c:v>
                </c:pt>
                <c:pt idx="2">
                  <c:v>Avril 2012</c:v>
                </c:pt>
                <c:pt idx="3">
                  <c:v>Avril 2013</c:v>
                </c:pt>
                <c:pt idx="4">
                  <c:v>Mars 2016</c:v>
                </c:pt>
                <c:pt idx="5">
                  <c:v>Mai 2016</c:v>
                </c:pt>
                <c:pt idx="6">
                  <c:v>Mai 2018</c:v>
                </c:pt>
              </c:strCache>
            </c:strRef>
          </c:cat>
          <c:val>
            <c:numRef>
              <c:f>'Cephalophe de Grimm'!$B$3:$B$9</c:f>
              <c:numCache>
                <c:formatCode>0</c:formatCode>
                <c:ptCount val="7"/>
                <c:pt idx="0">
                  <c:v>7</c:v>
                </c:pt>
                <c:pt idx="1">
                  <c:v>4</c:v>
                </c:pt>
                <c:pt idx="2">
                  <c:v>1</c:v>
                </c:pt>
                <c:pt idx="3">
                  <c:v>3</c:v>
                </c:pt>
                <c:pt idx="4">
                  <c:v>4</c:v>
                </c:pt>
                <c:pt idx="5">
                  <c:v>3</c:v>
                </c:pt>
                <c:pt idx="6">
                  <c:v>2</c:v>
                </c:pt>
              </c:numCache>
            </c:numRef>
          </c:val>
          <c:smooth val="0"/>
          <c:extLst>
            <c:ext xmlns:c16="http://schemas.microsoft.com/office/drawing/2014/chart" uri="{C3380CC4-5D6E-409C-BE32-E72D297353CC}">
              <c16:uniqueId val="{00000000-B8A6-4510-AA4F-1470FCF7ADD4}"/>
            </c:ext>
          </c:extLst>
        </c:ser>
        <c:ser>
          <c:idx val="1"/>
          <c:order val="1"/>
          <c:tx>
            <c:strRef>
              <c:f>'Cephalophe de Grimm'!$C$2</c:f>
              <c:strCache>
                <c:ptCount val="1"/>
                <c:pt idx="0">
                  <c:v>Plus grand groupe observé</c:v>
                </c:pt>
              </c:strCache>
            </c:strRef>
          </c:tx>
          <c:cat>
            <c:strRef>
              <c:f>'Cephalophe de Grimm'!$A$3:$A$9</c:f>
              <c:strCache>
                <c:ptCount val="7"/>
                <c:pt idx="0">
                  <c:v>Mai 2010</c:v>
                </c:pt>
                <c:pt idx="1">
                  <c:v>Juin 2011</c:v>
                </c:pt>
                <c:pt idx="2">
                  <c:v>Avril 2012</c:v>
                </c:pt>
                <c:pt idx="3">
                  <c:v>Avril 2013</c:v>
                </c:pt>
                <c:pt idx="4">
                  <c:v>Mars 2016</c:v>
                </c:pt>
                <c:pt idx="5">
                  <c:v>Mai 2016</c:v>
                </c:pt>
                <c:pt idx="6">
                  <c:v>Mai 2018</c:v>
                </c:pt>
              </c:strCache>
            </c:strRef>
          </c:cat>
          <c:val>
            <c:numRef>
              <c:f>'Cephalophe de Grimm'!$C$3:$C$9</c:f>
              <c:numCache>
                <c:formatCode>General</c:formatCode>
                <c:ptCount val="7"/>
                <c:pt idx="0">
                  <c:v>2</c:v>
                </c:pt>
                <c:pt idx="1">
                  <c:v>1</c:v>
                </c:pt>
                <c:pt idx="2">
                  <c:v>1</c:v>
                </c:pt>
                <c:pt idx="3">
                  <c:v>1</c:v>
                </c:pt>
                <c:pt idx="4" formatCode="0">
                  <c:v>1</c:v>
                </c:pt>
                <c:pt idx="5" formatCode="0">
                  <c:v>1</c:v>
                </c:pt>
                <c:pt idx="6">
                  <c:v>1</c:v>
                </c:pt>
              </c:numCache>
            </c:numRef>
          </c:val>
          <c:smooth val="0"/>
          <c:extLst>
            <c:ext xmlns:c16="http://schemas.microsoft.com/office/drawing/2014/chart" uri="{C3380CC4-5D6E-409C-BE32-E72D297353CC}">
              <c16:uniqueId val="{00000001-B8A6-4510-AA4F-1470FCF7ADD4}"/>
            </c:ext>
          </c:extLst>
        </c:ser>
        <c:ser>
          <c:idx val="2"/>
          <c:order val="2"/>
          <c:tx>
            <c:strRef>
              <c:f>'Cephalophe de Grimm'!$D$2</c:f>
              <c:strCache>
                <c:ptCount val="1"/>
                <c:pt idx="0">
                  <c:v>Nombre d'individus</c:v>
                </c:pt>
              </c:strCache>
            </c:strRef>
          </c:tx>
          <c:spPr>
            <a:ln>
              <a:solidFill>
                <a:srgbClr val="00B050"/>
              </a:solidFill>
            </a:ln>
          </c:spPr>
          <c:marker>
            <c:spPr>
              <a:solidFill>
                <a:srgbClr val="00B050"/>
              </a:solidFill>
              <a:ln>
                <a:solidFill>
                  <a:srgbClr val="00B050"/>
                </a:solidFill>
              </a:ln>
            </c:spPr>
          </c:marker>
          <c:cat>
            <c:strRef>
              <c:f>'Cephalophe de Grimm'!$A$3:$A$9</c:f>
              <c:strCache>
                <c:ptCount val="7"/>
                <c:pt idx="0">
                  <c:v>Mai 2010</c:v>
                </c:pt>
                <c:pt idx="1">
                  <c:v>Juin 2011</c:v>
                </c:pt>
                <c:pt idx="2">
                  <c:v>Avril 2012</c:v>
                </c:pt>
                <c:pt idx="3">
                  <c:v>Avril 2013</c:v>
                </c:pt>
                <c:pt idx="4">
                  <c:v>Mars 2016</c:v>
                </c:pt>
                <c:pt idx="5">
                  <c:v>Mai 2016</c:v>
                </c:pt>
                <c:pt idx="6">
                  <c:v>Mai 2018</c:v>
                </c:pt>
              </c:strCache>
            </c:strRef>
          </c:cat>
          <c:val>
            <c:numRef>
              <c:f>'Cephalophe de Grimm'!$D$3:$D$9</c:f>
              <c:numCache>
                <c:formatCode>0</c:formatCode>
                <c:ptCount val="7"/>
                <c:pt idx="0">
                  <c:v>9</c:v>
                </c:pt>
                <c:pt idx="1">
                  <c:v>4</c:v>
                </c:pt>
                <c:pt idx="2">
                  <c:v>1</c:v>
                </c:pt>
                <c:pt idx="3">
                  <c:v>3</c:v>
                </c:pt>
                <c:pt idx="4">
                  <c:v>4</c:v>
                </c:pt>
                <c:pt idx="5">
                  <c:v>3</c:v>
                </c:pt>
                <c:pt idx="6">
                  <c:v>2</c:v>
                </c:pt>
              </c:numCache>
            </c:numRef>
          </c:val>
          <c:smooth val="0"/>
          <c:extLst>
            <c:ext xmlns:c16="http://schemas.microsoft.com/office/drawing/2014/chart" uri="{C3380CC4-5D6E-409C-BE32-E72D297353CC}">
              <c16:uniqueId val="{00000002-B8A6-4510-AA4F-1470FCF7ADD4}"/>
            </c:ext>
          </c:extLst>
        </c:ser>
        <c:ser>
          <c:idx val="3"/>
          <c:order val="3"/>
          <c:tx>
            <c:strRef>
              <c:f>'Cephalophe de Grimm'!$E$2</c:f>
              <c:strCache>
                <c:ptCount val="1"/>
                <c:pt idx="0">
                  <c:v>Taille moyenne de groupe</c:v>
                </c:pt>
              </c:strCache>
            </c:strRef>
          </c:tx>
          <c:spPr>
            <a:ln>
              <a:solidFill>
                <a:schemeClr val="accent6"/>
              </a:solidFill>
            </a:ln>
          </c:spPr>
          <c:marker>
            <c:symbol val="circle"/>
            <c:size val="7"/>
            <c:spPr>
              <a:solidFill>
                <a:schemeClr val="accent6"/>
              </a:solidFill>
              <a:ln>
                <a:solidFill>
                  <a:schemeClr val="accent6"/>
                </a:solidFill>
              </a:ln>
            </c:spPr>
          </c:marker>
          <c:cat>
            <c:strRef>
              <c:f>'Cephalophe de Grimm'!$A$3:$A$9</c:f>
              <c:strCache>
                <c:ptCount val="7"/>
                <c:pt idx="0">
                  <c:v>Mai 2010</c:v>
                </c:pt>
                <c:pt idx="1">
                  <c:v>Juin 2011</c:v>
                </c:pt>
                <c:pt idx="2">
                  <c:v>Avril 2012</c:v>
                </c:pt>
                <c:pt idx="3">
                  <c:v>Avril 2013</c:v>
                </c:pt>
                <c:pt idx="4">
                  <c:v>Mars 2016</c:v>
                </c:pt>
                <c:pt idx="5">
                  <c:v>Mai 2016</c:v>
                </c:pt>
                <c:pt idx="6">
                  <c:v>Mai 2018</c:v>
                </c:pt>
              </c:strCache>
            </c:strRef>
          </c:cat>
          <c:val>
            <c:numRef>
              <c:f>'Cephalophe de Grimm'!$E$3:$E$9</c:f>
              <c:numCache>
                <c:formatCode>General</c:formatCode>
                <c:ptCount val="7"/>
                <c:pt idx="0">
                  <c:v>1.2857142857142858</c:v>
                </c:pt>
                <c:pt idx="1">
                  <c:v>1</c:v>
                </c:pt>
                <c:pt idx="2">
                  <c:v>1</c:v>
                </c:pt>
                <c:pt idx="3">
                  <c:v>1</c:v>
                </c:pt>
                <c:pt idx="4">
                  <c:v>1</c:v>
                </c:pt>
                <c:pt idx="5">
                  <c:v>1</c:v>
                </c:pt>
                <c:pt idx="6">
                  <c:v>1</c:v>
                </c:pt>
              </c:numCache>
            </c:numRef>
          </c:val>
          <c:smooth val="0"/>
          <c:extLst>
            <c:ext xmlns:c16="http://schemas.microsoft.com/office/drawing/2014/chart" uri="{C3380CC4-5D6E-409C-BE32-E72D297353CC}">
              <c16:uniqueId val="{00000003-B8A6-4510-AA4F-1470FCF7ADD4}"/>
            </c:ext>
          </c:extLst>
        </c:ser>
        <c:dLbls>
          <c:showLegendKey val="0"/>
          <c:showVal val="0"/>
          <c:showCatName val="0"/>
          <c:showSerName val="0"/>
          <c:showPercent val="0"/>
          <c:showBubbleSize val="0"/>
        </c:dLbls>
        <c:marker val="1"/>
        <c:smooth val="0"/>
        <c:axId val="89930864"/>
        <c:axId val="89936352"/>
      </c:lineChart>
      <c:catAx>
        <c:axId val="89930864"/>
        <c:scaling>
          <c:orientation val="minMax"/>
        </c:scaling>
        <c:delete val="0"/>
        <c:axPos val="b"/>
        <c:title>
          <c:tx>
            <c:rich>
              <a:bodyPr/>
              <a:lstStyle/>
              <a:p>
                <a:pPr>
                  <a:defRPr/>
                </a:pPr>
                <a:r>
                  <a:rPr lang="en-US"/>
                  <a:t>Année</a:t>
                </a:r>
              </a:p>
            </c:rich>
          </c:tx>
          <c:overlay val="0"/>
        </c:title>
        <c:numFmt formatCode="General" sourceLinked="0"/>
        <c:majorTickMark val="out"/>
        <c:minorTickMark val="none"/>
        <c:tickLblPos val="nextTo"/>
        <c:crossAx val="89936352"/>
        <c:crosses val="autoZero"/>
        <c:auto val="1"/>
        <c:lblAlgn val="ctr"/>
        <c:lblOffset val="100"/>
        <c:noMultiLvlLbl val="0"/>
      </c:catAx>
      <c:valAx>
        <c:axId val="89936352"/>
        <c:scaling>
          <c:orientation val="minMax"/>
        </c:scaling>
        <c:delete val="0"/>
        <c:axPos val="l"/>
        <c:majorGridlines>
          <c:spPr>
            <a:ln>
              <a:noFill/>
            </a:ln>
          </c:spPr>
        </c:majorGridlines>
        <c:title>
          <c:tx>
            <c:rich>
              <a:bodyPr rot="-5400000" vert="horz"/>
              <a:lstStyle/>
              <a:p>
                <a:pPr>
                  <a:defRPr/>
                </a:pPr>
                <a:r>
                  <a:rPr lang="en-US"/>
                  <a:t>Nombre</a:t>
                </a:r>
              </a:p>
            </c:rich>
          </c:tx>
          <c:overlay val="0"/>
        </c:title>
        <c:numFmt formatCode="0" sourceLinked="1"/>
        <c:majorTickMark val="out"/>
        <c:minorTickMark val="none"/>
        <c:tickLblPos val="nextTo"/>
        <c:crossAx val="89930864"/>
        <c:crosses val="autoZero"/>
        <c:crossBetween val="between"/>
      </c:valAx>
    </c:plotArea>
    <c:legend>
      <c:legendPos val="t"/>
      <c:layout>
        <c:manualLayout>
          <c:xMode val="edge"/>
          <c:yMode val="edge"/>
          <c:x val="0.33217688951301472"/>
          <c:y val="4.5167118337850042E-3"/>
          <c:w val="0.66579275122456827"/>
          <c:h val="0.15469844724693965"/>
        </c:manualLayout>
      </c:layout>
      <c:overlay val="0"/>
      <c:txPr>
        <a:bodyPr/>
        <a:lstStyle/>
        <a:p>
          <a:pPr>
            <a:defRPr sz="800" b="1"/>
          </a:pPr>
          <a:endParaRPr lang="fr-BF"/>
        </a:p>
      </c:txPr>
    </c:legend>
    <c:plotVisOnly val="1"/>
    <c:dispBlanksAs val="gap"/>
    <c:showDLblsOverMax val="0"/>
  </c:chart>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Chacal</a:t>
            </a:r>
          </a:p>
        </c:rich>
      </c:tx>
      <c:layout>
        <c:manualLayout>
          <c:xMode val="edge"/>
          <c:yMode val="edge"/>
          <c:x val="0.18463375796178341"/>
          <c:y val="0"/>
        </c:manualLayout>
      </c:layout>
      <c:overlay val="1"/>
      <c:spPr>
        <a:ln>
          <a:solidFill>
            <a:sysClr val="windowText" lastClr="000000"/>
          </a:solidFill>
        </a:ln>
      </c:spPr>
    </c:title>
    <c:autoTitleDeleted val="0"/>
    <c:plotArea>
      <c:layout/>
      <c:lineChart>
        <c:grouping val="standard"/>
        <c:varyColors val="0"/>
        <c:ser>
          <c:idx val="0"/>
          <c:order val="0"/>
          <c:tx>
            <c:strRef>
              <c:f>Chacal!$B$2</c:f>
              <c:strCache>
                <c:ptCount val="1"/>
                <c:pt idx="0">
                  <c:v>Nombre de contact</c:v>
                </c:pt>
              </c:strCache>
            </c:strRef>
          </c:tx>
          <c:cat>
            <c:strRef>
              <c:f>Chacal!$A$3:$A$9</c:f>
              <c:strCache>
                <c:ptCount val="7"/>
                <c:pt idx="0">
                  <c:v>Mai 2010</c:v>
                </c:pt>
                <c:pt idx="1">
                  <c:v>Juin 2011</c:v>
                </c:pt>
                <c:pt idx="2">
                  <c:v>Avril 2012</c:v>
                </c:pt>
                <c:pt idx="3">
                  <c:v>Avril 2013</c:v>
                </c:pt>
                <c:pt idx="4">
                  <c:v>Mars 2016</c:v>
                </c:pt>
                <c:pt idx="5">
                  <c:v>Mai 2016</c:v>
                </c:pt>
                <c:pt idx="6">
                  <c:v>Mai 2018</c:v>
                </c:pt>
              </c:strCache>
            </c:strRef>
          </c:cat>
          <c:val>
            <c:numRef>
              <c:f>Chacal!$B$3:$B$9</c:f>
              <c:numCache>
                <c:formatCode>0</c:formatCode>
                <c:ptCount val="7"/>
                <c:pt idx="0">
                  <c:v>2</c:v>
                </c:pt>
                <c:pt idx="1">
                  <c:v>2</c:v>
                </c:pt>
                <c:pt idx="2">
                  <c:v>1</c:v>
                </c:pt>
                <c:pt idx="3">
                  <c:v>1</c:v>
                </c:pt>
                <c:pt idx="4">
                  <c:v>0</c:v>
                </c:pt>
                <c:pt idx="5">
                  <c:v>5</c:v>
                </c:pt>
                <c:pt idx="6">
                  <c:v>3</c:v>
                </c:pt>
              </c:numCache>
            </c:numRef>
          </c:val>
          <c:smooth val="0"/>
          <c:extLst>
            <c:ext xmlns:c16="http://schemas.microsoft.com/office/drawing/2014/chart" uri="{C3380CC4-5D6E-409C-BE32-E72D297353CC}">
              <c16:uniqueId val="{00000000-4589-4B1A-A9D2-117E200560C2}"/>
            </c:ext>
          </c:extLst>
        </c:ser>
        <c:ser>
          <c:idx val="1"/>
          <c:order val="1"/>
          <c:tx>
            <c:strRef>
              <c:f>Chacal!$C$2</c:f>
              <c:strCache>
                <c:ptCount val="1"/>
                <c:pt idx="0">
                  <c:v>Plus grand groupe observé</c:v>
                </c:pt>
              </c:strCache>
            </c:strRef>
          </c:tx>
          <c:cat>
            <c:strRef>
              <c:f>Chacal!$A$3:$A$9</c:f>
              <c:strCache>
                <c:ptCount val="7"/>
                <c:pt idx="0">
                  <c:v>Mai 2010</c:v>
                </c:pt>
                <c:pt idx="1">
                  <c:v>Juin 2011</c:v>
                </c:pt>
                <c:pt idx="2">
                  <c:v>Avril 2012</c:v>
                </c:pt>
                <c:pt idx="3">
                  <c:v>Avril 2013</c:v>
                </c:pt>
                <c:pt idx="4">
                  <c:v>Mars 2016</c:v>
                </c:pt>
                <c:pt idx="5">
                  <c:v>Mai 2016</c:v>
                </c:pt>
                <c:pt idx="6">
                  <c:v>Mai 2018</c:v>
                </c:pt>
              </c:strCache>
            </c:strRef>
          </c:cat>
          <c:val>
            <c:numRef>
              <c:f>Chacal!$C$3:$C$9</c:f>
              <c:numCache>
                <c:formatCode>General</c:formatCode>
                <c:ptCount val="7"/>
                <c:pt idx="0">
                  <c:v>1</c:v>
                </c:pt>
                <c:pt idx="1">
                  <c:v>1</c:v>
                </c:pt>
                <c:pt idx="2">
                  <c:v>1</c:v>
                </c:pt>
                <c:pt idx="3">
                  <c:v>1</c:v>
                </c:pt>
                <c:pt idx="4" formatCode="0">
                  <c:v>0</c:v>
                </c:pt>
                <c:pt idx="5" formatCode="0">
                  <c:v>4</c:v>
                </c:pt>
                <c:pt idx="6">
                  <c:v>5</c:v>
                </c:pt>
              </c:numCache>
            </c:numRef>
          </c:val>
          <c:smooth val="0"/>
          <c:extLst>
            <c:ext xmlns:c16="http://schemas.microsoft.com/office/drawing/2014/chart" uri="{C3380CC4-5D6E-409C-BE32-E72D297353CC}">
              <c16:uniqueId val="{00000001-4589-4B1A-A9D2-117E200560C2}"/>
            </c:ext>
          </c:extLst>
        </c:ser>
        <c:ser>
          <c:idx val="2"/>
          <c:order val="2"/>
          <c:tx>
            <c:strRef>
              <c:f>Chacal!$D$2</c:f>
              <c:strCache>
                <c:ptCount val="1"/>
                <c:pt idx="0">
                  <c:v>Nombre d'individus</c:v>
                </c:pt>
              </c:strCache>
            </c:strRef>
          </c:tx>
          <c:spPr>
            <a:ln>
              <a:solidFill>
                <a:srgbClr val="00B050"/>
              </a:solidFill>
            </a:ln>
          </c:spPr>
          <c:marker>
            <c:spPr>
              <a:solidFill>
                <a:srgbClr val="00B050"/>
              </a:solidFill>
              <a:ln>
                <a:solidFill>
                  <a:srgbClr val="00B050"/>
                </a:solidFill>
              </a:ln>
            </c:spPr>
          </c:marker>
          <c:cat>
            <c:strRef>
              <c:f>Chacal!$A$3:$A$9</c:f>
              <c:strCache>
                <c:ptCount val="7"/>
                <c:pt idx="0">
                  <c:v>Mai 2010</c:v>
                </c:pt>
                <c:pt idx="1">
                  <c:v>Juin 2011</c:v>
                </c:pt>
                <c:pt idx="2">
                  <c:v>Avril 2012</c:v>
                </c:pt>
                <c:pt idx="3">
                  <c:v>Avril 2013</c:v>
                </c:pt>
                <c:pt idx="4">
                  <c:v>Mars 2016</c:v>
                </c:pt>
                <c:pt idx="5">
                  <c:v>Mai 2016</c:v>
                </c:pt>
                <c:pt idx="6">
                  <c:v>Mai 2018</c:v>
                </c:pt>
              </c:strCache>
            </c:strRef>
          </c:cat>
          <c:val>
            <c:numRef>
              <c:f>Chacal!$D$3:$D$9</c:f>
              <c:numCache>
                <c:formatCode>0</c:formatCode>
                <c:ptCount val="7"/>
                <c:pt idx="0">
                  <c:v>2</c:v>
                </c:pt>
                <c:pt idx="1">
                  <c:v>2</c:v>
                </c:pt>
                <c:pt idx="2">
                  <c:v>1</c:v>
                </c:pt>
                <c:pt idx="3">
                  <c:v>1</c:v>
                </c:pt>
                <c:pt idx="4">
                  <c:v>0</c:v>
                </c:pt>
                <c:pt idx="5">
                  <c:v>9</c:v>
                </c:pt>
                <c:pt idx="6">
                  <c:v>10</c:v>
                </c:pt>
              </c:numCache>
            </c:numRef>
          </c:val>
          <c:smooth val="0"/>
          <c:extLst>
            <c:ext xmlns:c16="http://schemas.microsoft.com/office/drawing/2014/chart" uri="{C3380CC4-5D6E-409C-BE32-E72D297353CC}">
              <c16:uniqueId val="{00000002-4589-4B1A-A9D2-117E200560C2}"/>
            </c:ext>
          </c:extLst>
        </c:ser>
        <c:ser>
          <c:idx val="3"/>
          <c:order val="3"/>
          <c:tx>
            <c:strRef>
              <c:f>Chacal!$E$2</c:f>
              <c:strCache>
                <c:ptCount val="1"/>
                <c:pt idx="0">
                  <c:v>Taille moyenne de groupe</c:v>
                </c:pt>
              </c:strCache>
            </c:strRef>
          </c:tx>
          <c:spPr>
            <a:ln>
              <a:solidFill>
                <a:schemeClr val="accent6"/>
              </a:solidFill>
            </a:ln>
          </c:spPr>
          <c:marker>
            <c:symbol val="circle"/>
            <c:size val="7"/>
            <c:spPr>
              <a:solidFill>
                <a:schemeClr val="accent6"/>
              </a:solidFill>
              <a:ln>
                <a:solidFill>
                  <a:schemeClr val="accent6"/>
                </a:solidFill>
              </a:ln>
            </c:spPr>
          </c:marker>
          <c:cat>
            <c:strRef>
              <c:f>Chacal!$A$3:$A$9</c:f>
              <c:strCache>
                <c:ptCount val="7"/>
                <c:pt idx="0">
                  <c:v>Mai 2010</c:v>
                </c:pt>
                <c:pt idx="1">
                  <c:v>Juin 2011</c:v>
                </c:pt>
                <c:pt idx="2">
                  <c:v>Avril 2012</c:v>
                </c:pt>
                <c:pt idx="3">
                  <c:v>Avril 2013</c:v>
                </c:pt>
                <c:pt idx="4">
                  <c:v>Mars 2016</c:v>
                </c:pt>
                <c:pt idx="5">
                  <c:v>Mai 2016</c:v>
                </c:pt>
                <c:pt idx="6">
                  <c:v>Mai 2018</c:v>
                </c:pt>
              </c:strCache>
            </c:strRef>
          </c:cat>
          <c:val>
            <c:numRef>
              <c:f>Chacal!$E$3:$E$9</c:f>
              <c:numCache>
                <c:formatCode>General</c:formatCode>
                <c:ptCount val="7"/>
                <c:pt idx="0">
                  <c:v>1</c:v>
                </c:pt>
                <c:pt idx="1">
                  <c:v>1</c:v>
                </c:pt>
                <c:pt idx="2">
                  <c:v>1</c:v>
                </c:pt>
                <c:pt idx="3">
                  <c:v>0</c:v>
                </c:pt>
                <c:pt idx="4">
                  <c:v>1</c:v>
                </c:pt>
                <c:pt idx="5">
                  <c:v>1.8</c:v>
                </c:pt>
                <c:pt idx="6">
                  <c:v>3.3333333333333335</c:v>
                </c:pt>
              </c:numCache>
            </c:numRef>
          </c:val>
          <c:smooth val="0"/>
          <c:extLst>
            <c:ext xmlns:c16="http://schemas.microsoft.com/office/drawing/2014/chart" uri="{C3380CC4-5D6E-409C-BE32-E72D297353CC}">
              <c16:uniqueId val="{00000003-4589-4B1A-A9D2-117E200560C2}"/>
            </c:ext>
          </c:extLst>
        </c:ser>
        <c:dLbls>
          <c:showLegendKey val="0"/>
          <c:showVal val="0"/>
          <c:showCatName val="0"/>
          <c:showSerName val="0"/>
          <c:showPercent val="0"/>
          <c:showBubbleSize val="0"/>
        </c:dLbls>
        <c:marker val="1"/>
        <c:smooth val="0"/>
        <c:axId val="89933216"/>
        <c:axId val="89936744"/>
      </c:lineChart>
      <c:catAx>
        <c:axId val="89933216"/>
        <c:scaling>
          <c:orientation val="minMax"/>
        </c:scaling>
        <c:delete val="0"/>
        <c:axPos val="b"/>
        <c:title>
          <c:tx>
            <c:rich>
              <a:bodyPr/>
              <a:lstStyle/>
              <a:p>
                <a:pPr>
                  <a:defRPr/>
                </a:pPr>
                <a:r>
                  <a:rPr lang="en-US"/>
                  <a:t>Année</a:t>
                </a:r>
              </a:p>
            </c:rich>
          </c:tx>
          <c:overlay val="0"/>
        </c:title>
        <c:numFmt formatCode="General" sourceLinked="0"/>
        <c:majorTickMark val="out"/>
        <c:minorTickMark val="none"/>
        <c:tickLblPos val="nextTo"/>
        <c:crossAx val="89936744"/>
        <c:crosses val="autoZero"/>
        <c:auto val="1"/>
        <c:lblAlgn val="ctr"/>
        <c:lblOffset val="100"/>
        <c:noMultiLvlLbl val="0"/>
      </c:catAx>
      <c:valAx>
        <c:axId val="89936744"/>
        <c:scaling>
          <c:orientation val="minMax"/>
        </c:scaling>
        <c:delete val="0"/>
        <c:axPos val="l"/>
        <c:majorGridlines>
          <c:spPr>
            <a:ln>
              <a:noFill/>
            </a:ln>
          </c:spPr>
        </c:majorGridlines>
        <c:title>
          <c:tx>
            <c:rich>
              <a:bodyPr rot="-5400000" vert="horz"/>
              <a:lstStyle/>
              <a:p>
                <a:pPr>
                  <a:defRPr/>
                </a:pPr>
                <a:r>
                  <a:rPr lang="en-US"/>
                  <a:t>Nombre</a:t>
                </a:r>
              </a:p>
            </c:rich>
          </c:tx>
          <c:overlay val="0"/>
        </c:title>
        <c:numFmt formatCode="0" sourceLinked="1"/>
        <c:majorTickMark val="out"/>
        <c:minorTickMark val="none"/>
        <c:tickLblPos val="nextTo"/>
        <c:crossAx val="89933216"/>
        <c:crosses val="autoZero"/>
        <c:crossBetween val="between"/>
      </c:valAx>
    </c:plotArea>
    <c:legend>
      <c:legendPos val="t"/>
      <c:layout>
        <c:manualLayout>
          <c:xMode val="edge"/>
          <c:yMode val="edge"/>
          <c:x val="0.33217688951301472"/>
          <c:y val="4.5167118337850042E-3"/>
          <c:w val="0.66579275122456827"/>
          <c:h val="0.15469844724693965"/>
        </c:manualLayout>
      </c:layout>
      <c:overlay val="0"/>
      <c:txPr>
        <a:bodyPr/>
        <a:lstStyle/>
        <a:p>
          <a:pPr>
            <a:defRPr sz="800" b="1"/>
          </a:pPr>
          <a:endParaRPr lang="fr-BF"/>
        </a:p>
      </c:txPr>
    </c:legend>
    <c:plotVisOnly val="1"/>
    <c:dispBlanksAs val="gap"/>
    <c:showDLblsOverMax val="0"/>
  </c:chart>
  <c:spPr>
    <a:ln>
      <a:solidFill>
        <a:schemeClr val="accent1"/>
      </a:solid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'3_Réalisation 2016_2023'!$C$139:$H$139</c:f>
              <c:strCache>
                <c:ptCount val="6"/>
                <c:pt idx="0">
                  <c:v>Nombre de village à Taux zéro</c:v>
                </c:pt>
              </c:strCache>
            </c:strRef>
          </c:tx>
          <c:spPr>
            <a:ln w="25400" cap="rnd">
              <a:noFill/>
              <a:round/>
            </a:ln>
            <a:effectLst/>
          </c:spPr>
          <c:marker>
            <c:symbol val="diamond"/>
            <c:size val="7"/>
            <c:spPr>
              <a:solidFill>
                <a:srgbClr val="FF0000"/>
              </a:solidFill>
              <a:ln w="9525">
                <a:solidFill>
                  <a:srgbClr val="C00000"/>
                </a:solidFill>
              </a:ln>
              <a:effectLst/>
            </c:spPr>
          </c:marker>
          <c:dLbls>
            <c:numFmt formatCode="#,##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fr-BF"/>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'3_Réalisation 2016_2023'!$D$141:$K$141</c:f>
              <c:numCache>
                <c:formatCode>General</c:formatCode>
                <c:ptCount val="8"/>
                <c:pt idx="0">
                  <c:v>2016</c:v>
                </c:pt>
                <c:pt idx="1">
                  <c:v>2017</c:v>
                </c:pt>
                <c:pt idx="2">
                  <c:v>2018</c:v>
                </c:pt>
                <c:pt idx="3">
                  <c:v>2019</c:v>
                </c:pt>
                <c:pt idx="4">
                  <c:v>2020</c:v>
                </c:pt>
                <c:pt idx="5">
                  <c:v>2021</c:v>
                </c:pt>
                <c:pt idx="6">
                  <c:v>2022</c:v>
                </c:pt>
                <c:pt idx="7">
                  <c:v>2023</c:v>
                </c:pt>
              </c:numCache>
            </c:numRef>
          </c:xVal>
          <c:yVal>
            <c:numRef>
              <c:f>'3_Réalisation 2016_2023'!$D$155:$K$155</c:f>
              <c:numCache>
                <c:formatCode>_-* #\ ##0\ _€_-;\-* #\ ##0\ _€_-;_-* "-"??\ _€_-;_-@_-</c:formatCode>
                <c:ptCount val="8"/>
                <c:pt idx="0">
                  <c:v>275</c:v>
                </c:pt>
                <c:pt idx="1">
                  <c:v>196</c:v>
                </c:pt>
                <c:pt idx="2">
                  <c:v>89</c:v>
                </c:pt>
                <c:pt idx="3">
                  <c:v>69</c:v>
                </c:pt>
                <c:pt idx="4">
                  <c:v>55</c:v>
                </c:pt>
                <c:pt idx="5">
                  <c:v>61</c:v>
                </c:pt>
                <c:pt idx="6">
                  <c:v>62</c:v>
                </c:pt>
                <c:pt idx="7">
                  <c:v>48</c:v>
                </c:pt>
              </c:numCache>
            </c:numRef>
          </c:yVal>
          <c:smooth val="0"/>
          <c:extLst>
            <c:ext xmlns:c16="http://schemas.microsoft.com/office/drawing/2014/chart" uri="{C3380CC4-5D6E-409C-BE32-E72D297353CC}">
              <c16:uniqueId val="{00000000-E18C-49F4-9BB3-48A6DF366834}"/>
            </c:ext>
          </c:extLst>
        </c:ser>
        <c:dLbls>
          <c:dLblPos val="t"/>
          <c:showLegendKey val="0"/>
          <c:showVal val="1"/>
          <c:showCatName val="0"/>
          <c:showSerName val="0"/>
          <c:showPercent val="0"/>
          <c:showBubbleSize val="0"/>
        </c:dLbls>
        <c:axId val="675289064"/>
        <c:axId val="675294104"/>
      </c:scatterChart>
      <c:valAx>
        <c:axId val="675289064"/>
        <c:scaling>
          <c:orientation val="minMax"/>
          <c:max val="2023"/>
          <c:min val="2016"/>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BF"/>
          </a:p>
        </c:txPr>
        <c:crossAx val="675294104"/>
        <c:crosses val="autoZero"/>
        <c:crossBetween val="midCat"/>
      </c:valAx>
      <c:valAx>
        <c:axId val="675294104"/>
        <c:scaling>
          <c:orientation val="minMax"/>
        </c:scaling>
        <c:delete val="0"/>
        <c:axPos val="l"/>
        <c:majorGridlines>
          <c:spPr>
            <a:ln w="9525" cap="flat" cmpd="sng" algn="ctr">
              <a:solidFill>
                <a:schemeClr val="tx1">
                  <a:lumMod val="15000"/>
                  <a:lumOff val="85000"/>
                </a:schemeClr>
              </a:solidFill>
              <a:round/>
            </a:ln>
            <a:effectLst/>
          </c:spPr>
        </c:majorGridlines>
        <c:numFmt formatCode="_-* #\ ##0\ _€_-;\-* #\ ##0\ _€_-;_-* &quot;-&quot;??\ _€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BF"/>
          </a:p>
        </c:txPr>
        <c:crossAx val="67528906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BF"/>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fr-BF"/>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Civette</a:t>
            </a:r>
          </a:p>
        </c:rich>
      </c:tx>
      <c:layout>
        <c:manualLayout>
          <c:xMode val="edge"/>
          <c:yMode val="edge"/>
          <c:x val="0.17667197452229297"/>
          <c:y val="0"/>
        </c:manualLayout>
      </c:layout>
      <c:overlay val="1"/>
      <c:spPr>
        <a:ln>
          <a:solidFill>
            <a:sysClr val="windowText" lastClr="000000"/>
          </a:solidFill>
        </a:ln>
      </c:spPr>
    </c:title>
    <c:autoTitleDeleted val="0"/>
    <c:plotArea>
      <c:layout/>
      <c:lineChart>
        <c:grouping val="standard"/>
        <c:varyColors val="0"/>
        <c:ser>
          <c:idx val="0"/>
          <c:order val="0"/>
          <c:tx>
            <c:strRef>
              <c:f>Civette!$B$2</c:f>
              <c:strCache>
                <c:ptCount val="1"/>
                <c:pt idx="0">
                  <c:v>Nombre de contact</c:v>
                </c:pt>
              </c:strCache>
            </c:strRef>
          </c:tx>
          <c:cat>
            <c:strRef>
              <c:f>Civette!$A$3:$A$9</c:f>
              <c:strCache>
                <c:ptCount val="7"/>
                <c:pt idx="0">
                  <c:v>Mai 2010</c:v>
                </c:pt>
                <c:pt idx="1">
                  <c:v>Juin 2011</c:v>
                </c:pt>
                <c:pt idx="2">
                  <c:v>Avril 2012</c:v>
                </c:pt>
                <c:pt idx="3">
                  <c:v>Avril 2013</c:v>
                </c:pt>
                <c:pt idx="4">
                  <c:v>Mars 2016</c:v>
                </c:pt>
                <c:pt idx="5">
                  <c:v>Mai 2016</c:v>
                </c:pt>
                <c:pt idx="6">
                  <c:v>Mai 2018</c:v>
                </c:pt>
              </c:strCache>
            </c:strRef>
          </c:cat>
          <c:val>
            <c:numRef>
              <c:f>Civette!$B$3:$B$9</c:f>
              <c:numCache>
                <c:formatCode>0</c:formatCode>
                <c:ptCount val="7"/>
                <c:pt idx="0">
                  <c:v>1</c:v>
                </c:pt>
                <c:pt idx="1">
                  <c:v>2</c:v>
                </c:pt>
                <c:pt idx="2">
                  <c:v>0</c:v>
                </c:pt>
                <c:pt idx="3">
                  <c:v>0</c:v>
                </c:pt>
                <c:pt idx="4">
                  <c:v>0</c:v>
                </c:pt>
                <c:pt idx="5">
                  <c:v>1</c:v>
                </c:pt>
                <c:pt idx="6">
                  <c:v>2</c:v>
                </c:pt>
              </c:numCache>
            </c:numRef>
          </c:val>
          <c:smooth val="0"/>
          <c:extLst>
            <c:ext xmlns:c16="http://schemas.microsoft.com/office/drawing/2014/chart" uri="{C3380CC4-5D6E-409C-BE32-E72D297353CC}">
              <c16:uniqueId val="{00000000-7135-40C7-85A5-76816E5A5E83}"/>
            </c:ext>
          </c:extLst>
        </c:ser>
        <c:ser>
          <c:idx val="1"/>
          <c:order val="1"/>
          <c:tx>
            <c:strRef>
              <c:f>Civette!$C$2</c:f>
              <c:strCache>
                <c:ptCount val="1"/>
                <c:pt idx="0">
                  <c:v>Plus grand groupe observé</c:v>
                </c:pt>
              </c:strCache>
            </c:strRef>
          </c:tx>
          <c:cat>
            <c:strRef>
              <c:f>Civette!$A$3:$A$9</c:f>
              <c:strCache>
                <c:ptCount val="7"/>
                <c:pt idx="0">
                  <c:v>Mai 2010</c:v>
                </c:pt>
                <c:pt idx="1">
                  <c:v>Juin 2011</c:v>
                </c:pt>
                <c:pt idx="2">
                  <c:v>Avril 2012</c:v>
                </c:pt>
                <c:pt idx="3">
                  <c:v>Avril 2013</c:v>
                </c:pt>
                <c:pt idx="4">
                  <c:v>Mars 2016</c:v>
                </c:pt>
                <c:pt idx="5">
                  <c:v>Mai 2016</c:v>
                </c:pt>
                <c:pt idx="6">
                  <c:v>Mai 2018</c:v>
                </c:pt>
              </c:strCache>
            </c:strRef>
          </c:cat>
          <c:val>
            <c:numRef>
              <c:f>Civette!$C$3:$C$9</c:f>
              <c:numCache>
                <c:formatCode>General</c:formatCode>
                <c:ptCount val="7"/>
                <c:pt idx="0">
                  <c:v>1</c:v>
                </c:pt>
                <c:pt idx="1">
                  <c:v>6</c:v>
                </c:pt>
                <c:pt idx="2" formatCode="0">
                  <c:v>0</c:v>
                </c:pt>
                <c:pt idx="3" formatCode="0">
                  <c:v>0</c:v>
                </c:pt>
                <c:pt idx="4" formatCode="0">
                  <c:v>0</c:v>
                </c:pt>
                <c:pt idx="5" formatCode="0">
                  <c:v>1</c:v>
                </c:pt>
                <c:pt idx="6">
                  <c:v>11</c:v>
                </c:pt>
              </c:numCache>
            </c:numRef>
          </c:val>
          <c:smooth val="0"/>
          <c:extLst>
            <c:ext xmlns:c16="http://schemas.microsoft.com/office/drawing/2014/chart" uri="{C3380CC4-5D6E-409C-BE32-E72D297353CC}">
              <c16:uniqueId val="{00000001-7135-40C7-85A5-76816E5A5E83}"/>
            </c:ext>
          </c:extLst>
        </c:ser>
        <c:ser>
          <c:idx val="2"/>
          <c:order val="2"/>
          <c:tx>
            <c:strRef>
              <c:f>Civette!$D$2</c:f>
              <c:strCache>
                <c:ptCount val="1"/>
                <c:pt idx="0">
                  <c:v>Nombre d'individus</c:v>
                </c:pt>
              </c:strCache>
            </c:strRef>
          </c:tx>
          <c:spPr>
            <a:ln>
              <a:solidFill>
                <a:srgbClr val="00B050"/>
              </a:solidFill>
            </a:ln>
          </c:spPr>
          <c:marker>
            <c:spPr>
              <a:solidFill>
                <a:srgbClr val="00B050"/>
              </a:solidFill>
              <a:ln>
                <a:solidFill>
                  <a:srgbClr val="00B050"/>
                </a:solidFill>
              </a:ln>
            </c:spPr>
          </c:marker>
          <c:cat>
            <c:strRef>
              <c:f>Civette!$A$3:$A$9</c:f>
              <c:strCache>
                <c:ptCount val="7"/>
                <c:pt idx="0">
                  <c:v>Mai 2010</c:v>
                </c:pt>
                <c:pt idx="1">
                  <c:v>Juin 2011</c:v>
                </c:pt>
                <c:pt idx="2">
                  <c:v>Avril 2012</c:v>
                </c:pt>
                <c:pt idx="3">
                  <c:v>Avril 2013</c:v>
                </c:pt>
                <c:pt idx="4">
                  <c:v>Mars 2016</c:v>
                </c:pt>
                <c:pt idx="5">
                  <c:v>Mai 2016</c:v>
                </c:pt>
                <c:pt idx="6">
                  <c:v>Mai 2018</c:v>
                </c:pt>
              </c:strCache>
            </c:strRef>
          </c:cat>
          <c:val>
            <c:numRef>
              <c:f>Civette!$D$3:$D$9</c:f>
              <c:numCache>
                <c:formatCode>0</c:formatCode>
                <c:ptCount val="7"/>
                <c:pt idx="0">
                  <c:v>1</c:v>
                </c:pt>
                <c:pt idx="1">
                  <c:v>8</c:v>
                </c:pt>
                <c:pt idx="2">
                  <c:v>0</c:v>
                </c:pt>
                <c:pt idx="3">
                  <c:v>0</c:v>
                </c:pt>
                <c:pt idx="4">
                  <c:v>0</c:v>
                </c:pt>
                <c:pt idx="5">
                  <c:v>1</c:v>
                </c:pt>
                <c:pt idx="6">
                  <c:v>12</c:v>
                </c:pt>
              </c:numCache>
            </c:numRef>
          </c:val>
          <c:smooth val="0"/>
          <c:extLst>
            <c:ext xmlns:c16="http://schemas.microsoft.com/office/drawing/2014/chart" uri="{C3380CC4-5D6E-409C-BE32-E72D297353CC}">
              <c16:uniqueId val="{00000002-7135-40C7-85A5-76816E5A5E83}"/>
            </c:ext>
          </c:extLst>
        </c:ser>
        <c:ser>
          <c:idx val="3"/>
          <c:order val="3"/>
          <c:tx>
            <c:strRef>
              <c:f>Civette!$E$2</c:f>
              <c:strCache>
                <c:ptCount val="1"/>
                <c:pt idx="0">
                  <c:v>Taille moyenne de groupe</c:v>
                </c:pt>
              </c:strCache>
            </c:strRef>
          </c:tx>
          <c:spPr>
            <a:ln>
              <a:solidFill>
                <a:schemeClr val="accent6"/>
              </a:solidFill>
            </a:ln>
          </c:spPr>
          <c:marker>
            <c:symbol val="circle"/>
            <c:size val="7"/>
            <c:spPr>
              <a:solidFill>
                <a:schemeClr val="accent6"/>
              </a:solidFill>
              <a:ln>
                <a:solidFill>
                  <a:schemeClr val="accent6"/>
                </a:solidFill>
              </a:ln>
            </c:spPr>
          </c:marker>
          <c:cat>
            <c:strRef>
              <c:f>Civette!$A$3:$A$9</c:f>
              <c:strCache>
                <c:ptCount val="7"/>
                <c:pt idx="0">
                  <c:v>Mai 2010</c:v>
                </c:pt>
                <c:pt idx="1">
                  <c:v>Juin 2011</c:v>
                </c:pt>
                <c:pt idx="2">
                  <c:v>Avril 2012</c:v>
                </c:pt>
                <c:pt idx="3">
                  <c:v>Avril 2013</c:v>
                </c:pt>
                <c:pt idx="4">
                  <c:v>Mars 2016</c:v>
                </c:pt>
                <c:pt idx="5">
                  <c:v>Mai 2016</c:v>
                </c:pt>
                <c:pt idx="6">
                  <c:v>Mai 2018</c:v>
                </c:pt>
              </c:strCache>
            </c:strRef>
          </c:cat>
          <c:val>
            <c:numRef>
              <c:f>Civette!$E$3:$E$9</c:f>
              <c:numCache>
                <c:formatCode>General</c:formatCode>
                <c:ptCount val="7"/>
                <c:pt idx="0">
                  <c:v>1</c:v>
                </c:pt>
                <c:pt idx="1">
                  <c:v>4</c:v>
                </c:pt>
                <c:pt idx="2">
                  <c:v>0</c:v>
                </c:pt>
                <c:pt idx="3">
                  <c:v>0</c:v>
                </c:pt>
                <c:pt idx="4">
                  <c:v>0</c:v>
                </c:pt>
                <c:pt idx="5">
                  <c:v>1</c:v>
                </c:pt>
                <c:pt idx="6">
                  <c:v>6</c:v>
                </c:pt>
              </c:numCache>
            </c:numRef>
          </c:val>
          <c:smooth val="0"/>
          <c:extLst>
            <c:ext xmlns:c16="http://schemas.microsoft.com/office/drawing/2014/chart" uri="{C3380CC4-5D6E-409C-BE32-E72D297353CC}">
              <c16:uniqueId val="{00000003-7135-40C7-85A5-76816E5A5E83}"/>
            </c:ext>
          </c:extLst>
        </c:ser>
        <c:dLbls>
          <c:showLegendKey val="0"/>
          <c:showVal val="0"/>
          <c:showCatName val="0"/>
          <c:showSerName val="0"/>
          <c:showPercent val="0"/>
          <c:showBubbleSize val="0"/>
        </c:dLbls>
        <c:marker val="1"/>
        <c:smooth val="0"/>
        <c:axId val="231123320"/>
        <c:axId val="543536288"/>
      </c:lineChart>
      <c:catAx>
        <c:axId val="231123320"/>
        <c:scaling>
          <c:orientation val="minMax"/>
        </c:scaling>
        <c:delete val="0"/>
        <c:axPos val="b"/>
        <c:title>
          <c:tx>
            <c:rich>
              <a:bodyPr/>
              <a:lstStyle/>
              <a:p>
                <a:pPr>
                  <a:defRPr/>
                </a:pPr>
                <a:r>
                  <a:rPr lang="en-US"/>
                  <a:t>Année</a:t>
                </a:r>
              </a:p>
            </c:rich>
          </c:tx>
          <c:overlay val="0"/>
        </c:title>
        <c:numFmt formatCode="General" sourceLinked="0"/>
        <c:majorTickMark val="out"/>
        <c:minorTickMark val="none"/>
        <c:tickLblPos val="nextTo"/>
        <c:crossAx val="543536288"/>
        <c:crosses val="autoZero"/>
        <c:auto val="1"/>
        <c:lblAlgn val="ctr"/>
        <c:lblOffset val="100"/>
        <c:noMultiLvlLbl val="0"/>
      </c:catAx>
      <c:valAx>
        <c:axId val="543536288"/>
        <c:scaling>
          <c:orientation val="minMax"/>
        </c:scaling>
        <c:delete val="0"/>
        <c:axPos val="l"/>
        <c:majorGridlines>
          <c:spPr>
            <a:ln>
              <a:noFill/>
            </a:ln>
          </c:spPr>
        </c:majorGridlines>
        <c:title>
          <c:tx>
            <c:rich>
              <a:bodyPr rot="-5400000" vert="horz"/>
              <a:lstStyle/>
              <a:p>
                <a:pPr>
                  <a:defRPr/>
                </a:pPr>
                <a:r>
                  <a:rPr lang="en-US"/>
                  <a:t>Nombre</a:t>
                </a:r>
              </a:p>
            </c:rich>
          </c:tx>
          <c:overlay val="0"/>
        </c:title>
        <c:numFmt formatCode="0" sourceLinked="1"/>
        <c:majorTickMark val="out"/>
        <c:minorTickMark val="none"/>
        <c:tickLblPos val="nextTo"/>
        <c:crossAx val="231123320"/>
        <c:crosses val="autoZero"/>
        <c:crossBetween val="between"/>
      </c:valAx>
      <c:spPr>
        <a:ln>
          <a:solidFill>
            <a:schemeClr val="accent1"/>
          </a:solidFill>
        </a:ln>
      </c:spPr>
    </c:plotArea>
    <c:legend>
      <c:legendPos val="t"/>
      <c:layout>
        <c:manualLayout>
          <c:xMode val="edge"/>
          <c:yMode val="edge"/>
          <c:x val="0.33217688951301472"/>
          <c:y val="4.5167118337850042E-3"/>
          <c:w val="0.66579275122456827"/>
          <c:h val="0.15469844724693965"/>
        </c:manualLayout>
      </c:layout>
      <c:overlay val="0"/>
      <c:txPr>
        <a:bodyPr/>
        <a:lstStyle/>
        <a:p>
          <a:pPr>
            <a:defRPr sz="800" b="1"/>
          </a:pPr>
          <a:endParaRPr lang="fr-BF"/>
        </a:p>
      </c:txPr>
    </c:legend>
    <c:plotVisOnly val="1"/>
    <c:dispBlanksAs val="gap"/>
    <c:showDLblsOverMax val="0"/>
  </c:chart>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Cob de Buffon</a:t>
            </a:r>
          </a:p>
        </c:rich>
      </c:tx>
      <c:layout>
        <c:manualLayout>
          <c:xMode val="edge"/>
          <c:yMode val="edge"/>
          <c:x val="1.835931670748514E-2"/>
          <c:y val="0"/>
        </c:manualLayout>
      </c:layout>
      <c:overlay val="1"/>
      <c:spPr>
        <a:ln>
          <a:solidFill>
            <a:sysClr val="windowText" lastClr="000000"/>
          </a:solidFill>
        </a:ln>
      </c:spPr>
    </c:title>
    <c:autoTitleDeleted val="0"/>
    <c:plotArea>
      <c:layout/>
      <c:lineChart>
        <c:grouping val="standard"/>
        <c:varyColors val="0"/>
        <c:ser>
          <c:idx val="0"/>
          <c:order val="0"/>
          <c:tx>
            <c:strRef>
              <c:f>'Cob de Buffon'!$B$2</c:f>
              <c:strCache>
                <c:ptCount val="1"/>
                <c:pt idx="0">
                  <c:v>Nombre de contact</c:v>
                </c:pt>
              </c:strCache>
            </c:strRef>
          </c:tx>
          <c:cat>
            <c:strRef>
              <c:f>'Cob de Buffon'!$A$3:$A$9</c:f>
              <c:strCache>
                <c:ptCount val="7"/>
                <c:pt idx="0">
                  <c:v>Mai 2010</c:v>
                </c:pt>
                <c:pt idx="1">
                  <c:v>Juin 2011</c:v>
                </c:pt>
                <c:pt idx="2">
                  <c:v>Avril 2012</c:v>
                </c:pt>
                <c:pt idx="3">
                  <c:v>Avril 2013</c:v>
                </c:pt>
                <c:pt idx="4">
                  <c:v>Mars 2016</c:v>
                </c:pt>
                <c:pt idx="5">
                  <c:v>Mai 2016</c:v>
                </c:pt>
                <c:pt idx="6">
                  <c:v>Mai 2018</c:v>
                </c:pt>
              </c:strCache>
            </c:strRef>
          </c:cat>
          <c:val>
            <c:numRef>
              <c:f>'Cob de Buffon'!$B$3:$B$9</c:f>
              <c:numCache>
                <c:formatCode>0</c:formatCode>
                <c:ptCount val="7"/>
                <c:pt idx="0">
                  <c:v>4</c:v>
                </c:pt>
                <c:pt idx="1">
                  <c:v>5</c:v>
                </c:pt>
                <c:pt idx="2">
                  <c:v>3</c:v>
                </c:pt>
                <c:pt idx="3">
                  <c:v>5</c:v>
                </c:pt>
                <c:pt idx="4">
                  <c:v>1</c:v>
                </c:pt>
                <c:pt idx="5">
                  <c:v>7</c:v>
                </c:pt>
                <c:pt idx="6">
                  <c:v>2</c:v>
                </c:pt>
              </c:numCache>
            </c:numRef>
          </c:val>
          <c:smooth val="0"/>
          <c:extLst>
            <c:ext xmlns:c16="http://schemas.microsoft.com/office/drawing/2014/chart" uri="{C3380CC4-5D6E-409C-BE32-E72D297353CC}">
              <c16:uniqueId val="{00000000-A1F5-4305-A375-D954B27FC071}"/>
            </c:ext>
          </c:extLst>
        </c:ser>
        <c:ser>
          <c:idx val="1"/>
          <c:order val="1"/>
          <c:tx>
            <c:strRef>
              <c:f>'Cob de Buffon'!$C$2</c:f>
              <c:strCache>
                <c:ptCount val="1"/>
                <c:pt idx="0">
                  <c:v>Plus grand groupe observé</c:v>
                </c:pt>
              </c:strCache>
            </c:strRef>
          </c:tx>
          <c:cat>
            <c:strRef>
              <c:f>'Cob de Buffon'!$A$3:$A$9</c:f>
              <c:strCache>
                <c:ptCount val="7"/>
                <c:pt idx="0">
                  <c:v>Mai 2010</c:v>
                </c:pt>
                <c:pt idx="1">
                  <c:v>Juin 2011</c:v>
                </c:pt>
                <c:pt idx="2">
                  <c:v>Avril 2012</c:v>
                </c:pt>
                <c:pt idx="3">
                  <c:v>Avril 2013</c:v>
                </c:pt>
                <c:pt idx="4">
                  <c:v>Mars 2016</c:v>
                </c:pt>
                <c:pt idx="5">
                  <c:v>Mai 2016</c:v>
                </c:pt>
                <c:pt idx="6">
                  <c:v>Mai 2018</c:v>
                </c:pt>
              </c:strCache>
            </c:strRef>
          </c:cat>
          <c:val>
            <c:numRef>
              <c:f>'Cob de Buffon'!$C$3:$C$9</c:f>
              <c:numCache>
                <c:formatCode>General</c:formatCode>
                <c:ptCount val="7"/>
                <c:pt idx="0">
                  <c:v>5</c:v>
                </c:pt>
                <c:pt idx="1">
                  <c:v>3</c:v>
                </c:pt>
                <c:pt idx="2">
                  <c:v>3</c:v>
                </c:pt>
                <c:pt idx="3">
                  <c:v>5</c:v>
                </c:pt>
                <c:pt idx="4" formatCode="0">
                  <c:v>3</c:v>
                </c:pt>
                <c:pt idx="5" formatCode="0">
                  <c:v>2</c:v>
                </c:pt>
                <c:pt idx="6">
                  <c:v>2</c:v>
                </c:pt>
              </c:numCache>
            </c:numRef>
          </c:val>
          <c:smooth val="0"/>
          <c:extLst>
            <c:ext xmlns:c16="http://schemas.microsoft.com/office/drawing/2014/chart" uri="{C3380CC4-5D6E-409C-BE32-E72D297353CC}">
              <c16:uniqueId val="{00000001-A1F5-4305-A375-D954B27FC071}"/>
            </c:ext>
          </c:extLst>
        </c:ser>
        <c:ser>
          <c:idx val="2"/>
          <c:order val="2"/>
          <c:tx>
            <c:strRef>
              <c:f>'Cob de Buffon'!$D$2</c:f>
              <c:strCache>
                <c:ptCount val="1"/>
                <c:pt idx="0">
                  <c:v>Nombre d'individus</c:v>
                </c:pt>
              </c:strCache>
            </c:strRef>
          </c:tx>
          <c:spPr>
            <a:ln>
              <a:solidFill>
                <a:srgbClr val="00B050"/>
              </a:solidFill>
            </a:ln>
          </c:spPr>
          <c:marker>
            <c:spPr>
              <a:solidFill>
                <a:srgbClr val="00B050"/>
              </a:solidFill>
              <a:ln>
                <a:solidFill>
                  <a:srgbClr val="00B050"/>
                </a:solidFill>
              </a:ln>
            </c:spPr>
          </c:marker>
          <c:cat>
            <c:strRef>
              <c:f>'Cob de Buffon'!$A$3:$A$9</c:f>
              <c:strCache>
                <c:ptCount val="7"/>
                <c:pt idx="0">
                  <c:v>Mai 2010</c:v>
                </c:pt>
                <c:pt idx="1">
                  <c:v>Juin 2011</c:v>
                </c:pt>
                <c:pt idx="2">
                  <c:v>Avril 2012</c:v>
                </c:pt>
                <c:pt idx="3">
                  <c:v>Avril 2013</c:v>
                </c:pt>
                <c:pt idx="4">
                  <c:v>Mars 2016</c:v>
                </c:pt>
                <c:pt idx="5">
                  <c:v>Mai 2016</c:v>
                </c:pt>
                <c:pt idx="6">
                  <c:v>Mai 2018</c:v>
                </c:pt>
              </c:strCache>
            </c:strRef>
          </c:cat>
          <c:val>
            <c:numRef>
              <c:f>'Cob de Buffon'!$D$3:$D$9</c:f>
              <c:numCache>
                <c:formatCode>0</c:formatCode>
                <c:ptCount val="7"/>
                <c:pt idx="0">
                  <c:v>11</c:v>
                </c:pt>
                <c:pt idx="1">
                  <c:v>9</c:v>
                </c:pt>
                <c:pt idx="2">
                  <c:v>5</c:v>
                </c:pt>
                <c:pt idx="3">
                  <c:v>15</c:v>
                </c:pt>
                <c:pt idx="4">
                  <c:v>3</c:v>
                </c:pt>
                <c:pt idx="5">
                  <c:v>10</c:v>
                </c:pt>
                <c:pt idx="6">
                  <c:v>3</c:v>
                </c:pt>
              </c:numCache>
            </c:numRef>
          </c:val>
          <c:smooth val="0"/>
          <c:extLst>
            <c:ext xmlns:c16="http://schemas.microsoft.com/office/drawing/2014/chart" uri="{C3380CC4-5D6E-409C-BE32-E72D297353CC}">
              <c16:uniqueId val="{00000002-A1F5-4305-A375-D954B27FC071}"/>
            </c:ext>
          </c:extLst>
        </c:ser>
        <c:ser>
          <c:idx val="3"/>
          <c:order val="3"/>
          <c:tx>
            <c:strRef>
              <c:f>'Cob de Buffon'!$E$2</c:f>
              <c:strCache>
                <c:ptCount val="1"/>
                <c:pt idx="0">
                  <c:v>Taille moyenne de groupe</c:v>
                </c:pt>
              </c:strCache>
            </c:strRef>
          </c:tx>
          <c:spPr>
            <a:ln>
              <a:solidFill>
                <a:schemeClr val="accent6"/>
              </a:solidFill>
            </a:ln>
          </c:spPr>
          <c:marker>
            <c:symbol val="circle"/>
            <c:size val="7"/>
            <c:spPr>
              <a:solidFill>
                <a:schemeClr val="accent6"/>
              </a:solidFill>
              <a:ln>
                <a:solidFill>
                  <a:schemeClr val="accent6"/>
                </a:solidFill>
              </a:ln>
            </c:spPr>
          </c:marker>
          <c:cat>
            <c:strRef>
              <c:f>'Cob de Buffon'!$A$3:$A$9</c:f>
              <c:strCache>
                <c:ptCount val="7"/>
                <c:pt idx="0">
                  <c:v>Mai 2010</c:v>
                </c:pt>
                <c:pt idx="1">
                  <c:v>Juin 2011</c:v>
                </c:pt>
                <c:pt idx="2">
                  <c:v>Avril 2012</c:v>
                </c:pt>
                <c:pt idx="3">
                  <c:v>Avril 2013</c:v>
                </c:pt>
                <c:pt idx="4">
                  <c:v>Mars 2016</c:v>
                </c:pt>
                <c:pt idx="5">
                  <c:v>Mai 2016</c:v>
                </c:pt>
                <c:pt idx="6">
                  <c:v>Mai 2018</c:v>
                </c:pt>
              </c:strCache>
            </c:strRef>
          </c:cat>
          <c:val>
            <c:numRef>
              <c:f>'Cob de Buffon'!$E$3:$E$9</c:f>
              <c:numCache>
                <c:formatCode>General</c:formatCode>
                <c:ptCount val="7"/>
                <c:pt idx="0">
                  <c:v>2.75</c:v>
                </c:pt>
                <c:pt idx="1">
                  <c:v>1.8</c:v>
                </c:pt>
                <c:pt idx="2">
                  <c:v>1.6666666666666667</c:v>
                </c:pt>
                <c:pt idx="3">
                  <c:v>3</c:v>
                </c:pt>
                <c:pt idx="4">
                  <c:v>3</c:v>
                </c:pt>
                <c:pt idx="5">
                  <c:v>1.4285714285714286</c:v>
                </c:pt>
                <c:pt idx="6">
                  <c:v>1.5</c:v>
                </c:pt>
              </c:numCache>
            </c:numRef>
          </c:val>
          <c:smooth val="0"/>
          <c:extLst>
            <c:ext xmlns:c16="http://schemas.microsoft.com/office/drawing/2014/chart" uri="{C3380CC4-5D6E-409C-BE32-E72D297353CC}">
              <c16:uniqueId val="{00000003-A1F5-4305-A375-D954B27FC071}"/>
            </c:ext>
          </c:extLst>
        </c:ser>
        <c:dLbls>
          <c:showLegendKey val="0"/>
          <c:showVal val="0"/>
          <c:showCatName val="0"/>
          <c:showSerName val="0"/>
          <c:showPercent val="0"/>
          <c:showBubbleSize val="0"/>
        </c:dLbls>
        <c:marker val="1"/>
        <c:smooth val="0"/>
        <c:axId val="543538640"/>
        <c:axId val="543537464"/>
      </c:lineChart>
      <c:catAx>
        <c:axId val="543538640"/>
        <c:scaling>
          <c:orientation val="minMax"/>
        </c:scaling>
        <c:delete val="0"/>
        <c:axPos val="b"/>
        <c:title>
          <c:tx>
            <c:rich>
              <a:bodyPr/>
              <a:lstStyle/>
              <a:p>
                <a:pPr>
                  <a:defRPr/>
                </a:pPr>
                <a:r>
                  <a:rPr lang="en-US"/>
                  <a:t>Année</a:t>
                </a:r>
              </a:p>
            </c:rich>
          </c:tx>
          <c:overlay val="0"/>
        </c:title>
        <c:numFmt formatCode="General" sourceLinked="0"/>
        <c:majorTickMark val="out"/>
        <c:minorTickMark val="none"/>
        <c:tickLblPos val="nextTo"/>
        <c:crossAx val="543537464"/>
        <c:crosses val="autoZero"/>
        <c:auto val="1"/>
        <c:lblAlgn val="ctr"/>
        <c:lblOffset val="100"/>
        <c:noMultiLvlLbl val="0"/>
      </c:catAx>
      <c:valAx>
        <c:axId val="543537464"/>
        <c:scaling>
          <c:orientation val="minMax"/>
        </c:scaling>
        <c:delete val="0"/>
        <c:axPos val="l"/>
        <c:majorGridlines>
          <c:spPr>
            <a:ln>
              <a:noFill/>
            </a:ln>
          </c:spPr>
        </c:majorGridlines>
        <c:title>
          <c:tx>
            <c:rich>
              <a:bodyPr rot="-5400000" vert="horz"/>
              <a:lstStyle/>
              <a:p>
                <a:pPr>
                  <a:defRPr/>
                </a:pPr>
                <a:r>
                  <a:rPr lang="en-US"/>
                  <a:t>Nombre</a:t>
                </a:r>
              </a:p>
            </c:rich>
          </c:tx>
          <c:overlay val="0"/>
        </c:title>
        <c:numFmt formatCode="0" sourceLinked="1"/>
        <c:majorTickMark val="out"/>
        <c:minorTickMark val="none"/>
        <c:tickLblPos val="nextTo"/>
        <c:crossAx val="543538640"/>
        <c:crosses val="autoZero"/>
        <c:crossBetween val="between"/>
      </c:valAx>
    </c:plotArea>
    <c:legend>
      <c:legendPos val="t"/>
      <c:layout>
        <c:manualLayout>
          <c:xMode val="edge"/>
          <c:yMode val="edge"/>
          <c:x val="0.33217688951301472"/>
          <c:y val="4.5167118337850042E-3"/>
          <c:w val="0.66579275122456827"/>
          <c:h val="0.15469844724693965"/>
        </c:manualLayout>
      </c:layout>
      <c:overlay val="0"/>
      <c:txPr>
        <a:bodyPr/>
        <a:lstStyle/>
        <a:p>
          <a:pPr>
            <a:defRPr sz="800" b="1"/>
          </a:pPr>
          <a:endParaRPr lang="fr-BF"/>
        </a:p>
      </c:txPr>
    </c:legend>
    <c:plotVisOnly val="1"/>
    <c:dispBlanksAs val="gap"/>
    <c:showDLblsOverMax val="0"/>
  </c:chart>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Cob defassa</a:t>
            </a:r>
          </a:p>
        </c:rich>
      </c:tx>
      <c:layout>
        <c:manualLayout>
          <c:xMode val="edge"/>
          <c:yMode val="edge"/>
          <c:x val="5.4591295116772826E-2"/>
          <c:y val="0"/>
        </c:manualLayout>
      </c:layout>
      <c:overlay val="1"/>
      <c:spPr>
        <a:ln>
          <a:solidFill>
            <a:sysClr val="windowText" lastClr="000000"/>
          </a:solidFill>
        </a:ln>
      </c:spPr>
    </c:title>
    <c:autoTitleDeleted val="0"/>
    <c:plotArea>
      <c:layout/>
      <c:lineChart>
        <c:grouping val="standard"/>
        <c:varyColors val="0"/>
        <c:ser>
          <c:idx val="0"/>
          <c:order val="0"/>
          <c:tx>
            <c:strRef>
              <c:f>'Cob defassa'!$B$2</c:f>
              <c:strCache>
                <c:ptCount val="1"/>
                <c:pt idx="0">
                  <c:v>Nombre de contact</c:v>
                </c:pt>
              </c:strCache>
            </c:strRef>
          </c:tx>
          <c:cat>
            <c:strRef>
              <c:f>'Cob defassa'!$A$3:$A$9</c:f>
              <c:strCache>
                <c:ptCount val="7"/>
                <c:pt idx="0">
                  <c:v>Mai 2010</c:v>
                </c:pt>
                <c:pt idx="1">
                  <c:v>Juin 2011</c:v>
                </c:pt>
                <c:pt idx="2">
                  <c:v>Avril 2012</c:v>
                </c:pt>
                <c:pt idx="3">
                  <c:v>Avril 2013</c:v>
                </c:pt>
                <c:pt idx="4">
                  <c:v>Mars 2016</c:v>
                </c:pt>
                <c:pt idx="5">
                  <c:v>Mai 2016</c:v>
                </c:pt>
                <c:pt idx="6">
                  <c:v>Mai 2018</c:v>
                </c:pt>
              </c:strCache>
            </c:strRef>
          </c:cat>
          <c:val>
            <c:numRef>
              <c:f>'Cob defassa'!$B$3:$B$9</c:f>
              <c:numCache>
                <c:formatCode>0</c:formatCode>
                <c:ptCount val="7"/>
                <c:pt idx="0">
                  <c:v>6</c:v>
                </c:pt>
                <c:pt idx="1">
                  <c:v>3</c:v>
                </c:pt>
                <c:pt idx="2">
                  <c:v>2</c:v>
                </c:pt>
                <c:pt idx="3">
                  <c:v>4</c:v>
                </c:pt>
                <c:pt idx="4">
                  <c:v>3</c:v>
                </c:pt>
                <c:pt idx="5">
                  <c:v>4</c:v>
                </c:pt>
                <c:pt idx="6">
                  <c:v>2</c:v>
                </c:pt>
              </c:numCache>
            </c:numRef>
          </c:val>
          <c:smooth val="0"/>
          <c:extLst>
            <c:ext xmlns:c16="http://schemas.microsoft.com/office/drawing/2014/chart" uri="{C3380CC4-5D6E-409C-BE32-E72D297353CC}">
              <c16:uniqueId val="{00000000-2760-4FDE-8C24-FF23A2CAC7FF}"/>
            </c:ext>
          </c:extLst>
        </c:ser>
        <c:ser>
          <c:idx val="1"/>
          <c:order val="1"/>
          <c:tx>
            <c:strRef>
              <c:f>'Cob defassa'!$C$2</c:f>
              <c:strCache>
                <c:ptCount val="1"/>
                <c:pt idx="0">
                  <c:v>Plus grand groupe observé</c:v>
                </c:pt>
              </c:strCache>
            </c:strRef>
          </c:tx>
          <c:cat>
            <c:strRef>
              <c:f>'Cob defassa'!$A$3:$A$9</c:f>
              <c:strCache>
                <c:ptCount val="7"/>
                <c:pt idx="0">
                  <c:v>Mai 2010</c:v>
                </c:pt>
                <c:pt idx="1">
                  <c:v>Juin 2011</c:v>
                </c:pt>
                <c:pt idx="2">
                  <c:v>Avril 2012</c:v>
                </c:pt>
                <c:pt idx="3">
                  <c:v>Avril 2013</c:v>
                </c:pt>
                <c:pt idx="4">
                  <c:v>Mars 2016</c:v>
                </c:pt>
                <c:pt idx="5">
                  <c:v>Mai 2016</c:v>
                </c:pt>
                <c:pt idx="6">
                  <c:v>Mai 2018</c:v>
                </c:pt>
              </c:strCache>
            </c:strRef>
          </c:cat>
          <c:val>
            <c:numRef>
              <c:f>'Cob defassa'!$C$3:$C$9</c:f>
              <c:numCache>
                <c:formatCode>General</c:formatCode>
                <c:ptCount val="7"/>
                <c:pt idx="0">
                  <c:v>4</c:v>
                </c:pt>
                <c:pt idx="1">
                  <c:v>10</c:v>
                </c:pt>
                <c:pt idx="2">
                  <c:v>5</c:v>
                </c:pt>
                <c:pt idx="3">
                  <c:v>6</c:v>
                </c:pt>
                <c:pt idx="4" formatCode="0">
                  <c:v>7</c:v>
                </c:pt>
                <c:pt idx="5" formatCode="0">
                  <c:v>4</c:v>
                </c:pt>
                <c:pt idx="6">
                  <c:v>2</c:v>
                </c:pt>
              </c:numCache>
            </c:numRef>
          </c:val>
          <c:smooth val="0"/>
          <c:extLst>
            <c:ext xmlns:c16="http://schemas.microsoft.com/office/drawing/2014/chart" uri="{C3380CC4-5D6E-409C-BE32-E72D297353CC}">
              <c16:uniqueId val="{00000001-2760-4FDE-8C24-FF23A2CAC7FF}"/>
            </c:ext>
          </c:extLst>
        </c:ser>
        <c:ser>
          <c:idx val="2"/>
          <c:order val="2"/>
          <c:tx>
            <c:strRef>
              <c:f>'Cob defassa'!$D$2</c:f>
              <c:strCache>
                <c:ptCount val="1"/>
                <c:pt idx="0">
                  <c:v>Nombre d'individus</c:v>
                </c:pt>
              </c:strCache>
            </c:strRef>
          </c:tx>
          <c:spPr>
            <a:ln>
              <a:solidFill>
                <a:srgbClr val="00B050"/>
              </a:solidFill>
            </a:ln>
          </c:spPr>
          <c:marker>
            <c:spPr>
              <a:solidFill>
                <a:srgbClr val="00B050"/>
              </a:solidFill>
              <a:ln>
                <a:solidFill>
                  <a:srgbClr val="00B050"/>
                </a:solidFill>
              </a:ln>
            </c:spPr>
          </c:marker>
          <c:cat>
            <c:strRef>
              <c:f>'Cob defassa'!$A$3:$A$9</c:f>
              <c:strCache>
                <c:ptCount val="7"/>
                <c:pt idx="0">
                  <c:v>Mai 2010</c:v>
                </c:pt>
                <c:pt idx="1">
                  <c:v>Juin 2011</c:v>
                </c:pt>
                <c:pt idx="2">
                  <c:v>Avril 2012</c:v>
                </c:pt>
                <c:pt idx="3">
                  <c:v>Avril 2013</c:v>
                </c:pt>
                <c:pt idx="4">
                  <c:v>Mars 2016</c:v>
                </c:pt>
                <c:pt idx="5">
                  <c:v>Mai 2016</c:v>
                </c:pt>
                <c:pt idx="6">
                  <c:v>Mai 2018</c:v>
                </c:pt>
              </c:strCache>
            </c:strRef>
          </c:cat>
          <c:val>
            <c:numRef>
              <c:f>'Cob defassa'!$D$3:$D$9</c:f>
              <c:numCache>
                <c:formatCode>0</c:formatCode>
                <c:ptCount val="7"/>
                <c:pt idx="0">
                  <c:v>9</c:v>
                </c:pt>
                <c:pt idx="1">
                  <c:v>13</c:v>
                </c:pt>
                <c:pt idx="2">
                  <c:v>6</c:v>
                </c:pt>
                <c:pt idx="3">
                  <c:v>18</c:v>
                </c:pt>
                <c:pt idx="4">
                  <c:v>10</c:v>
                </c:pt>
                <c:pt idx="5">
                  <c:v>8</c:v>
                </c:pt>
                <c:pt idx="6">
                  <c:v>3</c:v>
                </c:pt>
              </c:numCache>
            </c:numRef>
          </c:val>
          <c:smooth val="0"/>
          <c:extLst>
            <c:ext xmlns:c16="http://schemas.microsoft.com/office/drawing/2014/chart" uri="{C3380CC4-5D6E-409C-BE32-E72D297353CC}">
              <c16:uniqueId val="{00000002-2760-4FDE-8C24-FF23A2CAC7FF}"/>
            </c:ext>
          </c:extLst>
        </c:ser>
        <c:ser>
          <c:idx val="3"/>
          <c:order val="3"/>
          <c:tx>
            <c:strRef>
              <c:f>'Cob defassa'!$E$2</c:f>
              <c:strCache>
                <c:ptCount val="1"/>
                <c:pt idx="0">
                  <c:v>Taille moyenne de groupe</c:v>
                </c:pt>
              </c:strCache>
            </c:strRef>
          </c:tx>
          <c:spPr>
            <a:ln>
              <a:solidFill>
                <a:schemeClr val="accent6"/>
              </a:solidFill>
            </a:ln>
          </c:spPr>
          <c:marker>
            <c:symbol val="circle"/>
            <c:size val="7"/>
            <c:spPr>
              <a:solidFill>
                <a:schemeClr val="accent6"/>
              </a:solidFill>
              <a:ln>
                <a:solidFill>
                  <a:schemeClr val="accent6"/>
                </a:solidFill>
              </a:ln>
            </c:spPr>
          </c:marker>
          <c:cat>
            <c:strRef>
              <c:f>'Cob defassa'!$A$3:$A$9</c:f>
              <c:strCache>
                <c:ptCount val="7"/>
                <c:pt idx="0">
                  <c:v>Mai 2010</c:v>
                </c:pt>
                <c:pt idx="1">
                  <c:v>Juin 2011</c:v>
                </c:pt>
                <c:pt idx="2">
                  <c:v>Avril 2012</c:v>
                </c:pt>
                <c:pt idx="3">
                  <c:v>Avril 2013</c:v>
                </c:pt>
                <c:pt idx="4">
                  <c:v>Mars 2016</c:v>
                </c:pt>
                <c:pt idx="5">
                  <c:v>Mai 2016</c:v>
                </c:pt>
                <c:pt idx="6">
                  <c:v>Mai 2018</c:v>
                </c:pt>
              </c:strCache>
            </c:strRef>
          </c:cat>
          <c:val>
            <c:numRef>
              <c:f>'Cob defassa'!$E$3:$E$9</c:f>
              <c:numCache>
                <c:formatCode>General</c:formatCode>
                <c:ptCount val="7"/>
                <c:pt idx="0">
                  <c:v>1.5</c:v>
                </c:pt>
                <c:pt idx="1">
                  <c:v>4.333333333333333</c:v>
                </c:pt>
                <c:pt idx="2">
                  <c:v>3</c:v>
                </c:pt>
                <c:pt idx="3">
                  <c:v>4.5</c:v>
                </c:pt>
                <c:pt idx="4">
                  <c:v>3.3333333333333335</c:v>
                </c:pt>
                <c:pt idx="5">
                  <c:v>2</c:v>
                </c:pt>
                <c:pt idx="6">
                  <c:v>1.5</c:v>
                </c:pt>
              </c:numCache>
            </c:numRef>
          </c:val>
          <c:smooth val="0"/>
          <c:extLst>
            <c:ext xmlns:c16="http://schemas.microsoft.com/office/drawing/2014/chart" uri="{C3380CC4-5D6E-409C-BE32-E72D297353CC}">
              <c16:uniqueId val="{00000003-2760-4FDE-8C24-FF23A2CAC7FF}"/>
            </c:ext>
          </c:extLst>
        </c:ser>
        <c:dLbls>
          <c:showLegendKey val="0"/>
          <c:showVal val="0"/>
          <c:showCatName val="0"/>
          <c:showSerName val="0"/>
          <c:showPercent val="0"/>
          <c:showBubbleSize val="0"/>
        </c:dLbls>
        <c:marker val="1"/>
        <c:smooth val="0"/>
        <c:axId val="543536680"/>
        <c:axId val="543537072"/>
      </c:lineChart>
      <c:catAx>
        <c:axId val="543536680"/>
        <c:scaling>
          <c:orientation val="minMax"/>
        </c:scaling>
        <c:delete val="0"/>
        <c:axPos val="b"/>
        <c:title>
          <c:tx>
            <c:rich>
              <a:bodyPr/>
              <a:lstStyle/>
              <a:p>
                <a:pPr>
                  <a:defRPr/>
                </a:pPr>
                <a:r>
                  <a:rPr lang="en-US"/>
                  <a:t>Année</a:t>
                </a:r>
              </a:p>
            </c:rich>
          </c:tx>
          <c:overlay val="0"/>
        </c:title>
        <c:numFmt formatCode="General" sourceLinked="0"/>
        <c:majorTickMark val="out"/>
        <c:minorTickMark val="none"/>
        <c:tickLblPos val="nextTo"/>
        <c:crossAx val="543537072"/>
        <c:crosses val="autoZero"/>
        <c:auto val="1"/>
        <c:lblAlgn val="ctr"/>
        <c:lblOffset val="100"/>
        <c:noMultiLvlLbl val="0"/>
      </c:catAx>
      <c:valAx>
        <c:axId val="543537072"/>
        <c:scaling>
          <c:orientation val="minMax"/>
        </c:scaling>
        <c:delete val="0"/>
        <c:axPos val="l"/>
        <c:majorGridlines>
          <c:spPr>
            <a:ln>
              <a:noFill/>
            </a:ln>
          </c:spPr>
        </c:majorGridlines>
        <c:title>
          <c:tx>
            <c:rich>
              <a:bodyPr rot="-5400000" vert="horz"/>
              <a:lstStyle/>
              <a:p>
                <a:pPr>
                  <a:defRPr/>
                </a:pPr>
                <a:r>
                  <a:rPr lang="en-US"/>
                  <a:t>Nombre</a:t>
                </a:r>
              </a:p>
            </c:rich>
          </c:tx>
          <c:overlay val="0"/>
        </c:title>
        <c:numFmt formatCode="0" sourceLinked="1"/>
        <c:majorTickMark val="out"/>
        <c:minorTickMark val="none"/>
        <c:tickLblPos val="nextTo"/>
        <c:crossAx val="543536680"/>
        <c:crosses val="autoZero"/>
        <c:crossBetween val="between"/>
      </c:valAx>
    </c:plotArea>
    <c:legend>
      <c:legendPos val="t"/>
      <c:layout>
        <c:manualLayout>
          <c:xMode val="edge"/>
          <c:yMode val="edge"/>
          <c:x val="0.33217688951301472"/>
          <c:y val="4.5167118337850042E-3"/>
          <c:w val="0.66579275122456827"/>
          <c:h val="0.15469844724693965"/>
        </c:manualLayout>
      </c:layout>
      <c:overlay val="0"/>
      <c:txPr>
        <a:bodyPr/>
        <a:lstStyle/>
        <a:p>
          <a:pPr>
            <a:defRPr sz="800" b="1"/>
          </a:pPr>
          <a:endParaRPr lang="fr-BF"/>
        </a:p>
      </c:txPr>
    </c:legend>
    <c:plotVisOnly val="1"/>
    <c:dispBlanksAs val="gap"/>
    <c:showDLblsOverMax val="0"/>
  </c:chart>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Cob redunca</a:t>
            </a:r>
          </a:p>
        </c:rich>
      </c:tx>
      <c:layout>
        <c:manualLayout>
          <c:xMode val="edge"/>
          <c:yMode val="edge"/>
          <c:x val="5.4591295116772826E-2"/>
          <c:y val="0"/>
        </c:manualLayout>
      </c:layout>
      <c:overlay val="1"/>
      <c:spPr>
        <a:ln>
          <a:solidFill>
            <a:sysClr val="windowText" lastClr="000000"/>
          </a:solidFill>
        </a:ln>
      </c:spPr>
    </c:title>
    <c:autoTitleDeleted val="0"/>
    <c:plotArea>
      <c:layout/>
      <c:lineChart>
        <c:grouping val="standard"/>
        <c:varyColors val="0"/>
        <c:ser>
          <c:idx val="0"/>
          <c:order val="0"/>
          <c:tx>
            <c:strRef>
              <c:f>'Cob redunca'!$B$2</c:f>
              <c:strCache>
                <c:ptCount val="1"/>
                <c:pt idx="0">
                  <c:v>Nombre de contact</c:v>
                </c:pt>
              </c:strCache>
            </c:strRef>
          </c:tx>
          <c:cat>
            <c:strRef>
              <c:f>'Cob redunca'!$A$3:$A$9</c:f>
              <c:strCache>
                <c:ptCount val="7"/>
                <c:pt idx="0">
                  <c:v>Mai 2010</c:v>
                </c:pt>
                <c:pt idx="1">
                  <c:v>Juin 2011</c:v>
                </c:pt>
                <c:pt idx="2">
                  <c:v>Avril 2012</c:v>
                </c:pt>
                <c:pt idx="3">
                  <c:v>Avril 2013</c:v>
                </c:pt>
                <c:pt idx="4">
                  <c:v>Mars 2016</c:v>
                </c:pt>
                <c:pt idx="5">
                  <c:v>Mai 2016</c:v>
                </c:pt>
                <c:pt idx="6">
                  <c:v>Mai 2018</c:v>
                </c:pt>
              </c:strCache>
            </c:strRef>
          </c:cat>
          <c:val>
            <c:numRef>
              <c:f>'Cob redunca'!$B$3:$B$9</c:f>
              <c:numCache>
                <c:formatCode>0</c:formatCode>
                <c:ptCount val="7"/>
                <c:pt idx="0">
                  <c:v>1</c:v>
                </c:pt>
                <c:pt idx="1">
                  <c:v>1</c:v>
                </c:pt>
                <c:pt idx="2">
                  <c:v>1</c:v>
                </c:pt>
                <c:pt idx="3">
                  <c:v>2</c:v>
                </c:pt>
                <c:pt idx="4">
                  <c:v>0</c:v>
                </c:pt>
                <c:pt idx="5">
                  <c:v>3</c:v>
                </c:pt>
                <c:pt idx="6">
                  <c:v>2</c:v>
                </c:pt>
              </c:numCache>
            </c:numRef>
          </c:val>
          <c:smooth val="0"/>
          <c:extLst>
            <c:ext xmlns:c16="http://schemas.microsoft.com/office/drawing/2014/chart" uri="{C3380CC4-5D6E-409C-BE32-E72D297353CC}">
              <c16:uniqueId val="{00000000-9BE5-40E2-85B2-8630CF57C2D2}"/>
            </c:ext>
          </c:extLst>
        </c:ser>
        <c:ser>
          <c:idx val="1"/>
          <c:order val="1"/>
          <c:tx>
            <c:strRef>
              <c:f>'Cob redunca'!$C$2</c:f>
              <c:strCache>
                <c:ptCount val="1"/>
                <c:pt idx="0">
                  <c:v>Plus grand groupe observé</c:v>
                </c:pt>
              </c:strCache>
            </c:strRef>
          </c:tx>
          <c:cat>
            <c:strRef>
              <c:f>'Cob redunca'!$A$3:$A$9</c:f>
              <c:strCache>
                <c:ptCount val="7"/>
                <c:pt idx="0">
                  <c:v>Mai 2010</c:v>
                </c:pt>
                <c:pt idx="1">
                  <c:v>Juin 2011</c:v>
                </c:pt>
                <c:pt idx="2">
                  <c:v>Avril 2012</c:v>
                </c:pt>
                <c:pt idx="3">
                  <c:v>Avril 2013</c:v>
                </c:pt>
                <c:pt idx="4">
                  <c:v>Mars 2016</c:v>
                </c:pt>
                <c:pt idx="5">
                  <c:v>Mai 2016</c:v>
                </c:pt>
                <c:pt idx="6">
                  <c:v>Mai 2018</c:v>
                </c:pt>
              </c:strCache>
            </c:strRef>
          </c:cat>
          <c:val>
            <c:numRef>
              <c:f>'Cob redunca'!$C$3:$C$9</c:f>
              <c:numCache>
                <c:formatCode>General</c:formatCode>
                <c:ptCount val="7"/>
                <c:pt idx="0">
                  <c:v>0</c:v>
                </c:pt>
                <c:pt idx="1">
                  <c:v>1</c:v>
                </c:pt>
                <c:pt idx="2">
                  <c:v>0</c:v>
                </c:pt>
                <c:pt idx="3">
                  <c:v>1</c:v>
                </c:pt>
                <c:pt idx="4" formatCode="0">
                  <c:v>0</c:v>
                </c:pt>
                <c:pt idx="5" formatCode="0">
                  <c:v>2</c:v>
                </c:pt>
                <c:pt idx="6">
                  <c:v>2</c:v>
                </c:pt>
              </c:numCache>
            </c:numRef>
          </c:val>
          <c:smooth val="0"/>
          <c:extLst>
            <c:ext xmlns:c16="http://schemas.microsoft.com/office/drawing/2014/chart" uri="{C3380CC4-5D6E-409C-BE32-E72D297353CC}">
              <c16:uniqueId val="{00000001-9BE5-40E2-85B2-8630CF57C2D2}"/>
            </c:ext>
          </c:extLst>
        </c:ser>
        <c:ser>
          <c:idx val="2"/>
          <c:order val="2"/>
          <c:tx>
            <c:strRef>
              <c:f>'Cob redunca'!$D$2</c:f>
              <c:strCache>
                <c:ptCount val="1"/>
                <c:pt idx="0">
                  <c:v>Nombre d'individus</c:v>
                </c:pt>
              </c:strCache>
            </c:strRef>
          </c:tx>
          <c:spPr>
            <a:ln>
              <a:solidFill>
                <a:srgbClr val="00B050"/>
              </a:solidFill>
            </a:ln>
          </c:spPr>
          <c:marker>
            <c:spPr>
              <a:solidFill>
                <a:srgbClr val="00B050"/>
              </a:solidFill>
              <a:ln>
                <a:solidFill>
                  <a:srgbClr val="00B050"/>
                </a:solidFill>
              </a:ln>
            </c:spPr>
          </c:marker>
          <c:cat>
            <c:strRef>
              <c:f>'Cob redunca'!$A$3:$A$9</c:f>
              <c:strCache>
                <c:ptCount val="7"/>
                <c:pt idx="0">
                  <c:v>Mai 2010</c:v>
                </c:pt>
                <c:pt idx="1">
                  <c:v>Juin 2011</c:v>
                </c:pt>
                <c:pt idx="2">
                  <c:v>Avril 2012</c:v>
                </c:pt>
                <c:pt idx="3">
                  <c:v>Avril 2013</c:v>
                </c:pt>
                <c:pt idx="4">
                  <c:v>Mars 2016</c:v>
                </c:pt>
                <c:pt idx="5">
                  <c:v>Mai 2016</c:v>
                </c:pt>
                <c:pt idx="6">
                  <c:v>Mai 2018</c:v>
                </c:pt>
              </c:strCache>
            </c:strRef>
          </c:cat>
          <c:val>
            <c:numRef>
              <c:f>'Cob redunca'!$D$3:$D$9</c:f>
              <c:numCache>
                <c:formatCode>0</c:formatCode>
                <c:ptCount val="7"/>
                <c:pt idx="0">
                  <c:v>1</c:v>
                </c:pt>
                <c:pt idx="1">
                  <c:v>2</c:v>
                </c:pt>
                <c:pt idx="2">
                  <c:v>1</c:v>
                </c:pt>
                <c:pt idx="3">
                  <c:v>2</c:v>
                </c:pt>
                <c:pt idx="4">
                  <c:v>0</c:v>
                </c:pt>
                <c:pt idx="5">
                  <c:v>4</c:v>
                </c:pt>
                <c:pt idx="6">
                  <c:v>3</c:v>
                </c:pt>
              </c:numCache>
            </c:numRef>
          </c:val>
          <c:smooth val="0"/>
          <c:extLst>
            <c:ext xmlns:c16="http://schemas.microsoft.com/office/drawing/2014/chart" uri="{C3380CC4-5D6E-409C-BE32-E72D297353CC}">
              <c16:uniqueId val="{00000002-9BE5-40E2-85B2-8630CF57C2D2}"/>
            </c:ext>
          </c:extLst>
        </c:ser>
        <c:ser>
          <c:idx val="3"/>
          <c:order val="3"/>
          <c:tx>
            <c:strRef>
              <c:f>'Cob redunca'!$E$2</c:f>
              <c:strCache>
                <c:ptCount val="1"/>
                <c:pt idx="0">
                  <c:v>Taille moyenne de groupe</c:v>
                </c:pt>
              </c:strCache>
            </c:strRef>
          </c:tx>
          <c:spPr>
            <a:ln>
              <a:solidFill>
                <a:schemeClr val="accent6"/>
              </a:solidFill>
            </a:ln>
          </c:spPr>
          <c:marker>
            <c:symbol val="circle"/>
            <c:size val="7"/>
            <c:spPr>
              <a:solidFill>
                <a:schemeClr val="accent6"/>
              </a:solidFill>
              <a:ln>
                <a:solidFill>
                  <a:schemeClr val="accent6"/>
                </a:solidFill>
              </a:ln>
            </c:spPr>
          </c:marker>
          <c:cat>
            <c:strRef>
              <c:f>'Cob redunca'!$A$3:$A$9</c:f>
              <c:strCache>
                <c:ptCount val="7"/>
                <c:pt idx="0">
                  <c:v>Mai 2010</c:v>
                </c:pt>
                <c:pt idx="1">
                  <c:v>Juin 2011</c:v>
                </c:pt>
                <c:pt idx="2">
                  <c:v>Avril 2012</c:v>
                </c:pt>
                <c:pt idx="3">
                  <c:v>Avril 2013</c:v>
                </c:pt>
                <c:pt idx="4">
                  <c:v>Mars 2016</c:v>
                </c:pt>
                <c:pt idx="5">
                  <c:v>Mai 2016</c:v>
                </c:pt>
                <c:pt idx="6">
                  <c:v>Mai 2018</c:v>
                </c:pt>
              </c:strCache>
            </c:strRef>
          </c:cat>
          <c:val>
            <c:numRef>
              <c:f>'Cob redunca'!$E$3:$E$9</c:f>
              <c:numCache>
                <c:formatCode>General</c:formatCode>
                <c:ptCount val="7"/>
                <c:pt idx="0">
                  <c:v>1</c:v>
                </c:pt>
                <c:pt idx="1">
                  <c:v>2</c:v>
                </c:pt>
                <c:pt idx="2">
                  <c:v>1</c:v>
                </c:pt>
                <c:pt idx="3">
                  <c:v>1</c:v>
                </c:pt>
                <c:pt idx="4">
                  <c:v>0</c:v>
                </c:pt>
                <c:pt idx="5">
                  <c:v>1.3333333333333333</c:v>
                </c:pt>
                <c:pt idx="6">
                  <c:v>1.5</c:v>
                </c:pt>
              </c:numCache>
            </c:numRef>
          </c:val>
          <c:smooth val="0"/>
          <c:extLst>
            <c:ext xmlns:c16="http://schemas.microsoft.com/office/drawing/2014/chart" uri="{C3380CC4-5D6E-409C-BE32-E72D297353CC}">
              <c16:uniqueId val="{00000003-9BE5-40E2-85B2-8630CF57C2D2}"/>
            </c:ext>
          </c:extLst>
        </c:ser>
        <c:dLbls>
          <c:showLegendKey val="0"/>
          <c:showVal val="0"/>
          <c:showCatName val="0"/>
          <c:showSerName val="0"/>
          <c:showPercent val="0"/>
          <c:showBubbleSize val="0"/>
        </c:dLbls>
        <c:marker val="1"/>
        <c:smooth val="0"/>
        <c:axId val="543537856"/>
        <c:axId val="543529232"/>
      </c:lineChart>
      <c:catAx>
        <c:axId val="543537856"/>
        <c:scaling>
          <c:orientation val="minMax"/>
        </c:scaling>
        <c:delete val="0"/>
        <c:axPos val="b"/>
        <c:title>
          <c:tx>
            <c:rich>
              <a:bodyPr/>
              <a:lstStyle/>
              <a:p>
                <a:pPr>
                  <a:defRPr/>
                </a:pPr>
                <a:r>
                  <a:rPr lang="en-US"/>
                  <a:t>Année</a:t>
                </a:r>
              </a:p>
            </c:rich>
          </c:tx>
          <c:overlay val="0"/>
        </c:title>
        <c:numFmt formatCode="General" sourceLinked="0"/>
        <c:majorTickMark val="out"/>
        <c:minorTickMark val="none"/>
        <c:tickLblPos val="nextTo"/>
        <c:crossAx val="543529232"/>
        <c:crosses val="autoZero"/>
        <c:auto val="1"/>
        <c:lblAlgn val="ctr"/>
        <c:lblOffset val="100"/>
        <c:noMultiLvlLbl val="0"/>
      </c:catAx>
      <c:valAx>
        <c:axId val="543529232"/>
        <c:scaling>
          <c:orientation val="minMax"/>
        </c:scaling>
        <c:delete val="0"/>
        <c:axPos val="l"/>
        <c:majorGridlines>
          <c:spPr>
            <a:ln>
              <a:noFill/>
            </a:ln>
          </c:spPr>
        </c:majorGridlines>
        <c:title>
          <c:tx>
            <c:rich>
              <a:bodyPr rot="-5400000" vert="horz"/>
              <a:lstStyle/>
              <a:p>
                <a:pPr>
                  <a:defRPr/>
                </a:pPr>
                <a:r>
                  <a:rPr lang="en-US"/>
                  <a:t>Nombre</a:t>
                </a:r>
              </a:p>
            </c:rich>
          </c:tx>
          <c:overlay val="0"/>
        </c:title>
        <c:numFmt formatCode="0" sourceLinked="1"/>
        <c:majorTickMark val="out"/>
        <c:minorTickMark val="none"/>
        <c:tickLblPos val="nextTo"/>
        <c:crossAx val="543537856"/>
        <c:crosses val="autoZero"/>
        <c:crossBetween val="between"/>
      </c:valAx>
    </c:plotArea>
    <c:legend>
      <c:legendPos val="t"/>
      <c:layout>
        <c:manualLayout>
          <c:xMode val="edge"/>
          <c:yMode val="edge"/>
          <c:x val="0.33217688951301472"/>
          <c:y val="4.5167118337850042E-3"/>
          <c:w val="0.66579275122456827"/>
          <c:h val="0.15469844724693965"/>
        </c:manualLayout>
      </c:layout>
      <c:overlay val="0"/>
      <c:txPr>
        <a:bodyPr/>
        <a:lstStyle/>
        <a:p>
          <a:pPr>
            <a:defRPr sz="800" b="1"/>
          </a:pPr>
          <a:endParaRPr lang="fr-BF"/>
        </a:p>
      </c:txPr>
    </c:legend>
    <c:plotVisOnly val="1"/>
    <c:dispBlanksAs val="gap"/>
    <c:showDLblsOverMax val="0"/>
  </c:chart>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Hippotrague</a:t>
            </a:r>
          </a:p>
        </c:rich>
      </c:tx>
      <c:layout>
        <c:manualLayout>
          <c:xMode val="edge"/>
          <c:yMode val="edge"/>
          <c:x val="5.4591295116772826E-2"/>
          <c:y val="0"/>
        </c:manualLayout>
      </c:layout>
      <c:overlay val="1"/>
      <c:spPr>
        <a:ln>
          <a:solidFill>
            <a:sysClr val="windowText" lastClr="000000"/>
          </a:solidFill>
        </a:ln>
      </c:spPr>
    </c:title>
    <c:autoTitleDeleted val="0"/>
    <c:plotArea>
      <c:layout/>
      <c:lineChart>
        <c:grouping val="standard"/>
        <c:varyColors val="0"/>
        <c:ser>
          <c:idx val="0"/>
          <c:order val="0"/>
          <c:tx>
            <c:strRef>
              <c:f>Coba_Hippotrague!$B$2</c:f>
              <c:strCache>
                <c:ptCount val="1"/>
                <c:pt idx="0">
                  <c:v>Nombre de contact</c:v>
                </c:pt>
              </c:strCache>
            </c:strRef>
          </c:tx>
          <c:cat>
            <c:strRef>
              <c:f>Coba_Hippotrague!$A$3:$A$9</c:f>
              <c:strCache>
                <c:ptCount val="7"/>
                <c:pt idx="0">
                  <c:v>Mai 2010</c:v>
                </c:pt>
                <c:pt idx="1">
                  <c:v>Juin 2011</c:v>
                </c:pt>
                <c:pt idx="2">
                  <c:v>Avril 2012</c:v>
                </c:pt>
                <c:pt idx="3">
                  <c:v>Avril 2013</c:v>
                </c:pt>
                <c:pt idx="4">
                  <c:v>Mars 2016</c:v>
                </c:pt>
                <c:pt idx="5">
                  <c:v>Mai 2016</c:v>
                </c:pt>
                <c:pt idx="6">
                  <c:v>Mai 2018</c:v>
                </c:pt>
              </c:strCache>
            </c:strRef>
          </c:cat>
          <c:val>
            <c:numRef>
              <c:f>Coba_Hippotrague!$B$3:$B$9</c:f>
              <c:numCache>
                <c:formatCode>0</c:formatCode>
                <c:ptCount val="7"/>
                <c:pt idx="0">
                  <c:v>16</c:v>
                </c:pt>
                <c:pt idx="1">
                  <c:v>20</c:v>
                </c:pt>
                <c:pt idx="2">
                  <c:v>15</c:v>
                </c:pt>
                <c:pt idx="3">
                  <c:v>21</c:v>
                </c:pt>
                <c:pt idx="4">
                  <c:v>12</c:v>
                </c:pt>
                <c:pt idx="5">
                  <c:v>15</c:v>
                </c:pt>
                <c:pt idx="6">
                  <c:v>19</c:v>
                </c:pt>
              </c:numCache>
            </c:numRef>
          </c:val>
          <c:smooth val="0"/>
          <c:extLst>
            <c:ext xmlns:c16="http://schemas.microsoft.com/office/drawing/2014/chart" uri="{C3380CC4-5D6E-409C-BE32-E72D297353CC}">
              <c16:uniqueId val="{00000000-FA53-48C6-B0E2-C0EBBCCA7F47}"/>
            </c:ext>
          </c:extLst>
        </c:ser>
        <c:ser>
          <c:idx val="1"/>
          <c:order val="1"/>
          <c:tx>
            <c:strRef>
              <c:f>Coba_Hippotrague!$C$2</c:f>
              <c:strCache>
                <c:ptCount val="1"/>
                <c:pt idx="0">
                  <c:v>Plus grand groupe observé</c:v>
                </c:pt>
              </c:strCache>
            </c:strRef>
          </c:tx>
          <c:cat>
            <c:strRef>
              <c:f>Coba_Hippotrague!$A$3:$A$9</c:f>
              <c:strCache>
                <c:ptCount val="7"/>
                <c:pt idx="0">
                  <c:v>Mai 2010</c:v>
                </c:pt>
                <c:pt idx="1">
                  <c:v>Juin 2011</c:v>
                </c:pt>
                <c:pt idx="2">
                  <c:v>Avril 2012</c:v>
                </c:pt>
                <c:pt idx="3">
                  <c:v>Avril 2013</c:v>
                </c:pt>
                <c:pt idx="4">
                  <c:v>Mars 2016</c:v>
                </c:pt>
                <c:pt idx="5">
                  <c:v>Mai 2016</c:v>
                </c:pt>
                <c:pt idx="6">
                  <c:v>Mai 2018</c:v>
                </c:pt>
              </c:strCache>
            </c:strRef>
          </c:cat>
          <c:val>
            <c:numRef>
              <c:f>Coba_Hippotrague!$C$3:$C$9</c:f>
              <c:numCache>
                <c:formatCode>General</c:formatCode>
                <c:ptCount val="7"/>
                <c:pt idx="0">
                  <c:v>35</c:v>
                </c:pt>
                <c:pt idx="1">
                  <c:v>18</c:v>
                </c:pt>
                <c:pt idx="2">
                  <c:v>16</c:v>
                </c:pt>
                <c:pt idx="3">
                  <c:v>40</c:v>
                </c:pt>
                <c:pt idx="4" formatCode="0">
                  <c:v>17</c:v>
                </c:pt>
                <c:pt idx="5" formatCode="0">
                  <c:v>40</c:v>
                </c:pt>
                <c:pt idx="6">
                  <c:v>14</c:v>
                </c:pt>
              </c:numCache>
            </c:numRef>
          </c:val>
          <c:smooth val="0"/>
          <c:extLst>
            <c:ext xmlns:c16="http://schemas.microsoft.com/office/drawing/2014/chart" uri="{C3380CC4-5D6E-409C-BE32-E72D297353CC}">
              <c16:uniqueId val="{00000001-FA53-48C6-B0E2-C0EBBCCA7F47}"/>
            </c:ext>
          </c:extLst>
        </c:ser>
        <c:ser>
          <c:idx val="2"/>
          <c:order val="2"/>
          <c:tx>
            <c:strRef>
              <c:f>Coba_Hippotrague!$D$2</c:f>
              <c:strCache>
                <c:ptCount val="1"/>
                <c:pt idx="0">
                  <c:v>Nombre d'individus</c:v>
                </c:pt>
              </c:strCache>
            </c:strRef>
          </c:tx>
          <c:spPr>
            <a:ln>
              <a:solidFill>
                <a:srgbClr val="00B050"/>
              </a:solidFill>
            </a:ln>
          </c:spPr>
          <c:marker>
            <c:spPr>
              <a:solidFill>
                <a:srgbClr val="00B050"/>
              </a:solidFill>
              <a:ln>
                <a:solidFill>
                  <a:srgbClr val="00B050"/>
                </a:solidFill>
              </a:ln>
            </c:spPr>
          </c:marker>
          <c:cat>
            <c:strRef>
              <c:f>Coba_Hippotrague!$A$3:$A$9</c:f>
              <c:strCache>
                <c:ptCount val="7"/>
                <c:pt idx="0">
                  <c:v>Mai 2010</c:v>
                </c:pt>
                <c:pt idx="1">
                  <c:v>Juin 2011</c:v>
                </c:pt>
                <c:pt idx="2">
                  <c:v>Avril 2012</c:v>
                </c:pt>
                <c:pt idx="3">
                  <c:v>Avril 2013</c:v>
                </c:pt>
                <c:pt idx="4">
                  <c:v>Mars 2016</c:v>
                </c:pt>
                <c:pt idx="5">
                  <c:v>Mai 2016</c:v>
                </c:pt>
                <c:pt idx="6">
                  <c:v>Mai 2018</c:v>
                </c:pt>
              </c:strCache>
            </c:strRef>
          </c:cat>
          <c:val>
            <c:numRef>
              <c:f>Coba_Hippotrague!$D$3:$D$9</c:f>
              <c:numCache>
                <c:formatCode>0</c:formatCode>
                <c:ptCount val="7"/>
                <c:pt idx="0">
                  <c:v>137</c:v>
                </c:pt>
                <c:pt idx="1">
                  <c:v>109</c:v>
                </c:pt>
                <c:pt idx="2">
                  <c:v>57</c:v>
                </c:pt>
                <c:pt idx="3">
                  <c:v>120</c:v>
                </c:pt>
                <c:pt idx="4">
                  <c:v>80</c:v>
                </c:pt>
                <c:pt idx="5">
                  <c:v>119</c:v>
                </c:pt>
                <c:pt idx="6">
                  <c:v>62</c:v>
                </c:pt>
              </c:numCache>
            </c:numRef>
          </c:val>
          <c:smooth val="0"/>
          <c:extLst>
            <c:ext xmlns:c16="http://schemas.microsoft.com/office/drawing/2014/chart" uri="{C3380CC4-5D6E-409C-BE32-E72D297353CC}">
              <c16:uniqueId val="{00000002-FA53-48C6-B0E2-C0EBBCCA7F47}"/>
            </c:ext>
          </c:extLst>
        </c:ser>
        <c:ser>
          <c:idx val="3"/>
          <c:order val="3"/>
          <c:tx>
            <c:strRef>
              <c:f>Coba_Hippotrague!$E$2</c:f>
              <c:strCache>
                <c:ptCount val="1"/>
                <c:pt idx="0">
                  <c:v>Taille moyenne de groupe</c:v>
                </c:pt>
              </c:strCache>
            </c:strRef>
          </c:tx>
          <c:spPr>
            <a:ln>
              <a:solidFill>
                <a:schemeClr val="accent6"/>
              </a:solidFill>
            </a:ln>
          </c:spPr>
          <c:marker>
            <c:symbol val="circle"/>
            <c:size val="7"/>
            <c:spPr>
              <a:solidFill>
                <a:schemeClr val="accent6"/>
              </a:solidFill>
              <a:ln>
                <a:solidFill>
                  <a:schemeClr val="accent6"/>
                </a:solidFill>
              </a:ln>
            </c:spPr>
          </c:marker>
          <c:cat>
            <c:strRef>
              <c:f>Coba_Hippotrague!$A$3:$A$9</c:f>
              <c:strCache>
                <c:ptCount val="7"/>
                <c:pt idx="0">
                  <c:v>Mai 2010</c:v>
                </c:pt>
                <c:pt idx="1">
                  <c:v>Juin 2011</c:v>
                </c:pt>
                <c:pt idx="2">
                  <c:v>Avril 2012</c:v>
                </c:pt>
                <c:pt idx="3">
                  <c:v>Avril 2013</c:v>
                </c:pt>
                <c:pt idx="4">
                  <c:v>Mars 2016</c:v>
                </c:pt>
                <c:pt idx="5">
                  <c:v>Mai 2016</c:v>
                </c:pt>
                <c:pt idx="6">
                  <c:v>Mai 2018</c:v>
                </c:pt>
              </c:strCache>
            </c:strRef>
          </c:cat>
          <c:val>
            <c:numRef>
              <c:f>Coba_Hippotrague!$E$3:$E$9</c:f>
              <c:numCache>
                <c:formatCode>General</c:formatCode>
                <c:ptCount val="7"/>
                <c:pt idx="0">
                  <c:v>8.5625</c:v>
                </c:pt>
                <c:pt idx="1">
                  <c:v>5.45</c:v>
                </c:pt>
                <c:pt idx="2">
                  <c:v>3.8</c:v>
                </c:pt>
                <c:pt idx="3">
                  <c:v>5.7142857142857144</c:v>
                </c:pt>
                <c:pt idx="4">
                  <c:v>6.666666666666667</c:v>
                </c:pt>
                <c:pt idx="5">
                  <c:v>7.9333333333333336</c:v>
                </c:pt>
                <c:pt idx="6">
                  <c:v>3.263157894736842</c:v>
                </c:pt>
              </c:numCache>
            </c:numRef>
          </c:val>
          <c:smooth val="0"/>
          <c:extLst>
            <c:ext xmlns:c16="http://schemas.microsoft.com/office/drawing/2014/chart" uri="{C3380CC4-5D6E-409C-BE32-E72D297353CC}">
              <c16:uniqueId val="{00000003-FA53-48C6-B0E2-C0EBBCCA7F47}"/>
            </c:ext>
          </c:extLst>
        </c:ser>
        <c:dLbls>
          <c:showLegendKey val="0"/>
          <c:showVal val="0"/>
          <c:showCatName val="0"/>
          <c:showSerName val="0"/>
          <c:showPercent val="0"/>
          <c:showBubbleSize val="0"/>
        </c:dLbls>
        <c:marker val="1"/>
        <c:smooth val="0"/>
        <c:axId val="543527272"/>
        <c:axId val="543531976"/>
      </c:lineChart>
      <c:catAx>
        <c:axId val="543527272"/>
        <c:scaling>
          <c:orientation val="minMax"/>
        </c:scaling>
        <c:delete val="0"/>
        <c:axPos val="b"/>
        <c:title>
          <c:tx>
            <c:rich>
              <a:bodyPr/>
              <a:lstStyle/>
              <a:p>
                <a:pPr>
                  <a:defRPr/>
                </a:pPr>
                <a:r>
                  <a:rPr lang="en-US"/>
                  <a:t>Année</a:t>
                </a:r>
              </a:p>
            </c:rich>
          </c:tx>
          <c:overlay val="0"/>
        </c:title>
        <c:numFmt formatCode="General" sourceLinked="0"/>
        <c:majorTickMark val="out"/>
        <c:minorTickMark val="none"/>
        <c:tickLblPos val="nextTo"/>
        <c:crossAx val="543531976"/>
        <c:crosses val="autoZero"/>
        <c:auto val="1"/>
        <c:lblAlgn val="ctr"/>
        <c:lblOffset val="100"/>
        <c:noMultiLvlLbl val="0"/>
      </c:catAx>
      <c:valAx>
        <c:axId val="543531976"/>
        <c:scaling>
          <c:orientation val="minMax"/>
        </c:scaling>
        <c:delete val="0"/>
        <c:axPos val="l"/>
        <c:majorGridlines>
          <c:spPr>
            <a:ln>
              <a:noFill/>
            </a:ln>
          </c:spPr>
        </c:majorGridlines>
        <c:title>
          <c:tx>
            <c:rich>
              <a:bodyPr rot="-5400000" vert="horz"/>
              <a:lstStyle/>
              <a:p>
                <a:pPr>
                  <a:defRPr/>
                </a:pPr>
                <a:r>
                  <a:rPr lang="en-US"/>
                  <a:t>Nombre</a:t>
                </a:r>
              </a:p>
            </c:rich>
          </c:tx>
          <c:overlay val="0"/>
        </c:title>
        <c:numFmt formatCode="0" sourceLinked="1"/>
        <c:majorTickMark val="out"/>
        <c:minorTickMark val="none"/>
        <c:tickLblPos val="nextTo"/>
        <c:crossAx val="543527272"/>
        <c:crosses val="autoZero"/>
        <c:crossBetween val="between"/>
      </c:valAx>
    </c:plotArea>
    <c:legend>
      <c:legendPos val="t"/>
      <c:layout>
        <c:manualLayout>
          <c:xMode val="edge"/>
          <c:yMode val="edge"/>
          <c:x val="0.33217688951301472"/>
          <c:y val="4.5167118337850042E-3"/>
          <c:w val="0.66579275122456827"/>
          <c:h val="0.15469844724693965"/>
        </c:manualLayout>
      </c:layout>
      <c:overlay val="0"/>
      <c:txPr>
        <a:bodyPr/>
        <a:lstStyle/>
        <a:p>
          <a:pPr>
            <a:defRPr sz="800" b="1"/>
          </a:pPr>
          <a:endParaRPr lang="fr-BF"/>
        </a:p>
      </c:txPr>
    </c:legend>
    <c:plotVisOnly val="1"/>
    <c:dispBlanksAs val="gap"/>
    <c:showDLblsOverMax val="0"/>
  </c:chart>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Elephant</a:t>
            </a:r>
          </a:p>
        </c:rich>
      </c:tx>
      <c:layout>
        <c:manualLayout>
          <c:xMode val="edge"/>
          <c:yMode val="edge"/>
          <c:x val="0.15809447983014863"/>
          <c:y val="0"/>
        </c:manualLayout>
      </c:layout>
      <c:overlay val="1"/>
      <c:spPr>
        <a:ln>
          <a:solidFill>
            <a:sysClr val="windowText" lastClr="000000"/>
          </a:solidFill>
        </a:ln>
      </c:spPr>
    </c:title>
    <c:autoTitleDeleted val="0"/>
    <c:plotArea>
      <c:layout>
        <c:manualLayout>
          <c:layoutTarget val="inner"/>
          <c:xMode val="edge"/>
          <c:yMode val="edge"/>
          <c:x val="0.13036323286022369"/>
          <c:y val="0.21200165020022904"/>
          <c:w val="0.84575141682130495"/>
          <c:h val="0.52394355177147567"/>
        </c:manualLayout>
      </c:layout>
      <c:lineChart>
        <c:grouping val="standard"/>
        <c:varyColors val="0"/>
        <c:ser>
          <c:idx val="0"/>
          <c:order val="0"/>
          <c:tx>
            <c:strRef>
              <c:f>Elephant!$B$2</c:f>
              <c:strCache>
                <c:ptCount val="1"/>
                <c:pt idx="0">
                  <c:v>Nombre de contact</c:v>
                </c:pt>
              </c:strCache>
            </c:strRef>
          </c:tx>
          <c:cat>
            <c:strRef>
              <c:f>Elephant!$A$3:$A$9</c:f>
              <c:strCache>
                <c:ptCount val="7"/>
                <c:pt idx="0">
                  <c:v>Mai 2010</c:v>
                </c:pt>
                <c:pt idx="1">
                  <c:v>Juin 2011</c:v>
                </c:pt>
                <c:pt idx="2">
                  <c:v>Avril 2012</c:v>
                </c:pt>
                <c:pt idx="3">
                  <c:v>Avril 2013</c:v>
                </c:pt>
                <c:pt idx="4">
                  <c:v>Mars 2016</c:v>
                </c:pt>
                <c:pt idx="5">
                  <c:v>Mai 2016</c:v>
                </c:pt>
                <c:pt idx="6">
                  <c:v>Mai 2018</c:v>
                </c:pt>
              </c:strCache>
            </c:strRef>
          </c:cat>
          <c:val>
            <c:numRef>
              <c:f>Elephant!$B$3:$B$9</c:f>
              <c:numCache>
                <c:formatCode>0</c:formatCode>
                <c:ptCount val="7"/>
                <c:pt idx="0">
                  <c:v>0</c:v>
                </c:pt>
                <c:pt idx="1">
                  <c:v>0</c:v>
                </c:pt>
                <c:pt idx="2">
                  <c:v>1</c:v>
                </c:pt>
                <c:pt idx="3">
                  <c:v>0</c:v>
                </c:pt>
                <c:pt idx="4">
                  <c:v>0</c:v>
                </c:pt>
                <c:pt idx="5">
                  <c:v>0</c:v>
                </c:pt>
                <c:pt idx="6">
                  <c:v>2</c:v>
                </c:pt>
              </c:numCache>
            </c:numRef>
          </c:val>
          <c:smooth val="0"/>
          <c:extLst>
            <c:ext xmlns:c16="http://schemas.microsoft.com/office/drawing/2014/chart" uri="{C3380CC4-5D6E-409C-BE32-E72D297353CC}">
              <c16:uniqueId val="{00000000-2287-4F03-9FDB-506DD4115062}"/>
            </c:ext>
          </c:extLst>
        </c:ser>
        <c:ser>
          <c:idx val="1"/>
          <c:order val="1"/>
          <c:tx>
            <c:strRef>
              <c:f>Elephant!$C$2</c:f>
              <c:strCache>
                <c:ptCount val="1"/>
                <c:pt idx="0">
                  <c:v>Plus grand groupe observé</c:v>
                </c:pt>
              </c:strCache>
            </c:strRef>
          </c:tx>
          <c:cat>
            <c:strRef>
              <c:f>Elephant!$A$3:$A$9</c:f>
              <c:strCache>
                <c:ptCount val="7"/>
                <c:pt idx="0">
                  <c:v>Mai 2010</c:v>
                </c:pt>
                <c:pt idx="1">
                  <c:v>Juin 2011</c:v>
                </c:pt>
                <c:pt idx="2">
                  <c:v>Avril 2012</c:v>
                </c:pt>
                <c:pt idx="3">
                  <c:v>Avril 2013</c:v>
                </c:pt>
                <c:pt idx="4">
                  <c:v>Mars 2016</c:v>
                </c:pt>
                <c:pt idx="5">
                  <c:v>Mai 2016</c:v>
                </c:pt>
                <c:pt idx="6">
                  <c:v>Mai 2018</c:v>
                </c:pt>
              </c:strCache>
            </c:strRef>
          </c:cat>
          <c:val>
            <c:numRef>
              <c:f>Elephant!$C$3:$C$9</c:f>
              <c:numCache>
                <c:formatCode>General</c:formatCode>
                <c:ptCount val="7"/>
                <c:pt idx="0">
                  <c:v>0</c:v>
                </c:pt>
                <c:pt idx="1">
                  <c:v>0</c:v>
                </c:pt>
                <c:pt idx="2">
                  <c:v>0</c:v>
                </c:pt>
                <c:pt idx="3" formatCode="0">
                  <c:v>0</c:v>
                </c:pt>
                <c:pt idx="4" formatCode="0">
                  <c:v>0</c:v>
                </c:pt>
                <c:pt idx="5" formatCode="0">
                  <c:v>0</c:v>
                </c:pt>
                <c:pt idx="6">
                  <c:v>5</c:v>
                </c:pt>
              </c:numCache>
            </c:numRef>
          </c:val>
          <c:smooth val="0"/>
          <c:extLst>
            <c:ext xmlns:c16="http://schemas.microsoft.com/office/drawing/2014/chart" uri="{C3380CC4-5D6E-409C-BE32-E72D297353CC}">
              <c16:uniqueId val="{00000001-2287-4F03-9FDB-506DD4115062}"/>
            </c:ext>
          </c:extLst>
        </c:ser>
        <c:ser>
          <c:idx val="2"/>
          <c:order val="2"/>
          <c:tx>
            <c:strRef>
              <c:f>Elephant!$D$2</c:f>
              <c:strCache>
                <c:ptCount val="1"/>
                <c:pt idx="0">
                  <c:v>Nombre d'individus</c:v>
                </c:pt>
              </c:strCache>
            </c:strRef>
          </c:tx>
          <c:spPr>
            <a:ln>
              <a:solidFill>
                <a:srgbClr val="00B050"/>
              </a:solidFill>
            </a:ln>
          </c:spPr>
          <c:marker>
            <c:spPr>
              <a:solidFill>
                <a:srgbClr val="00B050"/>
              </a:solidFill>
              <a:ln>
                <a:solidFill>
                  <a:srgbClr val="00B050"/>
                </a:solidFill>
              </a:ln>
            </c:spPr>
          </c:marker>
          <c:cat>
            <c:strRef>
              <c:f>Elephant!$A$3:$A$9</c:f>
              <c:strCache>
                <c:ptCount val="7"/>
                <c:pt idx="0">
                  <c:v>Mai 2010</c:v>
                </c:pt>
                <c:pt idx="1">
                  <c:v>Juin 2011</c:v>
                </c:pt>
                <c:pt idx="2">
                  <c:v>Avril 2012</c:v>
                </c:pt>
                <c:pt idx="3">
                  <c:v>Avril 2013</c:v>
                </c:pt>
                <c:pt idx="4">
                  <c:v>Mars 2016</c:v>
                </c:pt>
                <c:pt idx="5">
                  <c:v>Mai 2016</c:v>
                </c:pt>
                <c:pt idx="6">
                  <c:v>Mai 2018</c:v>
                </c:pt>
              </c:strCache>
            </c:strRef>
          </c:cat>
          <c:val>
            <c:numRef>
              <c:f>Elephant!$D$3:$D$9</c:f>
              <c:numCache>
                <c:formatCode>General</c:formatCode>
                <c:ptCount val="7"/>
                <c:pt idx="0">
                  <c:v>0</c:v>
                </c:pt>
                <c:pt idx="1">
                  <c:v>0</c:v>
                </c:pt>
                <c:pt idx="2" formatCode="0">
                  <c:v>1</c:v>
                </c:pt>
                <c:pt idx="3" formatCode="0">
                  <c:v>0</c:v>
                </c:pt>
                <c:pt idx="4" formatCode="0">
                  <c:v>0</c:v>
                </c:pt>
                <c:pt idx="5" formatCode="0">
                  <c:v>0</c:v>
                </c:pt>
                <c:pt idx="6" formatCode="0">
                  <c:v>8</c:v>
                </c:pt>
              </c:numCache>
            </c:numRef>
          </c:val>
          <c:smooth val="0"/>
          <c:extLst>
            <c:ext xmlns:c16="http://schemas.microsoft.com/office/drawing/2014/chart" uri="{C3380CC4-5D6E-409C-BE32-E72D297353CC}">
              <c16:uniqueId val="{00000002-2287-4F03-9FDB-506DD4115062}"/>
            </c:ext>
          </c:extLst>
        </c:ser>
        <c:ser>
          <c:idx val="3"/>
          <c:order val="3"/>
          <c:tx>
            <c:strRef>
              <c:f>Elephant!$E$2</c:f>
              <c:strCache>
                <c:ptCount val="1"/>
                <c:pt idx="0">
                  <c:v>Taille moyenne de groupe</c:v>
                </c:pt>
              </c:strCache>
            </c:strRef>
          </c:tx>
          <c:spPr>
            <a:ln>
              <a:solidFill>
                <a:schemeClr val="accent6"/>
              </a:solidFill>
            </a:ln>
          </c:spPr>
          <c:marker>
            <c:symbol val="circle"/>
            <c:size val="7"/>
            <c:spPr>
              <a:solidFill>
                <a:schemeClr val="accent6"/>
              </a:solidFill>
              <a:ln>
                <a:solidFill>
                  <a:schemeClr val="accent6"/>
                </a:solidFill>
              </a:ln>
            </c:spPr>
          </c:marker>
          <c:cat>
            <c:strRef>
              <c:f>Elephant!$A$3:$A$9</c:f>
              <c:strCache>
                <c:ptCount val="7"/>
                <c:pt idx="0">
                  <c:v>Mai 2010</c:v>
                </c:pt>
                <c:pt idx="1">
                  <c:v>Juin 2011</c:v>
                </c:pt>
                <c:pt idx="2">
                  <c:v>Avril 2012</c:v>
                </c:pt>
                <c:pt idx="3">
                  <c:v>Avril 2013</c:v>
                </c:pt>
                <c:pt idx="4">
                  <c:v>Mars 2016</c:v>
                </c:pt>
                <c:pt idx="5">
                  <c:v>Mai 2016</c:v>
                </c:pt>
                <c:pt idx="6">
                  <c:v>Mai 2018</c:v>
                </c:pt>
              </c:strCache>
            </c:strRef>
          </c:cat>
          <c:val>
            <c:numRef>
              <c:f>Elephant!$E$3:$E$9</c:f>
              <c:numCache>
                <c:formatCode>General</c:formatCode>
                <c:ptCount val="7"/>
                <c:pt idx="0">
                  <c:v>0</c:v>
                </c:pt>
                <c:pt idx="1">
                  <c:v>0</c:v>
                </c:pt>
                <c:pt idx="2">
                  <c:v>1</c:v>
                </c:pt>
                <c:pt idx="3">
                  <c:v>0</c:v>
                </c:pt>
                <c:pt idx="4">
                  <c:v>0</c:v>
                </c:pt>
                <c:pt idx="5">
                  <c:v>0</c:v>
                </c:pt>
                <c:pt idx="6">
                  <c:v>4</c:v>
                </c:pt>
              </c:numCache>
            </c:numRef>
          </c:val>
          <c:smooth val="0"/>
          <c:extLst>
            <c:ext xmlns:c16="http://schemas.microsoft.com/office/drawing/2014/chart" uri="{C3380CC4-5D6E-409C-BE32-E72D297353CC}">
              <c16:uniqueId val="{00000003-2287-4F03-9FDB-506DD4115062}"/>
            </c:ext>
          </c:extLst>
        </c:ser>
        <c:dLbls>
          <c:showLegendKey val="0"/>
          <c:showVal val="0"/>
          <c:showCatName val="0"/>
          <c:showSerName val="0"/>
          <c:showPercent val="0"/>
          <c:showBubbleSize val="0"/>
        </c:dLbls>
        <c:marker val="1"/>
        <c:smooth val="0"/>
        <c:axId val="543530800"/>
        <c:axId val="543532368"/>
      </c:lineChart>
      <c:catAx>
        <c:axId val="543530800"/>
        <c:scaling>
          <c:orientation val="minMax"/>
        </c:scaling>
        <c:delete val="0"/>
        <c:axPos val="b"/>
        <c:title>
          <c:tx>
            <c:rich>
              <a:bodyPr/>
              <a:lstStyle/>
              <a:p>
                <a:pPr>
                  <a:defRPr/>
                </a:pPr>
                <a:r>
                  <a:rPr lang="en-US"/>
                  <a:t>Année</a:t>
                </a:r>
              </a:p>
            </c:rich>
          </c:tx>
          <c:overlay val="0"/>
        </c:title>
        <c:numFmt formatCode="General" sourceLinked="0"/>
        <c:majorTickMark val="out"/>
        <c:minorTickMark val="none"/>
        <c:tickLblPos val="nextTo"/>
        <c:crossAx val="543532368"/>
        <c:crosses val="autoZero"/>
        <c:auto val="1"/>
        <c:lblAlgn val="ctr"/>
        <c:lblOffset val="100"/>
        <c:noMultiLvlLbl val="0"/>
      </c:catAx>
      <c:valAx>
        <c:axId val="543532368"/>
        <c:scaling>
          <c:orientation val="minMax"/>
        </c:scaling>
        <c:delete val="0"/>
        <c:axPos val="l"/>
        <c:majorGridlines>
          <c:spPr>
            <a:ln>
              <a:noFill/>
            </a:ln>
          </c:spPr>
        </c:majorGridlines>
        <c:title>
          <c:tx>
            <c:rich>
              <a:bodyPr rot="-5400000" vert="horz"/>
              <a:lstStyle/>
              <a:p>
                <a:pPr>
                  <a:defRPr/>
                </a:pPr>
                <a:r>
                  <a:rPr lang="en-US"/>
                  <a:t>Nombre</a:t>
                </a:r>
              </a:p>
            </c:rich>
          </c:tx>
          <c:overlay val="0"/>
        </c:title>
        <c:numFmt formatCode="0" sourceLinked="1"/>
        <c:majorTickMark val="out"/>
        <c:minorTickMark val="none"/>
        <c:tickLblPos val="nextTo"/>
        <c:crossAx val="543530800"/>
        <c:crosses val="autoZero"/>
        <c:crossBetween val="between"/>
      </c:valAx>
    </c:plotArea>
    <c:legend>
      <c:legendPos val="t"/>
      <c:layout>
        <c:manualLayout>
          <c:xMode val="edge"/>
          <c:yMode val="edge"/>
          <c:x val="0.33217688951301472"/>
          <c:y val="4.5167118337850042E-3"/>
          <c:w val="0.66579275122456827"/>
          <c:h val="0.15469844724693965"/>
        </c:manualLayout>
      </c:layout>
      <c:overlay val="0"/>
      <c:txPr>
        <a:bodyPr/>
        <a:lstStyle/>
        <a:p>
          <a:pPr>
            <a:defRPr sz="800" b="1"/>
          </a:pPr>
          <a:endParaRPr lang="fr-BF"/>
        </a:p>
      </c:txPr>
    </c:legend>
    <c:plotVisOnly val="1"/>
    <c:dispBlanksAs val="gap"/>
    <c:showDLblsOverMax val="0"/>
  </c:chart>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Guib harnaché</a:t>
            </a:r>
          </a:p>
        </c:rich>
      </c:tx>
      <c:layout>
        <c:manualLayout>
          <c:xMode val="edge"/>
          <c:yMode val="edge"/>
          <c:x val="5.4591295116772826E-2"/>
          <c:y val="0"/>
        </c:manualLayout>
      </c:layout>
      <c:overlay val="1"/>
      <c:spPr>
        <a:ln>
          <a:solidFill>
            <a:sysClr val="windowText" lastClr="000000"/>
          </a:solidFill>
        </a:ln>
      </c:spPr>
    </c:title>
    <c:autoTitleDeleted val="0"/>
    <c:plotArea>
      <c:layout/>
      <c:lineChart>
        <c:grouping val="standard"/>
        <c:varyColors val="0"/>
        <c:ser>
          <c:idx val="0"/>
          <c:order val="0"/>
          <c:tx>
            <c:strRef>
              <c:f>'Guib harnaché'!$B$2</c:f>
              <c:strCache>
                <c:ptCount val="1"/>
                <c:pt idx="0">
                  <c:v>Nombre de contact</c:v>
                </c:pt>
              </c:strCache>
            </c:strRef>
          </c:tx>
          <c:cat>
            <c:strRef>
              <c:f>'Guib harnaché'!$A$3:$A$9</c:f>
              <c:strCache>
                <c:ptCount val="7"/>
                <c:pt idx="0">
                  <c:v>Mai 2010</c:v>
                </c:pt>
                <c:pt idx="1">
                  <c:v>Juin 2011</c:v>
                </c:pt>
                <c:pt idx="2">
                  <c:v>Avril 2012</c:v>
                </c:pt>
                <c:pt idx="3">
                  <c:v>Avril 2013</c:v>
                </c:pt>
                <c:pt idx="4">
                  <c:v>Mars 2016</c:v>
                </c:pt>
                <c:pt idx="5">
                  <c:v>Mai 2016</c:v>
                </c:pt>
                <c:pt idx="6">
                  <c:v>Mai 2018</c:v>
                </c:pt>
              </c:strCache>
            </c:strRef>
          </c:cat>
          <c:val>
            <c:numRef>
              <c:f>'Guib harnaché'!$B$3:$B$9</c:f>
              <c:numCache>
                <c:formatCode>0</c:formatCode>
                <c:ptCount val="7"/>
                <c:pt idx="0">
                  <c:v>12</c:v>
                </c:pt>
                <c:pt idx="1">
                  <c:v>6</c:v>
                </c:pt>
                <c:pt idx="2">
                  <c:v>11</c:v>
                </c:pt>
                <c:pt idx="3">
                  <c:v>4</c:v>
                </c:pt>
                <c:pt idx="4">
                  <c:v>3</c:v>
                </c:pt>
                <c:pt idx="5">
                  <c:v>1</c:v>
                </c:pt>
                <c:pt idx="6">
                  <c:v>4</c:v>
                </c:pt>
              </c:numCache>
            </c:numRef>
          </c:val>
          <c:smooth val="0"/>
          <c:extLst>
            <c:ext xmlns:c16="http://schemas.microsoft.com/office/drawing/2014/chart" uri="{C3380CC4-5D6E-409C-BE32-E72D297353CC}">
              <c16:uniqueId val="{00000000-0734-4F72-8FB0-2E81328008DD}"/>
            </c:ext>
          </c:extLst>
        </c:ser>
        <c:ser>
          <c:idx val="1"/>
          <c:order val="1"/>
          <c:tx>
            <c:strRef>
              <c:f>'Guib harnaché'!$C$2</c:f>
              <c:strCache>
                <c:ptCount val="1"/>
                <c:pt idx="0">
                  <c:v>Plus grand groupe observé</c:v>
                </c:pt>
              </c:strCache>
            </c:strRef>
          </c:tx>
          <c:cat>
            <c:strRef>
              <c:f>'Guib harnaché'!$A$3:$A$9</c:f>
              <c:strCache>
                <c:ptCount val="7"/>
                <c:pt idx="0">
                  <c:v>Mai 2010</c:v>
                </c:pt>
                <c:pt idx="1">
                  <c:v>Juin 2011</c:v>
                </c:pt>
                <c:pt idx="2">
                  <c:v>Avril 2012</c:v>
                </c:pt>
                <c:pt idx="3">
                  <c:v>Avril 2013</c:v>
                </c:pt>
                <c:pt idx="4">
                  <c:v>Mars 2016</c:v>
                </c:pt>
                <c:pt idx="5">
                  <c:v>Mai 2016</c:v>
                </c:pt>
                <c:pt idx="6">
                  <c:v>Mai 2018</c:v>
                </c:pt>
              </c:strCache>
            </c:strRef>
          </c:cat>
          <c:val>
            <c:numRef>
              <c:f>'Guib harnaché'!$C$3:$C$9</c:f>
              <c:numCache>
                <c:formatCode>General</c:formatCode>
                <c:ptCount val="7"/>
                <c:pt idx="0">
                  <c:v>2</c:v>
                </c:pt>
                <c:pt idx="1">
                  <c:v>2</c:v>
                </c:pt>
                <c:pt idx="2">
                  <c:v>2</c:v>
                </c:pt>
                <c:pt idx="3">
                  <c:v>1</c:v>
                </c:pt>
                <c:pt idx="4" formatCode="0">
                  <c:v>1</c:v>
                </c:pt>
                <c:pt idx="5" formatCode="0">
                  <c:v>2</c:v>
                </c:pt>
                <c:pt idx="6">
                  <c:v>2</c:v>
                </c:pt>
              </c:numCache>
            </c:numRef>
          </c:val>
          <c:smooth val="0"/>
          <c:extLst>
            <c:ext xmlns:c16="http://schemas.microsoft.com/office/drawing/2014/chart" uri="{C3380CC4-5D6E-409C-BE32-E72D297353CC}">
              <c16:uniqueId val="{00000001-0734-4F72-8FB0-2E81328008DD}"/>
            </c:ext>
          </c:extLst>
        </c:ser>
        <c:ser>
          <c:idx val="2"/>
          <c:order val="2"/>
          <c:tx>
            <c:strRef>
              <c:f>'Guib harnaché'!$D$2</c:f>
              <c:strCache>
                <c:ptCount val="1"/>
                <c:pt idx="0">
                  <c:v>Nombre d'individus</c:v>
                </c:pt>
              </c:strCache>
            </c:strRef>
          </c:tx>
          <c:spPr>
            <a:ln>
              <a:solidFill>
                <a:srgbClr val="00B050"/>
              </a:solidFill>
            </a:ln>
          </c:spPr>
          <c:marker>
            <c:spPr>
              <a:solidFill>
                <a:srgbClr val="00B050"/>
              </a:solidFill>
              <a:ln>
                <a:solidFill>
                  <a:srgbClr val="00B050"/>
                </a:solidFill>
              </a:ln>
            </c:spPr>
          </c:marker>
          <c:cat>
            <c:strRef>
              <c:f>'Guib harnaché'!$A$3:$A$9</c:f>
              <c:strCache>
                <c:ptCount val="7"/>
                <c:pt idx="0">
                  <c:v>Mai 2010</c:v>
                </c:pt>
                <c:pt idx="1">
                  <c:v>Juin 2011</c:v>
                </c:pt>
                <c:pt idx="2">
                  <c:v>Avril 2012</c:v>
                </c:pt>
                <c:pt idx="3">
                  <c:v>Avril 2013</c:v>
                </c:pt>
                <c:pt idx="4">
                  <c:v>Mars 2016</c:v>
                </c:pt>
                <c:pt idx="5">
                  <c:v>Mai 2016</c:v>
                </c:pt>
                <c:pt idx="6">
                  <c:v>Mai 2018</c:v>
                </c:pt>
              </c:strCache>
            </c:strRef>
          </c:cat>
          <c:val>
            <c:numRef>
              <c:f>'Guib harnaché'!$D$3:$D$9</c:f>
              <c:numCache>
                <c:formatCode>0</c:formatCode>
                <c:ptCount val="7"/>
                <c:pt idx="0">
                  <c:v>14</c:v>
                </c:pt>
                <c:pt idx="1">
                  <c:v>8</c:v>
                </c:pt>
                <c:pt idx="2">
                  <c:v>13</c:v>
                </c:pt>
                <c:pt idx="3">
                  <c:v>4</c:v>
                </c:pt>
                <c:pt idx="4">
                  <c:v>3</c:v>
                </c:pt>
                <c:pt idx="5">
                  <c:v>2</c:v>
                </c:pt>
                <c:pt idx="6">
                  <c:v>5</c:v>
                </c:pt>
              </c:numCache>
            </c:numRef>
          </c:val>
          <c:smooth val="0"/>
          <c:extLst>
            <c:ext xmlns:c16="http://schemas.microsoft.com/office/drawing/2014/chart" uri="{C3380CC4-5D6E-409C-BE32-E72D297353CC}">
              <c16:uniqueId val="{00000002-0734-4F72-8FB0-2E81328008DD}"/>
            </c:ext>
          </c:extLst>
        </c:ser>
        <c:ser>
          <c:idx val="3"/>
          <c:order val="3"/>
          <c:tx>
            <c:strRef>
              <c:f>'Guib harnaché'!$E$2</c:f>
              <c:strCache>
                <c:ptCount val="1"/>
                <c:pt idx="0">
                  <c:v>Taille moyenne de groupe</c:v>
                </c:pt>
              </c:strCache>
            </c:strRef>
          </c:tx>
          <c:spPr>
            <a:ln>
              <a:solidFill>
                <a:schemeClr val="accent6"/>
              </a:solidFill>
            </a:ln>
          </c:spPr>
          <c:marker>
            <c:symbol val="circle"/>
            <c:size val="7"/>
            <c:spPr>
              <a:solidFill>
                <a:schemeClr val="accent6"/>
              </a:solidFill>
              <a:ln>
                <a:solidFill>
                  <a:schemeClr val="accent6"/>
                </a:solidFill>
              </a:ln>
            </c:spPr>
          </c:marker>
          <c:cat>
            <c:strRef>
              <c:f>'Guib harnaché'!$A$3:$A$9</c:f>
              <c:strCache>
                <c:ptCount val="7"/>
                <c:pt idx="0">
                  <c:v>Mai 2010</c:v>
                </c:pt>
                <c:pt idx="1">
                  <c:v>Juin 2011</c:v>
                </c:pt>
                <c:pt idx="2">
                  <c:v>Avril 2012</c:v>
                </c:pt>
                <c:pt idx="3">
                  <c:v>Avril 2013</c:v>
                </c:pt>
                <c:pt idx="4">
                  <c:v>Mars 2016</c:v>
                </c:pt>
                <c:pt idx="5">
                  <c:v>Mai 2016</c:v>
                </c:pt>
                <c:pt idx="6">
                  <c:v>Mai 2018</c:v>
                </c:pt>
              </c:strCache>
            </c:strRef>
          </c:cat>
          <c:val>
            <c:numRef>
              <c:f>'Guib harnaché'!$E$3:$E$9</c:f>
              <c:numCache>
                <c:formatCode>General</c:formatCode>
                <c:ptCount val="7"/>
                <c:pt idx="0">
                  <c:v>1.1666666666666667</c:v>
                </c:pt>
                <c:pt idx="1">
                  <c:v>1.3333333333333333</c:v>
                </c:pt>
                <c:pt idx="2">
                  <c:v>1.1818181818181819</c:v>
                </c:pt>
                <c:pt idx="3">
                  <c:v>1</c:v>
                </c:pt>
                <c:pt idx="4">
                  <c:v>1</c:v>
                </c:pt>
                <c:pt idx="5">
                  <c:v>2</c:v>
                </c:pt>
                <c:pt idx="6">
                  <c:v>1.25</c:v>
                </c:pt>
              </c:numCache>
            </c:numRef>
          </c:val>
          <c:smooth val="0"/>
          <c:extLst>
            <c:ext xmlns:c16="http://schemas.microsoft.com/office/drawing/2014/chart" uri="{C3380CC4-5D6E-409C-BE32-E72D297353CC}">
              <c16:uniqueId val="{00000003-0734-4F72-8FB0-2E81328008DD}"/>
            </c:ext>
          </c:extLst>
        </c:ser>
        <c:dLbls>
          <c:showLegendKey val="0"/>
          <c:showVal val="0"/>
          <c:showCatName val="0"/>
          <c:showSerName val="0"/>
          <c:showPercent val="0"/>
          <c:showBubbleSize val="0"/>
        </c:dLbls>
        <c:marker val="1"/>
        <c:smooth val="0"/>
        <c:axId val="543532760"/>
        <c:axId val="543533152"/>
      </c:lineChart>
      <c:catAx>
        <c:axId val="543532760"/>
        <c:scaling>
          <c:orientation val="minMax"/>
        </c:scaling>
        <c:delete val="0"/>
        <c:axPos val="b"/>
        <c:title>
          <c:tx>
            <c:rich>
              <a:bodyPr/>
              <a:lstStyle/>
              <a:p>
                <a:pPr>
                  <a:defRPr/>
                </a:pPr>
                <a:r>
                  <a:rPr lang="en-US"/>
                  <a:t>Année</a:t>
                </a:r>
              </a:p>
            </c:rich>
          </c:tx>
          <c:overlay val="0"/>
        </c:title>
        <c:numFmt formatCode="General" sourceLinked="0"/>
        <c:majorTickMark val="out"/>
        <c:minorTickMark val="none"/>
        <c:tickLblPos val="nextTo"/>
        <c:crossAx val="543533152"/>
        <c:crosses val="autoZero"/>
        <c:auto val="1"/>
        <c:lblAlgn val="ctr"/>
        <c:lblOffset val="100"/>
        <c:noMultiLvlLbl val="0"/>
      </c:catAx>
      <c:valAx>
        <c:axId val="543533152"/>
        <c:scaling>
          <c:orientation val="minMax"/>
        </c:scaling>
        <c:delete val="0"/>
        <c:axPos val="l"/>
        <c:majorGridlines>
          <c:spPr>
            <a:ln>
              <a:noFill/>
            </a:ln>
          </c:spPr>
        </c:majorGridlines>
        <c:title>
          <c:tx>
            <c:rich>
              <a:bodyPr rot="-5400000" vert="horz"/>
              <a:lstStyle/>
              <a:p>
                <a:pPr>
                  <a:defRPr/>
                </a:pPr>
                <a:r>
                  <a:rPr lang="en-US"/>
                  <a:t>Nombre</a:t>
                </a:r>
              </a:p>
            </c:rich>
          </c:tx>
          <c:overlay val="0"/>
        </c:title>
        <c:numFmt formatCode="0" sourceLinked="1"/>
        <c:majorTickMark val="out"/>
        <c:minorTickMark val="none"/>
        <c:tickLblPos val="nextTo"/>
        <c:crossAx val="543532760"/>
        <c:crosses val="autoZero"/>
        <c:crossBetween val="between"/>
      </c:valAx>
    </c:plotArea>
    <c:legend>
      <c:legendPos val="t"/>
      <c:layout>
        <c:manualLayout>
          <c:xMode val="edge"/>
          <c:yMode val="edge"/>
          <c:x val="0.33217688951301472"/>
          <c:y val="4.5167118337850042E-3"/>
          <c:w val="0.66579275122456827"/>
          <c:h val="0.15469844724693965"/>
        </c:manualLayout>
      </c:layout>
      <c:overlay val="0"/>
      <c:txPr>
        <a:bodyPr/>
        <a:lstStyle/>
        <a:p>
          <a:pPr>
            <a:defRPr sz="800" b="1"/>
          </a:pPr>
          <a:endParaRPr lang="fr-BF"/>
        </a:p>
      </c:txPr>
    </c:legend>
    <c:plotVisOnly val="1"/>
    <c:dispBlanksAs val="gap"/>
    <c:showDLblsOverMax val="0"/>
  </c:chart>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Ourebi</a:t>
            </a:r>
          </a:p>
        </c:rich>
      </c:tx>
      <c:layout>
        <c:manualLayout>
          <c:xMode val="edge"/>
          <c:yMode val="edge"/>
          <c:x val="0.18197983014861993"/>
          <c:y val="0"/>
        </c:manualLayout>
      </c:layout>
      <c:overlay val="1"/>
      <c:spPr>
        <a:ln>
          <a:solidFill>
            <a:sysClr val="windowText" lastClr="000000"/>
          </a:solidFill>
        </a:ln>
      </c:spPr>
    </c:title>
    <c:autoTitleDeleted val="0"/>
    <c:plotArea>
      <c:layout/>
      <c:lineChart>
        <c:grouping val="standard"/>
        <c:varyColors val="0"/>
        <c:ser>
          <c:idx val="0"/>
          <c:order val="0"/>
          <c:tx>
            <c:strRef>
              <c:f>Ourebi!$B$2</c:f>
              <c:strCache>
                <c:ptCount val="1"/>
                <c:pt idx="0">
                  <c:v>Nombre de contact</c:v>
                </c:pt>
              </c:strCache>
            </c:strRef>
          </c:tx>
          <c:cat>
            <c:strRef>
              <c:f>Ourebi!$A$3:$A$9</c:f>
              <c:strCache>
                <c:ptCount val="7"/>
                <c:pt idx="0">
                  <c:v>Mai 2010</c:v>
                </c:pt>
                <c:pt idx="1">
                  <c:v>Juin 2011</c:v>
                </c:pt>
                <c:pt idx="2">
                  <c:v>Avril 2012</c:v>
                </c:pt>
                <c:pt idx="3">
                  <c:v>Avril 2013</c:v>
                </c:pt>
                <c:pt idx="4">
                  <c:v>Mars 2016</c:v>
                </c:pt>
                <c:pt idx="5">
                  <c:v>Mai 2016</c:v>
                </c:pt>
                <c:pt idx="6">
                  <c:v>Mai 2018</c:v>
                </c:pt>
              </c:strCache>
            </c:strRef>
          </c:cat>
          <c:val>
            <c:numRef>
              <c:f>Ourebi!$B$3:$B$9</c:f>
              <c:numCache>
                <c:formatCode>0</c:formatCode>
                <c:ptCount val="7"/>
                <c:pt idx="0">
                  <c:v>6</c:v>
                </c:pt>
                <c:pt idx="1">
                  <c:v>3</c:v>
                </c:pt>
                <c:pt idx="2">
                  <c:v>5</c:v>
                </c:pt>
                <c:pt idx="3">
                  <c:v>6</c:v>
                </c:pt>
                <c:pt idx="4">
                  <c:v>4</c:v>
                </c:pt>
                <c:pt idx="5">
                  <c:v>3</c:v>
                </c:pt>
                <c:pt idx="6">
                  <c:v>1</c:v>
                </c:pt>
              </c:numCache>
            </c:numRef>
          </c:val>
          <c:smooth val="0"/>
          <c:extLst>
            <c:ext xmlns:c16="http://schemas.microsoft.com/office/drawing/2014/chart" uri="{C3380CC4-5D6E-409C-BE32-E72D297353CC}">
              <c16:uniqueId val="{00000000-D603-4997-A901-6A0A5F2E0686}"/>
            </c:ext>
          </c:extLst>
        </c:ser>
        <c:ser>
          <c:idx val="1"/>
          <c:order val="1"/>
          <c:tx>
            <c:strRef>
              <c:f>Ourebi!$C$2</c:f>
              <c:strCache>
                <c:ptCount val="1"/>
                <c:pt idx="0">
                  <c:v>Plus grand groupe observé</c:v>
                </c:pt>
              </c:strCache>
            </c:strRef>
          </c:tx>
          <c:cat>
            <c:strRef>
              <c:f>Ourebi!$A$3:$A$9</c:f>
              <c:strCache>
                <c:ptCount val="7"/>
                <c:pt idx="0">
                  <c:v>Mai 2010</c:v>
                </c:pt>
                <c:pt idx="1">
                  <c:v>Juin 2011</c:v>
                </c:pt>
                <c:pt idx="2">
                  <c:v>Avril 2012</c:v>
                </c:pt>
                <c:pt idx="3">
                  <c:v>Avril 2013</c:v>
                </c:pt>
                <c:pt idx="4">
                  <c:v>Mars 2016</c:v>
                </c:pt>
                <c:pt idx="5">
                  <c:v>Mai 2016</c:v>
                </c:pt>
                <c:pt idx="6">
                  <c:v>Mai 2018</c:v>
                </c:pt>
              </c:strCache>
            </c:strRef>
          </c:cat>
          <c:val>
            <c:numRef>
              <c:f>Ourebi!$C$3:$C$9</c:f>
              <c:numCache>
                <c:formatCode>General</c:formatCode>
                <c:ptCount val="7"/>
                <c:pt idx="0">
                  <c:v>2</c:v>
                </c:pt>
                <c:pt idx="1">
                  <c:v>1</c:v>
                </c:pt>
                <c:pt idx="2">
                  <c:v>2</c:v>
                </c:pt>
                <c:pt idx="3">
                  <c:v>2</c:v>
                </c:pt>
                <c:pt idx="4" formatCode="0">
                  <c:v>2</c:v>
                </c:pt>
                <c:pt idx="5" formatCode="0">
                  <c:v>1</c:v>
                </c:pt>
                <c:pt idx="6">
                  <c:v>1</c:v>
                </c:pt>
              </c:numCache>
            </c:numRef>
          </c:val>
          <c:smooth val="0"/>
          <c:extLst>
            <c:ext xmlns:c16="http://schemas.microsoft.com/office/drawing/2014/chart" uri="{C3380CC4-5D6E-409C-BE32-E72D297353CC}">
              <c16:uniqueId val="{00000001-D603-4997-A901-6A0A5F2E0686}"/>
            </c:ext>
          </c:extLst>
        </c:ser>
        <c:ser>
          <c:idx val="2"/>
          <c:order val="2"/>
          <c:tx>
            <c:strRef>
              <c:f>Ourebi!$D$2</c:f>
              <c:strCache>
                <c:ptCount val="1"/>
                <c:pt idx="0">
                  <c:v>Nombre d'individus</c:v>
                </c:pt>
              </c:strCache>
            </c:strRef>
          </c:tx>
          <c:spPr>
            <a:ln>
              <a:solidFill>
                <a:srgbClr val="00B050"/>
              </a:solidFill>
            </a:ln>
          </c:spPr>
          <c:marker>
            <c:spPr>
              <a:solidFill>
                <a:srgbClr val="00B050"/>
              </a:solidFill>
              <a:ln>
                <a:solidFill>
                  <a:srgbClr val="00B050"/>
                </a:solidFill>
              </a:ln>
            </c:spPr>
          </c:marker>
          <c:cat>
            <c:strRef>
              <c:f>Ourebi!$A$3:$A$9</c:f>
              <c:strCache>
                <c:ptCount val="7"/>
                <c:pt idx="0">
                  <c:v>Mai 2010</c:v>
                </c:pt>
                <c:pt idx="1">
                  <c:v>Juin 2011</c:v>
                </c:pt>
                <c:pt idx="2">
                  <c:v>Avril 2012</c:v>
                </c:pt>
                <c:pt idx="3">
                  <c:v>Avril 2013</c:v>
                </c:pt>
                <c:pt idx="4">
                  <c:v>Mars 2016</c:v>
                </c:pt>
                <c:pt idx="5">
                  <c:v>Mai 2016</c:v>
                </c:pt>
                <c:pt idx="6">
                  <c:v>Mai 2018</c:v>
                </c:pt>
              </c:strCache>
            </c:strRef>
          </c:cat>
          <c:val>
            <c:numRef>
              <c:f>Ourebi!$D$3:$D$9</c:f>
              <c:numCache>
                <c:formatCode>0</c:formatCode>
                <c:ptCount val="7"/>
                <c:pt idx="0">
                  <c:v>8</c:v>
                </c:pt>
                <c:pt idx="1">
                  <c:v>3</c:v>
                </c:pt>
                <c:pt idx="2">
                  <c:v>7</c:v>
                </c:pt>
                <c:pt idx="3">
                  <c:v>8</c:v>
                </c:pt>
                <c:pt idx="4">
                  <c:v>5</c:v>
                </c:pt>
                <c:pt idx="5">
                  <c:v>3</c:v>
                </c:pt>
                <c:pt idx="6">
                  <c:v>1</c:v>
                </c:pt>
              </c:numCache>
            </c:numRef>
          </c:val>
          <c:smooth val="0"/>
          <c:extLst>
            <c:ext xmlns:c16="http://schemas.microsoft.com/office/drawing/2014/chart" uri="{C3380CC4-5D6E-409C-BE32-E72D297353CC}">
              <c16:uniqueId val="{00000002-D603-4997-A901-6A0A5F2E0686}"/>
            </c:ext>
          </c:extLst>
        </c:ser>
        <c:ser>
          <c:idx val="3"/>
          <c:order val="3"/>
          <c:tx>
            <c:strRef>
              <c:f>Ourebi!$E$2</c:f>
              <c:strCache>
                <c:ptCount val="1"/>
                <c:pt idx="0">
                  <c:v>Taille moyenne de groupe</c:v>
                </c:pt>
              </c:strCache>
            </c:strRef>
          </c:tx>
          <c:spPr>
            <a:ln>
              <a:solidFill>
                <a:schemeClr val="accent6"/>
              </a:solidFill>
            </a:ln>
          </c:spPr>
          <c:marker>
            <c:symbol val="circle"/>
            <c:size val="7"/>
            <c:spPr>
              <a:solidFill>
                <a:schemeClr val="accent6"/>
              </a:solidFill>
              <a:ln>
                <a:solidFill>
                  <a:schemeClr val="accent6"/>
                </a:solidFill>
              </a:ln>
            </c:spPr>
          </c:marker>
          <c:cat>
            <c:strRef>
              <c:f>Ourebi!$A$3:$A$9</c:f>
              <c:strCache>
                <c:ptCount val="7"/>
                <c:pt idx="0">
                  <c:v>Mai 2010</c:v>
                </c:pt>
                <c:pt idx="1">
                  <c:v>Juin 2011</c:v>
                </c:pt>
                <c:pt idx="2">
                  <c:v>Avril 2012</c:v>
                </c:pt>
                <c:pt idx="3">
                  <c:v>Avril 2013</c:v>
                </c:pt>
                <c:pt idx="4">
                  <c:v>Mars 2016</c:v>
                </c:pt>
                <c:pt idx="5">
                  <c:v>Mai 2016</c:v>
                </c:pt>
                <c:pt idx="6">
                  <c:v>Mai 2018</c:v>
                </c:pt>
              </c:strCache>
            </c:strRef>
          </c:cat>
          <c:val>
            <c:numRef>
              <c:f>Ourebi!$E$3:$E$9</c:f>
              <c:numCache>
                <c:formatCode>General</c:formatCode>
                <c:ptCount val="7"/>
                <c:pt idx="0">
                  <c:v>1.3333333333333333</c:v>
                </c:pt>
                <c:pt idx="1">
                  <c:v>1</c:v>
                </c:pt>
                <c:pt idx="2">
                  <c:v>1.4</c:v>
                </c:pt>
                <c:pt idx="3">
                  <c:v>1.3333333333333333</c:v>
                </c:pt>
                <c:pt idx="4">
                  <c:v>1.25</c:v>
                </c:pt>
                <c:pt idx="5">
                  <c:v>1</c:v>
                </c:pt>
                <c:pt idx="6">
                  <c:v>1</c:v>
                </c:pt>
              </c:numCache>
            </c:numRef>
          </c:val>
          <c:smooth val="0"/>
          <c:extLst>
            <c:ext xmlns:c16="http://schemas.microsoft.com/office/drawing/2014/chart" uri="{C3380CC4-5D6E-409C-BE32-E72D297353CC}">
              <c16:uniqueId val="{00000003-D603-4997-A901-6A0A5F2E0686}"/>
            </c:ext>
          </c:extLst>
        </c:ser>
        <c:dLbls>
          <c:showLegendKey val="0"/>
          <c:showVal val="0"/>
          <c:showCatName val="0"/>
          <c:showSerName val="0"/>
          <c:showPercent val="0"/>
          <c:showBubbleSize val="0"/>
        </c:dLbls>
        <c:marker val="1"/>
        <c:smooth val="0"/>
        <c:axId val="543533544"/>
        <c:axId val="543528448"/>
      </c:lineChart>
      <c:catAx>
        <c:axId val="543533544"/>
        <c:scaling>
          <c:orientation val="minMax"/>
        </c:scaling>
        <c:delete val="0"/>
        <c:axPos val="b"/>
        <c:title>
          <c:tx>
            <c:rich>
              <a:bodyPr/>
              <a:lstStyle/>
              <a:p>
                <a:pPr>
                  <a:defRPr/>
                </a:pPr>
                <a:r>
                  <a:rPr lang="en-US"/>
                  <a:t>Année</a:t>
                </a:r>
              </a:p>
            </c:rich>
          </c:tx>
          <c:overlay val="0"/>
        </c:title>
        <c:numFmt formatCode="General" sourceLinked="0"/>
        <c:majorTickMark val="out"/>
        <c:minorTickMark val="none"/>
        <c:tickLblPos val="nextTo"/>
        <c:crossAx val="543528448"/>
        <c:crosses val="autoZero"/>
        <c:auto val="1"/>
        <c:lblAlgn val="ctr"/>
        <c:lblOffset val="100"/>
        <c:noMultiLvlLbl val="0"/>
      </c:catAx>
      <c:valAx>
        <c:axId val="543528448"/>
        <c:scaling>
          <c:orientation val="minMax"/>
        </c:scaling>
        <c:delete val="0"/>
        <c:axPos val="l"/>
        <c:majorGridlines>
          <c:spPr>
            <a:ln>
              <a:noFill/>
            </a:ln>
          </c:spPr>
        </c:majorGridlines>
        <c:title>
          <c:tx>
            <c:rich>
              <a:bodyPr rot="-5400000" vert="horz"/>
              <a:lstStyle/>
              <a:p>
                <a:pPr>
                  <a:defRPr/>
                </a:pPr>
                <a:r>
                  <a:rPr lang="en-US"/>
                  <a:t>Nombre</a:t>
                </a:r>
              </a:p>
            </c:rich>
          </c:tx>
          <c:overlay val="0"/>
        </c:title>
        <c:numFmt formatCode="0" sourceLinked="1"/>
        <c:majorTickMark val="out"/>
        <c:minorTickMark val="none"/>
        <c:tickLblPos val="nextTo"/>
        <c:crossAx val="543533544"/>
        <c:crosses val="autoZero"/>
        <c:crossBetween val="between"/>
      </c:valAx>
    </c:plotArea>
    <c:legend>
      <c:legendPos val="t"/>
      <c:layout>
        <c:manualLayout>
          <c:xMode val="edge"/>
          <c:yMode val="edge"/>
          <c:x val="0.33217688951301472"/>
          <c:y val="4.5167118337850042E-3"/>
          <c:w val="0.66579275122456827"/>
          <c:h val="0.15469844724693965"/>
        </c:manualLayout>
      </c:layout>
      <c:overlay val="0"/>
      <c:txPr>
        <a:bodyPr/>
        <a:lstStyle/>
        <a:p>
          <a:pPr>
            <a:defRPr sz="800" b="1"/>
          </a:pPr>
          <a:endParaRPr lang="fr-BF"/>
        </a:p>
      </c:txPr>
    </c:legend>
    <c:plotVisOnly val="1"/>
    <c:dispBlanksAs val="gap"/>
    <c:showDLblsOverMax val="0"/>
  </c:chart>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Singe rouge</a:t>
            </a:r>
          </a:p>
        </c:rich>
      </c:tx>
      <c:layout>
        <c:manualLayout>
          <c:xMode val="edge"/>
          <c:yMode val="edge"/>
          <c:x val="5.4591295116772826E-2"/>
          <c:y val="0"/>
        </c:manualLayout>
      </c:layout>
      <c:overlay val="1"/>
      <c:spPr>
        <a:ln>
          <a:solidFill>
            <a:sysClr val="windowText" lastClr="000000"/>
          </a:solidFill>
        </a:ln>
      </c:spPr>
    </c:title>
    <c:autoTitleDeleted val="0"/>
    <c:plotArea>
      <c:layout/>
      <c:lineChart>
        <c:grouping val="standard"/>
        <c:varyColors val="0"/>
        <c:ser>
          <c:idx val="0"/>
          <c:order val="0"/>
          <c:tx>
            <c:strRef>
              <c:f>'Singe rouge'!$B$2</c:f>
              <c:strCache>
                <c:ptCount val="1"/>
                <c:pt idx="0">
                  <c:v>Nombre de contact</c:v>
                </c:pt>
              </c:strCache>
            </c:strRef>
          </c:tx>
          <c:cat>
            <c:strRef>
              <c:f>'Singe rouge'!$A$3:$A$9</c:f>
              <c:strCache>
                <c:ptCount val="7"/>
                <c:pt idx="0">
                  <c:v>Mai 2010</c:v>
                </c:pt>
                <c:pt idx="1">
                  <c:v>Juin 2011</c:v>
                </c:pt>
                <c:pt idx="2">
                  <c:v>Avril 2012</c:v>
                </c:pt>
                <c:pt idx="3">
                  <c:v>Avril 2013</c:v>
                </c:pt>
                <c:pt idx="4">
                  <c:v>Mars 2016</c:v>
                </c:pt>
                <c:pt idx="5">
                  <c:v>Mai 2016</c:v>
                </c:pt>
                <c:pt idx="6">
                  <c:v>Mai 2018</c:v>
                </c:pt>
              </c:strCache>
            </c:strRef>
          </c:cat>
          <c:val>
            <c:numRef>
              <c:f>'Singe rouge'!$B$3:$B$9</c:f>
              <c:numCache>
                <c:formatCode>0</c:formatCode>
                <c:ptCount val="7"/>
                <c:pt idx="0">
                  <c:v>20</c:v>
                </c:pt>
                <c:pt idx="1">
                  <c:v>17</c:v>
                </c:pt>
                <c:pt idx="2">
                  <c:v>10</c:v>
                </c:pt>
                <c:pt idx="3">
                  <c:v>16</c:v>
                </c:pt>
                <c:pt idx="4">
                  <c:v>7</c:v>
                </c:pt>
                <c:pt idx="5">
                  <c:v>18</c:v>
                </c:pt>
                <c:pt idx="6">
                  <c:v>30</c:v>
                </c:pt>
              </c:numCache>
            </c:numRef>
          </c:val>
          <c:smooth val="0"/>
          <c:extLst>
            <c:ext xmlns:c16="http://schemas.microsoft.com/office/drawing/2014/chart" uri="{C3380CC4-5D6E-409C-BE32-E72D297353CC}">
              <c16:uniqueId val="{00000000-BDBB-4878-9771-1D88894F2CCE}"/>
            </c:ext>
          </c:extLst>
        </c:ser>
        <c:ser>
          <c:idx val="1"/>
          <c:order val="1"/>
          <c:tx>
            <c:strRef>
              <c:f>'Singe rouge'!$C$2</c:f>
              <c:strCache>
                <c:ptCount val="1"/>
                <c:pt idx="0">
                  <c:v>Plus grand groupe observé</c:v>
                </c:pt>
              </c:strCache>
            </c:strRef>
          </c:tx>
          <c:cat>
            <c:strRef>
              <c:f>'Singe rouge'!$A$3:$A$9</c:f>
              <c:strCache>
                <c:ptCount val="7"/>
                <c:pt idx="0">
                  <c:v>Mai 2010</c:v>
                </c:pt>
                <c:pt idx="1">
                  <c:v>Juin 2011</c:v>
                </c:pt>
                <c:pt idx="2">
                  <c:v>Avril 2012</c:v>
                </c:pt>
                <c:pt idx="3">
                  <c:v>Avril 2013</c:v>
                </c:pt>
                <c:pt idx="4">
                  <c:v>Mars 2016</c:v>
                </c:pt>
                <c:pt idx="5">
                  <c:v>Mai 2016</c:v>
                </c:pt>
                <c:pt idx="6">
                  <c:v>Mai 2018</c:v>
                </c:pt>
              </c:strCache>
            </c:strRef>
          </c:cat>
          <c:val>
            <c:numRef>
              <c:f>'Singe rouge'!$C$3:$C$9</c:f>
              <c:numCache>
                <c:formatCode>General</c:formatCode>
                <c:ptCount val="7"/>
                <c:pt idx="0">
                  <c:v>21</c:v>
                </c:pt>
                <c:pt idx="1">
                  <c:v>19</c:v>
                </c:pt>
                <c:pt idx="2">
                  <c:v>10</c:v>
                </c:pt>
                <c:pt idx="3">
                  <c:v>11</c:v>
                </c:pt>
                <c:pt idx="4" formatCode="0">
                  <c:v>30</c:v>
                </c:pt>
                <c:pt idx="5" formatCode="0">
                  <c:v>20</c:v>
                </c:pt>
                <c:pt idx="6">
                  <c:v>20</c:v>
                </c:pt>
              </c:numCache>
            </c:numRef>
          </c:val>
          <c:smooth val="0"/>
          <c:extLst>
            <c:ext xmlns:c16="http://schemas.microsoft.com/office/drawing/2014/chart" uri="{C3380CC4-5D6E-409C-BE32-E72D297353CC}">
              <c16:uniqueId val="{00000001-BDBB-4878-9771-1D88894F2CCE}"/>
            </c:ext>
          </c:extLst>
        </c:ser>
        <c:ser>
          <c:idx val="2"/>
          <c:order val="2"/>
          <c:tx>
            <c:strRef>
              <c:f>'Singe rouge'!$D$2</c:f>
              <c:strCache>
                <c:ptCount val="1"/>
                <c:pt idx="0">
                  <c:v>Nombre d'individus</c:v>
                </c:pt>
              </c:strCache>
            </c:strRef>
          </c:tx>
          <c:spPr>
            <a:ln>
              <a:solidFill>
                <a:srgbClr val="00B050"/>
              </a:solidFill>
            </a:ln>
          </c:spPr>
          <c:marker>
            <c:spPr>
              <a:solidFill>
                <a:srgbClr val="00B050"/>
              </a:solidFill>
              <a:ln>
                <a:solidFill>
                  <a:srgbClr val="00B050"/>
                </a:solidFill>
              </a:ln>
            </c:spPr>
          </c:marker>
          <c:cat>
            <c:strRef>
              <c:f>'Singe rouge'!$A$3:$A$9</c:f>
              <c:strCache>
                <c:ptCount val="7"/>
                <c:pt idx="0">
                  <c:v>Mai 2010</c:v>
                </c:pt>
                <c:pt idx="1">
                  <c:v>Juin 2011</c:v>
                </c:pt>
                <c:pt idx="2">
                  <c:v>Avril 2012</c:v>
                </c:pt>
                <c:pt idx="3">
                  <c:v>Avril 2013</c:v>
                </c:pt>
                <c:pt idx="4">
                  <c:v>Mars 2016</c:v>
                </c:pt>
                <c:pt idx="5">
                  <c:v>Mai 2016</c:v>
                </c:pt>
                <c:pt idx="6">
                  <c:v>Mai 2018</c:v>
                </c:pt>
              </c:strCache>
            </c:strRef>
          </c:cat>
          <c:val>
            <c:numRef>
              <c:f>'Singe rouge'!$D$3:$D$9</c:f>
              <c:numCache>
                <c:formatCode>0</c:formatCode>
                <c:ptCount val="7"/>
                <c:pt idx="0">
                  <c:v>70</c:v>
                </c:pt>
                <c:pt idx="1">
                  <c:v>61</c:v>
                </c:pt>
                <c:pt idx="2">
                  <c:v>42</c:v>
                </c:pt>
                <c:pt idx="3">
                  <c:v>88</c:v>
                </c:pt>
                <c:pt idx="4">
                  <c:v>61</c:v>
                </c:pt>
                <c:pt idx="5">
                  <c:v>108</c:v>
                </c:pt>
                <c:pt idx="6">
                  <c:v>227</c:v>
                </c:pt>
              </c:numCache>
            </c:numRef>
          </c:val>
          <c:smooth val="0"/>
          <c:extLst>
            <c:ext xmlns:c16="http://schemas.microsoft.com/office/drawing/2014/chart" uri="{C3380CC4-5D6E-409C-BE32-E72D297353CC}">
              <c16:uniqueId val="{00000002-BDBB-4878-9771-1D88894F2CCE}"/>
            </c:ext>
          </c:extLst>
        </c:ser>
        <c:ser>
          <c:idx val="3"/>
          <c:order val="3"/>
          <c:tx>
            <c:strRef>
              <c:f>'Singe rouge'!$E$2</c:f>
              <c:strCache>
                <c:ptCount val="1"/>
                <c:pt idx="0">
                  <c:v>Taille moyenne de groupe</c:v>
                </c:pt>
              </c:strCache>
            </c:strRef>
          </c:tx>
          <c:spPr>
            <a:ln>
              <a:solidFill>
                <a:schemeClr val="accent6"/>
              </a:solidFill>
            </a:ln>
          </c:spPr>
          <c:marker>
            <c:symbol val="circle"/>
            <c:size val="7"/>
            <c:spPr>
              <a:solidFill>
                <a:schemeClr val="accent6"/>
              </a:solidFill>
              <a:ln>
                <a:solidFill>
                  <a:schemeClr val="accent6"/>
                </a:solidFill>
              </a:ln>
            </c:spPr>
          </c:marker>
          <c:cat>
            <c:strRef>
              <c:f>'Singe rouge'!$A$3:$A$9</c:f>
              <c:strCache>
                <c:ptCount val="7"/>
                <c:pt idx="0">
                  <c:v>Mai 2010</c:v>
                </c:pt>
                <c:pt idx="1">
                  <c:v>Juin 2011</c:v>
                </c:pt>
                <c:pt idx="2">
                  <c:v>Avril 2012</c:v>
                </c:pt>
                <c:pt idx="3">
                  <c:v>Avril 2013</c:v>
                </c:pt>
                <c:pt idx="4">
                  <c:v>Mars 2016</c:v>
                </c:pt>
                <c:pt idx="5">
                  <c:v>Mai 2016</c:v>
                </c:pt>
                <c:pt idx="6">
                  <c:v>Mai 2018</c:v>
                </c:pt>
              </c:strCache>
            </c:strRef>
          </c:cat>
          <c:val>
            <c:numRef>
              <c:f>'Singe rouge'!$E$3:$E$9</c:f>
              <c:numCache>
                <c:formatCode>General</c:formatCode>
                <c:ptCount val="7"/>
                <c:pt idx="0">
                  <c:v>3.5</c:v>
                </c:pt>
                <c:pt idx="1">
                  <c:v>3.5882352941176472</c:v>
                </c:pt>
                <c:pt idx="2">
                  <c:v>4.2</c:v>
                </c:pt>
                <c:pt idx="3">
                  <c:v>5.5</c:v>
                </c:pt>
                <c:pt idx="4">
                  <c:v>8.7142857142857135</c:v>
                </c:pt>
                <c:pt idx="5">
                  <c:v>6</c:v>
                </c:pt>
                <c:pt idx="6">
                  <c:v>7.5666666666666664</c:v>
                </c:pt>
              </c:numCache>
            </c:numRef>
          </c:val>
          <c:smooth val="0"/>
          <c:extLst>
            <c:ext xmlns:c16="http://schemas.microsoft.com/office/drawing/2014/chart" uri="{C3380CC4-5D6E-409C-BE32-E72D297353CC}">
              <c16:uniqueId val="{00000003-BDBB-4878-9771-1D88894F2CCE}"/>
            </c:ext>
          </c:extLst>
        </c:ser>
        <c:dLbls>
          <c:showLegendKey val="0"/>
          <c:showVal val="0"/>
          <c:showCatName val="0"/>
          <c:showSerName val="0"/>
          <c:showPercent val="0"/>
          <c:showBubbleSize val="0"/>
        </c:dLbls>
        <c:marker val="1"/>
        <c:smooth val="0"/>
        <c:axId val="543531584"/>
        <c:axId val="543528840"/>
      </c:lineChart>
      <c:catAx>
        <c:axId val="543531584"/>
        <c:scaling>
          <c:orientation val="minMax"/>
        </c:scaling>
        <c:delete val="0"/>
        <c:axPos val="b"/>
        <c:title>
          <c:tx>
            <c:rich>
              <a:bodyPr/>
              <a:lstStyle/>
              <a:p>
                <a:pPr>
                  <a:defRPr/>
                </a:pPr>
                <a:r>
                  <a:rPr lang="en-US"/>
                  <a:t>Année</a:t>
                </a:r>
              </a:p>
            </c:rich>
          </c:tx>
          <c:overlay val="0"/>
        </c:title>
        <c:numFmt formatCode="General" sourceLinked="0"/>
        <c:majorTickMark val="out"/>
        <c:minorTickMark val="none"/>
        <c:tickLblPos val="nextTo"/>
        <c:crossAx val="543528840"/>
        <c:crosses val="autoZero"/>
        <c:auto val="1"/>
        <c:lblAlgn val="ctr"/>
        <c:lblOffset val="100"/>
        <c:noMultiLvlLbl val="0"/>
      </c:catAx>
      <c:valAx>
        <c:axId val="543528840"/>
        <c:scaling>
          <c:orientation val="minMax"/>
        </c:scaling>
        <c:delete val="0"/>
        <c:axPos val="l"/>
        <c:majorGridlines>
          <c:spPr>
            <a:ln>
              <a:noFill/>
            </a:ln>
          </c:spPr>
        </c:majorGridlines>
        <c:title>
          <c:tx>
            <c:rich>
              <a:bodyPr rot="-5400000" vert="horz"/>
              <a:lstStyle/>
              <a:p>
                <a:pPr>
                  <a:defRPr/>
                </a:pPr>
                <a:r>
                  <a:rPr lang="en-US"/>
                  <a:t>Nombre</a:t>
                </a:r>
              </a:p>
            </c:rich>
          </c:tx>
          <c:overlay val="0"/>
        </c:title>
        <c:numFmt formatCode="0" sourceLinked="1"/>
        <c:majorTickMark val="out"/>
        <c:minorTickMark val="none"/>
        <c:tickLblPos val="nextTo"/>
        <c:crossAx val="543531584"/>
        <c:crosses val="autoZero"/>
        <c:crossBetween val="between"/>
      </c:valAx>
    </c:plotArea>
    <c:legend>
      <c:legendPos val="t"/>
      <c:layout>
        <c:manualLayout>
          <c:xMode val="edge"/>
          <c:yMode val="edge"/>
          <c:x val="0.33217688951301472"/>
          <c:y val="4.5167118337850042E-3"/>
          <c:w val="0.66579275122456827"/>
          <c:h val="0.15469844724693965"/>
        </c:manualLayout>
      </c:layout>
      <c:overlay val="0"/>
      <c:txPr>
        <a:bodyPr/>
        <a:lstStyle/>
        <a:p>
          <a:pPr>
            <a:defRPr sz="800" b="1"/>
          </a:pPr>
          <a:endParaRPr lang="fr-BF"/>
        </a:p>
      </c:txPr>
    </c:legend>
    <c:plotVisOnly val="1"/>
    <c:dispBlanksAs val="gap"/>
    <c:showDLblsOverMax val="0"/>
  </c:chart>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Phacochère</a:t>
            </a:r>
          </a:p>
        </c:rich>
      </c:tx>
      <c:layout>
        <c:manualLayout>
          <c:xMode val="edge"/>
          <c:yMode val="edge"/>
          <c:x val="5.4591295116772826E-2"/>
          <c:y val="0"/>
        </c:manualLayout>
      </c:layout>
      <c:overlay val="1"/>
      <c:spPr>
        <a:ln>
          <a:solidFill>
            <a:sysClr val="windowText" lastClr="000000"/>
          </a:solidFill>
        </a:ln>
      </c:spPr>
    </c:title>
    <c:autoTitleDeleted val="0"/>
    <c:plotArea>
      <c:layout/>
      <c:lineChart>
        <c:grouping val="standard"/>
        <c:varyColors val="0"/>
        <c:ser>
          <c:idx val="0"/>
          <c:order val="0"/>
          <c:tx>
            <c:strRef>
              <c:f>Phacochère!$B$2</c:f>
              <c:strCache>
                <c:ptCount val="1"/>
                <c:pt idx="0">
                  <c:v>Nombre de contact</c:v>
                </c:pt>
              </c:strCache>
            </c:strRef>
          </c:tx>
          <c:cat>
            <c:strRef>
              <c:f>Phacochère!$A$3:$A$9</c:f>
              <c:strCache>
                <c:ptCount val="7"/>
                <c:pt idx="0">
                  <c:v>Mai 2010</c:v>
                </c:pt>
                <c:pt idx="1">
                  <c:v>Juin 2011</c:v>
                </c:pt>
                <c:pt idx="2">
                  <c:v>Avril 2012</c:v>
                </c:pt>
                <c:pt idx="3">
                  <c:v>Avril 2013</c:v>
                </c:pt>
                <c:pt idx="4">
                  <c:v>Mars 2016</c:v>
                </c:pt>
                <c:pt idx="5">
                  <c:v>Mai 2016</c:v>
                </c:pt>
                <c:pt idx="6">
                  <c:v>Mai 2018</c:v>
                </c:pt>
              </c:strCache>
            </c:strRef>
          </c:cat>
          <c:val>
            <c:numRef>
              <c:f>Phacochère!$B$3:$B$9</c:f>
              <c:numCache>
                <c:formatCode>0</c:formatCode>
                <c:ptCount val="7"/>
                <c:pt idx="0">
                  <c:v>10</c:v>
                </c:pt>
                <c:pt idx="1">
                  <c:v>20</c:v>
                </c:pt>
                <c:pt idx="2">
                  <c:v>18</c:v>
                </c:pt>
                <c:pt idx="3">
                  <c:v>13</c:v>
                </c:pt>
                <c:pt idx="4">
                  <c:v>15</c:v>
                </c:pt>
                <c:pt idx="5">
                  <c:v>6</c:v>
                </c:pt>
                <c:pt idx="6">
                  <c:v>15</c:v>
                </c:pt>
              </c:numCache>
            </c:numRef>
          </c:val>
          <c:smooth val="0"/>
          <c:extLst>
            <c:ext xmlns:c16="http://schemas.microsoft.com/office/drawing/2014/chart" uri="{C3380CC4-5D6E-409C-BE32-E72D297353CC}">
              <c16:uniqueId val="{00000000-73EB-4D00-A8FF-5FB798979249}"/>
            </c:ext>
          </c:extLst>
        </c:ser>
        <c:ser>
          <c:idx val="1"/>
          <c:order val="1"/>
          <c:tx>
            <c:strRef>
              <c:f>Phacochère!$C$2</c:f>
              <c:strCache>
                <c:ptCount val="1"/>
                <c:pt idx="0">
                  <c:v>Plus grand groupe observé</c:v>
                </c:pt>
              </c:strCache>
            </c:strRef>
          </c:tx>
          <c:cat>
            <c:strRef>
              <c:f>Phacochère!$A$3:$A$9</c:f>
              <c:strCache>
                <c:ptCount val="7"/>
                <c:pt idx="0">
                  <c:v>Mai 2010</c:v>
                </c:pt>
                <c:pt idx="1">
                  <c:v>Juin 2011</c:v>
                </c:pt>
                <c:pt idx="2">
                  <c:v>Avril 2012</c:v>
                </c:pt>
                <c:pt idx="3">
                  <c:v>Avril 2013</c:v>
                </c:pt>
                <c:pt idx="4">
                  <c:v>Mars 2016</c:v>
                </c:pt>
                <c:pt idx="5">
                  <c:v>Mai 2016</c:v>
                </c:pt>
                <c:pt idx="6">
                  <c:v>Mai 2018</c:v>
                </c:pt>
              </c:strCache>
            </c:strRef>
          </c:cat>
          <c:val>
            <c:numRef>
              <c:f>Phacochère!$C$3:$C$9</c:f>
              <c:numCache>
                <c:formatCode>General</c:formatCode>
                <c:ptCount val="7"/>
                <c:pt idx="0">
                  <c:v>11</c:v>
                </c:pt>
                <c:pt idx="1">
                  <c:v>6</c:v>
                </c:pt>
                <c:pt idx="2">
                  <c:v>13</c:v>
                </c:pt>
                <c:pt idx="3">
                  <c:v>9</c:v>
                </c:pt>
                <c:pt idx="4" formatCode="0">
                  <c:v>8</c:v>
                </c:pt>
                <c:pt idx="5" formatCode="0">
                  <c:v>6</c:v>
                </c:pt>
                <c:pt idx="6">
                  <c:v>11</c:v>
                </c:pt>
              </c:numCache>
            </c:numRef>
          </c:val>
          <c:smooth val="0"/>
          <c:extLst>
            <c:ext xmlns:c16="http://schemas.microsoft.com/office/drawing/2014/chart" uri="{C3380CC4-5D6E-409C-BE32-E72D297353CC}">
              <c16:uniqueId val="{00000001-73EB-4D00-A8FF-5FB798979249}"/>
            </c:ext>
          </c:extLst>
        </c:ser>
        <c:ser>
          <c:idx val="2"/>
          <c:order val="2"/>
          <c:tx>
            <c:strRef>
              <c:f>Phacochère!$D$2</c:f>
              <c:strCache>
                <c:ptCount val="1"/>
                <c:pt idx="0">
                  <c:v>Nombre d'individus</c:v>
                </c:pt>
              </c:strCache>
            </c:strRef>
          </c:tx>
          <c:spPr>
            <a:ln>
              <a:solidFill>
                <a:srgbClr val="00B050"/>
              </a:solidFill>
            </a:ln>
          </c:spPr>
          <c:marker>
            <c:spPr>
              <a:solidFill>
                <a:srgbClr val="00B050"/>
              </a:solidFill>
              <a:ln>
                <a:solidFill>
                  <a:srgbClr val="00B050"/>
                </a:solidFill>
              </a:ln>
            </c:spPr>
          </c:marker>
          <c:cat>
            <c:strRef>
              <c:f>Phacochère!$A$3:$A$9</c:f>
              <c:strCache>
                <c:ptCount val="7"/>
                <c:pt idx="0">
                  <c:v>Mai 2010</c:v>
                </c:pt>
                <c:pt idx="1">
                  <c:v>Juin 2011</c:v>
                </c:pt>
                <c:pt idx="2">
                  <c:v>Avril 2012</c:v>
                </c:pt>
                <c:pt idx="3">
                  <c:v>Avril 2013</c:v>
                </c:pt>
                <c:pt idx="4">
                  <c:v>Mars 2016</c:v>
                </c:pt>
                <c:pt idx="5">
                  <c:v>Mai 2016</c:v>
                </c:pt>
                <c:pt idx="6">
                  <c:v>Mai 2018</c:v>
                </c:pt>
              </c:strCache>
            </c:strRef>
          </c:cat>
          <c:val>
            <c:numRef>
              <c:f>Phacochère!$D$3:$D$9</c:f>
              <c:numCache>
                <c:formatCode>0</c:formatCode>
                <c:ptCount val="7"/>
                <c:pt idx="0">
                  <c:v>37</c:v>
                </c:pt>
                <c:pt idx="1">
                  <c:v>51</c:v>
                </c:pt>
                <c:pt idx="2">
                  <c:v>61</c:v>
                </c:pt>
                <c:pt idx="3">
                  <c:v>51</c:v>
                </c:pt>
                <c:pt idx="4">
                  <c:v>48</c:v>
                </c:pt>
                <c:pt idx="5">
                  <c:v>22</c:v>
                </c:pt>
                <c:pt idx="6">
                  <c:v>37</c:v>
                </c:pt>
              </c:numCache>
            </c:numRef>
          </c:val>
          <c:smooth val="0"/>
          <c:extLst>
            <c:ext xmlns:c16="http://schemas.microsoft.com/office/drawing/2014/chart" uri="{C3380CC4-5D6E-409C-BE32-E72D297353CC}">
              <c16:uniqueId val="{00000002-73EB-4D00-A8FF-5FB798979249}"/>
            </c:ext>
          </c:extLst>
        </c:ser>
        <c:ser>
          <c:idx val="3"/>
          <c:order val="3"/>
          <c:tx>
            <c:strRef>
              <c:f>Phacochère!$E$2</c:f>
              <c:strCache>
                <c:ptCount val="1"/>
                <c:pt idx="0">
                  <c:v>Taille moyenne de groupe</c:v>
                </c:pt>
              </c:strCache>
            </c:strRef>
          </c:tx>
          <c:spPr>
            <a:ln>
              <a:solidFill>
                <a:schemeClr val="accent6"/>
              </a:solidFill>
            </a:ln>
          </c:spPr>
          <c:marker>
            <c:symbol val="circle"/>
            <c:size val="7"/>
            <c:spPr>
              <a:solidFill>
                <a:schemeClr val="accent6"/>
              </a:solidFill>
              <a:ln>
                <a:solidFill>
                  <a:schemeClr val="accent6"/>
                </a:solidFill>
              </a:ln>
            </c:spPr>
          </c:marker>
          <c:cat>
            <c:strRef>
              <c:f>Phacochère!$A$3:$A$9</c:f>
              <c:strCache>
                <c:ptCount val="7"/>
                <c:pt idx="0">
                  <c:v>Mai 2010</c:v>
                </c:pt>
                <c:pt idx="1">
                  <c:v>Juin 2011</c:v>
                </c:pt>
                <c:pt idx="2">
                  <c:v>Avril 2012</c:v>
                </c:pt>
                <c:pt idx="3">
                  <c:v>Avril 2013</c:v>
                </c:pt>
                <c:pt idx="4">
                  <c:v>Mars 2016</c:v>
                </c:pt>
                <c:pt idx="5">
                  <c:v>Mai 2016</c:v>
                </c:pt>
                <c:pt idx="6">
                  <c:v>Mai 2018</c:v>
                </c:pt>
              </c:strCache>
            </c:strRef>
          </c:cat>
          <c:val>
            <c:numRef>
              <c:f>Phacochère!$E$3:$E$9</c:f>
              <c:numCache>
                <c:formatCode>General</c:formatCode>
                <c:ptCount val="7"/>
                <c:pt idx="0">
                  <c:v>3.7</c:v>
                </c:pt>
                <c:pt idx="1">
                  <c:v>2.5499999999999998</c:v>
                </c:pt>
                <c:pt idx="2">
                  <c:v>3.3888888888888888</c:v>
                </c:pt>
                <c:pt idx="3">
                  <c:v>3.9230769230769229</c:v>
                </c:pt>
                <c:pt idx="4">
                  <c:v>3.2</c:v>
                </c:pt>
                <c:pt idx="5">
                  <c:v>3.6666666666666665</c:v>
                </c:pt>
                <c:pt idx="6">
                  <c:v>2.4666666666666668</c:v>
                </c:pt>
              </c:numCache>
            </c:numRef>
          </c:val>
          <c:smooth val="0"/>
          <c:extLst>
            <c:ext xmlns:c16="http://schemas.microsoft.com/office/drawing/2014/chart" uri="{C3380CC4-5D6E-409C-BE32-E72D297353CC}">
              <c16:uniqueId val="{00000003-73EB-4D00-A8FF-5FB798979249}"/>
            </c:ext>
          </c:extLst>
        </c:ser>
        <c:dLbls>
          <c:showLegendKey val="0"/>
          <c:showVal val="0"/>
          <c:showCatName val="0"/>
          <c:showSerName val="0"/>
          <c:showPercent val="0"/>
          <c:showBubbleSize val="0"/>
        </c:dLbls>
        <c:marker val="1"/>
        <c:smooth val="0"/>
        <c:axId val="543526880"/>
        <c:axId val="543524528"/>
      </c:lineChart>
      <c:catAx>
        <c:axId val="543526880"/>
        <c:scaling>
          <c:orientation val="minMax"/>
        </c:scaling>
        <c:delete val="0"/>
        <c:axPos val="b"/>
        <c:title>
          <c:tx>
            <c:rich>
              <a:bodyPr/>
              <a:lstStyle/>
              <a:p>
                <a:pPr>
                  <a:defRPr/>
                </a:pPr>
                <a:r>
                  <a:rPr lang="en-US"/>
                  <a:t>Année</a:t>
                </a:r>
              </a:p>
            </c:rich>
          </c:tx>
          <c:overlay val="0"/>
        </c:title>
        <c:numFmt formatCode="General" sourceLinked="0"/>
        <c:majorTickMark val="out"/>
        <c:minorTickMark val="none"/>
        <c:tickLblPos val="nextTo"/>
        <c:crossAx val="543524528"/>
        <c:crosses val="autoZero"/>
        <c:auto val="1"/>
        <c:lblAlgn val="ctr"/>
        <c:lblOffset val="100"/>
        <c:noMultiLvlLbl val="0"/>
      </c:catAx>
      <c:valAx>
        <c:axId val="543524528"/>
        <c:scaling>
          <c:orientation val="minMax"/>
        </c:scaling>
        <c:delete val="0"/>
        <c:axPos val="l"/>
        <c:majorGridlines>
          <c:spPr>
            <a:ln>
              <a:noFill/>
            </a:ln>
          </c:spPr>
        </c:majorGridlines>
        <c:title>
          <c:tx>
            <c:rich>
              <a:bodyPr rot="-5400000" vert="horz"/>
              <a:lstStyle/>
              <a:p>
                <a:pPr>
                  <a:defRPr/>
                </a:pPr>
                <a:r>
                  <a:rPr lang="en-US"/>
                  <a:t>Nombre</a:t>
                </a:r>
              </a:p>
            </c:rich>
          </c:tx>
          <c:overlay val="0"/>
        </c:title>
        <c:numFmt formatCode="0" sourceLinked="1"/>
        <c:majorTickMark val="out"/>
        <c:minorTickMark val="none"/>
        <c:tickLblPos val="nextTo"/>
        <c:crossAx val="543526880"/>
        <c:crosses val="autoZero"/>
        <c:crossBetween val="between"/>
      </c:valAx>
    </c:plotArea>
    <c:legend>
      <c:legendPos val="t"/>
      <c:layout>
        <c:manualLayout>
          <c:xMode val="edge"/>
          <c:yMode val="edge"/>
          <c:x val="0.33217688951301472"/>
          <c:y val="4.5167118337850042E-3"/>
          <c:w val="0.66579275122456827"/>
          <c:h val="0.15469844724693965"/>
        </c:manualLayout>
      </c:layout>
      <c:overlay val="0"/>
      <c:txPr>
        <a:bodyPr/>
        <a:lstStyle/>
        <a:p>
          <a:pPr>
            <a:defRPr sz="800" b="1"/>
          </a:pPr>
          <a:endParaRPr lang="fr-BF"/>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'3_Réalisation 2016_2023'!$O$99:$T$99</c:f>
              <c:strCache>
                <c:ptCount val="6"/>
                <c:pt idx="0">
                  <c:v>Taux de fonctionnalité des AEPS (en %)</c:v>
                </c:pt>
              </c:strCache>
            </c:strRef>
          </c:tx>
          <c:spPr>
            <a:solidFill>
              <a:srgbClr val="F4B183"/>
            </a:solidFill>
            <a:ln w="25400">
              <a:noFill/>
            </a:ln>
            <a:effectLst/>
            <a:scene3d>
              <a:camera prst="orthographicFront"/>
              <a:lightRig rig="threePt" dir="t"/>
            </a:scene3d>
            <a:sp3d>
              <a:bevelT w="190500" h="38100"/>
            </a:sp3d>
          </c:spPr>
          <c:invertIfNegative val="0"/>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fr-BF"/>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'3_Réalisation 2016_2023'!$P$101:$W$101</c:f>
              <c:numCache>
                <c:formatCode>General</c:formatCode>
                <c:ptCount val="8"/>
                <c:pt idx="0">
                  <c:v>2016</c:v>
                </c:pt>
                <c:pt idx="1">
                  <c:v>2017</c:v>
                </c:pt>
                <c:pt idx="2">
                  <c:v>2018</c:v>
                </c:pt>
                <c:pt idx="3">
                  <c:v>2019</c:v>
                </c:pt>
                <c:pt idx="4">
                  <c:v>2020</c:v>
                </c:pt>
                <c:pt idx="5">
                  <c:v>2021</c:v>
                </c:pt>
                <c:pt idx="6">
                  <c:v>2022</c:v>
                </c:pt>
                <c:pt idx="7">
                  <c:v>2023</c:v>
                </c:pt>
              </c:numCache>
            </c:numRef>
          </c:cat>
          <c:val>
            <c:numRef>
              <c:f>'3_Réalisation 2016_2023'!$P$115:$W$115</c:f>
              <c:numCache>
                <c:formatCode>_-* #\ ##0.0\ _€_-;\-* #\ ##0.0\ _€_-;_-* "-"??\ _€_-;_-@_-</c:formatCode>
                <c:ptCount val="8"/>
                <c:pt idx="0">
                  <c:v>84.3</c:v>
                </c:pt>
                <c:pt idx="1">
                  <c:v>87.720773759461736</c:v>
                </c:pt>
                <c:pt idx="2">
                  <c:v>88.2</c:v>
                </c:pt>
                <c:pt idx="3">
                  <c:v>86.929621036349573</c:v>
                </c:pt>
                <c:pt idx="4">
                  <c:v>85.84905660377359</c:v>
                </c:pt>
                <c:pt idx="5">
                  <c:v>87.148372862658576</c:v>
                </c:pt>
                <c:pt idx="6">
                  <c:v>87.327586206896555</c:v>
                </c:pt>
                <c:pt idx="7">
                  <c:v>88.04581245526127</c:v>
                </c:pt>
              </c:numCache>
            </c:numRef>
          </c:val>
          <c:extLst>
            <c:ext xmlns:c16="http://schemas.microsoft.com/office/drawing/2014/chart" uri="{C3380CC4-5D6E-409C-BE32-E72D297353CC}">
              <c16:uniqueId val="{00000000-BFF2-400C-819A-A3078C1B8074}"/>
            </c:ext>
          </c:extLst>
        </c:ser>
        <c:dLbls>
          <c:showLegendKey val="0"/>
          <c:showVal val="0"/>
          <c:showCatName val="0"/>
          <c:showSerName val="0"/>
          <c:showPercent val="0"/>
          <c:showBubbleSize val="0"/>
        </c:dLbls>
        <c:gapWidth val="150"/>
        <c:axId val="995559392"/>
        <c:axId val="995556512"/>
      </c:barChart>
      <c:catAx>
        <c:axId val="9955593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BF"/>
          </a:p>
        </c:txPr>
        <c:crossAx val="995556512"/>
        <c:crosses val="autoZero"/>
        <c:auto val="1"/>
        <c:lblAlgn val="ctr"/>
        <c:lblOffset val="100"/>
        <c:noMultiLvlLbl val="0"/>
      </c:catAx>
      <c:valAx>
        <c:axId val="995556512"/>
        <c:scaling>
          <c:orientation val="minMax"/>
        </c:scaling>
        <c:delete val="0"/>
        <c:axPos val="l"/>
        <c:majorGridlines>
          <c:spPr>
            <a:ln w="9525" cap="flat" cmpd="sng" algn="ctr">
              <a:solidFill>
                <a:schemeClr val="tx1">
                  <a:lumMod val="15000"/>
                  <a:lumOff val="85000"/>
                </a:schemeClr>
              </a:solidFill>
              <a:round/>
            </a:ln>
            <a:effectLst/>
          </c:spPr>
        </c:majorGridlines>
        <c:numFmt formatCode="_-* #\ ##0.0\ _€_-;\-* #\ ##0.0\ _€_-;_-* &quot;-&quot;??\ _€_-;_-@_-"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BF"/>
          </a:p>
        </c:txPr>
        <c:crossAx val="9955593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fr-BF"/>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Singe vert</a:t>
            </a:r>
          </a:p>
        </c:rich>
      </c:tx>
      <c:layout>
        <c:manualLayout>
          <c:xMode val="edge"/>
          <c:yMode val="edge"/>
          <c:x val="0.19809267384012422"/>
          <c:y val="0"/>
        </c:manualLayout>
      </c:layout>
      <c:overlay val="1"/>
      <c:spPr>
        <a:ln>
          <a:solidFill>
            <a:sysClr val="windowText" lastClr="000000"/>
          </a:solidFill>
        </a:ln>
      </c:spPr>
    </c:title>
    <c:autoTitleDeleted val="0"/>
    <c:plotArea>
      <c:layout/>
      <c:lineChart>
        <c:grouping val="standard"/>
        <c:varyColors val="0"/>
        <c:ser>
          <c:idx val="0"/>
          <c:order val="0"/>
          <c:tx>
            <c:strRef>
              <c:f>'Singe vert'!$B$2</c:f>
              <c:strCache>
                <c:ptCount val="1"/>
                <c:pt idx="0">
                  <c:v>Nombre de contact</c:v>
                </c:pt>
              </c:strCache>
            </c:strRef>
          </c:tx>
          <c:cat>
            <c:strRef>
              <c:f>'Singe vert'!$A$3:$A$9</c:f>
              <c:strCache>
                <c:ptCount val="7"/>
                <c:pt idx="0">
                  <c:v>Mai 2010</c:v>
                </c:pt>
                <c:pt idx="1">
                  <c:v>Juin 2011</c:v>
                </c:pt>
                <c:pt idx="2">
                  <c:v>Avril 2012</c:v>
                </c:pt>
                <c:pt idx="3">
                  <c:v>Avril 2013</c:v>
                </c:pt>
                <c:pt idx="4">
                  <c:v>Mars 2016</c:v>
                </c:pt>
                <c:pt idx="5">
                  <c:v>Mai 2016</c:v>
                </c:pt>
                <c:pt idx="6">
                  <c:v>Mai 2018</c:v>
                </c:pt>
              </c:strCache>
            </c:strRef>
          </c:cat>
          <c:val>
            <c:numRef>
              <c:f>'Singe vert'!$B$3:$B$9</c:f>
              <c:numCache>
                <c:formatCode>0</c:formatCode>
                <c:ptCount val="7"/>
                <c:pt idx="0">
                  <c:v>7</c:v>
                </c:pt>
                <c:pt idx="1">
                  <c:v>14</c:v>
                </c:pt>
                <c:pt idx="2">
                  <c:v>8</c:v>
                </c:pt>
                <c:pt idx="3">
                  <c:v>14</c:v>
                </c:pt>
                <c:pt idx="4">
                  <c:v>28</c:v>
                </c:pt>
                <c:pt idx="5">
                  <c:v>14</c:v>
                </c:pt>
                <c:pt idx="6">
                  <c:v>14</c:v>
                </c:pt>
              </c:numCache>
            </c:numRef>
          </c:val>
          <c:smooth val="0"/>
          <c:extLst>
            <c:ext xmlns:c16="http://schemas.microsoft.com/office/drawing/2014/chart" uri="{C3380CC4-5D6E-409C-BE32-E72D297353CC}">
              <c16:uniqueId val="{00000000-E7F4-4948-B68A-614B96E14E39}"/>
            </c:ext>
          </c:extLst>
        </c:ser>
        <c:ser>
          <c:idx val="1"/>
          <c:order val="1"/>
          <c:tx>
            <c:strRef>
              <c:f>'Singe vert'!$C$2</c:f>
              <c:strCache>
                <c:ptCount val="1"/>
                <c:pt idx="0">
                  <c:v>Plus grand groupe observé</c:v>
                </c:pt>
              </c:strCache>
            </c:strRef>
          </c:tx>
          <c:cat>
            <c:strRef>
              <c:f>'Singe vert'!$A$3:$A$9</c:f>
              <c:strCache>
                <c:ptCount val="7"/>
                <c:pt idx="0">
                  <c:v>Mai 2010</c:v>
                </c:pt>
                <c:pt idx="1">
                  <c:v>Juin 2011</c:v>
                </c:pt>
                <c:pt idx="2">
                  <c:v>Avril 2012</c:v>
                </c:pt>
                <c:pt idx="3">
                  <c:v>Avril 2013</c:v>
                </c:pt>
                <c:pt idx="4">
                  <c:v>Mars 2016</c:v>
                </c:pt>
                <c:pt idx="5">
                  <c:v>Mai 2016</c:v>
                </c:pt>
                <c:pt idx="6">
                  <c:v>Mai 2018</c:v>
                </c:pt>
              </c:strCache>
            </c:strRef>
          </c:cat>
          <c:val>
            <c:numRef>
              <c:f>'Singe vert'!$C$3:$C$9</c:f>
              <c:numCache>
                <c:formatCode>General</c:formatCode>
                <c:ptCount val="7"/>
                <c:pt idx="0">
                  <c:v>12</c:v>
                </c:pt>
                <c:pt idx="1">
                  <c:v>12</c:v>
                </c:pt>
                <c:pt idx="2">
                  <c:v>10</c:v>
                </c:pt>
                <c:pt idx="3">
                  <c:v>16</c:v>
                </c:pt>
                <c:pt idx="4" formatCode="0">
                  <c:v>12</c:v>
                </c:pt>
                <c:pt idx="5" formatCode="0">
                  <c:v>11</c:v>
                </c:pt>
                <c:pt idx="6">
                  <c:v>15</c:v>
                </c:pt>
              </c:numCache>
            </c:numRef>
          </c:val>
          <c:smooth val="0"/>
          <c:extLst>
            <c:ext xmlns:c16="http://schemas.microsoft.com/office/drawing/2014/chart" uri="{C3380CC4-5D6E-409C-BE32-E72D297353CC}">
              <c16:uniqueId val="{00000001-E7F4-4948-B68A-614B96E14E39}"/>
            </c:ext>
          </c:extLst>
        </c:ser>
        <c:ser>
          <c:idx val="2"/>
          <c:order val="2"/>
          <c:tx>
            <c:strRef>
              <c:f>'Singe vert'!$D$2</c:f>
              <c:strCache>
                <c:ptCount val="1"/>
                <c:pt idx="0">
                  <c:v>Nombre d'individus</c:v>
                </c:pt>
              </c:strCache>
            </c:strRef>
          </c:tx>
          <c:spPr>
            <a:ln>
              <a:solidFill>
                <a:srgbClr val="00B050"/>
              </a:solidFill>
            </a:ln>
          </c:spPr>
          <c:marker>
            <c:spPr>
              <a:solidFill>
                <a:srgbClr val="00B050"/>
              </a:solidFill>
              <a:ln>
                <a:solidFill>
                  <a:srgbClr val="00B050"/>
                </a:solidFill>
              </a:ln>
            </c:spPr>
          </c:marker>
          <c:cat>
            <c:strRef>
              <c:f>'Singe vert'!$A$3:$A$9</c:f>
              <c:strCache>
                <c:ptCount val="7"/>
                <c:pt idx="0">
                  <c:v>Mai 2010</c:v>
                </c:pt>
                <c:pt idx="1">
                  <c:v>Juin 2011</c:v>
                </c:pt>
                <c:pt idx="2">
                  <c:v>Avril 2012</c:v>
                </c:pt>
                <c:pt idx="3">
                  <c:v>Avril 2013</c:v>
                </c:pt>
                <c:pt idx="4">
                  <c:v>Mars 2016</c:v>
                </c:pt>
                <c:pt idx="5">
                  <c:v>Mai 2016</c:v>
                </c:pt>
                <c:pt idx="6">
                  <c:v>Mai 2018</c:v>
                </c:pt>
              </c:strCache>
            </c:strRef>
          </c:cat>
          <c:val>
            <c:numRef>
              <c:f>'Singe vert'!$D$3:$D$9</c:f>
              <c:numCache>
                <c:formatCode>0</c:formatCode>
                <c:ptCount val="7"/>
                <c:pt idx="0">
                  <c:v>35</c:v>
                </c:pt>
                <c:pt idx="1">
                  <c:v>58</c:v>
                </c:pt>
                <c:pt idx="2">
                  <c:v>37</c:v>
                </c:pt>
                <c:pt idx="3">
                  <c:v>43</c:v>
                </c:pt>
                <c:pt idx="4">
                  <c:v>104</c:v>
                </c:pt>
                <c:pt idx="5">
                  <c:v>38</c:v>
                </c:pt>
                <c:pt idx="6">
                  <c:v>69</c:v>
                </c:pt>
              </c:numCache>
            </c:numRef>
          </c:val>
          <c:smooth val="0"/>
          <c:extLst>
            <c:ext xmlns:c16="http://schemas.microsoft.com/office/drawing/2014/chart" uri="{C3380CC4-5D6E-409C-BE32-E72D297353CC}">
              <c16:uniqueId val="{00000002-E7F4-4948-B68A-614B96E14E39}"/>
            </c:ext>
          </c:extLst>
        </c:ser>
        <c:ser>
          <c:idx val="3"/>
          <c:order val="3"/>
          <c:tx>
            <c:strRef>
              <c:f>'Singe vert'!$E$2</c:f>
              <c:strCache>
                <c:ptCount val="1"/>
                <c:pt idx="0">
                  <c:v>Taille moyenne de groupe</c:v>
                </c:pt>
              </c:strCache>
            </c:strRef>
          </c:tx>
          <c:spPr>
            <a:ln>
              <a:solidFill>
                <a:schemeClr val="accent6"/>
              </a:solidFill>
            </a:ln>
          </c:spPr>
          <c:marker>
            <c:symbol val="circle"/>
            <c:size val="7"/>
            <c:spPr>
              <a:solidFill>
                <a:schemeClr val="accent6"/>
              </a:solidFill>
              <a:ln>
                <a:solidFill>
                  <a:schemeClr val="accent6"/>
                </a:solidFill>
              </a:ln>
            </c:spPr>
          </c:marker>
          <c:cat>
            <c:strRef>
              <c:f>'Singe vert'!$A$3:$A$9</c:f>
              <c:strCache>
                <c:ptCount val="7"/>
                <c:pt idx="0">
                  <c:v>Mai 2010</c:v>
                </c:pt>
                <c:pt idx="1">
                  <c:v>Juin 2011</c:v>
                </c:pt>
                <c:pt idx="2">
                  <c:v>Avril 2012</c:v>
                </c:pt>
                <c:pt idx="3">
                  <c:v>Avril 2013</c:v>
                </c:pt>
                <c:pt idx="4">
                  <c:v>Mars 2016</c:v>
                </c:pt>
                <c:pt idx="5">
                  <c:v>Mai 2016</c:v>
                </c:pt>
                <c:pt idx="6">
                  <c:v>Mai 2018</c:v>
                </c:pt>
              </c:strCache>
            </c:strRef>
          </c:cat>
          <c:val>
            <c:numRef>
              <c:f>'Singe vert'!$E$3:$E$9</c:f>
              <c:numCache>
                <c:formatCode>General</c:formatCode>
                <c:ptCount val="7"/>
                <c:pt idx="0">
                  <c:v>5</c:v>
                </c:pt>
                <c:pt idx="1">
                  <c:v>4.1428571428571432</c:v>
                </c:pt>
                <c:pt idx="2">
                  <c:v>4.625</c:v>
                </c:pt>
                <c:pt idx="3">
                  <c:v>3.0714285714285716</c:v>
                </c:pt>
                <c:pt idx="4">
                  <c:v>3.7142857142857144</c:v>
                </c:pt>
                <c:pt idx="5">
                  <c:v>2.7142857142857144</c:v>
                </c:pt>
                <c:pt idx="6">
                  <c:v>4.9285714285714288</c:v>
                </c:pt>
              </c:numCache>
            </c:numRef>
          </c:val>
          <c:smooth val="0"/>
          <c:extLst>
            <c:ext xmlns:c16="http://schemas.microsoft.com/office/drawing/2014/chart" uri="{C3380CC4-5D6E-409C-BE32-E72D297353CC}">
              <c16:uniqueId val="{00000003-E7F4-4948-B68A-614B96E14E39}"/>
            </c:ext>
          </c:extLst>
        </c:ser>
        <c:dLbls>
          <c:showLegendKey val="0"/>
          <c:showVal val="0"/>
          <c:showCatName val="0"/>
          <c:showSerName val="0"/>
          <c:showPercent val="0"/>
          <c:showBubbleSize val="0"/>
        </c:dLbls>
        <c:marker val="1"/>
        <c:smooth val="0"/>
        <c:axId val="543525704"/>
        <c:axId val="543534328"/>
      </c:lineChart>
      <c:catAx>
        <c:axId val="543525704"/>
        <c:scaling>
          <c:orientation val="minMax"/>
        </c:scaling>
        <c:delete val="0"/>
        <c:axPos val="b"/>
        <c:title>
          <c:tx>
            <c:rich>
              <a:bodyPr/>
              <a:lstStyle/>
              <a:p>
                <a:pPr>
                  <a:defRPr/>
                </a:pPr>
                <a:r>
                  <a:rPr lang="en-US"/>
                  <a:t>Année</a:t>
                </a:r>
              </a:p>
            </c:rich>
          </c:tx>
          <c:overlay val="0"/>
        </c:title>
        <c:numFmt formatCode="General" sourceLinked="0"/>
        <c:majorTickMark val="out"/>
        <c:minorTickMark val="none"/>
        <c:tickLblPos val="nextTo"/>
        <c:crossAx val="543534328"/>
        <c:crosses val="autoZero"/>
        <c:auto val="1"/>
        <c:lblAlgn val="ctr"/>
        <c:lblOffset val="100"/>
        <c:noMultiLvlLbl val="0"/>
      </c:catAx>
      <c:valAx>
        <c:axId val="543534328"/>
        <c:scaling>
          <c:orientation val="minMax"/>
        </c:scaling>
        <c:delete val="0"/>
        <c:axPos val="l"/>
        <c:majorGridlines>
          <c:spPr>
            <a:ln>
              <a:noFill/>
            </a:ln>
          </c:spPr>
        </c:majorGridlines>
        <c:title>
          <c:tx>
            <c:rich>
              <a:bodyPr rot="-5400000" vert="horz"/>
              <a:lstStyle/>
              <a:p>
                <a:pPr>
                  <a:defRPr/>
                </a:pPr>
                <a:r>
                  <a:rPr lang="en-US"/>
                  <a:t>Nombre</a:t>
                </a:r>
              </a:p>
            </c:rich>
          </c:tx>
          <c:overlay val="0"/>
        </c:title>
        <c:numFmt formatCode="0" sourceLinked="1"/>
        <c:majorTickMark val="out"/>
        <c:minorTickMark val="none"/>
        <c:tickLblPos val="nextTo"/>
        <c:crossAx val="543525704"/>
        <c:crosses val="autoZero"/>
        <c:crossBetween val="between"/>
      </c:valAx>
    </c:plotArea>
    <c:legend>
      <c:legendPos val="t"/>
      <c:layout>
        <c:manualLayout>
          <c:xMode val="edge"/>
          <c:yMode val="edge"/>
          <c:x val="0.33217688951301472"/>
          <c:y val="4.5167118337850042E-3"/>
          <c:w val="0.66579275122456827"/>
          <c:h val="0.15469844724693965"/>
        </c:manualLayout>
      </c:layout>
      <c:overlay val="0"/>
      <c:txPr>
        <a:bodyPr/>
        <a:lstStyle/>
        <a:p>
          <a:pPr>
            <a:defRPr sz="800" b="1"/>
          </a:pPr>
          <a:endParaRPr lang="fr-BF"/>
        </a:p>
      </c:txPr>
    </c:legend>
    <c:plotVisOnly val="1"/>
    <c:dispBlanksAs val="gap"/>
    <c:showDLblsOverMax val="0"/>
  </c:chart>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7748242879036"/>
          <c:y val="8.8370880723242895E-2"/>
          <c:w val="0.82045447339216804"/>
          <c:h val="0.80875874890638699"/>
        </c:manualLayout>
      </c:layout>
      <c:barChart>
        <c:barDir val="col"/>
        <c:grouping val="clustered"/>
        <c:varyColors val="0"/>
        <c:ser>
          <c:idx val="0"/>
          <c:order val="0"/>
          <c:tx>
            <c:strRef>
              <c:f>CroissancePopUrb!$A$2</c:f>
              <c:strCache>
                <c:ptCount val="1"/>
                <c:pt idx="0">
                  <c:v>Population Totale</c:v>
                </c:pt>
              </c:strCache>
            </c:strRef>
          </c:tx>
          <c:spPr>
            <a:solidFill>
              <a:schemeClr val="accent1"/>
            </a:solidFill>
            <a:ln>
              <a:noFill/>
            </a:ln>
            <a:effectLst/>
          </c:spPr>
          <c:invertIfNegative val="0"/>
          <c:dLbls>
            <c:dLbl>
              <c:idx val="5"/>
              <c:layout>
                <c:manualLayout>
                  <c:x val="0"/>
                  <c:y val="0.1321529600466609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70B-4144-96E7-43E62FE33245}"/>
                </c:ext>
              </c:extLst>
            </c:dLbl>
            <c:spPr>
              <a:solidFill>
                <a:sysClr val="windowText" lastClr="000000"/>
              </a:solidFill>
              <a:ln>
                <a:noFill/>
              </a:ln>
              <a:effectLst/>
            </c:spPr>
            <c:txPr>
              <a:bodyPr rot="0" spcFirstLastPara="1" vertOverflow="ellipsis" vert="horz" wrap="square" lIns="38100" tIns="19050" rIns="38100" bIns="19050" anchor="ctr" anchorCtr="1"/>
              <a:lstStyle/>
              <a:p>
                <a:pPr>
                  <a:defRPr lang="fr-FR" sz="700" b="0" i="0" u="none" strike="noStrike" kern="1200" baseline="0">
                    <a:solidFill>
                      <a:schemeClr val="bg1"/>
                    </a:solidFill>
                    <a:latin typeface="Arial Narrow" panose="020B0606020202030204" pitchFamily="2" charset="0"/>
                    <a:ea typeface="+mn-ea"/>
                    <a:cs typeface="+mn-cs"/>
                  </a:defRPr>
                </a:pPr>
                <a:endParaRPr lang="fr-BF"/>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CroissancePopUrb!$B$1:$G$1</c:f>
              <c:numCache>
                <c:formatCode>General</c:formatCode>
                <c:ptCount val="6"/>
                <c:pt idx="1">
                  <c:v>1975</c:v>
                </c:pt>
                <c:pt idx="2">
                  <c:v>1985</c:v>
                </c:pt>
                <c:pt idx="3">
                  <c:v>1996</c:v>
                </c:pt>
                <c:pt idx="4">
                  <c:v>2006</c:v>
                </c:pt>
                <c:pt idx="5">
                  <c:v>2019</c:v>
                </c:pt>
              </c:numCache>
            </c:numRef>
          </c:cat>
          <c:val>
            <c:numRef>
              <c:f>CroissancePopUrb!$B$2:$G$2</c:f>
              <c:numCache>
                <c:formatCode>_-* #\ ##0_-;\-* #\ ##0_-;_-* "-"??_-;_-@_-</c:formatCode>
                <c:ptCount val="6"/>
                <c:pt idx="1">
                  <c:v>5638203</c:v>
                </c:pt>
                <c:pt idx="2">
                  <c:v>7964705</c:v>
                </c:pt>
                <c:pt idx="3">
                  <c:v>10312609</c:v>
                </c:pt>
                <c:pt idx="4">
                  <c:v>10312609</c:v>
                </c:pt>
                <c:pt idx="5">
                  <c:v>20505154.999999993</c:v>
                </c:pt>
              </c:numCache>
            </c:numRef>
          </c:val>
          <c:extLst>
            <c:ext xmlns:c16="http://schemas.microsoft.com/office/drawing/2014/chart" uri="{C3380CC4-5D6E-409C-BE32-E72D297353CC}">
              <c16:uniqueId val="{00000001-570B-4144-96E7-43E62FE33245}"/>
            </c:ext>
          </c:extLst>
        </c:ser>
        <c:ser>
          <c:idx val="1"/>
          <c:order val="1"/>
          <c:tx>
            <c:strRef>
              <c:f>CroissancePopUrb!$A$3</c:f>
              <c:strCache>
                <c:ptCount val="1"/>
                <c:pt idx="0">
                  <c:v>Population Urbaine</c:v>
                </c:pt>
              </c:strCache>
            </c:strRef>
          </c:tx>
          <c:spPr>
            <a:solidFill>
              <a:schemeClr val="accent2"/>
            </a:solidFill>
            <a:ln>
              <a:noFill/>
            </a:ln>
            <a:effectLst/>
          </c:spPr>
          <c:invertIfNegative val="0"/>
          <c:dLbls>
            <c:spPr>
              <a:solidFill>
                <a:srgbClr val="0070C0"/>
              </a:solidFill>
              <a:ln>
                <a:noFill/>
              </a:ln>
              <a:effectLst/>
            </c:spPr>
            <c:txPr>
              <a:bodyPr rot="0" spcFirstLastPara="1" vertOverflow="ellipsis" vert="horz" wrap="square" lIns="38100" tIns="19050" rIns="38100" bIns="19050" anchor="ctr" anchorCtr="1"/>
              <a:lstStyle/>
              <a:p>
                <a:pPr>
                  <a:defRPr lang="fr-FR" sz="700" b="0" i="0" u="none" strike="noStrike" kern="1200" baseline="0">
                    <a:solidFill>
                      <a:schemeClr val="bg1"/>
                    </a:solidFill>
                    <a:latin typeface="Arial Narrow" panose="020B0606020202030204" pitchFamily="2" charset="0"/>
                    <a:ea typeface="+mn-ea"/>
                    <a:cs typeface="+mn-cs"/>
                  </a:defRPr>
                </a:pPr>
                <a:endParaRPr lang="fr-BF"/>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CroissancePopUrb!$B$1:$G$1</c:f>
              <c:numCache>
                <c:formatCode>General</c:formatCode>
                <c:ptCount val="6"/>
                <c:pt idx="1">
                  <c:v>1975</c:v>
                </c:pt>
                <c:pt idx="2">
                  <c:v>1985</c:v>
                </c:pt>
                <c:pt idx="3">
                  <c:v>1996</c:v>
                </c:pt>
                <c:pt idx="4">
                  <c:v>2006</c:v>
                </c:pt>
                <c:pt idx="5">
                  <c:v>2019</c:v>
                </c:pt>
              </c:numCache>
            </c:numRef>
          </c:cat>
          <c:val>
            <c:numRef>
              <c:f>CroissancePopUrb!$B$3:$G$3</c:f>
              <c:numCache>
                <c:formatCode>_-* #\ ##0_-;\-* #\ ##0_-;_-* "-"??_-;_-@_-</c:formatCode>
                <c:ptCount val="6"/>
                <c:pt idx="1">
                  <c:v>362610</c:v>
                </c:pt>
                <c:pt idx="2">
                  <c:v>1011074</c:v>
                </c:pt>
                <c:pt idx="3">
                  <c:v>1601168</c:v>
                </c:pt>
                <c:pt idx="4">
                  <c:v>3181967</c:v>
                </c:pt>
                <c:pt idx="5" formatCode="#,##0">
                  <c:v>5360112</c:v>
                </c:pt>
              </c:numCache>
            </c:numRef>
          </c:val>
          <c:extLst>
            <c:ext xmlns:c16="http://schemas.microsoft.com/office/drawing/2014/chart" uri="{C3380CC4-5D6E-409C-BE32-E72D297353CC}">
              <c16:uniqueId val="{00000002-570B-4144-96E7-43E62FE33245}"/>
            </c:ext>
          </c:extLst>
        </c:ser>
        <c:dLbls>
          <c:showLegendKey val="0"/>
          <c:showVal val="0"/>
          <c:showCatName val="0"/>
          <c:showSerName val="0"/>
          <c:showPercent val="0"/>
          <c:showBubbleSize val="0"/>
        </c:dLbls>
        <c:gapWidth val="247"/>
        <c:overlap val="-27"/>
        <c:axId val="1729520176"/>
        <c:axId val="1729527792"/>
      </c:barChart>
      <c:lineChart>
        <c:grouping val="standard"/>
        <c:varyColors val="0"/>
        <c:ser>
          <c:idx val="2"/>
          <c:order val="2"/>
          <c:tx>
            <c:strRef>
              <c:f>CroissancePopUrb!$A$4</c:f>
              <c:strCache>
                <c:ptCount val="1"/>
                <c:pt idx="0">
                  <c:v>Taux de la population urbaine (%)</c:v>
                </c:pt>
              </c:strCache>
            </c:strRef>
          </c:tx>
          <c:spPr>
            <a:ln w="22225" cap="rnd">
              <a:solidFill>
                <a:schemeClr val="accent3"/>
              </a:solidFill>
              <a:round/>
            </a:ln>
            <a:effectLst/>
          </c:spPr>
          <c:marker>
            <c:symbol val="none"/>
          </c:marker>
          <c:dLbls>
            <c:dLbl>
              <c:idx val="5"/>
              <c:layout>
                <c:manualLayout>
                  <c:x val="-4.0274093255121601E-2"/>
                  <c:y val="-7.99653689122192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70B-4144-96E7-43E62FE33245}"/>
                </c:ext>
              </c:extLst>
            </c:dLbl>
            <c:spPr>
              <a:noFill/>
              <a:ln>
                <a:noFill/>
              </a:ln>
              <a:effectLst/>
            </c:spPr>
            <c:txPr>
              <a:bodyPr rot="0" spcFirstLastPara="1" vertOverflow="ellipsis" vert="horz" wrap="square" lIns="38100" tIns="19050" rIns="38100" bIns="19050" anchor="ctr" anchorCtr="1">
                <a:spAutoFit/>
              </a:bodyPr>
              <a:lstStyle/>
              <a:p>
                <a:pPr>
                  <a:defRPr lang="fr-FR" sz="900" b="0" i="0" u="none" strike="noStrike" kern="1200" baseline="0">
                    <a:solidFill>
                      <a:sysClr val="windowText" lastClr="000000"/>
                    </a:solidFill>
                    <a:latin typeface="Arial Narrow" panose="020B0606020202030204" pitchFamily="2" charset="0"/>
                    <a:ea typeface="+mn-ea"/>
                    <a:cs typeface="+mn-cs"/>
                  </a:defRPr>
                </a:pPr>
                <a:endParaRPr lang="fr-BF"/>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CroissancePopUrb!$B$1:$G$1</c:f>
              <c:numCache>
                <c:formatCode>General</c:formatCode>
                <c:ptCount val="6"/>
                <c:pt idx="1">
                  <c:v>1975</c:v>
                </c:pt>
                <c:pt idx="2">
                  <c:v>1985</c:v>
                </c:pt>
                <c:pt idx="3">
                  <c:v>1996</c:v>
                </c:pt>
                <c:pt idx="4">
                  <c:v>2006</c:v>
                </c:pt>
                <c:pt idx="5">
                  <c:v>2019</c:v>
                </c:pt>
              </c:numCache>
            </c:numRef>
          </c:cat>
          <c:val>
            <c:numRef>
              <c:f>CroissancePopUrb!$B$4:$G$4</c:f>
              <c:numCache>
                <c:formatCode>0.0%</c:formatCode>
                <c:ptCount val="6"/>
                <c:pt idx="1">
                  <c:v>6.431304442213237E-2</c:v>
                </c:pt>
                <c:pt idx="2">
                  <c:v>0.12694431243843934</c:v>
                </c:pt>
                <c:pt idx="3">
                  <c:v>0.1552631346732917</c:v>
                </c:pt>
                <c:pt idx="4">
                  <c:v>0.22700000000000001</c:v>
                </c:pt>
                <c:pt idx="5">
                  <c:v>0.26140314472141285</c:v>
                </c:pt>
              </c:numCache>
            </c:numRef>
          </c:val>
          <c:smooth val="0"/>
          <c:extLst>
            <c:ext xmlns:c16="http://schemas.microsoft.com/office/drawing/2014/chart" uri="{C3380CC4-5D6E-409C-BE32-E72D297353CC}">
              <c16:uniqueId val="{00000004-570B-4144-96E7-43E62FE33245}"/>
            </c:ext>
          </c:extLst>
        </c:ser>
        <c:dLbls>
          <c:showLegendKey val="0"/>
          <c:showVal val="0"/>
          <c:showCatName val="0"/>
          <c:showSerName val="0"/>
          <c:showPercent val="0"/>
          <c:showBubbleSize val="0"/>
        </c:dLbls>
        <c:marker val="1"/>
        <c:smooth val="0"/>
        <c:axId val="1729527248"/>
        <c:axId val="1729528336"/>
      </c:lineChart>
      <c:catAx>
        <c:axId val="172952017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lang="fr-FR" sz="900" b="0" i="0" u="none" strike="noStrike" kern="1200" cap="none" spc="0" normalizeH="0" baseline="0">
                <a:solidFill>
                  <a:sysClr val="windowText" lastClr="000000"/>
                </a:solidFill>
                <a:latin typeface="Arial Narrow" panose="020B0606020202030204" pitchFamily="2" charset="0"/>
                <a:ea typeface="+mn-ea"/>
                <a:cs typeface="+mn-cs"/>
              </a:defRPr>
            </a:pPr>
            <a:endParaRPr lang="fr-BF"/>
          </a:p>
        </c:txPr>
        <c:crossAx val="1729527792"/>
        <c:crosses val="autoZero"/>
        <c:auto val="1"/>
        <c:lblAlgn val="ctr"/>
        <c:lblOffset val="100"/>
        <c:noMultiLvlLbl val="0"/>
      </c:catAx>
      <c:valAx>
        <c:axId val="1729527792"/>
        <c:scaling>
          <c:orientation val="minMax"/>
        </c:scaling>
        <c:delete val="0"/>
        <c:axPos val="l"/>
        <c:majorGridlines>
          <c:spPr>
            <a:ln w="9525" cap="flat" cmpd="sng" algn="ctr">
              <a:solidFill>
                <a:schemeClr val="dk1">
                  <a:lumMod val="15000"/>
                  <a:lumOff val="85000"/>
                </a:schemeClr>
              </a:solidFill>
              <a:round/>
            </a:ln>
            <a:effectLst/>
          </c:spPr>
        </c:majorGridlines>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lang="fr-FR" sz="800" b="0" i="0" u="none" strike="noStrike" kern="1200" baseline="0">
                <a:solidFill>
                  <a:sysClr val="windowText" lastClr="000000"/>
                </a:solidFill>
                <a:latin typeface="Arial Narrow" panose="020B0606020202030204" pitchFamily="2" charset="0"/>
                <a:ea typeface="+mn-ea"/>
                <a:cs typeface="+mn-cs"/>
              </a:defRPr>
            </a:pPr>
            <a:endParaRPr lang="fr-BF"/>
          </a:p>
        </c:txPr>
        <c:crossAx val="1729520176"/>
        <c:crosses val="autoZero"/>
        <c:crossBetween val="between"/>
      </c:valAx>
      <c:catAx>
        <c:axId val="1729527248"/>
        <c:scaling>
          <c:orientation val="minMax"/>
        </c:scaling>
        <c:delete val="1"/>
        <c:axPos val="b"/>
        <c:numFmt formatCode="General" sourceLinked="1"/>
        <c:majorTickMark val="out"/>
        <c:minorTickMark val="none"/>
        <c:tickLblPos val="nextTo"/>
        <c:crossAx val="1729528336"/>
        <c:crosses val="autoZero"/>
        <c:auto val="1"/>
        <c:lblAlgn val="ctr"/>
        <c:lblOffset val="100"/>
        <c:noMultiLvlLbl val="0"/>
      </c:catAx>
      <c:valAx>
        <c:axId val="1729528336"/>
        <c:scaling>
          <c:orientation val="minMax"/>
        </c:scaling>
        <c:delete val="0"/>
        <c:axPos val="r"/>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lang="fr-FR" sz="800" b="0" i="0" u="none" strike="noStrike" kern="1200" baseline="0">
                <a:solidFill>
                  <a:sysClr val="windowText" lastClr="000000"/>
                </a:solidFill>
                <a:latin typeface="Arial Narrow" panose="020B0606020202030204" pitchFamily="2" charset="0"/>
                <a:ea typeface="+mn-ea"/>
                <a:cs typeface="+mn-cs"/>
              </a:defRPr>
            </a:pPr>
            <a:endParaRPr lang="fr-BF"/>
          </a:p>
        </c:txPr>
        <c:crossAx val="1729527248"/>
        <c:crosses val="max"/>
        <c:crossBetween val="between"/>
      </c:valAx>
      <c:spPr>
        <a:pattFill prst="ltDnDiag">
          <a:fgClr>
            <a:schemeClr val="dk1">
              <a:lumMod val="15000"/>
              <a:lumOff val="85000"/>
            </a:schemeClr>
          </a:fgClr>
          <a:bgClr>
            <a:schemeClr val="lt1"/>
          </a:bgClr>
        </a:pattFill>
        <a:ln>
          <a:noFill/>
        </a:ln>
        <a:effectLst/>
      </c:spPr>
    </c:plotArea>
    <c:legend>
      <c:legendPos val="t"/>
      <c:overlay val="0"/>
      <c:spPr>
        <a:noFill/>
        <a:ln>
          <a:noFill/>
        </a:ln>
        <a:effectLst/>
      </c:spPr>
      <c:txPr>
        <a:bodyPr rot="0" spcFirstLastPara="1" vertOverflow="ellipsis" vert="horz" wrap="square" anchor="ctr" anchorCtr="1"/>
        <a:lstStyle/>
        <a:p>
          <a:pPr>
            <a:defRPr lang="fr-FR" sz="900" b="0" i="0" u="none" strike="noStrike" kern="1200" baseline="0">
              <a:solidFill>
                <a:sysClr val="windowText" lastClr="000000"/>
              </a:solidFill>
              <a:latin typeface="Arial Narrow" panose="020B0606020202030204" pitchFamily="2" charset="0"/>
              <a:ea typeface="+mn-ea"/>
              <a:cs typeface="+mn-cs"/>
            </a:defRPr>
          </a:pPr>
          <a:endParaRPr lang="fr-BF"/>
        </a:p>
      </c:txPr>
    </c:legend>
    <c:plotVisOnly val="1"/>
    <c:dispBlanksAs val="gap"/>
    <c:showDLblsOverMax val="0"/>
  </c:chart>
  <c:spPr>
    <a:solidFill>
      <a:schemeClr val="lt1"/>
    </a:solidFill>
    <a:ln w="9525" cap="flat" cmpd="sng" algn="ctr">
      <a:solidFill>
        <a:schemeClr val="bg1">
          <a:lumMod val="50000"/>
        </a:schemeClr>
      </a:solidFill>
      <a:round/>
    </a:ln>
    <a:effectLst/>
  </c:spPr>
  <c:txPr>
    <a:bodyPr/>
    <a:lstStyle/>
    <a:p>
      <a:pPr>
        <a:defRPr lang="fr-FR">
          <a:solidFill>
            <a:sysClr val="windowText" lastClr="000000"/>
          </a:solidFill>
          <a:latin typeface="Arial Narrow" panose="020B0606020202030204" pitchFamily="2" charset="0"/>
        </a:defRPr>
      </a:pPr>
      <a:endParaRPr lang="fr-BF"/>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037401574803149"/>
          <c:y val="5.6135899679206763E-2"/>
          <c:w val="0.73394553805774276"/>
          <c:h val="0.83683508311461063"/>
        </c:manualLayout>
      </c:layout>
      <c:barChart>
        <c:barDir val="bar"/>
        <c:grouping val="clustered"/>
        <c:varyColors val="0"/>
        <c:ser>
          <c:idx val="0"/>
          <c:order val="0"/>
          <c:tx>
            <c:strRef>
              <c:f>Feuil3!$C$1:$C$3</c:f>
              <c:strCache>
                <c:ptCount val="3"/>
                <c:pt idx="0">
                  <c:v>Population</c:v>
                </c:pt>
                <c:pt idx="1">
                  <c:v>selon</c:v>
                </c:pt>
                <c:pt idx="2">
                  <c:v>RGPH 1975</c:v>
                </c:pt>
              </c:strCache>
            </c:strRef>
          </c:tx>
          <c:spPr>
            <a:noFill/>
            <a:ln w="25400" cap="flat" cmpd="sng" algn="ctr">
              <a:solidFill>
                <a:schemeClr val="accent1"/>
              </a:solidFill>
              <a:miter lim="800000"/>
            </a:ln>
            <a:effectLst/>
          </c:spPr>
          <c:invertIfNegative val="0"/>
          <c:cat>
            <c:strRef>
              <c:f>Feuil3!$B$4:$B$13</c:f>
              <c:strCache>
                <c:ptCount val="10"/>
                <c:pt idx="0">
                  <c:v>Ouagadougou</c:v>
                </c:pt>
                <c:pt idx="1">
                  <c:v>Bobo-Dioulasso</c:v>
                </c:pt>
                <c:pt idx="2">
                  <c:v>Koudougou</c:v>
                </c:pt>
                <c:pt idx="3">
                  <c:v>Ouahigouya</c:v>
                </c:pt>
                <c:pt idx="4">
                  <c:v>Kaya</c:v>
                </c:pt>
                <c:pt idx="5">
                  <c:v>Banfora</c:v>
                </c:pt>
                <c:pt idx="6">
                  <c:v>Pouytenga</c:v>
                </c:pt>
                <c:pt idx="7">
                  <c:v>Houndé</c:v>
                </c:pt>
                <c:pt idx="8">
                  <c:v>Fada N’Gourma</c:v>
                </c:pt>
                <c:pt idx="9">
                  <c:v>Dédougou</c:v>
                </c:pt>
              </c:strCache>
            </c:strRef>
          </c:cat>
          <c:val>
            <c:numRef>
              <c:f>Feuil3!$C$4:$C$13</c:f>
              <c:numCache>
                <c:formatCode>#,##0</c:formatCode>
                <c:ptCount val="10"/>
                <c:pt idx="0">
                  <c:v>172661</c:v>
                </c:pt>
                <c:pt idx="1">
                  <c:v>115063</c:v>
                </c:pt>
                <c:pt idx="2">
                  <c:v>36838</c:v>
                </c:pt>
                <c:pt idx="3">
                  <c:v>25690</c:v>
                </c:pt>
                <c:pt idx="4">
                  <c:v>19200</c:v>
                </c:pt>
                <c:pt idx="5">
                  <c:v>12358</c:v>
                </c:pt>
                <c:pt idx="6">
                  <c:v>24240</c:v>
                </c:pt>
                <c:pt idx="8">
                  <c:v>13067</c:v>
                </c:pt>
                <c:pt idx="9">
                  <c:v>7913</c:v>
                </c:pt>
              </c:numCache>
            </c:numRef>
          </c:val>
          <c:extLst>
            <c:ext xmlns:c16="http://schemas.microsoft.com/office/drawing/2014/chart" uri="{C3380CC4-5D6E-409C-BE32-E72D297353CC}">
              <c16:uniqueId val="{00000000-6321-4A3C-8231-6B0C8C749510}"/>
            </c:ext>
          </c:extLst>
        </c:ser>
        <c:ser>
          <c:idx val="1"/>
          <c:order val="1"/>
          <c:tx>
            <c:strRef>
              <c:f>Feuil3!$D$1:$D$3</c:f>
              <c:strCache>
                <c:ptCount val="3"/>
                <c:pt idx="0">
                  <c:v>Population</c:v>
                </c:pt>
                <c:pt idx="1">
                  <c:v>selon</c:v>
                </c:pt>
                <c:pt idx="2">
                  <c:v>RGPH 1985</c:v>
                </c:pt>
              </c:strCache>
            </c:strRef>
          </c:tx>
          <c:spPr>
            <a:noFill/>
            <a:ln w="25400" cap="flat" cmpd="sng" algn="ctr">
              <a:solidFill>
                <a:schemeClr val="accent2"/>
              </a:solidFill>
              <a:miter lim="800000"/>
            </a:ln>
            <a:effectLst/>
          </c:spPr>
          <c:invertIfNegative val="0"/>
          <c:cat>
            <c:strRef>
              <c:f>Feuil3!$B$4:$B$13</c:f>
              <c:strCache>
                <c:ptCount val="10"/>
                <c:pt idx="0">
                  <c:v>Ouagadougou</c:v>
                </c:pt>
                <c:pt idx="1">
                  <c:v>Bobo-Dioulasso</c:v>
                </c:pt>
                <c:pt idx="2">
                  <c:v>Koudougou</c:v>
                </c:pt>
                <c:pt idx="3">
                  <c:v>Ouahigouya</c:v>
                </c:pt>
                <c:pt idx="4">
                  <c:v>Kaya</c:v>
                </c:pt>
                <c:pt idx="5">
                  <c:v>Banfora</c:v>
                </c:pt>
                <c:pt idx="6">
                  <c:v>Pouytenga</c:v>
                </c:pt>
                <c:pt idx="7">
                  <c:v>Houndé</c:v>
                </c:pt>
                <c:pt idx="8">
                  <c:v>Fada N’Gourma</c:v>
                </c:pt>
                <c:pt idx="9">
                  <c:v>Dédougou</c:v>
                </c:pt>
              </c:strCache>
            </c:strRef>
          </c:cat>
          <c:val>
            <c:numRef>
              <c:f>Feuil3!$D$4:$D$13</c:f>
              <c:numCache>
                <c:formatCode>#,##0</c:formatCode>
                <c:ptCount val="10"/>
                <c:pt idx="0">
                  <c:v>441514</c:v>
                </c:pt>
                <c:pt idx="1">
                  <c:v>228668</c:v>
                </c:pt>
                <c:pt idx="2">
                  <c:v>51926</c:v>
                </c:pt>
                <c:pt idx="3">
                  <c:v>38902</c:v>
                </c:pt>
                <c:pt idx="4">
                  <c:v>25814</c:v>
                </c:pt>
                <c:pt idx="5">
                  <c:v>35319</c:v>
                </c:pt>
                <c:pt idx="6">
                  <c:v>12445</c:v>
                </c:pt>
                <c:pt idx="8">
                  <c:v>20857</c:v>
                </c:pt>
                <c:pt idx="9">
                  <c:v>21049</c:v>
                </c:pt>
              </c:numCache>
            </c:numRef>
          </c:val>
          <c:extLst>
            <c:ext xmlns:c16="http://schemas.microsoft.com/office/drawing/2014/chart" uri="{C3380CC4-5D6E-409C-BE32-E72D297353CC}">
              <c16:uniqueId val="{00000001-6321-4A3C-8231-6B0C8C749510}"/>
            </c:ext>
          </c:extLst>
        </c:ser>
        <c:ser>
          <c:idx val="2"/>
          <c:order val="2"/>
          <c:tx>
            <c:strRef>
              <c:f>Feuil3!$E$1:$E$3</c:f>
              <c:strCache>
                <c:ptCount val="3"/>
                <c:pt idx="0">
                  <c:v>Population</c:v>
                </c:pt>
                <c:pt idx="1">
                  <c:v>selon</c:v>
                </c:pt>
                <c:pt idx="2">
                  <c:v>RGPH 1996</c:v>
                </c:pt>
              </c:strCache>
            </c:strRef>
          </c:tx>
          <c:spPr>
            <a:noFill/>
            <a:ln w="25400" cap="flat" cmpd="sng" algn="ctr">
              <a:solidFill>
                <a:schemeClr val="accent3"/>
              </a:solidFill>
              <a:miter lim="800000"/>
            </a:ln>
            <a:effectLst/>
          </c:spPr>
          <c:invertIfNegative val="0"/>
          <c:cat>
            <c:strRef>
              <c:f>Feuil3!$B$4:$B$13</c:f>
              <c:strCache>
                <c:ptCount val="10"/>
                <c:pt idx="0">
                  <c:v>Ouagadougou</c:v>
                </c:pt>
                <c:pt idx="1">
                  <c:v>Bobo-Dioulasso</c:v>
                </c:pt>
                <c:pt idx="2">
                  <c:v>Koudougou</c:v>
                </c:pt>
                <c:pt idx="3">
                  <c:v>Ouahigouya</c:v>
                </c:pt>
                <c:pt idx="4">
                  <c:v>Kaya</c:v>
                </c:pt>
                <c:pt idx="5">
                  <c:v>Banfora</c:v>
                </c:pt>
                <c:pt idx="6">
                  <c:v>Pouytenga</c:v>
                </c:pt>
                <c:pt idx="7">
                  <c:v>Houndé</c:v>
                </c:pt>
                <c:pt idx="8">
                  <c:v>Fada N’Gourma</c:v>
                </c:pt>
                <c:pt idx="9">
                  <c:v>Dédougou</c:v>
                </c:pt>
              </c:strCache>
            </c:strRef>
          </c:cat>
          <c:val>
            <c:numRef>
              <c:f>Feuil3!$E$4:$E$13</c:f>
              <c:numCache>
                <c:formatCode>General</c:formatCode>
                <c:ptCount val="10"/>
                <c:pt idx="0">
                  <c:v>709736</c:v>
                </c:pt>
                <c:pt idx="1">
                  <c:v>309771</c:v>
                </c:pt>
                <c:pt idx="2">
                  <c:v>72490</c:v>
                </c:pt>
                <c:pt idx="3" formatCode="#,##0">
                  <c:v>52193</c:v>
                </c:pt>
                <c:pt idx="4" formatCode="#,##0">
                  <c:v>33958</c:v>
                </c:pt>
                <c:pt idx="5">
                  <c:v>49724</c:v>
                </c:pt>
                <c:pt idx="6">
                  <c:v>35720</c:v>
                </c:pt>
                <c:pt idx="7" formatCode="#,##0">
                  <c:v>21830</c:v>
                </c:pt>
                <c:pt idx="8" formatCode="#,##0">
                  <c:v>29254</c:v>
                </c:pt>
                <c:pt idx="9">
                  <c:v>33815</c:v>
                </c:pt>
              </c:numCache>
            </c:numRef>
          </c:val>
          <c:extLst>
            <c:ext xmlns:c16="http://schemas.microsoft.com/office/drawing/2014/chart" uri="{C3380CC4-5D6E-409C-BE32-E72D297353CC}">
              <c16:uniqueId val="{00000002-6321-4A3C-8231-6B0C8C749510}"/>
            </c:ext>
          </c:extLst>
        </c:ser>
        <c:ser>
          <c:idx val="3"/>
          <c:order val="3"/>
          <c:tx>
            <c:strRef>
              <c:f>Feuil3!$F$1:$F$3</c:f>
              <c:strCache>
                <c:ptCount val="3"/>
                <c:pt idx="0">
                  <c:v>Population</c:v>
                </c:pt>
                <c:pt idx="1">
                  <c:v>selon</c:v>
                </c:pt>
                <c:pt idx="2">
                  <c:v>RGPH 2006</c:v>
                </c:pt>
              </c:strCache>
            </c:strRef>
          </c:tx>
          <c:spPr>
            <a:noFill/>
            <a:ln w="25400" cap="flat" cmpd="sng" algn="ctr">
              <a:solidFill>
                <a:schemeClr val="accent4"/>
              </a:solidFill>
              <a:miter lim="800000"/>
            </a:ln>
            <a:effectLst/>
          </c:spPr>
          <c:invertIfNegative val="0"/>
          <c:cat>
            <c:strRef>
              <c:f>Feuil3!$B$4:$B$13</c:f>
              <c:strCache>
                <c:ptCount val="10"/>
                <c:pt idx="0">
                  <c:v>Ouagadougou</c:v>
                </c:pt>
                <c:pt idx="1">
                  <c:v>Bobo-Dioulasso</c:v>
                </c:pt>
                <c:pt idx="2">
                  <c:v>Koudougou</c:v>
                </c:pt>
                <c:pt idx="3">
                  <c:v>Ouahigouya</c:v>
                </c:pt>
                <c:pt idx="4">
                  <c:v>Kaya</c:v>
                </c:pt>
                <c:pt idx="5">
                  <c:v>Banfora</c:v>
                </c:pt>
                <c:pt idx="6">
                  <c:v>Pouytenga</c:v>
                </c:pt>
                <c:pt idx="7">
                  <c:v>Houndé</c:v>
                </c:pt>
                <c:pt idx="8">
                  <c:v>Fada N’Gourma</c:v>
                </c:pt>
                <c:pt idx="9">
                  <c:v>Dédougou</c:v>
                </c:pt>
              </c:strCache>
            </c:strRef>
          </c:cat>
          <c:val>
            <c:numRef>
              <c:f>Feuil3!$F$4:$F$13</c:f>
              <c:numCache>
                <c:formatCode>#,##0</c:formatCode>
                <c:ptCount val="10"/>
                <c:pt idx="0">
                  <c:v>1475223</c:v>
                </c:pt>
                <c:pt idx="1">
                  <c:v>489967</c:v>
                </c:pt>
                <c:pt idx="2">
                  <c:v>88184</c:v>
                </c:pt>
                <c:pt idx="3" formatCode="General">
                  <c:v>73153</c:v>
                </c:pt>
                <c:pt idx="4">
                  <c:v>54365</c:v>
                </c:pt>
                <c:pt idx="5">
                  <c:v>75917</c:v>
                </c:pt>
                <c:pt idx="6">
                  <c:v>60618</c:v>
                </c:pt>
                <c:pt idx="7">
                  <c:v>39458</c:v>
                </c:pt>
                <c:pt idx="8">
                  <c:v>41785</c:v>
                </c:pt>
                <c:pt idx="9">
                  <c:v>38862</c:v>
                </c:pt>
              </c:numCache>
            </c:numRef>
          </c:val>
          <c:extLst>
            <c:ext xmlns:c16="http://schemas.microsoft.com/office/drawing/2014/chart" uri="{C3380CC4-5D6E-409C-BE32-E72D297353CC}">
              <c16:uniqueId val="{00000003-6321-4A3C-8231-6B0C8C749510}"/>
            </c:ext>
          </c:extLst>
        </c:ser>
        <c:ser>
          <c:idx val="4"/>
          <c:order val="4"/>
          <c:tx>
            <c:strRef>
              <c:f>Feuil3!$G$1:$G$3</c:f>
              <c:strCache>
                <c:ptCount val="3"/>
                <c:pt idx="0">
                  <c:v>Population</c:v>
                </c:pt>
                <c:pt idx="1">
                  <c:v>selon</c:v>
                </c:pt>
                <c:pt idx="2">
                  <c:v>RGPH 2019</c:v>
                </c:pt>
              </c:strCache>
            </c:strRef>
          </c:tx>
          <c:spPr>
            <a:noFill/>
            <a:ln w="25400" cap="flat" cmpd="sng" algn="ctr">
              <a:solidFill>
                <a:schemeClr val="accent5"/>
              </a:solidFill>
              <a:miter lim="800000"/>
            </a:ln>
            <a:effectLst/>
          </c:spPr>
          <c:invertIfNegative val="0"/>
          <c:cat>
            <c:strRef>
              <c:f>Feuil3!$B$4:$B$13</c:f>
              <c:strCache>
                <c:ptCount val="10"/>
                <c:pt idx="0">
                  <c:v>Ouagadougou</c:v>
                </c:pt>
                <c:pt idx="1">
                  <c:v>Bobo-Dioulasso</c:v>
                </c:pt>
                <c:pt idx="2">
                  <c:v>Koudougou</c:v>
                </c:pt>
                <c:pt idx="3">
                  <c:v>Ouahigouya</c:v>
                </c:pt>
                <c:pt idx="4">
                  <c:v>Kaya</c:v>
                </c:pt>
                <c:pt idx="5">
                  <c:v>Banfora</c:v>
                </c:pt>
                <c:pt idx="6">
                  <c:v>Pouytenga</c:v>
                </c:pt>
                <c:pt idx="7">
                  <c:v>Houndé</c:v>
                </c:pt>
                <c:pt idx="8">
                  <c:v>Fada N’Gourma</c:v>
                </c:pt>
                <c:pt idx="9">
                  <c:v>Dédougou</c:v>
                </c:pt>
              </c:strCache>
            </c:strRef>
          </c:cat>
          <c:val>
            <c:numRef>
              <c:f>Feuil3!$G$4:$G$13</c:f>
              <c:numCache>
                <c:formatCode>#,##0</c:formatCode>
                <c:ptCount val="10"/>
                <c:pt idx="0">
                  <c:v>2415266</c:v>
                </c:pt>
                <c:pt idx="1">
                  <c:v>904920</c:v>
                </c:pt>
                <c:pt idx="2">
                  <c:v>160239</c:v>
                </c:pt>
                <c:pt idx="3">
                  <c:v>124587</c:v>
                </c:pt>
                <c:pt idx="4">
                  <c:v>121970</c:v>
                </c:pt>
                <c:pt idx="5">
                  <c:v>117452</c:v>
                </c:pt>
                <c:pt idx="6">
                  <c:v>96469</c:v>
                </c:pt>
                <c:pt idx="7">
                  <c:v>87151</c:v>
                </c:pt>
                <c:pt idx="8">
                  <c:v>73200</c:v>
                </c:pt>
                <c:pt idx="9">
                  <c:v>63617</c:v>
                </c:pt>
              </c:numCache>
            </c:numRef>
          </c:val>
          <c:extLst>
            <c:ext xmlns:c16="http://schemas.microsoft.com/office/drawing/2014/chart" uri="{C3380CC4-5D6E-409C-BE32-E72D297353CC}">
              <c16:uniqueId val="{00000004-6321-4A3C-8231-6B0C8C749510}"/>
            </c:ext>
          </c:extLst>
        </c:ser>
        <c:dLbls>
          <c:showLegendKey val="0"/>
          <c:showVal val="0"/>
          <c:showCatName val="0"/>
          <c:showSerName val="0"/>
          <c:showPercent val="0"/>
          <c:showBubbleSize val="0"/>
        </c:dLbls>
        <c:gapWidth val="227"/>
        <c:overlap val="-48"/>
        <c:axId val="1729528880"/>
        <c:axId val="1729529968"/>
      </c:barChart>
      <c:catAx>
        <c:axId val="1729528880"/>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fr-BF"/>
          </a:p>
        </c:txPr>
        <c:crossAx val="1729529968"/>
        <c:crosses val="autoZero"/>
        <c:auto val="1"/>
        <c:lblAlgn val="ctr"/>
        <c:lblOffset val="100"/>
        <c:noMultiLvlLbl val="0"/>
      </c:catAx>
      <c:valAx>
        <c:axId val="1729529968"/>
        <c:scaling>
          <c:orientation val="minMax"/>
        </c:scaling>
        <c:delete val="0"/>
        <c:axPos val="b"/>
        <c:numFmt formatCode="#,##0" sourceLinked="1"/>
        <c:majorTickMark val="none"/>
        <c:minorTickMark val="none"/>
        <c:tickLblPos val="nextTo"/>
        <c:spPr>
          <a:noFill/>
          <a:ln w="9525">
            <a:solidFill>
              <a:schemeClr val="tx1">
                <a:lumMod val="15000"/>
                <a:lumOff val="8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fr-BF"/>
          </a:p>
        </c:txPr>
        <c:crossAx val="1729528880"/>
        <c:crosses val="autoZero"/>
        <c:crossBetween val="between"/>
      </c:valAx>
      <c:spPr>
        <a:noFill/>
        <a:ln>
          <a:noFill/>
        </a:ln>
        <a:effectLst/>
      </c:spPr>
    </c:plotArea>
    <c:legend>
      <c:legendPos val="t"/>
      <c:layout>
        <c:manualLayout>
          <c:xMode val="edge"/>
          <c:yMode val="edge"/>
          <c:x val="0.51642454068241472"/>
          <c:y val="0.22222222222222221"/>
          <c:w val="0.41715091863517062"/>
          <c:h val="0.2584937299504228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fr-BF"/>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solidFill>
            <a:sysClr val="windowText" lastClr="000000"/>
          </a:solidFill>
          <a:latin typeface="Arial Narrow" panose="020B0606020202030204" pitchFamily="34" charset="0"/>
        </a:defRPr>
      </a:pPr>
      <a:endParaRPr lang="fr-BF"/>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'Accès à l''eau'!$B$19</c:f>
              <c:strCache>
                <c:ptCount val="1"/>
                <c:pt idx="0">
                  <c:v>Urbain</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lang="fr-FR" sz="800" b="0" i="0" u="none" strike="noStrike" kern="1200" baseline="0">
                    <a:solidFill>
                      <a:sysClr val="windowText" lastClr="000000"/>
                    </a:solidFill>
                    <a:latin typeface="Arial Narrow" panose="020B0606020202030204" pitchFamily="2" charset="0"/>
                    <a:ea typeface="+mn-ea"/>
                    <a:cs typeface="+mn-cs"/>
                  </a:defRPr>
                </a:pPr>
                <a:endParaRPr lang="fr-BF"/>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spPr>
              <a:ln w="19050" cap="rnd">
                <a:solidFill>
                  <a:schemeClr val="accent1"/>
                </a:solidFill>
                <a:prstDash val="sysDash"/>
              </a:ln>
              <a:effectLst/>
            </c:spPr>
            <c:trendlineType val="linear"/>
            <c:dispRSqr val="0"/>
            <c:dispEq val="0"/>
          </c:trendline>
          <c:cat>
            <c:numRef>
              <c:f>'Accès à l''eau'!$A$20:$A$27</c:f>
              <c:numCache>
                <c:formatCode>General</c:formatCode>
                <c:ptCount val="8"/>
                <c:pt idx="0">
                  <c:v>2003</c:v>
                </c:pt>
                <c:pt idx="1">
                  <c:v>2005</c:v>
                </c:pt>
                <c:pt idx="2">
                  <c:v>2007</c:v>
                </c:pt>
                <c:pt idx="3">
                  <c:v>2009</c:v>
                </c:pt>
                <c:pt idx="4">
                  <c:v>2010</c:v>
                </c:pt>
                <c:pt idx="5">
                  <c:v>2014</c:v>
                </c:pt>
                <c:pt idx="6">
                  <c:v>2017</c:v>
                </c:pt>
                <c:pt idx="7">
                  <c:v>2018</c:v>
                </c:pt>
              </c:numCache>
            </c:numRef>
          </c:cat>
          <c:val>
            <c:numRef>
              <c:f>'Accès à l''eau'!$B$20:$B$27</c:f>
              <c:numCache>
                <c:formatCode>0.0</c:formatCode>
                <c:ptCount val="8"/>
                <c:pt idx="0">
                  <c:v>97.5</c:v>
                </c:pt>
                <c:pt idx="1">
                  <c:v>98.2</c:v>
                </c:pt>
                <c:pt idx="2">
                  <c:v>96.2</c:v>
                </c:pt>
                <c:pt idx="3">
                  <c:v>95.7</c:v>
                </c:pt>
                <c:pt idx="4">
                  <c:v>84.3</c:v>
                </c:pt>
                <c:pt idx="5">
                  <c:v>93.5</c:v>
                </c:pt>
                <c:pt idx="6">
                  <c:v>97.4</c:v>
                </c:pt>
                <c:pt idx="7">
                  <c:v>94.9</c:v>
                </c:pt>
              </c:numCache>
            </c:numRef>
          </c:val>
          <c:extLst>
            <c:ext xmlns:c16="http://schemas.microsoft.com/office/drawing/2014/chart" uri="{C3380CC4-5D6E-409C-BE32-E72D297353CC}">
              <c16:uniqueId val="{00000001-4B60-4A9C-8F33-61C3CF06F214}"/>
            </c:ext>
          </c:extLst>
        </c:ser>
        <c:ser>
          <c:idx val="1"/>
          <c:order val="1"/>
          <c:tx>
            <c:strRef>
              <c:f>'Accès à l''eau'!$C$19</c:f>
              <c:strCache>
                <c:ptCount val="1"/>
                <c:pt idx="0">
                  <c:v>Rural </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lang="fr-FR" sz="800" b="0" i="0" u="none" strike="noStrike" kern="1200" baseline="0">
                    <a:solidFill>
                      <a:sysClr val="windowText" lastClr="000000"/>
                    </a:solidFill>
                    <a:latin typeface="Arial Narrow" panose="020B0606020202030204" pitchFamily="2" charset="0"/>
                    <a:ea typeface="+mn-ea"/>
                    <a:cs typeface="+mn-cs"/>
                  </a:defRPr>
                </a:pPr>
                <a:endParaRPr lang="fr-BF"/>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spPr>
              <a:ln w="19050" cap="rnd">
                <a:solidFill>
                  <a:schemeClr val="accent2"/>
                </a:solidFill>
                <a:prstDash val="sysDash"/>
              </a:ln>
              <a:effectLst/>
            </c:spPr>
            <c:trendlineType val="linear"/>
            <c:dispRSqr val="0"/>
            <c:dispEq val="0"/>
          </c:trendline>
          <c:cat>
            <c:numRef>
              <c:f>'Accès à l''eau'!$A$20:$A$27</c:f>
              <c:numCache>
                <c:formatCode>General</c:formatCode>
                <c:ptCount val="8"/>
                <c:pt idx="0">
                  <c:v>2003</c:v>
                </c:pt>
                <c:pt idx="1">
                  <c:v>2005</c:v>
                </c:pt>
                <c:pt idx="2">
                  <c:v>2007</c:v>
                </c:pt>
                <c:pt idx="3">
                  <c:v>2009</c:v>
                </c:pt>
                <c:pt idx="4">
                  <c:v>2010</c:v>
                </c:pt>
                <c:pt idx="5">
                  <c:v>2014</c:v>
                </c:pt>
                <c:pt idx="6">
                  <c:v>2017</c:v>
                </c:pt>
                <c:pt idx="7">
                  <c:v>2018</c:v>
                </c:pt>
              </c:numCache>
            </c:numRef>
          </c:cat>
          <c:val>
            <c:numRef>
              <c:f>'Accès à l''eau'!$C$20:$C$27</c:f>
              <c:numCache>
                <c:formatCode>0.0</c:formatCode>
                <c:ptCount val="8"/>
                <c:pt idx="0">
                  <c:v>87.5</c:v>
                </c:pt>
                <c:pt idx="1">
                  <c:v>86.3</c:v>
                </c:pt>
                <c:pt idx="2">
                  <c:v>85.7</c:v>
                </c:pt>
                <c:pt idx="3">
                  <c:v>75.599999999999994</c:v>
                </c:pt>
                <c:pt idx="4">
                  <c:v>69.2</c:v>
                </c:pt>
                <c:pt idx="5">
                  <c:v>69.599999999999994</c:v>
                </c:pt>
                <c:pt idx="6">
                  <c:v>80.3</c:v>
                </c:pt>
                <c:pt idx="7">
                  <c:v>70.400000000000006</c:v>
                </c:pt>
              </c:numCache>
            </c:numRef>
          </c:val>
          <c:extLst>
            <c:ext xmlns:c16="http://schemas.microsoft.com/office/drawing/2014/chart" uri="{C3380CC4-5D6E-409C-BE32-E72D297353CC}">
              <c16:uniqueId val="{00000003-4B60-4A9C-8F33-61C3CF06F214}"/>
            </c:ext>
          </c:extLst>
        </c:ser>
        <c:ser>
          <c:idx val="2"/>
          <c:order val="2"/>
          <c:tx>
            <c:strRef>
              <c:f>'Accès à l''eau'!$D$19</c:f>
              <c:strCache>
                <c:ptCount val="1"/>
                <c:pt idx="0">
                  <c:v>Ensemble</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lang="fr-FR" sz="800" b="0" i="0" u="none" strike="noStrike" kern="1200" baseline="0">
                    <a:solidFill>
                      <a:sysClr val="windowText" lastClr="000000"/>
                    </a:solidFill>
                    <a:latin typeface="Arial Narrow" panose="020B0606020202030204" pitchFamily="2" charset="0"/>
                    <a:ea typeface="+mn-ea"/>
                    <a:cs typeface="+mn-cs"/>
                  </a:defRPr>
                </a:pPr>
                <a:endParaRPr lang="fr-BF"/>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'Accès à l''eau'!$A$20:$A$27</c:f>
              <c:numCache>
                <c:formatCode>General</c:formatCode>
                <c:ptCount val="8"/>
                <c:pt idx="0">
                  <c:v>2003</c:v>
                </c:pt>
                <c:pt idx="1">
                  <c:v>2005</c:v>
                </c:pt>
                <c:pt idx="2">
                  <c:v>2007</c:v>
                </c:pt>
                <c:pt idx="3">
                  <c:v>2009</c:v>
                </c:pt>
                <c:pt idx="4">
                  <c:v>2010</c:v>
                </c:pt>
                <c:pt idx="5">
                  <c:v>2014</c:v>
                </c:pt>
                <c:pt idx="6">
                  <c:v>2017</c:v>
                </c:pt>
                <c:pt idx="7">
                  <c:v>2018</c:v>
                </c:pt>
              </c:numCache>
            </c:numRef>
          </c:cat>
          <c:val>
            <c:numRef>
              <c:f>'Accès à l''eau'!$D$20:$D$27</c:f>
              <c:numCache>
                <c:formatCode>0.0</c:formatCode>
                <c:ptCount val="8"/>
                <c:pt idx="0">
                  <c:v>89.5</c:v>
                </c:pt>
                <c:pt idx="1">
                  <c:v>88.8</c:v>
                </c:pt>
                <c:pt idx="2">
                  <c:v>88</c:v>
                </c:pt>
                <c:pt idx="3">
                  <c:v>81.2</c:v>
                </c:pt>
                <c:pt idx="4">
                  <c:v>70.3</c:v>
                </c:pt>
                <c:pt idx="5">
                  <c:v>76.3</c:v>
                </c:pt>
                <c:pt idx="6">
                  <c:v>84.8</c:v>
                </c:pt>
                <c:pt idx="7">
                  <c:v>78.099999999999994</c:v>
                </c:pt>
              </c:numCache>
            </c:numRef>
          </c:val>
          <c:extLst>
            <c:ext xmlns:c16="http://schemas.microsoft.com/office/drawing/2014/chart" uri="{C3380CC4-5D6E-409C-BE32-E72D297353CC}">
              <c16:uniqueId val="{00000004-4B60-4A9C-8F33-61C3CF06F214}"/>
            </c:ext>
          </c:extLst>
        </c:ser>
        <c:dLbls>
          <c:showLegendKey val="0"/>
          <c:showVal val="1"/>
          <c:showCatName val="0"/>
          <c:showSerName val="0"/>
          <c:showPercent val="0"/>
          <c:showBubbleSize val="0"/>
        </c:dLbls>
        <c:gapWidth val="279"/>
        <c:overlap val="-17"/>
        <c:axId val="1729516368"/>
        <c:axId val="1729521264"/>
      </c:barChart>
      <c:catAx>
        <c:axId val="17295163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fr-FR" sz="800" b="0" i="0" u="none" strike="noStrike" kern="1200" cap="none" spc="120" normalizeH="0" baseline="0">
                <a:solidFill>
                  <a:sysClr val="windowText" lastClr="000000"/>
                </a:solidFill>
                <a:latin typeface="Arial Narrow" panose="020B0606020202030204" pitchFamily="2" charset="0"/>
                <a:ea typeface="+mn-ea"/>
                <a:cs typeface="+mn-cs"/>
              </a:defRPr>
            </a:pPr>
            <a:endParaRPr lang="fr-BF"/>
          </a:p>
        </c:txPr>
        <c:crossAx val="1729521264"/>
        <c:crosses val="autoZero"/>
        <c:auto val="1"/>
        <c:lblAlgn val="ctr"/>
        <c:lblOffset val="100"/>
        <c:noMultiLvlLbl val="0"/>
      </c:catAx>
      <c:valAx>
        <c:axId val="1729521264"/>
        <c:scaling>
          <c:orientation val="minMax"/>
        </c:scaling>
        <c:delete val="1"/>
        <c:axPos val="l"/>
        <c:numFmt formatCode="0.0" sourceLinked="1"/>
        <c:majorTickMark val="none"/>
        <c:minorTickMark val="none"/>
        <c:tickLblPos val="nextTo"/>
        <c:crossAx val="17295163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lang="fr-FR" sz="900" b="0" i="0" u="none" strike="noStrike" kern="1200" baseline="0">
              <a:solidFill>
                <a:sysClr val="windowText" lastClr="000000"/>
              </a:solidFill>
              <a:latin typeface="Arial Narrow" panose="020B0606020202030204" pitchFamily="2" charset="0"/>
              <a:ea typeface="+mn-ea"/>
              <a:cs typeface="+mn-cs"/>
            </a:defRPr>
          </a:pPr>
          <a:endParaRPr lang="fr-BF"/>
        </a:p>
      </c:txPr>
    </c:legend>
    <c:plotVisOnly val="1"/>
    <c:dispBlanksAs val="gap"/>
    <c:showDLblsOverMax val="0"/>
  </c:chart>
  <c:spPr>
    <a:solidFill>
      <a:schemeClr val="lt1"/>
    </a:solidFill>
    <a:ln w="9525" cap="flat" cmpd="sng" algn="ctr">
      <a:solidFill>
        <a:schemeClr val="bg1">
          <a:lumMod val="50000"/>
        </a:schemeClr>
      </a:solidFill>
      <a:round/>
    </a:ln>
    <a:effectLst/>
  </c:spPr>
  <c:txPr>
    <a:bodyPr/>
    <a:lstStyle/>
    <a:p>
      <a:pPr>
        <a:defRPr lang="fr-FR" kern="1200" baseline="0">
          <a:solidFill>
            <a:sysClr val="windowText" lastClr="000000"/>
          </a:solidFill>
          <a:latin typeface="Arial Narrow" panose="020B0606020202030204" pitchFamily="2" charset="0"/>
        </a:defRPr>
      </a:pPr>
      <a:endParaRPr lang="fr-BF"/>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'Accès - Assainissment'!$A$24</c:f>
              <c:strCache>
                <c:ptCount val="1"/>
                <c:pt idx="0">
                  <c:v>Rural</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5400000" spcFirstLastPara="1" vertOverflow="ellipsis" wrap="square" lIns="38100" tIns="19050" rIns="38100" bIns="19050" anchor="ctr" anchorCtr="1"/>
              <a:lstStyle/>
              <a:p>
                <a:pPr>
                  <a:defRPr lang="fr-FR" sz="900" b="0" i="0" u="none" strike="noStrike" kern="1200" baseline="0">
                    <a:solidFill>
                      <a:sysClr val="windowText" lastClr="000000"/>
                    </a:solidFill>
                    <a:latin typeface="Arial Narrow" panose="020B0606020202030204" pitchFamily="2" charset="0"/>
                    <a:ea typeface="+mn-ea"/>
                    <a:cs typeface="+mn-cs"/>
                  </a:defRPr>
                </a:pPr>
                <a:endParaRPr lang="fr-BF"/>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'Accès - Assainissment'!$B$22:$J$23</c:f>
              <c:multiLvlStrCache>
                <c:ptCount val="9"/>
                <c:lvl>
                  <c:pt idx="0">
                    <c:v>2009</c:v>
                  </c:pt>
                  <c:pt idx="1">
                    <c:v>2014</c:v>
                  </c:pt>
                  <c:pt idx="2">
                    <c:v>2018</c:v>
                  </c:pt>
                  <c:pt idx="3">
                    <c:v>2009</c:v>
                  </c:pt>
                  <c:pt idx="4">
                    <c:v>2014</c:v>
                  </c:pt>
                  <c:pt idx="5">
                    <c:v>2018</c:v>
                  </c:pt>
                  <c:pt idx="6">
                    <c:v>2009</c:v>
                  </c:pt>
                  <c:pt idx="7">
                    <c:v>2014</c:v>
                  </c:pt>
                  <c:pt idx="8">
                    <c:v>2018</c:v>
                  </c:pt>
                </c:lvl>
                <c:lvl>
                  <c:pt idx="0">
                    <c:v>Latrine améliorée</c:v>
                  </c:pt>
                  <c:pt idx="3">
                    <c:v>Latrine non améliorée</c:v>
                  </c:pt>
                  <c:pt idx="6">
                    <c:v>Dans la nature</c:v>
                  </c:pt>
                </c:lvl>
              </c:multiLvlStrCache>
            </c:multiLvlStrRef>
          </c:cat>
          <c:val>
            <c:numRef>
              <c:f>'Accès - Assainissment'!$B$24:$J$24</c:f>
              <c:numCache>
                <c:formatCode>0.0</c:formatCode>
                <c:ptCount val="9"/>
                <c:pt idx="0">
                  <c:v>1.1000000000000001</c:v>
                </c:pt>
                <c:pt idx="1">
                  <c:v>3.9</c:v>
                </c:pt>
                <c:pt idx="2">
                  <c:v>7.3</c:v>
                </c:pt>
                <c:pt idx="3">
                  <c:v>24.5</c:v>
                </c:pt>
                <c:pt idx="4">
                  <c:v>28.8</c:v>
                </c:pt>
                <c:pt idx="5">
                  <c:v>39.5</c:v>
                </c:pt>
                <c:pt idx="6">
                  <c:v>74.400000000000006</c:v>
                </c:pt>
                <c:pt idx="7">
                  <c:v>67.3</c:v>
                </c:pt>
                <c:pt idx="8">
                  <c:v>52</c:v>
                </c:pt>
              </c:numCache>
            </c:numRef>
          </c:val>
          <c:extLst>
            <c:ext xmlns:c16="http://schemas.microsoft.com/office/drawing/2014/chart" uri="{C3380CC4-5D6E-409C-BE32-E72D297353CC}">
              <c16:uniqueId val="{00000000-6170-4CDC-B135-79FA444A7FB9}"/>
            </c:ext>
          </c:extLst>
        </c:ser>
        <c:ser>
          <c:idx val="1"/>
          <c:order val="1"/>
          <c:tx>
            <c:strRef>
              <c:f>'Accès - Assainissment'!$A$25</c:f>
              <c:strCache>
                <c:ptCount val="1"/>
                <c:pt idx="0">
                  <c:v>Urbain</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5400000" spcFirstLastPara="1" vertOverflow="ellipsis" wrap="square" lIns="38100" tIns="19050" rIns="38100" bIns="19050" anchor="ctr" anchorCtr="1"/>
              <a:lstStyle/>
              <a:p>
                <a:pPr>
                  <a:defRPr lang="fr-FR" sz="900" b="0" i="0" u="none" strike="noStrike" kern="1200" baseline="0">
                    <a:solidFill>
                      <a:sysClr val="windowText" lastClr="000000"/>
                    </a:solidFill>
                    <a:latin typeface="Arial Narrow" panose="020B0606020202030204" pitchFamily="2" charset="0"/>
                    <a:ea typeface="+mn-ea"/>
                    <a:cs typeface="+mn-cs"/>
                  </a:defRPr>
                </a:pPr>
                <a:endParaRPr lang="fr-BF"/>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'Accès - Assainissment'!$B$22:$J$23</c:f>
              <c:multiLvlStrCache>
                <c:ptCount val="9"/>
                <c:lvl>
                  <c:pt idx="0">
                    <c:v>2009</c:v>
                  </c:pt>
                  <c:pt idx="1">
                    <c:v>2014</c:v>
                  </c:pt>
                  <c:pt idx="2">
                    <c:v>2018</c:v>
                  </c:pt>
                  <c:pt idx="3">
                    <c:v>2009</c:v>
                  </c:pt>
                  <c:pt idx="4">
                    <c:v>2014</c:v>
                  </c:pt>
                  <c:pt idx="5">
                    <c:v>2018</c:v>
                  </c:pt>
                  <c:pt idx="6">
                    <c:v>2009</c:v>
                  </c:pt>
                  <c:pt idx="7">
                    <c:v>2014</c:v>
                  </c:pt>
                  <c:pt idx="8">
                    <c:v>2018</c:v>
                  </c:pt>
                </c:lvl>
                <c:lvl>
                  <c:pt idx="0">
                    <c:v>Latrine améliorée</c:v>
                  </c:pt>
                  <c:pt idx="3">
                    <c:v>Latrine non améliorée</c:v>
                  </c:pt>
                  <c:pt idx="6">
                    <c:v>Dans la nature</c:v>
                  </c:pt>
                </c:lvl>
              </c:multiLvlStrCache>
            </c:multiLvlStrRef>
          </c:cat>
          <c:val>
            <c:numRef>
              <c:f>'Accès - Assainissment'!$B$25:$J$25</c:f>
              <c:numCache>
                <c:formatCode>0.0</c:formatCode>
                <c:ptCount val="9"/>
                <c:pt idx="0">
                  <c:v>14.2</c:v>
                </c:pt>
                <c:pt idx="1">
                  <c:v>18.8</c:v>
                </c:pt>
                <c:pt idx="2">
                  <c:v>30.1</c:v>
                </c:pt>
                <c:pt idx="3">
                  <c:v>75.099999999999994</c:v>
                </c:pt>
                <c:pt idx="4">
                  <c:v>73.400000000000006</c:v>
                </c:pt>
                <c:pt idx="5">
                  <c:v>66.099999999999994</c:v>
                </c:pt>
                <c:pt idx="6">
                  <c:v>10.7</c:v>
                </c:pt>
                <c:pt idx="7">
                  <c:v>7.8</c:v>
                </c:pt>
                <c:pt idx="8">
                  <c:v>3.2</c:v>
                </c:pt>
              </c:numCache>
            </c:numRef>
          </c:val>
          <c:extLst>
            <c:ext xmlns:c16="http://schemas.microsoft.com/office/drawing/2014/chart" uri="{C3380CC4-5D6E-409C-BE32-E72D297353CC}">
              <c16:uniqueId val="{00000001-6170-4CDC-B135-79FA444A7FB9}"/>
            </c:ext>
          </c:extLst>
        </c:ser>
        <c:ser>
          <c:idx val="2"/>
          <c:order val="2"/>
          <c:tx>
            <c:strRef>
              <c:f>'Accès - Assainissment'!$A$26</c:f>
              <c:strCache>
                <c:ptCount val="1"/>
                <c:pt idx="0">
                  <c:v>National</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5400000" spcFirstLastPara="1" vertOverflow="ellipsis" wrap="square" lIns="38100" tIns="19050" rIns="38100" bIns="19050" anchor="ctr" anchorCtr="1"/>
              <a:lstStyle/>
              <a:p>
                <a:pPr>
                  <a:defRPr lang="fr-FR" sz="900" b="0" i="0" u="none" strike="noStrike" kern="1200" baseline="0">
                    <a:solidFill>
                      <a:sysClr val="windowText" lastClr="000000"/>
                    </a:solidFill>
                    <a:latin typeface="Arial Narrow" panose="020B0606020202030204" pitchFamily="2" charset="0"/>
                    <a:ea typeface="+mn-ea"/>
                    <a:cs typeface="+mn-cs"/>
                  </a:defRPr>
                </a:pPr>
                <a:endParaRPr lang="fr-BF"/>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'Accès - Assainissment'!$B$22:$J$23</c:f>
              <c:multiLvlStrCache>
                <c:ptCount val="9"/>
                <c:lvl>
                  <c:pt idx="0">
                    <c:v>2009</c:v>
                  </c:pt>
                  <c:pt idx="1">
                    <c:v>2014</c:v>
                  </c:pt>
                  <c:pt idx="2">
                    <c:v>2018</c:v>
                  </c:pt>
                  <c:pt idx="3">
                    <c:v>2009</c:v>
                  </c:pt>
                  <c:pt idx="4">
                    <c:v>2014</c:v>
                  </c:pt>
                  <c:pt idx="5">
                    <c:v>2018</c:v>
                  </c:pt>
                  <c:pt idx="6">
                    <c:v>2009</c:v>
                  </c:pt>
                  <c:pt idx="7">
                    <c:v>2014</c:v>
                  </c:pt>
                  <c:pt idx="8">
                    <c:v>2018</c:v>
                  </c:pt>
                </c:lvl>
                <c:lvl>
                  <c:pt idx="0">
                    <c:v>Latrine améliorée</c:v>
                  </c:pt>
                  <c:pt idx="3">
                    <c:v>Latrine non améliorée</c:v>
                  </c:pt>
                  <c:pt idx="6">
                    <c:v>Dans la nature</c:v>
                  </c:pt>
                </c:lvl>
              </c:multiLvlStrCache>
            </c:multiLvlStrRef>
          </c:cat>
          <c:val>
            <c:numRef>
              <c:f>'Accès - Assainissment'!$B$26:$J$26</c:f>
              <c:numCache>
                <c:formatCode>0.0</c:formatCode>
                <c:ptCount val="9"/>
                <c:pt idx="0">
                  <c:v>4.7</c:v>
                </c:pt>
                <c:pt idx="1">
                  <c:v>8</c:v>
                </c:pt>
                <c:pt idx="2">
                  <c:v>14.4</c:v>
                </c:pt>
                <c:pt idx="3">
                  <c:v>38.6</c:v>
                </c:pt>
                <c:pt idx="4">
                  <c:v>41.4</c:v>
                </c:pt>
                <c:pt idx="5">
                  <c:v>47.8</c:v>
                </c:pt>
                <c:pt idx="6">
                  <c:v>56.7</c:v>
                </c:pt>
                <c:pt idx="7">
                  <c:v>50.5</c:v>
                </c:pt>
                <c:pt idx="8">
                  <c:v>36.700000000000003</c:v>
                </c:pt>
              </c:numCache>
            </c:numRef>
          </c:val>
          <c:extLst>
            <c:ext xmlns:c16="http://schemas.microsoft.com/office/drawing/2014/chart" uri="{C3380CC4-5D6E-409C-BE32-E72D297353CC}">
              <c16:uniqueId val="{00000002-6170-4CDC-B135-79FA444A7FB9}"/>
            </c:ext>
          </c:extLst>
        </c:ser>
        <c:dLbls>
          <c:showLegendKey val="0"/>
          <c:showVal val="1"/>
          <c:showCatName val="0"/>
          <c:showSerName val="0"/>
          <c:showPercent val="0"/>
          <c:showBubbleSize val="0"/>
        </c:dLbls>
        <c:gapWidth val="131"/>
        <c:overlap val="-16"/>
        <c:axId val="1716556672"/>
        <c:axId val="1716565376"/>
        <c:extLst>
          <c:ext xmlns:c15="http://schemas.microsoft.com/office/drawing/2012/chart" uri="{02D57815-91ED-43cb-92C2-25804820EDAC}">
            <c15:filteredBarSeries>
              <c15:ser>
                <c:idx val="3"/>
                <c:order val="3"/>
                <c:tx>
                  <c:strRef>
                    <c:extLst>
                      <c:ext uri="{02D57815-91ED-43cb-92C2-25804820EDAC}">
                        <c15:formulaRef>
                          <c15:sqref>'Accès - Assainissment'!$B$23:$J$23</c15:sqref>
                        </c15:formulaRef>
                      </c:ext>
                    </c:extLst>
                    <c:strCache>
                      <c:ptCount val="1"/>
                      <c:pt idx="0">
                        <c:v>2009 2014 2018 2009 2014 2018 2009 2014 2018</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fr-FR" sz="900" b="0" i="0" u="none" strike="noStrike" kern="1200" baseline="0">
                          <a:solidFill>
                            <a:sysClr val="windowText" lastClr="000000"/>
                          </a:solidFill>
                          <a:latin typeface="Arial Narrow" panose="020B0606020202030204" pitchFamily="2" charset="0"/>
                          <a:ea typeface="+mn-ea"/>
                          <a:cs typeface="+mn-cs"/>
                        </a:defRPr>
                      </a:pPr>
                      <a:endParaRPr lang="fr-BF"/>
                    </a:p>
                  </c:txPr>
                  <c:dLblPos val="outEnd"/>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val>
                  <c:numRef>
                    <c:extLst>
                      <c:ext uri="{02D57815-91ED-43cb-92C2-25804820EDAC}">
                        <c15:formulaRef>
                          <c15:sqref>{1}</c15:sqref>
                        </c15:formulaRef>
                      </c:ext>
                    </c:extLst>
                    <c:numCache>
                      <c:formatCode>General</c:formatCode>
                      <c:ptCount val="1"/>
                      <c:pt idx="0">
                        <c:v>1</c:v>
                      </c:pt>
                    </c:numCache>
                  </c:numRef>
                </c:val>
                <c:extLst>
                  <c:ext xmlns:c16="http://schemas.microsoft.com/office/drawing/2014/chart" uri="{C3380CC4-5D6E-409C-BE32-E72D297353CC}">
                    <c16:uniqueId val="{00000003-6170-4CDC-B135-79FA444A7FB9}"/>
                  </c:ext>
                </c:extLst>
              </c15:ser>
            </c15:filteredBarSeries>
          </c:ext>
        </c:extLst>
      </c:barChart>
      <c:catAx>
        <c:axId val="1716556672"/>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lang="fr-FR" sz="900" b="0" i="0" u="none" strike="noStrike" kern="1200" baseline="0">
                <a:solidFill>
                  <a:sysClr val="windowText" lastClr="000000"/>
                </a:solidFill>
                <a:latin typeface="Arial Narrow" panose="020B0606020202030204" pitchFamily="2" charset="0"/>
                <a:ea typeface="+mn-ea"/>
                <a:cs typeface="+mn-cs"/>
              </a:defRPr>
            </a:pPr>
            <a:endParaRPr lang="fr-BF"/>
          </a:p>
        </c:txPr>
        <c:crossAx val="1716565376"/>
        <c:crosses val="autoZero"/>
        <c:auto val="1"/>
        <c:lblAlgn val="ctr"/>
        <c:lblOffset val="100"/>
        <c:noMultiLvlLbl val="0"/>
      </c:catAx>
      <c:valAx>
        <c:axId val="1716565376"/>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lang="fr-FR" sz="900" b="0" i="0" u="none" strike="noStrike" kern="1200" baseline="0">
                <a:solidFill>
                  <a:sysClr val="windowText" lastClr="000000"/>
                </a:solidFill>
                <a:latin typeface="Arial Narrow" panose="020B0606020202030204" pitchFamily="2" charset="0"/>
                <a:ea typeface="+mn-ea"/>
                <a:cs typeface="+mn-cs"/>
              </a:defRPr>
            </a:pPr>
            <a:endParaRPr lang="fr-BF"/>
          </a:p>
        </c:txPr>
        <c:crossAx val="171655667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lang="fr-FR" sz="900" b="0" i="0" u="none" strike="noStrike" kern="1200" baseline="0">
              <a:solidFill>
                <a:sysClr val="windowText" lastClr="000000"/>
              </a:solidFill>
              <a:latin typeface="Arial Narrow" panose="020B0606020202030204" pitchFamily="2" charset="0"/>
              <a:ea typeface="+mn-ea"/>
              <a:cs typeface="+mn-cs"/>
            </a:defRPr>
          </a:pPr>
          <a:endParaRPr lang="fr-BF"/>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lang="fr-FR">
          <a:solidFill>
            <a:sysClr val="windowText" lastClr="000000"/>
          </a:solidFill>
          <a:latin typeface="Arial Narrow" panose="020B0606020202030204" pitchFamily="2" charset="0"/>
        </a:defRPr>
      </a:pPr>
      <a:endParaRPr lang="fr-BF"/>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'Accès infrastructures-santé'!$I$2</c:f>
              <c:strCache>
                <c:ptCount val="1"/>
                <c:pt idx="0">
                  <c:v>2014</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5400000" spcFirstLastPara="1" vertOverflow="ellipsis" wrap="square" lIns="38100" tIns="19050" rIns="38100" bIns="19050" anchor="ctr" anchorCtr="1"/>
              <a:lstStyle/>
              <a:p>
                <a:pPr>
                  <a:defRPr lang="fr-FR" sz="900" b="0" i="0" u="none" strike="noStrike" kern="1200" baseline="0">
                    <a:solidFill>
                      <a:sysClr val="windowText" lastClr="000000"/>
                    </a:solidFill>
                    <a:latin typeface="Arial Narrow" panose="020B0606020202030204" pitchFamily="2" charset="0"/>
                    <a:ea typeface="+mn-ea"/>
                    <a:cs typeface="+mn-cs"/>
                  </a:defRPr>
                </a:pPr>
                <a:endParaRPr lang="fr-BF"/>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'Accès infrastructures-santé'!$H$3:$H$5</c:f>
              <c:strCache>
                <c:ptCount val="3"/>
                <c:pt idx="0">
                  <c:v>Urbain</c:v>
                </c:pt>
                <c:pt idx="1">
                  <c:v>Rural</c:v>
                </c:pt>
                <c:pt idx="2">
                  <c:v>National</c:v>
                </c:pt>
              </c:strCache>
            </c:strRef>
          </c:cat>
          <c:val>
            <c:numRef>
              <c:f>'Accès infrastructures-santé'!$I$3:$I$5</c:f>
              <c:numCache>
                <c:formatCode>General</c:formatCode>
                <c:ptCount val="3"/>
                <c:pt idx="0">
                  <c:v>81</c:v>
                </c:pt>
                <c:pt idx="1">
                  <c:v>33.9</c:v>
                </c:pt>
                <c:pt idx="2">
                  <c:v>47.2</c:v>
                </c:pt>
              </c:numCache>
            </c:numRef>
          </c:val>
          <c:extLst>
            <c:ext xmlns:c16="http://schemas.microsoft.com/office/drawing/2014/chart" uri="{C3380CC4-5D6E-409C-BE32-E72D297353CC}">
              <c16:uniqueId val="{00000000-DDB6-4B4B-9E29-38424378E902}"/>
            </c:ext>
          </c:extLst>
        </c:ser>
        <c:ser>
          <c:idx val="1"/>
          <c:order val="1"/>
          <c:tx>
            <c:strRef>
              <c:f>'Accès infrastructures-santé'!$J$2</c:f>
              <c:strCache>
                <c:ptCount val="1"/>
                <c:pt idx="0">
                  <c:v>2016</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5400000" spcFirstLastPara="1" vertOverflow="ellipsis" wrap="square" lIns="38100" tIns="19050" rIns="38100" bIns="19050" anchor="ctr" anchorCtr="1"/>
              <a:lstStyle/>
              <a:p>
                <a:pPr>
                  <a:defRPr lang="fr-FR" sz="900" b="0" i="0" u="none" strike="noStrike" kern="1200" baseline="0">
                    <a:solidFill>
                      <a:sysClr val="windowText" lastClr="000000"/>
                    </a:solidFill>
                    <a:latin typeface="Arial Narrow" panose="020B0606020202030204" pitchFamily="2" charset="0"/>
                    <a:ea typeface="+mn-ea"/>
                    <a:cs typeface="+mn-cs"/>
                  </a:defRPr>
                </a:pPr>
                <a:endParaRPr lang="fr-BF"/>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'Accès infrastructures-santé'!$H$3:$H$5</c:f>
              <c:strCache>
                <c:ptCount val="3"/>
                <c:pt idx="0">
                  <c:v>Urbain</c:v>
                </c:pt>
                <c:pt idx="1">
                  <c:v>Rural</c:v>
                </c:pt>
                <c:pt idx="2">
                  <c:v>National</c:v>
                </c:pt>
              </c:strCache>
            </c:strRef>
          </c:cat>
          <c:val>
            <c:numRef>
              <c:f>'Accès infrastructures-santé'!$J$3:$J$5</c:f>
              <c:numCache>
                <c:formatCode>General</c:formatCode>
                <c:ptCount val="3"/>
                <c:pt idx="0">
                  <c:v>70.099999999999994</c:v>
                </c:pt>
                <c:pt idx="1">
                  <c:v>38.299999999999997</c:v>
                </c:pt>
                <c:pt idx="2">
                  <c:v>46.8</c:v>
                </c:pt>
              </c:numCache>
            </c:numRef>
          </c:val>
          <c:extLst>
            <c:ext xmlns:c16="http://schemas.microsoft.com/office/drawing/2014/chart" uri="{C3380CC4-5D6E-409C-BE32-E72D297353CC}">
              <c16:uniqueId val="{00000001-DDB6-4B4B-9E29-38424378E902}"/>
            </c:ext>
          </c:extLst>
        </c:ser>
        <c:dLbls>
          <c:showLegendKey val="0"/>
          <c:showVal val="0"/>
          <c:showCatName val="0"/>
          <c:showSerName val="0"/>
          <c:showPercent val="0"/>
          <c:showBubbleSize val="0"/>
        </c:dLbls>
        <c:gapWidth val="164"/>
        <c:overlap val="16"/>
        <c:axId val="1716552864"/>
        <c:axId val="1716567008"/>
      </c:barChart>
      <c:catAx>
        <c:axId val="171655286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lang="fr-FR" sz="900" b="0" i="0" u="none" strike="noStrike" kern="1200" baseline="0">
                <a:solidFill>
                  <a:sysClr val="windowText" lastClr="000000"/>
                </a:solidFill>
                <a:latin typeface="Arial Narrow" panose="020B0606020202030204" pitchFamily="2" charset="0"/>
                <a:ea typeface="+mn-ea"/>
                <a:cs typeface="+mn-cs"/>
              </a:defRPr>
            </a:pPr>
            <a:endParaRPr lang="fr-BF"/>
          </a:p>
        </c:txPr>
        <c:crossAx val="1716567008"/>
        <c:crosses val="autoZero"/>
        <c:auto val="1"/>
        <c:lblAlgn val="ctr"/>
        <c:lblOffset val="100"/>
        <c:noMultiLvlLbl val="0"/>
      </c:catAx>
      <c:valAx>
        <c:axId val="171656700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fr-FR" sz="900" b="0" i="0" u="none" strike="noStrike" kern="1200" baseline="0">
                <a:solidFill>
                  <a:sysClr val="windowText" lastClr="000000"/>
                </a:solidFill>
                <a:latin typeface="Arial Narrow" panose="020B0606020202030204" pitchFamily="2" charset="0"/>
                <a:ea typeface="+mn-ea"/>
                <a:cs typeface="+mn-cs"/>
              </a:defRPr>
            </a:pPr>
            <a:endParaRPr lang="fr-BF"/>
          </a:p>
        </c:txPr>
        <c:crossAx val="17165528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lang="fr-FR" sz="900" b="0" i="0" u="none" strike="noStrike" kern="1200" baseline="0">
              <a:solidFill>
                <a:sysClr val="windowText" lastClr="000000"/>
              </a:solidFill>
              <a:latin typeface="Arial Narrow" panose="020B0606020202030204" pitchFamily="2" charset="0"/>
              <a:ea typeface="+mn-ea"/>
              <a:cs typeface="+mn-cs"/>
            </a:defRPr>
          </a:pPr>
          <a:endParaRPr lang="fr-BF"/>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lang="fr-FR">
          <a:solidFill>
            <a:sysClr val="windowText" lastClr="000000"/>
          </a:solidFill>
          <a:latin typeface="Arial Narrow" panose="020B0606020202030204" pitchFamily="2" charset="0"/>
        </a:defRPr>
      </a:pPr>
      <a:endParaRPr lang="fr-BF"/>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Feuil5!$B$1</c:f>
              <c:strCache>
                <c:ptCount val="1"/>
                <c:pt idx="0">
                  <c:v>Ensemble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fr-FR" sz="900" b="0" i="0" u="none" strike="noStrike" kern="1200" baseline="0">
                    <a:solidFill>
                      <a:sysClr val="windowText" lastClr="000000"/>
                    </a:solidFill>
                    <a:latin typeface="Arial Narrow" panose="020B0606020202030204" pitchFamily="2" charset="0"/>
                    <a:ea typeface="+mn-ea"/>
                    <a:cs typeface="+mn-cs"/>
                  </a:defRPr>
                </a:pPr>
                <a:endParaRPr lang="fr-BF"/>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Feuil5!$A$2:$A$3</c:f>
              <c:strCache>
                <c:ptCount val="2"/>
                <c:pt idx="0">
                  <c:v>Masculin</c:v>
                </c:pt>
                <c:pt idx="1">
                  <c:v>Féminin</c:v>
                </c:pt>
              </c:strCache>
            </c:strRef>
          </c:cat>
          <c:val>
            <c:numRef>
              <c:f>Feuil5!$B$2:$B$3</c:f>
              <c:numCache>
                <c:formatCode>General</c:formatCode>
                <c:ptCount val="2"/>
                <c:pt idx="0">
                  <c:v>89.7</c:v>
                </c:pt>
                <c:pt idx="1">
                  <c:v>84.8</c:v>
                </c:pt>
              </c:numCache>
            </c:numRef>
          </c:val>
          <c:extLst>
            <c:ext xmlns:c16="http://schemas.microsoft.com/office/drawing/2014/chart" uri="{C3380CC4-5D6E-409C-BE32-E72D297353CC}">
              <c16:uniqueId val="{00000000-F5AD-459D-93E1-ED6728FBBAE8}"/>
            </c:ext>
          </c:extLst>
        </c:ser>
        <c:ser>
          <c:idx val="1"/>
          <c:order val="1"/>
          <c:tx>
            <c:strRef>
              <c:f>Feuil5!$C$1</c:f>
              <c:strCache>
                <c:ptCount val="1"/>
                <c:pt idx="0">
                  <c:v>Centre</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fr-FR" sz="900" b="0" i="0" u="none" strike="noStrike" kern="1200" baseline="0">
                    <a:solidFill>
                      <a:sysClr val="windowText" lastClr="000000"/>
                    </a:solidFill>
                    <a:latin typeface="Arial Narrow" panose="020B0606020202030204" pitchFamily="2" charset="0"/>
                    <a:ea typeface="+mn-ea"/>
                    <a:cs typeface="+mn-cs"/>
                  </a:defRPr>
                </a:pPr>
                <a:endParaRPr lang="fr-BF"/>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Feuil5!$A$2:$A$3</c:f>
              <c:strCache>
                <c:ptCount val="2"/>
                <c:pt idx="0">
                  <c:v>Masculin</c:v>
                </c:pt>
                <c:pt idx="1">
                  <c:v>Féminin</c:v>
                </c:pt>
              </c:strCache>
            </c:strRef>
          </c:cat>
          <c:val>
            <c:numRef>
              <c:f>Feuil5!$C$2:$C$3</c:f>
              <c:numCache>
                <c:formatCode>General</c:formatCode>
                <c:ptCount val="2"/>
                <c:pt idx="0">
                  <c:v>93.2</c:v>
                </c:pt>
                <c:pt idx="1">
                  <c:v>86.4</c:v>
                </c:pt>
              </c:numCache>
            </c:numRef>
          </c:val>
          <c:extLst>
            <c:ext xmlns:c16="http://schemas.microsoft.com/office/drawing/2014/chart" uri="{C3380CC4-5D6E-409C-BE32-E72D297353CC}">
              <c16:uniqueId val="{00000001-F5AD-459D-93E1-ED6728FBBAE8}"/>
            </c:ext>
          </c:extLst>
        </c:ser>
        <c:ser>
          <c:idx val="2"/>
          <c:order val="2"/>
          <c:tx>
            <c:strRef>
              <c:f>Feuil5!$D$1</c:f>
              <c:strCache>
                <c:ptCount val="1"/>
                <c:pt idx="0">
                  <c:v>Périphérie lotie</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fr-FR" sz="900" b="0" i="0" u="none" strike="noStrike" kern="1200" baseline="0">
                    <a:solidFill>
                      <a:sysClr val="windowText" lastClr="000000"/>
                    </a:solidFill>
                    <a:latin typeface="Arial Narrow" panose="020B0606020202030204" pitchFamily="2" charset="0"/>
                    <a:ea typeface="+mn-ea"/>
                    <a:cs typeface="+mn-cs"/>
                  </a:defRPr>
                </a:pPr>
                <a:endParaRPr lang="fr-BF"/>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Feuil5!$A$2:$A$3</c:f>
              <c:strCache>
                <c:ptCount val="2"/>
                <c:pt idx="0">
                  <c:v>Masculin</c:v>
                </c:pt>
                <c:pt idx="1">
                  <c:v>Féminin</c:v>
                </c:pt>
              </c:strCache>
            </c:strRef>
          </c:cat>
          <c:val>
            <c:numRef>
              <c:f>Feuil5!$D$2:$D$3</c:f>
              <c:numCache>
                <c:formatCode>General</c:formatCode>
                <c:ptCount val="2"/>
                <c:pt idx="0">
                  <c:v>91.4</c:v>
                </c:pt>
                <c:pt idx="1">
                  <c:v>86.5</c:v>
                </c:pt>
              </c:numCache>
            </c:numRef>
          </c:val>
          <c:extLst>
            <c:ext xmlns:c16="http://schemas.microsoft.com/office/drawing/2014/chart" uri="{C3380CC4-5D6E-409C-BE32-E72D297353CC}">
              <c16:uniqueId val="{00000002-F5AD-459D-93E1-ED6728FBBAE8}"/>
            </c:ext>
          </c:extLst>
        </c:ser>
        <c:ser>
          <c:idx val="3"/>
          <c:order val="3"/>
          <c:tx>
            <c:strRef>
              <c:f>Feuil5!$E$1</c:f>
              <c:strCache>
                <c:ptCount val="1"/>
                <c:pt idx="0">
                  <c:v>Périphérie non lotie</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fr-FR" sz="900" b="0" i="0" u="none" strike="noStrike" kern="1200" baseline="0">
                    <a:solidFill>
                      <a:sysClr val="windowText" lastClr="000000"/>
                    </a:solidFill>
                    <a:latin typeface="Arial Narrow" panose="020B0606020202030204" pitchFamily="2" charset="0"/>
                    <a:ea typeface="+mn-ea"/>
                    <a:cs typeface="+mn-cs"/>
                  </a:defRPr>
                </a:pPr>
                <a:endParaRPr lang="fr-BF"/>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Feuil5!$A$2:$A$3</c:f>
              <c:strCache>
                <c:ptCount val="2"/>
                <c:pt idx="0">
                  <c:v>Masculin</c:v>
                </c:pt>
                <c:pt idx="1">
                  <c:v>Féminin</c:v>
                </c:pt>
              </c:strCache>
            </c:strRef>
          </c:cat>
          <c:val>
            <c:numRef>
              <c:f>Feuil5!$E$2:$E$3</c:f>
              <c:numCache>
                <c:formatCode>General</c:formatCode>
                <c:ptCount val="2"/>
                <c:pt idx="0">
                  <c:v>83.1</c:v>
                </c:pt>
                <c:pt idx="1">
                  <c:v>79</c:v>
                </c:pt>
              </c:numCache>
            </c:numRef>
          </c:val>
          <c:extLst>
            <c:ext xmlns:c16="http://schemas.microsoft.com/office/drawing/2014/chart" uri="{C3380CC4-5D6E-409C-BE32-E72D297353CC}">
              <c16:uniqueId val="{00000003-F5AD-459D-93E1-ED6728FBBAE8}"/>
            </c:ext>
          </c:extLst>
        </c:ser>
        <c:dLbls>
          <c:showLegendKey val="0"/>
          <c:showVal val="1"/>
          <c:showCatName val="0"/>
          <c:showSerName val="0"/>
          <c:showPercent val="0"/>
          <c:showBubbleSize val="0"/>
        </c:dLbls>
        <c:gapWidth val="164"/>
        <c:overlap val="-22"/>
        <c:axId val="1716559936"/>
        <c:axId val="1716560480"/>
      </c:barChart>
      <c:catAx>
        <c:axId val="171655993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lang="fr-FR" sz="900" b="0" i="0" u="none" strike="noStrike" kern="1200" baseline="0">
                <a:solidFill>
                  <a:sysClr val="windowText" lastClr="000000"/>
                </a:solidFill>
                <a:latin typeface="Arial Narrow" panose="020B0606020202030204" pitchFamily="2" charset="0"/>
                <a:ea typeface="+mn-ea"/>
                <a:cs typeface="+mn-cs"/>
              </a:defRPr>
            </a:pPr>
            <a:endParaRPr lang="fr-BF"/>
          </a:p>
        </c:txPr>
        <c:crossAx val="1716560480"/>
        <c:crosses val="autoZero"/>
        <c:auto val="1"/>
        <c:lblAlgn val="ctr"/>
        <c:lblOffset val="100"/>
        <c:noMultiLvlLbl val="0"/>
      </c:catAx>
      <c:valAx>
        <c:axId val="171656048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fr-FR" sz="900" b="0" i="0" u="none" strike="noStrike" kern="1200" baseline="0">
                <a:solidFill>
                  <a:sysClr val="windowText" lastClr="000000"/>
                </a:solidFill>
                <a:latin typeface="Arial Narrow" panose="020B0606020202030204" pitchFamily="2" charset="0"/>
                <a:ea typeface="+mn-ea"/>
                <a:cs typeface="+mn-cs"/>
              </a:defRPr>
            </a:pPr>
            <a:endParaRPr lang="fr-BF"/>
          </a:p>
        </c:txPr>
        <c:crossAx val="171655993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lang="fr-FR" sz="900" b="0" i="0" u="none" strike="noStrike" kern="1200" baseline="0">
              <a:solidFill>
                <a:sysClr val="windowText" lastClr="000000"/>
              </a:solidFill>
              <a:latin typeface="Arial Narrow" panose="020B0606020202030204" pitchFamily="2" charset="0"/>
              <a:ea typeface="+mn-ea"/>
              <a:cs typeface="+mn-cs"/>
            </a:defRPr>
          </a:pPr>
          <a:endParaRPr lang="fr-BF"/>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lang="fr-FR">
          <a:solidFill>
            <a:sysClr val="windowText" lastClr="000000"/>
          </a:solidFill>
          <a:latin typeface="Arial Narrow" panose="020B0606020202030204" pitchFamily="2" charset="0"/>
        </a:defRPr>
      </a:pPr>
      <a:endParaRPr lang="fr-BF"/>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1"/>
          <c:order val="1"/>
          <c:tx>
            <c:strRef>
              <c:f>Feuil2!$C$28</c:f>
              <c:strCache>
                <c:ptCount val="1"/>
                <c:pt idx="0">
                  <c:v>%</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dk1">
                        <a:lumMod val="75000"/>
                        <a:lumOff val="25000"/>
                      </a:schemeClr>
                    </a:solidFill>
                    <a:latin typeface="Arial Narrow" panose="020B0606020202030204" pitchFamily="34" charset="0"/>
                    <a:ea typeface="+mn-ea"/>
                    <a:cs typeface="Times New Roman" panose="02020603050405020304" pitchFamily="18" charset="0"/>
                  </a:defRPr>
                </a:pPr>
                <a:endParaRPr lang="fr-BF"/>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Feuil2!$A$29:$A$38</c:f>
              <c:strCache>
                <c:ptCount val="10"/>
                <c:pt idx="0">
                  <c:v>Marchés</c:v>
                </c:pt>
                <c:pt idx="1">
                  <c:v>Services publics</c:v>
                </c:pt>
                <c:pt idx="2">
                  <c:v>Garages</c:v>
                </c:pt>
                <c:pt idx="3">
                  <c:v>Terrains de sports</c:v>
                </c:pt>
                <c:pt idx="4">
                  <c:v>Ecoles</c:v>
                </c:pt>
                <c:pt idx="5">
                  <c:v>Kiosques</c:v>
                </c:pt>
                <c:pt idx="6">
                  <c:v>Autres</c:v>
                </c:pt>
                <c:pt idx="7">
                  <c:v>Dépotoirs</c:v>
                </c:pt>
                <c:pt idx="8">
                  <c:v>Habitations</c:v>
                </c:pt>
                <c:pt idx="9">
                  <c:v>Lieux de culte</c:v>
                </c:pt>
              </c:strCache>
            </c:strRef>
          </c:cat>
          <c:val>
            <c:numRef>
              <c:f>Feuil2!$C$29:$C$38</c:f>
              <c:numCache>
                <c:formatCode>0%</c:formatCode>
                <c:ptCount val="10"/>
                <c:pt idx="0">
                  <c:v>1.9650655021834062E-2</c:v>
                </c:pt>
                <c:pt idx="1">
                  <c:v>3.2751091703056769E-2</c:v>
                </c:pt>
                <c:pt idx="2">
                  <c:v>3.4934497816593885E-2</c:v>
                </c:pt>
                <c:pt idx="3">
                  <c:v>3.7117903930131008E-2</c:v>
                </c:pt>
                <c:pt idx="4">
                  <c:v>3.9301310043668124E-2</c:v>
                </c:pt>
                <c:pt idx="5">
                  <c:v>4.148471615720524E-2</c:v>
                </c:pt>
                <c:pt idx="6">
                  <c:v>5.2401746724890827E-2</c:v>
                </c:pt>
                <c:pt idx="7">
                  <c:v>0.18122270742358079</c:v>
                </c:pt>
                <c:pt idx="8">
                  <c:v>0.24672489082969432</c:v>
                </c:pt>
                <c:pt idx="9">
                  <c:v>0.31441048034934499</c:v>
                </c:pt>
              </c:numCache>
            </c:numRef>
          </c:val>
          <c:extLst>
            <c:ext xmlns:c16="http://schemas.microsoft.com/office/drawing/2014/chart" uri="{C3380CC4-5D6E-409C-BE32-E72D297353CC}">
              <c16:uniqueId val="{00000000-68B3-484B-9428-8470851CB2F1}"/>
            </c:ext>
          </c:extLst>
        </c:ser>
        <c:dLbls>
          <c:dLblPos val="outEnd"/>
          <c:showLegendKey val="0"/>
          <c:showVal val="1"/>
          <c:showCatName val="0"/>
          <c:showSerName val="0"/>
          <c:showPercent val="0"/>
          <c:showBubbleSize val="0"/>
        </c:dLbls>
        <c:gapWidth val="52"/>
        <c:overlap val="48"/>
        <c:axId val="1728173856"/>
        <c:axId val="1728172768"/>
        <c:extLst>
          <c:ext xmlns:c15="http://schemas.microsoft.com/office/drawing/2012/chart" uri="{02D57815-91ED-43cb-92C2-25804820EDAC}">
            <c15:filteredBarSeries>
              <c15:ser>
                <c:idx val="0"/>
                <c:order val="0"/>
                <c:tx>
                  <c:strRef>
                    <c:extLst>
                      <c:ext uri="{02D57815-91ED-43cb-92C2-25804820EDAC}">
                        <c15:formulaRef>
                          <c15:sqref>Feuil2!$B$28</c15:sqref>
                        </c15:formulaRef>
                      </c:ext>
                    </c:extLst>
                    <c:strCache>
                      <c:ptCount val="1"/>
                      <c:pt idx="0">
                        <c:v>Effectif</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dk1">
                              <a:lumMod val="75000"/>
                              <a:lumOff val="25000"/>
                            </a:schemeClr>
                          </a:solidFill>
                          <a:latin typeface="Arial Narrow" panose="020B0606020202030204" pitchFamily="34" charset="0"/>
                          <a:ea typeface="+mn-ea"/>
                          <a:cs typeface="Times New Roman" panose="02020603050405020304" pitchFamily="18" charset="0"/>
                        </a:defRPr>
                      </a:pPr>
                      <a:endParaRPr lang="fr-BF"/>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dk1">
                                <a:lumMod val="35000"/>
                                <a:lumOff val="65000"/>
                              </a:schemeClr>
                            </a:solidFill>
                            <a:round/>
                          </a:ln>
                          <a:effectLst/>
                        </c:spPr>
                      </c15:leaderLines>
                    </c:ext>
                  </c:extLst>
                </c:dLbls>
                <c:cat>
                  <c:strRef>
                    <c:extLst>
                      <c:ext uri="{02D57815-91ED-43cb-92C2-25804820EDAC}">
                        <c15:formulaRef>
                          <c15:sqref>Feuil2!$A$29:$A$38</c15:sqref>
                        </c15:formulaRef>
                      </c:ext>
                    </c:extLst>
                    <c:strCache>
                      <c:ptCount val="10"/>
                      <c:pt idx="0">
                        <c:v>Marchés</c:v>
                      </c:pt>
                      <c:pt idx="1">
                        <c:v>Services publics</c:v>
                      </c:pt>
                      <c:pt idx="2">
                        <c:v>Garages</c:v>
                      </c:pt>
                      <c:pt idx="3">
                        <c:v>Terrains de sports</c:v>
                      </c:pt>
                      <c:pt idx="4">
                        <c:v>Ecoles</c:v>
                      </c:pt>
                      <c:pt idx="5">
                        <c:v>Kiosques</c:v>
                      </c:pt>
                      <c:pt idx="6">
                        <c:v>Autres</c:v>
                      </c:pt>
                      <c:pt idx="7">
                        <c:v>Dépotoirs</c:v>
                      </c:pt>
                      <c:pt idx="8">
                        <c:v>Habitations</c:v>
                      </c:pt>
                      <c:pt idx="9">
                        <c:v>Lieux de culte</c:v>
                      </c:pt>
                    </c:strCache>
                  </c:strRef>
                </c:cat>
                <c:val>
                  <c:numRef>
                    <c:extLst>
                      <c:ext uri="{02D57815-91ED-43cb-92C2-25804820EDAC}">
                        <c15:formulaRef>
                          <c15:sqref>Feuil2!$B$29:$B$38</c15:sqref>
                        </c15:formulaRef>
                      </c:ext>
                    </c:extLst>
                    <c:numCache>
                      <c:formatCode>General</c:formatCode>
                      <c:ptCount val="10"/>
                      <c:pt idx="0">
                        <c:v>9</c:v>
                      </c:pt>
                      <c:pt idx="1">
                        <c:v>15</c:v>
                      </c:pt>
                      <c:pt idx="2">
                        <c:v>16</c:v>
                      </c:pt>
                      <c:pt idx="3">
                        <c:v>17</c:v>
                      </c:pt>
                      <c:pt idx="4">
                        <c:v>18</c:v>
                      </c:pt>
                      <c:pt idx="5">
                        <c:v>19</c:v>
                      </c:pt>
                      <c:pt idx="6">
                        <c:v>24</c:v>
                      </c:pt>
                      <c:pt idx="7">
                        <c:v>83</c:v>
                      </c:pt>
                      <c:pt idx="8">
                        <c:v>113</c:v>
                      </c:pt>
                      <c:pt idx="9">
                        <c:v>144</c:v>
                      </c:pt>
                    </c:numCache>
                  </c:numRef>
                </c:val>
                <c:extLst>
                  <c:ext xmlns:c16="http://schemas.microsoft.com/office/drawing/2014/chart" uri="{C3380CC4-5D6E-409C-BE32-E72D297353CC}">
                    <c16:uniqueId val="{00000001-68B3-484B-9428-8470851CB2F1}"/>
                  </c:ext>
                </c:extLst>
              </c15:ser>
            </c15:filteredBarSeries>
          </c:ext>
        </c:extLst>
      </c:barChart>
      <c:catAx>
        <c:axId val="172817385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0" i="0" u="none" strike="noStrike" kern="1200" cap="none" spc="0" normalizeH="0" baseline="0">
                <a:solidFill>
                  <a:schemeClr val="dk1">
                    <a:lumMod val="65000"/>
                    <a:lumOff val="35000"/>
                  </a:schemeClr>
                </a:solidFill>
                <a:latin typeface="Arial Narrow" panose="020B0606020202030204" pitchFamily="34" charset="0"/>
                <a:ea typeface="+mn-ea"/>
                <a:cs typeface="Times New Roman" panose="02020603050405020304" pitchFamily="18" charset="0"/>
              </a:defRPr>
            </a:pPr>
            <a:endParaRPr lang="fr-BF"/>
          </a:p>
        </c:txPr>
        <c:crossAx val="1728172768"/>
        <c:crosses val="autoZero"/>
        <c:auto val="1"/>
        <c:lblAlgn val="ctr"/>
        <c:lblOffset val="100"/>
        <c:noMultiLvlLbl val="0"/>
      </c:catAx>
      <c:valAx>
        <c:axId val="1728172768"/>
        <c:scaling>
          <c:orientation val="minMax"/>
        </c:scaling>
        <c:delete val="0"/>
        <c:axPos val="b"/>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dk1">
                    <a:lumMod val="65000"/>
                    <a:lumOff val="35000"/>
                  </a:schemeClr>
                </a:solidFill>
                <a:latin typeface="Arial Narrow" panose="020B0606020202030204" pitchFamily="34" charset="0"/>
                <a:ea typeface="+mn-ea"/>
                <a:cs typeface="Times New Roman" panose="02020603050405020304" pitchFamily="18" charset="0"/>
              </a:defRPr>
            </a:pPr>
            <a:endParaRPr lang="fr-BF"/>
          </a:p>
        </c:txPr>
        <c:crossAx val="1728173856"/>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bg1">
          <a:lumMod val="50000"/>
        </a:schemeClr>
      </a:solidFill>
      <a:round/>
    </a:ln>
    <a:effectLst/>
  </c:spPr>
  <c:txPr>
    <a:bodyPr/>
    <a:lstStyle/>
    <a:p>
      <a:pPr>
        <a:defRPr sz="1100">
          <a:latin typeface="Arial Narrow" panose="020B0606020202030204" pitchFamily="34" charset="0"/>
          <a:cs typeface="Times New Roman" panose="02020603050405020304" pitchFamily="18" charset="0"/>
        </a:defRPr>
      </a:pPr>
      <a:endParaRPr lang="fr-BF"/>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'3_Réalisation 2016_2023'!$O$80:$T$80</c:f>
              <c:strCache>
                <c:ptCount val="6"/>
                <c:pt idx="0">
                  <c:v>Taux de fonctionnalité des PEM (en %)</c:v>
                </c:pt>
              </c:strCache>
            </c:strRef>
          </c:tx>
          <c:spPr>
            <a:solidFill>
              <a:schemeClr val="accent2">
                <a:lumMod val="60000"/>
                <a:lumOff val="40000"/>
              </a:schemeClr>
            </a:solidFill>
            <a:ln w="25400">
              <a:noFill/>
            </a:ln>
            <a:effectLst/>
            <a:scene3d>
              <a:camera prst="orthographicFront"/>
              <a:lightRig rig="threePt" dir="t"/>
            </a:scene3d>
            <a:sp3d>
              <a:bevelT w="190500" h="38100"/>
            </a:sp3d>
          </c:spPr>
          <c:invertIfNegative val="0"/>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fr-BF"/>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'3_Réalisation 2016_2023'!$P$82:$W$82</c:f>
              <c:numCache>
                <c:formatCode>General</c:formatCode>
                <c:ptCount val="8"/>
                <c:pt idx="0">
                  <c:v>2016</c:v>
                </c:pt>
                <c:pt idx="1">
                  <c:v>2017</c:v>
                </c:pt>
                <c:pt idx="2">
                  <c:v>2018</c:v>
                </c:pt>
                <c:pt idx="3">
                  <c:v>2019</c:v>
                </c:pt>
                <c:pt idx="4">
                  <c:v>2020</c:v>
                </c:pt>
                <c:pt idx="5">
                  <c:v>2021</c:v>
                </c:pt>
                <c:pt idx="6">
                  <c:v>2022</c:v>
                </c:pt>
                <c:pt idx="7">
                  <c:v>2023</c:v>
                </c:pt>
              </c:numCache>
            </c:numRef>
          </c:cat>
          <c:val>
            <c:numRef>
              <c:f>'3_Réalisation 2016_2023'!$P$96:$W$96</c:f>
              <c:numCache>
                <c:formatCode>_-* #\ ##0.0\ _€_-;\-* #\ ##0.0\ _€_-;_-* "-"??\ _€_-;_-@_-</c:formatCode>
                <c:ptCount val="8"/>
                <c:pt idx="0">
                  <c:v>88.6</c:v>
                </c:pt>
                <c:pt idx="1">
                  <c:v>88.811464633184329</c:v>
                </c:pt>
                <c:pt idx="2">
                  <c:v>90.2</c:v>
                </c:pt>
                <c:pt idx="3">
                  <c:v>90.53319573443413</c:v>
                </c:pt>
                <c:pt idx="4">
                  <c:v>91.216841831679147</c:v>
                </c:pt>
                <c:pt idx="5">
                  <c:v>90.948776296846702</c:v>
                </c:pt>
                <c:pt idx="6" formatCode="0.0">
                  <c:v>90.435495898583156</c:v>
                </c:pt>
                <c:pt idx="7">
                  <c:v>90.186625867817511</c:v>
                </c:pt>
              </c:numCache>
            </c:numRef>
          </c:val>
          <c:extLst>
            <c:ext xmlns:c16="http://schemas.microsoft.com/office/drawing/2014/chart" uri="{C3380CC4-5D6E-409C-BE32-E72D297353CC}">
              <c16:uniqueId val="{00000000-BF2B-4B1A-A725-BDFA5C3D06C8}"/>
            </c:ext>
          </c:extLst>
        </c:ser>
        <c:dLbls>
          <c:showLegendKey val="0"/>
          <c:showVal val="1"/>
          <c:showCatName val="0"/>
          <c:showSerName val="0"/>
          <c:showPercent val="0"/>
          <c:showBubbleSize val="0"/>
        </c:dLbls>
        <c:gapWidth val="150"/>
        <c:axId val="675289064"/>
        <c:axId val="675294104"/>
      </c:barChart>
      <c:catAx>
        <c:axId val="675289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BF"/>
          </a:p>
        </c:txPr>
        <c:crossAx val="675294104"/>
        <c:crosses val="autoZero"/>
        <c:auto val="1"/>
        <c:lblAlgn val="ctr"/>
        <c:lblOffset val="100"/>
        <c:noMultiLvlLbl val="1"/>
      </c:catAx>
      <c:valAx>
        <c:axId val="675294104"/>
        <c:scaling>
          <c:orientation val="minMax"/>
        </c:scaling>
        <c:delete val="0"/>
        <c:axPos val="l"/>
        <c:majorGridlines>
          <c:spPr>
            <a:ln w="9525" cap="flat" cmpd="sng" algn="ctr">
              <a:solidFill>
                <a:schemeClr val="tx1">
                  <a:lumMod val="15000"/>
                  <a:lumOff val="85000"/>
                </a:schemeClr>
              </a:solidFill>
              <a:round/>
            </a:ln>
            <a:effectLst/>
          </c:spPr>
        </c:majorGridlines>
        <c:numFmt formatCode="_-* #\ ##0.0\ _€_-;\-* #\ ##0.0\ _€_-;_-* &quot;-&quot;??\ _€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BF"/>
          </a:p>
        </c:txPr>
        <c:crossAx val="675289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BF"/>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fr-BF"/>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Feuil1!$A$22</c:f>
              <c:strCache>
                <c:ptCount val="1"/>
                <c:pt idx="0">
                  <c:v>Population desservie</c:v>
                </c:pt>
              </c:strCache>
            </c:strRef>
          </c:tx>
          <c:spPr>
            <a:solidFill>
              <a:srgbClr val="92D050"/>
            </a:solidFill>
            <a:ln w="19050">
              <a:solidFill>
                <a:schemeClr val="bg1"/>
              </a:solidFill>
            </a:ln>
            <a:effectLst/>
          </c:spPr>
          <c:invertIfNegative val="0"/>
          <c:dPt>
            <c:idx val="0"/>
            <c:invertIfNegative val="0"/>
            <c:bubble3D val="0"/>
            <c:spPr>
              <a:solidFill>
                <a:srgbClr val="92D050"/>
              </a:solidFill>
              <a:ln w="19050" cap="flat">
                <a:solidFill>
                  <a:schemeClr val="bg1"/>
                </a:solidFill>
              </a:ln>
              <a:effectLst/>
            </c:spPr>
            <c:extLst>
              <c:ext xmlns:c16="http://schemas.microsoft.com/office/drawing/2014/chart" uri="{C3380CC4-5D6E-409C-BE32-E72D297353CC}">
                <c16:uniqueId val="{00000001-BD45-4101-9A61-6EFFE5769359}"/>
              </c:ext>
            </c:extLst>
          </c:dPt>
          <c:dLbls>
            <c:dLbl>
              <c:idx val="0"/>
              <c:layout>
                <c:manualLayout>
                  <c:x val="2.7777777777777523E-3"/>
                  <c:y val="1.757276525795124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D45-4101-9A61-6EFFE5769359}"/>
                </c:ext>
              </c:extLst>
            </c:dLbl>
            <c:dLbl>
              <c:idx val="4"/>
              <c:layout>
                <c:manualLayout>
                  <c:x val="-5.5555555555555558E-3"/>
                  <c:y val="1.31795739434634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D45-4101-9A61-6EFFE5769359}"/>
                </c:ext>
              </c:extLst>
            </c:dLbl>
            <c:dLbl>
              <c:idx val="5"/>
              <c:layout>
                <c:manualLayout>
                  <c:x val="1.1111111111111009E-2"/>
                  <c:y val="2.19659565724390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D45-4101-9A61-6EFFE5769359}"/>
                </c:ext>
              </c:extLst>
            </c:dLbl>
            <c:dLbl>
              <c:idx val="6"/>
              <c:layout>
                <c:manualLayout>
                  <c:x val="8.2766082811077182E-3"/>
                  <c:y val="4.738255321183031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D45-4101-9A61-6EFFE5769359}"/>
                </c:ext>
              </c:extLst>
            </c:dLbl>
            <c:dLbl>
              <c:idx val="7"/>
              <c:layout>
                <c:manualLayout>
                  <c:x val="1.7012159194386417E-4"/>
                  <c:y val="2.77777681688728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D45-4101-9A61-6EFFE576935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BF"/>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Feuil1!$B$20:$J$20</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Feuil1!$B$22:$J$22</c:f>
              <c:numCache>
                <c:formatCode>_-* #\ ##0\ _€_-;\-* #\ ##0\ _€_-;_-* "-"??\ _€_-;_-@_-</c:formatCode>
                <c:ptCount val="9"/>
                <c:pt idx="0">
                  <c:v>89342</c:v>
                </c:pt>
                <c:pt idx="1">
                  <c:v>47550</c:v>
                </c:pt>
                <c:pt idx="2">
                  <c:v>269430</c:v>
                </c:pt>
                <c:pt idx="3">
                  <c:v>335470</c:v>
                </c:pt>
                <c:pt idx="4">
                  <c:v>411440</c:v>
                </c:pt>
                <c:pt idx="5">
                  <c:v>413170</c:v>
                </c:pt>
                <c:pt idx="6">
                  <c:v>285350</c:v>
                </c:pt>
                <c:pt idx="7">
                  <c:v>241700</c:v>
                </c:pt>
                <c:pt idx="8">
                  <c:v>221740</c:v>
                </c:pt>
              </c:numCache>
            </c:numRef>
          </c:val>
          <c:extLst>
            <c:ext xmlns:c16="http://schemas.microsoft.com/office/drawing/2014/chart" uri="{C3380CC4-5D6E-409C-BE32-E72D297353CC}">
              <c16:uniqueId val="{00000006-BD45-4101-9A61-6EFFE5769359}"/>
            </c:ext>
          </c:extLst>
        </c:ser>
        <c:dLbls>
          <c:showLegendKey val="0"/>
          <c:showVal val="0"/>
          <c:showCatName val="0"/>
          <c:showSerName val="0"/>
          <c:showPercent val="0"/>
          <c:showBubbleSize val="0"/>
        </c:dLbls>
        <c:gapWidth val="150"/>
        <c:axId val="192643440"/>
        <c:axId val="192646184"/>
      </c:barChart>
      <c:lineChart>
        <c:grouping val="standard"/>
        <c:varyColors val="0"/>
        <c:ser>
          <c:idx val="0"/>
          <c:order val="0"/>
          <c:tx>
            <c:strRef>
              <c:f>Feuil1!$A$21</c:f>
              <c:strCache>
                <c:ptCount val="1"/>
                <c:pt idx="0">
                  <c:v>Taux</c:v>
                </c:pt>
              </c:strCache>
            </c:strRef>
          </c:tx>
          <c:spPr>
            <a:ln w="25400" cap="rnd">
              <a:solidFill>
                <a:srgbClr val="FF0000"/>
              </a:solidFill>
              <a:round/>
              <a:headEnd type="none"/>
              <a:tailEnd type="none"/>
            </a:ln>
            <a:effectLst/>
          </c:spPr>
          <c:marker>
            <c:symbol val="circle"/>
            <c:size val="5"/>
            <c:spPr>
              <a:solidFill>
                <a:schemeClr val="accent1"/>
              </a:solidFill>
              <a:ln w="9525">
                <a:solidFill>
                  <a:schemeClr val="accent1"/>
                </a:solidFill>
              </a:ln>
              <a:effectLst/>
            </c:spPr>
          </c:marker>
          <c:dLbls>
            <c:dLbl>
              <c:idx val="0"/>
              <c:layout>
                <c:manualLayout>
                  <c:x val="-8.3333333333333072E-3"/>
                  <c:y val="-3.51455305159024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D45-4101-9A61-6EFFE5769359}"/>
                </c:ext>
              </c:extLst>
            </c:dLbl>
            <c:dLbl>
              <c:idx val="2"/>
              <c:layout>
                <c:manualLayout>
                  <c:x val="-8.3333333333333835E-3"/>
                  <c:y val="1.31795739434632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D45-4101-9A61-6EFFE5769359}"/>
                </c:ext>
              </c:extLst>
            </c:dLbl>
            <c:dLbl>
              <c:idx val="3"/>
              <c:layout>
                <c:manualLayout>
                  <c:x val="-8.3333333333333332E-3"/>
                  <c:y val="2.196595657243905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D45-4101-9A61-6EFFE5769359}"/>
                </c:ext>
              </c:extLst>
            </c:dLbl>
            <c:dLbl>
              <c:idx val="4"/>
              <c:layout>
                <c:manualLayout>
                  <c:x val="-5.5555555555556572E-3"/>
                  <c:y val="8.7863826289756222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D45-4101-9A61-6EFFE5769359}"/>
                </c:ext>
              </c:extLst>
            </c:dLbl>
            <c:dLbl>
              <c:idx val="5"/>
              <c:layout>
                <c:manualLayout>
                  <c:x val="-1.9444444444444445E-2"/>
                  <c:y val="-5.55555555555555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D45-4101-9A61-6EFFE5769359}"/>
                </c:ext>
              </c:extLst>
            </c:dLbl>
            <c:dLbl>
              <c:idx val="6"/>
              <c:layout>
                <c:manualLayout>
                  <c:x val="-3.8945631796025497E-2"/>
                  <c:y val="1.98470690431018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D45-4101-9A61-6EFFE5769359}"/>
                </c:ext>
              </c:extLst>
            </c:dLbl>
            <c:dLbl>
              <c:idx val="7"/>
              <c:layout>
                <c:manualLayout>
                  <c:x val="-4.7222222222222325E-2"/>
                  <c:y val="4.16666666666666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D45-4101-9A61-6EFFE5769359}"/>
                </c:ext>
              </c:extLst>
            </c:dLbl>
            <c:dLbl>
              <c:idx val="8"/>
              <c:layout>
                <c:manualLayout>
                  <c:x val="-3.8095238095238099E-2"/>
                  <c:y val="-5.71118691446521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D45-4101-9A61-6EFFE576935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BF"/>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Feuil1!$B$20:$J$20</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Feuil1!$B$21:$J$21</c:f>
              <c:numCache>
                <c:formatCode>0.0%</c:formatCode>
                <c:ptCount val="9"/>
                <c:pt idx="0">
                  <c:v>8.0000000000000002E-3</c:v>
                </c:pt>
                <c:pt idx="1">
                  <c:v>0.01</c:v>
                </c:pt>
                <c:pt idx="2">
                  <c:v>3.1E-2</c:v>
                </c:pt>
                <c:pt idx="3">
                  <c:v>0.06</c:v>
                </c:pt>
                <c:pt idx="4">
                  <c:v>0.09</c:v>
                </c:pt>
                <c:pt idx="5">
                  <c:v>0.12</c:v>
                </c:pt>
                <c:pt idx="6">
                  <c:v>0.13400000000000001</c:v>
                </c:pt>
                <c:pt idx="7">
                  <c:v>0.151</c:v>
                </c:pt>
                <c:pt idx="8">
                  <c:v>0.16400000000000001</c:v>
                </c:pt>
              </c:numCache>
            </c:numRef>
          </c:val>
          <c:smooth val="0"/>
          <c:extLst>
            <c:ext xmlns:c16="http://schemas.microsoft.com/office/drawing/2014/chart" uri="{C3380CC4-5D6E-409C-BE32-E72D297353CC}">
              <c16:uniqueId val="{0000000F-BD45-4101-9A61-6EFFE5769359}"/>
            </c:ext>
          </c:extLst>
        </c:ser>
        <c:dLbls>
          <c:showLegendKey val="0"/>
          <c:showVal val="0"/>
          <c:showCatName val="0"/>
          <c:showSerName val="0"/>
          <c:showPercent val="0"/>
          <c:showBubbleSize val="0"/>
        </c:dLbls>
        <c:marker val="1"/>
        <c:smooth val="0"/>
        <c:axId val="126566376"/>
        <c:axId val="126563632"/>
      </c:lineChart>
      <c:catAx>
        <c:axId val="1926434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192646184"/>
        <c:crosses val="autoZero"/>
        <c:auto val="1"/>
        <c:lblAlgn val="ctr"/>
        <c:lblOffset val="100"/>
        <c:noMultiLvlLbl val="0"/>
      </c:catAx>
      <c:valAx>
        <c:axId val="192646184"/>
        <c:scaling>
          <c:orientation val="minMax"/>
        </c:scaling>
        <c:delete val="0"/>
        <c:axPos val="l"/>
        <c:majorGridlines>
          <c:spPr>
            <a:ln w="9525" cap="flat" cmpd="sng" algn="ctr">
              <a:solidFill>
                <a:schemeClr val="tx1">
                  <a:lumMod val="15000"/>
                  <a:lumOff val="85000"/>
                </a:schemeClr>
              </a:solidFill>
              <a:round/>
            </a:ln>
            <a:effectLst/>
          </c:spPr>
        </c:majorGridlines>
        <c:numFmt formatCode="_-* #\ ##0\ _€_-;\-* #\ ##0\ _€_-;_-* &quot;-&quot;??\ _€_-;_-@_-"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192643440"/>
        <c:crosses val="autoZero"/>
        <c:crossBetween val="between"/>
      </c:valAx>
      <c:valAx>
        <c:axId val="126563632"/>
        <c:scaling>
          <c:orientation val="minMax"/>
        </c:scaling>
        <c:delete val="0"/>
        <c:axPos val="r"/>
        <c:numFmt formatCode="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126566376"/>
        <c:crosses val="max"/>
        <c:crossBetween val="between"/>
      </c:valAx>
      <c:catAx>
        <c:axId val="126566376"/>
        <c:scaling>
          <c:orientation val="minMax"/>
        </c:scaling>
        <c:delete val="1"/>
        <c:axPos val="b"/>
        <c:numFmt formatCode="General" sourceLinked="1"/>
        <c:majorTickMark val="out"/>
        <c:minorTickMark val="none"/>
        <c:tickLblPos val="nextTo"/>
        <c:crossAx val="126563632"/>
        <c:crosses val="autoZero"/>
        <c:auto val="1"/>
        <c:lblAlgn val="ctr"/>
        <c:lblOffset val="100"/>
        <c:noMultiLvlLbl val="0"/>
      </c:catAx>
      <c:spPr>
        <a:noFill/>
        <a:ln>
          <a:noFill/>
        </a:ln>
        <a:effectLst/>
      </c:spPr>
    </c:plotArea>
    <c:legend>
      <c:legendPos val="b"/>
      <c:layout>
        <c:manualLayout>
          <c:xMode val="edge"/>
          <c:yMode val="edge"/>
          <c:x val="0.21951334208223972"/>
          <c:y val="0.8995052298002274"/>
          <c:w val="0.5943066491688539"/>
          <c:h val="7.41356223128457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280314960629922"/>
          <c:y val="5.0925925925925923E-2"/>
          <c:w val="0.7793934820647419"/>
          <c:h val="0.73577136191309422"/>
        </c:manualLayout>
      </c:layout>
      <c:barChart>
        <c:barDir val="col"/>
        <c:grouping val="clustered"/>
        <c:varyColors val="0"/>
        <c:ser>
          <c:idx val="1"/>
          <c:order val="1"/>
          <c:tx>
            <c:strRef>
              <c:f>'evolut¨ ubain'!$A$33</c:f>
              <c:strCache>
                <c:ptCount val="1"/>
                <c:pt idx="0">
                  <c:v>Population desservie</c:v>
                </c:pt>
              </c:strCache>
            </c:strRef>
          </c:tx>
          <c:spPr>
            <a:solidFill>
              <a:srgbClr val="92D050"/>
            </a:solidFill>
            <a:ln>
              <a:noFill/>
            </a:ln>
            <a:effectLst/>
          </c:spPr>
          <c:invertIfNegative val="0"/>
          <c:dLbls>
            <c:dLbl>
              <c:idx val="0"/>
              <c:layout>
                <c:manualLayout>
                  <c:x val="2.7777777777777523E-3"/>
                  <c:y val="2.77777777777777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27D-469C-9F38-66B35EF1550F}"/>
                </c:ext>
              </c:extLst>
            </c:dLbl>
            <c:dLbl>
              <c:idx val="1"/>
              <c:layout>
                <c:manualLayout>
                  <c:x val="2.7777777777777523E-3"/>
                  <c:y val="1.38888888888888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27D-469C-9F38-66B35EF1550F}"/>
                </c:ext>
              </c:extLst>
            </c:dLbl>
            <c:dLbl>
              <c:idx val="2"/>
              <c:layout>
                <c:manualLayout>
                  <c:x val="2.7777777777777779E-3"/>
                  <c:y val="8.79629629629630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27D-469C-9F38-66B35EF1550F}"/>
                </c:ext>
              </c:extLst>
            </c:dLbl>
            <c:dLbl>
              <c:idx val="3"/>
              <c:layout>
                <c:manualLayout>
                  <c:x val="0"/>
                  <c:y val="5.092592592592592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27D-469C-9F38-66B35EF1550F}"/>
                </c:ext>
              </c:extLst>
            </c:dLbl>
            <c:dLbl>
              <c:idx val="4"/>
              <c:layout>
                <c:manualLayout>
                  <c:x val="5.5555555555555558E-3"/>
                  <c:y val="7.87037037037037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27D-469C-9F38-66B35EF1550F}"/>
                </c:ext>
              </c:extLst>
            </c:dLbl>
            <c:dLbl>
              <c:idx val="5"/>
              <c:layout>
                <c:manualLayout>
                  <c:x val="-1.0185067526415994E-16"/>
                  <c:y val="2.777777777777775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27D-469C-9F38-66B35EF1550F}"/>
                </c:ext>
              </c:extLst>
            </c:dLbl>
            <c:dLbl>
              <c:idx val="6"/>
              <c:layout>
                <c:manualLayout>
                  <c:x val="8.3333333333332309E-3"/>
                  <c:y val="9.259259259259258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27D-469C-9F38-66B35EF1550F}"/>
                </c:ext>
              </c:extLst>
            </c:dLbl>
            <c:dLbl>
              <c:idx val="7"/>
              <c:layout>
                <c:manualLayout>
                  <c:x val="2.7777777777777779E-3"/>
                  <c:y val="2.77777777777777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27D-469C-9F38-66B35EF1550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BF"/>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'evolut¨ ubain'!$B$31:$J$31</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'evolut¨ ubain'!$B$33:$J$33</c:f>
              <c:numCache>
                <c:formatCode>General</c:formatCode>
                <c:ptCount val="9"/>
                <c:pt idx="0">
                  <c:v>234000</c:v>
                </c:pt>
                <c:pt idx="1">
                  <c:v>262000</c:v>
                </c:pt>
                <c:pt idx="2">
                  <c:v>181000</c:v>
                </c:pt>
                <c:pt idx="3">
                  <c:v>176000</c:v>
                </c:pt>
                <c:pt idx="4">
                  <c:v>199000</c:v>
                </c:pt>
                <c:pt idx="5">
                  <c:v>184168</c:v>
                </c:pt>
                <c:pt idx="6" formatCode="#,##0">
                  <c:v>234951</c:v>
                </c:pt>
                <c:pt idx="7">
                  <c:v>177063</c:v>
                </c:pt>
                <c:pt idx="8">
                  <c:v>91410</c:v>
                </c:pt>
              </c:numCache>
            </c:numRef>
          </c:val>
          <c:extLst>
            <c:ext xmlns:c16="http://schemas.microsoft.com/office/drawing/2014/chart" uri="{C3380CC4-5D6E-409C-BE32-E72D297353CC}">
              <c16:uniqueId val="{00000008-127D-469C-9F38-66B35EF1550F}"/>
            </c:ext>
          </c:extLst>
        </c:ser>
        <c:dLbls>
          <c:showLegendKey val="0"/>
          <c:showVal val="0"/>
          <c:showCatName val="0"/>
          <c:showSerName val="0"/>
          <c:showPercent val="0"/>
          <c:showBubbleSize val="0"/>
        </c:dLbls>
        <c:gapWidth val="150"/>
        <c:axId val="483358280"/>
        <c:axId val="483357888"/>
      </c:barChart>
      <c:lineChart>
        <c:grouping val="standard"/>
        <c:varyColors val="0"/>
        <c:ser>
          <c:idx val="0"/>
          <c:order val="0"/>
          <c:tx>
            <c:strRef>
              <c:f>'evolut¨ ubain'!$A$32</c:f>
              <c:strCache>
                <c:ptCount val="1"/>
                <c:pt idx="0">
                  <c:v>Taux</c:v>
                </c:pt>
              </c:strCache>
            </c:strRef>
          </c:tx>
          <c:spPr>
            <a:ln w="25400" cap="rnd">
              <a:solidFill>
                <a:srgbClr val="C00000"/>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BF"/>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'evolut¨ ubain'!$B$31:$J$31</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'evolut¨ ubain'!$B$32:$J$32</c:f>
              <c:numCache>
                <c:formatCode>0.0%</c:formatCode>
                <c:ptCount val="9"/>
                <c:pt idx="0">
                  <c:v>0.21</c:v>
                </c:pt>
                <c:pt idx="1">
                  <c:v>0.24</c:v>
                </c:pt>
                <c:pt idx="2">
                  <c:v>0.27</c:v>
                </c:pt>
                <c:pt idx="3">
                  <c:v>0.29099999999999998</c:v>
                </c:pt>
                <c:pt idx="4">
                  <c:v>0.32</c:v>
                </c:pt>
                <c:pt idx="5">
                  <c:v>0.34200000000000003</c:v>
                </c:pt>
                <c:pt idx="6">
                  <c:v>0.36799999999999999</c:v>
                </c:pt>
                <c:pt idx="7">
                  <c:v>0.38300000000000001</c:v>
                </c:pt>
                <c:pt idx="8">
                  <c:v>0.38200000000000001</c:v>
                </c:pt>
              </c:numCache>
            </c:numRef>
          </c:val>
          <c:smooth val="0"/>
          <c:extLst>
            <c:ext xmlns:c16="http://schemas.microsoft.com/office/drawing/2014/chart" uri="{C3380CC4-5D6E-409C-BE32-E72D297353CC}">
              <c16:uniqueId val="{00000009-127D-469C-9F38-66B35EF1550F}"/>
            </c:ext>
          </c:extLst>
        </c:ser>
        <c:dLbls>
          <c:showLegendKey val="0"/>
          <c:showVal val="0"/>
          <c:showCatName val="0"/>
          <c:showSerName val="0"/>
          <c:showPercent val="0"/>
          <c:showBubbleSize val="0"/>
        </c:dLbls>
        <c:marker val="1"/>
        <c:smooth val="0"/>
        <c:axId val="483360632"/>
        <c:axId val="483356320"/>
      </c:lineChart>
      <c:catAx>
        <c:axId val="4833582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483357888"/>
        <c:crosses val="autoZero"/>
        <c:auto val="1"/>
        <c:lblAlgn val="ctr"/>
        <c:lblOffset val="100"/>
        <c:noMultiLvlLbl val="0"/>
      </c:catAx>
      <c:valAx>
        <c:axId val="483357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483358280"/>
        <c:crosses val="autoZero"/>
        <c:crossBetween val="between"/>
      </c:valAx>
      <c:valAx>
        <c:axId val="483356320"/>
        <c:scaling>
          <c:orientation val="minMax"/>
        </c:scaling>
        <c:delete val="0"/>
        <c:axPos val="r"/>
        <c:numFmt formatCode="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483360632"/>
        <c:crosses val="max"/>
        <c:crossBetween val="between"/>
      </c:valAx>
      <c:catAx>
        <c:axId val="483360632"/>
        <c:scaling>
          <c:orientation val="minMax"/>
        </c:scaling>
        <c:delete val="1"/>
        <c:axPos val="b"/>
        <c:numFmt formatCode="General" sourceLinked="1"/>
        <c:majorTickMark val="out"/>
        <c:minorTickMark val="none"/>
        <c:tickLblPos val="nextTo"/>
        <c:crossAx val="4833563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280314960629922"/>
          <c:y val="5.0925925925925923E-2"/>
          <c:w val="0.7793934820647419"/>
          <c:h val="0.73577136191309422"/>
        </c:manualLayout>
      </c:layout>
      <c:barChart>
        <c:barDir val="col"/>
        <c:grouping val="clustered"/>
        <c:varyColors val="0"/>
        <c:ser>
          <c:idx val="1"/>
          <c:order val="1"/>
          <c:tx>
            <c:strRef>
              <c:f>'evolut¨Tx national'!$A$33</c:f>
              <c:strCache>
                <c:ptCount val="1"/>
                <c:pt idx="0">
                  <c:v>Population desservie</c:v>
                </c:pt>
              </c:strCache>
            </c:strRef>
          </c:tx>
          <c:spPr>
            <a:solidFill>
              <a:srgbClr val="92D050"/>
            </a:solidFill>
            <a:ln>
              <a:noFill/>
            </a:ln>
            <a:effectLst/>
          </c:spPr>
          <c:invertIfNegative val="0"/>
          <c:dLbls>
            <c:dLbl>
              <c:idx val="0"/>
              <c:layout>
                <c:manualLayout>
                  <c:x val="2.7777777777777523E-3"/>
                  <c:y val="2.77777777777777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36D-421A-BB41-F04748CB37F0}"/>
                </c:ext>
              </c:extLst>
            </c:dLbl>
            <c:dLbl>
              <c:idx val="1"/>
              <c:layout>
                <c:manualLayout>
                  <c:x val="1.59269440432372E-2"/>
                  <c:y val="6.94444444444444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36D-421A-BB41-F04748CB37F0}"/>
                </c:ext>
              </c:extLst>
            </c:dLbl>
            <c:dLbl>
              <c:idx val="2"/>
              <c:layout>
                <c:manualLayout>
                  <c:x val="2.7777777777777779E-3"/>
                  <c:y val="8.79629629629630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36D-421A-BB41-F04748CB37F0}"/>
                </c:ext>
              </c:extLst>
            </c:dLbl>
            <c:dLbl>
              <c:idx val="3"/>
              <c:layout>
                <c:manualLayout>
                  <c:x val="0"/>
                  <c:y val="5.092592592592592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36D-421A-BB41-F04748CB37F0}"/>
                </c:ext>
              </c:extLst>
            </c:dLbl>
            <c:dLbl>
              <c:idx val="4"/>
              <c:layout>
                <c:manualLayout>
                  <c:x val="1.0815304891622276E-2"/>
                  <c:y val="9.72222222222222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36D-421A-BB41-F04748CB37F0}"/>
                </c:ext>
              </c:extLst>
            </c:dLbl>
            <c:dLbl>
              <c:idx val="5"/>
              <c:layout>
                <c:manualLayout>
                  <c:x val="0"/>
                  <c:y val="7.4074074074074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36D-421A-BB41-F04748CB37F0}"/>
                </c:ext>
              </c:extLst>
            </c:dLbl>
            <c:dLbl>
              <c:idx val="6"/>
              <c:layout>
                <c:manualLayout>
                  <c:x val="8.3333074489948152E-3"/>
                  <c:y val="0.1203703703703703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36D-421A-BB41-F04748CB37F0}"/>
                </c:ext>
              </c:extLst>
            </c:dLbl>
            <c:dLbl>
              <c:idx val="7"/>
              <c:layout>
                <c:manualLayout>
                  <c:x val="2.7777001247625112E-3"/>
                  <c:y val="9.72222222222222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36D-421A-BB41-F04748CB37F0}"/>
                </c:ext>
              </c:extLst>
            </c:dLbl>
            <c:dLbl>
              <c:idx val="8"/>
              <c:layout>
                <c:manualLayout>
                  <c:x val="1.5779092702169626E-2"/>
                  <c:y val="0.1157407407407407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36D-421A-BB41-F04748CB37F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BF"/>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'evolut¨Tx national'!$B$31:$J$31</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'evolut¨Tx national'!$B$33:$J$33</c:f>
              <c:numCache>
                <c:formatCode>0</c:formatCode>
                <c:ptCount val="9"/>
                <c:pt idx="0">
                  <c:v>737341.97115412017</c:v>
                </c:pt>
                <c:pt idx="1">
                  <c:v>1048371.9711541202</c:v>
                </c:pt>
                <c:pt idx="2">
                  <c:v>1498801.9711541203</c:v>
                </c:pt>
                <c:pt idx="3">
                  <c:v>2074531.9711541203</c:v>
                </c:pt>
                <c:pt idx="4">
                  <c:v>2641171.9711541203</c:v>
                </c:pt>
                <c:pt idx="5">
                  <c:v>3238509.9711541203</c:v>
                </c:pt>
                <c:pt idx="6">
                  <c:v>3741838.9038753929</c:v>
                </c:pt>
                <c:pt idx="7" formatCode="General">
                  <c:v>4155746</c:v>
                </c:pt>
                <c:pt idx="8">
                  <c:v>4468907.2193160877</c:v>
                </c:pt>
              </c:numCache>
            </c:numRef>
          </c:val>
          <c:extLst>
            <c:ext xmlns:c16="http://schemas.microsoft.com/office/drawing/2014/chart" uri="{C3380CC4-5D6E-409C-BE32-E72D297353CC}">
              <c16:uniqueId val="{00000009-E36D-421A-BB41-F04748CB37F0}"/>
            </c:ext>
          </c:extLst>
        </c:ser>
        <c:dLbls>
          <c:showLegendKey val="0"/>
          <c:showVal val="0"/>
          <c:showCatName val="0"/>
          <c:showSerName val="0"/>
          <c:showPercent val="0"/>
          <c:showBubbleSize val="0"/>
        </c:dLbls>
        <c:gapWidth val="150"/>
        <c:axId val="483362984"/>
        <c:axId val="483357104"/>
      </c:barChart>
      <c:lineChart>
        <c:grouping val="standard"/>
        <c:varyColors val="0"/>
        <c:ser>
          <c:idx val="0"/>
          <c:order val="0"/>
          <c:tx>
            <c:strRef>
              <c:f>'evolut¨Tx national'!$A$32</c:f>
              <c:strCache>
                <c:ptCount val="1"/>
                <c:pt idx="0">
                  <c:v>Taux</c:v>
                </c:pt>
              </c:strCache>
            </c:strRef>
          </c:tx>
          <c:spPr>
            <a:ln w="25400" cap="rnd">
              <a:solidFill>
                <a:srgbClr val="C00000"/>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BF"/>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'evolut¨Tx national'!$B$31:$J$31</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'evolut¨Tx national'!$B$32:$J$32</c:f>
              <c:numCache>
                <c:formatCode>0.0</c:formatCode>
                <c:ptCount val="9"/>
                <c:pt idx="0">
                  <c:v>5.5704812050397097</c:v>
                </c:pt>
                <c:pt idx="1">
                  <c:v>6.4210086652250631</c:v>
                </c:pt>
                <c:pt idx="2">
                  <c:v>8.8964484800658639</c:v>
                </c:pt>
                <c:pt idx="3">
                  <c:v>11.981243196272242</c:v>
                </c:pt>
                <c:pt idx="4">
                  <c:v>14.776690599152165</c:v>
                </c:pt>
                <c:pt idx="5">
                  <c:v>18</c:v>
                </c:pt>
                <c:pt idx="6">
                  <c:v>19.8</c:v>
                </c:pt>
                <c:pt idx="7">
                  <c:v>21.6</c:v>
                </c:pt>
                <c:pt idx="8">
                  <c:v>22.6</c:v>
                </c:pt>
              </c:numCache>
            </c:numRef>
          </c:val>
          <c:smooth val="0"/>
          <c:extLst>
            <c:ext xmlns:c16="http://schemas.microsoft.com/office/drawing/2014/chart" uri="{C3380CC4-5D6E-409C-BE32-E72D297353CC}">
              <c16:uniqueId val="{0000000A-E36D-421A-BB41-F04748CB37F0}"/>
            </c:ext>
          </c:extLst>
        </c:ser>
        <c:dLbls>
          <c:showLegendKey val="0"/>
          <c:showVal val="0"/>
          <c:showCatName val="0"/>
          <c:showSerName val="0"/>
          <c:showPercent val="0"/>
          <c:showBubbleSize val="0"/>
        </c:dLbls>
        <c:marker val="1"/>
        <c:smooth val="0"/>
        <c:axId val="483361808"/>
        <c:axId val="483360240"/>
      </c:lineChart>
      <c:catAx>
        <c:axId val="4833629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483357104"/>
        <c:crosses val="autoZero"/>
        <c:auto val="1"/>
        <c:lblAlgn val="ctr"/>
        <c:lblOffset val="100"/>
        <c:noMultiLvlLbl val="0"/>
      </c:catAx>
      <c:valAx>
        <c:axId val="4833571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483362984"/>
        <c:crosses val="autoZero"/>
        <c:crossBetween val="between"/>
      </c:valAx>
      <c:valAx>
        <c:axId val="483360240"/>
        <c:scaling>
          <c:orientation val="minMax"/>
        </c:scaling>
        <c:delete val="0"/>
        <c:axPos val="r"/>
        <c:numFmt formatCode="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483361808"/>
        <c:crosses val="max"/>
        <c:crossBetween val="between"/>
      </c:valAx>
      <c:catAx>
        <c:axId val="483361808"/>
        <c:scaling>
          <c:orientation val="minMax"/>
        </c:scaling>
        <c:delete val="1"/>
        <c:axPos val="b"/>
        <c:numFmt formatCode="General" sourceLinked="1"/>
        <c:majorTickMark val="out"/>
        <c:minorTickMark val="none"/>
        <c:tickLblPos val="nextTo"/>
        <c:crossAx val="4833602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5.xml><?xml version="1.0" encoding="utf-8"?>
<cs:chartStyle xmlns:cs="http://schemas.microsoft.com/office/drawing/2012/chartStyle" xmlns:a="http://schemas.openxmlformats.org/drawingml/2006/main" id="224">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bg1"/>
    </cs:fontRef>
    <cs:spPr>
      <a:solidFill>
        <a:schemeClr val="tx1">
          <a:lumMod val="35000"/>
          <a:lumOff val="65000"/>
        </a:schemeClr>
      </a:solidFill>
    </cs:spPr>
    <cs:defRPr sz="900"/>
    <cs:bodyPr rot="0" spcFirstLastPara="1" vertOverflow="clip" horzOverflow="clip" vert="horz" wrap="square" lIns="36576" tIns="18288" rIns="36576" bIns="18288" anchor="ctr" anchorCtr="1">
      <a:spAutoFit/>
    </cs:bodyPr>
  </cs:dataLabelCallout>
  <cs:dataPoint>
    <cs:lnRef idx="0">
      <cs:styleClr val="auto"/>
    </cs:lnRef>
    <cs:fillRef idx="0"/>
    <cs:effectRef idx="0"/>
    <cs:fontRef idx="minor">
      <a:schemeClr val="dk1"/>
    </cs:fontRef>
    <cs:spPr>
      <a:noFill/>
      <a:ln w="25400" cap="flat" cmpd="sng" algn="ctr">
        <a:solidFill>
          <a:schemeClr val="phClr"/>
        </a:solidFill>
        <a:miter lim="800000"/>
      </a:ln>
    </cs:spPr>
  </cs:dataPoint>
  <cs:dataPoint3D>
    <cs:lnRef idx="0">
      <cs:styleClr val="auto"/>
    </cs:lnRef>
    <cs:fillRef idx="0">
      <cs:styleClr val="auto"/>
    </cs:fillRef>
    <cs:effectRef idx="0"/>
    <cs:fontRef idx="minor">
      <a:schemeClr val="dk1"/>
    </cs:fontRef>
    <cs:spPr>
      <a:ln w="19050" cap="flat" cmpd="sng" algn="ctr">
        <a:solidFill>
          <a:schemeClr val="phClr"/>
        </a:solidFill>
        <a:miter lim="800000"/>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ln w="19050" cap="rnd">
        <a:solidFill>
          <a:schemeClr val="phClr"/>
        </a:solidFill>
        <a:round/>
      </a:ln>
    </cs:spPr>
  </cs:dataPointMarker>
  <cs:dataPointMarkerLayout symbol="circle" size="6"/>
  <cs:dataPointWireframe>
    <cs:lnRef idx="0">
      <cs:styleClr val="auto"/>
    </cs:lnRef>
    <cs:fillRef idx="1"/>
    <cs:effectRef idx="0"/>
    <cs:fontRef idx="minor">
      <a:schemeClr val="tx1"/>
    </cs:fontRef>
    <cs:spPr>
      <a:ln w="9525">
        <a:solidFill>
          <a:schemeClr val="phClr"/>
        </a:solidFill>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tx1">
            <a:lumMod val="50000"/>
            <a:lumOff val="50000"/>
          </a:schemeClr>
        </a:solidFill>
        <a:round/>
      </a:ln>
    </cs:spPr>
  </cs:downBar>
  <cs:dropLine>
    <cs:lnRef idx="0"/>
    <cs:fillRef idx="0"/>
    <cs:effectRef idx="0"/>
    <cs:fontRef idx="minor">
      <a:schemeClr val="dk1"/>
    </cs:fontRef>
    <cs:spPr>
      <a:ln w="9525" cap="flat" cmpd="sng" algn="ctr">
        <a:solidFill>
          <a:schemeClr val="tx1">
            <a:lumMod val="35000"/>
            <a:lumOff val="65000"/>
          </a:schemeClr>
        </a:solidFill>
        <a:round/>
      </a:ln>
    </cs:spPr>
  </cs:dropLine>
  <cs:errorBar>
    <cs:lnRef idx="0"/>
    <cs:fillRef idx="0"/>
    <cs:effectRef idx="0"/>
    <cs:fontRef idx="minor">
      <a:schemeClr val="dk1"/>
    </cs:fontRef>
    <cs:spPr>
      <a:ln w="9525" cap="flat" cmpd="sng" algn="ctr">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a:solidFill>
          <a:schemeClr val="tx1">
            <a:lumMod val="15000"/>
            <a:lumOff val="85000"/>
          </a:schemeClr>
        </a:solidFill>
      </a:ln>
    </cs:spPr>
  </cs:gridlineMajor>
  <cs:gridlineMinor>
    <cs:lnRef idx="0"/>
    <cs:fillRef idx="0"/>
    <cs:effectRef idx="0"/>
    <cs:fontRef idx="minor">
      <a:schemeClr val="dk1"/>
    </cs:fontRef>
    <cs:spPr>
      <a:ln w="9525">
        <a:solidFill>
          <a:schemeClr val="tx1">
            <a:lumMod val="5000"/>
            <a:lumOff val="95000"/>
          </a:schemeClr>
        </a:solidFill>
      </a:ln>
    </cs:spPr>
  </cs:gridlineMinor>
  <cs:hiLoLine>
    <cs:lnRef idx="0"/>
    <cs:fillRef idx="0"/>
    <cs:effectRef idx="0"/>
    <cs:fontRef idx="minor">
      <a:schemeClr val="dk1"/>
    </cs:fontRef>
    <cs:spPr>
      <a:ln w="9525" cap="flat" cmpd="sng" algn="ctr">
        <a:solidFill>
          <a:schemeClr val="tx1">
            <a:lumMod val="35000"/>
            <a:lumOff val="65000"/>
          </a:schemeClr>
        </a:solidFill>
        <a:round/>
      </a:ln>
    </cs:spPr>
  </cs:hiLoLine>
  <cs:leaderLine>
    <cs:lnRef idx="0"/>
    <cs:fillRef idx="0"/>
    <cs:effectRef idx="0"/>
    <cs:fontRef idx="minor">
      <a:schemeClr val="dk1"/>
    </cs:fontRef>
    <cs:spPr>
      <a:ln w="9525" cap="flat" cmpd="sng" algn="ctr">
        <a:solidFill>
          <a:schemeClr val="tx1">
            <a:lumMod val="35000"/>
            <a:lumOff val="65000"/>
          </a:schemeClr>
        </a:solidFill>
        <a:round/>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00" b="0" kern="1200" cap="none" spc="50" baseline="0"/>
  </cs:title>
  <cs:trendline>
    <cs:lnRef idx="0">
      <cs:styleClr val="auto"/>
    </cs:lnRef>
    <cs:fillRef idx="0"/>
    <cs:effectRef idx="0"/>
    <cs:fontRef idx="minor">
      <a:schemeClr val="dk1"/>
    </cs:fontRef>
    <cs:spPr>
      <a:ln w="19050" cap="rnd">
        <a:solidFill>
          <a:schemeClr val="phClr"/>
        </a:solidFill>
        <a:prstDash val="sysDot"/>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cap="flat" cmpd="sng" algn="ctr">
        <a:solidFill>
          <a:schemeClr val="tx1">
            <a:lumMod val="50000"/>
            <a:lumOff val="50000"/>
          </a:schemeClr>
        </a:solidFill>
        <a:round/>
      </a:ln>
    </cs:spPr>
  </cs:upBar>
  <cs:valueAxis>
    <cs:lnRef idx="0"/>
    <cs:fillRef idx="0"/>
    <cs:effectRef idx="0"/>
    <cs:fontRef idx="minor">
      <a:schemeClr val="tx1">
        <a:lumMod val="50000"/>
        <a:lumOff val="50000"/>
      </a:schemeClr>
    </cs:fontRef>
    <cs:spPr>
      <a:ln w="9525">
        <a:solidFill>
          <a:schemeClr val="tx1">
            <a:lumMod val="15000"/>
            <a:lumOff val="85000"/>
          </a:schemeClr>
        </a:solidFill>
      </a:ln>
    </cs:spPr>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8.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9.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0.22613</cdr:x>
      <cdr:y>0.27434</cdr:y>
    </cdr:from>
    <cdr:to>
      <cdr:x>0.34975</cdr:x>
      <cdr:y>0.3752</cdr:y>
    </cdr:to>
    <cdr:sp macro="" textlink="">
      <cdr:nvSpPr>
        <cdr:cNvPr id="2" name="Zone de texte 1"/>
        <cdr:cNvSpPr txBox="1"/>
      </cdr:nvSpPr>
      <cdr:spPr>
        <a:xfrm xmlns:a="http://schemas.openxmlformats.org/drawingml/2006/main">
          <a:off x="714375" y="647700"/>
          <a:ext cx="390525"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fr-BF" sz="1100" b="1" kern="1200"/>
        </a:p>
      </cdr:txBody>
    </cdr:sp>
  </cdr:relSizeAnchor>
  <cdr:relSizeAnchor xmlns:cdr="http://schemas.openxmlformats.org/drawingml/2006/chartDrawing">
    <cdr:from>
      <cdr:x>0.30151</cdr:x>
      <cdr:y>0</cdr:y>
    </cdr:from>
    <cdr:to>
      <cdr:x>0.41307</cdr:x>
      <cdr:y>0.09279</cdr:y>
    </cdr:to>
    <cdr:sp macro="" textlink="">
      <cdr:nvSpPr>
        <cdr:cNvPr id="4" name="Zone de texte 3"/>
        <cdr:cNvSpPr txBox="1"/>
      </cdr:nvSpPr>
      <cdr:spPr>
        <a:xfrm xmlns:a="http://schemas.openxmlformats.org/drawingml/2006/main">
          <a:off x="952500" y="0"/>
          <a:ext cx="352425"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fr-FR" sz="1400" b="1" kern="1200"/>
            <a:t>A</a:t>
          </a:r>
          <a:endParaRPr lang="fr-BF" sz="1400" b="1" kern="1200"/>
        </a:p>
      </cdr:txBody>
    </cdr:sp>
  </cdr:relSizeAnchor>
</c:userShapes>
</file>

<file path=word/drawings/drawing2.xml><?xml version="1.0" encoding="utf-8"?>
<c:userShapes xmlns:c="http://schemas.openxmlformats.org/drawingml/2006/chart">
  <cdr:relSizeAnchor xmlns:cdr="http://schemas.openxmlformats.org/drawingml/2006/chartDrawing">
    <cdr:from>
      <cdr:x>0.22466</cdr:x>
      <cdr:y>0</cdr:y>
    </cdr:from>
    <cdr:to>
      <cdr:x>0.36931</cdr:x>
      <cdr:y>0.1165</cdr:y>
    </cdr:to>
    <cdr:sp macro="" textlink="">
      <cdr:nvSpPr>
        <cdr:cNvPr id="2" name="Zone de texte 1"/>
        <cdr:cNvSpPr txBox="1"/>
      </cdr:nvSpPr>
      <cdr:spPr>
        <a:xfrm xmlns:a="http://schemas.openxmlformats.org/drawingml/2006/main">
          <a:off x="695325" y="0"/>
          <a:ext cx="447675"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fr-FR" sz="1400" b="1" kern="1200"/>
            <a:t>B</a:t>
          </a:r>
          <a:endParaRPr lang="fr-BF" sz="1400" b="1" kern="1200"/>
        </a:p>
      </cdr:txBody>
    </cdr:sp>
  </cdr:relSizeAnchor>
</c:userShape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Pat07</b:Tag>
    <b:SourceType>ElectronicSource</b:SourceType>
    <b:Guid>{D3FBE6F3-48F7-4807-B32F-C8C8D29750D5}</b:Guid>
    <b:Title>L'urbanisation</b:Title>
    <b:Year>2007</b:Year>
    <b:Month>09</b:Month>
    <b:URL>https://www.imf.org/external/pubs/ft/fandd/fre/2007/09/pdf/picture.pdf</b:URL>
    <b:Author>
      <b:Author>
        <b:NameList>
          <b:Person>
            <b:Last>Salyer</b:Last>
            <b:First>Patrick</b:First>
          </b:Person>
          <b:Person>
            <b:Last>Bloom</b:Last>
            <b:First>David</b:First>
          </b:Person>
        </b:NameList>
      </b:Author>
    </b:Author>
    <b:PublicationTitle>Finance et Développement</b:PublicationTitle>
    <b:YearAccessed>2024</b:YearAccessed>
    <b:MonthAccessed>09</b:MonthAccessed>
    <b:DayAccessed>03</b:DayAccessed>
    <b:RefOrder>1</b:RefOrder>
  </b:Source>
  <b:Source>
    <b:Tag>Mar07</b:Tag>
    <b:SourceType>ElectronicSource</b:SourceType>
    <b:Guid>{E58BFC38-0984-434F-8A50-F87CCDCC0A1C}</b:Guid>
    <b:Title>La pauvreté urbaine</b:Title>
    <b:Year>2007</b:Year>
    <b:URL>https://www.imf.org/external/pubs/ft/fandd/fre/2007/09/pdf/ravalli.pdf</b:URL>
    <b:YearAccessed>2024</b:YearAccessed>
    <b:MonthAccessed>09</b:MonthAccessed>
    <b:DayAccessed>3</b:DayAccessed>
    <b:Author>
      <b:Author>
        <b:NameList>
          <b:Person>
            <b:Last>Ravallion</b:Last>
            <b:First>Martin</b:First>
          </b:Person>
        </b:NameList>
      </b:Author>
    </b:Author>
    <b:RefOrder>2</b:RefOrder>
  </b:Source>
  <b:Source>
    <b:Tag>Géo10</b:Tag>
    <b:SourceType>InternetSite</b:SourceType>
    <b:Guid>{7FA8ABEC-0230-4260-ACD4-9517443592FD}</b:Guid>
    <b:Title>Urbanisation</b:Title>
    <b:Year>2010</b:Year>
    <b:Month>juin</b:Month>
    <b:YearAccessed>2024</b:YearAccessed>
    <b:MonthAccessed>09</b:MonthAccessed>
    <b:DayAccessed>04</b:DayAccessed>
    <b:URL>https://geoconfluences.ens-lyon.fr/glossaire/urbanisation-1</b:URL>
    <b:Author>
      <b:Author>
        <b:Corporate>Géoinfluences</b:Corporate>
      </b:Author>
    </b:Author>
    <b:InternetSiteTitle>Géoinfluences</b:InternetSiteTitle>
    <b:RefOrder>3</b:RefOrder>
  </b:Source>
  <b:Source>
    <b:Tag>Lar24</b:Tag>
    <b:SourceType>InternetSite</b:SourceType>
    <b:Guid>{E75B0C6B-3F10-4D4A-9A49-1F07FB81CADC}</b:Guid>
    <b:Author>
      <b:Author>
        <b:Corporate>Larousse</b:Corporate>
      </b:Author>
    </b:Author>
    <b:Title>Urbanisation</b:Title>
    <b:InternetSiteTitle>Larousse</b:InternetSiteTitle>
    <b:Year>2024</b:Year>
    <b:Month>09</b:Month>
    <b:Day>04</b:Day>
    <b:URL>https://www.larousse.fr/encyclopedie/divers/urbanisation/100334</b:URL>
    <b:RefOrder>4</b:RefOrder>
  </b:Source>
  <b:Source>
    <b:Tag>PRB04</b:Tag>
    <b:SourceType>DocumentFromInternetSite</b:SourceType>
    <b:Guid>{6E39A81F-57B6-4E86-85DE-0764BFD91A6D}</b:Guid>
    <b:Title>L'urbanisation : une force environnementale incontournable</b:Title>
    <b:Year>2004</b:Year>
    <b:Month>04</b:Month>
    <b:Day>14</b:Day>
    <b:Author>
      <b:Author>
        <b:Corporate>PRB</b:Corporate>
      </b:Author>
    </b:Author>
    <b:InternetSiteTitle>PRB</b:InternetSiteTitle>
    <b:URL>https://www.prb.org/resources/lurbanisation-une-force-environnementale-incontournable/</b:URL>
    <b:YearAccessed>2024</b:YearAccessed>
    <b:MonthAccessed>09</b:MonthAccessed>
    <b:DayAccessed>03</b:DayAccessed>
    <b:RefOrder>5</b:RefOrder>
  </b:Source>
  <b:Source>
    <b:Tag>NU18</b:Tag>
    <b:SourceType>DocumentFromInternetSite</b:SourceType>
    <b:Guid>{2BDA8C1D-E55D-4677-9D4F-04D52AF251AC}</b:Guid>
    <b:Author>
      <b:Author>
        <b:Corporate>NU</b:Corporate>
      </b:Author>
    </b:Author>
    <b:Title>World Urbanization Prospects 2018</b:Title>
    <b:Year>2018</b:Year>
    <b:InternetSiteTitle>United Nations : Department of Economic and Social Affairs Population Dynamics</b:InternetSiteTitle>
    <b:URL>https://population.un.org/wup/Publications/Files/WUP2018-KeyFacts.pdf</b:URL>
    <b:YearAccessed>2024</b:YearAccessed>
    <b:MonthAccessed>09</b:MonthAccessed>
    <b:DayAccessed>03</b:DayAccessed>
    <b:RefOrder>6</b:RefOrder>
  </b:Source>
  <b:Source>
    <b:Tag>OCD02</b:Tag>
    <b:SourceType>Report</b:SourceType>
    <b:Guid>{917BD68E-FA92-48EA-9855-95E9FF297A42}</b:Guid>
    <b:Author>
      <b:Author>
        <b:Corporate>OCDE/NU</b:Corporate>
      </b:Author>
    </b:Author>
    <b:Title>Dynamiques de l’urbanisation africaine 2022 : le rayonnement économique des villes africaines</b:Title>
    <b:Year>2022</b:Year>
    <b:Publisher>OCDE/NU</b:Publisher>
    <b:YearAccessed>2024</b:YearAccessed>
    <b:MonthAccessed>09</b:MonthAccessed>
    <b:DayAccessed>04</b:DayAccessed>
    <b:URL>https://www.afdb.org/sites/default/files/documents/publications/fr_updated_dynamiques_de_lurbanisation_africaine_2022_le_rayonnement_economique_des_villes_africaines.pdf</b:URL>
    <b:RefOrder>7</b:RefOrder>
  </b:Source>
  <b:Source>
    <b:Tag>Sta24</b:Tag>
    <b:SourceType>InternetSite</b:SourceType>
    <b:Guid>{4255A2BE-F311-4AE6-B35C-E65A9B42764C}</b:Guid>
    <b:Title>Afrique subsaharienne : urbanisation de 2013 à 2023</b:Title>
    <b:InternetSiteTitle>Statista</b:InternetSiteTitle>
    <b:Year>2024</b:Year>
    <b:Month>07</b:Month>
    <b:Day>11</b:Day>
    <b:URL>https://www.statista.com/statistics/805657/urbanization-in-sub-saharan-africa/</b:URL>
    <b:Author>
      <b:Author>
        <b:Corporate>Statista</b:Corporate>
      </b:Author>
    </b:Author>
    <b:YearAccessed>2024</b:YearAccessed>
    <b:MonthAccessed>09</b:MonthAccessed>
    <b:DayAccessed>03</b:DayAccessed>
    <b:RefOrder>8</b:RefOrder>
  </b:Source>
  <b:Source>
    <b:Tag>UNE17</b:Tag>
    <b:SourceType>Report</b:SourceType>
    <b:Guid>{A93AFC06-BA9D-474E-958D-902A516FBCB8}</b:Guid>
    <b:Author>
      <b:Author>
        <b:Corporate>UNECA</b:Corporate>
      </b:Author>
    </b:Author>
    <b:Title>Urbanization and industrialization for Africa's transformation</b:Title>
    <b:Year>2017</b:Year>
    <b:URL>https://archive.uneca.org/sites/default/files/uploaded-documents/ERA/ERA2017/era-2017_en_fin_jun2017.pdf</b:URL>
    <b:Publisher>UNECA</b:Publisher>
    <b:City>Addis Ababa</b:City>
    <b:YearAccessed>2024</b:YearAccessed>
    <b:MonthAccessed>09</b:MonthAccessed>
    <b:DayAccessed>03</b:DayAccessed>
    <b:RefOrder>9</b:RefOrder>
  </b:Source>
  <b:Source>
    <b:Tag>Ban231</b:Tag>
    <b:SourceType>InternetSite</b:SourceType>
    <b:Guid>{9B7C27A6-E58B-495A-B027-4C606D737939}</b:Guid>
    <b:Title>Développement urbain</b:Title>
    <b:Year>2023</b:Year>
    <b:Author>
      <b:Author>
        <b:Corporate>Banque Mondiale</b:Corporate>
      </b:Author>
    </b:Author>
    <b:InternetSiteTitle>Groupe de la Banque Mondiale</b:InternetSiteTitle>
    <b:Month>04</b:Month>
    <b:Day>03</b:Day>
    <b:URL>https://www.banquemondiale.org/fr/topic/urbandevelopment/overview#:~:text=Vue%20d'ensemble,-Contexte&amp;text=Aujourd'hui%2C%2056%20%25%20de,monde%20vivront%20en%20milieu%20urbain.</b:URL>
    <b:YearAccessed>2024</b:YearAccessed>
    <b:MonthAccessed>09</b:MonthAccessed>
    <b:DayAccessed>04</b:DayAccessed>
    <b:RefOrder>10</b:RefOrder>
  </b:Source>
  <b:Source>
    <b:Tag>ABa22</b:Tag>
    <b:SourceType>Report</b:SourceType>
    <b:Guid>{42B83587-B69C-4490-86B6-84D899FE6605}</b:Guid>
    <b:Author>
      <b:Author>
        <b:NameList>
          <b:Person>
            <b:Last>Bajpai</b:Last>
            <b:First>A</b:First>
          </b:Person>
          <b:Person>
            <b:Last>Stratton-Short</b:Last>
            <b:First>S.</b:First>
          </b:Person>
          <b:Person>
            <b:Last>Adelekan</b:Last>
            <b:First>I.</b:First>
          </b:Person>
        </b:NameList>
      </b:Author>
    </b:Author>
    <b:Title>Renforcer les services essentiels dans les villes africaines</b:Title>
    <b:Year>2022</b:Year>
    <b:Publisher>BAfD, Cities Alliance/UNOPS</b:Publisher>
    <b:Pages>108</b:Pages>
    <b:YearAccessed>2024</b:YearAccessed>
    <b:MonthAccessed>09</b:MonthAccessed>
    <b:DayAccessed>04</b:DayAccessed>
    <b:URL>https://www.citiesalliance.org/sites/default/files/2022-09/services_essentiels_dans_les_villes_africaines_-_citiesalliance_unops_afdb-_umdf_2022_french.pdf</b:URL>
    <b:RefOrder>12</b:RefOrder>
  </b:Source>
  <b:Source>
    <b:Tag>ONU10</b:Tag>
    <b:SourceType>Report</b:SourceType>
    <b:Guid>{A8D99E7A-E3E2-4CF6-B1D8-7CB47049DD20}</b:Guid>
    <b:Author>
      <b:Author>
        <b:Corporate>ONU-Habitat</b:Corporate>
      </b:Author>
    </b:Author>
    <b:Title>L'état des villes africaines 2010 : Gouvernance, inégalités et marchés fonciers urbains</b:Title>
    <b:Year>2010</b:Year>
    <b:URL>https://unhabitat.org/sites/default/files/download-manager-files/State%20of%20African%20Cities%202010%20%28L%E2%80%99%C3%A9tat%20des%20Villes%20Africaines%202010%29%20%2C%20Gouvernance%2C%20in%C3%A9galit%C3%A9%20et%20march%C3%A9s%20fonciers%20urbains.pdf</b:URL>
    <b:Publisher>ONU-Habitat</b:Publisher>
    <b:City>Nairobi</b:City>
    <b:YearAccessed>2024</b:YearAccessed>
    <b:MonthAccessed>09</b:MonthAccessed>
    <b:DayAccessed>03</b:DayAccessed>
    <b:RefOrder>13</b:RefOrder>
  </b:Source>
  <b:Source>
    <b:Tag>INS222</b:Tag>
    <b:SourceType>Report</b:SourceType>
    <b:Guid>{9971D550-B92D-47BD-BF0A-123B2A6E4FBD}</b:Guid>
    <b:Title>Cinquième Recensement Général de la Population et de l’Habitation du Burkina Faso</b:Title>
    <b:Year>2022</b:Year>
    <b:URL>http://cns.bf/IMG/pdf/plaquette_resultats_definitifs_rgph_2019_-_revu_30-12-2022.pdf</b:URL>
    <b:Author>
      <b:Author>
        <b:Corporate>INSD-RGPH</b:Corporate>
      </b:Author>
    </b:Author>
    <b:Publisher>INSD</b:Publisher>
    <b:City>Ouagadougou</b:City>
    <b:YearAccessed>2024</b:YearAccessed>
    <b:MonthAccessed>09</b:MonthAccessed>
    <b:DayAccessed>04</b:DayAccessed>
    <b:RefOrder>14</b:RefOrder>
  </b:Source>
  <b:Source>
    <b:Tag>ONU23</b:Tag>
    <b:SourceType>DocumentFromInternetSite</b:SourceType>
    <b:Guid>{534AFBC9-15D7-4546-9A4C-A22CB81F6692}</b:Guid>
    <b:Author>
      <b:Author>
        <b:Corporate>ONU-Habitat</b:Corporate>
      </b:Author>
    </b:Author>
    <b:Title>Note briefing Burkina Faso 2023</b:Title>
    <b:Year>2023</b:Year>
    <b:Publisher>ONU-Habitat</b:Publisher>
    <b:InternetSiteTitle>ONU-Habitat</b:InternetSiteTitle>
    <b:URL>https://unhabitat.org/sites/default/files/2023/07/note_de_briefing_burkina_faso_fr.pdf</b:URL>
    <b:RefOrder>15</b:RefOrder>
  </b:Source>
  <b:Source>
    <b:Tag>Swi18</b:Tag>
    <b:SourceType>Report</b:SourceType>
    <b:Guid>{12840480-873B-457C-96E4-1A3B86A051E4}</b:Guid>
    <b:Author>
      <b:Author>
        <b:Corporate>SAG</b:Corporate>
      </b:Author>
    </b:Author>
    <b:Title>Diagnostic sur la gestion intégrée des déchets au Burkina Faso - Rapport provisoire</b:Title>
    <b:Year>2019</b:Year>
    <b:Publisher>SAG-Burkina Faso</b:Publisher>
    <b:City>Ouagadougou</b:City>
    <b:RefOrder>16</b:RefOrder>
  </b:Source>
  <b:Source>
    <b:Tag>SPC161</b:Tag>
    <b:SourceType>Report</b:SourceType>
    <b:Guid>{77006D7B-E8AE-4F5E-A9D6-BCE6976601DA}</b:Guid>
    <b:Author>
      <b:Author>
        <b:Corporate>SPCNDD</b:Corporate>
      </b:Author>
    </b:Author>
    <b:Title>Quatrième rapport sur l'état de l'environnement au Burkina Faso</b:Title>
    <b:Year>2016</b:Year>
    <b:Publisher>SPCNDD</b:Publisher>
    <b:City>Ouagadougou</b:City>
    <b:YearAccessed>2024</b:YearAccessed>
    <b:MonthAccessed>09</b:MonthAccessed>
    <b:DayAccessed>04</b:DayAccessed>
    <b:URL>http://cns.bf/IMG/pdf/rapport_sur_l_etat_de_l_environnement_au_burkina_faso2.pdf</b:URL>
    <b:RefOrder>17</b:RefOrder>
  </b:Source>
  <b:Source>
    <b:Tag>SPC23</b:Tag>
    <b:SourceType>Report</b:SourceType>
    <b:Guid>{E906BC4C-261A-444E-95B7-C610F97CFD05}</b:Guid>
    <b:Author>
      <b:Author>
        <b:Corporate>SPCNDD</b:Corporate>
      </b:Author>
    </b:Author>
    <b:Title>Vulnérabilité des secteurs de développement et des populations locales au changement climatique dans la région du Plateau Central</b:Title>
    <b:Year>2023</b:Year>
    <b:Publisher>SPCNDD</b:Publisher>
    <b:City>Ouagadougou</b:City>
    <b:YearAccessed>2024</b:YearAccessed>
    <b:MonthAccessed>09</b:MonthAccessed>
    <b:DayAccessed>03</b:DayAccessed>
    <b:URL>https://napglobalnetwork.org/wp-content/uploads/2023/08/napgn-fr-2023-vulnerabilite-des-secteurs-de-developpement-et-des-populations-locales-au-changement-climatique-dans-la-region-du-plateau-central.pdf</b:URL>
    <b:RefOrder>18</b:RefOrder>
  </b:Source>
  <b:Source>
    <b:Tag>Rai21</b:Tag>
    <b:SourceType>ArticleInAPeriodical</b:SourceType>
    <b:Guid>{951B1B59-695E-45E5-ACCA-5BEFAAD5C95C}</b:Guid>
    <b:Author>
      <b:Author>
        <b:NameList>
          <b:Person>
            <b:Last>Sorgho</b:Last>
            <b:First>Raissa</b:First>
          </b:Person>
          <b:Person>
            <b:Last>Maxilliam</b:Last>
            <b:First>Jungmann</b:First>
          </b:Person>
          <b:Person>
            <b:Last>Souares</b:Last>
            <b:First>Aurélia</b:First>
          </b:Person>
          <b:Person>
            <b:Last>Danquah</b:Last>
            <b:First>Ina</b:First>
          </b:Person>
          <b:Person>
            <b:Last>Rainer</b:Last>
            <b:First>Sauerbon</b:First>
          </b:Person>
        </b:NameList>
      </b:Author>
    </b:Author>
    <b:Title>Climate Change, Health Risks, and Vulnerabilities in Burkina Faso: A Qualitative Study on the Perceptions of National Policymakers</b:Title>
    <b:Year>2021</b:Year>
    <b:PeriodicalTitle>International Journal of Environmental Research and Public Health</b:PeriodicalTitle>
    <b:Volume>18</b:Volume>
    <b:Issue>9, 4972</b:Issue>
    <b:YearAccessed>2024</b:YearAccessed>
    <b:MonthAccessed>09</b:MonthAccessed>
    <b:DayAccessed>04</b:DayAccessed>
    <b:URL>https://doi.org/10.3390/ijerph18094972</b:URL>
    <b:RefOrder>19</b:RefOrder>
  </b:Source>
  <b:Source>
    <b:Tag>Sus10</b:Tag>
    <b:SourceType>JournalArticle</b:SourceType>
    <b:Guid>{E7D78D0A-51CF-44A8-A7B2-0DFBB20E7DDF}</b:Guid>
    <b:Author>
      <b:Author>
        <b:NameList>
          <b:Person>
            <b:Last>Susi-Wolff</b:Last>
            <b:First>K.</b:First>
          </b:Person>
        </b:NameList>
      </b:Author>
    </b:Author>
    <b:Title>Understanding changing city culture; PSR-method as a discourse analysis tool for historic urban green heritage</b:Title>
    <b:Year>2010</b:Year>
    <b:PeriodicalTitle>A|Z ITU JOURNAL OF THE FACULTY OF ARCHITECTURE, </b:PeriodicalTitle>
    <b:Pages>51 - 57</b:Pages>
    <b:JournalName>A|Z ITU Journal of the faculty of achitecture, 7(02)</b:JournalName>
    <b:YearAccessed>2024</b:YearAccessed>
    <b:MonthAccessed>09</b:MonthAccessed>
    <b:DayAccessed>06</b:DayAccessed>
    <b:URL>https://www.az.itu.edu.tr/index.php/jfa/article/view/621</b:URL>
    <b:RefOrder>20</b:RefOrder>
  </b:Source>
  <b:Source>
    <b:Tag>OEC93</b:Tag>
    <b:SourceType>ElectronicSource</b:SourceType>
    <b:Guid>{98ABC60B-C029-4762-ABB3-1BD5BAB3534B}</b:Guid>
    <b:Author>
      <b:Author>
        <b:Corporate>OECD</b:Corporate>
      </b:Author>
      <b:Editor>
        <b:NameList>
          <b:Person>
            <b:Last>OECD</b:Last>
          </b:Person>
        </b:NameList>
      </b:Editor>
    </b:Author>
    <b:Title>OECD core set of indicators for environmental performance reviews : a synthesis report by the Group on the State of the Environment</b:Title>
    <b:City>Paris</b:City>
    <b:Year>1993</b:Year>
    <b:StandardNumber>OCDE/GD(93)179; N*83</b:StandardNumber>
    <b:YearAccessed>2024</b:YearAccessed>
    <b:MonthAccessed>09</b:MonthAccessed>
    <b:DayAccessed>04</b:DayAccessed>
    <b:URL>https://one.oecd.org/document/OCDE/GD(93)179/en/pdf#:~:text=The%20PSR%20framework%20(Figure%201a,the%20%22societal%20response%22).</b:URL>
    <b:RefOrder>21</b:RefOrder>
  </b:Source>
  <b:Source>
    <b:Tag>Lea22</b:Tag>
    <b:SourceType>InternetSite</b:SourceType>
    <b:Guid>{1157154D-9080-4CF4-8056-14D51EDB4767}</b:Guid>
    <b:Title>Using a DPSIR framework to support good natural resource management and policy</b:Title>
    <b:Year>2022</b:Year>
    <b:Author>
      <b:Author>
        <b:Corporate>Learning for Sustainability</b:Corporate>
      </b:Author>
    </b:Author>
    <b:InternetSiteTitle>Learning for Sustainability</b:InternetSiteTitle>
    <b:Month>03</b:Month>
    <b:Day>10</b:Day>
    <b:URL>https://learningforsustainability.net/post/extended-dpsir/</b:URL>
    <b:RefOrder>22</b:RefOrder>
  </b:Source>
  <b:Source>
    <b:Tag>Ale22</b:Tag>
    <b:SourceType>ElectronicSource</b:SourceType>
    <b:Guid>{EC023623-69C3-4573-B436-0562CBBAAC86}</b:Guid>
    <b:Author>
      <b:Author>
        <b:NameList>
          <b:Person>
            <b:Last>Alen</b:Last>
            <b:First>Willy</b:First>
          </b:Person>
        </b:NameList>
      </b:Author>
    </b:Author>
    <b:Title>Extending the DPSIR (Driving forces, Pressures, States, Impacts, Responses) framework</b:Title>
    <b:Year>2022</b:Year>
    <b:Month>10</b:Month>
    <b:Day>25</b:Day>
    <b:URL>https://i2insights.org/2022/10/25/extending-dpsir-framework/</b:URL>
    <b:YearAccessed>2022</b:YearAccessed>
    <b:MonthAccessed>10</b:MonthAccessed>
    <b:DayAccessed>25</b:DayAccessed>
    <b:RefOrder>23</b:RefOrder>
  </b:Source>
  <b:Source>
    <b:Tag>ONU03</b:Tag>
    <b:SourceType>Report</b:SourceType>
    <b:Guid>{FF4543BD-DDC1-4483-8074-9CD5999F82DA}</b:Guid>
    <b:Title>The challenges of slums :  : global report on human settlements 2003</b:Title>
    <b:Year>2003</b:Year>
    <b:URL>https://unhabitat.org/sites/default/files/download-manager-files/The%20Challenge%20of%20Slums%20-%20Global%20Report%20on%20Human%20Settlements%202003.pdf</b:URL>
    <b:Author>
      <b:Author>
        <b:Corporate>ONU-Habitat</b:Corporate>
      </b:Author>
    </b:Author>
    <b:Publisher>Earthscan Publications Ltd, London and Sterling, VA</b:Publisher>
    <b:City>London</b:City>
    <b:YearAccessed>2024</b:YearAccessed>
    <b:MonthAccessed>09</b:MonthAccessed>
    <b:DayAccessed>04</b:DayAccessed>
    <b:RefOrder>11</b:RefOrder>
  </b:Source>
  <b:Source>
    <b:Tag>ONU15</b:Tag>
    <b:SourceType>Report</b:SourceType>
    <b:Guid>{0DB02E7F-057C-4BF4-B7CE-0AA58E16D5D6}</b:Guid>
    <b:Author>
      <b:Author>
        <b:Corporate>ONUDI</b:Corporate>
      </b:Author>
    </b:Author>
    <b:Title>L’industrie verte au Burkina Faso : Évaluation et perspectives</b:Title>
    <b:Year>2015</b:Year>
    <b:Publisher>ONUDI</b:Publisher>
    <b:City>Ouagadougou</b:City>
    <b:YearAccessed>2023</b:YearAccessed>
    <b:MonthAccessed>Septembre</b:MonthAccessed>
    <b:DayAccessed>25</b:DayAccessed>
    <b:URL>https://www.unido.org/sites/default/files/2016-02/REPORT-BURKINA_FASO_0.pdf</b:URL>
    <b:RefOrder>24</b:RefOrder>
  </b:Source>
  <b:Source>
    <b:Tag>MER15</b:Tag>
    <b:SourceType>Report</b:SourceType>
    <b:Guid>{4EA26874-B9D5-4743-A41E-41EB9D494F9F}</b:Guid>
    <b:Author>
      <b:Author>
        <b:Corporate>MERH</b:Corporate>
      </b:Author>
    </b:Author>
    <b:Title>Plan national d'adaptation aux changements climatiques</b:Title>
    <b:Year>2015</b:Year>
    <b:Publisher>MERH</b:Publisher>
    <b:City>Ouagadougou</b:City>
    <b:YearAccessed>2024</b:YearAccessed>
    <b:MonthAccessed>09</b:MonthAccessed>
    <b:DayAccessed>05</b:DayAccessed>
    <b:URL>https://www4.unfccc.int/sites/NAPC/Documents/Parties/PNA_Version_version%20francaise%20finale%20BF.pdf</b:URL>
    <b:RefOrder>25</b:RefOrder>
  </b:Source>
  <b:Source>
    <b:Tag>INS20</b:Tag>
    <b:SourceType>Report</b:SourceType>
    <b:Guid>{D715431A-E799-47C2-93AA-A5676B9DC354}</b:Guid>
    <b:Author>
      <b:Author>
        <b:Corporate>INSD</b:Corporate>
      </b:Author>
    </b:Author>
    <b:Title>Tableau de bord social 2020</b:Title>
    <b:Year>2020</b:Year>
    <b:Publisher>INSD</b:Publisher>
    <b:City>Ouagadougou</b:City>
    <b:YearAccessed>2024</b:YearAccessed>
    <b:MonthAccessed>09</b:MonthAccessed>
    <b:DayAccessed>13</b:DayAccessed>
    <b:URL>https://www.insd.bf/sites/default/files/2021-12/Tableau%20de%20Bord_Social_2020.pdf</b:URL>
    <b:RefOrder>26</b:RefOrder>
  </b:Source>
  <b:Source>
    <b:Tag>MID23</b:Tag>
    <b:SourceType>Report</b:SourceType>
    <b:Guid>{EEE700E5-5ADF-4019-9A0D-FEA79286C41B}</b:Guid>
    <b:Author>
      <b:Author>
        <b:Corporate>MID</b:Corporate>
      </b:Author>
    </b:Author>
    <b:Title>Tableau de bord statistique 2022 des infrastructures de transport</b:Title>
    <b:Year>2023</b:Year>
    <b:Publisher>MID</b:Publisher>
    <b:City>Ouagadougou</b:City>
    <b:YearAccessed>2024</b:YearAccessed>
    <b:MonthAccessed>09</b:MonthAccessed>
    <b:DayAccessed>13</b:DayAccessed>
    <b:URL>http://cns.bf/IMG/pdf/mid_tableau_de_bord_statistique_2022_version_def.pdf</b:URL>
    <b:RefOrder>27</b:RefOrder>
  </b:Source>
  <b:Source>
    <b:Tag>CGL08</b:Tag>
    <b:SourceType>Report</b:SourceType>
    <b:Guid>{B057889B-A27C-4226-81A9-234230B5ED45}</b:Guid>
    <b:Author>
      <b:Author>
        <b:Corporate>CGLU</b:Corporate>
      </b:Author>
    </b:Author>
    <b:Title>La décentralisation et la démocratie locale dans le monde : premier rapport mondial</b:Title>
    <b:Year>2008</b:Year>
    <b:Publisher>CGLU</b:Publisher>
    <b:City>Barcelona</b:City>
    <b:YearAccessed>2024</b:YearAccessed>
    <b:MonthAccessed>09</b:MonthAccessed>
    <b:DayAccessed>13</b:DayAccessed>
    <b:URL>https://www.gold.uclg.org/sites/default/files/GOLDI_%20FR.pdf</b:URL>
    <b:RefOrder>28</b:RefOrder>
  </b:Source>
  <b:Source>
    <b:Tag>INS09</b:Tag>
    <b:SourceType>Report</b:SourceType>
    <b:Guid>{787EE416-1189-40C0-AF97-9EFD55023DF0}</b:Guid>
    <b:Author>
      <b:Author>
        <b:Corporate>INSD</b:Corporate>
      </b:Author>
    </b:Author>
    <b:Title>Projections démographiques 2007-2050</b:Title>
    <b:Year>2009</b:Year>
    <b:Publisher>INSD</b:Publisher>
    <b:City>Ouagadougou</b:City>
    <b:YearAccessed>2024</b:YearAccessed>
    <b:MonthAccessed>09</b:MonthAccessed>
    <b:DayAccessed>13</b:DayAccessed>
    <b:URL>https://www.insd.bf/sites/default/files/2021-12/Theme16-Projections_demographiques.pdf</b:URL>
    <b:RefOrder>29</b:RefOrder>
  </b:Source>
  <b:Source>
    <b:Tag>INS23</b:Tag>
    <b:SourceType>Report</b:SourceType>
    <b:Guid>{FCA9A662-E5CF-4E16-B614-E2779D3D7EF3}</b:Guid>
    <b:Author>
      <b:Author>
        <b:Corporate>INSD</b:Corporate>
      </b:Author>
    </b:Author>
    <b:Title>Analyse approfondie : migration de la main d'oeuvre au Burkina Faso</b:Title>
    <b:Year>2023b</b:Year>
    <b:Publisher>INSD</b:Publisher>
    <b:City>Ouagadougou</b:City>
    <b:YearAccessed>2024</b:YearAccessed>
    <b:MonthAccessed>09</b:MonthAccessed>
    <b:DayAccessed>09</b:DayAccessed>
    <b:URL>file:///C:/Users/LGDamien/OneDrive/Documents/Dossiers_Etude/Ann%C3%A9e%202024/Etude%20REEB%20V_Mars%2024/Rapport%20VF00/Documents_TAF_09sept24/INSD/Donnees_INSD/Migration%20de%20la%20main%20d%20oeuvre%20au%20Burkina%20Faso%20VF.pdf</b:URL>
    <b:RefOrder>30</b:RefOrder>
  </b:Source>
  <b:Source>
    <b:Tag>INS231</b:Tag>
    <b:SourceType>Report</b:SourceType>
    <b:Guid>{29C1ABC7-1495-4045-A4A9-C0811F04F5A6}</b:Guid>
    <b:Author>
      <b:Author>
        <b:Corporate>INSD</b:Corporate>
      </b:Author>
    </b:Author>
    <b:Title>Analyse approfondie : Disparités spatiales de la qualité des logements au Burkina Faso</b:Title>
    <b:Year>2023a</b:Year>
    <b:Publisher>INSD</b:Publisher>
    <b:City>Ouagadougou</b:City>
    <b:YearAccessed>2024</b:YearAccessed>
    <b:MonthAccessed>09</b:MonthAccessed>
    <b:DayAccessed>12</b:DayAccessed>
    <b:URL>file:///C:/Users/LGDamien/OneDrive/Documents/Dossiers_Etude/Ann%C3%A9e%202024/Etude%20REEB%20V_Mars%2024/Rapport%20VF00/Biblio_sept24/Les%20disparit%C3%A9s%20spatiales%20de%20la%20qualit%C3%A9%20des%20logements%20au%20Burkina%20Faso_LOGEMENTS.pdf</b:URL>
    <b:RefOrder>31</b:RefOrder>
  </b:Source>
  <b:Source>
    <b:Tag>OPE24</b:Tag>
    <b:SourceType>InternetSite</b:SourceType>
    <b:Guid>{6BD7D427-7215-40D7-B0C3-4BD0C32539A0}</b:Guid>
    <b:Author>
      <b:Author>
        <b:Corporate>OPENDATA</b:Corporate>
      </b:Author>
    </b:Author>
    <b:Title>Burkina Faso - Portail de données</b:Title>
    <b:Year>2024</b:Year>
    <b:Month>09</b:Month>
    <b:Day>12</b:Day>
    <b:InternetSiteTitle>Open data for Africa </b:InternetSiteTitle>
    <b:URL>https://burkinafaso.opendataforafrica.org/</b:URL>
    <b:RefOrder>32</b:RefOrder>
  </b:Source>
  <b:Source>
    <b:Tag>KON23</b:Tag>
    <b:SourceType>Report</b:SourceType>
    <b:Guid>{8E4B76E4-A6A0-4470-BD8D-FA144C416C9E}</b:Guid>
    <b:Author>
      <b:Author>
        <b:Corporate>KONRAD ADENAUER STIFTUNG</b:Corporate>
      </b:Author>
    </b:Author>
    <b:Title>Etude sur la migration au Burkina Faso - Rapport final</b:Title>
    <b:Year>2023</b:Year>
    <b:Publisher>KONRAD ADENAUER STIFTUNG</b:Publisher>
    <b:City>Ouagadougou</b:City>
    <b:YearAccessed>2024</b:YearAccessed>
    <b:MonthAccessed>09</b:MonthAccessed>
    <b:DayAccessed>09</b:DayAccessed>
    <b:URL>https://www.kas.de/documents/265798/23405107/Etude+migration+Burkina+Fasol.pdf/b9f283d0-1ad1-085c-1c6c-5f680b26d3dc?version=1.0&amp;t=1699453867423#:~:text=Types%20de%20migrations%2C%20profils%20des,que%20des%20mouvements%20de%20r%C3%A9fugi%C3%A9s.</b:URL>
    <b:RefOrder>33</b:RefOrder>
  </b:Source>
  <b:Source>
    <b:Tag>GRA22</b:Tag>
    <b:SourceType>Book</b:SourceType>
    <b:Guid>{EEBE792F-568C-48A9-9DC9-2BDCEB20C14C}</b:Guid>
    <b:Author>
      <b:Author>
        <b:Corporate>GRAAD</b:Corporate>
      </b:Author>
    </b:Author>
    <b:Title>Résilience des jeunes à l'extrémisme violent au Burkina Faso : liens et poids relatif des opportunités économiques</b:Title>
    <b:Year>2022</b:Year>
    <b:City>Ouagadougou</b:City>
    <b:Publisher>GRAAD Think Tank</b:Publisher>
    <b:CountryRegion>Burkina Faso</b:CountryRegion>
    <b:RefOrder>34</b:RefOrder>
  </b:Source>
  <b:Source>
    <b:Tag>Fou08</b:Tag>
    <b:SourceType>Book</b:SourceType>
    <b:Guid>{5BA1D81B-298B-47F6-B7D2-636FA0222E56}</b:Guid>
    <b:Title>Ouagadougou (1850-2004) : Une urbanisation différenciée</b:Title>
    <b:Year>2008</b:Year>
    <b:URL>https://horizon.documentation.ird.fr/exl-doc/pleins_textes/divers10-05/010048783.pdf</b:URL>
    <b:Author>
      <b:Author>
        <b:NameList>
          <b:Person>
            <b:Last>Fournet</b:Last>
            <b:First>Florence</b:First>
          </b:Person>
          <b:Person>
            <b:Last>Meunier-Nikiema</b:Last>
            <b:First>Aude</b:First>
          </b:Person>
          <b:Person>
            <b:Last>Salem</b:Last>
            <b:First>Gérard</b:First>
          </b:Person>
        </b:NameList>
      </b:Author>
    </b:Author>
    <b:City>Marseille</b:City>
    <b:Publisher>IRD Editions</b:Publisher>
    <b:YearAccessed>2024</b:YearAccessed>
    <b:MonthAccessed>09</b:MonthAccessed>
    <b:DayAccessed>14</b:DayAccessed>
    <b:RefOrder>35</b:RefOrder>
  </b:Source>
  <b:Source>
    <b:Tag>IRD09</b:Tag>
    <b:SourceType>Report</b:SourceType>
    <b:Guid>{0BA9B131-9A11-41DF-B9B8-D85E3CD7BCD8}</b:Guid>
    <b:Title>Peuplement de Ouagadougou et Développement urbain</b:Title>
    <b:Year>2009</b:Year>
    <b:City>Ouagadougou</b:City>
    <b:Publisher>IRD</b:Publisher>
    <b:Author>
      <b:Author>
        <b:Corporate>IRD</b:Corporate>
      </b:Author>
    </b:Author>
    <b:YearAccessed>2024</b:YearAccessed>
    <b:MonthAccessed>09</b:MonthAccessed>
    <b:DayAccessed>14</b:DayAccessed>
    <b:URL>https://horizon.documentation.ird.fr/exl-doc/pleins_textes/divers11-03/010046843.pdf</b:URL>
    <b:RefOrder>36</b:RefOrder>
  </b:Source>
  <b:Source>
    <b:Tag>INS031</b:Tag>
    <b:SourceType>Report</b:SourceType>
    <b:Guid>{29201651-7470-4D23-9F0A-BA2001D13857}</b:Guid>
    <b:Author>
      <b:Author>
        <b:Corporate>INSD</b:Corporate>
      </b:Author>
    </b:Author>
    <b:Title>Le secteur informel dans l'agglomération de Ouagadougou : performances, insertion, perspectives</b:Title>
    <b:Year>2003</b:Year>
    <b:Publisher>INSD</b:Publisher>
    <b:City>Ouagadougou</b:City>
    <b:YearAccessed>2024</b:YearAccessed>
    <b:MonthAccessed>09</b:MonthAccessed>
    <b:DayAccessed>14</b:DayAccessed>
    <b:URL>http://www.cns.bf/IMG/pdf/secteur_informel_ouagadougou_2003-2.pdf</b:URL>
    <b:RefOrder>37</b:RefOrder>
  </b:Source>
  <b:Source>
    <b:Tag>INS19</b:Tag>
    <b:SourceType>Report</b:SourceType>
    <b:Guid>{3D513333-9D7C-4709-A415-F00035B7AF02}</b:Guid>
    <b:Author>
      <b:Author>
        <b:Corporate>INSD</b:Corporate>
      </b:Author>
    </b:Author>
    <b:Title>Enquête régionale intégrée sur l’emploi et le secteur informel (ERI-ESI) : Burkina Faso, 2018</b:Title>
    <b:Year>2019</b:Year>
    <b:Publisher>INSD</b:Publisher>
    <b:City>Ouagadougou</b:City>
    <b:YearAccessed>2024</b:YearAccessed>
    <b:MonthAccessed>09</b:MonthAccessed>
    <b:DayAccessed>14</b:DayAccessed>
    <b:URL>https://www.insd.bf/sites/default/files/2021-12/Burkina%20%20%20%20Faso_ERI-ESI_SyntheseVF.pdf</b:URL>
    <b:RefOrder>38</b:RefOrder>
  </b:Source>
  <b:Source>
    <b:Tag>IOE23</b:Tag>
    <b:SourceType>Report</b:SourceType>
    <b:Guid>{74644C7D-BE1E-4D9E-9BBD-355AB8CEE3A4}</b:Guid>
    <b:Author>
      <b:Author>
        <b:Corporate>IOE</b:Corporate>
      </b:Author>
    </b:Author>
    <b:Title>Analyse du climat des affaires dans les PMA : Burkina Faso</b:Title>
    <b:Year>2023</b:Year>
    <b:Publisher>IOE</b:Publisher>
    <b:City>Genève</b:City>
    <b:YearAccessed>2024</b:YearAccessed>
    <b:MonthAccessed>09</b:MonthAccessed>
    <b:DayAccessed>14</b:DayAccessed>
    <b:URL>https://www.ioe-emp.org/index.php?eID=dumpFile&amp;t=f&amp;f=157980&amp;token=8d278dfece0547747dea1c2d010f38a0846419b6#:~:text=L'informalit%C3%A9%20%2D%20L'%C3%A9conomie,5%2C70%20%25%20en%202019.</b:URL>
    <b:RefOrder>39</b:RefOrder>
  </b:Source>
  <b:Source>
    <b:Tag>PNP12</b:Tag>
    <b:SourceType>Report</b:SourceType>
    <b:Guid>{A5288A69-8747-49A7-AE64-A8B0241A5420}</b:Guid>
    <b:Author>
      <b:Author>
        <b:Corporate>PNPS</b:Corporate>
      </b:Author>
    </b:Author>
    <b:Title>Burkina Faso : Politique nationale de protection sociale</b:Title>
    <b:Year>2012</b:Year>
    <b:Publisher>Gouvernement du Burkina Faso</b:Publisher>
    <b:City>Ouagadougou</b:City>
    <b:YearAccessed>2024</b:YearAccessed>
    <b:MonthAccessed>09</b:MonthAccessed>
    <b:DayAccessed>17</b:DayAccessed>
    <b:URL>https://www.social-protection.org/gimi/Media.action;jsessionid=HJf_RuaDj48MfXHsnD0sr7ljcVHOKBRxwUbP5ZZcHeD4-2x0CMyG!-511164124?id=16999</b:URL>
    <b:RefOrder>40</b:RefOrder>
  </b:Source>
  <b:Source>
    <b:Tag>CNS23</b:Tag>
    <b:SourceType>InternetSite</b:SourceType>
    <b:Guid>{1168E488-FF93-4E27-B8BB-747FB0EB726A}</b:Guid>
    <b:Year>2023</b:Year>
    <b:Author>
      <b:Author>
        <b:Corporate>CNSS</b:Corporate>
      </b:Author>
    </b:Author>
    <b:InternetSiteTitle>Caisse nationale de sécurité sociale - Burkina Faso</b:InternetSiteTitle>
    <b:Month>juin</b:Month>
    <b:Day>23</b:Day>
    <b:URL>https://cnssbf.org/?p=8337</b:URL>
    <b:YearAccessed>2024</b:YearAccessed>
    <b:MonthAccessed>06</b:MonthAccessed>
    <b:DayAccessed>27</b:DayAccessed>
    <b:RefOrder>41</b:RefOrder>
  </b:Source>
  <b:Source>
    <b:Tag>INS22</b:Tag>
    <b:SourceType>Report</b:SourceType>
    <b:Guid>{D54B02F8-347A-4760-9F30-02FEE513B73C}</b:Guid>
    <b:Author>
      <b:Author>
        <b:Corporate>INSD</b:Corporate>
      </b:Author>
    </b:Author>
    <b:Title>5ème recensement général de la population et de l'habitation du Burkina Faso-Volume 3 : mesure et cartographie de la pauvreté</b:Title>
    <b:Year>2022b</b:Year>
    <b:Publisher>INSD</b:Publisher>
    <b:City>Ouagadougou</b:City>
    <b:YearAccessed>2024</b:YearAccessed>
    <b:MonthAccessed>Février </b:MonthAccessed>
    <b:DayAccessed>1</b:DayAccessed>
    <b:URL>https://www.insd.bf/sites/default/files/2023-07/VOLUME%203%20-CARTOGRAPHIE%20DE%20LA%20PAUVRETE.pdf</b:URL>
    <b:RefOrder>42</b:RefOrder>
  </b:Source>
  <b:Source>
    <b:Tag>Emm09</b:Tag>
    <b:SourceType>ArticleInAPeriodical</b:SourceType>
    <b:Guid>{9B438555-7BC4-40C2-A2FB-5428AB8A6322}</b:Guid>
    <b:Title>Offre de soins et expansion urbaine, conséquences pour l’accès aux soins. L’exemple de Ouagadougou (Burkina Faso)</b:Title>
    <b:Year>2009</b:Year>
    <b:Month>juillet</b:Month>
    <b:Day>31</b:Day>
    <b:Author>
      <b:Author>
        <b:NameList>
          <b:Person>
            <b:Last>Cadot</b:Last>
            <b:First>Emmanuelle</b:First>
          </b:Person>
          <b:Person>
            <b:Last>Harang</b:Last>
            <b:First>Maud</b:First>
          </b:Person>
        </b:NameList>
      </b:Author>
    </b:Author>
    <b:JournalName>Espace populations sociétés 2(3):329-39</b:JournalName>
    <b:City>Lille</b:City>
    <b:YearAccessed>2024</b:YearAccessed>
    <b:MonthAccessed>09</b:MonthAccessed>
    <b:DayAccessed>17</b:DayAccessed>
    <b:DOI>DOI: 10.4000/eps.1739</b:DOI>
    <b:PeriodicalTitle>Espace populations sociétés</b:PeriodicalTitle>
    <b:RefOrder>43</b:RefOrder>
  </b:Source>
  <b:Source>
    <b:Tag>Bol17</b:Tag>
    <b:SourceType>Misc</b:SourceType>
    <b:Guid>{7EC1879F-99DC-43FD-97B6-F916B4950276}</b:Guid>
    <b:Title>Inégalités scolaires au primaire à Ouagadougou dans les années 2000</b:Title>
    <b:Year>2017</b:Year>
    <b:Author>
      <b:Author>
        <b:NameList>
          <b:Person>
            <b:Last>Boly</b:Last>
            <b:First>Dramane</b:First>
          </b:Person>
        </b:NameList>
      </b:Author>
    </b:Author>
    <b:PublicationTitle>Démographie</b:PublicationTitle>
    <b:City>Paris</b:City>
    <b:CountryRegion>France</b:CountryRegion>
    <b:Publisher>Université Sorbonne Paris</b:Publisher>
    <b:YearAccessed>2024</b:YearAccessed>
    <b:MonthAccessed>09</b:MonthAccessed>
    <b:DayAccessed>17</b:DayAccessed>
    <b:URL>https://theses.hal.science/tel-02185223/file/va_Boly_Dramane.pdf</b:URL>
    <b:RefOrder>44</b:RefOrder>
  </b:Source>
  <b:Source>
    <b:Tag>Jac21</b:Tag>
    <b:SourceType>Report</b:SourceType>
    <b:Guid>{4329F327-570A-4BB1-8977-C6C5873F1A3F}</b:Guid>
    <b:Author>
      <b:Author>
        <b:NameList>
          <b:Person>
            <b:Last>Mathonnat</b:Last>
            <b:First>Jacky</b:First>
          </b:Person>
          <b:Person>
            <b:Last>Audibert</b:Last>
            <b:First>Martine</b:First>
          </b:Person>
          <b:Person>
            <b:Last>Nossek</b:Last>
            <b:First>Vincent</b:First>
          </b:Person>
        </b:NameList>
      </b:Author>
    </b:Author>
    <b:Title>Perception de la Covid et comportement des ménages au Burkina Faso : une analyse sur données d’enquête</b:Title>
    <b:Year>2021</b:Year>
    <b:Publisher>Politique de Développement, Document de travail</b:Publisher>
    <b:RefOrder>45</b:RefOrder>
  </b:Source>
  <b:Source>
    <b:Tag>Ash22</b:Tag>
    <b:SourceType>Report</b:SourceType>
    <b:Guid>{5C379AC4-05EF-4411-9EEE-3CFD6AD33A0A}</b:Guid>
    <b:Author>
      <b:Author>
        <b:NameList>
          <b:Person>
            <b:Last>Deshpande</b:Last>
            <b:First>Ashwini</b:First>
          </b:Person>
        </b:NameList>
      </b:Author>
    </b:Author>
    <b:Title>"The Covid-19 Pandemic and Lockdown: First Effects on Gender Gaps in Employment and Domestic Work in India</b:Title>
    <b:Year>2022</b:Year>
    <b:Publisher>Working Papers 30, Ashoka University, Department of Economics</b:Publisher>
    <b:YearAccessed>2023</b:YearAccessed>
    <b:MonthAccessed>Juillet</b:MonthAccessed>
    <b:DayAccessed>19</b:DayAccessed>
    <b:URL>https://ideas.repec.org/p/ash/wpaper/30.html</b:URL>
    <b:RefOrder>46</b:RefOrder>
  </b:Source>
  <b:Source>
    <b:Tag>INS223</b:Tag>
    <b:SourceType>Report</b:SourceType>
    <b:Guid>{0214ACF4-C407-4E54-8006-0EF615EB8AE2}</b:Guid>
    <b:Title>Principaux résultats de l’études sur la pauvreté et les conditions de vie des ménages en 2021</b:Title>
    <b:Year>2022c</b:Year>
    <b:City>Ouagadougou</b:City>
    <b:Publisher>INSD</b:Publisher>
    <b:Author>
      <b:Author>
        <b:Corporate>INSD</b:Corporate>
      </b:Author>
    </b:Author>
    <b:YearAccessed>2024</b:YearAccessed>
    <b:MonthAccessed>09</b:MonthAccessed>
    <b:DayAccessed>17</b:DayAccessed>
    <b:URL>https://www.insd.bf/sites/default/files/2024-01/Principaux%20r%C3%A9sultats%20EHCVM-2021.pdf</b:URL>
    <b:RefOrder>47</b:RefOrder>
  </b:Source>
  <b:Source>
    <b:Tag>Nat22</b:Tag>
    <b:SourceType>DocumentFromInternetSite</b:SourceType>
    <b:Guid>{EB37DBCC-2920-47CF-B6F3-0731322B6678}</b:Guid>
    <b:Author>
      <b:Author>
        <b:Corporate>Nations Unies</b:Corporate>
      </b:Author>
    </b:Author>
    <b:Title>Sahel : une grave insécurité alimentaire menace 12 millions de personnes (PAM)</b:Title>
    <b:InternetSiteTitle>ONU Info</b:InternetSiteTitle>
    <b:Year>2022</b:Year>
    <b:Month>Juin</b:Month>
    <b:Day>28</b:Day>
    <b:URL>https://news.un.org/fr/story/2022/06/1122672#:~:text=Dans%20ces%20conditions%2C%20au%20moins,fois%20plus%20qu'en%202019.</b:URL>
    <b:RefOrder>48</b:RefOrder>
  </b:Source>
  <b:Source>
    <b:Tag>INS061</b:Tag>
    <b:SourceType>Book</b:SourceType>
    <b:Guid>{8F8D4D82-86B8-4A25-A19D-518197BBC0D8}</b:Guid>
    <b:Author>
      <b:Author>
        <b:Corporate>INSD</b:Corporate>
      </b:Author>
    </b:Author>
    <b:Title>Recemment général de la population et de l'habitat de 2006</b:Title>
    <b:Year>2006</b:Year>
    <b:City>Ouagadougou</b:City>
    <b:Publisher>INSD</b:Publisher>
    <b:YearAccessed>2024</b:YearAccessed>
    <b:MonthAccessed>09</b:MonthAccessed>
    <b:DayAccessed>25</b:DayAccessed>
    <b:URL>http://www.cns.bf/IMG/pdf/RGPH_2006.pdf</b:URL>
    <b:RefOrder>49</b:RefOrder>
  </b:Source>
  <b:Source>
    <b:Tag>Oua02</b:Tag>
    <b:SourceType>Misc</b:SourceType>
    <b:Guid>{3C86626E-E410-4AEA-B8CD-2D1D222AB226}</b:Guid>
    <b:Title>Dynamiques périurbaines : population, habitat et environnement dans les périphéries des grandes métropoles - Les enjeux de la dynamique des extensions périurbaines à Ouagadougou (Burkina Faso)</b:Title>
    <b:Year>2002</b:Year>
    <b:Author>
      <b:Author>
        <b:NameList>
          <b:Person>
            <b:Last>Ouattara</b:Last>
            <b:First>Ardjouma</b:First>
          </b:Person>
        </b:NameList>
      </b:Author>
    </b:Author>
    <b:YearAccessed>2024</b:YearAccessed>
    <b:MonthAccessed>09</b:MonthAccessed>
    <b:DayAccessed>17</b:DayAccessed>
    <b:URL>https://archives.ceped.org/dynamiques_periurbaines/html/ouagadougou.htm</b:URL>
    <b:RefOrder>50</b:RefOrder>
  </b:Source>
  <b:Source>
    <b:Tag>NUH07</b:Tag>
    <b:SourceType>Report</b:SourceType>
    <b:Guid>{39EBD544-7467-437E-886B-44C9D83D2674}</b:Guid>
    <b:Title>Profil urbain de Ouagadougou</b:Title>
    <b:Year>2007</b:Year>
    <b:Publisher>NU-Habitat</b:Publisher>
    <b:City>Nairobi </b:City>
    <b:Author>
      <b:Author>
        <b:Corporate>NU-Habitat</b:Corporate>
      </b:Author>
    </b:Author>
    <b:YearAccessed>2024</b:YearAccessed>
    <b:MonthAccessed>09</b:MonthAccessed>
    <b:DayAccessed>17</b:DayAccessed>
    <b:URL>https://unhabitat.org/sites/default/files/download-manager-files/Burkina%20Faso_Ouagadougou.pdf</b:URL>
    <b:RefOrder>51</b:RefOrder>
  </b:Source>
  <b:Source>
    <b:Tag>INS224</b:Tag>
    <b:SourceType>Report</b:SourceType>
    <b:Guid>{D8B19C44-0320-4F76-B2BC-47A096E8C410}</b:Guid>
    <b:Title>5em recencement général de la population et de l'habitation de 2019 : monographie de la commune de Ouagadougou</b:Title>
    <b:Year>2022a</b:Year>
    <b:City>Ouagadougou</b:City>
    <b:Publisher>INSD</b:Publisher>
    <b:Author>
      <b:Author>
        <b:Corporate>INSD</b:Corporate>
      </b:Author>
    </b:Author>
    <b:YearAccessed>2024</b:YearAccessed>
    <b:MonthAccessed>09</b:MonthAccessed>
    <b:DayAccessed>17</b:DayAccessed>
    <b:URL>https://www.insd.bf/sites/default/files/2023-02/MONOGRAPHIE%20DE%20OUAGADOUGOU_5E%20RGPH_0.pdf</b:URL>
    <b:RefOrder>52</b:RefOrder>
  </b:Source>
  <b:Source>
    <b:Tag>AMM17</b:Tag>
    <b:SourceType>Report</b:SourceType>
    <b:Guid>{85CAD99E-8F0B-40BC-A104-5C12B93D3113}</b:Guid>
    <b:Author>
      <b:Author>
        <b:Corporate>AMMA</b:Corporate>
      </b:Author>
    </b:Author>
    <b:Title>Résultats de l’enquête socio-économique auprès des habitants des zones inondables du "Grand Ouaga" - Rapport définitif</b:Title>
    <b:Year>2017</b:Year>
    <b:URL>https://www.ceh.ac.uk/sites/default/files/2023-05/AMMA-2050-technical-support-Rapport-aspects-socio-%C3%A9conomiques-des-inondations.pdf</b:URL>
    <b:Publisher>AMMA</b:Publisher>
    <b:City>Ouagadougou</b:City>
    <b:YearAccessed>2024</b:YearAccessed>
    <b:MonthAccessed>09</b:MonthAccessed>
    <b:DayAccessed>17</b:DayAccessed>
    <b:RefOrder>53</b:RefOrder>
  </b:Source>
  <b:Source>
    <b:Tag>PÉR19</b:Tag>
    <b:SourceType>Report</b:SourceType>
    <b:Guid>{453920C4-A0BB-45C1-89E3-BAB1708B29E9}</b:Guid>
    <b:Author>
      <b:Author>
        <b:NameList>
          <b:Person>
            <b:Last>Périssol</b:Last>
            <b:First>Pierre</b:First>
            <b:Middle>André</b:Middle>
          </b:Person>
          <b:Person>
            <b:Last>Lepoittevin</b:Last>
            <b:First>Christine</b:First>
          </b:Person>
          <b:Person>
            <b:Last>Valenzuelle</b:Last>
            <b:First>Véronique</b:First>
          </b:Person>
        </b:NameList>
      </b:Author>
    </b:Author>
    <b:Title>Ouagadougou 2050 : Vivre le quotidien à l’échelle du grand territoire</b:Title>
    <b:Year>2019</b:Year>
    <b:Publisher>Les Ateliers de maîtrise d’oeuvre urbaine de Cergy Pontoise</b:Publisher>
    <b:City>Cergy</b:City>
    <b:YearAccessed>2024</b:YearAccessed>
    <b:MonthAccessed>09</b:MonthAccessed>
    <b:DayAccessed>17</b:DayAccessed>
    <b:URL>https://ateliers.org/media/workshop/documents/190403_CAHIER_DE_SESSION_VF_2_web.pdf</b:URL>
    <b:RefOrder>54</b:RefOrder>
  </b:Source>
  <b:Source>
    <b:Tag>Ros11</b:Tag>
    <b:SourceType>Misc</b:SourceType>
    <b:Guid>{C4903147-DC62-4DF1-A377-06B1ED1BB3BA}</b:Guid>
    <b:Author>
      <b:Author>
        <b:NameList>
          <b:Person>
            <b:Last>Rossier</b:Last>
            <b:First>Clémentine</b:First>
          </b:Person>
        </b:NameList>
      </b:Author>
    </b:Author>
    <b:Title>Les quartiers d’habitation informels sont-ils des villages urbains ? Le cas de la périphérie de Ouagadougou</b:Title>
    <b:Year>2011</b:Year>
    <b:City>Paris</b:City>
    <b:Month>Novembre</b:Month>
    <b:Day>22</b:Day>
    <b:CountryRegion>France</b:CountryRegion>
    <b:YearAccessed>2024</b:YearAccessed>
    <b:MonthAccessed>09</b:MonthAccessed>
    <b:DayAccessed>17</b:DayAccessed>
    <b:URL>https://uaps2011.popconf.org/papers/110907</b:URL>
    <b:RefOrder>55</b:RefOrder>
  </b:Source>
  <b:Source>
    <b:Tag>Urb23</b:Tag>
    <b:SourceType>InternetSite</b:SourceType>
    <b:Guid>{4C186739-156A-43F6-8950-48EEFF0EC36B}</b:Guid>
    <b:Title>Urbanisation au Burkina : Près de 3000 hectares de non-lotis dans la ville de Ouagadougou, selon Dahouda Ouédraogo</b:Title>
    <b:Year>2023</b:Year>
    <b:Month>Octobre</b:Month>
    <b:Day>20</b:Day>
    <b:InternetSiteTitle>Matin Libre - Burkina Faos</b:InternetSiteTitle>
    <b:URL>https://matinlibre.bf/urbanisation-au-burkina-pres-de-3000-hectares-de-non-lotis-dans-la-ville-de-ouagadougou-selon-dahouda-ouedraogo/</b:URL>
    <b:YearAccessed>2024</b:YearAccessed>
    <b:MonthAccessed>17</b:MonthAccessed>
    <b:DayAccessed>09</b:DayAccessed>
    <b:Author>
      <b:Author>
        <b:Corporate>OUB</b:Corporate>
      </b:Author>
    </b:Author>
    <b:RefOrder>56</b:RefOrder>
  </b:Source>
  <b:Source>
    <b:Tag>INS091</b:Tag>
    <b:SourceType>Report</b:SourceType>
    <b:Guid>{47168D39-E853-4163-80AE-9B8D1515D0AB}</b:Guid>
    <b:Author>
      <b:Author>
        <b:NameList>
          <b:Person>
            <b:Last>Zida/Bangré</b:Last>
            <b:First>Hélène</b:First>
          </b:Person>
        </b:NameList>
      </b:Author>
    </b:Author>
    <b:Title>Recensement général de la population et de l'habitation de 2006 : Monographie de la commune urbaine de Bobo Dioulasso</b:Title>
    <b:Year>2009</b:Year>
    <b:Publisher>INSD</b:Publisher>
    <b:City>Ouagadougou</b:City>
    <b:YearAccessed>2024</b:YearAccessed>
    <b:MonthAccessed>09</b:MonthAccessed>
    <b:DayAccessed>17</b:DayAccessed>
    <b:URL>https://www.insd.bf/sites/default/files/2021-12/monographie_bobo.pdf</b:URL>
    <b:RefOrder>57</b:RefOrder>
  </b:Source>
  <b:Source>
    <b:Tag>Sta03</b:Tag>
    <b:SourceType>Report</b:SourceType>
    <b:Guid>{A5F522C7-4B7A-4AA8-AB75-598032CBACA7}</b:Guid>
    <b:Author>
      <b:Author>
        <b:NameList>
          <b:Person>
            <b:Last>Bamas</b:Last>
            <b:First>Stanislas</b:First>
          </b:Person>
          <b:Person>
            <b:Last>Marie</b:Last>
            <b:First>Maximilien</b:First>
          </b:Person>
        </b:NameList>
      </b:Author>
    </b:Author>
    <b:Title>Les transports urbains à Ouagadougou : diagnostic et perspectives. In: Études urbaines à</b:Title>
    <b:Year>2003</b:Year>
    <b:Publisher>Talence : Centre de recherche sur les espaces tropicaux, 2003</b:Publisher>
    <b:JournalName>Talence : Centre de recherche sur les espaces tropicaux</b:JournalName>
    <b:Pages>59-90</b:Pages>
    <b:YearAccessed>2024</b:YearAccessed>
    <b:MonthAccessed>09</b:MonthAccessed>
    <b:DayAccessed>18</b:DayAccessed>
    <b:URL>https://www.persee.fr/doc/payen_0989-6007_2003_ant_11_1_935</b:URL>
    <b:RefOrder>58</b:RefOrder>
  </b:Source>
  <b:Source>
    <b:Tag>SSA21</b:Tag>
    <b:SourceType>Report</b:SourceType>
    <b:Guid>{E54F2B59-F818-484C-998E-F070DC140756}</b:Guid>
    <b:Author>
      <b:Author>
        <b:Corporate>SSATP</b:Corporate>
      </b:Author>
    </b:Author>
    <b:Title>Les villes africaines face à la crise de la mobilité urbaine : Défis des politiques nationales face à la prolifération des deux-roues au Bénin, Burkina Faso, Mali et Togo</b:Title>
    <b:Year>2021</b:Year>
    <b:Publisher>Banque Mondiale</b:Publisher>
    <b:City>Washington DC</b:City>
    <b:YearAccessed>2024</b:YearAccessed>
    <b:MonthAccessed>09</b:MonthAccessed>
    <b:DayAccessed>17</b:DayAccessed>
    <b:URL>https://www.ssatp.org/sites/ssatp/files/publication/SSATP_Transnational-Report_FR_DIGITAL.pdf</b:URL>
    <b:RefOrder>59</b:RefOrder>
  </b:Source>
  <b:Source>
    <b:Tag>JPT89</b:Tag>
    <b:SourceType>Report</b:SourceType>
    <b:Guid>{4A376E1E-9B1C-4686-8F4C-AF7097D546E2}</b:Guid>
    <b:Author>
      <b:Author>
        <b:NameList>
          <b:Person>
            <b:Last>Taroux</b:Last>
            <b:First>J.P.</b:First>
          </b:Person>
        </b:NameList>
      </b:Author>
    </b:Author>
    <b:Title>Rapport de mission sur la RNTC X9</b:Title>
    <b:Year>1989</b:Year>
    <b:City>Ouagadougou</b:City>
    <b:RefOrder>60</b:RefOrder>
  </b:Source>
  <b:Source>
    <b:Tag>Las24</b:Tag>
    <b:SourceType>InternetSite</b:SourceType>
    <b:Guid>{9FD3F587-0412-4E5B-9033-509C67128CB9}</b:Guid>
    <b:Title>La situation éducative au Burkina Faso</b:Title>
    <b:Year>2024</b:Year>
    <b:InternetSiteTitle>LibreFaso</b:InternetSiteTitle>
    <b:URL>https://librefaso.pollux.casa/situationeducative.gmi</b:URL>
    <b:YearAccessed>2024</b:YearAccessed>
    <b:MonthAccessed>09</b:MonthAccessed>
    <b:DayAccessed>18</b:DayAccessed>
    <b:Author>
      <b:Author>
        <b:Corporate>LibreFaso</b:Corporate>
      </b:Author>
    </b:Author>
    <b:RefOrder>61</b:RefOrder>
  </b:Source>
  <b:Source>
    <b:Tag>IRD17</b:Tag>
    <b:SourceType>Report</b:SourceType>
    <b:Guid>{E2757D0B-5580-43F2-8CC0-0003FA7C53ED}</b:Guid>
    <b:Author>
      <b:Author>
        <b:Corporate>IRD</b:Corporate>
      </b:Author>
    </b:Author>
    <b:Title>Ouagadougou (1950-2004) : urbanisation différenciée</b:Title>
    <b:Year>2017</b:Year>
    <b:Publisher>IRD</b:Publisher>
    <b:City>Ouagadougou</b:City>
    <b:YearAccessed>2024</b:YearAccessed>
    <b:MonthAccessed>09</b:MonthAccessed>
    <b:DayAccessed>05</b:DayAccessed>
    <b:URL>https://horizon.documentation.ird.fr/exl-doc/pleins_textes/divers10-05/010048783.pdf</b:URL>
    <b:RefOrder>62</b:RefOrder>
  </b:Source>
  <b:Source>
    <b:Tag>BOY17</b:Tag>
    <b:SourceType>ArticleInAPeriodical</b:SourceType>
    <b:Guid>{8006BCA4-B7A0-4767-B851-074F9DC33EE6}</b:Guid>
    <b:Author>
      <b:Author>
        <b:NameList>
          <b:Person>
            <b:Last>Boyer</b:Last>
            <b:First>Florence</b:First>
          </b:Person>
          <b:Person>
            <b:Last>Delaunay</b:Last>
            <b:First>Daniel</b:First>
          </b:Person>
        </b:NameList>
      </b:Author>
    </b:Author>
    <b:Title>Se déplacer dans Ouagadougou au quotidien, moyens, contraintes et pratiques de la mobilité</b:Title>
    <b:Year>2017</b:Year>
    <b:Publisher>Paris :IEDES - Université Paris 1 Panthéon- Sorbonne</b:Publisher>
    <b:City>Paris</b:City>
    <b:Pages>76</b:Pages>
    <b:PeriodicalTitle>Monographies Sud-Nord</b:PeriodicalTitle>
    <b:Issue>6</b:Issue>
    <b:YearAccessed>2024</b:YearAccessed>
    <b:MonthAccessed>09</b:MonthAccessed>
    <b:DayAccessed>18</b:DayAccessed>
    <b:URL> http://iedespubli.hypotheses.org/monographies-sud-nord</b:URL>
    <b:RefOrder>63</b:RefOrder>
  </b:Source>
  <b:Source>
    <b:Tag>MEC10</b:Tag>
    <b:SourceType>Report</b:SourceType>
    <b:Guid>{C71E307F-365B-465D-A08B-2B6BC050A8BD}</b:Guid>
    <b:Author>
      <b:Author>
        <b:Corporate>MECV</b:Corporate>
      </b:Author>
    </b:Author>
    <b:Title>Analyse économique de l'environnement et des ressources naturelles au Burkina Faso</b:Title>
    <b:Year>2010</b:Year>
    <b:Publisher>IPE</b:Publisher>
    <b:City>Ouagadougou</b:City>
    <b:YearAccessed>2023</b:YearAccessed>
    <b:MonthAccessed>Mars</b:MonthAccessed>
    <b:DayAccessed>22</b:DayAccessed>
    <b:URL>https://wedocs.unep.org/bitstream/handle/20.500.11822/27401/Evaluation_Economique.pdf?sequence=1&amp;isAllowed=y</b:URL>
    <b:RefOrder>64</b:RefOrder>
  </b:Source>
  <b:Source>
    <b:Tag>PNU14</b:Tag>
    <b:SourceType>Report</b:SourceType>
    <b:Guid>{51B1D890-D12A-43AD-944D-309488F79A21}</b:Guid>
    <b:Author>
      <b:Author>
        <b:Corporate>PNUD</b:Corporate>
      </b:Author>
    </b:Author>
    <b:Title>Carthographie de la pauvreté et des inégalités au Burkina Faso</b:Title>
    <b:Year>2014</b:Year>
    <b:Publisher>PNUD</b:Publisher>
    <b:City>Ouagadougou</b:City>
    <b:YearAccessed>2024</b:YearAccessed>
    <b:MonthAccessed>Février</b:MonthAccessed>
    <b:DayAccessed>2</b:DayAccessed>
    <b:URL>https://www.undp.org/sites/g/files/zskgke326/files/migration/bf/UNDP_bf_cartopauv_2014.pdf</b:URL>
    <b:RefOrder>65</b:RefOrder>
  </b:Source>
  <b:Source>
    <b:Tag>UNC09</b:Tag>
    <b:SourceType>Report</b:SourceType>
    <b:Guid>{B6D57ACE-F160-4CD9-8D45-CCA11F17B3AE}</b:Guid>
    <b:Author>
      <b:Author>
        <b:Corporate>UNCTAD</b:Corporate>
      </b:Author>
    </b:Author>
    <b:Title>Examen de la politique d'investissement : Burkina Faso</b:Title>
    <b:Year>2009</b:Year>
    <b:Publisher>UNCTAD</b:Publisher>
    <b:City>New York</b:City>
    <b:YearAccessed>2029</b:YearAccessed>
    <b:MonthAccessed>09</b:MonthAccessed>
    <b:DayAccessed>13</b:DayAccessed>
    <b:URL>https://unctad.org/system/files/official-document/diaepcb20094_fr.pdf</b:URL>
    <b:RefOrder>66</b:RefOrder>
  </b:Source>
  <b:Source>
    <b:Tag>ONU07</b:Tag>
    <b:SourceType>Report</b:SourceType>
    <b:Guid>{7860A63D-233B-4788-8BC2-9F3316CA85C5}</b:Guid>
    <b:Author>
      <b:Author>
        <b:Corporate>ONU-Habitat</b:Corporate>
      </b:Author>
    </b:Author>
    <b:Title>Profil urbain de Ouagadougou</b:Title>
    <b:Year>2007</b:Year>
    <b:Publisher>ONU-Habitat</b:Publisher>
    <b:City>Nairobi</b:City>
    <b:YearAccessed>2024</b:YearAccessed>
    <b:MonthAccessed>09</b:MonthAccessed>
    <b:DayAccessed>17</b:DayAccessed>
    <b:URL>file:///C:/Users/LGDamien/OneDrive/Documents/Dossiers_Etude/Ann%C3%A9e%202024/Etude%20REEB%20V_Mars%2024/Rapport%20VF00/Biblio_sept24/Burkina%20Faso_Ouagadougou.pdf</b:URL>
    <b:RefOrder>67</b:RefOrder>
  </b:Source>
  <b:Source>
    <b:Tag>Cha15</b:Tag>
    <b:SourceType>ConferenceProceedings</b:SourceType>
    <b:Guid>{46F46B2C-10E4-4BE3-BD4F-16991506DCB2}</b:Guid>
    <b:Title>Urbanisme et mobilité à Ouaga : à pied, à vélo, en auto ou à moto, quels enjeux pour la ville ?</b:Title>
    <b:Year>2015</b:Year>
    <b:Author>
      <b:Author>
        <b:NameList>
          <b:Person>
            <b:Last>Chaumier</b:Last>
            <b:First>Héloïse</b:First>
          </b:Person>
          <b:Person>
            <b:Last>Guigma</b:Last>
            <b:First>Léandre</b:First>
          </b:Person>
        </b:NameList>
      </b:Author>
    </b:Author>
    <b:ConferenceName>Rencontres de jeunes professionnels de Ouagadougou</b:ConferenceName>
    <b:City>Ouagadougou</b:City>
    <b:Publisher>Projection</b:Publisher>
    <b:YearAccessed>2024</b:YearAccessed>
    <b:MonthAccessed>09</b:MonthAccessed>
    <b:DayAccessed>18</b:DayAccessed>
    <b:URL>https://www.reseauprojection.org/wiki/images/8/8e/CR_RM_Urban_Ouaga_17-11-15.pdf</b:URL>
    <b:RefOrder>68</b:RefOrder>
  </b:Source>
  <b:Source>
    <b:Tag>MEE23</b:Tag>
    <b:SourceType>Report</b:SourceType>
    <b:Guid>{C70F4B1B-437E-43F9-BEF1-BDE370982620}</b:Guid>
    <b:Title>Tableau de bord de l'environnement 2021</b:Title>
    <b:Year>2023</b:Year>
    <b:City>Ouagadougou</b:City>
    <b:Publisher>MEEA</b:Publisher>
    <b:Author>
      <b:Author>
        <b:Corporate>MEEA</b:Corporate>
      </b:Author>
    </b:Author>
    <b:YearAccessed>2024</b:YearAccessed>
    <b:MonthAccessed>11</b:MonthAccessed>
    <b:DayAccessed>15</b:DayAccessed>
    <b:URL>http://cns.bf/IMG/pdf/tbe2021vf_aout2023.pdf</b:URL>
    <b:RefOrder>69</b:RefOrder>
  </b:Source>
</b:Sources>
</file>

<file path=customXml/itemProps1.xml><?xml version="1.0" encoding="utf-8"?>
<ds:datastoreItem xmlns:ds="http://schemas.openxmlformats.org/officeDocument/2006/customXml" ds:itemID="{23BA3C57-15CF-4100-ABF1-F9A1212A67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380</TotalTime>
  <Pages>292</Pages>
  <Words>112098</Words>
  <Characters>638960</Characters>
  <Application>Microsoft Office Word</Application>
  <DocSecurity>0</DocSecurity>
  <Lines>5324</Lines>
  <Paragraphs>1499</Paragraphs>
  <ScaleCrop>false</ScaleCrop>
  <HeadingPairs>
    <vt:vector size="4" baseType="variant">
      <vt:variant>
        <vt:lpstr>Titre</vt:lpstr>
      </vt:variant>
      <vt:variant>
        <vt:i4>1</vt:i4>
      </vt:variant>
      <vt:variant>
        <vt:lpstr>Titres</vt:lpstr>
      </vt:variant>
      <vt:variant>
        <vt:i4>20</vt:i4>
      </vt:variant>
    </vt:vector>
  </HeadingPairs>
  <TitlesOfParts>
    <vt:vector size="21" baseType="lpstr">
      <vt:lpstr/>
      <vt:lpstr>AVANT PROPOS</vt:lpstr>
      <vt:lpstr>RESUME </vt:lpstr>
      <vt:lpstr>TABLE DES MATIERES</vt:lpstr>
      <vt:lpstr>Liste des tableaux</vt:lpstr>
      <vt:lpstr/>
      <vt:lpstr>Liste des figures</vt:lpstr>
      <vt:lpstr>Liste des photos</vt:lpstr>
      <vt:lpstr/>
      <vt:lpstr>Sigles et abréviations </vt:lpstr>
      <vt:lpstr>INTRODUCTION</vt:lpstr>
      <vt:lpstr>LE CONTEXTE D’ELABORATION DU RAPPORT</vt:lpstr>
      <vt:lpstr>    Les enjeux socio-démographiques de la gestion de l’environnement </vt:lpstr>
      <vt:lpstr>    Le contexte particulier d’élaboration du 5e REEB </vt:lpstr>
      <vt:lpstr/>
      <vt:lpstr>LE BURKINA FASO FACE AU CHANGEMENT CLIMATIQUE</vt:lpstr>
      <vt:lpstr>    </vt:lpstr>
      <vt:lpstr>    Les tendances observées des trois dernières décennies</vt:lpstr>
      <vt:lpstr>        Les zones climatiques au Burkina</vt:lpstr>
      <vt:lpstr>        Variables climatiques critiques pour l’économie</vt:lpstr>
      <vt:lpstr>        Évolution des variables climatiques sur la période 1990-2023  </vt:lpstr>
    </vt:vector>
  </TitlesOfParts>
  <Company/>
  <LinksUpToDate>false</LinksUpToDate>
  <CharactersWithSpaces>749559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HIEN</dc:creator>
  <cp:keywords/>
  <dc:description/>
  <cp:lastModifiedBy>Dr HIEN</cp:lastModifiedBy>
  <cp:revision>29</cp:revision>
  <dcterms:created xsi:type="dcterms:W3CDTF">2024-11-23T14:44:00Z</dcterms:created>
  <dcterms:modified xsi:type="dcterms:W3CDTF">2024-11-25T10:42:00Z</dcterms:modified>
</cp:coreProperties>
</file>